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rPr>
          <w:rFonts w:hint="eastAsia"/>
        </w:rPr>
      </w:pPr>
      <w:r>
        <w:t>2004</w:t>
      </w:r>
      <w:r>
        <w:rPr>
          <w:rFonts w:hint="eastAsia"/>
        </w:rPr>
        <w:t>年实质性会议</w:t>
      </w:r>
    </w:p>
    <w:p w:rsidR="00000000" w:rsidRDefault="00000000">
      <w:pPr>
        <w:rPr>
          <w:rFonts w:hint="eastAsia"/>
        </w:rPr>
      </w:pPr>
    </w:p>
    <w:p w:rsidR="00000000" w:rsidRDefault="00000000">
      <w:pPr>
        <w:pStyle w:val="Heading2"/>
        <w:rPr>
          <w:rFonts w:hint="eastAsia"/>
        </w:rPr>
      </w:pPr>
      <w:bookmarkStart w:id="0" w:name="_Toc78623553"/>
      <w:bookmarkStart w:id="1" w:name="_Toc78772919"/>
      <w:r>
        <w:rPr>
          <w:rFonts w:hint="eastAsia"/>
        </w:rPr>
        <w:t>《经济、社会、文化权利国际公约》</w:t>
      </w:r>
      <w:r>
        <w:br/>
      </w:r>
      <w:r>
        <w:rPr>
          <w:rFonts w:hint="eastAsia"/>
        </w:rPr>
        <w:t>执</w:t>
      </w:r>
      <w:r>
        <w:t xml:space="preserve"> </w:t>
      </w:r>
      <w:r>
        <w:rPr>
          <w:rFonts w:hint="eastAsia"/>
        </w:rPr>
        <w:t>行</w:t>
      </w:r>
      <w:r>
        <w:t xml:space="preserve"> </w:t>
      </w:r>
      <w:r>
        <w:rPr>
          <w:rFonts w:hint="eastAsia"/>
        </w:rPr>
        <w:t>情</w:t>
      </w:r>
      <w:r>
        <w:t xml:space="preserve"> </w:t>
      </w:r>
      <w:r>
        <w:rPr>
          <w:rFonts w:hint="eastAsia"/>
        </w:rPr>
        <w:t>况</w:t>
      </w:r>
      <w:bookmarkEnd w:id="0"/>
      <w:bookmarkEnd w:id="1"/>
    </w:p>
    <w:p w:rsidR="00000000" w:rsidRDefault="00000000">
      <w:pPr>
        <w:rPr>
          <w:rFonts w:hint="eastAsia"/>
        </w:rPr>
      </w:pPr>
    </w:p>
    <w:p w:rsidR="00000000" w:rsidRDefault="00000000">
      <w:pPr>
        <w:pStyle w:val="Heading2"/>
        <w:rPr>
          <w:rFonts w:hint="eastAsia"/>
        </w:rPr>
      </w:pPr>
      <w:bookmarkStart w:id="2" w:name="_Toc78623554"/>
      <w:bookmarkStart w:id="3" w:name="_Toc78772920"/>
      <w:r>
        <w:rPr>
          <w:rFonts w:hint="eastAsia"/>
        </w:rPr>
        <w:t>缔约国根据《公约》第十六条和第十七条</w:t>
      </w:r>
      <w:r>
        <w:br/>
      </w:r>
      <w:r>
        <w:rPr>
          <w:rFonts w:hint="eastAsia"/>
        </w:rPr>
        <w:t>提交的初次报告</w:t>
      </w:r>
      <w:bookmarkEnd w:id="2"/>
      <w:bookmarkEnd w:id="3"/>
    </w:p>
    <w:p w:rsidR="00000000" w:rsidRDefault="00000000">
      <w:pPr>
        <w:pStyle w:val="a3"/>
        <w:rPr>
          <w:rFonts w:hint="eastAsia"/>
        </w:rPr>
      </w:pPr>
      <w:r>
        <w:rPr>
          <w:rFonts w:hint="eastAsia"/>
        </w:rPr>
        <w:t>增　编</w:t>
      </w:r>
    </w:p>
    <w:p w:rsidR="00000000" w:rsidRDefault="00000000">
      <w:pPr>
        <w:pStyle w:val="a3"/>
        <w:rPr>
          <w:rFonts w:hint="eastAsia"/>
        </w:rPr>
      </w:pPr>
      <w:r>
        <w:rPr>
          <w:rFonts w:hint="eastAsia"/>
        </w:rPr>
        <w:t>中华人民共和国</w:t>
      </w:r>
      <w:r>
        <w:t xml:space="preserve"> </w:t>
      </w:r>
      <w:r>
        <w:rPr>
          <w:rFonts w:ascii="Times New Roman" w:eastAsia="SimSun" w:hAnsi="Times New Roman"/>
          <w:kern w:val="0"/>
        </w:rPr>
        <w:t>*</w:t>
      </w:r>
    </w:p>
    <w:p w:rsidR="00000000" w:rsidRDefault="00000000"/>
    <w:p w:rsidR="00000000" w:rsidRDefault="00000000">
      <w:pPr>
        <w:jc w:val="right"/>
      </w:pPr>
      <w:r>
        <w:t>[2003</w:t>
      </w:r>
      <w:r>
        <w:rPr>
          <w:rFonts w:hint="eastAsia"/>
        </w:rPr>
        <w:t>年</w:t>
      </w:r>
      <w:r>
        <w:rPr>
          <w:rFonts w:hint="eastAsia"/>
        </w:rPr>
        <w:t>6</w:t>
      </w:r>
      <w:r>
        <w:rPr>
          <w:rFonts w:hint="eastAsia"/>
        </w:rPr>
        <w:t>月</w:t>
      </w:r>
      <w:r>
        <w:rPr>
          <w:rFonts w:hint="eastAsia"/>
        </w:rPr>
        <w:t>27</w:t>
      </w:r>
      <w:r>
        <w:rPr>
          <w:rFonts w:hint="eastAsia"/>
        </w:rPr>
        <w:t>日</w:t>
      </w:r>
      <w:r>
        <w:t>]</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u w:val="single"/>
        </w:rPr>
      </w:pPr>
      <w:r>
        <w:rPr>
          <w:rFonts w:hint="eastAsia"/>
          <w:u w:val="single"/>
        </w:rPr>
        <w:tab/>
      </w:r>
      <w:r>
        <w:rPr>
          <w:rFonts w:hint="eastAsia"/>
          <w:u w:val="single"/>
        </w:rPr>
        <w:tab/>
      </w:r>
      <w:r>
        <w:rPr>
          <w:rFonts w:hint="eastAsia"/>
          <w:u w:val="single"/>
        </w:rPr>
        <w:tab/>
      </w:r>
      <w:r>
        <w:rPr>
          <w:rFonts w:hint="eastAsia"/>
          <w:u w:val="single"/>
        </w:rPr>
        <w:tab/>
      </w:r>
    </w:p>
    <w:p w:rsidR="00000000" w:rsidRDefault="00000000">
      <w:pPr>
        <w:pStyle w:val="FootnoteText"/>
        <w:rPr>
          <w:snapToGrid/>
        </w:rPr>
      </w:pPr>
      <w:r>
        <w:rPr>
          <w:rFonts w:hint="eastAsia"/>
          <w:snapToGrid/>
        </w:rPr>
        <w:t>*</w:t>
      </w:r>
      <w:r>
        <w:rPr>
          <w:rFonts w:hint="eastAsia"/>
          <w:snapToGrid/>
        </w:rPr>
        <w:tab/>
      </w:r>
      <w:r>
        <w:rPr>
          <w:rFonts w:hint="eastAsia"/>
          <w:snapToGrid/>
        </w:rPr>
        <w:t>中华人民共和国按照缔约国初次报告的准则提交的资料，载于核心文件</w:t>
      </w:r>
      <w:r>
        <w:rPr>
          <w:rFonts w:hint="eastAsia"/>
          <w:snapToGrid/>
        </w:rPr>
        <w:t>(</w:t>
      </w:r>
      <w:r>
        <w:rPr>
          <w:snapToGrid/>
        </w:rPr>
        <w:t>HRI/CORE/1/Add.21/Rev.2)</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snapToGrid/>
        </w:rP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pPr>
      <w:r>
        <w:rPr>
          <w:rFonts w:hint="eastAsia"/>
        </w:rPr>
        <w:t>第一部分　　中</w:t>
      </w:r>
      <w:r>
        <w:t xml:space="preserve"> </w:t>
      </w:r>
      <w:r>
        <w:rPr>
          <w:rFonts w:hint="eastAsia"/>
        </w:rPr>
        <w:t>国</w:t>
      </w:r>
    </w:p>
    <w:p w:rsidR="00000000" w:rsidRDefault="00000000">
      <w:pPr>
        <w:pStyle w:val="a9"/>
      </w:pPr>
      <w:r>
        <w:rPr>
          <w:rFonts w:hint="eastAsia"/>
        </w:rPr>
        <w:t>序</w:t>
      </w:r>
      <w:r>
        <w:rPr>
          <w:rFonts w:hint="eastAsia"/>
        </w:rPr>
        <w:t xml:space="preserve">  </w:t>
      </w:r>
      <w:r>
        <w:rPr>
          <w:rFonts w:hint="eastAsia"/>
        </w:rPr>
        <w:t>言</w:t>
      </w:r>
      <w:r>
        <w:t>....................</w:t>
      </w:r>
      <w:r>
        <w:tab/>
      </w:r>
      <w:r>
        <w:tab/>
        <w:t>1</w:t>
      </w:r>
      <w:r>
        <w:tab/>
        <w:t>-</w:t>
      </w:r>
      <w:r>
        <w:tab/>
        <w:t>5</w:t>
      </w:r>
      <w:r>
        <w:tab/>
        <w:t>5</w:t>
      </w:r>
    </w:p>
    <w:p w:rsidR="00000000" w:rsidRDefault="00000000">
      <w:pPr>
        <w:pStyle w:val="a9"/>
        <w:rPr>
          <w:rFonts w:hint="eastAsia"/>
        </w:rPr>
      </w:pPr>
      <w:r>
        <w:rPr>
          <w:rFonts w:hint="eastAsia"/>
        </w:rPr>
        <w:t>第一条</w:t>
      </w:r>
      <w:r>
        <w:rPr>
          <w:rFonts w:hint="eastAsia"/>
        </w:rPr>
        <w:t xml:space="preserve"> </w:t>
      </w:r>
      <w:r>
        <w:t xml:space="preserve"> </w:t>
      </w:r>
      <w:r>
        <w:rPr>
          <w:rFonts w:hint="eastAsia"/>
        </w:rPr>
        <w:t>自决权</w:t>
      </w:r>
      <w:r>
        <w:t>...</w:t>
      </w:r>
      <w:r>
        <w:tab/>
      </w:r>
      <w:r>
        <w:tab/>
        <w:t>6</w:t>
      </w:r>
      <w:r>
        <w:tab/>
        <w:t>-</w:t>
      </w:r>
      <w:r>
        <w:tab/>
        <w:t>8</w:t>
      </w:r>
      <w:r>
        <w:tab/>
        <w:t>6</w:t>
      </w:r>
    </w:p>
    <w:p w:rsidR="00000000" w:rsidRDefault="00000000">
      <w:pPr>
        <w:pStyle w:val="a9"/>
      </w:pPr>
      <w:r>
        <w:rPr>
          <w:rFonts w:hint="eastAsia"/>
        </w:rPr>
        <w:t>第二条</w:t>
      </w:r>
      <w:r>
        <w:rPr>
          <w:rFonts w:hint="eastAsia"/>
        </w:rPr>
        <w:t xml:space="preserve"> </w:t>
      </w:r>
      <w:r>
        <w:t xml:space="preserve"> </w:t>
      </w:r>
      <w:r>
        <w:rPr>
          <w:rFonts w:hint="eastAsia"/>
        </w:rPr>
        <w:t>采取措施保障充分实现各项权利</w:t>
      </w:r>
      <w:r>
        <w:tab/>
      </w:r>
      <w:r>
        <w:tab/>
        <w:t>9</w:t>
      </w:r>
      <w:r>
        <w:tab/>
        <w:t>-</w:t>
      </w:r>
      <w:r>
        <w:tab/>
        <w:t>16</w:t>
      </w:r>
      <w:r>
        <w:tab/>
        <w:t>6</w:t>
      </w:r>
    </w:p>
    <w:p w:rsidR="00000000" w:rsidRDefault="00000000">
      <w:pPr>
        <w:pStyle w:val="a9"/>
        <w:rPr>
          <w:rFonts w:hint="eastAsia"/>
        </w:rPr>
      </w:pPr>
      <w:r>
        <w:rPr>
          <w:rFonts w:hint="eastAsia"/>
        </w:rPr>
        <w:t>第三条</w:t>
      </w:r>
      <w:r>
        <w:rPr>
          <w:rFonts w:hint="eastAsia"/>
        </w:rPr>
        <w:t xml:space="preserve"> </w:t>
      </w:r>
      <w:r>
        <w:t xml:space="preserve"> </w:t>
      </w:r>
      <w:r>
        <w:rPr>
          <w:rFonts w:hint="eastAsia"/>
        </w:rPr>
        <w:t>男女平等</w:t>
      </w:r>
      <w:r>
        <w:tab/>
      </w:r>
      <w:r>
        <w:tab/>
        <w:t>17</w:t>
      </w:r>
      <w:r>
        <w:tab/>
        <w:t>-</w:t>
      </w:r>
      <w:r>
        <w:tab/>
        <w:t>22</w:t>
      </w:r>
      <w:r>
        <w:tab/>
        <w:t>9</w:t>
      </w:r>
    </w:p>
    <w:p w:rsidR="00000000" w:rsidRDefault="00000000">
      <w:pPr>
        <w:pStyle w:val="a9"/>
      </w:pPr>
      <w:r>
        <w:rPr>
          <w:rFonts w:hint="eastAsia"/>
        </w:rPr>
        <w:t>第六条</w:t>
      </w:r>
      <w:r>
        <w:rPr>
          <w:rFonts w:hint="eastAsia"/>
        </w:rPr>
        <w:t xml:space="preserve"> </w:t>
      </w:r>
      <w:r>
        <w:t xml:space="preserve"> </w:t>
      </w:r>
      <w:r>
        <w:rPr>
          <w:rFonts w:hint="eastAsia"/>
        </w:rPr>
        <w:t>工作权</w:t>
      </w:r>
      <w:r>
        <w:rPr>
          <w:rFonts w:hint="eastAsia"/>
        </w:rPr>
        <w:t>..........</w:t>
      </w:r>
      <w:r>
        <w:tab/>
      </w:r>
      <w:r>
        <w:tab/>
        <w:t>23</w:t>
      </w:r>
      <w:r>
        <w:rPr>
          <w:rFonts w:hint="eastAsia"/>
        </w:rPr>
        <w:tab/>
      </w:r>
      <w:r>
        <w:t>-</w:t>
      </w:r>
      <w:r>
        <w:tab/>
        <w:t>45</w:t>
      </w:r>
      <w:r>
        <w:rPr>
          <w:rFonts w:hint="eastAsia"/>
        </w:rPr>
        <w:tab/>
      </w:r>
      <w:r>
        <w:t>11</w:t>
      </w:r>
    </w:p>
    <w:p w:rsidR="00000000" w:rsidRDefault="00000000">
      <w:pPr>
        <w:pStyle w:val="a9"/>
        <w:rPr>
          <w:rFonts w:hint="eastAsia"/>
        </w:rPr>
      </w:pPr>
      <w:r>
        <w:rPr>
          <w:rFonts w:hint="eastAsia"/>
        </w:rPr>
        <w:t>第七条</w:t>
      </w:r>
      <w:r>
        <w:rPr>
          <w:rFonts w:hint="eastAsia"/>
        </w:rPr>
        <w:t xml:space="preserve"> </w:t>
      </w:r>
      <w:r>
        <w:t xml:space="preserve"> </w:t>
      </w:r>
      <w:r>
        <w:rPr>
          <w:rFonts w:hint="eastAsia"/>
        </w:rPr>
        <w:t>享有良好工作条件的权利</w:t>
      </w:r>
      <w:r>
        <w:tab/>
      </w:r>
      <w:r>
        <w:tab/>
        <w:t>46</w:t>
      </w:r>
      <w:r>
        <w:tab/>
        <w:t>-</w:t>
      </w:r>
      <w:r>
        <w:tab/>
        <w:t>68</w:t>
      </w:r>
      <w:r>
        <w:tab/>
        <w:t>20</w:t>
      </w:r>
    </w:p>
    <w:p w:rsidR="00000000" w:rsidRDefault="00000000">
      <w:pPr>
        <w:pStyle w:val="a9"/>
        <w:rPr>
          <w:rFonts w:hint="eastAsia"/>
        </w:rPr>
      </w:pPr>
      <w:r>
        <w:rPr>
          <w:rFonts w:hint="eastAsia"/>
        </w:rPr>
        <w:t>第八条</w:t>
      </w:r>
      <w:r>
        <w:rPr>
          <w:rFonts w:hint="eastAsia"/>
        </w:rPr>
        <w:t xml:space="preserve"> </w:t>
      </w:r>
      <w:r>
        <w:t xml:space="preserve"> </w:t>
      </w:r>
      <w:r>
        <w:rPr>
          <w:rFonts w:hint="eastAsia"/>
        </w:rPr>
        <w:t>参加工会的权利</w:t>
      </w:r>
      <w:r>
        <w:tab/>
      </w:r>
      <w:r>
        <w:tab/>
        <w:t>69</w:t>
      </w:r>
      <w:r>
        <w:tab/>
        <w:t>-</w:t>
      </w:r>
      <w:r>
        <w:tab/>
        <w:t>82</w:t>
      </w:r>
      <w:r>
        <w:tab/>
        <w:t>27</w:t>
      </w:r>
    </w:p>
    <w:p w:rsidR="00000000" w:rsidRDefault="00000000">
      <w:pPr>
        <w:pStyle w:val="a9"/>
        <w:rPr>
          <w:rFonts w:hint="eastAsia"/>
        </w:rPr>
      </w:pPr>
      <w:r>
        <w:rPr>
          <w:rFonts w:hint="eastAsia"/>
        </w:rPr>
        <w:t>第九条</w:t>
      </w:r>
      <w:r>
        <w:rPr>
          <w:rFonts w:hint="eastAsia"/>
        </w:rPr>
        <w:t xml:space="preserve"> </w:t>
      </w:r>
      <w:r>
        <w:t xml:space="preserve"> </w:t>
      </w:r>
      <w:r>
        <w:rPr>
          <w:rFonts w:hint="eastAsia"/>
        </w:rPr>
        <w:t>享有社会保障的权利</w:t>
      </w:r>
      <w:r>
        <w:tab/>
      </w:r>
      <w:r>
        <w:tab/>
        <w:t>83</w:t>
      </w:r>
      <w:r>
        <w:tab/>
        <w:t>-</w:t>
      </w:r>
      <w:r>
        <w:tab/>
        <w:t>95</w:t>
      </w:r>
      <w:r>
        <w:tab/>
        <w:t>31</w:t>
      </w:r>
    </w:p>
    <w:p w:rsidR="00000000" w:rsidRDefault="00000000">
      <w:pPr>
        <w:pStyle w:val="a9"/>
        <w:rPr>
          <w:rFonts w:hint="eastAsia"/>
        </w:rPr>
      </w:pPr>
      <w:r>
        <w:rPr>
          <w:rFonts w:hint="eastAsia"/>
        </w:rPr>
        <w:t>第十条</w:t>
      </w:r>
      <w:r>
        <w:rPr>
          <w:rFonts w:hint="eastAsia"/>
        </w:rPr>
        <w:t xml:space="preserve"> </w:t>
      </w:r>
      <w:r>
        <w:t xml:space="preserve"> </w:t>
      </w:r>
      <w:r>
        <w:rPr>
          <w:rFonts w:hint="eastAsia"/>
        </w:rPr>
        <w:t>对家庭的保护</w:t>
      </w:r>
      <w:r>
        <w:tab/>
      </w:r>
      <w:r>
        <w:tab/>
        <w:t>96</w:t>
      </w:r>
      <w:r>
        <w:tab/>
        <w:t>-</w:t>
      </w:r>
      <w:r>
        <w:tab/>
        <w:t>107</w:t>
      </w:r>
      <w:r>
        <w:tab/>
        <w:t>35</w:t>
      </w:r>
    </w:p>
    <w:p w:rsidR="00000000" w:rsidRDefault="00000000">
      <w:pPr>
        <w:pStyle w:val="a9"/>
        <w:rPr>
          <w:rFonts w:hint="eastAsia"/>
        </w:rPr>
      </w:pPr>
      <w:r>
        <w:rPr>
          <w:rFonts w:hint="eastAsia"/>
        </w:rPr>
        <w:t>第十一条</w:t>
      </w:r>
      <w:r>
        <w:rPr>
          <w:rFonts w:hint="eastAsia"/>
        </w:rPr>
        <w:t xml:space="preserve"> </w:t>
      </w:r>
      <w:r>
        <w:t xml:space="preserve"> </w:t>
      </w:r>
      <w:r>
        <w:rPr>
          <w:rFonts w:hint="eastAsia"/>
        </w:rPr>
        <w:t>享有适当生活水准的权利</w:t>
      </w:r>
      <w:r>
        <w:tab/>
      </w:r>
      <w:r>
        <w:tab/>
        <w:t>108</w:t>
      </w:r>
      <w:r>
        <w:tab/>
        <w:t>-</w:t>
      </w:r>
      <w:r>
        <w:tab/>
        <w:t>144</w:t>
      </w:r>
      <w:r>
        <w:tab/>
        <w:t>38</w:t>
      </w:r>
    </w:p>
    <w:p w:rsidR="00000000" w:rsidRDefault="00000000">
      <w:pPr>
        <w:pStyle w:val="a9"/>
        <w:rPr>
          <w:rFonts w:hint="eastAsia"/>
        </w:rPr>
      </w:pPr>
      <w:r>
        <w:rPr>
          <w:rFonts w:hint="eastAsia"/>
        </w:rPr>
        <w:t>第十二条</w:t>
      </w:r>
      <w:r>
        <w:rPr>
          <w:rFonts w:hint="eastAsia"/>
        </w:rPr>
        <w:t xml:space="preserve"> </w:t>
      </w:r>
      <w:r>
        <w:t xml:space="preserve"> </w:t>
      </w:r>
      <w:r>
        <w:rPr>
          <w:rFonts w:hint="eastAsia"/>
        </w:rPr>
        <w:t>健康权</w:t>
      </w:r>
      <w:r>
        <w:tab/>
      </w:r>
      <w:r>
        <w:tab/>
        <w:t>145</w:t>
      </w:r>
      <w:r>
        <w:tab/>
        <w:t>-</w:t>
      </w:r>
      <w:r>
        <w:tab/>
        <w:t>209</w:t>
      </w:r>
      <w:r>
        <w:tab/>
        <w:t>48</w:t>
      </w:r>
    </w:p>
    <w:p w:rsidR="00000000" w:rsidRDefault="00000000">
      <w:pPr>
        <w:pStyle w:val="a9"/>
        <w:rPr>
          <w:rFonts w:hint="eastAsia"/>
        </w:rPr>
      </w:pPr>
      <w:r>
        <w:rPr>
          <w:rFonts w:hint="eastAsia"/>
        </w:rPr>
        <w:t>第十三条和第十四条</w:t>
      </w:r>
      <w:r>
        <w:rPr>
          <w:rFonts w:hint="eastAsia"/>
        </w:rPr>
        <w:t xml:space="preserve"> </w:t>
      </w:r>
      <w:r>
        <w:t xml:space="preserve"> </w:t>
      </w:r>
      <w:r>
        <w:rPr>
          <w:rFonts w:hint="eastAsia"/>
        </w:rPr>
        <w:t>受教育权</w:t>
      </w:r>
      <w:r>
        <w:tab/>
      </w:r>
      <w:r>
        <w:tab/>
        <w:t>210</w:t>
      </w:r>
      <w:r>
        <w:tab/>
        <w:t>-</w:t>
      </w:r>
      <w:r>
        <w:tab/>
        <w:t>232</w:t>
      </w:r>
      <w:r>
        <w:tab/>
        <w:t>66</w:t>
      </w:r>
    </w:p>
    <w:p w:rsidR="00000000" w:rsidRDefault="00000000">
      <w:pPr>
        <w:pStyle w:val="a9"/>
        <w:rPr>
          <w:rFonts w:hint="eastAsia"/>
        </w:rPr>
      </w:pPr>
      <w:r>
        <w:rPr>
          <w:rFonts w:hint="eastAsia"/>
        </w:rPr>
        <w:t>第十五条</w:t>
      </w:r>
      <w:r>
        <w:rPr>
          <w:rFonts w:hint="eastAsia"/>
        </w:rPr>
        <w:t xml:space="preserve"> </w:t>
      </w:r>
      <w:r>
        <w:t xml:space="preserve"> </w:t>
      </w:r>
      <w:r>
        <w:rPr>
          <w:rFonts w:hint="eastAsia"/>
        </w:rPr>
        <w:t>参加文化生活、享受科学进步的权利</w:t>
      </w:r>
      <w:r>
        <w:tab/>
      </w:r>
      <w:r>
        <w:tab/>
        <w:t>233</w:t>
      </w:r>
      <w:r>
        <w:tab/>
        <w:t>-</w:t>
      </w:r>
      <w:r>
        <w:tab/>
        <w:t>283</w:t>
      </w:r>
      <w:r>
        <w:tab/>
        <w:t>73</w:t>
      </w:r>
    </w:p>
    <w:p w:rsidR="00000000" w:rsidRDefault="00000000">
      <w:pPr>
        <w:pStyle w:val="aa"/>
        <w:rPr>
          <w:rFonts w:hint="eastAsia"/>
        </w:rPr>
      </w:pPr>
      <w:r>
        <w:rPr>
          <w:rFonts w:hint="eastAsia"/>
        </w:rPr>
        <w:t>附</w:t>
      </w:r>
      <w:r>
        <w:rPr>
          <w:rFonts w:hint="eastAsia"/>
        </w:rPr>
        <w:t xml:space="preserve"> </w:t>
      </w:r>
      <w:r>
        <w:rPr>
          <w:rFonts w:hint="eastAsia"/>
        </w:rPr>
        <w:t>表</w:t>
      </w:r>
      <w:r>
        <w:t>..........................</w:t>
      </w:r>
      <w:r>
        <w:tab/>
      </w:r>
      <w:r>
        <w:tab/>
        <w:t>89</w:t>
      </w:r>
    </w:p>
    <w:p w:rsidR="00000000" w:rsidRDefault="00000000">
      <w:pPr>
        <w:pStyle w:val="aa"/>
        <w:spacing w:after="320"/>
        <w:rPr>
          <w:rFonts w:hint="eastAsia"/>
        </w:rPr>
      </w:pPr>
      <w:r>
        <w:rPr>
          <w:rFonts w:hint="eastAsia"/>
        </w:rPr>
        <w:t>附</w:t>
      </w:r>
      <w:r>
        <w:rPr>
          <w:rFonts w:hint="eastAsia"/>
        </w:rPr>
        <w:t xml:space="preserve"> </w:t>
      </w:r>
      <w:r>
        <w:rPr>
          <w:rFonts w:hint="eastAsia"/>
        </w:rPr>
        <w:t>图</w:t>
      </w:r>
      <w:r>
        <w:t>............................</w:t>
      </w:r>
      <w:r>
        <w:tab/>
      </w:r>
      <w:r>
        <w:tab/>
        <w:t>102</w:t>
      </w:r>
    </w:p>
    <w:p w:rsidR="00000000" w:rsidRDefault="00000000">
      <w:pPr>
        <w:pStyle w:val="a3"/>
      </w:pPr>
      <w:r>
        <w:rPr>
          <w:rFonts w:hint="eastAsia"/>
        </w:rPr>
        <w:t>第二部分</w:t>
      </w:r>
      <w:r>
        <w:t xml:space="preserve">  </w:t>
      </w:r>
      <w:r>
        <w:rPr>
          <w:rFonts w:hint="eastAsia"/>
        </w:rPr>
        <w:t>香港特别行政区</w:t>
      </w:r>
      <w:r>
        <w:t xml:space="preserve"> </w:t>
      </w:r>
      <w:r>
        <w:rPr>
          <w:rStyle w:val="FootnoteReference"/>
          <w:b w:val="0"/>
          <w:bCs/>
          <w:vertAlign w:val="baseline"/>
        </w:rPr>
        <w:footnoteReference w:customMarkFollows="1" w:id="1"/>
        <w:t>*</w:t>
      </w:r>
    </w:p>
    <w:p w:rsidR="00000000" w:rsidRDefault="00000000">
      <w:pPr>
        <w:pStyle w:val="a9"/>
      </w:pPr>
      <w:r>
        <w:rPr>
          <w:rFonts w:hint="eastAsia"/>
        </w:rPr>
        <w:t>序</w:t>
      </w:r>
      <w:r>
        <w:rPr>
          <w:rFonts w:hint="eastAsia"/>
        </w:rPr>
        <w:t xml:space="preserve">  </w:t>
      </w:r>
      <w:r>
        <w:rPr>
          <w:rFonts w:hint="eastAsia"/>
        </w:rPr>
        <w:t>言</w:t>
      </w:r>
      <w:r>
        <w:t>............................</w:t>
      </w:r>
      <w:r>
        <w:tab/>
      </w:r>
      <w:r>
        <w:tab/>
        <w:t>284</w:t>
      </w:r>
      <w:r>
        <w:tab/>
        <w:t>-</w:t>
      </w:r>
      <w:r>
        <w:tab/>
        <w:t>287</w:t>
      </w:r>
      <w:r>
        <w:tab/>
        <w:t>105</w:t>
      </w:r>
    </w:p>
    <w:p w:rsidR="00000000" w:rsidRDefault="00000000">
      <w:pPr>
        <w:pStyle w:val="a9"/>
        <w:rPr>
          <w:rFonts w:hint="eastAsia"/>
        </w:rPr>
      </w:pPr>
      <w:r>
        <w:rPr>
          <w:rFonts w:hint="eastAsia"/>
        </w:rPr>
        <w:t>一、土地和人口</w:t>
      </w:r>
      <w:r>
        <w:t>...............</w:t>
      </w:r>
      <w:r>
        <w:tab/>
      </w:r>
      <w:r>
        <w:tab/>
      </w:r>
      <w:r>
        <w:tab/>
        <w:t>288</w:t>
      </w:r>
      <w:r>
        <w:tab/>
        <w:t>016</w:t>
      </w:r>
    </w:p>
    <w:p w:rsidR="00000000" w:rsidRDefault="00000000">
      <w:pPr>
        <w:pStyle w:val="a9"/>
        <w:rPr>
          <w:rFonts w:hint="eastAsia"/>
        </w:rPr>
      </w:pPr>
      <w:r>
        <w:rPr>
          <w:rFonts w:hint="eastAsia"/>
        </w:rPr>
        <w:t>二、政制概况</w:t>
      </w:r>
      <w:r>
        <w:t>................</w:t>
      </w:r>
      <w:r>
        <w:tab/>
      </w:r>
      <w:r>
        <w:tab/>
        <w:t>289</w:t>
      </w:r>
      <w:r>
        <w:tab/>
        <w:t>-</w:t>
      </w:r>
      <w:r>
        <w:tab/>
        <w:t>315</w:t>
      </w:r>
      <w:r>
        <w:tab/>
        <w:t>113</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kern w:val="24"/>
          <w:sz w:val="26"/>
        </w:rPr>
        <w:t xml:space="preserve"> (</w:t>
      </w:r>
      <w:r>
        <w:rPr>
          <w:rFonts w:hint="eastAsia"/>
          <w:kern w:val="24"/>
          <w:sz w:val="26"/>
          <w:u w:val="single"/>
        </w:rPr>
        <w:t>续</w:t>
      </w:r>
      <w:r>
        <w:rPr>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rPr>
      </w:pPr>
      <w:r>
        <w:rPr>
          <w:rFonts w:hint="eastAsia"/>
        </w:rPr>
        <w:t>三、保障人权的法律架构概况</w:t>
      </w:r>
      <w:r>
        <w:tab/>
      </w:r>
      <w:r>
        <w:tab/>
        <w:t>316</w:t>
      </w:r>
      <w:r>
        <w:tab/>
        <w:t>-</w:t>
      </w:r>
      <w:r>
        <w:tab/>
        <w:t>338</w:t>
      </w:r>
      <w:r>
        <w:tab/>
        <w:t>118</w:t>
      </w:r>
    </w:p>
    <w:p w:rsidR="00000000" w:rsidRDefault="00000000">
      <w:pPr>
        <w:pStyle w:val="a9"/>
        <w:rPr>
          <w:rFonts w:hint="eastAsia"/>
        </w:rPr>
      </w:pPr>
      <w:r>
        <w:rPr>
          <w:rFonts w:hint="eastAsia"/>
        </w:rPr>
        <w:t>四、资讯及宣传</w:t>
      </w:r>
      <w:r>
        <w:t>.................</w:t>
      </w:r>
      <w:r>
        <w:tab/>
      </w:r>
      <w:r>
        <w:tab/>
        <w:t>339</w:t>
      </w:r>
      <w:r>
        <w:tab/>
        <w:t>-</w:t>
      </w:r>
      <w:r>
        <w:tab/>
        <w:t>342</w:t>
      </w:r>
      <w:r>
        <w:tab/>
        <w:t>126</w:t>
      </w:r>
    </w:p>
    <w:p w:rsidR="00000000" w:rsidRDefault="00000000">
      <w:pPr>
        <w:pStyle w:val="a9"/>
        <w:rPr>
          <w:rFonts w:hint="eastAsia"/>
        </w:rPr>
      </w:pPr>
      <w:r>
        <w:rPr>
          <w:rFonts w:hint="eastAsia"/>
        </w:rPr>
        <w:t>五、《公约》第一至第十六条的实施情况</w:t>
      </w:r>
      <w:r>
        <w:tab/>
      </w:r>
      <w:r>
        <w:tab/>
        <w:t>343</w:t>
      </w:r>
      <w:r>
        <w:tab/>
        <w:t>-</w:t>
      </w:r>
      <w:r>
        <w:tab/>
        <w:t>779</w:t>
      </w:r>
      <w:r>
        <w:tab/>
        <w:t>127</w:t>
      </w:r>
    </w:p>
    <w:p w:rsidR="00000000" w:rsidRDefault="00000000">
      <w:pPr>
        <w:pStyle w:val="a9"/>
        <w:ind w:left="1030"/>
        <w:rPr>
          <w:rFonts w:hint="eastAsia"/>
        </w:rPr>
      </w:pPr>
      <w:r>
        <w:rPr>
          <w:rFonts w:hint="eastAsia"/>
        </w:rPr>
        <w:t xml:space="preserve">A. </w:t>
      </w:r>
      <w:r>
        <w:t xml:space="preserve"> </w:t>
      </w:r>
      <w:r>
        <w:rPr>
          <w:rFonts w:hint="eastAsia"/>
        </w:rPr>
        <w:t>第一条</w:t>
      </w:r>
      <w:r>
        <w:rPr>
          <w:rFonts w:hint="eastAsia"/>
        </w:rPr>
        <w:t xml:space="preserve">  </w:t>
      </w:r>
      <w:r>
        <w:rPr>
          <w:rFonts w:hint="eastAsia"/>
        </w:rPr>
        <w:t>民主发展进程</w:t>
      </w:r>
      <w:r>
        <w:tab/>
      </w:r>
      <w:r>
        <w:tab/>
        <w:t>343</w:t>
      </w:r>
      <w:r>
        <w:tab/>
        <w:t>-</w:t>
      </w:r>
      <w:r>
        <w:tab/>
        <w:t>346</w:t>
      </w:r>
      <w:r>
        <w:tab/>
        <w:t>127</w:t>
      </w:r>
    </w:p>
    <w:p w:rsidR="00000000" w:rsidRDefault="00000000">
      <w:pPr>
        <w:pStyle w:val="a9"/>
        <w:ind w:left="1030"/>
        <w:rPr>
          <w:rFonts w:hint="eastAsia"/>
        </w:rPr>
      </w:pPr>
      <w:r>
        <w:rPr>
          <w:rFonts w:hint="eastAsia"/>
        </w:rPr>
        <w:t xml:space="preserve">B.  </w:t>
      </w:r>
      <w:r>
        <w:rPr>
          <w:rFonts w:hint="eastAsia"/>
        </w:rPr>
        <w:t>第二条</w:t>
      </w:r>
      <w:r>
        <w:rPr>
          <w:rFonts w:hint="eastAsia"/>
        </w:rPr>
        <w:t xml:space="preserve"> </w:t>
      </w:r>
      <w:r>
        <w:t xml:space="preserve"> </w:t>
      </w:r>
      <w:r>
        <w:rPr>
          <w:rFonts w:hint="eastAsia"/>
        </w:rPr>
        <w:t>逐步实现公约所承认的权利及</w:t>
      </w:r>
      <w:r>
        <w:rPr>
          <w:rFonts w:hint="eastAsia"/>
        </w:rPr>
        <w:t xml:space="preserve"> </w:t>
      </w:r>
      <w:r>
        <w:rPr>
          <w:rFonts w:hint="eastAsia"/>
        </w:rPr>
        <w:t>行使有关权利时不会受到歧视</w:t>
      </w:r>
      <w:r>
        <w:tab/>
      </w:r>
      <w:r>
        <w:tab/>
        <w:t>347</w:t>
      </w:r>
      <w:r>
        <w:tab/>
        <w:t>-</w:t>
      </w:r>
      <w:r>
        <w:tab/>
        <w:t>368</w:t>
      </w:r>
      <w:r>
        <w:tab/>
        <w:t>128</w:t>
      </w:r>
    </w:p>
    <w:p w:rsidR="00000000" w:rsidRDefault="00000000">
      <w:pPr>
        <w:pStyle w:val="a9"/>
        <w:ind w:left="1030"/>
        <w:rPr>
          <w:rFonts w:hint="eastAsia"/>
        </w:rPr>
      </w:pPr>
      <w:r>
        <w:rPr>
          <w:rFonts w:hint="eastAsia"/>
        </w:rPr>
        <w:t xml:space="preserve">C.  </w:t>
      </w:r>
      <w:r>
        <w:rPr>
          <w:rFonts w:hint="eastAsia"/>
        </w:rPr>
        <w:t>第三条</w:t>
      </w:r>
      <w:r>
        <w:rPr>
          <w:rFonts w:hint="eastAsia"/>
        </w:rPr>
        <w:t xml:space="preserve">  </w:t>
      </w:r>
      <w:r>
        <w:rPr>
          <w:rFonts w:hint="eastAsia"/>
        </w:rPr>
        <w:t>男女享有平等权利</w:t>
      </w:r>
      <w:r>
        <w:tab/>
      </w:r>
      <w:r>
        <w:tab/>
        <w:t>369</w:t>
      </w:r>
      <w:r>
        <w:tab/>
        <w:t>-</w:t>
      </w:r>
      <w:r>
        <w:tab/>
        <w:t>379</w:t>
      </w:r>
      <w:r>
        <w:tab/>
        <w:t>133</w:t>
      </w:r>
    </w:p>
    <w:p w:rsidR="00000000" w:rsidRDefault="00000000">
      <w:pPr>
        <w:pStyle w:val="a9"/>
        <w:ind w:left="1030"/>
        <w:rPr>
          <w:rFonts w:hint="eastAsia"/>
        </w:rPr>
      </w:pPr>
      <w:r>
        <w:rPr>
          <w:rFonts w:hint="eastAsia"/>
        </w:rPr>
        <w:t xml:space="preserve">D.  </w:t>
      </w:r>
      <w:r>
        <w:rPr>
          <w:rFonts w:hint="eastAsia"/>
        </w:rPr>
        <w:t>第四条</w:t>
      </w:r>
      <w:r>
        <w:rPr>
          <w:rFonts w:hint="eastAsia"/>
        </w:rPr>
        <w:t xml:space="preserve">  </w:t>
      </w:r>
      <w:r>
        <w:rPr>
          <w:rFonts w:hint="eastAsia"/>
        </w:rPr>
        <w:t>可对本公约所载权利施加的限制</w:t>
      </w:r>
      <w:r>
        <w:tab/>
      </w:r>
      <w:r>
        <w:tab/>
      </w:r>
      <w:r>
        <w:tab/>
        <w:t>380</w:t>
      </w:r>
      <w:r>
        <w:tab/>
        <w:t>136</w:t>
      </w:r>
    </w:p>
    <w:p w:rsidR="00000000" w:rsidRDefault="00000000">
      <w:pPr>
        <w:pStyle w:val="a9"/>
        <w:ind w:left="1030"/>
        <w:rPr>
          <w:rFonts w:hint="eastAsia"/>
        </w:rPr>
      </w:pPr>
      <w:r>
        <w:rPr>
          <w:rFonts w:hint="eastAsia"/>
        </w:rPr>
        <w:t xml:space="preserve">E.  </w:t>
      </w:r>
      <w:r>
        <w:rPr>
          <w:rFonts w:hint="eastAsia"/>
        </w:rPr>
        <w:t>第五条</w:t>
      </w:r>
      <w:r>
        <w:rPr>
          <w:rFonts w:hint="eastAsia"/>
        </w:rPr>
        <w:t xml:space="preserve">  </w:t>
      </w:r>
      <w:r>
        <w:rPr>
          <w:rFonts w:hint="eastAsia"/>
        </w:rPr>
        <w:t>禁止破坏公约确认的任何权利和自由</w:t>
      </w:r>
      <w:r>
        <w:t>.................</w:t>
      </w:r>
      <w:r>
        <w:tab/>
      </w:r>
      <w:r>
        <w:tab/>
      </w:r>
      <w:r>
        <w:tab/>
        <w:t>381</w:t>
      </w:r>
      <w:r>
        <w:tab/>
        <w:t>136</w:t>
      </w:r>
    </w:p>
    <w:p w:rsidR="00000000" w:rsidRDefault="00000000">
      <w:pPr>
        <w:pStyle w:val="a9"/>
        <w:ind w:left="1030"/>
        <w:rPr>
          <w:rFonts w:hint="eastAsia"/>
        </w:rPr>
      </w:pPr>
      <w:r>
        <w:rPr>
          <w:rFonts w:hint="eastAsia"/>
        </w:rPr>
        <w:t xml:space="preserve">F.  </w:t>
      </w:r>
      <w:r>
        <w:rPr>
          <w:rFonts w:hint="eastAsia"/>
        </w:rPr>
        <w:t>第六条</w:t>
      </w:r>
      <w:r>
        <w:rPr>
          <w:rFonts w:hint="eastAsia"/>
        </w:rPr>
        <w:t xml:space="preserve">  </w:t>
      </w:r>
      <w:r>
        <w:rPr>
          <w:rFonts w:hint="eastAsia"/>
        </w:rPr>
        <w:t>选择职业和劳工权利</w:t>
      </w:r>
      <w:r>
        <w:tab/>
      </w:r>
      <w:r>
        <w:tab/>
        <w:t>382</w:t>
      </w:r>
      <w:r>
        <w:tab/>
        <w:t>-</w:t>
      </w:r>
      <w:r>
        <w:tab/>
        <w:t>404</w:t>
      </w:r>
      <w:r>
        <w:tab/>
        <w:t>136</w:t>
      </w:r>
    </w:p>
    <w:p w:rsidR="00000000" w:rsidRDefault="00000000">
      <w:pPr>
        <w:pStyle w:val="a9"/>
        <w:ind w:left="1030"/>
        <w:rPr>
          <w:rFonts w:hint="eastAsia"/>
        </w:rPr>
      </w:pPr>
      <w:r>
        <w:rPr>
          <w:rFonts w:hint="eastAsia"/>
        </w:rPr>
        <w:t xml:space="preserve">G.  </w:t>
      </w:r>
      <w:r>
        <w:rPr>
          <w:rFonts w:hint="eastAsia"/>
        </w:rPr>
        <w:t>第七条</w:t>
      </w:r>
      <w:r>
        <w:rPr>
          <w:rFonts w:hint="eastAsia"/>
        </w:rPr>
        <w:t xml:space="preserve">  </w:t>
      </w:r>
      <w:r>
        <w:rPr>
          <w:rFonts w:hint="eastAsia"/>
        </w:rPr>
        <w:t>享受公平与良好工作条件的权利</w:t>
      </w:r>
      <w:r>
        <w:tab/>
      </w:r>
      <w:r>
        <w:tab/>
        <w:t>405</w:t>
      </w:r>
      <w:r>
        <w:tab/>
        <w:t>-</w:t>
      </w:r>
      <w:r>
        <w:tab/>
        <w:t>426</w:t>
      </w:r>
      <w:r>
        <w:tab/>
        <w:t>143</w:t>
      </w:r>
    </w:p>
    <w:p w:rsidR="00000000" w:rsidRDefault="00000000">
      <w:pPr>
        <w:pStyle w:val="a9"/>
        <w:ind w:left="1030"/>
        <w:rPr>
          <w:rFonts w:hint="eastAsia"/>
        </w:rPr>
      </w:pPr>
      <w:r>
        <w:rPr>
          <w:rFonts w:hint="eastAsia"/>
        </w:rPr>
        <w:t xml:space="preserve">H.  </w:t>
      </w:r>
      <w:r>
        <w:rPr>
          <w:rFonts w:hint="eastAsia"/>
        </w:rPr>
        <w:t>第八条</w:t>
      </w:r>
      <w:r>
        <w:rPr>
          <w:rFonts w:hint="eastAsia"/>
        </w:rPr>
        <w:t xml:space="preserve">  </w:t>
      </w:r>
      <w:r>
        <w:rPr>
          <w:rFonts w:hint="eastAsia"/>
        </w:rPr>
        <w:t>成为职工会会员的权利</w:t>
      </w:r>
      <w:r>
        <w:tab/>
      </w:r>
      <w:r>
        <w:tab/>
        <w:t>427</w:t>
      </w:r>
      <w:r>
        <w:tab/>
        <w:t>-</w:t>
      </w:r>
      <w:r>
        <w:tab/>
        <w:t>441</w:t>
      </w:r>
      <w:r>
        <w:tab/>
        <w:t>148</w:t>
      </w:r>
    </w:p>
    <w:p w:rsidR="00000000" w:rsidRDefault="00000000">
      <w:pPr>
        <w:pStyle w:val="a9"/>
        <w:ind w:left="1030"/>
        <w:rPr>
          <w:rFonts w:hint="eastAsia"/>
        </w:rPr>
      </w:pPr>
      <w:r>
        <w:rPr>
          <w:rFonts w:hint="eastAsia"/>
        </w:rPr>
        <w:t xml:space="preserve">I.  </w:t>
      </w:r>
      <w:r>
        <w:rPr>
          <w:rFonts w:hint="eastAsia"/>
        </w:rPr>
        <w:t>第九条</w:t>
      </w:r>
      <w:r>
        <w:rPr>
          <w:rFonts w:hint="eastAsia"/>
        </w:rPr>
        <w:t xml:space="preserve">  </w:t>
      </w:r>
      <w:r>
        <w:rPr>
          <w:rFonts w:hint="eastAsia"/>
        </w:rPr>
        <w:t>享有社会保障的权利</w:t>
      </w:r>
      <w:r>
        <w:tab/>
      </w:r>
      <w:r>
        <w:tab/>
        <w:t>442</w:t>
      </w:r>
      <w:r>
        <w:tab/>
        <w:t>-</w:t>
      </w:r>
      <w:r>
        <w:tab/>
        <w:t>468</w:t>
      </w:r>
      <w:r>
        <w:tab/>
        <w:t>152</w:t>
      </w:r>
    </w:p>
    <w:p w:rsidR="00000000" w:rsidRDefault="00000000">
      <w:pPr>
        <w:pStyle w:val="a9"/>
        <w:ind w:left="1030"/>
        <w:rPr>
          <w:rFonts w:hint="eastAsia"/>
        </w:rPr>
      </w:pPr>
      <w:r>
        <w:rPr>
          <w:rFonts w:hint="eastAsia"/>
        </w:rPr>
        <w:t xml:space="preserve">J.  </w:t>
      </w:r>
      <w:r>
        <w:rPr>
          <w:rFonts w:hint="eastAsia"/>
        </w:rPr>
        <w:t>第十条</w:t>
      </w:r>
      <w:r>
        <w:rPr>
          <w:rFonts w:hint="eastAsia"/>
        </w:rPr>
        <w:t xml:space="preserve">  </w:t>
      </w:r>
      <w:r>
        <w:rPr>
          <w:rFonts w:hint="eastAsia"/>
        </w:rPr>
        <w:t>对家庭的保护</w:t>
      </w:r>
      <w:r>
        <w:tab/>
      </w:r>
      <w:r>
        <w:tab/>
        <w:t>469</w:t>
      </w:r>
      <w:r>
        <w:tab/>
        <w:t>-</w:t>
      </w:r>
      <w:r>
        <w:tab/>
        <w:t>558</w:t>
      </w:r>
      <w:r>
        <w:tab/>
        <w:t>158</w:t>
      </w:r>
    </w:p>
    <w:p w:rsidR="00000000" w:rsidRDefault="00000000">
      <w:pPr>
        <w:pStyle w:val="a9"/>
        <w:ind w:left="1030"/>
        <w:rPr>
          <w:rFonts w:hint="eastAsia"/>
        </w:rPr>
      </w:pPr>
      <w:r>
        <w:rPr>
          <w:rFonts w:hint="eastAsia"/>
        </w:rPr>
        <w:t xml:space="preserve">K.  </w:t>
      </w:r>
      <w:r>
        <w:rPr>
          <w:rFonts w:hint="eastAsia"/>
        </w:rPr>
        <w:t>第十一条</w:t>
      </w:r>
      <w:r>
        <w:rPr>
          <w:rFonts w:hint="eastAsia"/>
        </w:rPr>
        <w:t xml:space="preserve">  </w:t>
      </w:r>
      <w:r>
        <w:rPr>
          <w:rFonts w:hint="eastAsia"/>
        </w:rPr>
        <w:t>享受适当生活水平的权利</w:t>
      </w:r>
      <w:r>
        <w:tab/>
      </w:r>
      <w:r>
        <w:tab/>
        <w:t>559</w:t>
      </w:r>
      <w:r>
        <w:tab/>
        <w:t>-</w:t>
      </w:r>
      <w:r>
        <w:tab/>
        <w:t>599</w:t>
      </w:r>
      <w:r>
        <w:tab/>
        <w:t>179</w:t>
      </w:r>
    </w:p>
    <w:p w:rsidR="00000000" w:rsidRDefault="00000000">
      <w:pPr>
        <w:pStyle w:val="a9"/>
        <w:ind w:left="1030"/>
        <w:rPr>
          <w:rFonts w:hint="eastAsia"/>
        </w:rPr>
      </w:pPr>
      <w:r>
        <w:rPr>
          <w:rFonts w:hint="eastAsia"/>
        </w:rPr>
        <w:t xml:space="preserve">L.  </w:t>
      </w:r>
      <w:r>
        <w:rPr>
          <w:rFonts w:hint="eastAsia"/>
        </w:rPr>
        <w:t>第十二条</w:t>
      </w:r>
      <w:r>
        <w:rPr>
          <w:rFonts w:hint="eastAsia"/>
        </w:rPr>
        <w:t xml:space="preserve">  </w:t>
      </w:r>
      <w:r>
        <w:rPr>
          <w:rFonts w:hint="eastAsia"/>
        </w:rPr>
        <w:t>享有健康的权利</w:t>
      </w:r>
      <w:r>
        <w:tab/>
      </w:r>
      <w:r>
        <w:tab/>
        <w:t>600</w:t>
      </w:r>
      <w:r>
        <w:tab/>
        <w:t>-</w:t>
      </w:r>
      <w:r>
        <w:tab/>
        <w:t>681</w:t>
      </w:r>
      <w:r>
        <w:tab/>
        <w:t>189</w:t>
      </w:r>
    </w:p>
    <w:p w:rsidR="00000000" w:rsidRDefault="00000000">
      <w:pPr>
        <w:pStyle w:val="a9"/>
        <w:ind w:left="1030"/>
        <w:rPr>
          <w:rFonts w:hint="eastAsia"/>
        </w:rPr>
      </w:pPr>
      <w:r>
        <w:rPr>
          <w:rFonts w:hint="eastAsia"/>
        </w:rPr>
        <w:t xml:space="preserve">M.  </w:t>
      </w:r>
      <w:r>
        <w:rPr>
          <w:rFonts w:hint="eastAsia"/>
        </w:rPr>
        <w:t>第十三及十四条</w:t>
      </w:r>
      <w:r>
        <w:rPr>
          <w:rFonts w:hint="eastAsia"/>
        </w:rPr>
        <w:t xml:space="preserve">  </w:t>
      </w:r>
      <w:r>
        <w:rPr>
          <w:rFonts w:hint="eastAsia"/>
        </w:rPr>
        <w:t>接受教育的权利</w:t>
      </w:r>
      <w:r>
        <w:tab/>
      </w:r>
      <w:r>
        <w:tab/>
        <w:t>682</w:t>
      </w:r>
      <w:r>
        <w:tab/>
        <w:t>-</w:t>
      </w:r>
      <w:r>
        <w:tab/>
        <w:t>750</w:t>
      </w:r>
      <w:r>
        <w:tab/>
        <w:t>207</w:t>
      </w:r>
    </w:p>
    <w:p w:rsidR="00000000" w:rsidRDefault="00000000">
      <w:pPr>
        <w:pStyle w:val="a9"/>
        <w:ind w:left="1030"/>
        <w:rPr>
          <w:rFonts w:hint="eastAsia"/>
        </w:rPr>
      </w:pPr>
      <w:r>
        <w:rPr>
          <w:rFonts w:hint="eastAsia"/>
        </w:rPr>
        <w:t xml:space="preserve">N.  </w:t>
      </w:r>
      <w:r>
        <w:rPr>
          <w:rFonts w:hint="eastAsia"/>
        </w:rPr>
        <w:t>第十五条</w:t>
      </w:r>
      <w:r>
        <w:rPr>
          <w:rFonts w:hint="eastAsia"/>
        </w:rPr>
        <w:t xml:space="preserve">  </w:t>
      </w:r>
      <w:r>
        <w:rPr>
          <w:rFonts w:hint="eastAsia"/>
        </w:rPr>
        <w:t>参与文化生活、享受科学进步及其应用之惠的权利</w:t>
      </w:r>
      <w:r>
        <w:tab/>
      </w:r>
      <w:r>
        <w:tab/>
        <w:t>751</w:t>
      </w:r>
      <w:r>
        <w:tab/>
        <w:t>-</w:t>
      </w:r>
      <w:r>
        <w:tab/>
        <w:t>775</w:t>
      </w:r>
      <w:r>
        <w:tab/>
        <w:t>226</w:t>
      </w:r>
    </w:p>
    <w:p w:rsidR="00000000" w:rsidRDefault="00000000">
      <w:pPr>
        <w:pStyle w:val="a9"/>
        <w:ind w:left="1032"/>
      </w:pPr>
      <w:r>
        <w:rPr>
          <w:rFonts w:hint="eastAsia"/>
        </w:rPr>
        <w:t xml:space="preserve">O.  </w:t>
      </w:r>
      <w:r>
        <w:rPr>
          <w:rFonts w:hint="eastAsia"/>
        </w:rPr>
        <w:t>第十六条</w:t>
      </w:r>
      <w:r>
        <w:rPr>
          <w:rFonts w:hint="eastAsia"/>
        </w:rPr>
        <w:t xml:space="preserve">  </w:t>
      </w:r>
      <w:r>
        <w:rPr>
          <w:rFonts w:hint="eastAsia"/>
        </w:rPr>
        <w:t>递交报告的安排</w:t>
      </w:r>
      <w:r>
        <w:tab/>
      </w:r>
      <w:r>
        <w:tab/>
        <w:t>776</w:t>
      </w:r>
      <w:r>
        <w:tab/>
        <w:t>-</w:t>
      </w:r>
      <w:r>
        <w:tab/>
        <w:t>779</w:t>
      </w:r>
      <w:r>
        <w:tab/>
        <w:t>231</w:t>
      </w:r>
    </w:p>
    <w:p w:rsidR="00000000" w:rsidRDefault="00000000">
      <w:pPr>
        <w:pStyle w:val="aa"/>
        <w:spacing w:after="320"/>
        <w:ind w:left="1030" w:hanging="1030"/>
      </w:pPr>
      <w:r>
        <w:rPr>
          <w:rFonts w:hint="eastAsia"/>
        </w:rPr>
        <w:t>附</w:t>
      </w:r>
      <w:r>
        <w:rPr>
          <w:rFonts w:hint="eastAsia"/>
        </w:rPr>
        <w:t xml:space="preserve">  </w:t>
      </w:r>
      <w:r>
        <w:rPr>
          <w:rFonts w:hint="eastAsia"/>
        </w:rPr>
        <w:t>件</w:t>
      </w:r>
      <w:r>
        <w:t xml:space="preserve"> </w:t>
      </w:r>
      <w:r>
        <w:rPr>
          <w:rStyle w:val="FootnoteReference"/>
          <w:b w:val="0"/>
          <w:bCs/>
          <w:vertAlign w:val="baseline"/>
        </w:rPr>
        <w:footnoteReference w:customMarkFollows="1" w:id="2"/>
        <w:t>*</w:t>
      </w:r>
      <w:r>
        <w:rPr>
          <w:rFonts w:hint="eastAsia"/>
          <w:b/>
          <w:bCs/>
        </w:rPr>
        <w:t xml:space="preserve">  </w:t>
      </w:r>
      <w:r>
        <w:rPr>
          <w:rFonts w:hint="eastAsia"/>
        </w:rPr>
        <w:t>..............................</w:t>
      </w:r>
      <w:r>
        <w:rPr>
          <w:rFonts w:hint="eastAsia"/>
        </w:rPr>
        <w:tab/>
      </w:r>
      <w:r>
        <w:rPr>
          <w:rFonts w:hint="eastAsia"/>
        </w:rPr>
        <w:tab/>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kern w:val="24"/>
          <w:sz w:val="26"/>
        </w:rPr>
        <w:t xml:space="preserve"> (</w:t>
      </w:r>
      <w:r>
        <w:rPr>
          <w:rFonts w:hint="eastAsia"/>
          <w:kern w:val="24"/>
          <w:sz w:val="26"/>
          <w:u w:val="single"/>
        </w:rPr>
        <w:t>续</w:t>
      </w:r>
      <w:r>
        <w:rPr>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rPr>
          <w:rFonts w:hint="eastAsia"/>
        </w:rPr>
      </w:pPr>
      <w:r>
        <w:rPr>
          <w:rFonts w:hint="eastAsia"/>
        </w:rPr>
        <w:t>第三部分</w:t>
      </w:r>
      <w:r>
        <w:t xml:space="preserve">  </w:t>
      </w:r>
      <w:r>
        <w:rPr>
          <w:rFonts w:hint="eastAsia"/>
        </w:rPr>
        <w:t>澳门特别行政区</w:t>
      </w:r>
    </w:p>
    <w:p w:rsidR="00000000" w:rsidRDefault="00000000">
      <w:pPr>
        <w:pStyle w:val="a9"/>
        <w:rPr>
          <w:rFonts w:hint="eastAsia"/>
        </w:rPr>
      </w:pPr>
      <w:r>
        <w:rPr>
          <w:rFonts w:hint="eastAsia"/>
        </w:rPr>
        <w:t>序</w:t>
      </w:r>
      <w:r>
        <w:rPr>
          <w:rFonts w:hint="eastAsia"/>
        </w:rPr>
        <w:t xml:space="preserve">  </w:t>
      </w:r>
      <w:r>
        <w:rPr>
          <w:rFonts w:hint="eastAsia"/>
        </w:rPr>
        <w:t>言</w:t>
      </w:r>
      <w:r>
        <w:rPr>
          <w:rFonts w:hint="eastAsia"/>
        </w:rPr>
        <w:t>.........................</w:t>
      </w:r>
      <w:r>
        <w:tab/>
      </w:r>
      <w:r>
        <w:tab/>
        <w:t>780</w:t>
      </w:r>
      <w:r>
        <w:tab/>
        <w:t>-</w:t>
      </w:r>
      <w:r>
        <w:tab/>
        <w:t>789</w:t>
      </w:r>
      <w:r>
        <w:tab/>
        <w:t>232</w:t>
      </w:r>
    </w:p>
    <w:p w:rsidR="00000000" w:rsidRDefault="00000000">
      <w:pPr>
        <w:pStyle w:val="a9"/>
        <w:rPr>
          <w:rFonts w:hint="eastAsia"/>
        </w:rPr>
      </w:pPr>
      <w:r>
        <w:rPr>
          <w:rFonts w:hint="eastAsia"/>
        </w:rPr>
        <w:t>第一条</w:t>
      </w:r>
      <w:r>
        <w:rPr>
          <w:rFonts w:hint="eastAsia"/>
        </w:rPr>
        <w:t xml:space="preserve"> </w:t>
      </w:r>
      <w:r>
        <w:t xml:space="preserve"> </w:t>
      </w:r>
      <w:r>
        <w:rPr>
          <w:rFonts w:hint="eastAsia"/>
        </w:rPr>
        <w:t>澳门特别行政区的自治</w:t>
      </w:r>
      <w:r>
        <w:tab/>
      </w:r>
      <w:r>
        <w:tab/>
        <w:t>790</w:t>
      </w:r>
      <w:r>
        <w:tab/>
        <w:t>-</w:t>
      </w:r>
      <w:r>
        <w:tab/>
        <w:t>795</w:t>
      </w:r>
      <w:r>
        <w:tab/>
        <w:t>233</w:t>
      </w:r>
    </w:p>
    <w:p w:rsidR="00000000" w:rsidRDefault="00000000">
      <w:pPr>
        <w:pStyle w:val="a9"/>
        <w:rPr>
          <w:rFonts w:hint="eastAsia"/>
        </w:rPr>
      </w:pPr>
      <w:r>
        <w:rPr>
          <w:rFonts w:hint="eastAsia"/>
        </w:rPr>
        <w:t>第二条</w:t>
      </w:r>
      <w:r>
        <w:rPr>
          <w:rFonts w:hint="eastAsia"/>
        </w:rPr>
        <w:t xml:space="preserve"> </w:t>
      </w:r>
      <w:r>
        <w:t xml:space="preserve"> </w:t>
      </w:r>
      <w:r>
        <w:rPr>
          <w:rFonts w:hint="eastAsia"/>
        </w:rPr>
        <w:t>公约所载权利的承认和适用</w:t>
      </w:r>
      <w:r>
        <w:tab/>
      </w:r>
      <w:r>
        <w:tab/>
        <w:t>796</w:t>
      </w:r>
      <w:r>
        <w:tab/>
        <w:t>-</w:t>
      </w:r>
      <w:r>
        <w:tab/>
        <w:t>815</w:t>
      </w:r>
      <w:r>
        <w:tab/>
        <w:t>234</w:t>
      </w:r>
    </w:p>
    <w:p w:rsidR="00000000" w:rsidRDefault="00000000">
      <w:pPr>
        <w:pStyle w:val="a9"/>
        <w:rPr>
          <w:rFonts w:hint="eastAsia"/>
        </w:rPr>
      </w:pPr>
      <w:r>
        <w:rPr>
          <w:rFonts w:hint="eastAsia"/>
        </w:rPr>
        <w:t>第三条</w:t>
      </w:r>
      <w:r>
        <w:rPr>
          <w:rFonts w:hint="eastAsia"/>
        </w:rPr>
        <w:t xml:space="preserve"> </w:t>
      </w:r>
      <w:r>
        <w:t xml:space="preserve"> </w:t>
      </w:r>
      <w:r>
        <w:rPr>
          <w:rFonts w:hint="eastAsia"/>
        </w:rPr>
        <w:t>男女享有平等的权利</w:t>
      </w:r>
      <w:r>
        <w:tab/>
      </w:r>
      <w:r>
        <w:tab/>
        <w:t>816</w:t>
      </w:r>
      <w:r>
        <w:tab/>
        <w:t>-</w:t>
      </w:r>
      <w:r>
        <w:tab/>
        <w:t>822</w:t>
      </w:r>
      <w:r>
        <w:tab/>
        <w:t>237</w:t>
      </w:r>
    </w:p>
    <w:p w:rsidR="00000000" w:rsidRDefault="00000000">
      <w:pPr>
        <w:pStyle w:val="a9"/>
        <w:rPr>
          <w:rFonts w:hint="eastAsia"/>
        </w:rPr>
      </w:pPr>
      <w:r>
        <w:rPr>
          <w:rFonts w:hint="eastAsia"/>
        </w:rPr>
        <w:t>第四条</w:t>
      </w:r>
      <w:r>
        <w:rPr>
          <w:rFonts w:hint="eastAsia"/>
        </w:rPr>
        <w:t xml:space="preserve"> </w:t>
      </w:r>
      <w:r>
        <w:t xml:space="preserve"> </w:t>
      </w:r>
      <w:r>
        <w:rPr>
          <w:rFonts w:hint="eastAsia"/>
        </w:rPr>
        <w:t>容许对公约所载权利作出的限制</w:t>
      </w:r>
      <w:r>
        <w:tab/>
      </w:r>
      <w:r>
        <w:tab/>
        <w:t>823</w:t>
      </w:r>
      <w:r>
        <w:tab/>
        <w:t>-</w:t>
      </w:r>
      <w:r>
        <w:tab/>
        <w:t>826</w:t>
      </w:r>
      <w:r>
        <w:tab/>
        <w:t>238</w:t>
      </w:r>
    </w:p>
    <w:p w:rsidR="00000000" w:rsidRDefault="00000000">
      <w:pPr>
        <w:pStyle w:val="a9"/>
        <w:rPr>
          <w:rFonts w:hint="eastAsia"/>
        </w:rPr>
      </w:pPr>
      <w:r>
        <w:rPr>
          <w:rFonts w:hint="eastAsia"/>
        </w:rPr>
        <w:t>第五条</w:t>
      </w:r>
      <w:r>
        <w:rPr>
          <w:rFonts w:hint="eastAsia"/>
        </w:rPr>
        <w:t xml:space="preserve"> </w:t>
      </w:r>
      <w:r>
        <w:t xml:space="preserve"> </w:t>
      </w:r>
      <w:r>
        <w:rPr>
          <w:rFonts w:hint="eastAsia"/>
        </w:rPr>
        <w:t>对公约所承认的权利的限制</w:t>
      </w:r>
      <w:r>
        <w:tab/>
      </w:r>
      <w:r>
        <w:tab/>
        <w:t>827</w:t>
      </w:r>
      <w:r>
        <w:tab/>
        <w:t>-</w:t>
      </w:r>
      <w:r>
        <w:tab/>
        <w:t>828</w:t>
      </w:r>
      <w:r>
        <w:tab/>
        <w:t>238</w:t>
      </w:r>
    </w:p>
    <w:p w:rsidR="00000000" w:rsidRDefault="00000000">
      <w:pPr>
        <w:pStyle w:val="a9"/>
        <w:rPr>
          <w:rFonts w:hint="eastAsia"/>
        </w:rPr>
      </w:pPr>
      <w:r>
        <w:rPr>
          <w:rFonts w:hint="eastAsia"/>
        </w:rPr>
        <w:t>第六条</w:t>
      </w:r>
      <w:r>
        <w:rPr>
          <w:rFonts w:hint="eastAsia"/>
        </w:rPr>
        <w:t xml:space="preserve"> </w:t>
      </w:r>
      <w:r>
        <w:t xml:space="preserve"> </w:t>
      </w:r>
      <w:r>
        <w:rPr>
          <w:rFonts w:hint="eastAsia"/>
        </w:rPr>
        <w:t>工作权</w:t>
      </w:r>
      <w:r>
        <w:tab/>
      </w:r>
      <w:r>
        <w:tab/>
      </w:r>
      <w:r>
        <w:tab/>
        <w:t>829</w:t>
      </w:r>
      <w:r>
        <w:tab/>
        <w:t>-</w:t>
      </w:r>
      <w:r>
        <w:tab/>
        <w:t>873</w:t>
      </w:r>
      <w:r>
        <w:tab/>
        <w:t>239</w:t>
      </w:r>
    </w:p>
    <w:p w:rsidR="00000000" w:rsidRDefault="00000000">
      <w:pPr>
        <w:pStyle w:val="a9"/>
        <w:rPr>
          <w:rFonts w:hint="eastAsia"/>
        </w:rPr>
      </w:pPr>
      <w:r>
        <w:rPr>
          <w:rFonts w:hint="eastAsia"/>
        </w:rPr>
        <w:t>第七条</w:t>
      </w:r>
      <w:r>
        <w:rPr>
          <w:rFonts w:hint="eastAsia"/>
        </w:rPr>
        <w:t xml:space="preserve"> </w:t>
      </w:r>
      <w:r>
        <w:t xml:space="preserve"> </w:t>
      </w:r>
      <w:r>
        <w:rPr>
          <w:rFonts w:hint="eastAsia"/>
        </w:rPr>
        <w:t>享有公平和良好工作条件的权利</w:t>
      </w:r>
      <w:r>
        <w:tab/>
      </w:r>
      <w:r>
        <w:tab/>
        <w:t>874</w:t>
      </w:r>
      <w:r>
        <w:tab/>
        <w:t>-</w:t>
      </w:r>
      <w:r>
        <w:tab/>
      </w:r>
      <w:r>
        <w:rPr>
          <w:rFonts w:hint="eastAsia"/>
        </w:rPr>
        <w:t>895</w:t>
      </w:r>
      <w:r>
        <w:tab/>
        <w:t>246</w:t>
      </w:r>
    </w:p>
    <w:p w:rsidR="00000000" w:rsidRDefault="00000000">
      <w:pPr>
        <w:pStyle w:val="a9"/>
        <w:rPr>
          <w:rFonts w:hint="eastAsia"/>
        </w:rPr>
      </w:pPr>
      <w:r>
        <w:rPr>
          <w:rFonts w:hint="eastAsia"/>
        </w:rPr>
        <w:t>第八条</w:t>
      </w:r>
      <w:r>
        <w:rPr>
          <w:rFonts w:hint="eastAsia"/>
        </w:rPr>
        <w:t xml:space="preserve"> </w:t>
      </w:r>
      <w:r>
        <w:t xml:space="preserve"> </w:t>
      </w:r>
      <w:r>
        <w:rPr>
          <w:rFonts w:hint="eastAsia"/>
        </w:rPr>
        <w:t>参加工会的权利</w:t>
      </w:r>
      <w:r>
        <w:tab/>
      </w:r>
      <w:r>
        <w:tab/>
        <w:t>896</w:t>
      </w:r>
      <w:r>
        <w:tab/>
        <w:t>-</w:t>
      </w:r>
      <w:r>
        <w:tab/>
      </w:r>
      <w:r>
        <w:rPr>
          <w:rFonts w:hint="eastAsia"/>
        </w:rPr>
        <w:t>903</w:t>
      </w:r>
      <w:r>
        <w:tab/>
        <w:t>249</w:t>
      </w:r>
    </w:p>
    <w:p w:rsidR="00000000" w:rsidRDefault="00000000">
      <w:pPr>
        <w:pStyle w:val="a9"/>
        <w:rPr>
          <w:rFonts w:hint="eastAsia"/>
        </w:rPr>
      </w:pPr>
      <w:r>
        <w:rPr>
          <w:rFonts w:hint="eastAsia"/>
        </w:rPr>
        <w:t>第九条</w:t>
      </w:r>
      <w:r>
        <w:rPr>
          <w:rFonts w:hint="eastAsia"/>
        </w:rPr>
        <w:t xml:space="preserve"> </w:t>
      </w:r>
      <w:r>
        <w:t xml:space="preserve"> </w:t>
      </w:r>
      <w:r>
        <w:rPr>
          <w:rFonts w:hint="eastAsia"/>
        </w:rPr>
        <w:t>享受社会保障的权利</w:t>
      </w:r>
      <w:r>
        <w:tab/>
      </w:r>
      <w:r>
        <w:tab/>
        <w:t>904</w:t>
      </w:r>
      <w:r>
        <w:tab/>
        <w:t>-</w:t>
      </w:r>
      <w:r>
        <w:tab/>
      </w:r>
      <w:r>
        <w:rPr>
          <w:rFonts w:hint="eastAsia"/>
        </w:rPr>
        <w:t>920</w:t>
      </w:r>
      <w:r>
        <w:tab/>
        <w:t>250</w:t>
      </w:r>
    </w:p>
    <w:p w:rsidR="00000000" w:rsidRDefault="00000000">
      <w:pPr>
        <w:pStyle w:val="a9"/>
        <w:rPr>
          <w:rFonts w:hint="eastAsia"/>
        </w:rPr>
      </w:pPr>
      <w:r>
        <w:rPr>
          <w:rFonts w:hint="eastAsia"/>
        </w:rPr>
        <w:t>第十条</w:t>
      </w:r>
      <w:r>
        <w:rPr>
          <w:rFonts w:hint="eastAsia"/>
        </w:rPr>
        <w:t xml:space="preserve"> </w:t>
      </w:r>
      <w:r>
        <w:t xml:space="preserve"> </w:t>
      </w:r>
      <w:r>
        <w:rPr>
          <w:rFonts w:hint="eastAsia"/>
        </w:rPr>
        <w:t>对家庭的保护</w:t>
      </w:r>
      <w:r>
        <w:tab/>
      </w:r>
      <w:r>
        <w:tab/>
        <w:t>921</w:t>
      </w:r>
      <w:r>
        <w:tab/>
        <w:t>-</w:t>
      </w:r>
      <w:r>
        <w:tab/>
      </w:r>
      <w:r>
        <w:rPr>
          <w:rFonts w:hint="eastAsia"/>
        </w:rPr>
        <w:t>965</w:t>
      </w:r>
      <w:r>
        <w:tab/>
        <w:t>255</w:t>
      </w:r>
    </w:p>
    <w:p w:rsidR="00000000" w:rsidRDefault="00000000">
      <w:pPr>
        <w:pStyle w:val="a9"/>
        <w:rPr>
          <w:rFonts w:hint="eastAsia"/>
        </w:rPr>
      </w:pPr>
      <w:r>
        <w:rPr>
          <w:rFonts w:hint="eastAsia"/>
        </w:rPr>
        <w:t>第十一条</w:t>
      </w:r>
      <w:r>
        <w:rPr>
          <w:rFonts w:hint="eastAsia"/>
        </w:rPr>
        <w:t xml:space="preserve"> </w:t>
      </w:r>
      <w:r>
        <w:t xml:space="preserve"> </w:t>
      </w:r>
      <w:r>
        <w:rPr>
          <w:rFonts w:hint="eastAsia"/>
        </w:rPr>
        <w:t>享有适当生活水准的权利</w:t>
      </w:r>
      <w:r>
        <w:tab/>
      </w:r>
      <w:r>
        <w:tab/>
        <w:t>966</w:t>
      </w:r>
      <w:r>
        <w:tab/>
        <w:t>-</w:t>
      </w:r>
      <w:r>
        <w:tab/>
      </w:r>
      <w:r>
        <w:rPr>
          <w:rFonts w:hint="eastAsia"/>
        </w:rPr>
        <w:t>1019</w:t>
      </w:r>
      <w:r>
        <w:tab/>
        <w:t>260</w:t>
      </w:r>
    </w:p>
    <w:p w:rsidR="00000000" w:rsidRDefault="00000000">
      <w:pPr>
        <w:pStyle w:val="a9"/>
        <w:rPr>
          <w:rFonts w:hint="eastAsia"/>
        </w:rPr>
      </w:pPr>
      <w:r>
        <w:rPr>
          <w:rFonts w:hint="eastAsia"/>
        </w:rPr>
        <w:t>第十二条</w:t>
      </w:r>
      <w:r>
        <w:rPr>
          <w:rFonts w:hint="eastAsia"/>
        </w:rPr>
        <w:t xml:space="preserve"> </w:t>
      </w:r>
      <w:r>
        <w:t xml:space="preserve"> </w:t>
      </w:r>
      <w:r>
        <w:rPr>
          <w:rFonts w:hint="eastAsia"/>
        </w:rPr>
        <w:t>享受卫生保健的权利</w:t>
      </w:r>
      <w:r>
        <w:tab/>
      </w:r>
      <w:r>
        <w:tab/>
        <w:t>1020</w:t>
      </w:r>
      <w:r>
        <w:tab/>
        <w:t>-</w:t>
      </w:r>
      <w:r>
        <w:tab/>
      </w:r>
      <w:r>
        <w:rPr>
          <w:rFonts w:hint="eastAsia"/>
        </w:rPr>
        <w:t>1092</w:t>
      </w:r>
      <w:r>
        <w:tab/>
        <w:t>266</w:t>
      </w:r>
    </w:p>
    <w:p w:rsidR="00000000" w:rsidRDefault="00000000">
      <w:pPr>
        <w:pStyle w:val="a9"/>
        <w:rPr>
          <w:rFonts w:hint="eastAsia"/>
        </w:rPr>
      </w:pPr>
      <w:r>
        <w:rPr>
          <w:rFonts w:hint="eastAsia"/>
        </w:rPr>
        <w:t>第十三条和第十四条</w:t>
      </w:r>
      <w:r>
        <w:rPr>
          <w:rFonts w:hint="eastAsia"/>
        </w:rPr>
        <w:t xml:space="preserve"> </w:t>
      </w:r>
      <w:r>
        <w:t xml:space="preserve"> </w:t>
      </w:r>
      <w:r>
        <w:rPr>
          <w:rFonts w:hint="eastAsia"/>
        </w:rPr>
        <w:t>受教育的权利</w:t>
      </w:r>
      <w:r>
        <w:tab/>
      </w:r>
      <w:r>
        <w:tab/>
        <w:t>1093</w:t>
      </w:r>
      <w:r>
        <w:tab/>
        <w:t>-</w:t>
      </w:r>
      <w:r>
        <w:tab/>
      </w:r>
      <w:r>
        <w:rPr>
          <w:rFonts w:hint="eastAsia"/>
        </w:rPr>
        <w:t>1145</w:t>
      </w:r>
      <w:r>
        <w:tab/>
        <w:t>277</w:t>
      </w:r>
    </w:p>
    <w:p w:rsidR="00000000" w:rsidRDefault="00000000">
      <w:pPr>
        <w:pStyle w:val="a9"/>
        <w:rPr>
          <w:rFonts w:hint="eastAsia"/>
        </w:rPr>
      </w:pPr>
      <w:r>
        <w:rPr>
          <w:rFonts w:hint="eastAsia"/>
        </w:rPr>
        <w:t>第十五条</w:t>
      </w:r>
      <w:r>
        <w:rPr>
          <w:rFonts w:hint="eastAsia"/>
        </w:rPr>
        <w:t xml:space="preserve"> </w:t>
      </w:r>
      <w:r>
        <w:t xml:space="preserve"> </w:t>
      </w:r>
      <w:r>
        <w:rPr>
          <w:rFonts w:hint="eastAsia"/>
        </w:rPr>
        <w:t>参加文化生活和享受科学进步所产生的利益的权利</w:t>
      </w:r>
      <w:r>
        <w:rPr>
          <w:rFonts w:hint="eastAsia"/>
        </w:rPr>
        <w:t>............</w:t>
      </w:r>
      <w:r>
        <w:tab/>
      </w:r>
      <w:r>
        <w:tab/>
        <w:t>1146</w:t>
      </w:r>
      <w:r>
        <w:tab/>
        <w:t>-</w:t>
      </w:r>
      <w:r>
        <w:tab/>
      </w:r>
      <w:r>
        <w:rPr>
          <w:rFonts w:hint="eastAsia"/>
        </w:rPr>
        <w:t>1217</w:t>
      </w:r>
      <w:r>
        <w:tab/>
        <w:t>288</w:t>
      </w:r>
    </w:p>
    <w:p w:rsidR="00000000" w:rsidRDefault="00000000">
      <w:pPr>
        <w:pStyle w:val="aa"/>
        <w:rPr>
          <w:rFonts w:hint="eastAsia"/>
        </w:rPr>
      </w:pPr>
      <w:r>
        <w:rPr>
          <w:rFonts w:hint="eastAsia"/>
        </w:rPr>
        <w:t>附</w:t>
      </w:r>
      <w:r>
        <w:rPr>
          <w:rFonts w:hint="eastAsia"/>
        </w:rPr>
        <w:t xml:space="preserve">  </w:t>
      </w:r>
      <w:r>
        <w:rPr>
          <w:rFonts w:hint="eastAsia"/>
        </w:rPr>
        <w:t>件</w:t>
      </w:r>
      <w:r>
        <w:t xml:space="preserve"> </w:t>
      </w:r>
      <w:r>
        <w:rPr>
          <w:rStyle w:val="FootnoteReference"/>
          <w:b w:val="0"/>
          <w:bCs/>
          <w:vertAlign w:val="baseline"/>
        </w:rPr>
        <w:footnoteReference w:customMarkFollows="1" w:id="3"/>
        <w:t>*</w:t>
      </w:r>
      <w:r>
        <w:rPr>
          <w:rFonts w:hint="eastAsia"/>
          <w:b/>
          <w:bCs/>
        </w:rPr>
        <w:t xml:space="preserve">  </w:t>
      </w:r>
      <w:r>
        <w:rPr>
          <w:rFonts w:hint="eastAsia"/>
        </w:rPr>
        <w:t>..............................</w:t>
      </w:r>
      <w:r>
        <w:rPr>
          <w:rFonts w:hint="eastAsia"/>
        </w:rPr>
        <w:tab/>
      </w:r>
      <w:r>
        <w:rPr>
          <w:rFonts w:hint="eastAsia"/>
        </w:rPr>
        <w:tab/>
      </w:r>
    </w:p>
    <w:p w:rsidR="00000000" w:rsidRDefault="00000000">
      <w:pPr>
        <w:pStyle w:val="PlainText"/>
      </w:pPr>
    </w:p>
    <w:p w:rsidR="00000000" w:rsidRDefault="00000000">
      <w:pPr>
        <w:pStyle w:val="Heading1"/>
        <w:rPr>
          <w:rFonts w:ascii="Time New Roman" w:eastAsia="SimHei" w:hAnsi="Time New Roman" w:hint="eastAsia"/>
        </w:rPr>
      </w:pPr>
      <w:r>
        <w:br w:type="page"/>
      </w:r>
      <w:bookmarkStart w:id="4" w:name="_Toc78623555"/>
      <w:bookmarkStart w:id="5" w:name="_Toc78772921"/>
      <w:r>
        <w:rPr>
          <w:rFonts w:ascii="Time New Roman" w:eastAsia="SimHei" w:hAnsi="Time New Roman" w:hint="eastAsia"/>
        </w:rPr>
        <w:t>第</w:t>
      </w:r>
      <w:r>
        <w:rPr>
          <w:rFonts w:ascii="Time New Roman" w:eastAsia="SimHei" w:hAnsi="Time New Roman" w:hint="eastAsia"/>
        </w:rPr>
        <w:t xml:space="preserve"> </w:t>
      </w:r>
      <w:r>
        <w:rPr>
          <w:rFonts w:ascii="Time New Roman" w:eastAsia="SimHei" w:hAnsi="Time New Roman" w:hint="eastAsia"/>
        </w:rPr>
        <w:t>一</w:t>
      </w:r>
      <w:r>
        <w:rPr>
          <w:rFonts w:ascii="Time New Roman" w:eastAsia="SimHei" w:hAnsi="Time New Roman" w:hint="eastAsia"/>
        </w:rPr>
        <w:t xml:space="preserve"> </w:t>
      </w:r>
      <w:r>
        <w:rPr>
          <w:rFonts w:ascii="Time New Roman" w:eastAsia="SimHei" w:hAnsi="Time New Roman" w:hint="eastAsia"/>
        </w:rPr>
        <w:t>部</w:t>
      </w:r>
      <w:r>
        <w:rPr>
          <w:rFonts w:ascii="Time New Roman" w:eastAsia="SimHei" w:hAnsi="Time New Roman" w:hint="eastAsia"/>
        </w:rPr>
        <w:t xml:space="preserve"> </w:t>
      </w:r>
      <w:r>
        <w:rPr>
          <w:rFonts w:ascii="Time New Roman" w:eastAsia="SimHei" w:hAnsi="Time New Roman" w:hint="eastAsia"/>
        </w:rPr>
        <w:t>分</w:t>
      </w:r>
      <w:bookmarkEnd w:id="4"/>
      <w:bookmarkEnd w:id="5"/>
    </w:p>
    <w:p w:rsidR="00000000" w:rsidRDefault="00000000">
      <w:pPr>
        <w:pStyle w:val="Heading1"/>
        <w:rPr>
          <w:rFonts w:ascii="Time New Roman" w:eastAsia="SimHei" w:hAnsi="Time New Roman" w:hint="eastAsia"/>
        </w:rPr>
      </w:pPr>
      <w:bookmarkStart w:id="6" w:name="_Toc78623556"/>
      <w:bookmarkStart w:id="7" w:name="_Toc78772922"/>
      <w:r>
        <w:rPr>
          <w:rFonts w:ascii="Time New Roman" w:eastAsia="SimHei" w:hAnsi="Time New Roman" w:hint="eastAsia"/>
        </w:rPr>
        <w:t>中</w:t>
      </w:r>
      <w:r>
        <w:rPr>
          <w:rFonts w:ascii="Time New Roman" w:eastAsia="SimHei" w:hAnsi="Time New Roman" w:hint="eastAsia"/>
        </w:rPr>
        <w:t xml:space="preserve">  </w:t>
      </w:r>
      <w:r>
        <w:rPr>
          <w:rFonts w:ascii="Time New Roman" w:eastAsia="SimHei" w:hAnsi="Time New Roman" w:hint="eastAsia"/>
        </w:rPr>
        <w:t>国</w:t>
      </w:r>
      <w:bookmarkEnd w:id="6"/>
      <w:bookmarkEnd w:id="7"/>
    </w:p>
    <w:p w:rsidR="00000000" w:rsidRDefault="00000000">
      <w:pPr>
        <w:pStyle w:val="Heading2"/>
      </w:pPr>
      <w:bookmarkStart w:id="8" w:name="_Toc78772923"/>
      <w:r>
        <w:rPr>
          <w:rFonts w:hint="eastAsia"/>
        </w:rPr>
        <w:t>序</w:t>
      </w:r>
      <w:r>
        <w:rPr>
          <w:rFonts w:hint="eastAsia"/>
        </w:rPr>
        <w:t xml:space="preserve">  </w:t>
      </w:r>
      <w:r>
        <w:rPr>
          <w:rFonts w:hint="eastAsia"/>
        </w:rPr>
        <w:t>言</w:t>
      </w:r>
      <w:bookmarkEnd w:id="8"/>
    </w:p>
    <w:p w:rsidR="00000000" w:rsidRDefault="00000000">
      <w:pPr>
        <w:rPr>
          <w:rFonts w:hint="eastAsia"/>
          <w:snapToGrid/>
          <w:szCs w:val="28"/>
        </w:rPr>
      </w:pPr>
      <w:r>
        <w:rPr>
          <w:snapToGrid/>
        </w:rPr>
        <w:tab/>
      </w:r>
      <w:r>
        <w:rPr>
          <w:snapToGrid/>
          <w:szCs w:val="28"/>
        </w:rPr>
        <w:t>1.</w:t>
      </w:r>
      <w:r>
        <w:rPr>
          <w:rFonts w:hint="eastAsia"/>
          <w:snapToGrid/>
          <w:szCs w:val="28"/>
        </w:rPr>
        <w:t xml:space="preserve">  </w:t>
      </w:r>
      <w:r>
        <w:rPr>
          <w:rFonts w:hint="eastAsia"/>
          <w:snapToGrid/>
          <w:szCs w:val="28"/>
        </w:rPr>
        <w:t>中华人民共和国一贯重视人权问题</w:t>
      </w:r>
      <w:r>
        <w:rPr>
          <w:snapToGrid/>
          <w:szCs w:val="28"/>
        </w:rPr>
        <w:t>，</w:t>
      </w:r>
      <w:r>
        <w:rPr>
          <w:rFonts w:hint="eastAsia"/>
          <w:snapToGrid/>
          <w:szCs w:val="28"/>
        </w:rPr>
        <w:t>以促进和保护人民的各项人权与基本自由为己任。中国政府致力于促进和保护人民的经济、社会及文化权利</w:t>
      </w:r>
      <w:r>
        <w:rPr>
          <w:snapToGrid/>
          <w:szCs w:val="28"/>
        </w:rPr>
        <w:t>，</w:t>
      </w:r>
      <w:r>
        <w:rPr>
          <w:rFonts w:hint="eastAsia"/>
          <w:snapToGrid/>
          <w:szCs w:val="28"/>
        </w:rPr>
        <w:t>并取得了巨大成就。</w:t>
      </w:r>
    </w:p>
    <w:p w:rsidR="00000000" w:rsidRDefault="00000000">
      <w:pPr>
        <w:rPr>
          <w:snapToGrid/>
          <w:szCs w:val="28"/>
        </w:rPr>
      </w:pPr>
      <w:r>
        <w:rPr>
          <w:rFonts w:hint="eastAsia"/>
          <w:snapToGrid/>
          <w:szCs w:val="28"/>
        </w:rPr>
        <w:tab/>
      </w:r>
      <w:r>
        <w:rPr>
          <w:snapToGrid/>
          <w:szCs w:val="28"/>
        </w:rPr>
        <w:t xml:space="preserve">2.  </w:t>
      </w:r>
      <w:r>
        <w:rPr>
          <w:rFonts w:hint="eastAsia"/>
          <w:snapToGrid/>
          <w:szCs w:val="28"/>
        </w:rPr>
        <w:t>中国于</w:t>
      </w:r>
      <w:r>
        <w:rPr>
          <w:snapToGrid/>
          <w:szCs w:val="28"/>
        </w:rPr>
        <w:t>1997</w:t>
      </w:r>
      <w:r>
        <w:rPr>
          <w:rFonts w:hint="eastAsia"/>
          <w:snapToGrid/>
          <w:szCs w:val="28"/>
        </w:rPr>
        <w:t>年</w:t>
      </w:r>
      <w:r>
        <w:rPr>
          <w:snapToGrid/>
          <w:szCs w:val="28"/>
        </w:rPr>
        <w:t>10</w:t>
      </w:r>
      <w:r>
        <w:rPr>
          <w:rFonts w:hint="eastAsia"/>
          <w:snapToGrid/>
          <w:szCs w:val="28"/>
        </w:rPr>
        <w:t>月</w:t>
      </w:r>
      <w:r>
        <w:rPr>
          <w:rFonts w:hint="eastAsia"/>
          <w:snapToGrid/>
          <w:szCs w:val="28"/>
        </w:rPr>
        <w:t>27</w:t>
      </w:r>
      <w:r>
        <w:rPr>
          <w:rFonts w:hint="eastAsia"/>
          <w:snapToGrid/>
          <w:szCs w:val="28"/>
        </w:rPr>
        <w:t>日签署《经济、社会及文化权利国际公约》</w:t>
      </w:r>
      <w:r>
        <w:rPr>
          <w:snapToGrid/>
          <w:szCs w:val="28"/>
        </w:rPr>
        <w:t>(</w:t>
      </w:r>
      <w:r>
        <w:rPr>
          <w:rFonts w:hint="eastAsia"/>
          <w:snapToGrid/>
          <w:szCs w:val="28"/>
        </w:rPr>
        <w:t>以下简称《公约》</w:t>
      </w:r>
      <w:r>
        <w:rPr>
          <w:snapToGrid/>
          <w:szCs w:val="28"/>
        </w:rPr>
        <w:t>)</w:t>
      </w:r>
      <w:r>
        <w:rPr>
          <w:rFonts w:hint="eastAsia"/>
          <w:snapToGrid/>
          <w:szCs w:val="28"/>
        </w:rPr>
        <w:t>。</w:t>
      </w:r>
      <w:r>
        <w:rPr>
          <w:snapToGrid/>
          <w:szCs w:val="28"/>
        </w:rPr>
        <w:t>2001</w:t>
      </w:r>
      <w:r>
        <w:rPr>
          <w:rFonts w:hint="eastAsia"/>
          <w:snapToGrid/>
          <w:szCs w:val="28"/>
        </w:rPr>
        <w:t>年</w:t>
      </w:r>
      <w:r>
        <w:rPr>
          <w:snapToGrid/>
          <w:szCs w:val="28"/>
        </w:rPr>
        <w:t>2</w:t>
      </w:r>
      <w:r>
        <w:rPr>
          <w:rFonts w:hint="eastAsia"/>
          <w:snapToGrid/>
          <w:szCs w:val="28"/>
        </w:rPr>
        <w:t>月</w:t>
      </w:r>
      <w:r>
        <w:rPr>
          <w:snapToGrid/>
          <w:szCs w:val="28"/>
        </w:rPr>
        <w:t>28</w:t>
      </w:r>
      <w:r>
        <w:rPr>
          <w:rFonts w:hint="eastAsia"/>
          <w:snapToGrid/>
          <w:szCs w:val="28"/>
        </w:rPr>
        <w:t>日</w:t>
      </w:r>
      <w:r>
        <w:rPr>
          <w:snapToGrid/>
          <w:szCs w:val="28"/>
        </w:rPr>
        <w:t>，</w:t>
      </w:r>
      <w:r>
        <w:rPr>
          <w:rFonts w:hint="eastAsia"/>
          <w:snapToGrid/>
          <w:szCs w:val="28"/>
        </w:rPr>
        <w:t>第九届全国人民代表大会常务委员会批准中国加入《公约》。</w:t>
      </w:r>
      <w:r>
        <w:rPr>
          <w:snapToGrid/>
          <w:szCs w:val="28"/>
        </w:rPr>
        <w:t>2001</w:t>
      </w:r>
      <w:r>
        <w:rPr>
          <w:rFonts w:hint="eastAsia"/>
          <w:snapToGrid/>
          <w:szCs w:val="28"/>
        </w:rPr>
        <w:t>年</w:t>
      </w:r>
      <w:r>
        <w:rPr>
          <w:snapToGrid/>
          <w:szCs w:val="28"/>
        </w:rPr>
        <w:t>3</w:t>
      </w:r>
      <w:r>
        <w:rPr>
          <w:rFonts w:hint="eastAsia"/>
          <w:snapToGrid/>
          <w:szCs w:val="28"/>
        </w:rPr>
        <w:t>月</w:t>
      </w:r>
      <w:r>
        <w:rPr>
          <w:snapToGrid/>
          <w:szCs w:val="28"/>
        </w:rPr>
        <w:t>27</w:t>
      </w:r>
      <w:r>
        <w:rPr>
          <w:rFonts w:hint="eastAsia"/>
          <w:snapToGrid/>
          <w:szCs w:val="28"/>
        </w:rPr>
        <w:t>日</w:t>
      </w:r>
      <w:r>
        <w:rPr>
          <w:snapToGrid/>
          <w:szCs w:val="28"/>
        </w:rPr>
        <w:t>，</w:t>
      </w:r>
      <w:r>
        <w:rPr>
          <w:rFonts w:hint="eastAsia"/>
          <w:snapToGrid/>
          <w:szCs w:val="28"/>
        </w:rPr>
        <w:t>中国常驻联合国代表团向联合国秘书长递交了批准书。</w:t>
      </w:r>
      <w:r>
        <w:rPr>
          <w:snapToGrid/>
          <w:szCs w:val="28"/>
        </w:rPr>
        <w:t>2001</w:t>
      </w:r>
      <w:r>
        <w:rPr>
          <w:rFonts w:hint="eastAsia"/>
          <w:snapToGrid/>
          <w:szCs w:val="28"/>
        </w:rPr>
        <w:t>年</w:t>
      </w:r>
      <w:r>
        <w:rPr>
          <w:snapToGrid/>
          <w:szCs w:val="28"/>
        </w:rPr>
        <w:t>6</w:t>
      </w:r>
      <w:r>
        <w:rPr>
          <w:rFonts w:hint="eastAsia"/>
          <w:snapToGrid/>
          <w:szCs w:val="28"/>
        </w:rPr>
        <w:t>月</w:t>
      </w:r>
      <w:r>
        <w:rPr>
          <w:snapToGrid/>
          <w:szCs w:val="28"/>
        </w:rPr>
        <w:t>27</w:t>
      </w:r>
      <w:r>
        <w:rPr>
          <w:rFonts w:hint="eastAsia"/>
          <w:snapToGrid/>
          <w:szCs w:val="28"/>
        </w:rPr>
        <w:t>日</w:t>
      </w:r>
      <w:r>
        <w:rPr>
          <w:snapToGrid/>
          <w:szCs w:val="28"/>
        </w:rPr>
        <w:t>，</w:t>
      </w:r>
      <w:r>
        <w:rPr>
          <w:rFonts w:hint="eastAsia"/>
          <w:snapToGrid/>
          <w:szCs w:val="28"/>
        </w:rPr>
        <w:t>《公约》正式对中国生效。</w:t>
      </w:r>
    </w:p>
    <w:p w:rsidR="00000000" w:rsidRDefault="00000000">
      <w:pPr>
        <w:rPr>
          <w:snapToGrid/>
          <w:szCs w:val="28"/>
        </w:rPr>
      </w:pPr>
      <w:r>
        <w:rPr>
          <w:snapToGrid/>
          <w:szCs w:val="28"/>
        </w:rPr>
        <w:tab/>
        <w:t xml:space="preserve">3.  </w:t>
      </w:r>
      <w:r>
        <w:rPr>
          <w:rFonts w:hint="eastAsia"/>
          <w:snapToGrid/>
          <w:szCs w:val="28"/>
        </w:rPr>
        <w:t>根据《公约》第</w:t>
      </w:r>
      <w:r>
        <w:rPr>
          <w:snapToGrid/>
          <w:szCs w:val="28"/>
        </w:rPr>
        <w:t>16</w:t>
      </w:r>
      <w:r>
        <w:rPr>
          <w:rFonts w:hint="eastAsia"/>
          <w:snapToGrid/>
          <w:szCs w:val="28"/>
        </w:rPr>
        <w:t>条、第</w:t>
      </w:r>
      <w:r>
        <w:rPr>
          <w:snapToGrid/>
          <w:szCs w:val="28"/>
        </w:rPr>
        <w:t>17</w:t>
      </w:r>
      <w:r>
        <w:rPr>
          <w:rFonts w:hint="eastAsia"/>
          <w:snapToGrid/>
          <w:szCs w:val="28"/>
        </w:rPr>
        <w:t>条及经济、社会及文化权利委员会相关规定</w:t>
      </w:r>
      <w:r>
        <w:rPr>
          <w:snapToGrid/>
          <w:szCs w:val="28"/>
        </w:rPr>
        <w:t>，</w:t>
      </w:r>
      <w:r>
        <w:rPr>
          <w:rFonts w:hint="eastAsia"/>
          <w:snapToGrid/>
          <w:szCs w:val="28"/>
        </w:rPr>
        <w:t>中国应于</w:t>
      </w:r>
      <w:r>
        <w:rPr>
          <w:snapToGrid/>
          <w:szCs w:val="28"/>
        </w:rPr>
        <w:t>2003</w:t>
      </w:r>
      <w:r>
        <w:rPr>
          <w:rFonts w:hint="eastAsia"/>
          <w:snapToGrid/>
          <w:szCs w:val="28"/>
        </w:rPr>
        <w:t>年</w:t>
      </w:r>
      <w:r>
        <w:rPr>
          <w:snapToGrid/>
          <w:szCs w:val="28"/>
        </w:rPr>
        <w:t>6</w:t>
      </w:r>
      <w:r>
        <w:rPr>
          <w:rFonts w:hint="eastAsia"/>
          <w:snapToGrid/>
          <w:szCs w:val="28"/>
        </w:rPr>
        <w:t>月</w:t>
      </w:r>
      <w:r>
        <w:rPr>
          <w:snapToGrid/>
          <w:szCs w:val="28"/>
        </w:rPr>
        <w:t>27</w:t>
      </w:r>
      <w:r>
        <w:rPr>
          <w:rFonts w:hint="eastAsia"/>
          <w:snapToGrid/>
          <w:szCs w:val="28"/>
        </w:rPr>
        <w:t>日前通过联合国秘书长向经济、社会及文化权利委员会提交关于《公约》执行情况的首次报告。遵循经济、社会及文化权利委员会关于缔约国提交首次履约报告的一般性准则和一般性意见，中国撰写了执行《公约》情况的首次报告。</w:t>
      </w:r>
    </w:p>
    <w:p w:rsidR="00000000" w:rsidRDefault="00000000">
      <w:pPr>
        <w:rPr>
          <w:snapToGrid/>
          <w:szCs w:val="30"/>
        </w:rPr>
      </w:pPr>
      <w:r>
        <w:rPr>
          <w:snapToGrid/>
          <w:szCs w:val="28"/>
        </w:rPr>
        <w:tab/>
        <w:t>4.</w:t>
      </w:r>
      <w:r>
        <w:rPr>
          <w:rFonts w:hint="eastAsia"/>
          <w:snapToGrid/>
          <w:szCs w:val="28"/>
        </w:rPr>
        <w:t xml:space="preserve">  </w:t>
      </w:r>
      <w:r>
        <w:rPr>
          <w:rFonts w:hint="eastAsia"/>
          <w:snapToGrid/>
          <w:szCs w:val="28"/>
        </w:rPr>
        <w:t>本报告着重从国家立法、司法实践情况，包括存在的困难和问题等方面介绍了中国执行《公约》的总体情况，共分三部分。第一部分为中国执行《公约》方面有关情况及进展。第二部分为中国香港特别行政区执行《公约》有关情况，由香港特别行政区政府撰写。第三部分为中国澳门特别行政区执行《公约》有关情况</w:t>
      </w:r>
      <w:r>
        <w:rPr>
          <w:snapToGrid/>
          <w:szCs w:val="28"/>
        </w:rPr>
        <w:t>，</w:t>
      </w:r>
      <w:r>
        <w:rPr>
          <w:rFonts w:hint="eastAsia"/>
          <w:snapToGrid/>
          <w:szCs w:val="30"/>
        </w:rPr>
        <w:t>由澳门特别行政区政府撰写。</w:t>
      </w:r>
    </w:p>
    <w:p w:rsidR="00000000" w:rsidRDefault="00000000">
      <w:pPr>
        <w:spacing w:after="320"/>
        <w:rPr>
          <w:rFonts w:hint="eastAsia"/>
          <w:snapToGrid/>
          <w:szCs w:val="30"/>
        </w:rPr>
      </w:pPr>
      <w:r>
        <w:rPr>
          <w:snapToGrid/>
          <w:szCs w:val="30"/>
        </w:rPr>
        <w:tab/>
        <w:t xml:space="preserve">5.  </w:t>
      </w:r>
      <w:r>
        <w:rPr>
          <w:rFonts w:hint="eastAsia"/>
          <w:snapToGrid/>
          <w:szCs w:val="30"/>
        </w:rPr>
        <w:t>需要说明的是</w:t>
      </w:r>
      <w:r>
        <w:rPr>
          <w:snapToGrid/>
          <w:szCs w:val="30"/>
        </w:rPr>
        <w:t>，</w:t>
      </w:r>
      <w:r>
        <w:rPr>
          <w:rFonts w:hint="eastAsia"/>
          <w:snapToGrid/>
          <w:szCs w:val="30"/>
        </w:rPr>
        <w:t>中国政府各相关部门均参与了本报告的撰写</w:t>
      </w:r>
      <w:r>
        <w:rPr>
          <w:snapToGrid/>
          <w:szCs w:val="30"/>
        </w:rPr>
        <w:t>，</w:t>
      </w:r>
      <w:r>
        <w:rPr>
          <w:rFonts w:hint="eastAsia"/>
          <w:snapToGrid/>
          <w:szCs w:val="30"/>
        </w:rPr>
        <w:t>并提供了大量材料。中国有关非政府组织、相关领域的学者、专家也为本报告撰写作出了贡献。</w:t>
      </w:r>
    </w:p>
    <w:p w:rsidR="00000000" w:rsidRDefault="00000000">
      <w:pPr>
        <w:pStyle w:val="Heading3"/>
        <w:rPr>
          <w:rFonts w:hint="eastAsia"/>
        </w:rPr>
      </w:pPr>
      <w:r>
        <w:rPr>
          <w:rFonts w:ascii="Time New Roman" w:eastAsia="SimHei" w:hAnsi="Time New Roman" w:hint="eastAsia"/>
          <w:u w:val="none"/>
        </w:rPr>
        <w:br w:type="page"/>
      </w:r>
      <w:bookmarkStart w:id="9" w:name="_Toc78772924"/>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一</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自</w:t>
      </w:r>
      <w:r>
        <w:rPr>
          <w:rFonts w:ascii="Time New Roman" w:eastAsia="SimHei" w:hAnsi="Time New Roman" w:hint="eastAsia"/>
          <w:u w:val="none"/>
        </w:rPr>
        <w:t xml:space="preserve">  </w:t>
      </w:r>
      <w:r>
        <w:rPr>
          <w:rFonts w:ascii="Time New Roman" w:eastAsia="SimHei" w:hAnsi="Time New Roman" w:hint="eastAsia"/>
          <w:u w:val="none"/>
        </w:rPr>
        <w:t>决</w:t>
      </w:r>
      <w:r>
        <w:rPr>
          <w:rFonts w:ascii="Time New Roman" w:eastAsia="SimHei" w:hAnsi="Time New Roman" w:hint="eastAsia"/>
          <w:u w:val="none"/>
        </w:rPr>
        <w:t xml:space="preserve">  </w:t>
      </w:r>
      <w:r>
        <w:rPr>
          <w:rFonts w:ascii="Time New Roman" w:eastAsia="SimHei" w:hAnsi="Time New Roman" w:hint="eastAsia"/>
          <w:u w:val="none"/>
        </w:rPr>
        <w:t>权</w:t>
      </w:r>
      <w:bookmarkEnd w:id="9"/>
    </w:p>
    <w:p w:rsidR="00000000" w:rsidRDefault="00000000">
      <w:pPr>
        <w:rPr>
          <w:snapToGrid/>
          <w:szCs w:val="30"/>
        </w:rPr>
      </w:pPr>
      <w:r>
        <w:rPr>
          <w:snapToGrid/>
          <w:szCs w:val="30"/>
        </w:rPr>
        <w:tab/>
        <w:t xml:space="preserve">6.  </w:t>
      </w:r>
      <w:r>
        <w:rPr>
          <w:rFonts w:hint="eastAsia"/>
          <w:snapToGrid/>
          <w:szCs w:val="30"/>
        </w:rPr>
        <w:t>中国是世界上历史最悠久的国家之一。中国各族人民共同创造了光辉灿烂的文化。</w:t>
      </w:r>
      <w:r>
        <w:rPr>
          <w:snapToGrid/>
          <w:szCs w:val="30"/>
        </w:rPr>
        <w:t>1840</w:t>
      </w:r>
      <w:r>
        <w:rPr>
          <w:rFonts w:hint="eastAsia"/>
          <w:snapToGrid/>
          <w:szCs w:val="30"/>
        </w:rPr>
        <w:t>年以后</w:t>
      </w:r>
      <w:r>
        <w:rPr>
          <w:snapToGrid/>
          <w:szCs w:val="30"/>
        </w:rPr>
        <w:t>，</w:t>
      </w:r>
      <w:r>
        <w:rPr>
          <w:rFonts w:hint="eastAsia"/>
          <w:snapToGrid/>
          <w:szCs w:val="30"/>
        </w:rPr>
        <w:t>中国逐渐由一个封建大国变成半殖民地、半封建国家</w:t>
      </w:r>
      <w:r>
        <w:rPr>
          <w:snapToGrid/>
          <w:szCs w:val="30"/>
        </w:rPr>
        <w:t>，</w:t>
      </w:r>
      <w:r>
        <w:rPr>
          <w:rFonts w:hint="eastAsia"/>
          <w:snapToGrid/>
          <w:szCs w:val="30"/>
        </w:rPr>
        <w:t>国家主权沦丧</w:t>
      </w:r>
      <w:r>
        <w:rPr>
          <w:snapToGrid/>
          <w:szCs w:val="30"/>
        </w:rPr>
        <w:t>，</w:t>
      </w:r>
      <w:r>
        <w:rPr>
          <w:rFonts w:hint="eastAsia"/>
          <w:snapToGrid/>
          <w:szCs w:val="30"/>
        </w:rPr>
        <w:t>人民的人权失去起码的保障。中国人民为实现国家独立和民族自决进行了前仆后继的英勇奋斗。</w:t>
      </w:r>
      <w:r>
        <w:rPr>
          <w:snapToGrid/>
          <w:szCs w:val="30"/>
        </w:rPr>
        <w:t>1949</w:t>
      </w:r>
      <w:r>
        <w:rPr>
          <w:rFonts w:hint="eastAsia"/>
          <w:snapToGrid/>
          <w:szCs w:val="30"/>
        </w:rPr>
        <w:t>年</w:t>
      </w:r>
      <w:r>
        <w:rPr>
          <w:snapToGrid/>
          <w:szCs w:val="30"/>
        </w:rPr>
        <w:t>10</w:t>
      </w:r>
      <w:r>
        <w:rPr>
          <w:rFonts w:hint="eastAsia"/>
          <w:snapToGrid/>
          <w:szCs w:val="30"/>
        </w:rPr>
        <w:t>月</w:t>
      </w:r>
      <w:r>
        <w:rPr>
          <w:snapToGrid/>
          <w:szCs w:val="30"/>
        </w:rPr>
        <w:t>1</w:t>
      </w:r>
      <w:r>
        <w:rPr>
          <w:rFonts w:hint="eastAsia"/>
          <w:snapToGrid/>
          <w:szCs w:val="30"/>
        </w:rPr>
        <w:t>日</w:t>
      </w:r>
      <w:r>
        <w:rPr>
          <w:snapToGrid/>
          <w:szCs w:val="30"/>
        </w:rPr>
        <w:t>，</w:t>
      </w:r>
      <w:r>
        <w:rPr>
          <w:rFonts w:hint="eastAsia"/>
          <w:snapToGrid/>
          <w:szCs w:val="30"/>
        </w:rPr>
        <w:t>中国人民在经历了长期艰难曲折的斗争后</w:t>
      </w:r>
      <w:r>
        <w:rPr>
          <w:snapToGrid/>
          <w:szCs w:val="30"/>
        </w:rPr>
        <w:t>，</w:t>
      </w:r>
      <w:r>
        <w:rPr>
          <w:rFonts w:hint="eastAsia"/>
          <w:snapToGrid/>
          <w:szCs w:val="30"/>
        </w:rPr>
        <w:t>建立了中华人民共和国。从此</w:t>
      </w:r>
      <w:r>
        <w:rPr>
          <w:snapToGrid/>
          <w:szCs w:val="30"/>
        </w:rPr>
        <w:t>，</w:t>
      </w:r>
      <w:r>
        <w:rPr>
          <w:rFonts w:hint="eastAsia"/>
          <w:snapToGrid/>
          <w:szCs w:val="30"/>
        </w:rPr>
        <w:t>中国人民实现了完全的国家独立</w:t>
      </w:r>
      <w:r>
        <w:rPr>
          <w:snapToGrid/>
          <w:szCs w:val="30"/>
        </w:rPr>
        <w:t>，</w:t>
      </w:r>
      <w:r>
        <w:rPr>
          <w:rFonts w:hint="eastAsia"/>
          <w:snapToGrid/>
          <w:szCs w:val="30"/>
        </w:rPr>
        <w:t>真正掌握了国家的权力</w:t>
      </w:r>
      <w:r>
        <w:rPr>
          <w:snapToGrid/>
          <w:szCs w:val="30"/>
        </w:rPr>
        <w:t>，</w:t>
      </w:r>
      <w:r>
        <w:rPr>
          <w:rFonts w:hint="eastAsia"/>
          <w:snapToGrid/>
          <w:szCs w:val="30"/>
        </w:rPr>
        <w:t>成为国家的主人。</w:t>
      </w:r>
    </w:p>
    <w:p w:rsidR="00000000" w:rsidRDefault="00000000">
      <w:pPr>
        <w:rPr>
          <w:snapToGrid/>
          <w:szCs w:val="28"/>
        </w:rPr>
      </w:pPr>
      <w:r>
        <w:rPr>
          <w:snapToGrid/>
          <w:szCs w:val="30"/>
        </w:rPr>
        <w:tab/>
        <w:t xml:space="preserve">7.  </w:t>
      </w:r>
      <w:r>
        <w:rPr>
          <w:rFonts w:hint="eastAsia"/>
          <w:snapToGrid/>
          <w:szCs w:val="30"/>
        </w:rPr>
        <w:t>中华人民共和国成立后</w:t>
      </w:r>
      <w:r>
        <w:rPr>
          <w:snapToGrid/>
          <w:szCs w:val="30"/>
        </w:rPr>
        <w:t>，</w:t>
      </w:r>
      <w:r>
        <w:rPr>
          <w:rFonts w:hint="eastAsia"/>
          <w:snapToGrid/>
          <w:szCs w:val="30"/>
        </w:rPr>
        <w:t>始终致力于建立和健全人民民主</w:t>
      </w:r>
      <w:r>
        <w:rPr>
          <w:rFonts w:hint="eastAsia"/>
          <w:snapToGrid/>
          <w:szCs w:val="28"/>
        </w:rPr>
        <w:t>的政治制度</w:t>
      </w:r>
      <w:r>
        <w:rPr>
          <w:snapToGrid/>
          <w:szCs w:val="28"/>
        </w:rPr>
        <w:t>，</w:t>
      </w:r>
      <w:r>
        <w:rPr>
          <w:rFonts w:hint="eastAsia"/>
          <w:snapToGrid/>
          <w:szCs w:val="28"/>
        </w:rPr>
        <w:t>保障人民当家作主的民主权利。</w:t>
      </w:r>
      <w:r>
        <w:rPr>
          <w:snapToGrid/>
          <w:szCs w:val="28"/>
        </w:rPr>
        <w:t>1954</w:t>
      </w:r>
      <w:r>
        <w:rPr>
          <w:rFonts w:hint="eastAsia"/>
          <w:snapToGrid/>
          <w:szCs w:val="28"/>
        </w:rPr>
        <w:t>年</w:t>
      </w:r>
      <w:r>
        <w:rPr>
          <w:snapToGrid/>
          <w:szCs w:val="28"/>
        </w:rPr>
        <w:t>9</w:t>
      </w:r>
      <w:r>
        <w:rPr>
          <w:rFonts w:hint="eastAsia"/>
          <w:snapToGrid/>
          <w:szCs w:val="28"/>
        </w:rPr>
        <w:t>月</w:t>
      </w:r>
      <w:r>
        <w:rPr>
          <w:snapToGrid/>
          <w:szCs w:val="28"/>
        </w:rPr>
        <w:t>，</w:t>
      </w:r>
      <w:r>
        <w:rPr>
          <w:rFonts w:hint="eastAsia"/>
          <w:snapToGrid/>
          <w:szCs w:val="28"/>
        </w:rPr>
        <w:t>第一届全国人民代表大会第一次会议在充分体现人民民主的基础上</w:t>
      </w:r>
      <w:r>
        <w:rPr>
          <w:snapToGrid/>
          <w:szCs w:val="28"/>
        </w:rPr>
        <w:t>，</w:t>
      </w:r>
      <w:r>
        <w:rPr>
          <w:rFonts w:hint="eastAsia"/>
          <w:snapToGrid/>
          <w:szCs w:val="28"/>
        </w:rPr>
        <w:t>通过了《中华人民共和国宪法》</w:t>
      </w:r>
      <w:r>
        <w:rPr>
          <w:snapToGrid/>
          <w:szCs w:val="28"/>
        </w:rPr>
        <w:t>，</w:t>
      </w:r>
      <w:r>
        <w:rPr>
          <w:rFonts w:hint="eastAsia"/>
          <w:snapToGrid/>
          <w:szCs w:val="28"/>
        </w:rPr>
        <w:t>规定了国家的性质和国家机构的职能</w:t>
      </w:r>
      <w:r>
        <w:rPr>
          <w:snapToGrid/>
          <w:szCs w:val="28"/>
        </w:rPr>
        <w:t>，</w:t>
      </w:r>
      <w:r>
        <w:rPr>
          <w:rFonts w:hint="eastAsia"/>
          <w:snapToGrid/>
          <w:szCs w:val="28"/>
        </w:rPr>
        <w:t>规定了公民的权利和义务</w:t>
      </w:r>
      <w:r>
        <w:rPr>
          <w:snapToGrid/>
          <w:szCs w:val="28"/>
        </w:rPr>
        <w:t>，</w:t>
      </w:r>
      <w:r>
        <w:rPr>
          <w:rFonts w:hint="eastAsia"/>
          <w:snapToGrid/>
          <w:szCs w:val="28"/>
        </w:rPr>
        <w:t>奠定了中国民主与法制建设的基础。</w:t>
      </w:r>
      <w:r>
        <w:rPr>
          <w:snapToGrid/>
          <w:szCs w:val="28"/>
        </w:rPr>
        <w:t>1982</w:t>
      </w:r>
      <w:r>
        <w:rPr>
          <w:rFonts w:hint="eastAsia"/>
          <w:snapToGrid/>
          <w:szCs w:val="28"/>
        </w:rPr>
        <w:t>年</w:t>
      </w:r>
      <w:r>
        <w:rPr>
          <w:snapToGrid/>
          <w:szCs w:val="28"/>
        </w:rPr>
        <w:t>，</w:t>
      </w:r>
      <w:r>
        <w:rPr>
          <w:rFonts w:hint="eastAsia"/>
          <w:snapToGrid/>
          <w:szCs w:val="28"/>
        </w:rPr>
        <w:t>第五届全国人民代表大会第五次会议通过了现行宪法。《中华人民共和国宪法》明确规定</w:t>
      </w:r>
      <w:r>
        <w:rPr>
          <w:snapToGrid/>
          <w:szCs w:val="28"/>
        </w:rPr>
        <w:t>：</w:t>
      </w:r>
      <w:r>
        <w:rPr>
          <w:rFonts w:hint="eastAsia"/>
          <w:snapToGrid/>
          <w:szCs w:val="28"/>
        </w:rPr>
        <w:t>“中华人民共和国的一切权力属于人民</w:t>
      </w:r>
      <w:r>
        <w:rPr>
          <w:snapToGrid/>
          <w:szCs w:val="28"/>
        </w:rPr>
        <w:t>，</w:t>
      </w:r>
      <w:r>
        <w:rPr>
          <w:rFonts w:hint="eastAsia"/>
          <w:snapToGrid/>
          <w:szCs w:val="28"/>
        </w:rPr>
        <w:t>人民行使权力的机关是全国人民代表大会和地方各级人民代表大会。人民代表大会制度是中国的根本政治制度。”这是中国人民根据本国国情，在争取独立和解放的长期艰苦斗争中所作出的必然选择。</w:t>
      </w:r>
    </w:p>
    <w:p w:rsidR="00000000" w:rsidRDefault="00000000">
      <w:pPr>
        <w:spacing w:after="320"/>
        <w:rPr>
          <w:rFonts w:hint="eastAsia"/>
          <w:snapToGrid/>
          <w:szCs w:val="28"/>
        </w:rPr>
      </w:pPr>
      <w:r>
        <w:rPr>
          <w:snapToGrid/>
          <w:szCs w:val="28"/>
        </w:rPr>
        <w:tab/>
        <w:t xml:space="preserve">8.  </w:t>
      </w:r>
      <w:r>
        <w:rPr>
          <w:rFonts w:hint="eastAsia"/>
          <w:snapToGrid/>
          <w:szCs w:val="28"/>
        </w:rPr>
        <w:t>中华人民共和国成立后</w:t>
      </w:r>
      <w:r>
        <w:rPr>
          <w:snapToGrid/>
          <w:szCs w:val="28"/>
        </w:rPr>
        <w:t>，</w:t>
      </w:r>
      <w:r>
        <w:rPr>
          <w:rFonts w:hint="eastAsia"/>
          <w:snapToGrid/>
          <w:szCs w:val="28"/>
        </w:rPr>
        <w:t>在全国范围开展了土地改革和其他各项民主改革</w:t>
      </w:r>
      <w:r>
        <w:rPr>
          <w:snapToGrid/>
          <w:szCs w:val="28"/>
        </w:rPr>
        <w:t>，</w:t>
      </w:r>
      <w:r>
        <w:rPr>
          <w:rFonts w:hint="eastAsia"/>
          <w:snapToGrid/>
          <w:szCs w:val="28"/>
        </w:rPr>
        <w:t>使全国</w:t>
      </w:r>
      <w:r>
        <w:rPr>
          <w:snapToGrid/>
          <w:szCs w:val="28"/>
        </w:rPr>
        <w:t>3</w:t>
      </w:r>
      <w:r>
        <w:rPr>
          <w:rFonts w:hint="eastAsia"/>
          <w:snapToGrid/>
          <w:szCs w:val="28"/>
        </w:rPr>
        <w:t>亿多无地或少地的农民无偿获得了</w:t>
      </w:r>
      <w:r>
        <w:rPr>
          <w:snapToGrid/>
          <w:szCs w:val="28"/>
        </w:rPr>
        <w:t>7</w:t>
      </w:r>
      <w:r>
        <w:rPr>
          <w:rFonts w:hint="eastAsia"/>
          <w:snapToGrid/>
          <w:szCs w:val="28"/>
        </w:rPr>
        <w:t>亿亩土地和大量生产资料</w:t>
      </w:r>
      <w:r>
        <w:rPr>
          <w:snapToGrid/>
          <w:szCs w:val="28"/>
        </w:rPr>
        <w:t>，</w:t>
      </w:r>
      <w:r>
        <w:rPr>
          <w:rFonts w:hint="eastAsia"/>
          <w:snapToGrid/>
          <w:szCs w:val="28"/>
        </w:rPr>
        <w:t>大大改善了广大农民的经济地位和生活状况。中国并对农业、手工业和工商业实行了改造，对国营工矿企业的生产和管理制度进行民主改革</w:t>
      </w:r>
      <w:r>
        <w:rPr>
          <w:snapToGrid/>
          <w:szCs w:val="28"/>
        </w:rPr>
        <w:t>，</w:t>
      </w:r>
      <w:r>
        <w:rPr>
          <w:rFonts w:hint="eastAsia"/>
          <w:snapToGrid/>
          <w:szCs w:val="28"/>
        </w:rPr>
        <w:t>建立工厂管理委员会和职工代表大会</w:t>
      </w:r>
      <w:r>
        <w:rPr>
          <w:snapToGrid/>
          <w:szCs w:val="28"/>
        </w:rPr>
        <w:t>，</w:t>
      </w:r>
      <w:r>
        <w:rPr>
          <w:rFonts w:hint="eastAsia"/>
          <w:snapToGrid/>
          <w:szCs w:val="28"/>
        </w:rPr>
        <w:t>实现企业管理的民主化</w:t>
      </w:r>
      <w:r>
        <w:rPr>
          <w:snapToGrid/>
          <w:szCs w:val="28"/>
        </w:rPr>
        <w:t>，</w:t>
      </w:r>
      <w:r>
        <w:rPr>
          <w:rFonts w:hint="eastAsia"/>
          <w:snapToGrid/>
          <w:szCs w:val="28"/>
        </w:rPr>
        <w:t>调整旧的工资制度，提高了职工福利。中国人民从此成为生产资料的主人和社会财富的享有者。</w:t>
      </w:r>
    </w:p>
    <w:p w:rsidR="00000000" w:rsidRDefault="00000000">
      <w:pPr>
        <w:pStyle w:val="Heading3"/>
        <w:rPr>
          <w:rFonts w:hint="eastAsia"/>
        </w:rPr>
      </w:pPr>
      <w:bookmarkStart w:id="10" w:name="_Toc78772925"/>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二</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采取措施保障充分实现各项权利</w:t>
      </w:r>
      <w:bookmarkEnd w:id="10"/>
    </w:p>
    <w:p w:rsidR="00000000" w:rsidRDefault="00000000">
      <w:pPr>
        <w:rPr>
          <w:snapToGrid/>
          <w:szCs w:val="28"/>
        </w:rPr>
      </w:pPr>
      <w:r>
        <w:rPr>
          <w:snapToGrid/>
          <w:szCs w:val="28"/>
        </w:rPr>
        <w:tab/>
      </w:r>
      <w:r>
        <w:rPr>
          <w:snapToGrid/>
          <w:szCs w:val="26"/>
        </w:rPr>
        <w:t xml:space="preserve">9.  </w:t>
      </w:r>
      <w:r>
        <w:rPr>
          <w:rFonts w:hint="eastAsia"/>
          <w:snapToGrid/>
          <w:szCs w:val="26"/>
        </w:rPr>
        <w:t>中国多年来致力于通过立法保护和促进公民的经济、社会和文化权利</w:t>
      </w:r>
      <w:r>
        <w:rPr>
          <w:snapToGrid/>
          <w:szCs w:val="26"/>
        </w:rPr>
        <w:t>，</w:t>
      </w:r>
      <w:r>
        <w:rPr>
          <w:rFonts w:hint="eastAsia"/>
          <w:snapToGrid/>
          <w:szCs w:val="26"/>
        </w:rPr>
        <w:t>进而使相关权益的保护法制化。中国从本国国情出发</w:t>
      </w:r>
      <w:r>
        <w:rPr>
          <w:snapToGrid/>
          <w:szCs w:val="26"/>
        </w:rPr>
        <w:t>，</w:t>
      </w:r>
      <w:r>
        <w:rPr>
          <w:rFonts w:hint="eastAsia"/>
          <w:snapToGrid/>
          <w:szCs w:val="26"/>
        </w:rPr>
        <w:t>参照世界各国立法和有关国际文件</w:t>
      </w:r>
      <w:r>
        <w:rPr>
          <w:snapToGrid/>
          <w:szCs w:val="26"/>
        </w:rPr>
        <w:t>，</w:t>
      </w:r>
      <w:r>
        <w:rPr>
          <w:rFonts w:hint="eastAsia"/>
          <w:snapToGrid/>
          <w:szCs w:val="26"/>
        </w:rPr>
        <w:t>制定了多部法律法规</w:t>
      </w:r>
      <w:r>
        <w:rPr>
          <w:snapToGrid/>
          <w:szCs w:val="26"/>
        </w:rPr>
        <w:t>，</w:t>
      </w:r>
      <w:r>
        <w:rPr>
          <w:rFonts w:hint="eastAsia"/>
          <w:snapToGrid/>
          <w:szCs w:val="26"/>
        </w:rPr>
        <w:t>形成了以《宪法》为核心</w:t>
      </w:r>
      <w:r>
        <w:rPr>
          <w:snapToGrid/>
          <w:szCs w:val="26"/>
        </w:rPr>
        <w:t>，</w:t>
      </w:r>
      <w:r>
        <w:rPr>
          <w:rFonts w:hint="eastAsia"/>
          <w:snapToGrid/>
          <w:szCs w:val="26"/>
        </w:rPr>
        <w:t>包括《民法通则》、《继承法》、《消费者权益保护法》、《矿产资源法》、《土地管理法》、《水法》、《水土保持法》、《煤炭法》、《环境保护法》、《劳动法》、《工会法》、《矿山安全法》、《城市居民最低生活保障条例》、《国务院关于建立企业养老保险制度的规定》、《教育法》、《义务教育法》、《高等教育法》、《文物保护法》、《科学技术进步法》、《国家通用语言文字</w:t>
      </w:r>
      <w:r>
        <w:rPr>
          <w:rFonts w:hint="eastAsia"/>
          <w:snapToGrid/>
          <w:szCs w:val="28"/>
        </w:rPr>
        <w:t>法》、《未成年人保护法》、《妇女权益保障法》、《老年人权益保障法》、《残疾人保障法》等在内的一系列保障公民经济、社会和文化权利的法律体系</w:t>
      </w:r>
      <w:r>
        <w:rPr>
          <w:snapToGrid/>
          <w:szCs w:val="28"/>
        </w:rPr>
        <w:t>，</w:t>
      </w:r>
      <w:r>
        <w:rPr>
          <w:rFonts w:hint="eastAsia"/>
          <w:snapToGrid/>
          <w:szCs w:val="28"/>
        </w:rPr>
        <w:t>为促进和保护公民的经济、社会及文化权利提供了重要的法律保障。</w:t>
      </w:r>
    </w:p>
    <w:p w:rsidR="00000000" w:rsidRDefault="00000000">
      <w:pPr>
        <w:rPr>
          <w:snapToGrid/>
          <w:szCs w:val="28"/>
        </w:rPr>
      </w:pPr>
      <w:r>
        <w:rPr>
          <w:snapToGrid/>
          <w:szCs w:val="28"/>
        </w:rPr>
        <w:tab/>
        <w:t>10.</w:t>
      </w:r>
      <w:r>
        <w:rPr>
          <w:rFonts w:hint="eastAsia"/>
          <w:snapToGrid/>
          <w:szCs w:val="28"/>
        </w:rPr>
        <w:t xml:space="preserve">  </w:t>
      </w:r>
      <w:r>
        <w:rPr>
          <w:rFonts w:hint="eastAsia"/>
          <w:snapToGrid/>
          <w:szCs w:val="28"/>
        </w:rPr>
        <w:t>中国法律和政策的精神与内容与《公约》是一致的。仅就《宪法》而言，在第</w:t>
      </w:r>
      <w:r>
        <w:rPr>
          <w:snapToGrid/>
          <w:szCs w:val="28"/>
        </w:rPr>
        <w:t>42</w:t>
      </w:r>
      <w:r>
        <w:rPr>
          <w:rFonts w:hint="eastAsia"/>
          <w:snapToGrid/>
          <w:szCs w:val="28"/>
        </w:rPr>
        <w:t>条至第</w:t>
      </w:r>
      <w:r>
        <w:rPr>
          <w:snapToGrid/>
          <w:szCs w:val="28"/>
        </w:rPr>
        <w:t>48</w:t>
      </w:r>
      <w:r>
        <w:rPr>
          <w:rFonts w:hint="eastAsia"/>
          <w:snapToGrid/>
          <w:szCs w:val="28"/>
        </w:rPr>
        <w:t>条对公民的劳动权、休息权、受教育权、科学研究及文化活动权、在年老、疾病或丧失劳动能力的情况下从国家和社会获得物质帮助权、合法财产所有权</w:t>
      </w:r>
      <w:r>
        <w:rPr>
          <w:snapToGrid/>
          <w:szCs w:val="28"/>
        </w:rPr>
        <w:t>，</w:t>
      </w:r>
      <w:r>
        <w:rPr>
          <w:rFonts w:hint="eastAsia"/>
          <w:snapToGrid/>
          <w:szCs w:val="28"/>
        </w:rPr>
        <w:t>私有财产继承权及男女平等权等作了全面规定。</w:t>
      </w:r>
      <w:r>
        <w:rPr>
          <w:snapToGrid/>
          <w:szCs w:val="28"/>
        </w:rPr>
        <w:t>1999</w:t>
      </w:r>
      <w:r>
        <w:rPr>
          <w:rFonts w:hint="eastAsia"/>
          <w:snapToGrid/>
          <w:szCs w:val="28"/>
        </w:rPr>
        <w:t>年</w:t>
      </w:r>
      <w:r>
        <w:rPr>
          <w:snapToGrid/>
          <w:szCs w:val="28"/>
        </w:rPr>
        <w:t>3</w:t>
      </w:r>
      <w:r>
        <w:rPr>
          <w:rFonts w:hint="eastAsia"/>
          <w:snapToGrid/>
          <w:szCs w:val="28"/>
        </w:rPr>
        <w:t>月</w:t>
      </w:r>
      <w:r>
        <w:rPr>
          <w:snapToGrid/>
          <w:szCs w:val="28"/>
        </w:rPr>
        <w:t>，</w:t>
      </w:r>
      <w:r>
        <w:rPr>
          <w:rFonts w:hint="eastAsia"/>
          <w:snapToGrid/>
          <w:szCs w:val="28"/>
        </w:rPr>
        <w:t>第九届全国人民代表大会第二次会议还通过《宪法》修正案</w:t>
      </w:r>
      <w:r>
        <w:rPr>
          <w:snapToGrid/>
          <w:szCs w:val="28"/>
        </w:rPr>
        <w:t>，</w:t>
      </w:r>
      <w:r>
        <w:rPr>
          <w:rFonts w:hint="eastAsia"/>
          <w:snapToGrid/>
          <w:szCs w:val="28"/>
        </w:rPr>
        <w:t>其中包括保护公民经社文权利方面的内容</w:t>
      </w:r>
      <w:r>
        <w:rPr>
          <w:snapToGrid/>
          <w:szCs w:val="28"/>
        </w:rPr>
        <w:t>，</w:t>
      </w:r>
      <w:r>
        <w:rPr>
          <w:rFonts w:hint="eastAsia"/>
          <w:snapToGrid/>
          <w:szCs w:val="28"/>
        </w:rPr>
        <w:t>如增加“个体经济、私营经济等非公有制经济</w:t>
      </w:r>
      <w:r>
        <w:rPr>
          <w:snapToGrid/>
          <w:szCs w:val="28"/>
        </w:rPr>
        <w:t>，</w:t>
      </w:r>
      <w:r>
        <w:rPr>
          <w:rFonts w:hint="eastAsia"/>
          <w:snapToGrid/>
          <w:szCs w:val="28"/>
        </w:rPr>
        <w:t>是社会主义市场经济的重要组成部分”</w:t>
      </w:r>
      <w:r>
        <w:rPr>
          <w:snapToGrid/>
          <w:szCs w:val="28"/>
        </w:rPr>
        <w:t>，</w:t>
      </w:r>
      <w:r>
        <w:rPr>
          <w:rFonts w:hint="eastAsia"/>
          <w:snapToGrid/>
          <w:szCs w:val="28"/>
        </w:rPr>
        <w:t>“国家保护个体经济、私营经济的合法权利和利益”等。</w:t>
      </w:r>
    </w:p>
    <w:p w:rsidR="00000000" w:rsidRDefault="00000000">
      <w:pPr>
        <w:rPr>
          <w:snapToGrid/>
          <w:szCs w:val="28"/>
        </w:rPr>
      </w:pPr>
      <w:r>
        <w:rPr>
          <w:snapToGrid/>
          <w:szCs w:val="28"/>
        </w:rPr>
        <w:tab/>
        <w:t xml:space="preserve">11.  </w:t>
      </w:r>
      <w:r>
        <w:rPr>
          <w:rFonts w:hint="eastAsia"/>
          <w:snapToGrid/>
          <w:szCs w:val="28"/>
        </w:rPr>
        <w:t>在促进和保护经济、社会和文化权利方面</w:t>
      </w:r>
      <w:r>
        <w:rPr>
          <w:snapToGrid/>
          <w:szCs w:val="28"/>
        </w:rPr>
        <w:t>，</w:t>
      </w:r>
      <w:r>
        <w:rPr>
          <w:rFonts w:hint="eastAsia"/>
          <w:snapToGrid/>
          <w:szCs w:val="28"/>
        </w:rPr>
        <w:t>中国主要依靠自身努力</w:t>
      </w:r>
      <w:r>
        <w:rPr>
          <w:snapToGrid/>
          <w:szCs w:val="28"/>
        </w:rPr>
        <w:t>，</w:t>
      </w:r>
      <w:r>
        <w:rPr>
          <w:rFonts w:hint="eastAsia"/>
          <w:snapToGrid/>
          <w:szCs w:val="28"/>
        </w:rPr>
        <w:t>并已取得举世瞩目的成就。同时</w:t>
      </w:r>
      <w:r>
        <w:rPr>
          <w:snapToGrid/>
          <w:szCs w:val="28"/>
        </w:rPr>
        <w:t>，</w:t>
      </w:r>
      <w:r>
        <w:rPr>
          <w:rFonts w:hint="eastAsia"/>
          <w:snapToGrid/>
          <w:szCs w:val="28"/>
        </w:rPr>
        <w:t>作为发展中国家</w:t>
      </w:r>
      <w:r>
        <w:rPr>
          <w:snapToGrid/>
          <w:szCs w:val="28"/>
        </w:rPr>
        <w:t>，</w:t>
      </w:r>
      <w:r>
        <w:rPr>
          <w:rFonts w:hint="eastAsia"/>
          <w:snapToGrid/>
          <w:szCs w:val="28"/>
        </w:rPr>
        <w:t>中国愿通过开展经济、技术合作等方式</w:t>
      </w:r>
      <w:r>
        <w:rPr>
          <w:snapToGrid/>
          <w:szCs w:val="28"/>
        </w:rPr>
        <w:t>，</w:t>
      </w:r>
      <w:r>
        <w:rPr>
          <w:rFonts w:hint="eastAsia"/>
          <w:snapToGrid/>
          <w:szCs w:val="28"/>
        </w:rPr>
        <w:t>借鉴其他国家的先进经验和成功作法，共同提高。改革开放以来</w:t>
      </w:r>
      <w:r>
        <w:rPr>
          <w:snapToGrid/>
          <w:szCs w:val="28"/>
        </w:rPr>
        <w:t>，</w:t>
      </w:r>
      <w:r>
        <w:rPr>
          <w:rFonts w:hint="eastAsia"/>
          <w:snapToGrid/>
          <w:szCs w:val="28"/>
        </w:rPr>
        <w:t>中国对外经济技术合作迈出坚实步伐，成效显著。</w:t>
      </w:r>
      <w:r>
        <w:rPr>
          <w:snapToGrid/>
          <w:szCs w:val="28"/>
        </w:rPr>
        <w:t>2002</w:t>
      </w:r>
      <w:r>
        <w:rPr>
          <w:rFonts w:hint="eastAsia"/>
          <w:snapToGrid/>
          <w:szCs w:val="28"/>
        </w:rPr>
        <w:t>年中国进出口总额达到</w:t>
      </w:r>
      <w:r>
        <w:rPr>
          <w:snapToGrid/>
          <w:szCs w:val="28"/>
        </w:rPr>
        <w:t>6000</w:t>
      </w:r>
      <w:r>
        <w:rPr>
          <w:rFonts w:hint="eastAsia"/>
          <w:snapToGrid/>
          <w:szCs w:val="28"/>
        </w:rPr>
        <w:t>多亿美元</w:t>
      </w:r>
      <w:r>
        <w:rPr>
          <w:snapToGrid/>
          <w:szCs w:val="28"/>
        </w:rPr>
        <w:t>，</w:t>
      </w:r>
      <w:r>
        <w:rPr>
          <w:rFonts w:hint="eastAsia"/>
          <w:snapToGrid/>
          <w:szCs w:val="28"/>
        </w:rPr>
        <w:t>对外开放的地域迅速扩大</w:t>
      </w:r>
      <w:r>
        <w:rPr>
          <w:snapToGrid/>
          <w:szCs w:val="28"/>
        </w:rPr>
        <w:t>，</w:t>
      </w:r>
      <w:r>
        <w:rPr>
          <w:rFonts w:hint="eastAsia"/>
          <w:snapToGrid/>
          <w:szCs w:val="28"/>
        </w:rPr>
        <w:t>形成了由沿海到内地</w:t>
      </w:r>
      <w:r>
        <w:rPr>
          <w:snapToGrid/>
          <w:szCs w:val="28"/>
        </w:rPr>
        <w:t>，</w:t>
      </w:r>
      <w:r>
        <w:rPr>
          <w:rFonts w:hint="eastAsia"/>
          <w:snapToGrid/>
          <w:szCs w:val="28"/>
        </w:rPr>
        <w:t>进而扩大至全方位、多层次与世界各地发展经贸往来。中国融入经济全球一体化和地区一体化的进程不断加快</w:t>
      </w:r>
      <w:r>
        <w:rPr>
          <w:snapToGrid/>
          <w:szCs w:val="28"/>
        </w:rPr>
        <w:t>，</w:t>
      </w:r>
      <w:r>
        <w:rPr>
          <w:rFonts w:hint="eastAsia"/>
          <w:snapToGrid/>
          <w:szCs w:val="28"/>
        </w:rPr>
        <w:t>发展对外合作正在国民经济中发挥着越来越重要的作用</w:t>
      </w:r>
      <w:r>
        <w:rPr>
          <w:snapToGrid/>
          <w:szCs w:val="28"/>
        </w:rPr>
        <w:t>，</w:t>
      </w:r>
      <w:r>
        <w:rPr>
          <w:rFonts w:hint="eastAsia"/>
          <w:snapToGrid/>
          <w:szCs w:val="28"/>
        </w:rPr>
        <w:t>成为拉动经济增长、增加财政收入、扩大社会就业、实现国际收支平衡不可缺少的重要力量</w:t>
      </w:r>
      <w:r>
        <w:rPr>
          <w:snapToGrid/>
          <w:szCs w:val="28"/>
        </w:rPr>
        <w:t>，</w:t>
      </w:r>
      <w:r>
        <w:rPr>
          <w:rFonts w:hint="eastAsia"/>
          <w:snapToGrid/>
          <w:szCs w:val="28"/>
        </w:rPr>
        <w:t>带动了中国经济、社会、文化等领域的共同发展。</w:t>
      </w:r>
    </w:p>
    <w:p w:rsidR="00000000" w:rsidRDefault="00000000">
      <w:pPr>
        <w:rPr>
          <w:snapToGrid/>
          <w:szCs w:val="28"/>
        </w:rPr>
      </w:pPr>
      <w:r>
        <w:rPr>
          <w:snapToGrid/>
          <w:szCs w:val="28"/>
        </w:rPr>
        <w:tab/>
        <w:t xml:space="preserve">12.  </w:t>
      </w:r>
      <w:r>
        <w:rPr>
          <w:rFonts w:hint="eastAsia"/>
          <w:snapToGrid/>
          <w:szCs w:val="28"/>
        </w:rPr>
        <w:t>中国加强借鉴和学习国际规则和通行做法。中国目前已加入《联合国国际货物销售合同公约》、《承认和执行外国仲裁裁决公约》、《保护工业产权巴黎公约》、《关于解决各国与他国国民投资争端的公约》、《多边投资担保机构公约》等国际公约</w:t>
      </w:r>
      <w:r>
        <w:rPr>
          <w:snapToGrid/>
          <w:szCs w:val="28"/>
        </w:rPr>
        <w:t>，</w:t>
      </w:r>
      <w:r>
        <w:rPr>
          <w:rFonts w:hint="eastAsia"/>
          <w:snapToGrid/>
          <w:szCs w:val="28"/>
        </w:rPr>
        <w:t>与</w:t>
      </w:r>
      <w:r>
        <w:rPr>
          <w:snapToGrid/>
          <w:szCs w:val="28"/>
        </w:rPr>
        <w:t>135</w:t>
      </w:r>
      <w:r>
        <w:rPr>
          <w:rFonts w:hint="eastAsia"/>
          <w:snapToGrid/>
          <w:szCs w:val="28"/>
        </w:rPr>
        <w:t>个国家和地区建立了科技合作关系</w:t>
      </w:r>
      <w:r>
        <w:rPr>
          <w:snapToGrid/>
          <w:szCs w:val="28"/>
        </w:rPr>
        <w:t>，</w:t>
      </w:r>
      <w:r>
        <w:rPr>
          <w:rFonts w:hint="eastAsia"/>
          <w:snapToGrid/>
          <w:szCs w:val="28"/>
        </w:rPr>
        <w:t>与</w:t>
      </w:r>
      <w:r>
        <w:rPr>
          <w:snapToGrid/>
          <w:szCs w:val="28"/>
        </w:rPr>
        <w:t>154</w:t>
      </w:r>
      <w:r>
        <w:rPr>
          <w:rFonts w:hint="eastAsia"/>
          <w:snapToGrid/>
          <w:szCs w:val="28"/>
        </w:rPr>
        <w:t>个国家和地区建立了教育文化交流和合作关系</w:t>
      </w:r>
      <w:r>
        <w:rPr>
          <w:snapToGrid/>
          <w:szCs w:val="28"/>
        </w:rPr>
        <w:t>，</w:t>
      </w:r>
      <w:r>
        <w:rPr>
          <w:rFonts w:hint="eastAsia"/>
          <w:snapToGrid/>
          <w:szCs w:val="28"/>
        </w:rPr>
        <w:t>签订了</w:t>
      </w:r>
      <w:r>
        <w:rPr>
          <w:snapToGrid/>
          <w:szCs w:val="28"/>
        </w:rPr>
        <w:t>95</w:t>
      </w:r>
      <w:r>
        <w:rPr>
          <w:rFonts w:hint="eastAsia"/>
          <w:snapToGrid/>
          <w:szCs w:val="28"/>
        </w:rPr>
        <w:t>份政府间科技合作协议、</w:t>
      </w:r>
      <w:r>
        <w:rPr>
          <w:snapToGrid/>
          <w:szCs w:val="28"/>
        </w:rPr>
        <w:t>145</w:t>
      </w:r>
      <w:r>
        <w:rPr>
          <w:rFonts w:hint="eastAsia"/>
          <w:snapToGrid/>
          <w:szCs w:val="28"/>
        </w:rPr>
        <w:t>份政府间文化合作协议</w:t>
      </w:r>
      <w:r>
        <w:rPr>
          <w:snapToGrid/>
          <w:szCs w:val="28"/>
        </w:rPr>
        <w:t>，</w:t>
      </w:r>
      <w:r>
        <w:rPr>
          <w:rFonts w:hint="eastAsia"/>
          <w:snapToGrid/>
          <w:szCs w:val="28"/>
        </w:rPr>
        <w:t>加入了</w:t>
      </w:r>
      <w:r>
        <w:rPr>
          <w:snapToGrid/>
          <w:szCs w:val="28"/>
        </w:rPr>
        <w:t>75</w:t>
      </w:r>
      <w:r>
        <w:rPr>
          <w:rFonts w:hint="eastAsia"/>
          <w:snapToGrid/>
          <w:szCs w:val="28"/>
        </w:rPr>
        <w:t>个国际学术组织。截至</w:t>
      </w:r>
      <w:r>
        <w:rPr>
          <w:snapToGrid/>
          <w:szCs w:val="28"/>
        </w:rPr>
        <w:t>2002</w:t>
      </w:r>
      <w:r>
        <w:rPr>
          <w:rFonts w:hint="eastAsia"/>
          <w:snapToGrid/>
          <w:szCs w:val="28"/>
        </w:rPr>
        <w:t>年底</w:t>
      </w:r>
      <w:r>
        <w:rPr>
          <w:snapToGrid/>
          <w:szCs w:val="28"/>
        </w:rPr>
        <w:t>，</w:t>
      </w:r>
      <w:r>
        <w:rPr>
          <w:rFonts w:hint="eastAsia"/>
          <w:snapToGrid/>
          <w:szCs w:val="28"/>
        </w:rPr>
        <w:t>中国已累计向</w:t>
      </w:r>
      <w:r>
        <w:rPr>
          <w:snapToGrid/>
          <w:szCs w:val="28"/>
        </w:rPr>
        <w:t>100</w:t>
      </w:r>
      <w:r>
        <w:rPr>
          <w:rFonts w:hint="eastAsia"/>
          <w:snapToGrid/>
          <w:szCs w:val="28"/>
        </w:rPr>
        <w:t>多个国家和地区派遣了约</w:t>
      </w:r>
      <w:r>
        <w:rPr>
          <w:snapToGrid/>
          <w:szCs w:val="28"/>
        </w:rPr>
        <w:t>58</w:t>
      </w:r>
      <w:r>
        <w:rPr>
          <w:rFonts w:hint="eastAsia"/>
          <w:snapToGrid/>
          <w:szCs w:val="28"/>
        </w:rPr>
        <w:t>万留学人员</w:t>
      </w:r>
      <w:r>
        <w:rPr>
          <w:snapToGrid/>
          <w:szCs w:val="28"/>
        </w:rPr>
        <w:t>，</w:t>
      </w:r>
      <w:r>
        <w:rPr>
          <w:rFonts w:hint="eastAsia"/>
          <w:snapToGrid/>
          <w:szCs w:val="28"/>
        </w:rPr>
        <w:t>同时累计接受了</w:t>
      </w:r>
      <w:r>
        <w:rPr>
          <w:snapToGrid/>
          <w:szCs w:val="28"/>
        </w:rPr>
        <w:t>170</w:t>
      </w:r>
      <w:r>
        <w:rPr>
          <w:rFonts w:hint="eastAsia"/>
          <w:snapToGrid/>
          <w:szCs w:val="28"/>
        </w:rPr>
        <w:t>个国家和地区的留学生近</w:t>
      </w:r>
      <w:r>
        <w:rPr>
          <w:snapToGrid/>
          <w:szCs w:val="28"/>
        </w:rPr>
        <w:t>54</w:t>
      </w:r>
      <w:r>
        <w:rPr>
          <w:rFonts w:hint="eastAsia"/>
          <w:snapToGrid/>
          <w:szCs w:val="28"/>
        </w:rPr>
        <w:t>万人。中国开展经济、技术、教育、科学等领域的对外合作</w:t>
      </w:r>
      <w:r>
        <w:rPr>
          <w:snapToGrid/>
          <w:szCs w:val="28"/>
        </w:rPr>
        <w:t>，</w:t>
      </w:r>
      <w:r>
        <w:rPr>
          <w:rFonts w:hint="eastAsia"/>
          <w:snapToGrid/>
          <w:szCs w:val="28"/>
        </w:rPr>
        <w:t>为进一步提高公民享受经社文权利水平发挥了重要作用。</w:t>
      </w:r>
    </w:p>
    <w:p w:rsidR="00000000" w:rsidRDefault="00000000">
      <w:pPr>
        <w:rPr>
          <w:snapToGrid/>
          <w:szCs w:val="28"/>
        </w:rPr>
      </w:pPr>
      <w:r>
        <w:rPr>
          <w:snapToGrid/>
          <w:szCs w:val="28"/>
        </w:rPr>
        <w:tab/>
        <w:t xml:space="preserve">13.  </w:t>
      </w:r>
      <w:r>
        <w:rPr>
          <w:rFonts w:hint="eastAsia"/>
          <w:snapToGrid/>
          <w:szCs w:val="28"/>
        </w:rPr>
        <w:t>中国目前仍是发展中国家。受经济、社会发展水平的制约</w:t>
      </w:r>
      <w:r>
        <w:rPr>
          <w:snapToGrid/>
          <w:szCs w:val="28"/>
        </w:rPr>
        <w:t>，</w:t>
      </w:r>
      <w:r>
        <w:rPr>
          <w:rFonts w:hint="eastAsia"/>
          <w:snapToGrid/>
          <w:szCs w:val="28"/>
        </w:rPr>
        <w:t>《公约》虽然已对中国生效</w:t>
      </w:r>
      <w:r>
        <w:rPr>
          <w:snapToGrid/>
          <w:szCs w:val="28"/>
        </w:rPr>
        <w:t>，</w:t>
      </w:r>
      <w:r>
        <w:rPr>
          <w:rFonts w:hint="eastAsia"/>
          <w:snapToGrid/>
          <w:szCs w:val="28"/>
        </w:rPr>
        <w:t>但不意味着全部条款已全面实现。某些权利的享受还不能达到《公约》要求。中国也面临着进一步减少贫困人口、缩小贫富差距等任务</w:t>
      </w:r>
      <w:r>
        <w:rPr>
          <w:snapToGrid/>
          <w:szCs w:val="28"/>
        </w:rPr>
        <w:t>，</w:t>
      </w:r>
      <w:r>
        <w:rPr>
          <w:rFonts w:hint="eastAsia"/>
          <w:snapToGrid/>
          <w:szCs w:val="28"/>
        </w:rPr>
        <w:t>面对人口增多、资源短缺等各种困难和压力。但有了</w:t>
      </w:r>
      <w:r>
        <w:rPr>
          <w:snapToGrid/>
          <w:szCs w:val="28"/>
        </w:rPr>
        <w:t>50</w:t>
      </w:r>
      <w:r>
        <w:rPr>
          <w:rFonts w:hint="eastAsia"/>
          <w:snapToGrid/>
          <w:szCs w:val="28"/>
        </w:rPr>
        <w:t>多年的发展基础</w:t>
      </w:r>
      <w:r>
        <w:rPr>
          <w:snapToGrid/>
          <w:szCs w:val="28"/>
        </w:rPr>
        <w:t>，</w:t>
      </w:r>
      <w:r>
        <w:rPr>
          <w:rFonts w:hint="eastAsia"/>
          <w:snapToGrid/>
          <w:szCs w:val="28"/>
        </w:rPr>
        <w:t>特别是有了改革开放</w:t>
      </w:r>
      <w:r>
        <w:rPr>
          <w:snapToGrid/>
          <w:szCs w:val="28"/>
        </w:rPr>
        <w:t>20</w:t>
      </w:r>
      <w:r>
        <w:rPr>
          <w:rFonts w:hint="eastAsia"/>
          <w:snapToGrid/>
          <w:szCs w:val="28"/>
        </w:rPr>
        <w:t>多年的成功经验</w:t>
      </w:r>
      <w:r>
        <w:rPr>
          <w:snapToGrid/>
          <w:szCs w:val="28"/>
        </w:rPr>
        <w:t>，</w:t>
      </w:r>
      <w:r>
        <w:rPr>
          <w:rFonts w:hint="eastAsia"/>
          <w:snapToGrid/>
          <w:szCs w:val="28"/>
        </w:rPr>
        <w:t>中国政府和人民完全能够解决发展道路上遇到的问题，不断提高享受各项人权与基本自由的水平。</w:t>
      </w:r>
    </w:p>
    <w:p w:rsidR="00000000" w:rsidRDefault="00000000">
      <w:pPr>
        <w:rPr>
          <w:snapToGrid/>
          <w:szCs w:val="32"/>
        </w:rPr>
      </w:pPr>
      <w:r>
        <w:rPr>
          <w:snapToGrid/>
          <w:szCs w:val="28"/>
        </w:rPr>
        <w:tab/>
        <w:t xml:space="preserve">14.  </w:t>
      </w:r>
      <w:r>
        <w:rPr>
          <w:rFonts w:hint="eastAsia"/>
          <w:snapToGrid/>
          <w:szCs w:val="28"/>
        </w:rPr>
        <w:t>在保障公民权益的同时</w:t>
      </w:r>
      <w:r>
        <w:rPr>
          <w:snapToGrid/>
          <w:szCs w:val="28"/>
        </w:rPr>
        <w:t>，</w:t>
      </w:r>
      <w:r>
        <w:rPr>
          <w:rFonts w:hint="eastAsia"/>
          <w:snapToGrid/>
          <w:szCs w:val="28"/>
        </w:rPr>
        <w:t>中国一贯坚持非歧视原则。《宪法》第</w:t>
      </w:r>
      <w:r>
        <w:rPr>
          <w:snapToGrid/>
          <w:szCs w:val="28"/>
        </w:rPr>
        <w:t>33</w:t>
      </w:r>
      <w:r>
        <w:rPr>
          <w:rFonts w:hint="eastAsia"/>
          <w:snapToGrid/>
          <w:szCs w:val="28"/>
        </w:rPr>
        <w:t>条规定</w:t>
      </w:r>
      <w:r>
        <w:rPr>
          <w:snapToGrid/>
          <w:szCs w:val="28"/>
        </w:rPr>
        <w:t>：</w:t>
      </w:r>
      <w:r>
        <w:rPr>
          <w:rFonts w:hint="eastAsia"/>
          <w:snapToGrid/>
          <w:szCs w:val="28"/>
        </w:rPr>
        <w:t>“中华人民共和国公民在法律面前一律平等。”</w:t>
      </w:r>
      <w:r>
        <w:rPr>
          <w:rFonts w:hint="eastAsia"/>
          <w:snapToGrid/>
          <w:szCs w:val="32"/>
        </w:rPr>
        <w:t>该项规定保障了公民不分民族、种族、性别、职业、家庭出身、宗教信仰、教育程度、财产状况等平等地享有法律规定的各项权利。在此基础上，中国还通过制定《民法通则》、《婚姻法》、《继承法》、《教育法》、《义务教育法》、《劳动法》等多部法律对非歧视原则在相关领域的实践作出具体规定</w:t>
      </w:r>
      <w:r>
        <w:rPr>
          <w:snapToGrid/>
          <w:szCs w:val="32"/>
        </w:rPr>
        <w:t>，</w:t>
      </w:r>
      <w:r>
        <w:rPr>
          <w:rFonts w:hint="eastAsia"/>
          <w:snapToGrid/>
          <w:szCs w:val="32"/>
        </w:rPr>
        <w:t>以便于执行。此外</w:t>
      </w:r>
      <w:r>
        <w:rPr>
          <w:snapToGrid/>
          <w:szCs w:val="32"/>
        </w:rPr>
        <w:t>，</w:t>
      </w:r>
      <w:r>
        <w:rPr>
          <w:rFonts w:hint="eastAsia"/>
          <w:snapToGrid/>
          <w:szCs w:val="32"/>
        </w:rPr>
        <w:t>中国制定了《妇女权益保障法》、《未成年人保护法》、《残疾人保障法》、《老年人权益保障法》等法律对特殊群体的权益加以保护。</w:t>
      </w:r>
    </w:p>
    <w:p w:rsidR="00000000" w:rsidRDefault="00000000">
      <w:pPr>
        <w:rPr>
          <w:rFonts w:hint="eastAsia"/>
        </w:rPr>
      </w:pPr>
      <w:r>
        <w:rPr>
          <w:snapToGrid/>
          <w:szCs w:val="32"/>
        </w:rPr>
        <w:tab/>
        <w:t xml:space="preserve">15.  </w:t>
      </w:r>
      <w:r>
        <w:rPr>
          <w:rFonts w:hint="eastAsia"/>
          <w:snapToGrid/>
          <w:szCs w:val="32"/>
        </w:rPr>
        <w:t>为全面贯彻非歧视原则</w:t>
      </w:r>
      <w:r>
        <w:rPr>
          <w:snapToGrid/>
          <w:szCs w:val="32"/>
        </w:rPr>
        <w:t>，</w:t>
      </w:r>
      <w:r>
        <w:rPr>
          <w:rFonts w:hint="eastAsia"/>
          <w:snapToGrid/>
          <w:szCs w:val="32"/>
        </w:rPr>
        <w:t>中国注意保障在华外国人的权益</w:t>
      </w:r>
      <w:r>
        <w:rPr>
          <w:snapToGrid/>
          <w:szCs w:val="32"/>
        </w:rPr>
        <w:t>，</w:t>
      </w:r>
      <w:r>
        <w:rPr>
          <w:rFonts w:hint="eastAsia"/>
          <w:snapToGrid/>
          <w:szCs w:val="32"/>
        </w:rPr>
        <w:t>以充分实现《公约》第二条的规定与要求。《宪法》第</w:t>
      </w:r>
      <w:r>
        <w:rPr>
          <w:snapToGrid/>
          <w:szCs w:val="32"/>
        </w:rPr>
        <w:t>32</w:t>
      </w:r>
      <w:r>
        <w:rPr>
          <w:rFonts w:hint="eastAsia"/>
          <w:snapToGrid/>
          <w:szCs w:val="32"/>
        </w:rPr>
        <w:t>条规定</w:t>
      </w:r>
      <w:r>
        <w:rPr>
          <w:snapToGrid/>
          <w:szCs w:val="32"/>
        </w:rPr>
        <w:t>：</w:t>
      </w:r>
      <w:r>
        <w:rPr>
          <w:rFonts w:hint="eastAsia"/>
          <w:snapToGrid/>
          <w:szCs w:val="32"/>
        </w:rPr>
        <w:t>“中华人民共和国保护在中国境内的外国人的合法权益和利益</w:t>
      </w:r>
      <w:r>
        <w:rPr>
          <w:snapToGrid/>
          <w:szCs w:val="32"/>
        </w:rPr>
        <w:t>，</w:t>
      </w:r>
      <w:r>
        <w:rPr>
          <w:rFonts w:hint="eastAsia"/>
          <w:snapToGrid/>
          <w:szCs w:val="32"/>
        </w:rPr>
        <w:t>在中国境内的外国人必须遵守中华人民共和国的法律。“该项规定为保障在华外国人的权益提供了根本法律保障。中国其它有关外国人在华地位的法律法规均以此为依据。这些法律法规主要分为两类</w:t>
      </w:r>
      <w:r>
        <w:rPr>
          <w:snapToGrid/>
          <w:szCs w:val="32"/>
        </w:rPr>
        <w:t>：</w:t>
      </w:r>
      <w:r>
        <w:rPr>
          <w:snapToGrid/>
          <w:szCs w:val="32"/>
        </w:rPr>
        <w:t>(1)</w:t>
      </w:r>
      <w:r>
        <w:rPr>
          <w:rFonts w:hint="eastAsia"/>
          <w:snapToGrid/>
          <w:szCs w:val="32"/>
        </w:rPr>
        <w:t>有关外国人实体权利和义务的法律规定。如《宪法》第</w:t>
      </w:r>
      <w:r>
        <w:rPr>
          <w:snapToGrid/>
          <w:szCs w:val="32"/>
        </w:rPr>
        <w:t>18</w:t>
      </w:r>
      <w:r>
        <w:rPr>
          <w:rFonts w:hint="eastAsia"/>
          <w:snapToGrid/>
          <w:szCs w:val="32"/>
        </w:rPr>
        <w:t>条规定</w:t>
      </w:r>
      <w:r>
        <w:rPr>
          <w:snapToGrid/>
          <w:szCs w:val="32"/>
        </w:rPr>
        <w:t>：</w:t>
      </w:r>
      <w:r>
        <w:rPr>
          <w:rFonts w:hint="eastAsia"/>
          <w:snapToGrid/>
          <w:szCs w:val="32"/>
        </w:rPr>
        <w:t>“中华人民共和国允许外国的企业和其它经济组织或者个人依照中华人民共和国法律的规定在中国投资</w:t>
      </w:r>
      <w:r>
        <w:rPr>
          <w:snapToGrid/>
          <w:szCs w:val="32"/>
        </w:rPr>
        <w:t>，</w:t>
      </w:r>
      <w:r>
        <w:rPr>
          <w:rFonts w:hint="eastAsia"/>
          <w:snapToGrid/>
          <w:szCs w:val="32"/>
        </w:rPr>
        <w:t>同中国的企业和其它经济组织进行各种形式的经济合作……</w:t>
      </w:r>
      <w:r>
        <w:rPr>
          <w:snapToGrid/>
          <w:szCs w:val="32"/>
        </w:rPr>
        <w:t>，</w:t>
      </w:r>
      <w:r>
        <w:rPr>
          <w:rFonts w:hint="eastAsia"/>
          <w:snapToGrid/>
          <w:szCs w:val="32"/>
        </w:rPr>
        <w:t>必须遵守中华人民共和国的法律。他们的合法权利和利益受中华人民共和国法律的保护。”此外《民法通则》、《著作权法》、《商标法》和《专利法》等法律都具体规定了对外国人在华各项权利的保护原则和措施。</w:t>
      </w:r>
      <w:r>
        <w:rPr>
          <w:snapToGrid/>
          <w:szCs w:val="32"/>
        </w:rPr>
        <w:t>(2)</w:t>
      </w:r>
      <w:r>
        <w:rPr>
          <w:rFonts w:hint="eastAsia"/>
          <w:snapToGrid/>
          <w:szCs w:val="32"/>
        </w:rPr>
        <w:t xml:space="preserve"> </w:t>
      </w:r>
      <w:r>
        <w:rPr>
          <w:rFonts w:hint="eastAsia"/>
          <w:snapToGrid/>
          <w:szCs w:val="32"/>
        </w:rPr>
        <w:t>规定外国人民事诉讼权利的立法。如《民事诉讼法》第</w:t>
      </w:r>
      <w:r>
        <w:rPr>
          <w:snapToGrid/>
          <w:szCs w:val="32"/>
        </w:rPr>
        <w:t>5</w:t>
      </w:r>
      <w:r>
        <w:rPr>
          <w:rFonts w:hint="eastAsia"/>
          <w:snapToGrid/>
          <w:szCs w:val="32"/>
        </w:rPr>
        <w:t>条规定了在诉讼程序上给外国人以国民待遇，并采取互惠</w:t>
      </w:r>
      <w:r>
        <w:rPr>
          <w:rFonts w:hint="eastAsia"/>
        </w:rPr>
        <w:t>对等的原则。</w:t>
      </w:r>
    </w:p>
    <w:p w:rsidR="00000000" w:rsidRDefault="00000000">
      <w:pPr>
        <w:spacing w:after="320"/>
        <w:rPr>
          <w:rFonts w:hint="eastAsia"/>
        </w:rPr>
      </w:pPr>
      <w:r>
        <w:rPr>
          <w:rFonts w:hint="eastAsia"/>
        </w:rPr>
        <w:tab/>
      </w:r>
      <w:r>
        <w:t xml:space="preserve">16.  </w:t>
      </w:r>
      <w:r>
        <w:rPr>
          <w:rFonts w:hint="eastAsia"/>
        </w:rPr>
        <w:t>除国内立法外</w:t>
      </w:r>
      <w:r>
        <w:t>，</w:t>
      </w:r>
      <w:r>
        <w:rPr>
          <w:rFonts w:hint="eastAsia"/>
        </w:rPr>
        <w:t>中国还同有关国家缔结了一系列含有规定外国国民在本国境内待遇的双边条约和国际公约</w:t>
      </w:r>
      <w:r>
        <w:t>，</w:t>
      </w:r>
      <w:r>
        <w:rPr>
          <w:rFonts w:hint="eastAsia"/>
        </w:rPr>
        <w:t>如贸易、投资保护以及避免双重征税的协定。</w:t>
      </w:r>
    </w:p>
    <w:p w:rsidR="00000000" w:rsidRDefault="00000000">
      <w:pPr>
        <w:pStyle w:val="Heading3"/>
        <w:rPr>
          <w:rFonts w:hint="eastAsia"/>
        </w:rPr>
      </w:pPr>
      <w:bookmarkStart w:id="11" w:name="_Toc78772926"/>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三</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男</w:t>
      </w:r>
      <w:r>
        <w:rPr>
          <w:rFonts w:ascii="Time New Roman" w:eastAsia="SimHei" w:hAnsi="Time New Roman" w:hint="eastAsia"/>
          <w:u w:val="none"/>
        </w:rPr>
        <w:t xml:space="preserve"> </w:t>
      </w:r>
      <w:r>
        <w:rPr>
          <w:rFonts w:ascii="Time New Roman" w:eastAsia="SimHei" w:hAnsi="Time New Roman" w:hint="eastAsia"/>
          <w:u w:val="none"/>
        </w:rPr>
        <w:t>女</w:t>
      </w:r>
      <w:r>
        <w:rPr>
          <w:rFonts w:ascii="Time New Roman" w:eastAsia="SimHei" w:hAnsi="Time New Roman" w:hint="eastAsia"/>
          <w:u w:val="none"/>
        </w:rPr>
        <w:t xml:space="preserve"> </w:t>
      </w:r>
      <w:r>
        <w:rPr>
          <w:rFonts w:ascii="Time New Roman" w:eastAsia="SimHei" w:hAnsi="Time New Roman" w:hint="eastAsia"/>
          <w:u w:val="none"/>
        </w:rPr>
        <w:t>平</w:t>
      </w:r>
      <w:r>
        <w:rPr>
          <w:rFonts w:ascii="Time New Roman" w:eastAsia="SimHei" w:hAnsi="Time New Roman" w:hint="eastAsia"/>
          <w:u w:val="none"/>
        </w:rPr>
        <w:t xml:space="preserve"> </w:t>
      </w:r>
      <w:r>
        <w:rPr>
          <w:rFonts w:ascii="Time New Roman" w:eastAsia="SimHei" w:hAnsi="Time New Roman" w:hint="eastAsia"/>
          <w:u w:val="none"/>
        </w:rPr>
        <w:t>等</w:t>
      </w:r>
      <w:bookmarkEnd w:id="11"/>
    </w:p>
    <w:p w:rsidR="00000000" w:rsidRDefault="00000000">
      <w:pPr>
        <w:rPr>
          <w:rFonts w:hint="eastAsia"/>
        </w:rPr>
      </w:pPr>
      <w:r>
        <w:tab/>
        <w:t xml:space="preserve">17.  </w:t>
      </w:r>
      <w:r>
        <w:rPr>
          <w:rFonts w:hint="eastAsia"/>
        </w:rPr>
        <w:t>实现男女平等是衡量社会文明程度的重要尺度。中国把推动和实现男女平等作为促进国家社会发展的一项基本国策</w:t>
      </w:r>
      <w:r>
        <w:t>，</w:t>
      </w:r>
      <w:r>
        <w:rPr>
          <w:rFonts w:hint="eastAsia"/>
        </w:rPr>
        <w:t>不断致力于妇女的发展和进步。</w:t>
      </w:r>
    </w:p>
    <w:p w:rsidR="00000000" w:rsidRDefault="00000000">
      <w:r>
        <w:rPr>
          <w:rFonts w:hint="eastAsia"/>
        </w:rPr>
        <w:tab/>
      </w:r>
      <w:r>
        <w:t xml:space="preserve">18.  </w:t>
      </w:r>
      <w:r>
        <w:rPr>
          <w:rFonts w:hint="eastAsia"/>
        </w:rPr>
        <w:t>建立健全保护妇女儿童的法律法规。目前，中国已形成以《宪法》为基础，以《妇女权益保障法》为主体，包括《婚姻法》、《劳动法》、《教育法》、《母婴保健法》、《继承法》、《残疾人权益保障法》、《老年人权益保障法》等相关法律法规的比较完备的保障妇女权益的法律体系。</w:t>
      </w:r>
      <w:r>
        <w:t>1992</w:t>
      </w:r>
      <w:r>
        <w:rPr>
          <w:rFonts w:hint="eastAsia"/>
        </w:rPr>
        <w:t>年颁布实施的《妇女权益保障法》强调妇女与男子具有同等的人格和尊严、同等的权利和地位</w:t>
      </w:r>
      <w:r>
        <w:t>，</w:t>
      </w:r>
      <w:r>
        <w:rPr>
          <w:rFonts w:hint="eastAsia"/>
        </w:rPr>
        <w:t>对妇女在政治、经济、文化教育、人身保障及在家庭和社会中应享有的基本权利作出了明确规定。</w:t>
      </w:r>
    </w:p>
    <w:p w:rsidR="00000000" w:rsidRDefault="00000000">
      <w:pPr>
        <w:rPr>
          <w:szCs w:val="30"/>
        </w:rPr>
      </w:pPr>
      <w:r>
        <w:tab/>
        <w:t xml:space="preserve">19.  </w:t>
      </w:r>
      <w:r>
        <w:rPr>
          <w:rFonts w:hint="eastAsia"/>
        </w:rPr>
        <w:t>建立提高妇女地位的国家机制。</w:t>
      </w:r>
      <w:r>
        <w:t>1990</w:t>
      </w:r>
      <w:r>
        <w:rPr>
          <w:rFonts w:hint="eastAsia"/>
        </w:rPr>
        <w:t>年中国成立了提高妇女地位的国家机构</w:t>
      </w:r>
      <w:r>
        <w:rPr>
          <w:rFonts w:hint="eastAsia"/>
          <w:spacing w:val="-40"/>
        </w:rPr>
        <w:t>――</w:t>
      </w:r>
      <w:r>
        <w:rPr>
          <w:rFonts w:hint="eastAsia"/>
          <w:spacing w:val="-40"/>
        </w:rPr>
        <w:t xml:space="preserve"> </w:t>
      </w:r>
      <w:r>
        <w:rPr>
          <w:rFonts w:hint="eastAsia"/>
        </w:rPr>
        <w:t>国务院妇女儿童工作委员会。其主要职能是</w:t>
      </w:r>
      <w:r>
        <w:t>：</w:t>
      </w:r>
      <w:r>
        <w:rPr>
          <w:rFonts w:hint="eastAsia"/>
        </w:rPr>
        <w:t>负责协调政府各部门和非政府组织</w:t>
      </w:r>
      <w:r>
        <w:t>，</w:t>
      </w:r>
      <w:r>
        <w:rPr>
          <w:rFonts w:hint="eastAsia"/>
        </w:rPr>
        <w:t>做好妇女儿童工作</w:t>
      </w:r>
      <w:r>
        <w:t>，</w:t>
      </w:r>
      <w:r>
        <w:rPr>
          <w:rFonts w:hint="eastAsia"/>
        </w:rPr>
        <w:t>推动妇女儿童事业的发展；维护妇女儿童权利；监督保护妇女儿童权益的有关法律法规及妇女儿童发展纲要的实施。国务院妇女儿童工作委员会经过</w:t>
      </w:r>
      <w:r>
        <w:t>10</w:t>
      </w:r>
      <w:r>
        <w:rPr>
          <w:rFonts w:hint="eastAsia"/>
        </w:rPr>
        <w:t>多年的发展和完善，已由最初的</w:t>
      </w:r>
      <w:r>
        <w:t>19</w:t>
      </w:r>
      <w:r>
        <w:rPr>
          <w:rFonts w:hint="eastAsia"/>
        </w:rPr>
        <w:t>个成员单</w:t>
      </w:r>
      <w:r>
        <w:rPr>
          <w:rFonts w:hint="eastAsia"/>
          <w:szCs w:val="30"/>
        </w:rPr>
        <w:t>位增加到目前的</w:t>
      </w:r>
      <w:r>
        <w:rPr>
          <w:szCs w:val="30"/>
        </w:rPr>
        <w:t>29</w:t>
      </w:r>
      <w:r>
        <w:rPr>
          <w:rFonts w:hint="eastAsia"/>
          <w:szCs w:val="30"/>
        </w:rPr>
        <w:t>个</w:t>
      </w:r>
      <w:r>
        <w:rPr>
          <w:szCs w:val="30"/>
        </w:rPr>
        <w:t>(</w:t>
      </w:r>
      <w:r>
        <w:rPr>
          <w:rFonts w:hint="eastAsia"/>
          <w:szCs w:val="30"/>
        </w:rPr>
        <w:t>包括</w:t>
      </w:r>
      <w:r>
        <w:rPr>
          <w:szCs w:val="30"/>
        </w:rPr>
        <w:t>24</w:t>
      </w:r>
      <w:r>
        <w:rPr>
          <w:rFonts w:hint="eastAsia"/>
          <w:szCs w:val="30"/>
        </w:rPr>
        <w:t>个政府部门和</w:t>
      </w:r>
      <w:r>
        <w:rPr>
          <w:szCs w:val="30"/>
        </w:rPr>
        <w:t>5</w:t>
      </w:r>
      <w:r>
        <w:rPr>
          <w:rFonts w:hint="eastAsia"/>
          <w:szCs w:val="30"/>
        </w:rPr>
        <w:t>个非政府组织</w:t>
      </w:r>
      <w:r>
        <w:rPr>
          <w:szCs w:val="30"/>
        </w:rPr>
        <w:t>)</w:t>
      </w:r>
      <w:r>
        <w:rPr>
          <w:rFonts w:hint="eastAsia"/>
          <w:szCs w:val="30"/>
        </w:rPr>
        <w:t>。目前全国</w:t>
      </w:r>
      <w:r>
        <w:rPr>
          <w:szCs w:val="30"/>
        </w:rPr>
        <w:t>31</w:t>
      </w:r>
      <w:r>
        <w:rPr>
          <w:rFonts w:hint="eastAsia"/>
          <w:szCs w:val="30"/>
        </w:rPr>
        <w:t>个省、市、自治区、</w:t>
      </w:r>
      <w:r>
        <w:rPr>
          <w:szCs w:val="30"/>
        </w:rPr>
        <w:t>80%</w:t>
      </w:r>
      <w:r>
        <w:rPr>
          <w:rFonts w:hint="eastAsia"/>
          <w:szCs w:val="30"/>
        </w:rPr>
        <w:t>以上的地</w:t>
      </w:r>
      <w:r>
        <w:rPr>
          <w:szCs w:val="30"/>
        </w:rPr>
        <w:t>(</w:t>
      </w:r>
      <w:r>
        <w:rPr>
          <w:rFonts w:hint="eastAsia"/>
          <w:szCs w:val="30"/>
        </w:rPr>
        <w:t>市</w:t>
      </w:r>
      <w:r>
        <w:rPr>
          <w:szCs w:val="30"/>
        </w:rPr>
        <w:t>)</w:t>
      </w:r>
      <w:r>
        <w:rPr>
          <w:rFonts w:hint="eastAsia"/>
          <w:szCs w:val="30"/>
        </w:rPr>
        <w:t>、县均设立了跨部门的妇女儿童工作机构</w:t>
      </w:r>
      <w:r>
        <w:rPr>
          <w:szCs w:val="30"/>
        </w:rPr>
        <w:t>，</w:t>
      </w:r>
      <w:r>
        <w:rPr>
          <w:rFonts w:hint="eastAsia"/>
          <w:szCs w:val="30"/>
        </w:rPr>
        <w:t>由同级政府负责人直接领导。同时还建立了各成员单位年度报告制度</w:t>
      </w:r>
      <w:r>
        <w:rPr>
          <w:szCs w:val="30"/>
        </w:rPr>
        <w:t>，</w:t>
      </w:r>
      <w:r>
        <w:rPr>
          <w:rFonts w:hint="eastAsia"/>
          <w:szCs w:val="30"/>
        </w:rPr>
        <w:t>督促各职能部门切实履行职责</w:t>
      </w:r>
      <w:r>
        <w:rPr>
          <w:szCs w:val="30"/>
        </w:rPr>
        <w:t>，</w:t>
      </w:r>
      <w:r>
        <w:rPr>
          <w:rFonts w:hint="eastAsia"/>
          <w:szCs w:val="30"/>
        </w:rPr>
        <w:t>加强信息交流。国务院妇女儿童工作委员会在促进性别意识纳入政策、计划、方案方面发挥了重要作用。</w:t>
      </w:r>
    </w:p>
    <w:p w:rsidR="00000000" w:rsidRDefault="00000000">
      <w:pPr>
        <w:rPr>
          <w:szCs w:val="30"/>
        </w:rPr>
      </w:pPr>
      <w:r>
        <w:rPr>
          <w:szCs w:val="30"/>
        </w:rPr>
        <w:tab/>
        <w:t xml:space="preserve">20.  </w:t>
      </w:r>
      <w:r>
        <w:rPr>
          <w:rFonts w:hint="eastAsia"/>
          <w:szCs w:val="30"/>
        </w:rPr>
        <w:t>制定保障和促进妇女发展的政府规划。</w:t>
      </w:r>
      <w:r>
        <w:rPr>
          <w:szCs w:val="30"/>
        </w:rPr>
        <w:t>1995</w:t>
      </w:r>
      <w:r>
        <w:rPr>
          <w:rFonts w:hint="eastAsia"/>
          <w:szCs w:val="30"/>
        </w:rPr>
        <w:t>年</w:t>
      </w:r>
      <w:r>
        <w:rPr>
          <w:szCs w:val="30"/>
        </w:rPr>
        <w:t>，</w:t>
      </w:r>
      <w:r>
        <w:rPr>
          <w:rFonts w:hint="eastAsia"/>
          <w:szCs w:val="30"/>
        </w:rPr>
        <w:t>中国政府依据国民经济和社会发展规划的总目标</w:t>
      </w:r>
      <w:r>
        <w:rPr>
          <w:szCs w:val="30"/>
        </w:rPr>
        <w:t>，</w:t>
      </w:r>
      <w:r>
        <w:rPr>
          <w:rFonts w:hint="eastAsia"/>
          <w:szCs w:val="30"/>
        </w:rPr>
        <w:t>结合中国妇女现状</w:t>
      </w:r>
      <w:r>
        <w:rPr>
          <w:szCs w:val="30"/>
        </w:rPr>
        <w:t>，</w:t>
      </w:r>
      <w:r>
        <w:rPr>
          <w:rFonts w:hint="eastAsia"/>
          <w:szCs w:val="30"/>
        </w:rPr>
        <w:t>制定了中国历史上第一个关于妇女发展的政府规划</w:t>
      </w:r>
      <w:r>
        <w:rPr>
          <w:rFonts w:hint="eastAsia"/>
          <w:spacing w:val="-40"/>
          <w:szCs w:val="30"/>
        </w:rPr>
        <w:t>――</w:t>
      </w:r>
      <w:r>
        <w:rPr>
          <w:rFonts w:hint="eastAsia"/>
          <w:spacing w:val="-40"/>
          <w:szCs w:val="30"/>
        </w:rPr>
        <w:t xml:space="preserve"> </w:t>
      </w:r>
      <w:r>
        <w:rPr>
          <w:rFonts w:hint="eastAsia"/>
          <w:szCs w:val="30"/>
        </w:rPr>
        <w:t>《中国妇女发展纲要</w:t>
      </w:r>
      <w:r>
        <w:rPr>
          <w:szCs w:val="30"/>
        </w:rPr>
        <w:t>(1995-2000</w:t>
      </w:r>
      <w:r>
        <w:rPr>
          <w:rFonts w:hint="eastAsia"/>
          <w:szCs w:val="30"/>
        </w:rPr>
        <w:t>年</w:t>
      </w:r>
      <w:r>
        <w:rPr>
          <w:szCs w:val="30"/>
        </w:rPr>
        <w:t>)</w:t>
      </w:r>
      <w:r>
        <w:rPr>
          <w:rFonts w:hint="eastAsia"/>
          <w:szCs w:val="30"/>
        </w:rPr>
        <w:t>》。</w:t>
      </w:r>
      <w:r>
        <w:rPr>
          <w:szCs w:val="30"/>
        </w:rPr>
        <w:t>2001</w:t>
      </w:r>
      <w:r>
        <w:rPr>
          <w:rFonts w:hint="eastAsia"/>
          <w:szCs w:val="30"/>
        </w:rPr>
        <w:t>年</w:t>
      </w:r>
      <w:r>
        <w:rPr>
          <w:szCs w:val="30"/>
        </w:rPr>
        <w:t>，</w:t>
      </w:r>
      <w:r>
        <w:rPr>
          <w:rFonts w:hint="eastAsia"/>
          <w:szCs w:val="30"/>
        </w:rPr>
        <w:t>中国政府又颁布实施了《中国妇女发展纲要</w:t>
      </w:r>
      <w:r>
        <w:rPr>
          <w:szCs w:val="30"/>
        </w:rPr>
        <w:t>(2001-2010</w:t>
      </w:r>
      <w:r>
        <w:rPr>
          <w:rFonts w:hint="eastAsia"/>
          <w:szCs w:val="30"/>
        </w:rPr>
        <w:t>年</w:t>
      </w:r>
      <w:r>
        <w:rPr>
          <w:szCs w:val="30"/>
        </w:rPr>
        <w:t>)</w:t>
      </w:r>
      <w:r>
        <w:rPr>
          <w:rFonts w:hint="eastAsia"/>
          <w:szCs w:val="30"/>
        </w:rPr>
        <w:t>》。该《纲要》确定了六个优先发展领域</w:t>
      </w:r>
      <w:r>
        <w:rPr>
          <w:szCs w:val="30"/>
        </w:rPr>
        <w:t>：</w:t>
      </w:r>
      <w:r>
        <w:rPr>
          <w:rFonts w:hint="eastAsia"/>
          <w:szCs w:val="30"/>
        </w:rPr>
        <w:t>妇女与经济、妇女参与决策和管理、妇女与教育、妇女与健康、妇女与法律和妇女与环境。在《国民经济和社会发展的第十个五年计划纲要》</w:t>
      </w:r>
      <w:r>
        <w:rPr>
          <w:szCs w:val="30"/>
        </w:rPr>
        <w:t>(2001-2005</w:t>
      </w:r>
      <w:r>
        <w:rPr>
          <w:rFonts w:hint="eastAsia"/>
          <w:szCs w:val="30"/>
        </w:rPr>
        <w:t>年</w:t>
      </w:r>
      <w:r>
        <w:rPr>
          <w:szCs w:val="30"/>
        </w:rPr>
        <w:t>)</w:t>
      </w:r>
      <w:r>
        <w:rPr>
          <w:rFonts w:hint="eastAsia"/>
          <w:szCs w:val="30"/>
        </w:rPr>
        <w:t>中，中国政府明确规定要贯彻落实《中国妇女发展纲要</w:t>
      </w:r>
      <w:r>
        <w:rPr>
          <w:szCs w:val="30"/>
        </w:rPr>
        <w:t>(2001-2010</w:t>
      </w:r>
      <w:r>
        <w:rPr>
          <w:rFonts w:hint="eastAsia"/>
          <w:szCs w:val="30"/>
        </w:rPr>
        <w:t>年</w:t>
      </w:r>
      <w:r>
        <w:rPr>
          <w:szCs w:val="30"/>
        </w:rPr>
        <w:t>)</w:t>
      </w:r>
      <w:r>
        <w:rPr>
          <w:rFonts w:hint="eastAsia"/>
          <w:szCs w:val="30"/>
        </w:rPr>
        <w:t>》，切实保护妇女的合法权益。各有关部门及全国各省、自治区和直辖市政府根据《中国妇女发展纲要》的总目标和具体措施，结合本部门或当地状况</w:t>
      </w:r>
      <w:r>
        <w:rPr>
          <w:szCs w:val="30"/>
        </w:rPr>
        <w:t>，</w:t>
      </w:r>
      <w:r>
        <w:rPr>
          <w:rFonts w:hint="eastAsia"/>
          <w:szCs w:val="30"/>
        </w:rPr>
        <w:t>相继制定了分部门或分地区的妇女发展纲要</w:t>
      </w:r>
      <w:r>
        <w:rPr>
          <w:szCs w:val="30"/>
        </w:rPr>
        <w:t>，</w:t>
      </w:r>
      <w:r>
        <w:rPr>
          <w:rFonts w:hint="eastAsia"/>
          <w:szCs w:val="30"/>
        </w:rPr>
        <w:t>使其更具有针对性和可操作性。</w:t>
      </w:r>
    </w:p>
    <w:p w:rsidR="00000000" w:rsidRDefault="00000000">
      <w:pPr>
        <w:rPr>
          <w:szCs w:val="30"/>
        </w:rPr>
      </w:pPr>
      <w:r>
        <w:rPr>
          <w:szCs w:val="30"/>
        </w:rPr>
        <w:tab/>
        <w:t xml:space="preserve">21.  </w:t>
      </w:r>
      <w:r>
        <w:rPr>
          <w:rFonts w:hint="eastAsia"/>
          <w:szCs w:val="30"/>
        </w:rPr>
        <w:t>通过不懈努力</w:t>
      </w:r>
      <w:r>
        <w:rPr>
          <w:szCs w:val="30"/>
        </w:rPr>
        <w:t>，</w:t>
      </w:r>
      <w:r>
        <w:rPr>
          <w:rFonts w:hint="eastAsia"/>
          <w:szCs w:val="30"/>
        </w:rPr>
        <w:t>中国妇女的生存和发展条件有了明显改善</w:t>
      </w:r>
      <w:r>
        <w:rPr>
          <w:szCs w:val="30"/>
        </w:rPr>
        <w:t>，</w:t>
      </w:r>
      <w:r>
        <w:rPr>
          <w:rFonts w:hint="eastAsia"/>
          <w:szCs w:val="30"/>
        </w:rPr>
        <w:t>在参政、就业、教育、卫生保健、婚姻家庭等方面的权利得到进一步保障。</w:t>
      </w:r>
      <w:r>
        <w:rPr>
          <w:szCs w:val="30"/>
        </w:rPr>
        <w:t>2003</w:t>
      </w:r>
      <w:r>
        <w:rPr>
          <w:rFonts w:hint="eastAsia"/>
          <w:szCs w:val="30"/>
        </w:rPr>
        <w:t>年召开的第十届全国人民代表大会代表中女代表为</w:t>
      </w:r>
      <w:r>
        <w:rPr>
          <w:szCs w:val="30"/>
        </w:rPr>
        <w:t>604</w:t>
      </w:r>
      <w:r>
        <w:rPr>
          <w:rFonts w:hint="eastAsia"/>
          <w:szCs w:val="30"/>
        </w:rPr>
        <w:t>人，占总数的</w:t>
      </w:r>
      <w:r>
        <w:rPr>
          <w:szCs w:val="30"/>
        </w:rPr>
        <w:t>20.24%</w:t>
      </w:r>
      <w:r>
        <w:rPr>
          <w:rFonts w:hint="eastAsia"/>
          <w:szCs w:val="30"/>
        </w:rPr>
        <w:t>。第十届全国政协委员中女委员</w:t>
      </w:r>
      <w:r>
        <w:rPr>
          <w:szCs w:val="30"/>
        </w:rPr>
        <w:t>373</w:t>
      </w:r>
      <w:r>
        <w:rPr>
          <w:rFonts w:hint="eastAsia"/>
          <w:szCs w:val="30"/>
        </w:rPr>
        <w:t>人</w:t>
      </w:r>
      <w:r>
        <w:rPr>
          <w:szCs w:val="30"/>
        </w:rPr>
        <w:t>，</w:t>
      </w:r>
      <w:r>
        <w:rPr>
          <w:rFonts w:hint="eastAsia"/>
          <w:szCs w:val="30"/>
        </w:rPr>
        <w:t>占总数的</w:t>
      </w:r>
      <w:r>
        <w:rPr>
          <w:szCs w:val="30"/>
        </w:rPr>
        <w:t>16.7%</w:t>
      </w:r>
      <w:r>
        <w:rPr>
          <w:rFonts w:hint="eastAsia"/>
          <w:szCs w:val="30"/>
        </w:rPr>
        <w:t>。分别比第八届人大和政协提高了</w:t>
      </w:r>
      <w:r>
        <w:rPr>
          <w:szCs w:val="30"/>
        </w:rPr>
        <w:t>0.78</w:t>
      </w:r>
      <w:r>
        <w:rPr>
          <w:rFonts w:hint="eastAsia"/>
          <w:szCs w:val="30"/>
        </w:rPr>
        <w:t>和</w:t>
      </w:r>
      <w:r>
        <w:rPr>
          <w:szCs w:val="30"/>
        </w:rPr>
        <w:t>2.02</w:t>
      </w:r>
      <w:r>
        <w:rPr>
          <w:rFonts w:hint="eastAsia"/>
          <w:szCs w:val="30"/>
        </w:rPr>
        <w:t>个百分点。目前</w:t>
      </w:r>
      <w:r>
        <w:rPr>
          <w:szCs w:val="30"/>
        </w:rPr>
        <w:t>，</w:t>
      </w:r>
      <w:r>
        <w:rPr>
          <w:rFonts w:hint="eastAsia"/>
          <w:szCs w:val="30"/>
        </w:rPr>
        <w:t>有</w:t>
      </w:r>
      <w:r>
        <w:rPr>
          <w:szCs w:val="30"/>
        </w:rPr>
        <w:t>3</w:t>
      </w:r>
      <w:r>
        <w:rPr>
          <w:rFonts w:hint="eastAsia"/>
          <w:szCs w:val="30"/>
        </w:rPr>
        <w:t>位女性担任全国人民代表大会常务委员会副委员长</w:t>
      </w:r>
      <w:r>
        <w:rPr>
          <w:szCs w:val="30"/>
        </w:rPr>
        <w:t>，</w:t>
      </w:r>
      <w:r>
        <w:rPr>
          <w:szCs w:val="30"/>
        </w:rPr>
        <w:t>2</w:t>
      </w:r>
      <w:r>
        <w:rPr>
          <w:rFonts w:hint="eastAsia"/>
          <w:szCs w:val="30"/>
        </w:rPr>
        <w:t>位女性担任中国人民政治协商会议全国委员会副主席</w:t>
      </w:r>
      <w:r>
        <w:rPr>
          <w:szCs w:val="30"/>
        </w:rPr>
        <w:t>，</w:t>
      </w:r>
      <w:r>
        <w:rPr>
          <w:rFonts w:hint="eastAsia"/>
          <w:szCs w:val="30"/>
        </w:rPr>
        <w:t>有</w:t>
      </w:r>
      <w:r>
        <w:rPr>
          <w:szCs w:val="30"/>
        </w:rPr>
        <w:t>1</w:t>
      </w:r>
      <w:r>
        <w:rPr>
          <w:rFonts w:hint="eastAsia"/>
          <w:szCs w:val="30"/>
        </w:rPr>
        <w:t>位女副总理</w:t>
      </w:r>
      <w:r>
        <w:rPr>
          <w:szCs w:val="30"/>
        </w:rPr>
        <w:t>，</w:t>
      </w:r>
      <w:r>
        <w:rPr>
          <w:szCs w:val="30"/>
        </w:rPr>
        <w:t>1</w:t>
      </w:r>
      <w:r>
        <w:rPr>
          <w:rFonts w:hint="eastAsia"/>
          <w:szCs w:val="30"/>
        </w:rPr>
        <w:t>位女国务委员。国务院组成部门中有正、副女部长</w:t>
      </w:r>
      <w:r>
        <w:rPr>
          <w:szCs w:val="30"/>
        </w:rPr>
        <w:t>15</w:t>
      </w:r>
      <w:r>
        <w:rPr>
          <w:rFonts w:hint="eastAsia"/>
          <w:szCs w:val="30"/>
        </w:rPr>
        <w:t>人</w:t>
      </w:r>
      <w:r>
        <w:rPr>
          <w:szCs w:val="30"/>
        </w:rPr>
        <w:t>，</w:t>
      </w:r>
      <w:r>
        <w:rPr>
          <w:szCs w:val="30"/>
        </w:rPr>
        <w:t>2000</w:t>
      </w:r>
      <w:r>
        <w:rPr>
          <w:rFonts w:hint="eastAsia"/>
          <w:szCs w:val="30"/>
        </w:rPr>
        <w:t>年全国女干部占干部总数的</w:t>
      </w:r>
      <w:r>
        <w:rPr>
          <w:szCs w:val="30"/>
        </w:rPr>
        <w:t>36.2%</w:t>
      </w:r>
      <w:r>
        <w:rPr>
          <w:rFonts w:hint="eastAsia"/>
          <w:szCs w:val="30"/>
        </w:rPr>
        <w:t>。目前妇女就业人数占全国就业总数的</w:t>
      </w:r>
      <w:r>
        <w:rPr>
          <w:szCs w:val="30"/>
        </w:rPr>
        <w:t>46%</w:t>
      </w:r>
      <w:r>
        <w:rPr>
          <w:szCs w:val="30"/>
        </w:rPr>
        <w:t>；</w:t>
      </w:r>
      <w:r>
        <w:rPr>
          <w:rFonts w:hint="eastAsia"/>
          <w:szCs w:val="30"/>
        </w:rPr>
        <w:t>妇女就业领域从传统领域向新兴产业拓展。</w:t>
      </w:r>
      <w:r>
        <w:rPr>
          <w:szCs w:val="30"/>
        </w:rPr>
        <w:t>1995</w:t>
      </w:r>
      <w:r>
        <w:rPr>
          <w:rFonts w:hint="eastAsia"/>
          <w:szCs w:val="30"/>
        </w:rPr>
        <w:t>年以来</w:t>
      </w:r>
      <w:r>
        <w:rPr>
          <w:szCs w:val="30"/>
        </w:rPr>
        <w:t>，</w:t>
      </w:r>
      <w:r>
        <w:rPr>
          <w:rFonts w:hint="eastAsia"/>
          <w:szCs w:val="30"/>
        </w:rPr>
        <w:t>妇女在电力、煤气、水的生产和供应、邮电通讯、金融保险、房地产、旅游、广播、电影电视、卫生体育、社会福利等领域工作的人数和比例不断上升。同时期女性在个体和私营企业中的从业人员增长了约</w:t>
      </w:r>
      <w:r>
        <w:rPr>
          <w:szCs w:val="30"/>
        </w:rPr>
        <w:t>60%</w:t>
      </w:r>
      <w:r>
        <w:rPr>
          <w:rFonts w:hint="eastAsia"/>
          <w:szCs w:val="30"/>
        </w:rPr>
        <w:t>。女职工劳动保护规定普遍得到落实。截至</w:t>
      </w:r>
      <w:r>
        <w:rPr>
          <w:szCs w:val="30"/>
        </w:rPr>
        <w:t>2001</w:t>
      </w:r>
      <w:r>
        <w:rPr>
          <w:rFonts w:hint="eastAsia"/>
          <w:szCs w:val="30"/>
        </w:rPr>
        <w:t>年</w:t>
      </w:r>
      <w:r>
        <w:rPr>
          <w:szCs w:val="30"/>
        </w:rPr>
        <w:t>，</w:t>
      </w:r>
      <w:r>
        <w:rPr>
          <w:rFonts w:hint="eastAsia"/>
          <w:szCs w:val="30"/>
        </w:rPr>
        <w:t>全国小学学龄女童入学率为</w:t>
      </w:r>
      <w:r>
        <w:rPr>
          <w:szCs w:val="30"/>
        </w:rPr>
        <w:t>99.01%</w:t>
      </w:r>
      <w:r>
        <w:rPr>
          <w:szCs w:val="30"/>
        </w:rPr>
        <w:t>；</w:t>
      </w:r>
      <w:r>
        <w:rPr>
          <w:rFonts w:hint="eastAsia"/>
          <w:szCs w:val="30"/>
        </w:rPr>
        <w:t>小学女生在校人数为</w:t>
      </w:r>
      <w:r>
        <w:rPr>
          <w:szCs w:val="30"/>
        </w:rPr>
        <w:t>5936.8</w:t>
      </w:r>
      <w:r>
        <w:rPr>
          <w:rFonts w:hint="eastAsia"/>
          <w:szCs w:val="30"/>
        </w:rPr>
        <w:t>万人</w:t>
      </w:r>
      <w:r>
        <w:rPr>
          <w:szCs w:val="30"/>
        </w:rPr>
        <w:t>，</w:t>
      </w:r>
      <w:r>
        <w:rPr>
          <w:rFonts w:hint="eastAsia"/>
          <w:szCs w:val="30"/>
        </w:rPr>
        <w:t>占在校生总数的</w:t>
      </w:r>
      <w:r>
        <w:rPr>
          <w:szCs w:val="30"/>
        </w:rPr>
        <w:t>47.33%</w:t>
      </w:r>
      <w:r>
        <w:rPr>
          <w:szCs w:val="30"/>
        </w:rPr>
        <w:t>；</w:t>
      </w:r>
      <w:r>
        <w:rPr>
          <w:rFonts w:hint="eastAsia"/>
          <w:szCs w:val="30"/>
        </w:rPr>
        <w:t>普通中学女生在校人数为</w:t>
      </w:r>
      <w:r>
        <w:rPr>
          <w:szCs w:val="30"/>
        </w:rPr>
        <w:t>3643.33</w:t>
      </w:r>
      <w:r>
        <w:rPr>
          <w:rFonts w:hint="eastAsia"/>
          <w:szCs w:val="30"/>
        </w:rPr>
        <w:t>万人</w:t>
      </w:r>
      <w:r>
        <w:rPr>
          <w:szCs w:val="30"/>
        </w:rPr>
        <w:t>，</w:t>
      </w:r>
      <w:r>
        <w:rPr>
          <w:rFonts w:hint="eastAsia"/>
          <w:szCs w:val="30"/>
        </w:rPr>
        <w:t>占学生总数的</w:t>
      </w:r>
      <w:r>
        <w:rPr>
          <w:szCs w:val="30"/>
        </w:rPr>
        <w:t>46.49%</w:t>
      </w:r>
      <w:r>
        <w:rPr>
          <w:szCs w:val="30"/>
        </w:rPr>
        <w:t>；</w:t>
      </w:r>
      <w:r>
        <w:rPr>
          <w:rFonts w:hint="eastAsia"/>
          <w:szCs w:val="30"/>
        </w:rPr>
        <w:t>中等职业教育学校女生在校人数为</w:t>
      </w:r>
      <w:r>
        <w:rPr>
          <w:szCs w:val="30"/>
        </w:rPr>
        <w:t>546.84</w:t>
      </w:r>
      <w:r>
        <w:rPr>
          <w:rFonts w:hint="eastAsia"/>
          <w:szCs w:val="30"/>
        </w:rPr>
        <w:t>万</w:t>
      </w:r>
      <w:r>
        <w:rPr>
          <w:szCs w:val="30"/>
        </w:rPr>
        <w:t>，</w:t>
      </w:r>
      <w:r>
        <w:rPr>
          <w:rFonts w:hint="eastAsia"/>
          <w:szCs w:val="30"/>
        </w:rPr>
        <w:t>占在校生的</w:t>
      </w:r>
      <w:r>
        <w:rPr>
          <w:szCs w:val="30"/>
        </w:rPr>
        <w:t>56.11%</w:t>
      </w:r>
      <w:r>
        <w:rPr>
          <w:szCs w:val="30"/>
        </w:rPr>
        <w:t>；</w:t>
      </w:r>
      <w:r>
        <w:rPr>
          <w:rFonts w:hint="eastAsia"/>
          <w:szCs w:val="30"/>
        </w:rPr>
        <w:t>普通高等学校女生在校人数为</w:t>
      </w:r>
      <w:r>
        <w:rPr>
          <w:szCs w:val="30"/>
        </w:rPr>
        <w:t>302.3</w:t>
      </w:r>
      <w:r>
        <w:rPr>
          <w:rFonts w:hint="eastAsia"/>
          <w:szCs w:val="30"/>
        </w:rPr>
        <w:t>万人</w:t>
      </w:r>
      <w:r>
        <w:rPr>
          <w:szCs w:val="30"/>
        </w:rPr>
        <w:t>，</w:t>
      </w:r>
      <w:r>
        <w:rPr>
          <w:rFonts w:hint="eastAsia"/>
          <w:szCs w:val="30"/>
        </w:rPr>
        <w:t>占学生总数的</w:t>
      </w:r>
      <w:r>
        <w:rPr>
          <w:szCs w:val="30"/>
        </w:rPr>
        <w:t>42.04%</w:t>
      </w:r>
      <w:r>
        <w:rPr>
          <w:rFonts w:hint="eastAsia"/>
          <w:szCs w:val="30"/>
        </w:rPr>
        <w:t>。截至</w:t>
      </w:r>
      <w:r>
        <w:rPr>
          <w:szCs w:val="30"/>
        </w:rPr>
        <w:t>2000</w:t>
      </w:r>
      <w:r>
        <w:rPr>
          <w:rFonts w:hint="eastAsia"/>
          <w:szCs w:val="30"/>
        </w:rPr>
        <w:t>年底</w:t>
      </w:r>
      <w:r>
        <w:rPr>
          <w:szCs w:val="30"/>
        </w:rPr>
        <w:t>，</w:t>
      </w:r>
      <w:r>
        <w:rPr>
          <w:rFonts w:hint="eastAsia"/>
          <w:szCs w:val="30"/>
        </w:rPr>
        <w:t>中国普及九年义务教育地区人口覆盖率达到</w:t>
      </w:r>
      <w:r>
        <w:rPr>
          <w:szCs w:val="30"/>
        </w:rPr>
        <w:t>85%</w:t>
      </w:r>
      <w:r>
        <w:rPr>
          <w:rFonts w:hint="eastAsia"/>
          <w:szCs w:val="30"/>
        </w:rPr>
        <w:t>以上</w:t>
      </w:r>
      <w:r>
        <w:rPr>
          <w:szCs w:val="30"/>
        </w:rPr>
        <w:t>，</w:t>
      </w:r>
      <w:r>
        <w:rPr>
          <w:rFonts w:hint="eastAsia"/>
          <w:szCs w:val="30"/>
        </w:rPr>
        <w:t>男女受教育年限的差距从</w:t>
      </w:r>
      <w:r>
        <w:rPr>
          <w:szCs w:val="30"/>
        </w:rPr>
        <w:t>1991</w:t>
      </w:r>
      <w:r>
        <w:rPr>
          <w:rFonts w:hint="eastAsia"/>
          <w:szCs w:val="30"/>
        </w:rPr>
        <w:t>年的</w:t>
      </w:r>
      <w:r>
        <w:rPr>
          <w:szCs w:val="30"/>
        </w:rPr>
        <w:t>2.9</w:t>
      </w:r>
      <w:r>
        <w:rPr>
          <w:rFonts w:hint="eastAsia"/>
          <w:szCs w:val="30"/>
        </w:rPr>
        <w:t>年减少到</w:t>
      </w:r>
      <w:r>
        <w:rPr>
          <w:szCs w:val="30"/>
        </w:rPr>
        <w:t>1.07</w:t>
      </w:r>
      <w:r>
        <w:rPr>
          <w:rFonts w:hint="eastAsia"/>
          <w:szCs w:val="30"/>
        </w:rPr>
        <w:t>年。</w:t>
      </w:r>
      <w:r>
        <w:rPr>
          <w:szCs w:val="30"/>
        </w:rPr>
        <w:t>2000</w:t>
      </w:r>
      <w:r>
        <w:rPr>
          <w:rFonts w:hint="eastAsia"/>
          <w:szCs w:val="30"/>
        </w:rPr>
        <w:t>年全国孕产妇保健覆盖率达</w:t>
      </w:r>
      <w:r>
        <w:rPr>
          <w:szCs w:val="30"/>
        </w:rPr>
        <w:t>86%</w:t>
      </w:r>
      <w:r>
        <w:rPr>
          <w:szCs w:val="30"/>
        </w:rPr>
        <w:t>，</w:t>
      </w:r>
      <w:r>
        <w:rPr>
          <w:rFonts w:hint="eastAsia"/>
          <w:szCs w:val="30"/>
        </w:rPr>
        <w:t>孕产妇死亡率由</w:t>
      </w:r>
      <w:r>
        <w:rPr>
          <w:szCs w:val="30"/>
        </w:rPr>
        <w:t>1995</w:t>
      </w:r>
      <w:r>
        <w:rPr>
          <w:rFonts w:hint="eastAsia"/>
          <w:szCs w:val="30"/>
        </w:rPr>
        <w:t>年的</w:t>
      </w:r>
      <w:r>
        <w:rPr>
          <w:szCs w:val="30"/>
        </w:rPr>
        <w:t>61.9/10</w:t>
      </w:r>
      <w:r>
        <w:rPr>
          <w:rFonts w:hint="eastAsia"/>
          <w:szCs w:val="30"/>
        </w:rPr>
        <w:t>万下降到</w:t>
      </w:r>
      <w:r>
        <w:rPr>
          <w:szCs w:val="30"/>
        </w:rPr>
        <w:t>53/10</w:t>
      </w:r>
      <w:r>
        <w:rPr>
          <w:rFonts w:hint="eastAsia"/>
          <w:szCs w:val="30"/>
        </w:rPr>
        <w:t>万</w:t>
      </w:r>
      <w:r>
        <w:rPr>
          <w:szCs w:val="30"/>
        </w:rPr>
        <w:t>，</w:t>
      </w:r>
      <w:r>
        <w:rPr>
          <w:rFonts w:hint="eastAsia"/>
          <w:szCs w:val="30"/>
        </w:rPr>
        <w:t>全国孕产妇住院分娩率达</w:t>
      </w:r>
      <w:r>
        <w:rPr>
          <w:szCs w:val="30"/>
        </w:rPr>
        <w:t>72.9%</w:t>
      </w:r>
      <w:r>
        <w:rPr>
          <w:szCs w:val="30"/>
        </w:rPr>
        <w:t>，</w:t>
      </w:r>
      <w:r>
        <w:rPr>
          <w:rFonts w:hint="eastAsia"/>
          <w:szCs w:val="30"/>
        </w:rPr>
        <w:t>比</w:t>
      </w:r>
      <w:r>
        <w:rPr>
          <w:szCs w:val="30"/>
        </w:rPr>
        <w:t>1995</w:t>
      </w:r>
      <w:r>
        <w:rPr>
          <w:rFonts w:hint="eastAsia"/>
          <w:szCs w:val="30"/>
        </w:rPr>
        <w:t>年提高了近</w:t>
      </w:r>
      <w:r>
        <w:rPr>
          <w:szCs w:val="30"/>
        </w:rPr>
        <w:t>15</w:t>
      </w:r>
      <w:r>
        <w:rPr>
          <w:rFonts w:hint="eastAsia"/>
          <w:szCs w:val="30"/>
        </w:rPr>
        <w:t>个百分点。</w:t>
      </w:r>
      <w:r>
        <w:rPr>
          <w:szCs w:val="30"/>
        </w:rPr>
        <w:t>2001</w:t>
      </w:r>
      <w:r>
        <w:rPr>
          <w:rFonts w:hint="eastAsia"/>
          <w:szCs w:val="30"/>
        </w:rPr>
        <w:t>年妇女平均预期寿命为</w:t>
      </w:r>
      <w:r>
        <w:rPr>
          <w:szCs w:val="30"/>
        </w:rPr>
        <w:t>73.6</w:t>
      </w:r>
      <w:r>
        <w:rPr>
          <w:rFonts w:hint="eastAsia"/>
          <w:szCs w:val="30"/>
        </w:rPr>
        <w:t>岁</w:t>
      </w:r>
      <w:r>
        <w:rPr>
          <w:szCs w:val="30"/>
        </w:rPr>
        <w:t>，</w:t>
      </w:r>
      <w:r>
        <w:rPr>
          <w:rFonts w:hint="eastAsia"/>
          <w:szCs w:val="30"/>
        </w:rPr>
        <w:t>高于男性</w:t>
      </w:r>
      <w:r>
        <w:rPr>
          <w:szCs w:val="30"/>
        </w:rPr>
        <w:t>3.8</w:t>
      </w:r>
      <w:r>
        <w:rPr>
          <w:rFonts w:hint="eastAsia"/>
          <w:szCs w:val="30"/>
        </w:rPr>
        <w:t>岁。各级政府多次组织专项打击行动</w:t>
      </w:r>
      <w:r>
        <w:rPr>
          <w:szCs w:val="30"/>
        </w:rPr>
        <w:t>，</w:t>
      </w:r>
      <w:r>
        <w:rPr>
          <w:rFonts w:hint="eastAsia"/>
          <w:szCs w:val="30"/>
        </w:rPr>
        <w:t>侦破了大量侵害妇女人身权利的案件</w:t>
      </w:r>
      <w:r>
        <w:rPr>
          <w:szCs w:val="30"/>
        </w:rPr>
        <w:t>，</w:t>
      </w:r>
      <w:r>
        <w:rPr>
          <w:rFonts w:hint="eastAsia"/>
          <w:szCs w:val="30"/>
        </w:rPr>
        <w:t>打击各种侵害妇女权利、违反一夫一妻制的违法犯罪行为</w:t>
      </w:r>
      <w:r>
        <w:rPr>
          <w:szCs w:val="30"/>
        </w:rPr>
        <w:t>，</w:t>
      </w:r>
      <w:r>
        <w:rPr>
          <w:rFonts w:hint="eastAsia"/>
          <w:szCs w:val="30"/>
        </w:rPr>
        <w:t>倡导建立平等、文明、和睦和稳定的家庭关系，维护妇女在婚姻家庭中的地位。中国是《消除对妇女一切形式歧视公约》缔约国</w:t>
      </w:r>
      <w:r>
        <w:rPr>
          <w:szCs w:val="30"/>
        </w:rPr>
        <w:t>，</w:t>
      </w:r>
      <w:r>
        <w:rPr>
          <w:rFonts w:hint="eastAsia"/>
          <w:szCs w:val="30"/>
        </w:rPr>
        <w:t>参加了历次世界妇女大会以及联合国关于促进妇女进步与发展的国际性会议。特别是在</w:t>
      </w:r>
      <w:r>
        <w:rPr>
          <w:szCs w:val="30"/>
        </w:rPr>
        <w:t>1995</w:t>
      </w:r>
      <w:r>
        <w:rPr>
          <w:rFonts w:hint="eastAsia"/>
          <w:szCs w:val="30"/>
        </w:rPr>
        <w:t>年</w:t>
      </w:r>
      <w:r>
        <w:rPr>
          <w:szCs w:val="30"/>
        </w:rPr>
        <w:t>，</w:t>
      </w:r>
      <w:r>
        <w:rPr>
          <w:rFonts w:hint="eastAsia"/>
          <w:szCs w:val="30"/>
        </w:rPr>
        <w:t>中国成功承办了联合国第四次世界妇女大会和非政府组织妇女论坛。</w:t>
      </w:r>
    </w:p>
    <w:p w:rsidR="00000000" w:rsidRDefault="00000000">
      <w:pPr>
        <w:spacing w:after="320"/>
        <w:rPr>
          <w:rFonts w:hint="eastAsia"/>
          <w:szCs w:val="30"/>
        </w:rPr>
      </w:pPr>
      <w:r>
        <w:rPr>
          <w:szCs w:val="30"/>
        </w:rPr>
        <w:tab/>
        <w:t xml:space="preserve">22.  </w:t>
      </w:r>
      <w:r>
        <w:rPr>
          <w:rFonts w:hint="eastAsia"/>
          <w:szCs w:val="30"/>
        </w:rPr>
        <w:t>中国政府在制定国家宏观政策时</w:t>
      </w:r>
      <w:r>
        <w:rPr>
          <w:szCs w:val="30"/>
        </w:rPr>
        <w:t>，</w:t>
      </w:r>
      <w:r>
        <w:rPr>
          <w:rFonts w:hint="eastAsia"/>
          <w:szCs w:val="30"/>
        </w:rPr>
        <w:t>坚持贯彻男女平等参与、共同发展、共同受益的原则</w:t>
      </w:r>
      <w:r>
        <w:rPr>
          <w:szCs w:val="30"/>
        </w:rPr>
        <w:t>，</w:t>
      </w:r>
      <w:r>
        <w:rPr>
          <w:rFonts w:hint="eastAsia"/>
          <w:szCs w:val="30"/>
        </w:rPr>
        <w:t>强调公民不分性别平等参与国家事务</w:t>
      </w:r>
      <w:r>
        <w:rPr>
          <w:szCs w:val="30"/>
        </w:rPr>
        <w:t>，</w:t>
      </w:r>
      <w:r>
        <w:rPr>
          <w:rFonts w:hint="eastAsia"/>
          <w:szCs w:val="30"/>
        </w:rPr>
        <w:t>参与社会生活</w:t>
      </w:r>
      <w:r>
        <w:rPr>
          <w:szCs w:val="30"/>
        </w:rPr>
        <w:t>，</w:t>
      </w:r>
      <w:r>
        <w:rPr>
          <w:rFonts w:hint="eastAsia"/>
          <w:szCs w:val="30"/>
        </w:rPr>
        <w:t>鼓励男女携手合作</w:t>
      </w:r>
      <w:r>
        <w:rPr>
          <w:szCs w:val="30"/>
        </w:rPr>
        <w:t>，</w:t>
      </w:r>
      <w:r>
        <w:rPr>
          <w:rFonts w:hint="eastAsia"/>
          <w:szCs w:val="30"/>
        </w:rPr>
        <w:t>实现社会的进步与发展。与此同时</w:t>
      </w:r>
      <w:r>
        <w:rPr>
          <w:szCs w:val="30"/>
        </w:rPr>
        <w:t>，</w:t>
      </w:r>
      <w:r>
        <w:rPr>
          <w:rFonts w:hint="eastAsia"/>
          <w:szCs w:val="30"/>
        </w:rPr>
        <w:t>由于受经济、社会发展水平的制约和传统观念影响</w:t>
      </w:r>
      <w:r>
        <w:rPr>
          <w:szCs w:val="30"/>
        </w:rPr>
        <w:t>，</w:t>
      </w:r>
      <w:r>
        <w:rPr>
          <w:rFonts w:hint="eastAsia"/>
          <w:szCs w:val="30"/>
        </w:rPr>
        <w:t>完全实现中国妇女在政治、经济、文化、社会和家庭等方面的平等权利</w:t>
      </w:r>
      <w:r>
        <w:rPr>
          <w:szCs w:val="30"/>
        </w:rPr>
        <w:t>，</w:t>
      </w:r>
      <w:r>
        <w:rPr>
          <w:rFonts w:hint="eastAsia"/>
          <w:szCs w:val="30"/>
        </w:rPr>
        <w:t>是一个长期的过程</w:t>
      </w:r>
      <w:r>
        <w:rPr>
          <w:szCs w:val="30"/>
        </w:rPr>
        <w:t>，</w:t>
      </w:r>
      <w:r>
        <w:rPr>
          <w:rFonts w:hint="eastAsia"/>
          <w:szCs w:val="30"/>
        </w:rPr>
        <w:t>妇女发展的社会环境有待于进一步改善。克服障碍、消除一切形式对妇女的歧视，依然是中国所面临的长期而艰巨的任务。</w:t>
      </w:r>
    </w:p>
    <w:p w:rsidR="00000000" w:rsidRDefault="00000000">
      <w:pPr>
        <w:pStyle w:val="Heading3"/>
        <w:rPr>
          <w:rFonts w:hint="eastAsia"/>
        </w:rPr>
      </w:pPr>
      <w:bookmarkStart w:id="12" w:name="_Toc78772927"/>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六</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工</w:t>
      </w:r>
      <w:r>
        <w:rPr>
          <w:rFonts w:ascii="Time New Roman" w:eastAsia="SimHei" w:hAnsi="Time New Roman" w:hint="eastAsia"/>
          <w:u w:val="none"/>
        </w:rPr>
        <w:t xml:space="preserve">  </w:t>
      </w:r>
      <w:r>
        <w:rPr>
          <w:rFonts w:ascii="Time New Roman" w:eastAsia="SimHei" w:hAnsi="Time New Roman" w:hint="eastAsia"/>
          <w:u w:val="none"/>
        </w:rPr>
        <w:t>作</w:t>
      </w:r>
      <w:r>
        <w:rPr>
          <w:rFonts w:ascii="Time New Roman" w:eastAsia="SimHei" w:hAnsi="Time New Roman" w:hint="eastAsia"/>
          <w:u w:val="none"/>
        </w:rPr>
        <w:t xml:space="preserve">  </w:t>
      </w:r>
      <w:r>
        <w:rPr>
          <w:rFonts w:ascii="Time New Roman" w:eastAsia="SimHei" w:hAnsi="Time New Roman" w:hint="eastAsia"/>
          <w:u w:val="none"/>
        </w:rPr>
        <w:t>权</w:t>
      </w:r>
      <w:bookmarkEnd w:id="12"/>
    </w:p>
    <w:p w:rsidR="00000000" w:rsidRDefault="00000000">
      <w:pPr>
        <w:rPr>
          <w:szCs w:val="30"/>
        </w:rPr>
      </w:pPr>
      <w:r>
        <w:rPr>
          <w:szCs w:val="30"/>
        </w:rPr>
        <w:tab/>
        <w:t xml:space="preserve">23.  </w:t>
      </w:r>
      <w:r>
        <w:rPr>
          <w:rFonts w:hint="eastAsia"/>
          <w:szCs w:val="30"/>
        </w:rPr>
        <w:t>由于人口众多、劳动力资源丰富和经济结构调整等原因</w:t>
      </w:r>
      <w:r>
        <w:rPr>
          <w:szCs w:val="30"/>
        </w:rPr>
        <w:t>，</w:t>
      </w:r>
      <w:r>
        <w:rPr>
          <w:rFonts w:hint="eastAsia"/>
          <w:szCs w:val="30"/>
        </w:rPr>
        <w:t>中国面临巨大的就业压力。中国政府始终将促进就业作为国民经济和社会发展的战略性任务</w:t>
      </w:r>
      <w:r>
        <w:rPr>
          <w:szCs w:val="30"/>
        </w:rPr>
        <w:t>，</w:t>
      </w:r>
      <w:r>
        <w:rPr>
          <w:rFonts w:hint="eastAsia"/>
          <w:szCs w:val="30"/>
        </w:rPr>
        <w:t>将增加就业作为国民经济宏观调控的主要目标，通过经济增长带动就业增长</w:t>
      </w:r>
      <w:r>
        <w:rPr>
          <w:szCs w:val="30"/>
        </w:rPr>
        <w:t>，</w:t>
      </w:r>
      <w:r>
        <w:rPr>
          <w:rFonts w:hint="eastAsia"/>
          <w:szCs w:val="30"/>
        </w:rPr>
        <w:t>总体上保持了就业形势的基本稳定。</w:t>
      </w:r>
    </w:p>
    <w:p w:rsidR="00000000" w:rsidRDefault="00000000">
      <w:pPr>
        <w:rPr>
          <w:szCs w:val="30"/>
        </w:rPr>
      </w:pPr>
      <w:r>
        <w:rPr>
          <w:szCs w:val="30"/>
        </w:rPr>
        <w:tab/>
        <w:t xml:space="preserve">24.  </w:t>
      </w:r>
      <w:r>
        <w:rPr>
          <w:rFonts w:hint="eastAsia"/>
          <w:szCs w:val="30"/>
        </w:rPr>
        <w:t>中国在增加基本建设投资、扩大内需以保持国民经济快速发展的同时，通过产业政策调整</w:t>
      </w:r>
      <w:r>
        <w:rPr>
          <w:szCs w:val="30"/>
        </w:rPr>
        <w:t>，</w:t>
      </w:r>
      <w:r>
        <w:rPr>
          <w:rFonts w:hint="eastAsia"/>
          <w:szCs w:val="30"/>
        </w:rPr>
        <w:t>重视发展具有比较优势和市场潜力的劳动密集型企业</w:t>
      </w:r>
      <w:r>
        <w:rPr>
          <w:szCs w:val="30"/>
        </w:rPr>
        <w:t>，</w:t>
      </w:r>
      <w:r>
        <w:rPr>
          <w:rFonts w:hint="eastAsia"/>
          <w:szCs w:val="30"/>
        </w:rPr>
        <w:t>特别是就业容量比较大的服务型企业和中小企业。同时鼓励外国投资</w:t>
      </w:r>
      <w:r>
        <w:rPr>
          <w:szCs w:val="30"/>
        </w:rPr>
        <w:t>，</w:t>
      </w:r>
      <w:r>
        <w:rPr>
          <w:rFonts w:hint="eastAsia"/>
          <w:szCs w:val="30"/>
        </w:rPr>
        <w:t>积极发展集体、私营、个体等多种所有制经济，实行灵活多样的就业形式</w:t>
      </w:r>
      <w:r>
        <w:rPr>
          <w:szCs w:val="30"/>
        </w:rPr>
        <w:t>，</w:t>
      </w:r>
      <w:r>
        <w:rPr>
          <w:rFonts w:hint="eastAsia"/>
          <w:szCs w:val="30"/>
        </w:rPr>
        <w:t>增加就业岗位</w:t>
      </w:r>
      <w:r>
        <w:rPr>
          <w:szCs w:val="30"/>
        </w:rPr>
        <w:t>，</w:t>
      </w:r>
      <w:r>
        <w:rPr>
          <w:rFonts w:hint="eastAsia"/>
          <w:szCs w:val="30"/>
        </w:rPr>
        <w:t>拓宽就业渠道。</w:t>
      </w:r>
    </w:p>
    <w:p w:rsidR="00000000" w:rsidRDefault="00000000">
      <w:r>
        <w:rPr>
          <w:szCs w:val="30"/>
        </w:rPr>
        <w:tab/>
        <w:t xml:space="preserve">25.  </w:t>
      </w:r>
      <w:r>
        <w:rPr>
          <w:rFonts w:hint="eastAsia"/>
          <w:szCs w:val="30"/>
        </w:rPr>
        <w:t>中国实行“劳动者自主就业、市场调节就业、政府促进就</w:t>
      </w:r>
      <w:r>
        <w:rPr>
          <w:rFonts w:hint="eastAsia"/>
        </w:rPr>
        <w:t>业”的就业方针，鼓励劳动者通过公平竞争获得就业岗位</w:t>
      </w:r>
      <w:r>
        <w:t>，</w:t>
      </w:r>
      <w:r>
        <w:rPr>
          <w:rFonts w:hint="eastAsia"/>
        </w:rPr>
        <w:t>采取各种措施促进市场导向就业机制的形成。中国政府在全国主要大中城市进行了劳动力市场科学化、规范化和现代化建设试点。劳动力市场信息网络已开始发挥作用</w:t>
      </w:r>
      <w:r>
        <w:t>，</w:t>
      </w:r>
      <w:r>
        <w:rPr>
          <w:rFonts w:hint="eastAsia"/>
        </w:rPr>
        <w:t>促进了劳动力供求信息的交流</w:t>
      </w:r>
      <w:r>
        <w:t>，</w:t>
      </w:r>
      <w:r>
        <w:rPr>
          <w:rFonts w:hint="eastAsia"/>
        </w:rPr>
        <w:t>帮助劳动者通过劳动力市场实现就业和再就业。近年来</w:t>
      </w:r>
      <w:r>
        <w:t>，</w:t>
      </w:r>
      <w:r>
        <w:rPr>
          <w:rFonts w:hint="eastAsia"/>
        </w:rPr>
        <w:t>中国政府开始探索建立劳动力市场价格形成机制</w:t>
      </w:r>
      <w:r>
        <w:t>，</w:t>
      </w:r>
      <w:r>
        <w:rPr>
          <w:rFonts w:hint="eastAsia"/>
        </w:rPr>
        <w:t>发挥市场机制在劳动力资源配置、工资形成和劳动力流动中的基础性调节作用。</w:t>
      </w:r>
    </w:p>
    <w:p w:rsidR="00000000" w:rsidRDefault="00000000">
      <w:r>
        <w:tab/>
        <w:t xml:space="preserve">26.  </w:t>
      </w:r>
      <w:r>
        <w:rPr>
          <w:rFonts w:hint="eastAsia"/>
        </w:rPr>
        <w:t>中国从</w:t>
      </w:r>
      <w:r>
        <w:t>20</w:t>
      </w:r>
      <w:r>
        <w:rPr>
          <w:rFonts w:hint="eastAsia"/>
        </w:rPr>
        <w:t>世纪</w:t>
      </w:r>
      <w:r>
        <w:t>80</w:t>
      </w:r>
      <w:r>
        <w:rPr>
          <w:rFonts w:hint="eastAsia"/>
        </w:rPr>
        <w:t>年代开始</w:t>
      </w:r>
      <w:r>
        <w:t>，</w:t>
      </w:r>
      <w:r>
        <w:rPr>
          <w:rFonts w:hint="eastAsia"/>
        </w:rPr>
        <w:t>建立并完善了包含职业介绍、就业训练、失业保险和劳动就业服务企业等内容的就业服务体系</w:t>
      </w:r>
      <w:r>
        <w:t>，</w:t>
      </w:r>
      <w:r>
        <w:rPr>
          <w:rFonts w:hint="eastAsia"/>
        </w:rPr>
        <w:t>为劳动者求职和企业用人提供指导、咨询与介绍服务</w:t>
      </w:r>
      <w:r>
        <w:t>，</w:t>
      </w:r>
      <w:r>
        <w:rPr>
          <w:rFonts w:hint="eastAsia"/>
        </w:rPr>
        <w:t>对初次求职者进行就业前训练，对失业人员进行转业训练</w:t>
      </w:r>
      <w:r>
        <w:t>，</w:t>
      </w:r>
      <w:r>
        <w:rPr>
          <w:rFonts w:hint="eastAsia"/>
        </w:rPr>
        <w:t>并提供失业保险</w:t>
      </w:r>
      <w:r>
        <w:t>，</w:t>
      </w:r>
      <w:r>
        <w:rPr>
          <w:rFonts w:hint="eastAsia"/>
        </w:rPr>
        <w:t>为就业弱势群体提供就业岗位。政府鼓励民办职业介绍机构的发展</w:t>
      </w:r>
      <w:r>
        <w:t>，</w:t>
      </w:r>
      <w:r>
        <w:rPr>
          <w:rFonts w:hint="eastAsia"/>
        </w:rPr>
        <w:t>推动就业服务向社区延伸</w:t>
      </w:r>
      <w:r>
        <w:t>，</w:t>
      </w:r>
      <w:r>
        <w:rPr>
          <w:rFonts w:hint="eastAsia"/>
        </w:rPr>
        <w:t>形成多层次的就业服务网络。</w:t>
      </w:r>
    </w:p>
    <w:p w:rsidR="00000000" w:rsidRDefault="00000000">
      <w:r>
        <w:tab/>
        <w:t xml:space="preserve">27.  </w:t>
      </w:r>
      <w:r>
        <w:rPr>
          <w:rFonts w:hint="eastAsia"/>
        </w:rPr>
        <w:t>中国农村劳动力资源丰富</w:t>
      </w:r>
      <w:r>
        <w:t>，</w:t>
      </w:r>
      <w:r>
        <w:rPr>
          <w:rFonts w:hint="eastAsia"/>
        </w:rPr>
        <w:t>富余劳动力转移问题突出。中国政府结合城镇化和西部大开发战略的实施</w:t>
      </w:r>
      <w:r>
        <w:t>，</w:t>
      </w:r>
      <w:r>
        <w:rPr>
          <w:rFonts w:hint="eastAsia"/>
        </w:rPr>
        <w:t>努力探索城乡统筹就业的新途径</w:t>
      </w:r>
      <w:r>
        <w:t>：</w:t>
      </w:r>
      <w:r>
        <w:rPr>
          <w:rFonts w:hint="eastAsia"/>
        </w:rPr>
        <w:t>一是促进农村劳动力在当地就业。充分利用农村资源优势，实施优势农产品区域布局规划</w:t>
      </w:r>
      <w:r>
        <w:t>，</w:t>
      </w:r>
      <w:r>
        <w:rPr>
          <w:rFonts w:hint="eastAsia"/>
        </w:rPr>
        <w:t>调整经济结构</w:t>
      </w:r>
      <w:r>
        <w:t>，</w:t>
      </w:r>
      <w:r>
        <w:rPr>
          <w:rFonts w:hint="eastAsia"/>
        </w:rPr>
        <w:t>发展外向型农业、效益农业、劳动密集型农业和非农产业</w:t>
      </w:r>
      <w:r>
        <w:t>，</w:t>
      </w:r>
      <w:r>
        <w:rPr>
          <w:rFonts w:hint="eastAsia"/>
        </w:rPr>
        <w:t>引导乡镇企业发展与小城镇建设相结合，扩大农村水利、农村道路、农村电网等基础设施建设规模</w:t>
      </w:r>
      <w:r>
        <w:t>，</w:t>
      </w:r>
      <w:r>
        <w:rPr>
          <w:rFonts w:hint="eastAsia"/>
        </w:rPr>
        <w:t>发展农村基础教育和职业技能培训。二是引导农村劳动力跨地区流动就业。中国政府积极引导农村劳动力跨地区合理流动</w:t>
      </w:r>
      <w:r>
        <w:t>，</w:t>
      </w:r>
      <w:r>
        <w:rPr>
          <w:rFonts w:hint="eastAsia"/>
        </w:rPr>
        <w:t>对农村劳动力进城就业实行公平对待、合理引导、完善管理、搞好服务的基本政策</w:t>
      </w:r>
      <w:r>
        <w:t>，</w:t>
      </w:r>
      <w:r>
        <w:rPr>
          <w:rFonts w:hint="eastAsia"/>
        </w:rPr>
        <w:t>努力消除农村劳动力进城就业的制度性障碍</w:t>
      </w:r>
      <w:r>
        <w:t>，</w:t>
      </w:r>
      <w:r>
        <w:rPr>
          <w:rFonts w:hint="eastAsia"/>
        </w:rPr>
        <w:t>进一步降低农村劳动力进城就业的个人成本。通过加强就业服务</w:t>
      </w:r>
      <w:r>
        <w:t>，</w:t>
      </w:r>
      <w:r>
        <w:rPr>
          <w:rFonts w:hint="eastAsia"/>
        </w:rPr>
        <w:t>开展农村劳动力职业技能培训，提高外出劳动力就业能力。指导劳动力短缺的发达地区与劳动力富余的欠发达地区建立以劳动力市场需求为基础的区域间劳务协作关系</w:t>
      </w:r>
      <w:r>
        <w:t>，</w:t>
      </w:r>
      <w:r>
        <w:rPr>
          <w:rFonts w:hint="eastAsia"/>
        </w:rPr>
        <w:t>降低劳动力流动的盲目性。</w:t>
      </w:r>
    </w:p>
    <w:p w:rsidR="00000000" w:rsidRDefault="00000000">
      <w:r>
        <w:tab/>
        <w:t xml:space="preserve">28.  </w:t>
      </w:r>
      <w:r>
        <w:rPr>
          <w:rFonts w:hint="eastAsia"/>
        </w:rPr>
        <w:t>随着经济结构的调整</w:t>
      </w:r>
      <w:r>
        <w:t>，</w:t>
      </w:r>
      <w:r>
        <w:rPr>
          <w:rFonts w:hint="eastAsia"/>
        </w:rPr>
        <w:t>近年来中国出现了企业大量富余人员下岗的情况。国有企业下岗职工多为年龄较大、文化素质较低和职业技能单一的人员</w:t>
      </w:r>
      <w:r>
        <w:t>，</w:t>
      </w:r>
      <w:r>
        <w:rPr>
          <w:rFonts w:hint="eastAsia"/>
        </w:rPr>
        <w:t>实现再就业比较困难。为解决下岗职工和失业人员的再就业问题</w:t>
      </w:r>
      <w:r>
        <w:t>，</w:t>
      </w:r>
      <w:r>
        <w:rPr>
          <w:rFonts w:hint="eastAsia"/>
        </w:rPr>
        <w:t>中国政府完善和落实再就业扶持政策。通过免费培训、税费减免、小额贷款、社保补贴、简化工商登记、场地安排等措施</w:t>
      </w:r>
      <w:r>
        <w:t>，</w:t>
      </w:r>
      <w:r>
        <w:rPr>
          <w:rFonts w:hint="eastAsia"/>
        </w:rPr>
        <w:t>鼓励下岗职工和失业人员自谋职业或组织起来就业。把社区就业作为下岗职工和失业人员再就业的主要方向</w:t>
      </w:r>
      <w:r>
        <w:t>，</w:t>
      </w:r>
      <w:r>
        <w:rPr>
          <w:rFonts w:hint="eastAsia"/>
        </w:rPr>
        <w:t>积极发展吸纳就业能力比较强的小企业和劳动就业服务企业</w:t>
      </w:r>
      <w:r>
        <w:t>，</w:t>
      </w:r>
      <w:r>
        <w:rPr>
          <w:rFonts w:hint="eastAsia"/>
        </w:rPr>
        <w:t>鼓励发展灵活多样的就业形式。同时组织开展“再就业援助行动”，通过各项援助措施，使下岗职工能在基本生活保障、再就业和社会保险关系接续等方面得到及时有效的服务。对关闭破产企业</w:t>
      </w:r>
      <w:r>
        <w:t>，</w:t>
      </w:r>
      <w:r>
        <w:rPr>
          <w:rFonts w:hint="eastAsia"/>
        </w:rPr>
        <w:t>通过提前退休、利用有效资产重组等方式</w:t>
      </w:r>
      <w:r>
        <w:t>，</w:t>
      </w:r>
      <w:r>
        <w:rPr>
          <w:rFonts w:hint="eastAsia"/>
        </w:rPr>
        <w:t>多渠道妥善安置职工。针对城市贫困无业人员、大龄下岗职工及失业人员的就业困难</w:t>
      </w:r>
      <w:r>
        <w:t>，</w:t>
      </w:r>
      <w:r>
        <w:rPr>
          <w:rFonts w:hint="eastAsia"/>
        </w:rPr>
        <w:t>政府建立公共就业服务制度</w:t>
      </w:r>
      <w:r>
        <w:t>，</w:t>
      </w:r>
      <w:r>
        <w:rPr>
          <w:rFonts w:hint="eastAsia"/>
        </w:rPr>
        <w:t>通过出资扶植社区公益性就业组织</w:t>
      </w:r>
      <w:r>
        <w:t>，</w:t>
      </w:r>
      <w:r>
        <w:rPr>
          <w:rFonts w:hint="eastAsia"/>
        </w:rPr>
        <w:t>开展环境保洁、社区保安、社区服务等项目</w:t>
      </w:r>
      <w:r>
        <w:t>，</w:t>
      </w:r>
      <w:r>
        <w:rPr>
          <w:rFonts w:hint="eastAsia"/>
        </w:rPr>
        <w:t>安置特困人员就业</w:t>
      </w:r>
      <w:r>
        <w:t>，</w:t>
      </w:r>
      <w:r>
        <w:rPr>
          <w:rFonts w:hint="eastAsia"/>
        </w:rPr>
        <w:t>以及组织开展免费就业服务</w:t>
      </w:r>
      <w:r>
        <w:t>，</w:t>
      </w:r>
      <w:r>
        <w:rPr>
          <w:rFonts w:hint="eastAsia"/>
        </w:rPr>
        <w:t>取得较好效果。</w:t>
      </w:r>
    </w:p>
    <w:p w:rsidR="00000000" w:rsidRDefault="00000000">
      <w:r>
        <w:tab/>
        <w:t xml:space="preserve">29.  </w:t>
      </w:r>
      <w:r>
        <w:rPr>
          <w:rFonts w:hint="eastAsia"/>
        </w:rPr>
        <w:t>经过政府和社会各方面共同努力，中国的就业规模不断扩大</w:t>
      </w:r>
      <w:r>
        <w:t>，</w:t>
      </w:r>
      <w:r>
        <w:rPr>
          <w:rFonts w:hint="eastAsia"/>
        </w:rPr>
        <w:t>就业结构逐步改善。到</w:t>
      </w:r>
      <w:r>
        <w:t>2001</w:t>
      </w:r>
      <w:r>
        <w:rPr>
          <w:rFonts w:hint="eastAsia"/>
        </w:rPr>
        <w:t>年底</w:t>
      </w:r>
      <w:r>
        <w:t>，</w:t>
      </w:r>
      <w:r>
        <w:rPr>
          <w:rFonts w:hint="eastAsia"/>
        </w:rPr>
        <w:t>全国从业人员为</w:t>
      </w:r>
      <w:r>
        <w:t>73025</w:t>
      </w:r>
      <w:r>
        <w:rPr>
          <w:rFonts w:hint="eastAsia"/>
        </w:rPr>
        <w:t>万人</w:t>
      </w:r>
      <w:r>
        <w:t>，</w:t>
      </w:r>
      <w:r>
        <w:rPr>
          <w:rFonts w:hint="eastAsia"/>
        </w:rPr>
        <w:t>劳动力参与率</w:t>
      </w:r>
      <w:r>
        <w:t>(</w:t>
      </w:r>
      <w:r>
        <w:rPr>
          <w:rFonts w:hint="eastAsia"/>
        </w:rPr>
        <w:t>劳动力中就业人数占劳动力总数的比例</w:t>
      </w:r>
      <w:r>
        <w:t>)</w:t>
      </w:r>
      <w:r>
        <w:rPr>
          <w:rFonts w:hint="eastAsia"/>
        </w:rPr>
        <w:t>为</w:t>
      </w:r>
      <w:r>
        <w:t>77%</w:t>
      </w:r>
      <w:r>
        <w:t>；</w:t>
      </w:r>
      <w:r>
        <w:rPr>
          <w:rFonts w:hint="eastAsia"/>
        </w:rPr>
        <w:t>城镇从业人员占从业人员总数的</w:t>
      </w:r>
      <w:r>
        <w:t>32.8%</w:t>
      </w:r>
      <w:r>
        <w:t>，</w:t>
      </w:r>
      <w:r>
        <w:rPr>
          <w:rFonts w:hint="eastAsia"/>
        </w:rPr>
        <w:t>乡村从业人员占从业人员总数的</w:t>
      </w:r>
      <w:r>
        <w:t>67.2%</w:t>
      </w:r>
      <w:r>
        <w:t>；</w:t>
      </w:r>
      <w:r>
        <w:rPr>
          <w:rFonts w:hint="eastAsia"/>
        </w:rPr>
        <w:t>城镇登记失业率为</w:t>
      </w:r>
      <w:r>
        <w:t>3.6%</w:t>
      </w:r>
      <w:r>
        <w:rPr>
          <w:rFonts w:hint="eastAsia"/>
        </w:rPr>
        <w:t>。</w:t>
      </w:r>
      <w:r>
        <w:t>1978</w:t>
      </w:r>
      <w:r>
        <w:rPr>
          <w:rFonts w:hint="eastAsia"/>
        </w:rPr>
        <w:t>年以来</w:t>
      </w:r>
      <w:r>
        <w:t>，</w:t>
      </w:r>
      <w:r>
        <w:rPr>
          <w:rFonts w:hint="eastAsia"/>
        </w:rPr>
        <w:t>城乡从业人员共增加</w:t>
      </w:r>
      <w:r>
        <w:t>32873</w:t>
      </w:r>
      <w:r>
        <w:rPr>
          <w:rFonts w:hint="eastAsia"/>
        </w:rPr>
        <w:t>万人</w:t>
      </w:r>
      <w:r>
        <w:t>，</w:t>
      </w:r>
      <w:r>
        <w:rPr>
          <w:rFonts w:hint="eastAsia"/>
        </w:rPr>
        <w:t>其中城镇增加</w:t>
      </w:r>
      <w:r>
        <w:t>14426</w:t>
      </w:r>
      <w:r>
        <w:rPr>
          <w:rFonts w:hint="eastAsia"/>
        </w:rPr>
        <w:t>万人。</w:t>
      </w:r>
      <w:r>
        <w:t>2001</w:t>
      </w:r>
      <w:r>
        <w:rPr>
          <w:rFonts w:hint="eastAsia"/>
        </w:rPr>
        <w:t>年</w:t>
      </w:r>
      <w:r>
        <w:t>，</w:t>
      </w:r>
      <w:r>
        <w:rPr>
          <w:rFonts w:hint="eastAsia"/>
        </w:rPr>
        <w:t>第一、二、三产业从业人员的就业结构比重分别为</w:t>
      </w:r>
      <w:r>
        <w:t>50%</w:t>
      </w:r>
      <w:r>
        <w:rPr>
          <w:rFonts w:hint="eastAsia"/>
        </w:rPr>
        <w:t>、</w:t>
      </w:r>
      <w:r>
        <w:t>22.3%</w:t>
      </w:r>
      <w:r>
        <w:rPr>
          <w:rFonts w:hint="eastAsia"/>
        </w:rPr>
        <w:t>和</w:t>
      </w:r>
      <w:r>
        <w:t>27.7%</w:t>
      </w:r>
      <w:r>
        <w:rPr>
          <w:rFonts w:hint="eastAsia"/>
        </w:rPr>
        <w:t>。与过去相比，第一产业就业比重明显下降，第二、三产业就业比重增加，特别是第三产业的就业比重上升速度高于第二产业。国有和集体单位的从业人数占城镇从业人员的比重从</w:t>
      </w:r>
      <w:r>
        <w:t>1978</w:t>
      </w:r>
      <w:r>
        <w:rPr>
          <w:rFonts w:hint="eastAsia"/>
        </w:rPr>
        <w:t>年的</w:t>
      </w:r>
      <w:r>
        <w:t>99.8%</w:t>
      </w:r>
      <w:r>
        <w:rPr>
          <w:rFonts w:hint="eastAsia"/>
        </w:rPr>
        <w:t>下降到</w:t>
      </w:r>
      <w:r>
        <w:t>2001</w:t>
      </w:r>
      <w:r>
        <w:rPr>
          <w:rFonts w:hint="eastAsia"/>
        </w:rPr>
        <w:t>年的</w:t>
      </w:r>
      <w:r>
        <w:t>37.3%</w:t>
      </w:r>
      <w:r>
        <w:rPr>
          <w:rFonts w:hint="eastAsia"/>
        </w:rPr>
        <w:t>，个体、私营和外商投资企业的从业人员明显增加。在农村，随着城镇化战略的实施和非农产业的发展</w:t>
      </w:r>
      <w:r>
        <w:t>，</w:t>
      </w:r>
      <w:r>
        <w:rPr>
          <w:rFonts w:hint="eastAsia"/>
        </w:rPr>
        <w:t>非农就业和农村劳动力转移迅速增加。到</w:t>
      </w:r>
      <w:r>
        <w:t>2001</w:t>
      </w:r>
      <w:r>
        <w:rPr>
          <w:rFonts w:hint="eastAsia"/>
        </w:rPr>
        <w:t>年底</w:t>
      </w:r>
      <w:r>
        <w:t>，</w:t>
      </w:r>
      <w:r>
        <w:rPr>
          <w:rFonts w:hint="eastAsia"/>
        </w:rPr>
        <w:t>乡镇企业从业人员达</w:t>
      </w:r>
      <w:r>
        <w:t>13086</w:t>
      </w:r>
      <w:r>
        <w:rPr>
          <w:rFonts w:hint="eastAsia"/>
        </w:rPr>
        <w:t>万人。</w:t>
      </w:r>
      <w:r>
        <w:t>20</w:t>
      </w:r>
      <w:r>
        <w:rPr>
          <w:rFonts w:hint="eastAsia"/>
        </w:rPr>
        <w:t>世纪</w:t>
      </w:r>
      <w:r>
        <w:t>90</w:t>
      </w:r>
      <w:r>
        <w:rPr>
          <w:rFonts w:hint="eastAsia"/>
        </w:rPr>
        <w:t>年代以来农村转移到城镇就业的劳动力达</w:t>
      </w:r>
      <w:r>
        <w:t>8000</w:t>
      </w:r>
      <w:r>
        <w:rPr>
          <w:rFonts w:hint="eastAsia"/>
        </w:rPr>
        <w:t>多万人。</w:t>
      </w:r>
      <w:r>
        <w:t>1998</w:t>
      </w:r>
      <w:r>
        <w:rPr>
          <w:rFonts w:hint="eastAsia"/>
        </w:rPr>
        <w:t>年至</w:t>
      </w:r>
      <w:r>
        <w:t>2001</w:t>
      </w:r>
      <w:r>
        <w:rPr>
          <w:rFonts w:hint="eastAsia"/>
        </w:rPr>
        <w:t>年底，中国国有企业下岗职工累计有</w:t>
      </w:r>
      <w:r>
        <w:t>2550</w:t>
      </w:r>
      <w:r>
        <w:rPr>
          <w:rFonts w:hint="eastAsia"/>
        </w:rPr>
        <w:t>多万人</w:t>
      </w:r>
      <w:r>
        <w:t>，</w:t>
      </w:r>
      <w:r>
        <w:rPr>
          <w:rFonts w:hint="eastAsia"/>
        </w:rPr>
        <w:t>其中</w:t>
      </w:r>
      <w:r>
        <w:t>1680</w:t>
      </w:r>
      <w:r>
        <w:rPr>
          <w:rFonts w:hint="eastAsia"/>
        </w:rPr>
        <w:t>万人实现了再就业。</w:t>
      </w:r>
    </w:p>
    <w:p w:rsidR="00000000" w:rsidRDefault="00000000">
      <w:r>
        <w:tab/>
        <w:t xml:space="preserve">30.  </w:t>
      </w:r>
      <w:r>
        <w:rPr>
          <w:rFonts w:hint="eastAsia"/>
        </w:rPr>
        <w:t>为提高劳动者文化素质和职业技能，中国政府通过多种途径积极发展各类教育事业，实行学历证书和职业资格证书并重。到</w:t>
      </w:r>
      <w:r>
        <w:t>2001</w:t>
      </w:r>
      <w:r>
        <w:rPr>
          <w:rFonts w:hint="eastAsia"/>
        </w:rPr>
        <w:t>年底</w:t>
      </w:r>
      <w:r>
        <w:t>，</w:t>
      </w:r>
      <w:r>
        <w:rPr>
          <w:rFonts w:hint="eastAsia"/>
        </w:rPr>
        <w:t>普及九年义务教育人口覆盖率达到</w:t>
      </w:r>
      <w:r>
        <w:t>90%</w:t>
      </w:r>
      <w:r>
        <w:rPr>
          <w:rFonts w:hint="eastAsia"/>
        </w:rPr>
        <w:t>以上</w:t>
      </w:r>
      <w:r>
        <w:t>，</w:t>
      </w:r>
      <w:r>
        <w:rPr>
          <w:rFonts w:hint="eastAsia"/>
        </w:rPr>
        <w:t>青年壮年文盲率下降到</w:t>
      </w:r>
      <w:r>
        <w:t>5%</w:t>
      </w:r>
      <w:r>
        <w:rPr>
          <w:rFonts w:hint="eastAsia"/>
        </w:rPr>
        <w:t>以下。全国有普通高等学校</w:t>
      </w:r>
      <w:r>
        <w:t>1396</w:t>
      </w:r>
      <w:r>
        <w:rPr>
          <w:rFonts w:hint="eastAsia"/>
        </w:rPr>
        <w:t>所</w:t>
      </w:r>
      <w:r>
        <w:t>，</w:t>
      </w:r>
      <w:r>
        <w:rPr>
          <w:rFonts w:hint="eastAsia"/>
        </w:rPr>
        <w:t>在校学生</w:t>
      </w:r>
      <w:r>
        <w:t>903</w:t>
      </w:r>
      <w:r>
        <w:rPr>
          <w:rFonts w:hint="eastAsia"/>
        </w:rPr>
        <w:t>万人</w:t>
      </w:r>
      <w:r>
        <w:t>；</w:t>
      </w:r>
      <w:r>
        <w:rPr>
          <w:rFonts w:hint="eastAsia"/>
        </w:rPr>
        <w:t>成人高等学校</w:t>
      </w:r>
      <w:r>
        <w:t>607</w:t>
      </w:r>
      <w:r>
        <w:rPr>
          <w:rFonts w:hint="eastAsia"/>
        </w:rPr>
        <w:t>所，在校生</w:t>
      </w:r>
      <w:r>
        <w:t>559</w:t>
      </w:r>
      <w:r>
        <w:rPr>
          <w:rFonts w:hint="eastAsia"/>
        </w:rPr>
        <w:t>万人</w:t>
      </w:r>
      <w:r>
        <w:t>；</w:t>
      </w:r>
      <w:r>
        <w:rPr>
          <w:rFonts w:hint="eastAsia"/>
        </w:rPr>
        <w:t>普通中等学校</w:t>
      </w:r>
      <w:r>
        <w:t>93968</w:t>
      </w:r>
      <w:r>
        <w:rPr>
          <w:rFonts w:hint="eastAsia"/>
        </w:rPr>
        <w:t>所，在校生</w:t>
      </w:r>
      <w:r>
        <w:t>9415</w:t>
      </w:r>
      <w:r>
        <w:rPr>
          <w:rFonts w:hint="eastAsia"/>
        </w:rPr>
        <w:t>万人。国家还通过发展高等职业技术学院、中等职业学校、就业训练中心、民办职业培训机构、企业职工培训中心等职业培训形式，努力形成全方位、多层次的职业教育和培训体系，加强对新生劳动力、在职职工及下岗失业人员的培训。针对未能升学的初高中毕业生等新生劳动力，全面实行一至三年劳动预备制培训；对技工学校、就业训练中心等职业培训机构进行调整和重组</w:t>
      </w:r>
      <w:r>
        <w:t>，</w:t>
      </w:r>
      <w:r>
        <w:rPr>
          <w:rFonts w:hint="eastAsia"/>
        </w:rPr>
        <w:t>建立综合性培训基地和职业培训集团</w:t>
      </w:r>
      <w:r>
        <w:t>；</w:t>
      </w:r>
      <w:r>
        <w:rPr>
          <w:rFonts w:hint="eastAsia"/>
        </w:rPr>
        <w:t>推动“市场引导培训、培训促进就业”机制的形成；全面推行职业资格证书制度</w:t>
      </w:r>
      <w:r>
        <w:t>，</w:t>
      </w:r>
      <w:r>
        <w:rPr>
          <w:rFonts w:hint="eastAsia"/>
        </w:rPr>
        <w:t>并建立了从初级工到高级技师的职业资格体系。目前中国城镇</w:t>
      </w:r>
      <w:r>
        <w:t>80%</w:t>
      </w:r>
      <w:r>
        <w:rPr>
          <w:rFonts w:hint="eastAsia"/>
        </w:rPr>
        <w:t>以上的新就业人员达到高中水平以上或者经过职业技能培训</w:t>
      </w:r>
      <w:r>
        <w:t>，</w:t>
      </w:r>
      <w:r>
        <w:rPr>
          <w:rFonts w:hint="eastAsia"/>
        </w:rPr>
        <w:t>已有近</w:t>
      </w:r>
      <w:r>
        <w:t>4000</w:t>
      </w:r>
      <w:r>
        <w:rPr>
          <w:rFonts w:hint="eastAsia"/>
        </w:rPr>
        <w:t>万人取得了相应的职业资格证书。</w:t>
      </w:r>
    </w:p>
    <w:p w:rsidR="00000000" w:rsidRDefault="00000000">
      <w:pPr>
        <w:rPr>
          <w:szCs w:val="26"/>
        </w:rPr>
      </w:pPr>
      <w:r>
        <w:tab/>
        <w:t xml:space="preserve">31.  </w:t>
      </w:r>
      <w:r>
        <w:rPr>
          <w:rFonts w:hint="eastAsia"/>
        </w:rPr>
        <w:t>中国在有下岗职工的国有企业普遍建立再就业服务中心。下岗职工进入中心后，由再就业服务中心负责向下岗职工发放基本生活费</w:t>
      </w:r>
      <w:r>
        <w:t>，</w:t>
      </w:r>
      <w:r>
        <w:rPr>
          <w:rFonts w:hint="eastAsia"/>
        </w:rPr>
        <w:t>并代缴养老、失业、医疗等社会保险费用。同时</w:t>
      </w:r>
      <w:r>
        <w:t>，</w:t>
      </w:r>
      <w:r>
        <w:rPr>
          <w:rFonts w:hint="eastAsia"/>
        </w:rPr>
        <w:t>政府公共就业服务机构为他们提供职业指导、就业信息和职业培训服务</w:t>
      </w:r>
      <w:r>
        <w:t>，</w:t>
      </w:r>
      <w:r>
        <w:rPr>
          <w:rFonts w:hint="eastAsia"/>
        </w:rPr>
        <w:t>帮助他们尽快实现再就业。从</w:t>
      </w:r>
      <w:r>
        <w:t>1998</w:t>
      </w:r>
      <w:r>
        <w:rPr>
          <w:rFonts w:hint="eastAsia"/>
        </w:rPr>
        <w:t>年开始，政府实施第一期“三年千万”</w:t>
      </w:r>
      <w:r>
        <w:t>(</w:t>
      </w:r>
      <w:r>
        <w:rPr>
          <w:rFonts w:hint="eastAsia"/>
        </w:rPr>
        <w:t>三年内累计培训下岗职工和失业人员</w:t>
      </w:r>
      <w:r>
        <w:t>1000</w:t>
      </w:r>
      <w:r>
        <w:rPr>
          <w:rFonts w:hint="eastAsia"/>
        </w:rPr>
        <w:t>万人</w:t>
      </w:r>
      <w:r>
        <w:t>)</w:t>
      </w:r>
      <w:r>
        <w:rPr>
          <w:rFonts w:hint="eastAsia"/>
        </w:rPr>
        <w:t>再就业培训计划，通过动员社会培训力量，实行政府购买培训成果等有效措施</w:t>
      </w:r>
      <w:r>
        <w:t>，</w:t>
      </w:r>
      <w:r>
        <w:rPr>
          <w:rFonts w:hint="eastAsia"/>
        </w:rPr>
        <w:t>推动下岗职工和失业人员参加再就业培训。</w:t>
      </w:r>
      <w:r>
        <w:t>1998</w:t>
      </w:r>
      <w:r>
        <w:rPr>
          <w:rFonts w:hint="eastAsia"/>
        </w:rPr>
        <w:t>年至</w:t>
      </w:r>
      <w:r>
        <w:t>2000</w:t>
      </w:r>
      <w:r>
        <w:rPr>
          <w:rFonts w:hint="eastAsia"/>
        </w:rPr>
        <w:t>年的三年间，全国各地共组织了</w:t>
      </w:r>
      <w:r>
        <w:t>1300</w:t>
      </w:r>
      <w:r>
        <w:rPr>
          <w:rFonts w:hint="eastAsia"/>
        </w:rPr>
        <w:t>多万名下岗职工和失业人员参加培训，接受培训半年后的就业率达到</w:t>
      </w:r>
      <w:r>
        <w:t>60%</w:t>
      </w:r>
      <w:r>
        <w:rPr>
          <w:rFonts w:hint="eastAsia"/>
        </w:rPr>
        <w:t>。从</w:t>
      </w:r>
      <w:r>
        <w:t>2001</w:t>
      </w:r>
      <w:r>
        <w:rPr>
          <w:rFonts w:hint="eastAsia"/>
        </w:rPr>
        <w:t>年起，政府开始实施第二期“三年千万”再就业培训</w:t>
      </w:r>
      <w:r>
        <w:rPr>
          <w:rFonts w:hint="eastAsia"/>
          <w:szCs w:val="26"/>
        </w:rPr>
        <w:t>计划。目前已在</w:t>
      </w:r>
      <w:r>
        <w:rPr>
          <w:szCs w:val="26"/>
        </w:rPr>
        <w:t>30</w:t>
      </w:r>
      <w:r>
        <w:rPr>
          <w:rFonts w:hint="eastAsia"/>
          <w:szCs w:val="26"/>
        </w:rPr>
        <w:t>个城市实施了“创业培训”计划</w:t>
      </w:r>
      <w:r>
        <w:rPr>
          <w:szCs w:val="26"/>
        </w:rPr>
        <w:t>，</w:t>
      </w:r>
      <w:r>
        <w:rPr>
          <w:rFonts w:hint="eastAsia"/>
          <w:szCs w:val="26"/>
        </w:rPr>
        <w:t>对有志于开办小企业的下岗职工和失业人员进行创业培训</w:t>
      </w:r>
      <w:r>
        <w:rPr>
          <w:szCs w:val="26"/>
        </w:rPr>
        <w:t>，</w:t>
      </w:r>
      <w:r>
        <w:rPr>
          <w:rFonts w:hint="eastAsia"/>
          <w:szCs w:val="26"/>
        </w:rPr>
        <w:t>在培训结束后帮助他们进行工商登记、获得小额贷款</w:t>
      </w:r>
      <w:r>
        <w:rPr>
          <w:szCs w:val="26"/>
        </w:rPr>
        <w:t>，</w:t>
      </w:r>
      <w:r>
        <w:rPr>
          <w:rFonts w:hint="eastAsia"/>
          <w:szCs w:val="26"/>
        </w:rPr>
        <w:t>通过发展小企业以吸纳更多的下岗职工和失业人员再就业。</w:t>
      </w:r>
    </w:p>
    <w:p w:rsidR="00000000" w:rsidRDefault="00000000">
      <w:pPr>
        <w:rPr>
          <w:szCs w:val="26"/>
        </w:rPr>
      </w:pPr>
      <w:r>
        <w:rPr>
          <w:szCs w:val="26"/>
        </w:rPr>
        <w:tab/>
        <w:t xml:space="preserve">32.  </w:t>
      </w:r>
      <w:r>
        <w:rPr>
          <w:rFonts w:hint="eastAsia"/>
          <w:szCs w:val="26"/>
        </w:rPr>
        <w:t>妇女就业在中国得到特别关注。《宪法》、《劳动法》、《妇女权益保障法》及《女职工劳动保护规定》、《女职工禁忌劳动范围的规定》等一系列法律法规明令禁止在就业机会、就业条件</w:t>
      </w:r>
      <w:r>
        <w:rPr>
          <w:szCs w:val="26"/>
        </w:rPr>
        <w:t>，</w:t>
      </w:r>
      <w:r>
        <w:rPr>
          <w:rFonts w:hint="eastAsia"/>
          <w:szCs w:val="26"/>
        </w:rPr>
        <w:t>包括培训、晋级、保健和安全及解雇和社会保障等方面产生直接或间接的性别歧视。政府特别注重由于计划经济向市场经济转轨造成的妇女发展程度的差异，将女性下岗人员作为再就业的重点帮助对象</w:t>
      </w:r>
      <w:r>
        <w:rPr>
          <w:szCs w:val="26"/>
        </w:rPr>
        <w:t>，</w:t>
      </w:r>
      <w:r>
        <w:rPr>
          <w:rFonts w:hint="eastAsia"/>
          <w:szCs w:val="26"/>
        </w:rPr>
        <w:t>制定和落实优惠政策</w:t>
      </w:r>
      <w:r>
        <w:rPr>
          <w:szCs w:val="26"/>
        </w:rPr>
        <w:t>，</w:t>
      </w:r>
      <w:r>
        <w:rPr>
          <w:rFonts w:hint="eastAsia"/>
          <w:szCs w:val="26"/>
        </w:rPr>
        <w:t>如组织下岗女工开展职业培训</w:t>
      </w:r>
      <w:r>
        <w:rPr>
          <w:szCs w:val="26"/>
        </w:rPr>
        <w:t>，</w:t>
      </w:r>
      <w:r>
        <w:rPr>
          <w:rFonts w:hint="eastAsia"/>
          <w:szCs w:val="26"/>
        </w:rPr>
        <w:t>劳动部门免费为下岗人员提供职业技能培训和职业介绍等。政府采取多层次、多渠道开发就业岗位，特别注重发展第三产业和社区服务网络</w:t>
      </w:r>
      <w:r>
        <w:rPr>
          <w:szCs w:val="26"/>
        </w:rPr>
        <w:t>，</w:t>
      </w:r>
      <w:r>
        <w:rPr>
          <w:rFonts w:hint="eastAsia"/>
          <w:szCs w:val="26"/>
        </w:rPr>
        <w:t>使部分年龄偏大</w:t>
      </w:r>
      <w:r>
        <w:rPr>
          <w:szCs w:val="26"/>
        </w:rPr>
        <w:t>，</w:t>
      </w:r>
      <w:r>
        <w:rPr>
          <w:rFonts w:hint="eastAsia"/>
          <w:szCs w:val="26"/>
        </w:rPr>
        <w:t>文化水平不高</w:t>
      </w:r>
      <w:r>
        <w:rPr>
          <w:szCs w:val="26"/>
        </w:rPr>
        <w:t>，</w:t>
      </w:r>
      <w:r>
        <w:rPr>
          <w:rFonts w:hint="eastAsia"/>
          <w:szCs w:val="26"/>
        </w:rPr>
        <w:t>技术单一的下岗女工也能找到适合的就业机会。据统计，</w:t>
      </w:r>
      <w:r>
        <w:rPr>
          <w:szCs w:val="26"/>
        </w:rPr>
        <w:t>2000</w:t>
      </w:r>
      <w:r>
        <w:rPr>
          <w:rFonts w:hint="eastAsia"/>
          <w:szCs w:val="26"/>
        </w:rPr>
        <w:t>年在社区实现再就业的</w:t>
      </w:r>
      <w:r>
        <w:rPr>
          <w:szCs w:val="26"/>
        </w:rPr>
        <w:t>，</w:t>
      </w:r>
      <w:r>
        <w:rPr>
          <w:szCs w:val="26"/>
        </w:rPr>
        <w:t>70%</w:t>
      </w:r>
      <w:r>
        <w:rPr>
          <w:rFonts w:hint="eastAsia"/>
          <w:szCs w:val="26"/>
        </w:rPr>
        <w:t>是妇女。</w:t>
      </w:r>
    </w:p>
    <w:p w:rsidR="00000000" w:rsidRDefault="00000000">
      <w:r>
        <w:rPr>
          <w:szCs w:val="26"/>
        </w:rPr>
        <w:tab/>
        <w:t xml:space="preserve">33.  </w:t>
      </w:r>
      <w:r>
        <w:rPr>
          <w:rFonts w:hint="eastAsia"/>
          <w:szCs w:val="26"/>
        </w:rPr>
        <w:t>国家保护妇女享有与男子平等的劳动权利，实行男女同工同酬</w:t>
      </w:r>
      <w:r>
        <w:rPr>
          <w:szCs w:val="26"/>
        </w:rPr>
        <w:t>，</w:t>
      </w:r>
      <w:r>
        <w:rPr>
          <w:rFonts w:hint="eastAsia"/>
          <w:szCs w:val="26"/>
        </w:rPr>
        <w:t>保障妇女在经期、孕期、产期和哺乳期应享受的特殊照顾。</w:t>
      </w:r>
      <w:r>
        <w:rPr>
          <w:szCs w:val="26"/>
        </w:rPr>
        <w:t>2001</w:t>
      </w:r>
      <w:r>
        <w:rPr>
          <w:rFonts w:hint="eastAsia"/>
          <w:szCs w:val="26"/>
        </w:rPr>
        <w:t>年</w:t>
      </w:r>
      <w:r>
        <w:rPr>
          <w:szCs w:val="26"/>
        </w:rPr>
        <w:t>10</w:t>
      </w:r>
      <w:r>
        <w:rPr>
          <w:rFonts w:hint="eastAsia"/>
          <w:szCs w:val="26"/>
        </w:rPr>
        <w:t>月</w:t>
      </w:r>
      <w:r>
        <w:rPr>
          <w:szCs w:val="26"/>
        </w:rPr>
        <w:t>，</w:t>
      </w:r>
      <w:r>
        <w:rPr>
          <w:rFonts w:hint="eastAsia"/>
          <w:szCs w:val="26"/>
        </w:rPr>
        <w:t>九届全国人大常委会修订了《工会法》</w:t>
      </w:r>
      <w:r>
        <w:rPr>
          <w:szCs w:val="26"/>
        </w:rPr>
        <w:t>，</w:t>
      </w:r>
      <w:r>
        <w:rPr>
          <w:rFonts w:hint="eastAsia"/>
          <w:szCs w:val="26"/>
        </w:rPr>
        <w:t>在保持建立女职工委员会的基础上</w:t>
      </w:r>
      <w:r>
        <w:rPr>
          <w:szCs w:val="26"/>
        </w:rPr>
        <w:t>，</w:t>
      </w:r>
      <w:r>
        <w:rPr>
          <w:rFonts w:hint="eastAsia"/>
          <w:szCs w:val="26"/>
        </w:rPr>
        <w:t>增加了处罚侵犯女职工特殊权益的规定。该法第</w:t>
      </w:r>
      <w:r>
        <w:rPr>
          <w:szCs w:val="26"/>
        </w:rPr>
        <w:t>22</w:t>
      </w:r>
      <w:r>
        <w:rPr>
          <w:rFonts w:hint="eastAsia"/>
          <w:szCs w:val="26"/>
        </w:rPr>
        <w:t>条规定</w:t>
      </w:r>
      <w:r>
        <w:rPr>
          <w:szCs w:val="26"/>
        </w:rPr>
        <w:t>，</w:t>
      </w:r>
      <w:r>
        <w:rPr>
          <w:rFonts w:hint="eastAsia"/>
          <w:szCs w:val="26"/>
        </w:rPr>
        <w:t>如出现侵犯女职工和未成年工特殊利益的情况</w:t>
      </w:r>
      <w:r>
        <w:rPr>
          <w:szCs w:val="26"/>
        </w:rPr>
        <w:t>，</w:t>
      </w:r>
      <w:r>
        <w:rPr>
          <w:rFonts w:hint="eastAsia"/>
          <w:szCs w:val="26"/>
        </w:rPr>
        <w:t>工会应代表职工与企业、事业单位交涉</w:t>
      </w:r>
      <w:r>
        <w:rPr>
          <w:szCs w:val="26"/>
        </w:rPr>
        <w:t>，</w:t>
      </w:r>
      <w:r>
        <w:rPr>
          <w:rFonts w:hint="eastAsia"/>
          <w:szCs w:val="26"/>
        </w:rPr>
        <w:t>要求企业、事业</w:t>
      </w:r>
      <w:r>
        <w:rPr>
          <w:rFonts w:hint="eastAsia"/>
        </w:rPr>
        <w:t>单位采取措施</w:t>
      </w:r>
      <w:r>
        <w:t>，</w:t>
      </w:r>
      <w:r>
        <w:rPr>
          <w:rFonts w:hint="eastAsia"/>
        </w:rPr>
        <w:t>予以改正</w:t>
      </w:r>
      <w:r>
        <w:t>；</w:t>
      </w:r>
      <w:r>
        <w:rPr>
          <w:rFonts w:hint="eastAsia"/>
        </w:rPr>
        <w:t>企业、事业单位应研究处理</w:t>
      </w:r>
      <w:r>
        <w:t>，</w:t>
      </w:r>
      <w:r>
        <w:rPr>
          <w:rFonts w:hint="eastAsia"/>
        </w:rPr>
        <w:t>并向工会做出答复</w:t>
      </w:r>
      <w:r>
        <w:t>；</w:t>
      </w:r>
      <w:r>
        <w:rPr>
          <w:rFonts w:hint="eastAsia"/>
        </w:rPr>
        <w:t>企业、事业单位拒不改正的</w:t>
      </w:r>
      <w:r>
        <w:t>，</w:t>
      </w:r>
      <w:r>
        <w:rPr>
          <w:rFonts w:hint="eastAsia"/>
        </w:rPr>
        <w:t>工会可以依法通过请求当地法院依法做出处理。</w:t>
      </w:r>
    </w:p>
    <w:p w:rsidR="00000000" w:rsidRDefault="00000000">
      <w:r>
        <w:tab/>
        <w:t xml:space="preserve">34.  </w:t>
      </w:r>
      <w:r>
        <w:rPr>
          <w:rFonts w:hint="eastAsia"/>
        </w:rPr>
        <w:t>全国设立各级劳动保障监察机构</w:t>
      </w:r>
      <w:r>
        <w:t>3174</w:t>
      </w:r>
      <w:r>
        <w:rPr>
          <w:rFonts w:hint="eastAsia"/>
        </w:rPr>
        <w:t>个，劳动保障监察员</w:t>
      </w:r>
      <w:r>
        <w:t>4</w:t>
      </w:r>
      <w:r>
        <w:rPr>
          <w:rFonts w:hint="eastAsia"/>
        </w:rPr>
        <w:t>万多人</w:t>
      </w:r>
      <w:r>
        <w:t>，</w:t>
      </w:r>
      <w:r>
        <w:rPr>
          <w:rFonts w:hint="eastAsia"/>
        </w:rPr>
        <w:t>对执行《劳动法》和《妇女权益保障法》进行监督。监察机构强化日常监察</w:t>
      </w:r>
      <w:r>
        <w:t>，</w:t>
      </w:r>
      <w:r>
        <w:rPr>
          <w:rFonts w:hint="eastAsia"/>
        </w:rPr>
        <w:t>重点开展工时、休假制度、四期保护、同工同酬的检查</w:t>
      </w:r>
      <w:r>
        <w:t>，</w:t>
      </w:r>
      <w:r>
        <w:rPr>
          <w:rFonts w:hint="eastAsia"/>
        </w:rPr>
        <w:t>发现问题</w:t>
      </w:r>
      <w:r>
        <w:t>，</w:t>
      </w:r>
      <w:r>
        <w:rPr>
          <w:rFonts w:hint="eastAsia"/>
        </w:rPr>
        <w:t>及时纠正。建立并规范劳动合同和集体合同制度</w:t>
      </w:r>
      <w:r>
        <w:t>，</w:t>
      </w:r>
      <w:r>
        <w:rPr>
          <w:rFonts w:hint="eastAsia"/>
        </w:rPr>
        <w:t>要求用人单位与劳动者签订劳动合同时充分考虑女职工特点</w:t>
      </w:r>
      <w:r>
        <w:t>，</w:t>
      </w:r>
      <w:r>
        <w:rPr>
          <w:rFonts w:hint="eastAsia"/>
        </w:rPr>
        <w:t>明确包含女工各项权益的条款</w:t>
      </w:r>
      <w:r>
        <w:t>；</w:t>
      </w:r>
      <w:r>
        <w:rPr>
          <w:rFonts w:hint="eastAsia"/>
        </w:rPr>
        <w:t>劳动保障行政部门对集体合同进行审核</w:t>
      </w:r>
      <w:r>
        <w:t>，</w:t>
      </w:r>
      <w:r>
        <w:rPr>
          <w:rFonts w:hint="eastAsia"/>
        </w:rPr>
        <w:t>保证女职工权益保护的各项规定得到落实。加强对企业内部分配制度改革的指导</w:t>
      </w:r>
      <w:r>
        <w:t>，</w:t>
      </w:r>
      <w:r>
        <w:rPr>
          <w:rFonts w:hint="eastAsia"/>
        </w:rPr>
        <w:t>落实男女同工同酬。到</w:t>
      </w:r>
      <w:r>
        <w:t>2002</w:t>
      </w:r>
      <w:r>
        <w:rPr>
          <w:rFonts w:hint="eastAsia"/>
        </w:rPr>
        <w:t>年底</w:t>
      </w:r>
      <w:r>
        <w:t>，</w:t>
      </w:r>
      <w:r>
        <w:rPr>
          <w:rFonts w:hint="eastAsia"/>
        </w:rPr>
        <w:t>全国城镇企业劳动合同签订率达</w:t>
      </w:r>
      <w:r>
        <w:t>95%</w:t>
      </w:r>
      <w:r>
        <w:rPr>
          <w:rFonts w:hint="eastAsia"/>
        </w:rPr>
        <w:t>以上，集体合同制度覆盖职工</w:t>
      </w:r>
      <w:r>
        <w:t>7000</w:t>
      </w:r>
      <w:r>
        <w:rPr>
          <w:rFonts w:hint="eastAsia"/>
        </w:rPr>
        <w:t>多万人。</w:t>
      </w:r>
    </w:p>
    <w:p w:rsidR="00000000" w:rsidRDefault="00000000">
      <w:pPr>
        <w:rPr>
          <w:rFonts w:hint="eastAsia"/>
          <w:szCs w:val="28"/>
        </w:rPr>
      </w:pPr>
      <w:r>
        <w:tab/>
        <w:t xml:space="preserve">35.  </w:t>
      </w:r>
      <w:r>
        <w:rPr>
          <w:rFonts w:hint="eastAsia"/>
        </w:rPr>
        <w:t>中国重视并采取多种途径和形式促进残疾人就业。在城镇</w:t>
      </w:r>
      <w:r>
        <w:t>，</w:t>
      </w:r>
      <w:r>
        <w:rPr>
          <w:rFonts w:hint="eastAsia"/>
        </w:rPr>
        <w:t>残疾人主要通过三种途径实现就业</w:t>
      </w:r>
      <w:r>
        <w:t>：</w:t>
      </w:r>
      <w:r>
        <w:rPr>
          <w:rFonts w:hint="eastAsia"/>
        </w:rPr>
        <w:t>一是社会各单位依照法律规定按职工人数一定比例吸收残疾人就业</w:t>
      </w:r>
      <w:r>
        <w:t>，</w:t>
      </w:r>
      <w:r>
        <w:rPr>
          <w:rFonts w:hint="eastAsia"/>
        </w:rPr>
        <w:t>达不到规定比例的要缴纳残疾人就业保障金。目前全国通过按比例就业安置的残疾人共有</w:t>
      </w:r>
      <w:r>
        <w:t>111</w:t>
      </w:r>
      <w:r>
        <w:rPr>
          <w:rFonts w:hint="eastAsia"/>
        </w:rPr>
        <w:t>万人。二是兴办专门安排残疾人就业的福利企业</w:t>
      </w:r>
      <w:r>
        <w:t>，</w:t>
      </w:r>
      <w:r>
        <w:rPr>
          <w:rFonts w:hint="eastAsia"/>
        </w:rPr>
        <w:t>实行税收减免等优惠政策。三是制定优惠、扶持政策，促进残疾人个体就业</w:t>
      </w:r>
      <w:r>
        <w:t>，</w:t>
      </w:r>
      <w:r>
        <w:rPr>
          <w:rFonts w:hint="eastAsia"/>
        </w:rPr>
        <w:t>目前就业人数已达</w:t>
      </w:r>
      <w:r>
        <w:t>144.8</w:t>
      </w:r>
      <w:r>
        <w:rPr>
          <w:rFonts w:hint="eastAsia"/>
        </w:rPr>
        <w:t>万人。城镇残疾人就业总人数达到</w:t>
      </w:r>
      <w:r>
        <w:t>352</w:t>
      </w:r>
      <w:r>
        <w:rPr>
          <w:rFonts w:hint="eastAsia"/>
        </w:rPr>
        <w:t>万人</w:t>
      </w:r>
      <w:r>
        <w:t>，</w:t>
      </w:r>
      <w:r>
        <w:rPr>
          <w:rFonts w:hint="eastAsia"/>
        </w:rPr>
        <w:t>残疾人的工作环境和条件正逐步得到改善。在农村</w:t>
      </w:r>
      <w:r>
        <w:t>，</w:t>
      </w:r>
      <w:r>
        <w:rPr>
          <w:rFonts w:hint="eastAsia"/>
        </w:rPr>
        <w:t>残疾人根据自身特点</w:t>
      </w:r>
      <w:r>
        <w:t>，</w:t>
      </w:r>
      <w:r>
        <w:rPr>
          <w:rFonts w:hint="eastAsia"/>
        </w:rPr>
        <w:t>从事种植业、养殖业、家庭手工业等生产劳</w:t>
      </w:r>
      <w:r>
        <w:rPr>
          <w:rFonts w:hint="eastAsia"/>
          <w:szCs w:val="28"/>
        </w:rPr>
        <w:t>动</w:t>
      </w:r>
      <w:r>
        <w:rPr>
          <w:szCs w:val="28"/>
        </w:rPr>
        <w:t>，</w:t>
      </w:r>
      <w:r>
        <w:rPr>
          <w:rFonts w:hint="eastAsia"/>
          <w:szCs w:val="28"/>
        </w:rPr>
        <w:t>就业人数达到</w:t>
      </w:r>
      <w:r>
        <w:rPr>
          <w:szCs w:val="28"/>
        </w:rPr>
        <w:t>1579.5</w:t>
      </w:r>
      <w:r>
        <w:rPr>
          <w:rFonts w:hint="eastAsia"/>
          <w:szCs w:val="28"/>
        </w:rPr>
        <w:t>万人。全国建立残疾人就业服务机构</w:t>
      </w:r>
      <w:r>
        <w:rPr>
          <w:szCs w:val="28"/>
        </w:rPr>
        <w:t>3012</w:t>
      </w:r>
      <w:r>
        <w:rPr>
          <w:rFonts w:hint="eastAsia"/>
          <w:szCs w:val="28"/>
        </w:rPr>
        <w:t>个</w:t>
      </w:r>
      <w:r>
        <w:rPr>
          <w:szCs w:val="28"/>
        </w:rPr>
        <w:t>，</w:t>
      </w:r>
      <w:r>
        <w:rPr>
          <w:rFonts w:hint="eastAsia"/>
          <w:szCs w:val="28"/>
        </w:rPr>
        <w:t>为残疾人提供职业培训、职业指导、职业介绍等服务。残疾人的就业率已由</w:t>
      </w:r>
      <w:r>
        <w:rPr>
          <w:szCs w:val="28"/>
        </w:rPr>
        <w:t>1987</w:t>
      </w:r>
      <w:r>
        <w:rPr>
          <w:rFonts w:hint="eastAsia"/>
          <w:szCs w:val="28"/>
        </w:rPr>
        <w:t>年的</w:t>
      </w:r>
      <w:r>
        <w:rPr>
          <w:szCs w:val="28"/>
        </w:rPr>
        <w:t>50%</w:t>
      </w:r>
      <w:r>
        <w:rPr>
          <w:rFonts w:hint="eastAsia"/>
          <w:szCs w:val="28"/>
        </w:rPr>
        <w:t>提高到目前的</w:t>
      </w:r>
      <w:r>
        <w:rPr>
          <w:szCs w:val="28"/>
        </w:rPr>
        <w:t>80%</w:t>
      </w:r>
      <w:r>
        <w:rPr>
          <w:rFonts w:hint="eastAsia"/>
          <w:szCs w:val="28"/>
        </w:rPr>
        <w:t>以上。残疾人通过劳动就业</w:t>
      </w:r>
      <w:r>
        <w:rPr>
          <w:szCs w:val="28"/>
        </w:rPr>
        <w:t>，</w:t>
      </w:r>
      <w:r>
        <w:rPr>
          <w:rFonts w:hint="eastAsia"/>
          <w:szCs w:val="28"/>
        </w:rPr>
        <w:t>增加了收入</w:t>
      </w:r>
      <w:r>
        <w:rPr>
          <w:szCs w:val="28"/>
        </w:rPr>
        <w:t>，</w:t>
      </w:r>
      <w:r>
        <w:rPr>
          <w:rFonts w:hint="eastAsia"/>
          <w:szCs w:val="28"/>
        </w:rPr>
        <w:t>改善了生活</w:t>
      </w:r>
      <w:r>
        <w:rPr>
          <w:szCs w:val="28"/>
        </w:rPr>
        <w:t>，</w:t>
      </w:r>
      <w:r>
        <w:rPr>
          <w:rFonts w:hint="eastAsia"/>
          <w:szCs w:val="28"/>
        </w:rPr>
        <w:t>并为社会创造了财富。</w:t>
      </w:r>
    </w:p>
    <w:p w:rsidR="00000000" w:rsidRDefault="00000000">
      <w:pPr>
        <w:rPr>
          <w:szCs w:val="28"/>
        </w:rPr>
      </w:pPr>
      <w:r>
        <w:rPr>
          <w:szCs w:val="28"/>
        </w:rPr>
        <w:tab/>
        <w:t xml:space="preserve">36.  </w:t>
      </w:r>
      <w:r>
        <w:rPr>
          <w:rFonts w:hint="eastAsia"/>
          <w:szCs w:val="28"/>
        </w:rPr>
        <w:t>为充分实现工作权、达到稳定的经济、社会和文化的发展和充分的生产就业</w:t>
      </w:r>
      <w:r>
        <w:rPr>
          <w:szCs w:val="28"/>
        </w:rPr>
        <w:t>，</w:t>
      </w:r>
      <w:r>
        <w:rPr>
          <w:szCs w:val="28"/>
        </w:rPr>
        <w:t>2001</w:t>
      </w:r>
      <w:r>
        <w:rPr>
          <w:rFonts w:hint="eastAsia"/>
          <w:szCs w:val="28"/>
        </w:rPr>
        <w:t>年</w:t>
      </w:r>
      <w:r>
        <w:rPr>
          <w:szCs w:val="28"/>
        </w:rPr>
        <w:t>，</w:t>
      </w:r>
      <w:r>
        <w:rPr>
          <w:rFonts w:hint="eastAsia"/>
          <w:szCs w:val="28"/>
        </w:rPr>
        <w:t>中国政府制定并颁布了《国民经济和社会发展第十个五年计划纲要》</w:t>
      </w:r>
      <w:r>
        <w:rPr>
          <w:szCs w:val="28"/>
        </w:rPr>
        <w:t>(</w:t>
      </w:r>
      <w:r>
        <w:rPr>
          <w:rFonts w:hint="eastAsia"/>
          <w:szCs w:val="28"/>
        </w:rPr>
        <w:t>以下简称《纲要》</w:t>
      </w:r>
      <w:r>
        <w:rPr>
          <w:rFonts w:hint="eastAsia"/>
          <w:szCs w:val="28"/>
        </w:rPr>
        <w:t>)</w:t>
      </w:r>
      <w:r>
        <w:rPr>
          <w:szCs w:val="28"/>
        </w:rPr>
        <w:t>，</w:t>
      </w:r>
      <w:r>
        <w:rPr>
          <w:rFonts w:hint="eastAsia"/>
          <w:szCs w:val="28"/>
        </w:rPr>
        <w:t>旨在达到稳定的经济、社会、文化发展和充分就业。《纲要》指出</w:t>
      </w:r>
      <w:r>
        <w:rPr>
          <w:szCs w:val="28"/>
        </w:rPr>
        <w:t>，</w:t>
      </w:r>
      <w:r>
        <w:rPr>
          <w:rFonts w:hint="eastAsia"/>
          <w:szCs w:val="28"/>
        </w:rPr>
        <w:t>今后五到十年是中国经济和社会发展的重要时期。“十五”期间</w:t>
      </w:r>
      <w:r>
        <w:rPr>
          <w:szCs w:val="28"/>
        </w:rPr>
        <w:t>(2001-2005</w:t>
      </w:r>
      <w:r>
        <w:rPr>
          <w:rFonts w:hint="eastAsia"/>
          <w:szCs w:val="28"/>
        </w:rPr>
        <w:t>年</w:t>
      </w:r>
      <w:r>
        <w:rPr>
          <w:szCs w:val="28"/>
        </w:rPr>
        <w:t>)</w:t>
      </w:r>
      <w:r>
        <w:rPr>
          <w:szCs w:val="28"/>
        </w:rPr>
        <w:t>，</w:t>
      </w:r>
      <w:r>
        <w:rPr>
          <w:rFonts w:hint="eastAsia"/>
          <w:szCs w:val="28"/>
        </w:rPr>
        <w:t>中国国民经济将保持较快发展速度</w:t>
      </w:r>
      <w:r>
        <w:rPr>
          <w:szCs w:val="28"/>
        </w:rPr>
        <w:t>，</w:t>
      </w:r>
      <w:r>
        <w:rPr>
          <w:rFonts w:hint="eastAsia"/>
          <w:szCs w:val="28"/>
        </w:rPr>
        <w:t>经济结构战略性调整取得明显成效</w:t>
      </w:r>
      <w:r>
        <w:rPr>
          <w:szCs w:val="28"/>
        </w:rPr>
        <w:t>，</w:t>
      </w:r>
      <w:r>
        <w:rPr>
          <w:rFonts w:hint="eastAsia"/>
          <w:szCs w:val="28"/>
        </w:rPr>
        <w:t>经济增长质量和效益显著提高，</w:t>
      </w:r>
      <w:r>
        <w:rPr>
          <w:szCs w:val="28"/>
        </w:rPr>
        <w:t>2010</w:t>
      </w:r>
      <w:r>
        <w:rPr>
          <w:rFonts w:hint="eastAsia"/>
          <w:szCs w:val="28"/>
        </w:rPr>
        <w:t>年国内生产总值比</w:t>
      </w:r>
      <w:r>
        <w:rPr>
          <w:szCs w:val="28"/>
        </w:rPr>
        <w:t>2000</w:t>
      </w:r>
      <w:r>
        <w:rPr>
          <w:rFonts w:hint="eastAsia"/>
          <w:szCs w:val="28"/>
        </w:rPr>
        <w:t>年翻一番</w:t>
      </w:r>
      <w:r>
        <w:rPr>
          <w:szCs w:val="28"/>
        </w:rPr>
        <w:t>；</w:t>
      </w:r>
      <w:r>
        <w:rPr>
          <w:rFonts w:hint="eastAsia"/>
          <w:szCs w:val="28"/>
        </w:rPr>
        <w:t>国有企业建立现代企业制度将取得重大进展</w:t>
      </w:r>
      <w:r>
        <w:rPr>
          <w:szCs w:val="28"/>
        </w:rPr>
        <w:t>，</w:t>
      </w:r>
      <w:r>
        <w:rPr>
          <w:rFonts w:hint="eastAsia"/>
          <w:szCs w:val="28"/>
        </w:rPr>
        <w:t>社会保障制度比较健全</w:t>
      </w:r>
      <w:r>
        <w:rPr>
          <w:szCs w:val="28"/>
        </w:rPr>
        <w:t>，</w:t>
      </w:r>
      <w:r>
        <w:rPr>
          <w:rFonts w:hint="eastAsia"/>
          <w:szCs w:val="28"/>
        </w:rPr>
        <w:t>完善社会主义市场经济体制迈出实质性步伐</w:t>
      </w:r>
      <w:r>
        <w:rPr>
          <w:szCs w:val="28"/>
        </w:rPr>
        <w:t>，</w:t>
      </w:r>
      <w:r>
        <w:rPr>
          <w:rFonts w:hint="eastAsia"/>
          <w:szCs w:val="28"/>
        </w:rPr>
        <w:t>在更大范围内和更深程度上参与国际经济合作与竞争</w:t>
      </w:r>
      <w:r>
        <w:rPr>
          <w:szCs w:val="28"/>
        </w:rPr>
        <w:t>；</w:t>
      </w:r>
      <w:r>
        <w:rPr>
          <w:rFonts w:hint="eastAsia"/>
          <w:szCs w:val="28"/>
        </w:rPr>
        <w:t>就业渠道拓宽</w:t>
      </w:r>
      <w:r>
        <w:rPr>
          <w:szCs w:val="28"/>
        </w:rPr>
        <w:t>，</w:t>
      </w:r>
      <w:r>
        <w:rPr>
          <w:rFonts w:hint="eastAsia"/>
          <w:szCs w:val="28"/>
        </w:rPr>
        <w:t>城乡居民收入持续增加</w:t>
      </w:r>
      <w:r>
        <w:rPr>
          <w:szCs w:val="28"/>
        </w:rPr>
        <w:t>，</w:t>
      </w:r>
      <w:r>
        <w:rPr>
          <w:rFonts w:hint="eastAsia"/>
          <w:szCs w:val="28"/>
        </w:rPr>
        <w:t>物质文化生活有较大改善</w:t>
      </w:r>
      <w:r>
        <w:rPr>
          <w:szCs w:val="28"/>
        </w:rPr>
        <w:t>，</w:t>
      </w:r>
      <w:r>
        <w:rPr>
          <w:rFonts w:hint="eastAsia"/>
          <w:szCs w:val="28"/>
        </w:rPr>
        <w:t>生态建设和环境保护得到加强</w:t>
      </w:r>
      <w:r>
        <w:rPr>
          <w:szCs w:val="28"/>
        </w:rPr>
        <w:t>；</w:t>
      </w:r>
      <w:r>
        <w:rPr>
          <w:rFonts w:hint="eastAsia"/>
          <w:szCs w:val="28"/>
        </w:rPr>
        <w:t>科技、教育加快发展</w:t>
      </w:r>
      <w:r>
        <w:rPr>
          <w:szCs w:val="28"/>
        </w:rPr>
        <w:t>，</w:t>
      </w:r>
      <w:r>
        <w:rPr>
          <w:rFonts w:hint="eastAsia"/>
          <w:szCs w:val="28"/>
        </w:rPr>
        <w:t>国民素质进一步提高</w:t>
      </w:r>
      <w:r>
        <w:rPr>
          <w:szCs w:val="28"/>
        </w:rPr>
        <w:t>，</w:t>
      </w:r>
      <w:r>
        <w:rPr>
          <w:rFonts w:hint="eastAsia"/>
          <w:szCs w:val="28"/>
        </w:rPr>
        <w:t>精神文明建设和民主法制建设取得明显进展。</w:t>
      </w:r>
    </w:p>
    <w:p w:rsidR="00000000" w:rsidRDefault="00000000">
      <w:r>
        <w:rPr>
          <w:szCs w:val="28"/>
        </w:rPr>
        <w:tab/>
        <w:t>37.  "</w:t>
      </w:r>
      <w:r>
        <w:rPr>
          <w:rFonts w:hint="eastAsia"/>
          <w:szCs w:val="28"/>
        </w:rPr>
        <w:t>十五</w:t>
      </w:r>
      <w:r>
        <w:rPr>
          <w:szCs w:val="28"/>
        </w:rPr>
        <w:t>"</w:t>
      </w:r>
      <w:r>
        <w:rPr>
          <w:rFonts w:hint="eastAsia"/>
          <w:szCs w:val="28"/>
        </w:rPr>
        <w:t>期间政府宏观调控的主要预期目标是</w:t>
      </w:r>
      <w:r>
        <w:rPr>
          <w:szCs w:val="28"/>
        </w:rPr>
        <w:t>：</w:t>
      </w:r>
      <w:r>
        <w:rPr>
          <w:rFonts w:hint="eastAsia"/>
          <w:szCs w:val="28"/>
        </w:rPr>
        <w:t>经济增长速度预期为年均</w:t>
      </w:r>
      <w:r>
        <w:rPr>
          <w:szCs w:val="28"/>
        </w:rPr>
        <w:t>7%</w:t>
      </w:r>
      <w:r>
        <w:rPr>
          <w:rFonts w:hint="eastAsia"/>
          <w:szCs w:val="28"/>
        </w:rPr>
        <w:t>左右</w:t>
      </w:r>
      <w:r>
        <w:rPr>
          <w:szCs w:val="28"/>
        </w:rPr>
        <w:t>，</w:t>
      </w:r>
      <w:r>
        <w:rPr>
          <w:rFonts w:hint="eastAsia"/>
          <w:szCs w:val="28"/>
        </w:rPr>
        <w:t>到</w:t>
      </w:r>
      <w:r>
        <w:rPr>
          <w:szCs w:val="28"/>
        </w:rPr>
        <w:t>2005</w:t>
      </w:r>
      <w:r>
        <w:rPr>
          <w:rFonts w:hint="eastAsia"/>
          <w:szCs w:val="28"/>
        </w:rPr>
        <w:t>年按</w:t>
      </w:r>
      <w:r>
        <w:rPr>
          <w:szCs w:val="28"/>
        </w:rPr>
        <w:t>2000</w:t>
      </w:r>
      <w:r>
        <w:rPr>
          <w:rFonts w:hint="eastAsia"/>
          <w:szCs w:val="28"/>
        </w:rPr>
        <w:t>年价格计算的国内生产总值达到</w:t>
      </w:r>
      <w:r>
        <w:rPr>
          <w:szCs w:val="28"/>
        </w:rPr>
        <w:t>12.5</w:t>
      </w:r>
      <w:r>
        <w:rPr>
          <w:rFonts w:hint="eastAsia"/>
          <w:szCs w:val="28"/>
        </w:rPr>
        <w:t>万亿元左右</w:t>
      </w:r>
      <w:r>
        <w:rPr>
          <w:szCs w:val="28"/>
        </w:rPr>
        <w:t>，</w:t>
      </w:r>
      <w:r>
        <w:rPr>
          <w:rFonts w:hint="eastAsia"/>
          <w:szCs w:val="28"/>
        </w:rPr>
        <w:t>人均国内生产总值达到</w:t>
      </w:r>
      <w:r>
        <w:rPr>
          <w:szCs w:val="28"/>
        </w:rPr>
        <w:t>9400</w:t>
      </w:r>
      <w:r>
        <w:rPr>
          <w:rFonts w:hint="eastAsia"/>
          <w:szCs w:val="28"/>
        </w:rPr>
        <w:t>元</w:t>
      </w:r>
      <w:r>
        <w:rPr>
          <w:szCs w:val="28"/>
        </w:rPr>
        <w:t>；</w:t>
      </w:r>
      <w:r>
        <w:rPr>
          <w:rFonts w:hint="eastAsia"/>
          <w:szCs w:val="28"/>
        </w:rPr>
        <w:t>五年城镇新增就业和转移农业劳动力各达到</w:t>
      </w:r>
      <w:r>
        <w:rPr>
          <w:szCs w:val="28"/>
        </w:rPr>
        <w:t>4000</w:t>
      </w:r>
      <w:r>
        <w:rPr>
          <w:rFonts w:hint="eastAsia"/>
          <w:szCs w:val="28"/>
        </w:rPr>
        <w:t>万人</w:t>
      </w:r>
      <w:r>
        <w:rPr>
          <w:szCs w:val="28"/>
        </w:rPr>
        <w:t>，</w:t>
      </w:r>
      <w:r>
        <w:rPr>
          <w:rFonts w:hint="eastAsia"/>
          <w:szCs w:val="28"/>
        </w:rPr>
        <w:t>城镇登记失业率控制在</w:t>
      </w:r>
      <w:r>
        <w:rPr>
          <w:szCs w:val="28"/>
        </w:rPr>
        <w:t>5%</w:t>
      </w:r>
      <w:r>
        <w:rPr>
          <w:rFonts w:hint="eastAsia"/>
          <w:szCs w:val="28"/>
        </w:rPr>
        <w:t>左右</w:t>
      </w:r>
      <w:r>
        <w:rPr>
          <w:szCs w:val="28"/>
        </w:rPr>
        <w:t>：</w:t>
      </w:r>
      <w:r>
        <w:rPr>
          <w:rFonts w:hint="eastAsia"/>
          <w:szCs w:val="28"/>
        </w:rPr>
        <w:t>价格总水平基本稳定</w:t>
      </w:r>
      <w:r>
        <w:rPr>
          <w:szCs w:val="28"/>
        </w:rPr>
        <w:t>：</w:t>
      </w:r>
      <w:r>
        <w:rPr>
          <w:rFonts w:hint="eastAsia"/>
          <w:szCs w:val="28"/>
        </w:rPr>
        <w:t>国际收支基本平衡。经济</w:t>
      </w:r>
      <w:r>
        <w:rPr>
          <w:rFonts w:hint="eastAsia"/>
        </w:rPr>
        <w:t>结构调整的主要预期目标是</w:t>
      </w:r>
      <w:r>
        <w:t>：</w:t>
      </w:r>
      <w:r>
        <w:rPr>
          <w:rFonts w:hint="eastAsia"/>
        </w:rPr>
        <w:t>产业结构优化升级</w:t>
      </w:r>
      <w:r>
        <w:t>，</w:t>
      </w:r>
      <w:r>
        <w:rPr>
          <w:rFonts w:hint="eastAsia"/>
        </w:rPr>
        <w:t>国际竞争力增强</w:t>
      </w:r>
      <w:r>
        <w:t>，</w:t>
      </w:r>
      <w:r>
        <w:t>2005</w:t>
      </w:r>
      <w:r>
        <w:rPr>
          <w:rFonts w:hint="eastAsia"/>
        </w:rPr>
        <w:t>年第一、二、三产业增加值占国内生产总值的比重分别为</w:t>
      </w:r>
      <w:r>
        <w:t>13%</w:t>
      </w:r>
      <w:r>
        <w:rPr>
          <w:rFonts w:hint="eastAsia"/>
        </w:rPr>
        <w:t>、</w:t>
      </w:r>
      <w:r>
        <w:t>51%</w:t>
      </w:r>
      <w:r>
        <w:rPr>
          <w:rFonts w:hint="eastAsia"/>
        </w:rPr>
        <w:t>和</w:t>
      </w:r>
      <w:r>
        <w:t>36%</w:t>
      </w:r>
      <w:r>
        <w:t>，</w:t>
      </w:r>
      <w:r>
        <w:rPr>
          <w:rFonts w:hint="eastAsia"/>
        </w:rPr>
        <w:t>从业人员占全社会从业人员的比重分别为</w:t>
      </w:r>
      <w:r>
        <w:t>44%</w:t>
      </w:r>
      <w:r>
        <w:rPr>
          <w:rFonts w:hint="eastAsia"/>
        </w:rPr>
        <w:t>、</w:t>
      </w:r>
      <w:r>
        <w:t>23%</w:t>
      </w:r>
      <w:r>
        <w:rPr>
          <w:rFonts w:hint="eastAsia"/>
        </w:rPr>
        <w:t>和</w:t>
      </w:r>
      <w:r>
        <w:t>33%</w:t>
      </w:r>
      <w:r>
        <w:t>；</w:t>
      </w:r>
      <w:r>
        <w:rPr>
          <w:rFonts w:hint="eastAsia"/>
        </w:rPr>
        <w:t>国民经济和社会信息化水平显著提高</w:t>
      </w:r>
      <w:r>
        <w:t>；</w:t>
      </w:r>
      <w:r>
        <w:rPr>
          <w:rFonts w:hint="eastAsia"/>
        </w:rPr>
        <w:t>基础设施进一步完善；地区间发展差距扩大的趋势得到有效控制</w:t>
      </w:r>
      <w:r>
        <w:t>；</w:t>
      </w:r>
      <w:r>
        <w:rPr>
          <w:rFonts w:hint="eastAsia"/>
        </w:rPr>
        <w:t>城镇化水平有所提高。科技、教育发展的主要预期目标是</w:t>
      </w:r>
      <w:r>
        <w:t>：</w:t>
      </w:r>
      <w:r>
        <w:t>2005</w:t>
      </w:r>
      <w:r>
        <w:rPr>
          <w:rFonts w:hint="eastAsia"/>
        </w:rPr>
        <w:t>年全社会研究与开发经费占国内生产总值的比例提高到</w:t>
      </w:r>
      <w:r>
        <w:t>1.5%</w:t>
      </w:r>
      <w:r>
        <w:rPr>
          <w:rFonts w:hint="eastAsia"/>
        </w:rPr>
        <w:t>以上</w:t>
      </w:r>
      <w:r>
        <w:t>，</w:t>
      </w:r>
      <w:r>
        <w:rPr>
          <w:rFonts w:hint="eastAsia"/>
        </w:rPr>
        <w:t>科技创新能力增强</w:t>
      </w:r>
      <w:r>
        <w:t>，</w:t>
      </w:r>
      <w:r>
        <w:rPr>
          <w:rFonts w:hint="eastAsia"/>
        </w:rPr>
        <w:t>技术进步加快</w:t>
      </w:r>
      <w:r>
        <w:t>；</w:t>
      </w:r>
      <w:r>
        <w:rPr>
          <w:rFonts w:hint="eastAsia"/>
        </w:rPr>
        <w:t>各级各类教育加快发展</w:t>
      </w:r>
      <w:r>
        <w:t>，</w:t>
      </w:r>
      <w:r>
        <w:rPr>
          <w:rFonts w:hint="eastAsia"/>
        </w:rPr>
        <w:t>基本普及九年义务教育的成果进一步巩固</w:t>
      </w:r>
      <w:r>
        <w:t>，</w:t>
      </w:r>
      <w:r>
        <w:rPr>
          <w:rFonts w:hint="eastAsia"/>
        </w:rPr>
        <w:t>初中毛入学率达到</w:t>
      </w:r>
      <w:r>
        <w:t>90%</w:t>
      </w:r>
      <w:r>
        <w:rPr>
          <w:rFonts w:hint="eastAsia"/>
        </w:rPr>
        <w:t>以上</w:t>
      </w:r>
      <w:r>
        <w:t>，</w:t>
      </w:r>
      <w:r>
        <w:rPr>
          <w:rFonts w:hint="eastAsia"/>
        </w:rPr>
        <w:t>高中阶段教育和高等教育毛入学率力争分别达到</w:t>
      </w:r>
      <w:r>
        <w:t>60%</w:t>
      </w:r>
      <w:r>
        <w:rPr>
          <w:rFonts w:hint="eastAsia"/>
        </w:rPr>
        <w:t>左右和</w:t>
      </w:r>
      <w:r>
        <w:t>15%</w:t>
      </w:r>
      <w:r>
        <w:rPr>
          <w:rFonts w:hint="eastAsia"/>
        </w:rPr>
        <w:t>左右。可持续发展的主要预期目标是</w:t>
      </w:r>
      <w:r>
        <w:t>：</w:t>
      </w:r>
      <w:r>
        <w:rPr>
          <w:rFonts w:hint="eastAsia"/>
        </w:rPr>
        <w:t>人口自然增长率控制在</w:t>
      </w:r>
      <w:r>
        <w:t>9</w:t>
      </w:r>
      <w:r>
        <w:rPr>
          <w:rFonts w:ascii="SimSun" w:hAnsi="SimSun" w:hint="eastAsia"/>
        </w:rPr>
        <w:t>‰</w:t>
      </w:r>
      <w:r>
        <w:rPr>
          <w:rFonts w:hint="eastAsia"/>
        </w:rPr>
        <w:t>以内</w:t>
      </w:r>
      <w:r>
        <w:t>，</w:t>
      </w:r>
      <w:r>
        <w:t>2005</w:t>
      </w:r>
      <w:r>
        <w:rPr>
          <w:rFonts w:hint="eastAsia"/>
        </w:rPr>
        <w:t>年全国总人口控制在</w:t>
      </w:r>
      <w:r>
        <w:t>13</w:t>
      </w:r>
      <w:r>
        <w:rPr>
          <w:b/>
          <w:bCs/>
        </w:rPr>
        <w:t>.</w:t>
      </w:r>
      <w:r>
        <w:t>3</w:t>
      </w:r>
      <w:r>
        <w:rPr>
          <w:rFonts w:hint="eastAsia"/>
        </w:rPr>
        <w:t>亿人以内</w:t>
      </w:r>
      <w:r>
        <w:t>；</w:t>
      </w:r>
      <w:r>
        <w:rPr>
          <w:rFonts w:hint="eastAsia"/>
        </w:rPr>
        <w:t>生态恶化趋势得到遏制</w:t>
      </w:r>
      <w:r>
        <w:t>，</w:t>
      </w:r>
      <w:r>
        <w:rPr>
          <w:rFonts w:hint="eastAsia"/>
        </w:rPr>
        <w:t>森林覆盖率提高到</w:t>
      </w:r>
      <w:r>
        <w:t>18</w:t>
      </w:r>
      <w:r>
        <w:rPr>
          <w:b/>
          <w:bCs/>
        </w:rPr>
        <w:t>.</w:t>
      </w:r>
      <w:r>
        <w:t>2%</w:t>
      </w:r>
      <w:r>
        <w:t>，</w:t>
      </w:r>
      <w:r>
        <w:rPr>
          <w:rFonts w:hint="eastAsia"/>
        </w:rPr>
        <w:t>城市建成区绿化覆盖率提高到</w:t>
      </w:r>
      <w:r>
        <w:t>35%</w:t>
      </w:r>
      <w:r>
        <w:t>；</w:t>
      </w:r>
      <w:r>
        <w:rPr>
          <w:rFonts w:hint="eastAsia"/>
        </w:rPr>
        <w:t>城乡环境质量改善</w:t>
      </w:r>
      <w:r>
        <w:t>，</w:t>
      </w:r>
      <w:r>
        <w:rPr>
          <w:rFonts w:hint="eastAsia"/>
        </w:rPr>
        <w:t>主要污染物排放总量比</w:t>
      </w:r>
      <w:r>
        <w:t>2000</w:t>
      </w:r>
      <w:r>
        <w:rPr>
          <w:rFonts w:hint="eastAsia"/>
        </w:rPr>
        <w:t>年减少</w:t>
      </w:r>
      <w:r>
        <w:t>10%</w:t>
      </w:r>
      <w:r>
        <w:t>；</w:t>
      </w:r>
      <w:r>
        <w:rPr>
          <w:rFonts w:hint="eastAsia"/>
        </w:rPr>
        <w:t>资源节约和保护取得明显成效。提高人民生活水平的主要预期目标是</w:t>
      </w:r>
      <w:r>
        <w:t>：</w:t>
      </w:r>
      <w:r>
        <w:rPr>
          <w:rFonts w:hint="eastAsia"/>
        </w:rPr>
        <w:t>居民生活质量有较大提高</w:t>
      </w:r>
      <w:r>
        <w:t>，</w:t>
      </w:r>
      <w:r>
        <w:rPr>
          <w:rFonts w:hint="eastAsia"/>
        </w:rPr>
        <w:t>基本公共服务比较完善</w:t>
      </w:r>
      <w:r>
        <w:t>；</w:t>
      </w:r>
      <w:r>
        <w:rPr>
          <w:rFonts w:hint="eastAsia"/>
        </w:rPr>
        <w:t>城镇居民人均可支配收入和农村居民人均纯收入年均增长</w:t>
      </w:r>
      <w:r>
        <w:t>5%</w:t>
      </w:r>
      <w:r>
        <w:rPr>
          <w:rFonts w:hint="eastAsia"/>
        </w:rPr>
        <w:t>左右</w:t>
      </w:r>
      <w:r>
        <w:t>；</w:t>
      </w:r>
      <w:r>
        <w:t>2005</w:t>
      </w:r>
      <w:r>
        <w:rPr>
          <w:rFonts w:hint="eastAsia"/>
        </w:rPr>
        <w:t>年城镇居民人均住宅建筑面积增加到</w:t>
      </w:r>
      <w:r>
        <w:t>23</w:t>
      </w:r>
      <w:r>
        <w:rPr>
          <w:rFonts w:hint="eastAsia"/>
        </w:rPr>
        <w:t>平方米</w:t>
      </w:r>
      <w:r>
        <w:t>；</w:t>
      </w:r>
      <w:r>
        <w:rPr>
          <w:rFonts w:hint="eastAsia"/>
        </w:rPr>
        <w:t>全国有线电视入户率达到</w:t>
      </w:r>
      <w:r>
        <w:t>40%</w:t>
      </w:r>
      <w:r>
        <w:rPr>
          <w:rFonts w:hint="eastAsia"/>
        </w:rPr>
        <w:t>；城市医疗卫生服务水平和农村医疗服务设施继续改善，人民健康水平进一步提高</w:t>
      </w:r>
      <w:r>
        <w:t>；</w:t>
      </w:r>
      <w:r>
        <w:rPr>
          <w:rFonts w:hint="eastAsia"/>
        </w:rPr>
        <w:t>城乡文化、体育设施增加</w:t>
      </w:r>
      <w:r>
        <w:t>，</w:t>
      </w:r>
      <w:r>
        <w:rPr>
          <w:rFonts w:hint="eastAsia"/>
        </w:rPr>
        <w:t>覆盖面扩大</w:t>
      </w:r>
      <w:r>
        <w:t>，</w:t>
      </w:r>
      <w:r>
        <w:rPr>
          <w:rFonts w:hint="eastAsia"/>
        </w:rPr>
        <w:t>文化生活更加丰富</w:t>
      </w:r>
      <w:r>
        <w:t>；</w:t>
      </w:r>
      <w:r>
        <w:rPr>
          <w:rFonts w:hint="eastAsia"/>
        </w:rPr>
        <w:t>社会风气和社会秩序好转。</w:t>
      </w:r>
    </w:p>
    <w:p w:rsidR="00000000" w:rsidRDefault="00000000">
      <w:pPr>
        <w:rPr>
          <w:szCs w:val="16"/>
        </w:rPr>
      </w:pPr>
      <w:r>
        <w:tab/>
        <w:t xml:space="preserve">38.  </w:t>
      </w:r>
      <w:r>
        <w:rPr>
          <w:rFonts w:hint="eastAsia"/>
        </w:rPr>
        <w:t>中国将加强农业基础地位</w:t>
      </w:r>
      <w:r>
        <w:t>，</w:t>
      </w:r>
      <w:r>
        <w:rPr>
          <w:rFonts w:hint="eastAsia"/>
        </w:rPr>
        <w:t>促进农村经济全面发展</w:t>
      </w:r>
      <w:r>
        <w:t>，</w:t>
      </w:r>
      <w:r>
        <w:rPr>
          <w:rFonts w:hint="eastAsia"/>
        </w:rPr>
        <w:t>消除</w:t>
      </w:r>
      <w:r>
        <w:rPr>
          <w:rFonts w:hint="eastAsia"/>
          <w:szCs w:val="16"/>
        </w:rPr>
        <w:t>贫困。中国将严格执行基本农田保护制度</w:t>
      </w:r>
      <w:r>
        <w:rPr>
          <w:szCs w:val="16"/>
        </w:rPr>
        <w:t>，</w:t>
      </w:r>
      <w:r>
        <w:rPr>
          <w:rFonts w:hint="eastAsia"/>
          <w:szCs w:val="16"/>
        </w:rPr>
        <w:t>保持全国耕地总量动态平衡</w:t>
      </w:r>
      <w:r>
        <w:rPr>
          <w:szCs w:val="16"/>
        </w:rPr>
        <w:t>，</w:t>
      </w:r>
      <w:r>
        <w:rPr>
          <w:rFonts w:hint="eastAsia"/>
          <w:szCs w:val="16"/>
        </w:rPr>
        <w:t>确保到</w:t>
      </w:r>
      <w:r>
        <w:rPr>
          <w:szCs w:val="16"/>
        </w:rPr>
        <w:t>2005</w:t>
      </w:r>
      <w:r>
        <w:rPr>
          <w:rFonts w:hint="eastAsia"/>
          <w:szCs w:val="16"/>
        </w:rPr>
        <w:t>年全国耕地面积不低于</w:t>
      </w:r>
      <w:r>
        <w:rPr>
          <w:szCs w:val="16"/>
        </w:rPr>
        <w:t>12800</w:t>
      </w:r>
      <w:r>
        <w:rPr>
          <w:rFonts w:hint="eastAsia"/>
          <w:szCs w:val="16"/>
        </w:rPr>
        <w:t>万公顷。通过实施“种子工程”</w:t>
      </w:r>
      <w:r>
        <w:rPr>
          <w:rStyle w:val="FootnoteReference"/>
          <w:szCs w:val="16"/>
        </w:rPr>
        <w:footnoteReference w:customMarkFollows="1" w:id="4"/>
        <w:t>1</w:t>
      </w:r>
      <w:r>
        <w:rPr>
          <w:rFonts w:hint="eastAsia"/>
          <w:szCs w:val="16"/>
        </w:rPr>
        <w:t>、完善农田水利配套设施、加强中低产田改造、调整商品粮基地建设的内容和布局等措施</w:t>
      </w:r>
      <w:r>
        <w:rPr>
          <w:szCs w:val="16"/>
        </w:rPr>
        <w:t>，</w:t>
      </w:r>
      <w:r>
        <w:rPr>
          <w:rFonts w:hint="eastAsia"/>
          <w:szCs w:val="16"/>
        </w:rPr>
        <w:t>稳定粮食生产能力。加大对粮食主产区的支持力度</w:t>
      </w:r>
      <w:r>
        <w:rPr>
          <w:szCs w:val="16"/>
        </w:rPr>
        <w:t>，</w:t>
      </w:r>
      <w:r>
        <w:rPr>
          <w:rFonts w:hint="eastAsia"/>
          <w:szCs w:val="16"/>
        </w:rPr>
        <w:t>保护粮食主产区生产粮食的积极性</w:t>
      </w:r>
      <w:r>
        <w:rPr>
          <w:szCs w:val="16"/>
        </w:rPr>
        <w:t>，</w:t>
      </w:r>
      <w:r>
        <w:rPr>
          <w:rFonts w:hint="eastAsia"/>
          <w:szCs w:val="16"/>
        </w:rPr>
        <w:t>鼓励与销区建立长期稳定的购销关系。确保粮食供求基本平衡。重点做好中西部少数民族地区、革命老区、边疆地区和特困地区的扶贫工作</w:t>
      </w:r>
      <w:r>
        <w:rPr>
          <w:szCs w:val="16"/>
        </w:rPr>
        <w:t>，</w:t>
      </w:r>
      <w:r>
        <w:rPr>
          <w:rFonts w:hint="eastAsia"/>
          <w:szCs w:val="16"/>
        </w:rPr>
        <w:t>尽快使剩余贫困人口实现脱贫。坚持开发式扶贫</w:t>
      </w:r>
      <w:r>
        <w:rPr>
          <w:szCs w:val="16"/>
        </w:rPr>
        <w:t>，</w:t>
      </w:r>
      <w:r>
        <w:rPr>
          <w:rFonts w:hint="eastAsia"/>
          <w:szCs w:val="16"/>
        </w:rPr>
        <w:t>加大对贫困地区的财政转移支付力度</w:t>
      </w:r>
      <w:r>
        <w:rPr>
          <w:szCs w:val="16"/>
        </w:rPr>
        <w:t>，</w:t>
      </w:r>
      <w:r>
        <w:rPr>
          <w:rFonts w:hint="eastAsia"/>
          <w:szCs w:val="16"/>
        </w:rPr>
        <w:t>多方面增加扶贫资金投入</w:t>
      </w:r>
      <w:r>
        <w:rPr>
          <w:szCs w:val="16"/>
        </w:rPr>
        <w:t>，</w:t>
      </w:r>
      <w:r>
        <w:rPr>
          <w:rFonts w:hint="eastAsia"/>
          <w:szCs w:val="16"/>
        </w:rPr>
        <w:t>提高资金使用效益。加强贫困地区基础设施建设</w:t>
      </w:r>
      <w:r>
        <w:rPr>
          <w:szCs w:val="16"/>
        </w:rPr>
        <w:t>，</w:t>
      </w:r>
      <w:r>
        <w:rPr>
          <w:rFonts w:hint="eastAsia"/>
          <w:szCs w:val="16"/>
        </w:rPr>
        <w:t>加快发展教育、文化、卫生事业。扩大以工代赈规模</w:t>
      </w:r>
      <w:r>
        <w:rPr>
          <w:szCs w:val="16"/>
        </w:rPr>
        <w:t>，</w:t>
      </w:r>
      <w:r>
        <w:rPr>
          <w:rFonts w:hint="eastAsia"/>
          <w:szCs w:val="16"/>
        </w:rPr>
        <w:t>加强乡村道路、人畜饮水、基本农田、小型水利设施建设</w:t>
      </w:r>
      <w:r>
        <w:rPr>
          <w:szCs w:val="16"/>
        </w:rPr>
        <w:t>，</w:t>
      </w:r>
      <w:r>
        <w:rPr>
          <w:rFonts w:hint="eastAsia"/>
          <w:szCs w:val="16"/>
        </w:rPr>
        <w:t>改善贫困地区基本的生产和生活条件。对少数生存环境恶劣的贫困地区</w:t>
      </w:r>
      <w:r>
        <w:rPr>
          <w:szCs w:val="16"/>
        </w:rPr>
        <w:t>，</w:t>
      </w:r>
      <w:r>
        <w:rPr>
          <w:rFonts w:hint="eastAsia"/>
          <w:szCs w:val="16"/>
        </w:rPr>
        <w:t>要创造条件</w:t>
      </w:r>
      <w:r>
        <w:rPr>
          <w:szCs w:val="16"/>
        </w:rPr>
        <w:t>，</w:t>
      </w:r>
      <w:r>
        <w:rPr>
          <w:rFonts w:hint="eastAsia"/>
          <w:szCs w:val="16"/>
        </w:rPr>
        <w:t>易地开发。对返贫地区和人口继续给予支持。</w:t>
      </w:r>
    </w:p>
    <w:p w:rsidR="00000000" w:rsidRDefault="00000000">
      <w:pPr>
        <w:rPr>
          <w:szCs w:val="28"/>
        </w:rPr>
      </w:pPr>
      <w:r>
        <w:rPr>
          <w:szCs w:val="16"/>
        </w:rPr>
        <w:tab/>
        <w:t xml:space="preserve">39.  </w:t>
      </w:r>
      <w:r>
        <w:rPr>
          <w:rFonts w:hint="eastAsia"/>
          <w:szCs w:val="16"/>
        </w:rPr>
        <w:t>中国将深化国有企业改革</w:t>
      </w:r>
      <w:r>
        <w:rPr>
          <w:szCs w:val="16"/>
        </w:rPr>
        <w:t>，</w:t>
      </w:r>
      <w:r>
        <w:rPr>
          <w:rFonts w:hint="eastAsia"/>
          <w:szCs w:val="16"/>
        </w:rPr>
        <w:t>优化工业结构，扩大对外开放</w:t>
      </w:r>
      <w:r>
        <w:rPr>
          <w:szCs w:val="16"/>
        </w:rPr>
        <w:t>，</w:t>
      </w:r>
      <w:r>
        <w:rPr>
          <w:rFonts w:hint="eastAsia"/>
          <w:szCs w:val="16"/>
        </w:rPr>
        <w:t>发展开放型经济</w:t>
      </w:r>
      <w:r>
        <w:rPr>
          <w:szCs w:val="16"/>
        </w:rPr>
        <w:t>，</w:t>
      </w:r>
      <w:r>
        <w:rPr>
          <w:rFonts w:hint="eastAsia"/>
          <w:szCs w:val="16"/>
        </w:rPr>
        <w:t>增强国际竞争力。对国有大中型企业进行规范的公司制改革</w:t>
      </w:r>
      <w:r>
        <w:rPr>
          <w:szCs w:val="16"/>
        </w:rPr>
        <w:t>，</w:t>
      </w:r>
      <w:r>
        <w:rPr>
          <w:rFonts w:hint="eastAsia"/>
          <w:szCs w:val="16"/>
        </w:rPr>
        <w:t>除少数国家垄断经营的企业可改制为国有独资公司外</w:t>
      </w:r>
      <w:r>
        <w:rPr>
          <w:szCs w:val="16"/>
        </w:rPr>
        <w:t>，</w:t>
      </w:r>
      <w:r>
        <w:rPr>
          <w:rFonts w:hint="eastAsia"/>
          <w:szCs w:val="16"/>
        </w:rPr>
        <w:t>鼓励其他国有大中型企业通过规范上市、中外合资、相互参股等形式</w:t>
      </w:r>
      <w:r>
        <w:rPr>
          <w:szCs w:val="16"/>
        </w:rPr>
        <w:t>，</w:t>
      </w:r>
      <w:r>
        <w:rPr>
          <w:rFonts w:hint="eastAsia"/>
          <w:szCs w:val="16"/>
        </w:rPr>
        <w:t>逐步改制为多元持股的有限责任公司或股份有限</w:t>
      </w:r>
      <w:r>
        <w:rPr>
          <w:rFonts w:hint="eastAsia"/>
          <w:szCs w:val="28"/>
        </w:rPr>
        <w:t>公司。建立分工明确的国有资产管理、经营和监督体制</w:t>
      </w:r>
      <w:r>
        <w:rPr>
          <w:szCs w:val="28"/>
        </w:rPr>
        <w:t>，</w:t>
      </w:r>
      <w:r>
        <w:rPr>
          <w:rFonts w:hint="eastAsia"/>
          <w:szCs w:val="28"/>
        </w:rPr>
        <w:t>使国有资产出资人尽快到位</w:t>
      </w:r>
      <w:r>
        <w:rPr>
          <w:szCs w:val="28"/>
        </w:rPr>
        <w:t>，</w:t>
      </w:r>
      <w:r>
        <w:rPr>
          <w:rFonts w:hint="eastAsia"/>
          <w:szCs w:val="28"/>
        </w:rPr>
        <w:t>探索授权有条件的国有企业或国有资产经营公司行使出资人职能，强化对国有资产经营主体的外部监督。深化企业内部改革</w:t>
      </w:r>
      <w:r>
        <w:rPr>
          <w:szCs w:val="28"/>
        </w:rPr>
        <w:t>，</w:t>
      </w:r>
      <w:r>
        <w:rPr>
          <w:rFonts w:hint="eastAsia"/>
          <w:szCs w:val="28"/>
        </w:rPr>
        <w:t>强化科学管理</w:t>
      </w:r>
      <w:r>
        <w:rPr>
          <w:szCs w:val="28"/>
        </w:rPr>
        <w:t>，</w:t>
      </w:r>
      <w:r>
        <w:rPr>
          <w:rFonts w:hint="eastAsia"/>
          <w:szCs w:val="28"/>
        </w:rPr>
        <w:t>建立健全行之有效的激励机制和约束机制。进一步放开搞活国有中小企业</w:t>
      </w:r>
      <w:r>
        <w:rPr>
          <w:szCs w:val="28"/>
        </w:rPr>
        <w:t>，</w:t>
      </w:r>
      <w:r>
        <w:rPr>
          <w:rFonts w:hint="eastAsia"/>
          <w:szCs w:val="28"/>
        </w:rPr>
        <w:t>对国有小企业继续采取改组、联合、兼并、租赁、承包经营和股份合作制、出售等多种形式</w:t>
      </w:r>
      <w:r>
        <w:rPr>
          <w:szCs w:val="28"/>
        </w:rPr>
        <w:t>，</w:t>
      </w:r>
      <w:r>
        <w:rPr>
          <w:rFonts w:hint="eastAsia"/>
          <w:szCs w:val="28"/>
        </w:rPr>
        <w:t>进行产权制度和经营机制改革。完善市场退出机制</w:t>
      </w:r>
      <w:r>
        <w:rPr>
          <w:szCs w:val="28"/>
        </w:rPr>
        <w:t>，</w:t>
      </w:r>
      <w:r>
        <w:rPr>
          <w:rFonts w:hint="eastAsia"/>
          <w:szCs w:val="28"/>
        </w:rPr>
        <w:t>积极疏通和逐步规范企业特别是上市亏损公司退出市场的通道。继续执行现行的国有企业兼并破产政策。鼓励非国有企业、个人和境外投资者参与国有企业改制</w:t>
      </w:r>
      <w:r>
        <w:rPr>
          <w:szCs w:val="28"/>
        </w:rPr>
        <w:t>，</w:t>
      </w:r>
      <w:r>
        <w:rPr>
          <w:rFonts w:hint="eastAsia"/>
          <w:szCs w:val="28"/>
        </w:rPr>
        <w:t>推动非上市国有企业股权结构的调整和股权交易，形成混合所有制企业。坚持以市场为导向</w:t>
      </w:r>
      <w:r>
        <w:rPr>
          <w:szCs w:val="28"/>
        </w:rPr>
        <w:t>，</w:t>
      </w:r>
      <w:r>
        <w:rPr>
          <w:rFonts w:hint="eastAsia"/>
          <w:szCs w:val="28"/>
        </w:rPr>
        <w:t>以企业为主体，以技术进步为支撑</w:t>
      </w:r>
      <w:r>
        <w:rPr>
          <w:szCs w:val="28"/>
        </w:rPr>
        <w:t>，</w:t>
      </w:r>
      <w:r>
        <w:rPr>
          <w:rFonts w:hint="eastAsia"/>
          <w:szCs w:val="28"/>
        </w:rPr>
        <w:t>突出重点</w:t>
      </w:r>
      <w:r>
        <w:rPr>
          <w:szCs w:val="28"/>
        </w:rPr>
        <w:t>，</w:t>
      </w:r>
      <w:r>
        <w:rPr>
          <w:rFonts w:hint="eastAsia"/>
          <w:szCs w:val="28"/>
        </w:rPr>
        <w:t>有进有退</w:t>
      </w:r>
      <w:r>
        <w:rPr>
          <w:szCs w:val="28"/>
        </w:rPr>
        <w:t>，</w:t>
      </w:r>
      <w:r>
        <w:rPr>
          <w:rFonts w:hint="eastAsia"/>
          <w:szCs w:val="28"/>
        </w:rPr>
        <w:t>努力提高中国工业的整体素质和国际竞争力。根据经济和社会发展、结构调整的需要及加入世界贸易组织的承诺</w:t>
      </w:r>
      <w:r>
        <w:rPr>
          <w:szCs w:val="28"/>
        </w:rPr>
        <w:t>，</w:t>
      </w:r>
      <w:r>
        <w:rPr>
          <w:rFonts w:hint="eastAsia"/>
          <w:szCs w:val="28"/>
        </w:rPr>
        <w:t>逐步降低关税</w:t>
      </w:r>
      <w:r>
        <w:rPr>
          <w:szCs w:val="28"/>
        </w:rPr>
        <w:t>，</w:t>
      </w:r>
      <w:r>
        <w:rPr>
          <w:rFonts w:hint="eastAsia"/>
          <w:szCs w:val="28"/>
        </w:rPr>
        <w:t>有步骤地开放银行、保险、电信、外贸、内贸、旅游等服务领域</w:t>
      </w:r>
      <w:r>
        <w:rPr>
          <w:szCs w:val="28"/>
        </w:rPr>
        <w:t>；</w:t>
      </w:r>
      <w:r>
        <w:rPr>
          <w:rFonts w:hint="eastAsia"/>
          <w:szCs w:val="28"/>
        </w:rPr>
        <w:t>对外商投资企业逐步实行国民待遇</w:t>
      </w:r>
      <w:r>
        <w:rPr>
          <w:szCs w:val="28"/>
        </w:rPr>
        <w:t>，</w:t>
      </w:r>
      <w:r>
        <w:rPr>
          <w:rFonts w:hint="eastAsia"/>
          <w:szCs w:val="28"/>
        </w:rPr>
        <w:t>制定统一、规范、透明的投资准入政策</w:t>
      </w:r>
      <w:r>
        <w:rPr>
          <w:szCs w:val="28"/>
        </w:rPr>
        <w:t>，</w:t>
      </w:r>
      <w:r>
        <w:rPr>
          <w:rFonts w:hint="eastAsia"/>
          <w:szCs w:val="28"/>
        </w:rPr>
        <w:t>除关系国家安全和经济命脉的重要行业或企业必须由国家控股外</w:t>
      </w:r>
      <w:r>
        <w:rPr>
          <w:szCs w:val="28"/>
        </w:rPr>
        <w:t>，</w:t>
      </w:r>
      <w:r>
        <w:rPr>
          <w:rFonts w:hint="eastAsia"/>
          <w:szCs w:val="28"/>
        </w:rPr>
        <w:t>取消对其他企业的股比限制</w:t>
      </w:r>
      <w:r>
        <w:rPr>
          <w:szCs w:val="28"/>
        </w:rPr>
        <w:t>；</w:t>
      </w:r>
      <w:r>
        <w:rPr>
          <w:rFonts w:hint="eastAsia"/>
          <w:szCs w:val="28"/>
        </w:rPr>
        <w:t>抓紧制定和完善相关涉外法律法规</w:t>
      </w:r>
      <w:r>
        <w:rPr>
          <w:szCs w:val="28"/>
        </w:rPr>
        <w:t>，</w:t>
      </w:r>
      <w:r>
        <w:rPr>
          <w:rFonts w:hint="eastAsia"/>
          <w:szCs w:val="28"/>
        </w:rPr>
        <w:t>提高涉外经济工作依法行政的水平。</w:t>
      </w:r>
    </w:p>
    <w:p w:rsidR="00000000" w:rsidRDefault="00000000">
      <w:pPr>
        <w:rPr>
          <w:snapToGrid/>
        </w:rPr>
      </w:pPr>
      <w:r>
        <w:rPr>
          <w:szCs w:val="28"/>
        </w:rPr>
        <w:tab/>
        <w:t xml:space="preserve">40.  </w:t>
      </w:r>
      <w:r>
        <w:rPr>
          <w:rFonts w:hint="eastAsia"/>
          <w:szCs w:val="28"/>
        </w:rPr>
        <w:t>中国将继续发展服务业</w:t>
      </w:r>
      <w:r>
        <w:rPr>
          <w:szCs w:val="28"/>
        </w:rPr>
        <w:t>，</w:t>
      </w:r>
      <w:r>
        <w:rPr>
          <w:rFonts w:hint="eastAsia"/>
          <w:szCs w:val="28"/>
        </w:rPr>
        <w:t>提高供给能力和水平。一是发展面向生活消费的服务业。深化城镇住房制度改革</w:t>
      </w:r>
      <w:r>
        <w:rPr>
          <w:szCs w:val="28"/>
        </w:rPr>
        <w:t>，</w:t>
      </w:r>
      <w:r>
        <w:rPr>
          <w:rFonts w:hint="eastAsia"/>
          <w:szCs w:val="28"/>
        </w:rPr>
        <w:t>落实住房分配货币化政策，发展以居民住宅为重点的房地产业和装修装饰</w:t>
      </w:r>
      <w:r>
        <w:rPr>
          <w:rFonts w:hint="eastAsia"/>
          <w:snapToGrid/>
        </w:rPr>
        <w:t>业</w:t>
      </w:r>
      <w:r>
        <w:rPr>
          <w:snapToGrid/>
        </w:rPr>
        <w:t>，</w:t>
      </w:r>
      <w:r>
        <w:rPr>
          <w:rFonts w:hint="eastAsia"/>
          <w:snapToGrid/>
        </w:rPr>
        <w:t>规范发展物业管理业</w:t>
      </w:r>
      <w:r>
        <w:rPr>
          <w:snapToGrid/>
        </w:rPr>
        <w:t>；</w:t>
      </w:r>
      <w:r>
        <w:rPr>
          <w:rFonts w:hint="eastAsia"/>
          <w:snapToGrid/>
        </w:rPr>
        <w:t>加大旅游市场促销和新产品开发力度</w:t>
      </w:r>
      <w:r>
        <w:rPr>
          <w:snapToGrid/>
        </w:rPr>
        <w:t>，</w:t>
      </w:r>
      <w:r>
        <w:rPr>
          <w:rFonts w:hint="eastAsia"/>
          <w:snapToGrid/>
        </w:rPr>
        <w:t>促进旅游业成为新的经济增长点</w:t>
      </w:r>
      <w:r>
        <w:rPr>
          <w:snapToGrid/>
        </w:rPr>
        <w:t>；</w:t>
      </w:r>
      <w:r>
        <w:rPr>
          <w:rFonts w:hint="eastAsia"/>
          <w:snapToGrid/>
        </w:rPr>
        <w:t>优化配置和充实社区服务设施</w:t>
      </w:r>
      <w:r>
        <w:rPr>
          <w:snapToGrid/>
        </w:rPr>
        <w:t>，</w:t>
      </w:r>
      <w:r>
        <w:rPr>
          <w:rFonts w:hint="eastAsia"/>
          <w:snapToGrid/>
        </w:rPr>
        <w:t>壮大社区服务业</w:t>
      </w:r>
      <w:r>
        <w:rPr>
          <w:snapToGrid/>
        </w:rPr>
        <w:t>；</w:t>
      </w:r>
      <w:r>
        <w:rPr>
          <w:rFonts w:hint="eastAsia"/>
          <w:snapToGrid/>
        </w:rPr>
        <w:t>进一步发展商业零售业和餐饮业</w:t>
      </w:r>
      <w:r>
        <w:rPr>
          <w:snapToGrid/>
        </w:rPr>
        <w:t>；</w:t>
      </w:r>
      <w:r>
        <w:rPr>
          <w:rFonts w:hint="eastAsia"/>
          <w:snapToGrid/>
        </w:rPr>
        <w:t>积极发展面向生活消费的金融、保险服务</w:t>
      </w:r>
      <w:r>
        <w:rPr>
          <w:snapToGrid/>
        </w:rPr>
        <w:t>；</w:t>
      </w:r>
      <w:r>
        <w:rPr>
          <w:rFonts w:hint="eastAsia"/>
          <w:snapToGrid/>
        </w:rPr>
        <w:t>开发健康有益大众化的娱乐、健身项目</w:t>
      </w:r>
      <w:r>
        <w:rPr>
          <w:snapToGrid/>
        </w:rPr>
        <w:t>，</w:t>
      </w:r>
      <w:r>
        <w:rPr>
          <w:rFonts w:hint="eastAsia"/>
          <w:snapToGrid/>
        </w:rPr>
        <w:t>发展文化和体育产业。二是发展主要面向生产的服务业。积极引进新型业态和技术</w:t>
      </w:r>
      <w:r>
        <w:rPr>
          <w:snapToGrid/>
        </w:rPr>
        <w:t>，</w:t>
      </w:r>
      <w:r>
        <w:rPr>
          <w:rFonts w:hint="eastAsia"/>
          <w:snapToGrid/>
        </w:rPr>
        <w:t>推行连锁经营、物流配送、代理制、多式联运</w:t>
      </w:r>
      <w:r>
        <w:rPr>
          <w:snapToGrid/>
        </w:rPr>
        <w:t>，</w:t>
      </w:r>
      <w:r>
        <w:rPr>
          <w:rFonts w:hint="eastAsia"/>
          <w:snapToGrid/>
        </w:rPr>
        <w:t>改造提升传统流通业、运输业和邮政服务业</w:t>
      </w:r>
      <w:r>
        <w:rPr>
          <w:snapToGrid/>
        </w:rPr>
        <w:t>；</w:t>
      </w:r>
      <w:r>
        <w:rPr>
          <w:rFonts w:hint="eastAsia"/>
          <w:snapToGrid/>
        </w:rPr>
        <w:t>加快发展金融保险业</w:t>
      </w:r>
      <w:r>
        <w:rPr>
          <w:snapToGrid/>
        </w:rPr>
        <w:t>，</w:t>
      </w:r>
      <w:r>
        <w:rPr>
          <w:rFonts w:hint="eastAsia"/>
          <w:snapToGrid/>
        </w:rPr>
        <w:t>支持商业银行拓展信贷业务，拓宽保险资金运用渠道</w:t>
      </w:r>
      <w:r>
        <w:rPr>
          <w:snapToGrid/>
        </w:rPr>
        <w:t>，</w:t>
      </w:r>
      <w:r>
        <w:rPr>
          <w:rFonts w:hint="eastAsia"/>
          <w:snapToGrid/>
        </w:rPr>
        <w:t>提高保险公司承保能力和偿付能力</w:t>
      </w:r>
      <w:r>
        <w:rPr>
          <w:snapToGrid/>
        </w:rPr>
        <w:t>，</w:t>
      </w:r>
      <w:r>
        <w:rPr>
          <w:rFonts w:hint="eastAsia"/>
          <w:snapToGrid/>
        </w:rPr>
        <w:t>鼓励金融保险业务创新</w:t>
      </w:r>
      <w:r>
        <w:rPr>
          <w:snapToGrid/>
        </w:rPr>
        <w:t>，</w:t>
      </w:r>
      <w:r>
        <w:rPr>
          <w:rFonts w:hint="eastAsia"/>
          <w:snapToGrid/>
        </w:rPr>
        <w:t>改进服务</w:t>
      </w:r>
      <w:r>
        <w:rPr>
          <w:snapToGrid/>
        </w:rPr>
        <w:t>；</w:t>
      </w:r>
      <w:r>
        <w:rPr>
          <w:rFonts w:hint="eastAsia"/>
          <w:snapToGrid/>
        </w:rPr>
        <w:t>规范发展会计服务、法律服务、管理咨询、工程咨询等中介服务业</w:t>
      </w:r>
      <w:r>
        <w:rPr>
          <w:snapToGrid/>
        </w:rPr>
        <w:t>；</w:t>
      </w:r>
      <w:r>
        <w:rPr>
          <w:rFonts w:hint="eastAsia"/>
          <w:snapToGrid/>
        </w:rPr>
        <w:t>积极发展信息服务业特别是网络、信息技术应用咨询和数据库服务业。</w:t>
      </w:r>
    </w:p>
    <w:p w:rsidR="00000000" w:rsidRDefault="00000000">
      <w:pPr>
        <w:rPr>
          <w:snapToGrid/>
          <w:szCs w:val="18"/>
        </w:rPr>
      </w:pPr>
      <w:r>
        <w:rPr>
          <w:snapToGrid/>
        </w:rPr>
        <w:tab/>
        <w:t xml:space="preserve">41.  </w:t>
      </w:r>
      <w:r>
        <w:rPr>
          <w:rFonts w:hint="eastAsia"/>
          <w:snapToGrid/>
        </w:rPr>
        <w:t>中国将加速发展信息产业，大力推进信息化。一是广泛应用信息技术。实施一批信息化重大工程</w:t>
      </w:r>
      <w:r>
        <w:rPr>
          <w:snapToGrid/>
        </w:rPr>
        <w:t>，</w:t>
      </w:r>
      <w:r>
        <w:rPr>
          <w:rFonts w:hint="eastAsia"/>
          <w:snapToGrid/>
        </w:rPr>
        <w:t>推进政务、金融、外贸、广播电视、教育、科技、医疗卫生、社会保障和公用事业等领域的信息化进程</w:t>
      </w:r>
      <w:r>
        <w:rPr>
          <w:snapToGrid/>
        </w:rPr>
        <w:t>；</w:t>
      </w:r>
      <w:r>
        <w:rPr>
          <w:rFonts w:hint="eastAsia"/>
          <w:snapToGrid/>
        </w:rPr>
        <w:t>加快电子认证体系、现代支付系统和信用制度建设</w:t>
      </w:r>
      <w:r>
        <w:rPr>
          <w:snapToGrid/>
        </w:rPr>
        <w:t>，</w:t>
      </w:r>
      <w:r>
        <w:rPr>
          <w:rFonts w:hint="eastAsia"/>
          <w:snapToGrid/>
        </w:rPr>
        <w:t>大力发展电子商务</w:t>
      </w:r>
      <w:r>
        <w:rPr>
          <w:snapToGrid/>
        </w:rPr>
        <w:t>；</w:t>
      </w:r>
      <w:r>
        <w:rPr>
          <w:rFonts w:hint="eastAsia"/>
          <w:snapToGrid/>
        </w:rPr>
        <w:t>重视信息网络技术在农产品交易、农业技术推广等领域的应用</w:t>
      </w:r>
      <w:r>
        <w:rPr>
          <w:snapToGrid/>
        </w:rPr>
        <w:t>；</w:t>
      </w:r>
      <w:r>
        <w:rPr>
          <w:rFonts w:hint="eastAsia"/>
          <w:snapToGrid/>
        </w:rPr>
        <w:t>推动信息产业与有关文化产业结合</w:t>
      </w:r>
      <w:r>
        <w:rPr>
          <w:snapToGrid/>
        </w:rPr>
        <w:t>；</w:t>
      </w:r>
      <w:r>
        <w:rPr>
          <w:rFonts w:hint="eastAsia"/>
          <w:snapToGrid/>
        </w:rPr>
        <w:t>加强条码和代码等信息标准化基础工作</w:t>
      </w:r>
      <w:r>
        <w:rPr>
          <w:snapToGrid/>
        </w:rPr>
        <w:t>；</w:t>
      </w:r>
      <w:r>
        <w:rPr>
          <w:rFonts w:hint="eastAsia"/>
          <w:snapToGrid/>
        </w:rPr>
        <w:t>加快计算机和网络知识普及</w:t>
      </w:r>
      <w:r>
        <w:rPr>
          <w:snapToGrid/>
        </w:rPr>
        <w:t>；</w:t>
      </w:r>
      <w:r>
        <w:rPr>
          <w:rFonts w:hint="eastAsia"/>
          <w:snapToGrid/>
        </w:rPr>
        <w:t>制定国家信息系统标准。二是建设信息基础设施。大力发展高速宽带信息网</w:t>
      </w:r>
      <w:r>
        <w:rPr>
          <w:snapToGrid/>
        </w:rPr>
        <w:t>，</w:t>
      </w:r>
      <w:r>
        <w:rPr>
          <w:rFonts w:hint="eastAsia"/>
          <w:snapToGrid/>
        </w:rPr>
        <w:t>重点建设宽带接入网</w:t>
      </w:r>
      <w:r>
        <w:rPr>
          <w:snapToGrid/>
        </w:rPr>
        <w:t>，</w:t>
      </w:r>
      <w:r>
        <w:rPr>
          <w:rFonts w:hint="eastAsia"/>
          <w:snapToGrid/>
        </w:rPr>
        <w:t>适时建设第三代移动通信网</w:t>
      </w:r>
      <w:r>
        <w:rPr>
          <w:snapToGrid/>
        </w:rPr>
        <w:t>；</w:t>
      </w:r>
      <w:r>
        <w:rPr>
          <w:rFonts w:hint="eastAsia"/>
          <w:snapToGrid/>
        </w:rPr>
        <w:t>强化网络与信息安全保障体系建设</w:t>
      </w:r>
      <w:r>
        <w:rPr>
          <w:snapToGrid/>
        </w:rPr>
        <w:t>；</w:t>
      </w:r>
      <w:r>
        <w:rPr>
          <w:rFonts w:hint="eastAsia"/>
          <w:snapToGrid/>
        </w:rPr>
        <w:t>建设基础国情、公共信</w:t>
      </w:r>
      <w:r>
        <w:rPr>
          <w:rFonts w:hint="eastAsia"/>
          <w:snapToGrid/>
          <w:szCs w:val="18"/>
        </w:rPr>
        <w:t>息资源、宏观经济数据库及其交换服务中心</w:t>
      </w:r>
      <w:r>
        <w:rPr>
          <w:snapToGrid/>
          <w:szCs w:val="18"/>
        </w:rPr>
        <w:t>，</w:t>
      </w:r>
      <w:r>
        <w:rPr>
          <w:rFonts w:hint="eastAsia"/>
          <w:snapToGrid/>
          <w:szCs w:val="18"/>
        </w:rPr>
        <w:t>完善地理空间信息系统</w:t>
      </w:r>
      <w:r>
        <w:rPr>
          <w:snapToGrid/>
          <w:szCs w:val="18"/>
        </w:rPr>
        <w:t>；</w:t>
      </w:r>
      <w:r>
        <w:rPr>
          <w:rFonts w:hint="eastAsia"/>
          <w:snapToGrid/>
          <w:szCs w:val="18"/>
        </w:rPr>
        <w:t>促进电信、电视、计算机三网融合。三是发展电子信息产品制造业。大力开发核心技术</w:t>
      </w:r>
      <w:r>
        <w:rPr>
          <w:snapToGrid/>
          <w:szCs w:val="18"/>
        </w:rPr>
        <w:t>，</w:t>
      </w:r>
      <w:r>
        <w:rPr>
          <w:rFonts w:hint="eastAsia"/>
          <w:snapToGrid/>
          <w:szCs w:val="18"/>
        </w:rPr>
        <w:t>增强计算机与网络产品、通信产品、数字视听产品和新型元器件等产品的制造能力</w:t>
      </w:r>
      <w:r>
        <w:rPr>
          <w:snapToGrid/>
          <w:szCs w:val="18"/>
        </w:rPr>
        <w:t>，</w:t>
      </w:r>
      <w:r>
        <w:rPr>
          <w:rFonts w:hint="eastAsia"/>
          <w:snapToGrid/>
          <w:szCs w:val="18"/>
        </w:rPr>
        <w:t>大力发展集成电路和软件产业</w:t>
      </w:r>
      <w:r>
        <w:rPr>
          <w:snapToGrid/>
          <w:szCs w:val="18"/>
        </w:rPr>
        <w:t>，</w:t>
      </w:r>
      <w:r>
        <w:rPr>
          <w:rFonts w:hint="eastAsia"/>
          <w:snapToGrid/>
          <w:szCs w:val="18"/>
        </w:rPr>
        <w:t>提高信息化装备和系统集成能力。</w:t>
      </w:r>
    </w:p>
    <w:p w:rsidR="00000000" w:rsidRDefault="00000000">
      <w:pPr>
        <w:rPr>
          <w:rFonts w:hint="eastAsia"/>
          <w:snapToGrid/>
          <w:szCs w:val="18"/>
        </w:rPr>
      </w:pPr>
      <w:r>
        <w:rPr>
          <w:snapToGrid/>
          <w:szCs w:val="18"/>
        </w:rPr>
        <w:tab/>
        <w:t xml:space="preserve">42.  </w:t>
      </w:r>
      <w:r>
        <w:rPr>
          <w:rFonts w:hint="eastAsia"/>
          <w:snapToGrid/>
          <w:szCs w:val="18"/>
        </w:rPr>
        <w:t>中国将加强基础设施建设</w:t>
      </w:r>
      <w:r>
        <w:rPr>
          <w:snapToGrid/>
          <w:szCs w:val="18"/>
        </w:rPr>
        <w:t>，</w:t>
      </w:r>
      <w:r>
        <w:rPr>
          <w:rFonts w:hint="eastAsia"/>
          <w:snapToGrid/>
          <w:szCs w:val="18"/>
        </w:rPr>
        <w:t>改善布局和结构。一是加强水利建设。坚持兴利除害结合</w:t>
      </w:r>
      <w:r>
        <w:rPr>
          <w:snapToGrid/>
          <w:szCs w:val="18"/>
        </w:rPr>
        <w:t>，</w:t>
      </w:r>
      <w:r>
        <w:rPr>
          <w:rFonts w:hint="eastAsia"/>
          <w:snapToGrid/>
          <w:szCs w:val="18"/>
        </w:rPr>
        <w:t>防洪抗旱并举</w:t>
      </w:r>
      <w:r>
        <w:rPr>
          <w:snapToGrid/>
          <w:szCs w:val="18"/>
        </w:rPr>
        <w:t>，</w:t>
      </w:r>
      <w:r>
        <w:rPr>
          <w:rFonts w:hint="eastAsia"/>
          <w:snapToGrid/>
          <w:szCs w:val="18"/>
        </w:rPr>
        <w:t>在加强防洪减灾的同时</w:t>
      </w:r>
      <w:r>
        <w:rPr>
          <w:snapToGrid/>
          <w:szCs w:val="18"/>
        </w:rPr>
        <w:t>，</w:t>
      </w:r>
      <w:r>
        <w:rPr>
          <w:rFonts w:hint="eastAsia"/>
          <w:snapToGrid/>
          <w:szCs w:val="18"/>
        </w:rPr>
        <w:t>把解决水资源不足和水污染问题放到更突出的位置。二是健全综合交通体系。加快以“五纵七横”</w:t>
      </w:r>
      <w:r>
        <w:rPr>
          <w:rStyle w:val="FootnoteReference"/>
          <w:snapToGrid/>
          <w:szCs w:val="18"/>
        </w:rPr>
        <w:footnoteReference w:customMarkFollows="1" w:id="5"/>
        <w:t>2</w:t>
      </w:r>
      <w:r>
        <w:rPr>
          <w:snapToGrid/>
          <w:szCs w:val="18"/>
        </w:rPr>
        <w:t xml:space="preserve"> </w:t>
      </w:r>
      <w:r>
        <w:rPr>
          <w:rFonts w:hint="eastAsia"/>
          <w:snapToGrid/>
          <w:szCs w:val="18"/>
        </w:rPr>
        <w:t>为重点的公路国道主干网建设</w:t>
      </w:r>
      <w:r>
        <w:rPr>
          <w:snapToGrid/>
          <w:szCs w:val="18"/>
        </w:rPr>
        <w:t>，</w:t>
      </w:r>
      <w:r>
        <w:rPr>
          <w:rFonts w:hint="eastAsia"/>
          <w:snapToGrid/>
          <w:szCs w:val="18"/>
        </w:rPr>
        <w:t>全面贯通“三纵两横”</w:t>
      </w:r>
      <w:r>
        <w:rPr>
          <w:rStyle w:val="FootnoteReference"/>
          <w:snapToGrid/>
          <w:szCs w:val="18"/>
        </w:rPr>
        <w:footnoteReference w:customMarkFollows="1" w:id="6"/>
        <w:t>3</w:t>
      </w:r>
      <w:r>
        <w:rPr>
          <w:snapToGrid/>
          <w:szCs w:val="18"/>
        </w:rPr>
        <w:t xml:space="preserve"> </w:t>
      </w:r>
      <w:r>
        <w:rPr>
          <w:snapToGrid/>
          <w:szCs w:val="18"/>
        </w:rPr>
        <w:t>，</w:t>
      </w:r>
      <w:r>
        <w:rPr>
          <w:snapToGrid/>
          <w:szCs w:val="18"/>
        </w:rPr>
        <w:t>2005</w:t>
      </w:r>
      <w:r>
        <w:rPr>
          <w:rFonts w:hint="eastAsia"/>
          <w:snapToGrid/>
          <w:szCs w:val="18"/>
        </w:rPr>
        <w:t>年公路通车里程达到</w:t>
      </w:r>
      <w:r>
        <w:rPr>
          <w:snapToGrid/>
          <w:szCs w:val="18"/>
        </w:rPr>
        <w:t>160</w:t>
      </w:r>
      <w:r>
        <w:rPr>
          <w:rFonts w:hint="eastAsia"/>
          <w:snapToGrid/>
          <w:szCs w:val="18"/>
        </w:rPr>
        <w:t>万公里左右，其中高速公路</w:t>
      </w:r>
      <w:r>
        <w:rPr>
          <w:snapToGrid/>
          <w:szCs w:val="18"/>
        </w:rPr>
        <w:t>2.5</w:t>
      </w:r>
      <w:r>
        <w:rPr>
          <w:rFonts w:hint="eastAsia"/>
          <w:snapToGrid/>
          <w:szCs w:val="18"/>
        </w:rPr>
        <w:t>万公里</w:t>
      </w:r>
      <w:r>
        <w:rPr>
          <w:snapToGrid/>
          <w:szCs w:val="18"/>
        </w:rPr>
        <w:t>；</w:t>
      </w:r>
      <w:r>
        <w:rPr>
          <w:rFonts w:hint="eastAsia"/>
          <w:snapToGrid/>
          <w:szCs w:val="18"/>
        </w:rPr>
        <w:t>建设青藏铁路、京沪高速铁路和西北、西南进出境铁路</w:t>
      </w:r>
      <w:r>
        <w:rPr>
          <w:snapToGrid/>
          <w:szCs w:val="18"/>
        </w:rPr>
        <w:t>，</w:t>
      </w:r>
      <w:r>
        <w:rPr>
          <w:snapToGrid/>
          <w:szCs w:val="18"/>
        </w:rPr>
        <w:t>2005</w:t>
      </w:r>
      <w:r>
        <w:rPr>
          <w:rFonts w:hint="eastAsia"/>
          <w:snapToGrid/>
          <w:szCs w:val="18"/>
        </w:rPr>
        <w:t>年铁路营业里程达到</w:t>
      </w:r>
      <w:r>
        <w:rPr>
          <w:snapToGrid/>
          <w:szCs w:val="18"/>
        </w:rPr>
        <w:t>7.5</w:t>
      </w:r>
      <w:r>
        <w:rPr>
          <w:rFonts w:hint="eastAsia"/>
          <w:snapToGrid/>
          <w:szCs w:val="18"/>
        </w:rPr>
        <w:t>万公里</w:t>
      </w:r>
      <w:r>
        <w:rPr>
          <w:snapToGrid/>
          <w:szCs w:val="18"/>
        </w:rPr>
        <w:t>；</w:t>
      </w:r>
      <w:r>
        <w:rPr>
          <w:rFonts w:hint="eastAsia"/>
          <w:snapToGrid/>
          <w:szCs w:val="18"/>
        </w:rPr>
        <w:t>发展大城市轨道交通</w:t>
      </w:r>
      <w:r>
        <w:rPr>
          <w:snapToGrid/>
          <w:szCs w:val="18"/>
        </w:rPr>
        <w:t>；</w:t>
      </w:r>
      <w:r>
        <w:rPr>
          <w:rFonts w:hint="eastAsia"/>
          <w:snapToGrid/>
          <w:szCs w:val="18"/>
        </w:rPr>
        <w:t>加强沿海主枢纽港口大型集装箱运输系统、专业化散货运输系统及主要港口出海航道建设。三是优化能源结构。以煤炭为基础能源</w:t>
      </w:r>
      <w:r>
        <w:rPr>
          <w:snapToGrid/>
          <w:szCs w:val="18"/>
        </w:rPr>
        <w:t>，</w:t>
      </w:r>
      <w:r>
        <w:rPr>
          <w:rFonts w:hint="eastAsia"/>
          <w:snapToGrid/>
          <w:szCs w:val="18"/>
        </w:rPr>
        <w:t>提高优质煤比重</w:t>
      </w:r>
      <w:r>
        <w:rPr>
          <w:snapToGrid/>
          <w:szCs w:val="18"/>
        </w:rPr>
        <w:t>；</w:t>
      </w:r>
      <w:r>
        <w:rPr>
          <w:rFonts w:hint="eastAsia"/>
          <w:snapToGrid/>
          <w:szCs w:val="18"/>
        </w:rPr>
        <w:t>加大洁净煤技术研究开发力度，通过示范广泛推广使用</w:t>
      </w:r>
      <w:r>
        <w:rPr>
          <w:snapToGrid/>
          <w:szCs w:val="18"/>
        </w:rPr>
        <w:t>；</w:t>
      </w:r>
      <w:r>
        <w:rPr>
          <w:rFonts w:hint="eastAsia"/>
          <w:snapToGrid/>
          <w:szCs w:val="18"/>
        </w:rPr>
        <w:t>实行油气并举</w:t>
      </w:r>
      <w:r>
        <w:rPr>
          <w:snapToGrid/>
          <w:szCs w:val="18"/>
        </w:rPr>
        <w:t>，</w:t>
      </w:r>
      <w:r>
        <w:rPr>
          <w:rFonts w:hint="eastAsia"/>
          <w:snapToGrid/>
          <w:szCs w:val="18"/>
        </w:rPr>
        <w:t>加快天然气勘探、开发和利用</w:t>
      </w:r>
      <w:r>
        <w:rPr>
          <w:snapToGrid/>
          <w:szCs w:val="18"/>
        </w:rPr>
        <w:t>；</w:t>
      </w:r>
      <w:r>
        <w:rPr>
          <w:rFonts w:hint="eastAsia"/>
          <w:snapToGrid/>
          <w:szCs w:val="18"/>
        </w:rPr>
        <w:t>开发燃料酒精等石油替代产品</w:t>
      </w:r>
      <w:r>
        <w:rPr>
          <w:snapToGrid/>
          <w:szCs w:val="18"/>
        </w:rPr>
        <w:t>；</w:t>
      </w:r>
      <w:r>
        <w:rPr>
          <w:rFonts w:hint="eastAsia"/>
          <w:snapToGrid/>
          <w:szCs w:val="18"/>
        </w:rPr>
        <w:t>积极利用国外资源</w:t>
      </w:r>
      <w:r>
        <w:rPr>
          <w:snapToGrid/>
          <w:szCs w:val="18"/>
        </w:rPr>
        <w:t>，</w:t>
      </w:r>
      <w:r>
        <w:rPr>
          <w:rFonts w:hint="eastAsia"/>
          <w:snapToGrid/>
          <w:szCs w:val="18"/>
        </w:rPr>
        <w:t>建立海外石油、天然气供应基地</w:t>
      </w:r>
      <w:r>
        <w:rPr>
          <w:snapToGrid/>
          <w:szCs w:val="18"/>
        </w:rPr>
        <w:t>，</w:t>
      </w:r>
      <w:r>
        <w:rPr>
          <w:rFonts w:hint="eastAsia"/>
          <w:snapToGrid/>
          <w:szCs w:val="18"/>
        </w:rPr>
        <w:t>实行石油进口多元化。</w:t>
      </w:r>
    </w:p>
    <w:p w:rsidR="00000000" w:rsidRDefault="00000000">
      <w:pPr>
        <w:rPr>
          <w:snapToGrid/>
          <w:szCs w:val="22"/>
        </w:rPr>
      </w:pPr>
      <w:r>
        <w:rPr>
          <w:rFonts w:hint="eastAsia"/>
          <w:snapToGrid/>
          <w:szCs w:val="22"/>
        </w:rPr>
        <w:tab/>
      </w:r>
      <w:r>
        <w:rPr>
          <w:snapToGrid/>
          <w:szCs w:val="22"/>
        </w:rPr>
        <w:t xml:space="preserve">43.  </w:t>
      </w:r>
      <w:r>
        <w:rPr>
          <w:rFonts w:hint="eastAsia"/>
          <w:snapToGrid/>
          <w:szCs w:val="22"/>
        </w:rPr>
        <w:t>中国将继续实施西部大开发战略和城镇化战略</w:t>
      </w:r>
      <w:r>
        <w:rPr>
          <w:snapToGrid/>
          <w:szCs w:val="22"/>
        </w:rPr>
        <w:t>，</w:t>
      </w:r>
      <w:r>
        <w:rPr>
          <w:rFonts w:hint="eastAsia"/>
          <w:snapToGrid/>
          <w:szCs w:val="22"/>
        </w:rPr>
        <w:t>促进城乡之间和各地区协调发展、共同进步。力争用五到十年时间</w:t>
      </w:r>
      <w:r>
        <w:rPr>
          <w:snapToGrid/>
          <w:szCs w:val="22"/>
        </w:rPr>
        <w:t>，</w:t>
      </w:r>
      <w:r>
        <w:rPr>
          <w:rFonts w:hint="eastAsia"/>
          <w:snapToGrid/>
          <w:szCs w:val="22"/>
        </w:rPr>
        <w:t>使西部地区基础设施和生态环境建设有突破性进展，科技、教育有较大发展。采用新机制</w:t>
      </w:r>
      <w:r>
        <w:rPr>
          <w:snapToGrid/>
          <w:szCs w:val="22"/>
        </w:rPr>
        <w:t>，</w:t>
      </w:r>
      <w:r>
        <w:rPr>
          <w:rFonts w:hint="eastAsia"/>
          <w:snapToGrid/>
          <w:szCs w:val="22"/>
        </w:rPr>
        <w:t>着力改善投资环境</w:t>
      </w:r>
      <w:r>
        <w:rPr>
          <w:snapToGrid/>
          <w:szCs w:val="22"/>
        </w:rPr>
        <w:t>，</w:t>
      </w:r>
      <w:r>
        <w:rPr>
          <w:rFonts w:hint="eastAsia"/>
          <w:snapToGrid/>
          <w:szCs w:val="22"/>
        </w:rPr>
        <w:t>扩大对内对外开放</w:t>
      </w:r>
      <w:r>
        <w:rPr>
          <w:snapToGrid/>
          <w:szCs w:val="22"/>
        </w:rPr>
        <w:t>，</w:t>
      </w:r>
      <w:r>
        <w:rPr>
          <w:rFonts w:hint="eastAsia"/>
          <w:snapToGrid/>
          <w:szCs w:val="22"/>
        </w:rPr>
        <w:t>大力发展多种所有制经济，积极吸引社会资金和外资参与西部开发和建设。有重点地发展小城镇</w:t>
      </w:r>
      <w:r>
        <w:rPr>
          <w:snapToGrid/>
          <w:szCs w:val="22"/>
        </w:rPr>
        <w:t>，</w:t>
      </w:r>
      <w:r>
        <w:rPr>
          <w:rFonts w:hint="eastAsia"/>
          <w:snapToGrid/>
          <w:szCs w:val="22"/>
        </w:rPr>
        <w:t>积极发展中小城市</w:t>
      </w:r>
      <w:r>
        <w:rPr>
          <w:snapToGrid/>
          <w:szCs w:val="22"/>
        </w:rPr>
        <w:t>，</w:t>
      </w:r>
      <w:r>
        <w:rPr>
          <w:rFonts w:hint="eastAsia"/>
          <w:snapToGrid/>
          <w:szCs w:val="22"/>
        </w:rPr>
        <w:t>完善区域性中心城市功能</w:t>
      </w:r>
      <w:r>
        <w:rPr>
          <w:snapToGrid/>
          <w:szCs w:val="22"/>
        </w:rPr>
        <w:t>，</w:t>
      </w:r>
      <w:r>
        <w:rPr>
          <w:rFonts w:hint="eastAsia"/>
          <w:snapToGrid/>
          <w:szCs w:val="22"/>
        </w:rPr>
        <w:t>发挥大城市的辐射带动作用</w:t>
      </w:r>
      <w:r>
        <w:rPr>
          <w:snapToGrid/>
          <w:szCs w:val="22"/>
        </w:rPr>
        <w:t>，</w:t>
      </w:r>
      <w:r>
        <w:rPr>
          <w:rFonts w:hint="eastAsia"/>
          <w:snapToGrid/>
          <w:szCs w:val="22"/>
        </w:rPr>
        <w:t>引导城镇密集区有序发展</w:t>
      </w:r>
      <w:r>
        <w:rPr>
          <w:snapToGrid/>
          <w:szCs w:val="22"/>
        </w:rPr>
        <w:t>；</w:t>
      </w:r>
      <w:r>
        <w:rPr>
          <w:rFonts w:hint="eastAsia"/>
          <w:snapToGrid/>
          <w:szCs w:val="22"/>
        </w:rPr>
        <w:t>大力发展城镇经济</w:t>
      </w:r>
      <w:r>
        <w:rPr>
          <w:snapToGrid/>
          <w:szCs w:val="22"/>
        </w:rPr>
        <w:t>，</w:t>
      </w:r>
      <w:r>
        <w:rPr>
          <w:rFonts w:hint="eastAsia"/>
          <w:snapToGrid/>
          <w:szCs w:val="22"/>
        </w:rPr>
        <w:t>提高城镇吸纳就业的能力</w:t>
      </w:r>
      <w:r>
        <w:rPr>
          <w:snapToGrid/>
          <w:szCs w:val="22"/>
        </w:rPr>
        <w:t>；</w:t>
      </w:r>
      <w:r>
        <w:rPr>
          <w:rFonts w:hint="eastAsia"/>
          <w:snapToGrid/>
          <w:szCs w:val="22"/>
        </w:rPr>
        <w:t>加强城镇基础设施建设</w:t>
      </w:r>
      <w:r>
        <w:rPr>
          <w:snapToGrid/>
          <w:szCs w:val="22"/>
        </w:rPr>
        <w:t>，</w:t>
      </w:r>
      <w:r>
        <w:rPr>
          <w:rFonts w:hint="eastAsia"/>
          <w:snapToGrid/>
          <w:szCs w:val="22"/>
        </w:rPr>
        <w:t>健全城镇居住、公共服务和社区服务等功能</w:t>
      </w:r>
      <w:r>
        <w:rPr>
          <w:snapToGrid/>
          <w:szCs w:val="22"/>
        </w:rPr>
        <w:t>；</w:t>
      </w:r>
      <w:r>
        <w:rPr>
          <w:rFonts w:hint="eastAsia"/>
          <w:snapToGrid/>
          <w:szCs w:val="22"/>
        </w:rPr>
        <w:t>以创造良好的人居环境为中心，加强城镇生态建设和污染综合治理</w:t>
      </w:r>
      <w:r>
        <w:rPr>
          <w:snapToGrid/>
          <w:szCs w:val="22"/>
        </w:rPr>
        <w:t>，</w:t>
      </w:r>
      <w:r>
        <w:rPr>
          <w:rFonts w:hint="eastAsia"/>
          <w:snapToGrid/>
          <w:szCs w:val="22"/>
        </w:rPr>
        <w:t>改善城镇环境</w:t>
      </w:r>
      <w:r>
        <w:rPr>
          <w:snapToGrid/>
          <w:szCs w:val="22"/>
        </w:rPr>
        <w:t>；</w:t>
      </w:r>
      <w:r>
        <w:rPr>
          <w:rFonts w:hint="eastAsia"/>
          <w:snapToGrid/>
          <w:szCs w:val="22"/>
        </w:rPr>
        <w:t>加强城镇规划、设计、建设及综合管理</w:t>
      </w:r>
      <w:r>
        <w:rPr>
          <w:snapToGrid/>
          <w:szCs w:val="22"/>
        </w:rPr>
        <w:t>，</w:t>
      </w:r>
      <w:r>
        <w:rPr>
          <w:rFonts w:hint="eastAsia"/>
          <w:snapToGrid/>
          <w:szCs w:val="22"/>
        </w:rPr>
        <w:t>形成各具特色的城市风格，全面提高城镇管理水平。</w:t>
      </w:r>
    </w:p>
    <w:p w:rsidR="00000000" w:rsidRDefault="00000000">
      <w:pPr>
        <w:rPr>
          <w:snapToGrid/>
          <w:szCs w:val="16"/>
        </w:rPr>
      </w:pPr>
      <w:r>
        <w:rPr>
          <w:snapToGrid/>
          <w:szCs w:val="22"/>
        </w:rPr>
        <w:tab/>
        <w:t xml:space="preserve">44.  </w:t>
      </w:r>
      <w:r>
        <w:rPr>
          <w:rFonts w:hint="eastAsia"/>
          <w:snapToGrid/>
          <w:szCs w:val="22"/>
        </w:rPr>
        <w:t>中国将加快发展教育、卫生和体育事业。着力推进素质教育</w:t>
      </w:r>
      <w:r>
        <w:rPr>
          <w:snapToGrid/>
          <w:szCs w:val="22"/>
        </w:rPr>
        <w:t>，</w:t>
      </w:r>
      <w:r>
        <w:rPr>
          <w:rFonts w:hint="eastAsia"/>
          <w:snapToGrid/>
          <w:szCs w:val="22"/>
        </w:rPr>
        <w:t>重视培养创新精神和实践能力</w:t>
      </w:r>
      <w:r>
        <w:rPr>
          <w:snapToGrid/>
          <w:szCs w:val="22"/>
        </w:rPr>
        <w:t>，</w:t>
      </w:r>
      <w:r>
        <w:rPr>
          <w:rFonts w:hint="eastAsia"/>
          <w:snapToGrid/>
          <w:szCs w:val="22"/>
        </w:rPr>
        <w:t>促进学生德智体美全面发展</w:t>
      </w:r>
      <w:r>
        <w:rPr>
          <w:snapToGrid/>
          <w:szCs w:val="22"/>
        </w:rPr>
        <w:t>；</w:t>
      </w:r>
      <w:r>
        <w:rPr>
          <w:rFonts w:hint="eastAsia"/>
          <w:snapToGrid/>
          <w:szCs w:val="22"/>
        </w:rPr>
        <w:t>把加强基础教育放在重要位置，继续提高国民教育普及程度。重点推进西部贫困地区和少数民族地区的义务教育</w:t>
      </w:r>
      <w:r>
        <w:rPr>
          <w:snapToGrid/>
          <w:szCs w:val="22"/>
        </w:rPr>
        <w:t>，</w:t>
      </w:r>
      <w:r>
        <w:rPr>
          <w:rFonts w:hint="eastAsia"/>
          <w:snapToGrid/>
          <w:szCs w:val="22"/>
        </w:rPr>
        <w:t>实施第二期</w:t>
      </w:r>
      <w:r>
        <w:rPr>
          <w:rFonts w:hint="eastAsia"/>
          <w:snapToGrid/>
          <w:szCs w:val="16"/>
        </w:rPr>
        <w:t>“</w:t>
      </w:r>
      <w:r>
        <w:rPr>
          <w:rFonts w:hint="eastAsia"/>
          <w:snapToGrid/>
          <w:szCs w:val="22"/>
        </w:rPr>
        <w:t>国家贫困地区义务教育工程”和</w:t>
      </w:r>
      <w:r>
        <w:rPr>
          <w:rFonts w:hint="eastAsia"/>
          <w:snapToGrid/>
          <w:szCs w:val="16"/>
        </w:rPr>
        <w:t>“</w:t>
      </w:r>
      <w:r>
        <w:rPr>
          <w:rFonts w:hint="eastAsia"/>
          <w:snapToGrid/>
          <w:szCs w:val="22"/>
        </w:rPr>
        <w:t>农村中小学危房改造工程”</w:t>
      </w:r>
      <w:r>
        <w:rPr>
          <w:snapToGrid/>
          <w:szCs w:val="22"/>
        </w:rPr>
        <w:t>；</w:t>
      </w:r>
      <w:r>
        <w:rPr>
          <w:rFonts w:hint="eastAsia"/>
          <w:snapToGrid/>
          <w:szCs w:val="22"/>
        </w:rPr>
        <w:t>扩大高中阶段教育规模</w:t>
      </w:r>
      <w:r>
        <w:rPr>
          <w:snapToGrid/>
          <w:szCs w:val="22"/>
        </w:rPr>
        <w:t>，</w:t>
      </w:r>
      <w:r>
        <w:rPr>
          <w:rFonts w:hint="eastAsia"/>
          <w:snapToGrid/>
          <w:szCs w:val="22"/>
        </w:rPr>
        <w:t>有步骤地在大中城市和经济发达地区普及高中阶段教育</w:t>
      </w:r>
      <w:r>
        <w:rPr>
          <w:snapToGrid/>
          <w:szCs w:val="22"/>
        </w:rPr>
        <w:t>；</w:t>
      </w:r>
      <w:r>
        <w:rPr>
          <w:rFonts w:hint="eastAsia"/>
          <w:snapToGrid/>
          <w:szCs w:val="22"/>
        </w:rPr>
        <w:t>采取多种形式</w:t>
      </w:r>
      <w:r>
        <w:rPr>
          <w:snapToGrid/>
          <w:szCs w:val="22"/>
        </w:rPr>
        <w:t>，</w:t>
      </w:r>
      <w:r>
        <w:rPr>
          <w:rFonts w:hint="eastAsia"/>
          <w:snapToGrid/>
          <w:szCs w:val="22"/>
        </w:rPr>
        <w:t>积极发展高等教育</w:t>
      </w:r>
      <w:r>
        <w:rPr>
          <w:snapToGrid/>
          <w:szCs w:val="22"/>
        </w:rPr>
        <w:t>，</w:t>
      </w:r>
      <w:r>
        <w:rPr>
          <w:rFonts w:hint="eastAsia"/>
          <w:snapToGrid/>
          <w:szCs w:val="22"/>
        </w:rPr>
        <w:t>扩大培</w:t>
      </w:r>
      <w:r>
        <w:rPr>
          <w:rFonts w:hint="eastAsia"/>
          <w:snapToGrid/>
          <w:szCs w:val="16"/>
        </w:rPr>
        <w:t>养规模</w:t>
      </w:r>
      <w:r>
        <w:rPr>
          <w:snapToGrid/>
          <w:szCs w:val="16"/>
        </w:rPr>
        <w:t>，</w:t>
      </w:r>
      <w:r>
        <w:rPr>
          <w:rFonts w:hint="eastAsia"/>
          <w:snapToGrid/>
          <w:szCs w:val="16"/>
        </w:rPr>
        <w:t>保证教育质量</w:t>
      </w:r>
      <w:r>
        <w:rPr>
          <w:snapToGrid/>
          <w:szCs w:val="16"/>
        </w:rPr>
        <w:t>；</w:t>
      </w:r>
      <w:r>
        <w:rPr>
          <w:rFonts w:hint="eastAsia"/>
          <w:snapToGrid/>
          <w:szCs w:val="16"/>
        </w:rPr>
        <w:t>继续实施“</w:t>
      </w:r>
      <w:r>
        <w:rPr>
          <w:snapToGrid/>
          <w:szCs w:val="16"/>
        </w:rPr>
        <w:t>211</w:t>
      </w:r>
      <w:r>
        <w:rPr>
          <w:rFonts w:hint="eastAsia"/>
          <w:snapToGrid/>
          <w:szCs w:val="16"/>
        </w:rPr>
        <w:t>工程”</w:t>
      </w:r>
      <w:r>
        <w:rPr>
          <w:rStyle w:val="FootnoteReference"/>
          <w:snapToGrid/>
          <w:szCs w:val="16"/>
        </w:rPr>
        <w:footnoteReference w:customMarkFollows="1" w:id="7"/>
        <w:t>4</w:t>
      </w:r>
      <w:r>
        <w:rPr>
          <w:snapToGrid/>
          <w:szCs w:val="16"/>
        </w:rPr>
        <w:t xml:space="preserve"> </w:t>
      </w:r>
      <w:r>
        <w:rPr>
          <w:rFonts w:hint="eastAsia"/>
          <w:snapToGrid/>
          <w:szCs w:val="16"/>
        </w:rPr>
        <w:t>，重点加强一批高水平大学和重点学科的建设。大力发展职业教育和职业培训</w:t>
      </w:r>
      <w:r>
        <w:rPr>
          <w:snapToGrid/>
          <w:szCs w:val="16"/>
        </w:rPr>
        <w:t>，</w:t>
      </w:r>
      <w:r>
        <w:rPr>
          <w:rFonts w:hint="eastAsia"/>
          <w:snapToGrid/>
          <w:szCs w:val="16"/>
        </w:rPr>
        <w:t>发展成人教育和其他继续教育</w:t>
      </w:r>
      <w:r>
        <w:rPr>
          <w:snapToGrid/>
          <w:szCs w:val="16"/>
        </w:rPr>
        <w:t>，</w:t>
      </w:r>
      <w:r>
        <w:rPr>
          <w:rFonts w:hint="eastAsia"/>
          <w:snapToGrid/>
          <w:szCs w:val="16"/>
        </w:rPr>
        <w:t>构建终身教育体系；重视发展儿童早期教育。改革和完善卫生服务、医疗保障和卫生监督体系</w:t>
      </w:r>
      <w:r>
        <w:rPr>
          <w:snapToGrid/>
          <w:szCs w:val="16"/>
        </w:rPr>
        <w:t>，</w:t>
      </w:r>
      <w:r>
        <w:rPr>
          <w:rFonts w:hint="eastAsia"/>
          <w:snapToGrid/>
          <w:szCs w:val="16"/>
        </w:rPr>
        <w:t>发展基本医疗、预防保健、康复医疗。实施区域卫生规划</w:t>
      </w:r>
      <w:r>
        <w:rPr>
          <w:snapToGrid/>
          <w:szCs w:val="16"/>
        </w:rPr>
        <w:t>，</w:t>
      </w:r>
      <w:r>
        <w:rPr>
          <w:rFonts w:hint="eastAsia"/>
          <w:snapToGrid/>
          <w:szCs w:val="16"/>
        </w:rPr>
        <w:t>调整和优化卫生资源配置。高度重视卫生防病工作</w:t>
      </w:r>
      <w:r>
        <w:rPr>
          <w:snapToGrid/>
          <w:szCs w:val="16"/>
        </w:rPr>
        <w:t>，</w:t>
      </w:r>
      <w:r>
        <w:rPr>
          <w:rFonts w:hint="eastAsia"/>
          <w:snapToGrid/>
          <w:szCs w:val="16"/>
        </w:rPr>
        <w:t>加强对多发病、地方病、职业病和传染病的预防与控制。大力发展中医药</w:t>
      </w:r>
      <w:r>
        <w:rPr>
          <w:snapToGrid/>
          <w:szCs w:val="16"/>
        </w:rPr>
        <w:t>，</w:t>
      </w:r>
      <w:r>
        <w:rPr>
          <w:rFonts w:hint="eastAsia"/>
          <w:snapToGrid/>
          <w:szCs w:val="16"/>
        </w:rPr>
        <w:t>促进中西医结合。健全农村初级卫生保健服务体系</w:t>
      </w:r>
      <w:r>
        <w:rPr>
          <w:snapToGrid/>
          <w:szCs w:val="16"/>
        </w:rPr>
        <w:t>，</w:t>
      </w:r>
      <w:r>
        <w:rPr>
          <w:rFonts w:hint="eastAsia"/>
          <w:snapToGrid/>
          <w:szCs w:val="16"/>
        </w:rPr>
        <w:t>重点加强农村卫生基础设施建设</w:t>
      </w:r>
      <w:r>
        <w:rPr>
          <w:snapToGrid/>
          <w:szCs w:val="16"/>
        </w:rPr>
        <w:t>，</w:t>
      </w:r>
      <w:r>
        <w:rPr>
          <w:rFonts w:hint="eastAsia"/>
          <w:snapToGrid/>
          <w:szCs w:val="16"/>
        </w:rPr>
        <w:t>因地制宜发展合作医疗</w:t>
      </w:r>
      <w:r>
        <w:rPr>
          <w:snapToGrid/>
          <w:szCs w:val="16"/>
        </w:rPr>
        <w:t>，</w:t>
      </w:r>
      <w:r>
        <w:rPr>
          <w:rFonts w:hint="eastAsia"/>
          <w:snapToGrid/>
          <w:szCs w:val="16"/>
        </w:rPr>
        <w:t>努力解决农民基本卫生医疗问题。加强公共体育设施建设</w:t>
      </w:r>
      <w:r>
        <w:rPr>
          <w:snapToGrid/>
          <w:szCs w:val="16"/>
        </w:rPr>
        <w:t>，</w:t>
      </w:r>
      <w:r>
        <w:rPr>
          <w:rFonts w:hint="eastAsia"/>
          <w:snapToGrid/>
          <w:szCs w:val="16"/>
        </w:rPr>
        <w:t>开展全民健身运动</w:t>
      </w:r>
      <w:r>
        <w:rPr>
          <w:snapToGrid/>
          <w:szCs w:val="16"/>
        </w:rPr>
        <w:t>，</w:t>
      </w:r>
      <w:r>
        <w:rPr>
          <w:rFonts w:hint="eastAsia"/>
          <w:snapToGrid/>
          <w:szCs w:val="16"/>
        </w:rPr>
        <w:t>健全国民体质监测系统。发展竞技体育。</w:t>
      </w:r>
    </w:p>
    <w:p w:rsidR="00000000" w:rsidRDefault="00000000">
      <w:pPr>
        <w:spacing w:after="320"/>
        <w:rPr>
          <w:snapToGrid/>
        </w:rPr>
      </w:pPr>
      <w:r>
        <w:rPr>
          <w:snapToGrid/>
          <w:szCs w:val="16"/>
        </w:rPr>
        <w:tab/>
        <w:t xml:space="preserve">45.  </w:t>
      </w:r>
      <w:r>
        <w:rPr>
          <w:rFonts w:hint="eastAsia"/>
          <w:snapToGrid/>
          <w:szCs w:val="16"/>
        </w:rPr>
        <w:t>中国将积极扩大就业</w:t>
      </w:r>
      <w:r>
        <w:rPr>
          <w:snapToGrid/>
          <w:szCs w:val="16"/>
        </w:rPr>
        <w:t>，</w:t>
      </w:r>
      <w:r>
        <w:rPr>
          <w:rFonts w:hint="eastAsia"/>
          <w:snapToGrid/>
          <w:szCs w:val="16"/>
        </w:rPr>
        <w:t>健全社会保障制度。制定和落实优惠政策</w:t>
      </w:r>
      <w:r>
        <w:rPr>
          <w:snapToGrid/>
          <w:szCs w:val="16"/>
        </w:rPr>
        <w:t>，</w:t>
      </w:r>
      <w:r>
        <w:rPr>
          <w:rFonts w:hint="eastAsia"/>
          <w:snapToGrid/>
          <w:szCs w:val="16"/>
        </w:rPr>
        <w:t>发展具有比较优势的劳动密集型产业</w:t>
      </w:r>
      <w:r>
        <w:rPr>
          <w:snapToGrid/>
          <w:szCs w:val="16"/>
        </w:rPr>
        <w:t>，</w:t>
      </w:r>
      <w:r>
        <w:rPr>
          <w:rFonts w:hint="eastAsia"/>
          <w:snapToGrid/>
          <w:szCs w:val="16"/>
        </w:rPr>
        <w:t>发展就业容量大的服务企业、中小企业和非公有制企业；加大在职和再就业培训力度</w:t>
      </w:r>
      <w:r>
        <w:rPr>
          <w:snapToGrid/>
          <w:szCs w:val="16"/>
        </w:rPr>
        <w:t>，</w:t>
      </w:r>
      <w:r>
        <w:rPr>
          <w:rFonts w:hint="eastAsia"/>
          <w:snapToGrid/>
          <w:szCs w:val="16"/>
        </w:rPr>
        <w:t>提高从业人员的职业技能</w:t>
      </w:r>
      <w:r>
        <w:rPr>
          <w:snapToGrid/>
          <w:szCs w:val="16"/>
        </w:rPr>
        <w:t>，</w:t>
      </w:r>
      <w:r>
        <w:rPr>
          <w:rFonts w:hint="eastAsia"/>
          <w:snapToGrid/>
          <w:szCs w:val="16"/>
        </w:rPr>
        <w:t>增强失业人员的就业和创业能力</w:t>
      </w:r>
      <w:r>
        <w:rPr>
          <w:snapToGrid/>
          <w:szCs w:val="16"/>
        </w:rPr>
        <w:t>；</w:t>
      </w:r>
      <w:r>
        <w:rPr>
          <w:rFonts w:hint="eastAsia"/>
          <w:snapToGrid/>
          <w:szCs w:val="16"/>
        </w:rPr>
        <w:t>引导劳动者转变就业观念</w:t>
      </w:r>
      <w:r>
        <w:rPr>
          <w:snapToGrid/>
          <w:szCs w:val="16"/>
        </w:rPr>
        <w:t>，</w:t>
      </w:r>
      <w:r>
        <w:rPr>
          <w:rFonts w:hint="eastAsia"/>
          <w:snapToGrid/>
          <w:szCs w:val="16"/>
        </w:rPr>
        <w:t>采取非全日制就业、季节性就业等灵活多样的就业形式</w:t>
      </w:r>
      <w:r>
        <w:rPr>
          <w:snapToGrid/>
          <w:szCs w:val="16"/>
        </w:rPr>
        <w:t>，</w:t>
      </w:r>
      <w:r>
        <w:rPr>
          <w:rFonts w:hint="eastAsia"/>
          <w:snapToGrid/>
          <w:szCs w:val="16"/>
        </w:rPr>
        <w:t>提倡自主就业</w:t>
      </w:r>
      <w:r>
        <w:rPr>
          <w:snapToGrid/>
          <w:szCs w:val="16"/>
        </w:rPr>
        <w:t>；</w:t>
      </w:r>
      <w:r>
        <w:rPr>
          <w:rFonts w:hint="eastAsia"/>
          <w:snapToGrid/>
          <w:szCs w:val="16"/>
        </w:rPr>
        <w:t>努力开拓国际劳务市场</w:t>
      </w:r>
      <w:r>
        <w:rPr>
          <w:snapToGrid/>
          <w:szCs w:val="16"/>
        </w:rPr>
        <w:t>，</w:t>
      </w:r>
      <w:r>
        <w:rPr>
          <w:rFonts w:hint="eastAsia"/>
          <w:snapToGrid/>
          <w:szCs w:val="16"/>
        </w:rPr>
        <w:t>扩大劳务输出</w:t>
      </w:r>
      <w:r>
        <w:rPr>
          <w:snapToGrid/>
          <w:szCs w:val="16"/>
        </w:rPr>
        <w:t>；</w:t>
      </w:r>
      <w:r>
        <w:rPr>
          <w:rFonts w:hint="eastAsia"/>
          <w:snapToGrid/>
          <w:szCs w:val="16"/>
        </w:rPr>
        <w:t>全面推行劳动预备制度和职业资格证书制度</w:t>
      </w:r>
      <w:r>
        <w:rPr>
          <w:snapToGrid/>
          <w:szCs w:val="16"/>
        </w:rPr>
        <w:t>，</w:t>
      </w:r>
      <w:r>
        <w:rPr>
          <w:rFonts w:hint="eastAsia"/>
          <w:snapToGrid/>
          <w:szCs w:val="16"/>
        </w:rPr>
        <w:t>严格执行离退休制度。依法扩大养老保险覆盖范围</w:t>
      </w:r>
      <w:r>
        <w:rPr>
          <w:snapToGrid/>
          <w:szCs w:val="16"/>
        </w:rPr>
        <w:t>，</w:t>
      </w:r>
      <w:r>
        <w:rPr>
          <w:rFonts w:hint="eastAsia"/>
          <w:snapToGrid/>
          <w:szCs w:val="16"/>
        </w:rPr>
        <w:t>继续完善社会统筹与个人账户相结合的城镇职工基本养老保险制度</w:t>
      </w:r>
      <w:r>
        <w:rPr>
          <w:snapToGrid/>
          <w:szCs w:val="16"/>
        </w:rPr>
        <w:t>；</w:t>
      </w:r>
      <w:r>
        <w:rPr>
          <w:rFonts w:hint="eastAsia"/>
          <w:snapToGrid/>
          <w:szCs w:val="16"/>
        </w:rPr>
        <w:t>按社会统</w:t>
      </w:r>
      <w:r>
        <w:rPr>
          <w:rFonts w:hint="eastAsia"/>
          <w:snapToGrid/>
        </w:rPr>
        <w:t>筹和个人账户相结合的模式</w:t>
      </w:r>
      <w:r>
        <w:rPr>
          <w:snapToGrid/>
        </w:rPr>
        <w:t>，</w:t>
      </w:r>
      <w:r>
        <w:rPr>
          <w:rFonts w:hint="eastAsia"/>
          <w:snapToGrid/>
        </w:rPr>
        <w:t>全面推行城镇职工基本医疗保险制度</w:t>
      </w:r>
      <w:r>
        <w:rPr>
          <w:snapToGrid/>
        </w:rPr>
        <w:t>，</w:t>
      </w:r>
      <w:r>
        <w:rPr>
          <w:rFonts w:hint="eastAsia"/>
          <w:snapToGrid/>
        </w:rPr>
        <w:t>保障职工基本医疗需求</w:t>
      </w:r>
      <w:r>
        <w:rPr>
          <w:snapToGrid/>
        </w:rPr>
        <w:t>；</w:t>
      </w:r>
      <w:r>
        <w:rPr>
          <w:rFonts w:hint="eastAsia"/>
          <w:snapToGrid/>
        </w:rPr>
        <w:t>进一步完善失业保险制度</w:t>
      </w:r>
      <w:r>
        <w:rPr>
          <w:snapToGrid/>
        </w:rPr>
        <w:t>，</w:t>
      </w:r>
      <w:r>
        <w:rPr>
          <w:rFonts w:hint="eastAsia"/>
          <w:snapToGrid/>
        </w:rPr>
        <w:t>在试点的基础上逐步把国有企业下岗职工基本生活保障纳入失业保险</w:t>
      </w:r>
      <w:r>
        <w:rPr>
          <w:snapToGrid/>
        </w:rPr>
        <w:t>，</w:t>
      </w:r>
      <w:r>
        <w:rPr>
          <w:rFonts w:hint="eastAsia"/>
          <w:snapToGrid/>
        </w:rPr>
        <w:t>扩大失业保险覆盖范围</w:t>
      </w:r>
      <w:r>
        <w:rPr>
          <w:snapToGrid/>
        </w:rPr>
        <w:t>；</w:t>
      </w:r>
      <w:r>
        <w:rPr>
          <w:rFonts w:hint="eastAsia"/>
          <w:snapToGrid/>
        </w:rPr>
        <w:t>完善工伤保险和生育保险制度</w:t>
      </w:r>
      <w:r>
        <w:rPr>
          <w:snapToGrid/>
        </w:rPr>
        <w:t>，</w:t>
      </w:r>
      <w:r>
        <w:rPr>
          <w:rFonts w:hint="eastAsia"/>
          <w:snapToGrid/>
        </w:rPr>
        <w:t>逐步扩大覆盖面</w:t>
      </w:r>
      <w:r>
        <w:rPr>
          <w:snapToGrid/>
        </w:rPr>
        <w:t>；</w:t>
      </w:r>
      <w:r>
        <w:rPr>
          <w:rFonts w:hint="eastAsia"/>
          <w:snapToGrid/>
        </w:rPr>
        <w:t>鼓励有条件的用人单位为职工建立企业年金和补充医疗保险</w:t>
      </w:r>
      <w:r>
        <w:rPr>
          <w:snapToGrid/>
        </w:rPr>
        <w:t>，</w:t>
      </w:r>
      <w:r>
        <w:rPr>
          <w:rFonts w:hint="eastAsia"/>
          <w:snapToGrid/>
        </w:rPr>
        <w:t>同时发挥商业保险对社会保障体系的补充作用。</w:t>
      </w:r>
    </w:p>
    <w:p w:rsidR="00000000" w:rsidRDefault="00000000">
      <w:pPr>
        <w:pStyle w:val="Heading3"/>
        <w:rPr>
          <w:rFonts w:hint="eastAsia"/>
        </w:rPr>
      </w:pPr>
      <w:bookmarkStart w:id="13" w:name="_Toc78772928"/>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七</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享有良好工作条件的权利</w:t>
      </w:r>
      <w:bookmarkEnd w:id="13"/>
    </w:p>
    <w:p w:rsidR="00000000" w:rsidRDefault="00000000">
      <w:pPr>
        <w:rPr>
          <w:rFonts w:hint="eastAsia"/>
          <w:snapToGrid/>
          <w:szCs w:val="28"/>
        </w:rPr>
      </w:pPr>
      <w:r>
        <w:rPr>
          <w:rFonts w:hint="eastAsia"/>
          <w:snapToGrid/>
          <w:szCs w:val="36"/>
        </w:rPr>
        <w:tab/>
      </w:r>
      <w:r>
        <w:rPr>
          <w:snapToGrid/>
        </w:rPr>
        <w:t xml:space="preserve">46.  </w:t>
      </w:r>
      <w:r>
        <w:rPr>
          <w:rFonts w:hint="eastAsia"/>
          <w:snapToGrid/>
        </w:rPr>
        <w:t>中国坚持以按劳分配为主体、多种分配方式并存的制度</w:t>
      </w:r>
      <w:r>
        <w:rPr>
          <w:snapToGrid/>
        </w:rPr>
        <w:t>，</w:t>
      </w:r>
      <w:r>
        <w:rPr>
          <w:rFonts w:hint="eastAsia"/>
          <w:snapToGrid/>
        </w:rPr>
        <w:t>体现效率优先、兼顾公平的原则。通过改革工资制度</w:t>
      </w:r>
      <w:r>
        <w:rPr>
          <w:snapToGrid/>
        </w:rPr>
        <w:t>，</w:t>
      </w:r>
      <w:r>
        <w:rPr>
          <w:rFonts w:hint="eastAsia"/>
          <w:snapToGrid/>
        </w:rPr>
        <w:t>发挥市场机制对工资收入的调节作用</w:t>
      </w:r>
      <w:r>
        <w:rPr>
          <w:snapToGrid/>
        </w:rPr>
        <w:t>，</w:t>
      </w:r>
      <w:r>
        <w:rPr>
          <w:rFonts w:hint="eastAsia"/>
          <w:snapToGrid/>
        </w:rPr>
        <w:t>使劳动者的工资收入水平随着经济发展和企业效益的增长相应提高。《劳动法》和《企业最低工资规定》、《工资支付暂行规定》等法律法规对规范工资分配行为作出明确规定。中国政府依法制定和适时调整最低工资标准</w:t>
      </w:r>
      <w:r>
        <w:rPr>
          <w:snapToGrid/>
        </w:rPr>
        <w:t>，</w:t>
      </w:r>
      <w:r>
        <w:rPr>
          <w:rFonts w:hint="eastAsia"/>
          <w:snapToGrid/>
        </w:rPr>
        <w:t>规范工资支付办法</w:t>
      </w:r>
      <w:r>
        <w:rPr>
          <w:snapToGrid/>
        </w:rPr>
        <w:t>，</w:t>
      </w:r>
      <w:r>
        <w:rPr>
          <w:rFonts w:hint="eastAsia"/>
          <w:snapToGrid/>
        </w:rPr>
        <w:t>定期向社会发布工资指导线、劳动力市场工资指导</w:t>
      </w:r>
      <w:r>
        <w:rPr>
          <w:rFonts w:hint="eastAsia"/>
          <w:snapToGrid/>
          <w:szCs w:val="28"/>
        </w:rPr>
        <w:t>价位和人工成本信息</w:t>
      </w:r>
      <w:r>
        <w:rPr>
          <w:snapToGrid/>
          <w:szCs w:val="28"/>
        </w:rPr>
        <w:t>，</w:t>
      </w:r>
      <w:r>
        <w:rPr>
          <w:rFonts w:hint="eastAsia"/>
          <w:snapToGrid/>
          <w:szCs w:val="28"/>
        </w:rPr>
        <w:t>鼓励企业试行工资集体协商制度</w:t>
      </w:r>
      <w:r>
        <w:rPr>
          <w:snapToGrid/>
          <w:szCs w:val="28"/>
        </w:rPr>
        <w:t>，</w:t>
      </w:r>
      <w:r>
        <w:rPr>
          <w:rFonts w:hint="eastAsia"/>
          <w:snapToGrid/>
          <w:szCs w:val="28"/>
        </w:rPr>
        <w:t>引导企业采用灵活多样的工资制度和分配形式</w:t>
      </w:r>
      <w:r>
        <w:rPr>
          <w:snapToGrid/>
          <w:szCs w:val="28"/>
        </w:rPr>
        <w:t>，</w:t>
      </w:r>
      <w:r>
        <w:rPr>
          <w:rFonts w:hint="eastAsia"/>
          <w:snapToGrid/>
          <w:szCs w:val="28"/>
        </w:rPr>
        <w:t>维护企业的工资分配自主权和劳动者依法获得劳动报酬的权利。</w:t>
      </w:r>
    </w:p>
    <w:p w:rsidR="00000000" w:rsidRDefault="00000000">
      <w:pPr>
        <w:rPr>
          <w:snapToGrid/>
          <w:szCs w:val="28"/>
        </w:rPr>
      </w:pPr>
      <w:r>
        <w:rPr>
          <w:rFonts w:hint="eastAsia"/>
          <w:snapToGrid/>
          <w:szCs w:val="28"/>
        </w:rPr>
        <w:tab/>
      </w:r>
      <w:r>
        <w:rPr>
          <w:snapToGrid/>
          <w:szCs w:val="28"/>
        </w:rPr>
        <w:t xml:space="preserve">47.  </w:t>
      </w:r>
      <w:r>
        <w:rPr>
          <w:rFonts w:hint="eastAsia"/>
          <w:snapToGrid/>
          <w:szCs w:val="28"/>
        </w:rPr>
        <w:t>中国企业工资的确定主要分两类</w:t>
      </w:r>
      <w:r>
        <w:rPr>
          <w:snapToGrid/>
          <w:szCs w:val="28"/>
        </w:rPr>
        <w:t>：</w:t>
      </w:r>
      <w:r>
        <w:rPr>
          <w:rFonts w:hint="eastAsia"/>
          <w:snapToGrid/>
          <w:szCs w:val="28"/>
        </w:rPr>
        <w:t>对国有企业</w:t>
      </w:r>
      <w:r>
        <w:rPr>
          <w:snapToGrid/>
          <w:szCs w:val="28"/>
        </w:rPr>
        <w:t>，</w:t>
      </w:r>
      <w:r>
        <w:rPr>
          <w:rFonts w:hint="eastAsia"/>
          <w:snapToGrid/>
          <w:szCs w:val="28"/>
        </w:rPr>
        <w:t>按照工资总量主要由本企业经济效益确定的原则</w:t>
      </w:r>
      <w:r>
        <w:rPr>
          <w:snapToGrid/>
          <w:szCs w:val="28"/>
        </w:rPr>
        <w:t>，</w:t>
      </w:r>
      <w:r>
        <w:rPr>
          <w:rFonts w:hint="eastAsia"/>
          <w:snapToGrid/>
          <w:szCs w:val="28"/>
        </w:rPr>
        <w:t>分别实行工效挂钩、工资计划管理以及在“两低于”</w:t>
      </w:r>
      <w:r>
        <w:rPr>
          <w:snapToGrid/>
          <w:szCs w:val="28"/>
        </w:rPr>
        <w:t>(</w:t>
      </w:r>
      <w:r>
        <w:rPr>
          <w:rFonts w:hint="eastAsia"/>
          <w:snapToGrid/>
          <w:szCs w:val="28"/>
        </w:rPr>
        <w:t>即工资总额增长低于经济效益增长</w:t>
      </w:r>
      <w:r>
        <w:rPr>
          <w:snapToGrid/>
          <w:szCs w:val="28"/>
        </w:rPr>
        <w:t>，</w:t>
      </w:r>
      <w:r>
        <w:rPr>
          <w:rFonts w:hint="eastAsia"/>
          <w:snapToGrid/>
          <w:szCs w:val="28"/>
        </w:rPr>
        <w:t>平均工资增长低于劳动生产率增长</w:t>
      </w:r>
      <w:r>
        <w:rPr>
          <w:snapToGrid/>
          <w:szCs w:val="28"/>
        </w:rPr>
        <w:t>)</w:t>
      </w:r>
      <w:r>
        <w:rPr>
          <w:rFonts w:hint="eastAsia"/>
          <w:snapToGrid/>
          <w:szCs w:val="28"/>
        </w:rPr>
        <w:t>前提下由企业自主确定工资总额等办法</w:t>
      </w:r>
      <w:r>
        <w:rPr>
          <w:snapToGrid/>
          <w:szCs w:val="28"/>
        </w:rPr>
        <w:t>；</w:t>
      </w:r>
      <w:r>
        <w:rPr>
          <w:rFonts w:hint="eastAsia"/>
          <w:snapToGrid/>
          <w:szCs w:val="28"/>
        </w:rPr>
        <w:t>对非国有企业</w:t>
      </w:r>
      <w:r>
        <w:rPr>
          <w:snapToGrid/>
          <w:szCs w:val="28"/>
        </w:rPr>
        <w:t>，</w:t>
      </w:r>
      <w:r>
        <w:rPr>
          <w:rFonts w:hint="eastAsia"/>
          <w:snapToGrid/>
          <w:szCs w:val="28"/>
        </w:rPr>
        <w:t>主要由企业根据劳动力市场工资指导价位和本企业经济效益</w:t>
      </w:r>
      <w:r>
        <w:rPr>
          <w:snapToGrid/>
          <w:szCs w:val="28"/>
        </w:rPr>
        <w:t>，</w:t>
      </w:r>
      <w:r>
        <w:rPr>
          <w:rFonts w:hint="eastAsia"/>
          <w:snapToGrid/>
          <w:szCs w:val="28"/>
        </w:rPr>
        <w:t>自主确定工资水平。一部分企业通过开展工资集体协商确定工资</w:t>
      </w:r>
      <w:r>
        <w:rPr>
          <w:snapToGrid/>
          <w:szCs w:val="28"/>
        </w:rPr>
        <w:t>，</w:t>
      </w:r>
      <w:r>
        <w:rPr>
          <w:rFonts w:hint="eastAsia"/>
          <w:snapToGrid/>
          <w:szCs w:val="28"/>
        </w:rPr>
        <w:t>目前全国有</w:t>
      </w:r>
      <w:r>
        <w:rPr>
          <w:snapToGrid/>
          <w:szCs w:val="28"/>
        </w:rPr>
        <w:t>3</w:t>
      </w:r>
      <w:r>
        <w:rPr>
          <w:rFonts w:hint="eastAsia"/>
          <w:snapToGrid/>
          <w:szCs w:val="28"/>
        </w:rPr>
        <w:t>万多户企业试行了工资集体协商确定工资的办法。在企业内部分配方面</w:t>
      </w:r>
      <w:r>
        <w:rPr>
          <w:snapToGrid/>
          <w:szCs w:val="28"/>
        </w:rPr>
        <w:t>，</w:t>
      </w:r>
      <w:r>
        <w:rPr>
          <w:rFonts w:hint="eastAsia"/>
          <w:snapToGrid/>
          <w:szCs w:val="28"/>
        </w:rPr>
        <w:t>企业拥有充分的自主权，政府指导企业开展了以岗位工资为主的多种形式的内部分配制度改革</w:t>
      </w:r>
      <w:r>
        <w:rPr>
          <w:snapToGrid/>
          <w:szCs w:val="28"/>
        </w:rPr>
        <w:t>；</w:t>
      </w:r>
      <w:r>
        <w:rPr>
          <w:rFonts w:hint="eastAsia"/>
          <w:snapToGrid/>
          <w:szCs w:val="28"/>
        </w:rPr>
        <w:t>在工资收入分配政策上</w:t>
      </w:r>
      <w:r>
        <w:rPr>
          <w:snapToGrid/>
          <w:szCs w:val="28"/>
        </w:rPr>
        <w:t>，</w:t>
      </w:r>
      <w:r>
        <w:rPr>
          <w:rFonts w:hint="eastAsia"/>
          <w:snapToGrid/>
          <w:szCs w:val="28"/>
        </w:rPr>
        <w:t>充分贯彻按劳分配、同工同酬的分配原则</w:t>
      </w:r>
      <w:r>
        <w:rPr>
          <w:snapToGrid/>
          <w:szCs w:val="28"/>
        </w:rPr>
        <w:t>，</w:t>
      </w:r>
      <w:r>
        <w:rPr>
          <w:rFonts w:hint="eastAsia"/>
          <w:snapToGrid/>
          <w:szCs w:val="28"/>
        </w:rPr>
        <w:t>不存在性别、种族、民族歧视。</w:t>
      </w:r>
    </w:p>
    <w:p w:rsidR="00000000" w:rsidRDefault="00000000">
      <w:pPr>
        <w:rPr>
          <w:rFonts w:hint="eastAsia"/>
          <w:snapToGrid/>
          <w:szCs w:val="28"/>
        </w:rPr>
      </w:pPr>
      <w:r>
        <w:rPr>
          <w:snapToGrid/>
          <w:szCs w:val="28"/>
        </w:rPr>
        <w:tab/>
        <w:t>48.  1993</w:t>
      </w:r>
      <w:r>
        <w:rPr>
          <w:rFonts w:hint="eastAsia"/>
          <w:snapToGrid/>
          <w:szCs w:val="28"/>
        </w:rPr>
        <w:t>年</w:t>
      </w:r>
      <w:r>
        <w:rPr>
          <w:snapToGrid/>
          <w:szCs w:val="28"/>
        </w:rPr>
        <w:t>，</w:t>
      </w:r>
      <w:r>
        <w:rPr>
          <w:rFonts w:hint="eastAsia"/>
          <w:snapToGrid/>
          <w:szCs w:val="28"/>
        </w:rPr>
        <w:t>中国政府颁布了《企业最低工资规定》</w:t>
      </w:r>
      <w:r>
        <w:rPr>
          <w:snapToGrid/>
          <w:szCs w:val="28"/>
        </w:rPr>
        <w:t>；</w:t>
      </w:r>
      <w:r>
        <w:rPr>
          <w:snapToGrid/>
          <w:szCs w:val="28"/>
        </w:rPr>
        <w:t>1994</w:t>
      </w:r>
      <w:r>
        <w:rPr>
          <w:rFonts w:hint="eastAsia"/>
          <w:snapToGrid/>
          <w:szCs w:val="28"/>
        </w:rPr>
        <w:t>年</w:t>
      </w:r>
      <w:r>
        <w:rPr>
          <w:snapToGrid/>
          <w:szCs w:val="28"/>
        </w:rPr>
        <w:t>，</w:t>
      </w:r>
      <w:r>
        <w:rPr>
          <w:rFonts w:hint="eastAsia"/>
          <w:snapToGrid/>
          <w:szCs w:val="28"/>
        </w:rPr>
        <w:t>有关部门印发了《关于实施最低工资保障制度的通知》</w:t>
      </w:r>
      <w:r>
        <w:rPr>
          <w:snapToGrid/>
          <w:szCs w:val="28"/>
        </w:rPr>
        <w:t>；</w:t>
      </w:r>
      <w:r>
        <w:rPr>
          <w:snapToGrid/>
          <w:szCs w:val="28"/>
        </w:rPr>
        <w:t>1994</w:t>
      </w:r>
      <w:r>
        <w:rPr>
          <w:rFonts w:hint="eastAsia"/>
          <w:snapToGrid/>
          <w:szCs w:val="28"/>
        </w:rPr>
        <w:t>年颁布的《劳动法》第</w:t>
      </w:r>
      <w:r>
        <w:rPr>
          <w:rFonts w:hint="eastAsia"/>
          <w:snapToGrid/>
          <w:szCs w:val="28"/>
        </w:rPr>
        <w:t>4</w:t>
      </w:r>
      <w:r>
        <w:rPr>
          <w:snapToGrid/>
          <w:szCs w:val="28"/>
        </w:rPr>
        <w:t>8</w:t>
      </w:r>
      <w:r>
        <w:rPr>
          <w:rFonts w:hint="eastAsia"/>
          <w:snapToGrid/>
          <w:szCs w:val="28"/>
        </w:rPr>
        <w:t>条规定</w:t>
      </w:r>
      <w:r>
        <w:rPr>
          <w:snapToGrid/>
          <w:szCs w:val="28"/>
        </w:rPr>
        <w:t>：</w:t>
      </w:r>
    </w:p>
    <w:p w:rsidR="00000000" w:rsidRDefault="00000000">
      <w:pPr>
        <w:rPr>
          <w:rFonts w:hint="eastAsia"/>
          <w:snapToGrid/>
        </w:rPr>
      </w:pPr>
      <w:r>
        <w:rPr>
          <w:rFonts w:hint="eastAsia"/>
          <w:snapToGrid/>
        </w:rPr>
        <w:tab/>
      </w:r>
      <w:r>
        <w:rPr>
          <w:rFonts w:hint="eastAsia"/>
          <w:snapToGrid/>
        </w:rPr>
        <w:t>“国家实行最低工资保障制度。最低工资的具体标准由省、自治区、直辖市人民政府规定，报国务院备案。用人单位支付劳动者的工资不得低于当地最低工资标准。”</w:t>
      </w:r>
    </w:p>
    <w:p w:rsidR="00000000" w:rsidRDefault="00000000">
      <w:pPr>
        <w:rPr>
          <w:rFonts w:hint="eastAsia"/>
          <w:snapToGrid/>
          <w:szCs w:val="28"/>
        </w:rPr>
      </w:pPr>
      <w:r>
        <w:rPr>
          <w:rFonts w:hint="eastAsia"/>
          <w:snapToGrid/>
          <w:szCs w:val="28"/>
        </w:rPr>
        <w:t>中国最低工资保障制度适用于在中华人民共和国境内的企业、个体经济组织和与之形成劳动关系的劳动者；国家机关、事业组织、社会团体和与之建立劳动关系的劳动者也要参照有关规定执行。</w:t>
      </w:r>
    </w:p>
    <w:p w:rsidR="00000000" w:rsidRDefault="00000000">
      <w:pPr>
        <w:rPr>
          <w:snapToGrid/>
        </w:rPr>
      </w:pPr>
      <w:r>
        <w:rPr>
          <w:rFonts w:hint="eastAsia"/>
          <w:snapToGrid/>
          <w:szCs w:val="28"/>
        </w:rPr>
        <w:tab/>
      </w:r>
      <w:r>
        <w:rPr>
          <w:snapToGrid/>
        </w:rPr>
        <w:t xml:space="preserve">49.  </w:t>
      </w:r>
      <w:r>
        <w:rPr>
          <w:rFonts w:hint="eastAsia"/>
          <w:snapToGrid/>
        </w:rPr>
        <w:t>中国建立最低工资保障制度的最主要目的是保障劳动者个人及其家庭成员的基本生活。国家劳动保障行政部门负责最低工资保障制度建设</w:t>
      </w:r>
      <w:r>
        <w:rPr>
          <w:snapToGrid/>
        </w:rPr>
        <w:t>，</w:t>
      </w:r>
      <w:r>
        <w:rPr>
          <w:rFonts w:hint="eastAsia"/>
          <w:snapToGrid/>
        </w:rPr>
        <w:t>各省、自治区、直辖市劳动保障行政机构负责本地区最低工资标准的确定、调整、发布和实施。《企业最低工资规定》规定</w:t>
      </w:r>
      <w:r>
        <w:rPr>
          <w:snapToGrid/>
        </w:rPr>
        <w:t>：</w:t>
      </w:r>
      <w:r>
        <w:rPr>
          <w:rFonts w:hint="eastAsia"/>
          <w:snapToGrid/>
        </w:rPr>
        <w:t>“在确定最低工资标准时</w:t>
      </w:r>
      <w:r>
        <w:rPr>
          <w:snapToGrid/>
        </w:rPr>
        <w:t>，</w:t>
      </w:r>
      <w:r>
        <w:rPr>
          <w:rFonts w:hint="eastAsia"/>
          <w:snapToGrid/>
        </w:rPr>
        <w:t>劳动保障行政部门要会同同级工会、企业家协会研究</w:t>
      </w:r>
      <w:r>
        <w:rPr>
          <w:snapToGrid/>
        </w:rPr>
        <w:t>，</w:t>
      </w:r>
      <w:r>
        <w:rPr>
          <w:rFonts w:hint="eastAsia"/>
          <w:snapToGrid/>
        </w:rPr>
        <w:t>并向当地工商联合会、财政、民政、统计等各部门咨询。”在确定最低工资时</w:t>
      </w:r>
      <w:r>
        <w:rPr>
          <w:snapToGrid/>
        </w:rPr>
        <w:t>，</w:t>
      </w:r>
      <w:r>
        <w:rPr>
          <w:rFonts w:hint="eastAsia"/>
          <w:snapToGrid/>
        </w:rPr>
        <w:t>省级人民政府主要根据本地区低收入职工收支状况、物价水平、职工赡养系数、平均工资、劳动力供求状况、劳动生产率、地区综合经济效益等因素</w:t>
      </w:r>
      <w:r>
        <w:rPr>
          <w:snapToGrid/>
        </w:rPr>
        <w:t>，</w:t>
      </w:r>
      <w:r>
        <w:rPr>
          <w:rFonts w:hint="eastAsia"/>
          <w:snapToGrid/>
        </w:rPr>
        <w:t>也综合考虑了对外开放的竞争需要及企业的承受能力等。当上述因素发生变化时</w:t>
      </w:r>
      <w:r>
        <w:rPr>
          <w:snapToGrid/>
        </w:rPr>
        <w:t>，</w:t>
      </w:r>
      <w:r>
        <w:rPr>
          <w:rFonts w:hint="eastAsia"/>
          <w:snapToGrid/>
        </w:rPr>
        <w:t>适时调整最低工资标准</w:t>
      </w:r>
      <w:r>
        <w:rPr>
          <w:snapToGrid/>
        </w:rPr>
        <w:t>，</w:t>
      </w:r>
      <w:r>
        <w:rPr>
          <w:rFonts w:hint="eastAsia"/>
          <w:snapToGrid/>
        </w:rPr>
        <w:t>每年最多调整一次。目前</w:t>
      </w:r>
      <w:r>
        <w:rPr>
          <w:snapToGrid/>
        </w:rPr>
        <w:t>，</w:t>
      </w:r>
      <w:r>
        <w:rPr>
          <w:rFonts w:hint="eastAsia"/>
          <w:snapToGrid/>
        </w:rPr>
        <w:t>中国已有</w:t>
      </w:r>
      <w:r>
        <w:rPr>
          <w:snapToGrid/>
        </w:rPr>
        <w:t>30</w:t>
      </w:r>
      <w:r>
        <w:rPr>
          <w:rFonts w:hint="eastAsia"/>
          <w:snapToGrid/>
        </w:rPr>
        <w:t>个省、自治区、直辖市建立并实施了最低工资保障制度。</w:t>
      </w:r>
    </w:p>
    <w:p w:rsidR="00000000" w:rsidRDefault="00000000">
      <w:pPr>
        <w:rPr>
          <w:snapToGrid/>
        </w:rPr>
      </w:pPr>
      <w:r>
        <w:rPr>
          <w:snapToGrid/>
        </w:rPr>
        <w:tab/>
        <w:t xml:space="preserve">50.  </w:t>
      </w:r>
      <w:r>
        <w:rPr>
          <w:rFonts w:hint="eastAsia"/>
          <w:snapToGrid/>
        </w:rPr>
        <w:t>中国对违反最低工资规定的当事人规定了相应的法律责任</w:t>
      </w:r>
      <w:r>
        <w:rPr>
          <w:snapToGrid/>
        </w:rPr>
        <w:t>，</w:t>
      </w:r>
      <w:r>
        <w:rPr>
          <w:rFonts w:hint="eastAsia"/>
          <w:snapToGrid/>
        </w:rPr>
        <w:t>由当地劳动行政部门责令其限期改正</w:t>
      </w:r>
      <w:r>
        <w:rPr>
          <w:snapToGrid/>
        </w:rPr>
        <w:t>；</w:t>
      </w:r>
      <w:r>
        <w:rPr>
          <w:rFonts w:hint="eastAsia"/>
          <w:snapToGrid/>
        </w:rPr>
        <w:t>逾期不改的</w:t>
      </w:r>
      <w:r>
        <w:rPr>
          <w:snapToGrid/>
        </w:rPr>
        <w:t>，</w:t>
      </w:r>
      <w:r>
        <w:rPr>
          <w:rFonts w:hint="eastAsia"/>
          <w:snapToGrid/>
        </w:rPr>
        <w:t>给予通报批评</w:t>
      </w:r>
      <w:r>
        <w:rPr>
          <w:snapToGrid/>
        </w:rPr>
        <w:t>，</w:t>
      </w:r>
      <w:r>
        <w:rPr>
          <w:rFonts w:hint="eastAsia"/>
          <w:snapToGrid/>
        </w:rPr>
        <w:t>并对用人单位和责任人给予经济处罚。</w:t>
      </w:r>
    </w:p>
    <w:p w:rsidR="00000000" w:rsidRDefault="00000000">
      <w:pPr>
        <w:rPr>
          <w:snapToGrid/>
        </w:rPr>
      </w:pPr>
      <w:r>
        <w:rPr>
          <w:snapToGrid/>
        </w:rPr>
        <w:tab/>
        <w:t xml:space="preserve">51.  </w:t>
      </w:r>
      <w:r>
        <w:rPr>
          <w:rFonts w:hint="eastAsia"/>
          <w:snapToGrid/>
        </w:rPr>
        <w:t>改革开放以来</w:t>
      </w:r>
      <w:r>
        <w:rPr>
          <w:snapToGrid/>
        </w:rPr>
        <w:t>，</w:t>
      </w:r>
      <w:r>
        <w:rPr>
          <w:rFonts w:hint="eastAsia"/>
          <w:snapToGrid/>
        </w:rPr>
        <w:t>随着经济的快速发展</w:t>
      </w:r>
      <w:r>
        <w:rPr>
          <w:snapToGrid/>
        </w:rPr>
        <w:t>，</w:t>
      </w:r>
      <w:r>
        <w:rPr>
          <w:rFonts w:hint="eastAsia"/>
          <w:snapToGrid/>
        </w:rPr>
        <w:t>城镇职工工资收入不断增长。到</w:t>
      </w:r>
      <w:r>
        <w:rPr>
          <w:snapToGrid/>
        </w:rPr>
        <w:t>2001</w:t>
      </w:r>
      <w:r>
        <w:rPr>
          <w:rFonts w:hint="eastAsia"/>
          <w:snapToGrid/>
        </w:rPr>
        <w:t>年底</w:t>
      </w:r>
      <w:r>
        <w:rPr>
          <w:snapToGrid/>
        </w:rPr>
        <w:t>，</w:t>
      </w:r>
      <w:r>
        <w:rPr>
          <w:rFonts w:hint="eastAsia"/>
          <w:snapToGrid/>
        </w:rPr>
        <w:t>中国城镇职工平均货币工资达到</w:t>
      </w:r>
      <w:r>
        <w:rPr>
          <w:snapToGrid/>
        </w:rPr>
        <w:t>10870</w:t>
      </w:r>
      <w:r>
        <w:rPr>
          <w:rFonts w:hint="eastAsia"/>
          <w:snapToGrid/>
        </w:rPr>
        <w:t>元</w:t>
      </w:r>
      <w:r>
        <w:rPr>
          <w:snapToGrid/>
        </w:rPr>
        <w:t>，</w:t>
      </w:r>
      <w:r>
        <w:rPr>
          <w:rFonts w:hint="eastAsia"/>
          <w:snapToGrid/>
        </w:rPr>
        <w:t>是</w:t>
      </w:r>
      <w:r>
        <w:rPr>
          <w:snapToGrid/>
        </w:rPr>
        <w:t>1978</w:t>
      </w:r>
      <w:r>
        <w:rPr>
          <w:rFonts w:hint="eastAsia"/>
          <w:snapToGrid/>
        </w:rPr>
        <w:t>年的</w:t>
      </w:r>
      <w:r>
        <w:rPr>
          <w:snapToGrid/>
        </w:rPr>
        <w:t>16.3</w:t>
      </w:r>
      <w:r>
        <w:rPr>
          <w:rFonts w:hint="eastAsia"/>
          <w:snapToGrid/>
        </w:rPr>
        <w:t>倍</w:t>
      </w:r>
      <w:r>
        <w:rPr>
          <w:snapToGrid/>
        </w:rPr>
        <w:t>，</w:t>
      </w:r>
      <w:r>
        <w:rPr>
          <w:rFonts w:hint="eastAsia"/>
          <w:snapToGrid/>
        </w:rPr>
        <w:t>扣除物价因素后</w:t>
      </w:r>
      <w:r>
        <w:rPr>
          <w:snapToGrid/>
        </w:rPr>
        <w:t>，</w:t>
      </w:r>
      <w:r>
        <w:rPr>
          <w:rFonts w:hint="eastAsia"/>
          <w:snapToGrid/>
        </w:rPr>
        <w:t>职工实际平均工资水平年平均递增</w:t>
      </w:r>
      <w:r>
        <w:rPr>
          <w:snapToGrid/>
        </w:rPr>
        <w:t>5.5%</w:t>
      </w:r>
      <w:r>
        <w:rPr>
          <w:rFonts w:hint="eastAsia"/>
          <w:snapToGrid/>
        </w:rPr>
        <w:t>。</w:t>
      </w:r>
    </w:p>
    <w:p w:rsidR="00000000" w:rsidRDefault="00000000">
      <w:pPr>
        <w:rPr>
          <w:snapToGrid/>
          <w:szCs w:val="28"/>
        </w:rPr>
      </w:pPr>
      <w:r>
        <w:rPr>
          <w:snapToGrid/>
        </w:rPr>
        <w:tab/>
        <w:t xml:space="preserve">52.  </w:t>
      </w:r>
      <w:r>
        <w:rPr>
          <w:rFonts w:hint="eastAsia"/>
          <w:snapToGrid/>
        </w:rPr>
        <w:t>中国政府重视劳动者的休息休假权利</w:t>
      </w:r>
      <w:r>
        <w:rPr>
          <w:snapToGrid/>
        </w:rPr>
        <w:t>，</w:t>
      </w:r>
      <w:r>
        <w:rPr>
          <w:rFonts w:hint="eastAsia"/>
          <w:snapToGrid/>
        </w:rPr>
        <w:t>颁布了一系列法律法规。目前已初步形成以《劳动法》为核心</w:t>
      </w:r>
      <w:r>
        <w:rPr>
          <w:snapToGrid/>
        </w:rPr>
        <w:t>，</w:t>
      </w:r>
      <w:r>
        <w:rPr>
          <w:rFonts w:hint="eastAsia"/>
          <w:snapToGrid/>
        </w:rPr>
        <w:t>包括《国务院关于</w:t>
      </w:r>
      <w:r>
        <w:rPr>
          <w:rFonts w:hint="eastAsia"/>
          <w:snapToGrid/>
          <w:szCs w:val="28"/>
        </w:rPr>
        <w:t>职工工作时间的规定》、《国务院关于职工探亲待遇的规定》、《全国年节及纪念日放假办法》等在内的法律法规体系，并根据经济和社会发展状况不断调整和完善。</w:t>
      </w:r>
    </w:p>
    <w:p w:rsidR="00000000" w:rsidRDefault="00000000">
      <w:pPr>
        <w:rPr>
          <w:rFonts w:hint="eastAsia"/>
          <w:snapToGrid/>
          <w:szCs w:val="28"/>
        </w:rPr>
      </w:pPr>
      <w:r>
        <w:rPr>
          <w:snapToGrid/>
          <w:szCs w:val="28"/>
        </w:rPr>
        <w:tab/>
        <w:t xml:space="preserve">53.  </w:t>
      </w:r>
      <w:r>
        <w:rPr>
          <w:rFonts w:hint="eastAsia"/>
          <w:snapToGrid/>
          <w:szCs w:val="28"/>
        </w:rPr>
        <w:t>为保证劳动者享有正常工作和休息休假的权益</w:t>
      </w:r>
      <w:r>
        <w:rPr>
          <w:snapToGrid/>
          <w:szCs w:val="28"/>
        </w:rPr>
        <w:t>，</w:t>
      </w:r>
      <w:r>
        <w:rPr>
          <w:rFonts w:hint="eastAsia"/>
          <w:snapToGrid/>
          <w:szCs w:val="28"/>
        </w:rPr>
        <w:t>中国目前实行劳动者每日工作时间不超过</w:t>
      </w:r>
      <w:r>
        <w:rPr>
          <w:snapToGrid/>
          <w:szCs w:val="28"/>
        </w:rPr>
        <w:t>8</w:t>
      </w:r>
      <w:r>
        <w:rPr>
          <w:rFonts w:hint="eastAsia"/>
          <w:snapToGrid/>
          <w:szCs w:val="28"/>
        </w:rPr>
        <w:t>小时、平均每周工作时间不超过</w:t>
      </w:r>
      <w:r>
        <w:rPr>
          <w:snapToGrid/>
          <w:szCs w:val="28"/>
        </w:rPr>
        <w:t>40</w:t>
      </w:r>
      <w:r>
        <w:rPr>
          <w:rFonts w:hint="eastAsia"/>
          <w:snapToGrid/>
          <w:szCs w:val="28"/>
        </w:rPr>
        <w:t>小时的工时制度。中国政府对单位延长工作时间进行限制</w:t>
      </w:r>
      <w:r>
        <w:rPr>
          <w:snapToGrid/>
          <w:szCs w:val="28"/>
        </w:rPr>
        <w:t>，</w:t>
      </w:r>
      <w:r>
        <w:rPr>
          <w:rFonts w:hint="eastAsia"/>
          <w:snapToGrid/>
          <w:szCs w:val="28"/>
        </w:rPr>
        <w:t>凡延长工作时间，必须与工会和劳动者协商，一般每日不得超过</w:t>
      </w:r>
      <w:r>
        <w:rPr>
          <w:snapToGrid/>
          <w:szCs w:val="28"/>
        </w:rPr>
        <w:t>1</w:t>
      </w:r>
      <w:r>
        <w:rPr>
          <w:rFonts w:hint="eastAsia"/>
          <w:snapToGrid/>
          <w:szCs w:val="28"/>
        </w:rPr>
        <w:t>小时</w:t>
      </w:r>
      <w:r>
        <w:rPr>
          <w:snapToGrid/>
          <w:szCs w:val="28"/>
        </w:rPr>
        <w:t>，</w:t>
      </w:r>
      <w:r>
        <w:rPr>
          <w:rFonts w:hint="eastAsia"/>
          <w:snapToGrid/>
          <w:szCs w:val="28"/>
        </w:rPr>
        <w:t>特殊原因每日不得超过</w:t>
      </w:r>
      <w:r>
        <w:rPr>
          <w:snapToGrid/>
          <w:szCs w:val="28"/>
        </w:rPr>
        <w:t>3</w:t>
      </w:r>
      <w:r>
        <w:rPr>
          <w:rFonts w:hint="eastAsia"/>
          <w:snapToGrid/>
          <w:szCs w:val="28"/>
        </w:rPr>
        <w:t>小时</w:t>
      </w:r>
      <w:r>
        <w:rPr>
          <w:snapToGrid/>
          <w:szCs w:val="28"/>
        </w:rPr>
        <w:t>，</w:t>
      </w:r>
      <w:r>
        <w:rPr>
          <w:rFonts w:hint="eastAsia"/>
          <w:snapToGrid/>
          <w:szCs w:val="28"/>
        </w:rPr>
        <w:t>每月不得超过</w:t>
      </w:r>
      <w:r>
        <w:rPr>
          <w:snapToGrid/>
          <w:szCs w:val="28"/>
        </w:rPr>
        <w:t>36</w:t>
      </w:r>
      <w:r>
        <w:rPr>
          <w:rFonts w:hint="eastAsia"/>
          <w:snapToGrid/>
          <w:szCs w:val="28"/>
        </w:rPr>
        <w:t>小时。中国政府在推行标准工时制度的同时，考虑到企业生产经营状况的不同</w:t>
      </w:r>
      <w:r>
        <w:rPr>
          <w:snapToGrid/>
          <w:szCs w:val="28"/>
        </w:rPr>
        <w:t>，</w:t>
      </w:r>
      <w:r>
        <w:rPr>
          <w:rFonts w:hint="eastAsia"/>
          <w:snapToGrid/>
          <w:szCs w:val="28"/>
        </w:rPr>
        <w:t>允许符合条件的企业实行特殊工时制度。总的说</w:t>
      </w:r>
      <w:r>
        <w:rPr>
          <w:snapToGrid/>
          <w:szCs w:val="28"/>
        </w:rPr>
        <w:t>，</w:t>
      </w:r>
      <w:r>
        <w:rPr>
          <w:rFonts w:hint="eastAsia"/>
          <w:snapToGrid/>
          <w:szCs w:val="28"/>
        </w:rPr>
        <w:t>中国现行的工时制度经过了长期的调整，顺应了国际上工时标准的发展趋势</w:t>
      </w:r>
      <w:r>
        <w:rPr>
          <w:snapToGrid/>
          <w:szCs w:val="28"/>
        </w:rPr>
        <w:t>，</w:t>
      </w:r>
      <w:r>
        <w:rPr>
          <w:rFonts w:hint="eastAsia"/>
          <w:snapToGrid/>
          <w:szCs w:val="28"/>
        </w:rPr>
        <w:t>是一种比较先进、科学的劳动标准。</w:t>
      </w:r>
    </w:p>
    <w:p w:rsidR="00000000" w:rsidRDefault="00000000">
      <w:pPr>
        <w:rPr>
          <w:snapToGrid/>
          <w:szCs w:val="28"/>
        </w:rPr>
      </w:pPr>
      <w:r>
        <w:rPr>
          <w:rFonts w:hint="eastAsia"/>
          <w:snapToGrid/>
          <w:szCs w:val="28"/>
        </w:rPr>
        <w:tab/>
      </w:r>
      <w:r>
        <w:rPr>
          <w:snapToGrid/>
          <w:szCs w:val="28"/>
        </w:rPr>
        <w:t xml:space="preserve">54.  </w:t>
      </w:r>
      <w:r>
        <w:rPr>
          <w:rFonts w:hint="eastAsia"/>
          <w:snapToGrid/>
          <w:szCs w:val="28"/>
        </w:rPr>
        <w:t>《劳动法》规定，劳动者依法享有法定节假日及每周至少休息一日的权利。按照</w:t>
      </w:r>
      <w:r>
        <w:rPr>
          <w:snapToGrid/>
          <w:szCs w:val="28"/>
        </w:rPr>
        <w:t>1999</w:t>
      </w:r>
      <w:r>
        <w:rPr>
          <w:rFonts w:hint="eastAsia"/>
          <w:snapToGrid/>
          <w:szCs w:val="28"/>
        </w:rPr>
        <w:t>年发布的《全国年节及纪念日放假办法》</w:t>
      </w:r>
      <w:r>
        <w:rPr>
          <w:snapToGrid/>
          <w:szCs w:val="28"/>
        </w:rPr>
        <w:t>，</w:t>
      </w:r>
      <w:r>
        <w:rPr>
          <w:rFonts w:hint="eastAsia"/>
          <w:snapToGrid/>
          <w:szCs w:val="28"/>
        </w:rPr>
        <w:t>中国的法定节假日为</w:t>
      </w:r>
      <w:r>
        <w:rPr>
          <w:snapToGrid/>
          <w:szCs w:val="28"/>
        </w:rPr>
        <w:t>10</w:t>
      </w:r>
      <w:r>
        <w:rPr>
          <w:rFonts w:hint="eastAsia"/>
          <w:snapToGrid/>
          <w:szCs w:val="28"/>
        </w:rPr>
        <w:t>天</w:t>
      </w:r>
      <w:r>
        <w:rPr>
          <w:snapToGrid/>
          <w:szCs w:val="28"/>
        </w:rPr>
        <w:t>，</w:t>
      </w:r>
      <w:r>
        <w:rPr>
          <w:rFonts w:hint="eastAsia"/>
          <w:snapToGrid/>
          <w:szCs w:val="28"/>
        </w:rPr>
        <w:t>分别是元旦</w:t>
      </w:r>
      <w:r>
        <w:rPr>
          <w:snapToGrid/>
          <w:szCs w:val="28"/>
        </w:rPr>
        <w:t>1</w:t>
      </w:r>
      <w:r>
        <w:rPr>
          <w:rFonts w:hint="eastAsia"/>
          <w:snapToGrid/>
          <w:szCs w:val="28"/>
        </w:rPr>
        <w:t>天</w:t>
      </w:r>
      <w:r>
        <w:rPr>
          <w:snapToGrid/>
          <w:szCs w:val="28"/>
        </w:rPr>
        <w:t>，</w:t>
      </w:r>
      <w:r>
        <w:rPr>
          <w:rFonts w:hint="eastAsia"/>
          <w:snapToGrid/>
          <w:szCs w:val="28"/>
        </w:rPr>
        <w:t>“五一”国际劳动节</w:t>
      </w:r>
      <w:r>
        <w:rPr>
          <w:snapToGrid/>
          <w:szCs w:val="28"/>
        </w:rPr>
        <w:t>3</w:t>
      </w:r>
      <w:r>
        <w:rPr>
          <w:rFonts w:hint="eastAsia"/>
          <w:snapToGrid/>
          <w:szCs w:val="28"/>
        </w:rPr>
        <w:t>天</w:t>
      </w:r>
      <w:r>
        <w:rPr>
          <w:snapToGrid/>
          <w:szCs w:val="28"/>
        </w:rPr>
        <w:t>，</w:t>
      </w:r>
      <w:r>
        <w:rPr>
          <w:rFonts w:hint="eastAsia"/>
          <w:snapToGrid/>
          <w:szCs w:val="28"/>
        </w:rPr>
        <w:t>国庆节</w:t>
      </w:r>
      <w:r>
        <w:rPr>
          <w:snapToGrid/>
          <w:szCs w:val="28"/>
        </w:rPr>
        <w:t>3</w:t>
      </w:r>
      <w:r>
        <w:rPr>
          <w:rFonts w:hint="eastAsia"/>
          <w:snapToGrid/>
          <w:szCs w:val="28"/>
        </w:rPr>
        <w:t>天</w:t>
      </w:r>
      <w:r>
        <w:rPr>
          <w:snapToGrid/>
          <w:szCs w:val="28"/>
        </w:rPr>
        <w:t>，</w:t>
      </w:r>
      <w:r>
        <w:rPr>
          <w:rFonts w:hint="eastAsia"/>
          <w:snapToGrid/>
          <w:szCs w:val="28"/>
        </w:rPr>
        <w:t>春节</w:t>
      </w:r>
      <w:r>
        <w:rPr>
          <w:snapToGrid/>
          <w:szCs w:val="28"/>
        </w:rPr>
        <w:t>3</w:t>
      </w:r>
      <w:r>
        <w:rPr>
          <w:rFonts w:hint="eastAsia"/>
          <w:snapToGrid/>
          <w:szCs w:val="28"/>
        </w:rPr>
        <w:t>天。</w:t>
      </w:r>
      <w:r>
        <w:rPr>
          <w:snapToGrid/>
          <w:szCs w:val="28"/>
        </w:rPr>
        <w:t>2000</w:t>
      </w:r>
      <w:r>
        <w:rPr>
          <w:rFonts w:hint="eastAsia"/>
          <w:snapToGrid/>
          <w:szCs w:val="28"/>
        </w:rPr>
        <w:t>年劳动保障部发布《关于职工全年月平均工作时间和工资折算问题的通知》，规定职工全年月平均工作天数和工作小时分别为</w:t>
      </w:r>
      <w:r>
        <w:rPr>
          <w:snapToGrid/>
          <w:szCs w:val="28"/>
        </w:rPr>
        <w:t>20.92</w:t>
      </w:r>
      <w:r>
        <w:rPr>
          <w:rFonts w:hint="eastAsia"/>
          <w:snapToGrid/>
          <w:szCs w:val="28"/>
        </w:rPr>
        <w:t>天和</w:t>
      </w:r>
      <w:r>
        <w:rPr>
          <w:snapToGrid/>
          <w:szCs w:val="28"/>
        </w:rPr>
        <w:t>167.4</w:t>
      </w:r>
      <w:r>
        <w:rPr>
          <w:rFonts w:hint="eastAsia"/>
          <w:snapToGrid/>
          <w:szCs w:val="28"/>
        </w:rPr>
        <w:t>小时。《劳动法》同时规定中国实行带薪年休假制度。劳动者连续工作</w:t>
      </w:r>
      <w:r>
        <w:rPr>
          <w:snapToGrid/>
          <w:szCs w:val="28"/>
        </w:rPr>
        <w:t>1</w:t>
      </w:r>
      <w:r>
        <w:rPr>
          <w:rFonts w:hint="eastAsia"/>
          <w:snapToGrid/>
          <w:szCs w:val="28"/>
        </w:rPr>
        <w:t>年以上的</w:t>
      </w:r>
      <w:r>
        <w:rPr>
          <w:snapToGrid/>
          <w:szCs w:val="28"/>
        </w:rPr>
        <w:t>，</w:t>
      </w:r>
      <w:r>
        <w:rPr>
          <w:rFonts w:hint="eastAsia"/>
          <w:snapToGrid/>
          <w:szCs w:val="28"/>
        </w:rPr>
        <w:t>可享受带薪年休假。根据有关规定</w:t>
      </w:r>
      <w:r>
        <w:rPr>
          <w:snapToGrid/>
          <w:szCs w:val="28"/>
        </w:rPr>
        <w:t>，</w:t>
      </w:r>
      <w:r>
        <w:rPr>
          <w:rFonts w:hint="eastAsia"/>
          <w:snapToGrid/>
          <w:szCs w:val="28"/>
        </w:rPr>
        <w:t>职工可享受最多不超过两周的带薪休假。</w:t>
      </w:r>
    </w:p>
    <w:p w:rsidR="00000000" w:rsidRDefault="00000000">
      <w:pPr>
        <w:rPr>
          <w:snapToGrid/>
          <w:szCs w:val="28"/>
        </w:rPr>
      </w:pPr>
      <w:r>
        <w:rPr>
          <w:snapToGrid/>
          <w:szCs w:val="28"/>
        </w:rPr>
        <w:tab/>
        <w:t xml:space="preserve">55.  </w:t>
      </w:r>
      <w:r>
        <w:rPr>
          <w:rFonts w:hint="eastAsia"/>
          <w:snapToGrid/>
          <w:szCs w:val="28"/>
        </w:rPr>
        <w:t>中国政府历来高度重视安全生产和劳动保护问题。立法方面</w:t>
      </w:r>
      <w:r>
        <w:rPr>
          <w:snapToGrid/>
          <w:szCs w:val="28"/>
        </w:rPr>
        <w:t>，</w:t>
      </w:r>
      <w:r>
        <w:rPr>
          <w:rFonts w:hint="eastAsia"/>
          <w:snapToGrid/>
          <w:szCs w:val="28"/>
        </w:rPr>
        <w:t>《宪法》第</w:t>
      </w:r>
      <w:r>
        <w:rPr>
          <w:snapToGrid/>
          <w:szCs w:val="28"/>
        </w:rPr>
        <w:t>42</w:t>
      </w:r>
      <w:r>
        <w:rPr>
          <w:rFonts w:hint="eastAsia"/>
          <w:snapToGrid/>
          <w:szCs w:val="28"/>
        </w:rPr>
        <w:t>条规定</w:t>
      </w:r>
      <w:r>
        <w:rPr>
          <w:snapToGrid/>
          <w:szCs w:val="28"/>
        </w:rPr>
        <w:t>：</w:t>
      </w:r>
      <w:r>
        <w:rPr>
          <w:rFonts w:hint="eastAsia"/>
          <w:snapToGrid/>
          <w:szCs w:val="28"/>
        </w:rPr>
        <w:t>“中华人民共和国公民有劳动的权利和义务。国家通过各种途径</w:t>
      </w:r>
      <w:r>
        <w:rPr>
          <w:snapToGrid/>
          <w:szCs w:val="28"/>
        </w:rPr>
        <w:t>，</w:t>
      </w:r>
      <w:r>
        <w:rPr>
          <w:rFonts w:hint="eastAsia"/>
          <w:snapToGrid/>
          <w:szCs w:val="28"/>
        </w:rPr>
        <w:t>创造劳动就业条件</w:t>
      </w:r>
      <w:r>
        <w:rPr>
          <w:snapToGrid/>
          <w:szCs w:val="28"/>
        </w:rPr>
        <w:t>，</w:t>
      </w:r>
      <w:r>
        <w:rPr>
          <w:rFonts w:hint="eastAsia"/>
          <w:snapToGrid/>
          <w:szCs w:val="28"/>
        </w:rPr>
        <w:t>加强劳动保护</w:t>
      </w:r>
      <w:r>
        <w:rPr>
          <w:snapToGrid/>
          <w:szCs w:val="28"/>
        </w:rPr>
        <w:t>，</w:t>
      </w:r>
      <w:r>
        <w:rPr>
          <w:rFonts w:hint="eastAsia"/>
          <w:snapToGrid/>
          <w:szCs w:val="28"/>
        </w:rPr>
        <w:t>改善劳动条件。”《劳动法》第</w:t>
      </w:r>
      <w:r>
        <w:rPr>
          <w:snapToGrid/>
          <w:szCs w:val="28"/>
        </w:rPr>
        <w:t>3</w:t>
      </w:r>
      <w:r>
        <w:rPr>
          <w:rFonts w:hint="eastAsia"/>
          <w:snapToGrid/>
          <w:szCs w:val="28"/>
        </w:rPr>
        <w:t>条规定</w:t>
      </w:r>
      <w:r>
        <w:rPr>
          <w:snapToGrid/>
          <w:szCs w:val="28"/>
        </w:rPr>
        <w:t>：</w:t>
      </w:r>
      <w:r>
        <w:rPr>
          <w:rFonts w:hint="eastAsia"/>
          <w:snapToGrid/>
          <w:szCs w:val="28"/>
        </w:rPr>
        <w:t>“劳动者……有获得劳动安全卫生保护的权利。”《工会法》、《矿山安全法》、《矿产资源法》、《煤炭法》、《电力法》、《建筑法》等法律法规中，也都有关于劳动者安全和卫生的工作条件的规定。为了加强安全生产监督管理</w:t>
      </w:r>
      <w:r>
        <w:rPr>
          <w:snapToGrid/>
          <w:szCs w:val="28"/>
        </w:rPr>
        <w:t>，</w:t>
      </w:r>
      <w:r>
        <w:rPr>
          <w:rFonts w:hint="eastAsia"/>
          <w:snapToGrid/>
          <w:szCs w:val="28"/>
        </w:rPr>
        <w:t>防止和减少生产安全事故</w:t>
      </w:r>
      <w:r>
        <w:rPr>
          <w:snapToGrid/>
          <w:szCs w:val="28"/>
        </w:rPr>
        <w:t>，</w:t>
      </w:r>
      <w:r>
        <w:rPr>
          <w:rFonts w:hint="eastAsia"/>
          <w:snapToGrid/>
          <w:szCs w:val="28"/>
        </w:rPr>
        <w:t>保障人民群众生命和财产安全</w:t>
      </w:r>
      <w:r>
        <w:rPr>
          <w:snapToGrid/>
          <w:szCs w:val="28"/>
        </w:rPr>
        <w:t>，</w:t>
      </w:r>
      <w:r>
        <w:rPr>
          <w:rFonts w:hint="eastAsia"/>
          <w:snapToGrid/>
          <w:szCs w:val="28"/>
        </w:rPr>
        <w:t>促进经济发展，中国政府近年来加快了有关安全生产的法制建设步伐</w:t>
      </w:r>
      <w:r>
        <w:rPr>
          <w:snapToGrid/>
          <w:szCs w:val="28"/>
        </w:rPr>
        <w:t>，</w:t>
      </w:r>
      <w:r>
        <w:rPr>
          <w:snapToGrid/>
          <w:szCs w:val="28"/>
        </w:rPr>
        <w:t>2002</w:t>
      </w:r>
      <w:r>
        <w:rPr>
          <w:rFonts w:hint="eastAsia"/>
          <w:snapToGrid/>
          <w:szCs w:val="28"/>
        </w:rPr>
        <w:t>年颁布实施了《安全生产法》。该法作为安全生产的专门法</w:t>
      </w:r>
      <w:r>
        <w:rPr>
          <w:snapToGrid/>
          <w:szCs w:val="28"/>
        </w:rPr>
        <w:t>，</w:t>
      </w:r>
      <w:r>
        <w:rPr>
          <w:rFonts w:hint="eastAsia"/>
          <w:snapToGrid/>
          <w:szCs w:val="28"/>
        </w:rPr>
        <w:t>在有关条款中</w:t>
      </w:r>
      <w:r>
        <w:rPr>
          <w:snapToGrid/>
          <w:szCs w:val="28"/>
        </w:rPr>
        <w:t>，</w:t>
      </w:r>
      <w:r>
        <w:rPr>
          <w:rFonts w:hint="eastAsia"/>
          <w:snapToGrid/>
          <w:szCs w:val="28"/>
        </w:rPr>
        <w:t>对从业人员的安全生产权利做了比较全面、具体的规定</w:t>
      </w:r>
      <w:r>
        <w:rPr>
          <w:snapToGrid/>
          <w:szCs w:val="28"/>
        </w:rPr>
        <w:t>，</w:t>
      </w:r>
      <w:r>
        <w:rPr>
          <w:rFonts w:hint="eastAsia"/>
          <w:snapToGrid/>
          <w:szCs w:val="28"/>
        </w:rPr>
        <w:t>并且设定了严格的法律责任</w:t>
      </w:r>
      <w:r>
        <w:rPr>
          <w:snapToGrid/>
          <w:szCs w:val="28"/>
        </w:rPr>
        <w:t>，</w:t>
      </w:r>
      <w:r>
        <w:rPr>
          <w:rFonts w:hint="eastAsia"/>
          <w:snapToGrid/>
          <w:szCs w:val="28"/>
        </w:rPr>
        <w:t>为保障从业人员的合法权益提供了法律依据。从业人员的安全生产基本权利</w:t>
      </w:r>
      <w:r>
        <w:rPr>
          <w:snapToGrid/>
          <w:szCs w:val="28"/>
        </w:rPr>
        <w:t>，</w:t>
      </w:r>
      <w:r>
        <w:rPr>
          <w:rFonts w:hint="eastAsia"/>
          <w:snapToGrid/>
          <w:szCs w:val="28"/>
        </w:rPr>
        <w:t>概括起来主要有</w:t>
      </w:r>
      <w:r>
        <w:rPr>
          <w:snapToGrid/>
          <w:szCs w:val="28"/>
        </w:rPr>
        <w:t>：</w:t>
      </w:r>
      <w:r>
        <w:rPr>
          <w:rFonts w:hint="eastAsia"/>
          <w:snapToGrid/>
          <w:szCs w:val="28"/>
        </w:rPr>
        <w:t>获得安全生产培训教育权</w:t>
      </w:r>
      <w:r>
        <w:rPr>
          <w:snapToGrid/>
          <w:szCs w:val="28"/>
        </w:rPr>
        <w:t>；</w:t>
      </w:r>
      <w:r>
        <w:rPr>
          <w:rFonts w:hint="eastAsia"/>
          <w:snapToGrid/>
          <w:szCs w:val="28"/>
        </w:rPr>
        <w:t>对本单位安全生产工作的建议权</w:t>
      </w:r>
      <w:r>
        <w:rPr>
          <w:snapToGrid/>
          <w:szCs w:val="28"/>
        </w:rPr>
        <w:t>；</w:t>
      </w:r>
      <w:r>
        <w:rPr>
          <w:rFonts w:hint="eastAsia"/>
          <w:snapToGrid/>
          <w:szCs w:val="28"/>
        </w:rPr>
        <w:t>获得符合国家标准或行业标准的劳动防护用品权</w:t>
      </w:r>
      <w:r>
        <w:rPr>
          <w:snapToGrid/>
          <w:szCs w:val="28"/>
        </w:rPr>
        <w:t>；</w:t>
      </w:r>
      <w:r>
        <w:rPr>
          <w:rFonts w:hint="eastAsia"/>
          <w:snapToGrid/>
          <w:szCs w:val="28"/>
        </w:rPr>
        <w:t>享受工伤保险和伤亡求偿权</w:t>
      </w:r>
      <w:r>
        <w:rPr>
          <w:snapToGrid/>
          <w:szCs w:val="28"/>
        </w:rPr>
        <w:t>；</w:t>
      </w:r>
      <w:r>
        <w:rPr>
          <w:rFonts w:hint="eastAsia"/>
          <w:snapToGrid/>
          <w:szCs w:val="28"/>
        </w:rPr>
        <w:t>危险因素和应急措施的知情权</w:t>
      </w:r>
      <w:r>
        <w:rPr>
          <w:snapToGrid/>
          <w:szCs w:val="28"/>
        </w:rPr>
        <w:t>；</w:t>
      </w:r>
      <w:r>
        <w:rPr>
          <w:rFonts w:hint="eastAsia"/>
          <w:snapToGrid/>
          <w:szCs w:val="28"/>
        </w:rPr>
        <w:t>安全管理的批评、检举、控告权</w:t>
      </w:r>
      <w:r>
        <w:rPr>
          <w:snapToGrid/>
          <w:szCs w:val="28"/>
        </w:rPr>
        <w:t>；</w:t>
      </w:r>
      <w:r>
        <w:rPr>
          <w:rFonts w:hint="eastAsia"/>
          <w:snapToGrid/>
          <w:szCs w:val="28"/>
        </w:rPr>
        <w:t>拒绝违章指挥和强令冒险作业权</w:t>
      </w:r>
      <w:r>
        <w:rPr>
          <w:snapToGrid/>
          <w:szCs w:val="28"/>
        </w:rPr>
        <w:t>；</w:t>
      </w:r>
      <w:r>
        <w:rPr>
          <w:rFonts w:hint="eastAsia"/>
          <w:snapToGrid/>
          <w:szCs w:val="28"/>
        </w:rPr>
        <w:t>紧急情况下的停止作业和紧急撤离权等。</w:t>
      </w:r>
    </w:p>
    <w:p w:rsidR="00000000" w:rsidRDefault="00000000">
      <w:pPr>
        <w:rPr>
          <w:snapToGrid/>
        </w:rPr>
      </w:pPr>
      <w:r>
        <w:rPr>
          <w:snapToGrid/>
          <w:szCs w:val="28"/>
        </w:rPr>
        <w:tab/>
        <w:t xml:space="preserve">56.  </w:t>
      </w:r>
      <w:r>
        <w:rPr>
          <w:rFonts w:hint="eastAsia"/>
          <w:snapToGrid/>
          <w:szCs w:val="28"/>
        </w:rPr>
        <w:t>为加强安全生产监督管理机构建设，中国政府于</w:t>
      </w:r>
      <w:r>
        <w:rPr>
          <w:snapToGrid/>
          <w:szCs w:val="28"/>
        </w:rPr>
        <w:t>2000</w:t>
      </w:r>
      <w:r>
        <w:rPr>
          <w:rFonts w:hint="eastAsia"/>
          <w:snapToGrid/>
          <w:szCs w:val="28"/>
        </w:rPr>
        <w:t>年初</w:t>
      </w:r>
      <w:r>
        <w:rPr>
          <w:snapToGrid/>
          <w:szCs w:val="28"/>
        </w:rPr>
        <w:t>，</w:t>
      </w:r>
      <w:r>
        <w:rPr>
          <w:rFonts w:hint="eastAsia"/>
          <w:snapToGrid/>
          <w:szCs w:val="28"/>
        </w:rPr>
        <w:t>组建了国家煤矿安全监察局以及</w:t>
      </w:r>
      <w:r>
        <w:rPr>
          <w:snapToGrid/>
          <w:szCs w:val="28"/>
        </w:rPr>
        <w:t>20</w:t>
      </w:r>
      <w:r>
        <w:rPr>
          <w:rFonts w:hint="eastAsia"/>
          <w:snapToGrid/>
          <w:szCs w:val="28"/>
        </w:rPr>
        <w:t>个省级监察局及</w:t>
      </w:r>
      <w:r>
        <w:rPr>
          <w:snapToGrid/>
          <w:szCs w:val="28"/>
        </w:rPr>
        <w:t>71</w:t>
      </w:r>
      <w:r>
        <w:rPr>
          <w:rFonts w:hint="eastAsia"/>
          <w:snapToGrid/>
          <w:szCs w:val="28"/>
        </w:rPr>
        <w:t>个煤矿安全监察办事处，共计</w:t>
      </w:r>
      <w:r>
        <w:rPr>
          <w:snapToGrid/>
          <w:szCs w:val="28"/>
        </w:rPr>
        <w:t>2800</w:t>
      </w:r>
      <w:r>
        <w:rPr>
          <w:rFonts w:hint="eastAsia"/>
          <w:snapToGrid/>
          <w:szCs w:val="28"/>
        </w:rPr>
        <w:t>名煤矿安全监察员，实行垂直管理。</w:t>
      </w:r>
      <w:r>
        <w:rPr>
          <w:snapToGrid/>
          <w:szCs w:val="28"/>
        </w:rPr>
        <w:t>2001</w:t>
      </w:r>
      <w:r>
        <w:rPr>
          <w:rFonts w:hint="eastAsia"/>
          <w:snapToGrid/>
          <w:szCs w:val="28"/>
        </w:rPr>
        <w:t>年又组建了国家安全生产监督管理局</w:t>
      </w:r>
      <w:r>
        <w:rPr>
          <w:snapToGrid/>
          <w:szCs w:val="28"/>
        </w:rPr>
        <w:t>(</w:t>
      </w:r>
      <w:r>
        <w:rPr>
          <w:rFonts w:hint="eastAsia"/>
          <w:snapToGrid/>
          <w:szCs w:val="28"/>
        </w:rPr>
        <w:t>国家煤矿安全监察局</w:t>
      </w:r>
      <w:r>
        <w:rPr>
          <w:snapToGrid/>
          <w:szCs w:val="28"/>
        </w:rPr>
        <w:t>)</w:t>
      </w:r>
      <w:r>
        <w:rPr>
          <w:snapToGrid/>
          <w:szCs w:val="28"/>
        </w:rPr>
        <w:t>，</w:t>
      </w:r>
      <w:r>
        <w:rPr>
          <w:rFonts w:hint="eastAsia"/>
          <w:snapToGrid/>
          <w:szCs w:val="28"/>
        </w:rPr>
        <w:t>成立了国务院安全生产委员会及其办公室，统一履行全国</w:t>
      </w:r>
      <w:r>
        <w:rPr>
          <w:rFonts w:hint="eastAsia"/>
          <w:snapToGrid/>
        </w:rPr>
        <w:t>安全生产综合监督管理和煤矿安全监察职能。为进一步强化对安全生产的监管</w:t>
      </w:r>
      <w:r>
        <w:rPr>
          <w:snapToGrid/>
        </w:rPr>
        <w:t>，</w:t>
      </w:r>
      <w:r>
        <w:rPr>
          <w:snapToGrid/>
        </w:rPr>
        <w:t>2003</w:t>
      </w:r>
      <w:r>
        <w:rPr>
          <w:rFonts w:hint="eastAsia"/>
          <w:snapToGrid/>
        </w:rPr>
        <w:t>年</w:t>
      </w:r>
      <w:r>
        <w:rPr>
          <w:snapToGrid/>
        </w:rPr>
        <w:t>，</w:t>
      </w:r>
      <w:r>
        <w:rPr>
          <w:rFonts w:hint="eastAsia"/>
          <w:snapToGrid/>
        </w:rPr>
        <w:t>中国政府调整安全生产监督管理体制</w:t>
      </w:r>
      <w:r>
        <w:rPr>
          <w:snapToGrid/>
        </w:rPr>
        <w:t>，</w:t>
      </w:r>
      <w:r>
        <w:rPr>
          <w:rFonts w:hint="eastAsia"/>
          <w:snapToGrid/>
        </w:rPr>
        <w:t>将国家安全生产监督管理局改为国务院直属机构。同时</w:t>
      </w:r>
      <w:r>
        <w:rPr>
          <w:snapToGrid/>
        </w:rPr>
        <w:t>，</w:t>
      </w:r>
      <w:r>
        <w:rPr>
          <w:rFonts w:hint="eastAsia"/>
          <w:snapToGrid/>
        </w:rPr>
        <w:t>撤销国务院安全生产委员会</w:t>
      </w:r>
      <w:r>
        <w:rPr>
          <w:snapToGrid/>
        </w:rPr>
        <w:t>，</w:t>
      </w:r>
      <w:r>
        <w:rPr>
          <w:rFonts w:hint="eastAsia"/>
          <w:snapToGrid/>
        </w:rPr>
        <w:t>其工作由新的国家安全生产监督管理局承担</w:t>
      </w:r>
      <w:r>
        <w:rPr>
          <w:snapToGrid/>
        </w:rPr>
        <w:t>，</w:t>
      </w:r>
      <w:r>
        <w:rPr>
          <w:rFonts w:hint="eastAsia"/>
          <w:snapToGrid/>
        </w:rPr>
        <w:t>以强化安全生产监督管理的职能</w:t>
      </w:r>
      <w:r>
        <w:rPr>
          <w:snapToGrid/>
        </w:rPr>
        <w:t>，</w:t>
      </w:r>
      <w:r>
        <w:rPr>
          <w:rFonts w:hint="eastAsia"/>
          <w:snapToGrid/>
        </w:rPr>
        <w:t>进一步加大执法力度</w:t>
      </w:r>
      <w:r>
        <w:rPr>
          <w:snapToGrid/>
        </w:rPr>
        <w:t>，</w:t>
      </w:r>
      <w:r>
        <w:rPr>
          <w:rFonts w:hint="eastAsia"/>
          <w:snapToGrid/>
        </w:rPr>
        <w:t>促进安全生产形势的稳定和好转。各地政府和各部门也加强了安全生产监督管理机构的建设。全国基本形成了垂直管理与分级管理相结合的安全生产监管监察体系。</w:t>
      </w:r>
    </w:p>
    <w:p w:rsidR="00000000" w:rsidRDefault="00000000">
      <w:pPr>
        <w:rPr>
          <w:snapToGrid/>
        </w:rPr>
      </w:pPr>
      <w:r>
        <w:rPr>
          <w:snapToGrid/>
        </w:rPr>
        <w:tab/>
        <w:t>57.  2001</w:t>
      </w:r>
      <w:r>
        <w:rPr>
          <w:rFonts w:hint="eastAsia"/>
          <w:snapToGrid/>
        </w:rPr>
        <w:t>年以来</w:t>
      </w:r>
      <w:r>
        <w:rPr>
          <w:snapToGrid/>
        </w:rPr>
        <w:t>，</w:t>
      </w:r>
      <w:r>
        <w:rPr>
          <w:rFonts w:hint="eastAsia"/>
          <w:snapToGrid/>
        </w:rPr>
        <w:t>中国政府把安全生产列入整顿和规范市场经济秩序的重要内容</w:t>
      </w:r>
      <w:r>
        <w:rPr>
          <w:snapToGrid/>
        </w:rPr>
        <w:t>，</w:t>
      </w:r>
      <w:r>
        <w:rPr>
          <w:rFonts w:hint="eastAsia"/>
          <w:snapToGrid/>
        </w:rPr>
        <w:t>集中开展了以民用爆破器材和烟花爆竹</w:t>
      </w:r>
      <w:r>
        <w:rPr>
          <w:snapToGrid/>
        </w:rPr>
        <w:t>，</w:t>
      </w:r>
      <w:r>
        <w:rPr>
          <w:rFonts w:hint="eastAsia"/>
          <w:snapToGrid/>
        </w:rPr>
        <w:t>道路和水上交通运输安全</w:t>
      </w:r>
      <w:r>
        <w:rPr>
          <w:snapToGrid/>
        </w:rPr>
        <w:t>，</w:t>
      </w:r>
      <w:r>
        <w:rPr>
          <w:rFonts w:hint="eastAsia"/>
          <w:snapToGrid/>
        </w:rPr>
        <w:t>煤矿安全、危险化学品安全和人员密集场所的消防安全为主要内容的五项安全专项整治。通过整治</w:t>
      </w:r>
      <w:r>
        <w:rPr>
          <w:snapToGrid/>
        </w:rPr>
        <w:t>，</w:t>
      </w:r>
      <w:r>
        <w:rPr>
          <w:rFonts w:hint="eastAsia"/>
          <w:snapToGrid/>
        </w:rPr>
        <w:t>一大批非法和不符合基本安全生产条件的小厂、小矿、营业网点和运输工具退出市场，其中关闭小煤矿</w:t>
      </w:r>
      <w:r>
        <w:rPr>
          <w:snapToGrid/>
        </w:rPr>
        <w:t>1.54</w:t>
      </w:r>
      <w:r>
        <w:rPr>
          <w:rFonts w:hint="eastAsia"/>
          <w:snapToGrid/>
        </w:rPr>
        <w:t>万个、非煤小矿山</w:t>
      </w:r>
      <w:r>
        <w:rPr>
          <w:snapToGrid/>
        </w:rPr>
        <w:t>2.37</w:t>
      </w:r>
      <w:r>
        <w:rPr>
          <w:rFonts w:hint="eastAsia"/>
          <w:snapToGrid/>
        </w:rPr>
        <w:t>万个</w:t>
      </w:r>
      <w:r>
        <w:rPr>
          <w:snapToGrid/>
        </w:rPr>
        <w:t>，</w:t>
      </w:r>
      <w:r>
        <w:rPr>
          <w:rFonts w:hint="eastAsia"/>
          <w:snapToGrid/>
        </w:rPr>
        <w:t>取缔和停产整顿易燃易爆品生产厂点</w:t>
      </w:r>
      <w:r>
        <w:rPr>
          <w:snapToGrid/>
        </w:rPr>
        <w:t>23.7</w:t>
      </w:r>
      <w:r>
        <w:rPr>
          <w:rFonts w:hint="eastAsia"/>
          <w:snapToGrid/>
        </w:rPr>
        <w:t>万个</w:t>
      </w:r>
      <w:r>
        <w:rPr>
          <w:snapToGrid/>
        </w:rPr>
        <w:t>；</w:t>
      </w:r>
      <w:r>
        <w:rPr>
          <w:rFonts w:hint="eastAsia"/>
          <w:snapToGrid/>
        </w:rPr>
        <w:t>取消和停产整顿不符合经营危险化学品资质条件的业主</w:t>
      </w:r>
      <w:r>
        <w:rPr>
          <w:snapToGrid/>
        </w:rPr>
        <w:t>2</w:t>
      </w:r>
      <w:r>
        <w:rPr>
          <w:rFonts w:hint="eastAsia"/>
          <w:snapToGrid/>
        </w:rPr>
        <w:t>万多户</w:t>
      </w:r>
      <w:r>
        <w:rPr>
          <w:snapToGrid/>
        </w:rPr>
        <w:t>；</w:t>
      </w:r>
      <w:r>
        <w:rPr>
          <w:rFonts w:hint="eastAsia"/>
          <w:snapToGrid/>
        </w:rPr>
        <w:t>取缔不符合消防安全的舞厅、网吧等公共娱乐场所</w:t>
      </w:r>
      <w:r>
        <w:rPr>
          <w:snapToGrid/>
        </w:rPr>
        <w:t>1</w:t>
      </w:r>
      <w:r>
        <w:rPr>
          <w:rFonts w:hint="eastAsia"/>
          <w:snapToGrid/>
        </w:rPr>
        <w:t>万多处；取消和停运达不到技术标准的车辆</w:t>
      </w:r>
      <w:r>
        <w:rPr>
          <w:snapToGrid/>
        </w:rPr>
        <w:t>2.7</w:t>
      </w:r>
      <w:r>
        <w:rPr>
          <w:rFonts w:hint="eastAsia"/>
          <w:snapToGrid/>
        </w:rPr>
        <w:t>万辆。</w:t>
      </w:r>
    </w:p>
    <w:p w:rsidR="00000000" w:rsidRDefault="00000000">
      <w:pPr>
        <w:rPr>
          <w:snapToGrid/>
        </w:rPr>
      </w:pPr>
      <w:r>
        <w:rPr>
          <w:snapToGrid/>
        </w:rPr>
        <w:tab/>
        <w:t xml:space="preserve">58.  </w:t>
      </w:r>
      <w:r>
        <w:rPr>
          <w:rFonts w:hint="eastAsia"/>
          <w:snapToGrid/>
        </w:rPr>
        <w:t>中国政府于</w:t>
      </w:r>
      <w:r>
        <w:rPr>
          <w:snapToGrid/>
        </w:rPr>
        <w:t>2001</w:t>
      </w:r>
      <w:r>
        <w:rPr>
          <w:rFonts w:hint="eastAsia"/>
          <w:snapToGrid/>
        </w:rPr>
        <w:t>年颁布了《国务院关于特大安全事故行政责任追究的规定》，各省、自治区、直辖市政府也相继颁布了关于重、特大安全事故行政责任追究的规定</w:t>
      </w:r>
      <w:r>
        <w:rPr>
          <w:snapToGrid/>
        </w:rPr>
        <w:t>，</w:t>
      </w:r>
      <w:r>
        <w:rPr>
          <w:rFonts w:hint="eastAsia"/>
          <w:snapToGrid/>
        </w:rPr>
        <w:t>进一步强化了各级政府的安全生产责任制，建立了权责追究的法律制度。不仅要依法追究当事人的责任</w:t>
      </w:r>
      <w:r>
        <w:rPr>
          <w:snapToGrid/>
        </w:rPr>
        <w:t>，</w:t>
      </w:r>
      <w:r>
        <w:rPr>
          <w:rFonts w:hint="eastAsia"/>
          <w:snapToGrid/>
        </w:rPr>
        <w:t>还要依法追究负有领导责任的政府官员的责任。在事故调查处理过程中</w:t>
      </w:r>
      <w:r>
        <w:rPr>
          <w:snapToGrid/>
        </w:rPr>
        <w:t>，</w:t>
      </w:r>
      <w:r>
        <w:rPr>
          <w:rFonts w:hint="eastAsia"/>
          <w:snapToGrid/>
        </w:rPr>
        <w:t>坚持“四不放过”原则，即事故原因没查清不放过</w:t>
      </w:r>
      <w:r>
        <w:rPr>
          <w:snapToGrid/>
        </w:rPr>
        <w:t>，</w:t>
      </w:r>
      <w:r>
        <w:rPr>
          <w:rFonts w:hint="eastAsia"/>
          <w:snapToGrid/>
        </w:rPr>
        <w:t>事故责任人没受到严肃处理不放过，企业负责人和广大职工没受到教育不放过</w:t>
      </w:r>
      <w:r>
        <w:rPr>
          <w:snapToGrid/>
        </w:rPr>
        <w:t>，</w:t>
      </w:r>
      <w:r>
        <w:rPr>
          <w:rFonts w:hint="eastAsia"/>
          <w:snapToGrid/>
        </w:rPr>
        <w:t>防范类似事故的措施没落实不放过。对事故的责任者依法进行了严肃处理。</w:t>
      </w:r>
    </w:p>
    <w:p w:rsidR="00000000" w:rsidRDefault="00000000">
      <w:pPr>
        <w:rPr>
          <w:snapToGrid/>
        </w:rPr>
      </w:pPr>
      <w:r>
        <w:rPr>
          <w:snapToGrid/>
        </w:rPr>
        <w:tab/>
        <w:t xml:space="preserve">59.  </w:t>
      </w:r>
      <w:r>
        <w:rPr>
          <w:rFonts w:hint="eastAsia"/>
          <w:snapToGrid/>
        </w:rPr>
        <w:t>加大安全生产设施的技术改造力度，促使企业建立安全生产自我约束机制。近年来</w:t>
      </w:r>
      <w:r>
        <w:rPr>
          <w:snapToGrid/>
        </w:rPr>
        <w:t>，</w:t>
      </w:r>
      <w:r>
        <w:rPr>
          <w:rFonts w:hint="eastAsia"/>
          <w:snapToGrid/>
        </w:rPr>
        <w:t>中国政府和企业加大了安全生产设施的技术改造投入</w:t>
      </w:r>
      <w:r>
        <w:rPr>
          <w:snapToGrid/>
        </w:rPr>
        <w:t>，</w:t>
      </w:r>
      <w:r>
        <w:rPr>
          <w:rFonts w:hint="eastAsia"/>
          <w:snapToGrid/>
        </w:rPr>
        <w:t>仅煤矿安全技改项目</w:t>
      </w:r>
      <w:r>
        <w:rPr>
          <w:snapToGrid/>
        </w:rPr>
        <w:t>，</w:t>
      </w:r>
      <w:r>
        <w:rPr>
          <w:rFonts w:hint="eastAsia"/>
          <w:snapToGrid/>
        </w:rPr>
        <w:t>两年来先后</w:t>
      </w:r>
      <w:r>
        <w:rPr>
          <w:snapToGrid/>
        </w:rPr>
        <w:t>4</w:t>
      </w:r>
      <w:r>
        <w:rPr>
          <w:rFonts w:hint="eastAsia"/>
          <w:snapToGrid/>
        </w:rPr>
        <w:t>次安排了</w:t>
      </w:r>
      <w:r>
        <w:rPr>
          <w:snapToGrid/>
        </w:rPr>
        <w:t>151</w:t>
      </w:r>
      <w:r>
        <w:rPr>
          <w:rFonts w:hint="eastAsia"/>
          <w:snapToGrid/>
        </w:rPr>
        <w:t>个国债技改项目</w:t>
      </w:r>
      <w:r>
        <w:rPr>
          <w:snapToGrid/>
        </w:rPr>
        <w:t>，</w:t>
      </w:r>
      <w:r>
        <w:rPr>
          <w:rFonts w:hint="eastAsia"/>
          <w:snapToGrid/>
        </w:rPr>
        <w:t>总投资</w:t>
      </w:r>
      <w:r>
        <w:rPr>
          <w:snapToGrid/>
        </w:rPr>
        <w:t>39.2</w:t>
      </w:r>
      <w:r>
        <w:rPr>
          <w:rFonts w:hint="eastAsia"/>
          <w:snapToGrid/>
        </w:rPr>
        <w:t>亿元</w:t>
      </w:r>
      <w:r>
        <w:rPr>
          <w:snapToGrid/>
        </w:rPr>
        <w:t>，</w:t>
      </w:r>
      <w:r>
        <w:rPr>
          <w:rFonts w:hint="eastAsia"/>
          <w:snapToGrid/>
        </w:rPr>
        <w:t>其中国债补助资金</w:t>
      </w:r>
      <w:r>
        <w:rPr>
          <w:snapToGrid/>
        </w:rPr>
        <w:t>12.7</w:t>
      </w:r>
      <w:r>
        <w:rPr>
          <w:rFonts w:hint="eastAsia"/>
          <w:snapToGrid/>
        </w:rPr>
        <w:t>亿元</w:t>
      </w:r>
      <w:r>
        <w:rPr>
          <w:snapToGrid/>
        </w:rPr>
        <w:t>，</w:t>
      </w:r>
      <w:r>
        <w:rPr>
          <w:rFonts w:hint="eastAsia"/>
          <w:snapToGrid/>
        </w:rPr>
        <w:t>银行贷款</w:t>
      </w:r>
      <w:r>
        <w:rPr>
          <w:snapToGrid/>
        </w:rPr>
        <w:t>15.7</w:t>
      </w:r>
      <w:r>
        <w:rPr>
          <w:rFonts w:hint="eastAsia"/>
          <w:snapToGrid/>
        </w:rPr>
        <w:t>亿元</w:t>
      </w:r>
      <w:r>
        <w:rPr>
          <w:snapToGrid/>
        </w:rPr>
        <w:t>，</w:t>
      </w:r>
      <w:r>
        <w:rPr>
          <w:rFonts w:hint="eastAsia"/>
          <w:snapToGrid/>
        </w:rPr>
        <w:t>企业自筹资金</w:t>
      </w:r>
      <w:r>
        <w:rPr>
          <w:snapToGrid/>
        </w:rPr>
        <w:t>10.8</w:t>
      </w:r>
      <w:r>
        <w:rPr>
          <w:rFonts w:hint="eastAsia"/>
          <w:snapToGrid/>
        </w:rPr>
        <w:t>亿元，用于重点煤矿的安全生产设备的更新换代。同时</w:t>
      </w:r>
      <w:r>
        <w:rPr>
          <w:snapToGrid/>
        </w:rPr>
        <w:t>，</w:t>
      </w:r>
      <w:r>
        <w:rPr>
          <w:rFonts w:hint="eastAsia"/>
          <w:snapToGrid/>
        </w:rPr>
        <w:t>要求企业加强安全基础工作建设</w:t>
      </w:r>
      <w:r>
        <w:rPr>
          <w:snapToGrid/>
        </w:rPr>
        <w:t>，</w:t>
      </w:r>
      <w:r>
        <w:rPr>
          <w:rFonts w:hint="eastAsia"/>
          <w:snapToGrid/>
        </w:rPr>
        <w:t>落实安全投入。在政府的监督指导下，中国企业特别是国有大中型企业普遍建立健全了安全生产责任制。几百家企业已通过了职业安全健康体系认证。</w:t>
      </w:r>
    </w:p>
    <w:p w:rsidR="00000000" w:rsidRDefault="00000000">
      <w:pPr>
        <w:rPr>
          <w:snapToGrid/>
        </w:rPr>
      </w:pPr>
      <w:r>
        <w:rPr>
          <w:snapToGrid/>
        </w:rPr>
        <w:tab/>
        <w:t xml:space="preserve">60.  </w:t>
      </w:r>
      <w:r>
        <w:rPr>
          <w:rFonts w:hint="eastAsia"/>
          <w:snapToGrid/>
        </w:rPr>
        <w:t>大力开展安全生产宣传教育和培训工作。从</w:t>
      </w:r>
      <w:r>
        <w:rPr>
          <w:snapToGrid/>
        </w:rPr>
        <w:t>20</w:t>
      </w:r>
      <w:r>
        <w:rPr>
          <w:rFonts w:hint="eastAsia"/>
          <w:snapToGrid/>
        </w:rPr>
        <w:t>世纪</w:t>
      </w:r>
      <w:r>
        <w:rPr>
          <w:snapToGrid/>
        </w:rPr>
        <w:t>90</w:t>
      </w:r>
      <w:r>
        <w:rPr>
          <w:rFonts w:hint="eastAsia"/>
          <w:snapToGrid/>
        </w:rPr>
        <w:t>年代开始</w:t>
      </w:r>
      <w:r>
        <w:rPr>
          <w:snapToGrid/>
        </w:rPr>
        <w:t>，</w:t>
      </w:r>
      <w:r>
        <w:rPr>
          <w:rFonts w:hint="eastAsia"/>
          <w:snapToGrid/>
        </w:rPr>
        <w:t>中国坚持每年开展安全生产周活动，</w:t>
      </w:r>
      <w:r>
        <w:rPr>
          <w:snapToGrid/>
        </w:rPr>
        <w:t>2002</w:t>
      </w:r>
      <w:r>
        <w:rPr>
          <w:rFonts w:hint="eastAsia"/>
          <w:snapToGrid/>
        </w:rPr>
        <w:t>年将安全生产周改为安全生产月</w:t>
      </w:r>
      <w:r>
        <w:rPr>
          <w:snapToGrid/>
        </w:rPr>
        <w:t>，</w:t>
      </w:r>
      <w:r>
        <w:rPr>
          <w:rFonts w:hint="eastAsia"/>
          <w:snapToGrid/>
        </w:rPr>
        <w:t>同时开展了“安全生产万里行”活动。在全国开展了“安康杯”竞赛和“青年安全生产示范岗”等群众性安全生产活动</w:t>
      </w:r>
      <w:r>
        <w:rPr>
          <w:snapToGrid/>
        </w:rPr>
        <w:t>，</w:t>
      </w:r>
      <w:r>
        <w:rPr>
          <w:rFonts w:hint="eastAsia"/>
          <w:snapToGrid/>
        </w:rPr>
        <w:t>普遍设立了举报电话、举报信箱，建立了安全生产新闻发布制度</w:t>
      </w:r>
      <w:r>
        <w:rPr>
          <w:snapToGrid/>
        </w:rPr>
        <w:t>，</w:t>
      </w:r>
      <w:r>
        <w:rPr>
          <w:rFonts w:hint="eastAsia"/>
          <w:snapToGrid/>
        </w:rPr>
        <w:t>创办了《中国安全生产报》</w:t>
      </w:r>
      <w:r>
        <w:rPr>
          <w:snapToGrid/>
        </w:rPr>
        <w:t>，</w:t>
      </w:r>
      <w:r>
        <w:rPr>
          <w:rFonts w:hint="eastAsia"/>
          <w:snapToGrid/>
        </w:rPr>
        <w:t>注重运用电视、报纸、广播、互联网等宣传媒体</w:t>
      </w:r>
      <w:r>
        <w:rPr>
          <w:snapToGrid/>
        </w:rPr>
        <w:t>，</w:t>
      </w:r>
      <w:r>
        <w:rPr>
          <w:rFonts w:hint="eastAsia"/>
          <w:snapToGrid/>
        </w:rPr>
        <w:t>发挥群众监督和舆论监督的作用。建立了安全生产培训体系</w:t>
      </w:r>
      <w:r>
        <w:rPr>
          <w:snapToGrid/>
        </w:rPr>
        <w:t>，</w:t>
      </w:r>
      <w:r>
        <w:rPr>
          <w:rFonts w:hint="eastAsia"/>
          <w:snapToGrid/>
        </w:rPr>
        <w:t>强化了对各类人员培训工作，仅</w:t>
      </w:r>
      <w:r>
        <w:rPr>
          <w:snapToGrid/>
        </w:rPr>
        <w:t>2002</w:t>
      </w:r>
      <w:r>
        <w:rPr>
          <w:rFonts w:hint="eastAsia"/>
          <w:snapToGrid/>
        </w:rPr>
        <w:t>年就培训生产经营单位主要负责人</w:t>
      </w:r>
      <w:r>
        <w:rPr>
          <w:snapToGrid/>
        </w:rPr>
        <w:t>22</w:t>
      </w:r>
      <w:r>
        <w:rPr>
          <w:rFonts w:hint="eastAsia"/>
          <w:snapToGrid/>
        </w:rPr>
        <w:t>万人</w:t>
      </w:r>
      <w:r>
        <w:rPr>
          <w:snapToGrid/>
        </w:rPr>
        <w:t>，</w:t>
      </w:r>
      <w:r>
        <w:rPr>
          <w:rFonts w:hint="eastAsia"/>
          <w:snapToGrid/>
        </w:rPr>
        <w:t>安全生产管理人员</w:t>
      </w:r>
      <w:r>
        <w:rPr>
          <w:snapToGrid/>
        </w:rPr>
        <w:t>55</w:t>
      </w:r>
      <w:r>
        <w:rPr>
          <w:rFonts w:hint="eastAsia"/>
          <w:snapToGrid/>
        </w:rPr>
        <w:t>万人</w:t>
      </w:r>
      <w:r>
        <w:rPr>
          <w:snapToGrid/>
        </w:rPr>
        <w:t>，</w:t>
      </w:r>
      <w:r>
        <w:rPr>
          <w:rFonts w:hint="eastAsia"/>
          <w:snapToGrid/>
        </w:rPr>
        <w:t>特种作业人员</w:t>
      </w:r>
      <w:r>
        <w:rPr>
          <w:snapToGrid/>
        </w:rPr>
        <w:t>157</w:t>
      </w:r>
      <w:r>
        <w:rPr>
          <w:rFonts w:hint="eastAsia"/>
          <w:snapToGrid/>
        </w:rPr>
        <w:t>万人。广大企业也普遍开展了工厂、车间、班组三级教育活动。</w:t>
      </w:r>
    </w:p>
    <w:p w:rsidR="00000000" w:rsidRDefault="00000000">
      <w:pPr>
        <w:rPr>
          <w:snapToGrid/>
        </w:rPr>
      </w:pPr>
      <w:r>
        <w:rPr>
          <w:snapToGrid/>
        </w:rPr>
        <w:tab/>
        <w:t xml:space="preserve">61.  </w:t>
      </w:r>
      <w:r>
        <w:rPr>
          <w:rFonts w:hint="eastAsia"/>
          <w:snapToGrid/>
        </w:rPr>
        <w:t>加强安全生产领域的国际交流与合作。中国目前已与</w:t>
      </w:r>
      <w:r>
        <w:rPr>
          <w:snapToGrid/>
        </w:rPr>
        <w:t>20</w:t>
      </w:r>
      <w:r>
        <w:rPr>
          <w:rFonts w:hint="eastAsia"/>
          <w:snapToGrid/>
        </w:rPr>
        <w:t>多个国家和地区的安全监管机构广泛开展了交流与合作。启动了中日煤矿安全技术人员五年培训计划</w:t>
      </w:r>
      <w:r>
        <w:rPr>
          <w:snapToGrid/>
        </w:rPr>
        <w:t>，</w:t>
      </w:r>
      <w:r>
        <w:rPr>
          <w:snapToGrid/>
        </w:rPr>
        <w:t>2002</w:t>
      </w:r>
      <w:r>
        <w:rPr>
          <w:rFonts w:hint="eastAsia"/>
          <w:snapToGrid/>
        </w:rPr>
        <w:t>年共有</w:t>
      </w:r>
      <w:r>
        <w:rPr>
          <w:snapToGrid/>
        </w:rPr>
        <w:t>867</w:t>
      </w:r>
      <w:r>
        <w:rPr>
          <w:rFonts w:hint="eastAsia"/>
          <w:snapToGrid/>
        </w:rPr>
        <w:t>名煤矿安全人员在国内及赴日本接受培训。与美国、俄罗斯、英国、澳大利亚安全监管部门签署了合作备忘录</w:t>
      </w:r>
      <w:r>
        <w:rPr>
          <w:snapToGrid/>
        </w:rPr>
        <w:t>，</w:t>
      </w:r>
      <w:r>
        <w:rPr>
          <w:rFonts w:hint="eastAsia"/>
          <w:snapToGrid/>
        </w:rPr>
        <w:t>正式建立了合作关系。</w:t>
      </w:r>
      <w:r>
        <w:rPr>
          <w:snapToGrid/>
        </w:rPr>
        <w:t>2002</w:t>
      </w:r>
      <w:r>
        <w:rPr>
          <w:rFonts w:hint="eastAsia"/>
          <w:snapToGrid/>
        </w:rPr>
        <w:t>年</w:t>
      </w:r>
      <w:r>
        <w:rPr>
          <w:snapToGrid/>
        </w:rPr>
        <w:t>8</w:t>
      </w:r>
      <w:r>
        <w:rPr>
          <w:rFonts w:hint="eastAsia"/>
          <w:snapToGrid/>
        </w:rPr>
        <w:t>月</w:t>
      </w:r>
      <w:r>
        <w:rPr>
          <w:snapToGrid/>
        </w:rPr>
        <w:t>，</w:t>
      </w:r>
      <w:r>
        <w:rPr>
          <w:rFonts w:hint="eastAsia"/>
          <w:snapToGrid/>
        </w:rPr>
        <w:t>中国首次参加在美国举办的第三届国际矿山救护比武</w:t>
      </w:r>
      <w:r>
        <w:rPr>
          <w:snapToGrid/>
        </w:rPr>
        <w:t>，</w:t>
      </w:r>
      <w:r>
        <w:rPr>
          <w:rFonts w:hint="eastAsia"/>
          <w:snapToGrid/>
        </w:rPr>
        <w:t>取得呼吸机席位赛第一名和创伤急救赛第三名的较好成绩。</w:t>
      </w:r>
      <w:r>
        <w:rPr>
          <w:snapToGrid/>
        </w:rPr>
        <w:t>2002</w:t>
      </w:r>
      <w:r>
        <w:rPr>
          <w:rFonts w:hint="eastAsia"/>
          <w:snapToGrid/>
        </w:rPr>
        <w:t>年</w:t>
      </w:r>
      <w:r>
        <w:rPr>
          <w:snapToGrid/>
        </w:rPr>
        <w:t>10</w:t>
      </w:r>
      <w:r>
        <w:rPr>
          <w:rFonts w:hint="eastAsia"/>
          <w:snapToGrid/>
        </w:rPr>
        <w:t>月</w:t>
      </w:r>
      <w:r>
        <w:rPr>
          <w:snapToGrid/>
        </w:rPr>
        <w:t>，</w:t>
      </w:r>
      <w:r>
        <w:rPr>
          <w:rFonts w:hint="eastAsia"/>
          <w:snapToGrid/>
        </w:rPr>
        <w:t>与国际劳工组织联合在北京举办了“中国国际安全生产论坛暨职业安全健康技术与设备展览会”，近</w:t>
      </w:r>
      <w:r>
        <w:rPr>
          <w:snapToGrid/>
        </w:rPr>
        <w:t>30</w:t>
      </w:r>
      <w:r>
        <w:rPr>
          <w:rFonts w:hint="eastAsia"/>
          <w:snapToGrid/>
        </w:rPr>
        <w:t>个国家和地区的</w:t>
      </w:r>
      <w:r>
        <w:rPr>
          <w:snapToGrid/>
        </w:rPr>
        <w:t>600</w:t>
      </w:r>
      <w:r>
        <w:rPr>
          <w:rFonts w:hint="eastAsia"/>
          <w:snapToGrid/>
        </w:rPr>
        <w:t>多名代表出席</w:t>
      </w:r>
      <w:r>
        <w:rPr>
          <w:snapToGrid/>
        </w:rPr>
        <w:t>，</w:t>
      </w:r>
      <w:r>
        <w:rPr>
          <w:rFonts w:hint="eastAsia"/>
          <w:snapToGrid/>
        </w:rPr>
        <w:t>国内外</w:t>
      </w:r>
      <w:r>
        <w:rPr>
          <w:snapToGrid/>
        </w:rPr>
        <w:t>140</w:t>
      </w:r>
      <w:r>
        <w:rPr>
          <w:rFonts w:hint="eastAsia"/>
          <w:snapToGrid/>
        </w:rPr>
        <w:t>多家厂商展示了新技术和新产品。与国际劳工组织和香港职业安全健康局合作</w:t>
      </w:r>
      <w:r>
        <w:rPr>
          <w:snapToGrid/>
        </w:rPr>
        <w:t>，</w:t>
      </w:r>
      <w:r>
        <w:rPr>
          <w:rFonts w:hint="eastAsia"/>
          <w:snapToGrid/>
        </w:rPr>
        <w:t>召开了建设安全社区研讨会、安全文化国际研讨会等。</w:t>
      </w:r>
    </w:p>
    <w:p w:rsidR="00000000" w:rsidRDefault="00000000">
      <w:pPr>
        <w:rPr>
          <w:snapToGrid/>
          <w:szCs w:val="28"/>
        </w:rPr>
      </w:pPr>
      <w:r>
        <w:rPr>
          <w:snapToGrid/>
        </w:rPr>
        <w:tab/>
        <w:t xml:space="preserve">62.  </w:t>
      </w:r>
      <w:r>
        <w:rPr>
          <w:rFonts w:hint="eastAsia"/>
          <w:snapToGrid/>
        </w:rPr>
        <w:t>通过上述立法和行政措施</w:t>
      </w:r>
      <w:r>
        <w:rPr>
          <w:snapToGrid/>
        </w:rPr>
        <w:t>，</w:t>
      </w:r>
      <w:r>
        <w:rPr>
          <w:rFonts w:hint="eastAsia"/>
          <w:snapToGrid/>
        </w:rPr>
        <w:t>中国安全生产工作取得很大成绩。</w:t>
      </w:r>
      <w:r>
        <w:rPr>
          <w:snapToGrid/>
        </w:rPr>
        <w:t>2001</w:t>
      </w:r>
      <w:r>
        <w:rPr>
          <w:rFonts w:hint="eastAsia"/>
          <w:snapToGrid/>
        </w:rPr>
        <w:t>年</w:t>
      </w:r>
      <w:r>
        <w:rPr>
          <w:snapToGrid/>
        </w:rPr>
        <w:t>，</w:t>
      </w:r>
      <w:r>
        <w:rPr>
          <w:rFonts w:hint="eastAsia"/>
          <w:snapToGrid/>
        </w:rPr>
        <w:t>全国一次死亡</w:t>
      </w:r>
      <w:r>
        <w:rPr>
          <w:snapToGrid/>
        </w:rPr>
        <w:t>10</w:t>
      </w:r>
      <w:r>
        <w:rPr>
          <w:rFonts w:hint="eastAsia"/>
          <w:snapToGrid/>
        </w:rPr>
        <w:t>人以上的特大事故的起数和死亡人数</w:t>
      </w:r>
      <w:r>
        <w:rPr>
          <w:snapToGrid/>
        </w:rPr>
        <w:t>，</w:t>
      </w:r>
      <w:r>
        <w:rPr>
          <w:rFonts w:hint="eastAsia"/>
          <w:snapToGrid/>
        </w:rPr>
        <w:t>比</w:t>
      </w:r>
      <w:r>
        <w:rPr>
          <w:snapToGrid/>
        </w:rPr>
        <w:t>2000</w:t>
      </w:r>
      <w:r>
        <w:rPr>
          <w:rFonts w:hint="eastAsia"/>
          <w:snapToGrid/>
        </w:rPr>
        <w:t>年分别下降</w:t>
      </w:r>
      <w:r>
        <w:rPr>
          <w:snapToGrid/>
        </w:rPr>
        <w:t>18%</w:t>
      </w:r>
      <w:r>
        <w:rPr>
          <w:rFonts w:hint="eastAsia"/>
          <w:snapToGrid/>
        </w:rPr>
        <w:t>和</w:t>
      </w:r>
      <w:r>
        <w:rPr>
          <w:snapToGrid/>
        </w:rPr>
        <w:t>27.6%</w:t>
      </w:r>
      <w:r>
        <w:rPr>
          <w:rFonts w:hint="eastAsia"/>
          <w:snapToGrid/>
        </w:rPr>
        <w:t>。其中工矿企业特大事故起数和死亡人数分别下降</w:t>
      </w:r>
      <w:r>
        <w:rPr>
          <w:snapToGrid/>
        </w:rPr>
        <w:t>30%</w:t>
      </w:r>
      <w:r>
        <w:rPr>
          <w:rFonts w:hint="eastAsia"/>
          <w:snapToGrid/>
        </w:rPr>
        <w:t>和</w:t>
      </w:r>
      <w:r>
        <w:rPr>
          <w:snapToGrid/>
        </w:rPr>
        <w:t>20.6%</w:t>
      </w:r>
      <w:r>
        <w:rPr>
          <w:snapToGrid/>
        </w:rPr>
        <w:t>，</w:t>
      </w:r>
      <w:r>
        <w:rPr>
          <w:rFonts w:hint="eastAsia"/>
          <w:snapToGrid/>
        </w:rPr>
        <w:t>煤矿特大事故分别下降</w:t>
      </w:r>
      <w:r>
        <w:rPr>
          <w:snapToGrid/>
        </w:rPr>
        <w:t>37%</w:t>
      </w:r>
      <w:r>
        <w:rPr>
          <w:rFonts w:hint="eastAsia"/>
          <w:snapToGrid/>
        </w:rPr>
        <w:t>和</w:t>
      </w:r>
      <w:r>
        <w:rPr>
          <w:snapToGrid/>
        </w:rPr>
        <w:t>30%</w:t>
      </w:r>
      <w:r>
        <w:rPr>
          <w:rFonts w:hint="eastAsia"/>
          <w:snapToGrid/>
        </w:rPr>
        <w:t>。特大火灾事故分别下降</w:t>
      </w:r>
      <w:r>
        <w:rPr>
          <w:snapToGrid/>
        </w:rPr>
        <w:t>77.8%</w:t>
      </w:r>
      <w:r>
        <w:rPr>
          <w:rFonts w:hint="eastAsia"/>
          <w:snapToGrid/>
        </w:rPr>
        <w:t>和</w:t>
      </w:r>
      <w:r>
        <w:rPr>
          <w:snapToGrid/>
        </w:rPr>
        <w:t>92.4%</w:t>
      </w:r>
      <w:r>
        <w:rPr>
          <w:snapToGrid/>
        </w:rPr>
        <w:t>，</w:t>
      </w:r>
      <w:r>
        <w:rPr>
          <w:rFonts w:hint="eastAsia"/>
          <w:snapToGrid/>
        </w:rPr>
        <w:t>烟花爆竹特大爆炸事故分别下降</w:t>
      </w:r>
      <w:r>
        <w:rPr>
          <w:snapToGrid/>
        </w:rPr>
        <w:t>23%</w:t>
      </w:r>
      <w:r>
        <w:rPr>
          <w:rFonts w:hint="eastAsia"/>
          <w:snapToGrid/>
        </w:rPr>
        <w:t>和</w:t>
      </w:r>
      <w:r>
        <w:rPr>
          <w:snapToGrid/>
        </w:rPr>
        <w:t>43%</w:t>
      </w:r>
      <w:r>
        <w:rPr>
          <w:snapToGrid/>
        </w:rPr>
        <w:t>，</w:t>
      </w:r>
      <w:r>
        <w:rPr>
          <w:rFonts w:hint="eastAsia"/>
          <w:snapToGrid/>
        </w:rPr>
        <w:t>道路交通特大事故分别下降</w:t>
      </w:r>
      <w:r>
        <w:rPr>
          <w:snapToGrid/>
        </w:rPr>
        <w:t>32.8%</w:t>
      </w:r>
      <w:r>
        <w:rPr>
          <w:rFonts w:hint="eastAsia"/>
          <w:snapToGrid/>
        </w:rPr>
        <w:t>和</w:t>
      </w:r>
      <w:r>
        <w:rPr>
          <w:snapToGrid/>
        </w:rPr>
        <w:t>29.8%</w:t>
      </w:r>
      <w:r>
        <w:rPr>
          <w:rFonts w:hint="eastAsia"/>
          <w:snapToGrid/>
        </w:rPr>
        <w:t>。</w:t>
      </w:r>
      <w:r>
        <w:rPr>
          <w:snapToGrid/>
        </w:rPr>
        <w:t>2002</w:t>
      </w:r>
      <w:r>
        <w:rPr>
          <w:rFonts w:hint="eastAsia"/>
          <w:snapToGrid/>
        </w:rPr>
        <w:t>年</w:t>
      </w:r>
      <w:r>
        <w:rPr>
          <w:snapToGrid/>
        </w:rPr>
        <w:t>，</w:t>
      </w:r>
      <w:r>
        <w:rPr>
          <w:rFonts w:hint="eastAsia"/>
          <w:snapToGrid/>
        </w:rPr>
        <w:t>全国安全生产形势总体趋于稳定，特大事故继续</w:t>
      </w:r>
      <w:r>
        <w:rPr>
          <w:rFonts w:hint="eastAsia"/>
          <w:snapToGrid/>
          <w:szCs w:val="28"/>
        </w:rPr>
        <w:t>呈下降趋势，一次死亡</w:t>
      </w:r>
      <w:r>
        <w:rPr>
          <w:snapToGrid/>
          <w:szCs w:val="28"/>
        </w:rPr>
        <w:t>10</w:t>
      </w:r>
      <w:r>
        <w:rPr>
          <w:rFonts w:hint="eastAsia"/>
          <w:snapToGrid/>
          <w:szCs w:val="28"/>
        </w:rPr>
        <w:t>人以上特大事故次数和死亡人数比</w:t>
      </w:r>
      <w:r>
        <w:rPr>
          <w:snapToGrid/>
          <w:szCs w:val="28"/>
        </w:rPr>
        <w:t>2001</w:t>
      </w:r>
      <w:r>
        <w:rPr>
          <w:rFonts w:hint="eastAsia"/>
          <w:snapToGrid/>
          <w:szCs w:val="28"/>
        </w:rPr>
        <w:t>年分别下降</w:t>
      </w:r>
      <w:r>
        <w:rPr>
          <w:snapToGrid/>
          <w:szCs w:val="28"/>
        </w:rPr>
        <w:t>8.6%</w:t>
      </w:r>
      <w:r>
        <w:rPr>
          <w:rFonts w:hint="eastAsia"/>
          <w:snapToGrid/>
          <w:szCs w:val="28"/>
        </w:rPr>
        <w:t>和</w:t>
      </w:r>
      <w:r>
        <w:rPr>
          <w:snapToGrid/>
          <w:szCs w:val="28"/>
        </w:rPr>
        <w:t>8.4%</w:t>
      </w:r>
      <w:r>
        <w:rPr>
          <w:rFonts w:hint="eastAsia"/>
          <w:snapToGrid/>
          <w:szCs w:val="28"/>
        </w:rPr>
        <w:t>，一些重点行业和领域安全生产状况得到改善</w:t>
      </w:r>
      <w:r>
        <w:rPr>
          <w:snapToGrid/>
          <w:szCs w:val="28"/>
        </w:rPr>
        <w:t>，</w:t>
      </w:r>
      <w:r>
        <w:rPr>
          <w:rFonts w:hint="eastAsia"/>
          <w:snapToGrid/>
          <w:szCs w:val="28"/>
        </w:rPr>
        <w:t>一些地区事故多发势头得到有效控制。</w:t>
      </w:r>
    </w:p>
    <w:p w:rsidR="00000000" w:rsidRDefault="00000000">
      <w:pPr>
        <w:rPr>
          <w:snapToGrid/>
          <w:szCs w:val="28"/>
        </w:rPr>
      </w:pPr>
      <w:r>
        <w:rPr>
          <w:snapToGrid/>
          <w:szCs w:val="28"/>
        </w:rPr>
        <w:tab/>
        <w:t xml:space="preserve">63.  </w:t>
      </w:r>
      <w:r>
        <w:rPr>
          <w:rFonts w:hint="eastAsia"/>
          <w:snapToGrid/>
          <w:szCs w:val="28"/>
        </w:rPr>
        <w:t>尽管中国的安全生产工作取得了一定成绩</w:t>
      </w:r>
      <w:r>
        <w:rPr>
          <w:snapToGrid/>
          <w:szCs w:val="28"/>
        </w:rPr>
        <w:t>，</w:t>
      </w:r>
      <w:r>
        <w:rPr>
          <w:rFonts w:hint="eastAsia"/>
          <w:snapToGrid/>
          <w:szCs w:val="28"/>
        </w:rPr>
        <w:t>但由于安全生产基础薄弱，又处在转轨期、建设期和发展期，受生产力水平、科学技术发展水平等因素的制约，加上全民安全文化素质亟待提高</w:t>
      </w:r>
      <w:r>
        <w:rPr>
          <w:snapToGrid/>
          <w:szCs w:val="28"/>
        </w:rPr>
        <w:t>，</w:t>
      </w:r>
      <w:r>
        <w:rPr>
          <w:rFonts w:hint="eastAsia"/>
          <w:snapToGrid/>
          <w:szCs w:val="28"/>
        </w:rPr>
        <w:t>安全生产形势依然严峻</w:t>
      </w:r>
      <w:r>
        <w:rPr>
          <w:snapToGrid/>
          <w:szCs w:val="28"/>
        </w:rPr>
        <w:t>，</w:t>
      </w:r>
      <w:r>
        <w:rPr>
          <w:rFonts w:hint="eastAsia"/>
          <w:snapToGrid/>
          <w:szCs w:val="28"/>
        </w:rPr>
        <w:t>安全生产工作任重道远。搞好安全生产</w:t>
      </w:r>
      <w:r>
        <w:rPr>
          <w:snapToGrid/>
          <w:szCs w:val="28"/>
        </w:rPr>
        <w:t>，</w:t>
      </w:r>
      <w:r>
        <w:rPr>
          <w:rFonts w:hint="eastAsia"/>
          <w:snapToGrid/>
          <w:szCs w:val="28"/>
        </w:rPr>
        <w:t>维护劳动者的生命安全和健康</w:t>
      </w:r>
      <w:r>
        <w:rPr>
          <w:snapToGrid/>
          <w:szCs w:val="28"/>
        </w:rPr>
        <w:t>，</w:t>
      </w:r>
      <w:r>
        <w:rPr>
          <w:rFonts w:hint="eastAsia"/>
          <w:snapToGrid/>
          <w:szCs w:val="28"/>
        </w:rPr>
        <w:t>是全面建设小康社会的前提和重要标志。中国政府将继续坚持</w:t>
      </w:r>
      <w:r>
        <w:rPr>
          <w:rFonts w:hint="eastAsia"/>
          <w:snapToGrid/>
        </w:rPr>
        <w:t>“</w:t>
      </w:r>
      <w:r>
        <w:rPr>
          <w:rFonts w:hint="eastAsia"/>
          <w:snapToGrid/>
          <w:szCs w:val="28"/>
        </w:rPr>
        <w:t>安全第一</w:t>
      </w:r>
      <w:r>
        <w:rPr>
          <w:snapToGrid/>
          <w:szCs w:val="28"/>
        </w:rPr>
        <w:t>，</w:t>
      </w:r>
      <w:r>
        <w:rPr>
          <w:rFonts w:hint="eastAsia"/>
          <w:snapToGrid/>
          <w:szCs w:val="28"/>
        </w:rPr>
        <w:t>预防为主”的方针</w:t>
      </w:r>
      <w:r>
        <w:rPr>
          <w:snapToGrid/>
          <w:szCs w:val="28"/>
        </w:rPr>
        <w:t>，</w:t>
      </w:r>
      <w:r>
        <w:rPr>
          <w:rFonts w:hint="eastAsia"/>
          <w:snapToGrid/>
          <w:szCs w:val="28"/>
        </w:rPr>
        <w:t>以更大的决心和更得力的措施</w:t>
      </w:r>
      <w:r>
        <w:rPr>
          <w:snapToGrid/>
          <w:szCs w:val="28"/>
        </w:rPr>
        <w:t>，</w:t>
      </w:r>
      <w:r>
        <w:rPr>
          <w:rFonts w:hint="eastAsia"/>
          <w:snapToGrid/>
          <w:szCs w:val="28"/>
        </w:rPr>
        <w:t>抓好安全生产工作。近期的重点工作和措施是</w:t>
      </w:r>
      <w:r>
        <w:rPr>
          <w:snapToGrid/>
          <w:szCs w:val="28"/>
        </w:rPr>
        <w:t>：</w:t>
      </w:r>
    </w:p>
    <w:p w:rsidR="00000000" w:rsidRDefault="00000000">
      <w:pPr>
        <w:rPr>
          <w:snapToGrid/>
          <w:szCs w:val="28"/>
        </w:rPr>
      </w:pPr>
      <w:r>
        <w:rPr>
          <w:snapToGrid/>
          <w:szCs w:val="28"/>
        </w:rPr>
        <w:tab/>
        <w:t xml:space="preserve">64.  </w:t>
      </w:r>
      <w:r>
        <w:rPr>
          <w:rFonts w:hint="eastAsia"/>
          <w:snapToGrid/>
          <w:szCs w:val="28"/>
        </w:rPr>
        <w:t>以贯彻《安全生产法》为主线，以建立安全生产工作长效机制、减少伤亡事故为目标，进一步加强安全生产法制建设和制度建设。抓紧制定与《安全生产法》相配套的各项法规</w:t>
      </w:r>
      <w:r>
        <w:rPr>
          <w:snapToGrid/>
          <w:szCs w:val="28"/>
        </w:rPr>
        <w:t>，</w:t>
      </w:r>
      <w:r>
        <w:rPr>
          <w:snapToGrid/>
          <w:szCs w:val="28"/>
        </w:rPr>
        <w:t>2003</w:t>
      </w:r>
      <w:r>
        <w:rPr>
          <w:rFonts w:hint="eastAsia"/>
          <w:snapToGrid/>
          <w:szCs w:val="28"/>
        </w:rPr>
        <w:t>年将制定出台近</w:t>
      </w:r>
      <w:r>
        <w:rPr>
          <w:snapToGrid/>
          <w:szCs w:val="28"/>
        </w:rPr>
        <w:t>30</w:t>
      </w:r>
      <w:r>
        <w:rPr>
          <w:rFonts w:hint="eastAsia"/>
          <w:snapToGrid/>
          <w:szCs w:val="28"/>
        </w:rPr>
        <w:t>个配套法规和规章</w:t>
      </w:r>
      <w:r>
        <w:rPr>
          <w:snapToGrid/>
          <w:szCs w:val="28"/>
        </w:rPr>
        <w:t>，</w:t>
      </w:r>
      <w:r>
        <w:rPr>
          <w:rFonts w:hint="eastAsia"/>
          <w:snapToGrid/>
          <w:szCs w:val="28"/>
        </w:rPr>
        <w:t>制定、修订</w:t>
      </w:r>
      <w:r>
        <w:rPr>
          <w:snapToGrid/>
          <w:szCs w:val="28"/>
        </w:rPr>
        <w:t>38</w:t>
      </w:r>
      <w:r>
        <w:rPr>
          <w:rFonts w:hint="eastAsia"/>
          <w:snapToGrid/>
          <w:szCs w:val="28"/>
        </w:rPr>
        <w:t>项国家标准</w:t>
      </w:r>
      <w:r>
        <w:rPr>
          <w:snapToGrid/>
          <w:szCs w:val="28"/>
        </w:rPr>
        <w:t>，</w:t>
      </w:r>
      <w:r>
        <w:rPr>
          <w:rFonts w:hint="eastAsia"/>
          <w:snapToGrid/>
          <w:szCs w:val="28"/>
        </w:rPr>
        <w:t>尽快形成比较健全的安全生产规程和安全技术标准，为安全生产提供法律保证。依据《安全生产法》</w:t>
      </w:r>
      <w:r>
        <w:rPr>
          <w:snapToGrid/>
          <w:szCs w:val="28"/>
        </w:rPr>
        <w:t>，</w:t>
      </w:r>
      <w:r>
        <w:rPr>
          <w:rFonts w:hint="eastAsia"/>
          <w:snapToGrid/>
          <w:szCs w:val="28"/>
        </w:rPr>
        <w:t>强化各级政府、有关部门、各企业安全生产责任制，使安全生产真正落实到基层。要求企业进一步注重安全投入，加强安全基础设施建设。推广建立职业安全健康体系认证工作，加强职业危害的防治，逐步建立健全工伤保险制度。</w:t>
      </w:r>
    </w:p>
    <w:p w:rsidR="00000000" w:rsidRDefault="00000000">
      <w:pPr>
        <w:rPr>
          <w:snapToGrid/>
          <w:szCs w:val="28"/>
        </w:rPr>
      </w:pPr>
      <w:r>
        <w:rPr>
          <w:snapToGrid/>
          <w:szCs w:val="28"/>
        </w:rPr>
        <w:tab/>
        <w:t xml:space="preserve">65.  </w:t>
      </w:r>
      <w:r>
        <w:rPr>
          <w:rFonts w:hint="eastAsia"/>
          <w:snapToGrid/>
          <w:szCs w:val="28"/>
        </w:rPr>
        <w:t>突出重点，继续深化安全生产专项整治。一是要突出重点行业</w:t>
      </w:r>
      <w:r>
        <w:rPr>
          <w:snapToGrid/>
          <w:szCs w:val="28"/>
        </w:rPr>
        <w:t>，</w:t>
      </w:r>
      <w:r>
        <w:rPr>
          <w:rFonts w:hint="eastAsia"/>
          <w:snapToGrid/>
          <w:szCs w:val="28"/>
        </w:rPr>
        <w:t>着重抓好煤矿、道路交通、危险化学品的安全整治</w:t>
      </w:r>
      <w:r>
        <w:rPr>
          <w:snapToGrid/>
          <w:szCs w:val="28"/>
        </w:rPr>
        <w:t>，</w:t>
      </w:r>
      <w:r>
        <w:rPr>
          <w:rFonts w:hint="eastAsia"/>
          <w:snapToGrid/>
          <w:szCs w:val="28"/>
        </w:rPr>
        <w:t>依法建立健全各项安全管理制度，在专项整治的基础上逐步纳入规范化管理的轨道。二是突出重点地区</w:t>
      </w:r>
      <w:r>
        <w:rPr>
          <w:snapToGrid/>
          <w:szCs w:val="28"/>
        </w:rPr>
        <w:t>，</w:t>
      </w:r>
      <w:r>
        <w:rPr>
          <w:rFonts w:hint="eastAsia"/>
          <w:snapToGrid/>
          <w:szCs w:val="28"/>
        </w:rPr>
        <w:t>对近些年事故多发的省份、地市以及道路、水上交通运输的重点区段、重点线路，进行重点监督和监控</w:t>
      </w:r>
      <w:r>
        <w:rPr>
          <w:snapToGrid/>
          <w:szCs w:val="28"/>
        </w:rPr>
        <w:t>，</w:t>
      </w:r>
      <w:r>
        <w:rPr>
          <w:rFonts w:hint="eastAsia"/>
          <w:snapToGrid/>
          <w:szCs w:val="28"/>
        </w:rPr>
        <w:t>落实各项防范措施，坚决扭转重、特大事故多发的局面。三是突出重点企业</w:t>
      </w:r>
      <w:r>
        <w:rPr>
          <w:snapToGrid/>
          <w:szCs w:val="28"/>
        </w:rPr>
        <w:t>，</w:t>
      </w:r>
      <w:r>
        <w:rPr>
          <w:rFonts w:hint="eastAsia"/>
          <w:snapToGrid/>
          <w:szCs w:val="28"/>
        </w:rPr>
        <w:t>特别是瓦斯灾害严重的煤矿，要坚持</w:t>
      </w:r>
      <w:r>
        <w:rPr>
          <w:rFonts w:hint="eastAsia"/>
          <w:snapToGrid/>
        </w:rPr>
        <w:t>“</w:t>
      </w:r>
      <w:r>
        <w:rPr>
          <w:rFonts w:hint="eastAsia"/>
          <w:snapToGrid/>
          <w:szCs w:val="28"/>
        </w:rPr>
        <w:t>先抽后采、监测监控、以风定产</w:t>
      </w:r>
      <w:r>
        <w:rPr>
          <w:snapToGrid/>
          <w:szCs w:val="28"/>
        </w:rPr>
        <w:t>"</w:t>
      </w:r>
      <w:r>
        <w:rPr>
          <w:rFonts w:hint="eastAsia"/>
          <w:snapToGrid/>
          <w:szCs w:val="28"/>
        </w:rPr>
        <w:t>的方针，从源头上遏制煤矿的重特大事故。四是对众多中小企业强化安全监管。五是加大对各种违反安全生产法律法规行为的惩处力度，保证各项安全生产法律制度的贯彻落实。</w:t>
      </w:r>
    </w:p>
    <w:p w:rsidR="00000000" w:rsidRDefault="00000000">
      <w:pPr>
        <w:rPr>
          <w:snapToGrid/>
          <w:szCs w:val="28"/>
        </w:rPr>
      </w:pPr>
      <w:r>
        <w:rPr>
          <w:snapToGrid/>
          <w:szCs w:val="28"/>
        </w:rPr>
        <w:tab/>
        <w:t xml:space="preserve">66.  </w:t>
      </w:r>
      <w:r>
        <w:rPr>
          <w:rFonts w:hint="eastAsia"/>
          <w:snapToGrid/>
          <w:szCs w:val="28"/>
        </w:rPr>
        <w:t>继续搞好安全生产检查和督察，推动安全生产责任制和各项安全措施的落实。要求各地、各部门、各单位对重大危险源和重大事故隐患要加强监控和整改。特别是对人员密集的车站、码头、机场、商场、娱乐场所和旅游点，要认真全面地进行安全检查</w:t>
      </w:r>
      <w:r>
        <w:rPr>
          <w:snapToGrid/>
          <w:szCs w:val="28"/>
        </w:rPr>
        <w:t>，</w:t>
      </w:r>
      <w:r>
        <w:rPr>
          <w:rFonts w:hint="eastAsia"/>
          <w:snapToGrid/>
          <w:szCs w:val="28"/>
        </w:rPr>
        <w:t>对存在事故隐患的</w:t>
      </w:r>
      <w:r>
        <w:rPr>
          <w:snapToGrid/>
          <w:szCs w:val="28"/>
        </w:rPr>
        <w:t>，</w:t>
      </w:r>
      <w:r>
        <w:rPr>
          <w:rFonts w:hint="eastAsia"/>
          <w:snapToGrid/>
          <w:szCs w:val="28"/>
        </w:rPr>
        <w:t>要限期整改</w:t>
      </w:r>
      <w:r>
        <w:rPr>
          <w:snapToGrid/>
          <w:szCs w:val="28"/>
        </w:rPr>
        <w:t>，</w:t>
      </w:r>
      <w:r>
        <w:rPr>
          <w:rFonts w:hint="eastAsia"/>
          <w:snapToGrid/>
          <w:szCs w:val="28"/>
        </w:rPr>
        <w:t>落实责任；对不具备基本安全条件的</w:t>
      </w:r>
      <w:r>
        <w:rPr>
          <w:snapToGrid/>
          <w:szCs w:val="28"/>
        </w:rPr>
        <w:t>，</w:t>
      </w:r>
      <w:r>
        <w:rPr>
          <w:rFonts w:hint="eastAsia"/>
          <w:snapToGrid/>
          <w:szCs w:val="28"/>
        </w:rPr>
        <w:t>要采取停业整顿、停运整顿或关闭的措施。建立健全安全生产举报制度</w:t>
      </w:r>
      <w:r>
        <w:rPr>
          <w:snapToGrid/>
          <w:szCs w:val="28"/>
        </w:rPr>
        <w:t>，</w:t>
      </w:r>
      <w:r>
        <w:rPr>
          <w:rFonts w:hint="eastAsia"/>
          <w:snapToGrid/>
          <w:szCs w:val="28"/>
        </w:rPr>
        <w:t>完善舆论监督和群众监督机制。</w:t>
      </w:r>
    </w:p>
    <w:p w:rsidR="00000000" w:rsidRDefault="00000000">
      <w:pPr>
        <w:rPr>
          <w:snapToGrid/>
          <w:szCs w:val="26"/>
        </w:rPr>
      </w:pPr>
      <w:r>
        <w:rPr>
          <w:snapToGrid/>
          <w:szCs w:val="28"/>
        </w:rPr>
        <w:tab/>
        <w:t xml:space="preserve">67.  </w:t>
      </w:r>
      <w:r>
        <w:rPr>
          <w:rFonts w:hint="eastAsia"/>
          <w:snapToGrid/>
          <w:szCs w:val="28"/>
        </w:rPr>
        <w:t>立足防范</w:t>
      </w:r>
      <w:r>
        <w:rPr>
          <w:snapToGrid/>
          <w:szCs w:val="28"/>
        </w:rPr>
        <w:t>，</w:t>
      </w:r>
      <w:r>
        <w:rPr>
          <w:rFonts w:hint="eastAsia"/>
          <w:snapToGrid/>
          <w:szCs w:val="28"/>
        </w:rPr>
        <w:t>着力于建立安全生产的长效机制。继续抓好</w:t>
      </w:r>
      <w:r>
        <w:rPr>
          <w:rFonts w:hint="eastAsia"/>
          <w:snapToGrid/>
        </w:rPr>
        <w:t>“</w:t>
      </w:r>
      <w:r>
        <w:rPr>
          <w:rFonts w:hint="eastAsia"/>
          <w:snapToGrid/>
          <w:szCs w:val="28"/>
        </w:rPr>
        <w:t>三件大事”</w:t>
      </w:r>
      <w:r>
        <w:rPr>
          <w:snapToGrid/>
          <w:szCs w:val="28"/>
        </w:rPr>
        <w:t>(</w:t>
      </w:r>
      <w:r>
        <w:rPr>
          <w:rFonts w:hint="eastAsia"/>
          <w:snapToGrid/>
          <w:szCs w:val="28"/>
        </w:rPr>
        <w:t>安全监管体系和工作机制建设、法制建设、队伍建设</w:t>
      </w:r>
      <w:r>
        <w:rPr>
          <w:snapToGrid/>
          <w:szCs w:val="28"/>
        </w:rPr>
        <w:t>)</w:t>
      </w:r>
      <w:r>
        <w:rPr>
          <w:snapToGrid/>
          <w:szCs w:val="28"/>
        </w:rPr>
        <w:t>，</w:t>
      </w:r>
      <w:r>
        <w:rPr>
          <w:rFonts w:hint="eastAsia"/>
          <w:snapToGrid/>
          <w:szCs w:val="28"/>
        </w:rPr>
        <w:t>加快</w:t>
      </w:r>
      <w:r>
        <w:rPr>
          <w:rFonts w:hint="eastAsia"/>
          <w:snapToGrid/>
        </w:rPr>
        <w:t>“</w:t>
      </w:r>
      <w:r>
        <w:rPr>
          <w:rFonts w:hint="eastAsia"/>
          <w:snapToGrid/>
          <w:szCs w:val="28"/>
        </w:rPr>
        <w:t>六个支撑体系”</w:t>
      </w:r>
      <w:r>
        <w:rPr>
          <w:snapToGrid/>
          <w:szCs w:val="28"/>
        </w:rPr>
        <w:t>(</w:t>
      </w:r>
      <w:r>
        <w:rPr>
          <w:rFonts w:hint="eastAsia"/>
          <w:snapToGrid/>
          <w:szCs w:val="28"/>
        </w:rPr>
        <w:t>安全生产法律、信息、技术装备、宣传教育、培训和矿山应急救援体系</w:t>
      </w:r>
      <w:r>
        <w:rPr>
          <w:snapToGrid/>
          <w:szCs w:val="28"/>
        </w:rPr>
        <w:t>)</w:t>
      </w:r>
      <w:r>
        <w:rPr>
          <w:rFonts w:hint="eastAsia"/>
          <w:snapToGrid/>
          <w:szCs w:val="28"/>
        </w:rPr>
        <w:t>建设，努力构建政府统一领导、部门依法监管、企业全面负责、社会监督支持的安全生产工作</w:t>
      </w:r>
      <w:r>
        <w:rPr>
          <w:rFonts w:hint="eastAsia"/>
          <w:snapToGrid/>
          <w:szCs w:val="26"/>
        </w:rPr>
        <w:t>新格局。一是加强对安全生产工作的领导</w:t>
      </w:r>
      <w:r>
        <w:rPr>
          <w:snapToGrid/>
          <w:szCs w:val="26"/>
        </w:rPr>
        <w:t>，</w:t>
      </w:r>
      <w:r>
        <w:rPr>
          <w:rFonts w:hint="eastAsia"/>
          <w:snapToGrid/>
          <w:szCs w:val="26"/>
        </w:rPr>
        <w:t>依法建立健全安全监管体系和安全生产法律法规体系</w:t>
      </w:r>
      <w:r>
        <w:rPr>
          <w:snapToGrid/>
          <w:szCs w:val="26"/>
        </w:rPr>
        <w:t>，</w:t>
      </w:r>
      <w:r>
        <w:rPr>
          <w:rFonts w:hint="eastAsia"/>
          <w:snapToGrid/>
          <w:szCs w:val="26"/>
        </w:rPr>
        <w:t>把安全生产纳入经济发展规划和指标考核体系</w:t>
      </w:r>
      <w:r>
        <w:rPr>
          <w:snapToGrid/>
          <w:szCs w:val="26"/>
        </w:rPr>
        <w:t>，</w:t>
      </w:r>
      <w:r>
        <w:rPr>
          <w:rFonts w:hint="eastAsia"/>
          <w:snapToGrid/>
          <w:szCs w:val="26"/>
        </w:rPr>
        <w:t>形成强有力的安全生产工作组织领导和协调管理机制。二是进一步建立健全各级政府的安全生产领导责任制、各级安全监管部门的工作责任制以及企业负责人的安全生产责任制</w:t>
      </w:r>
      <w:r>
        <w:rPr>
          <w:snapToGrid/>
          <w:szCs w:val="26"/>
        </w:rPr>
        <w:t>，</w:t>
      </w:r>
      <w:r>
        <w:rPr>
          <w:rFonts w:hint="eastAsia"/>
          <w:snapToGrid/>
          <w:szCs w:val="26"/>
        </w:rPr>
        <w:t>严格责任追究</w:t>
      </w:r>
      <w:r>
        <w:rPr>
          <w:snapToGrid/>
          <w:szCs w:val="26"/>
        </w:rPr>
        <w:t>，</w:t>
      </w:r>
      <w:r>
        <w:rPr>
          <w:rFonts w:hint="eastAsia"/>
          <w:snapToGrid/>
          <w:szCs w:val="26"/>
        </w:rPr>
        <w:t>真正做到各尽其职</w:t>
      </w:r>
      <w:r>
        <w:rPr>
          <w:snapToGrid/>
          <w:szCs w:val="26"/>
        </w:rPr>
        <w:t>，</w:t>
      </w:r>
      <w:r>
        <w:rPr>
          <w:rFonts w:hint="eastAsia"/>
          <w:snapToGrid/>
          <w:szCs w:val="26"/>
        </w:rPr>
        <w:t>各负其责。三是着眼于建立企业安全生产自我约束、持续改进的安全生产工作机制</w:t>
      </w:r>
      <w:r>
        <w:rPr>
          <w:snapToGrid/>
          <w:szCs w:val="26"/>
        </w:rPr>
        <w:t>，</w:t>
      </w:r>
      <w:r>
        <w:rPr>
          <w:rFonts w:hint="eastAsia"/>
          <w:snapToGrid/>
          <w:szCs w:val="26"/>
        </w:rPr>
        <w:t>监督、检查企业的各项安全保障制度的落实情况。四是加强安全生产的宣传教育和培训</w:t>
      </w:r>
      <w:r>
        <w:rPr>
          <w:snapToGrid/>
          <w:szCs w:val="26"/>
        </w:rPr>
        <w:t>，</w:t>
      </w:r>
      <w:r>
        <w:rPr>
          <w:rFonts w:hint="eastAsia"/>
          <w:snapToGrid/>
          <w:szCs w:val="26"/>
        </w:rPr>
        <w:t>提高从业人员的素质和全民的安全意识。</w:t>
      </w:r>
    </w:p>
    <w:p w:rsidR="00000000" w:rsidRDefault="00000000">
      <w:pPr>
        <w:spacing w:after="320"/>
        <w:rPr>
          <w:snapToGrid/>
          <w:szCs w:val="26"/>
        </w:rPr>
      </w:pPr>
      <w:r>
        <w:rPr>
          <w:snapToGrid/>
          <w:szCs w:val="26"/>
        </w:rPr>
        <w:tab/>
        <w:t xml:space="preserve">68.  </w:t>
      </w:r>
      <w:r>
        <w:rPr>
          <w:rFonts w:hint="eastAsia"/>
          <w:snapToGrid/>
          <w:szCs w:val="26"/>
        </w:rPr>
        <w:t>继续加强国际合作与交流。认真学习借鉴国外安全生产的先进经验</w:t>
      </w:r>
      <w:r>
        <w:rPr>
          <w:snapToGrid/>
          <w:szCs w:val="26"/>
        </w:rPr>
        <w:t>，</w:t>
      </w:r>
      <w:r>
        <w:rPr>
          <w:rFonts w:hint="eastAsia"/>
          <w:snapToGrid/>
          <w:szCs w:val="26"/>
        </w:rPr>
        <w:t>结合中国国情加以吸收和运用。积极发展与国际劳工组织、国际社会保障协会等国际组织在安全生产领域的合作</w:t>
      </w:r>
      <w:r>
        <w:rPr>
          <w:snapToGrid/>
          <w:szCs w:val="26"/>
        </w:rPr>
        <w:t>，</w:t>
      </w:r>
      <w:r>
        <w:rPr>
          <w:rFonts w:hint="eastAsia"/>
          <w:snapToGrid/>
          <w:szCs w:val="26"/>
        </w:rPr>
        <w:t>加快推进</w:t>
      </w:r>
      <w:r>
        <w:rPr>
          <w:rFonts w:hint="eastAsia"/>
          <w:snapToGrid/>
        </w:rPr>
        <w:t>“</w:t>
      </w:r>
      <w:r>
        <w:rPr>
          <w:rFonts w:hint="eastAsia"/>
          <w:snapToGrid/>
          <w:szCs w:val="26"/>
        </w:rPr>
        <w:t>安全培训”、“安全生产法律研究”、“事故统计和报告制度”、</w:t>
      </w:r>
      <w:r>
        <w:rPr>
          <w:rFonts w:hint="eastAsia"/>
          <w:snapToGrid/>
        </w:rPr>
        <w:t>“</w:t>
      </w:r>
      <w:r>
        <w:rPr>
          <w:rFonts w:hint="eastAsia"/>
          <w:snapToGrid/>
          <w:szCs w:val="26"/>
        </w:rPr>
        <w:t>职业安全和健康管理体系”等国际项目的实施。巩固与美、德、英、波、澳、印等国的双边合作关系</w:t>
      </w:r>
      <w:r>
        <w:rPr>
          <w:snapToGrid/>
          <w:szCs w:val="26"/>
        </w:rPr>
        <w:t>，</w:t>
      </w:r>
      <w:r>
        <w:rPr>
          <w:rFonts w:hint="eastAsia"/>
          <w:snapToGrid/>
          <w:szCs w:val="26"/>
        </w:rPr>
        <w:t>开展好中美矿山安全合作项目、中日煤矿安全培训合作项目、中德煤矿和化学品安全管理合作项目。认真筹备、精心组织在中国召开的各类安全生产国际性会议</w:t>
      </w:r>
      <w:r>
        <w:rPr>
          <w:snapToGrid/>
          <w:szCs w:val="26"/>
        </w:rPr>
        <w:t>，</w:t>
      </w:r>
      <w:r>
        <w:rPr>
          <w:rFonts w:hint="eastAsia"/>
          <w:snapToGrid/>
          <w:szCs w:val="26"/>
        </w:rPr>
        <w:t>积极参与安全生产学术交流、技术展示、培训、比武等国际性活动。通过扩大对外开放</w:t>
      </w:r>
      <w:r>
        <w:rPr>
          <w:snapToGrid/>
          <w:szCs w:val="26"/>
        </w:rPr>
        <w:t>，</w:t>
      </w:r>
      <w:r>
        <w:rPr>
          <w:rFonts w:hint="eastAsia"/>
          <w:snapToGrid/>
          <w:szCs w:val="26"/>
        </w:rPr>
        <w:t>进一步拓宽视野</w:t>
      </w:r>
      <w:r>
        <w:rPr>
          <w:snapToGrid/>
          <w:szCs w:val="26"/>
        </w:rPr>
        <w:t>，</w:t>
      </w:r>
      <w:r>
        <w:rPr>
          <w:rFonts w:hint="eastAsia"/>
          <w:snapToGrid/>
          <w:szCs w:val="26"/>
        </w:rPr>
        <w:t>取长补短</w:t>
      </w:r>
      <w:r>
        <w:rPr>
          <w:snapToGrid/>
          <w:szCs w:val="26"/>
        </w:rPr>
        <w:t>，</w:t>
      </w:r>
      <w:r>
        <w:rPr>
          <w:rFonts w:hint="eastAsia"/>
          <w:snapToGrid/>
          <w:szCs w:val="26"/>
        </w:rPr>
        <w:t>把安全生产工作提高到一个新水平。</w:t>
      </w:r>
    </w:p>
    <w:p w:rsidR="00000000" w:rsidRDefault="00000000">
      <w:pPr>
        <w:pStyle w:val="Heading3"/>
        <w:rPr>
          <w:rFonts w:hint="eastAsia"/>
        </w:rPr>
      </w:pPr>
      <w:bookmarkStart w:id="14" w:name="_Toc78772929"/>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八</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参加工会的权利</w:t>
      </w:r>
      <w:bookmarkEnd w:id="14"/>
    </w:p>
    <w:p w:rsidR="00000000" w:rsidRDefault="00000000">
      <w:pPr>
        <w:rPr>
          <w:rFonts w:hint="eastAsia"/>
          <w:snapToGrid/>
          <w:szCs w:val="28"/>
        </w:rPr>
      </w:pPr>
      <w:r>
        <w:rPr>
          <w:rFonts w:hint="eastAsia"/>
          <w:snapToGrid/>
        </w:rPr>
        <w:tab/>
      </w:r>
      <w:r>
        <w:rPr>
          <w:snapToGrid/>
        </w:rPr>
        <w:t xml:space="preserve">69.  </w:t>
      </w:r>
      <w:r>
        <w:rPr>
          <w:rFonts w:hint="eastAsia"/>
          <w:snapToGrid/>
        </w:rPr>
        <w:t>中国一贯高度重视促进和保护工人权利。中国《宪法》、《工会法》和《劳动法》等相关法律明确赋予劳动者享有结社</w:t>
      </w:r>
      <w:r>
        <w:rPr>
          <w:rFonts w:hint="eastAsia"/>
          <w:snapToGrid/>
          <w:szCs w:val="28"/>
        </w:rPr>
        <w:t>自由、自愿组织和参加工会的权利。《宪法》第</w:t>
      </w:r>
      <w:r>
        <w:rPr>
          <w:snapToGrid/>
          <w:szCs w:val="28"/>
        </w:rPr>
        <w:t>35</w:t>
      </w:r>
      <w:r>
        <w:rPr>
          <w:rFonts w:hint="eastAsia"/>
          <w:snapToGrid/>
          <w:szCs w:val="28"/>
        </w:rPr>
        <w:t>条规定</w:t>
      </w:r>
      <w:r>
        <w:rPr>
          <w:snapToGrid/>
          <w:szCs w:val="28"/>
        </w:rPr>
        <w:t>：</w:t>
      </w:r>
      <w:r>
        <w:rPr>
          <w:rFonts w:hint="eastAsia"/>
          <w:snapToGrid/>
        </w:rPr>
        <w:t>“</w:t>
      </w:r>
      <w:r>
        <w:rPr>
          <w:rFonts w:hint="eastAsia"/>
          <w:snapToGrid/>
          <w:szCs w:val="28"/>
        </w:rPr>
        <w:t>中华人民共和国公民有言论、出版、集会、结社、游行、示威的自由。”《工会法》第</w:t>
      </w:r>
      <w:r>
        <w:rPr>
          <w:snapToGrid/>
          <w:szCs w:val="28"/>
        </w:rPr>
        <w:t>3</w:t>
      </w:r>
      <w:r>
        <w:rPr>
          <w:rFonts w:hint="eastAsia"/>
          <w:snapToGrid/>
          <w:szCs w:val="28"/>
        </w:rPr>
        <w:t>条规定</w:t>
      </w:r>
      <w:r>
        <w:rPr>
          <w:snapToGrid/>
          <w:szCs w:val="28"/>
        </w:rPr>
        <w:t>：</w:t>
      </w:r>
      <w:r>
        <w:rPr>
          <w:rFonts w:hint="eastAsia"/>
          <w:snapToGrid/>
        </w:rPr>
        <w:t>“</w:t>
      </w:r>
      <w:r>
        <w:rPr>
          <w:rFonts w:hint="eastAsia"/>
          <w:snapToGrid/>
          <w:szCs w:val="28"/>
        </w:rPr>
        <w:t>在中国境内的企业、事业单位、机关中以工资收入为主要生活来源的体力劳动者和脑力劳动者</w:t>
      </w:r>
      <w:r>
        <w:rPr>
          <w:snapToGrid/>
          <w:szCs w:val="28"/>
        </w:rPr>
        <w:t>，</w:t>
      </w:r>
      <w:r>
        <w:rPr>
          <w:rFonts w:hint="eastAsia"/>
          <w:snapToGrid/>
          <w:szCs w:val="28"/>
        </w:rPr>
        <w:t>不分民族、种族、性别、职业、宗教信仰、教育程度</w:t>
      </w:r>
      <w:r>
        <w:rPr>
          <w:snapToGrid/>
          <w:szCs w:val="28"/>
        </w:rPr>
        <w:t>，</w:t>
      </w:r>
      <w:r>
        <w:rPr>
          <w:rFonts w:hint="eastAsia"/>
          <w:snapToGrid/>
          <w:szCs w:val="28"/>
        </w:rPr>
        <w:t>都有依法参加和组织工会的权利。任何组织和个人不得阻挠和限制。”《劳动法》第</w:t>
      </w:r>
      <w:r>
        <w:rPr>
          <w:snapToGrid/>
          <w:szCs w:val="28"/>
        </w:rPr>
        <w:t>7</w:t>
      </w:r>
      <w:r>
        <w:rPr>
          <w:rFonts w:hint="eastAsia"/>
          <w:snapToGrid/>
          <w:szCs w:val="28"/>
        </w:rPr>
        <w:t>条第</w:t>
      </w:r>
      <w:r>
        <w:rPr>
          <w:snapToGrid/>
          <w:szCs w:val="28"/>
        </w:rPr>
        <w:t>1</w:t>
      </w:r>
      <w:r>
        <w:rPr>
          <w:rFonts w:hint="eastAsia"/>
          <w:snapToGrid/>
          <w:szCs w:val="28"/>
        </w:rPr>
        <w:t>款规定</w:t>
      </w:r>
      <w:r>
        <w:rPr>
          <w:snapToGrid/>
          <w:szCs w:val="28"/>
        </w:rPr>
        <w:t>：</w:t>
      </w:r>
      <w:r>
        <w:rPr>
          <w:rFonts w:hint="eastAsia"/>
          <w:snapToGrid/>
        </w:rPr>
        <w:t>“</w:t>
      </w:r>
      <w:r>
        <w:rPr>
          <w:rFonts w:hint="eastAsia"/>
          <w:snapToGrid/>
          <w:szCs w:val="28"/>
        </w:rPr>
        <w:t>劳动者有权依法参加和组织工会。”</w:t>
      </w:r>
      <w:r>
        <w:rPr>
          <w:snapToGrid/>
          <w:szCs w:val="28"/>
        </w:rPr>
        <w:t>2001</w:t>
      </w:r>
      <w:r>
        <w:rPr>
          <w:rFonts w:hint="eastAsia"/>
          <w:snapToGrid/>
          <w:szCs w:val="28"/>
        </w:rPr>
        <w:t>年</w:t>
      </w:r>
      <w:r>
        <w:rPr>
          <w:snapToGrid/>
          <w:szCs w:val="28"/>
        </w:rPr>
        <w:t>10</w:t>
      </w:r>
      <w:r>
        <w:rPr>
          <w:rFonts w:hint="eastAsia"/>
          <w:snapToGrid/>
          <w:szCs w:val="28"/>
        </w:rPr>
        <w:t>月</w:t>
      </w:r>
      <w:r>
        <w:rPr>
          <w:snapToGrid/>
          <w:szCs w:val="28"/>
        </w:rPr>
        <w:t>，</w:t>
      </w:r>
      <w:r>
        <w:rPr>
          <w:rFonts w:hint="eastAsia"/>
          <w:snapToGrid/>
          <w:szCs w:val="28"/>
        </w:rPr>
        <w:t>全国人大常委会对《工会法》进行修订</w:t>
      </w:r>
      <w:r>
        <w:rPr>
          <w:snapToGrid/>
          <w:szCs w:val="28"/>
        </w:rPr>
        <w:t>，</w:t>
      </w:r>
      <w:r>
        <w:rPr>
          <w:rFonts w:hint="eastAsia"/>
          <w:snapToGrid/>
          <w:szCs w:val="28"/>
        </w:rPr>
        <w:t>明确规定了侵犯职工组织和参加工会权利应负的法律责任。修改后的《工会法》第</w:t>
      </w:r>
      <w:r>
        <w:rPr>
          <w:snapToGrid/>
          <w:szCs w:val="28"/>
        </w:rPr>
        <w:t>50</w:t>
      </w:r>
      <w:r>
        <w:rPr>
          <w:rFonts w:hint="eastAsia"/>
          <w:snapToGrid/>
          <w:szCs w:val="28"/>
        </w:rPr>
        <w:t>条规定</w:t>
      </w:r>
      <w:r>
        <w:rPr>
          <w:snapToGrid/>
          <w:szCs w:val="28"/>
        </w:rPr>
        <w:t>：</w:t>
      </w:r>
      <w:r>
        <w:rPr>
          <w:rFonts w:hint="eastAsia"/>
          <w:snapToGrid/>
        </w:rPr>
        <w:t>“</w:t>
      </w:r>
      <w:r>
        <w:rPr>
          <w:rFonts w:hint="eastAsia"/>
          <w:snapToGrid/>
          <w:szCs w:val="28"/>
        </w:rPr>
        <w:t>违反本法第三条、第十一条规定</w:t>
      </w:r>
      <w:r>
        <w:rPr>
          <w:snapToGrid/>
          <w:szCs w:val="28"/>
        </w:rPr>
        <w:t>，</w:t>
      </w:r>
      <w:r>
        <w:rPr>
          <w:rFonts w:hint="eastAsia"/>
          <w:snapToGrid/>
          <w:szCs w:val="28"/>
        </w:rPr>
        <w:t>阻挠职工依法参加和组织工会或者阻挠上级工会帮助、指导职工筹建工会的</w:t>
      </w:r>
      <w:r>
        <w:rPr>
          <w:snapToGrid/>
          <w:szCs w:val="28"/>
        </w:rPr>
        <w:t>，</w:t>
      </w:r>
      <w:r>
        <w:rPr>
          <w:rFonts w:hint="eastAsia"/>
          <w:snapToGrid/>
          <w:szCs w:val="28"/>
        </w:rPr>
        <w:t>由劳动行政部门责令其改正</w:t>
      </w:r>
      <w:r>
        <w:rPr>
          <w:snapToGrid/>
          <w:szCs w:val="28"/>
        </w:rPr>
        <w:t>；</w:t>
      </w:r>
      <w:r>
        <w:rPr>
          <w:rFonts w:hint="eastAsia"/>
          <w:snapToGrid/>
          <w:szCs w:val="28"/>
        </w:rPr>
        <w:t>拒不改正的</w:t>
      </w:r>
      <w:r>
        <w:rPr>
          <w:snapToGrid/>
          <w:szCs w:val="28"/>
        </w:rPr>
        <w:t>，</w:t>
      </w:r>
      <w:r>
        <w:rPr>
          <w:rFonts w:hint="eastAsia"/>
          <w:snapToGrid/>
          <w:szCs w:val="28"/>
        </w:rPr>
        <w:t>由劳动行政部门提请县级以上人民政府处理</w:t>
      </w:r>
      <w:r>
        <w:rPr>
          <w:snapToGrid/>
          <w:szCs w:val="28"/>
        </w:rPr>
        <w:t>；</w:t>
      </w:r>
      <w:r>
        <w:rPr>
          <w:rFonts w:hint="eastAsia"/>
          <w:snapToGrid/>
          <w:szCs w:val="28"/>
        </w:rPr>
        <w:t>以暴力、威胁等手段阻挠造成严重后果</w:t>
      </w:r>
      <w:r>
        <w:rPr>
          <w:snapToGrid/>
          <w:szCs w:val="28"/>
        </w:rPr>
        <w:t>，</w:t>
      </w:r>
      <w:r>
        <w:rPr>
          <w:rFonts w:hint="eastAsia"/>
          <w:snapToGrid/>
          <w:szCs w:val="28"/>
        </w:rPr>
        <w:t>构成犯罪的</w:t>
      </w:r>
      <w:r>
        <w:rPr>
          <w:snapToGrid/>
          <w:szCs w:val="28"/>
        </w:rPr>
        <w:t>，</w:t>
      </w:r>
      <w:r>
        <w:rPr>
          <w:rFonts w:hint="eastAsia"/>
          <w:snapToGrid/>
          <w:szCs w:val="28"/>
        </w:rPr>
        <w:t>依法追究刑事责任。”第</w:t>
      </w:r>
      <w:r>
        <w:rPr>
          <w:snapToGrid/>
          <w:szCs w:val="28"/>
        </w:rPr>
        <w:t>53</w:t>
      </w:r>
      <w:r>
        <w:rPr>
          <w:rFonts w:hint="eastAsia"/>
          <w:snapToGrid/>
          <w:szCs w:val="28"/>
        </w:rPr>
        <w:t>条中规定</w:t>
      </w:r>
      <w:r>
        <w:rPr>
          <w:snapToGrid/>
          <w:szCs w:val="28"/>
        </w:rPr>
        <w:t>：</w:t>
      </w:r>
      <w:r>
        <w:rPr>
          <w:rFonts w:hint="eastAsia"/>
          <w:snapToGrid/>
        </w:rPr>
        <w:t>“</w:t>
      </w:r>
      <w:r>
        <w:rPr>
          <w:rFonts w:hint="eastAsia"/>
          <w:snapToGrid/>
          <w:szCs w:val="28"/>
        </w:rPr>
        <w:t>非法撤销、合并工会组织的</w:t>
      </w:r>
      <w:r>
        <w:rPr>
          <w:snapToGrid/>
          <w:szCs w:val="28"/>
        </w:rPr>
        <w:t>，</w:t>
      </w:r>
      <w:r>
        <w:rPr>
          <w:rFonts w:hint="eastAsia"/>
          <w:snapToGrid/>
          <w:szCs w:val="28"/>
        </w:rPr>
        <w:t>由县级以上人民政府责令改正</w:t>
      </w:r>
      <w:r>
        <w:rPr>
          <w:snapToGrid/>
          <w:szCs w:val="28"/>
        </w:rPr>
        <w:t>，</w:t>
      </w:r>
      <w:r>
        <w:rPr>
          <w:rFonts w:hint="eastAsia"/>
          <w:snapToGrid/>
          <w:szCs w:val="28"/>
        </w:rPr>
        <w:t>依法处理。”</w:t>
      </w:r>
    </w:p>
    <w:p w:rsidR="00000000" w:rsidRDefault="00000000">
      <w:pPr>
        <w:rPr>
          <w:snapToGrid/>
          <w:szCs w:val="28"/>
        </w:rPr>
      </w:pPr>
      <w:r>
        <w:rPr>
          <w:rFonts w:hint="eastAsia"/>
          <w:snapToGrid/>
          <w:szCs w:val="28"/>
        </w:rPr>
        <w:tab/>
      </w:r>
      <w:r>
        <w:rPr>
          <w:snapToGrid/>
          <w:szCs w:val="28"/>
        </w:rPr>
        <w:t xml:space="preserve">70.  </w:t>
      </w:r>
      <w:r>
        <w:rPr>
          <w:rFonts w:hint="eastAsia"/>
          <w:snapToGrid/>
          <w:szCs w:val="28"/>
        </w:rPr>
        <w:t>需要说明的是</w:t>
      </w:r>
      <w:r>
        <w:rPr>
          <w:snapToGrid/>
          <w:szCs w:val="28"/>
        </w:rPr>
        <w:t>，</w:t>
      </w:r>
      <w:r>
        <w:rPr>
          <w:rFonts w:hint="eastAsia"/>
          <w:snapToGrid/>
          <w:szCs w:val="28"/>
        </w:rPr>
        <w:t>出于保障国家安全和维护公共秩序的目的</w:t>
      </w:r>
      <w:r>
        <w:rPr>
          <w:snapToGrid/>
          <w:szCs w:val="28"/>
        </w:rPr>
        <w:t>，</w:t>
      </w:r>
      <w:r>
        <w:rPr>
          <w:rFonts w:hint="eastAsia"/>
          <w:snapToGrid/>
          <w:szCs w:val="28"/>
        </w:rPr>
        <w:t>同时由于中国实行义务兵役制</w:t>
      </w:r>
      <w:r>
        <w:rPr>
          <w:snapToGrid/>
          <w:szCs w:val="28"/>
        </w:rPr>
        <w:t>，</w:t>
      </w:r>
      <w:r>
        <w:rPr>
          <w:rFonts w:hint="eastAsia"/>
          <w:snapToGrid/>
          <w:szCs w:val="28"/>
        </w:rPr>
        <w:t>军队和武装警察的现役人员不是以工资收入为主要生活来源的劳动者</w:t>
      </w:r>
      <w:r>
        <w:rPr>
          <w:snapToGrid/>
          <w:szCs w:val="28"/>
        </w:rPr>
        <w:t>，</w:t>
      </w:r>
      <w:r>
        <w:rPr>
          <w:rFonts w:hint="eastAsia"/>
          <w:snapToGrid/>
          <w:szCs w:val="28"/>
        </w:rPr>
        <w:t>没有参加和组织工会。</w:t>
      </w:r>
    </w:p>
    <w:p w:rsidR="00000000" w:rsidRDefault="00000000">
      <w:pPr>
        <w:rPr>
          <w:snapToGrid/>
          <w:szCs w:val="28"/>
        </w:rPr>
      </w:pPr>
      <w:r>
        <w:rPr>
          <w:snapToGrid/>
          <w:szCs w:val="28"/>
        </w:rPr>
        <w:tab/>
        <w:t xml:space="preserve">71.  </w:t>
      </w:r>
      <w:r>
        <w:rPr>
          <w:rFonts w:hint="eastAsia"/>
          <w:snapToGrid/>
          <w:szCs w:val="28"/>
        </w:rPr>
        <w:t>《工会法》第</w:t>
      </w:r>
      <w:r>
        <w:rPr>
          <w:snapToGrid/>
          <w:szCs w:val="28"/>
        </w:rPr>
        <w:t>2</w:t>
      </w:r>
      <w:r>
        <w:rPr>
          <w:rFonts w:hint="eastAsia"/>
          <w:snapToGrid/>
          <w:szCs w:val="28"/>
        </w:rPr>
        <w:t>条规定</w:t>
      </w:r>
      <w:r>
        <w:rPr>
          <w:snapToGrid/>
          <w:szCs w:val="28"/>
        </w:rPr>
        <w:t>：</w:t>
      </w:r>
      <w:r>
        <w:rPr>
          <w:rFonts w:hint="eastAsia"/>
          <w:snapToGrid/>
        </w:rPr>
        <w:t>“</w:t>
      </w:r>
      <w:r>
        <w:rPr>
          <w:rFonts w:hint="eastAsia"/>
          <w:snapToGrid/>
          <w:szCs w:val="28"/>
        </w:rPr>
        <w:t>工会是职工自愿结合的工人阶级的群众组织。中华全国总工会及其各工会组织代表职工的利益</w:t>
      </w:r>
      <w:r>
        <w:rPr>
          <w:snapToGrid/>
          <w:szCs w:val="28"/>
        </w:rPr>
        <w:t>，</w:t>
      </w:r>
      <w:r>
        <w:rPr>
          <w:rFonts w:hint="eastAsia"/>
          <w:snapToGrid/>
          <w:szCs w:val="28"/>
        </w:rPr>
        <w:t>依法维护职工的合法权益。”《劳动法》第</w:t>
      </w:r>
      <w:r>
        <w:rPr>
          <w:snapToGrid/>
          <w:szCs w:val="28"/>
        </w:rPr>
        <w:t>7</w:t>
      </w:r>
      <w:r>
        <w:rPr>
          <w:rFonts w:hint="eastAsia"/>
          <w:snapToGrid/>
          <w:szCs w:val="28"/>
        </w:rPr>
        <w:t>条第</w:t>
      </w:r>
      <w:r>
        <w:rPr>
          <w:snapToGrid/>
          <w:szCs w:val="28"/>
        </w:rPr>
        <w:t>2</w:t>
      </w:r>
      <w:r>
        <w:rPr>
          <w:rFonts w:hint="eastAsia"/>
          <w:snapToGrid/>
          <w:szCs w:val="28"/>
        </w:rPr>
        <w:t>款规定</w:t>
      </w:r>
      <w:r>
        <w:rPr>
          <w:snapToGrid/>
          <w:szCs w:val="28"/>
        </w:rPr>
        <w:t>：</w:t>
      </w:r>
      <w:r>
        <w:rPr>
          <w:rFonts w:hint="eastAsia"/>
          <w:snapToGrid/>
        </w:rPr>
        <w:t>“</w:t>
      </w:r>
      <w:r>
        <w:rPr>
          <w:rFonts w:hint="eastAsia"/>
          <w:snapToGrid/>
          <w:szCs w:val="28"/>
        </w:rPr>
        <w:t>工会代表和维护劳动者的合法权益</w:t>
      </w:r>
      <w:r>
        <w:rPr>
          <w:snapToGrid/>
          <w:szCs w:val="28"/>
        </w:rPr>
        <w:t>，</w:t>
      </w:r>
      <w:r>
        <w:rPr>
          <w:rFonts w:hint="eastAsia"/>
          <w:snapToGrid/>
          <w:szCs w:val="28"/>
        </w:rPr>
        <w:t>依法独立自主地开展活动。</w:t>
      </w:r>
      <w:r>
        <w:rPr>
          <w:rFonts w:hint="eastAsia"/>
          <w:snapToGrid/>
        </w:rPr>
        <w:t>”</w:t>
      </w:r>
      <w:r>
        <w:rPr>
          <w:rFonts w:hint="eastAsia"/>
          <w:snapToGrid/>
          <w:szCs w:val="28"/>
        </w:rPr>
        <w:t>根据《工会法》规定，中国建立统一的中华全国总工会，这是在中国工人运动发展的历史进程中自然形成的，是亿万职工自愿选择的结果</w:t>
      </w:r>
      <w:r>
        <w:rPr>
          <w:snapToGrid/>
          <w:szCs w:val="28"/>
        </w:rPr>
        <w:t>，</w:t>
      </w:r>
      <w:r>
        <w:rPr>
          <w:rFonts w:hint="eastAsia"/>
          <w:snapToGrid/>
          <w:szCs w:val="28"/>
        </w:rPr>
        <w:t>它有利于工会更好地代表和维护广大职工的利益。多年来</w:t>
      </w:r>
      <w:r>
        <w:rPr>
          <w:snapToGrid/>
          <w:szCs w:val="28"/>
        </w:rPr>
        <w:t>，</w:t>
      </w:r>
      <w:r>
        <w:rPr>
          <w:rFonts w:hint="eastAsia"/>
          <w:snapToGrid/>
          <w:szCs w:val="28"/>
        </w:rPr>
        <w:t>中华全国总工会及其各级工会组织以维护职工的合法权益为根本宗旨</w:t>
      </w:r>
      <w:r>
        <w:rPr>
          <w:snapToGrid/>
          <w:szCs w:val="28"/>
        </w:rPr>
        <w:t>，</w:t>
      </w:r>
      <w:r>
        <w:rPr>
          <w:rFonts w:hint="eastAsia"/>
          <w:snapToGrid/>
          <w:szCs w:val="28"/>
        </w:rPr>
        <w:t>开展了大量卓有成效的工作</w:t>
      </w:r>
      <w:r>
        <w:rPr>
          <w:snapToGrid/>
          <w:szCs w:val="28"/>
        </w:rPr>
        <w:t>，</w:t>
      </w:r>
      <w:r>
        <w:rPr>
          <w:rFonts w:hint="eastAsia"/>
          <w:snapToGrid/>
          <w:szCs w:val="28"/>
        </w:rPr>
        <w:t>赢得了职工群众的广泛信任。</w:t>
      </w:r>
    </w:p>
    <w:p w:rsidR="00000000" w:rsidRDefault="00000000">
      <w:pPr>
        <w:rPr>
          <w:snapToGrid/>
          <w:szCs w:val="28"/>
        </w:rPr>
      </w:pPr>
      <w:r>
        <w:rPr>
          <w:snapToGrid/>
          <w:szCs w:val="28"/>
        </w:rPr>
        <w:tab/>
        <w:t xml:space="preserve">72.  </w:t>
      </w:r>
      <w:r>
        <w:rPr>
          <w:rFonts w:hint="eastAsia"/>
          <w:snapToGrid/>
          <w:szCs w:val="28"/>
        </w:rPr>
        <w:t>中国各级工会组织依照法律规定积极采取措施</w:t>
      </w:r>
      <w:r>
        <w:rPr>
          <w:snapToGrid/>
          <w:szCs w:val="28"/>
        </w:rPr>
        <w:t>，</w:t>
      </w:r>
      <w:r>
        <w:rPr>
          <w:rFonts w:hint="eastAsia"/>
          <w:snapToGrid/>
          <w:szCs w:val="28"/>
        </w:rPr>
        <w:t>力争最大限度地把广大职工组织到工会来。截至</w:t>
      </w:r>
      <w:r>
        <w:rPr>
          <w:snapToGrid/>
          <w:szCs w:val="28"/>
        </w:rPr>
        <w:t>2002</w:t>
      </w:r>
      <w:r>
        <w:rPr>
          <w:rFonts w:hint="eastAsia"/>
          <w:snapToGrid/>
          <w:szCs w:val="28"/>
        </w:rPr>
        <w:t>年</w:t>
      </w:r>
      <w:r>
        <w:rPr>
          <w:snapToGrid/>
          <w:szCs w:val="28"/>
        </w:rPr>
        <w:t>6</w:t>
      </w:r>
      <w:r>
        <w:rPr>
          <w:rFonts w:hint="eastAsia"/>
          <w:snapToGrid/>
          <w:szCs w:val="28"/>
        </w:rPr>
        <w:t>月底</w:t>
      </w:r>
      <w:r>
        <w:rPr>
          <w:snapToGrid/>
          <w:szCs w:val="28"/>
        </w:rPr>
        <w:t>，</w:t>
      </w:r>
      <w:r>
        <w:rPr>
          <w:rFonts w:hint="eastAsia"/>
          <w:snapToGrid/>
          <w:szCs w:val="28"/>
        </w:rPr>
        <w:t>全国已建基层工会组织</w:t>
      </w:r>
      <w:r>
        <w:rPr>
          <w:snapToGrid/>
          <w:szCs w:val="28"/>
        </w:rPr>
        <w:t>165.8</w:t>
      </w:r>
      <w:r>
        <w:rPr>
          <w:rFonts w:hint="eastAsia"/>
          <w:snapToGrid/>
          <w:szCs w:val="28"/>
        </w:rPr>
        <w:t>万多个</w:t>
      </w:r>
      <w:r>
        <w:rPr>
          <w:snapToGrid/>
          <w:szCs w:val="28"/>
        </w:rPr>
        <w:t>，</w:t>
      </w:r>
      <w:r>
        <w:rPr>
          <w:rFonts w:hint="eastAsia"/>
          <w:snapToGrid/>
          <w:szCs w:val="28"/>
        </w:rPr>
        <w:t>会员达到</w:t>
      </w:r>
      <w:r>
        <w:rPr>
          <w:snapToGrid/>
          <w:szCs w:val="28"/>
        </w:rPr>
        <w:t>1.31</w:t>
      </w:r>
      <w:r>
        <w:rPr>
          <w:rFonts w:hint="eastAsia"/>
          <w:snapToGrid/>
          <w:szCs w:val="28"/>
        </w:rPr>
        <w:t>亿多人。同时</w:t>
      </w:r>
      <w:r>
        <w:rPr>
          <w:snapToGrid/>
          <w:szCs w:val="28"/>
        </w:rPr>
        <w:t>，</w:t>
      </w:r>
      <w:r>
        <w:rPr>
          <w:rFonts w:hint="eastAsia"/>
          <w:snapToGrid/>
          <w:szCs w:val="28"/>
        </w:rPr>
        <w:t>适应中国经济改革及所有制结构的变化</w:t>
      </w:r>
      <w:r>
        <w:rPr>
          <w:snapToGrid/>
          <w:szCs w:val="28"/>
        </w:rPr>
        <w:t>，</w:t>
      </w:r>
      <w:r>
        <w:rPr>
          <w:rFonts w:hint="eastAsia"/>
          <w:snapToGrid/>
          <w:szCs w:val="28"/>
        </w:rPr>
        <w:t>各级工会在组织体制、工作机制、活动方式、职责履行等方面大胆创新</w:t>
      </w:r>
      <w:r>
        <w:rPr>
          <w:snapToGrid/>
          <w:szCs w:val="28"/>
        </w:rPr>
        <w:t>，</w:t>
      </w:r>
      <w:r>
        <w:rPr>
          <w:rFonts w:hint="eastAsia"/>
          <w:snapToGrid/>
          <w:szCs w:val="28"/>
        </w:rPr>
        <w:t>逐步建立健全了延伸到乡镇、街道、社区和经济技术开发区、工业区、高新技术园区直至行政村的工会组织领导体制。全国乡镇、街道工会发展到</w:t>
      </w:r>
      <w:r>
        <w:rPr>
          <w:snapToGrid/>
          <w:szCs w:val="28"/>
        </w:rPr>
        <w:t>37784</w:t>
      </w:r>
      <w:r>
        <w:rPr>
          <w:rFonts w:hint="eastAsia"/>
          <w:snapToGrid/>
          <w:szCs w:val="28"/>
        </w:rPr>
        <w:t>家和</w:t>
      </w:r>
      <w:r>
        <w:rPr>
          <w:snapToGrid/>
          <w:szCs w:val="28"/>
        </w:rPr>
        <w:t>5300</w:t>
      </w:r>
      <w:r>
        <w:rPr>
          <w:rFonts w:hint="eastAsia"/>
          <w:snapToGrid/>
          <w:szCs w:val="28"/>
        </w:rPr>
        <w:t>家</w:t>
      </w:r>
      <w:r>
        <w:rPr>
          <w:snapToGrid/>
          <w:szCs w:val="28"/>
        </w:rPr>
        <w:t>，</w:t>
      </w:r>
      <w:r>
        <w:rPr>
          <w:rFonts w:hint="eastAsia"/>
          <w:snapToGrid/>
          <w:szCs w:val="28"/>
        </w:rPr>
        <w:t>分别占乡镇、街道总数</w:t>
      </w:r>
      <w:r>
        <w:rPr>
          <w:snapToGrid/>
          <w:szCs w:val="28"/>
        </w:rPr>
        <w:t>94%</w:t>
      </w:r>
      <w:r>
        <w:rPr>
          <w:rFonts w:hint="eastAsia"/>
          <w:snapToGrid/>
          <w:szCs w:val="28"/>
        </w:rPr>
        <w:t>、</w:t>
      </w:r>
      <w:r>
        <w:rPr>
          <w:snapToGrid/>
          <w:szCs w:val="28"/>
        </w:rPr>
        <w:t>93%</w:t>
      </w:r>
      <w:r>
        <w:rPr>
          <w:rFonts w:hint="eastAsia"/>
          <w:snapToGrid/>
          <w:szCs w:val="28"/>
        </w:rPr>
        <w:t>。</w:t>
      </w:r>
    </w:p>
    <w:p w:rsidR="00000000" w:rsidRDefault="00000000">
      <w:pPr>
        <w:rPr>
          <w:snapToGrid/>
        </w:rPr>
      </w:pPr>
      <w:r>
        <w:rPr>
          <w:snapToGrid/>
          <w:szCs w:val="28"/>
        </w:rPr>
        <w:tab/>
        <w:t xml:space="preserve">73.  </w:t>
      </w:r>
      <w:r>
        <w:rPr>
          <w:rFonts w:hint="eastAsia"/>
          <w:snapToGrid/>
          <w:szCs w:val="28"/>
        </w:rPr>
        <w:t>中国各级工会通过多种渠道</w:t>
      </w:r>
      <w:r>
        <w:rPr>
          <w:snapToGrid/>
          <w:szCs w:val="28"/>
        </w:rPr>
        <w:t>，</w:t>
      </w:r>
      <w:r>
        <w:rPr>
          <w:rFonts w:hint="eastAsia"/>
          <w:snapToGrid/>
          <w:szCs w:val="28"/>
        </w:rPr>
        <w:t>如与同级政府及有关部门召开联席</w:t>
      </w:r>
      <w:r>
        <w:rPr>
          <w:snapToGrid/>
          <w:szCs w:val="28"/>
        </w:rPr>
        <w:t>(</w:t>
      </w:r>
      <w:r>
        <w:rPr>
          <w:rFonts w:hint="eastAsia"/>
          <w:snapToGrid/>
          <w:szCs w:val="28"/>
        </w:rPr>
        <w:t>联系</w:t>
      </w:r>
      <w:r>
        <w:rPr>
          <w:snapToGrid/>
          <w:szCs w:val="28"/>
        </w:rPr>
        <w:t>)</w:t>
      </w:r>
      <w:r>
        <w:rPr>
          <w:rFonts w:hint="eastAsia"/>
          <w:snapToGrid/>
          <w:szCs w:val="28"/>
        </w:rPr>
        <w:t>会议，与政府、企业代表组织进行劳动关系三方协商</w:t>
      </w:r>
      <w:r>
        <w:rPr>
          <w:snapToGrid/>
          <w:szCs w:val="28"/>
        </w:rPr>
        <w:t>，</w:t>
      </w:r>
      <w:r>
        <w:rPr>
          <w:rFonts w:hint="eastAsia"/>
          <w:snapToGrid/>
          <w:szCs w:val="28"/>
        </w:rPr>
        <w:t>强化劳动和社会保障监察与工会劳动法律监督相互协调配合等</w:t>
      </w:r>
      <w:r>
        <w:rPr>
          <w:snapToGrid/>
          <w:szCs w:val="28"/>
        </w:rPr>
        <w:t>，</w:t>
      </w:r>
      <w:r>
        <w:rPr>
          <w:rFonts w:hint="eastAsia"/>
          <w:snapToGrid/>
          <w:szCs w:val="28"/>
        </w:rPr>
        <w:t>积极参与国家劳动标准及涉及职工切身利益的法律法规及政策的制定，提出工会的意见和政策主张，在源头参与和宏观维护方面取得很大成就。国家协调劳动关系三方会议自</w:t>
      </w:r>
      <w:r>
        <w:rPr>
          <w:snapToGrid/>
          <w:szCs w:val="28"/>
        </w:rPr>
        <w:t>2001</w:t>
      </w:r>
      <w:r>
        <w:rPr>
          <w:rFonts w:hint="eastAsia"/>
          <w:snapToGrid/>
          <w:szCs w:val="28"/>
        </w:rPr>
        <w:t>年</w:t>
      </w:r>
      <w:r>
        <w:rPr>
          <w:snapToGrid/>
          <w:szCs w:val="28"/>
        </w:rPr>
        <w:t>8</w:t>
      </w:r>
      <w:r>
        <w:rPr>
          <w:rFonts w:hint="eastAsia"/>
          <w:snapToGrid/>
          <w:szCs w:val="28"/>
        </w:rPr>
        <w:t>月建立以来</w:t>
      </w:r>
      <w:r>
        <w:rPr>
          <w:snapToGrid/>
          <w:szCs w:val="28"/>
        </w:rPr>
        <w:t>，</w:t>
      </w:r>
      <w:r>
        <w:rPr>
          <w:rFonts w:hint="eastAsia"/>
          <w:snapToGrid/>
          <w:szCs w:val="28"/>
        </w:rPr>
        <w:t>已召开四次会议</w:t>
      </w:r>
      <w:r>
        <w:rPr>
          <w:snapToGrid/>
          <w:szCs w:val="28"/>
        </w:rPr>
        <w:t>，</w:t>
      </w:r>
      <w:r>
        <w:rPr>
          <w:rFonts w:hint="eastAsia"/>
          <w:snapToGrid/>
          <w:szCs w:val="28"/>
        </w:rPr>
        <w:t>全国有</w:t>
      </w:r>
      <w:r>
        <w:rPr>
          <w:snapToGrid/>
          <w:szCs w:val="28"/>
        </w:rPr>
        <w:t>30</w:t>
      </w:r>
      <w:r>
        <w:rPr>
          <w:rFonts w:hint="eastAsia"/>
          <w:snapToGrid/>
          <w:szCs w:val="28"/>
        </w:rPr>
        <w:t>个省</w:t>
      </w:r>
      <w:r>
        <w:rPr>
          <w:snapToGrid/>
          <w:szCs w:val="28"/>
        </w:rPr>
        <w:t>(</w:t>
      </w:r>
      <w:r>
        <w:rPr>
          <w:rFonts w:hint="eastAsia"/>
          <w:snapToGrid/>
          <w:szCs w:val="28"/>
        </w:rPr>
        <w:t>自治区、直辖市</w:t>
      </w:r>
      <w:r>
        <w:rPr>
          <w:snapToGrid/>
          <w:szCs w:val="28"/>
        </w:rPr>
        <w:t>)</w:t>
      </w:r>
      <w:r>
        <w:rPr>
          <w:rFonts w:hint="eastAsia"/>
          <w:snapToGrid/>
          <w:szCs w:val="28"/>
        </w:rPr>
        <w:t>建</w:t>
      </w:r>
      <w:r>
        <w:rPr>
          <w:rFonts w:hint="eastAsia"/>
          <w:snapToGrid/>
        </w:rPr>
        <w:t>立了劳动关系三方协商会议制度</w:t>
      </w:r>
      <w:r>
        <w:rPr>
          <w:snapToGrid/>
        </w:rPr>
        <w:t>；</w:t>
      </w:r>
      <w:r>
        <w:rPr>
          <w:rFonts w:hint="eastAsia"/>
          <w:snapToGrid/>
        </w:rPr>
        <w:t>有</w:t>
      </w:r>
      <w:r>
        <w:rPr>
          <w:snapToGrid/>
        </w:rPr>
        <w:t>17</w:t>
      </w:r>
      <w:r>
        <w:rPr>
          <w:rFonts w:hint="eastAsia"/>
          <w:snapToGrid/>
        </w:rPr>
        <w:t>个省</w:t>
      </w:r>
      <w:r>
        <w:rPr>
          <w:snapToGrid/>
        </w:rPr>
        <w:t>(</w:t>
      </w:r>
      <w:r>
        <w:rPr>
          <w:rFonts w:hint="eastAsia"/>
          <w:snapToGrid/>
        </w:rPr>
        <w:t>自治区、直辖市</w:t>
      </w:r>
      <w:r>
        <w:rPr>
          <w:snapToGrid/>
        </w:rPr>
        <w:t>)</w:t>
      </w:r>
      <w:r>
        <w:rPr>
          <w:rFonts w:hint="eastAsia"/>
          <w:snapToGrid/>
        </w:rPr>
        <w:t>建立了联席</w:t>
      </w:r>
      <w:r>
        <w:rPr>
          <w:snapToGrid/>
        </w:rPr>
        <w:t>(</w:t>
      </w:r>
      <w:r>
        <w:rPr>
          <w:rFonts w:hint="eastAsia"/>
          <w:snapToGrid/>
        </w:rPr>
        <w:t>联系</w:t>
      </w:r>
      <w:r>
        <w:rPr>
          <w:snapToGrid/>
        </w:rPr>
        <w:t>)</w:t>
      </w:r>
      <w:r>
        <w:rPr>
          <w:rFonts w:hint="eastAsia"/>
          <w:snapToGrid/>
        </w:rPr>
        <w:t>会议制度</w:t>
      </w:r>
      <w:r>
        <w:rPr>
          <w:snapToGrid/>
        </w:rPr>
        <w:t>；</w:t>
      </w:r>
      <w:r>
        <w:rPr>
          <w:rFonts w:hint="eastAsia"/>
          <w:snapToGrid/>
        </w:rPr>
        <w:t>有</w:t>
      </w:r>
      <w:r>
        <w:rPr>
          <w:snapToGrid/>
        </w:rPr>
        <w:t>21</w:t>
      </w:r>
      <w:r>
        <w:rPr>
          <w:rFonts w:hint="eastAsia"/>
          <w:snapToGrid/>
        </w:rPr>
        <w:t>个省</w:t>
      </w:r>
      <w:r>
        <w:rPr>
          <w:snapToGrid/>
        </w:rPr>
        <w:t>(</w:t>
      </w:r>
      <w:r>
        <w:rPr>
          <w:rFonts w:hint="eastAsia"/>
          <w:snapToGrid/>
        </w:rPr>
        <w:t>自治区、直辖市</w:t>
      </w:r>
      <w:r>
        <w:rPr>
          <w:snapToGrid/>
        </w:rPr>
        <w:t>)</w:t>
      </w:r>
      <w:r>
        <w:rPr>
          <w:rFonts w:hint="eastAsia"/>
          <w:snapToGrid/>
        </w:rPr>
        <w:t>建立了联席</w:t>
      </w:r>
      <w:r>
        <w:rPr>
          <w:snapToGrid/>
        </w:rPr>
        <w:t>(</w:t>
      </w:r>
      <w:r>
        <w:rPr>
          <w:rFonts w:hint="eastAsia"/>
          <w:snapToGrid/>
        </w:rPr>
        <w:t>联系</w:t>
      </w:r>
      <w:r>
        <w:rPr>
          <w:snapToGrid/>
        </w:rPr>
        <w:t>)</w:t>
      </w:r>
      <w:r>
        <w:rPr>
          <w:rFonts w:hint="eastAsia"/>
          <w:snapToGrid/>
        </w:rPr>
        <w:t>会议制度</w:t>
      </w:r>
      <w:r>
        <w:rPr>
          <w:snapToGrid/>
        </w:rPr>
        <w:t>，</w:t>
      </w:r>
      <w:r>
        <w:rPr>
          <w:rFonts w:hint="eastAsia"/>
          <w:snapToGrid/>
        </w:rPr>
        <w:t>现正向市、县拓展</w:t>
      </w:r>
      <w:r>
        <w:rPr>
          <w:snapToGrid/>
        </w:rPr>
        <w:t>；</w:t>
      </w:r>
      <w:r>
        <w:rPr>
          <w:rFonts w:hint="eastAsia"/>
          <w:snapToGrid/>
        </w:rPr>
        <w:t>仅近</w:t>
      </w:r>
      <w:r>
        <w:rPr>
          <w:snapToGrid/>
        </w:rPr>
        <w:t>5</w:t>
      </w:r>
      <w:r>
        <w:rPr>
          <w:rFonts w:hint="eastAsia"/>
          <w:snapToGrid/>
        </w:rPr>
        <w:t>年</w:t>
      </w:r>
      <w:r>
        <w:rPr>
          <w:snapToGrid/>
        </w:rPr>
        <w:t>，</w:t>
      </w:r>
      <w:r>
        <w:rPr>
          <w:rFonts w:hint="eastAsia"/>
          <w:snapToGrid/>
        </w:rPr>
        <w:t>各级工会参与制定并已实施的涉及职工切身利益的地方立法和政策</w:t>
      </w:r>
      <w:r>
        <w:rPr>
          <w:snapToGrid/>
        </w:rPr>
        <w:t>1264</w:t>
      </w:r>
      <w:r>
        <w:rPr>
          <w:rFonts w:hint="eastAsia"/>
          <w:snapToGrid/>
        </w:rPr>
        <w:t>件。</w:t>
      </w:r>
    </w:p>
    <w:p w:rsidR="00000000" w:rsidRDefault="00000000">
      <w:pPr>
        <w:rPr>
          <w:snapToGrid/>
        </w:rPr>
      </w:pPr>
      <w:r>
        <w:rPr>
          <w:snapToGrid/>
        </w:rPr>
        <w:tab/>
        <w:t xml:space="preserve">74.  </w:t>
      </w:r>
      <w:r>
        <w:rPr>
          <w:rFonts w:hint="eastAsia"/>
          <w:snapToGrid/>
        </w:rPr>
        <w:t>大力推行平等协商、集体合同制度。截至</w:t>
      </w:r>
      <w:r>
        <w:rPr>
          <w:snapToGrid/>
        </w:rPr>
        <w:t>2002</w:t>
      </w:r>
      <w:r>
        <w:rPr>
          <w:rFonts w:hint="eastAsia"/>
          <w:snapToGrid/>
        </w:rPr>
        <w:t>年</w:t>
      </w:r>
      <w:r>
        <w:rPr>
          <w:snapToGrid/>
        </w:rPr>
        <w:t>6</w:t>
      </w:r>
      <w:r>
        <w:rPr>
          <w:rFonts w:hint="eastAsia"/>
          <w:snapToGrid/>
        </w:rPr>
        <w:t>月底</w:t>
      </w:r>
      <w:r>
        <w:rPr>
          <w:snapToGrid/>
        </w:rPr>
        <w:t>，</w:t>
      </w:r>
      <w:r>
        <w:rPr>
          <w:rFonts w:hint="eastAsia"/>
          <w:snapToGrid/>
        </w:rPr>
        <w:t>全国建立平等协商、集体合同制度的企业</w:t>
      </w:r>
      <w:r>
        <w:rPr>
          <w:snapToGrid/>
        </w:rPr>
        <w:t>63.5</w:t>
      </w:r>
      <w:r>
        <w:rPr>
          <w:rFonts w:hint="eastAsia"/>
          <w:snapToGrid/>
        </w:rPr>
        <w:t>万多家，占已建工会企业总数的</w:t>
      </w:r>
      <w:r>
        <w:rPr>
          <w:snapToGrid/>
        </w:rPr>
        <w:t>48.7%</w:t>
      </w:r>
      <w:r>
        <w:rPr>
          <w:rFonts w:hint="eastAsia"/>
          <w:snapToGrid/>
        </w:rPr>
        <w:t>，覆盖职工</w:t>
      </w:r>
      <w:r>
        <w:rPr>
          <w:snapToGrid/>
        </w:rPr>
        <w:t>8000</w:t>
      </w:r>
      <w:r>
        <w:rPr>
          <w:rFonts w:hint="eastAsia"/>
          <w:snapToGrid/>
        </w:rPr>
        <w:t>万人，其中非公有制企业达</w:t>
      </w:r>
      <w:r>
        <w:rPr>
          <w:snapToGrid/>
        </w:rPr>
        <w:t>37.5</w:t>
      </w:r>
      <w:r>
        <w:rPr>
          <w:rFonts w:hint="eastAsia"/>
          <w:snapToGrid/>
        </w:rPr>
        <w:t>万家。中国工会还在积极推行区域性、行业性平等协商和集体合同制度</w:t>
      </w:r>
      <w:r>
        <w:rPr>
          <w:snapToGrid/>
        </w:rPr>
        <w:t>，</w:t>
      </w:r>
      <w:r>
        <w:rPr>
          <w:rFonts w:hint="eastAsia"/>
          <w:snapToGrid/>
        </w:rPr>
        <w:t>全国共签定各类区域性、行业性集体合同</w:t>
      </w:r>
      <w:r>
        <w:rPr>
          <w:snapToGrid/>
        </w:rPr>
        <w:t>2.55</w:t>
      </w:r>
      <w:r>
        <w:rPr>
          <w:rFonts w:hint="eastAsia"/>
          <w:snapToGrid/>
        </w:rPr>
        <w:t>万份</w:t>
      </w:r>
      <w:r>
        <w:rPr>
          <w:snapToGrid/>
        </w:rPr>
        <w:t>，</w:t>
      </w:r>
      <w:r>
        <w:rPr>
          <w:rFonts w:hint="eastAsia"/>
          <w:snapToGrid/>
        </w:rPr>
        <w:t>覆盖企业</w:t>
      </w:r>
      <w:r>
        <w:rPr>
          <w:snapToGrid/>
        </w:rPr>
        <w:t>32.88</w:t>
      </w:r>
      <w:r>
        <w:rPr>
          <w:rFonts w:hint="eastAsia"/>
          <w:snapToGrid/>
        </w:rPr>
        <w:t>万户。此外，全国已有</w:t>
      </w:r>
      <w:r>
        <w:rPr>
          <w:snapToGrid/>
        </w:rPr>
        <w:t>3</w:t>
      </w:r>
      <w:r>
        <w:rPr>
          <w:rFonts w:hint="eastAsia"/>
          <w:snapToGrid/>
        </w:rPr>
        <w:t>万多家企业开展了工资集体协商谈判</w:t>
      </w:r>
      <w:r>
        <w:rPr>
          <w:snapToGrid/>
        </w:rPr>
        <w:t>，</w:t>
      </w:r>
      <w:r>
        <w:rPr>
          <w:rFonts w:hint="eastAsia"/>
          <w:snapToGrid/>
        </w:rPr>
        <w:t>签订了工资专项集体协议。</w:t>
      </w:r>
    </w:p>
    <w:p w:rsidR="00000000" w:rsidRDefault="00000000">
      <w:pPr>
        <w:rPr>
          <w:snapToGrid/>
          <w:szCs w:val="28"/>
        </w:rPr>
      </w:pPr>
      <w:r>
        <w:rPr>
          <w:snapToGrid/>
        </w:rPr>
        <w:tab/>
        <w:t xml:space="preserve">75.  </w:t>
      </w:r>
      <w:r>
        <w:rPr>
          <w:rFonts w:hint="eastAsia"/>
          <w:snapToGrid/>
        </w:rPr>
        <w:t>组织职工开展民主选举、民主决策、民主管理和民主监督。各级工会依法把加强基层民主管理作为重点工作来抓</w:t>
      </w:r>
      <w:r>
        <w:rPr>
          <w:snapToGrid/>
        </w:rPr>
        <w:t>，</w:t>
      </w:r>
      <w:r>
        <w:rPr>
          <w:rFonts w:hint="eastAsia"/>
          <w:snapToGrid/>
        </w:rPr>
        <w:t>在公有制企事业单位依法继续推行职工代表大会制度</w:t>
      </w:r>
      <w:r>
        <w:rPr>
          <w:snapToGrid/>
        </w:rPr>
        <w:t>，</w:t>
      </w:r>
      <w:r>
        <w:rPr>
          <w:rFonts w:hint="eastAsia"/>
          <w:snapToGrid/>
        </w:rPr>
        <w:t>同时在非公有制企业坚持维护职工合法权益、共谋企业发展的指导思想</w:t>
      </w:r>
      <w:r>
        <w:rPr>
          <w:snapToGrid/>
        </w:rPr>
        <w:t>，</w:t>
      </w:r>
      <w:r>
        <w:rPr>
          <w:rFonts w:hint="eastAsia"/>
          <w:snapToGrid/>
        </w:rPr>
        <w:t>积极探索各种与企业实际相适应的形式，努力推进非公有制企事业单位职工民主管理工作，不断落实法律赋予职工的对涉及其切身利益的劳动关系等方面问题的知情权、协商权，以及对企业执行国家法律法规政策和履行集体合同等情况的监督权。截至</w:t>
      </w:r>
      <w:r>
        <w:rPr>
          <w:snapToGrid/>
        </w:rPr>
        <w:t>2002</w:t>
      </w:r>
      <w:r>
        <w:rPr>
          <w:rFonts w:hint="eastAsia"/>
          <w:snapToGrid/>
        </w:rPr>
        <w:t>年</w:t>
      </w:r>
      <w:r>
        <w:rPr>
          <w:snapToGrid/>
        </w:rPr>
        <w:t>6</w:t>
      </w:r>
      <w:r>
        <w:rPr>
          <w:rFonts w:hint="eastAsia"/>
          <w:snapToGrid/>
        </w:rPr>
        <w:t>月底</w:t>
      </w:r>
      <w:r>
        <w:rPr>
          <w:snapToGrid/>
        </w:rPr>
        <w:t>，</w:t>
      </w:r>
      <w:r>
        <w:rPr>
          <w:rFonts w:hint="eastAsia"/>
          <w:snapToGrid/>
        </w:rPr>
        <w:t>全国建立职工代表大会制度的企业达</w:t>
      </w:r>
      <w:r>
        <w:rPr>
          <w:snapToGrid/>
        </w:rPr>
        <w:t>32.7</w:t>
      </w:r>
      <w:r>
        <w:rPr>
          <w:rFonts w:hint="eastAsia"/>
          <w:snapToGrid/>
        </w:rPr>
        <w:t>万多家</w:t>
      </w:r>
      <w:r>
        <w:rPr>
          <w:snapToGrid/>
        </w:rPr>
        <w:t>，</w:t>
      </w:r>
      <w:r>
        <w:rPr>
          <w:rFonts w:hint="eastAsia"/>
          <w:snapToGrid/>
        </w:rPr>
        <w:t>实行厂务公开的企业近</w:t>
      </w:r>
      <w:r>
        <w:rPr>
          <w:snapToGrid/>
        </w:rPr>
        <w:t>25.1</w:t>
      </w:r>
      <w:r>
        <w:rPr>
          <w:rFonts w:hint="eastAsia"/>
          <w:snapToGrid/>
        </w:rPr>
        <w:t>万多家，实行职代会民主评议企业领导干部的公有制企业达</w:t>
      </w:r>
      <w:r>
        <w:rPr>
          <w:snapToGrid/>
        </w:rPr>
        <w:t>18.7</w:t>
      </w:r>
      <w:r>
        <w:rPr>
          <w:rFonts w:hint="eastAsia"/>
          <w:snapToGrid/>
        </w:rPr>
        <w:t>万多家，实行企业业务招待费使用情况向职代</w:t>
      </w:r>
      <w:r>
        <w:rPr>
          <w:rFonts w:hint="eastAsia"/>
          <w:snapToGrid/>
          <w:szCs w:val="28"/>
        </w:rPr>
        <w:t>会报告的公有制企业近</w:t>
      </w:r>
      <w:r>
        <w:rPr>
          <w:snapToGrid/>
          <w:szCs w:val="28"/>
        </w:rPr>
        <w:t>18.9</w:t>
      </w:r>
      <w:r>
        <w:rPr>
          <w:rFonts w:hint="eastAsia"/>
          <w:snapToGrid/>
          <w:szCs w:val="28"/>
        </w:rPr>
        <w:t>万多家</w:t>
      </w:r>
      <w:r>
        <w:rPr>
          <w:snapToGrid/>
          <w:szCs w:val="28"/>
        </w:rPr>
        <w:t>，</w:t>
      </w:r>
      <w:r>
        <w:rPr>
          <w:rFonts w:hint="eastAsia"/>
          <w:snapToGrid/>
          <w:szCs w:val="28"/>
        </w:rPr>
        <w:t>建立职工董事制度的公有制企业</w:t>
      </w:r>
      <w:r>
        <w:rPr>
          <w:snapToGrid/>
          <w:szCs w:val="28"/>
        </w:rPr>
        <w:t>38350</w:t>
      </w:r>
      <w:r>
        <w:rPr>
          <w:rFonts w:hint="eastAsia"/>
          <w:snapToGrid/>
          <w:szCs w:val="28"/>
        </w:rPr>
        <w:t>家</w:t>
      </w:r>
      <w:r>
        <w:rPr>
          <w:snapToGrid/>
          <w:szCs w:val="28"/>
        </w:rPr>
        <w:t>，</w:t>
      </w:r>
      <w:r>
        <w:rPr>
          <w:rFonts w:hint="eastAsia"/>
          <w:snapToGrid/>
          <w:szCs w:val="28"/>
        </w:rPr>
        <w:t>建立职工监事制度的公有制企业</w:t>
      </w:r>
      <w:r>
        <w:rPr>
          <w:snapToGrid/>
          <w:szCs w:val="28"/>
        </w:rPr>
        <w:t>39573</w:t>
      </w:r>
      <w:r>
        <w:rPr>
          <w:rFonts w:hint="eastAsia"/>
          <w:snapToGrid/>
          <w:szCs w:val="28"/>
        </w:rPr>
        <w:t>家。</w:t>
      </w:r>
    </w:p>
    <w:p w:rsidR="00000000" w:rsidRDefault="00000000">
      <w:pPr>
        <w:rPr>
          <w:snapToGrid/>
          <w:szCs w:val="28"/>
        </w:rPr>
      </w:pPr>
      <w:r>
        <w:rPr>
          <w:snapToGrid/>
          <w:szCs w:val="28"/>
        </w:rPr>
        <w:tab/>
        <w:t xml:space="preserve">76.  </w:t>
      </w:r>
      <w:r>
        <w:rPr>
          <w:rFonts w:hint="eastAsia"/>
          <w:snapToGrid/>
          <w:szCs w:val="28"/>
        </w:rPr>
        <w:t>关心困难职工群体的就业和生活。各级工会大力实施</w:t>
      </w:r>
      <w:r>
        <w:rPr>
          <w:rFonts w:hint="eastAsia"/>
          <w:snapToGrid/>
        </w:rPr>
        <w:t>“</w:t>
      </w:r>
      <w:r>
        <w:rPr>
          <w:rFonts w:hint="eastAsia"/>
          <w:snapToGrid/>
          <w:szCs w:val="28"/>
        </w:rPr>
        <w:t>送温暖工程”</w:t>
      </w:r>
      <w:r>
        <w:rPr>
          <w:snapToGrid/>
          <w:szCs w:val="28"/>
        </w:rPr>
        <w:t>，</w:t>
      </w:r>
      <w:r>
        <w:rPr>
          <w:rFonts w:hint="eastAsia"/>
          <w:snapToGrid/>
          <w:szCs w:val="28"/>
        </w:rPr>
        <w:t>促进下岗失业人员再就业，建立中心城市的</w:t>
      </w:r>
      <w:r>
        <w:rPr>
          <w:snapToGrid/>
          <w:szCs w:val="28"/>
        </w:rPr>
        <w:t>"</w:t>
      </w:r>
      <w:r>
        <w:rPr>
          <w:rFonts w:hint="eastAsia"/>
          <w:snapToGrid/>
          <w:szCs w:val="28"/>
        </w:rPr>
        <w:t>困难职工帮扶中心”</w:t>
      </w:r>
      <w:r>
        <w:rPr>
          <w:snapToGrid/>
          <w:szCs w:val="28"/>
        </w:rPr>
        <w:t>，</w:t>
      </w:r>
      <w:r>
        <w:rPr>
          <w:rFonts w:hint="eastAsia"/>
          <w:snapToGrid/>
          <w:szCs w:val="28"/>
        </w:rPr>
        <w:t>并与社会保障制度的完善相结合，重点维护困难职工群体合法权益。近几年来</w:t>
      </w:r>
      <w:r>
        <w:rPr>
          <w:snapToGrid/>
          <w:szCs w:val="28"/>
        </w:rPr>
        <w:t>，</w:t>
      </w:r>
      <w:r>
        <w:rPr>
          <w:rFonts w:hint="eastAsia"/>
          <w:snapToGrid/>
          <w:szCs w:val="28"/>
        </w:rPr>
        <w:t>各级工会通过各种渠道</w:t>
      </w:r>
      <w:r>
        <w:rPr>
          <w:snapToGrid/>
          <w:szCs w:val="28"/>
        </w:rPr>
        <w:t>，</w:t>
      </w:r>
      <w:r>
        <w:rPr>
          <w:rFonts w:hint="eastAsia"/>
          <w:snapToGrid/>
          <w:szCs w:val="28"/>
        </w:rPr>
        <w:t>累计筹集送温暖慰问款人民币</w:t>
      </w:r>
      <w:r>
        <w:rPr>
          <w:snapToGrid/>
          <w:szCs w:val="28"/>
        </w:rPr>
        <w:t>104</w:t>
      </w:r>
      <w:r>
        <w:rPr>
          <w:rFonts w:hint="eastAsia"/>
          <w:snapToGrid/>
          <w:szCs w:val="28"/>
        </w:rPr>
        <w:t>亿元</w:t>
      </w:r>
      <w:r>
        <w:rPr>
          <w:snapToGrid/>
          <w:szCs w:val="28"/>
        </w:rPr>
        <w:t>，</w:t>
      </w:r>
      <w:r>
        <w:rPr>
          <w:rFonts w:hint="eastAsia"/>
          <w:snapToGrid/>
          <w:szCs w:val="28"/>
        </w:rPr>
        <w:t>走访慰问了</w:t>
      </w:r>
      <w:r>
        <w:rPr>
          <w:snapToGrid/>
          <w:szCs w:val="28"/>
        </w:rPr>
        <w:t>48</w:t>
      </w:r>
      <w:r>
        <w:rPr>
          <w:rFonts w:hint="eastAsia"/>
          <w:snapToGrid/>
          <w:szCs w:val="28"/>
        </w:rPr>
        <w:t>万多户</w:t>
      </w:r>
      <w:r>
        <w:rPr>
          <w:snapToGrid/>
          <w:szCs w:val="28"/>
        </w:rPr>
        <w:t>(</w:t>
      </w:r>
      <w:r>
        <w:rPr>
          <w:rFonts w:hint="eastAsia"/>
          <w:snapToGrid/>
          <w:szCs w:val="28"/>
        </w:rPr>
        <w:t>次</w:t>
      </w:r>
      <w:r>
        <w:rPr>
          <w:snapToGrid/>
          <w:szCs w:val="28"/>
        </w:rPr>
        <w:t>)</w:t>
      </w:r>
      <w:r>
        <w:rPr>
          <w:rFonts w:hint="eastAsia"/>
          <w:snapToGrid/>
          <w:szCs w:val="28"/>
        </w:rPr>
        <w:t>困难企业和</w:t>
      </w:r>
      <w:r>
        <w:rPr>
          <w:snapToGrid/>
          <w:szCs w:val="28"/>
        </w:rPr>
        <w:t>3975</w:t>
      </w:r>
      <w:r>
        <w:rPr>
          <w:rFonts w:hint="eastAsia"/>
          <w:snapToGrid/>
          <w:szCs w:val="28"/>
        </w:rPr>
        <w:t>万多户</w:t>
      </w:r>
      <w:r>
        <w:rPr>
          <w:snapToGrid/>
          <w:szCs w:val="28"/>
        </w:rPr>
        <w:t>(</w:t>
      </w:r>
      <w:r>
        <w:rPr>
          <w:rFonts w:hint="eastAsia"/>
          <w:snapToGrid/>
          <w:szCs w:val="28"/>
        </w:rPr>
        <w:t>次</w:t>
      </w:r>
      <w:r>
        <w:rPr>
          <w:snapToGrid/>
          <w:szCs w:val="28"/>
        </w:rPr>
        <w:t>)</w:t>
      </w:r>
      <w:r>
        <w:rPr>
          <w:rFonts w:hint="eastAsia"/>
          <w:snapToGrid/>
          <w:szCs w:val="28"/>
        </w:rPr>
        <w:t>困难职工家庭；全国有</w:t>
      </w:r>
      <w:r>
        <w:rPr>
          <w:snapToGrid/>
          <w:szCs w:val="28"/>
        </w:rPr>
        <w:t>447</w:t>
      </w:r>
      <w:r>
        <w:rPr>
          <w:rFonts w:hint="eastAsia"/>
          <w:snapToGrid/>
          <w:szCs w:val="28"/>
        </w:rPr>
        <w:t>个地市级工会、大多数县</w:t>
      </w:r>
      <w:r>
        <w:rPr>
          <w:snapToGrid/>
          <w:szCs w:val="28"/>
        </w:rPr>
        <w:t>(</w:t>
      </w:r>
      <w:r>
        <w:rPr>
          <w:rFonts w:hint="eastAsia"/>
          <w:snapToGrid/>
          <w:szCs w:val="28"/>
        </w:rPr>
        <w:t>市、区</w:t>
      </w:r>
      <w:r>
        <w:rPr>
          <w:snapToGrid/>
          <w:szCs w:val="28"/>
        </w:rPr>
        <w:t>)</w:t>
      </w:r>
      <w:r>
        <w:rPr>
          <w:rFonts w:hint="eastAsia"/>
          <w:snapToGrid/>
          <w:szCs w:val="28"/>
        </w:rPr>
        <w:t>工会及</w:t>
      </w:r>
      <w:r>
        <w:rPr>
          <w:snapToGrid/>
          <w:szCs w:val="28"/>
        </w:rPr>
        <w:t>18</w:t>
      </w:r>
      <w:r>
        <w:rPr>
          <w:rFonts w:hint="eastAsia"/>
          <w:snapToGrid/>
          <w:szCs w:val="28"/>
        </w:rPr>
        <w:t>万个基层工会建立了特困职工档案</w:t>
      </w:r>
      <w:r>
        <w:rPr>
          <w:snapToGrid/>
          <w:szCs w:val="28"/>
        </w:rPr>
        <w:t>；</w:t>
      </w:r>
      <w:r>
        <w:rPr>
          <w:rFonts w:hint="eastAsia"/>
          <w:snapToGrid/>
          <w:szCs w:val="28"/>
        </w:rPr>
        <w:t>有</w:t>
      </w:r>
      <w:r>
        <w:rPr>
          <w:snapToGrid/>
          <w:szCs w:val="28"/>
        </w:rPr>
        <w:t>80</w:t>
      </w:r>
      <w:r>
        <w:rPr>
          <w:rFonts w:hint="eastAsia"/>
          <w:snapToGrid/>
          <w:szCs w:val="28"/>
        </w:rPr>
        <w:t>多万名干部与近百万户困难职工家庭建立了包户帮扶联系关系</w:t>
      </w:r>
      <w:r>
        <w:rPr>
          <w:snapToGrid/>
          <w:szCs w:val="28"/>
        </w:rPr>
        <w:t>；</w:t>
      </w:r>
      <w:r>
        <w:rPr>
          <w:rFonts w:hint="eastAsia"/>
          <w:snapToGrid/>
          <w:szCs w:val="28"/>
        </w:rPr>
        <w:t>工会举办的培训机构</w:t>
      </w:r>
      <w:r>
        <w:rPr>
          <w:snapToGrid/>
          <w:szCs w:val="28"/>
        </w:rPr>
        <w:t>6000</w:t>
      </w:r>
      <w:r>
        <w:rPr>
          <w:rFonts w:hint="eastAsia"/>
          <w:snapToGrid/>
          <w:szCs w:val="28"/>
        </w:rPr>
        <w:t>多个</w:t>
      </w:r>
      <w:r>
        <w:rPr>
          <w:snapToGrid/>
          <w:szCs w:val="28"/>
        </w:rPr>
        <w:t>，</w:t>
      </w:r>
      <w:r>
        <w:rPr>
          <w:rFonts w:hint="eastAsia"/>
          <w:snapToGrid/>
          <w:szCs w:val="28"/>
        </w:rPr>
        <w:t>累计培训下岗职工</w:t>
      </w:r>
      <w:r>
        <w:rPr>
          <w:snapToGrid/>
          <w:szCs w:val="28"/>
        </w:rPr>
        <w:t>320</w:t>
      </w:r>
      <w:r>
        <w:rPr>
          <w:rFonts w:hint="eastAsia"/>
          <w:snapToGrid/>
          <w:szCs w:val="28"/>
        </w:rPr>
        <w:t>多万人次</w:t>
      </w:r>
      <w:r>
        <w:rPr>
          <w:snapToGrid/>
          <w:szCs w:val="28"/>
        </w:rPr>
        <w:t>，</w:t>
      </w:r>
      <w:r>
        <w:rPr>
          <w:rFonts w:hint="eastAsia"/>
          <w:snapToGrid/>
          <w:szCs w:val="28"/>
        </w:rPr>
        <w:t>职业介绍机构</w:t>
      </w:r>
      <w:r>
        <w:rPr>
          <w:snapToGrid/>
          <w:szCs w:val="28"/>
        </w:rPr>
        <w:t>4000</w:t>
      </w:r>
      <w:r>
        <w:rPr>
          <w:rFonts w:hint="eastAsia"/>
          <w:snapToGrid/>
          <w:szCs w:val="28"/>
        </w:rPr>
        <w:t>多个</w:t>
      </w:r>
      <w:r>
        <w:rPr>
          <w:snapToGrid/>
          <w:szCs w:val="28"/>
        </w:rPr>
        <w:t>，</w:t>
      </w:r>
      <w:r>
        <w:rPr>
          <w:rFonts w:hint="eastAsia"/>
          <w:snapToGrid/>
          <w:szCs w:val="28"/>
        </w:rPr>
        <w:t>累计介绍下岗、失业职工再就业达</w:t>
      </w:r>
      <w:r>
        <w:rPr>
          <w:snapToGrid/>
          <w:szCs w:val="28"/>
        </w:rPr>
        <w:t>300</w:t>
      </w:r>
      <w:r>
        <w:rPr>
          <w:rFonts w:hint="eastAsia"/>
          <w:snapToGrid/>
          <w:szCs w:val="28"/>
        </w:rPr>
        <w:t>多万人次</w:t>
      </w:r>
      <w:r>
        <w:rPr>
          <w:snapToGrid/>
          <w:szCs w:val="28"/>
        </w:rPr>
        <w:t>；</w:t>
      </w:r>
      <w:r>
        <w:rPr>
          <w:rFonts w:hint="eastAsia"/>
          <w:snapToGrid/>
          <w:szCs w:val="28"/>
        </w:rPr>
        <w:t>工会通过兴办解困贸易市场和生产自救基地等</w:t>
      </w:r>
      <w:r>
        <w:rPr>
          <w:snapToGrid/>
          <w:szCs w:val="28"/>
        </w:rPr>
        <w:t>，</w:t>
      </w:r>
      <w:r>
        <w:rPr>
          <w:rFonts w:hint="eastAsia"/>
          <w:snapToGrid/>
          <w:szCs w:val="28"/>
        </w:rPr>
        <w:t>共吸纳</w:t>
      </w:r>
      <w:r>
        <w:rPr>
          <w:snapToGrid/>
          <w:szCs w:val="28"/>
        </w:rPr>
        <w:t>65</w:t>
      </w:r>
      <w:r>
        <w:rPr>
          <w:rFonts w:hint="eastAsia"/>
          <w:snapToGrid/>
          <w:szCs w:val="28"/>
        </w:rPr>
        <w:t>万人就业</w:t>
      </w:r>
      <w:r>
        <w:rPr>
          <w:snapToGrid/>
          <w:szCs w:val="28"/>
        </w:rPr>
        <w:t>；</w:t>
      </w:r>
      <w:r>
        <w:rPr>
          <w:rFonts w:hint="eastAsia"/>
          <w:snapToGrid/>
          <w:szCs w:val="28"/>
        </w:rPr>
        <w:t>全国</w:t>
      </w:r>
      <w:r>
        <w:rPr>
          <w:snapToGrid/>
          <w:szCs w:val="28"/>
        </w:rPr>
        <w:t>600</w:t>
      </w:r>
      <w:r>
        <w:rPr>
          <w:rFonts w:hint="eastAsia"/>
          <w:snapToGrid/>
          <w:szCs w:val="28"/>
        </w:rPr>
        <w:t>多个市级以上工会在元旦、春节期间全部开通了职工热线服务电话。</w:t>
      </w:r>
    </w:p>
    <w:p w:rsidR="00000000" w:rsidRDefault="00000000">
      <w:pPr>
        <w:rPr>
          <w:snapToGrid/>
        </w:rPr>
      </w:pPr>
      <w:r>
        <w:rPr>
          <w:snapToGrid/>
          <w:szCs w:val="28"/>
        </w:rPr>
        <w:tab/>
        <w:t xml:space="preserve">77.  </w:t>
      </w:r>
      <w:r>
        <w:rPr>
          <w:rFonts w:hint="eastAsia"/>
          <w:snapToGrid/>
          <w:szCs w:val="28"/>
        </w:rPr>
        <w:t>在建立健全社会保障制度过程中，工会代表广大职工参与国家、地方有关社会保障法律、法规和政策的研究制定</w:t>
      </w:r>
      <w:r>
        <w:rPr>
          <w:snapToGrid/>
          <w:szCs w:val="28"/>
        </w:rPr>
        <w:t>，</w:t>
      </w:r>
      <w:r>
        <w:rPr>
          <w:rFonts w:hint="eastAsia"/>
          <w:snapToGrid/>
          <w:szCs w:val="28"/>
        </w:rPr>
        <w:t>积极反映广大职工意愿</w:t>
      </w:r>
      <w:r>
        <w:rPr>
          <w:snapToGrid/>
          <w:szCs w:val="28"/>
        </w:rPr>
        <w:t>，</w:t>
      </w:r>
      <w:r>
        <w:rPr>
          <w:rFonts w:hint="eastAsia"/>
          <w:snapToGrid/>
          <w:szCs w:val="28"/>
        </w:rPr>
        <w:t>提出工会的主张和建议。近年来，工会参与了《劳动法》、《社会保险法</w:t>
      </w:r>
      <w:r>
        <w:rPr>
          <w:snapToGrid/>
          <w:szCs w:val="28"/>
        </w:rPr>
        <w:t>(</w:t>
      </w:r>
      <w:r>
        <w:rPr>
          <w:rFonts w:hint="eastAsia"/>
          <w:snapToGrid/>
          <w:szCs w:val="28"/>
        </w:rPr>
        <w:t>草案</w:t>
      </w:r>
      <w:r>
        <w:rPr>
          <w:snapToGrid/>
          <w:szCs w:val="28"/>
        </w:rPr>
        <w:t>)</w:t>
      </w:r>
      <w:r>
        <w:rPr>
          <w:rFonts w:hint="eastAsia"/>
          <w:snapToGrid/>
          <w:szCs w:val="28"/>
        </w:rPr>
        <w:t>》、《社会保险费征缴暂行条例》及养老、医疗保险等多项法律、法规的研究制定。同时</w:t>
      </w:r>
      <w:r>
        <w:rPr>
          <w:snapToGrid/>
          <w:szCs w:val="28"/>
        </w:rPr>
        <w:t>，</w:t>
      </w:r>
      <w:r>
        <w:rPr>
          <w:rFonts w:hint="eastAsia"/>
          <w:snapToGrid/>
          <w:szCs w:val="28"/>
        </w:rPr>
        <w:t>工会加强对社会保障基金收支、运营情况和政策执行情况的监督</w:t>
      </w:r>
      <w:r>
        <w:rPr>
          <w:snapToGrid/>
          <w:szCs w:val="28"/>
        </w:rPr>
        <w:t>，</w:t>
      </w:r>
      <w:r>
        <w:rPr>
          <w:rFonts w:hint="eastAsia"/>
          <w:snapToGrid/>
          <w:szCs w:val="28"/>
        </w:rPr>
        <w:t>推动政府逐步扩大社会保险覆盖范围</w:t>
      </w:r>
      <w:r>
        <w:rPr>
          <w:snapToGrid/>
          <w:szCs w:val="28"/>
        </w:rPr>
        <w:t>，</w:t>
      </w:r>
      <w:r>
        <w:rPr>
          <w:rFonts w:hint="eastAsia"/>
          <w:snapToGrid/>
          <w:szCs w:val="28"/>
        </w:rPr>
        <w:t>落实劳动者依法享有的各项社会</w:t>
      </w:r>
      <w:r>
        <w:rPr>
          <w:rFonts w:hint="eastAsia"/>
          <w:snapToGrid/>
        </w:rPr>
        <w:t>保障待遇。工会还积极开展职工自愿参加的、资金以职工个人筹集为主的、互助性质的职工互助保障活动，在国家法定基本社会保险之外对职工遇到风险和意外灾害等</w:t>
      </w:r>
      <w:r>
        <w:rPr>
          <w:snapToGrid/>
        </w:rPr>
        <w:t>，</w:t>
      </w:r>
      <w:r>
        <w:rPr>
          <w:rFonts w:hint="eastAsia"/>
          <w:snapToGrid/>
        </w:rPr>
        <w:t>给予一定的经济帮助。至</w:t>
      </w:r>
      <w:r>
        <w:rPr>
          <w:snapToGrid/>
        </w:rPr>
        <w:t>2002</w:t>
      </w:r>
      <w:r>
        <w:rPr>
          <w:rFonts w:hint="eastAsia"/>
          <w:snapToGrid/>
        </w:rPr>
        <w:t>年底</w:t>
      </w:r>
      <w:r>
        <w:rPr>
          <w:snapToGrid/>
        </w:rPr>
        <w:t>，</w:t>
      </w:r>
      <w:r>
        <w:rPr>
          <w:rFonts w:hint="eastAsia"/>
          <w:snapToGrid/>
        </w:rPr>
        <w:t>工会举办的各种类型的职工互助保障组织已达</w:t>
      </w:r>
      <w:r>
        <w:rPr>
          <w:snapToGrid/>
        </w:rPr>
        <w:t>8</w:t>
      </w:r>
      <w:r>
        <w:rPr>
          <w:rFonts w:hint="eastAsia"/>
          <w:snapToGrid/>
        </w:rPr>
        <w:t>万多个</w:t>
      </w:r>
      <w:r>
        <w:rPr>
          <w:snapToGrid/>
        </w:rPr>
        <w:t>，</w:t>
      </w:r>
      <w:r>
        <w:rPr>
          <w:rFonts w:hint="eastAsia"/>
          <w:snapToGrid/>
        </w:rPr>
        <w:t>参保职工</w:t>
      </w:r>
      <w:r>
        <w:rPr>
          <w:snapToGrid/>
        </w:rPr>
        <w:t>2400</w:t>
      </w:r>
      <w:r>
        <w:rPr>
          <w:rFonts w:hint="eastAsia"/>
          <w:snapToGrid/>
        </w:rPr>
        <w:t>余万人。</w:t>
      </w:r>
    </w:p>
    <w:p w:rsidR="00000000" w:rsidRDefault="00000000">
      <w:pPr>
        <w:rPr>
          <w:rFonts w:hint="eastAsia"/>
          <w:snapToGrid/>
        </w:rPr>
      </w:pPr>
      <w:r>
        <w:rPr>
          <w:snapToGrid/>
        </w:rPr>
        <w:tab/>
        <w:t xml:space="preserve">78.  </w:t>
      </w:r>
      <w:r>
        <w:rPr>
          <w:rFonts w:hint="eastAsia"/>
          <w:snapToGrid/>
        </w:rPr>
        <w:t>积极开展工会法律服务、法律援助工作和劳动法律监督。截至</w:t>
      </w:r>
      <w:r>
        <w:rPr>
          <w:snapToGrid/>
        </w:rPr>
        <w:t>2002</w:t>
      </w:r>
      <w:r>
        <w:rPr>
          <w:rFonts w:hint="eastAsia"/>
          <w:snapToGrid/>
        </w:rPr>
        <w:t>年</w:t>
      </w:r>
      <w:r>
        <w:rPr>
          <w:snapToGrid/>
        </w:rPr>
        <w:t>6</w:t>
      </w:r>
      <w:r>
        <w:rPr>
          <w:rFonts w:hint="eastAsia"/>
          <w:snapToGrid/>
        </w:rPr>
        <w:t>月底</w:t>
      </w:r>
      <w:r>
        <w:rPr>
          <w:snapToGrid/>
        </w:rPr>
        <w:t>，</w:t>
      </w:r>
      <w:r>
        <w:rPr>
          <w:rFonts w:hint="eastAsia"/>
          <w:snapToGrid/>
        </w:rPr>
        <w:t>全国已有</w:t>
      </w:r>
      <w:r>
        <w:rPr>
          <w:snapToGrid/>
        </w:rPr>
        <w:t>13</w:t>
      </w:r>
      <w:r>
        <w:rPr>
          <w:rFonts w:hint="eastAsia"/>
          <w:snapToGrid/>
        </w:rPr>
        <w:t>个省、市总工会建立工会法律援助和服务机构</w:t>
      </w:r>
      <w:r>
        <w:rPr>
          <w:snapToGrid/>
        </w:rPr>
        <w:t>739</w:t>
      </w:r>
      <w:r>
        <w:rPr>
          <w:rFonts w:hint="eastAsia"/>
          <w:snapToGrid/>
        </w:rPr>
        <w:t>个</w:t>
      </w:r>
      <w:r>
        <w:rPr>
          <w:snapToGrid/>
        </w:rPr>
        <w:t>，</w:t>
      </w:r>
      <w:r>
        <w:rPr>
          <w:rFonts w:hint="eastAsia"/>
          <w:snapToGrid/>
        </w:rPr>
        <w:t>配备专兼职工作人员</w:t>
      </w:r>
      <w:r>
        <w:rPr>
          <w:snapToGrid/>
        </w:rPr>
        <w:t>2298</w:t>
      </w:r>
      <w:r>
        <w:rPr>
          <w:rFonts w:hint="eastAsia"/>
          <w:snapToGrid/>
        </w:rPr>
        <w:t>名，筹集法律援助资金近</w:t>
      </w:r>
      <w:r>
        <w:rPr>
          <w:snapToGrid/>
        </w:rPr>
        <w:t>300</w:t>
      </w:r>
      <w:r>
        <w:rPr>
          <w:rFonts w:hint="eastAsia"/>
          <w:snapToGrid/>
        </w:rPr>
        <w:t>万元人民币</w:t>
      </w:r>
      <w:r>
        <w:rPr>
          <w:snapToGrid/>
        </w:rPr>
        <w:t>，</w:t>
      </w:r>
      <w:r>
        <w:rPr>
          <w:rFonts w:hint="eastAsia"/>
          <w:snapToGrid/>
        </w:rPr>
        <w:t>义务解答法律咨询</w:t>
      </w:r>
      <w:r>
        <w:rPr>
          <w:snapToGrid/>
        </w:rPr>
        <w:t>17.8</w:t>
      </w:r>
      <w:r>
        <w:rPr>
          <w:rFonts w:hint="eastAsia"/>
          <w:snapToGrid/>
        </w:rPr>
        <w:t>万人次</w:t>
      </w:r>
      <w:r>
        <w:rPr>
          <w:snapToGrid/>
        </w:rPr>
        <w:t>，</w:t>
      </w:r>
      <w:r>
        <w:rPr>
          <w:rFonts w:hint="eastAsia"/>
          <w:snapToGrid/>
        </w:rPr>
        <w:t>提供代书和非诉讼代理</w:t>
      </w:r>
      <w:r>
        <w:rPr>
          <w:snapToGrid/>
        </w:rPr>
        <w:t>1.4</w:t>
      </w:r>
      <w:r>
        <w:rPr>
          <w:rFonts w:hint="eastAsia"/>
          <w:snapToGrid/>
        </w:rPr>
        <w:t>万余起</w:t>
      </w:r>
      <w:r>
        <w:rPr>
          <w:snapToGrid/>
        </w:rPr>
        <w:t>，</w:t>
      </w:r>
      <w:r>
        <w:rPr>
          <w:rFonts w:hint="eastAsia"/>
          <w:snapToGrid/>
        </w:rPr>
        <w:t>为职工代理劳动争议仲裁和诉讼案件</w:t>
      </w:r>
      <w:r>
        <w:rPr>
          <w:snapToGrid/>
        </w:rPr>
        <w:t>4168</w:t>
      </w:r>
      <w:r>
        <w:rPr>
          <w:rFonts w:hint="eastAsia"/>
          <w:snapToGrid/>
        </w:rPr>
        <w:t>件</w:t>
      </w:r>
      <w:r>
        <w:rPr>
          <w:snapToGrid/>
        </w:rPr>
        <w:t>，</w:t>
      </w:r>
      <w:r>
        <w:rPr>
          <w:rFonts w:hint="eastAsia"/>
          <w:snapToGrid/>
        </w:rPr>
        <w:t>为职工提供法律援助案件达</w:t>
      </w:r>
      <w:r>
        <w:rPr>
          <w:snapToGrid/>
        </w:rPr>
        <w:t>19.6</w:t>
      </w:r>
      <w:r>
        <w:rPr>
          <w:rFonts w:hint="eastAsia"/>
          <w:snapToGrid/>
        </w:rPr>
        <w:t>万余件，受援职工达</w:t>
      </w:r>
      <w:r>
        <w:rPr>
          <w:snapToGrid/>
        </w:rPr>
        <w:t>21.8</w:t>
      </w:r>
      <w:r>
        <w:rPr>
          <w:rFonts w:hint="eastAsia"/>
          <w:snapToGrid/>
        </w:rPr>
        <w:t>万人次</w:t>
      </w:r>
      <w:r>
        <w:rPr>
          <w:snapToGrid/>
        </w:rPr>
        <w:t>；</w:t>
      </w:r>
      <w:r>
        <w:rPr>
          <w:rFonts w:hint="eastAsia"/>
          <w:snapToGrid/>
        </w:rPr>
        <w:t>全国共有各级工会劳动法律监督组织</w:t>
      </w:r>
      <w:r>
        <w:rPr>
          <w:snapToGrid/>
        </w:rPr>
        <w:t>15.5</w:t>
      </w:r>
      <w:r>
        <w:rPr>
          <w:rFonts w:hint="eastAsia"/>
          <w:snapToGrid/>
        </w:rPr>
        <w:t>万个</w:t>
      </w:r>
      <w:r>
        <w:rPr>
          <w:snapToGrid/>
        </w:rPr>
        <w:t>，</w:t>
      </w:r>
      <w:r>
        <w:rPr>
          <w:rFonts w:hint="eastAsia"/>
          <w:snapToGrid/>
        </w:rPr>
        <w:t>工会劳动法律监督员</w:t>
      </w:r>
      <w:r>
        <w:rPr>
          <w:snapToGrid/>
        </w:rPr>
        <w:t>33</w:t>
      </w:r>
      <w:r>
        <w:rPr>
          <w:rFonts w:hint="eastAsia"/>
          <w:snapToGrid/>
        </w:rPr>
        <w:t>万余人</w:t>
      </w:r>
      <w:r>
        <w:rPr>
          <w:snapToGrid/>
        </w:rPr>
        <w:t>，</w:t>
      </w:r>
      <w:r>
        <w:rPr>
          <w:rFonts w:hint="eastAsia"/>
          <w:snapToGrid/>
        </w:rPr>
        <w:t>政府出任的劳动监督员</w:t>
      </w:r>
      <w:r>
        <w:rPr>
          <w:snapToGrid/>
        </w:rPr>
        <w:t>(</w:t>
      </w:r>
      <w:r>
        <w:rPr>
          <w:rFonts w:hint="eastAsia"/>
          <w:snapToGrid/>
        </w:rPr>
        <w:t>协察员</w:t>
      </w:r>
      <w:r>
        <w:rPr>
          <w:snapToGrid/>
        </w:rPr>
        <w:t>)3800</w:t>
      </w:r>
      <w:r>
        <w:rPr>
          <w:rFonts w:hint="eastAsia"/>
          <w:snapToGrid/>
        </w:rPr>
        <w:t>余人</w:t>
      </w:r>
      <w:r>
        <w:rPr>
          <w:snapToGrid/>
        </w:rPr>
        <w:t>，</w:t>
      </w:r>
      <w:r>
        <w:rPr>
          <w:rFonts w:hint="eastAsia"/>
          <w:snapToGrid/>
        </w:rPr>
        <w:t>全国各级劳动争议仲裁委员会中有工会代表</w:t>
      </w:r>
      <w:r>
        <w:rPr>
          <w:snapToGrid/>
        </w:rPr>
        <w:t>15585</w:t>
      </w:r>
      <w:r>
        <w:rPr>
          <w:rFonts w:hint="eastAsia"/>
          <w:snapToGrid/>
        </w:rPr>
        <w:t>人。与此同时</w:t>
      </w:r>
      <w:r>
        <w:rPr>
          <w:snapToGrid/>
        </w:rPr>
        <w:t>，</w:t>
      </w:r>
      <w:r>
        <w:rPr>
          <w:rFonts w:hint="eastAsia"/>
          <w:snapToGrid/>
        </w:rPr>
        <w:t>各级工会还采取多种形式</w:t>
      </w:r>
      <w:r>
        <w:rPr>
          <w:snapToGrid/>
        </w:rPr>
        <w:t>，</w:t>
      </w:r>
      <w:r>
        <w:rPr>
          <w:rFonts w:hint="eastAsia"/>
          <w:snapToGrid/>
        </w:rPr>
        <w:t>开展对《工会法》、《劳动法》等法律法规实施情况的执法检查监督活动。</w:t>
      </w:r>
    </w:p>
    <w:p w:rsidR="00000000" w:rsidRDefault="00000000">
      <w:pPr>
        <w:rPr>
          <w:snapToGrid/>
        </w:rPr>
      </w:pPr>
      <w:r>
        <w:rPr>
          <w:rFonts w:hint="eastAsia"/>
          <w:snapToGrid/>
        </w:rPr>
        <w:tab/>
      </w:r>
      <w:r>
        <w:rPr>
          <w:snapToGrid/>
        </w:rPr>
        <w:t xml:space="preserve">79.  </w:t>
      </w:r>
      <w:r>
        <w:rPr>
          <w:rFonts w:hint="eastAsia"/>
          <w:snapToGrid/>
        </w:rPr>
        <w:t>依法维护和保障职工接受职业技能培训的权利。各级工会积极推动各级政府把职业培训纳入经济社会发展规划</w:t>
      </w:r>
      <w:r>
        <w:rPr>
          <w:snapToGrid/>
        </w:rPr>
        <w:t>，</w:t>
      </w:r>
      <w:r>
        <w:rPr>
          <w:rFonts w:hint="eastAsia"/>
          <w:snapToGrid/>
        </w:rPr>
        <w:t>督促企事业单位建立和完善职业技能培训制度</w:t>
      </w:r>
      <w:r>
        <w:rPr>
          <w:snapToGrid/>
        </w:rPr>
        <w:t>，</w:t>
      </w:r>
      <w:r>
        <w:rPr>
          <w:rFonts w:hint="eastAsia"/>
          <w:snapToGrid/>
        </w:rPr>
        <w:t>积极帮助职工掌握先进的科学文化技术和管理、法律等知识。各级工会积极办好各级各类职工学校和文化宫、俱乐部</w:t>
      </w:r>
      <w:r>
        <w:rPr>
          <w:snapToGrid/>
        </w:rPr>
        <w:t>，</w:t>
      </w:r>
      <w:r>
        <w:rPr>
          <w:rFonts w:hint="eastAsia"/>
          <w:snapToGrid/>
        </w:rPr>
        <w:t>努力满足不同层次和不同岗位职工的精神文化需求。到</w:t>
      </w:r>
      <w:r>
        <w:rPr>
          <w:snapToGrid/>
        </w:rPr>
        <w:t>2000</w:t>
      </w:r>
      <w:r>
        <w:rPr>
          <w:rFonts w:hint="eastAsia"/>
          <w:snapToGrid/>
        </w:rPr>
        <w:t>年底</w:t>
      </w:r>
      <w:r>
        <w:rPr>
          <w:snapToGrid/>
        </w:rPr>
        <w:t>，</w:t>
      </w:r>
      <w:r>
        <w:rPr>
          <w:rFonts w:hint="eastAsia"/>
          <w:snapToGrid/>
        </w:rPr>
        <w:t>各级工会独立兴办职工教育学校</w:t>
      </w:r>
      <w:r>
        <w:rPr>
          <w:snapToGrid/>
        </w:rPr>
        <w:t>2400</w:t>
      </w:r>
      <w:r>
        <w:rPr>
          <w:rFonts w:hint="eastAsia"/>
          <w:snapToGrid/>
        </w:rPr>
        <w:t>多所，在校学员人数为</w:t>
      </w:r>
      <w:r>
        <w:rPr>
          <w:snapToGrid/>
        </w:rPr>
        <w:t>54.3</w:t>
      </w:r>
      <w:r>
        <w:rPr>
          <w:rFonts w:hint="eastAsia"/>
          <w:snapToGrid/>
        </w:rPr>
        <w:t>万人</w:t>
      </w:r>
      <w:r>
        <w:rPr>
          <w:snapToGrid/>
        </w:rPr>
        <w:t>，</w:t>
      </w:r>
      <w:r>
        <w:rPr>
          <w:rFonts w:hint="eastAsia"/>
          <w:snapToGrid/>
        </w:rPr>
        <w:t>各类培训中心</w:t>
      </w:r>
      <w:r>
        <w:rPr>
          <w:snapToGrid/>
        </w:rPr>
        <w:t>531</w:t>
      </w:r>
      <w:r>
        <w:rPr>
          <w:rFonts w:hint="eastAsia"/>
          <w:snapToGrid/>
        </w:rPr>
        <w:t>所</w:t>
      </w:r>
      <w:r>
        <w:rPr>
          <w:snapToGrid/>
        </w:rPr>
        <w:t>，</w:t>
      </w:r>
      <w:r>
        <w:rPr>
          <w:rFonts w:hint="eastAsia"/>
          <w:snapToGrid/>
        </w:rPr>
        <w:t>再就业基地</w:t>
      </w:r>
      <w:r>
        <w:rPr>
          <w:snapToGrid/>
        </w:rPr>
        <w:t>713</w:t>
      </w:r>
      <w:r>
        <w:rPr>
          <w:rFonts w:hint="eastAsia"/>
          <w:snapToGrid/>
        </w:rPr>
        <w:t>所，拥有工人文化宫、俱乐部</w:t>
      </w:r>
      <w:r>
        <w:rPr>
          <w:snapToGrid/>
        </w:rPr>
        <w:t>3.9</w:t>
      </w:r>
      <w:r>
        <w:rPr>
          <w:rFonts w:hint="eastAsia"/>
          <w:snapToGrid/>
        </w:rPr>
        <w:t>万多个</w:t>
      </w:r>
      <w:r>
        <w:rPr>
          <w:snapToGrid/>
        </w:rPr>
        <w:t>，</w:t>
      </w:r>
      <w:r>
        <w:rPr>
          <w:rFonts w:hint="eastAsia"/>
          <w:snapToGrid/>
        </w:rPr>
        <w:t>图书馆近</w:t>
      </w:r>
      <w:r>
        <w:rPr>
          <w:snapToGrid/>
        </w:rPr>
        <w:t>2</w:t>
      </w:r>
      <w:r>
        <w:rPr>
          <w:rFonts w:hint="eastAsia"/>
          <w:snapToGrid/>
        </w:rPr>
        <w:t>万个</w:t>
      </w:r>
      <w:r>
        <w:rPr>
          <w:snapToGrid/>
        </w:rPr>
        <w:t>，</w:t>
      </w:r>
      <w:r>
        <w:rPr>
          <w:rFonts w:hint="eastAsia"/>
          <w:snapToGrid/>
        </w:rPr>
        <w:t>体育场馆</w:t>
      </w:r>
      <w:r>
        <w:rPr>
          <w:snapToGrid/>
        </w:rPr>
        <w:t>5.2</w:t>
      </w:r>
      <w:r>
        <w:rPr>
          <w:rFonts w:hint="eastAsia"/>
          <w:snapToGrid/>
        </w:rPr>
        <w:t>万个</w:t>
      </w:r>
      <w:r>
        <w:rPr>
          <w:snapToGrid/>
        </w:rPr>
        <w:t>，</w:t>
      </w:r>
      <w:r>
        <w:rPr>
          <w:rFonts w:hint="eastAsia"/>
          <w:snapToGrid/>
        </w:rPr>
        <w:t>开展了丰富多彩的职工文化体育活动。自</w:t>
      </w:r>
      <w:r>
        <w:rPr>
          <w:snapToGrid/>
        </w:rPr>
        <w:t>1983</w:t>
      </w:r>
      <w:r>
        <w:rPr>
          <w:rFonts w:hint="eastAsia"/>
          <w:snapToGrid/>
        </w:rPr>
        <w:t>年开始</w:t>
      </w:r>
      <w:r>
        <w:rPr>
          <w:snapToGrid/>
        </w:rPr>
        <w:t>，</w:t>
      </w:r>
      <w:r>
        <w:rPr>
          <w:rFonts w:hint="eastAsia"/>
          <w:snapToGrid/>
        </w:rPr>
        <w:t>中华全国总工会就倡导发起了“振兴中华”职工读书自学活动，鼓励职工自学成才。</w:t>
      </w:r>
    </w:p>
    <w:p w:rsidR="00000000" w:rsidRDefault="00000000">
      <w:pPr>
        <w:rPr>
          <w:snapToGrid/>
        </w:rPr>
      </w:pPr>
      <w:r>
        <w:rPr>
          <w:snapToGrid/>
        </w:rPr>
        <w:tab/>
        <w:t xml:space="preserve">80.  </w:t>
      </w:r>
      <w:r>
        <w:rPr>
          <w:rFonts w:hint="eastAsia"/>
          <w:snapToGrid/>
        </w:rPr>
        <w:t>关于罢工问题。除了为保证国家安全和社会稳定</w:t>
      </w:r>
      <w:r>
        <w:rPr>
          <w:snapToGrid/>
        </w:rPr>
        <w:t>，</w:t>
      </w:r>
      <w:r>
        <w:rPr>
          <w:rFonts w:hint="eastAsia"/>
          <w:snapToGrid/>
        </w:rPr>
        <w:t>中国法律明确规定警察、国家机关工作人员不得罢工外</w:t>
      </w:r>
      <w:r>
        <w:rPr>
          <w:snapToGrid/>
        </w:rPr>
        <w:t>，</w:t>
      </w:r>
      <w:r>
        <w:rPr>
          <w:rFonts w:hint="eastAsia"/>
          <w:snapToGrid/>
        </w:rPr>
        <w:t>中国现行法律没有涉及此类问题。在中国发展社会主义市场经济过程中</w:t>
      </w:r>
      <w:r>
        <w:rPr>
          <w:snapToGrid/>
        </w:rPr>
        <w:t>，</w:t>
      </w:r>
      <w:r>
        <w:rPr>
          <w:rFonts w:hint="eastAsia"/>
          <w:snapToGrid/>
        </w:rPr>
        <w:t>随着劳动关系日趋复杂化</w:t>
      </w:r>
      <w:r>
        <w:rPr>
          <w:snapToGrid/>
        </w:rPr>
        <w:t>，</w:t>
      </w:r>
      <w:r>
        <w:rPr>
          <w:rFonts w:hint="eastAsia"/>
          <w:snapToGrid/>
        </w:rPr>
        <w:t>个别地方也会出现停工、怠工事件。《工会法》第</w:t>
      </w:r>
      <w:r>
        <w:rPr>
          <w:snapToGrid/>
        </w:rPr>
        <w:t>27</w:t>
      </w:r>
      <w:r>
        <w:rPr>
          <w:rFonts w:hint="eastAsia"/>
          <w:snapToGrid/>
        </w:rPr>
        <w:t>条规定</w:t>
      </w:r>
      <w:r>
        <w:rPr>
          <w:snapToGrid/>
        </w:rPr>
        <w:t>：</w:t>
      </w:r>
      <w:r>
        <w:rPr>
          <w:rFonts w:hint="eastAsia"/>
          <w:snapToGrid/>
        </w:rPr>
        <w:t>“企业、事业单位发生停工、怠工事件</w:t>
      </w:r>
      <w:r>
        <w:rPr>
          <w:snapToGrid/>
        </w:rPr>
        <w:t>，</w:t>
      </w:r>
      <w:r>
        <w:rPr>
          <w:rFonts w:hint="eastAsia"/>
          <w:snapToGrid/>
        </w:rPr>
        <w:t>工会应当代表职工同企业、事业单位或者有关方面协商</w:t>
      </w:r>
      <w:r>
        <w:rPr>
          <w:snapToGrid/>
        </w:rPr>
        <w:t>，</w:t>
      </w:r>
      <w:r>
        <w:rPr>
          <w:rFonts w:hint="eastAsia"/>
          <w:snapToGrid/>
        </w:rPr>
        <w:t>反映职工的意见和要求并提出解决意见。对于职工的合理要求</w:t>
      </w:r>
      <w:r>
        <w:rPr>
          <w:snapToGrid/>
        </w:rPr>
        <w:t>，</w:t>
      </w:r>
      <w:r>
        <w:rPr>
          <w:rFonts w:hint="eastAsia"/>
          <w:snapToGrid/>
        </w:rPr>
        <w:t>企业、事业单位应当予以解决。工会协助企业、事业单位做好工作</w:t>
      </w:r>
      <w:r>
        <w:rPr>
          <w:snapToGrid/>
        </w:rPr>
        <w:t>，</w:t>
      </w:r>
      <w:r>
        <w:rPr>
          <w:rFonts w:hint="eastAsia"/>
          <w:snapToGrid/>
        </w:rPr>
        <w:t>尽快恢复生产、工作秩序。”根据这一规定</w:t>
      </w:r>
      <w:r>
        <w:rPr>
          <w:snapToGrid/>
        </w:rPr>
        <w:t>，</w:t>
      </w:r>
      <w:r>
        <w:rPr>
          <w:rFonts w:hint="eastAsia"/>
          <w:snapToGrid/>
        </w:rPr>
        <w:t>当个别地方发生停工、怠工事件时</w:t>
      </w:r>
      <w:r>
        <w:rPr>
          <w:snapToGrid/>
        </w:rPr>
        <w:t>，</w:t>
      </w:r>
      <w:r>
        <w:rPr>
          <w:rFonts w:hint="eastAsia"/>
          <w:snapToGrid/>
        </w:rPr>
        <w:t>工会组织都积极向有关方面反映职工的合理要求</w:t>
      </w:r>
      <w:r>
        <w:rPr>
          <w:snapToGrid/>
        </w:rPr>
        <w:t>，</w:t>
      </w:r>
      <w:r>
        <w:rPr>
          <w:rFonts w:hint="eastAsia"/>
          <w:snapToGrid/>
        </w:rPr>
        <w:t>并注意做好职工的工作</w:t>
      </w:r>
      <w:r>
        <w:rPr>
          <w:snapToGrid/>
        </w:rPr>
        <w:t>，</w:t>
      </w:r>
      <w:r>
        <w:rPr>
          <w:rFonts w:hint="eastAsia"/>
          <w:snapToGrid/>
        </w:rPr>
        <w:t>从而使此类事件得到妥善及时的解决。中国工会不赞成以罢工手段解决劳动关系中的矛盾</w:t>
      </w:r>
      <w:r>
        <w:rPr>
          <w:snapToGrid/>
        </w:rPr>
        <w:t>，</w:t>
      </w:r>
      <w:r>
        <w:rPr>
          <w:rFonts w:hint="eastAsia"/>
          <w:snapToGrid/>
        </w:rPr>
        <w:t>而提倡通过劳动关系双方的协商沟通和按照正常的劳动关系来处理劳动关系方面的矛盾和问题。实践证明</w:t>
      </w:r>
      <w:r>
        <w:rPr>
          <w:snapToGrid/>
        </w:rPr>
        <w:t>，</w:t>
      </w:r>
      <w:r>
        <w:rPr>
          <w:rFonts w:hint="eastAsia"/>
          <w:snapToGrid/>
        </w:rPr>
        <w:t>通过平等协商、签订集体合同等渠道或劳动争议处理的有关程序</w:t>
      </w:r>
      <w:r>
        <w:rPr>
          <w:snapToGrid/>
        </w:rPr>
        <w:t>，</w:t>
      </w:r>
      <w:r>
        <w:rPr>
          <w:rFonts w:hint="eastAsia"/>
          <w:snapToGrid/>
        </w:rPr>
        <w:t>能够解决绝大部分的劳动争议和矛盾</w:t>
      </w:r>
      <w:r>
        <w:rPr>
          <w:snapToGrid/>
        </w:rPr>
        <w:t>，</w:t>
      </w:r>
      <w:r>
        <w:rPr>
          <w:rFonts w:hint="eastAsia"/>
          <w:snapToGrid/>
        </w:rPr>
        <w:t>而且只有建立起和谐稳定的劳动关系</w:t>
      </w:r>
      <w:r>
        <w:rPr>
          <w:snapToGrid/>
        </w:rPr>
        <w:t>，</w:t>
      </w:r>
      <w:r>
        <w:rPr>
          <w:rFonts w:hint="eastAsia"/>
          <w:snapToGrid/>
        </w:rPr>
        <w:t>才最符合职工群众的利益。</w:t>
      </w:r>
    </w:p>
    <w:p w:rsidR="00000000" w:rsidRDefault="00000000">
      <w:pPr>
        <w:rPr>
          <w:snapToGrid/>
        </w:rPr>
      </w:pPr>
      <w:r>
        <w:rPr>
          <w:snapToGrid/>
        </w:rPr>
        <w:tab/>
        <w:t xml:space="preserve">81.  </w:t>
      </w:r>
      <w:r>
        <w:rPr>
          <w:rFonts w:hint="eastAsia"/>
          <w:snapToGrid/>
        </w:rPr>
        <w:t>积极与世界各国工会组织及国际劳工组织建立友好交往关系。自</w:t>
      </w:r>
      <w:r>
        <w:rPr>
          <w:snapToGrid/>
        </w:rPr>
        <w:t>1998</w:t>
      </w:r>
      <w:r>
        <w:rPr>
          <w:rFonts w:hint="eastAsia"/>
          <w:snapToGrid/>
        </w:rPr>
        <w:t>年至</w:t>
      </w:r>
      <w:r>
        <w:rPr>
          <w:snapToGrid/>
        </w:rPr>
        <w:t>2002</w:t>
      </w:r>
      <w:r>
        <w:rPr>
          <w:rFonts w:hint="eastAsia"/>
          <w:snapToGrid/>
        </w:rPr>
        <w:t>年</w:t>
      </w:r>
      <w:r>
        <w:rPr>
          <w:snapToGrid/>
        </w:rPr>
        <w:t>，</w:t>
      </w:r>
      <w:r>
        <w:rPr>
          <w:rFonts w:hint="eastAsia"/>
          <w:snapToGrid/>
        </w:rPr>
        <w:t>中华全国总工会共接待国外工会代表团</w:t>
      </w:r>
      <w:r>
        <w:rPr>
          <w:snapToGrid/>
        </w:rPr>
        <w:t>333</w:t>
      </w:r>
      <w:r>
        <w:rPr>
          <w:rFonts w:hint="eastAsia"/>
          <w:snapToGrid/>
        </w:rPr>
        <w:t>个、</w:t>
      </w:r>
      <w:r>
        <w:rPr>
          <w:snapToGrid/>
        </w:rPr>
        <w:t>2647</w:t>
      </w:r>
      <w:r>
        <w:rPr>
          <w:rFonts w:hint="eastAsia"/>
          <w:snapToGrid/>
        </w:rPr>
        <w:t>人次</w:t>
      </w:r>
      <w:r>
        <w:rPr>
          <w:snapToGrid/>
        </w:rPr>
        <w:t>，</w:t>
      </w:r>
      <w:r>
        <w:rPr>
          <w:rFonts w:hint="eastAsia"/>
          <w:snapToGrid/>
        </w:rPr>
        <w:t>共派出代表团</w:t>
      </w:r>
      <w:r>
        <w:rPr>
          <w:snapToGrid/>
        </w:rPr>
        <w:t>303</w:t>
      </w:r>
      <w:r>
        <w:rPr>
          <w:rFonts w:hint="eastAsia"/>
          <w:snapToGrid/>
        </w:rPr>
        <w:t>个、</w:t>
      </w:r>
      <w:r>
        <w:rPr>
          <w:snapToGrid/>
        </w:rPr>
        <w:t>1625</w:t>
      </w:r>
      <w:r>
        <w:rPr>
          <w:rFonts w:hint="eastAsia"/>
          <w:snapToGrid/>
        </w:rPr>
        <w:t>人次。在</w:t>
      </w:r>
      <w:r>
        <w:rPr>
          <w:snapToGrid/>
        </w:rPr>
        <w:t>2002</w:t>
      </w:r>
      <w:r>
        <w:rPr>
          <w:rFonts w:hint="eastAsia"/>
          <w:snapToGrid/>
        </w:rPr>
        <w:t>年国际劳工大会上</w:t>
      </w:r>
      <w:r>
        <w:rPr>
          <w:snapToGrid/>
        </w:rPr>
        <w:t>，</w:t>
      </w:r>
      <w:r>
        <w:rPr>
          <w:rFonts w:hint="eastAsia"/>
          <w:snapToGrid/>
        </w:rPr>
        <w:t>中国工人代表当选国际劳工局理事会工人组副理事</w:t>
      </w:r>
      <w:r>
        <w:rPr>
          <w:snapToGrid/>
        </w:rPr>
        <w:t>，</w:t>
      </w:r>
      <w:r>
        <w:rPr>
          <w:rFonts w:hint="eastAsia"/>
          <w:snapToGrid/>
        </w:rPr>
        <w:t>中国工会的影响不断扩大</w:t>
      </w:r>
      <w:r>
        <w:rPr>
          <w:snapToGrid/>
        </w:rPr>
        <w:t>，</w:t>
      </w:r>
      <w:r>
        <w:rPr>
          <w:rFonts w:hint="eastAsia"/>
          <w:snapToGrid/>
        </w:rPr>
        <w:t>国际地位不断提高，作用日益增强。</w:t>
      </w:r>
    </w:p>
    <w:p w:rsidR="00000000" w:rsidRDefault="00000000">
      <w:pPr>
        <w:spacing w:after="320"/>
        <w:rPr>
          <w:snapToGrid/>
        </w:rPr>
      </w:pPr>
      <w:r>
        <w:rPr>
          <w:snapToGrid/>
        </w:rPr>
        <w:tab/>
        <w:t xml:space="preserve">82.  </w:t>
      </w:r>
      <w:r>
        <w:rPr>
          <w:rFonts w:hint="eastAsia"/>
          <w:snapToGrid/>
        </w:rPr>
        <w:t>随着中国改革开放的不断深入和加入世界贸易组织</w:t>
      </w:r>
      <w:r>
        <w:rPr>
          <w:snapToGrid/>
        </w:rPr>
        <w:t>，</w:t>
      </w:r>
      <w:r>
        <w:rPr>
          <w:rFonts w:hint="eastAsia"/>
          <w:snapToGrid/>
        </w:rPr>
        <w:t>中国工会也面临着严峻的挑战。这种情况下，中华全国总工会积极探索新的工作思路和方式。</w:t>
      </w:r>
      <w:r>
        <w:rPr>
          <w:snapToGrid/>
        </w:rPr>
        <w:t xml:space="preserve">(1) </w:t>
      </w:r>
      <w:r>
        <w:rPr>
          <w:rFonts w:hint="eastAsia"/>
          <w:snapToGrid/>
        </w:rPr>
        <w:t>中国劳动力就业结构发生了变化</w:t>
      </w:r>
      <w:r>
        <w:rPr>
          <w:snapToGrid/>
        </w:rPr>
        <w:t>，</w:t>
      </w:r>
      <w:r>
        <w:rPr>
          <w:rFonts w:hint="eastAsia"/>
          <w:snapToGrid/>
        </w:rPr>
        <w:t>非公有制企业吸纳的劳动者越来越多，非正规就业日趋增长。为适应上述形势</w:t>
      </w:r>
      <w:r>
        <w:rPr>
          <w:snapToGrid/>
        </w:rPr>
        <w:t>，</w:t>
      </w:r>
      <w:r>
        <w:rPr>
          <w:rFonts w:hint="eastAsia"/>
          <w:snapToGrid/>
        </w:rPr>
        <w:t>中华全国总工会提出了“哪里有职工</w:t>
      </w:r>
      <w:r>
        <w:rPr>
          <w:snapToGrid/>
        </w:rPr>
        <w:t>，</w:t>
      </w:r>
      <w:r>
        <w:rPr>
          <w:rFonts w:hint="eastAsia"/>
          <w:snapToGrid/>
        </w:rPr>
        <w:t>哪里就必须建立工会组织”的要求。到</w:t>
      </w:r>
      <w:r>
        <w:rPr>
          <w:snapToGrid/>
        </w:rPr>
        <w:t>2002</w:t>
      </w:r>
      <w:r>
        <w:rPr>
          <w:rFonts w:hint="eastAsia"/>
          <w:snapToGrid/>
        </w:rPr>
        <w:t>年底</w:t>
      </w:r>
      <w:r>
        <w:rPr>
          <w:snapToGrid/>
        </w:rPr>
        <w:t>，</w:t>
      </w:r>
      <w:r>
        <w:rPr>
          <w:rFonts w:hint="eastAsia"/>
          <w:snapToGrid/>
        </w:rPr>
        <w:t>在外商投资和私营等非公有制企业已建立工会组织</w:t>
      </w:r>
      <w:r>
        <w:rPr>
          <w:snapToGrid/>
        </w:rPr>
        <w:t>101.4</w:t>
      </w:r>
      <w:r>
        <w:rPr>
          <w:rFonts w:hint="eastAsia"/>
          <w:snapToGrid/>
        </w:rPr>
        <w:t>多万个，发展会员近</w:t>
      </w:r>
      <w:r>
        <w:rPr>
          <w:snapToGrid/>
        </w:rPr>
        <w:t>4000</w:t>
      </w:r>
      <w:r>
        <w:rPr>
          <w:rFonts w:hint="eastAsia"/>
          <w:snapToGrid/>
        </w:rPr>
        <w:t>万人。</w:t>
      </w:r>
      <w:r>
        <w:rPr>
          <w:snapToGrid/>
        </w:rPr>
        <w:t xml:space="preserve">(2) </w:t>
      </w:r>
      <w:r>
        <w:rPr>
          <w:rFonts w:hint="eastAsia"/>
          <w:snapToGrid/>
        </w:rPr>
        <w:t>社会主义市场经济条件下劳动者利益日趋多元化、复杂化</w:t>
      </w:r>
      <w:r>
        <w:rPr>
          <w:snapToGrid/>
        </w:rPr>
        <w:t>，</w:t>
      </w:r>
      <w:r>
        <w:rPr>
          <w:rFonts w:hint="eastAsia"/>
          <w:snapToGrid/>
        </w:rPr>
        <w:t>伴随着经济体制转型出现了一些困难职工群体。针对上述情况</w:t>
      </w:r>
      <w:r>
        <w:rPr>
          <w:snapToGrid/>
        </w:rPr>
        <w:t>，</w:t>
      </w:r>
      <w:r>
        <w:rPr>
          <w:rFonts w:hint="eastAsia"/>
          <w:snapToGrid/>
        </w:rPr>
        <w:t>中华总工会坚持一手抓调整劳动关系机制建设，一手抓为职工群众办实事</w:t>
      </w:r>
      <w:r>
        <w:rPr>
          <w:snapToGrid/>
        </w:rPr>
        <w:t>，</w:t>
      </w:r>
      <w:r>
        <w:rPr>
          <w:rFonts w:hint="eastAsia"/>
          <w:snapToGrid/>
        </w:rPr>
        <w:t>取得了明显的成效。</w:t>
      </w:r>
      <w:r>
        <w:rPr>
          <w:snapToGrid/>
        </w:rPr>
        <w:t xml:space="preserve">(3) </w:t>
      </w:r>
      <w:r>
        <w:rPr>
          <w:rFonts w:hint="eastAsia"/>
          <w:snapToGrid/>
        </w:rPr>
        <w:t>我国目前的知识人群的数量约为</w:t>
      </w:r>
      <w:r>
        <w:rPr>
          <w:snapToGrid/>
        </w:rPr>
        <w:t>2000</w:t>
      </w:r>
      <w:r>
        <w:rPr>
          <w:rFonts w:hint="eastAsia"/>
          <w:snapToGrid/>
        </w:rPr>
        <w:t>万人</w:t>
      </w:r>
      <w:r>
        <w:rPr>
          <w:snapToGrid/>
        </w:rPr>
        <w:t>，</w:t>
      </w:r>
      <w:r>
        <w:rPr>
          <w:rFonts w:hint="eastAsia"/>
          <w:snapToGrid/>
        </w:rPr>
        <w:t>仅占总人口数的</w:t>
      </w:r>
      <w:r>
        <w:rPr>
          <w:snapToGrid/>
        </w:rPr>
        <w:t>2%-2.5%</w:t>
      </w:r>
      <w:r>
        <w:rPr>
          <w:rFonts w:hint="eastAsia"/>
          <w:snapToGrid/>
        </w:rPr>
        <w:t>，远不能满足中国推进现代化的需要。劳动力的总体素质相对较低，难以适应中国加入世界贸易组织后参与国际竞争的要求。鉴此，中国工会把培养高素质职工队伍作为紧迫的任务之一</w:t>
      </w:r>
      <w:r>
        <w:rPr>
          <w:snapToGrid/>
        </w:rPr>
        <w:t>，</w:t>
      </w:r>
      <w:r>
        <w:rPr>
          <w:rFonts w:hint="eastAsia"/>
          <w:snapToGrid/>
        </w:rPr>
        <w:t>努力做好该项工作。</w:t>
      </w:r>
    </w:p>
    <w:p w:rsidR="00000000" w:rsidRDefault="00000000">
      <w:pPr>
        <w:pStyle w:val="Heading3"/>
        <w:rPr>
          <w:rFonts w:hint="eastAsia"/>
        </w:rPr>
      </w:pPr>
      <w:bookmarkStart w:id="15" w:name="_Toc78772930"/>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九</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享有社会保障的权利</w:t>
      </w:r>
      <w:bookmarkEnd w:id="15"/>
    </w:p>
    <w:p w:rsidR="00000000" w:rsidRDefault="00000000">
      <w:r>
        <w:rPr>
          <w:rFonts w:hint="eastAsia"/>
        </w:rPr>
        <w:tab/>
      </w:r>
      <w:r>
        <w:t xml:space="preserve">83.  </w:t>
      </w:r>
      <w:r>
        <w:rPr>
          <w:rFonts w:hint="eastAsia"/>
        </w:rPr>
        <w:t>中国致力于建设一个与社会主义市场经济体制相适应的健全的社会保障体系。经过多年探索和实践</w:t>
      </w:r>
      <w:r>
        <w:t>，</w:t>
      </w:r>
      <w:r>
        <w:rPr>
          <w:rFonts w:hint="eastAsia"/>
        </w:rPr>
        <w:t>以社会保险、社会救济、社会福利和社会互助等为主要内容</w:t>
      </w:r>
      <w:r>
        <w:t>，</w:t>
      </w:r>
      <w:r>
        <w:rPr>
          <w:rFonts w:hint="eastAsia"/>
        </w:rPr>
        <w:t>多渠道筹集保障资金、管理服务逐步社会化的社会保障体系已初步建立。社会保险制度的基本政策已经制定并陆续颁布实施</w:t>
      </w:r>
      <w:r>
        <w:t>，</w:t>
      </w:r>
      <w:r>
        <w:rPr>
          <w:rFonts w:hint="eastAsia"/>
        </w:rPr>
        <w:t>覆盖了大多数城镇职工和离退休人员</w:t>
      </w:r>
      <w:r>
        <w:t>，</w:t>
      </w:r>
      <w:r>
        <w:rPr>
          <w:rFonts w:hint="eastAsia"/>
        </w:rPr>
        <w:t>部分地区还把流动到城市就业的农民工也纳入进来</w:t>
      </w:r>
      <w:r>
        <w:t>；</w:t>
      </w:r>
      <w:r>
        <w:rPr>
          <w:rFonts w:hint="eastAsia"/>
        </w:rPr>
        <w:t>在城市普遍建立了居民最低生活保障制度。</w:t>
      </w:r>
    </w:p>
    <w:p w:rsidR="00000000" w:rsidRDefault="00000000">
      <w:r>
        <w:tab/>
        <w:t xml:space="preserve">84.  </w:t>
      </w:r>
      <w:r>
        <w:rPr>
          <w:rFonts w:hint="eastAsia"/>
        </w:rPr>
        <w:t>关于养老保险制度</w:t>
      </w:r>
      <w:r>
        <w:t>，</w:t>
      </w:r>
      <w:r>
        <w:t>1997</w:t>
      </w:r>
      <w:r>
        <w:rPr>
          <w:rFonts w:hint="eastAsia"/>
        </w:rPr>
        <w:t>年</w:t>
      </w:r>
      <w:r>
        <w:t>，</w:t>
      </w:r>
      <w:r>
        <w:rPr>
          <w:rFonts w:hint="eastAsia"/>
        </w:rPr>
        <w:t>中国政府颁布《关于建立统一的企业职工基本养老保险制度的决定》</w:t>
      </w:r>
      <w:r>
        <w:t>，</w:t>
      </w:r>
      <w:r>
        <w:rPr>
          <w:rFonts w:hint="eastAsia"/>
        </w:rPr>
        <w:t>开始在全国建立统一的城镇企业职工基本养老保险制度。经过几年推进，全国已有</w:t>
      </w:r>
      <w:r>
        <w:t>1.47</w:t>
      </w:r>
      <w:r>
        <w:rPr>
          <w:rFonts w:hint="eastAsia"/>
        </w:rPr>
        <w:t>亿人参加了基本养老保险制度</w:t>
      </w:r>
      <w:r>
        <w:t>，</w:t>
      </w:r>
      <w:r>
        <w:rPr>
          <w:rFonts w:hint="eastAsia"/>
        </w:rPr>
        <w:t>其中</w:t>
      </w:r>
      <w:r>
        <w:t>3608</w:t>
      </w:r>
      <w:r>
        <w:rPr>
          <w:rFonts w:hint="eastAsia"/>
        </w:rPr>
        <w:t>万人领取基本养老金。平均月基本养老金也由</w:t>
      </w:r>
      <w:r>
        <w:t>1998</w:t>
      </w:r>
      <w:r>
        <w:rPr>
          <w:rFonts w:hint="eastAsia"/>
        </w:rPr>
        <w:t>年的</w:t>
      </w:r>
      <w:r>
        <w:t>413</w:t>
      </w:r>
      <w:r>
        <w:rPr>
          <w:rFonts w:hint="eastAsia"/>
        </w:rPr>
        <w:t>元增加</w:t>
      </w:r>
      <w:r>
        <w:t>2002</w:t>
      </w:r>
      <w:r>
        <w:rPr>
          <w:rFonts w:hint="eastAsia"/>
        </w:rPr>
        <w:t>年的</w:t>
      </w:r>
      <w:r>
        <w:t>648</w:t>
      </w:r>
      <w:r>
        <w:rPr>
          <w:rFonts w:hint="eastAsia"/>
        </w:rPr>
        <w:t>元。为确保基本养老金的按时足额发放</w:t>
      </w:r>
      <w:r>
        <w:t>，</w:t>
      </w:r>
      <w:r>
        <w:rPr>
          <w:rFonts w:hint="eastAsia"/>
        </w:rPr>
        <w:t>近年来中国政府在不断完善基本养老保险的同时</w:t>
      </w:r>
      <w:r>
        <w:t>，</w:t>
      </w:r>
      <w:r>
        <w:rPr>
          <w:rFonts w:hint="eastAsia"/>
        </w:rPr>
        <w:t>不断加大对基本养老保险基金的财政投入。</w:t>
      </w:r>
      <w:r>
        <w:t>1998</w:t>
      </w:r>
      <w:r>
        <w:rPr>
          <w:rFonts w:hint="eastAsia"/>
        </w:rPr>
        <w:t>年至</w:t>
      </w:r>
      <w:r>
        <w:t>2002</w:t>
      </w:r>
      <w:r>
        <w:rPr>
          <w:rFonts w:hint="eastAsia"/>
        </w:rPr>
        <w:t>年</w:t>
      </w:r>
      <w:r>
        <w:t>，</w:t>
      </w:r>
      <w:r>
        <w:rPr>
          <w:rFonts w:hint="eastAsia"/>
        </w:rPr>
        <w:t>仅中央财政对地方基本养老保险基金补贴就达</w:t>
      </w:r>
      <w:r>
        <w:t>1294</w:t>
      </w:r>
      <w:r>
        <w:rPr>
          <w:rFonts w:hint="eastAsia"/>
        </w:rPr>
        <w:t>亿元。目前</w:t>
      </w:r>
      <w:r>
        <w:t>，</w:t>
      </w:r>
      <w:r>
        <w:rPr>
          <w:rFonts w:hint="eastAsia"/>
        </w:rPr>
        <w:t>基本实现了基本养老金由社会服务机构</w:t>
      </w:r>
      <w:r>
        <w:t>(</w:t>
      </w:r>
      <w:r>
        <w:rPr>
          <w:rFonts w:hint="eastAsia"/>
        </w:rPr>
        <w:t>如银行、邮局</w:t>
      </w:r>
      <w:r>
        <w:t>)</w:t>
      </w:r>
      <w:r>
        <w:rPr>
          <w:rFonts w:hint="eastAsia"/>
        </w:rPr>
        <w:t>发放</w:t>
      </w:r>
      <w:r>
        <w:t>，</w:t>
      </w:r>
      <w:r>
        <w:t>2002</w:t>
      </w:r>
      <w:r>
        <w:rPr>
          <w:rFonts w:hint="eastAsia"/>
        </w:rPr>
        <w:t>年基本养老金社会化发放率达到</w:t>
      </w:r>
      <w:r>
        <w:t>99.4%</w:t>
      </w:r>
      <w:r>
        <w:rPr>
          <w:rFonts w:hint="eastAsia"/>
        </w:rPr>
        <w:t>。</w:t>
      </w:r>
      <w:r>
        <w:t>1991</w:t>
      </w:r>
      <w:r>
        <w:rPr>
          <w:rFonts w:hint="eastAsia"/>
        </w:rPr>
        <w:t>年</w:t>
      </w:r>
      <w:r>
        <w:t>，</w:t>
      </w:r>
      <w:r>
        <w:rPr>
          <w:rFonts w:hint="eastAsia"/>
        </w:rPr>
        <w:t>中国部分农村地区开始试行养老保险制度。农村养老保险制度以“个人交费为主、集体补助为辅、政府给予政策扶持”为基本原则，实行基金积累的个人账户模式。</w:t>
      </w:r>
    </w:p>
    <w:p w:rsidR="00000000" w:rsidRDefault="00000000">
      <w:r>
        <w:tab/>
        <w:t xml:space="preserve">85.  </w:t>
      </w:r>
      <w:r>
        <w:rPr>
          <w:rFonts w:hint="eastAsia"/>
        </w:rPr>
        <w:t>关于医疗保险。</w:t>
      </w:r>
      <w:r>
        <w:t>1998</w:t>
      </w:r>
      <w:r>
        <w:rPr>
          <w:rFonts w:hint="eastAsia"/>
        </w:rPr>
        <w:t>年</w:t>
      </w:r>
      <w:r>
        <w:t>，</w:t>
      </w:r>
      <w:r>
        <w:rPr>
          <w:rFonts w:hint="eastAsia"/>
        </w:rPr>
        <w:t>中国政府颁布《关于建立城镇职工基本医疗保险制度的决定》</w:t>
      </w:r>
      <w:r>
        <w:t>，</w:t>
      </w:r>
      <w:r>
        <w:rPr>
          <w:rFonts w:hint="eastAsia"/>
        </w:rPr>
        <w:t>开始在全国建立城镇职工基本医疗保险制度。基本医疗保险覆盖城镇所有用人单位及其职工</w:t>
      </w:r>
      <w:r>
        <w:t>，</w:t>
      </w:r>
      <w:r>
        <w:rPr>
          <w:rFonts w:hint="eastAsia"/>
        </w:rPr>
        <w:t>费用由单位和职工共同缴纳。到</w:t>
      </w:r>
      <w:r>
        <w:t>2002</w:t>
      </w:r>
      <w:r>
        <w:rPr>
          <w:rFonts w:hint="eastAsia"/>
        </w:rPr>
        <w:t>年底，全国绝大部分城市都已建立城镇职工基本医疗保险制度</w:t>
      </w:r>
      <w:r>
        <w:t>，</w:t>
      </w:r>
      <w:r>
        <w:rPr>
          <w:rFonts w:hint="eastAsia"/>
        </w:rPr>
        <w:t>覆盖人数达</w:t>
      </w:r>
      <w:r>
        <w:t>9400</w:t>
      </w:r>
      <w:r>
        <w:rPr>
          <w:rFonts w:hint="eastAsia"/>
        </w:rPr>
        <w:t>万人。在基本医疗保险的基础上，各地还普遍建立了大额医疗费用补助办法和公务员医疗补助制度</w:t>
      </w:r>
      <w:r>
        <w:t>，</w:t>
      </w:r>
      <w:r>
        <w:rPr>
          <w:rFonts w:hint="eastAsia"/>
        </w:rPr>
        <w:t>有条件的企业为职工建立了企业补充医疗保险。为解决贫困人口的基本医疗保障问题</w:t>
      </w:r>
      <w:r>
        <w:t>，</w:t>
      </w:r>
      <w:r>
        <w:rPr>
          <w:rFonts w:hint="eastAsia"/>
        </w:rPr>
        <w:t>各地正在逐步建立社会医疗救助制度。从</w:t>
      </w:r>
      <w:r>
        <w:t>2000</w:t>
      </w:r>
      <w:r>
        <w:rPr>
          <w:rFonts w:hint="eastAsia"/>
        </w:rPr>
        <w:t>年开始，中国政府要求同步推进基本医疗保险制度、医疗卫生体制和药品流通体制改革，通过建立医疗机构之间的竞争机制和药品生产流通的市场运行机制</w:t>
      </w:r>
      <w:r>
        <w:t>，</w:t>
      </w:r>
      <w:r>
        <w:rPr>
          <w:rFonts w:hint="eastAsia"/>
        </w:rPr>
        <w:t>努力实现“用比较低廉的费用提供比较优质的医疗服务”的目标。</w:t>
      </w:r>
    </w:p>
    <w:p w:rsidR="00000000" w:rsidRDefault="00000000">
      <w:r>
        <w:tab/>
        <w:t xml:space="preserve">86.  </w:t>
      </w:r>
      <w:r>
        <w:rPr>
          <w:rFonts w:hint="eastAsia"/>
        </w:rPr>
        <w:t>关于工伤保险。</w:t>
      </w:r>
      <w:r>
        <w:t>1996</w:t>
      </w:r>
      <w:r>
        <w:rPr>
          <w:rFonts w:hint="eastAsia"/>
        </w:rPr>
        <w:t>年</w:t>
      </w:r>
      <w:r>
        <w:t>，</w:t>
      </w:r>
      <w:r>
        <w:rPr>
          <w:rFonts w:hint="eastAsia"/>
        </w:rPr>
        <w:t>中国政府有关部门出台《企业职工工伤保险试行办法》，在部分地区建立工伤保险制度。同年</w:t>
      </w:r>
      <w:r>
        <w:t>，</w:t>
      </w:r>
      <w:r>
        <w:rPr>
          <w:rFonts w:hint="eastAsia"/>
        </w:rPr>
        <w:t>中国政府有关部门制定《职工工伤和职业病致残程度鉴定标准》</w:t>
      </w:r>
      <w:r>
        <w:t>，</w:t>
      </w:r>
      <w:r>
        <w:rPr>
          <w:rFonts w:hint="eastAsia"/>
        </w:rPr>
        <w:t>为鉴定工伤和职业病致残程度提供了依据。</w:t>
      </w:r>
      <w:r>
        <w:t>2002</w:t>
      </w:r>
      <w:r>
        <w:rPr>
          <w:rFonts w:hint="eastAsia"/>
        </w:rPr>
        <w:t>年底</w:t>
      </w:r>
      <w:r>
        <w:t>，</w:t>
      </w:r>
      <w:r>
        <w:rPr>
          <w:rFonts w:hint="eastAsia"/>
        </w:rPr>
        <w:t>全国平均工伤保险费率为</w:t>
      </w:r>
      <w:r>
        <w:t>1%</w:t>
      </w:r>
      <w:r>
        <w:t>，</w:t>
      </w:r>
      <w:r>
        <w:rPr>
          <w:rFonts w:hint="eastAsia"/>
        </w:rPr>
        <w:t>参加工伤保险的职工达</w:t>
      </w:r>
      <w:r>
        <w:t>4406</w:t>
      </w:r>
      <w:r>
        <w:rPr>
          <w:rFonts w:hint="eastAsia"/>
        </w:rPr>
        <w:t>万人。没有参加工伤保险的单位，仍由该单位承担支付工伤待遇的责任。</w:t>
      </w:r>
      <w:r>
        <w:t>2003</w:t>
      </w:r>
      <w:r>
        <w:rPr>
          <w:rFonts w:hint="eastAsia"/>
        </w:rPr>
        <w:t>年</w:t>
      </w:r>
      <w:r>
        <w:t>4</w:t>
      </w:r>
      <w:r>
        <w:rPr>
          <w:rFonts w:hint="eastAsia"/>
        </w:rPr>
        <w:t>月</w:t>
      </w:r>
      <w:r>
        <w:t>，</w:t>
      </w:r>
      <w:r>
        <w:rPr>
          <w:rFonts w:hint="eastAsia"/>
        </w:rPr>
        <w:t>国务院颁布了《工伤保险条例》</w:t>
      </w:r>
      <w:r>
        <w:t>，</w:t>
      </w:r>
      <w:r>
        <w:rPr>
          <w:rFonts w:hint="eastAsia"/>
        </w:rPr>
        <w:t>将于</w:t>
      </w:r>
      <w:r>
        <w:t>2004</w:t>
      </w:r>
      <w:r>
        <w:rPr>
          <w:rFonts w:hint="eastAsia"/>
        </w:rPr>
        <w:t>年</w:t>
      </w:r>
      <w:r>
        <w:t>1</w:t>
      </w:r>
      <w:r>
        <w:rPr>
          <w:rFonts w:hint="eastAsia"/>
        </w:rPr>
        <w:t>月</w:t>
      </w:r>
      <w:r>
        <w:t>1</w:t>
      </w:r>
      <w:r>
        <w:rPr>
          <w:rFonts w:hint="eastAsia"/>
        </w:rPr>
        <w:t>日起开始实施</w:t>
      </w:r>
      <w:r>
        <w:t>，</w:t>
      </w:r>
      <w:r>
        <w:rPr>
          <w:rFonts w:hint="eastAsia"/>
        </w:rPr>
        <w:t>工伤保险纳入到法制化轨道。</w:t>
      </w:r>
    </w:p>
    <w:p w:rsidR="00000000" w:rsidRDefault="00000000">
      <w:pPr>
        <w:rPr>
          <w:rFonts w:hint="eastAsia"/>
        </w:rPr>
      </w:pPr>
      <w:r>
        <w:tab/>
        <w:t xml:space="preserve">87.  </w:t>
      </w:r>
      <w:r>
        <w:rPr>
          <w:rFonts w:hint="eastAsia"/>
        </w:rPr>
        <w:t>关于失业保险制度。中国于</w:t>
      </w:r>
      <w:r>
        <w:t>1986</w:t>
      </w:r>
      <w:r>
        <w:rPr>
          <w:rFonts w:hint="eastAsia"/>
        </w:rPr>
        <w:t>年建立失业保险制度。</w:t>
      </w:r>
      <w:r>
        <w:t>1999</w:t>
      </w:r>
      <w:r>
        <w:rPr>
          <w:rFonts w:hint="eastAsia"/>
        </w:rPr>
        <w:t>年</w:t>
      </w:r>
      <w:r>
        <w:t>，</w:t>
      </w:r>
      <w:r>
        <w:rPr>
          <w:rFonts w:hint="eastAsia"/>
        </w:rPr>
        <w:t>中国政府颁布《失业保险条例》。失业保险覆盖城镇所有企业、事业单位及其职工</w:t>
      </w:r>
      <w:r>
        <w:t>；</w:t>
      </w:r>
      <w:r>
        <w:rPr>
          <w:rFonts w:hint="eastAsia"/>
        </w:rPr>
        <w:t>所有企业、事业单位及其职工必须缴纳失业保险费。失业保险金按月发放，标准低于最低工资标准、高于城市居民最低生活保障标准。领取失业保险金的期限根据缴费年限确定</w:t>
      </w:r>
      <w:r>
        <w:t>，</w:t>
      </w:r>
      <w:r>
        <w:rPr>
          <w:rFonts w:hint="eastAsia"/>
        </w:rPr>
        <w:t>最长为</w:t>
      </w:r>
      <w:r>
        <w:t>24</w:t>
      </w:r>
      <w:r>
        <w:rPr>
          <w:rFonts w:hint="eastAsia"/>
        </w:rPr>
        <w:t>个月。失业者在领取失业保险金期间患病</w:t>
      </w:r>
      <w:r>
        <w:t>，</w:t>
      </w:r>
      <w:r>
        <w:rPr>
          <w:rFonts w:hint="eastAsia"/>
        </w:rPr>
        <w:t>还可领取医疗补助金</w:t>
      </w:r>
      <w:r>
        <w:t>；</w:t>
      </w:r>
      <w:r>
        <w:rPr>
          <w:rFonts w:hint="eastAsia"/>
        </w:rPr>
        <w:t>失业者在领取失业保险金期间死亡</w:t>
      </w:r>
      <w:r>
        <w:t>，</w:t>
      </w:r>
      <w:r>
        <w:rPr>
          <w:rFonts w:hint="eastAsia"/>
        </w:rPr>
        <w:t>其遗属可领取丧葬补助金和遗属抚恤金。此外，失业者在领取失业保险金期间还可享受职业培训和职业介绍补贴。从</w:t>
      </w:r>
      <w:r>
        <w:t>1998</w:t>
      </w:r>
      <w:r>
        <w:rPr>
          <w:rFonts w:hint="eastAsia"/>
        </w:rPr>
        <w:t>年到</w:t>
      </w:r>
      <w:r>
        <w:t>2002</w:t>
      </w:r>
      <w:r>
        <w:rPr>
          <w:rFonts w:hint="eastAsia"/>
        </w:rPr>
        <w:t>年</w:t>
      </w:r>
      <w:r>
        <w:t>，</w:t>
      </w:r>
      <w:r>
        <w:rPr>
          <w:rFonts w:hint="eastAsia"/>
        </w:rPr>
        <w:t>失业保险参保人数由</w:t>
      </w:r>
      <w:r>
        <w:t>7928</w:t>
      </w:r>
      <w:r>
        <w:rPr>
          <w:rFonts w:hint="eastAsia"/>
        </w:rPr>
        <w:t>万人扩大到</w:t>
      </w:r>
      <w:r>
        <w:t>10182</w:t>
      </w:r>
      <w:r>
        <w:rPr>
          <w:rFonts w:hint="eastAsia"/>
        </w:rPr>
        <w:t>万人。</w:t>
      </w:r>
      <w:r>
        <w:t>2001</w:t>
      </w:r>
      <w:r>
        <w:rPr>
          <w:rFonts w:hint="eastAsia"/>
        </w:rPr>
        <w:t>年末领取失业保险金的人数为</w:t>
      </w:r>
      <w:r>
        <w:t>440</w:t>
      </w:r>
      <w:r>
        <w:rPr>
          <w:rFonts w:hint="eastAsia"/>
        </w:rPr>
        <w:t>万人。随着失业保险制度的完善</w:t>
      </w:r>
      <w:r>
        <w:t>，</w:t>
      </w:r>
      <w:r>
        <w:rPr>
          <w:rFonts w:hint="eastAsia"/>
        </w:rPr>
        <w:t>国有企业下岗职工基本生活保障制度正在逐步纳入失业保险。</w:t>
      </w:r>
    </w:p>
    <w:p w:rsidR="00000000" w:rsidRDefault="00000000">
      <w:r>
        <w:rPr>
          <w:rFonts w:hint="eastAsia"/>
        </w:rPr>
        <w:tab/>
      </w:r>
      <w:r>
        <w:t xml:space="preserve">88.  </w:t>
      </w:r>
      <w:r>
        <w:rPr>
          <w:rFonts w:hint="eastAsia"/>
        </w:rPr>
        <w:t>关于生育保险制度。</w:t>
      </w:r>
      <w:r>
        <w:t>1988</w:t>
      </w:r>
      <w:r>
        <w:rPr>
          <w:rFonts w:hint="eastAsia"/>
        </w:rPr>
        <w:t>年以来，中国的一些地区开始进行企业生育保险制度改革探索。</w:t>
      </w:r>
      <w:r>
        <w:t>1994</w:t>
      </w:r>
      <w:r>
        <w:rPr>
          <w:rFonts w:hint="eastAsia"/>
        </w:rPr>
        <w:t>年，在总结各地经验的基础上</w:t>
      </w:r>
      <w:r>
        <w:t>，</w:t>
      </w:r>
      <w:r>
        <w:rPr>
          <w:rFonts w:hint="eastAsia"/>
        </w:rPr>
        <w:t>中国政府有关部门制定了《企业职工生育保险试行办法》。规定生育保险费由企业缴纳，职工个人不缴费。生育保险支付待遇主要包括因生育发生的医疗费用和生育津贴等。</w:t>
      </w:r>
      <w:r>
        <w:t>2002</w:t>
      </w:r>
      <w:r>
        <w:rPr>
          <w:rFonts w:hint="eastAsia"/>
        </w:rPr>
        <w:t>年底</w:t>
      </w:r>
      <w:r>
        <w:t>，</w:t>
      </w:r>
      <w:r>
        <w:rPr>
          <w:rFonts w:hint="eastAsia"/>
        </w:rPr>
        <w:t>全国平均生育保险费率为</w:t>
      </w:r>
      <w:r>
        <w:t>0.7%</w:t>
      </w:r>
      <w:r>
        <w:rPr>
          <w:rFonts w:hint="eastAsia"/>
        </w:rPr>
        <w:t>左右，参加生育保险的职工达</w:t>
      </w:r>
      <w:r>
        <w:t>3488</w:t>
      </w:r>
      <w:r>
        <w:rPr>
          <w:rFonts w:hint="eastAsia"/>
        </w:rPr>
        <w:t>万人。没有参加生育保险的单位，仍由该单位承担支付生育待遇的责任。</w:t>
      </w:r>
    </w:p>
    <w:p w:rsidR="00000000" w:rsidRDefault="00000000">
      <w:r>
        <w:tab/>
        <w:t xml:space="preserve">89.  </w:t>
      </w:r>
      <w:r>
        <w:rPr>
          <w:rFonts w:hint="eastAsia"/>
        </w:rPr>
        <w:t>关于最低生活保障制度。中华人民共和国成立初期</w:t>
      </w:r>
      <w:r>
        <w:t>，</w:t>
      </w:r>
      <w:r>
        <w:rPr>
          <w:rFonts w:hint="eastAsia"/>
        </w:rPr>
        <w:t>中国就建立了针对城乡贫困居民的社会救济制度。</w:t>
      </w:r>
      <w:r>
        <w:t>1993</w:t>
      </w:r>
      <w:r>
        <w:rPr>
          <w:rFonts w:hint="eastAsia"/>
        </w:rPr>
        <w:t>年</w:t>
      </w:r>
      <w:r>
        <w:t>，</w:t>
      </w:r>
      <w:r>
        <w:rPr>
          <w:rFonts w:hint="eastAsia"/>
        </w:rPr>
        <w:t>中国政府开始对城市社会救济制度进行改革</w:t>
      </w:r>
      <w:r>
        <w:t>，</w:t>
      </w:r>
      <w:r>
        <w:rPr>
          <w:rFonts w:hint="eastAsia"/>
        </w:rPr>
        <w:t>尝试建立最低生活保障制度。到</w:t>
      </w:r>
      <w:r>
        <w:t>1999</w:t>
      </w:r>
      <w:r>
        <w:rPr>
          <w:rFonts w:hint="eastAsia"/>
        </w:rPr>
        <w:t>年，全国所有城市和有建制镇</w:t>
      </w:r>
      <w:r>
        <w:rPr>
          <w:rStyle w:val="FootnoteReference"/>
          <w:szCs w:val="30"/>
        </w:rPr>
        <w:footnoteReference w:customMarkFollows="1" w:id="8"/>
        <w:t>5</w:t>
      </w:r>
      <w:r>
        <w:t xml:space="preserve"> </w:t>
      </w:r>
      <w:r>
        <w:rPr>
          <w:rFonts w:hint="eastAsia"/>
        </w:rPr>
        <w:t>的县城均建立了最低生活保障制度。同年</w:t>
      </w:r>
      <w:r>
        <w:t>，</w:t>
      </w:r>
      <w:r>
        <w:rPr>
          <w:rFonts w:hint="eastAsia"/>
        </w:rPr>
        <w:t>中国政府正式颁布了《城市居民最低生活保障条例》</w:t>
      </w:r>
      <w:r>
        <w:t>，</w:t>
      </w:r>
      <w:r>
        <w:rPr>
          <w:rFonts w:hint="eastAsia"/>
        </w:rPr>
        <w:t>为城市所有符合条件的居民提供最基本的生活保障。</w:t>
      </w:r>
    </w:p>
    <w:p w:rsidR="00000000" w:rsidRDefault="00000000">
      <w:r>
        <w:rPr>
          <w:rFonts w:hint="eastAsia"/>
        </w:rPr>
        <w:tab/>
      </w:r>
      <w:r>
        <w:t xml:space="preserve">90.  </w:t>
      </w:r>
      <w:r>
        <w:rPr>
          <w:rFonts w:hint="eastAsia"/>
        </w:rPr>
        <w:t>城市居民最低生活保障资金由地方人民政府列入财政预算。地方政府根据当地维持城市居民基本生活所必需的费用来确定最低生活保障标准。家庭共同生活的人均收入低于最低生活保障标准的城市居民均可申请领取最低生活保障金。</w:t>
      </w:r>
      <w:r>
        <w:t>2002</w:t>
      </w:r>
      <w:r>
        <w:rPr>
          <w:rFonts w:hint="eastAsia"/>
        </w:rPr>
        <w:t>年底</w:t>
      </w:r>
      <w:r>
        <w:t>，</w:t>
      </w:r>
      <w:r>
        <w:rPr>
          <w:rFonts w:hint="eastAsia"/>
        </w:rPr>
        <w:t>全国领取城市最低生活保障金的人数达</w:t>
      </w:r>
      <w:r>
        <w:t>2053.6</w:t>
      </w:r>
      <w:r>
        <w:rPr>
          <w:rFonts w:hint="eastAsia"/>
        </w:rPr>
        <w:t>万人</w:t>
      </w:r>
      <w:r>
        <w:t>，</w:t>
      </w:r>
      <w:r>
        <w:rPr>
          <w:rFonts w:hint="eastAsia"/>
        </w:rPr>
        <w:t>中央财政投入用于发放最低生活保障待遇的资金为</w:t>
      </w:r>
      <w:r>
        <w:t>46</w:t>
      </w:r>
      <w:r>
        <w:rPr>
          <w:rFonts w:hint="eastAsia"/>
        </w:rPr>
        <w:t>亿元。近年来</w:t>
      </w:r>
      <w:r>
        <w:t>，</w:t>
      </w:r>
      <w:r>
        <w:rPr>
          <w:rFonts w:hint="eastAsia"/>
        </w:rPr>
        <w:t>部分农村地区也开始建立最低生活保障制度。</w:t>
      </w:r>
    </w:p>
    <w:p w:rsidR="00000000" w:rsidRDefault="00000000">
      <w:r>
        <w:tab/>
        <w:t xml:space="preserve">91.  </w:t>
      </w:r>
      <w:r>
        <w:rPr>
          <w:rFonts w:hint="eastAsia"/>
        </w:rPr>
        <w:t>中国社会福利制度是指政府出资为那些生活困难的老人、孤儿和残疾人等弱势群体提供生活保障而建立的制度。为保障弱势群体的生活权益</w:t>
      </w:r>
      <w:r>
        <w:t>，</w:t>
      </w:r>
      <w:r>
        <w:rPr>
          <w:rFonts w:hint="eastAsia"/>
        </w:rPr>
        <w:t>中国颁布了《老年人权益保障法》、《残疾人保障法》和《农村五保供养工作条例》等法律法规。有关法律法规规定</w:t>
      </w:r>
      <w:r>
        <w:t>：</w:t>
      </w:r>
      <w:r>
        <w:rPr>
          <w:rFonts w:hint="eastAsia"/>
        </w:rPr>
        <w:t>对城市孤寡老人、符合供养条件的残疾人和孤儿实行集中供养</w:t>
      </w:r>
      <w:r>
        <w:t>，</w:t>
      </w:r>
      <w:r>
        <w:rPr>
          <w:rFonts w:hint="eastAsia"/>
        </w:rPr>
        <w:t>对农村孤寡老人、符合供养条件的残疾人和孤儿实行集中供养与分散供养相结合</w:t>
      </w:r>
      <w:r>
        <w:t>；</w:t>
      </w:r>
      <w:r>
        <w:rPr>
          <w:rFonts w:hint="eastAsia"/>
        </w:rPr>
        <w:t>集中供养一般通过举办社会福利院、敬老院、疗养院、儿童福利院等福利机构进行。中国的社会福利事业取得了很大成就。截至</w:t>
      </w:r>
      <w:r>
        <w:t>2001</w:t>
      </w:r>
      <w:r>
        <w:rPr>
          <w:rFonts w:hint="eastAsia"/>
        </w:rPr>
        <w:t>年底</w:t>
      </w:r>
      <w:r>
        <w:t>，</w:t>
      </w:r>
      <w:r>
        <w:rPr>
          <w:rFonts w:hint="eastAsia"/>
        </w:rPr>
        <w:t>全国有政府举办的社会福利机构</w:t>
      </w:r>
      <w:r>
        <w:t>3327</w:t>
      </w:r>
      <w:r>
        <w:rPr>
          <w:rFonts w:hint="eastAsia"/>
        </w:rPr>
        <w:t>个</w:t>
      </w:r>
      <w:r>
        <w:t>，</w:t>
      </w:r>
      <w:r>
        <w:rPr>
          <w:rFonts w:hint="eastAsia"/>
        </w:rPr>
        <w:t>收养了</w:t>
      </w:r>
      <w:r>
        <w:t>19.1</w:t>
      </w:r>
      <w:r>
        <w:rPr>
          <w:rFonts w:hint="eastAsia"/>
        </w:rPr>
        <w:t>万人</w:t>
      </w:r>
      <w:r>
        <w:t>；</w:t>
      </w:r>
      <w:r>
        <w:rPr>
          <w:rFonts w:hint="eastAsia"/>
        </w:rPr>
        <w:t>集体举办的社会福利机构</w:t>
      </w:r>
      <w:r>
        <w:t>3.5</w:t>
      </w:r>
      <w:r>
        <w:rPr>
          <w:rFonts w:hint="eastAsia"/>
        </w:rPr>
        <w:t>万个</w:t>
      </w:r>
      <w:r>
        <w:t>，</w:t>
      </w:r>
      <w:r>
        <w:rPr>
          <w:rFonts w:hint="eastAsia"/>
        </w:rPr>
        <w:t>收养</w:t>
      </w:r>
      <w:r>
        <w:t>66.8</w:t>
      </w:r>
      <w:r>
        <w:rPr>
          <w:rFonts w:hint="eastAsia"/>
        </w:rPr>
        <w:t>万人</w:t>
      </w:r>
      <w:r>
        <w:t>；</w:t>
      </w:r>
      <w:r>
        <w:rPr>
          <w:rFonts w:hint="eastAsia"/>
        </w:rPr>
        <w:t>民办社会福利机构</w:t>
      </w:r>
      <w:r>
        <w:t>934</w:t>
      </w:r>
      <w:r>
        <w:rPr>
          <w:rFonts w:hint="eastAsia"/>
        </w:rPr>
        <w:t>家</w:t>
      </w:r>
      <w:r>
        <w:t>，</w:t>
      </w:r>
      <w:r>
        <w:rPr>
          <w:rFonts w:hint="eastAsia"/>
        </w:rPr>
        <w:t>收养</w:t>
      </w:r>
      <w:r>
        <w:t>3.4</w:t>
      </w:r>
      <w:r>
        <w:rPr>
          <w:rFonts w:hint="eastAsia"/>
        </w:rPr>
        <w:t>万人</w:t>
      </w:r>
      <w:r>
        <w:t>；</w:t>
      </w:r>
      <w:r>
        <w:rPr>
          <w:rFonts w:hint="eastAsia"/>
        </w:rPr>
        <w:t>社会福利企业</w:t>
      </w:r>
      <w:r>
        <w:t>3.8</w:t>
      </w:r>
      <w:r>
        <w:rPr>
          <w:rFonts w:hint="eastAsia"/>
        </w:rPr>
        <w:t>万家</w:t>
      </w:r>
      <w:r>
        <w:t>，</w:t>
      </w:r>
      <w:r>
        <w:rPr>
          <w:rFonts w:hint="eastAsia"/>
        </w:rPr>
        <w:t>安置残疾职工</w:t>
      </w:r>
      <w:r>
        <w:t>69.9</w:t>
      </w:r>
      <w:r>
        <w:rPr>
          <w:rFonts w:hint="eastAsia"/>
        </w:rPr>
        <w:t>万人。此外</w:t>
      </w:r>
      <w:r>
        <w:t>，</w:t>
      </w:r>
      <w:r>
        <w:rPr>
          <w:rFonts w:hint="eastAsia"/>
        </w:rPr>
        <w:t>中国还通过发行社会福利彩票募集资金支持社会福利事业。</w:t>
      </w:r>
      <w:r>
        <w:t>2001</w:t>
      </w:r>
      <w:r>
        <w:rPr>
          <w:rFonts w:hint="eastAsia"/>
        </w:rPr>
        <w:t>年</w:t>
      </w:r>
      <w:r>
        <w:t>，</w:t>
      </w:r>
      <w:r>
        <w:rPr>
          <w:rFonts w:hint="eastAsia"/>
        </w:rPr>
        <w:t>福利事业共募集资金</w:t>
      </w:r>
      <w:r>
        <w:t>42</w:t>
      </w:r>
      <w:r>
        <w:rPr>
          <w:rFonts w:hint="eastAsia"/>
        </w:rPr>
        <w:t>亿元。</w:t>
      </w:r>
    </w:p>
    <w:p w:rsidR="00000000" w:rsidRDefault="00000000">
      <w:r>
        <w:tab/>
        <w:t xml:space="preserve">92.  </w:t>
      </w:r>
      <w:r>
        <w:rPr>
          <w:rFonts w:hint="eastAsia"/>
        </w:rPr>
        <w:t>中国是一个自然灾害频繁的国家</w:t>
      </w:r>
      <w:r>
        <w:t>，</w:t>
      </w:r>
      <w:r>
        <w:rPr>
          <w:rFonts w:hint="eastAsia"/>
        </w:rPr>
        <w:t>大的水灾、旱灾、风灾、冰雹灾等自然灾害不断</w:t>
      </w:r>
      <w:r>
        <w:t>，</w:t>
      </w:r>
      <w:r>
        <w:rPr>
          <w:rFonts w:hint="eastAsia"/>
        </w:rPr>
        <w:t>严重影响了人民生活。为做好灾民的救助工作，中国建立了针对突发性自然灾害的社会救助制度。各级政府每年都在财政预算中安排救灾支出</w:t>
      </w:r>
      <w:r>
        <w:t>，</w:t>
      </w:r>
      <w:r>
        <w:rPr>
          <w:rFonts w:hint="eastAsia"/>
        </w:rPr>
        <w:t>用于安置和救济灾民。</w:t>
      </w:r>
      <w:r>
        <w:t>1996</w:t>
      </w:r>
      <w:r>
        <w:rPr>
          <w:rFonts w:hint="eastAsia"/>
        </w:rPr>
        <w:t>年至</w:t>
      </w:r>
      <w:r>
        <w:t>2001</w:t>
      </w:r>
      <w:r>
        <w:rPr>
          <w:rFonts w:hint="eastAsia"/>
        </w:rPr>
        <w:t>年</w:t>
      </w:r>
      <w:r>
        <w:t>，</w:t>
      </w:r>
      <w:r>
        <w:rPr>
          <w:rFonts w:hint="eastAsia"/>
        </w:rPr>
        <w:t>全国各级财政救灾支出达到</w:t>
      </w:r>
      <w:r>
        <w:t>212.6</w:t>
      </w:r>
      <w:r>
        <w:rPr>
          <w:rFonts w:hint="eastAsia"/>
        </w:rPr>
        <w:t>亿元</w:t>
      </w:r>
      <w:r>
        <w:t>，</w:t>
      </w:r>
      <w:r>
        <w:rPr>
          <w:rFonts w:hint="eastAsia"/>
        </w:rPr>
        <w:t>向</w:t>
      </w:r>
      <w:r>
        <w:t>3.9</w:t>
      </w:r>
      <w:r>
        <w:rPr>
          <w:rFonts w:hint="eastAsia"/>
        </w:rPr>
        <w:t>亿人次的灾民提供粮食、衣被等救助。灾害救助制度有力地保障了灾区人民的基本生活。</w:t>
      </w:r>
    </w:p>
    <w:p w:rsidR="00000000" w:rsidRDefault="00000000">
      <w:r>
        <w:tab/>
        <w:t xml:space="preserve">93.  </w:t>
      </w:r>
      <w:r>
        <w:rPr>
          <w:rFonts w:hint="eastAsia"/>
        </w:rPr>
        <w:t>社会互助是中华民族的优良传统。</w:t>
      </w:r>
      <w:r>
        <w:t>2000</w:t>
      </w:r>
      <w:r>
        <w:rPr>
          <w:rFonts w:hint="eastAsia"/>
        </w:rPr>
        <w:t>年颁布的《社会公益捐赠法》</w:t>
      </w:r>
      <w:r>
        <w:t>，</w:t>
      </w:r>
      <w:r>
        <w:rPr>
          <w:rFonts w:hint="eastAsia"/>
        </w:rPr>
        <w:t>对社会捐赠活动的经常化、制度化进行了立法规范和鼓励。</w:t>
      </w:r>
      <w:r>
        <w:t>2001</w:t>
      </w:r>
      <w:r>
        <w:rPr>
          <w:rFonts w:hint="eastAsia"/>
        </w:rPr>
        <w:t>年民政部门接收的社会捐赠</w:t>
      </w:r>
      <w:r>
        <w:t>(</w:t>
      </w:r>
      <w:r>
        <w:rPr>
          <w:rFonts w:hint="eastAsia"/>
        </w:rPr>
        <w:t>含捐赠物资折款</w:t>
      </w:r>
      <w:r>
        <w:t>)</w:t>
      </w:r>
      <w:r>
        <w:rPr>
          <w:rFonts w:hint="eastAsia"/>
        </w:rPr>
        <w:t>金额为</w:t>
      </w:r>
      <w:r>
        <w:t>15.9</w:t>
      </w:r>
      <w:r>
        <w:rPr>
          <w:rFonts w:hint="eastAsia"/>
        </w:rPr>
        <w:t>亿元。中国政府积极倡导机关、企事业单位、社会团体有组织地帮助和扶持贫困家庭脱贫致富。基层政府通过兴办社区服务业</w:t>
      </w:r>
      <w:r>
        <w:t>，</w:t>
      </w:r>
      <w:r>
        <w:rPr>
          <w:rFonts w:hint="eastAsia"/>
        </w:rPr>
        <w:t>为贫困对象提供照顾和服务。</w:t>
      </w:r>
    </w:p>
    <w:p w:rsidR="00000000" w:rsidRDefault="00000000">
      <w:r>
        <w:tab/>
        <w:t xml:space="preserve">94.  </w:t>
      </w:r>
      <w:r>
        <w:rPr>
          <w:rFonts w:hint="eastAsia"/>
        </w:rPr>
        <w:t>中国政府针对妇女制定并实施了特殊的保障制度</w:t>
      </w:r>
      <w:r>
        <w:t>，</w:t>
      </w:r>
      <w:r>
        <w:rPr>
          <w:rFonts w:hint="eastAsia"/>
        </w:rPr>
        <w:t>如保证妇女在经、孕、产、哺乳等生理时期享有特殊保护</w:t>
      </w:r>
      <w:r>
        <w:t>，</w:t>
      </w:r>
      <w:r>
        <w:rPr>
          <w:rFonts w:hint="eastAsia"/>
        </w:rPr>
        <w:t>生育享有</w:t>
      </w:r>
      <w:r>
        <w:t>90</w:t>
      </w:r>
      <w:r>
        <w:rPr>
          <w:rFonts w:hint="eastAsia"/>
        </w:rPr>
        <w:t>天带薪产假等。</w:t>
      </w:r>
      <w:r>
        <w:t>1994</w:t>
      </w:r>
      <w:r>
        <w:rPr>
          <w:rFonts w:hint="eastAsia"/>
        </w:rPr>
        <w:t>年劳动部颁布《企业职工生育保险试行办法》</w:t>
      </w:r>
      <w:r>
        <w:t>，</w:t>
      </w:r>
      <w:r>
        <w:rPr>
          <w:rFonts w:hint="eastAsia"/>
        </w:rPr>
        <w:t>规定实施生育保险费用社会统筹</w:t>
      </w:r>
      <w:r>
        <w:t>，</w:t>
      </w:r>
      <w:r>
        <w:rPr>
          <w:rFonts w:hint="eastAsia"/>
        </w:rPr>
        <w:t>由企业按职工工资总额一定比例向社会保险经办机构缴纳生育保险费</w:t>
      </w:r>
      <w:r>
        <w:t>，</w:t>
      </w:r>
      <w:r>
        <w:rPr>
          <w:rFonts w:hint="eastAsia"/>
        </w:rPr>
        <w:t>建立生育保险基金。</w:t>
      </w:r>
      <w:r>
        <w:t>1997</w:t>
      </w:r>
      <w:r>
        <w:rPr>
          <w:rFonts w:hint="eastAsia"/>
        </w:rPr>
        <w:t>年</w:t>
      </w:r>
      <w:r>
        <w:t>，</w:t>
      </w:r>
      <w:r>
        <w:rPr>
          <w:rFonts w:hint="eastAsia"/>
        </w:rPr>
        <w:t>国家制定了生育保险覆盖计划</w:t>
      </w:r>
      <w:r>
        <w:t>，</w:t>
      </w:r>
      <w:r>
        <w:rPr>
          <w:rFonts w:hint="eastAsia"/>
        </w:rPr>
        <w:t>将女职工的生育纳入到社会再生产统筹规划中</w:t>
      </w:r>
      <w:r>
        <w:t>，</w:t>
      </w:r>
      <w:r>
        <w:rPr>
          <w:rFonts w:hint="eastAsia"/>
        </w:rPr>
        <w:t>对促进企业公平竞争、改善妇女就业环境</w:t>
      </w:r>
      <w:r>
        <w:t>，</w:t>
      </w:r>
      <w:r>
        <w:rPr>
          <w:rFonts w:hint="eastAsia"/>
        </w:rPr>
        <w:t>保障女职工生育期间的基本权益发挥了积极作用。设立生育保险专栏网页</w:t>
      </w:r>
      <w:r>
        <w:t>，</w:t>
      </w:r>
      <w:r>
        <w:rPr>
          <w:rFonts w:hint="eastAsia"/>
        </w:rPr>
        <w:t>将国家、地方有关的政策法规和相关资料广泛宣传</w:t>
      </w:r>
      <w:r>
        <w:t>，</w:t>
      </w:r>
      <w:r>
        <w:rPr>
          <w:rFonts w:hint="eastAsia"/>
        </w:rPr>
        <w:t>推动和指导地方开展工作。</w:t>
      </w:r>
    </w:p>
    <w:p w:rsidR="00000000" w:rsidRDefault="00000000">
      <w:pPr>
        <w:spacing w:after="320"/>
        <w:rPr>
          <w:rFonts w:hint="eastAsia"/>
        </w:rPr>
      </w:pPr>
      <w:r>
        <w:tab/>
        <w:t xml:space="preserve">95.  </w:t>
      </w:r>
      <w:r>
        <w:rPr>
          <w:rFonts w:hint="eastAsia"/>
        </w:rPr>
        <w:t>中国通过救济、补助、供养、扶助、社会保险和特别照顾等多种社会保障措施</w:t>
      </w:r>
      <w:r>
        <w:t>，</w:t>
      </w:r>
      <w:r>
        <w:rPr>
          <w:rFonts w:hint="eastAsia"/>
        </w:rPr>
        <w:t>保障和改善贫困残疾人的生活。城市居民最低生活保障制度将符合条件的残疾人纳入其中</w:t>
      </w:r>
      <w:r>
        <w:t>，</w:t>
      </w:r>
      <w:r>
        <w:rPr>
          <w:rFonts w:hint="eastAsia"/>
        </w:rPr>
        <w:t>农村普遍对残疾人实行了税费减免</w:t>
      </w:r>
      <w:r>
        <w:t>，</w:t>
      </w:r>
      <w:r>
        <w:rPr>
          <w:rFonts w:hint="eastAsia"/>
        </w:rPr>
        <w:t>并对贫困残疾人实行救济、补助。一些地方对无业、重残、一户多残和有特殊需求的残疾人给予了特别扶助。</w:t>
      </w:r>
      <w:r>
        <w:t>2001</w:t>
      </w:r>
      <w:r>
        <w:rPr>
          <w:rFonts w:hint="eastAsia"/>
        </w:rPr>
        <w:t>年，有</w:t>
      </w:r>
      <w:r>
        <w:t>201</w:t>
      </w:r>
      <w:r>
        <w:rPr>
          <w:rFonts w:hint="eastAsia"/>
        </w:rPr>
        <w:t>万残疾人享受最低生活保障</w:t>
      </w:r>
      <w:r>
        <w:t>，</w:t>
      </w:r>
      <w:r>
        <w:t>47</w:t>
      </w:r>
      <w:r>
        <w:rPr>
          <w:rFonts w:hint="eastAsia"/>
        </w:rPr>
        <w:t>万不适合参加生产劳动、无法定扶养人</w:t>
      </w:r>
      <w:r>
        <w:t>(</w:t>
      </w:r>
      <w:r>
        <w:rPr>
          <w:rFonts w:hint="eastAsia"/>
        </w:rPr>
        <w:t>或虽有法定扶养人但扶养人无扶养能力</w:t>
      </w:r>
      <w:r>
        <w:t>)</w:t>
      </w:r>
      <w:r>
        <w:rPr>
          <w:rFonts w:hint="eastAsia"/>
        </w:rPr>
        <w:t>、无生活来源的残疾人在各类福利院、敬老院集体供养或通过院户挂钩方式在居民家庭中分散供养</w:t>
      </w:r>
      <w:r>
        <w:t>，</w:t>
      </w:r>
      <w:r>
        <w:t>254</w:t>
      </w:r>
      <w:r>
        <w:rPr>
          <w:rFonts w:hint="eastAsia"/>
        </w:rPr>
        <w:t>万残疾人得到了临时救济、定期补助和专项补助</w:t>
      </w:r>
      <w:r>
        <w:t>，</w:t>
      </w:r>
      <w:r>
        <w:t>53</w:t>
      </w:r>
      <w:r>
        <w:rPr>
          <w:rFonts w:hint="eastAsia"/>
        </w:rPr>
        <w:t>万残疾人参加了养老保险、医疗保险、失业保险等社会保险</w:t>
      </w:r>
      <w:r>
        <w:t>，</w:t>
      </w:r>
      <w:r>
        <w:t>86</w:t>
      </w:r>
      <w:r>
        <w:rPr>
          <w:rFonts w:hint="eastAsia"/>
        </w:rPr>
        <w:t>万残疾人得到了社会的扶助。</w:t>
      </w:r>
    </w:p>
    <w:p w:rsidR="00000000" w:rsidRDefault="00000000">
      <w:pPr>
        <w:pStyle w:val="Heading3"/>
        <w:rPr>
          <w:rFonts w:hint="eastAsia"/>
        </w:rPr>
      </w:pPr>
      <w:bookmarkStart w:id="16" w:name="_Toc78772931"/>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十</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对家庭的保护</w:t>
      </w:r>
      <w:bookmarkEnd w:id="16"/>
    </w:p>
    <w:p w:rsidR="00000000" w:rsidRDefault="00000000">
      <w:pPr>
        <w:rPr>
          <w:rFonts w:hint="eastAsia"/>
        </w:rPr>
      </w:pPr>
      <w:r>
        <w:rPr>
          <w:rFonts w:hint="eastAsia"/>
          <w:sz w:val="36"/>
          <w:szCs w:val="36"/>
        </w:rPr>
        <w:tab/>
      </w:r>
      <w:r>
        <w:t xml:space="preserve">96.  </w:t>
      </w:r>
      <w:r>
        <w:rPr>
          <w:rFonts w:hint="eastAsia"/>
        </w:rPr>
        <w:t>中国于</w:t>
      </w:r>
      <w:r>
        <w:t>1950</w:t>
      </w:r>
      <w:r>
        <w:rPr>
          <w:rFonts w:hint="eastAsia"/>
        </w:rPr>
        <w:t>年颁布《婚姻法》并于</w:t>
      </w:r>
      <w:r>
        <w:t>1980</w:t>
      </w:r>
      <w:r>
        <w:rPr>
          <w:rFonts w:hint="eastAsia"/>
        </w:rPr>
        <w:t>年修订。为适应中国经济和社会发展，进一步完善婚姻家庭制度，保障公民婚姻家庭权益</w:t>
      </w:r>
      <w:r>
        <w:t>，</w:t>
      </w:r>
      <w:r>
        <w:rPr>
          <w:rFonts w:hint="eastAsia"/>
        </w:rPr>
        <w:t>全国人大常委会于</w:t>
      </w:r>
      <w:r>
        <w:t>2002</w:t>
      </w:r>
      <w:r>
        <w:rPr>
          <w:rFonts w:hint="eastAsia"/>
        </w:rPr>
        <w:t>年再次修订《婚姻法》。重申坚持实行婚姻自由、一夫一妻、男女平等的婚姻制度</w:t>
      </w:r>
      <w:r>
        <w:t>，</w:t>
      </w:r>
      <w:r>
        <w:rPr>
          <w:rFonts w:hint="eastAsia"/>
        </w:rPr>
        <w:t>坚持保护妇女、儿童和老人合法权益的基本原则</w:t>
      </w:r>
      <w:r>
        <w:t>，</w:t>
      </w:r>
      <w:r>
        <w:rPr>
          <w:rFonts w:hint="eastAsia"/>
        </w:rPr>
        <w:t>倡导维护平等、和睦、文明的婚烟家庭关系</w:t>
      </w:r>
      <w:r>
        <w:t>，</w:t>
      </w:r>
      <w:r>
        <w:rPr>
          <w:rFonts w:hint="eastAsia"/>
        </w:rPr>
        <w:t>并针对当前婚姻家庭关系急需解决的问题</w:t>
      </w:r>
      <w:r>
        <w:t>，</w:t>
      </w:r>
      <w:r>
        <w:rPr>
          <w:rFonts w:hint="eastAsia"/>
        </w:rPr>
        <w:t>作了修改补充。《婚姻法》第</w:t>
      </w:r>
      <w:r>
        <w:t>2</w:t>
      </w:r>
      <w:r>
        <w:rPr>
          <w:rFonts w:hint="eastAsia"/>
        </w:rPr>
        <w:t>条规定</w:t>
      </w:r>
      <w:r>
        <w:t>：</w:t>
      </w:r>
      <w:r>
        <w:rPr>
          <w:rFonts w:hint="eastAsia"/>
        </w:rPr>
        <w:t>“实行婚姻自由、一夫一妻、男女平等的婚姻制度。”第</w:t>
      </w:r>
      <w:r>
        <w:t>5</w:t>
      </w:r>
      <w:r>
        <w:rPr>
          <w:rFonts w:hint="eastAsia"/>
        </w:rPr>
        <w:t>条规定</w:t>
      </w:r>
      <w:r>
        <w:t>：</w:t>
      </w:r>
      <w:r>
        <w:rPr>
          <w:rFonts w:hint="eastAsia"/>
        </w:rPr>
        <w:t>“结婚必须男女双方完全自愿</w:t>
      </w:r>
      <w:r>
        <w:t>，</w:t>
      </w:r>
      <w:r>
        <w:rPr>
          <w:rFonts w:hint="eastAsia"/>
        </w:rPr>
        <w:t>不许任何一方对他方加以强迫或任何第三方加以干涉。”第</w:t>
      </w:r>
      <w:r>
        <w:t>31</w:t>
      </w:r>
      <w:r>
        <w:rPr>
          <w:rFonts w:hint="eastAsia"/>
        </w:rPr>
        <w:t>条规定</w:t>
      </w:r>
      <w:r>
        <w:t>：</w:t>
      </w:r>
      <w:r>
        <w:rPr>
          <w:rFonts w:hint="eastAsia"/>
        </w:rPr>
        <w:t>“男女双方自愿离婚的</w:t>
      </w:r>
      <w:r>
        <w:t>，</w:t>
      </w:r>
      <w:r>
        <w:rPr>
          <w:rFonts w:hint="eastAsia"/>
        </w:rPr>
        <w:t>准予离婚。”为保障《婚姻法》的贯彻实施</w:t>
      </w:r>
      <w:r>
        <w:t>，</w:t>
      </w:r>
      <w:r>
        <w:rPr>
          <w:rFonts w:hint="eastAsia"/>
        </w:rPr>
        <w:t>目前</w:t>
      </w:r>
      <w:r>
        <w:t>，</w:t>
      </w:r>
      <w:r>
        <w:rPr>
          <w:rFonts w:hint="eastAsia"/>
        </w:rPr>
        <w:t>正在修订《婚姻登记管理条例》。根据计划经济向市场经济转变的情况</w:t>
      </w:r>
      <w:r>
        <w:t>，</w:t>
      </w:r>
      <w:r>
        <w:rPr>
          <w:rFonts w:hint="eastAsia"/>
        </w:rPr>
        <w:t>《婚姻法》修订后</w:t>
      </w:r>
      <w:r>
        <w:t>，</w:t>
      </w:r>
      <w:r>
        <w:rPr>
          <w:rFonts w:hint="eastAsia"/>
        </w:rPr>
        <w:t>完善了夫妻财产制</w:t>
      </w:r>
      <w:r>
        <w:t>，</w:t>
      </w:r>
      <w:r>
        <w:rPr>
          <w:rFonts w:hint="eastAsia"/>
        </w:rPr>
        <w:t>明确规定了夫妻的共有、约定和个人财产的界限及相关权利。根据社会变革中产生的较突出问题</w:t>
      </w:r>
      <w:r>
        <w:t>，</w:t>
      </w:r>
      <w:r>
        <w:rPr>
          <w:rFonts w:hint="eastAsia"/>
        </w:rPr>
        <w:t>补充了禁止重婚、有配偶者与他人同居和禁止家庭暴力等规定。</w:t>
      </w:r>
    </w:p>
    <w:p w:rsidR="00000000" w:rsidRDefault="00000000">
      <w:r>
        <w:rPr>
          <w:rFonts w:hint="eastAsia"/>
        </w:rPr>
        <w:tab/>
      </w:r>
      <w:r>
        <w:t xml:space="preserve">97.  </w:t>
      </w:r>
      <w:r>
        <w:rPr>
          <w:rFonts w:hint="eastAsia"/>
        </w:rPr>
        <w:t>中国公民的婚姻自由受法律保护</w:t>
      </w:r>
      <w:r>
        <w:t>，</w:t>
      </w:r>
      <w:r>
        <w:rPr>
          <w:rFonts w:hint="eastAsia"/>
        </w:rPr>
        <w:t>当事人如双方自愿可以结婚或离婚。</w:t>
      </w:r>
      <w:r>
        <w:t>1985-2000</w:t>
      </w:r>
      <w:r>
        <w:rPr>
          <w:rFonts w:hint="eastAsia"/>
        </w:rPr>
        <w:t>年</w:t>
      </w:r>
      <w:r>
        <w:t>，</w:t>
      </w:r>
      <w:r>
        <w:rPr>
          <w:rFonts w:hint="eastAsia"/>
        </w:rPr>
        <w:t>中国公民登记结婚的人数年平均在</w:t>
      </w:r>
      <w:r>
        <w:t>900</w:t>
      </w:r>
      <w:r>
        <w:rPr>
          <w:rFonts w:hint="eastAsia"/>
        </w:rPr>
        <w:t>万对左右</w:t>
      </w:r>
      <w:r>
        <w:t>，</w:t>
      </w:r>
      <w:r>
        <w:rPr>
          <w:rFonts w:hint="eastAsia"/>
        </w:rPr>
        <w:t>离婚率从</w:t>
      </w:r>
      <w:r>
        <w:t>0.9</w:t>
      </w:r>
      <w:r>
        <w:rPr>
          <w:rFonts w:hint="eastAsia"/>
        </w:rPr>
        <w:t>‰上升到</w:t>
      </w:r>
      <w:r>
        <w:t>1.9</w:t>
      </w:r>
      <w:r>
        <w:rPr>
          <w:rFonts w:hint="eastAsia"/>
        </w:rPr>
        <w:t>‰</w:t>
      </w:r>
      <w:r>
        <w:t>(</w:t>
      </w:r>
      <w:r>
        <w:rPr>
          <w:rFonts w:hint="eastAsia"/>
        </w:rPr>
        <w:t>见表</w:t>
      </w:r>
      <w:r>
        <w:t>1)</w:t>
      </w:r>
      <w:r>
        <w:rPr>
          <w:rFonts w:hint="eastAsia"/>
        </w:rPr>
        <w:t>。</w:t>
      </w:r>
    </w:p>
    <w:p w:rsidR="00000000" w:rsidRDefault="00000000">
      <w:r>
        <w:tab/>
        <w:t xml:space="preserve">98.  </w:t>
      </w:r>
      <w:r>
        <w:rPr>
          <w:rFonts w:hint="eastAsia"/>
        </w:rPr>
        <w:t>在长期开展“争创五好家庭”的基础上</w:t>
      </w:r>
      <w:r>
        <w:t>，</w:t>
      </w:r>
      <w:r>
        <w:rPr>
          <w:rFonts w:hint="eastAsia"/>
        </w:rPr>
        <w:t>中国于</w:t>
      </w:r>
      <w:r>
        <w:t>1996</w:t>
      </w:r>
      <w:r>
        <w:rPr>
          <w:rFonts w:hint="eastAsia"/>
        </w:rPr>
        <w:t>年成立了由</w:t>
      </w:r>
      <w:r>
        <w:t>18</w:t>
      </w:r>
      <w:r>
        <w:rPr>
          <w:rFonts w:hint="eastAsia"/>
        </w:rPr>
        <w:t>个政府部门和非政府组织组成的“全国五好文明家庭创建活动协调小组”，将创建活动纳入国家经济社会发展和精神文明建设总体规划之中。举行专题研讨会、报告会、新婚夫妻培训班和通过媒体等形式</w:t>
      </w:r>
      <w:r>
        <w:t>，</w:t>
      </w:r>
      <w:r>
        <w:rPr>
          <w:rFonts w:hint="eastAsia"/>
        </w:rPr>
        <w:t>宣传有关法律法规和文明家庭的道德风尚</w:t>
      </w:r>
      <w:r>
        <w:t>，</w:t>
      </w:r>
      <w:r>
        <w:rPr>
          <w:rFonts w:hint="eastAsia"/>
        </w:rPr>
        <w:t>推动人们树立平等、和睦、文明的婚姻家庭观念。特别是围绕修改婚姻法</w:t>
      </w:r>
      <w:r>
        <w:t>，</w:t>
      </w:r>
      <w:r>
        <w:rPr>
          <w:rFonts w:hint="eastAsia"/>
        </w:rPr>
        <w:t>进行了广泛的宣传</w:t>
      </w:r>
      <w:r>
        <w:t>，</w:t>
      </w:r>
      <w:r>
        <w:rPr>
          <w:rFonts w:hint="eastAsia"/>
        </w:rPr>
        <w:t>号召人们做美好文明家庭的宣传者和实践者。</w:t>
      </w:r>
    </w:p>
    <w:p w:rsidR="00000000" w:rsidRDefault="00000000">
      <w:r>
        <w:tab/>
        <w:t xml:space="preserve">99.  </w:t>
      </w:r>
      <w:r>
        <w:rPr>
          <w:rFonts w:hint="eastAsia"/>
        </w:rPr>
        <w:t>《婚姻法》第</w:t>
      </w:r>
      <w:r>
        <w:t>2</w:t>
      </w:r>
      <w:r>
        <w:rPr>
          <w:rFonts w:hint="eastAsia"/>
        </w:rPr>
        <w:t>条规定</w:t>
      </w:r>
      <w:r>
        <w:t>：</w:t>
      </w:r>
      <w:r>
        <w:rPr>
          <w:rFonts w:hint="eastAsia"/>
        </w:rPr>
        <w:t>“保护妇女、儿童和老人的合法权益。”第</w:t>
      </w:r>
      <w:r>
        <w:t>21</w:t>
      </w:r>
      <w:r>
        <w:rPr>
          <w:rFonts w:hint="eastAsia"/>
        </w:rPr>
        <w:t>条规定</w:t>
      </w:r>
      <w:r>
        <w:t>：</w:t>
      </w:r>
      <w:r>
        <w:rPr>
          <w:rFonts w:hint="eastAsia"/>
        </w:rPr>
        <w:t>“父母对子女有抚养教育的义务；……父母不履行抚养义务时</w:t>
      </w:r>
      <w:r>
        <w:t>，</w:t>
      </w:r>
      <w:r>
        <w:rPr>
          <w:rFonts w:hint="eastAsia"/>
        </w:rPr>
        <w:t>未成年的或不能独立生活的子女</w:t>
      </w:r>
      <w:r>
        <w:t>，</w:t>
      </w:r>
      <w:r>
        <w:rPr>
          <w:rFonts w:hint="eastAsia"/>
        </w:rPr>
        <w:t>有要求父母付给抚养费的权利。……禁止溺婴、弃婴和其他残害婴儿的行为。”《人口与计划生育法》第</w:t>
      </w:r>
      <w:r>
        <w:t>22</w:t>
      </w:r>
      <w:r>
        <w:rPr>
          <w:rFonts w:hint="eastAsia"/>
        </w:rPr>
        <w:t>条规定</w:t>
      </w:r>
      <w:r>
        <w:t>：</w:t>
      </w:r>
      <w:r>
        <w:rPr>
          <w:rFonts w:hint="eastAsia"/>
        </w:rPr>
        <w:t>“禁止歧视、虐待生育女婴的妇女和不育的妇女。禁止歧视、虐待、遗弃女婴。”《未成年人保护法》第</w:t>
      </w:r>
      <w:r>
        <w:t>3</w:t>
      </w:r>
      <w:r>
        <w:rPr>
          <w:rFonts w:hint="eastAsia"/>
        </w:rPr>
        <w:t>条规定</w:t>
      </w:r>
      <w:r>
        <w:t>：</w:t>
      </w:r>
      <w:r>
        <w:rPr>
          <w:rFonts w:hint="eastAsia"/>
        </w:rPr>
        <w:t>“国家、社会、学校和家庭对未成年人进行理想教育、道德教育、文化教育、纪律和法制教育……”第</w:t>
      </w:r>
      <w:r>
        <w:t>9</w:t>
      </w:r>
      <w:r>
        <w:rPr>
          <w:rFonts w:hint="eastAsia"/>
        </w:rPr>
        <w:t>条规定</w:t>
      </w:r>
      <w:r>
        <w:t>：</w:t>
      </w:r>
      <w:r>
        <w:rPr>
          <w:rFonts w:hint="eastAsia"/>
        </w:rPr>
        <w:t>“父母或者其他监护人应当尊重未成年人接受教育的权利</w:t>
      </w:r>
      <w:r>
        <w:t>，</w:t>
      </w:r>
      <w:r>
        <w:rPr>
          <w:rFonts w:hint="eastAsia"/>
        </w:rPr>
        <w:t>必须使适龄未成年人按照规定接受义务教育</w:t>
      </w:r>
      <w:r>
        <w:t>，</w:t>
      </w:r>
      <w:r>
        <w:rPr>
          <w:rFonts w:hint="eastAsia"/>
        </w:rPr>
        <w:t>不得使在校接受义务教育的未成年人辍学。”第</w:t>
      </w:r>
      <w:r>
        <w:t>11</w:t>
      </w:r>
      <w:r>
        <w:rPr>
          <w:rFonts w:hint="eastAsia"/>
        </w:rPr>
        <w:t>条规定</w:t>
      </w:r>
      <w:r>
        <w:t>：</w:t>
      </w:r>
      <w:r>
        <w:rPr>
          <w:rFonts w:hint="eastAsia"/>
        </w:rPr>
        <w:t>“父母或者其他监护人不得允许或者迫使未成年人结婚</w:t>
      </w:r>
      <w:r>
        <w:t>，</w:t>
      </w:r>
      <w:r>
        <w:rPr>
          <w:rFonts w:hint="eastAsia"/>
        </w:rPr>
        <w:t>不得为未成年人订立婚约。”</w:t>
      </w:r>
    </w:p>
    <w:p w:rsidR="00000000" w:rsidRDefault="00000000">
      <w:pPr>
        <w:rPr>
          <w:rFonts w:hint="eastAsia"/>
        </w:rPr>
      </w:pPr>
      <w:r>
        <w:tab/>
        <w:t xml:space="preserve">100.  </w:t>
      </w:r>
      <w:r>
        <w:rPr>
          <w:rFonts w:hint="eastAsia"/>
        </w:rPr>
        <w:t>关于妇女孕产期、哺乳期的保护</w:t>
      </w:r>
      <w:r>
        <w:t>，</w:t>
      </w:r>
      <w:r>
        <w:rPr>
          <w:rFonts w:hint="eastAsia"/>
        </w:rPr>
        <w:t>《劳动法》第</w:t>
      </w:r>
      <w:r>
        <w:t>61</w:t>
      </w:r>
      <w:r>
        <w:rPr>
          <w:rFonts w:hint="eastAsia"/>
        </w:rPr>
        <w:t>条规定</w:t>
      </w:r>
      <w:r>
        <w:t>：</w:t>
      </w:r>
      <w:r>
        <w:rPr>
          <w:rFonts w:hint="eastAsia"/>
        </w:rPr>
        <w:t>“不得安排女职工在怀孕期间从事国家规定的第三级体力劳动强度的劳动。”《人口与计划生育法》第</w:t>
      </w:r>
      <w:r>
        <w:t>26</w:t>
      </w:r>
      <w:r>
        <w:rPr>
          <w:rFonts w:hint="eastAsia"/>
        </w:rPr>
        <w:t>条规定</w:t>
      </w:r>
      <w:r>
        <w:t>：</w:t>
      </w:r>
      <w:r>
        <w:rPr>
          <w:rFonts w:hint="eastAsia"/>
        </w:rPr>
        <w:t>“妇女怀孕、生育和哺乳期间</w:t>
      </w:r>
      <w:r>
        <w:t>，</w:t>
      </w:r>
      <w:r>
        <w:rPr>
          <w:rFonts w:hint="eastAsia"/>
        </w:rPr>
        <w:t>按照国家有关规定享受特殊劳动保护并可以获得帮助和补偿。”第</w:t>
      </w:r>
      <w:r>
        <w:t>30</w:t>
      </w:r>
      <w:r>
        <w:rPr>
          <w:rFonts w:hint="eastAsia"/>
        </w:rPr>
        <w:t>条规定</w:t>
      </w:r>
      <w:r>
        <w:t>：</w:t>
      </w:r>
      <w:r>
        <w:rPr>
          <w:rFonts w:hint="eastAsia"/>
        </w:rPr>
        <w:t>“国家建立婚前保健、孕产期保健制度。”第</w:t>
      </w:r>
      <w:r>
        <w:t>31</w:t>
      </w:r>
      <w:r>
        <w:rPr>
          <w:rFonts w:hint="eastAsia"/>
        </w:rPr>
        <w:t>条规定</w:t>
      </w:r>
      <w:r>
        <w:t>：</w:t>
      </w:r>
      <w:r>
        <w:rPr>
          <w:rFonts w:hint="eastAsia"/>
        </w:rPr>
        <w:t>“各级人民政府应当采取措施</w:t>
      </w:r>
      <w:r>
        <w:t>，</w:t>
      </w:r>
      <w:r>
        <w:rPr>
          <w:rFonts w:hint="eastAsia"/>
        </w:rPr>
        <w:t>保障公民享有计划生育技术服务</w:t>
      </w:r>
      <w:r>
        <w:t>，</w:t>
      </w:r>
      <w:r>
        <w:rPr>
          <w:rFonts w:hint="eastAsia"/>
        </w:rPr>
        <w:t>提高公民的生殖健康水平。”关于休产假</w:t>
      </w:r>
      <w:r>
        <w:t>，</w:t>
      </w:r>
      <w:r>
        <w:rPr>
          <w:rFonts w:hint="eastAsia"/>
        </w:rPr>
        <w:t>《劳动法》第</w:t>
      </w:r>
      <w:r>
        <w:t>62</w:t>
      </w:r>
      <w:r>
        <w:rPr>
          <w:rFonts w:hint="eastAsia"/>
        </w:rPr>
        <w:t>条规定</w:t>
      </w:r>
      <w:r>
        <w:t>：</w:t>
      </w:r>
      <w:r>
        <w:rPr>
          <w:rFonts w:hint="eastAsia"/>
        </w:rPr>
        <w:t>“女职工生育享受不少于</w:t>
      </w:r>
      <w:r>
        <w:t>90</w:t>
      </w:r>
      <w:r>
        <w:rPr>
          <w:rFonts w:hint="eastAsia"/>
        </w:rPr>
        <w:t>天的产假。”第</w:t>
      </w:r>
      <w:r>
        <w:t>63</w:t>
      </w:r>
      <w:r>
        <w:rPr>
          <w:rFonts w:hint="eastAsia"/>
        </w:rPr>
        <w:t>条规定</w:t>
      </w:r>
      <w:r>
        <w:t>：</w:t>
      </w:r>
      <w:r>
        <w:rPr>
          <w:rFonts w:hint="eastAsia"/>
        </w:rPr>
        <w:t>“不得安排女职工在哺乳未满</w:t>
      </w:r>
      <w:r>
        <w:t>1</w:t>
      </w:r>
      <w:r>
        <w:rPr>
          <w:rFonts w:hint="eastAsia"/>
        </w:rPr>
        <w:t>周岁的婴儿期间从事国家规定的第三级体力劳动强度的劳动和哺乳期禁忌从事的其他劳动</w:t>
      </w:r>
      <w:r>
        <w:t>，</w:t>
      </w:r>
      <w:r>
        <w:rPr>
          <w:rFonts w:hint="eastAsia"/>
        </w:rPr>
        <w:t>不得安排其延长工作时间和夜班劳动。”第</w:t>
      </w:r>
      <w:r>
        <w:t>51</w:t>
      </w:r>
      <w:r>
        <w:rPr>
          <w:rFonts w:hint="eastAsia"/>
        </w:rPr>
        <w:t>条规定</w:t>
      </w:r>
      <w:r>
        <w:t>：</w:t>
      </w:r>
      <w:r>
        <w:rPr>
          <w:rFonts w:hint="eastAsia"/>
        </w:rPr>
        <w:t>“劳动者在法定休假日和婚丧假期间以及依法参加社会活动期间</w:t>
      </w:r>
      <w:r>
        <w:t>，</w:t>
      </w:r>
      <w:r>
        <w:rPr>
          <w:rFonts w:hint="eastAsia"/>
        </w:rPr>
        <w:t>用人单位应当依法支付工资。”</w:t>
      </w:r>
    </w:p>
    <w:p w:rsidR="00000000" w:rsidRDefault="00000000">
      <w:r>
        <w:rPr>
          <w:rFonts w:hint="eastAsia"/>
        </w:rPr>
        <w:tab/>
      </w:r>
      <w:r>
        <w:t xml:space="preserve">101.  </w:t>
      </w:r>
      <w:r>
        <w:rPr>
          <w:rFonts w:hint="eastAsia"/>
        </w:rPr>
        <w:t>中国女性公民在产前、产后的合理期间基本可以享受特别保护。《中国妇女发展纲要</w:t>
      </w:r>
      <w:r>
        <w:t>(1995-2000</w:t>
      </w:r>
      <w:r>
        <w:rPr>
          <w:rFonts w:hint="eastAsia"/>
        </w:rPr>
        <w:t>年</w:t>
      </w:r>
      <w:r>
        <w:t>)</w:t>
      </w:r>
      <w:r>
        <w:rPr>
          <w:rFonts w:hint="eastAsia"/>
        </w:rPr>
        <w:t>》终期监测评估报告显示</w:t>
      </w:r>
      <w:r>
        <w:t>，</w:t>
      </w:r>
      <w:r>
        <w:rPr>
          <w:rFonts w:hint="eastAsia"/>
        </w:rPr>
        <w:t>全国女性公民妊娠期间接受产前检查的比例</w:t>
      </w:r>
      <w:r>
        <w:t>，</w:t>
      </w:r>
      <w:r>
        <w:rPr>
          <w:rFonts w:hint="eastAsia"/>
        </w:rPr>
        <w:t>从</w:t>
      </w:r>
      <w:r>
        <w:t>1992</w:t>
      </w:r>
      <w:r>
        <w:rPr>
          <w:rFonts w:hint="eastAsia"/>
        </w:rPr>
        <w:t>年的</w:t>
      </w:r>
      <w:r>
        <w:t>69.7%</w:t>
      </w:r>
      <w:r>
        <w:rPr>
          <w:rFonts w:hint="eastAsia"/>
        </w:rPr>
        <w:t>上升到</w:t>
      </w:r>
      <w:r>
        <w:t>2000</w:t>
      </w:r>
      <w:r>
        <w:rPr>
          <w:rFonts w:hint="eastAsia"/>
        </w:rPr>
        <w:t>年的</w:t>
      </w:r>
      <w:r>
        <w:t>89.4%</w:t>
      </w:r>
      <w:r>
        <w:rPr>
          <w:rFonts w:hint="eastAsia"/>
        </w:rPr>
        <w:t>。据中华全国总工会</w:t>
      </w:r>
      <w:r>
        <w:t>1996</w:t>
      </w:r>
      <w:r>
        <w:rPr>
          <w:rFonts w:hint="eastAsia"/>
        </w:rPr>
        <w:t>年和</w:t>
      </w:r>
      <w:r>
        <w:t>2000</w:t>
      </w:r>
      <w:r>
        <w:rPr>
          <w:rFonts w:hint="eastAsia"/>
        </w:rPr>
        <w:t>年对企业的抽查</w:t>
      </w:r>
      <w:r>
        <w:t>，</w:t>
      </w:r>
      <w:r>
        <w:rPr>
          <w:rFonts w:hint="eastAsia"/>
        </w:rPr>
        <w:t>城市女职工在妊娠期间定期产前检查的比例由</w:t>
      </w:r>
      <w:r>
        <w:t>82%</w:t>
      </w:r>
      <w:r>
        <w:rPr>
          <w:rFonts w:hint="eastAsia"/>
        </w:rPr>
        <w:t>上升到</w:t>
      </w:r>
      <w:r>
        <w:t>85.3%</w:t>
      </w:r>
      <w:r>
        <w:rPr>
          <w:rFonts w:hint="eastAsia"/>
        </w:rPr>
        <w:t>。自</w:t>
      </w:r>
      <w:r>
        <w:t>20</w:t>
      </w:r>
      <w:r>
        <w:rPr>
          <w:rFonts w:hint="eastAsia"/>
        </w:rPr>
        <w:t>世纪</w:t>
      </w:r>
      <w:r>
        <w:t>80</w:t>
      </w:r>
      <w:r>
        <w:rPr>
          <w:rFonts w:hint="eastAsia"/>
        </w:rPr>
        <w:t>年代后期以来</w:t>
      </w:r>
      <w:r>
        <w:t>，</w:t>
      </w:r>
      <w:r>
        <w:rPr>
          <w:rFonts w:hint="eastAsia"/>
        </w:rPr>
        <w:t>中国卫生部、计划生育委员会组织在全国农村广泛开展计划生育“五期”</w:t>
      </w:r>
      <w:r>
        <w:t>(</w:t>
      </w:r>
      <w:r>
        <w:rPr>
          <w:rFonts w:hint="eastAsia"/>
        </w:rPr>
        <w:t>即青春期、新婚期、孕产期、哺乳期、更年期</w:t>
      </w:r>
      <w:r>
        <w:t>)</w:t>
      </w:r>
      <w:r>
        <w:rPr>
          <w:rFonts w:hint="eastAsia"/>
        </w:rPr>
        <w:t>教育</w:t>
      </w:r>
      <w:r>
        <w:t>，</w:t>
      </w:r>
      <w:r>
        <w:rPr>
          <w:rFonts w:hint="eastAsia"/>
        </w:rPr>
        <w:t>帮助农村育龄妇女了解到上述五个重要时期的保健知识</w:t>
      </w:r>
      <w:r>
        <w:t>，</w:t>
      </w:r>
      <w:r>
        <w:rPr>
          <w:rFonts w:hint="eastAsia"/>
        </w:rPr>
        <w:t>接受产前检查的育龄妇女比例不断上升。</w:t>
      </w:r>
    </w:p>
    <w:p w:rsidR="00000000" w:rsidRDefault="00000000">
      <w:r>
        <w:tab/>
        <w:t xml:space="preserve">102.  </w:t>
      </w:r>
      <w:r>
        <w:rPr>
          <w:rFonts w:hint="eastAsia"/>
        </w:rPr>
        <w:t>据中华全国总工会调查</w:t>
      </w:r>
      <w:r>
        <w:t>，</w:t>
      </w:r>
      <w:r>
        <w:rPr>
          <w:rFonts w:hint="eastAsia"/>
        </w:rPr>
        <w:t>女性职工在孕产期、哺乳期的保护在大多数企业得到落实。例如</w:t>
      </w:r>
      <w:r>
        <w:t>，</w:t>
      </w:r>
      <w:r>
        <w:rPr>
          <w:rFonts w:hint="eastAsia"/>
        </w:rPr>
        <w:t>怀孕的女职工被安排在无毒害的和劳动强度较小的工种工作</w:t>
      </w:r>
      <w:r>
        <w:t>，</w:t>
      </w:r>
      <w:r>
        <w:rPr>
          <w:rFonts w:hint="eastAsia"/>
        </w:rPr>
        <w:t>不安排上夜班和加班等。女职工分娩后享受休假、休息及福利待遇的权利基本得到保障。例如</w:t>
      </w:r>
      <w:r>
        <w:t>，</w:t>
      </w:r>
      <w:r>
        <w:rPr>
          <w:rFonts w:hint="eastAsia"/>
        </w:rPr>
        <w:t>享受法定产假的休假</w:t>
      </w:r>
      <w:r>
        <w:t>，</w:t>
      </w:r>
      <w:r>
        <w:rPr>
          <w:rFonts w:hint="eastAsia"/>
        </w:rPr>
        <w:t>产假期间照样发给工资等。此外</w:t>
      </w:r>
      <w:r>
        <w:t>，</w:t>
      </w:r>
      <w:r>
        <w:rPr>
          <w:rFonts w:hint="eastAsia"/>
        </w:rPr>
        <w:t>女职工在妊娠期间的定期产前检查、分娩等费用的</w:t>
      </w:r>
      <w:r>
        <w:t>100%</w:t>
      </w:r>
      <w:r>
        <w:rPr>
          <w:rFonts w:hint="eastAsia"/>
        </w:rPr>
        <w:t>或</w:t>
      </w:r>
      <w:r>
        <w:t>50%(</w:t>
      </w:r>
      <w:r>
        <w:rPr>
          <w:rFonts w:hint="eastAsia"/>
        </w:rPr>
        <w:t>具体比例根据企业内部规定</w:t>
      </w:r>
      <w:r>
        <w:t>)</w:t>
      </w:r>
      <w:r>
        <w:rPr>
          <w:rFonts w:hint="eastAsia"/>
        </w:rPr>
        <w:t>由企业给予报销</w:t>
      </w:r>
      <w:r>
        <w:t>(</w:t>
      </w:r>
      <w:r>
        <w:rPr>
          <w:rFonts w:hint="eastAsia"/>
        </w:rPr>
        <w:t>见表</w:t>
      </w:r>
      <w:r>
        <w:t>2)</w:t>
      </w:r>
      <w:r>
        <w:rPr>
          <w:rFonts w:hint="eastAsia"/>
        </w:rPr>
        <w:t>。</w:t>
      </w:r>
    </w:p>
    <w:p w:rsidR="00000000" w:rsidRDefault="00000000">
      <w:r>
        <w:tab/>
        <w:t xml:space="preserve">103.  </w:t>
      </w:r>
      <w:r>
        <w:rPr>
          <w:rFonts w:hint="eastAsia"/>
        </w:rPr>
        <w:t>在女职工孕产期保护方面</w:t>
      </w:r>
      <w:r>
        <w:t>，</w:t>
      </w:r>
      <w:r>
        <w:rPr>
          <w:rFonts w:hint="eastAsia"/>
        </w:rPr>
        <w:t>也存在一定差距。据中华全国总工会调查</w:t>
      </w:r>
      <w:r>
        <w:t>，</w:t>
      </w:r>
      <w:r>
        <w:t>1996</w:t>
      </w:r>
      <w:r>
        <w:rPr>
          <w:rFonts w:hint="eastAsia"/>
        </w:rPr>
        <w:t>年与</w:t>
      </w:r>
      <w:r>
        <w:t>2000</w:t>
      </w:r>
      <w:r>
        <w:rPr>
          <w:rFonts w:hint="eastAsia"/>
        </w:rPr>
        <w:t>年的两组调查数据各项指标基本持平</w:t>
      </w:r>
      <w:r>
        <w:t>，</w:t>
      </w:r>
      <w:r>
        <w:rPr>
          <w:rFonts w:hint="eastAsia"/>
        </w:rPr>
        <w:t>原因是国家自</w:t>
      </w:r>
      <w:r>
        <w:t>20</w:t>
      </w:r>
      <w:r>
        <w:rPr>
          <w:rFonts w:hint="eastAsia"/>
        </w:rPr>
        <w:t>世纪</w:t>
      </w:r>
      <w:r>
        <w:t>90</w:t>
      </w:r>
      <w:r>
        <w:rPr>
          <w:rFonts w:hint="eastAsia"/>
        </w:rPr>
        <w:t>年代初期开始在企业推行生育保险社会统筹以来</w:t>
      </w:r>
      <w:r>
        <w:t>，</w:t>
      </w:r>
      <w:r>
        <w:rPr>
          <w:rFonts w:hint="eastAsia"/>
        </w:rPr>
        <w:t>参加该统筹的企业的女职工在产前检查、产假休假及工资支付、生育费用报销等方面的开支可以由生育保险社会统筹支付。而一些调查项目的指标反而有所下降</w:t>
      </w:r>
      <w:r>
        <w:t>，</w:t>
      </w:r>
      <w:r>
        <w:rPr>
          <w:rFonts w:hint="eastAsia"/>
        </w:rPr>
        <w:t>原因一是部分企业效益欠佳</w:t>
      </w:r>
      <w:r>
        <w:t>，</w:t>
      </w:r>
      <w:r>
        <w:rPr>
          <w:rFonts w:hint="eastAsia"/>
        </w:rPr>
        <w:t>资金不足</w:t>
      </w:r>
      <w:r>
        <w:t>，</w:t>
      </w:r>
      <w:r>
        <w:rPr>
          <w:rFonts w:hint="eastAsia"/>
        </w:rPr>
        <w:t>用于女职工孕产期保护的经费有所减少</w:t>
      </w:r>
      <w:r>
        <w:t>；</w:t>
      </w:r>
      <w:r>
        <w:rPr>
          <w:rFonts w:hint="eastAsia"/>
        </w:rPr>
        <w:t>二是一些合资、民营、私营、个体企业的劳动合同中未列对女职工孕产期保护条款</w:t>
      </w:r>
      <w:r>
        <w:t>，</w:t>
      </w:r>
      <w:r>
        <w:rPr>
          <w:rFonts w:hint="eastAsia"/>
        </w:rPr>
        <w:t>或不执行有关规定</w:t>
      </w:r>
      <w:r>
        <w:t>；</w:t>
      </w:r>
      <w:r>
        <w:rPr>
          <w:rFonts w:hint="eastAsia"/>
        </w:rPr>
        <w:t>三是虽然参加生育保险社会统筹的企业越来越多</w:t>
      </w:r>
      <w:r>
        <w:t>，</w:t>
      </w:r>
      <w:r>
        <w:rPr>
          <w:rFonts w:hint="eastAsia"/>
        </w:rPr>
        <w:t>但到目前为止仍有一部分企业尚未参加</w:t>
      </w:r>
      <w:r>
        <w:t>，</w:t>
      </w:r>
      <w:r>
        <w:rPr>
          <w:rFonts w:hint="eastAsia"/>
        </w:rPr>
        <w:t>是否能对女职工孕产期给予保护取决于企业负责人对这一问题的重视程度。</w:t>
      </w:r>
    </w:p>
    <w:p w:rsidR="00000000" w:rsidRDefault="00000000">
      <w:r>
        <w:tab/>
        <w:t xml:space="preserve">104.  </w:t>
      </w:r>
      <w:r>
        <w:rPr>
          <w:rFonts w:hint="eastAsia"/>
        </w:rPr>
        <w:t>中国在《儿童权利公约》执行情况第二次报告中对未成年人权利保护问题已作详细报告。本报告只作原则性介绍。</w:t>
      </w:r>
    </w:p>
    <w:p w:rsidR="00000000" w:rsidRDefault="00000000">
      <w:r>
        <w:tab/>
        <w:t xml:space="preserve">105.  </w:t>
      </w:r>
      <w:r>
        <w:rPr>
          <w:rFonts w:hint="eastAsia"/>
        </w:rPr>
        <w:t>中国高度重视保护未成年人的身心健康</w:t>
      </w:r>
      <w:r>
        <w:t>，</w:t>
      </w:r>
      <w:r>
        <w:rPr>
          <w:rFonts w:hint="eastAsia"/>
        </w:rPr>
        <w:t>把禁止使用童工作为一项国家政策</w:t>
      </w:r>
      <w:r>
        <w:t>，</w:t>
      </w:r>
      <w:r>
        <w:rPr>
          <w:rFonts w:hint="eastAsia"/>
        </w:rPr>
        <w:t>并制定了一系列有关童工和未成年工的法律法规。主要包括</w:t>
      </w:r>
      <w:r>
        <w:t>：</w:t>
      </w:r>
      <w:r>
        <w:rPr>
          <w:rFonts w:hint="eastAsia"/>
        </w:rPr>
        <w:t>《劳动法》、《未成年人保护法》、《禁止使用童工规定》、《未成年工特殊劳动保护规定》等。</w:t>
      </w:r>
      <w:r>
        <w:t>2002</w:t>
      </w:r>
      <w:r>
        <w:rPr>
          <w:rFonts w:hint="eastAsia"/>
        </w:rPr>
        <w:t>年</w:t>
      </w:r>
      <w:r>
        <w:t>6</w:t>
      </w:r>
      <w:r>
        <w:rPr>
          <w:rFonts w:hint="eastAsia"/>
        </w:rPr>
        <w:t>月</w:t>
      </w:r>
      <w:r>
        <w:t>，</w:t>
      </w:r>
      <w:r>
        <w:rPr>
          <w:rFonts w:hint="eastAsia"/>
        </w:rPr>
        <w:t>中国正式批准国际劳工组织《禁止和立即行动消除最恶劣形式的童工劳动公约》</w:t>
      </w:r>
      <w:r>
        <w:t>(</w:t>
      </w:r>
      <w:r>
        <w:rPr>
          <w:rFonts w:hint="eastAsia"/>
        </w:rPr>
        <w:t>第</w:t>
      </w:r>
      <w:r>
        <w:t>182</w:t>
      </w:r>
      <w:r>
        <w:rPr>
          <w:rFonts w:hint="eastAsia"/>
        </w:rPr>
        <w:t>号</w:t>
      </w:r>
      <w:r>
        <w:t>)</w:t>
      </w:r>
      <w:r>
        <w:rPr>
          <w:rFonts w:hint="eastAsia"/>
        </w:rPr>
        <w:t>。</w:t>
      </w:r>
    </w:p>
    <w:p w:rsidR="00000000" w:rsidRDefault="00000000">
      <w:r>
        <w:tab/>
        <w:t xml:space="preserve">106.  </w:t>
      </w:r>
      <w:r>
        <w:rPr>
          <w:rFonts w:hint="eastAsia"/>
        </w:rPr>
        <w:t>《劳动法》第</w:t>
      </w:r>
      <w:r>
        <w:t>15</w:t>
      </w:r>
      <w:r>
        <w:rPr>
          <w:rFonts w:hint="eastAsia"/>
        </w:rPr>
        <w:t>条规定</w:t>
      </w:r>
      <w:r>
        <w:t>：</w:t>
      </w:r>
      <w:r>
        <w:rPr>
          <w:rFonts w:hint="eastAsia"/>
        </w:rPr>
        <w:t>“国家机关、社会团体、企业事业单位、民办非企业单位或个体工商户均不得招用不满</w:t>
      </w:r>
      <w:r>
        <w:t>16</w:t>
      </w:r>
      <w:r>
        <w:rPr>
          <w:rFonts w:hint="eastAsia"/>
        </w:rPr>
        <w:t>周岁的未成年人。”该规定从劳动行政、工商行政、用人单位等各个方面来防止使用童工</w:t>
      </w:r>
      <w:r>
        <w:t>，</w:t>
      </w:r>
      <w:r>
        <w:rPr>
          <w:rFonts w:hint="eastAsia"/>
        </w:rPr>
        <w:t>并规定了对违法使用童工、介绍未成年人就业的单位和个人的罚款标准。作为《劳动法》的配套法规</w:t>
      </w:r>
      <w:r>
        <w:t>，</w:t>
      </w:r>
      <w:r>
        <w:rPr>
          <w:rFonts w:hint="eastAsia"/>
        </w:rPr>
        <w:t>《未成年工特殊劳动保护规定》对未成年工的特殊劳动保护做出了详细规定。包括未成年工劳动范围的严格限定、定期身体检查、劳动行政部门用工登记、岗前培训及劳动监察等方面规定</w:t>
      </w:r>
      <w:r>
        <w:t>，</w:t>
      </w:r>
      <w:r>
        <w:rPr>
          <w:rFonts w:hint="eastAsia"/>
        </w:rPr>
        <w:t>为未成年工劳动保护提供了保障。</w:t>
      </w:r>
    </w:p>
    <w:p w:rsidR="00000000" w:rsidRDefault="00000000">
      <w:pPr>
        <w:spacing w:after="320"/>
        <w:rPr>
          <w:rFonts w:hint="eastAsia"/>
        </w:rPr>
      </w:pPr>
      <w:r>
        <w:tab/>
        <w:t>107.  20</w:t>
      </w:r>
      <w:r>
        <w:rPr>
          <w:rFonts w:hint="eastAsia"/>
        </w:rPr>
        <w:t>世纪</w:t>
      </w:r>
      <w:r>
        <w:t>90</w:t>
      </w:r>
      <w:r>
        <w:rPr>
          <w:rFonts w:hint="eastAsia"/>
        </w:rPr>
        <w:t>年代以来</w:t>
      </w:r>
      <w:r>
        <w:t>，</w:t>
      </w:r>
      <w:r>
        <w:rPr>
          <w:rFonts w:hint="eastAsia"/>
        </w:rPr>
        <w:t>中国在各地普遍建立劳动监察机构</w:t>
      </w:r>
      <w:r>
        <w:t>，</w:t>
      </w:r>
      <w:r>
        <w:rPr>
          <w:rFonts w:hint="eastAsia"/>
        </w:rPr>
        <w:t>对用人单位遵守国家劳动法律法规情况进行执法监察。从近年来执法监察情况看</w:t>
      </w:r>
      <w:r>
        <w:t>，</w:t>
      </w:r>
      <w:r>
        <w:rPr>
          <w:rFonts w:hint="eastAsia"/>
        </w:rPr>
        <w:t>绝大多数企业没有使用童工和未成年人的情况</w:t>
      </w:r>
      <w:r>
        <w:t>，</w:t>
      </w:r>
      <w:r>
        <w:rPr>
          <w:rFonts w:hint="eastAsia"/>
        </w:rPr>
        <w:t>极少数私营、个体等非公有制企业虽然偶有使用童工的现象发生</w:t>
      </w:r>
      <w:r>
        <w:t>，</w:t>
      </w:r>
      <w:r>
        <w:rPr>
          <w:rFonts w:hint="eastAsia"/>
        </w:rPr>
        <w:t>但都受到了严厉制裁</w:t>
      </w:r>
      <w:r>
        <w:t>，</w:t>
      </w:r>
      <w:r>
        <w:rPr>
          <w:rFonts w:hint="eastAsia"/>
        </w:rPr>
        <w:t>及时得到了纠正。</w:t>
      </w:r>
    </w:p>
    <w:p w:rsidR="00000000" w:rsidRDefault="00000000">
      <w:pPr>
        <w:pStyle w:val="Heading3"/>
        <w:rPr>
          <w:rFonts w:hint="eastAsia"/>
        </w:rPr>
      </w:pPr>
      <w:bookmarkStart w:id="17" w:name="_Toc78772932"/>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十一</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享有适当生活水准的权利</w:t>
      </w:r>
      <w:bookmarkEnd w:id="17"/>
    </w:p>
    <w:p w:rsidR="00000000" w:rsidRDefault="00000000">
      <w:r>
        <w:rPr>
          <w:rFonts w:hint="eastAsia"/>
          <w:sz w:val="36"/>
          <w:szCs w:val="36"/>
        </w:rPr>
        <w:tab/>
      </w:r>
      <w:r>
        <w:t xml:space="preserve">108.  </w:t>
      </w:r>
      <w:r>
        <w:rPr>
          <w:rFonts w:hint="eastAsia"/>
        </w:rPr>
        <w:t>中国重视本国人民福祉</w:t>
      </w:r>
      <w:r>
        <w:t>，</w:t>
      </w:r>
      <w:r>
        <w:rPr>
          <w:rFonts w:hint="eastAsia"/>
        </w:rPr>
        <w:t>承认并尊重人民有获得相当生活水准的权利</w:t>
      </w:r>
      <w:r>
        <w:t>，</w:t>
      </w:r>
      <w:r>
        <w:rPr>
          <w:rFonts w:hint="eastAsia"/>
        </w:rPr>
        <w:t>努力保持国民经济持续健康快速发展</w:t>
      </w:r>
      <w:r>
        <w:t>，</w:t>
      </w:r>
      <w:r>
        <w:rPr>
          <w:rFonts w:hint="eastAsia"/>
        </w:rPr>
        <w:t>不断提高和改善人民的生活水平和质量。经过</w:t>
      </w:r>
      <w:r>
        <w:t>20</w:t>
      </w:r>
      <w:r>
        <w:rPr>
          <w:rFonts w:hint="eastAsia"/>
        </w:rPr>
        <w:t>多年改革开放</w:t>
      </w:r>
      <w:r>
        <w:t>，</w:t>
      </w:r>
      <w:r>
        <w:rPr>
          <w:rFonts w:hint="eastAsia"/>
        </w:rPr>
        <w:t>中国人民生活水平已总体达到小康水平。主要表现是</w:t>
      </w:r>
      <w:r>
        <w:t>：</w:t>
      </w:r>
      <w:r>
        <w:rPr>
          <w:rFonts w:hint="eastAsia"/>
        </w:rPr>
        <w:t>第一</w:t>
      </w:r>
      <w:r>
        <w:t>，</w:t>
      </w:r>
      <w:r>
        <w:rPr>
          <w:rFonts w:hint="eastAsia"/>
        </w:rPr>
        <w:t>城乡居民收入大幅增加。</w:t>
      </w:r>
      <w:r>
        <w:t>1990-2001</w:t>
      </w:r>
      <w:r>
        <w:rPr>
          <w:rFonts w:hint="eastAsia"/>
        </w:rPr>
        <w:t>年</w:t>
      </w:r>
      <w:r>
        <w:t>，</w:t>
      </w:r>
      <w:r>
        <w:rPr>
          <w:rFonts w:hint="eastAsia"/>
        </w:rPr>
        <w:t>农村居民人均纯收入实际增长</w:t>
      </w:r>
      <w:r>
        <w:t>62%</w:t>
      </w:r>
      <w:r>
        <w:t>，</w:t>
      </w:r>
      <w:r>
        <w:rPr>
          <w:rFonts w:hint="eastAsia"/>
        </w:rPr>
        <w:t>城镇居民人均可支配收入实际增长一倍多。城乡居民储蓄存款余额</w:t>
      </w:r>
      <w:r>
        <w:t>1989</w:t>
      </w:r>
      <w:r>
        <w:rPr>
          <w:rFonts w:hint="eastAsia"/>
        </w:rPr>
        <w:t>年刚过</w:t>
      </w:r>
      <w:r>
        <w:t>5000</w:t>
      </w:r>
      <w:r>
        <w:rPr>
          <w:rFonts w:hint="eastAsia"/>
        </w:rPr>
        <w:t>亿元</w:t>
      </w:r>
      <w:r>
        <w:t>，</w:t>
      </w:r>
      <w:r>
        <w:rPr>
          <w:rFonts w:hint="eastAsia"/>
        </w:rPr>
        <w:t>目前已超过</w:t>
      </w:r>
      <w:r>
        <w:t>8.7</w:t>
      </w:r>
      <w:r>
        <w:rPr>
          <w:rFonts w:hint="eastAsia"/>
        </w:rPr>
        <w:t>万亿元。第二，消费总规模不断扩大。</w:t>
      </w:r>
      <w:r>
        <w:t>2001</w:t>
      </w:r>
      <w:r>
        <w:rPr>
          <w:rFonts w:hint="eastAsia"/>
        </w:rPr>
        <w:t>年中国社会消费品零售总额比</w:t>
      </w:r>
      <w:r>
        <w:t>1990</w:t>
      </w:r>
      <w:r>
        <w:rPr>
          <w:rFonts w:hint="eastAsia"/>
        </w:rPr>
        <w:t>年增长</w:t>
      </w:r>
      <w:r>
        <w:t>3.5</w:t>
      </w:r>
      <w:r>
        <w:rPr>
          <w:rFonts w:hint="eastAsia"/>
        </w:rPr>
        <w:t>倍</w:t>
      </w:r>
      <w:r>
        <w:t>，</w:t>
      </w:r>
      <w:r>
        <w:rPr>
          <w:rFonts w:hint="eastAsia"/>
        </w:rPr>
        <w:t>达到</w:t>
      </w:r>
      <w:r>
        <w:t>37595</w:t>
      </w:r>
      <w:r>
        <w:rPr>
          <w:rFonts w:hint="eastAsia"/>
        </w:rPr>
        <w:t>亿元。消费结构发生重大变化。居民家庭购买食物的人均支出在消费总支出中的比重</w:t>
      </w:r>
      <w:r>
        <w:t>，</w:t>
      </w:r>
      <w:r>
        <w:rPr>
          <w:rFonts w:hint="eastAsia"/>
        </w:rPr>
        <w:t>城镇从</w:t>
      </w:r>
      <w:r>
        <w:t>1990</w:t>
      </w:r>
      <w:r>
        <w:rPr>
          <w:rFonts w:hint="eastAsia"/>
        </w:rPr>
        <w:t>年的</w:t>
      </w:r>
      <w:r>
        <w:t>54.2%</w:t>
      </w:r>
      <w:r>
        <w:rPr>
          <w:rFonts w:hint="eastAsia"/>
        </w:rPr>
        <w:t>下降到</w:t>
      </w:r>
      <w:r>
        <w:t>2001</w:t>
      </w:r>
      <w:r>
        <w:rPr>
          <w:rFonts w:hint="eastAsia"/>
        </w:rPr>
        <w:t>年的</w:t>
      </w:r>
      <w:r>
        <w:t>37.9%</w:t>
      </w:r>
      <w:r>
        <w:rPr>
          <w:rFonts w:hint="eastAsia"/>
        </w:rPr>
        <w:t>，农村从</w:t>
      </w:r>
      <w:r>
        <w:t>58.8%</w:t>
      </w:r>
      <w:r>
        <w:rPr>
          <w:rFonts w:hint="eastAsia"/>
        </w:rPr>
        <w:t>下降到</w:t>
      </w:r>
      <w:r>
        <w:t>47.7%</w:t>
      </w:r>
      <w:r>
        <w:rPr>
          <w:rFonts w:hint="eastAsia"/>
        </w:rPr>
        <w:t>。城乡居民居住条件显著改善</w:t>
      </w:r>
      <w:r>
        <w:t>，</w:t>
      </w:r>
      <w:r>
        <w:rPr>
          <w:rFonts w:hint="eastAsia"/>
        </w:rPr>
        <w:t>城市基本普及煤气、液化气</w:t>
      </w:r>
      <w:r>
        <w:t>，</w:t>
      </w:r>
      <w:r>
        <w:rPr>
          <w:rFonts w:hint="eastAsia"/>
        </w:rPr>
        <w:t>城镇居民在家具、住房装饰、家庭设备等方面的消费支出成倍增长。消费品档次升级换代。一些耐用消费品在农村开始普及。</w:t>
      </w:r>
    </w:p>
    <w:p w:rsidR="00000000" w:rsidRDefault="00000000">
      <w:r>
        <w:tab/>
        <w:t xml:space="preserve">109.  </w:t>
      </w:r>
      <w:r>
        <w:rPr>
          <w:rFonts w:hint="eastAsia"/>
        </w:rPr>
        <w:t>中国是个发展中大国</w:t>
      </w:r>
      <w:r>
        <w:t>，</w:t>
      </w:r>
      <w:r>
        <w:rPr>
          <w:rFonts w:hint="eastAsia"/>
        </w:rPr>
        <w:t>各地发展很不平衡。在绝大多数人民得到发展实惠的同时</w:t>
      </w:r>
      <w:r>
        <w:t>，</w:t>
      </w:r>
      <w:r>
        <w:rPr>
          <w:rFonts w:hint="eastAsia"/>
        </w:rPr>
        <w:t>还有少部分的人群</w:t>
      </w:r>
      <w:r>
        <w:t>，</w:t>
      </w:r>
      <w:r>
        <w:rPr>
          <w:rFonts w:hint="eastAsia"/>
        </w:rPr>
        <w:t>主要是生活在农村的少数农民生活还比较困难。为解决农村贫困人口温饱问题</w:t>
      </w:r>
      <w:r>
        <w:t>，</w:t>
      </w:r>
      <w:r>
        <w:t>1994</w:t>
      </w:r>
      <w:r>
        <w:rPr>
          <w:rFonts w:hint="eastAsia"/>
        </w:rPr>
        <w:t>年</w:t>
      </w:r>
      <w:r>
        <w:t>3</w:t>
      </w:r>
      <w:r>
        <w:rPr>
          <w:rFonts w:hint="eastAsia"/>
        </w:rPr>
        <w:t>月</w:t>
      </w:r>
      <w:r>
        <w:t>，</w:t>
      </w:r>
      <w:r>
        <w:rPr>
          <w:rFonts w:hint="eastAsia"/>
        </w:rPr>
        <w:t>中国政府制定并颁布了《国家“八七”扶贫攻坚计划》</w:t>
      </w:r>
      <w:r>
        <w:t>，</w:t>
      </w:r>
      <w:r>
        <w:rPr>
          <w:rFonts w:hint="eastAsia"/>
        </w:rPr>
        <w:t>提出从</w:t>
      </w:r>
      <w:r>
        <w:t>1994</w:t>
      </w:r>
      <w:r>
        <w:rPr>
          <w:rFonts w:hint="eastAsia"/>
        </w:rPr>
        <w:t>年到</w:t>
      </w:r>
      <w:r>
        <w:t>2000</w:t>
      </w:r>
      <w:r>
        <w:rPr>
          <w:rFonts w:hint="eastAsia"/>
        </w:rPr>
        <w:t>年</w:t>
      </w:r>
      <w:r>
        <w:t>，</w:t>
      </w:r>
      <w:r>
        <w:rPr>
          <w:rFonts w:hint="eastAsia"/>
        </w:rPr>
        <w:t>力争用</w:t>
      </w:r>
      <w:r>
        <w:t>7</w:t>
      </w:r>
      <w:r>
        <w:rPr>
          <w:rFonts w:hint="eastAsia"/>
        </w:rPr>
        <w:t>年左右时间</w:t>
      </w:r>
      <w:r>
        <w:t>，</w:t>
      </w:r>
      <w:r>
        <w:rPr>
          <w:rFonts w:hint="eastAsia"/>
        </w:rPr>
        <w:t>基本解决全国农村</w:t>
      </w:r>
      <w:r>
        <w:t>8000</w:t>
      </w:r>
      <w:r>
        <w:rPr>
          <w:rFonts w:hint="eastAsia"/>
        </w:rPr>
        <w:t>万贫困人口温饱问题。计划具体目标包括</w:t>
      </w:r>
      <w:r>
        <w:t>：</w:t>
      </w:r>
      <w:r>
        <w:rPr>
          <w:rFonts w:hint="eastAsia"/>
        </w:rPr>
        <w:t>扶持贫困户创造稳定解决温饱的基础条件</w:t>
      </w:r>
      <w:r>
        <w:t>；</w:t>
      </w:r>
      <w:r>
        <w:rPr>
          <w:rFonts w:hint="eastAsia"/>
        </w:rPr>
        <w:t>加强贫困地区基础设施建设</w:t>
      </w:r>
      <w:r>
        <w:t>；</w:t>
      </w:r>
      <w:r>
        <w:rPr>
          <w:rFonts w:hint="eastAsia"/>
        </w:rPr>
        <w:t>基本解决人畜饮水困难</w:t>
      </w:r>
      <w:r>
        <w:t>，</w:t>
      </w:r>
      <w:r>
        <w:rPr>
          <w:rFonts w:hint="eastAsia"/>
        </w:rPr>
        <w:t>使绝大多数贫困乡镇和有农贸市场、商品产地的地方通公路；使绝大多数贫困户用上电；改变教育、文化、卫生的落后状况</w:t>
      </w:r>
      <w:r>
        <w:t>，</w:t>
      </w:r>
      <w:r>
        <w:rPr>
          <w:rFonts w:hint="eastAsia"/>
        </w:rPr>
        <w:t>基本普及初等教育和扫除青壮年文盲</w:t>
      </w:r>
      <w:r>
        <w:t>，</w:t>
      </w:r>
      <w:r>
        <w:rPr>
          <w:rFonts w:hint="eastAsia"/>
        </w:rPr>
        <w:t>开展成人职业技术教育和技术培训，改善医疗卫生条件，防治和减少地方病</w:t>
      </w:r>
      <w:r>
        <w:t>，</w:t>
      </w:r>
      <w:r>
        <w:rPr>
          <w:rFonts w:hint="eastAsia"/>
        </w:rPr>
        <w:t>把人口增长控制在国家规定范围内。该计划实施几年来取得了重大成就，到</w:t>
      </w:r>
      <w:r>
        <w:t>2001</w:t>
      </w:r>
      <w:r>
        <w:rPr>
          <w:rFonts w:hint="eastAsia"/>
        </w:rPr>
        <w:t>年底，农村绝大部分贫困人口温饱问题基本得到解决，一些生存环境恶劣和生态脆弱的贫困地区也开始走上可持续发展道路。</w:t>
      </w:r>
    </w:p>
    <w:p w:rsidR="00000000" w:rsidRDefault="00000000">
      <w:r>
        <w:tab/>
        <w:t xml:space="preserve">110.  </w:t>
      </w:r>
      <w:r>
        <w:rPr>
          <w:rFonts w:hint="eastAsia"/>
        </w:rPr>
        <w:t>为了使人民过上更高水准的小康生活，中国政府最近提出了今后</w:t>
      </w:r>
      <w:r>
        <w:t>20</w:t>
      </w:r>
      <w:r>
        <w:rPr>
          <w:rFonts w:hint="eastAsia"/>
        </w:rPr>
        <w:t>年全面建设小康社会的奋斗目标，也就是要使经济更加发展、民主更加健全、科教更加进步、文化更加繁荣、社会更加和谐、人民生活更加殷实。中国将用大体</w:t>
      </w:r>
      <w:r>
        <w:t>20</w:t>
      </w:r>
      <w:r>
        <w:rPr>
          <w:rFonts w:hint="eastAsia"/>
        </w:rPr>
        <w:t>年的时间</w:t>
      </w:r>
      <w:r>
        <w:t>，</w:t>
      </w:r>
      <w:r>
        <w:rPr>
          <w:rFonts w:hint="eastAsia"/>
        </w:rPr>
        <w:t>在优化结构和提高效益的基础上</w:t>
      </w:r>
      <w:r>
        <w:t>，</w:t>
      </w:r>
      <w:r>
        <w:rPr>
          <w:rFonts w:hint="eastAsia"/>
        </w:rPr>
        <w:t>使国内生产总值比</w:t>
      </w:r>
      <w:r>
        <w:t>2000</w:t>
      </w:r>
      <w:r>
        <w:rPr>
          <w:rFonts w:hint="eastAsia"/>
        </w:rPr>
        <w:t>年翻两番</w:t>
      </w:r>
      <w:r>
        <w:t>，</w:t>
      </w:r>
      <w:r>
        <w:rPr>
          <w:rFonts w:hint="eastAsia"/>
        </w:rPr>
        <w:t>人均超过</w:t>
      </w:r>
      <w:r>
        <w:t>3000</w:t>
      </w:r>
      <w:r>
        <w:rPr>
          <w:rFonts w:hint="eastAsia"/>
        </w:rPr>
        <w:t>美元</w:t>
      </w:r>
      <w:r>
        <w:t>，</w:t>
      </w:r>
      <w:r>
        <w:rPr>
          <w:rFonts w:hint="eastAsia"/>
        </w:rPr>
        <w:t>相当于中等收入国家的平均水平。</w:t>
      </w:r>
    </w:p>
    <w:p w:rsidR="00000000" w:rsidRDefault="00000000">
      <w:r>
        <w:tab/>
        <w:t xml:space="preserve">111.  </w:t>
      </w:r>
      <w:r>
        <w:rPr>
          <w:rFonts w:hint="eastAsia"/>
        </w:rPr>
        <w:t>关于住房权</w:t>
      </w:r>
      <w:r>
        <w:t>，</w:t>
      </w:r>
      <w:r>
        <w:rPr>
          <w:rFonts w:hint="eastAsia"/>
        </w:rPr>
        <w:t>《城市房地产管理法》第</w:t>
      </w:r>
      <w:r>
        <w:t>4</w:t>
      </w:r>
      <w:r>
        <w:rPr>
          <w:rFonts w:hint="eastAsia"/>
        </w:rPr>
        <w:t>条规定</w:t>
      </w:r>
      <w:r>
        <w:t>：</w:t>
      </w:r>
      <w:r>
        <w:rPr>
          <w:rFonts w:hint="eastAsia"/>
        </w:rPr>
        <w:t>“国家根据社会、经济发展水平</w:t>
      </w:r>
      <w:r>
        <w:t>，</w:t>
      </w:r>
      <w:r>
        <w:rPr>
          <w:rFonts w:hint="eastAsia"/>
        </w:rPr>
        <w:t>扶持发展居民住宅建设，逐步改善居民的居住条件。”该规定明确指出了国家对改善居民居住条件方面的地位与作用。</w:t>
      </w:r>
      <w:r>
        <w:t>2001</w:t>
      </w:r>
      <w:r>
        <w:rPr>
          <w:rFonts w:hint="eastAsia"/>
        </w:rPr>
        <w:t>年</w:t>
      </w:r>
      <w:r>
        <w:t>，</w:t>
      </w:r>
      <w:r>
        <w:rPr>
          <w:rFonts w:hint="eastAsia"/>
        </w:rPr>
        <w:t>中国政府制定《城市房屋拆迁管理条例》</w:t>
      </w:r>
      <w:r>
        <w:t>，</w:t>
      </w:r>
      <w:r>
        <w:rPr>
          <w:rFonts w:hint="eastAsia"/>
        </w:rPr>
        <w:t>规定了对被拆迁人补偿、安置的办法，维护了拆迁当事人的合法权益。</w:t>
      </w:r>
    </w:p>
    <w:p w:rsidR="00000000" w:rsidRDefault="00000000">
      <w:r>
        <w:tab/>
        <w:t xml:space="preserve">112.  </w:t>
      </w:r>
      <w:r>
        <w:rPr>
          <w:rFonts w:hint="eastAsia"/>
        </w:rPr>
        <w:t>中华人民共和国成立以来</w:t>
      </w:r>
      <w:r>
        <w:t>，</w:t>
      </w:r>
      <w:r>
        <w:rPr>
          <w:rFonts w:hint="eastAsia"/>
        </w:rPr>
        <w:t>中国政府十分重视改善人民居住条件</w:t>
      </w:r>
      <w:r>
        <w:t>，</w:t>
      </w:r>
      <w:r>
        <w:rPr>
          <w:rFonts w:hint="eastAsia"/>
        </w:rPr>
        <w:t>始终围绕“人人享有适当住房”和“城市化进程中人类住区的可持续发展”两大主题，加快住房建设步伐，广大人民的居住条件和居住环境有了较大改善。从</w:t>
      </w:r>
      <w:r>
        <w:t>1950</w:t>
      </w:r>
      <w:r>
        <w:rPr>
          <w:rFonts w:hint="eastAsia"/>
        </w:rPr>
        <w:t>年至</w:t>
      </w:r>
      <w:r>
        <w:t>2001</w:t>
      </w:r>
      <w:r>
        <w:rPr>
          <w:rFonts w:hint="eastAsia"/>
        </w:rPr>
        <w:t>年</w:t>
      </w:r>
      <w:r>
        <w:t>，</w:t>
      </w:r>
      <w:r>
        <w:rPr>
          <w:rFonts w:hint="eastAsia"/>
        </w:rPr>
        <w:t>全国城镇住宅竣工面积</w:t>
      </w:r>
      <w:r>
        <w:t>68.6</w:t>
      </w:r>
      <w:r>
        <w:rPr>
          <w:rFonts w:hint="eastAsia"/>
        </w:rPr>
        <w:t>亿平方米。</w:t>
      </w:r>
      <w:r>
        <w:t>2001</w:t>
      </w:r>
      <w:r>
        <w:rPr>
          <w:rFonts w:hint="eastAsia"/>
        </w:rPr>
        <w:t>年城镇人均建筑面积达</w:t>
      </w:r>
      <w:r>
        <w:t>20.8</w:t>
      </w:r>
      <w:r>
        <w:rPr>
          <w:rFonts w:hint="eastAsia"/>
        </w:rPr>
        <w:t>平方米</w:t>
      </w:r>
      <w:r>
        <w:t>(</w:t>
      </w:r>
      <w:r>
        <w:rPr>
          <w:rFonts w:hint="eastAsia"/>
        </w:rPr>
        <w:t>见表</w:t>
      </w:r>
      <w:r>
        <w:t>3)</w:t>
      </w:r>
      <w:r>
        <w:t>，</w:t>
      </w:r>
      <w:r>
        <w:rPr>
          <w:rFonts w:hint="eastAsia"/>
        </w:rPr>
        <w:t>比</w:t>
      </w:r>
      <w:r>
        <w:t>1950</w:t>
      </w:r>
      <w:r>
        <w:rPr>
          <w:rFonts w:hint="eastAsia"/>
        </w:rPr>
        <w:t>年提高了</w:t>
      </w:r>
      <w:r>
        <w:t>13.6</w:t>
      </w:r>
      <w:r>
        <w:rPr>
          <w:rFonts w:hint="eastAsia"/>
        </w:rPr>
        <w:t>平方米，住房的工程质量、功能质量、环境质量和服务质量有了较大提高。</w:t>
      </w:r>
    </w:p>
    <w:p w:rsidR="00000000" w:rsidRDefault="00000000">
      <w:r>
        <w:tab/>
        <w:t>113.  1950</w:t>
      </w:r>
      <w:r>
        <w:rPr>
          <w:rFonts w:hint="eastAsia"/>
        </w:rPr>
        <w:t>年至</w:t>
      </w:r>
      <w:r>
        <w:t>1978</w:t>
      </w:r>
      <w:r>
        <w:rPr>
          <w:rFonts w:hint="eastAsia"/>
        </w:rPr>
        <w:t>年</w:t>
      </w:r>
      <w:r>
        <w:t>，</w:t>
      </w:r>
      <w:r>
        <w:rPr>
          <w:rFonts w:hint="eastAsia"/>
        </w:rPr>
        <w:t>国家共投资</w:t>
      </w:r>
      <w:r>
        <w:t>374</w:t>
      </w:r>
      <w:r>
        <w:rPr>
          <w:rFonts w:hint="eastAsia"/>
        </w:rPr>
        <w:t>亿元人民币</w:t>
      </w:r>
      <w:r>
        <w:t>，</w:t>
      </w:r>
      <w:r>
        <w:rPr>
          <w:rFonts w:hint="eastAsia"/>
        </w:rPr>
        <w:t>新建城市住房</w:t>
      </w:r>
      <w:r>
        <w:t>5.3</w:t>
      </w:r>
      <w:r>
        <w:rPr>
          <w:rFonts w:hint="eastAsia"/>
        </w:rPr>
        <w:t>亿平方米</w:t>
      </w:r>
      <w:r>
        <w:t>，</w:t>
      </w:r>
      <w:r>
        <w:rPr>
          <w:rFonts w:hint="eastAsia"/>
        </w:rPr>
        <w:t>年均竣工</w:t>
      </w:r>
      <w:r>
        <w:t>1800</w:t>
      </w:r>
      <w:r>
        <w:rPr>
          <w:rFonts w:hint="eastAsia"/>
        </w:rPr>
        <w:t>万平方米。由于住宅建设长期采用低租金和实物分配方式</w:t>
      </w:r>
      <w:r>
        <w:t>，</w:t>
      </w:r>
      <w:r>
        <w:rPr>
          <w:rFonts w:hint="eastAsia"/>
        </w:rPr>
        <w:t>不能形成投入</w:t>
      </w:r>
      <w:r>
        <w:rPr>
          <w:rFonts w:hint="eastAsia"/>
          <w:spacing w:val="-40"/>
        </w:rPr>
        <w:t>――</w:t>
      </w:r>
      <w:r>
        <w:rPr>
          <w:rFonts w:hint="eastAsia"/>
          <w:spacing w:val="-40"/>
        </w:rPr>
        <w:t xml:space="preserve"> </w:t>
      </w:r>
      <w:r>
        <w:rPr>
          <w:rFonts w:hint="eastAsia"/>
        </w:rPr>
        <w:t>产出的良性循环</w:t>
      </w:r>
      <w:r>
        <w:t>，</w:t>
      </w:r>
      <w:r>
        <w:rPr>
          <w:rFonts w:hint="eastAsia"/>
        </w:rPr>
        <w:t>住宅建设的增长难以适应高速增长的城市人口。</w:t>
      </w:r>
      <w:r>
        <w:t>1978</w:t>
      </w:r>
      <w:r>
        <w:rPr>
          <w:rFonts w:hint="eastAsia"/>
        </w:rPr>
        <w:t>年以后</w:t>
      </w:r>
      <w:r>
        <w:t>，</w:t>
      </w:r>
      <w:r>
        <w:rPr>
          <w:rFonts w:hint="eastAsia"/>
        </w:rPr>
        <w:t>中国住宅建设进入快速发展时期。</w:t>
      </w:r>
      <w:r>
        <w:t>1979</w:t>
      </w:r>
      <w:r>
        <w:rPr>
          <w:rFonts w:hint="eastAsia"/>
        </w:rPr>
        <w:t>年至</w:t>
      </w:r>
      <w:r>
        <w:t>2001</w:t>
      </w:r>
      <w:r>
        <w:rPr>
          <w:rFonts w:hint="eastAsia"/>
        </w:rPr>
        <w:t>年</w:t>
      </w:r>
      <w:r>
        <w:t>，</w:t>
      </w:r>
      <w:r>
        <w:rPr>
          <w:rFonts w:hint="eastAsia"/>
        </w:rPr>
        <w:t>全国城镇住宅共投资</w:t>
      </w:r>
      <w:r>
        <w:t>40878</w:t>
      </w:r>
      <w:r>
        <w:rPr>
          <w:rFonts w:hint="eastAsia"/>
        </w:rPr>
        <w:t>亿元</w:t>
      </w:r>
      <w:r>
        <w:t>，</w:t>
      </w:r>
      <w:r>
        <w:rPr>
          <w:rFonts w:hint="eastAsia"/>
        </w:rPr>
        <w:t>年竣工</w:t>
      </w:r>
      <w:r>
        <w:t>24810</w:t>
      </w:r>
      <w:r>
        <w:rPr>
          <w:rFonts w:hint="eastAsia"/>
        </w:rPr>
        <w:t>万平方米。国家对住房分配制度及住宅建设的投资融资、开发建设和管理体制进行全面改革。</w:t>
      </w:r>
      <w:r>
        <w:t>1998</w:t>
      </w:r>
      <w:r>
        <w:rPr>
          <w:rFonts w:hint="eastAsia"/>
        </w:rPr>
        <w:t>年</w:t>
      </w:r>
      <w:r>
        <w:t>7</w:t>
      </w:r>
      <w:r>
        <w:rPr>
          <w:rFonts w:hint="eastAsia"/>
        </w:rPr>
        <w:t>月</w:t>
      </w:r>
      <w:r>
        <w:t>3</w:t>
      </w:r>
      <w:r>
        <w:rPr>
          <w:rFonts w:hint="eastAsia"/>
        </w:rPr>
        <w:t>日</w:t>
      </w:r>
      <w:r>
        <w:t>，</w:t>
      </w:r>
      <w:r>
        <w:rPr>
          <w:rFonts w:hint="eastAsia"/>
        </w:rPr>
        <w:t>国务院下发《国务院关于进一步深化城镇住房制度改革加快住房建设的通知》</w:t>
      </w:r>
      <w:r>
        <w:t>，</w:t>
      </w:r>
      <w:r>
        <w:rPr>
          <w:rFonts w:hint="eastAsia"/>
        </w:rPr>
        <w:t>提出停止住房实物分配</w:t>
      </w:r>
      <w:r>
        <w:t>，</w:t>
      </w:r>
      <w:r>
        <w:rPr>
          <w:rFonts w:hint="eastAsia"/>
        </w:rPr>
        <w:t>逐步实行住房分配货币化。对不同收入家庭实行不同的住房供应政策</w:t>
      </w:r>
      <w:r>
        <w:t>，</w:t>
      </w:r>
      <w:r>
        <w:rPr>
          <w:rFonts w:hint="eastAsia"/>
        </w:rPr>
        <w:t>即最低收入家庭租赁由政府或单位提供廉租住房</w:t>
      </w:r>
      <w:r>
        <w:t>；</w:t>
      </w:r>
      <w:r>
        <w:rPr>
          <w:rFonts w:hint="eastAsia"/>
        </w:rPr>
        <w:t>中低收入家庭购买经济适用住房</w:t>
      </w:r>
      <w:r>
        <w:t>；</w:t>
      </w:r>
      <w:r>
        <w:rPr>
          <w:rFonts w:hint="eastAsia"/>
        </w:rPr>
        <w:t>其他收入高的家庭购买、租赁市场价商品住房。住房制度改革的实施</w:t>
      </w:r>
      <w:r>
        <w:t>，</w:t>
      </w:r>
      <w:r>
        <w:rPr>
          <w:rFonts w:hint="eastAsia"/>
        </w:rPr>
        <w:t>极大调动了城镇居民个人购房积极性</w:t>
      </w:r>
      <w:r>
        <w:t>，</w:t>
      </w:r>
      <w:r>
        <w:rPr>
          <w:rFonts w:hint="eastAsia"/>
        </w:rPr>
        <w:t>城镇居民住房自有率大幅提高。城镇家庭</w:t>
      </w:r>
      <w:r>
        <w:t>80%</w:t>
      </w:r>
      <w:r>
        <w:rPr>
          <w:rFonts w:hint="eastAsia"/>
        </w:rPr>
        <w:t>拥有了自有住房</w:t>
      </w:r>
      <w:r>
        <w:t>，</w:t>
      </w:r>
      <w:r>
        <w:rPr>
          <w:rFonts w:hint="eastAsia"/>
        </w:rPr>
        <w:t>常驻城市的所有家庭</w:t>
      </w:r>
      <w:r>
        <w:t>(</w:t>
      </w:r>
      <w:r>
        <w:rPr>
          <w:rFonts w:hint="eastAsia"/>
        </w:rPr>
        <w:t>含居住城市半年以上的家庭</w:t>
      </w:r>
      <w:r>
        <w:t>)</w:t>
      </w:r>
      <w:r>
        <w:rPr>
          <w:rFonts w:hint="eastAsia"/>
        </w:rPr>
        <w:t>中</w:t>
      </w:r>
      <w:r>
        <w:t>70%</w:t>
      </w:r>
      <w:r>
        <w:rPr>
          <w:rFonts w:hint="eastAsia"/>
        </w:rPr>
        <w:t>以上的居民家庭拥有了自己的住房。城市家庭户均住房资产</w:t>
      </w:r>
      <w:r>
        <w:t>10.94</w:t>
      </w:r>
      <w:r>
        <w:rPr>
          <w:rFonts w:hint="eastAsia"/>
        </w:rPr>
        <w:t>万元</w:t>
      </w:r>
      <w:r>
        <w:t>，</w:t>
      </w:r>
      <w:r>
        <w:rPr>
          <w:rFonts w:hint="eastAsia"/>
        </w:rPr>
        <w:t>占家庭资产总额的</w:t>
      </w:r>
      <w:r>
        <w:t>47.9%</w:t>
      </w:r>
      <w:r>
        <w:t>，</w:t>
      </w:r>
      <w:r>
        <w:rPr>
          <w:rFonts w:hint="eastAsia"/>
        </w:rPr>
        <w:t>成为城镇居民家庭财产的主要部分。</w:t>
      </w:r>
    </w:p>
    <w:p w:rsidR="00000000" w:rsidRDefault="00000000">
      <w:r>
        <w:tab/>
        <w:t>114.  1998-2001</w:t>
      </w:r>
      <w:r>
        <w:rPr>
          <w:rFonts w:hint="eastAsia"/>
        </w:rPr>
        <w:t>年</w:t>
      </w:r>
      <w:r>
        <w:t>，</w:t>
      </w:r>
      <w:r>
        <w:rPr>
          <w:rFonts w:hint="eastAsia"/>
        </w:rPr>
        <w:t>城镇住宅竣工面积</w:t>
      </w:r>
      <w:r>
        <w:t>21.6</w:t>
      </w:r>
      <w:r>
        <w:rPr>
          <w:rFonts w:hint="eastAsia"/>
        </w:rPr>
        <w:t>亿平方米</w:t>
      </w:r>
      <w:r>
        <w:t>(</w:t>
      </w:r>
      <w:r>
        <w:rPr>
          <w:rFonts w:hint="eastAsia"/>
        </w:rPr>
        <w:t>不含城关镇</w:t>
      </w:r>
      <w:r>
        <w:rPr>
          <w:rStyle w:val="FootnoteReference"/>
          <w:szCs w:val="30"/>
        </w:rPr>
        <w:footnoteReference w:customMarkFollows="1" w:id="9"/>
        <w:t>6</w:t>
      </w:r>
      <w:r>
        <w:t xml:space="preserve"> </w:t>
      </w:r>
      <w:r>
        <w:rPr>
          <w:rFonts w:hint="eastAsia"/>
        </w:rPr>
        <w:t>以外的建制镇</w:t>
      </w:r>
      <w:r>
        <w:t>)</w:t>
      </w:r>
      <w:r>
        <w:t>，</w:t>
      </w:r>
      <w:r>
        <w:rPr>
          <w:rFonts w:hint="eastAsia"/>
        </w:rPr>
        <w:t>年均竣工面积达</w:t>
      </w:r>
      <w:r>
        <w:t>5.4</w:t>
      </w:r>
      <w:r>
        <w:rPr>
          <w:rFonts w:hint="eastAsia"/>
        </w:rPr>
        <w:t>亿平方米</w:t>
      </w:r>
      <w:r>
        <w:t>；</w:t>
      </w:r>
      <w:r>
        <w:rPr>
          <w:rFonts w:hint="eastAsia"/>
        </w:rPr>
        <w:t>完成住房投资</w:t>
      </w:r>
      <w:r>
        <w:t>2.1</w:t>
      </w:r>
      <w:r>
        <w:rPr>
          <w:rFonts w:hint="eastAsia"/>
        </w:rPr>
        <w:t>万亿元</w:t>
      </w:r>
      <w:r>
        <w:t>，</w:t>
      </w:r>
      <w:r>
        <w:rPr>
          <w:rFonts w:hint="eastAsia"/>
        </w:rPr>
        <w:t>年均完成投资</w:t>
      </w:r>
      <w:r>
        <w:t>5265</w:t>
      </w:r>
      <w:r>
        <w:rPr>
          <w:rFonts w:hint="eastAsia"/>
        </w:rPr>
        <w:t>亿元</w:t>
      </w:r>
      <w:r>
        <w:t>(</w:t>
      </w:r>
      <w:r>
        <w:rPr>
          <w:rFonts w:hint="eastAsia"/>
        </w:rPr>
        <w:t>见图</w:t>
      </w:r>
      <w:r>
        <w:t>1</w:t>
      </w:r>
      <w:r>
        <w:rPr>
          <w:rFonts w:hint="eastAsia"/>
        </w:rPr>
        <w:t>、图</w:t>
      </w:r>
      <w:r>
        <w:t>2)</w:t>
      </w:r>
      <w:r>
        <w:rPr>
          <w:rFonts w:hint="eastAsia"/>
        </w:rPr>
        <w:t>。</w:t>
      </w:r>
      <w:r>
        <w:t>2001</w:t>
      </w:r>
      <w:r>
        <w:rPr>
          <w:rFonts w:hint="eastAsia"/>
        </w:rPr>
        <w:t>年城镇住宅竣工面积</w:t>
      </w:r>
      <w:r>
        <w:t>5.75</w:t>
      </w:r>
      <w:r>
        <w:rPr>
          <w:rFonts w:hint="eastAsia"/>
        </w:rPr>
        <w:t>亿平方米</w:t>
      </w:r>
      <w:r>
        <w:t>，</w:t>
      </w:r>
      <w:r>
        <w:rPr>
          <w:rFonts w:hint="eastAsia"/>
        </w:rPr>
        <w:t>是</w:t>
      </w:r>
      <w:r>
        <w:t>1990</w:t>
      </w:r>
      <w:r>
        <w:rPr>
          <w:rFonts w:hint="eastAsia"/>
        </w:rPr>
        <w:t>年的</w:t>
      </w:r>
      <w:r>
        <w:t>3.3</w:t>
      </w:r>
      <w:r>
        <w:rPr>
          <w:rFonts w:hint="eastAsia"/>
        </w:rPr>
        <w:t>倍</w:t>
      </w:r>
      <w:r>
        <w:t>；</w:t>
      </w:r>
      <w:r>
        <w:rPr>
          <w:rFonts w:hint="eastAsia"/>
        </w:rPr>
        <w:t>完成投资</w:t>
      </w:r>
      <w:r>
        <w:t>6262</w:t>
      </w:r>
      <w:r>
        <w:rPr>
          <w:rFonts w:hint="eastAsia"/>
        </w:rPr>
        <w:t>亿元</w:t>
      </w:r>
      <w:r>
        <w:t>，</w:t>
      </w:r>
      <w:r>
        <w:rPr>
          <w:rFonts w:hint="eastAsia"/>
        </w:rPr>
        <w:t>是</w:t>
      </w:r>
      <w:r>
        <w:t>1990</w:t>
      </w:r>
      <w:r>
        <w:rPr>
          <w:rFonts w:hint="eastAsia"/>
        </w:rPr>
        <w:t>年的</w:t>
      </w:r>
      <w:r>
        <w:t>11.6</w:t>
      </w:r>
      <w:r>
        <w:rPr>
          <w:rFonts w:hint="eastAsia"/>
        </w:rPr>
        <w:t>倍。</w:t>
      </w:r>
      <w:r>
        <w:t>1998</w:t>
      </w:r>
      <w:r>
        <w:rPr>
          <w:rFonts w:hint="eastAsia"/>
        </w:rPr>
        <w:t>年到</w:t>
      </w:r>
      <w:r>
        <w:t>2001</w:t>
      </w:r>
      <w:r>
        <w:rPr>
          <w:rFonts w:hint="eastAsia"/>
        </w:rPr>
        <w:t>年底</w:t>
      </w:r>
      <w:r>
        <w:t>，</w:t>
      </w:r>
      <w:r>
        <w:rPr>
          <w:rFonts w:hint="eastAsia"/>
        </w:rPr>
        <w:t>全国城市人均住房建筑面积由</w:t>
      </w:r>
      <w:r>
        <w:t>18.7</w:t>
      </w:r>
      <w:r>
        <w:rPr>
          <w:rFonts w:hint="eastAsia"/>
        </w:rPr>
        <w:t>平方米提高到</w:t>
      </w:r>
      <w:r>
        <w:t>20.8</w:t>
      </w:r>
      <w:r>
        <w:rPr>
          <w:rFonts w:hint="eastAsia"/>
        </w:rPr>
        <w:t>平方米</w:t>
      </w:r>
      <w:r>
        <w:t>，</w:t>
      </w:r>
      <w:r>
        <w:rPr>
          <w:rFonts w:hint="eastAsia"/>
        </w:rPr>
        <w:t>人均净增</w:t>
      </w:r>
      <w:r>
        <w:t>2.1</w:t>
      </w:r>
      <w:r>
        <w:rPr>
          <w:rFonts w:hint="eastAsia"/>
        </w:rPr>
        <w:t>平方米</w:t>
      </w:r>
      <w:r>
        <w:t>，</w:t>
      </w:r>
      <w:r>
        <w:rPr>
          <w:rFonts w:hint="eastAsia"/>
        </w:rPr>
        <w:t>年均增长</w:t>
      </w:r>
      <w:r>
        <w:t>0.55</w:t>
      </w:r>
      <w:r>
        <w:rPr>
          <w:rFonts w:hint="eastAsia"/>
        </w:rPr>
        <w:t>平方米</w:t>
      </w:r>
      <w:r>
        <w:t>(</w:t>
      </w:r>
      <w:r>
        <w:rPr>
          <w:rFonts w:hint="eastAsia"/>
        </w:rPr>
        <w:t>见图</w:t>
      </w:r>
      <w:r>
        <w:t>3)</w:t>
      </w:r>
      <w:r>
        <w:rPr>
          <w:rFonts w:hint="eastAsia"/>
        </w:rPr>
        <w:t>。截至</w:t>
      </w:r>
      <w:r>
        <w:t>2001</w:t>
      </w:r>
      <w:r>
        <w:rPr>
          <w:rFonts w:hint="eastAsia"/>
        </w:rPr>
        <w:t>年底</w:t>
      </w:r>
      <w:r>
        <w:t>，</w:t>
      </w:r>
      <w:r>
        <w:rPr>
          <w:rFonts w:hint="eastAsia"/>
        </w:rPr>
        <w:t>户均建筑面积达到</w:t>
      </w:r>
      <w:r>
        <w:t>65</w:t>
      </w:r>
      <w:r>
        <w:rPr>
          <w:rFonts w:hint="eastAsia"/>
        </w:rPr>
        <w:t>平方米</w:t>
      </w:r>
      <w:r>
        <w:t>，</w:t>
      </w:r>
      <w:r>
        <w:rPr>
          <w:rFonts w:hint="eastAsia"/>
        </w:rPr>
        <w:t>户均住房</w:t>
      </w:r>
      <w:r>
        <w:t>2.27</w:t>
      </w:r>
      <w:r>
        <w:rPr>
          <w:rFonts w:hint="eastAsia"/>
        </w:rPr>
        <w:t>间</w:t>
      </w:r>
      <w:r>
        <w:t>，</w:t>
      </w:r>
      <w:r>
        <w:t>64%</w:t>
      </w:r>
      <w:r>
        <w:rPr>
          <w:rFonts w:hint="eastAsia"/>
        </w:rPr>
        <w:t>的家庭拥有</w:t>
      </w:r>
      <w:r>
        <w:t>2-3</w:t>
      </w:r>
      <w:r>
        <w:rPr>
          <w:rFonts w:hint="eastAsia"/>
        </w:rPr>
        <w:t>间住房</w:t>
      </w:r>
      <w:r>
        <w:t>(</w:t>
      </w:r>
      <w:r>
        <w:rPr>
          <w:rFonts w:hint="eastAsia"/>
        </w:rPr>
        <w:t>见表</w:t>
      </w:r>
      <w:r>
        <w:t>4)</w:t>
      </w:r>
      <w:r>
        <w:rPr>
          <w:rFonts w:hint="eastAsia"/>
        </w:rPr>
        <w:t>。</w:t>
      </w:r>
    </w:p>
    <w:p w:rsidR="00000000" w:rsidRDefault="00000000">
      <w:r>
        <w:tab/>
        <w:t xml:space="preserve">115.  </w:t>
      </w:r>
      <w:r>
        <w:rPr>
          <w:rFonts w:hint="eastAsia"/>
        </w:rPr>
        <w:t>中国《宪法》规定农村土地</w:t>
      </w:r>
      <w:r>
        <w:t>，</w:t>
      </w:r>
      <w:r>
        <w:rPr>
          <w:rFonts w:hint="eastAsia"/>
        </w:rPr>
        <w:t>除由法律规定属于国家所有的以外</w:t>
      </w:r>
      <w:r>
        <w:t>，</w:t>
      </w:r>
      <w:r>
        <w:rPr>
          <w:rFonts w:hint="eastAsia"/>
        </w:rPr>
        <w:t>归集体所有</w:t>
      </w:r>
      <w:r>
        <w:t>，</w:t>
      </w:r>
      <w:r>
        <w:rPr>
          <w:rFonts w:hint="eastAsia"/>
        </w:rPr>
        <w:t>农民建房所需土地</w:t>
      </w:r>
      <w:r>
        <w:t>(</w:t>
      </w:r>
      <w:r>
        <w:rPr>
          <w:rFonts w:hint="eastAsia"/>
        </w:rPr>
        <w:t>宅基地</w:t>
      </w:r>
      <w:r>
        <w:t>)</w:t>
      </w:r>
      <w:r>
        <w:rPr>
          <w:rFonts w:hint="eastAsia"/>
        </w:rPr>
        <w:t>属集体所有。在中华人民共和国成立后较长时间里</w:t>
      </w:r>
      <w:r>
        <w:t>，</w:t>
      </w:r>
      <w:r>
        <w:rPr>
          <w:rFonts w:hint="eastAsia"/>
        </w:rPr>
        <w:t>由于中国农民平均收入很低</w:t>
      </w:r>
      <w:r>
        <w:t>，</w:t>
      </w:r>
      <w:r>
        <w:rPr>
          <w:rFonts w:hint="eastAsia"/>
        </w:rPr>
        <w:t>农村住房建设一般依靠农民自己动手</w:t>
      </w:r>
      <w:r>
        <w:t>，</w:t>
      </w:r>
      <w:r>
        <w:rPr>
          <w:rFonts w:hint="eastAsia"/>
        </w:rPr>
        <w:t>不仅建设水平低</w:t>
      </w:r>
      <w:r>
        <w:t>，</w:t>
      </w:r>
      <w:r>
        <w:rPr>
          <w:rFonts w:hint="eastAsia"/>
        </w:rPr>
        <w:t>而且存在水、电及相应基础配套设施不全等问题</w:t>
      </w:r>
      <w:r>
        <w:t>，</w:t>
      </w:r>
      <w:r>
        <w:rPr>
          <w:rFonts w:hint="eastAsia"/>
        </w:rPr>
        <w:t>居住条件简陋、居住环境较差。</w:t>
      </w:r>
    </w:p>
    <w:p w:rsidR="00000000" w:rsidRDefault="00000000">
      <w:r>
        <w:tab/>
        <w:t>116.  1978</w:t>
      </w:r>
      <w:r>
        <w:rPr>
          <w:rFonts w:hint="eastAsia"/>
        </w:rPr>
        <w:t>年以来</w:t>
      </w:r>
      <w:r>
        <w:t>，</w:t>
      </w:r>
      <w:r>
        <w:rPr>
          <w:rFonts w:hint="eastAsia"/>
        </w:rPr>
        <w:t>中国农村经济有了较快发展。特别是一些经济发展快的农村</w:t>
      </w:r>
      <w:r>
        <w:t>，</w:t>
      </w:r>
      <w:r>
        <w:rPr>
          <w:rFonts w:hint="eastAsia"/>
        </w:rPr>
        <w:t>原来手工操作建设的低水平住房已经不适应富裕起来的农民需要。规模化、现代化建设住房的方式逐渐兴起</w:t>
      </w:r>
      <w:r>
        <w:t>，</w:t>
      </w:r>
      <w:r>
        <w:rPr>
          <w:rFonts w:hint="eastAsia"/>
        </w:rPr>
        <w:t>节约土地的连体式住房、楼房也在逐步推广</w:t>
      </w:r>
      <w:r>
        <w:t>，</w:t>
      </w:r>
      <w:r>
        <w:rPr>
          <w:rFonts w:hint="eastAsia"/>
        </w:rPr>
        <w:t>水、电、通讯及相应配套设施也在逐步完善</w:t>
      </w:r>
      <w:r>
        <w:t>，</w:t>
      </w:r>
      <w:r>
        <w:rPr>
          <w:rFonts w:hint="eastAsia"/>
        </w:rPr>
        <w:t>农村居民家庭住房水平有了较大的提高</w:t>
      </w:r>
      <w:r>
        <w:t>(</w:t>
      </w:r>
      <w:r>
        <w:rPr>
          <w:rFonts w:hint="eastAsia"/>
        </w:rPr>
        <w:t>农村居民家庭住房情况见表</w:t>
      </w:r>
      <w:r>
        <w:t>5)</w:t>
      </w:r>
      <w:r>
        <w:rPr>
          <w:rFonts w:hint="eastAsia"/>
        </w:rPr>
        <w:t>。</w:t>
      </w:r>
    </w:p>
    <w:p w:rsidR="00000000" w:rsidRDefault="00000000">
      <w:r>
        <w:tab/>
        <w:t xml:space="preserve">117.  </w:t>
      </w:r>
      <w:r>
        <w:rPr>
          <w:rFonts w:hint="eastAsia"/>
        </w:rPr>
        <w:t>为解决城镇中、低收入家庭住房问题</w:t>
      </w:r>
      <w:r>
        <w:t>，</w:t>
      </w:r>
      <w:r>
        <w:rPr>
          <w:rFonts w:hint="eastAsia"/>
        </w:rPr>
        <w:t>中国政府制定了《城镇廉租住房管理办法》。政府和单位在住房领域实施社会保障职能</w:t>
      </w:r>
      <w:r>
        <w:t>，</w:t>
      </w:r>
      <w:r>
        <w:rPr>
          <w:rFonts w:hint="eastAsia"/>
        </w:rPr>
        <w:t>向具有城镇常住居民户口的最低收入家庭提供租金相对低廉的普通住房。</w:t>
      </w:r>
    </w:p>
    <w:p w:rsidR="00000000" w:rsidRDefault="00000000">
      <w:r>
        <w:tab/>
        <w:t xml:space="preserve">118.  </w:t>
      </w:r>
      <w:r>
        <w:rPr>
          <w:rFonts w:hint="eastAsia"/>
        </w:rPr>
        <w:t>中国政府通过免收土地出让金、减半征收其它行政事业性收费等措施</w:t>
      </w:r>
      <w:r>
        <w:t>，</w:t>
      </w:r>
      <w:r>
        <w:rPr>
          <w:rFonts w:hint="eastAsia"/>
        </w:rPr>
        <w:t>降低开发建设成本</w:t>
      </w:r>
      <w:r>
        <w:t>，</w:t>
      </w:r>
      <w:r>
        <w:rPr>
          <w:rFonts w:hint="eastAsia"/>
        </w:rPr>
        <w:t>同时对成交价格、购买对象和开发建设单位的利润进行限制</w:t>
      </w:r>
      <w:r>
        <w:t>，</w:t>
      </w:r>
      <w:r>
        <w:rPr>
          <w:rFonts w:hint="eastAsia"/>
        </w:rPr>
        <w:t>使经济适用房的价格与中低收入家庭的承受能力基本适应。国家鼓励独立工矿区和企事业单位在符合城市总体规划、单位发展计划和节约用地的前提下</w:t>
      </w:r>
      <w:r>
        <w:t>，</w:t>
      </w:r>
      <w:r>
        <w:rPr>
          <w:rFonts w:hint="eastAsia"/>
        </w:rPr>
        <w:t>利用自有土地集资、合作建房。目前城镇职工住宅合作社达</w:t>
      </w:r>
      <w:r>
        <w:t>5000</w:t>
      </w:r>
      <w:r>
        <w:rPr>
          <w:rFonts w:hint="eastAsia"/>
        </w:rPr>
        <w:t>多个</w:t>
      </w:r>
      <w:r>
        <w:t>，</w:t>
      </w:r>
      <w:r>
        <w:rPr>
          <w:rFonts w:hint="eastAsia"/>
        </w:rPr>
        <w:t>大约</w:t>
      </w:r>
      <w:r>
        <w:t>150</w:t>
      </w:r>
      <w:r>
        <w:rPr>
          <w:rFonts w:hint="eastAsia"/>
        </w:rPr>
        <w:t>万个中低收入家庭通过合作方式实现了安居乐业。住宅合作社提供了适应居民支付能力的住房</w:t>
      </w:r>
      <w:r>
        <w:t>，</w:t>
      </w:r>
      <w:r>
        <w:rPr>
          <w:rFonts w:hint="eastAsia"/>
        </w:rPr>
        <w:t>解决了低收入者的住房问题。政府对危旧房改造在土地、税费等方面给予优惠</w:t>
      </w:r>
      <w:r>
        <w:t>，</w:t>
      </w:r>
      <w:r>
        <w:rPr>
          <w:rFonts w:hint="eastAsia"/>
        </w:rPr>
        <w:t>鼓励房地产开发企业进入危旧住房改造项目</w:t>
      </w:r>
      <w:r>
        <w:t>，</w:t>
      </w:r>
      <w:r>
        <w:rPr>
          <w:rFonts w:hint="eastAsia"/>
        </w:rPr>
        <w:t>改善低收入者的居住环境。简化程序</w:t>
      </w:r>
      <w:r>
        <w:t>，</w:t>
      </w:r>
      <w:r>
        <w:rPr>
          <w:rFonts w:hint="eastAsia"/>
        </w:rPr>
        <w:t>降低二级市场、租赁市场税费</w:t>
      </w:r>
      <w:r>
        <w:t>，</w:t>
      </w:r>
      <w:r>
        <w:rPr>
          <w:rFonts w:hint="eastAsia"/>
        </w:rPr>
        <w:t>鼓励收入较低家庭和新职工在二级市场、租赁市场购买、租赁价格、功能适宜的住房。</w:t>
      </w:r>
    </w:p>
    <w:p w:rsidR="00000000" w:rsidRDefault="00000000">
      <w:r>
        <w:tab/>
        <w:t xml:space="preserve">119.  </w:t>
      </w:r>
      <w:r>
        <w:rPr>
          <w:rFonts w:hint="eastAsia"/>
        </w:rPr>
        <w:t>落实住房分配货币化</w:t>
      </w:r>
      <w:r>
        <w:t>，</w:t>
      </w:r>
      <w:r>
        <w:rPr>
          <w:rFonts w:hint="eastAsia"/>
        </w:rPr>
        <w:t>切实提高中低收入家庭的住房消费支付能力。对无房和住房未达标职工实行住房补贴</w:t>
      </w:r>
      <w:r>
        <w:t>，</w:t>
      </w:r>
      <w:r>
        <w:rPr>
          <w:rFonts w:hint="eastAsia"/>
        </w:rPr>
        <w:t>提高职工的支付能力。政府出台《个人住房贷款管理办法》、《住房公积金管理条例》</w:t>
      </w:r>
      <w:r>
        <w:t>，</w:t>
      </w:r>
      <w:r>
        <w:rPr>
          <w:rFonts w:hint="eastAsia"/>
        </w:rPr>
        <w:t>扩大贷款发放范围</w:t>
      </w:r>
      <w:r>
        <w:t>，</w:t>
      </w:r>
      <w:r>
        <w:rPr>
          <w:rFonts w:hint="eastAsia"/>
        </w:rPr>
        <w:t>取消规模限制</w:t>
      </w:r>
      <w:r>
        <w:t>，</w:t>
      </w:r>
      <w:r>
        <w:rPr>
          <w:rFonts w:hint="eastAsia"/>
        </w:rPr>
        <w:t>放宽贷款期限</w:t>
      </w:r>
      <w:r>
        <w:t>，</w:t>
      </w:r>
      <w:r>
        <w:rPr>
          <w:rFonts w:hint="eastAsia"/>
        </w:rPr>
        <w:t>鼓励发展公积金贷款与商业贷款的组合贷款</w:t>
      </w:r>
      <w:r>
        <w:t>，</w:t>
      </w:r>
      <w:r>
        <w:rPr>
          <w:rFonts w:hint="eastAsia"/>
        </w:rPr>
        <w:t>促进了个人住房贷款业务的增长。截至</w:t>
      </w:r>
      <w:r>
        <w:t>2002</w:t>
      </w:r>
      <w:r>
        <w:rPr>
          <w:rFonts w:hint="eastAsia"/>
        </w:rPr>
        <w:t>年</w:t>
      </w:r>
      <w:r>
        <w:t>9</w:t>
      </w:r>
      <w:r>
        <w:rPr>
          <w:rFonts w:hint="eastAsia"/>
        </w:rPr>
        <w:t>月底商业银行个人住房贷款余额达</w:t>
      </w:r>
      <w:r>
        <w:t>7589</w:t>
      </w:r>
      <w:r>
        <w:rPr>
          <w:rFonts w:hint="eastAsia"/>
        </w:rPr>
        <w:t>亿元</w:t>
      </w:r>
      <w:r>
        <w:t>，</w:t>
      </w:r>
      <w:r>
        <w:rPr>
          <w:rFonts w:hint="eastAsia"/>
        </w:rPr>
        <w:t>占全部贷款余额</w:t>
      </w:r>
      <w:r>
        <w:t>8.27%</w:t>
      </w:r>
      <w:r>
        <w:t>，</w:t>
      </w:r>
      <w:r>
        <w:rPr>
          <w:rFonts w:hint="eastAsia"/>
        </w:rPr>
        <w:t>是</w:t>
      </w:r>
      <w:r>
        <w:t>1997</w:t>
      </w:r>
      <w:r>
        <w:rPr>
          <w:rFonts w:hint="eastAsia"/>
        </w:rPr>
        <w:t>年的近</w:t>
      </w:r>
      <w:r>
        <w:t>40</w:t>
      </w:r>
      <w:r>
        <w:rPr>
          <w:rFonts w:hint="eastAsia"/>
        </w:rPr>
        <w:t>倍。按照“个人存储、单位资助、统一管理、专项使用”的原则</w:t>
      </w:r>
      <w:r>
        <w:t>，</w:t>
      </w:r>
      <w:r>
        <w:rPr>
          <w:rFonts w:hint="eastAsia"/>
        </w:rPr>
        <w:t>积极推行住房公积金制度。公积金累积归集额不断增加</w:t>
      </w:r>
      <w:r>
        <w:t>(</w:t>
      </w:r>
      <w:r>
        <w:rPr>
          <w:rFonts w:hint="eastAsia"/>
        </w:rPr>
        <w:t>见图</w:t>
      </w:r>
      <w:r>
        <w:rPr>
          <w:rFonts w:hint="eastAsia"/>
        </w:rPr>
        <w:t>4)</w:t>
      </w:r>
      <w:r>
        <w:rPr>
          <w:rFonts w:hint="eastAsia"/>
        </w:rPr>
        <w:t>。</w:t>
      </w:r>
    </w:p>
    <w:p w:rsidR="00000000" w:rsidRDefault="00000000">
      <w:r>
        <w:tab/>
        <w:t xml:space="preserve">120.  </w:t>
      </w:r>
      <w:r>
        <w:rPr>
          <w:rFonts w:hint="eastAsia"/>
        </w:rPr>
        <w:t>对居民家庭购买自用普通住宅</w:t>
      </w:r>
      <w:r>
        <w:t>，</w:t>
      </w:r>
      <w:r>
        <w:rPr>
          <w:rFonts w:hint="eastAsia"/>
        </w:rPr>
        <w:t>暂减半征收契税</w:t>
      </w:r>
      <w:r>
        <w:t>；</w:t>
      </w:r>
      <w:r>
        <w:rPr>
          <w:rFonts w:hint="eastAsia"/>
        </w:rPr>
        <w:t>对个人购买并居住超过</w:t>
      </w:r>
      <w:r>
        <w:t>1</w:t>
      </w:r>
      <w:r>
        <w:rPr>
          <w:rFonts w:hint="eastAsia"/>
        </w:rPr>
        <w:t>年的普通住宅，销售时免征营业税</w:t>
      </w:r>
      <w:r>
        <w:t>；</w:t>
      </w:r>
      <w:r>
        <w:rPr>
          <w:rFonts w:hint="eastAsia"/>
        </w:rPr>
        <w:t>个人购买并居住不足</w:t>
      </w:r>
      <w:r>
        <w:t>1</w:t>
      </w:r>
      <w:r>
        <w:rPr>
          <w:rFonts w:hint="eastAsia"/>
        </w:rPr>
        <w:t>年的普通住宅，销售时营业税按销售价减去购入原价后的差额计征；对个人转让自用</w:t>
      </w:r>
      <w:r>
        <w:t>5</w:t>
      </w:r>
      <w:r>
        <w:rPr>
          <w:rFonts w:hint="eastAsia"/>
        </w:rPr>
        <w:t>年以上，并且是家庭唯一生活用房取得的所得</w:t>
      </w:r>
      <w:r>
        <w:t>，</w:t>
      </w:r>
      <w:r>
        <w:rPr>
          <w:rFonts w:hint="eastAsia"/>
        </w:rPr>
        <w:t>免征个人所得税。大力发展住房消费服务</w:t>
      </w:r>
      <w:r>
        <w:t>，</w:t>
      </w:r>
      <w:r>
        <w:rPr>
          <w:rFonts w:hint="eastAsia"/>
        </w:rPr>
        <w:t>通过房屋置换、房屋租赁代理、贷款置业担保等</w:t>
      </w:r>
      <w:r>
        <w:t>，</w:t>
      </w:r>
      <w:r>
        <w:rPr>
          <w:rFonts w:hint="eastAsia"/>
        </w:rPr>
        <w:t>为中低收入家庭房屋买卖、房屋租赁提供全方位的服务。</w:t>
      </w:r>
    </w:p>
    <w:p w:rsidR="00000000" w:rsidRDefault="00000000">
      <w:r>
        <w:tab/>
        <w:t xml:space="preserve">121.  </w:t>
      </w:r>
      <w:r>
        <w:rPr>
          <w:rFonts w:hint="eastAsia"/>
        </w:rPr>
        <w:t>中国目前基本告别了住宅严重短缺时代</w:t>
      </w:r>
      <w:r>
        <w:t>，</w:t>
      </w:r>
      <w:r>
        <w:rPr>
          <w:rFonts w:hint="eastAsia"/>
        </w:rPr>
        <w:t>城镇居民的住房需求已由单纯的数量需求进入到数量和质量同时并重阶段。为提高住房质量，国家对住宅建设提出“全面规划、合理布局、综合开发、配套建设”的方针，先后出台《城市新建住宅小区管理办法》、《城市住宅小区竣工验收管理办法》、《国家康居示范工程实施大纲》、《提高住宅设计质量和加强住宅设计管理的若干意见》、《住宅设计规范》、《商品住宅性能认定管理办法》、《民用建筑工程室内环境污染控制规范》等政策法规</w:t>
      </w:r>
      <w:r>
        <w:t>，</w:t>
      </w:r>
      <w:r>
        <w:rPr>
          <w:rFonts w:hint="eastAsia"/>
        </w:rPr>
        <w:t>对住宅质量、商品房的配套设施提出具体要求。城镇住宅工程合格率稳步上升</w:t>
      </w:r>
      <w:r>
        <w:t>，</w:t>
      </w:r>
      <w:r>
        <w:rPr>
          <w:rFonts w:hint="eastAsia"/>
        </w:rPr>
        <w:t>质量水平逐年提高。住宅的规划设计水平</w:t>
      </w:r>
      <w:r>
        <w:t>，</w:t>
      </w:r>
      <w:r>
        <w:rPr>
          <w:rFonts w:hint="eastAsia"/>
        </w:rPr>
        <w:t>新技术、新成果应用水平</w:t>
      </w:r>
      <w:r>
        <w:t>，</w:t>
      </w:r>
      <w:r>
        <w:rPr>
          <w:rFonts w:hint="eastAsia"/>
        </w:rPr>
        <w:t>管理水平都有较大进步，对推动住宅整体水平提高起到了积极的带动作用。</w:t>
      </w:r>
    </w:p>
    <w:p w:rsidR="00000000" w:rsidRDefault="00000000">
      <w:r>
        <w:tab/>
        <w:t xml:space="preserve">122.  </w:t>
      </w:r>
      <w:r>
        <w:rPr>
          <w:rFonts w:hint="eastAsia"/>
        </w:rPr>
        <w:t>政府在综合开发中通过规划，要求开发企业在开发建设住宅的同时，配套建设必要的文化教育、卫生及其它设施</w:t>
      </w:r>
      <w:r>
        <w:t>，</w:t>
      </w:r>
      <w:r>
        <w:rPr>
          <w:rFonts w:hint="eastAsia"/>
        </w:rPr>
        <w:t>相应增加小区附近的公交站点。对于廉租房的居民而言</w:t>
      </w:r>
      <w:r>
        <w:t>，</w:t>
      </w:r>
      <w:r>
        <w:rPr>
          <w:rFonts w:hint="eastAsia"/>
        </w:rPr>
        <w:t>由于政府提供了适当的补贴，居民也可以根据需要选择适宜的地点居住。</w:t>
      </w:r>
      <w:r>
        <w:t>1996</w:t>
      </w:r>
      <w:r>
        <w:rPr>
          <w:rFonts w:hint="eastAsia"/>
        </w:rPr>
        <w:t>年以来</w:t>
      </w:r>
      <w:r>
        <w:t>，</w:t>
      </w:r>
      <w:r>
        <w:rPr>
          <w:rFonts w:hint="eastAsia"/>
        </w:rPr>
        <w:t>政府改革旧的居住区管理体制</w:t>
      </w:r>
      <w:r>
        <w:t>，</w:t>
      </w:r>
      <w:r>
        <w:rPr>
          <w:rFonts w:hint="eastAsia"/>
        </w:rPr>
        <w:t>推进业主自治与物业管理企业专业管理相结合的物业管理新体制</w:t>
      </w:r>
      <w:r>
        <w:t>，</w:t>
      </w:r>
      <w:r>
        <w:rPr>
          <w:rFonts w:hint="eastAsia"/>
        </w:rPr>
        <w:t>居住区物业管理蓬勃发展并取得了巨大的成就</w:t>
      </w:r>
      <w:r>
        <w:t>，</w:t>
      </w:r>
      <w:r>
        <w:rPr>
          <w:rFonts w:hint="eastAsia"/>
        </w:rPr>
        <w:t>广大人民的居住环境得到明显改善</w:t>
      </w:r>
      <w:r>
        <w:t>，</w:t>
      </w:r>
      <w:r>
        <w:rPr>
          <w:rFonts w:hint="eastAsia"/>
        </w:rPr>
        <w:t>生活质量得到明显提高。为充分体现居民权利，物业管理有关规定明确要求</w:t>
      </w:r>
      <w:r>
        <w:t>，</w:t>
      </w:r>
      <w:r>
        <w:rPr>
          <w:rFonts w:hint="eastAsia"/>
        </w:rPr>
        <w:t>新建住宅小区已交付使用的建筑面积达到</w:t>
      </w:r>
      <w:r>
        <w:t>50%</w:t>
      </w:r>
      <w:r>
        <w:rPr>
          <w:rFonts w:hint="eastAsia"/>
        </w:rPr>
        <w:t>以上或旧公房小区住房销售达到</w:t>
      </w:r>
      <w:r>
        <w:t>30%</w:t>
      </w:r>
      <w:r>
        <w:rPr>
          <w:rFonts w:hint="eastAsia"/>
        </w:rPr>
        <w:t>以上，政府主管部门应及时指导建立居住区业主委员会</w:t>
      </w:r>
      <w:r>
        <w:t>，</w:t>
      </w:r>
      <w:r>
        <w:rPr>
          <w:rFonts w:hint="eastAsia"/>
        </w:rPr>
        <w:t>代表业主行使监督权利。中国在提高居民居住水平的同时十分注重继承传统与创新的关系。在旧城改造中</w:t>
      </w:r>
      <w:r>
        <w:t>，</w:t>
      </w:r>
      <w:r>
        <w:rPr>
          <w:rFonts w:hint="eastAsia"/>
        </w:rPr>
        <w:t>对典型的、具有文化价值的宅院</w:t>
      </w:r>
      <w:r>
        <w:t>，</w:t>
      </w:r>
      <w:r>
        <w:rPr>
          <w:rFonts w:hint="eastAsia"/>
        </w:rPr>
        <w:t>尽可能成片保护</w:t>
      </w:r>
      <w:r>
        <w:t>，</w:t>
      </w:r>
      <w:r>
        <w:rPr>
          <w:rFonts w:hint="eastAsia"/>
        </w:rPr>
        <w:t>慎重地制定利用和改造方案。在居住区规划中也逐渐注意吸取传统民居的布局特点与外来建筑文化精髓</w:t>
      </w:r>
      <w:r>
        <w:t>，</w:t>
      </w:r>
      <w:r>
        <w:rPr>
          <w:rFonts w:hint="eastAsia"/>
        </w:rPr>
        <w:t>坚持融会贯通</w:t>
      </w:r>
      <w:r>
        <w:t>，</w:t>
      </w:r>
      <w:r>
        <w:rPr>
          <w:rFonts w:hint="eastAsia"/>
        </w:rPr>
        <w:t>为我所用</w:t>
      </w:r>
      <w:r>
        <w:t>，</w:t>
      </w:r>
      <w:r>
        <w:rPr>
          <w:rFonts w:hint="eastAsia"/>
        </w:rPr>
        <w:t>正在逐步形成有中国特色的住区文化。</w:t>
      </w:r>
    </w:p>
    <w:p w:rsidR="00000000" w:rsidRDefault="00000000">
      <w:r>
        <w:tab/>
        <w:t xml:space="preserve">123.  </w:t>
      </w:r>
      <w:r>
        <w:rPr>
          <w:rFonts w:hint="eastAsia"/>
        </w:rPr>
        <w:t>与发达国家相比</w:t>
      </w:r>
      <w:r>
        <w:t>，</w:t>
      </w:r>
      <w:r>
        <w:rPr>
          <w:rFonts w:hint="eastAsia"/>
        </w:rPr>
        <w:t>目前中国城镇居民住房水平还比较低</w:t>
      </w:r>
      <w:r>
        <w:t>，</w:t>
      </w:r>
      <w:r>
        <w:rPr>
          <w:rFonts w:hint="eastAsia"/>
        </w:rPr>
        <w:t>尚有</w:t>
      </w:r>
      <w:r>
        <w:t>1.5</w:t>
      </w:r>
      <w:r>
        <w:rPr>
          <w:rFonts w:hint="eastAsia"/>
        </w:rPr>
        <w:t>亿平方米危旧房屋需要改造。</w:t>
      </w:r>
      <w:r>
        <w:t>156</w:t>
      </w:r>
      <w:r>
        <w:rPr>
          <w:rFonts w:hint="eastAsia"/>
        </w:rPr>
        <w:t>万个家庭缺房</w:t>
      </w:r>
      <w:r>
        <w:t>，</w:t>
      </w:r>
      <w:r>
        <w:t>35</w:t>
      </w:r>
      <w:r>
        <w:rPr>
          <w:rFonts w:hint="eastAsia"/>
        </w:rPr>
        <w:t>万个家庭人均建筑面积在</w:t>
      </w:r>
      <w:r>
        <w:t>8</w:t>
      </w:r>
      <w:r>
        <w:rPr>
          <w:rFonts w:hint="eastAsia"/>
        </w:rPr>
        <w:t>平方米以下</w:t>
      </w:r>
      <w:r>
        <w:t>；</w:t>
      </w:r>
      <w:r>
        <w:rPr>
          <w:rFonts w:hint="eastAsia"/>
        </w:rPr>
        <w:t>住宅建设处于粗放型生产阶段</w:t>
      </w:r>
      <w:r>
        <w:t>，</w:t>
      </w:r>
      <w:r>
        <w:rPr>
          <w:rFonts w:hint="eastAsia"/>
        </w:rPr>
        <w:t>劳动生产率不及先进国家的五分之一。新型住宅建筑结构体系的建立</w:t>
      </w:r>
      <w:r>
        <w:t>，</w:t>
      </w:r>
      <w:r>
        <w:rPr>
          <w:rFonts w:hint="eastAsia"/>
        </w:rPr>
        <w:t>以墙体材料为主的住宅传统材料的更新</w:t>
      </w:r>
      <w:r>
        <w:t>，</w:t>
      </w:r>
      <w:r>
        <w:rPr>
          <w:rFonts w:hint="eastAsia"/>
        </w:rPr>
        <w:t>高效能住宅的成套供应等</w:t>
      </w:r>
      <w:r>
        <w:t>，</w:t>
      </w:r>
      <w:r>
        <w:rPr>
          <w:rFonts w:hint="eastAsia"/>
        </w:rPr>
        <w:t>都需加快发展与提高</w:t>
      </w:r>
      <w:r>
        <w:t>。</w:t>
      </w:r>
      <w:r>
        <w:rPr>
          <w:rFonts w:hint="eastAsia"/>
        </w:rPr>
        <w:t>因此，改善中低收入家庭的住房条件、推进住宅建设科技进步，构建住宅产业现代化体系</w:t>
      </w:r>
      <w:r>
        <w:t>，</w:t>
      </w:r>
      <w:r>
        <w:rPr>
          <w:rFonts w:hint="eastAsia"/>
        </w:rPr>
        <w:t>提高住宅质量</w:t>
      </w:r>
      <w:r>
        <w:t>，</w:t>
      </w:r>
      <w:r>
        <w:rPr>
          <w:rFonts w:hint="eastAsia"/>
        </w:rPr>
        <w:t>已成为住宅建设发展的迫切任务。未来中国住宅建设仍将保持较快增长。“</w:t>
      </w:r>
      <w:r>
        <w:t>十五</w:t>
      </w:r>
      <w:r>
        <w:rPr>
          <w:rFonts w:hint="eastAsia"/>
        </w:rPr>
        <w:t>”期间</w:t>
      </w:r>
      <w:r>
        <w:t>，</w:t>
      </w:r>
      <w:r>
        <w:rPr>
          <w:rFonts w:hint="eastAsia"/>
        </w:rPr>
        <w:t>全国城乡住宅预计竣工面积总量将达</w:t>
      </w:r>
      <w:r>
        <w:t>57</w:t>
      </w:r>
      <w:r>
        <w:rPr>
          <w:rFonts w:hint="eastAsia"/>
        </w:rPr>
        <w:t>亿平方米</w:t>
      </w:r>
      <w:r>
        <w:t>；</w:t>
      </w:r>
      <w:r>
        <w:t>2005</w:t>
      </w:r>
      <w:r>
        <w:rPr>
          <w:rFonts w:hint="eastAsia"/>
        </w:rPr>
        <w:t>年城镇居民人均住宅建筑面积将增至</w:t>
      </w:r>
      <w:r>
        <w:t>23</w:t>
      </w:r>
      <w:r>
        <w:rPr>
          <w:rFonts w:hint="eastAsia"/>
        </w:rPr>
        <w:t>平方米。</w:t>
      </w:r>
    </w:p>
    <w:p w:rsidR="00000000" w:rsidRDefault="00000000">
      <w:r>
        <w:tab/>
        <w:t xml:space="preserve">124.  </w:t>
      </w:r>
      <w:r>
        <w:rPr>
          <w:rFonts w:hint="eastAsia"/>
        </w:rPr>
        <w:t>继续大力发展适应中低收入家庭的住房。对经济适用住房建设要保证划拨土地的供应</w:t>
      </w:r>
      <w:r>
        <w:t>，</w:t>
      </w:r>
      <w:r>
        <w:rPr>
          <w:rFonts w:hint="eastAsia"/>
        </w:rPr>
        <w:t>落实配套费用和各项行政事业性收费的减免政策</w:t>
      </w:r>
      <w:r>
        <w:t>，</w:t>
      </w:r>
      <w:r>
        <w:rPr>
          <w:rFonts w:hint="eastAsia"/>
        </w:rPr>
        <w:t>降低建造成本</w:t>
      </w:r>
      <w:r>
        <w:t>，</w:t>
      </w:r>
      <w:r>
        <w:rPr>
          <w:rFonts w:hint="eastAsia"/>
        </w:rPr>
        <w:t>适应中低收入家庭购房能力。规范发展集资合作建房</w:t>
      </w:r>
      <w:r>
        <w:t>，</w:t>
      </w:r>
      <w:r>
        <w:rPr>
          <w:rFonts w:hint="eastAsia"/>
        </w:rPr>
        <w:t>鼓励困难企业、独立工矿区利用自用土地</w:t>
      </w:r>
      <w:r>
        <w:t>，</w:t>
      </w:r>
      <w:r>
        <w:rPr>
          <w:rFonts w:hint="eastAsia"/>
        </w:rPr>
        <w:t>在符合城市规划的前提下</w:t>
      </w:r>
      <w:r>
        <w:t>，</w:t>
      </w:r>
      <w:r>
        <w:rPr>
          <w:rFonts w:hint="eastAsia"/>
        </w:rPr>
        <w:t>组织职工集资建房，多渠道解决职工住房困难。完善廉租住房制度</w:t>
      </w:r>
      <w:r>
        <w:t>，</w:t>
      </w:r>
      <w:r>
        <w:rPr>
          <w:rFonts w:hint="eastAsia"/>
        </w:rPr>
        <w:t>切实落实资金，加快解决最低收入家庭的住房困难。加大对危旧房屋的改造的支持力度。通过房地产开发、成立住宅合作社等多种方式推进危旧房屋的改造。进一步搞活房地产市场。进一步降低存量住房的入市门槛</w:t>
      </w:r>
      <w:r>
        <w:t>，</w:t>
      </w:r>
      <w:r>
        <w:rPr>
          <w:rFonts w:hint="eastAsia"/>
        </w:rPr>
        <w:t>合理调整出售住房收益分配办法</w:t>
      </w:r>
      <w:r>
        <w:t>，</w:t>
      </w:r>
      <w:r>
        <w:rPr>
          <w:rFonts w:hint="eastAsia"/>
        </w:rPr>
        <w:t>鼓励居民通过换购住房改善住房条件。规范发展住房金融</w:t>
      </w:r>
      <w:r>
        <w:t>，</w:t>
      </w:r>
      <w:r>
        <w:rPr>
          <w:rFonts w:hint="eastAsia"/>
        </w:rPr>
        <w:t>完善住房公积金制度。进一步创新个人住房贷款品种</w:t>
      </w:r>
      <w:r>
        <w:t>，</w:t>
      </w:r>
      <w:r>
        <w:rPr>
          <w:rFonts w:hint="eastAsia"/>
        </w:rPr>
        <w:t>完善住房保险政策并加快建立全国性的个人住房贷款担保体制</w:t>
      </w:r>
      <w:r>
        <w:t>，</w:t>
      </w:r>
      <w:r>
        <w:rPr>
          <w:rFonts w:hint="eastAsia"/>
        </w:rPr>
        <w:t>健全个人住房贷款风险防范机制</w:t>
      </w:r>
      <w:r>
        <w:t>，</w:t>
      </w:r>
      <w:r>
        <w:rPr>
          <w:rFonts w:hint="eastAsia"/>
        </w:rPr>
        <w:t>促进住房个贷业务的进一步发展。</w:t>
      </w:r>
    </w:p>
    <w:p w:rsidR="00000000" w:rsidRDefault="00000000">
      <w:r>
        <w:tab/>
        <w:t xml:space="preserve">125.  </w:t>
      </w:r>
      <w:r>
        <w:rPr>
          <w:rFonts w:hint="eastAsia"/>
        </w:rPr>
        <w:t>积极推进《住宅法》起草工作。中国正在起草的首部《住宅法》主要包括保证居民的居住权、财产权以及由此产生的使用权、经营权、处置权和收益权等权利保障等内容。</w:t>
      </w:r>
    </w:p>
    <w:p w:rsidR="00000000" w:rsidRDefault="00000000">
      <w:r>
        <w:tab/>
        <w:t xml:space="preserve">126.  </w:t>
      </w:r>
      <w:r>
        <w:rPr>
          <w:rFonts w:hint="eastAsia"/>
        </w:rPr>
        <w:t>关于粮食权利</w:t>
      </w:r>
      <w:r>
        <w:t>，</w:t>
      </w:r>
      <w:r>
        <w:rPr>
          <w:rFonts w:hint="eastAsia"/>
        </w:rPr>
        <w:t>中国一贯把农业作为国民经济的基础。改革开放以来</w:t>
      </w:r>
      <w:r>
        <w:t>，</w:t>
      </w:r>
      <w:r>
        <w:rPr>
          <w:rFonts w:hint="eastAsia"/>
        </w:rPr>
        <w:t>中国政府稳定和完善家庭承包经营制度</w:t>
      </w:r>
      <w:r>
        <w:t>，</w:t>
      </w:r>
      <w:r>
        <w:rPr>
          <w:rFonts w:hint="eastAsia"/>
        </w:rPr>
        <w:t>发展乡镇企业</w:t>
      </w:r>
      <w:r>
        <w:t>，</w:t>
      </w:r>
      <w:r>
        <w:rPr>
          <w:rFonts w:hint="eastAsia"/>
        </w:rPr>
        <w:t>逐步调整和优化农业结构</w:t>
      </w:r>
      <w:r>
        <w:t>，</w:t>
      </w:r>
      <w:r>
        <w:rPr>
          <w:rFonts w:hint="eastAsia"/>
        </w:rPr>
        <w:t>加大对农业的投入</w:t>
      </w:r>
      <w:r>
        <w:t>，</w:t>
      </w:r>
      <w:r>
        <w:rPr>
          <w:rFonts w:hint="eastAsia"/>
        </w:rPr>
        <w:t>实施农业可持续发展战略</w:t>
      </w:r>
      <w:r>
        <w:t>，</w:t>
      </w:r>
      <w:r>
        <w:rPr>
          <w:rFonts w:hint="eastAsia"/>
        </w:rPr>
        <w:t>在发展粮食生产、减少贫困人口等方面采取了卓有成效的措施</w:t>
      </w:r>
      <w:r>
        <w:t>，</w:t>
      </w:r>
      <w:r>
        <w:rPr>
          <w:rFonts w:hint="eastAsia"/>
        </w:rPr>
        <w:t>履行了一个发展中人口大国为维护世界人民粮食权利应尽的责任</w:t>
      </w:r>
      <w:r>
        <w:t>，</w:t>
      </w:r>
      <w:r>
        <w:rPr>
          <w:rFonts w:hint="eastAsia"/>
        </w:rPr>
        <w:t>取得举世瞩目的成就。</w:t>
      </w:r>
    </w:p>
    <w:p w:rsidR="00000000" w:rsidRDefault="00000000">
      <w:r>
        <w:tab/>
        <w:t xml:space="preserve">127.  </w:t>
      </w:r>
      <w:r>
        <w:rPr>
          <w:rFonts w:hint="eastAsia"/>
        </w:rPr>
        <w:t>中国政府认真执行</w:t>
      </w:r>
      <w:r>
        <w:t>1994</w:t>
      </w:r>
      <w:r>
        <w:rPr>
          <w:rFonts w:hint="eastAsia"/>
        </w:rPr>
        <w:t>年颁布的《基本农田保护条例》</w:t>
      </w:r>
      <w:r>
        <w:t>，</w:t>
      </w:r>
      <w:r>
        <w:rPr>
          <w:rFonts w:hint="eastAsia"/>
        </w:rPr>
        <w:t>建立了“基本农田保护区”。规定基本农田必须占各省、自治区、直辖市行政区域内耕地的</w:t>
      </w:r>
      <w:r>
        <w:t>80%</w:t>
      </w:r>
      <w:r>
        <w:rPr>
          <w:rFonts w:hint="eastAsia"/>
        </w:rPr>
        <w:t>以上。基本农田保护区依法划定以后</w:t>
      </w:r>
      <w:r>
        <w:t>，</w:t>
      </w:r>
      <w:r>
        <w:rPr>
          <w:rFonts w:hint="eastAsia"/>
        </w:rPr>
        <w:t>实行严格管理</w:t>
      </w:r>
      <w:r>
        <w:t>，</w:t>
      </w:r>
      <w:r>
        <w:rPr>
          <w:rFonts w:hint="eastAsia"/>
        </w:rPr>
        <w:t>除因法定事由经国务院批准方可占用外</w:t>
      </w:r>
      <w:r>
        <w:t>，</w:t>
      </w:r>
      <w:r>
        <w:rPr>
          <w:rFonts w:hint="eastAsia"/>
        </w:rPr>
        <w:t>任何单位和个人都不能改变或者占用。</w:t>
      </w:r>
    </w:p>
    <w:p w:rsidR="00000000" w:rsidRDefault="00000000">
      <w:r>
        <w:tab/>
        <w:t xml:space="preserve">128.  </w:t>
      </w:r>
      <w:r>
        <w:rPr>
          <w:rFonts w:hint="eastAsia"/>
        </w:rPr>
        <w:t>国家持续增加农业投入</w:t>
      </w:r>
      <w:r>
        <w:t>，</w:t>
      </w:r>
      <w:r>
        <w:rPr>
          <w:rFonts w:hint="eastAsia"/>
        </w:rPr>
        <w:t>进一步改善农业生产条件。政府对农业的投入主要用于大江大河治理、农产品商品基地建设、农业综合开发、农业基础设施建设、农业科研、教育、技术推广体系建设等。</w:t>
      </w:r>
      <w:r>
        <w:t>1999</w:t>
      </w:r>
      <w:r>
        <w:rPr>
          <w:rFonts w:hint="eastAsia"/>
        </w:rPr>
        <w:t>年</w:t>
      </w:r>
      <w:r>
        <w:t>，</w:t>
      </w:r>
      <w:r>
        <w:rPr>
          <w:rFonts w:hint="eastAsia"/>
        </w:rPr>
        <w:t>国家财政用于农业的支出为</w:t>
      </w:r>
      <w:r>
        <w:t>1085.76</w:t>
      </w:r>
      <w:r>
        <w:rPr>
          <w:rFonts w:hint="eastAsia"/>
        </w:rPr>
        <w:t>亿元</w:t>
      </w:r>
      <w:r>
        <w:t>，</w:t>
      </w:r>
      <w:r>
        <w:rPr>
          <w:rFonts w:hint="eastAsia"/>
        </w:rPr>
        <w:t>是</w:t>
      </w:r>
      <w:r>
        <w:t>1995</w:t>
      </w:r>
      <w:r>
        <w:rPr>
          <w:rFonts w:hint="eastAsia"/>
        </w:rPr>
        <w:t>年的</w:t>
      </w:r>
      <w:r>
        <w:t>1.9</w:t>
      </w:r>
      <w:r>
        <w:rPr>
          <w:rFonts w:hint="eastAsia"/>
        </w:rPr>
        <w:t>倍。各级政府积极探索多渠道、多形式增加农业资金的方式和途径。</w:t>
      </w:r>
      <w:r>
        <w:t>1999</w:t>
      </w:r>
      <w:r>
        <w:rPr>
          <w:rFonts w:hint="eastAsia"/>
        </w:rPr>
        <w:t>年中央在新增的</w:t>
      </w:r>
      <w:r>
        <w:t>1100</w:t>
      </w:r>
      <w:r>
        <w:rPr>
          <w:rFonts w:hint="eastAsia"/>
        </w:rPr>
        <w:t>亿元财政国债中</w:t>
      </w:r>
      <w:r>
        <w:t>，</w:t>
      </w:r>
      <w:r>
        <w:rPr>
          <w:rFonts w:hint="eastAsia"/>
        </w:rPr>
        <w:t>有</w:t>
      </w:r>
      <w:r>
        <w:t>375</w:t>
      </w:r>
      <w:r>
        <w:rPr>
          <w:rFonts w:hint="eastAsia"/>
        </w:rPr>
        <w:t>亿元用于改善农业生产条件和水利设施、保护天然林、治理生态环境、节水灌溉工程等。</w:t>
      </w:r>
    </w:p>
    <w:p w:rsidR="00000000" w:rsidRDefault="00000000">
      <w:r>
        <w:tab/>
        <w:t>129.  1996</w:t>
      </w:r>
      <w:r>
        <w:rPr>
          <w:rFonts w:hint="eastAsia"/>
        </w:rPr>
        <w:t>年以来</w:t>
      </w:r>
      <w:r>
        <w:t>，</w:t>
      </w:r>
      <w:r>
        <w:rPr>
          <w:rFonts w:hint="eastAsia"/>
        </w:rPr>
        <w:t>受宏观经济环境的影响</w:t>
      </w:r>
      <w:r>
        <w:t>，</w:t>
      </w:r>
      <w:r>
        <w:rPr>
          <w:rFonts w:hint="eastAsia"/>
        </w:rPr>
        <w:t>农产品的需求制约问题开始凸现</w:t>
      </w:r>
      <w:r>
        <w:t>，</w:t>
      </w:r>
      <w:r>
        <w:rPr>
          <w:rFonts w:hint="eastAsia"/>
        </w:rPr>
        <w:t>农产品总量的扩张已不能为农民创造更多的就业机会和收入来源</w:t>
      </w:r>
      <w:r>
        <w:t>，</w:t>
      </w:r>
      <w:r>
        <w:rPr>
          <w:rFonts w:hint="eastAsia"/>
        </w:rPr>
        <w:t>农业增产不增收、或增产与增收严重不同步的矛盾比较突出</w:t>
      </w:r>
      <w:r>
        <w:t>。</w:t>
      </w:r>
      <w:r>
        <w:rPr>
          <w:rFonts w:hint="eastAsia"/>
        </w:rPr>
        <w:t>为此</w:t>
      </w:r>
      <w:r>
        <w:t>，</w:t>
      </w:r>
      <w:r>
        <w:t>1999</w:t>
      </w:r>
      <w:r>
        <w:rPr>
          <w:rFonts w:hint="eastAsia"/>
        </w:rPr>
        <w:t>年中国政府着手进行新一轮农业结构调整。目前</w:t>
      </w:r>
      <w:r>
        <w:t>，</w:t>
      </w:r>
      <w:r>
        <w:rPr>
          <w:rFonts w:hint="eastAsia"/>
        </w:rPr>
        <w:t>农业和农村经济结构的战略性调整取得显著成效。</w:t>
      </w:r>
    </w:p>
    <w:p w:rsidR="00000000" w:rsidRDefault="00000000">
      <w:r>
        <w:tab/>
        <w:t xml:space="preserve">130.  </w:t>
      </w:r>
      <w:r>
        <w:rPr>
          <w:rFonts w:hint="eastAsia"/>
        </w:rPr>
        <w:t>各地在注重保持粮食生产能力的同时</w:t>
      </w:r>
      <w:r>
        <w:t>，</w:t>
      </w:r>
      <w:r>
        <w:rPr>
          <w:rFonts w:hint="eastAsia"/>
        </w:rPr>
        <w:t>积极发展高效经济作物和饲料作物。种植业开始形成粮食作物、经济作物和饲料作物协调发展的基本格局</w:t>
      </w:r>
      <w:r>
        <w:t>，</w:t>
      </w:r>
      <w:r>
        <w:rPr>
          <w:rFonts w:hint="eastAsia"/>
        </w:rPr>
        <w:t>尤其是蔬菜、水果、花卉等劳动密集型产业发展迅速，成为农民收入新的增长点。各地抓住粮食供给充足的有利时机，加快发展畜牧、水产养殖业</w:t>
      </w:r>
      <w:r>
        <w:t>，</w:t>
      </w:r>
      <w:r>
        <w:rPr>
          <w:rFonts w:hint="eastAsia"/>
        </w:rPr>
        <w:t>为保证市场供应、增加农民收入发挥了重要作用。各地把提高农产品质量、发展适销对路的优质专用农产品生产作为农业结构调整的重点</w:t>
      </w:r>
      <w:r>
        <w:t>，</w:t>
      </w:r>
      <w:r>
        <w:rPr>
          <w:rFonts w:hint="eastAsia"/>
        </w:rPr>
        <w:t>发展优质专用品种</w:t>
      </w:r>
      <w:r>
        <w:t>，</w:t>
      </w:r>
      <w:r>
        <w:rPr>
          <w:rFonts w:hint="eastAsia"/>
        </w:rPr>
        <w:t>培育名牌农产品。目前全国优质稻种植面积已达</w:t>
      </w:r>
      <w:r>
        <w:t>2.5</w:t>
      </w:r>
      <w:r>
        <w:rPr>
          <w:rFonts w:hint="eastAsia"/>
        </w:rPr>
        <w:t>亿亩</w:t>
      </w:r>
      <w:r>
        <w:t>(</w:t>
      </w:r>
      <w:r>
        <w:rPr>
          <w:rFonts w:hint="eastAsia"/>
        </w:rPr>
        <w:t>1</w:t>
      </w:r>
      <w:r>
        <w:rPr>
          <w:rFonts w:hint="eastAsia"/>
        </w:rPr>
        <w:t>亩等于</w:t>
      </w:r>
      <w:r>
        <w:rPr>
          <w:rFonts w:hint="eastAsia"/>
        </w:rPr>
        <w:t>0.0667</w:t>
      </w:r>
      <w:r>
        <w:rPr>
          <w:rFonts w:hint="eastAsia"/>
        </w:rPr>
        <w:t>公顷</w:t>
      </w:r>
      <w:r>
        <w:rPr>
          <w:rFonts w:hint="eastAsia"/>
        </w:rPr>
        <w:t>)</w:t>
      </w:r>
      <w:r>
        <w:t>，</w:t>
      </w:r>
      <w:r>
        <w:rPr>
          <w:rFonts w:hint="eastAsia"/>
        </w:rPr>
        <w:t>超过水稻总面积的一半</w:t>
      </w:r>
      <w:r>
        <w:t>；</w:t>
      </w:r>
      <w:r>
        <w:rPr>
          <w:rFonts w:hint="eastAsia"/>
        </w:rPr>
        <w:t>优质专用小麦达</w:t>
      </w:r>
      <w:r>
        <w:t>1.09</w:t>
      </w:r>
      <w:r>
        <w:rPr>
          <w:rFonts w:hint="eastAsia"/>
        </w:rPr>
        <w:t>亿亩</w:t>
      </w:r>
      <w:r>
        <w:t>，</w:t>
      </w:r>
      <w:r>
        <w:rPr>
          <w:rFonts w:hint="eastAsia"/>
        </w:rPr>
        <w:t>占小麦总面积的</w:t>
      </w:r>
      <w:r>
        <w:t>31%</w:t>
      </w:r>
      <w:r>
        <w:t>，</w:t>
      </w:r>
      <w:r>
        <w:rPr>
          <w:rFonts w:hint="eastAsia"/>
        </w:rPr>
        <w:t>初步扭转了加工专用小麦多年来主要依靠进口的局面</w:t>
      </w:r>
      <w:r>
        <w:t>；</w:t>
      </w:r>
      <w:r>
        <w:rPr>
          <w:rFonts w:hint="eastAsia"/>
        </w:rPr>
        <w:t>优质油菜籽种植面积达</w:t>
      </w:r>
      <w:r>
        <w:t>7100</w:t>
      </w:r>
      <w:r>
        <w:rPr>
          <w:rFonts w:hint="eastAsia"/>
        </w:rPr>
        <w:t>万亩</w:t>
      </w:r>
      <w:r>
        <w:t>，</w:t>
      </w:r>
      <w:r>
        <w:rPr>
          <w:rFonts w:hint="eastAsia"/>
        </w:rPr>
        <w:t>占总面积</w:t>
      </w:r>
      <w:r>
        <w:t>62%</w:t>
      </w:r>
      <w:r>
        <w:t>；</w:t>
      </w:r>
      <w:r>
        <w:rPr>
          <w:rFonts w:hint="eastAsia"/>
        </w:rPr>
        <w:t>高油、高蛋白专用玉米种植面积达</w:t>
      </w:r>
      <w:r>
        <w:t>8900</w:t>
      </w:r>
      <w:r>
        <w:rPr>
          <w:rFonts w:hint="eastAsia"/>
        </w:rPr>
        <w:t>万亩；畜禽、水产、果菜等鲜活农产品的优质率也有很大提高。农产品的安全卫生越来越受到各方面的重视</w:t>
      </w:r>
      <w:r>
        <w:t>，</w:t>
      </w:r>
      <w:r>
        <w:rPr>
          <w:rFonts w:hint="eastAsia"/>
        </w:rPr>
        <w:t>无公害食品、绿色食品和有机食品发展很快。各地突出当地农业发展的资源与区位优势</w:t>
      </w:r>
      <w:r>
        <w:t>，</w:t>
      </w:r>
      <w:r>
        <w:rPr>
          <w:rFonts w:hint="eastAsia"/>
        </w:rPr>
        <w:t>确立区域发展重点和支柱产业</w:t>
      </w:r>
      <w:r>
        <w:t>，</w:t>
      </w:r>
      <w:r>
        <w:rPr>
          <w:rFonts w:hint="eastAsia"/>
        </w:rPr>
        <w:t>农业区域化布局、专业化分工和社会化生产的趋势逐步显现。长江流域的水稻面积已经占全国的</w:t>
      </w:r>
      <w:r>
        <w:t>65.7%</w:t>
      </w:r>
      <w:r>
        <w:rPr>
          <w:rFonts w:hint="eastAsia"/>
        </w:rPr>
        <w:t>，黄淮海平原的小麦面积占全国</w:t>
      </w:r>
      <w:r>
        <w:t>60%</w:t>
      </w:r>
      <w:r>
        <w:rPr>
          <w:rFonts w:hint="eastAsia"/>
        </w:rPr>
        <w:t>，东北地区和冀、鲁、豫三省的玉米面积占全国</w:t>
      </w:r>
      <w:r>
        <w:t>55%</w:t>
      </w:r>
      <w:r>
        <w:rPr>
          <w:rFonts w:hint="eastAsia"/>
        </w:rPr>
        <w:t>。油料作物也初步形成长江流域油菜、黄淮海地区花生、东北地区大豆的生产布局。</w:t>
      </w:r>
    </w:p>
    <w:p w:rsidR="00000000" w:rsidRDefault="00000000">
      <w:r>
        <w:tab/>
        <w:t xml:space="preserve">131.  </w:t>
      </w:r>
      <w:r>
        <w:rPr>
          <w:rFonts w:hint="eastAsia"/>
        </w:rPr>
        <w:t>近年来</w:t>
      </w:r>
      <w:r>
        <w:t>，</w:t>
      </w:r>
      <w:r>
        <w:rPr>
          <w:rFonts w:hint="eastAsia"/>
        </w:rPr>
        <w:t>中国政府改革粮食流通体制</w:t>
      </w:r>
      <w:r>
        <w:t>，</w:t>
      </w:r>
      <w:r>
        <w:rPr>
          <w:rFonts w:hint="eastAsia"/>
        </w:rPr>
        <w:t>按保护价敞开收购农民余粮，粮食收购企业实行顺价销售，粮食收购资金封闭运营和加快粮食企业自身改革。</w:t>
      </w:r>
      <w:r>
        <w:t>2001</w:t>
      </w:r>
      <w:r>
        <w:rPr>
          <w:rFonts w:hint="eastAsia"/>
        </w:rPr>
        <w:t>年又进一步深化改革</w:t>
      </w:r>
      <w:r>
        <w:t>，</w:t>
      </w:r>
      <w:r>
        <w:rPr>
          <w:rFonts w:hint="eastAsia"/>
        </w:rPr>
        <w:t>出台了“放开销区、保护产区、省长负责</w:t>
      </w:r>
      <w:r>
        <w:t>，</w:t>
      </w:r>
      <w:r>
        <w:rPr>
          <w:rFonts w:hint="eastAsia"/>
        </w:rPr>
        <w:t>加强调控”等措施</w:t>
      </w:r>
      <w:r>
        <w:t>，</w:t>
      </w:r>
      <w:r>
        <w:rPr>
          <w:rFonts w:hint="eastAsia"/>
        </w:rPr>
        <w:t>对稳定粮食生产</w:t>
      </w:r>
      <w:r>
        <w:t>，</w:t>
      </w:r>
      <w:r>
        <w:rPr>
          <w:rFonts w:hint="eastAsia"/>
        </w:rPr>
        <w:t>确保粮食安全起到积极作用。</w:t>
      </w:r>
      <w:r>
        <w:t>20</w:t>
      </w:r>
      <w:r>
        <w:rPr>
          <w:rFonts w:hint="eastAsia"/>
        </w:rPr>
        <w:t>世纪</w:t>
      </w:r>
      <w:r>
        <w:t>90</w:t>
      </w:r>
      <w:r>
        <w:rPr>
          <w:rFonts w:hint="eastAsia"/>
        </w:rPr>
        <w:t>年代以来</w:t>
      </w:r>
      <w:r>
        <w:t>，</w:t>
      </w:r>
      <w:r>
        <w:rPr>
          <w:rFonts w:hint="eastAsia"/>
        </w:rPr>
        <w:t>中国政府主动适应农业贸易自由化进程</w:t>
      </w:r>
      <w:r>
        <w:t>，</w:t>
      </w:r>
      <w:r>
        <w:rPr>
          <w:rFonts w:hint="eastAsia"/>
        </w:rPr>
        <w:t>改革农产品进出口贸易体制。在削减农产品非关税壁垒</w:t>
      </w:r>
      <w:r>
        <w:t>，</w:t>
      </w:r>
      <w:r>
        <w:rPr>
          <w:rFonts w:hint="eastAsia"/>
        </w:rPr>
        <w:t>按</w:t>
      </w:r>
      <w:r>
        <w:t>WT</w:t>
      </w:r>
      <w:r>
        <w:rPr>
          <w:rFonts w:hint="eastAsia"/>
        </w:rPr>
        <w:t>O</w:t>
      </w:r>
      <w:r>
        <w:rPr>
          <w:rFonts w:hint="eastAsia"/>
        </w:rPr>
        <w:t>规则清理和修改国内农业法律法规</w:t>
      </w:r>
      <w:r>
        <w:t>，</w:t>
      </w:r>
      <w:r>
        <w:rPr>
          <w:rFonts w:hint="eastAsia"/>
        </w:rPr>
        <w:t>遵循国际规则管理农产品对外贸易等方面都取得重要进展。</w:t>
      </w:r>
    </w:p>
    <w:p w:rsidR="00000000" w:rsidRDefault="00000000">
      <w:r>
        <w:tab/>
        <w:t xml:space="preserve">132.  </w:t>
      </w:r>
      <w:r>
        <w:rPr>
          <w:rFonts w:hint="eastAsia"/>
        </w:rPr>
        <w:t>一些地区由于土地过度开垦和草原过度放牧</w:t>
      </w:r>
      <w:r>
        <w:t>，</w:t>
      </w:r>
      <w:r>
        <w:rPr>
          <w:rFonts w:hint="eastAsia"/>
        </w:rPr>
        <w:t>破坏了局部生态平衡，造成沙漠化、水土流失和土地盐碱化等。这些人为引发的灾害连同自然灾害一起</w:t>
      </w:r>
      <w:r>
        <w:t>，</w:t>
      </w:r>
      <w:r>
        <w:rPr>
          <w:rFonts w:hint="eastAsia"/>
        </w:rPr>
        <w:t>对中国农业的可持续发展造成了危害。中国政府采取一系列政策和措施来扼制、抵御和防范灾害</w:t>
      </w:r>
      <w:r>
        <w:t>，</w:t>
      </w:r>
      <w:r>
        <w:rPr>
          <w:rFonts w:hint="eastAsia"/>
        </w:rPr>
        <w:t>加强农业资源和环境保护</w:t>
      </w:r>
      <w:r>
        <w:t>，</w:t>
      </w:r>
      <w:r>
        <w:rPr>
          <w:rFonts w:hint="eastAsia"/>
        </w:rPr>
        <w:t>提高农业生产抗灾害能力</w:t>
      </w:r>
      <w:r>
        <w:t>，</w:t>
      </w:r>
      <w:r>
        <w:rPr>
          <w:rFonts w:hint="eastAsia"/>
        </w:rPr>
        <w:t>促进农业发展与资源环境保护的良性循环。</w:t>
      </w:r>
    </w:p>
    <w:p w:rsidR="00000000" w:rsidRDefault="00000000">
      <w:r>
        <w:tab/>
        <w:t xml:space="preserve">133.  </w:t>
      </w:r>
      <w:r>
        <w:rPr>
          <w:rFonts w:hint="eastAsia"/>
        </w:rPr>
        <w:t>全国各地因地制宜</w:t>
      </w:r>
      <w:r>
        <w:t>，</w:t>
      </w:r>
      <w:r>
        <w:rPr>
          <w:rFonts w:hint="eastAsia"/>
        </w:rPr>
        <w:t>建设了一大批水利工程</w:t>
      </w:r>
      <w:r>
        <w:t>，</w:t>
      </w:r>
      <w:r>
        <w:rPr>
          <w:rFonts w:hint="eastAsia"/>
        </w:rPr>
        <w:t>缓解水资源区域、季节分布不均问题。广泛开展农田水利基本建设</w:t>
      </w:r>
      <w:r>
        <w:t>，</w:t>
      </w:r>
      <w:r>
        <w:rPr>
          <w:rFonts w:hint="eastAsia"/>
        </w:rPr>
        <w:t>增加有效灌溉面积。大力发展节水灌溉和旱作农业</w:t>
      </w:r>
      <w:r>
        <w:t>，</w:t>
      </w:r>
      <w:r>
        <w:rPr>
          <w:rFonts w:hint="eastAsia"/>
        </w:rPr>
        <w:t>提高灌溉水有效利用率和自然降水的有效利用率。积极推广主要农作物的病虫害综合防治技术，果树、蔬菜无害化治理技术、蝗虫生态控制和生物防治技术。累计综合治理水土流失面积</w:t>
      </w:r>
      <w:r>
        <w:t>83</w:t>
      </w:r>
      <w:r>
        <w:rPr>
          <w:rFonts w:hint="eastAsia"/>
        </w:rPr>
        <w:t>万平方公里。重点治理区已覆盖</w:t>
      </w:r>
      <w:r>
        <w:t>26</w:t>
      </w:r>
      <w:r>
        <w:rPr>
          <w:rFonts w:hint="eastAsia"/>
        </w:rPr>
        <w:t>个省、</w:t>
      </w:r>
      <w:r>
        <w:t>910</w:t>
      </w:r>
      <w:r>
        <w:rPr>
          <w:rFonts w:hint="eastAsia"/>
        </w:rPr>
        <w:t>个县</w:t>
      </w:r>
      <w:r>
        <w:t>，</w:t>
      </w:r>
      <w:r>
        <w:rPr>
          <w:rFonts w:hint="eastAsia"/>
        </w:rPr>
        <w:t>总面积达</w:t>
      </w:r>
      <w:r>
        <w:t>168</w:t>
      </w:r>
      <w:r>
        <w:rPr>
          <w:rFonts w:hint="eastAsia"/>
        </w:rPr>
        <w:t>万平方公里。禁止开垦和破坏草原</w:t>
      </w:r>
      <w:r>
        <w:t>。</w:t>
      </w:r>
      <w:r>
        <w:rPr>
          <w:rFonts w:hint="eastAsia"/>
        </w:rPr>
        <w:t>草原少量开垦</w:t>
      </w:r>
      <w:r>
        <w:t>，</w:t>
      </w:r>
      <w:r>
        <w:rPr>
          <w:rFonts w:hint="eastAsia"/>
        </w:rPr>
        <w:t>必须经县级以上地方人民政府批准。已经开垦并造成草原沙化或严重水土流失的</w:t>
      </w:r>
      <w:r>
        <w:t>，</w:t>
      </w:r>
      <w:r>
        <w:rPr>
          <w:rFonts w:hint="eastAsia"/>
        </w:rPr>
        <w:t>由县级以上人民政府限期关闭</w:t>
      </w:r>
      <w:r>
        <w:t>，</w:t>
      </w:r>
      <w:r>
        <w:rPr>
          <w:rFonts w:hint="eastAsia"/>
        </w:rPr>
        <w:t>责令恢复植被</w:t>
      </w:r>
      <w:r>
        <w:t>，</w:t>
      </w:r>
      <w:r>
        <w:rPr>
          <w:rFonts w:hint="eastAsia"/>
        </w:rPr>
        <w:t>退耕还牧。禁止在荒漠草原、半荒漠草原和沙化地区砍挖灌木、药材及其它固沙植物。实施退耕还林还草</w:t>
      </w:r>
      <w:r>
        <w:t>，</w:t>
      </w:r>
      <w:r>
        <w:rPr>
          <w:rFonts w:hint="eastAsia"/>
        </w:rPr>
        <w:t>改善生态环境。主要措施是</w:t>
      </w:r>
      <w:r>
        <w:t>：</w:t>
      </w:r>
      <w:r>
        <w:t xml:space="preserve">(1) </w:t>
      </w:r>
      <w:r>
        <w:rPr>
          <w:rFonts w:hint="eastAsia"/>
        </w:rPr>
        <w:t>向退耕农户无偿提供一定数量的粮食</w:t>
      </w:r>
      <w:r>
        <w:t>；</w:t>
      </w:r>
      <w:r>
        <w:t xml:space="preserve">(2) </w:t>
      </w:r>
      <w:r>
        <w:rPr>
          <w:rFonts w:hint="eastAsia"/>
        </w:rPr>
        <w:t>给退耕农户适当现金补助；</w:t>
      </w:r>
      <w:r>
        <w:t xml:space="preserve">(3) </w:t>
      </w:r>
      <w:r>
        <w:rPr>
          <w:rFonts w:hint="eastAsia"/>
        </w:rPr>
        <w:t>向退耕农户无偿提供种苗</w:t>
      </w:r>
      <w:r>
        <w:t>；</w:t>
      </w:r>
      <w:r>
        <w:t xml:space="preserve">(4) </w:t>
      </w:r>
      <w:r>
        <w:rPr>
          <w:rFonts w:hint="eastAsia"/>
        </w:rPr>
        <w:t>谁造林种草、谁管理、谁受益。</w:t>
      </w:r>
    </w:p>
    <w:p w:rsidR="00000000" w:rsidRDefault="00000000">
      <w:r>
        <w:tab/>
        <w:t>134.  1996</w:t>
      </w:r>
      <w:r>
        <w:rPr>
          <w:rFonts w:hint="eastAsia"/>
        </w:rPr>
        <w:t>年中国粮食产量突破</w:t>
      </w:r>
      <w:r>
        <w:t>5</w:t>
      </w:r>
      <w:r>
        <w:rPr>
          <w:rFonts w:hint="eastAsia"/>
        </w:rPr>
        <w:t>亿吨大关</w:t>
      </w:r>
      <w:r>
        <w:t>，</w:t>
      </w:r>
      <w:r>
        <w:rPr>
          <w:rFonts w:hint="eastAsia"/>
        </w:rPr>
        <w:t>并连续四年稳定在</w:t>
      </w:r>
      <w:r>
        <w:t>5</w:t>
      </w:r>
      <w:r>
        <w:rPr>
          <w:rFonts w:hint="eastAsia"/>
        </w:rPr>
        <w:t>亿吨左右的水平上</w:t>
      </w:r>
      <w:r>
        <w:t>(1994-2000</w:t>
      </w:r>
      <w:r>
        <w:rPr>
          <w:rFonts w:hint="eastAsia"/>
        </w:rPr>
        <w:t>年中国粮食总产量情况详见图</w:t>
      </w:r>
      <w:r>
        <w:t>5)</w:t>
      </w:r>
      <w:r>
        <w:rPr>
          <w:rFonts w:hint="eastAsia"/>
        </w:rPr>
        <w:t>。目前中国主要农产品的人均占有量已达到甚至超过世界平均水平。</w:t>
      </w:r>
      <w:r>
        <w:t>1996-2001</w:t>
      </w:r>
      <w:r>
        <w:rPr>
          <w:rFonts w:hint="eastAsia"/>
        </w:rPr>
        <w:t>年</w:t>
      </w:r>
      <w:r>
        <w:t>，</w:t>
      </w:r>
      <w:r>
        <w:rPr>
          <w:rFonts w:hint="eastAsia"/>
        </w:rPr>
        <w:t>中国粮食人均占有量</w:t>
      </w:r>
      <w:r>
        <w:t>(</w:t>
      </w:r>
      <w:r>
        <w:rPr>
          <w:rFonts w:hint="eastAsia"/>
        </w:rPr>
        <w:t>含转化成动物食品的粮食消费量</w:t>
      </w:r>
      <w:r>
        <w:t>，</w:t>
      </w:r>
      <w:r>
        <w:rPr>
          <w:rFonts w:hint="eastAsia"/>
        </w:rPr>
        <w:t>下同</w:t>
      </w:r>
      <w:r>
        <w:t>)</w:t>
      </w:r>
      <w:r>
        <w:rPr>
          <w:rFonts w:hint="eastAsia"/>
        </w:rPr>
        <w:t>接近</w:t>
      </w:r>
      <w:r>
        <w:t>400</w:t>
      </w:r>
      <w:r>
        <w:rPr>
          <w:rFonts w:hint="eastAsia"/>
        </w:rPr>
        <w:t>公斤</w:t>
      </w:r>
      <w:r>
        <w:t>，</w:t>
      </w:r>
      <w:r>
        <w:rPr>
          <w:rFonts w:hint="eastAsia"/>
        </w:rPr>
        <w:t>人均肉类占有量接近</w:t>
      </w:r>
      <w:r>
        <w:t>40</w:t>
      </w:r>
      <w:r>
        <w:rPr>
          <w:rFonts w:hint="eastAsia"/>
        </w:rPr>
        <w:t>公斤</w:t>
      </w:r>
      <w:r>
        <w:t>，</w:t>
      </w:r>
      <w:r>
        <w:rPr>
          <w:rFonts w:hint="eastAsia"/>
        </w:rPr>
        <w:t>人均水产品占有量接近</w:t>
      </w:r>
      <w:r>
        <w:t>30</w:t>
      </w:r>
      <w:r>
        <w:rPr>
          <w:rFonts w:hint="eastAsia"/>
        </w:rPr>
        <w:t>公斤</w:t>
      </w:r>
      <w:r>
        <w:t>，</w:t>
      </w:r>
      <w:r>
        <w:rPr>
          <w:rFonts w:hint="eastAsia"/>
        </w:rPr>
        <w:t>人均水果占有量接近</w:t>
      </w:r>
      <w:r>
        <w:t>50</w:t>
      </w:r>
      <w:r>
        <w:rPr>
          <w:rFonts w:hint="eastAsia"/>
        </w:rPr>
        <w:t>公斤</w:t>
      </w:r>
      <w:r>
        <w:t>，</w:t>
      </w:r>
      <w:r>
        <w:rPr>
          <w:rFonts w:hint="eastAsia"/>
        </w:rPr>
        <w:t>人均蔬菜占有量超过</w:t>
      </w:r>
      <w:r>
        <w:t>300</w:t>
      </w:r>
      <w:r>
        <w:rPr>
          <w:rFonts w:hint="eastAsia"/>
        </w:rPr>
        <w:t>公斤。除水果外</w:t>
      </w:r>
      <w:r>
        <w:t>，</w:t>
      </w:r>
      <w:r>
        <w:rPr>
          <w:rFonts w:hint="eastAsia"/>
        </w:rPr>
        <w:t>中国主要农产品的人均占有量均高于世界平均水平。中国利用国内和国际两种资源、两个市场促进农业和农村发展。在国内主要农产品供大于求的形势下</w:t>
      </w:r>
      <w:r>
        <w:t>，</w:t>
      </w:r>
      <w:r>
        <w:rPr>
          <w:rFonts w:hint="eastAsia"/>
        </w:rPr>
        <w:t>为调剂品种和结构</w:t>
      </w:r>
      <w:r>
        <w:t>，</w:t>
      </w:r>
      <w:r>
        <w:rPr>
          <w:rFonts w:hint="eastAsia"/>
        </w:rPr>
        <w:t>中国在</w:t>
      </w:r>
      <w:r>
        <w:t>1996-2000</w:t>
      </w:r>
      <w:r>
        <w:rPr>
          <w:rFonts w:hint="eastAsia"/>
        </w:rPr>
        <w:t>年进口粮食</w:t>
      </w:r>
      <w:r>
        <w:t>4741</w:t>
      </w:r>
      <w:r>
        <w:rPr>
          <w:rFonts w:hint="eastAsia"/>
        </w:rPr>
        <w:t>万吨</w:t>
      </w:r>
      <w:r>
        <w:t>，</w:t>
      </w:r>
      <w:r>
        <w:rPr>
          <w:rFonts w:hint="eastAsia"/>
        </w:rPr>
        <w:t>出口粮食累计</w:t>
      </w:r>
      <w:r>
        <w:t>4067</w:t>
      </w:r>
      <w:r>
        <w:rPr>
          <w:rFonts w:hint="eastAsia"/>
        </w:rPr>
        <w:t>万吨</w:t>
      </w:r>
      <w:r>
        <w:t>，</w:t>
      </w:r>
      <w:r>
        <w:rPr>
          <w:rFonts w:hint="eastAsia"/>
        </w:rPr>
        <w:t>平均每年净进口粮食</w:t>
      </w:r>
      <w:r>
        <w:t>135</w:t>
      </w:r>
      <w:r>
        <w:rPr>
          <w:rFonts w:hint="eastAsia"/>
        </w:rPr>
        <w:t>万吨。</w:t>
      </w:r>
      <w:r>
        <w:t>(1994-2000</w:t>
      </w:r>
      <w:r>
        <w:rPr>
          <w:rFonts w:hint="eastAsia"/>
        </w:rPr>
        <w:t>年中国粮食进出口情况详见图</w:t>
      </w:r>
      <w:r>
        <w:t>6)</w:t>
      </w:r>
    </w:p>
    <w:p w:rsidR="00000000" w:rsidRDefault="00000000">
      <w:pPr>
        <w:rPr>
          <w:rFonts w:hint="eastAsia"/>
        </w:rPr>
      </w:pPr>
      <w:r>
        <w:tab/>
        <w:t>135.  1996-2000</w:t>
      </w:r>
      <w:r>
        <w:rPr>
          <w:rFonts w:hint="eastAsia"/>
        </w:rPr>
        <w:t>年</w:t>
      </w:r>
      <w:r>
        <w:t>，</w:t>
      </w:r>
      <w:r>
        <w:rPr>
          <w:rFonts w:hint="eastAsia"/>
        </w:rPr>
        <w:t>中国城镇居民收入年均增长</w:t>
      </w:r>
      <w:r>
        <w:t>6.2%</w:t>
      </w:r>
      <w:r>
        <w:t>，</w:t>
      </w:r>
      <w:r>
        <w:rPr>
          <w:rFonts w:hint="eastAsia"/>
        </w:rPr>
        <w:t>生活质量进一步改善</w:t>
      </w:r>
      <w:r>
        <w:t>，</w:t>
      </w:r>
      <w:r>
        <w:rPr>
          <w:rFonts w:hint="eastAsia"/>
        </w:rPr>
        <w:t>恩格尔系数从</w:t>
      </w:r>
      <w:r>
        <w:t>1996</w:t>
      </w:r>
      <w:r>
        <w:rPr>
          <w:rFonts w:hint="eastAsia"/>
        </w:rPr>
        <w:t>年的</w:t>
      </w:r>
      <w:r>
        <w:t>48.6%</w:t>
      </w:r>
      <w:r>
        <w:rPr>
          <w:rFonts w:hint="eastAsia"/>
        </w:rPr>
        <w:t>降至</w:t>
      </w:r>
      <w:r>
        <w:t>2000</w:t>
      </w:r>
      <w:r>
        <w:rPr>
          <w:rFonts w:hint="eastAsia"/>
        </w:rPr>
        <w:t>年的</w:t>
      </w:r>
      <w:r>
        <w:t>39.2%</w:t>
      </w:r>
      <w:r>
        <w:rPr>
          <w:rFonts w:hint="eastAsia"/>
        </w:rPr>
        <w:t>。</w:t>
      </w:r>
      <w:r>
        <w:t>2000</w:t>
      </w:r>
      <w:r>
        <w:rPr>
          <w:rFonts w:hint="eastAsia"/>
        </w:rPr>
        <w:t>年中国城镇居民人均口粮消费量为</w:t>
      </w:r>
      <w:r>
        <w:t>108</w:t>
      </w:r>
      <w:r>
        <w:rPr>
          <w:rFonts w:hint="eastAsia"/>
        </w:rPr>
        <w:t>公斤</w:t>
      </w:r>
      <w:r>
        <w:t>，</w:t>
      </w:r>
      <w:r>
        <w:rPr>
          <w:rFonts w:hint="eastAsia"/>
        </w:rPr>
        <w:t>比</w:t>
      </w:r>
      <w:r>
        <w:t>1996</w:t>
      </w:r>
      <w:r>
        <w:rPr>
          <w:rFonts w:hint="eastAsia"/>
        </w:rPr>
        <w:t>年减少</w:t>
      </w:r>
      <w:r>
        <w:t>17</w:t>
      </w:r>
      <w:r>
        <w:rPr>
          <w:rFonts w:hint="eastAsia"/>
        </w:rPr>
        <w:t>公斤</w:t>
      </w:r>
      <w:r>
        <w:t>(</w:t>
      </w:r>
      <w:r>
        <w:rPr>
          <w:rFonts w:hint="eastAsia"/>
        </w:rPr>
        <w:t>原粮</w:t>
      </w:r>
      <w:r>
        <w:t>)</w:t>
      </w:r>
      <w:r>
        <w:t>，</w:t>
      </w:r>
      <w:r>
        <w:rPr>
          <w:rFonts w:hint="eastAsia"/>
        </w:rPr>
        <w:t>人均动物性食物的年消费量由</w:t>
      </w:r>
      <w:r>
        <w:t>1996</w:t>
      </w:r>
      <w:r>
        <w:rPr>
          <w:rFonts w:hint="eastAsia"/>
        </w:rPr>
        <w:t>年的</w:t>
      </w:r>
      <w:r>
        <w:t>43.2</w:t>
      </w:r>
      <w:r>
        <w:rPr>
          <w:rFonts w:hint="eastAsia"/>
        </w:rPr>
        <w:t>公斤</w:t>
      </w:r>
      <w:r>
        <w:t>(</w:t>
      </w:r>
      <w:r>
        <w:rPr>
          <w:rFonts w:hint="eastAsia"/>
        </w:rPr>
        <w:t>肉、蛋、水产品</w:t>
      </w:r>
      <w:r>
        <w:t>)</w:t>
      </w:r>
      <w:r>
        <w:rPr>
          <w:rFonts w:hint="eastAsia"/>
        </w:rPr>
        <w:t>增至</w:t>
      </w:r>
      <w:r>
        <w:t>2000</w:t>
      </w:r>
      <w:r>
        <w:rPr>
          <w:rFonts w:hint="eastAsia"/>
        </w:rPr>
        <w:t>年</w:t>
      </w:r>
      <w:r>
        <w:t>46.6</w:t>
      </w:r>
      <w:r>
        <w:rPr>
          <w:rFonts w:hint="eastAsia"/>
        </w:rPr>
        <w:t>公斤。从食物消费结构看</w:t>
      </w:r>
      <w:r>
        <w:t>，</w:t>
      </w:r>
      <w:r>
        <w:rPr>
          <w:rFonts w:hint="eastAsia"/>
        </w:rPr>
        <w:t>城镇居民的粮食权利已得到保障</w:t>
      </w:r>
      <w:r>
        <w:t>，</w:t>
      </w:r>
      <w:r>
        <w:rPr>
          <w:rFonts w:hint="eastAsia"/>
        </w:rPr>
        <w:t>正朝着提高质量、改善营养方向迈进。</w:t>
      </w:r>
      <w:r>
        <w:t>(1996-2000</w:t>
      </w:r>
      <w:r>
        <w:rPr>
          <w:rFonts w:hint="eastAsia"/>
        </w:rPr>
        <w:t>年中国城镇居民在可支配收入、恩格尔系数、口粮消费量和动物性食物消费量变化情况详见表</w:t>
      </w:r>
      <w:r>
        <w:t>6)</w:t>
      </w:r>
      <w:r>
        <w:rPr>
          <w:rFonts w:hint="eastAsia"/>
        </w:rPr>
        <w:t>。</w:t>
      </w:r>
    </w:p>
    <w:p w:rsidR="00000000" w:rsidRDefault="00000000">
      <w:r>
        <w:tab/>
        <w:t>136.  1996-2000</w:t>
      </w:r>
      <w:r>
        <w:rPr>
          <w:rFonts w:hint="eastAsia"/>
        </w:rPr>
        <w:t>年</w:t>
      </w:r>
      <w:r>
        <w:t>，</w:t>
      </w:r>
      <w:r>
        <w:rPr>
          <w:rFonts w:hint="eastAsia"/>
        </w:rPr>
        <w:t>中国农村居民人均纯收入从</w:t>
      </w:r>
      <w:r>
        <w:t>1926</w:t>
      </w:r>
      <w:r>
        <w:rPr>
          <w:rFonts w:hint="eastAsia"/>
        </w:rPr>
        <w:t>元增至</w:t>
      </w:r>
      <w:r>
        <w:t>2253</w:t>
      </w:r>
      <w:r>
        <w:rPr>
          <w:rFonts w:hint="eastAsia"/>
        </w:rPr>
        <w:t>元</w:t>
      </w:r>
      <w:r>
        <w:t>，</w:t>
      </w:r>
      <w:r>
        <w:rPr>
          <w:rFonts w:hint="eastAsia"/>
        </w:rPr>
        <w:t>年均增长率为</w:t>
      </w:r>
      <w:r>
        <w:t>3.7%</w:t>
      </w:r>
      <w:r>
        <w:t>，</w:t>
      </w:r>
      <w:r>
        <w:rPr>
          <w:rFonts w:hint="eastAsia"/>
        </w:rPr>
        <w:t>生活水平有了明显改善。农村居民的恩格尔系数从</w:t>
      </w:r>
      <w:r>
        <w:t>56.3%</w:t>
      </w:r>
      <w:r>
        <w:rPr>
          <w:rFonts w:hint="eastAsia"/>
        </w:rPr>
        <w:t>下降到</w:t>
      </w:r>
      <w:r>
        <w:t>49.1%</w:t>
      </w:r>
      <w:r>
        <w:rPr>
          <w:rFonts w:hint="eastAsia"/>
        </w:rPr>
        <w:t>。口粮每人每年消费量从</w:t>
      </w:r>
      <w:r>
        <w:t>256.2</w:t>
      </w:r>
      <w:r>
        <w:rPr>
          <w:rFonts w:hint="eastAsia"/>
        </w:rPr>
        <w:t>公斤下降至</w:t>
      </w:r>
      <w:r>
        <w:t>249.5</w:t>
      </w:r>
      <w:r>
        <w:rPr>
          <w:rFonts w:hint="eastAsia"/>
        </w:rPr>
        <w:t>公斤，肉类消费量由</w:t>
      </w:r>
      <w:r>
        <w:t>14.83</w:t>
      </w:r>
      <w:r>
        <w:rPr>
          <w:rFonts w:hint="eastAsia"/>
        </w:rPr>
        <w:t>公斤增至</w:t>
      </w:r>
      <w:r>
        <w:t>17.48</w:t>
      </w:r>
      <w:r>
        <w:rPr>
          <w:rFonts w:hint="eastAsia"/>
        </w:rPr>
        <w:t>公斤</w:t>
      </w:r>
      <w:r>
        <w:t>(</w:t>
      </w:r>
      <w:r>
        <w:rPr>
          <w:rFonts w:hint="eastAsia"/>
        </w:rPr>
        <w:t>见表</w:t>
      </w:r>
      <w:r>
        <w:t>7)</w:t>
      </w:r>
      <w:r>
        <w:rPr>
          <w:rFonts w:hint="eastAsia"/>
        </w:rPr>
        <w:t>。通过实施“八七扶贫攻坚计划”和开展东西部对口扶贫</w:t>
      </w:r>
      <w:r>
        <w:t>，</w:t>
      </w:r>
      <w:r>
        <w:rPr>
          <w:rFonts w:hint="eastAsia"/>
        </w:rPr>
        <w:t>农村贫困人口继续减少。除了政策倾斜以外</w:t>
      </w:r>
      <w:r>
        <w:t>，</w:t>
      </w:r>
      <w:r>
        <w:rPr>
          <w:rFonts w:hint="eastAsia"/>
        </w:rPr>
        <w:t>国家大幅度增加了扶贫投入。三大扶贫项目</w:t>
      </w:r>
      <w:r>
        <w:t>(</w:t>
      </w:r>
      <w:r>
        <w:rPr>
          <w:rFonts w:hint="eastAsia"/>
        </w:rPr>
        <w:t>扶贫贴息贷款、以工代赈和发展资金</w:t>
      </w:r>
      <w:r>
        <w:t>)</w:t>
      </w:r>
      <w:r>
        <w:rPr>
          <w:rFonts w:hint="eastAsia"/>
        </w:rPr>
        <w:t>资金投入合计从</w:t>
      </w:r>
      <w:r>
        <w:t>1995</w:t>
      </w:r>
      <w:r>
        <w:rPr>
          <w:rFonts w:hint="eastAsia"/>
        </w:rPr>
        <w:t>年的</w:t>
      </w:r>
      <w:r>
        <w:t>98</w:t>
      </w:r>
      <w:r>
        <w:rPr>
          <w:rFonts w:hint="eastAsia"/>
        </w:rPr>
        <w:t>亿元增至</w:t>
      </w:r>
      <w:r>
        <w:t>1999</w:t>
      </w:r>
      <w:r>
        <w:rPr>
          <w:rFonts w:hint="eastAsia"/>
        </w:rPr>
        <w:t>年的</w:t>
      </w:r>
      <w:r>
        <w:t>258</w:t>
      </w:r>
      <w:r>
        <w:rPr>
          <w:rFonts w:hint="eastAsia"/>
        </w:rPr>
        <w:t>亿元</w:t>
      </w:r>
      <w:r>
        <w:t>，</w:t>
      </w:r>
      <w:r>
        <w:rPr>
          <w:rFonts w:hint="eastAsia"/>
        </w:rPr>
        <w:t>增加了</w:t>
      </w:r>
      <w:r>
        <w:t>1.63</w:t>
      </w:r>
      <w:r>
        <w:rPr>
          <w:rFonts w:hint="eastAsia"/>
        </w:rPr>
        <w:t>倍。农村尚未解决温饱的贫困人口由</w:t>
      </w:r>
      <w:r>
        <w:t>1978</w:t>
      </w:r>
      <w:r>
        <w:rPr>
          <w:rFonts w:hint="eastAsia"/>
        </w:rPr>
        <w:t>年的</w:t>
      </w:r>
      <w:r>
        <w:t>2.5</w:t>
      </w:r>
      <w:r>
        <w:rPr>
          <w:rFonts w:hint="eastAsia"/>
        </w:rPr>
        <w:t>亿下降到目前的</w:t>
      </w:r>
      <w:r>
        <w:t>3000</w:t>
      </w:r>
      <w:r>
        <w:rPr>
          <w:rFonts w:hint="eastAsia"/>
        </w:rPr>
        <w:t>万人左右，贫困发生率由</w:t>
      </w:r>
      <w:r>
        <w:t>1978</w:t>
      </w:r>
      <w:r>
        <w:rPr>
          <w:rFonts w:hint="eastAsia"/>
        </w:rPr>
        <w:t>年的</w:t>
      </w:r>
      <w:r>
        <w:t>30.7%</w:t>
      </w:r>
      <w:r>
        <w:rPr>
          <w:rFonts w:hint="eastAsia"/>
        </w:rPr>
        <w:t>降至</w:t>
      </w:r>
      <w:r>
        <w:t>1996</w:t>
      </w:r>
      <w:r>
        <w:rPr>
          <w:rFonts w:hint="eastAsia"/>
        </w:rPr>
        <w:t>年的</w:t>
      </w:r>
      <w:r>
        <w:t>5.44%</w:t>
      </w:r>
      <w:r>
        <w:t>，</w:t>
      </w:r>
      <w:r>
        <w:t>2000</w:t>
      </w:r>
      <w:r>
        <w:rPr>
          <w:rFonts w:hint="eastAsia"/>
        </w:rPr>
        <w:t>年进一步下降至</w:t>
      </w:r>
      <w:r>
        <w:t>2.5%</w:t>
      </w:r>
      <w:r>
        <w:rPr>
          <w:rFonts w:hint="eastAsia"/>
        </w:rPr>
        <w:t>。目前</w:t>
      </w:r>
      <w:r>
        <w:t>，</w:t>
      </w:r>
      <w:r>
        <w:rPr>
          <w:rFonts w:hint="eastAsia"/>
        </w:rPr>
        <w:t>大部分贫困地区农民收入水平已基本接近其他一般地区农民的收入水平</w:t>
      </w:r>
      <w:r>
        <w:t>，</w:t>
      </w:r>
      <w:r>
        <w:rPr>
          <w:rFonts w:hint="eastAsia"/>
        </w:rPr>
        <w:t>人均粮食占有量接近</w:t>
      </w:r>
      <w:r>
        <w:t>400</w:t>
      </w:r>
      <w:r>
        <w:rPr>
          <w:rFonts w:hint="eastAsia"/>
        </w:rPr>
        <w:t>公斤，中国贫困地区农村居民的粮食权利已基本得到保障</w:t>
      </w:r>
      <w:r>
        <w:t>，</w:t>
      </w:r>
      <w:r>
        <w:rPr>
          <w:rFonts w:hint="eastAsia"/>
        </w:rPr>
        <w:t>目前的主要问题是如何增加农民收入、提高生活水平。</w:t>
      </w:r>
      <w:r>
        <w:t>(1995-2000</w:t>
      </w:r>
      <w:r>
        <w:rPr>
          <w:rFonts w:hint="eastAsia"/>
        </w:rPr>
        <w:t>年中国农村贫困人口数及其占全国总人口的比例见表</w:t>
      </w:r>
      <w:r>
        <w:t>8)</w:t>
      </w:r>
    </w:p>
    <w:p w:rsidR="00000000" w:rsidRDefault="00000000">
      <w:r>
        <w:tab/>
        <w:t>137.  1996</w:t>
      </w:r>
      <w:r>
        <w:rPr>
          <w:rFonts w:hint="eastAsia"/>
        </w:rPr>
        <w:t>年以来</w:t>
      </w:r>
      <w:r>
        <w:t>，</w:t>
      </w:r>
      <w:r>
        <w:rPr>
          <w:rFonts w:hint="eastAsia"/>
        </w:rPr>
        <w:t>中国人民的膳食结构进一步改善</w:t>
      </w:r>
      <w:r>
        <w:t>，</w:t>
      </w:r>
      <w:r>
        <w:rPr>
          <w:rFonts w:hint="eastAsia"/>
        </w:rPr>
        <w:t>营养水平有了显著提高。城乡居民的营养及热量摄入量明显增加。根据联合国粮农组织食物平衡表的资料估计</w:t>
      </w:r>
      <w:r>
        <w:t>，</w:t>
      </w:r>
      <w:r>
        <w:t>1996</w:t>
      </w:r>
      <w:r>
        <w:rPr>
          <w:rFonts w:hint="eastAsia"/>
        </w:rPr>
        <w:t>年中国居民的每人每日能量供给为</w:t>
      </w:r>
      <w:r>
        <w:t>2881</w:t>
      </w:r>
      <w:r>
        <w:rPr>
          <w:rFonts w:hint="eastAsia"/>
        </w:rPr>
        <w:t>千卡</w:t>
      </w:r>
      <w:r>
        <w:t>，</w:t>
      </w:r>
      <w:r>
        <w:t>1999</w:t>
      </w:r>
      <w:r>
        <w:rPr>
          <w:rFonts w:hint="eastAsia"/>
        </w:rPr>
        <w:t>年提高到</w:t>
      </w:r>
      <w:r>
        <w:t>3044</w:t>
      </w:r>
      <w:r>
        <w:rPr>
          <w:rFonts w:hint="eastAsia"/>
        </w:rPr>
        <w:t>千卡</w:t>
      </w:r>
      <w:r>
        <w:t>；</w:t>
      </w:r>
      <w:r>
        <w:rPr>
          <w:rFonts w:hint="eastAsia"/>
        </w:rPr>
        <w:t>蛋白质供给量从</w:t>
      </w:r>
      <w:r>
        <w:t>1996</w:t>
      </w:r>
      <w:r>
        <w:rPr>
          <w:rFonts w:hint="eastAsia"/>
        </w:rPr>
        <w:t>年的</w:t>
      </w:r>
      <w:r>
        <w:t>78</w:t>
      </w:r>
      <w:r>
        <w:rPr>
          <w:rFonts w:hint="eastAsia"/>
        </w:rPr>
        <w:t>克增加到</w:t>
      </w:r>
      <w:r>
        <w:t>1999</w:t>
      </w:r>
      <w:r>
        <w:rPr>
          <w:rFonts w:hint="eastAsia"/>
        </w:rPr>
        <w:t>年的</w:t>
      </w:r>
      <w:r>
        <w:t>83</w:t>
      </w:r>
      <w:r>
        <w:rPr>
          <w:rFonts w:hint="eastAsia"/>
        </w:rPr>
        <w:t>克。</w:t>
      </w:r>
      <w:r>
        <w:t>2000</w:t>
      </w:r>
      <w:r>
        <w:rPr>
          <w:rFonts w:hint="eastAsia"/>
        </w:rPr>
        <w:t>年</w:t>
      </w:r>
      <w:r>
        <w:t>，</w:t>
      </w:r>
      <w:r>
        <w:rPr>
          <w:rFonts w:hint="eastAsia"/>
        </w:rPr>
        <w:t>农村居民每人每日食物热能摄入量为</w:t>
      </w:r>
      <w:r>
        <w:t>2605</w:t>
      </w:r>
      <w:r>
        <w:rPr>
          <w:rFonts w:hint="eastAsia"/>
        </w:rPr>
        <w:t>千卡</w:t>
      </w:r>
      <w:r>
        <w:t>，</w:t>
      </w:r>
      <w:r>
        <w:rPr>
          <w:rFonts w:hint="eastAsia"/>
        </w:rPr>
        <w:t>已达到中国食物营养推荐供给量标准的</w:t>
      </w:r>
      <w:r>
        <w:t>108.5%</w:t>
      </w:r>
      <w:r>
        <w:t>，</w:t>
      </w:r>
      <w:r>
        <w:rPr>
          <w:rFonts w:hint="eastAsia"/>
        </w:rPr>
        <w:t>比</w:t>
      </w:r>
      <w:r>
        <w:t>1995</w:t>
      </w:r>
      <w:r>
        <w:rPr>
          <w:rFonts w:hint="eastAsia"/>
        </w:rPr>
        <w:t>年的</w:t>
      </w:r>
      <w:r>
        <w:t>2482</w:t>
      </w:r>
      <w:r>
        <w:rPr>
          <w:rFonts w:hint="eastAsia"/>
        </w:rPr>
        <w:t>千卡高</w:t>
      </w:r>
      <w:r>
        <w:t>123</w:t>
      </w:r>
      <w:r>
        <w:rPr>
          <w:rFonts w:hint="eastAsia"/>
        </w:rPr>
        <w:t>千卡。从热量和蛋白质绝对供给量看</w:t>
      </w:r>
      <w:r>
        <w:t>，</w:t>
      </w:r>
      <w:r>
        <w:rPr>
          <w:rFonts w:hint="eastAsia"/>
        </w:rPr>
        <w:t>中国已超过一般发展中国家，逐步接近世界发达国家的水平。</w:t>
      </w:r>
    </w:p>
    <w:p w:rsidR="00000000" w:rsidRDefault="00000000">
      <w:r>
        <w:tab/>
        <w:t xml:space="preserve">138.  </w:t>
      </w:r>
      <w:r>
        <w:rPr>
          <w:rFonts w:hint="eastAsia"/>
        </w:rPr>
        <w:t>中国人民享受粮食权利仍存在一些不容忽视的问题。中国耕地总量不足世界的</w:t>
      </w:r>
      <w:r>
        <w:t>10%</w:t>
      </w:r>
      <w:r>
        <w:t>，</w:t>
      </w:r>
      <w:r>
        <w:rPr>
          <w:rFonts w:hint="eastAsia"/>
        </w:rPr>
        <w:t>水资源总量约为世界的</w:t>
      </w:r>
      <w:r>
        <w:t>7%</w:t>
      </w:r>
      <w:r>
        <w:t>，</w:t>
      </w:r>
      <w:r>
        <w:rPr>
          <w:rFonts w:hint="eastAsia"/>
        </w:rPr>
        <w:t>人均水资源占有量不及世界平均水平的四分之一</w:t>
      </w:r>
      <w:r>
        <w:t>，</w:t>
      </w:r>
      <w:r>
        <w:t>90%</w:t>
      </w:r>
      <w:r>
        <w:rPr>
          <w:rFonts w:hint="eastAsia"/>
        </w:rPr>
        <w:t>草地不同程度地退化</w:t>
      </w:r>
      <w:r>
        <w:t>，</w:t>
      </w:r>
      <w:r>
        <w:rPr>
          <w:rFonts w:hint="eastAsia"/>
        </w:rPr>
        <w:t>中度退化以上的草地面积已达半数。发展粮食生产面临农业生态环境退化的压力。一是土地沙化。建国以来</w:t>
      </w:r>
      <w:r>
        <w:t>，</w:t>
      </w:r>
      <w:r>
        <w:rPr>
          <w:rFonts w:hint="eastAsia"/>
        </w:rPr>
        <w:t>中国沙尘暴发生频率呈增加趋势。造成重大经济损失的特大沙尘暴</w:t>
      </w:r>
      <w:r>
        <w:t>20</w:t>
      </w:r>
      <w:r>
        <w:rPr>
          <w:rFonts w:hint="eastAsia"/>
        </w:rPr>
        <w:t>世纪</w:t>
      </w:r>
      <w:r>
        <w:t>60</w:t>
      </w:r>
      <w:r>
        <w:rPr>
          <w:rFonts w:hint="eastAsia"/>
        </w:rPr>
        <w:t>年代发生了</w:t>
      </w:r>
      <w:r>
        <w:t>8</w:t>
      </w:r>
      <w:r>
        <w:rPr>
          <w:rFonts w:hint="eastAsia"/>
        </w:rPr>
        <w:t>次</w:t>
      </w:r>
      <w:r>
        <w:t>，</w:t>
      </w:r>
      <w:r>
        <w:t>70</w:t>
      </w:r>
      <w:r>
        <w:rPr>
          <w:rFonts w:hint="eastAsia"/>
        </w:rPr>
        <w:t>年代发生了</w:t>
      </w:r>
      <w:r>
        <w:t>13</w:t>
      </w:r>
      <w:r>
        <w:rPr>
          <w:rFonts w:hint="eastAsia"/>
        </w:rPr>
        <w:t>次</w:t>
      </w:r>
      <w:r>
        <w:t>，</w:t>
      </w:r>
      <w:r>
        <w:t>80</w:t>
      </w:r>
      <w:r>
        <w:rPr>
          <w:rFonts w:hint="eastAsia"/>
        </w:rPr>
        <w:t>年代发生了</w:t>
      </w:r>
      <w:r>
        <w:t>14</w:t>
      </w:r>
      <w:r>
        <w:rPr>
          <w:rFonts w:hint="eastAsia"/>
        </w:rPr>
        <w:t>次</w:t>
      </w:r>
      <w:r>
        <w:t>，</w:t>
      </w:r>
      <w:r>
        <w:t>90</w:t>
      </w:r>
      <w:r>
        <w:rPr>
          <w:rFonts w:hint="eastAsia"/>
        </w:rPr>
        <w:t>年代发生了</w:t>
      </w:r>
      <w:r>
        <w:t>23</w:t>
      </w:r>
      <w:r>
        <w:rPr>
          <w:rFonts w:hint="eastAsia"/>
        </w:rPr>
        <w:t>次。中国每年因沙化造成的直接经济损失达</w:t>
      </w:r>
      <w:r>
        <w:t>540</w:t>
      </w:r>
      <w:r>
        <w:rPr>
          <w:rFonts w:hint="eastAsia"/>
        </w:rPr>
        <w:t>亿人民币</w:t>
      </w:r>
      <w:r>
        <w:t>，</w:t>
      </w:r>
      <w:r>
        <w:rPr>
          <w:rFonts w:hint="eastAsia"/>
        </w:rPr>
        <w:t>间接损失是直接损失的</w:t>
      </w:r>
      <w:r>
        <w:t>2</w:t>
      </w:r>
      <w:r>
        <w:rPr>
          <w:rFonts w:hint="eastAsia"/>
        </w:rPr>
        <w:t>倍以上。二是水土流失</w:t>
      </w:r>
      <w:r>
        <w:t>，</w:t>
      </w:r>
      <w:r>
        <w:rPr>
          <w:rFonts w:hint="eastAsia"/>
        </w:rPr>
        <w:t>中国是世界上水土流失最为严重的国家之一。据</w:t>
      </w:r>
      <w:r>
        <w:t>1999</w:t>
      </w:r>
      <w:r>
        <w:rPr>
          <w:rFonts w:hint="eastAsia"/>
        </w:rPr>
        <w:t>年遥感普查</w:t>
      </w:r>
      <w:r>
        <w:t>，</w:t>
      </w:r>
      <w:r>
        <w:rPr>
          <w:rFonts w:hint="eastAsia"/>
        </w:rPr>
        <w:t>水土流失面积达</w:t>
      </w:r>
      <w:r>
        <w:t>355.56</w:t>
      </w:r>
      <w:r>
        <w:rPr>
          <w:rFonts w:hint="eastAsia"/>
        </w:rPr>
        <w:t>万平方公里</w:t>
      </w:r>
      <w:r>
        <w:t>(</w:t>
      </w:r>
      <w:r>
        <w:rPr>
          <w:rFonts w:hint="eastAsia"/>
        </w:rPr>
        <w:t>不包括冻融侵蚀面积</w:t>
      </w:r>
      <w:r>
        <w:t>)</w:t>
      </w:r>
      <w:r>
        <w:rPr>
          <w:rFonts w:hint="eastAsia"/>
        </w:rPr>
        <w:t>，占国土面积的</w:t>
      </w:r>
      <w:r>
        <w:t>37.42%</w:t>
      </w:r>
      <w:r>
        <w:rPr>
          <w:rFonts w:hint="eastAsia"/>
        </w:rPr>
        <w:t>。由于水土流失</w:t>
      </w:r>
      <w:r>
        <w:t>，</w:t>
      </w:r>
      <w:r>
        <w:rPr>
          <w:rFonts w:hint="eastAsia"/>
        </w:rPr>
        <w:t>中国每年损失的土壤总量达</w:t>
      </w:r>
      <w:r>
        <w:t>50</w:t>
      </w:r>
      <w:r>
        <w:rPr>
          <w:rFonts w:hint="eastAsia"/>
        </w:rPr>
        <w:t>亿吨之多</w:t>
      </w:r>
      <w:r>
        <w:t>，</w:t>
      </w:r>
      <w:r>
        <w:rPr>
          <w:rFonts w:hint="eastAsia"/>
        </w:rPr>
        <w:t>仅次于印度</w:t>
      </w:r>
      <w:r>
        <w:t>，</w:t>
      </w:r>
      <w:r>
        <w:rPr>
          <w:rFonts w:hint="eastAsia"/>
        </w:rPr>
        <w:t>居世界第二。未来</w:t>
      </w:r>
      <w:r>
        <w:t>20</w:t>
      </w:r>
      <w:r>
        <w:rPr>
          <w:rFonts w:hint="eastAsia"/>
        </w:rPr>
        <w:t>年</w:t>
      </w:r>
      <w:r>
        <w:t>，</w:t>
      </w:r>
      <w:r>
        <w:rPr>
          <w:rFonts w:hint="eastAsia"/>
        </w:rPr>
        <w:t>中国人口每年平均净增约</w:t>
      </w:r>
      <w:r>
        <w:t>1000</w:t>
      </w:r>
      <w:r>
        <w:rPr>
          <w:rFonts w:hint="eastAsia"/>
        </w:rPr>
        <w:t>万</w:t>
      </w:r>
      <w:r>
        <w:t>，</w:t>
      </w:r>
      <w:r>
        <w:rPr>
          <w:rFonts w:hint="eastAsia"/>
        </w:rPr>
        <w:t>城市化将以每年</w:t>
      </w:r>
      <w:r>
        <w:t>0.8%</w:t>
      </w:r>
      <w:r>
        <w:rPr>
          <w:rFonts w:hint="eastAsia"/>
        </w:rPr>
        <w:t>至</w:t>
      </w:r>
      <w:r>
        <w:t>1%</w:t>
      </w:r>
      <w:r>
        <w:rPr>
          <w:rFonts w:hint="eastAsia"/>
        </w:rPr>
        <w:t>的速度推进。由于需求增长而水土资源紧缺</w:t>
      </w:r>
      <w:r>
        <w:t>，</w:t>
      </w:r>
      <w:r>
        <w:rPr>
          <w:rFonts w:hint="eastAsia"/>
        </w:rPr>
        <w:t>生态环境退化</w:t>
      </w:r>
      <w:r>
        <w:t>，</w:t>
      </w:r>
      <w:r>
        <w:rPr>
          <w:rFonts w:hint="eastAsia"/>
        </w:rPr>
        <w:t>今后中国确保公民粮食权利将面临人口、资源和环境的矛盾。扶贫开发任务还很艰巨。中国农村尚有</w:t>
      </w:r>
      <w:r>
        <w:t>2927</w:t>
      </w:r>
      <w:r>
        <w:rPr>
          <w:rFonts w:hint="eastAsia"/>
        </w:rPr>
        <w:t>万尚未解决温饱的贫困人口</w:t>
      </w:r>
      <w:r>
        <w:t>，</w:t>
      </w:r>
      <w:r>
        <w:rPr>
          <w:rFonts w:hint="eastAsia"/>
        </w:rPr>
        <w:t>虽然数量不多</w:t>
      </w:r>
      <w:r>
        <w:t>，</w:t>
      </w:r>
      <w:r>
        <w:rPr>
          <w:rFonts w:hint="eastAsia"/>
        </w:rPr>
        <w:t>但是解决的难度很大</w:t>
      </w:r>
      <w:r>
        <w:t>；</w:t>
      </w:r>
      <w:r>
        <w:rPr>
          <w:rFonts w:hint="eastAsia"/>
        </w:rPr>
        <w:t>初步解决温饱问题的群众</w:t>
      </w:r>
      <w:r>
        <w:t>，</w:t>
      </w:r>
      <w:r>
        <w:rPr>
          <w:rFonts w:hint="eastAsia"/>
        </w:rPr>
        <w:t>由于生产生活条件尚未得到根本改变</w:t>
      </w:r>
      <w:r>
        <w:t>，</w:t>
      </w:r>
      <w:r>
        <w:rPr>
          <w:rFonts w:hint="eastAsia"/>
        </w:rPr>
        <w:t>温饱还不稳固</w:t>
      </w:r>
      <w:r>
        <w:t>，</w:t>
      </w:r>
      <w:r>
        <w:rPr>
          <w:rFonts w:hint="eastAsia"/>
        </w:rPr>
        <w:t>巩固温饱成果的任务仍很艰巨。基本解决温饱的贫困人口</w:t>
      </w:r>
      <w:r>
        <w:t>，</w:t>
      </w:r>
      <w:r>
        <w:rPr>
          <w:rFonts w:hint="eastAsia"/>
        </w:rPr>
        <w:t>其温饱的标准还很低</w:t>
      </w:r>
      <w:r>
        <w:t>，</w:t>
      </w:r>
      <w:r>
        <w:rPr>
          <w:rFonts w:hint="eastAsia"/>
        </w:rPr>
        <w:t>在这个基础上实现小康、进而过上比较宽裕的生活</w:t>
      </w:r>
      <w:r>
        <w:t>，</w:t>
      </w:r>
      <w:r>
        <w:rPr>
          <w:rFonts w:hint="eastAsia"/>
        </w:rPr>
        <w:t>需要一个较长期的奋斗过程。</w:t>
      </w:r>
    </w:p>
    <w:p w:rsidR="00000000" w:rsidRDefault="00000000">
      <w:r>
        <w:tab/>
        <w:t xml:space="preserve">139.  </w:t>
      </w:r>
      <w:r>
        <w:rPr>
          <w:rFonts w:hint="eastAsia"/>
        </w:rPr>
        <w:t>全球经济一体化和贸易自由化的发展会给中国公民的粮食权利带来一些新的问题。加入</w:t>
      </w:r>
      <w:r>
        <w:t>WTO</w:t>
      </w:r>
      <w:r>
        <w:rPr>
          <w:rFonts w:hint="eastAsia"/>
        </w:rPr>
        <w:t>后</w:t>
      </w:r>
      <w:r>
        <w:t>，</w:t>
      </w:r>
      <w:r>
        <w:rPr>
          <w:rFonts w:hint="eastAsia"/>
        </w:rPr>
        <w:t>从长远来看</w:t>
      </w:r>
      <w:r>
        <w:t>，</w:t>
      </w:r>
      <w:r>
        <w:rPr>
          <w:rFonts w:hint="eastAsia"/>
        </w:rPr>
        <w:t>适度进口粮食可缓解国内粮食需求增长对资源与环境的压力</w:t>
      </w:r>
      <w:r>
        <w:t>，</w:t>
      </w:r>
      <w:r>
        <w:rPr>
          <w:rFonts w:hint="eastAsia"/>
        </w:rPr>
        <w:t>有利于中国粮食的供求平衡与粮食生产的可持续发展。但也使中国粮食安全面临新的风险。</w:t>
      </w:r>
      <w:r>
        <w:t xml:space="preserve">(1) </w:t>
      </w:r>
      <w:r>
        <w:rPr>
          <w:rFonts w:hint="eastAsia"/>
        </w:rPr>
        <w:t>现阶段增加粮食进口不利于国内粮食生产的发展。在过去几年中国粮食总体上供过于求的背景下增加粮食进口</w:t>
      </w:r>
      <w:r>
        <w:t>，</w:t>
      </w:r>
      <w:r>
        <w:rPr>
          <w:rFonts w:hint="eastAsia"/>
        </w:rPr>
        <w:t>会加剧国内的供求矛盾</w:t>
      </w:r>
      <w:r>
        <w:t>，</w:t>
      </w:r>
      <w:r>
        <w:rPr>
          <w:rFonts w:hint="eastAsia"/>
        </w:rPr>
        <w:t>对增加农民的收入和粮食主产区粮食生产的发展造成不利的影响。</w:t>
      </w:r>
      <w:r>
        <w:t xml:space="preserve">(2) </w:t>
      </w:r>
      <w:r>
        <w:rPr>
          <w:rFonts w:hint="eastAsia"/>
        </w:rPr>
        <w:t>由于贸易自由化和跨国公司的全球化发展战略</w:t>
      </w:r>
      <w:r>
        <w:t>，</w:t>
      </w:r>
      <w:r>
        <w:rPr>
          <w:rFonts w:hint="eastAsia"/>
        </w:rPr>
        <w:t>不安全的食品有可能通过贸易和生产从一国传播到另一国</w:t>
      </w:r>
      <w:r>
        <w:t>，</w:t>
      </w:r>
      <w:r>
        <w:rPr>
          <w:rFonts w:hint="eastAsia"/>
        </w:rPr>
        <w:t>食品生产和贸易的垄断趋势有可能进一步发展</w:t>
      </w:r>
      <w:r>
        <w:t>，</w:t>
      </w:r>
      <w:r>
        <w:rPr>
          <w:rFonts w:hint="eastAsia"/>
        </w:rPr>
        <w:t>这都会对发展中国家的农业发展产生不利影响。</w:t>
      </w:r>
    </w:p>
    <w:p w:rsidR="00000000" w:rsidRDefault="00000000">
      <w:pPr>
        <w:rPr>
          <w:rFonts w:hint="eastAsia"/>
        </w:rPr>
      </w:pPr>
      <w:r>
        <w:tab/>
        <w:t xml:space="preserve">140.  </w:t>
      </w:r>
      <w:r>
        <w:rPr>
          <w:rFonts w:hint="eastAsia"/>
        </w:rPr>
        <w:t>立足国内资源</w:t>
      </w:r>
      <w:r>
        <w:t>，</w:t>
      </w:r>
      <w:r>
        <w:rPr>
          <w:rFonts w:hint="eastAsia"/>
        </w:rPr>
        <w:t>实现粮食基本自给</w:t>
      </w:r>
      <w:r>
        <w:t>，</w:t>
      </w:r>
      <w:r>
        <w:rPr>
          <w:rFonts w:hint="eastAsia"/>
        </w:rPr>
        <w:t>是中国解决粮食供需问题的既定方针。中国政府在“</w:t>
      </w:r>
      <w:r>
        <w:t>十五</w:t>
      </w:r>
      <w:r>
        <w:rPr>
          <w:rFonts w:hint="eastAsia"/>
        </w:rPr>
        <w:t>”计划中明确提出</w:t>
      </w:r>
      <w:r>
        <w:t>：</w:t>
      </w:r>
      <w:r>
        <w:rPr>
          <w:rFonts w:hint="eastAsia"/>
        </w:rPr>
        <w:t>要建立符合中国国情和社会主义市场经济要求的粮食安全体系</w:t>
      </w:r>
      <w:r>
        <w:t>，</w:t>
      </w:r>
      <w:r>
        <w:rPr>
          <w:rFonts w:hint="eastAsia"/>
        </w:rPr>
        <w:t>确保粮食供求基本平衡。在未来的发展过程中</w:t>
      </w:r>
      <w:r>
        <w:t>，</w:t>
      </w:r>
      <w:r>
        <w:rPr>
          <w:rFonts w:hint="eastAsia"/>
        </w:rPr>
        <w:t>中国政府将深化改革</w:t>
      </w:r>
      <w:r>
        <w:t>，</w:t>
      </w:r>
      <w:r>
        <w:rPr>
          <w:rFonts w:hint="eastAsia"/>
        </w:rPr>
        <w:t>创造粮食供求平衡的政策环境</w:t>
      </w:r>
      <w:r>
        <w:t>，</w:t>
      </w:r>
      <w:r>
        <w:rPr>
          <w:rFonts w:hint="eastAsia"/>
        </w:rPr>
        <w:t>确保国家粮食安全。</w:t>
      </w:r>
    </w:p>
    <w:p w:rsidR="00000000" w:rsidRDefault="00000000">
      <w:r>
        <w:rPr>
          <w:rFonts w:hint="eastAsia"/>
        </w:rPr>
        <w:tab/>
      </w:r>
      <w:r>
        <w:t xml:space="preserve">141.  </w:t>
      </w:r>
      <w:r>
        <w:rPr>
          <w:rFonts w:hint="eastAsia"/>
        </w:rPr>
        <w:t>中国将继续实施基本农田保护条例</w:t>
      </w:r>
      <w:r>
        <w:t>，</w:t>
      </w:r>
      <w:r>
        <w:rPr>
          <w:rFonts w:hint="eastAsia"/>
        </w:rPr>
        <w:t>按照土地管理法和基本农田保护条例加强耕地管理。为了确保主要农产品的供给能力</w:t>
      </w:r>
      <w:r>
        <w:t>，</w:t>
      </w:r>
      <w:r>
        <w:rPr>
          <w:rFonts w:hint="eastAsia"/>
        </w:rPr>
        <w:t>中国已确定</w:t>
      </w:r>
      <w:r>
        <w:t>2005</w:t>
      </w:r>
      <w:r>
        <w:rPr>
          <w:rFonts w:hint="eastAsia"/>
        </w:rPr>
        <w:t>年的基本农田面积不低于</w:t>
      </w:r>
      <w:r>
        <w:t>10853</w:t>
      </w:r>
      <w:r>
        <w:rPr>
          <w:rFonts w:hint="eastAsia"/>
        </w:rPr>
        <w:t>万公顷</w:t>
      </w:r>
      <w:r>
        <w:t>，</w:t>
      </w:r>
      <w:r>
        <w:rPr>
          <w:rFonts w:hint="eastAsia"/>
        </w:rPr>
        <w:t>耕地保有量不少于</w:t>
      </w:r>
      <w:r>
        <w:t>12800</w:t>
      </w:r>
      <w:r>
        <w:rPr>
          <w:rFonts w:hint="eastAsia"/>
        </w:rPr>
        <w:t>万公顷。继续坚持稳定和完善农村土地承包关系</w:t>
      </w:r>
      <w:r>
        <w:t>，</w:t>
      </w:r>
      <w:r>
        <w:rPr>
          <w:rFonts w:hint="eastAsia"/>
        </w:rPr>
        <w:t>以保持农村基本经营制度的长期稳定。</w:t>
      </w:r>
    </w:p>
    <w:p w:rsidR="00000000" w:rsidRDefault="00000000">
      <w:r>
        <w:tab/>
        <w:t xml:space="preserve">142.  </w:t>
      </w:r>
      <w:r>
        <w:rPr>
          <w:rFonts w:hint="eastAsia"/>
        </w:rPr>
        <w:t>中国将进一步统筹城乡经济发展</w:t>
      </w:r>
      <w:r>
        <w:t>，</w:t>
      </w:r>
      <w:r>
        <w:rPr>
          <w:rFonts w:hint="eastAsia"/>
        </w:rPr>
        <w:t>调整国民收入和社会资金分配结构</w:t>
      </w:r>
      <w:r>
        <w:t>，</w:t>
      </w:r>
      <w:r>
        <w:rPr>
          <w:rFonts w:hint="eastAsia"/>
        </w:rPr>
        <w:t>在</w:t>
      </w:r>
      <w:r>
        <w:t>WTO</w:t>
      </w:r>
      <w:r>
        <w:rPr>
          <w:rFonts w:hint="eastAsia"/>
        </w:rPr>
        <w:t>规则允许的范围内加强对发展粮食生产的支持。深化粮食流通体制改革</w:t>
      </w:r>
      <w:r>
        <w:t>，</w:t>
      </w:r>
      <w:r>
        <w:rPr>
          <w:rFonts w:hint="eastAsia"/>
        </w:rPr>
        <w:t>建立起统一、开放、竞争、有序的粮食流通体制。进一步完善国家储备粮制度</w:t>
      </w:r>
      <w:r>
        <w:t>，</w:t>
      </w:r>
      <w:r>
        <w:rPr>
          <w:rFonts w:hint="eastAsia"/>
        </w:rPr>
        <w:t>建立高效率的粮食宏观调控体系</w:t>
      </w:r>
      <w:r>
        <w:t>。</w:t>
      </w:r>
      <w:r>
        <w:rPr>
          <w:rFonts w:hint="eastAsia"/>
        </w:rPr>
        <w:t>继续利用国际粮食市场</w:t>
      </w:r>
      <w:r>
        <w:t>，</w:t>
      </w:r>
      <w:r>
        <w:rPr>
          <w:rFonts w:hint="eastAsia"/>
        </w:rPr>
        <w:t>通过发展进出口贸易调节国内的粮食供求关系</w:t>
      </w:r>
      <w:r>
        <w:t>，</w:t>
      </w:r>
      <w:r>
        <w:rPr>
          <w:rFonts w:hint="eastAsia"/>
        </w:rPr>
        <w:t>中国农产品对外贸易将遵循国际规则进行管理</w:t>
      </w:r>
      <w:r>
        <w:t>，</w:t>
      </w:r>
      <w:r>
        <w:rPr>
          <w:rFonts w:hint="eastAsia"/>
        </w:rPr>
        <w:t>透明度将越来越高。</w:t>
      </w:r>
    </w:p>
    <w:p w:rsidR="00000000" w:rsidRDefault="00000000">
      <w:pPr>
        <w:rPr>
          <w:rFonts w:hint="eastAsia"/>
        </w:rPr>
      </w:pPr>
      <w:r>
        <w:tab/>
        <w:t xml:space="preserve">143.  </w:t>
      </w:r>
      <w:r>
        <w:rPr>
          <w:rFonts w:hint="eastAsia"/>
        </w:rPr>
        <w:t>中国政府将尽快建立健全农产品质量标准体系、检测检验体系和认证体系</w:t>
      </w:r>
      <w:r>
        <w:t>，</w:t>
      </w:r>
      <w:r>
        <w:rPr>
          <w:rFonts w:hint="eastAsia"/>
        </w:rPr>
        <w:t>推进农产品从“农田到餐桌”的全过程控制</w:t>
      </w:r>
      <w:r>
        <w:t>，</w:t>
      </w:r>
      <w:r>
        <w:rPr>
          <w:rFonts w:hint="eastAsia"/>
        </w:rPr>
        <w:t>保证农产品国际贸易按照</w:t>
      </w:r>
      <w:r>
        <w:t>WT</w:t>
      </w:r>
      <w:r>
        <w:rPr>
          <w:rFonts w:hint="eastAsia"/>
        </w:rPr>
        <w:t>O</w:t>
      </w:r>
      <w:r>
        <w:rPr>
          <w:rFonts w:hint="eastAsia"/>
        </w:rPr>
        <w:t>规则实施检测、检验、认证和监管。</w:t>
      </w:r>
    </w:p>
    <w:p w:rsidR="00000000" w:rsidRDefault="00000000">
      <w:pPr>
        <w:spacing w:after="320"/>
        <w:rPr>
          <w:rFonts w:hint="eastAsia"/>
        </w:rPr>
      </w:pPr>
      <w:r>
        <w:tab/>
        <w:t xml:space="preserve">144.  </w:t>
      </w:r>
      <w:r>
        <w:rPr>
          <w:rFonts w:hint="eastAsia"/>
        </w:rPr>
        <w:t>颁布《中国农村扶贫开发纲要</w:t>
      </w:r>
      <w:r>
        <w:t>(2001-2010</w:t>
      </w:r>
      <w:r>
        <w:rPr>
          <w:rFonts w:hint="eastAsia"/>
        </w:rPr>
        <w:t>年</w:t>
      </w:r>
      <w:r>
        <w:t>)</w:t>
      </w:r>
      <w:r>
        <w:rPr>
          <w:rFonts w:hint="eastAsia"/>
        </w:rPr>
        <w:t>》</w:t>
      </w:r>
      <w:r>
        <w:t>，</w:t>
      </w:r>
      <w:r>
        <w:rPr>
          <w:rFonts w:hint="eastAsia"/>
        </w:rPr>
        <w:t>主要政策措施是</w:t>
      </w:r>
      <w:r>
        <w:t>：</w:t>
      </w:r>
      <w:r>
        <w:rPr>
          <w:rFonts w:hint="eastAsia"/>
        </w:rPr>
        <w:t>继续把发展种养业和改善贫困地区基本生产生活条件作为扶贫开发重点</w:t>
      </w:r>
      <w:r>
        <w:t>；</w:t>
      </w:r>
      <w:r>
        <w:rPr>
          <w:rFonts w:hint="eastAsia"/>
        </w:rPr>
        <w:t>加大科技扶贫力度</w:t>
      </w:r>
      <w:r>
        <w:t>；</w:t>
      </w:r>
      <w:r>
        <w:rPr>
          <w:rFonts w:hint="eastAsia"/>
        </w:rPr>
        <w:t>稳步推进自愿农民搬迁</w:t>
      </w:r>
      <w:r>
        <w:t>；</w:t>
      </w:r>
      <w:r>
        <w:rPr>
          <w:rFonts w:hint="eastAsia"/>
        </w:rPr>
        <w:t>进一步增加扶贫投入</w:t>
      </w:r>
      <w:r>
        <w:t>；</w:t>
      </w:r>
      <w:r>
        <w:rPr>
          <w:rFonts w:hint="eastAsia"/>
        </w:rPr>
        <w:t>密切结合西部大开发</w:t>
      </w:r>
      <w:r>
        <w:t>，</w:t>
      </w:r>
      <w:r>
        <w:rPr>
          <w:rFonts w:hint="eastAsia"/>
        </w:rPr>
        <w:t>促进贫困地区发展</w:t>
      </w:r>
      <w:r>
        <w:t>；</w:t>
      </w:r>
      <w:r>
        <w:rPr>
          <w:rFonts w:hint="eastAsia"/>
        </w:rPr>
        <w:t>继续开展社会扶贫工作</w:t>
      </w:r>
      <w:r>
        <w:t>；</w:t>
      </w:r>
      <w:r>
        <w:rPr>
          <w:rFonts w:hint="eastAsia"/>
        </w:rPr>
        <w:t>发展扶贫开发领域的国际交流与合作</w:t>
      </w:r>
      <w:r>
        <w:t>；</w:t>
      </w:r>
      <w:r>
        <w:rPr>
          <w:rFonts w:hint="eastAsia"/>
        </w:rPr>
        <w:t>切实落实扶贫工作责任制。</w:t>
      </w:r>
    </w:p>
    <w:p w:rsidR="00000000" w:rsidRDefault="00000000">
      <w:pPr>
        <w:pStyle w:val="Heading3"/>
      </w:pPr>
      <w:bookmarkStart w:id="18" w:name="_Toc78772933"/>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十二</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健</w:t>
      </w:r>
      <w:r>
        <w:rPr>
          <w:rFonts w:ascii="Time New Roman" w:eastAsia="SimHei" w:hAnsi="Time New Roman"/>
          <w:u w:val="none"/>
        </w:rPr>
        <w:t xml:space="preserve"> </w:t>
      </w:r>
      <w:r>
        <w:rPr>
          <w:rFonts w:ascii="Time New Roman" w:eastAsia="SimHei" w:hAnsi="Time New Roman" w:hint="eastAsia"/>
          <w:u w:val="none"/>
        </w:rPr>
        <w:t>康</w:t>
      </w:r>
      <w:r>
        <w:rPr>
          <w:rFonts w:ascii="Time New Roman" w:eastAsia="SimHei" w:hAnsi="Time New Roman"/>
          <w:u w:val="none"/>
        </w:rPr>
        <w:t xml:space="preserve"> </w:t>
      </w:r>
      <w:r>
        <w:rPr>
          <w:rFonts w:ascii="Time New Roman" w:eastAsia="SimHei" w:hAnsi="Time New Roman" w:hint="eastAsia"/>
          <w:u w:val="none"/>
        </w:rPr>
        <w:t>权</w:t>
      </w:r>
      <w:bookmarkEnd w:id="18"/>
    </w:p>
    <w:p w:rsidR="00000000" w:rsidRDefault="00000000">
      <w:r>
        <w:tab/>
        <w:t xml:space="preserve">145.  </w:t>
      </w:r>
      <w:r>
        <w:rPr>
          <w:rFonts w:hint="eastAsia"/>
        </w:rPr>
        <w:t>中国重视发展医疗卫生事业。《宪法》第</w:t>
      </w:r>
      <w:r>
        <w:t>21</w:t>
      </w:r>
      <w:r>
        <w:rPr>
          <w:rFonts w:hint="eastAsia"/>
        </w:rPr>
        <w:t>条规定</w:t>
      </w:r>
      <w:r>
        <w:t>：</w:t>
      </w:r>
    </w:p>
    <w:p w:rsidR="00000000" w:rsidRDefault="00000000">
      <w:pPr>
        <w:rPr>
          <w:rFonts w:hint="eastAsia"/>
        </w:rPr>
      </w:pPr>
      <w:r>
        <w:tab/>
      </w:r>
      <w:r>
        <w:rPr>
          <w:rFonts w:hint="eastAsia"/>
        </w:rPr>
        <w:t>“国家发展医疗卫生事业</w:t>
      </w:r>
      <w:r>
        <w:t>，</w:t>
      </w:r>
      <w:r>
        <w:rPr>
          <w:rFonts w:hint="eastAsia"/>
        </w:rPr>
        <w:t>发展现代医药和我国传统医药</w:t>
      </w:r>
      <w:r>
        <w:t>，</w:t>
      </w:r>
      <w:r>
        <w:rPr>
          <w:rFonts w:hint="eastAsia"/>
        </w:rPr>
        <w:t>鼓励和支持农村集体经济组织、国家企业事业组织和街道组织举办各种医疗卫生设施</w:t>
      </w:r>
      <w:r>
        <w:t>，</w:t>
      </w:r>
      <w:r>
        <w:rPr>
          <w:rFonts w:hint="eastAsia"/>
        </w:rPr>
        <w:t>开展群众性的卫生活动</w:t>
      </w:r>
      <w:r>
        <w:t>，</w:t>
      </w:r>
      <w:r>
        <w:rPr>
          <w:rFonts w:hint="eastAsia"/>
        </w:rPr>
        <w:t>保护人民健康。”第</w:t>
      </w:r>
      <w:r>
        <w:t>45</w:t>
      </w:r>
      <w:r>
        <w:rPr>
          <w:rFonts w:hint="eastAsia"/>
        </w:rPr>
        <w:t>条规定</w:t>
      </w:r>
      <w:r>
        <w:t>：</w:t>
      </w:r>
      <w:r>
        <w:rPr>
          <w:rFonts w:hint="eastAsia"/>
        </w:rPr>
        <w:t>“中华人民共和国公民在年老、疾病或者丧失劳动能力的情况下</w:t>
      </w:r>
      <w:r>
        <w:t>，</w:t>
      </w:r>
      <w:r>
        <w:rPr>
          <w:rFonts w:hint="eastAsia"/>
        </w:rPr>
        <w:t>有从国家和社会获得物质帮助的权利。国家发展为公民享受这些权利所需要的社会保险、社会救济和医疗卫生事业。”</w:t>
      </w:r>
    </w:p>
    <w:p w:rsidR="00000000" w:rsidRDefault="00000000">
      <w:pPr>
        <w:rPr>
          <w:rFonts w:hint="eastAsia"/>
        </w:rPr>
      </w:pPr>
      <w:r>
        <w:rPr>
          <w:rFonts w:hint="eastAsia"/>
        </w:rPr>
        <w:tab/>
      </w:r>
      <w:r>
        <w:t>146.  1949</w:t>
      </w:r>
      <w:r>
        <w:rPr>
          <w:rFonts w:hint="eastAsia"/>
        </w:rPr>
        <w:t>年中华人民共和国成立后不久</w:t>
      </w:r>
      <w:r>
        <w:t>，</w:t>
      </w:r>
      <w:r>
        <w:rPr>
          <w:rFonts w:hint="eastAsia"/>
        </w:rPr>
        <w:t>中国政府在恢复和发展工农业生产的同时</w:t>
      </w:r>
      <w:r>
        <w:t>，</w:t>
      </w:r>
      <w:r>
        <w:rPr>
          <w:rFonts w:hint="eastAsia"/>
        </w:rPr>
        <w:t>兴办各类卫生服务机构</w:t>
      </w:r>
      <w:r>
        <w:t>，</w:t>
      </w:r>
      <w:r>
        <w:rPr>
          <w:rFonts w:hint="eastAsia"/>
        </w:rPr>
        <w:t>培养和建设专业卫生队伍；在城市建立职工医疗保障制度，在农村建设三级医疗预防保健网，培训乡村医生，逐步推行合作医疗制度，使广大群众在不同程度上得到基本医疗卫生服务。</w:t>
      </w:r>
    </w:p>
    <w:p w:rsidR="00000000" w:rsidRDefault="00000000">
      <w:pPr>
        <w:rPr>
          <w:rFonts w:hint="eastAsia"/>
        </w:rPr>
      </w:pPr>
      <w:r>
        <w:rPr>
          <w:rFonts w:hint="eastAsia"/>
        </w:rPr>
        <w:tab/>
        <w:t>147.  20</w:t>
      </w:r>
      <w:r>
        <w:rPr>
          <w:rFonts w:hint="eastAsia"/>
        </w:rPr>
        <w:t>世纪</w:t>
      </w:r>
      <w:r>
        <w:rPr>
          <w:rFonts w:hint="eastAsia"/>
        </w:rPr>
        <w:t>50</w:t>
      </w:r>
      <w:r>
        <w:rPr>
          <w:rFonts w:hint="eastAsia"/>
        </w:rPr>
        <w:t>年代初期，中国开始在机关事业单位实行公费医疗制度，在国有企业实行劳保医疗制度，集体所有制企业参照国有企业的做法建立了劳保医疗制度。到</w:t>
      </w:r>
      <w:r>
        <w:rPr>
          <w:rFonts w:hint="eastAsia"/>
        </w:rPr>
        <w:t>20</w:t>
      </w:r>
      <w:r>
        <w:rPr>
          <w:rFonts w:hint="eastAsia"/>
        </w:rPr>
        <w:t>世纪</w:t>
      </w:r>
      <w:r>
        <w:rPr>
          <w:rFonts w:hint="eastAsia"/>
        </w:rPr>
        <w:t>90</w:t>
      </w:r>
      <w:r>
        <w:rPr>
          <w:rFonts w:hint="eastAsia"/>
        </w:rPr>
        <w:t>年代初，公费医疗享受人口达</w:t>
      </w:r>
      <w:r>
        <w:rPr>
          <w:rFonts w:hint="eastAsia"/>
        </w:rPr>
        <w:t>3000</w:t>
      </w:r>
      <w:r>
        <w:rPr>
          <w:rFonts w:hint="eastAsia"/>
        </w:rPr>
        <w:t>万人，国家每年支付医药费用</w:t>
      </w:r>
      <w:r>
        <w:rPr>
          <w:rFonts w:hint="eastAsia"/>
        </w:rPr>
        <w:t>70</w:t>
      </w:r>
      <w:r>
        <w:rPr>
          <w:rFonts w:hint="eastAsia"/>
        </w:rPr>
        <w:t>多亿；劳保医疗覆盖</w:t>
      </w:r>
      <w:r>
        <w:rPr>
          <w:rFonts w:hint="eastAsia"/>
        </w:rPr>
        <w:t>1.4</w:t>
      </w:r>
      <w:r>
        <w:rPr>
          <w:rFonts w:hint="eastAsia"/>
        </w:rPr>
        <w:t>亿人</w:t>
      </w:r>
      <w:r>
        <w:rPr>
          <w:rFonts w:hint="eastAsia"/>
        </w:rPr>
        <w:t>(</w:t>
      </w:r>
      <w:r>
        <w:rPr>
          <w:rFonts w:hint="eastAsia"/>
        </w:rPr>
        <w:t>另有职工供养的家属</w:t>
      </w:r>
      <w:r>
        <w:rPr>
          <w:rFonts w:hint="eastAsia"/>
        </w:rPr>
        <w:t>6000</w:t>
      </w:r>
      <w:r>
        <w:rPr>
          <w:rFonts w:hint="eastAsia"/>
        </w:rPr>
        <w:t>万人，半费</w:t>
      </w:r>
      <w:r>
        <w:rPr>
          <w:rFonts w:hint="eastAsia"/>
        </w:rPr>
        <w:t>)</w:t>
      </w:r>
      <w:r>
        <w:rPr>
          <w:rFonts w:hint="eastAsia"/>
        </w:rPr>
        <w:t>，全年医疗费支出</w:t>
      </w:r>
      <w:r>
        <w:rPr>
          <w:rFonts w:hint="eastAsia"/>
        </w:rPr>
        <w:t>400</w:t>
      </w:r>
      <w:r>
        <w:rPr>
          <w:rFonts w:hint="eastAsia"/>
        </w:rPr>
        <w:t>亿元。</w:t>
      </w:r>
      <w:r>
        <w:rPr>
          <w:rFonts w:hint="eastAsia"/>
        </w:rPr>
        <w:t>1998</w:t>
      </w:r>
      <w:r>
        <w:rPr>
          <w:rFonts w:hint="eastAsia"/>
        </w:rPr>
        <w:t>年国务院发布《关于建立城镇职工基本医疗保险制度的决定》，在全国范围内启动城镇职工医疗保险制度改革。建立多种社会医疗救助形式，满足特困人群最基本的医疗服务需要</w:t>
      </w:r>
      <w:r>
        <w:rPr>
          <w:rFonts w:hint="eastAsia"/>
        </w:rPr>
        <w:t>.</w:t>
      </w:r>
    </w:p>
    <w:p w:rsidR="00000000" w:rsidRDefault="00000000">
      <w:pPr>
        <w:rPr>
          <w:rFonts w:hint="eastAsia"/>
        </w:rPr>
      </w:pPr>
      <w:r>
        <w:rPr>
          <w:rFonts w:hint="eastAsia"/>
        </w:rPr>
        <w:tab/>
        <w:t xml:space="preserve">148.  </w:t>
      </w:r>
      <w:r>
        <w:rPr>
          <w:rFonts w:hint="eastAsia"/>
        </w:rPr>
        <w:t>中国政府一直高度重视农村卫生工作，通过建立农村三级卫生服务网和乡村医生队伍，推行农村合作医疗制度，实施农村初级卫生保健，加强农村卫生机构“三项建设”等，用有限的卫生资源，承担了占我国人口大多数的农村居民的基本医疗卫生服务，农村缺医少药的状况得到较大改善，广大农村居民的健康水平有了较大提高。</w:t>
      </w:r>
      <w:r>
        <w:rPr>
          <w:rFonts w:hint="eastAsia"/>
        </w:rPr>
        <w:t>1990</w:t>
      </w:r>
      <w:r>
        <w:rPr>
          <w:rFonts w:hint="eastAsia"/>
        </w:rPr>
        <w:t>年，中国政府印发《中国农村实现“</w:t>
      </w:r>
      <w:r>
        <w:rPr>
          <w:rFonts w:hint="eastAsia"/>
        </w:rPr>
        <w:t>2000</w:t>
      </w:r>
      <w:r>
        <w:rPr>
          <w:rFonts w:hint="eastAsia"/>
        </w:rPr>
        <w:t>年人人享有卫生保健”的规划目标》。依据经济发展水平，将全国分成贫困、温饱、宽裕和小康四类地区，从</w:t>
      </w:r>
      <w:r>
        <w:rPr>
          <w:rFonts w:hint="eastAsia"/>
        </w:rPr>
        <w:t>13</w:t>
      </w:r>
      <w:r>
        <w:rPr>
          <w:rFonts w:hint="eastAsia"/>
        </w:rPr>
        <w:t>个方面制定了不同经济地区的最低标准，并制定了相应的评价标准和计分方法。到</w:t>
      </w:r>
      <w:r>
        <w:rPr>
          <w:rFonts w:hint="eastAsia"/>
        </w:rPr>
        <w:t>2001</w:t>
      </w:r>
      <w:r>
        <w:rPr>
          <w:rFonts w:hint="eastAsia"/>
        </w:rPr>
        <w:t>年底，全国</w:t>
      </w:r>
      <w:r>
        <w:rPr>
          <w:rFonts w:hint="eastAsia"/>
        </w:rPr>
        <w:t>95%</w:t>
      </w:r>
      <w:r>
        <w:rPr>
          <w:rFonts w:hint="eastAsia"/>
        </w:rPr>
        <w:t>的农业县</w:t>
      </w:r>
      <w:r>
        <w:rPr>
          <w:rFonts w:hint="eastAsia"/>
        </w:rPr>
        <w:t>(</w:t>
      </w:r>
      <w:r>
        <w:rPr>
          <w:rFonts w:hint="eastAsia"/>
        </w:rPr>
        <w:t>市、区、旗</w:t>
      </w:r>
      <w:r>
        <w:rPr>
          <w:rFonts w:hint="eastAsia"/>
        </w:rPr>
        <w:t>)</w:t>
      </w:r>
      <w:r>
        <w:rPr>
          <w:rFonts w:hint="eastAsia"/>
        </w:rPr>
        <w:t>初步实现了“</w:t>
      </w:r>
      <w:r>
        <w:rPr>
          <w:rFonts w:hint="eastAsia"/>
        </w:rPr>
        <w:t>2000</w:t>
      </w:r>
      <w:r>
        <w:rPr>
          <w:rFonts w:hint="eastAsia"/>
        </w:rPr>
        <w:t>年人人享有卫生保健”的农村初级卫生保健阶段性目标，农村居民生活环境得到显著改善，健康水平得到明显提高。</w:t>
      </w:r>
      <w:r>
        <w:rPr>
          <w:rFonts w:hint="eastAsia"/>
        </w:rPr>
        <w:t>2002</w:t>
      </w:r>
      <w:r>
        <w:rPr>
          <w:rFonts w:hint="eastAsia"/>
        </w:rPr>
        <w:t>年</w:t>
      </w:r>
      <w:r>
        <w:rPr>
          <w:rFonts w:hint="eastAsia"/>
        </w:rPr>
        <w:t>6</w:t>
      </w:r>
      <w:r>
        <w:rPr>
          <w:rFonts w:hint="eastAsia"/>
        </w:rPr>
        <w:t>月，中国政府又印发《中国农村初级卫生保健发展纲要</w:t>
      </w:r>
      <w:r>
        <w:rPr>
          <w:rFonts w:hint="eastAsia"/>
        </w:rPr>
        <w:t>(2001-2010</w:t>
      </w:r>
      <w:r>
        <w:rPr>
          <w:rFonts w:hint="eastAsia"/>
        </w:rPr>
        <w:t>年</w:t>
      </w:r>
      <w:r>
        <w:rPr>
          <w:rFonts w:hint="eastAsia"/>
        </w:rPr>
        <w:t>)</w:t>
      </w:r>
      <w:r>
        <w:rPr>
          <w:rFonts w:hint="eastAsia"/>
        </w:rPr>
        <w:t>》。目前，新一轮农村初级卫生保健规划的实施工作正在全面开展。</w:t>
      </w:r>
    </w:p>
    <w:p w:rsidR="00000000" w:rsidRDefault="00000000">
      <w:pPr>
        <w:rPr>
          <w:rFonts w:hint="eastAsia"/>
        </w:rPr>
      </w:pPr>
      <w:r>
        <w:rPr>
          <w:rFonts w:hint="eastAsia"/>
        </w:rPr>
        <w:tab/>
        <w:t xml:space="preserve">149.  </w:t>
      </w:r>
      <w:r>
        <w:rPr>
          <w:rFonts w:hint="eastAsia"/>
        </w:rPr>
        <w:t>经过几十年的努力，中国政府在发展医疗卫生事业方面取得了巨大成就。医疗机构遍布城乡，医疗卫生服务体系基本系基本形成。</w:t>
      </w:r>
      <w:r>
        <w:rPr>
          <w:rFonts w:hint="eastAsia"/>
        </w:rPr>
        <w:t>1949</w:t>
      </w:r>
      <w:r>
        <w:rPr>
          <w:rFonts w:hint="eastAsia"/>
        </w:rPr>
        <w:t>年，全国医疗卫生机构仅</w:t>
      </w:r>
      <w:r>
        <w:rPr>
          <w:rFonts w:hint="eastAsia"/>
        </w:rPr>
        <w:t>3670</w:t>
      </w:r>
      <w:r>
        <w:rPr>
          <w:rFonts w:hint="eastAsia"/>
        </w:rPr>
        <w:t>家，医疗病床</w:t>
      </w:r>
      <w:r>
        <w:rPr>
          <w:rFonts w:hint="eastAsia"/>
        </w:rPr>
        <w:t>8.46</w:t>
      </w:r>
      <w:r>
        <w:rPr>
          <w:rFonts w:hint="eastAsia"/>
        </w:rPr>
        <w:t>万张，卫生技术人员</w:t>
      </w:r>
      <w:r>
        <w:rPr>
          <w:rFonts w:hint="eastAsia"/>
        </w:rPr>
        <w:t>50.5</w:t>
      </w:r>
      <w:r>
        <w:rPr>
          <w:rFonts w:hint="eastAsia"/>
        </w:rPr>
        <w:t>万人；每千人口拥有医疗床位</w:t>
      </w:r>
      <w:r>
        <w:rPr>
          <w:rFonts w:hint="eastAsia"/>
        </w:rPr>
        <w:t>0.15</w:t>
      </w:r>
      <w:r>
        <w:rPr>
          <w:rFonts w:hint="eastAsia"/>
        </w:rPr>
        <w:t>张、卫生技术人员</w:t>
      </w:r>
      <w:r>
        <w:rPr>
          <w:rFonts w:hint="eastAsia"/>
        </w:rPr>
        <w:t>0.93</w:t>
      </w:r>
      <w:r>
        <w:rPr>
          <w:rFonts w:hint="eastAsia"/>
        </w:rPr>
        <w:t>人、医生</w:t>
      </w:r>
      <w:r>
        <w:rPr>
          <w:rFonts w:hint="eastAsia"/>
        </w:rPr>
        <w:t>0.67</w:t>
      </w:r>
      <w:r>
        <w:rPr>
          <w:rFonts w:hint="eastAsia"/>
        </w:rPr>
        <w:t>人、护士</w:t>
      </w:r>
      <w:r>
        <w:rPr>
          <w:rFonts w:hint="eastAsia"/>
        </w:rPr>
        <w:t>(</w:t>
      </w:r>
      <w:r>
        <w:rPr>
          <w:rFonts w:hint="eastAsia"/>
        </w:rPr>
        <w:t>师</w:t>
      </w:r>
      <w:r>
        <w:rPr>
          <w:rFonts w:hint="eastAsia"/>
        </w:rPr>
        <w:t>)0.06</w:t>
      </w:r>
      <w:r>
        <w:rPr>
          <w:rFonts w:hint="eastAsia"/>
        </w:rPr>
        <w:t>人。到</w:t>
      </w:r>
      <w:r>
        <w:rPr>
          <w:rFonts w:hint="eastAsia"/>
        </w:rPr>
        <w:t>2001</w:t>
      </w:r>
      <w:r>
        <w:rPr>
          <w:rFonts w:hint="eastAsia"/>
        </w:rPr>
        <w:t>年，全国卫生机构已达到</w:t>
      </w:r>
      <w:r>
        <w:rPr>
          <w:rFonts w:hint="eastAsia"/>
        </w:rPr>
        <w:t>33.0</w:t>
      </w:r>
      <w:r>
        <w:rPr>
          <w:rFonts w:hint="eastAsia"/>
        </w:rPr>
        <w:t>万家，医疗床位</w:t>
      </w:r>
      <w:r>
        <w:rPr>
          <w:rFonts w:hint="eastAsia"/>
        </w:rPr>
        <w:t>320.1</w:t>
      </w:r>
      <w:r>
        <w:rPr>
          <w:rFonts w:hint="eastAsia"/>
        </w:rPr>
        <w:t>万张，卫生技术人员</w:t>
      </w:r>
      <w:r>
        <w:rPr>
          <w:rFonts w:hint="eastAsia"/>
        </w:rPr>
        <w:t>450.77</w:t>
      </w:r>
      <w:r>
        <w:rPr>
          <w:rFonts w:hint="eastAsia"/>
        </w:rPr>
        <w:t>万人；每千人口拥有医疗床位</w:t>
      </w:r>
      <w:r>
        <w:rPr>
          <w:rFonts w:hint="eastAsia"/>
        </w:rPr>
        <w:t>2.39</w:t>
      </w:r>
      <w:r>
        <w:rPr>
          <w:rFonts w:hint="eastAsia"/>
        </w:rPr>
        <w:t>张，医生</w:t>
      </w:r>
      <w:r>
        <w:rPr>
          <w:rFonts w:hint="eastAsia"/>
        </w:rPr>
        <w:t>1.69</w:t>
      </w:r>
      <w:r>
        <w:rPr>
          <w:rFonts w:hint="eastAsia"/>
        </w:rPr>
        <w:t>人，护士</w:t>
      </w:r>
      <w:r>
        <w:rPr>
          <w:rFonts w:hint="eastAsia"/>
        </w:rPr>
        <w:t>(</w:t>
      </w:r>
      <w:r>
        <w:rPr>
          <w:rFonts w:hint="eastAsia"/>
        </w:rPr>
        <w:t>师</w:t>
      </w:r>
      <w:r>
        <w:rPr>
          <w:rFonts w:hint="eastAsia"/>
        </w:rPr>
        <w:t>)1.03</w:t>
      </w:r>
      <w:r>
        <w:rPr>
          <w:rFonts w:hint="eastAsia"/>
        </w:rPr>
        <w:t>人。人民的健康水平大大提高。人口死亡率由</w:t>
      </w:r>
      <w:r>
        <w:rPr>
          <w:rFonts w:hint="eastAsia"/>
        </w:rPr>
        <w:t>1949</w:t>
      </w:r>
      <w:r>
        <w:rPr>
          <w:rFonts w:hint="eastAsia"/>
        </w:rPr>
        <w:t>年的</w:t>
      </w:r>
      <w:r>
        <w:rPr>
          <w:rFonts w:hint="eastAsia"/>
        </w:rPr>
        <w:t>20</w:t>
      </w:r>
      <w:r>
        <w:rPr>
          <w:rFonts w:ascii="MS Mincho" w:hAnsi="MS Mincho" w:hint="eastAsia"/>
        </w:rPr>
        <w:t>‰</w:t>
      </w:r>
      <w:r>
        <w:rPr>
          <w:rFonts w:hint="eastAsia"/>
        </w:rPr>
        <w:t>下降到</w:t>
      </w:r>
      <w:r>
        <w:rPr>
          <w:rFonts w:hint="eastAsia"/>
        </w:rPr>
        <w:t>2001</w:t>
      </w:r>
      <w:r>
        <w:rPr>
          <w:rFonts w:hint="eastAsia"/>
        </w:rPr>
        <w:t>年的</w:t>
      </w:r>
      <w:r>
        <w:rPr>
          <w:rFonts w:hint="eastAsia"/>
        </w:rPr>
        <w:t>6.43</w:t>
      </w:r>
      <w:r>
        <w:rPr>
          <w:rFonts w:ascii="MS Mincho" w:hAnsi="MS Mincho" w:hint="eastAsia"/>
        </w:rPr>
        <w:t>‰。</w:t>
      </w:r>
      <w:r>
        <w:rPr>
          <w:rFonts w:hint="eastAsia"/>
        </w:rPr>
        <w:t>国民平均预期寿命已从</w:t>
      </w:r>
      <w:r>
        <w:rPr>
          <w:rFonts w:hint="eastAsia"/>
        </w:rPr>
        <w:t>1949</w:t>
      </w:r>
      <w:r>
        <w:rPr>
          <w:rFonts w:hint="eastAsia"/>
        </w:rPr>
        <w:t>年前的</w:t>
      </w:r>
      <w:r>
        <w:rPr>
          <w:rFonts w:hint="eastAsia"/>
        </w:rPr>
        <w:t>35</w:t>
      </w:r>
      <w:r>
        <w:rPr>
          <w:rFonts w:hint="eastAsia"/>
        </w:rPr>
        <w:t>岁提高到目前的</w:t>
      </w:r>
      <w:r>
        <w:rPr>
          <w:rFonts w:hint="eastAsia"/>
        </w:rPr>
        <w:t>71.4</w:t>
      </w:r>
      <w:r>
        <w:rPr>
          <w:rFonts w:hint="eastAsia"/>
        </w:rPr>
        <w:t>岁，达到中等发达国家的水平。</w:t>
      </w:r>
    </w:p>
    <w:p w:rsidR="00000000" w:rsidRDefault="00000000">
      <w:pPr>
        <w:rPr>
          <w:rFonts w:hint="eastAsia"/>
        </w:rPr>
      </w:pPr>
      <w:r>
        <w:rPr>
          <w:rFonts w:hint="eastAsia"/>
        </w:rPr>
        <w:tab/>
        <w:t>150.  1949</w:t>
      </w:r>
      <w:r>
        <w:rPr>
          <w:rFonts w:hint="eastAsia"/>
        </w:rPr>
        <w:t>年，全国仅有妇幼保健所</w:t>
      </w:r>
      <w:r>
        <w:rPr>
          <w:rFonts w:hint="eastAsia"/>
        </w:rPr>
        <w:t>9</w:t>
      </w:r>
      <w:r>
        <w:rPr>
          <w:rFonts w:hint="eastAsia"/>
        </w:rPr>
        <w:t>个，病床床位及工作人员微乎其微。</w:t>
      </w:r>
      <w:r>
        <w:rPr>
          <w:rFonts w:hint="eastAsia"/>
        </w:rPr>
        <w:t>2001</w:t>
      </w:r>
      <w:r>
        <w:rPr>
          <w:rFonts w:hint="eastAsia"/>
        </w:rPr>
        <w:t>年，全国已有妇幼保健院和妇产医院</w:t>
      </w:r>
      <w:r>
        <w:rPr>
          <w:rFonts w:hint="eastAsia"/>
        </w:rPr>
        <w:t>584</w:t>
      </w:r>
      <w:r>
        <w:rPr>
          <w:rFonts w:hint="eastAsia"/>
        </w:rPr>
        <w:t>个，妇幼保健所、站</w:t>
      </w:r>
      <w:r>
        <w:rPr>
          <w:rFonts w:hint="eastAsia"/>
        </w:rPr>
        <w:t>2548</w:t>
      </w:r>
      <w:r>
        <w:rPr>
          <w:rFonts w:hint="eastAsia"/>
        </w:rPr>
        <w:t>个。中华人民共和国成立初期，孕产妇死亡率高达</w:t>
      </w:r>
      <w:r>
        <w:rPr>
          <w:rFonts w:hint="eastAsia"/>
        </w:rPr>
        <w:t>1500/10</w:t>
      </w:r>
      <w:r>
        <w:rPr>
          <w:rFonts w:hint="eastAsia"/>
        </w:rPr>
        <w:t>万。到</w:t>
      </w:r>
      <w:r>
        <w:rPr>
          <w:rFonts w:hint="eastAsia"/>
        </w:rPr>
        <w:t>2001</w:t>
      </w:r>
      <w:r>
        <w:rPr>
          <w:rFonts w:hint="eastAsia"/>
        </w:rPr>
        <w:t>年，全国已有妇产科西医师</w:t>
      </w:r>
      <w:r>
        <w:rPr>
          <w:rFonts w:hint="eastAsia"/>
        </w:rPr>
        <w:t>127864</w:t>
      </w:r>
      <w:r>
        <w:rPr>
          <w:rFonts w:hint="eastAsia"/>
        </w:rPr>
        <w:t>人，助产士也由</w:t>
      </w:r>
      <w:r>
        <w:rPr>
          <w:rFonts w:hint="eastAsia"/>
        </w:rPr>
        <w:t>1949</w:t>
      </w:r>
      <w:r>
        <w:rPr>
          <w:rFonts w:hint="eastAsia"/>
        </w:rPr>
        <w:t>年的</w:t>
      </w:r>
      <w:r>
        <w:rPr>
          <w:rFonts w:hint="eastAsia"/>
        </w:rPr>
        <w:t>13900</w:t>
      </w:r>
      <w:r>
        <w:rPr>
          <w:rFonts w:hint="eastAsia"/>
        </w:rPr>
        <w:t>人发展到</w:t>
      </w:r>
      <w:r>
        <w:rPr>
          <w:rFonts w:hint="eastAsia"/>
        </w:rPr>
        <w:t>42140</w:t>
      </w:r>
      <w:r>
        <w:rPr>
          <w:rFonts w:hint="eastAsia"/>
        </w:rPr>
        <w:t>人，农村接生员达到</w:t>
      </w:r>
      <w:r>
        <w:rPr>
          <w:rFonts w:hint="eastAsia"/>
        </w:rPr>
        <w:t>22.7</w:t>
      </w:r>
      <w:r>
        <w:rPr>
          <w:rFonts w:hint="eastAsia"/>
        </w:rPr>
        <w:t>万人；孕产妇住院分娩率达到</w:t>
      </w:r>
      <w:r>
        <w:rPr>
          <w:rFonts w:hint="eastAsia"/>
        </w:rPr>
        <w:t>76.0%</w:t>
      </w:r>
      <w:r>
        <w:rPr>
          <w:rFonts w:hint="eastAsia"/>
        </w:rPr>
        <w:t>，新法接生率达到</w:t>
      </w:r>
      <w:r>
        <w:rPr>
          <w:rFonts w:hint="eastAsia"/>
        </w:rPr>
        <w:t>97.3%</w:t>
      </w:r>
      <w:r>
        <w:rPr>
          <w:rFonts w:hint="eastAsia"/>
        </w:rPr>
        <w:t>，孕产妇死亡率降至</w:t>
      </w:r>
      <w:r>
        <w:rPr>
          <w:rFonts w:hint="eastAsia"/>
        </w:rPr>
        <w:t>50.2/10</w:t>
      </w:r>
      <w:r>
        <w:rPr>
          <w:rFonts w:hint="eastAsia"/>
        </w:rPr>
        <w:t>万。妇女的预期寿命已由</w:t>
      </w:r>
      <w:r>
        <w:rPr>
          <w:rFonts w:hint="eastAsia"/>
        </w:rPr>
        <w:t>1949</w:t>
      </w:r>
      <w:r>
        <w:rPr>
          <w:rFonts w:hint="eastAsia"/>
        </w:rPr>
        <w:t>年的</w:t>
      </w:r>
      <w:r>
        <w:rPr>
          <w:rFonts w:hint="eastAsia"/>
        </w:rPr>
        <w:t>36</w:t>
      </w:r>
      <w:r>
        <w:rPr>
          <w:rFonts w:hint="eastAsia"/>
        </w:rPr>
        <w:t>岁提高到</w:t>
      </w:r>
      <w:r>
        <w:rPr>
          <w:rFonts w:hint="eastAsia"/>
        </w:rPr>
        <w:t>2000</w:t>
      </w:r>
      <w:r>
        <w:rPr>
          <w:rFonts w:hint="eastAsia"/>
        </w:rPr>
        <w:t>年的</w:t>
      </w:r>
      <w:r>
        <w:rPr>
          <w:rFonts w:hint="eastAsia"/>
        </w:rPr>
        <w:t>73.3</w:t>
      </w:r>
      <w:r>
        <w:rPr>
          <w:rFonts w:hint="eastAsia"/>
        </w:rPr>
        <w:t>岁，比联合国提出的到</w:t>
      </w:r>
      <w:r>
        <w:rPr>
          <w:rFonts w:hint="eastAsia"/>
        </w:rPr>
        <w:t>2000</w:t>
      </w:r>
      <w:r>
        <w:rPr>
          <w:rFonts w:hint="eastAsia"/>
        </w:rPr>
        <w:t>年世界妇女平均预期寿命</w:t>
      </w:r>
      <w:r>
        <w:rPr>
          <w:rFonts w:hint="eastAsia"/>
        </w:rPr>
        <w:t>65</w:t>
      </w:r>
      <w:r>
        <w:rPr>
          <w:rFonts w:hint="eastAsia"/>
        </w:rPr>
        <w:t>岁高出</w:t>
      </w:r>
      <w:r>
        <w:rPr>
          <w:rFonts w:hint="eastAsia"/>
        </w:rPr>
        <w:t>8</w:t>
      </w:r>
      <w:r>
        <w:rPr>
          <w:rFonts w:hint="eastAsia"/>
        </w:rPr>
        <w:t>岁。</w:t>
      </w:r>
    </w:p>
    <w:p w:rsidR="00000000" w:rsidRDefault="00000000">
      <w:pPr>
        <w:rPr>
          <w:rFonts w:hint="eastAsia"/>
          <w:snapToGrid/>
        </w:rPr>
      </w:pPr>
      <w:r>
        <w:rPr>
          <w:rFonts w:hint="eastAsia"/>
          <w:snapToGrid/>
        </w:rPr>
        <w:tab/>
        <w:t>151.  1949</w:t>
      </w:r>
      <w:r>
        <w:rPr>
          <w:rFonts w:hint="eastAsia"/>
          <w:snapToGrid/>
        </w:rPr>
        <w:t>年，全国有儿童医院</w:t>
      </w:r>
      <w:r>
        <w:rPr>
          <w:rFonts w:hint="eastAsia"/>
          <w:snapToGrid/>
        </w:rPr>
        <w:t>5</w:t>
      </w:r>
      <w:r>
        <w:rPr>
          <w:rFonts w:hint="eastAsia"/>
          <w:snapToGrid/>
        </w:rPr>
        <w:t>所，床位仅</w:t>
      </w:r>
      <w:r>
        <w:rPr>
          <w:rFonts w:hint="eastAsia"/>
          <w:snapToGrid/>
        </w:rPr>
        <w:t>139</w:t>
      </w:r>
      <w:r>
        <w:rPr>
          <w:rFonts w:hint="eastAsia"/>
          <w:snapToGrid/>
        </w:rPr>
        <w:t>张。到</w:t>
      </w:r>
      <w:r>
        <w:rPr>
          <w:rFonts w:hint="eastAsia"/>
          <w:snapToGrid/>
        </w:rPr>
        <w:t>2001</w:t>
      </w:r>
      <w:r>
        <w:rPr>
          <w:rFonts w:hint="eastAsia"/>
          <w:snapToGrid/>
        </w:rPr>
        <w:t>年，全国儿童医院已达</w:t>
      </w:r>
      <w:r>
        <w:rPr>
          <w:rFonts w:hint="eastAsia"/>
          <w:snapToGrid/>
        </w:rPr>
        <w:t>37</w:t>
      </w:r>
      <w:r>
        <w:rPr>
          <w:rFonts w:hint="eastAsia"/>
          <w:snapToGrid/>
        </w:rPr>
        <w:t>所，床位</w:t>
      </w:r>
      <w:r>
        <w:rPr>
          <w:rFonts w:hint="eastAsia"/>
          <w:snapToGrid/>
        </w:rPr>
        <w:t>9907</w:t>
      </w:r>
      <w:r>
        <w:rPr>
          <w:rFonts w:hint="eastAsia"/>
          <w:snapToGrid/>
        </w:rPr>
        <w:t>张，儿科西医师达</w:t>
      </w:r>
      <w:r>
        <w:rPr>
          <w:rFonts w:hint="eastAsia"/>
          <w:snapToGrid/>
        </w:rPr>
        <w:t>65995</w:t>
      </w:r>
      <w:r>
        <w:rPr>
          <w:rFonts w:hint="eastAsia"/>
          <w:snapToGrid/>
        </w:rPr>
        <w:t>人。婴儿死亡率在中华人民共和国成立初期为</w:t>
      </w:r>
      <w:r>
        <w:rPr>
          <w:rFonts w:hint="eastAsia"/>
          <w:snapToGrid/>
        </w:rPr>
        <w:t>200</w:t>
      </w:r>
      <w:r>
        <w:rPr>
          <w:rFonts w:hint="eastAsia"/>
          <w:snapToGrid/>
        </w:rPr>
        <w:t>‰，至</w:t>
      </w:r>
      <w:r>
        <w:rPr>
          <w:rFonts w:hint="eastAsia"/>
          <w:snapToGrid/>
        </w:rPr>
        <w:t>1991</w:t>
      </w:r>
      <w:r>
        <w:rPr>
          <w:rFonts w:hint="eastAsia"/>
          <w:snapToGrid/>
        </w:rPr>
        <w:t>年降至</w:t>
      </w:r>
      <w:r>
        <w:rPr>
          <w:rFonts w:hint="eastAsia"/>
          <w:snapToGrid/>
        </w:rPr>
        <w:t>50.19</w:t>
      </w:r>
      <w:r>
        <w:rPr>
          <w:rFonts w:hint="eastAsia"/>
          <w:snapToGrid/>
        </w:rPr>
        <w:t>‰，至</w:t>
      </w:r>
      <w:r>
        <w:rPr>
          <w:rFonts w:hint="eastAsia"/>
          <w:snapToGrid/>
        </w:rPr>
        <w:t>2001</w:t>
      </w:r>
      <w:r>
        <w:rPr>
          <w:rFonts w:hint="eastAsia"/>
          <w:snapToGrid/>
        </w:rPr>
        <w:t>年降到</w:t>
      </w:r>
      <w:r>
        <w:rPr>
          <w:rFonts w:hint="eastAsia"/>
          <w:snapToGrid/>
        </w:rPr>
        <w:t>32.2</w:t>
      </w:r>
      <w:r>
        <w:rPr>
          <w:rFonts w:hint="eastAsia"/>
          <w:snapToGrid/>
        </w:rPr>
        <w:t>‰，</w:t>
      </w:r>
      <w:r>
        <w:rPr>
          <w:rFonts w:hint="eastAsia"/>
          <w:snapToGrid/>
        </w:rPr>
        <w:t>5</w:t>
      </w:r>
      <w:r>
        <w:rPr>
          <w:rFonts w:hint="eastAsia"/>
          <w:snapToGrid/>
        </w:rPr>
        <w:t>岁以下儿童死亡率也由</w:t>
      </w:r>
      <w:r>
        <w:rPr>
          <w:rFonts w:hint="eastAsia"/>
          <w:snapToGrid/>
        </w:rPr>
        <w:t>1991</w:t>
      </w:r>
      <w:r>
        <w:rPr>
          <w:rFonts w:hint="eastAsia"/>
          <w:snapToGrid/>
        </w:rPr>
        <w:t>年的</w:t>
      </w:r>
      <w:r>
        <w:rPr>
          <w:rFonts w:hint="eastAsia"/>
          <w:snapToGrid/>
        </w:rPr>
        <w:t>61.03</w:t>
      </w:r>
      <w:r>
        <w:rPr>
          <w:rFonts w:hint="eastAsia"/>
          <w:snapToGrid/>
        </w:rPr>
        <w:t>‰降至</w:t>
      </w:r>
      <w:r>
        <w:rPr>
          <w:rFonts w:hint="eastAsia"/>
          <w:snapToGrid/>
        </w:rPr>
        <w:t>39.7</w:t>
      </w:r>
      <w:r>
        <w:rPr>
          <w:rFonts w:hint="eastAsia"/>
          <w:snapToGrid/>
        </w:rPr>
        <w:t>‰。</w:t>
      </w:r>
    </w:p>
    <w:p w:rsidR="00000000" w:rsidRDefault="00000000">
      <w:pPr>
        <w:rPr>
          <w:rFonts w:hint="eastAsia"/>
        </w:rPr>
      </w:pPr>
      <w:r>
        <w:rPr>
          <w:rFonts w:hint="eastAsia"/>
        </w:rPr>
        <w:tab/>
        <w:t xml:space="preserve">152.  </w:t>
      </w:r>
      <w:r>
        <w:rPr>
          <w:rFonts w:hint="eastAsia"/>
        </w:rPr>
        <w:t>自</w:t>
      </w:r>
      <w:r>
        <w:rPr>
          <w:rFonts w:hint="eastAsia"/>
        </w:rPr>
        <w:t>20</w:t>
      </w:r>
      <w:r>
        <w:rPr>
          <w:rFonts w:hint="eastAsia"/>
        </w:rPr>
        <w:t>世纪</w:t>
      </w:r>
      <w:r>
        <w:rPr>
          <w:rFonts w:hint="eastAsia"/>
        </w:rPr>
        <w:t>50</w:t>
      </w:r>
      <w:r>
        <w:rPr>
          <w:rFonts w:hint="eastAsia"/>
        </w:rPr>
        <w:t>年代起，中国致力于改善人民的生存权和发展权，有效控制了传染病和地方病的蔓延。</w:t>
      </w:r>
      <w:r>
        <w:rPr>
          <w:rFonts w:hint="eastAsia"/>
        </w:rPr>
        <w:t>20</w:t>
      </w:r>
      <w:r>
        <w:rPr>
          <w:rFonts w:hint="eastAsia"/>
        </w:rPr>
        <w:t>世纪</w:t>
      </w:r>
      <w:r>
        <w:rPr>
          <w:rFonts w:hint="eastAsia"/>
        </w:rPr>
        <w:t>50</w:t>
      </w:r>
      <w:r>
        <w:rPr>
          <w:rFonts w:hint="eastAsia"/>
        </w:rPr>
        <w:t>年代以前的中国，急性传染病和地方病是影响国人健康和死亡原因的重要因素。全国人口死亡率超过</w:t>
      </w:r>
      <w:r>
        <w:rPr>
          <w:rFonts w:hint="eastAsia"/>
        </w:rPr>
        <w:t>20</w:t>
      </w:r>
      <w:r>
        <w:rPr>
          <w:rFonts w:hint="eastAsia"/>
        </w:rPr>
        <w:t>‰，其中半数以上死于传染病。中国政府加大了对卫生事业的投入，建立不同层次的医疗保健机构，提高卫生服务能力，优先发展和保证基本卫生服务。</w:t>
      </w:r>
      <w:r>
        <w:rPr>
          <w:rFonts w:hint="eastAsia"/>
        </w:rPr>
        <w:t>1961</w:t>
      </w:r>
      <w:r>
        <w:rPr>
          <w:rFonts w:hint="eastAsia"/>
        </w:rPr>
        <w:t>年消灭了天花；</w:t>
      </w:r>
      <w:r>
        <w:rPr>
          <w:rFonts w:hint="eastAsia"/>
        </w:rPr>
        <w:t>20</w:t>
      </w:r>
      <w:r>
        <w:rPr>
          <w:rFonts w:hint="eastAsia"/>
        </w:rPr>
        <w:t>世纪</w:t>
      </w:r>
      <w:r>
        <w:rPr>
          <w:rFonts w:hint="eastAsia"/>
        </w:rPr>
        <w:t>60</w:t>
      </w:r>
      <w:r>
        <w:rPr>
          <w:rFonts w:hint="eastAsia"/>
        </w:rPr>
        <w:t>年代后期有效控制了霍乱、鼠疫、天花、回归热、斑疹伤寒、黑热病等严重危害人民健康的烈性传染病；通过扩大计划免疫，消灭或基本控制了脊髓灰质炎、白喉、百日咳和麻疹等传染病。</w:t>
      </w:r>
      <w:r>
        <w:rPr>
          <w:rFonts w:hint="eastAsia"/>
        </w:rPr>
        <w:t>2000</w:t>
      </w:r>
      <w:r>
        <w:rPr>
          <w:rFonts w:hint="eastAsia"/>
        </w:rPr>
        <w:t>年完成了无脊髓灰质炎证实工作，实现了消灭本土脊髓灰质炎的目标。中国法定报告传染病发病率由</w:t>
      </w:r>
      <w:r>
        <w:rPr>
          <w:rFonts w:hint="eastAsia"/>
        </w:rPr>
        <w:t>20</w:t>
      </w:r>
      <w:r>
        <w:rPr>
          <w:rFonts w:hint="eastAsia"/>
        </w:rPr>
        <w:t>世纪</w:t>
      </w:r>
      <w:r>
        <w:rPr>
          <w:rFonts w:hint="eastAsia"/>
        </w:rPr>
        <w:t>50</w:t>
      </w:r>
      <w:r>
        <w:rPr>
          <w:rFonts w:hint="eastAsia"/>
        </w:rPr>
        <w:t>年代</w:t>
      </w:r>
      <w:r>
        <w:rPr>
          <w:rFonts w:hint="eastAsia"/>
          <w:spacing w:val="0"/>
        </w:rPr>
        <w:t>3200/10</w:t>
      </w:r>
      <w:r>
        <w:rPr>
          <w:rFonts w:hint="eastAsia"/>
          <w:spacing w:val="0"/>
        </w:rPr>
        <w:t>万下降到</w:t>
      </w:r>
      <w:r>
        <w:rPr>
          <w:rFonts w:hint="eastAsia"/>
          <w:spacing w:val="0"/>
        </w:rPr>
        <w:t>2001</w:t>
      </w:r>
      <w:r>
        <w:rPr>
          <w:rFonts w:hint="eastAsia"/>
          <w:spacing w:val="0"/>
        </w:rPr>
        <w:t>年的</w:t>
      </w:r>
      <w:r>
        <w:rPr>
          <w:rFonts w:hint="eastAsia"/>
          <w:spacing w:val="0"/>
        </w:rPr>
        <w:t>188/10</w:t>
      </w:r>
      <w:r>
        <w:rPr>
          <w:rFonts w:hint="eastAsia"/>
          <w:spacing w:val="0"/>
        </w:rPr>
        <w:t>万。</w:t>
      </w:r>
      <w:r>
        <w:rPr>
          <w:rFonts w:hint="eastAsia"/>
          <w:spacing w:val="0"/>
        </w:rPr>
        <w:t>2000</w:t>
      </w:r>
      <w:r>
        <w:rPr>
          <w:rFonts w:hint="eastAsia"/>
          <w:spacing w:val="0"/>
        </w:rPr>
        <w:t>年与</w:t>
      </w:r>
      <w:r>
        <w:rPr>
          <w:rFonts w:hint="eastAsia"/>
          <w:spacing w:val="0"/>
        </w:rPr>
        <w:t>1980</w:t>
      </w:r>
      <w:r>
        <w:rPr>
          <w:rFonts w:hint="eastAsia"/>
          <w:spacing w:val="0"/>
        </w:rPr>
        <w:t>年相比，总变化率为</w:t>
      </w:r>
      <w:r>
        <w:rPr>
          <w:rFonts w:hint="eastAsia"/>
        </w:rPr>
        <w:t>-91.06%</w:t>
      </w:r>
      <w:r>
        <w:rPr>
          <w:rFonts w:hint="eastAsia"/>
        </w:rPr>
        <w:t>；其中霍乱、白喉、流脑、百日咳、麻疹、疟疾等变化率为</w:t>
      </w:r>
      <w:r>
        <w:rPr>
          <w:rFonts w:hint="eastAsia"/>
        </w:rPr>
        <w:t>-95%</w:t>
      </w:r>
      <w:r>
        <w:rPr>
          <w:rFonts w:hint="eastAsia"/>
        </w:rPr>
        <w:t>以上。除了性传播疾病外，绝大多数传染病已下降到较低水平</w:t>
      </w:r>
      <w:r>
        <w:rPr>
          <w:rFonts w:hint="eastAsia"/>
        </w:rPr>
        <w:t>(</w:t>
      </w:r>
      <w:r>
        <w:rPr>
          <w:rFonts w:hint="eastAsia"/>
        </w:rPr>
        <w:t>见表</w:t>
      </w:r>
      <w:r>
        <w:rPr>
          <w:rFonts w:hint="eastAsia"/>
        </w:rPr>
        <w:t>9)</w:t>
      </w:r>
      <w:r>
        <w:rPr>
          <w:rFonts w:hint="eastAsia"/>
        </w:rPr>
        <w:t>。</w:t>
      </w:r>
      <w:r>
        <w:rPr>
          <w:rFonts w:hint="eastAsia"/>
        </w:rPr>
        <w:t>2001</w:t>
      </w:r>
      <w:r>
        <w:rPr>
          <w:rFonts w:hint="eastAsia"/>
        </w:rPr>
        <w:t>年除霍乱、麻疹、病毒性肝炎、狂犬病变化不大外，其他传染病均继续下降，基本控制了大多数地方病和寄生虫病。</w:t>
      </w:r>
      <w:r>
        <w:rPr>
          <w:rFonts w:hint="eastAsia"/>
        </w:rPr>
        <w:t>2000</w:t>
      </w:r>
      <w:r>
        <w:rPr>
          <w:rFonts w:hint="eastAsia"/>
        </w:rPr>
        <w:t>年我国基本实现了消除碘缺乏病的目标，大骨节病、克山病、氟中毒等地方病病区不断缩小，发病患者显著减少。血吸虫病发病率也大幅下降，</w:t>
      </w:r>
      <w:r>
        <w:rPr>
          <w:rFonts w:hint="eastAsia"/>
        </w:rPr>
        <w:t>2000</w:t>
      </w:r>
      <w:r>
        <w:rPr>
          <w:rFonts w:hint="eastAsia"/>
        </w:rPr>
        <w:t>年末，全国</w:t>
      </w:r>
      <w:r>
        <w:rPr>
          <w:rFonts w:hint="eastAsia"/>
        </w:rPr>
        <w:t>413</w:t>
      </w:r>
      <w:r>
        <w:rPr>
          <w:rFonts w:hint="eastAsia"/>
        </w:rPr>
        <w:t>个血吸虫病流行县</w:t>
      </w:r>
      <w:r>
        <w:rPr>
          <w:rFonts w:hint="eastAsia"/>
        </w:rPr>
        <w:t>(</w:t>
      </w:r>
      <w:r>
        <w:rPr>
          <w:rFonts w:hint="eastAsia"/>
        </w:rPr>
        <w:t>市、区</w:t>
      </w:r>
      <w:r>
        <w:rPr>
          <w:rFonts w:hint="eastAsia"/>
        </w:rPr>
        <w:t>)</w:t>
      </w:r>
      <w:r>
        <w:rPr>
          <w:rFonts w:hint="eastAsia"/>
        </w:rPr>
        <w:t>中已有</w:t>
      </w:r>
      <w:r>
        <w:rPr>
          <w:rFonts w:hint="eastAsia"/>
        </w:rPr>
        <w:t>243</w:t>
      </w:r>
      <w:r>
        <w:rPr>
          <w:rFonts w:hint="eastAsia"/>
        </w:rPr>
        <w:t>个县</w:t>
      </w:r>
      <w:r>
        <w:rPr>
          <w:rFonts w:hint="eastAsia"/>
        </w:rPr>
        <w:t>(</w:t>
      </w:r>
      <w:r>
        <w:rPr>
          <w:rFonts w:hint="eastAsia"/>
        </w:rPr>
        <w:t>市、区</w:t>
      </w:r>
      <w:r>
        <w:rPr>
          <w:rFonts w:hint="eastAsia"/>
        </w:rPr>
        <w:t>)</w:t>
      </w:r>
      <w:r>
        <w:rPr>
          <w:rFonts w:hint="eastAsia"/>
        </w:rPr>
        <w:t>达到消除和基本消除的标准。</w:t>
      </w:r>
    </w:p>
    <w:p w:rsidR="00000000" w:rsidRDefault="00000000">
      <w:pPr>
        <w:rPr>
          <w:rFonts w:hint="eastAsia"/>
        </w:rPr>
      </w:pPr>
      <w:r>
        <w:rPr>
          <w:rFonts w:hint="eastAsia"/>
        </w:rPr>
        <w:tab/>
        <w:t xml:space="preserve">153.  </w:t>
      </w:r>
      <w:r>
        <w:rPr>
          <w:rFonts w:hint="eastAsia"/>
        </w:rPr>
        <w:t>随着社会经济的发展和医疗卫生的进步，中国人口的疾病谱发生变化。从</w:t>
      </w:r>
      <w:r>
        <w:rPr>
          <w:rFonts w:hint="eastAsia"/>
        </w:rPr>
        <w:t>20</w:t>
      </w:r>
      <w:r>
        <w:rPr>
          <w:rFonts w:hint="eastAsia"/>
        </w:rPr>
        <w:t>世纪</w:t>
      </w:r>
      <w:r>
        <w:rPr>
          <w:rFonts w:hint="eastAsia"/>
        </w:rPr>
        <w:t>60</w:t>
      </w:r>
      <w:r>
        <w:rPr>
          <w:rFonts w:hint="eastAsia"/>
        </w:rPr>
        <w:t>年代后期开始，中国大中城市率先出现慢性非传染性疾病取代传染病为主导死亡原因的转变。此后，中国绝大部分地区疾病发病、死亡模式也发生了转变。据</w:t>
      </w:r>
      <w:r>
        <w:rPr>
          <w:rFonts w:hint="eastAsia"/>
        </w:rPr>
        <w:t>2001</w:t>
      </w:r>
      <w:r>
        <w:rPr>
          <w:rFonts w:hint="eastAsia"/>
        </w:rPr>
        <w:t>年统计，死因顺位中，城市居民前五位死亡原因分别是恶性肿瘤、脑血管疾病、心脏病、呼吸系统疾病、损伤和中毒；农村居民前五位死亡原因分别是呼吸系统疾病、脑血管疾病、恶性肿瘤、心脏病、损伤和中毒</w:t>
      </w:r>
      <w:r>
        <w:rPr>
          <w:rFonts w:hint="eastAsia"/>
        </w:rPr>
        <w:t>(</w:t>
      </w:r>
      <w:r>
        <w:rPr>
          <w:rFonts w:hint="eastAsia"/>
        </w:rPr>
        <w:t>见表</w:t>
      </w:r>
      <w:r>
        <w:rPr>
          <w:rFonts w:hint="eastAsia"/>
        </w:rPr>
        <w:t>10)</w:t>
      </w:r>
      <w:r>
        <w:rPr>
          <w:rFonts w:hint="eastAsia"/>
        </w:rPr>
        <w:t>。</w:t>
      </w:r>
    </w:p>
    <w:p w:rsidR="00000000" w:rsidRDefault="00000000">
      <w:pPr>
        <w:rPr>
          <w:rFonts w:hint="eastAsia"/>
        </w:rPr>
      </w:pPr>
      <w:r>
        <w:rPr>
          <w:rFonts w:hint="eastAsia"/>
        </w:rPr>
        <w:tab/>
        <w:t xml:space="preserve">154.  </w:t>
      </w:r>
      <w:r>
        <w:rPr>
          <w:rFonts w:hint="eastAsia"/>
        </w:rPr>
        <w:t>影响人们身心健康的新的卫生问题日益突出。性病、艾滋病等发病人数增长。</w:t>
      </w:r>
      <w:r>
        <w:rPr>
          <w:rFonts w:hint="eastAsia"/>
        </w:rPr>
        <w:t>1999</w:t>
      </w:r>
      <w:r>
        <w:rPr>
          <w:rFonts w:hint="eastAsia"/>
        </w:rPr>
        <w:t>年全国新发生性病患者近</w:t>
      </w:r>
      <w:r>
        <w:rPr>
          <w:rFonts w:hint="eastAsia"/>
        </w:rPr>
        <w:t>84</w:t>
      </w:r>
      <w:r>
        <w:rPr>
          <w:rFonts w:hint="eastAsia"/>
        </w:rPr>
        <w:t>万例，比</w:t>
      </w:r>
      <w:r>
        <w:rPr>
          <w:rFonts w:hint="eastAsia"/>
        </w:rPr>
        <w:t>1998</w:t>
      </w:r>
      <w:r>
        <w:rPr>
          <w:rFonts w:hint="eastAsia"/>
        </w:rPr>
        <w:t>年增加</w:t>
      </w:r>
      <w:r>
        <w:rPr>
          <w:rFonts w:hint="eastAsia"/>
        </w:rPr>
        <w:t>32%</w:t>
      </w:r>
      <w:r>
        <w:rPr>
          <w:rFonts w:hint="eastAsia"/>
        </w:rPr>
        <w:t>。</w:t>
      </w:r>
      <w:r>
        <w:rPr>
          <w:rFonts w:hint="eastAsia"/>
        </w:rPr>
        <w:t>1985</w:t>
      </w:r>
      <w:r>
        <w:rPr>
          <w:rFonts w:hint="eastAsia"/>
        </w:rPr>
        <w:t>年我国发现首例艾滋病病例，到</w:t>
      </w:r>
      <w:r>
        <w:rPr>
          <w:rFonts w:hint="eastAsia"/>
        </w:rPr>
        <w:t>2002</w:t>
      </w:r>
      <w:r>
        <w:rPr>
          <w:rFonts w:hint="eastAsia"/>
        </w:rPr>
        <w:t>年底，估计艾滋病病毒感染者数十万人。乙肝病毒感染的流行率达</w:t>
      </w:r>
      <w:r>
        <w:rPr>
          <w:rFonts w:hint="eastAsia"/>
        </w:rPr>
        <w:t>10%</w:t>
      </w:r>
      <w:r>
        <w:rPr>
          <w:rFonts w:hint="eastAsia"/>
        </w:rPr>
        <w:t>，有些地区高达</w:t>
      </w:r>
      <w:r>
        <w:rPr>
          <w:rFonts w:hint="eastAsia"/>
        </w:rPr>
        <w:t>20%</w:t>
      </w:r>
      <w:r>
        <w:rPr>
          <w:rFonts w:hint="eastAsia"/>
        </w:rPr>
        <w:t>以上。全国有</w:t>
      </w:r>
      <w:r>
        <w:rPr>
          <w:rFonts w:hint="eastAsia"/>
        </w:rPr>
        <w:t>4</w:t>
      </w:r>
      <w:r>
        <w:rPr>
          <w:rFonts w:hint="eastAsia"/>
        </w:rPr>
        <w:t>亿人感染了结核菌，有肺结核病人</w:t>
      </w:r>
      <w:r>
        <w:rPr>
          <w:rFonts w:hint="eastAsia"/>
        </w:rPr>
        <w:t>500</w:t>
      </w:r>
      <w:r>
        <w:rPr>
          <w:rFonts w:hint="eastAsia"/>
        </w:rPr>
        <w:t>万。精神障碍、心理障碍患者急剧增加，精神卫生问题日益突出。目前我国精神疾病患者</w:t>
      </w:r>
      <w:r>
        <w:rPr>
          <w:rFonts w:hint="eastAsia"/>
        </w:rPr>
        <w:t>1600</w:t>
      </w:r>
      <w:r>
        <w:rPr>
          <w:rFonts w:hint="eastAsia"/>
        </w:rPr>
        <w:t>万人，在</w:t>
      </w:r>
      <w:r>
        <w:rPr>
          <w:rFonts w:hint="eastAsia"/>
        </w:rPr>
        <w:t>17</w:t>
      </w:r>
      <w:r>
        <w:rPr>
          <w:rFonts w:hint="eastAsia"/>
        </w:rPr>
        <w:t>岁以下的</w:t>
      </w:r>
      <w:r>
        <w:rPr>
          <w:rFonts w:hint="eastAsia"/>
        </w:rPr>
        <w:t>3.4</w:t>
      </w:r>
      <w:r>
        <w:rPr>
          <w:rFonts w:hint="eastAsia"/>
        </w:rPr>
        <w:t>亿儿童和青少年中，约有</w:t>
      </w:r>
      <w:r>
        <w:rPr>
          <w:rFonts w:hint="eastAsia"/>
        </w:rPr>
        <w:t>3000</w:t>
      </w:r>
      <w:r>
        <w:rPr>
          <w:rFonts w:hint="eastAsia"/>
        </w:rPr>
        <w:t>万受到情绪障碍和行为问题的困扰。精神问题已成为中国最重要的一类疾病负担，占中国疾病负担总数的</w:t>
      </w:r>
      <w:r>
        <w:rPr>
          <w:rFonts w:hint="eastAsia"/>
        </w:rPr>
        <w:t>18%(</w:t>
      </w:r>
      <w:r>
        <w:rPr>
          <w:rFonts w:hint="eastAsia"/>
        </w:rPr>
        <w:t>见表</w:t>
      </w:r>
      <w:r>
        <w:rPr>
          <w:rFonts w:hint="eastAsia"/>
        </w:rPr>
        <w:t>11)</w:t>
      </w:r>
      <w:r>
        <w:rPr>
          <w:rFonts w:hint="eastAsia"/>
        </w:rPr>
        <w:t>。此外，意外伤害，包括交通事故、中毒、自杀等，</w:t>
      </w:r>
      <w:r>
        <w:rPr>
          <w:rFonts w:hint="eastAsia"/>
        </w:rPr>
        <w:t xml:space="preserve"> </w:t>
      </w:r>
      <w:r>
        <w:rPr>
          <w:rFonts w:hint="eastAsia"/>
        </w:rPr>
        <w:t>是现代社会所面临的重大公共卫生问题，占我国死亡总人数的</w:t>
      </w:r>
      <w:r>
        <w:rPr>
          <w:rFonts w:hint="eastAsia"/>
        </w:rPr>
        <w:t>5.87%</w:t>
      </w:r>
      <w:r>
        <w:rPr>
          <w:rFonts w:hint="eastAsia"/>
        </w:rPr>
        <w:t>，已经上升到死因第</w:t>
      </w:r>
      <w:r>
        <w:rPr>
          <w:rFonts w:hint="eastAsia"/>
        </w:rPr>
        <w:t>4</w:t>
      </w:r>
      <w:r>
        <w:rPr>
          <w:rFonts w:hint="eastAsia"/>
        </w:rPr>
        <w:t>位。儿童营养不良和肥胖、职业与环境危害等已经成为影响人们健康的新的卫生问题。</w:t>
      </w:r>
    </w:p>
    <w:p w:rsidR="00000000" w:rsidRDefault="00000000">
      <w:pPr>
        <w:rPr>
          <w:rFonts w:hint="eastAsia"/>
        </w:rPr>
      </w:pPr>
      <w:r>
        <w:rPr>
          <w:rFonts w:hint="eastAsia"/>
        </w:rPr>
        <w:tab/>
        <w:t xml:space="preserve">155.  </w:t>
      </w:r>
      <w:r>
        <w:rPr>
          <w:rFonts w:hint="eastAsia"/>
        </w:rPr>
        <w:t>旧中国，少数民族医疗卫生状况十分落后，地方病、传染病流行蔓延，人口锐减。中华人民共和国成立后，少数民族地区的医疗卫生状况得到巨大改善，健康水平大幅提高。</w:t>
      </w:r>
      <w:r>
        <w:rPr>
          <w:rFonts w:hint="eastAsia"/>
        </w:rPr>
        <w:t>2001</w:t>
      </w:r>
      <w:r>
        <w:rPr>
          <w:rFonts w:hint="eastAsia"/>
        </w:rPr>
        <w:t>年全国民族自治地方的医疗卫生机构已由</w:t>
      </w:r>
      <w:r>
        <w:rPr>
          <w:rFonts w:hint="eastAsia"/>
        </w:rPr>
        <w:t>1949</w:t>
      </w:r>
      <w:r>
        <w:rPr>
          <w:rFonts w:hint="eastAsia"/>
        </w:rPr>
        <w:t>年的</w:t>
      </w:r>
      <w:r>
        <w:rPr>
          <w:rFonts w:hint="eastAsia"/>
        </w:rPr>
        <w:t>361</w:t>
      </w:r>
      <w:r>
        <w:rPr>
          <w:rFonts w:hint="eastAsia"/>
        </w:rPr>
        <w:t>个增至</w:t>
      </w:r>
      <w:r>
        <w:rPr>
          <w:rFonts w:hint="eastAsia"/>
        </w:rPr>
        <w:t>15942</w:t>
      </w:r>
      <w:r>
        <w:rPr>
          <w:rFonts w:hint="eastAsia"/>
        </w:rPr>
        <w:t>家，病床由</w:t>
      </w:r>
      <w:r>
        <w:rPr>
          <w:rFonts w:hint="eastAsia"/>
        </w:rPr>
        <w:t>3310</w:t>
      </w:r>
      <w:r>
        <w:rPr>
          <w:rFonts w:hint="eastAsia"/>
        </w:rPr>
        <w:t>张增至</w:t>
      </w:r>
      <w:r>
        <w:rPr>
          <w:rFonts w:hint="eastAsia"/>
        </w:rPr>
        <w:t>371651</w:t>
      </w:r>
      <w:r>
        <w:rPr>
          <w:rFonts w:hint="eastAsia"/>
        </w:rPr>
        <w:t>张，卫生技术人员由</w:t>
      </w:r>
      <w:r>
        <w:rPr>
          <w:rFonts w:hint="eastAsia"/>
        </w:rPr>
        <w:t>3531</w:t>
      </w:r>
      <w:r>
        <w:rPr>
          <w:rFonts w:hint="eastAsia"/>
        </w:rPr>
        <w:t>名增至</w:t>
      </w:r>
      <w:r>
        <w:rPr>
          <w:rFonts w:hint="eastAsia"/>
        </w:rPr>
        <w:t>487700</w:t>
      </w:r>
      <w:r>
        <w:rPr>
          <w:rFonts w:hint="eastAsia"/>
        </w:rPr>
        <w:t>名。</w:t>
      </w:r>
      <w:r>
        <w:rPr>
          <w:rFonts w:hint="eastAsia"/>
        </w:rPr>
        <w:t>1953</w:t>
      </w:r>
      <w:r>
        <w:rPr>
          <w:rFonts w:hint="eastAsia"/>
        </w:rPr>
        <w:t>年全国第一次人口普查时，少数民族人口只有</w:t>
      </w:r>
      <w:r>
        <w:rPr>
          <w:rFonts w:hint="eastAsia"/>
        </w:rPr>
        <w:t>3401.3</w:t>
      </w:r>
      <w:r>
        <w:rPr>
          <w:rFonts w:hint="eastAsia"/>
        </w:rPr>
        <w:t>万人；</w:t>
      </w:r>
      <w:r>
        <w:rPr>
          <w:rFonts w:hint="eastAsia"/>
        </w:rPr>
        <w:t>2000</w:t>
      </w:r>
      <w:r>
        <w:rPr>
          <w:rFonts w:hint="eastAsia"/>
        </w:rPr>
        <w:t>年第五次人口普查显示，为</w:t>
      </w:r>
      <w:r>
        <w:rPr>
          <w:rFonts w:hint="eastAsia"/>
        </w:rPr>
        <w:t>10643</w:t>
      </w:r>
      <w:r>
        <w:rPr>
          <w:rFonts w:hint="eastAsia"/>
        </w:rPr>
        <w:t>万人，占总人口的</w:t>
      </w:r>
      <w:r>
        <w:rPr>
          <w:rFonts w:hint="eastAsia"/>
        </w:rPr>
        <w:t>8.41%</w:t>
      </w:r>
      <w:r>
        <w:rPr>
          <w:rFonts w:hint="eastAsia"/>
        </w:rPr>
        <w:t>。同</w:t>
      </w:r>
      <w:r>
        <w:rPr>
          <w:rFonts w:hint="eastAsia"/>
        </w:rPr>
        <w:t>1990</w:t>
      </w:r>
      <w:r>
        <w:rPr>
          <w:rFonts w:hint="eastAsia"/>
        </w:rPr>
        <w:t>年相比，各少数民族人口增加了</w:t>
      </w:r>
      <w:r>
        <w:rPr>
          <w:rFonts w:hint="eastAsia"/>
        </w:rPr>
        <w:t>1523</w:t>
      </w:r>
      <w:r>
        <w:rPr>
          <w:rFonts w:hint="eastAsia"/>
        </w:rPr>
        <w:t>万人，增长了</w:t>
      </w:r>
      <w:r>
        <w:rPr>
          <w:rFonts w:hint="eastAsia"/>
        </w:rPr>
        <w:t>16.70%</w:t>
      </w:r>
      <w:r>
        <w:rPr>
          <w:rFonts w:hint="eastAsia"/>
        </w:rPr>
        <w:t>。少数民族人口比重由</w:t>
      </w:r>
      <w:r>
        <w:rPr>
          <w:rFonts w:hint="eastAsia"/>
        </w:rPr>
        <w:t>1990</w:t>
      </w:r>
      <w:r>
        <w:rPr>
          <w:rFonts w:hint="eastAsia"/>
        </w:rPr>
        <w:t>年的</w:t>
      </w:r>
      <w:r>
        <w:rPr>
          <w:rFonts w:hint="eastAsia"/>
        </w:rPr>
        <w:t>8.04%</w:t>
      </w:r>
      <w:r>
        <w:rPr>
          <w:rFonts w:hint="eastAsia"/>
        </w:rPr>
        <w:t>，上升为</w:t>
      </w:r>
      <w:r>
        <w:rPr>
          <w:rFonts w:hint="eastAsia"/>
        </w:rPr>
        <w:t>8.41%</w:t>
      </w:r>
      <w:r>
        <w:rPr>
          <w:rFonts w:hint="eastAsia"/>
        </w:rPr>
        <w:t>。</w:t>
      </w:r>
    </w:p>
    <w:p w:rsidR="00000000" w:rsidRDefault="00000000">
      <w:pPr>
        <w:rPr>
          <w:rFonts w:hint="eastAsia"/>
        </w:rPr>
      </w:pPr>
      <w:r>
        <w:rPr>
          <w:rFonts w:hint="eastAsia"/>
        </w:rPr>
        <w:tab/>
        <w:t xml:space="preserve">156.  </w:t>
      </w:r>
      <w:r>
        <w:rPr>
          <w:rFonts w:hint="eastAsia"/>
        </w:rPr>
        <w:t>中国重视发展老年医疗保健。随着经济社会迅速发展、人民生活水平和医疗卫生保健事业的改善，中国人口老龄化步伐加快。从人口结构的变化看，</w:t>
      </w:r>
      <w:r>
        <w:rPr>
          <w:rFonts w:hint="eastAsia"/>
        </w:rPr>
        <w:t>0-14</w:t>
      </w:r>
      <w:r>
        <w:rPr>
          <w:rFonts w:hint="eastAsia"/>
        </w:rPr>
        <w:t>岁人口占总人口的比重为</w:t>
      </w:r>
      <w:r>
        <w:rPr>
          <w:rFonts w:hint="eastAsia"/>
        </w:rPr>
        <w:t>22.89%</w:t>
      </w:r>
      <w:r>
        <w:rPr>
          <w:rFonts w:hint="eastAsia"/>
        </w:rPr>
        <w:t>，比</w:t>
      </w:r>
      <w:r>
        <w:rPr>
          <w:rFonts w:hint="eastAsia"/>
        </w:rPr>
        <w:t>1990</w:t>
      </w:r>
      <w:r>
        <w:rPr>
          <w:rFonts w:hint="eastAsia"/>
        </w:rPr>
        <w:t>年下降了</w:t>
      </w:r>
      <w:r>
        <w:rPr>
          <w:rFonts w:hint="eastAsia"/>
        </w:rPr>
        <w:t>4.8</w:t>
      </w:r>
      <w:r>
        <w:rPr>
          <w:rFonts w:hint="eastAsia"/>
        </w:rPr>
        <w:t>个百分点；</w:t>
      </w:r>
      <w:r>
        <w:rPr>
          <w:rFonts w:hint="eastAsia"/>
        </w:rPr>
        <w:t>65</w:t>
      </w:r>
      <w:r>
        <w:rPr>
          <w:rFonts w:hint="eastAsia"/>
        </w:rPr>
        <w:t>岁以上人口占</w:t>
      </w:r>
      <w:r>
        <w:rPr>
          <w:rFonts w:hint="eastAsia"/>
        </w:rPr>
        <w:t>6.96%</w:t>
      </w:r>
      <w:r>
        <w:rPr>
          <w:rFonts w:hint="eastAsia"/>
        </w:rPr>
        <w:t>，比</w:t>
      </w:r>
      <w:r>
        <w:rPr>
          <w:rFonts w:hint="eastAsia"/>
        </w:rPr>
        <w:t>1990</w:t>
      </w:r>
      <w:r>
        <w:rPr>
          <w:rFonts w:hint="eastAsia"/>
        </w:rPr>
        <w:t>年上升了</w:t>
      </w:r>
      <w:r>
        <w:rPr>
          <w:rFonts w:hint="eastAsia"/>
        </w:rPr>
        <w:t>1.39</w:t>
      </w:r>
      <w:r>
        <w:rPr>
          <w:rFonts w:hint="eastAsia"/>
        </w:rPr>
        <w:t>个百分点。国家大力发展老年保健事业，制定了老年病防治研究规划纲要，开展了多种形式的老年卫生保健服务。</w:t>
      </w:r>
    </w:p>
    <w:p w:rsidR="00000000" w:rsidRDefault="00000000">
      <w:pPr>
        <w:rPr>
          <w:rFonts w:hint="eastAsia"/>
        </w:rPr>
      </w:pPr>
      <w:r>
        <w:rPr>
          <w:rFonts w:hint="eastAsia"/>
        </w:rPr>
        <w:tab/>
        <w:t xml:space="preserve">157.  </w:t>
      </w:r>
      <w:r>
        <w:rPr>
          <w:rFonts w:hint="eastAsia"/>
        </w:rPr>
        <w:t>关于卫生保健开支。</w:t>
      </w:r>
      <w:r>
        <w:rPr>
          <w:rFonts w:hint="eastAsia"/>
        </w:rPr>
        <w:t>20</w:t>
      </w:r>
      <w:r>
        <w:rPr>
          <w:rFonts w:hint="eastAsia"/>
        </w:rPr>
        <w:t>世纪</w:t>
      </w:r>
      <w:r>
        <w:rPr>
          <w:rFonts w:hint="eastAsia"/>
        </w:rPr>
        <w:t>90</w:t>
      </w:r>
      <w:r>
        <w:rPr>
          <w:rFonts w:hint="eastAsia"/>
        </w:rPr>
        <w:t>年代以来，中国居民医疗卫生保健消费水平不断提高，卫生总费用由</w:t>
      </w:r>
      <w:r>
        <w:rPr>
          <w:rFonts w:hint="eastAsia"/>
        </w:rPr>
        <w:t>1990</w:t>
      </w:r>
      <w:r>
        <w:rPr>
          <w:rFonts w:hint="eastAsia"/>
        </w:rPr>
        <w:t>年的</w:t>
      </w:r>
      <w:r>
        <w:rPr>
          <w:rFonts w:hint="eastAsia"/>
        </w:rPr>
        <w:t>743</w:t>
      </w:r>
      <w:r>
        <w:rPr>
          <w:rFonts w:hint="eastAsia"/>
        </w:rPr>
        <w:t>亿元增至</w:t>
      </w:r>
      <w:r>
        <w:rPr>
          <w:rFonts w:hint="eastAsia"/>
        </w:rPr>
        <w:t>2000</w:t>
      </w:r>
      <w:r>
        <w:rPr>
          <w:rFonts w:hint="eastAsia"/>
        </w:rPr>
        <w:t>年的</w:t>
      </w:r>
      <w:r>
        <w:rPr>
          <w:rFonts w:hint="eastAsia"/>
        </w:rPr>
        <w:t>4764</w:t>
      </w:r>
      <w:r>
        <w:rPr>
          <w:rFonts w:hint="eastAsia"/>
        </w:rPr>
        <w:t>亿元，人均卫生费用由</w:t>
      </w:r>
      <w:r>
        <w:rPr>
          <w:rFonts w:hint="eastAsia"/>
        </w:rPr>
        <w:t>65</w:t>
      </w:r>
      <w:r>
        <w:rPr>
          <w:rFonts w:hint="eastAsia"/>
        </w:rPr>
        <w:t>元增至</w:t>
      </w:r>
      <w:r>
        <w:rPr>
          <w:rFonts w:hint="eastAsia"/>
        </w:rPr>
        <w:t>376.4</w:t>
      </w:r>
      <w:r>
        <w:rPr>
          <w:rFonts w:hint="eastAsia"/>
        </w:rPr>
        <w:t>元。卫生总费用占</w:t>
      </w:r>
      <w:r>
        <w:t>GDP</w:t>
      </w:r>
      <w:r>
        <w:rPr>
          <w:rFonts w:hint="eastAsia"/>
        </w:rPr>
        <w:t>比重由</w:t>
      </w:r>
      <w:r>
        <w:rPr>
          <w:rFonts w:hint="eastAsia"/>
        </w:rPr>
        <w:t>4.0%</w:t>
      </w:r>
      <w:r>
        <w:rPr>
          <w:rFonts w:hint="eastAsia"/>
        </w:rPr>
        <w:t>上升到</w:t>
      </w:r>
      <w:r>
        <w:rPr>
          <w:rFonts w:hint="eastAsia"/>
        </w:rPr>
        <w:t>5.3%(</w:t>
      </w:r>
      <w:r>
        <w:rPr>
          <w:rFonts w:hint="eastAsia"/>
        </w:rPr>
        <w:t>见表</w:t>
      </w:r>
      <w:r>
        <w:rPr>
          <w:rFonts w:hint="eastAsia"/>
        </w:rPr>
        <w:t>13)</w:t>
      </w:r>
      <w:r>
        <w:rPr>
          <w:rFonts w:hint="eastAsia"/>
        </w:rPr>
        <w:t>。政府对公共卫生事业服务经费和公费医疗经费等预算卫生投入逐年增加。</w:t>
      </w:r>
      <w:r>
        <w:rPr>
          <w:rFonts w:hint="eastAsia"/>
        </w:rPr>
        <w:t>2000</w:t>
      </w:r>
      <w:r>
        <w:rPr>
          <w:rFonts w:hint="eastAsia"/>
        </w:rPr>
        <w:t>年政府预算卫生支出</w:t>
      </w:r>
      <w:r>
        <w:rPr>
          <w:rFonts w:hint="eastAsia"/>
        </w:rPr>
        <w:t>709.52</w:t>
      </w:r>
      <w:r>
        <w:rPr>
          <w:rFonts w:hint="eastAsia"/>
        </w:rPr>
        <w:t>亿元，占卫生总费用的</w:t>
      </w:r>
      <w:r>
        <w:rPr>
          <w:rFonts w:hint="eastAsia"/>
        </w:rPr>
        <w:t>14.9%</w:t>
      </w:r>
      <w:r>
        <w:rPr>
          <w:rFonts w:hint="eastAsia"/>
        </w:rPr>
        <w:t>。与</w:t>
      </w:r>
      <w:r>
        <w:rPr>
          <w:rFonts w:hint="eastAsia"/>
        </w:rPr>
        <w:t>1995</w:t>
      </w:r>
      <w:r>
        <w:rPr>
          <w:rFonts w:hint="eastAsia"/>
        </w:rPr>
        <w:t>年相比，政府预算支出增加了</w:t>
      </w:r>
      <w:r>
        <w:rPr>
          <w:rFonts w:hint="eastAsia"/>
        </w:rPr>
        <w:t>326.4</w:t>
      </w:r>
      <w:r>
        <w:rPr>
          <w:rFonts w:hint="eastAsia"/>
        </w:rPr>
        <w:t>亿元；与</w:t>
      </w:r>
      <w:r>
        <w:rPr>
          <w:rFonts w:hint="eastAsia"/>
        </w:rPr>
        <w:t>1991</w:t>
      </w:r>
      <w:r>
        <w:rPr>
          <w:rFonts w:hint="eastAsia"/>
        </w:rPr>
        <w:t>年相比，政府预算卫生支出增加了</w:t>
      </w:r>
      <w:r>
        <w:rPr>
          <w:rFonts w:hint="eastAsia"/>
        </w:rPr>
        <w:t>507.5</w:t>
      </w:r>
      <w:r>
        <w:rPr>
          <w:rFonts w:hint="eastAsia"/>
        </w:rPr>
        <w:t>亿元。但政府预算卫生支出占卫生总费用的比率呈下降趋势</w:t>
      </w:r>
      <w:r>
        <w:rPr>
          <w:rFonts w:hint="eastAsia"/>
        </w:rPr>
        <w:t>(</w:t>
      </w:r>
      <w:r>
        <w:rPr>
          <w:rFonts w:hint="eastAsia"/>
        </w:rPr>
        <w:t>见表</w:t>
      </w:r>
      <w:r>
        <w:rPr>
          <w:rFonts w:hint="eastAsia"/>
        </w:rPr>
        <w:t>14)</w:t>
      </w:r>
      <w:r>
        <w:rPr>
          <w:rFonts w:hint="eastAsia"/>
        </w:rPr>
        <w:t>。</w:t>
      </w:r>
    </w:p>
    <w:p w:rsidR="00000000" w:rsidRDefault="00000000">
      <w:pPr>
        <w:rPr>
          <w:rFonts w:hint="eastAsia"/>
        </w:rPr>
      </w:pPr>
      <w:r>
        <w:rPr>
          <w:rFonts w:hint="eastAsia"/>
        </w:rPr>
        <w:tab/>
        <w:t xml:space="preserve">158.  </w:t>
      </w:r>
      <w:r>
        <w:rPr>
          <w:rFonts w:hint="eastAsia"/>
        </w:rPr>
        <w:t>政府预算支出中用于初级卫生保健</w:t>
      </w:r>
      <w:r>
        <w:rPr>
          <w:rFonts w:hint="eastAsia"/>
        </w:rPr>
        <w:t>(PHC)</w:t>
      </w:r>
      <w:r>
        <w:rPr>
          <w:rFonts w:hint="eastAsia"/>
        </w:rPr>
        <w:t>的费用主要包括：公共卫生支出和公费医疗支出。其中公共卫生支出主要指各级政府部门对农村卫生院的正常经费补助、专项补助</w:t>
      </w:r>
      <w:r>
        <w:rPr>
          <w:rFonts w:hint="eastAsia"/>
        </w:rPr>
        <w:t>(</w:t>
      </w:r>
      <w:r>
        <w:rPr>
          <w:rFonts w:hint="eastAsia"/>
        </w:rPr>
        <w:t>农村改水、农村居民使用碘盐等资金投入</w:t>
      </w:r>
      <w:r>
        <w:rPr>
          <w:rFonts w:hint="eastAsia"/>
        </w:rPr>
        <w:t>)</w:t>
      </w:r>
      <w:r>
        <w:rPr>
          <w:rFonts w:hint="eastAsia"/>
        </w:rPr>
        <w:t>；合作医疗补助以及防治防疫经费；妇幼保健经费等。但不包括政府给予城镇各级医院及企业内部医院用于居民预防保健的费用。</w:t>
      </w:r>
      <w:r>
        <w:rPr>
          <w:rFonts w:hint="eastAsia"/>
        </w:rPr>
        <w:t>20</w:t>
      </w:r>
      <w:r>
        <w:rPr>
          <w:rFonts w:hint="eastAsia"/>
        </w:rPr>
        <w:t>世纪</w:t>
      </w:r>
      <w:r>
        <w:rPr>
          <w:rFonts w:hint="eastAsia"/>
        </w:rPr>
        <w:t>90</w:t>
      </w:r>
      <w:r>
        <w:rPr>
          <w:rFonts w:hint="eastAsia"/>
        </w:rPr>
        <w:t>年代以来，政府用于初级卫生保健的投入也逐年增长，</w:t>
      </w:r>
      <w:r>
        <w:rPr>
          <w:rFonts w:hint="eastAsia"/>
        </w:rPr>
        <w:t>PHC</w:t>
      </w:r>
      <w:r>
        <w:rPr>
          <w:rFonts w:hint="eastAsia"/>
        </w:rPr>
        <w:t>支出占政府卫生支出的比例稳定在</w:t>
      </w:r>
      <w:r>
        <w:rPr>
          <w:rFonts w:hint="eastAsia"/>
        </w:rPr>
        <w:t>44%</w:t>
      </w:r>
      <w:r>
        <w:rPr>
          <w:rFonts w:hint="eastAsia"/>
        </w:rPr>
        <w:t>左右</w:t>
      </w:r>
      <w:r>
        <w:rPr>
          <w:rFonts w:hint="eastAsia"/>
        </w:rPr>
        <w:t>(</w:t>
      </w:r>
      <w:r>
        <w:rPr>
          <w:rFonts w:hint="eastAsia"/>
        </w:rPr>
        <w:t>见表</w:t>
      </w:r>
      <w:r>
        <w:rPr>
          <w:rFonts w:hint="eastAsia"/>
        </w:rPr>
        <w:t>15)</w:t>
      </w:r>
      <w:r>
        <w:rPr>
          <w:rFonts w:hint="eastAsia"/>
        </w:rPr>
        <w:t>。</w:t>
      </w:r>
    </w:p>
    <w:p w:rsidR="00000000" w:rsidRDefault="00000000">
      <w:pPr>
        <w:rPr>
          <w:rFonts w:hint="eastAsia"/>
          <w:snapToGrid/>
        </w:rPr>
      </w:pPr>
      <w:r>
        <w:rPr>
          <w:rFonts w:hint="eastAsia"/>
          <w:snapToGrid/>
        </w:rPr>
        <w:tab/>
        <w:t xml:space="preserve">159.  </w:t>
      </w:r>
      <w:r>
        <w:rPr>
          <w:rFonts w:hint="eastAsia"/>
          <w:snapToGrid/>
        </w:rPr>
        <w:t>关于婴儿死亡率。中国一直把保护儿童健康作为卫生工作一项重要任务，经过</w:t>
      </w:r>
      <w:r>
        <w:rPr>
          <w:rFonts w:hint="eastAsia"/>
          <w:snapToGrid/>
        </w:rPr>
        <w:t>50</w:t>
      </w:r>
      <w:r>
        <w:rPr>
          <w:rFonts w:hint="eastAsia"/>
          <w:snapToGrid/>
        </w:rPr>
        <w:t>多年不懈努力，婴儿死亡率由新中国成立初期的</w:t>
      </w:r>
      <w:r>
        <w:rPr>
          <w:rFonts w:hint="eastAsia"/>
          <w:snapToGrid/>
        </w:rPr>
        <w:t>200</w:t>
      </w:r>
      <w:r>
        <w:rPr>
          <w:rFonts w:hint="eastAsia"/>
          <w:snapToGrid/>
        </w:rPr>
        <w:t>‰，下降到</w:t>
      </w:r>
      <w:r>
        <w:rPr>
          <w:rFonts w:hint="eastAsia"/>
          <w:snapToGrid/>
        </w:rPr>
        <w:t>2000</w:t>
      </w:r>
      <w:r>
        <w:rPr>
          <w:rFonts w:hint="eastAsia"/>
          <w:snapToGrid/>
        </w:rPr>
        <w:t>年的</w:t>
      </w:r>
      <w:r>
        <w:rPr>
          <w:rFonts w:hint="eastAsia"/>
          <w:snapToGrid/>
        </w:rPr>
        <w:t>32.2</w:t>
      </w:r>
      <w:r>
        <w:rPr>
          <w:rFonts w:hint="eastAsia"/>
          <w:snapToGrid/>
        </w:rPr>
        <w:t>‰。</w:t>
      </w:r>
      <w:r>
        <w:rPr>
          <w:rFonts w:hint="eastAsia"/>
          <w:snapToGrid/>
        </w:rPr>
        <w:t>1991</w:t>
      </w:r>
      <w:r>
        <w:rPr>
          <w:rFonts w:hint="eastAsia"/>
          <w:snapToGrid/>
        </w:rPr>
        <w:t>年中国建立国家儿童死亡监测网，覆盖全国</w:t>
      </w:r>
      <w:r>
        <w:rPr>
          <w:rFonts w:hint="eastAsia"/>
          <w:snapToGrid/>
        </w:rPr>
        <w:t>81</w:t>
      </w:r>
      <w:r>
        <w:rPr>
          <w:rFonts w:hint="eastAsia"/>
          <w:snapToGrid/>
        </w:rPr>
        <w:t>个监测点，数据可分城乡。</w:t>
      </w:r>
      <w:r>
        <w:rPr>
          <w:rFonts w:hint="eastAsia"/>
          <w:snapToGrid/>
        </w:rPr>
        <w:t>1991</w:t>
      </w:r>
      <w:r>
        <w:rPr>
          <w:rFonts w:hint="eastAsia"/>
          <w:snapToGrid/>
        </w:rPr>
        <w:t>年，婴儿死亡率为</w:t>
      </w:r>
      <w:r>
        <w:rPr>
          <w:rFonts w:hint="eastAsia"/>
          <w:snapToGrid/>
        </w:rPr>
        <w:t>50.2</w:t>
      </w:r>
      <w:r>
        <w:rPr>
          <w:rFonts w:hint="eastAsia"/>
          <w:snapToGrid/>
        </w:rPr>
        <w:t>‰，</w:t>
      </w:r>
      <w:r>
        <w:rPr>
          <w:rFonts w:hint="eastAsia"/>
          <w:snapToGrid/>
        </w:rPr>
        <w:t>2000</w:t>
      </w:r>
      <w:r>
        <w:rPr>
          <w:rFonts w:hint="eastAsia"/>
          <w:snapToGrid/>
        </w:rPr>
        <w:t>年为</w:t>
      </w:r>
      <w:r>
        <w:rPr>
          <w:rFonts w:hint="eastAsia"/>
          <w:snapToGrid/>
        </w:rPr>
        <w:t>32.2</w:t>
      </w:r>
      <w:r>
        <w:rPr>
          <w:rFonts w:hint="eastAsia"/>
          <w:snapToGrid/>
        </w:rPr>
        <w:t>‰，已实现《九十年代中国儿童发展纲要》</w:t>
      </w:r>
      <w:r>
        <w:rPr>
          <w:rFonts w:hint="eastAsia"/>
          <w:snapToGrid/>
        </w:rPr>
        <w:t>2000</w:t>
      </w:r>
      <w:r>
        <w:rPr>
          <w:rFonts w:hint="eastAsia"/>
          <w:snapToGrid/>
        </w:rPr>
        <w:t>年的目标</w:t>
      </w:r>
      <w:r>
        <w:rPr>
          <w:rFonts w:hint="eastAsia"/>
          <w:snapToGrid/>
        </w:rPr>
        <w:t>(</w:t>
      </w:r>
      <w:r>
        <w:rPr>
          <w:rFonts w:hint="eastAsia"/>
          <w:snapToGrid/>
        </w:rPr>
        <w:t>见表</w:t>
      </w:r>
      <w:r>
        <w:rPr>
          <w:rFonts w:hint="eastAsia"/>
          <w:snapToGrid/>
        </w:rPr>
        <w:t>16)</w:t>
      </w:r>
      <w:r>
        <w:rPr>
          <w:rFonts w:hint="eastAsia"/>
          <w:snapToGrid/>
        </w:rPr>
        <w:t>。</w:t>
      </w:r>
    </w:p>
    <w:p w:rsidR="00000000" w:rsidRDefault="00000000">
      <w:pPr>
        <w:rPr>
          <w:rFonts w:hint="eastAsia"/>
          <w:snapToGrid/>
        </w:rPr>
      </w:pPr>
      <w:r>
        <w:rPr>
          <w:rFonts w:hint="eastAsia"/>
          <w:snapToGrid/>
        </w:rPr>
        <w:tab/>
        <w:t xml:space="preserve">160.  </w:t>
      </w:r>
      <w:r>
        <w:rPr>
          <w:rFonts w:hint="eastAsia"/>
          <w:snapToGrid/>
        </w:rPr>
        <w:t>关于获得安全用水。中国政府赞同、支持并积极参加联合国第</w:t>
      </w:r>
      <w:r>
        <w:rPr>
          <w:rFonts w:hint="eastAsia"/>
          <w:snapToGrid/>
        </w:rPr>
        <w:t>35</w:t>
      </w:r>
      <w:r>
        <w:rPr>
          <w:rFonts w:hint="eastAsia"/>
          <w:snapToGrid/>
        </w:rPr>
        <w:t>届大会发起《国际饮水供应和环境卫生十年活动》，争取实现“人人享有安全饮水与卫生”的全球目标。从</w:t>
      </w:r>
      <w:r>
        <w:rPr>
          <w:rFonts w:hint="eastAsia"/>
          <w:snapToGrid/>
        </w:rPr>
        <w:t>1982</w:t>
      </w:r>
      <w:r>
        <w:rPr>
          <w:rFonts w:hint="eastAsia"/>
          <w:snapToGrid/>
        </w:rPr>
        <w:t>年开始，普遍开展了农村改水工作。国家采取中央、省、地、县、乡村及个人共同负担的原则，建设自来水设施，帮助解决贫困地区人民群众饮用自来水问题。国家制定的第七、第八、第九三个“五年计划”，分别列入了农村改水的任务和指标。</w:t>
      </w:r>
      <w:r>
        <w:rPr>
          <w:rFonts w:hint="eastAsia"/>
          <w:snapToGrid/>
        </w:rPr>
        <w:t>1981-2000</w:t>
      </w:r>
      <w:r>
        <w:rPr>
          <w:rFonts w:hint="eastAsia"/>
          <w:snapToGrid/>
        </w:rPr>
        <w:t>年，中国农村改水总投资达</w:t>
      </w:r>
      <w:r>
        <w:rPr>
          <w:rFonts w:hint="eastAsia"/>
          <w:snapToGrid/>
        </w:rPr>
        <w:t>594.6</w:t>
      </w:r>
      <w:r>
        <w:rPr>
          <w:rFonts w:hint="eastAsia"/>
          <w:snapToGrid/>
        </w:rPr>
        <w:t>亿元。其中地方财政资助占</w:t>
      </w:r>
      <w:r>
        <w:rPr>
          <w:rFonts w:hint="eastAsia"/>
          <w:snapToGrid/>
        </w:rPr>
        <w:t>22.7%</w:t>
      </w:r>
      <w:r>
        <w:rPr>
          <w:rFonts w:hint="eastAsia"/>
          <w:snapToGrid/>
        </w:rPr>
        <w:t>，集体经济支持占</w:t>
      </w:r>
      <w:r>
        <w:rPr>
          <w:rFonts w:hint="eastAsia"/>
          <w:snapToGrid/>
        </w:rPr>
        <w:t>27.6%</w:t>
      </w:r>
      <w:r>
        <w:rPr>
          <w:rFonts w:hint="eastAsia"/>
          <w:snapToGrid/>
        </w:rPr>
        <w:t>，受益个人投入占</w:t>
      </w:r>
      <w:r>
        <w:rPr>
          <w:rFonts w:hint="eastAsia"/>
          <w:snapToGrid/>
        </w:rPr>
        <w:t>44.5%</w:t>
      </w:r>
      <w:r>
        <w:rPr>
          <w:rFonts w:hint="eastAsia"/>
          <w:snapToGrid/>
        </w:rPr>
        <w:t>，贷款及捐赠占</w:t>
      </w:r>
      <w:r>
        <w:rPr>
          <w:rFonts w:hint="eastAsia"/>
          <w:snapToGrid/>
        </w:rPr>
        <w:t>5.2%</w:t>
      </w:r>
      <w:r>
        <w:rPr>
          <w:rFonts w:hint="eastAsia"/>
          <w:snapToGrid/>
        </w:rPr>
        <w:t>。</w:t>
      </w:r>
      <w:r>
        <w:rPr>
          <w:rFonts w:hint="eastAsia"/>
          <w:snapToGrid/>
        </w:rPr>
        <w:t>2001</w:t>
      </w:r>
      <w:r>
        <w:rPr>
          <w:rFonts w:hint="eastAsia"/>
          <w:snapToGrid/>
        </w:rPr>
        <w:t>年农村改水投资总金额为</w:t>
      </w:r>
      <w:r>
        <w:rPr>
          <w:rFonts w:hint="eastAsia"/>
          <w:snapToGrid/>
        </w:rPr>
        <w:t>68.82</w:t>
      </w:r>
      <w:r>
        <w:rPr>
          <w:rFonts w:hint="eastAsia"/>
          <w:snapToGrid/>
        </w:rPr>
        <w:t>亿元，其中，国家投资占</w:t>
      </w:r>
      <w:r>
        <w:rPr>
          <w:rFonts w:hint="eastAsia"/>
          <w:snapToGrid/>
        </w:rPr>
        <w:t>30.5%</w:t>
      </w:r>
      <w:r>
        <w:rPr>
          <w:rFonts w:hint="eastAsia"/>
          <w:snapToGrid/>
        </w:rPr>
        <w:t>，集体投资占</w:t>
      </w:r>
      <w:r>
        <w:rPr>
          <w:rFonts w:hint="eastAsia"/>
          <w:snapToGrid/>
        </w:rPr>
        <w:t>27%</w:t>
      </w:r>
      <w:r>
        <w:rPr>
          <w:rFonts w:hint="eastAsia"/>
          <w:snapToGrid/>
        </w:rPr>
        <w:t>，个人投资占</w:t>
      </w:r>
      <w:r>
        <w:rPr>
          <w:rFonts w:hint="eastAsia"/>
          <w:snapToGrid/>
        </w:rPr>
        <w:t>39.1%</w:t>
      </w:r>
      <w:r>
        <w:rPr>
          <w:rFonts w:hint="eastAsia"/>
          <w:snapToGrid/>
        </w:rPr>
        <w:t>，其他投资占</w:t>
      </w:r>
      <w:r>
        <w:rPr>
          <w:rFonts w:hint="eastAsia"/>
          <w:snapToGrid/>
        </w:rPr>
        <w:t>3.3%</w:t>
      </w:r>
      <w:r>
        <w:rPr>
          <w:rFonts w:hint="eastAsia"/>
          <w:snapToGrid/>
        </w:rPr>
        <w:t>。到</w:t>
      </w:r>
      <w:r>
        <w:rPr>
          <w:rFonts w:hint="eastAsia"/>
          <w:snapToGrid/>
        </w:rPr>
        <w:t>2001</w:t>
      </w:r>
      <w:r>
        <w:rPr>
          <w:rFonts w:hint="eastAsia"/>
          <w:snapToGrid/>
        </w:rPr>
        <w:t>年底，全国</w:t>
      </w:r>
      <w:r>
        <w:rPr>
          <w:rFonts w:hint="eastAsia"/>
          <w:snapToGrid/>
        </w:rPr>
        <w:t>9.46</w:t>
      </w:r>
      <w:r>
        <w:rPr>
          <w:rFonts w:hint="eastAsia"/>
          <w:snapToGrid/>
        </w:rPr>
        <w:t>亿农村人口中改水受益人口达</w:t>
      </w:r>
      <w:r>
        <w:rPr>
          <w:rFonts w:hint="eastAsia"/>
          <w:snapToGrid/>
        </w:rPr>
        <w:t>8.6</w:t>
      </w:r>
      <w:r>
        <w:rPr>
          <w:rFonts w:hint="eastAsia"/>
          <w:snapToGrid/>
        </w:rPr>
        <w:t>亿，达到</w:t>
      </w:r>
      <w:r>
        <w:rPr>
          <w:rFonts w:hint="eastAsia"/>
          <w:snapToGrid/>
        </w:rPr>
        <w:t>91.0%</w:t>
      </w:r>
      <w:r>
        <w:rPr>
          <w:rFonts w:hint="eastAsia"/>
          <w:snapToGrid/>
        </w:rPr>
        <w:t>，其中，饮用自来水人口</w:t>
      </w:r>
      <w:r>
        <w:rPr>
          <w:rFonts w:hint="eastAsia"/>
          <w:snapToGrid/>
        </w:rPr>
        <w:t>5.2</w:t>
      </w:r>
      <w:r>
        <w:rPr>
          <w:rFonts w:hint="eastAsia"/>
          <w:snapToGrid/>
        </w:rPr>
        <w:t>亿，占农村总人口</w:t>
      </w:r>
      <w:r>
        <w:rPr>
          <w:rFonts w:hint="eastAsia"/>
          <w:snapToGrid/>
        </w:rPr>
        <w:t>55.1%</w:t>
      </w:r>
      <w:r>
        <w:rPr>
          <w:rFonts w:hint="eastAsia"/>
          <w:snapToGrid/>
        </w:rPr>
        <w:t>，饮用手压机井水人口</w:t>
      </w:r>
      <w:r>
        <w:rPr>
          <w:rFonts w:hint="eastAsia"/>
          <w:snapToGrid/>
        </w:rPr>
        <w:t>2.1</w:t>
      </w:r>
      <w:r>
        <w:rPr>
          <w:rFonts w:hint="eastAsia"/>
          <w:snapToGrid/>
        </w:rPr>
        <w:t>亿，占农村总人口</w:t>
      </w:r>
      <w:r>
        <w:rPr>
          <w:rFonts w:hint="eastAsia"/>
          <w:snapToGrid/>
        </w:rPr>
        <w:t>22.4%</w:t>
      </w:r>
      <w:r>
        <w:rPr>
          <w:rFonts w:hint="eastAsia"/>
          <w:snapToGrid/>
        </w:rPr>
        <w:t>。全国有</w:t>
      </w:r>
      <w:r>
        <w:rPr>
          <w:rFonts w:hint="eastAsia"/>
          <w:snapToGrid/>
        </w:rPr>
        <w:t>673</w:t>
      </w:r>
      <w:r>
        <w:rPr>
          <w:rFonts w:hint="eastAsia"/>
          <w:snapToGrid/>
        </w:rPr>
        <w:t>个县、县级市、市辖区</w:t>
      </w:r>
      <w:r>
        <w:rPr>
          <w:rFonts w:hint="eastAsia"/>
          <w:snapToGrid/>
        </w:rPr>
        <w:t>(</w:t>
      </w:r>
      <w:r>
        <w:rPr>
          <w:rFonts w:hint="eastAsia"/>
          <w:snapToGrid/>
        </w:rPr>
        <w:t>占</w:t>
      </w:r>
      <w:r>
        <w:rPr>
          <w:rFonts w:hint="eastAsia"/>
          <w:snapToGrid/>
        </w:rPr>
        <w:t>23.7%)</w:t>
      </w:r>
      <w:r>
        <w:rPr>
          <w:rFonts w:hint="eastAsia"/>
          <w:snapToGrid/>
        </w:rPr>
        <w:t>，</w:t>
      </w:r>
      <w:r>
        <w:rPr>
          <w:rFonts w:hint="eastAsia"/>
          <w:snapToGrid/>
        </w:rPr>
        <w:t>80%</w:t>
      </w:r>
      <w:r>
        <w:rPr>
          <w:rFonts w:hint="eastAsia"/>
          <w:snapToGrid/>
        </w:rPr>
        <w:t>以上的农村人口饮用了自来水</w:t>
      </w:r>
      <w:r>
        <w:rPr>
          <w:rFonts w:hint="eastAsia"/>
          <w:snapToGrid/>
        </w:rPr>
        <w:t>(</w:t>
      </w:r>
      <w:r>
        <w:rPr>
          <w:rFonts w:hint="eastAsia"/>
          <w:snapToGrid/>
        </w:rPr>
        <w:t>见表</w:t>
      </w:r>
      <w:r>
        <w:rPr>
          <w:rFonts w:hint="eastAsia"/>
          <w:snapToGrid/>
        </w:rPr>
        <w:t>17)</w:t>
      </w:r>
      <w:r>
        <w:rPr>
          <w:rFonts w:hint="eastAsia"/>
          <w:snapToGrid/>
        </w:rPr>
        <w:t>。</w:t>
      </w:r>
    </w:p>
    <w:p w:rsidR="00000000" w:rsidRDefault="00000000">
      <w:pPr>
        <w:rPr>
          <w:rFonts w:hint="eastAsia"/>
          <w:snapToGrid/>
        </w:rPr>
      </w:pPr>
      <w:r>
        <w:rPr>
          <w:rFonts w:hint="eastAsia"/>
          <w:snapToGrid/>
        </w:rPr>
        <w:tab/>
        <w:t xml:space="preserve">161.  </w:t>
      </w:r>
      <w:r>
        <w:rPr>
          <w:rFonts w:hint="eastAsia"/>
          <w:snapToGrid/>
        </w:rPr>
        <w:t>关于获得足够的排泄物处理设施。从</w:t>
      </w:r>
      <w:r>
        <w:rPr>
          <w:rFonts w:hint="eastAsia"/>
          <w:snapToGrid/>
        </w:rPr>
        <w:t>1993</w:t>
      </w:r>
      <w:r>
        <w:rPr>
          <w:rFonts w:hint="eastAsia"/>
          <w:snapToGrid/>
        </w:rPr>
        <w:t>年开始，中国在全国推进农村改厕工作。农村卫生厕所标准是，厕所有墙、有顶，厕坑及贮粪池不渗漏，厕内清洁，无蝇蛆，基本无臭，贮粪池密闭有盖，粪便及时清除并进行无害化处理。</w:t>
      </w:r>
      <w:r>
        <w:rPr>
          <w:rFonts w:hint="eastAsia"/>
          <w:snapToGrid/>
        </w:rPr>
        <w:t>1996-2000</w:t>
      </w:r>
      <w:r>
        <w:rPr>
          <w:rFonts w:hint="eastAsia"/>
          <w:snapToGrid/>
        </w:rPr>
        <w:t>年全国用于农村改厕总投资</w:t>
      </w:r>
      <w:r>
        <w:rPr>
          <w:rFonts w:hint="eastAsia"/>
          <w:snapToGrid/>
        </w:rPr>
        <w:t>135.9</w:t>
      </w:r>
      <w:r>
        <w:rPr>
          <w:rFonts w:hint="eastAsia"/>
          <w:snapToGrid/>
        </w:rPr>
        <w:t>亿元，其中地方财政资助占</w:t>
      </w:r>
      <w:r>
        <w:rPr>
          <w:rFonts w:hint="eastAsia"/>
          <w:snapToGrid/>
        </w:rPr>
        <w:t>13.61%</w:t>
      </w:r>
      <w:r>
        <w:rPr>
          <w:rFonts w:hint="eastAsia"/>
          <w:snapToGrid/>
        </w:rPr>
        <w:t>，集体经济支持占</w:t>
      </w:r>
      <w:r>
        <w:rPr>
          <w:rFonts w:hint="eastAsia"/>
          <w:snapToGrid/>
        </w:rPr>
        <w:t>16.12%</w:t>
      </w:r>
      <w:r>
        <w:rPr>
          <w:rFonts w:hint="eastAsia"/>
          <w:snapToGrid/>
        </w:rPr>
        <w:t>，受益农民投入占</w:t>
      </w:r>
      <w:r>
        <w:rPr>
          <w:rFonts w:hint="eastAsia"/>
          <w:snapToGrid/>
        </w:rPr>
        <w:t>68.73%</w:t>
      </w:r>
      <w:r>
        <w:rPr>
          <w:rFonts w:hint="eastAsia"/>
          <w:snapToGrid/>
        </w:rPr>
        <w:t>，捐赠及贷款占</w:t>
      </w:r>
      <w:r>
        <w:rPr>
          <w:rFonts w:hint="eastAsia"/>
          <w:snapToGrid/>
        </w:rPr>
        <w:t>1.54%</w:t>
      </w:r>
      <w:r>
        <w:rPr>
          <w:rFonts w:hint="eastAsia"/>
          <w:snapToGrid/>
        </w:rPr>
        <w:t>。</w:t>
      </w:r>
      <w:r>
        <w:rPr>
          <w:rFonts w:hint="eastAsia"/>
          <w:snapToGrid/>
        </w:rPr>
        <w:t>2000</w:t>
      </w:r>
      <w:r>
        <w:rPr>
          <w:rFonts w:hint="eastAsia"/>
          <w:snapToGrid/>
        </w:rPr>
        <w:t>年底，全国</w:t>
      </w:r>
      <w:r>
        <w:rPr>
          <w:rFonts w:hint="eastAsia"/>
          <w:snapToGrid/>
        </w:rPr>
        <w:t>2.39</w:t>
      </w:r>
      <w:r>
        <w:rPr>
          <w:rFonts w:hint="eastAsia"/>
          <w:snapToGrid/>
        </w:rPr>
        <w:t>亿农户中卫生厕所普及率达</w:t>
      </w:r>
      <w:r>
        <w:rPr>
          <w:rFonts w:hint="eastAsia"/>
          <w:snapToGrid/>
        </w:rPr>
        <w:t>44.84%</w:t>
      </w:r>
      <w:r>
        <w:rPr>
          <w:rFonts w:hint="eastAsia"/>
          <w:snapToGrid/>
        </w:rPr>
        <w:t>。全国农村粪便无害化处理率达</w:t>
      </w:r>
      <w:r>
        <w:rPr>
          <w:rFonts w:hint="eastAsia"/>
          <w:snapToGrid/>
        </w:rPr>
        <w:t>31.22%</w:t>
      </w:r>
      <w:r>
        <w:rPr>
          <w:rFonts w:hint="eastAsia"/>
          <w:snapToGrid/>
        </w:rPr>
        <w:t>。全国有</w:t>
      </w:r>
      <w:r>
        <w:rPr>
          <w:rFonts w:hint="eastAsia"/>
          <w:snapToGrid/>
        </w:rPr>
        <w:t>197</w:t>
      </w:r>
      <w:r>
        <w:rPr>
          <w:rFonts w:hint="eastAsia"/>
          <w:snapToGrid/>
        </w:rPr>
        <w:t>个县、县级市、市辖区</w:t>
      </w:r>
      <w:r>
        <w:rPr>
          <w:rFonts w:hint="eastAsia"/>
          <w:snapToGrid/>
        </w:rPr>
        <w:t>(</w:t>
      </w:r>
      <w:r>
        <w:rPr>
          <w:rFonts w:hint="eastAsia"/>
          <w:snapToGrid/>
        </w:rPr>
        <w:t>占</w:t>
      </w:r>
      <w:r>
        <w:rPr>
          <w:rFonts w:hint="eastAsia"/>
          <w:snapToGrid/>
        </w:rPr>
        <w:t>6.9%)</w:t>
      </w:r>
      <w:r>
        <w:rPr>
          <w:rFonts w:hint="eastAsia"/>
          <w:snapToGrid/>
        </w:rPr>
        <w:t>，</w:t>
      </w:r>
      <w:r>
        <w:rPr>
          <w:rFonts w:hint="eastAsia"/>
          <w:snapToGrid/>
        </w:rPr>
        <w:t>80%</w:t>
      </w:r>
      <w:r>
        <w:rPr>
          <w:rFonts w:hint="eastAsia"/>
          <w:snapToGrid/>
        </w:rPr>
        <w:t>以上农户家中建成不同类型的卫生厕所。</w:t>
      </w:r>
      <w:r>
        <w:rPr>
          <w:rFonts w:hint="eastAsia"/>
          <w:snapToGrid/>
        </w:rPr>
        <w:t>2001</w:t>
      </w:r>
      <w:r>
        <w:rPr>
          <w:rFonts w:hint="eastAsia"/>
          <w:snapToGrid/>
        </w:rPr>
        <w:t>年底，已有</w:t>
      </w:r>
      <w:r>
        <w:rPr>
          <w:rFonts w:hint="eastAsia"/>
          <w:snapToGrid/>
        </w:rPr>
        <w:t>1.14</w:t>
      </w:r>
      <w:r>
        <w:rPr>
          <w:rFonts w:hint="eastAsia"/>
          <w:snapToGrid/>
        </w:rPr>
        <w:t>亿户农户新建成不同形式的卫生厕所，获得了足够的排泄物处理设施，占农村总户数的</w:t>
      </w:r>
      <w:r>
        <w:rPr>
          <w:rFonts w:hint="eastAsia"/>
          <w:snapToGrid/>
        </w:rPr>
        <w:t>46.09%</w:t>
      </w:r>
      <w:r>
        <w:rPr>
          <w:rFonts w:hint="eastAsia"/>
          <w:snapToGrid/>
        </w:rPr>
        <w:t>。</w:t>
      </w:r>
    </w:p>
    <w:p w:rsidR="00000000" w:rsidRDefault="00000000">
      <w:pPr>
        <w:rPr>
          <w:rFonts w:hint="eastAsia"/>
          <w:snapToGrid/>
        </w:rPr>
      </w:pPr>
      <w:r>
        <w:rPr>
          <w:rFonts w:hint="eastAsia"/>
          <w:snapToGrid/>
        </w:rPr>
        <w:tab/>
        <w:t xml:space="preserve">162.  </w:t>
      </w:r>
      <w:r>
        <w:rPr>
          <w:rFonts w:hint="eastAsia"/>
          <w:snapToGrid/>
        </w:rPr>
        <w:t>计划免疫是公认的投入少、效益大的公共卫生干预措施，是世界各国政府保护儿童健康的一致行动。</w:t>
      </w:r>
      <w:r>
        <w:rPr>
          <w:rFonts w:hint="eastAsia"/>
          <w:snapToGrid/>
        </w:rPr>
        <w:t>1978</w:t>
      </w:r>
      <w:r>
        <w:rPr>
          <w:rFonts w:hint="eastAsia"/>
          <w:snapToGrid/>
        </w:rPr>
        <w:t>年，中国开始实施儿童计划免疫。</w:t>
      </w:r>
      <w:r>
        <w:rPr>
          <w:rFonts w:hint="eastAsia"/>
          <w:snapToGrid/>
        </w:rPr>
        <w:t>20</w:t>
      </w:r>
      <w:r>
        <w:rPr>
          <w:rFonts w:hint="eastAsia"/>
          <w:snapToGrid/>
        </w:rPr>
        <w:t>世纪</w:t>
      </w:r>
      <w:r>
        <w:rPr>
          <w:rFonts w:hint="eastAsia"/>
          <w:snapToGrid/>
        </w:rPr>
        <w:t>80</w:t>
      </w:r>
      <w:r>
        <w:rPr>
          <w:rFonts w:hint="eastAsia"/>
          <w:snapToGrid/>
        </w:rPr>
        <w:t>年代初期，典型调查资料表明，中国</w:t>
      </w:r>
      <w:r>
        <w:rPr>
          <w:rFonts w:hint="eastAsia"/>
          <w:snapToGrid/>
        </w:rPr>
        <w:t>1</w:t>
      </w:r>
      <w:r>
        <w:rPr>
          <w:rFonts w:hint="eastAsia"/>
          <w:snapToGrid/>
        </w:rPr>
        <w:t>周岁内儿童卡介苗</w:t>
      </w:r>
      <w:r>
        <w:rPr>
          <w:rFonts w:hint="eastAsia"/>
          <w:snapToGrid/>
        </w:rPr>
        <w:t>(</w:t>
      </w:r>
      <w:r>
        <w:rPr>
          <w:rFonts w:hint="eastAsia"/>
          <w:snapToGrid/>
        </w:rPr>
        <w:t>预防结核病</w:t>
      </w:r>
      <w:r>
        <w:rPr>
          <w:rFonts w:hint="eastAsia"/>
          <w:snapToGrid/>
        </w:rPr>
        <w:t>)</w:t>
      </w:r>
      <w:r>
        <w:rPr>
          <w:rFonts w:hint="eastAsia"/>
          <w:snapToGrid/>
        </w:rPr>
        <w:t>、百白破联合制剂</w:t>
      </w:r>
      <w:r>
        <w:rPr>
          <w:rFonts w:hint="eastAsia"/>
          <w:snapToGrid/>
        </w:rPr>
        <w:t>(</w:t>
      </w:r>
      <w:r>
        <w:rPr>
          <w:rFonts w:hint="eastAsia"/>
          <w:snapToGrid/>
        </w:rPr>
        <w:t>预防百日咳、白喉、破伤风</w:t>
      </w:r>
      <w:r>
        <w:rPr>
          <w:rFonts w:hint="eastAsia"/>
          <w:snapToGrid/>
        </w:rPr>
        <w:t>)</w:t>
      </w:r>
      <w:r>
        <w:rPr>
          <w:rFonts w:hint="eastAsia"/>
          <w:snapToGrid/>
        </w:rPr>
        <w:t>、脊髓灰质炎疫苗和麻疹疫苗四种疫苗的免疫覆盖率不到</w:t>
      </w:r>
      <w:r>
        <w:rPr>
          <w:rFonts w:hint="eastAsia"/>
          <w:snapToGrid/>
        </w:rPr>
        <w:t>10%</w:t>
      </w:r>
      <w:r>
        <w:rPr>
          <w:rFonts w:hint="eastAsia"/>
          <w:snapToGrid/>
        </w:rPr>
        <w:t>。</w:t>
      </w:r>
      <w:r>
        <w:rPr>
          <w:rFonts w:hint="eastAsia"/>
          <w:snapToGrid/>
        </w:rPr>
        <w:t>20</w:t>
      </w:r>
      <w:r>
        <w:rPr>
          <w:rFonts w:hint="eastAsia"/>
          <w:snapToGrid/>
        </w:rPr>
        <w:t>世纪</w:t>
      </w:r>
      <w:r>
        <w:rPr>
          <w:rFonts w:hint="eastAsia"/>
          <w:snapToGrid/>
        </w:rPr>
        <w:t>80</w:t>
      </w:r>
      <w:r>
        <w:rPr>
          <w:rFonts w:hint="eastAsia"/>
          <w:snapToGrid/>
        </w:rPr>
        <w:t>年代中期，中国政府向国际社会承诺了实现普及儿童免疫目标，并列入国民经济和社会发展规划，先后于</w:t>
      </w:r>
      <w:r>
        <w:rPr>
          <w:rFonts w:hint="eastAsia"/>
          <w:snapToGrid/>
        </w:rPr>
        <w:t>1988</w:t>
      </w:r>
      <w:r>
        <w:rPr>
          <w:rFonts w:hint="eastAsia"/>
          <w:snapToGrid/>
        </w:rPr>
        <w:t>、</w:t>
      </w:r>
      <w:r>
        <w:rPr>
          <w:rFonts w:hint="eastAsia"/>
          <w:snapToGrid/>
        </w:rPr>
        <w:t>1990</w:t>
      </w:r>
      <w:r>
        <w:rPr>
          <w:rFonts w:hint="eastAsia"/>
          <w:snapToGrid/>
        </w:rPr>
        <w:t>和</w:t>
      </w:r>
      <w:r>
        <w:rPr>
          <w:rFonts w:hint="eastAsia"/>
          <w:snapToGrid/>
        </w:rPr>
        <w:t>1995</w:t>
      </w:r>
      <w:r>
        <w:rPr>
          <w:rFonts w:hint="eastAsia"/>
          <w:snapToGrid/>
        </w:rPr>
        <w:t>年实现了以省、以县、以乡为单位儿童免疫接种率达到</w:t>
      </w:r>
      <w:r>
        <w:rPr>
          <w:rFonts w:hint="eastAsia"/>
          <w:snapToGrid/>
        </w:rPr>
        <w:t>85%</w:t>
      </w:r>
      <w:r>
        <w:rPr>
          <w:rFonts w:hint="eastAsia"/>
          <w:snapToGrid/>
        </w:rPr>
        <w:t>的普及儿童免疫目标、目前中国每年约有</w:t>
      </w:r>
      <w:r>
        <w:rPr>
          <w:rFonts w:hint="eastAsia"/>
          <w:snapToGrid/>
        </w:rPr>
        <w:t>2000</w:t>
      </w:r>
      <w:r>
        <w:rPr>
          <w:rFonts w:hint="eastAsia"/>
          <w:snapToGrid/>
        </w:rPr>
        <w:t>万新生儿出生。每个孩子在</w:t>
      </w:r>
      <w:r>
        <w:rPr>
          <w:rFonts w:hint="eastAsia"/>
          <w:snapToGrid/>
        </w:rPr>
        <w:t>1</w:t>
      </w:r>
      <w:r>
        <w:rPr>
          <w:rFonts w:hint="eastAsia"/>
          <w:snapToGrid/>
        </w:rPr>
        <w:t>周岁内都要完成基础免疫。据</w:t>
      </w:r>
      <w:r>
        <w:rPr>
          <w:rFonts w:hint="eastAsia"/>
          <w:snapToGrid/>
        </w:rPr>
        <w:t>2001</w:t>
      </w:r>
      <w:r>
        <w:rPr>
          <w:rFonts w:hint="eastAsia"/>
          <w:snapToGrid/>
        </w:rPr>
        <w:t>年统计，在中国，白喉、百日咳、破伤风</w:t>
      </w:r>
      <w:r>
        <w:rPr>
          <w:rFonts w:hint="eastAsia"/>
          <w:snapToGrid/>
        </w:rPr>
        <w:t>(</w:t>
      </w:r>
      <w:r>
        <w:rPr>
          <w:rFonts w:hint="eastAsia"/>
          <w:snapToGrid/>
        </w:rPr>
        <w:t>白百破</w:t>
      </w:r>
      <w:r>
        <w:rPr>
          <w:rFonts w:hint="eastAsia"/>
          <w:snapToGrid/>
        </w:rPr>
        <w:t>)</w:t>
      </w:r>
      <w:r>
        <w:rPr>
          <w:rFonts w:hint="eastAsia"/>
          <w:snapToGrid/>
        </w:rPr>
        <w:t>接种率达到</w:t>
      </w:r>
      <w:r>
        <w:rPr>
          <w:rFonts w:hint="eastAsia"/>
          <w:snapToGrid/>
        </w:rPr>
        <w:t>98.2%</w:t>
      </w:r>
      <w:r>
        <w:rPr>
          <w:rFonts w:hint="eastAsia"/>
          <w:snapToGrid/>
        </w:rPr>
        <w:t>；麻疹疫苗接种率达</w:t>
      </w:r>
      <w:r>
        <w:rPr>
          <w:rFonts w:hint="eastAsia"/>
          <w:snapToGrid/>
        </w:rPr>
        <w:t>97.72%</w:t>
      </w:r>
      <w:r>
        <w:rPr>
          <w:rFonts w:hint="eastAsia"/>
          <w:snapToGrid/>
        </w:rPr>
        <w:t>；脊髓灰质炎疫苗接种率达</w:t>
      </w:r>
      <w:r>
        <w:rPr>
          <w:rFonts w:hint="eastAsia"/>
          <w:snapToGrid/>
        </w:rPr>
        <w:t>98.32%</w:t>
      </w:r>
      <w:r>
        <w:rPr>
          <w:rFonts w:hint="eastAsia"/>
          <w:snapToGrid/>
        </w:rPr>
        <w:t>；卡介苗接种率达</w:t>
      </w:r>
      <w:r>
        <w:rPr>
          <w:rFonts w:hint="eastAsia"/>
          <w:snapToGrid/>
        </w:rPr>
        <w:t>97.59%(</w:t>
      </w:r>
      <w:r>
        <w:rPr>
          <w:rFonts w:hint="eastAsia"/>
          <w:snapToGrid/>
        </w:rPr>
        <w:t>见表</w:t>
      </w:r>
      <w:r>
        <w:rPr>
          <w:rFonts w:hint="eastAsia"/>
          <w:snapToGrid/>
        </w:rPr>
        <w:t>18)</w:t>
      </w:r>
      <w:r>
        <w:rPr>
          <w:rFonts w:hint="eastAsia"/>
          <w:snapToGrid/>
        </w:rPr>
        <w:t>。儿童免疫覆盖率的提高，有效控制了过去造成儿童死亡和残疾主要原因的麻疹、白喉、百日咳等疾病。</w:t>
      </w:r>
      <w:r>
        <w:rPr>
          <w:rFonts w:hint="eastAsia"/>
          <w:snapToGrid/>
        </w:rPr>
        <w:t>1978-2000</w:t>
      </w:r>
      <w:r>
        <w:rPr>
          <w:rFonts w:hint="eastAsia"/>
          <w:snapToGrid/>
        </w:rPr>
        <w:t>年共减少麻疹、百日咳、白喉、脊髓灰质炎、结核、破伤风六种疾病的发病</w:t>
      </w:r>
      <w:r>
        <w:rPr>
          <w:rFonts w:hint="eastAsia"/>
          <w:snapToGrid/>
        </w:rPr>
        <w:t>3</w:t>
      </w:r>
      <w:r>
        <w:rPr>
          <w:rFonts w:hint="eastAsia"/>
          <w:snapToGrid/>
        </w:rPr>
        <w:t>亿多人次，减少死亡</w:t>
      </w:r>
      <w:r>
        <w:rPr>
          <w:rFonts w:hint="eastAsia"/>
          <w:snapToGrid/>
        </w:rPr>
        <w:t>400</w:t>
      </w:r>
      <w:r>
        <w:rPr>
          <w:rFonts w:hint="eastAsia"/>
          <w:snapToGrid/>
        </w:rPr>
        <w:t>多万人，减少住院费用</w:t>
      </w:r>
      <w:r>
        <w:rPr>
          <w:rFonts w:hint="eastAsia"/>
          <w:snapToGrid/>
        </w:rPr>
        <w:t>400</w:t>
      </w:r>
      <w:r>
        <w:rPr>
          <w:rFonts w:hint="eastAsia"/>
          <w:snapToGrid/>
        </w:rPr>
        <w:t>多亿元。麻疹等四种计划免疫针对疾病的总发病率由实施计划免疫前的年均</w:t>
      </w:r>
      <w:r>
        <w:rPr>
          <w:rFonts w:hint="eastAsia"/>
          <w:snapToGrid/>
        </w:rPr>
        <w:t>1336.35/10</w:t>
      </w:r>
      <w:r>
        <w:rPr>
          <w:rFonts w:hint="eastAsia"/>
          <w:snapToGrid/>
        </w:rPr>
        <w:t>万，下降到</w:t>
      </w:r>
      <w:r>
        <w:rPr>
          <w:rFonts w:hint="eastAsia"/>
          <w:snapToGrid/>
        </w:rPr>
        <w:t>20</w:t>
      </w:r>
      <w:r>
        <w:rPr>
          <w:rFonts w:hint="eastAsia"/>
          <w:snapToGrid/>
        </w:rPr>
        <w:t>世纪</w:t>
      </w:r>
      <w:r>
        <w:rPr>
          <w:rFonts w:hint="eastAsia"/>
          <w:snapToGrid/>
        </w:rPr>
        <w:t>90</w:t>
      </w:r>
      <w:r>
        <w:rPr>
          <w:rFonts w:hint="eastAsia"/>
          <w:snapToGrid/>
        </w:rPr>
        <w:t>年代末期的年均</w:t>
      </w:r>
      <w:r>
        <w:rPr>
          <w:rFonts w:hint="eastAsia"/>
          <w:snapToGrid/>
        </w:rPr>
        <w:t>11.7/10</w:t>
      </w:r>
      <w:r>
        <w:rPr>
          <w:rFonts w:hint="eastAsia"/>
          <w:snapToGrid/>
        </w:rPr>
        <w:t>万，下降幅度均在</w:t>
      </w:r>
      <w:r>
        <w:rPr>
          <w:rFonts w:hint="eastAsia"/>
          <w:snapToGrid/>
        </w:rPr>
        <w:t>99%</w:t>
      </w:r>
      <w:r>
        <w:rPr>
          <w:rFonts w:hint="eastAsia"/>
          <w:snapToGrid/>
        </w:rPr>
        <w:t>左右。</w:t>
      </w:r>
    </w:p>
    <w:p w:rsidR="00000000" w:rsidRDefault="00000000">
      <w:pPr>
        <w:rPr>
          <w:rFonts w:hint="eastAsia"/>
          <w:snapToGrid/>
        </w:rPr>
      </w:pPr>
      <w:r>
        <w:rPr>
          <w:rFonts w:hint="eastAsia"/>
          <w:snapToGrid/>
        </w:rPr>
        <w:tab/>
        <w:t xml:space="preserve">163.  </w:t>
      </w:r>
      <w:r>
        <w:rPr>
          <w:rFonts w:hint="eastAsia"/>
          <w:snapToGrid/>
        </w:rPr>
        <w:t>关于预期寿命。</w:t>
      </w:r>
      <w:r>
        <w:rPr>
          <w:rFonts w:hint="eastAsia"/>
          <w:snapToGrid/>
        </w:rPr>
        <w:t>20</w:t>
      </w:r>
      <w:r>
        <w:rPr>
          <w:rFonts w:hint="eastAsia"/>
          <w:snapToGrid/>
        </w:rPr>
        <w:t>世纪</w:t>
      </w:r>
      <w:r>
        <w:rPr>
          <w:rFonts w:hint="eastAsia"/>
          <w:snapToGrid/>
        </w:rPr>
        <w:t>50</w:t>
      </w:r>
      <w:r>
        <w:rPr>
          <w:rFonts w:hint="eastAsia"/>
          <w:snapToGrid/>
        </w:rPr>
        <w:t>年代以前，中国人中平均预期寿命为</w:t>
      </w:r>
      <w:r>
        <w:rPr>
          <w:rFonts w:hint="eastAsia"/>
          <w:snapToGrid/>
        </w:rPr>
        <w:t>35</w:t>
      </w:r>
      <w:r>
        <w:rPr>
          <w:rFonts w:hint="eastAsia"/>
          <w:snapToGrid/>
        </w:rPr>
        <w:t>岁，</w:t>
      </w:r>
      <w:r>
        <w:rPr>
          <w:rFonts w:hint="eastAsia"/>
          <w:snapToGrid/>
        </w:rPr>
        <w:t>50-60</w:t>
      </w:r>
      <w:r>
        <w:rPr>
          <w:rFonts w:hint="eastAsia"/>
          <w:snapToGrid/>
        </w:rPr>
        <w:t>年代为</w:t>
      </w:r>
      <w:r>
        <w:rPr>
          <w:rFonts w:hint="eastAsia"/>
          <w:snapToGrid/>
        </w:rPr>
        <w:t>57</w:t>
      </w:r>
      <w:r>
        <w:rPr>
          <w:rFonts w:hint="eastAsia"/>
          <w:snapToGrid/>
        </w:rPr>
        <w:t>岁，</w:t>
      </w:r>
      <w:r>
        <w:rPr>
          <w:rFonts w:hint="eastAsia"/>
          <w:snapToGrid/>
        </w:rPr>
        <w:t>80</w:t>
      </w:r>
      <w:r>
        <w:rPr>
          <w:rFonts w:hint="eastAsia"/>
          <w:snapToGrid/>
        </w:rPr>
        <w:t>年代末增长到</w:t>
      </w:r>
      <w:r>
        <w:rPr>
          <w:rFonts w:hint="eastAsia"/>
          <w:snapToGrid/>
        </w:rPr>
        <w:t>68.55</w:t>
      </w:r>
      <w:r>
        <w:rPr>
          <w:rFonts w:hint="eastAsia"/>
          <w:snapToGrid/>
        </w:rPr>
        <w:t>岁，</w:t>
      </w:r>
      <w:r>
        <w:rPr>
          <w:rFonts w:hint="eastAsia"/>
          <w:snapToGrid/>
        </w:rPr>
        <w:t>2000</w:t>
      </w:r>
      <w:r>
        <w:rPr>
          <w:rFonts w:hint="eastAsia"/>
          <w:snapToGrid/>
        </w:rPr>
        <w:t>年达</w:t>
      </w:r>
      <w:r>
        <w:rPr>
          <w:rFonts w:hint="eastAsia"/>
          <w:snapToGrid/>
        </w:rPr>
        <w:t>71.40</w:t>
      </w:r>
      <w:r>
        <w:rPr>
          <w:rFonts w:hint="eastAsia"/>
          <w:snapToGrid/>
        </w:rPr>
        <w:t>岁。</w:t>
      </w:r>
      <w:r>
        <w:rPr>
          <w:rFonts w:hint="eastAsia"/>
          <w:snapToGrid/>
        </w:rPr>
        <w:t>2000</w:t>
      </w:r>
      <w:r>
        <w:rPr>
          <w:rFonts w:hint="eastAsia"/>
          <w:snapToGrid/>
        </w:rPr>
        <w:t>年中国第五次人口普查显示：从性别看，男性平均预期寿命为</w:t>
      </w:r>
      <w:r>
        <w:rPr>
          <w:rFonts w:hint="eastAsia"/>
          <w:snapToGrid/>
        </w:rPr>
        <w:t>69.63</w:t>
      </w:r>
      <w:r>
        <w:rPr>
          <w:rFonts w:hint="eastAsia"/>
          <w:snapToGrid/>
        </w:rPr>
        <w:t>岁，女性为</w:t>
      </w:r>
      <w:r>
        <w:rPr>
          <w:rFonts w:hint="eastAsia"/>
          <w:snapToGrid/>
        </w:rPr>
        <w:t>73.33</w:t>
      </w:r>
      <w:r>
        <w:rPr>
          <w:rFonts w:hint="eastAsia"/>
          <w:snapToGrid/>
        </w:rPr>
        <w:t>岁，与</w:t>
      </w:r>
      <w:r>
        <w:rPr>
          <w:rFonts w:hint="eastAsia"/>
          <w:snapToGrid/>
        </w:rPr>
        <w:t>1990</w:t>
      </w:r>
      <w:r>
        <w:rPr>
          <w:rFonts w:hint="eastAsia"/>
          <w:snapToGrid/>
        </w:rPr>
        <w:t>年中国第四次人口普查数相比，男性增长了</w:t>
      </w:r>
      <w:r>
        <w:rPr>
          <w:rFonts w:hint="eastAsia"/>
          <w:snapToGrid/>
        </w:rPr>
        <w:t>2.79</w:t>
      </w:r>
      <w:r>
        <w:rPr>
          <w:rFonts w:hint="eastAsia"/>
          <w:snapToGrid/>
        </w:rPr>
        <w:t>岁，女性增长了</w:t>
      </w:r>
      <w:r>
        <w:rPr>
          <w:rFonts w:hint="eastAsia"/>
          <w:snapToGrid/>
        </w:rPr>
        <w:t>2.86</w:t>
      </w:r>
      <w:r>
        <w:rPr>
          <w:rFonts w:hint="eastAsia"/>
          <w:snapToGrid/>
        </w:rPr>
        <w:t>岁。从城乡结构看，城市人口平均预期寿命高于农村。从行政区域看，东部经济发达地区人口生育率、死亡率低，平均预期寿命超过</w:t>
      </w:r>
      <w:r>
        <w:rPr>
          <w:rFonts w:hint="eastAsia"/>
          <w:snapToGrid/>
        </w:rPr>
        <w:t>73</w:t>
      </w:r>
      <w:r>
        <w:rPr>
          <w:rFonts w:hint="eastAsia"/>
          <w:snapToGrid/>
        </w:rPr>
        <w:t>岁。中部地区人口生育率、婴儿死亡率逐年下降，平均寿命超过</w:t>
      </w:r>
      <w:r>
        <w:rPr>
          <w:rFonts w:hint="eastAsia"/>
          <w:snapToGrid/>
        </w:rPr>
        <w:t>70</w:t>
      </w:r>
      <w:r>
        <w:rPr>
          <w:rFonts w:hint="eastAsia"/>
          <w:snapToGrid/>
        </w:rPr>
        <w:t>岁。西部地区经济欠发达，人口生育率、婴儿死亡率较高，平均预期寿命低于全国平均水平，平均为</w:t>
      </w:r>
      <w:r>
        <w:rPr>
          <w:rFonts w:hint="eastAsia"/>
          <w:snapToGrid/>
        </w:rPr>
        <w:t>68</w:t>
      </w:r>
      <w:r>
        <w:rPr>
          <w:rFonts w:hint="eastAsia"/>
          <w:snapToGrid/>
        </w:rPr>
        <w:t>岁左右。从少数民族人口看，人口增长幅度增大，身体素质提高，平均预期寿命不断提高。</w:t>
      </w:r>
    </w:p>
    <w:p w:rsidR="00000000" w:rsidRDefault="00000000">
      <w:pPr>
        <w:rPr>
          <w:rFonts w:hint="eastAsia"/>
          <w:snapToGrid/>
        </w:rPr>
      </w:pPr>
      <w:r>
        <w:rPr>
          <w:rFonts w:hint="eastAsia"/>
          <w:snapToGrid/>
        </w:rPr>
        <w:tab/>
        <w:t>164.  1998</w:t>
      </w:r>
      <w:r>
        <w:rPr>
          <w:rFonts w:hint="eastAsia"/>
          <w:snapToGrid/>
        </w:rPr>
        <w:t>年中国卫生服务调查显示，</w:t>
      </w:r>
      <w:r>
        <w:rPr>
          <w:rFonts w:hint="eastAsia"/>
          <w:snapToGrid/>
        </w:rPr>
        <w:t>77.5%</w:t>
      </w:r>
      <w:r>
        <w:rPr>
          <w:rFonts w:hint="eastAsia"/>
          <w:snapToGrid/>
        </w:rPr>
        <w:t>的城市家庭距离最近的医疗机构在</w:t>
      </w:r>
      <w:r>
        <w:rPr>
          <w:rFonts w:hint="eastAsia"/>
          <w:snapToGrid/>
        </w:rPr>
        <w:t>1</w:t>
      </w:r>
      <w:r>
        <w:rPr>
          <w:rFonts w:hint="eastAsia"/>
          <w:snapToGrid/>
        </w:rPr>
        <w:t>公里以内，城市居民步行</w:t>
      </w:r>
      <w:r>
        <w:rPr>
          <w:rFonts w:hint="eastAsia"/>
          <w:snapToGrid/>
        </w:rPr>
        <w:t>20</w:t>
      </w:r>
      <w:r>
        <w:rPr>
          <w:rFonts w:hint="eastAsia"/>
          <w:snapToGrid/>
        </w:rPr>
        <w:t>分钟基本都能到达最近的医疗机构。城市基层医疗机构拥有的基本药物远远超过</w:t>
      </w:r>
      <w:r>
        <w:rPr>
          <w:rFonts w:hint="eastAsia"/>
          <w:snapToGrid/>
        </w:rPr>
        <w:t>20</w:t>
      </w:r>
      <w:r>
        <w:rPr>
          <w:rFonts w:hint="eastAsia"/>
          <w:snapToGrid/>
        </w:rPr>
        <w:t>种，能够解决居民的一般常见健康问题。可得到经过训练的人员治疗常见病和损伤并可在一小时步行的路程内定期向其提供</w:t>
      </w:r>
      <w:r>
        <w:rPr>
          <w:rFonts w:hint="eastAsia"/>
          <w:snapToGrid/>
        </w:rPr>
        <w:t>20</w:t>
      </w:r>
      <w:r>
        <w:rPr>
          <w:rFonts w:hint="eastAsia"/>
          <w:snapToGrid/>
        </w:rPr>
        <w:t>种基本药物的人口比例在中国城市已基本达</w:t>
      </w:r>
      <w:r>
        <w:rPr>
          <w:rFonts w:hint="eastAsia"/>
          <w:snapToGrid/>
        </w:rPr>
        <w:t>100%</w:t>
      </w:r>
      <w:r>
        <w:rPr>
          <w:rFonts w:hint="eastAsia"/>
          <w:snapToGrid/>
        </w:rPr>
        <w:t>。</w:t>
      </w:r>
      <w:r>
        <w:rPr>
          <w:rFonts w:hint="eastAsia"/>
          <w:snapToGrid/>
        </w:rPr>
        <w:t>2001</w:t>
      </w:r>
      <w:r>
        <w:rPr>
          <w:rFonts w:hint="eastAsia"/>
          <w:snapToGrid/>
        </w:rPr>
        <w:t>年底，全国有乡镇卫生院</w:t>
      </w:r>
      <w:r>
        <w:rPr>
          <w:rFonts w:hint="eastAsia"/>
          <w:snapToGrid/>
        </w:rPr>
        <w:t>48090</w:t>
      </w:r>
      <w:r>
        <w:rPr>
          <w:rFonts w:hint="eastAsia"/>
          <w:snapToGrid/>
        </w:rPr>
        <w:t>所，设置医疗点的村数</w:t>
      </w:r>
      <w:r>
        <w:rPr>
          <w:rFonts w:hint="eastAsia"/>
          <w:snapToGrid/>
        </w:rPr>
        <w:t>637084</w:t>
      </w:r>
      <w:r>
        <w:rPr>
          <w:rFonts w:hint="eastAsia"/>
          <w:snapToGrid/>
        </w:rPr>
        <w:t>个，</w:t>
      </w:r>
      <w:r>
        <w:rPr>
          <w:rFonts w:hint="eastAsia"/>
          <w:snapToGrid/>
        </w:rPr>
        <w:t>89.7%</w:t>
      </w:r>
      <w:r>
        <w:rPr>
          <w:rFonts w:hint="eastAsia"/>
          <w:snapToGrid/>
        </w:rPr>
        <w:t>的行政村设有医疗点，乡村医生和卫生员</w:t>
      </w:r>
      <w:r>
        <w:rPr>
          <w:rFonts w:hint="eastAsia"/>
          <w:snapToGrid/>
        </w:rPr>
        <w:t>1290595</w:t>
      </w:r>
      <w:r>
        <w:rPr>
          <w:rFonts w:hint="eastAsia"/>
          <w:snapToGrid/>
        </w:rPr>
        <w:t>人，平均每村拥有</w:t>
      </w:r>
      <w:r>
        <w:rPr>
          <w:rFonts w:hint="eastAsia"/>
          <w:snapToGrid/>
        </w:rPr>
        <w:t>1.82</w:t>
      </w:r>
      <w:r>
        <w:rPr>
          <w:rFonts w:hint="eastAsia"/>
          <w:snapToGrid/>
        </w:rPr>
        <w:t>人</w:t>
      </w:r>
      <w:r>
        <w:rPr>
          <w:rFonts w:hint="eastAsia"/>
          <w:snapToGrid/>
        </w:rPr>
        <w:t>(</w:t>
      </w:r>
      <w:r>
        <w:rPr>
          <w:rFonts w:hint="eastAsia"/>
          <w:snapToGrid/>
        </w:rPr>
        <w:t>见表</w:t>
      </w:r>
      <w:r>
        <w:rPr>
          <w:rFonts w:hint="eastAsia"/>
          <w:snapToGrid/>
        </w:rPr>
        <w:t>19)</w:t>
      </w:r>
      <w:r>
        <w:rPr>
          <w:rFonts w:hint="eastAsia"/>
          <w:snapToGrid/>
        </w:rPr>
        <w:t>。中国农村实现“</w:t>
      </w:r>
      <w:r>
        <w:rPr>
          <w:rFonts w:hint="eastAsia"/>
          <w:snapToGrid/>
        </w:rPr>
        <w:t>2000</w:t>
      </w:r>
      <w:r>
        <w:rPr>
          <w:rFonts w:hint="eastAsia"/>
          <w:snapToGrid/>
        </w:rPr>
        <w:t>年人人享有卫生保健”的规划目标提出的甲级卫生室的最低标准是：</w:t>
      </w:r>
      <w:r>
        <w:rPr>
          <w:rFonts w:hint="eastAsia"/>
          <w:snapToGrid/>
        </w:rPr>
        <w:t xml:space="preserve">(1) </w:t>
      </w:r>
      <w:r>
        <w:rPr>
          <w:rFonts w:hint="eastAsia"/>
          <w:snapToGrid/>
        </w:rPr>
        <w:t>有诊断、治疗、药房三室分开的专用房间；</w:t>
      </w:r>
      <w:r>
        <w:rPr>
          <w:rFonts w:hint="eastAsia"/>
          <w:snapToGrid/>
        </w:rPr>
        <w:t xml:space="preserve">(2) </w:t>
      </w:r>
      <w:r>
        <w:rPr>
          <w:rFonts w:hint="eastAsia"/>
          <w:snapToGrid/>
        </w:rPr>
        <w:t>至少有</w:t>
      </w:r>
      <w:r>
        <w:rPr>
          <w:rFonts w:hint="eastAsia"/>
          <w:snapToGrid/>
        </w:rPr>
        <w:t>120</w:t>
      </w:r>
      <w:r>
        <w:rPr>
          <w:rFonts w:hint="eastAsia"/>
          <w:snapToGrid/>
        </w:rPr>
        <w:t>种常用药品及必要设备；</w:t>
      </w:r>
      <w:r>
        <w:rPr>
          <w:rFonts w:hint="eastAsia"/>
          <w:snapToGrid/>
        </w:rPr>
        <w:t xml:space="preserve">(3) </w:t>
      </w:r>
      <w:r>
        <w:rPr>
          <w:rFonts w:hint="eastAsia"/>
          <w:snapToGrid/>
        </w:rPr>
        <w:t>至少有一名获得乡村医生证书的医生，有一名女乡村医生或女卫生员</w:t>
      </w:r>
      <w:r>
        <w:rPr>
          <w:rFonts w:hint="eastAsia"/>
          <w:snapToGrid/>
        </w:rPr>
        <w:t>(</w:t>
      </w:r>
      <w:r>
        <w:rPr>
          <w:rFonts w:hint="eastAsia"/>
          <w:snapToGrid/>
        </w:rPr>
        <w:t>接生员</w:t>
      </w:r>
      <w:r>
        <w:rPr>
          <w:rFonts w:hint="eastAsia"/>
          <w:snapToGrid/>
        </w:rPr>
        <w:t>)</w:t>
      </w:r>
      <w:r>
        <w:rPr>
          <w:rFonts w:hint="eastAsia"/>
          <w:snapToGrid/>
        </w:rPr>
        <w:t>；</w:t>
      </w:r>
      <w:r>
        <w:rPr>
          <w:rFonts w:hint="eastAsia"/>
          <w:snapToGrid/>
        </w:rPr>
        <w:t xml:space="preserve">(4) </w:t>
      </w:r>
      <w:r>
        <w:rPr>
          <w:rFonts w:hint="eastAsia"/>
          <w:snapToGrid/>
        </w:rPr>
        <w:t>有一套管理制度，如门诊、发药、收费、消毒、防保等项制度。到</w:t>
      </w:r>
      <w:r>
        <w:rPr>
          <w:rFonts w:hint="eastAsia"/>
          <w:snapToGrid/>
        </w:rPr>
        <w:t>2001</w:t>
      </w:r>
      <w:r>
        <w:rPr>
          <w:rFonts w:hint="eastAsia"/>
          <w:snapToGrid/>
        </w:rPr>
        <w:t>年底，全国</w:t>
      </w:r>
      <w:r>
        <w:rPr>
          <w:rFonts w:hint="eastAsia"/>
          <w:snapToGrid/>
        </w:rPr>
        <w:t>95%</w:t>
      </w:r>
      <w:r>
        <w:rPr>
          <w:rFonts w:hint="eastAsia"/>
          <w:snapToGrid/>
        </w:rPr>
        <w:t>的农业县达到和基本达到要求，因此中国农村可得到经过训练的人员治疗常见病和损伤并可在一小时步行的路程内定期向其提供</w:t>
      </w:r>
      <w:r>
        <w:rPr>
          <w:rFonts w:hint="eastAsia"/>
          <w:snapToGrid/>
        </w:rPr>
        <w:t>20</w:t>
      </w:r>
      <w:r>
        <w:rPr>
          <w:rFonts w:hint="eastAsia"/>
          <w:snapToGrid/>
        </w:rPr>
        <w:t>种基本药物的人口比例约在</w:t>
      </w:r>
      <w:r>
        <w:rPr>
          <w:rFonts w:hint="eastAsia"/>
          <w:snapToGrid/>
        </w:rPr>
        <w:t>90%</w:t>
      </w:r>
      <w:r>
        <w:rPr>
          <w:rFonts w:hint="eastAsia"/>
          <w:snapToGrid/>
        </w:rPr>
        <w:t>以上。</w:t>
      </w:r>
    </w:p>
    <w:p w:rsidR="00000000" w:rsidRDefault="00000000">
      <w:pPr>
        <w:rPr>
          <w:rFonts w:hint="eastAsia"/>
          <w:snapToGrid/>
        </w:rPr>
      </w:pPr>
      <w:r>
        <w:rPr>
          <w:rFonts w:hint="eastAsia"/>
          <w:snapToGrid/>
        </w:rPr>
        <w:tab/>
        <w:t xml:space="preserve">165.  </w:t>
      </w:r>
      <w:r>
        <w:rPr>
          <w:rFonts w:hint="eastAsia"/>
          <w:snapToGrid/>
        </w:rPr>
        <w:t>据</w:t>
      </w:r>
      <w:r>
        <w:rPr>
          <w:rFonts w:hint="eastAsia"/>
          <w:snapToGrid/>
        </w:rPr>
        <w:t>1996-2001</w:t>
      </w:r>
      <w:r>
        <w:rPr>
          <w:rFonts w:hint="eastAsia"/>
          <w:snapToGrid/>
        </w:rPr>
        <w:t>年全国卫生统计年报资料，怀孕期间和分娩期间可得到经过训练的人员保健服务的孕产妇比例在逐年上升</w:t>
      </w:r>
      <w:r>
        <w:rPr>
          <w:rFonts w:hint="eastAsia"/>
          <w:snapToGrid/>
        </w:rPr>
        <w:t>(</w:t>
      </w:r>
      <w:r>
        <w:rPr>
          <w:rFonts w:hint="eastAsia"/>
          <w:snapToGrid/>
        </w:rPr>
        <w:t>见表</w:t>
      </w:r>
      <w:r>
        <w:rPr>
          <w:rFonts w:hint="eastAsia"/>
          <w:snapToGrid/>
        </w:rPr>
        <w:t>20)</w:t>
      </w:r>
      <w:r>
        <w:rPr>
          <w:rFonts w:hint="eastAsia"/>
          <w:snapToGrid/>
        </w:rPr>
        <w:t>。据</w:t>
      </w:r>
      <w:r>
        <w:rPr>
          <w:rFonts w:hint="eastAsia"/>
          <w:snapToGrid/>
        </w:rPr>
        <w:t>1996-2001</w:t>
      </w:r>
      <w:r>
        <w:rPr>
          <w:rFonts w:hint="eastAsia"/>
          <w:snapToGrid/>
        </w:rPr>
        <w:t>年全国孕产妇死亡监测结果分析，全国孕产妇死亡率在逐渐下降，但城市和农村孕产妇死亡率有较大差异。死亡时间约</w:t>
      </w:r>
      <w:r>
        <w:rPr>
          <w:rFonts w:hint="eastAsia"/>
          <w:snapToGrid/>
        </w:rPr>
        <w:t>80%</w:t>
      </w:r>
      <w:r>
        <w:rPr>
          <w:rFonts w:hint="eastAsia"/>
          <w:snapToGrid/>
        </w:rPr>
        <w:t>在产后。据</w:t>
      </w:r>
      <w:r>
        <w:rPr>
          <w:rFonts w:hint="eastAsia"/>
          <w:snapToGrid/>
        </w:rPr>
        <w:t>2001</w:t>
      </w:r>
      <w:r>
        <w:rPr>
          <w:rFonts w:hint="eastAsia"/>
          <w:snapToGrid/>
        </w:rPr>
        <w:t>年全国孕产妇死亡监测结果分析，死亡原因中产科出血占</w:t>
      </w:r>
      <w:r>
        <w:rPr>
          <w:rFonts w:hint="eastAsia"/>
          <w:snapToGrid/>
        </w:rPr>
        <w:t>47.8%</w:t>
      </w:r>
      <w:r>
        <w:rPr>
          <w:rFonts w:hint="eastAsia"/>
          <w:snapToGrid/>
        </w:rPr>
        <w:t>，为第一位死亡原因，其中又以产后出血为主。为主。</w:t>
      </w:r>
      <w:r>
        <w:rPr>
          <w:rFonts w:hint="eastAsia"/>
          <w:snapToGrid/>
        </w:rPr>
        <w:t>(</w:t>
      </w:r>
      <w:r>
        <w:rPr>
          <w:rFonts w:hint="eastAsia"/>
          <w:snapToGrid/>
        </w:rPr>
        <w:t>孕产妇死亡率、每年的产前和产后死亡占当年全国孕产妇死亡的构成比见表</w:t>
      </w:r>
      <w:r>
        <w:rPr>
          <w:rFonts w:hint="eastAsia"/>
          <w:snapToGrid/>
        </w:rPr>
        <w:t>21)</w:t>
      </w:r>
    </w:p>
    <w:p w:rsidR="00000000" w:rsidRDefault="00000000">
      <w:pPr>
        <w:rPr>
          <w:rFonts w:hint="eastAsia"/>
          <w:snapToGrid/>
        </w:rPr>
      </w:pPr>
      <w:r>
        <w:rPr>
          <w:rFonts w:hint="eastAsia"/>
          <w:snapToGrid/>
        </w:rPr>
        <w:tab/>
        <w:t xml:space="preserve">166.  </w:t>
      </w:r>
      <w:r>
        <w:rPr>
          <w:rFonts w:hint="eastAsia"/>
          <w:snapToGrid/>
        </w:rPr>
        <w:t>在中国，经过训练的照顾婴儿的人员主要有以下几种：妇幼保健机构工作人员</w:t>
      </w:r>
      <w:r>
        <w:rPr>
          <w:rFonts w:hint="eastAsia"/>
          <w:snapToGrid/>
        </w:rPr>
        <w:t>(</w:t>
      </w:r>
      <w:r>
        <w:rPr>
          <w:rFonts w:hint="eastAsia"/>
          <w:snapToGrid/>
        </w:rPr>
        <w:t>见表</w:t>
      </w:r>
      <w:r>
        <w:rPr>
          <w:rFonts w:hint="eastAsia"/>
          <w:snapToGrid/>
        </w:rPr>
        <w:t>22)</w:t>
      </w:r>
      <w:r>
        <w:rPr>
          <w:rFonts w:hint="eastAsia"/>
          <w:snapToGrid/>
        </w:rPr>
        <w:t>；医院、预防保健机构、个体诊所、外资医院及诊所医护人员；经培训从事婴幼儿保健及家庭护理的看护人员。</w:t>
      </w:r>
    </w:p>
    <w:p w:rsidR="00000000" w:rsidRDefault="00000000">
      <w:pPr>
        <w:rPr>
          <w:rFonts w:hint="eastAsia"/>
          <w:snapToGrid/>
        </w:rPr>
      </w:pPr>
      <w:r>
        <w:rPr>
          <w:rFonts w:hint="eastAsia"/>
          <w:snapToGrid/>
        </w:rPr>
        <w:tab/>
        <w:t xml:space="preserve">167.  </w:t>
      </w:r>
      <w:r>
        <w:rPr>
          <w:rFonts w:hint="eastAsia"/>
          <w:snapToGrid/>
        </w:rPr>
        <w:t>在中国广大农村、特别是中西部和少数民族地区，由于受相对落后的经济发展和自然地理环境的影响，卫生工作相对比较薄弱。随着农村经济体制的变革和社会生活的发展，人民生活水平包括对卫生保健的需求发生了很大变化，而在这些地区卫生管理体制、服务体系和资金投入等尚不能适应这些变化。在贫困农村地区，一些重点传染病、地方病发病率还较高，严重危害着农村居民的健康。如过去已有效控制的结核病出现回潮，现患病人数明显增加；大骨节病、地方性氟中毒病、血吸虫病等重点地方病分布很广，危害很大，大都集中在中西部的老、少、边、穷地区，现症病人总数达</w:t>
      </w:r>
      <w:r>
        <w:rPr>
          <w:rFonts w:hint="eastAsia"/>
          <w:snapToGrid/>
        </w:rPr>
        <w:t>5100</w:t>
      </w:r>
      <w:r>
        <w:rPr>
          <w:rFonts w:hint="eastAsia"/>
          <w:snapToGrid/>
        </w:rPr>
        <w:t>万。由于农村卫生投入严重不足，公共卫生和预防保健服务难以保证。在农村特别是贫困地区，农村居民主要健康指标的改善幅度明显减缓或停滞，城乡居民健康差距进一步加大。</w:t>
      </w:r>
    </w:p>
    <w:p w:rsidR="00000000" w:rsidRDefault="00000000">
      <w:pPr>
        <w:rPr>
          <w:rFonts w:hint="eastAsia"/>
          <w:snapToGrid/>
        </w:rPr>
      </w:pPr>
      <w:r>
        <w:rPr>
          <w:rFonts w:hint="eastAsia"/>
          <w:snapToGrid/>
        </w:rPr>
        <w:tab/>
        <w:t xml:space="preserve">168.  </w:t>
      </w:r>
      <w:r>
        <w:rPr>
          <w:rFonts w:hint="eastAsia"/>
          <w:snapToGrid/>
        </w:rPr>
        <w:t>中国政府要求以农村初级卫生保健为重点，全面完成《</w:t>
      </w:r>
      <w:r>
        <w:rPr>
          <w:rFonts w:hint="eastAsia"/>
          <w:snapToGrid/>
        </w:rPr>
        <w:t>2001-2010</w:t>
      </w:r>
      <w:r>
        <w:rPr>
          <w:rFonts w:hint="eastAsia"/>
          <w:snapToGrid/>
        </w:rPr>
        <w:t>年农村初级卫生保健发展纲要》提出的目标。坚持预防为主；加强县级预防保健机构建设，积极引导乡</w:t>
      </w:r>
      <w:r>
        <w:rPr>
          <w:rFonts w:hint="eastAsia"/>
          <w:snapToGrid/>
        </w:rPr>
        <w:t>(</w:t>
      </w:r>
      <w:r>
        <w:rPr>
          <w:rFonts w:hint="eastAsia"/>
          <w:snapToGrid/>
        </w:rPr>
        <w:t>镇</w:t>
      </w:r>
      <w:r>
        <w:rPr>
          <w:rFonts w:hint="eastAsia"/>
          <w:snapToGrid/>
        </w:rPr>
        <w:t>)</w:t>
      </w:r>
      <w:r>
        <w:rPr>
          <w:rFonts w:hint="eastAsia"/>
          <w:snapToGrid/>
        </w:rPr>
        <w:t>卫生院转变服务模式，以公共卫生服务为主，重点做好预防保健和基本医疗服务。已经城镇化的农村地区，乡</w:t>
      </w:r>
      <w:r>
        <w:rPr>
          <w:rFonts w:hint="eastAsia"/>
          <w:snapToGrid/>
        </w:rPr>
        <w:t>(</w:t>
      </w:r>
      <w:r>
        <w:rPr>
          <w:rFonts w:hint="eastAsia"/>
          <w:snapToGrid/>
        </w:rPr>
        <w:t>镇</w:t>
      </w:r>
      <w:r>
        <w:rPr>
          <w:rFonts w:hint="eastAsia"/>
          <w:snapToGrid/>
        </w:rPr>
        <w:t>)</w:t>
      </w:r>
      <w:r>
        <w:rPr>
          <w:rFonts w:hint="eastAsia"/>
          <w:snapToGrid/>
        </w:rPr>
        <w:t>卫生院要向社区卫生服务发展。加强计划免疫工作，改善乡</w:t>
      </w:r>
      <w:r>
        <w:rPr>
          <w:rFonts w:hint="eastAsia"/>
          <w:snapToGrid/>
        </w:rPr>
        <w:t>(</w:t>
      </w:r>
      <w:r>
        <w:rPr>
          <w:rFonts w:hint="eastAsia"/>
          <w:snapToGrid/>
        </w:rPr>
        <w:t>镇</w:t>
      </w:r>
      <w:r>
        <w:rPr>
          <w:rFonts w:hint="eastAsia"/>
          <w:snapToGrid/>
        </w:rPr>
        <w:t>)</w:t>
      </w:r>
      <w:r>
        <w:rPr>
          <w:rFonts w:hint="eastAsia"/>
          <w:snapToGrid/>
        </w:rPr>
        <w:t>卫生院接生条件，对农村孕产妇住院分娩收费实行最高限价。推进“亿万农民健康促进行动”，提高农民的自我保健意识，促进农民形成科学、文明、健康的生活方式。</w:t>
      </w:r>
    </w:p>
    <w:p w:rsidR="00000000" w:rsidRDefault="00000000">
      <w:pPr>
        <w:rPr>
          <w:rFonts w:hint="eastAsia"/>
          <w:snapToGrid/>
        </w:rPr>
      </w:pPr>
      <w:r>
        <w:rPr>
          <w:rFonts w:hint="eastAsia"/>
          <w:snapToGrid/>
        </w:rPr>
        <w:tab/>
        <w:t>169.  2002</w:t>
      </w:r>
      <w:r>
        <w:rPr>
          <w:rFonts w:hint="eastAsia"/>
          <w:snapToGrid/>
        </w:rPr>
        <w:t>年，中国政府发出《关于进一步加强农村卫生工作的决定》。提出到</w:t>
      </w:r>
      <w:r>
        <w:rPr>
          <w:rFonts w:hint="eastAsia"/>
          <w:snapToGrid/>
        </w:rPr>
        <w:t>2010</w:t>
      </w:r>
      <w:r>
        <w:rPr>
          <w:rFonts w:hint="eastAsia"/>
          <w:snapToGrid/>
        </w:rPr>
        <w:t>年，在全国农村基本建立起适应社会主义市场经济体制要求和农村经济社会发展水平的农村卫生服务体系和农村合作医疗制度。主要包括：建立基本设施齐全的农村卫生服务网络，建立具有较高专业素质的农村卫生服务队伍，通过初中毕业后学习</w:t>
      </w:r>
      <w:r>
        <w:rPr>
          <w:rFonts w:hint="eastAsia"/>
          <w:snapToGrid/>
        </w:rPr>
        <w:t>5</w:t>
      </w:r>
      <w:r>
        <w:rPr>
          <w:rFonts w:hint="eastAsia"/>
          <w:snapToGrid/>
        </w:rPr>
        <w:t>年或高中毕业后学习</w:t>
      </w:r>
      <w:r>
        <w:rPr>
          <w:rFonts w:hint="eastAsia"/>
          <w:snapToGrid/>
        </w:rPr>
        <w:t>3</w:t>
      </w:r>
      <w:r>
        <w:rPr>
          <w:rFonts w:hint="eastAsia"/>
          <w:snapToGrid/>
        </w:rPr>
        <w:t>年的高等专科教育等方式，定向为农村培养适用的卫生人才。到</w:t>
      </w:r>
      <w:r>
        <w:rPr>
          <w:rFonts w:hint="eastAsia"/>
          <w:snapToGrid/>
        </w:rPr>
        <w:t>2005</w:t>
      </w:r>
      <w:r>
        <w:rPr>
          <w:rFonts w:hint="eastAsia"/>
          <w:snapToGrid/>
        </w:rPr>
        <w:t>年，全国乡</w:t>
      </w:r>
      <w:r>
        <w:rPr>
          <w:rFonts w:hint="eastAsia"/>
          <w:snapToGrid/>
        </w:rPr>
        <w:t>(</w:t>
      </w:r>
      <w:r>
        <w:rPr>
          <w:rFonts w:hint="eastAsia"/>
          <w:snapToGrid/>
        </w:rPr>
        <w:t>镇</w:t>
      </w:r>
      <w:r>
        <w:rPr>
          <w:rFonts w:hint="eastAsia"/>
          <w:snapToGrid/>
        </w:rPr>
        <w:t>)</w:t>
      </w:r>
      <w:r>
        <w:rPr>
          <w:rFonts w:hint="eastAsia"/>
          <w:snapToGrid/>
        </w:rPr>
        <w:t>卫生院临床医疗服务人员要具备执业助理医师及以上执业资格；到</w:t>
      </w:r>
      <w:r>
        <w:rPr>
          <w:rFonts w:hint="eastAsia"/>
          <w:snapToGrid/>
        </w:rPr>
        <w:t>2010</w:t>
      </w:r>
      <w:r>
        <w:rPr>
          <w:rFonts w:hint="eastAsia"/>
          <w:snapToGrid/>
        </w:rPr>
        <w:t>年</w:t>
      </w:r>
      <w:r>
        <w:rPr>
          <w:snapToGrid/>
        </w:rPr>
        <w:t>，</w:t>
      </w:r>
      <w:r>
        <w:rPr>
          <w:rFonts w:hint="eastAsia"/>
          <w:snapToGrid/>
        </w:rPr>
        <w:t>全国大多数乡村医生要具备执业助理医师及以上资格。对现有专业技术人员进行岗位培训。力争用</w:t>
      </w:r>
      <w:r>
        <w:rPr>
          <w:rFonts w:hint="eastAsia"/>
          <w:snapToGrid/>
        </w:rPr>
        <w:t>5</w:t>
      </w:r>
      <w:r>
        <w:rPr>
          <w:rFonts w:hint="eastAsia"/>
          <w:snapToGrid/>
        </w:rPr>
        <w:t>年时间，将县、乡两级卫生管理人员和乡、村卫生机构在职技术人员轮训一遍。各级政府要逐年增加卫生投入，增长幅度不低于同期财政经常性支出的增长幅度。从</w:t>
      </w:r>
      <w:r>
        <w:rPr>
          <w:rFonts w:hint="eastAsia"/>
          <w:snapToGrid/>
        </w:rPr>
        <w:t>2003</w:t>
      </w:r>
      <w:r>
        <w:rPr>
          <w:rFonts w:hint="eastAsia"/>
          <w:snapToGrid/>
        </w:rPr>
        <w:t>年到</w:t>
      </w:r>
      <w:r>
        <w:rPr>
          <w:rFonts w:hint="eastAsia"/>
          <w:snapToGrid/>
        </w:rPr>
        <w:t>2010</w:t>
      </w:r>
      <w:r>
        <w:rPr>
          <w:rFonts w:hint="eastAsia"/>
          <w:snapToGrid/>
        </w:rPr>
        <w:t>年，中央及省、市</w:t>
      </w:r>
      <w:r>
        <w:rPr>
          <w:rFonts w:hint="eastAsia"/>
          <w:snapToGrid/>
        </w:rPr>
        <w:t>(</w:t>
      </w:r>
      <w:r>
        <w:rPr>
          <w:rFonts w:hint="eastAsia"/>
          <w:snapToGrid/>
        </w:rPr>
        <w:t>地</w:t>
      </w:r>
      <w:r>
        <w:rPr>
          <w:rFonts w:hint="eastAsia"/>
          <w:snapToGrid/>
        </w:rPr>
        <w:t>)</w:t>
      </w:r>
      <w:r>
        <w:rPr>
          <w:rFonts w:hint="eastAsia"/>
          <w:snapToGrid/>
        </w:rPr>
        <w:t>、县</w:t>
      </w:r>
      <w:r>
        <w:rPr>
          <w:rFonts w:hint="eastAsia"/>
          <w:snapToGrid/>
        </w:rPr>
        <w:t>(</w:t>
      </w:r>
      <w:r>
        <w:rPr>
          <w:rFonts w:hint="eastAsia"/>
          <w:snapToGrid/>
        </w:rPr>
        <w:t>市</w:t>
      </w:r>
      <w:r>
        <w:rPr>
          <w:rFonts w:hint="eastAsia"/>
          <w:snapToGrid/>
        </w:rPr>
        <w:t>)</w:t>
      </w:r>
      <w:r>
        <w:rPr>
          <w:rFonts w:hint="eastAsia"/>
          <w:snapToGrid/>
        </w:rPr>
        <w:t>级人民政府每年增加的卫生事业经费主要用于发展农村卫生事业。建立以大病统筹为主，政府组织引导，农民自愿参加的新型农村合作医疗制度和医疗救助制度。中央财政通过专项转移支付，对中西部地区除市区以外的参加新型合作医疗的农民每年按人均</w:t>
      </w:r>
      <w:r>
        <w:rPr>
          <w:rFonts w:hint="eastAsia"/>
          <w:snapToGrid/>
        </w:rPr>
        <w:t>10</w:t>
      </w:r>
      <w:r>
        <w:rPr>
          <w:rFonts w:hint="eastAsia"/>
          <w:snapToGrid/>
        </w:rPr>
        <w:t>元给予补助，地方财政补助每年不低于人均</w:t>
      </w:r>
      <w:r>
        <w:rPr>
          <w:rFonts w:hint="eastAsia"/>
          <w:snapToGrid/>
        </w:rPr>
        <w:t>10</w:t>
      </w:r>
      <w:r>
        <w:rPr>
          <w:rFonts w:hint="eastAsia"/>
          <w:snapToGrid/>
        </w:rPr>
        <w:t>元。</w:t>
      </w:r>
    </w:p>
    <w:p w:rsidR="00000000" w:rsidRDefault="00000000">
      <w:pPr>
        <w:rPr>
          <w:rFonts w:hint="eastAsia"/>
          <w:snapToGrid/>
        </w:rPr>
      </w:pPr>
      <w:r>
        <w:rPr>
          <w:rFonts w:hint="eastAsia"/>
          <w:snapToGrid/>
        </w:rPr>
        <w:tab/>
        <w:t>170.  2001</w:t>
      </w:r>
      <w:r>
        <w:rPr>
          <w:rFonts w:hint="eastAsia"/>
          <w:snapToGrid/>
        </w:rPr>
        <w:t>年，卫生部下发了《关于加强西部卫生工作的意见》，提出继续增加对西部的卫生投入，继续加大中央现有卫生专项资金、项目对西部贫困地区的支持力度，加快西部地区农村卫生基础设施建设。组织全国卫生系统，采取人员培训、技术指导、巡回医疗、设备支持等方式开展对西部地区卫生对口支援工作，加强人才培养、健康教育、爱国卫生和重点领域的卫生监督执法。从</w:t>
      </w:r>
      <w:r>
        <w:rPr>
          <w:rFonts w:hint="eastAsia"/>
          <w:snapToGrid/>
        </w:rPr>
        <w:t>2003</w:t>
      </w:r>
      <w:r>
        <w:rPr>
          <w:rFonts w:hint="eastAsia"/>
          <w:snapToGrid/>
        </w:rPr>
        <w:t>年开始，政府有关部门动员组织东、中部地区</w:t>
      </w:r>
      <w:r>
        <w:rPr>
          <w:rFonts w:hint="eastAsia"/>
          <w:snapToGrid/>
        </w:rPr>
        <w:t>500</w:t>
      </w:r>
      <w:r>
        <w:rPr>
          <w:rFonts w:hint="eastAsia"/>
          <w:snapToGrid/>
        </w:rPr>
        <w:t>家大中型医疗卫生机构，对口支援西部地区农村卫生机构，重点支援县级医疗卫生机构和中心乡</w:t>
      </w:r>
      <w:r>
        <w:rPr>
          <w:rFonts w:hint="eastAsia"/>
          <w:snapToGrid/>
        </w:rPr>
        <w:t>(</w:t>
      </w:r>
      <w:r>
        <w:rPr>
          <w:rFonts w:hint="eastAsia"/>
          <w:snapToGrid/>
        </w:rPr>
        <w:t>镇</w:t>
      </w:r>
      <w:r>
        <w:rPr>
          <w:rFonts w:hint="eastAsia"/>
          <w:snapToGrid/>
        </w:rPr>
        <w:t>)</w:t>
      </w:r>
      <w:r>
        <w:rPr>
          <w:rFonts w:hint="eastAsia"/>
          <w:snapToGrid/>
        </w:rPr>
        <w:t>卫生院的建设。各省、自治区、直辖市组织辖区内的市</w:t>
      </w:r>
      <w:r>
        <w:rPr>
          <w:rFonts w:hint="eastAsia"/>
          <w:snapToGrid/>
        </w:rPr>
        <w:t>(</w:t>
      </w:r>
      <w:r>
        <w:rPr>
          <w:rFonts w:hint="eastAsia"/>
          <w:snapToGrid/>
        </w:rPr>
        <w:t>地</w:t>
      </w:r>
      <w:r>
        <w:rPr>
          <w:rFonts w:hint="eastAsia"/>
          <w:snapToGrid/>
        </w:rPr>
        <w:t>)</w:t>
      </w:r>
      <w:r>
        <w:rPr>
          <w:rFonts w:hint="eastAsia"/>
          <w:snapToGrid/>
        </w:rPr>
        <w:t>级以上医疗卫生机构，对口支援本地区农村卫生机构。组织医疗队，建立了巡回医疗制度，配备车辆和设备，深入边远贫困地区和民族地区开展巡回医疗活动。</w:t>
      </w:r>
      <w:r>
        <w:rPr>
          <w:rFonts w:hint="eastAsia"/>
          <w:snapToGrid/>
        </w:rPr>
        <w:t>2001</w:t>
      </w:r>
      <w:r>
        <w:rPr>
          <w:rFonts w:hint="eastAsia"/>
          <w:snapToGrid/>
        </w:rPr>
        <w:t>年，中央补助地方的农村卫生“三项建设”项目资金</w:t>
      </w:r>
      <w:r>
        <w:rPr>
          <w:rFonts w:hint="eastAsia"/>
          <w:snapToGrid/>
        </w:rPr>
        <w:t>0.8</w:t>
      </w:r>
      <w:r>
        <w:rPr>
          <w:rFonts w:hint="eastAsia"/>
          <w:snapToGrid/>
        </w:rPr>
        <w:t>亿元；全国贫困县县医院建设项目</w:t>
      </w:r>
      <w:r>
        <w:rPr>
          <w:rFonts w:hint="eastAsia"/>
          <w:snapToGrid/>
        </w:rPr>
        <w:t>116</w:t>
      </w:r>
      <w:r>
        <w:rPr>
          <w:rFonts w:hint="eastAsia"/>
          <w:snapToGrid/>
        </w:rPr>
        <w:t>个，中央投资</w:t>
      </w:r>
      <w:r>
        <w:rPr>
          <w:rFonts w:hint="eastAsia"/>
          <w:snapToGrid/>
        </w:rPr>
        <w:t>1.2</w:t>
      </w:r>
      <w:r>
        <w:rPr>
          <w:rFonts w:hint="eastAsia"/>
          <w:snapToGrid/>
        </w:rPr>
        <w:t>亿元；中央投资</w:t>
      </w:r>
      <w:r>
        <w:rPr>
          <w:rFonts w:hint="eastAsia"/>
          <w:snapToGrid/>
        </w:rPr>
        <w:t>6.7</w:t>
      </w:r>
      <w:r>
        <w:rPr>
          <w:rFonts w:hint="eastAsia"/>
          <w:snapToGrid/>
        </w:rPr>
        <w:t>亿元进行中西部血站建设。</w:t>
      </w:r>
      <w:r>
        <w:rPr>
          <w:rFonts w:hint="eastAsia"/>
          <w:snapToGrid/>
        </w:rPr>
        <w:t>2002</w:t>
      </w:r>
      <w:r>
        <w:rPr>
          <w:rFonts w:hint="eastAsia"/>
          <w:snapToGrid/>
        </w:rPr>
        <w:t>年中央下达专项投资</w:t>
      </w:r>
      <w:r>
        <w:rPr>
          <w:rFonts w:hint="eastAsia"/>
          <w:snapToGrid/>
        </w:rPr>
        <w:t>3</w:t>
      </w:r>
      <w:r>
        <w:rPr>
          <w:rFonts w:hint="eastAsia"/>
          <w:snapToGrid/>
        </w:rPr>
        <w:t>亿元，继续开展贫困地区农村卫生基础设施建设、中医及专科医院建设。</w:t>
      </w:r>
      <w:r>
        <w:rPr>
          <w:rFonts w:hint="eastAsia"/>
          <w:snapToGrid/>
        </w:rPr>
        <w:t>2002</w:t>
      </w:r>
      <w:r>
        <w:rPr>
          <w:rFonts w:hint="eastAsia"/>
          <w:snapToGrid/>
        </w:rPr>
        <w:t>年安排中央预算内专项资金</w:t>
      </w:r>
      <w:r>
        <w:rPr>
          <w:rFonts w:hint="eastAsia"/>
          <w:snapToGrid/>
        </w:rPr>
        <w:t>(</w:t>
      </w:r>
      <w:r>
        <w:rPr>
          <w:rFonts w:hint="eastAsia"/>
          <w:snapToGrid/>
        </w:rPr>
        <w:t>国债</w:t>
      </w:r>
      <w:r>
        <w:rPr>
          <w:rFonts w:hint="eastAsia"/>
          <w:snapToGrid/>
        </w:rPr>
        <w:t>)8</w:t>
      </w:r>
      <w:r>
        <w:rPr>
          <w:rFonts w:hint="eastAsia"/>
          <w:snapToGrid/>
        </w:rPr>
        <w:t>亿元，进行西部地区省、地市和县级疾病预防控制机构建设等。</w:t>
      </w:r>
    </w:p>
    <w:p w:rsidR="00000000" w:rsidRDefault="00000000">
      <w:pPr>
        <w:rPr>
          <w:rFonts w:hint="eastAsia"/>
          <w:snapToGrid/>
        </w:rPr>
      </w:pPr>
      <w:r>
        <w:rPr>
          <w:rFonts w:hint="eastAsia"/>
          <w:snapToGrid/>
        </w:rPr>
        <w:tab/>
        <w:t xml:space="preserve">171.  </w:t>
      </w:r>
      <w:r>
        <w:rPr>
          <w:rFonts w:hint="eastAsia"/>
          <w:snapToGrid/>
        </w:rPr>
        <w:t>中国政府加大对西部地区重点传染病、地方病、寄生虫病、鼠疫、霍乱、艾滋病、脊髓灰质炎等重点传染病的预防控制工作。继续开展血吸虫病、碘缺乏病控制工作。加大对西部地区大骨节病、地方性氟</w:t>
      </w:r>
      <w:r>
        <w:rPr>
          <w:rFonts w:hint="eastAsia"/>
          <w:snapToGrid/>
        </w:rPr>
        <w:t>(</w:t>
      </w:r>
      <w:r>
        <w:rPr>
          <w:rFonts w:hint="eastAsia"/>
          <w:snapToGrid/>
        </w:rPr>
        <w:t>砷</w:t>
      </w:r>
      <w:r>
        <w:rPr>
          <w:rFonts w:hint="eastAsia"/>
          <w:snapToGrid/>
        </w:rPr>
        <w:t>)</w:t>
      </w:r>
      <w:r>
        <w:rPr>
          <w:rFonts w:hint="eastAsia"/>
          <w:snapToGrid/>
        </w:rPr>
        <w:t>中毒的防治。仅</w:t>
      </w:r>
      <w:r>
        <w:rPr>
          <w:rFonts w:hint="eastAsia"/>
          <w:snapToGrid/>
        </w:rPr>
        <w:t>2001</w:t>
      </w:r>
      <w:r>
        <w:rPr>
          <w:rFonts w:hint="eastAsia"/>
          <w:snapToGrid/>
        </w:rPr>
        <w:t>年，中央政府拨款</w:t>
      </w:r>
      <w:r>
        <w:rPr>
          <w:rFonts w:hint="eastAsia"/>
          <w:snapToGrid/>
        </w:rPr>
        <w:t>8.5</w:t>
      </w:r>
      <w:r>
        <w:rPr>
          <w:rFonts w:hint="eastAsia"/>
          <w:snapToGrid/>
        </w:rPr>
        <w:t>亿元，解决中西部</w:t>
      </w:r>
      <w:r>
        <w:rPr>
          <w:rFonts w:hint="eastAsia"/>
          <w:snapToGrid/>
        </w:rPr>
        <w:t>10</w:t>
      </w:r>
      <w:r>
        <w:rPr>
          <w:rFonts w:hint="eastAsia"/>
          <w:snapToGrid/>
        </w:rPr>
        <w:t>省</w:t>
      </w:r>
      <w:r>
        <w:rPr>
          <w:rFonts w:hint="eastAsia"/>
          <w:snapToGrid/>
        </w:rPr>
        <w:t>(</w:t>
      </w:r>
      <w:r>
        <w:rPr>
          <w:rFonts w:hint="eastAsia"/>
          <w:snapToGrid/>
        </w:rPr>
        <w:t>区</w:t>
      </w:r>
      <w:r>
        <w:rPr>
          <w:rFonts w:hint="eastAsia"/>
          <w:snapToGrid/>
        </w:rPr>
        <w:t>)</w:t>
      </w:r>
      <w:r>
        <w:rPr>
          <w:rFonts w:hint="eastAsia"/>
          <w:snapToGrid/>
        </w:rPr>
        <w:t>地氟</w:t>
      </w:r>
      <w:r>
        <w:rPr>
          <w:rFonts w:hint="eastAsia"/>
          <w:snapToGrid/>
        </w:rPr>
        <w:t>(</w:t>
      </w:r>
      <w:r>
        <w:rPr>
          <w:rFonts w:hint="eastAsia"/>
          <w:snapToGrid/>
        </w:rPr>
        <w:t>砷</w:t>
      </w:r>
      <w:r>
        <w:rPr>
          <w:rFonts w:hint="eastAsia"/>
          <w:snapToGrid/>
        </w:rPr>
        <w:t>)</w:t>
      </w:r>
      <w:r>
        <w:rPr>
          <w:rFonts w:hint="eastAsia"/>
          <w:snapToGrid/>
        </w:rPr>
        <w:t>病中重病区</w:t>
      </w:r>
      <w:r>
        <w:rPr>
          <w:rFonts w:hint="eastAsia"/>
          <w:snapToGrid/>
        </w:rPr>
        <w:t>300</w:t>
      </w:r>
      <w:r>
        <w:rPr>
          <w:rFonts w:hint="eastAsia"/>
          <w:snapToGrid/>
        </w:rPr>
        <w:t>余万人饮水问题。确定“十五”期间提供</w:t>
      </w:r>
      <w:r>
        <w:rPr>
          <w:rFonts w:hint="eastAsia"/>
          <w:snapToGrid/>
        </w:rPr>
        <w:t>1.8</w:t>
      </w:r>
      <w:r>
        <w:rPr>
          <w:rFonts w:hint="eastAsia"/>
          <w:snapToGrid/>
        </w:rPr>
        <w:t>亿元用于西部</w:t>
      </w:r>
      <w:r>
        <w:rPr>
          <w:rFonts w:hint="eastAsia"/>
          <w:snapToGrid/>
        </w:rPr>
        <w:t>12</w:t>
      </w:r>
      <w:r>
        <w:rPr>
          <w:rFonts w:hint="eastAsia"/>
          <w:snapToGrid/>
        </w:rPr>
        <w:t>省份和中部</w:t>
      </w:r>
      <w:r>
        <w:rPr>
          <w:rFonts w:hint="eastAsia"/>
          <w:snapToGrid/>
        </w:rPr>
        <w:t>6</w:t>
      </w:r>
      <w:r>
        <w:rPr>
          <w:rFonts w:hint="eastAsia"/>
          <w:snapToGrid/>
        </w:rPr>
        <w:t>省国家级贫困县购买乙肝疫苗和疫苗注射器材，使这些地区每年</w:t>
      </w:r>
      <w:r>
        <w:rPr>
          <w:rFonts w:hint="eastAsia"/>
          <w:snapToGrid/>
        </w:rPr>
        <w:t>600</w:t>
      </w:r>
      <w:r>
        <w:rPr>
          <w:rFonts w:hint="eastAsia"/>
          <w:snapToGrid/>
        </w:rPr>
        <w:t>多万新生儿能享受到乙肝疫苗免疫服务。</w:t>
      </w:r>
      <w:r>
        <w:rPr>
          <w:rFonts w:hint="eastAsia"/>
          <w:snapToGrid/>
        </w:rPr>
        <w:t>2001-2002</w:t>
      </w:r>
      <w:r>
        <w:rPr>
          <w:rFonts w:hint="eastAsia"/>
          <w:snapToGrid/>
        </w:rPr>
        <w:t>年每年提供</w:t>
      </w:r>
      <w:r>
        <w:rPr>
          <w:rFonts w:hint="eastAsia"/>
          <w:snapToGrid/>
        </w:rPr>
        <w:t>2000</w:t>
      </w:r>
      <w:r>
        <w:rPr>
          <w:rFonts w:hint="eastAsia"/>
          <w:snapToGrid/>
        </w:rPr>
        <w:t>万元资金为中、西部省份购置冷链设备，以改善上述地区计划免疫设备陈旧状况。</w:t>
      </w:r>
    </w:p>
    <w:p w:rsidR="00000000" w:rsidRDefault="00000000">
      <w:pPr>
        <w:rPr>
          <w:rFonts w:hint="eastAsia"/>
          <w:snapToGrid/>
        </w:rPr>
      </w:pPr>
      <w:r>
        <w:rPr>
          <w:rFonts w:hint="eastAsia"/>
          <w:snapToGrid/>
        </w:rPr>
        <w:tab/>
        <w:t xml:space="preserve">172.  </w:t>
      </w:r>
      <w:r>
        <w:rPr>
          <w:rFonts w:hint="eastAsia"/>
          <w:snapToGrid/>
        </w:rPr>
        <w:t>争取国际多边、双边和港澳台的无偿援助以及国际金融组织和国外政府的赠款和优惠贷款，建立新项目。</w:t>
      </w:r>
      <w:r>
        <w:rPr>
          <w:rFonts w:hint="eastAsia"/>
          <w:snapToGrid/>
        </w:rPr>
        <w:t>2001</w:t>
      </w:r>
      <w:r>
        <w:rPr>
          <w:rFonts w:hint="eastAsia"/>
          <w:snapToGrid/>
        </w:rPr>
        <w:t>年，在国际合作项目中逐步向西部倾斜。通过多边、双边、民间和港澳台合作项目，对西部贫困地区的计划免疫、结核病防治、消除碘缺乏病、疾病监测、能力建设、社区卫生服务等方面给予支持，资助总金额近</w:t>
      </w:r>
      <w:r>
        <w:rPr>
          <w:rFonts w:hint="eastAsia"/>
          <w:snapToGrid/>
        </w:rPr>
        <w:t>1</w:t>
      </w:r>
      <w:r>
        <w:rPr>
          <w:rFonts w:hint="eastAsia"/>
          <w:snapToGrid/>
        </w:rPr>
        <w:t>亿美元。同时还为西部建设培训人才。</w:t>
      </w:r>
    </w:p>
    <w:p w:rsidR="00000000" w:rsidRDefault="00000000">
      <w:pPr>
        <w:rPr>
          <w:rFonts w:hint="eastAsia"/>
          <w:snapToGrid/>
        </w:rPr>
      </w:pPr>
      <w:r>
        <w:rPr>
          <w:rFonts w:hint="eastAsia"/>
          <w:snapToGrid/>
        </w:rPr>
        <w:tab/>
        <w:t xml:space="preserve">173.  </w:t>
      </w:r>
      <w:r>
        <w:rPr>
          <w:rFonts w:hint="eastAsia"/>
          <w:snapToGrid/>
        </w:rPr>
        <w:t>中国制定了《母婴保健法》、《母婴保健法实施办法》及《婚前保健工作规范》等法律法规，开展以婚前卫生指导、卫生咨询和医学检查为内容的婚前保健服务，以减少出生缺陷的发生。到</w:t>
      </w:r>
      <w:r>
        <w:rPr>
          <w:rFonts w:hint="eastAsia"/>
          <w:snapToGrid/>
        </w:rPr>
        <w:t>2000</w:t>
      </w:r>
      <w:r>
        <w:rPr>
          <w:rFonts w:hint="eastAsia"/>
          <w:snapToGrid/>
        </w:rPr>
        <w:t>年，全国婚前医学检查率平均为</w:t>
      </w:r>
      <w:r>
        <w:rPr>
          <w:rFonts w:hint="eastAsia"/>
          <w:snapToGrid/>
        </w:rPr>
        <w:t>64.55%</w:t>
      </w:r>
      <w:r>
        <w:rPr>
          <w:rFonts w:hint="eastAsia"/>
          <w:snapToGrid/>
        </w:rPr>
        <w:t>。但农村婚前保健覆盖率与城市相比，还存在较大差距。开展为孕产妇提供卫生、营养、心理等方面咨询和指导以及产前定期检查等医疗保健服务，提高住院分娩率。中国政府通过采取一系列措施，在很大程度上预防、减少了有害因素对母婴的伤害，降低了孕产妇及胎婴儿的患病率和死亡率。但是目前中国贫困地区的孕产期保健覆盖率和服务质量，与经济发达地区相比仍有较大差距。保护弱势群体，关注贫困地区的母亲和儿童健康，一直是中国政府卫生工作的重点。</w:t>
      </w:r>
    </w:p>
    <w:p w:rsidR="00000000" w:rsidRDefault="00000000">
      <w:pPr>
        <w:rPr>
          <w:rFonts w:hint="eastAsia"/>
          <w:snapToGrid/>
        </w:rPr>
      </w:pPr>
      <w:r>
        <w:rPr>
          <w:rFonts w:hint="eastAsia"/>
          <w:snapToGrid/>
        </w:rPr>
        <w:tab/>
        <w:t xml:space="preserve">174.  </w:t>
      </w:r>
      <w:r>
        <w:rPr>
          <w:rFonts w:hint="eastAsia"/>
          <w:snapToGrid/>
        </w:rPr>
        <w:t>作为一个人口众多的发展中国家，由于财力有限，资金和项目不可能覆盖全部贫困地区。尤其是在西部贫困地区，妇女健康仍面临诸多挑战，突出表现为：孕产妇死亡率高，</w:t>
      </w:r>
      <w:r>
        <w:rPr>
          <w:rFonts w:hint="eastAsia"/>
          <w:snapToGrid/>
        </w:rPr>
        <w:t>2000</w:t>
      </w:r>
      <w:r>
        <w:rPr>
          <w:rFonts w:hint="eastAsia"/>
          <w:snapToGrid/>
        </w:rPr>
        <w:t>年全国孕产妇死亡率</w:t>
      </w:r>
      <w:r>
        <w:rPr>
          <w:rFonts w:hint="eastAsia"/>
          <w:snapToGrid/>
        </w:rPr>
        <w:t>53/10</w:t>
      </w:r>
      <w:r>
        <w:rPr>
          <w:rFonts w:hint="eastAsia"/>
          <w:snapToGrid/>
        </w:rPr>
        <w:t>万，边远地区为</w:t>
      </w:r>
      <w:r>
        <w:rPr>
          <w:rFonts w:hint="eastAsia"/>
          <w:snapToGrid/>
        </w:rPr>
        <w:t>114.9/10</w:t>
      </w:r>
      <w:r>
        <w:rPr>
          <w:rFonts w:hint="eastAsia"/>
          <w:snapToGrid/>
        </w:rPr>
        <w:t>万，局部地区孕产妇死亡率甚至高达</w:t>
      </w:r>
      <w:r>
        <w:rPr>
          <w:rFonts w:hint="eastAsia"/>
          <w:snapToGrid/>
        </w:rPr>
        <w:t>400/10</w:t>
      </w:r>
      <w:r>
        <w:rPr>
          <w:rFonts w:hint="eastAsia"/>
          <w:snapToGrid/>
        </w:rPr>
        <w:t>万以上。在农村，</w:t>
      </w:r>
      <w:r>
        <w:rPr>
          <w:rFonts w:hint="eastAsia"/>
          <w:snapToGrid/>
        </w:rPr>
        <w:t>90%</w:t>
      </w:r>
      <w:r>
        <w:rPr>
          <w:rFonts w:hint="eastAsia"/>
          <w:snapToGrid/>
        </w:rPr>
        <w:t>以上孕产妇死亡发生在落后的地区，在家中分娩死亡的占</w:t>
      </w:r>
      <w:r>
        <w:rPr>
          <w:rFonts w:hint="eastAsia"/>
          <w:snapToGrid/>
        </w:rPr>
        <w:t>40.5%</w:t>
      </w:r>
      <w:r>
        <w:rPr>
          <w:rFonts w:hint="eastAsia"/>
          <w:snapToGrid/>
        </w:rPr>
        <w:t>。导致这种情况的原因是多方面的。首先，贫困地区人群落后的经济条件阻碍了孕产妇住院分娩，一些愚昧落后的习俗和淡薄的健康意识也使得孕产妇的安全得不到应有的重视。第二，农村卫技人员普遍知识结构层次低，技术落后，服务能力差。根据</w:t>
      </w:r>
      <w:r>
        <w:rPr>
          <w:rFonts w:hint="eastAsia"/>
          <w:snapToGrid/>
        </w:rPr>
        <w:t>1998</w:t>
      </w:r>
      <w:r>
        <w:rPr>
          <w:rFonts w:hint="eastAsia"/>
          <w:snapToGrid/>
        </w:rPr>
        <w:t>年卫生部的调查，农村乡镇卫生院的卫技人员中本科及以上学历只占</w:t>
      </w:r>
      <w:r>
        <w:rPr>
          <w:rFonts w:hint="eastAsia"/>
          <w:snapToGrid/>
        </w:rPr>
        <w:t>1.4%</w:t>
      </w:r>
      <w:r>
        <w:rPr>
          <w:rFonts w:hint="eastAsia"/>
          <w:snapToGrid/>
        </w:rPr>
        <w:t>，中专学历占</w:t>
      </w:r>
      <w:r>
        <w:rPr>
          <w:rFonts w:hint="eastAsia"/>
          <w:snapToGrid/>
        </w:rPr>
        <w:t>53%</w:t>
      </w:r>
      <w:r>
        <w:rPr>
          <w:rFonts w:hint="eastAsia"/>
          <w:snapToGrid/>
        </w:rPr>
        <w:t>，有</w:t>
      </w:r>
      <w:r>
        <w:rPr>
          <w:rFonts w:hint="eastAsia"/>
          <w:snapToGrid/>
        </w:rPr>
        <w:t>36.4%</w:t>
      </w:r>
      <w:r>
        <w:rPr>
          <w:rFonts w:hint="eastAsia"/>
          <w:snapToGrid/>
        </w:rPr>
        <w:t>的人员是普通高中及以下的水平。大多数卫技人员未经过系统专业培训，不具备单独处理孕产妇急症的能力，成为孕产妇死亡的潜在危险因素。第三，贫困地区卫生服务设施落后，在很多地区转诊、急救工作无法开展。很多地方乡镇卫生院产科设施简陋，处理急症能力差，也是导致孕产妇死亡的原因。为此，中国政府一方面结合</w:t>
      </w:r>
      <w:r>
        <w:rPr>
          <w:rFonts w:hint="eastAsia"/>
          <w:snapToGrid/>
        </w:rPr>
        <w:t>2001-2010</w:t>
      </w:r>
      <w:r>
        <w:rPr>
          <w:rFonts w:hint="eastAsia"/>
          <w:snapToGrid/>
        </w:rPr>
        <w:t>年《中国妇女发展纲要》和《中国儿童发展纲要》、“十五规划”和西部开发战略，积极制定关于改善贫困地区妇女健康状况的政策和战略规划；另一方面，继续投入大量的人力、物力、财力，并且与世界卫生组织、联合国儿童基金会、加拿大国际发展署等国际机构开展广泛的合作，尽快促进我国贫困地区的妇女卫生工作。</w:t>
      </w:r>
    </w:p>
    <w:p w:rsidR="00000000" w:rsidRDefault="00000000">
      <w:pPr>
        <w:rPr>
          <w:rFonts w:hint="eastAsia"/>
          <w:snapToGrid/>
        </w:rPr>
      </w:pPr>
      <w:r>
        <w:rPr>
          <w:rFonts w:hint="eastAsia"/>
          <w:snapToGrid/>
        </w:rPr>
        <w:tab/>
        <w:t xml:space="preserve">175.  </w:t>
      </w:r>
      <w:r>
        <w:rPr>
          <w:rFonts w:hint="eastAsia"/>
          <w:snapToGrid/>
        </w:rPr>
        <w:t>为降低死产率和婴儿死亡率、促进儿童健康发育，摸清中国婴儿及</w:t>
      </w:r>
      <w:r>
        <w:rPr>
          <w:rFonts w:hint="eastAsia"/>
          <w:snapToGrid/>
        </w:rPr>
        <w:t>5</w:t>
      </w:r>
      <w:r>
        <w:rPr>
          <w:rFonts w:hint="eastAsia"/>
          <w:snapToGrid/>
        </w:rPr>
        <w:t>岁以下儿童死亡率、死亡原因和变化趋势，实现《中国儿童发展规划纲要》提出的将婴儿及</w:t>
      </w:r>
      <w:r>
        <w:rPr>
          <w:rFonts w:hint="eastAsia"/>
          <w:snapToGrid/>
        </w:rPr>
        <w:t>5</w:t>
      </w:r>
      <w:r>
        <w:rPr>
          <w:rFonts w:hint="eastAsia"/>
          <w:snapToGrid/>
        </w:rPr>
        <w:t>岁以下儿童死亡率在</w:t>
      </w:r>
      <w:r>
        <w:rPr>
          <w:rFonts w:hint="eastAsia"/>
          <w:snapToGrid/>
        </w:rPr>
        <w:t>1990</w:t>
      </w:r>
      <w:r>
        <w:rPr>
          <w:rFonts w:hint="eastAsia"/>
          <w:snapToGrid/>
        </w:rPr>
        <w:t>年的基础上下降</w:t>
      </w:r>
      <w:r>
        <w:rPr>
          <w:rFonts w:hint="eastAsia"/>
          <w:snapToGrid/>
        </w:rPr>
        <w:t>1/3</w:t>
      </w:r>
      <w:r>
        <w:rPr>
          <w:rFonts w:hint="eastAsia"/>
          <w:snapToGrid/>
        </w:rPr>
        <w:t>的战略目标，卫生部在全国按分层抽样方法，进行婴儿及</w:t>
      </w:r>
      <w:r>
        <w:rPr>
          <w:rFonts w:hint="eastAsia"/>
          <w:snapToGrid/>
        </w:rPr>
        <w:t>5</w:t>
      </w:r>
      <w:r>
        <w:rPr>
          <w:rFonts w:hint="eastAsia"/>
          <w:snapToGrid/>
        </w:rPr>
        <w:t>岁以下儿童死亡监测。</w:t>
      </w:r>
      <w:r>
        <w:rPr>
          <w:rFonts w:hint="eastAsia"/>
          <w:snapToGrid/>
        </w:rPr>
        <w:t>1991</w:t>
      </w:r>
      <w:r>
        <w:rPr>
          <w:rFonts w:hint="eastAsia"/>
          <w:snapToGrid/>
        </w:rPr>
        <w:t>年全国婴儿和</w:t>
      </w:r>
      <w:r>
        <w:rPr>
          <w:rFonts w:hint="eastAsia"/>
          <w:snapToGrid/>
        </w:rPr>
        <w:t>5</w:t>
      </w:r>
      <w:r>
        <w:rPr>
          <w:rFonts w:hint="eastAsia"/>
          <w:snapToGrid/>
        </w:rPr>
        <w:t>岁以下儿童死亡率分别为</w:t>
      </w:r>
      <w:r>
        <w:rPr>
          <w:rFonts w:hint="eastAsia"/>
          <w:snapToGrid/>
        </w:rPr>
        <w:t>50.19</w:t>
      </w:r>
      <w:r>
        <w:rPr>
          <w:rFonts w:hint="eastAsia"/>
          <w:snapToGrid/>
        </w:rPr>
        <w:t>‰和</w:t>
      </w:r>
      <w:r>
        <w:rPr>
          <w:rFonts w:hint="eastAsia"/>
          <w:snapToGrid/>
        </w:rPr>
        <w:t>61.03</w:t>
      </w:r>
      <w:r>
        <w:rPr>
          <w:rFonts w:hint="eastAsia"/>
          <w:snapToGrid/>
        </w:rPr>
        <w:t>‰，</w:t>
      </w:r>
      <w:r>
        <w:rPr>
          <w:rFonts w:hint="eastAsia"/>
          <w:snapToGrid/>
        </w:rPr>
        <w:t>2000</w:t>
      </w:r>
      <w:r>
        <w:rPr>
          <w:rFonts w:hint="eastAsia"/>
          <w:snapToGrid/>
        </w:rPr>
        <w:t>年为</w:t>
      </w:r>
      <w:r>
        <w:rPr>
          <w:rFonts w:hint="eastAsia"/>
          <w:snapToGrid/>
        </w:rPr>
        <w:t>32.2</w:t>
      </w:r>
      <w:r>
        <w:rPr>
          <w:rFonts w:hint="eastAsia"/>
          <w:snapToGrid/>
        </w:rPr>
        <w:t>‰及</w:t>
      </w:r>
      <w:r>
        <w:rPr>
          <w:rFonts w:hint="eastAsia"/>
          <w:snapToGrid/>
        </w:rPr>
        <w:t>39.7</w:t>
      </w:r>
      <w:r>
        <w:rPr>
          <w:rFonts w:hint="eastAsia"/>
          <w:snapToGrid/>
        </w:rPr>
        <w:t>‰，表明我国已实现婴儿及</w:t>
      </w:r>
      <w:r>
        <w:rPr>
          <w:rFonts w:hint="eastAsia"/>
          <w:snapToGrid/>
        </w:rPr>
        <w:t>5</w:t>
      </w:r>
      <w:r>
        <w:rPr>
          <w:rFonts w:hint="eastAsia"/>
          <w:snapToGrid/>
        </w:rPr>
        <w:t>岁以下儿童死亡率下降</w:t>
      </w:r>
      <w:r>
        <w:rPr>
          <w:rFonts w:hint="eastAsia"/>
          <w:snapToGrid/>
        </w:rPr>
        <w:t>1/3</w:t>
      </w:r>
      <w:r>
        <w:rPr>
          <w:rFonts w:hint="eastAsia"/>
          <w:snapToGrid/>
        </w:rPr>
        <w:t>的目标。</w:t>
      </w:r>
    </w:p>
    <w:p w:rsidR="00000000" w:rsidRDefault="00000000">
      <w:pPr>
        <w:rPr>
          <w:rFonts w:hint="eastAsia"/>
          <w:snapToGrid/>
        </w:rPr>
      </w:pPr>
      <w:r>
        <w:rPr>
          <w:rFonts w:hint="eastAsia"/>
          <w:snapToGrid/>
        </w:rPr>
        <w:tab/>
        <w:t xml:space="preserve">176.  </w:t>
      </w:r>
      <w:r>
        <w:rPr>
          <w:rFonts w:hint="eastAsia"/>
          <w:snapToGrid/>
        </w:rPr>
        <w:t>近年来中国始终坚持在全国范围内推广应用口服补液盐</w:t>
      </w:r>
      <w:r>
        <w:rPr>
          <w:rFonts w:hint="eastAsia"/>
          <w:snapToGrid/>
        </w:rPr>
        <w:t>(ORS)</w:t>
      </w:r>
      <w:r>
        <w:rPr>
          <w:rFonts w:hint="eastAsia"/>
          <w:snapToGrid/>
        </w:rPr>
        <w:t>及儿童腹泻及口服补液疗法</w:t>
      </w:r>
      <w:r>
        <w:rPr>
          <w:rFonts w:hint="eastAsia"/>
          <w:snapToGrid/>
        </w:rPr>
        <w:t>(ORT)</w:t>
      </w:r>
      <w:r>
        <w:rPr>
          <w:rFonts w:hint="eastAsia"/>
          <w:snapToGrid/>
        </w:rPr>
        <w:t>，以降低儿童腹泻因脱水造成的死亡。</w:t>
      </w:r>
      <w:r>
        <w:rPr>
          <w:rFonts w:hint="eastAsia"/>
          <w:snapToGrid/>
        </w:rPr>
        <w:t>1994</w:t>
      </w:r>
      <w:r>
        <w:rPr>
          <w:rFonts w:hint="eastAsia"/>
          <w:snapToGrid/>
        </w:rPr>
        <w:t>年在全国采用分层随机抽样方法调查</w:t>
      </w:r>
      <w:r>
        <w:rPr>
          <w:rFonts w:hint="eastAsia"/>
          <w:snapToGrid/>
        </w:rPr>
        <w:t>5</w:t>
      </w:r>
      <w:r>
        <w:rPr>
          <w:rFonts w:hint="eastAsia"/>
          <w:snapToGrid/>
        </w:rPr>
        <w:t>岁以下儿童</w:t>
      </w:r>
      <w:r>
        <w:rPr>
          <w:rFonts w:hint="eastAsia"/>
          <w:snapToGrid/>
        </w:rPr>
        <w:t>51690</w:t>
      </w:r>
      <w:r>
        <w:rPr>
          <w:rFonts w:hint="eastAsia"/>
          <w:snapToGrid/>
        </w:rPr>
        <w:t>人，腹泻儿童</w:t>
      </w:r>
      <w:r>
        <w:rPr>
          <w:rFonts w:hint="eastAsia"/>
          <w:snapToGrid/>
        </w:rPr>
        <w:t>ORT</w:t>
      </w:r>
      <w:r>
        <w:rPr>
          <w:rFonts w:hint="eastAsia"/>
          <w:snapToGrid/>
        </w:rPr>
        <w:t>使用率</w:t>
      </w:r>
      <w:r>
        <w:rPr>
          <w:rFonts w:hint="eastAsia"/>
          <w:snapToGrid/>
        </w:rPr>
        <w:t>84.47%</w:t>
      </w:r>
      <w:r>
        <w:rPr>
          <w:rFonts w:hint="eastAsia"/>
          <w:snapToGrid/>
        </w:rPr>
        <w:t>，其中城市</w:t>
      </w:r>
      <w:r>
        <w:rPr>
          <w:rFonts w:hint="eastAsia"/>
          <w:snapToGrid/>
        </w:rPr>
        <w:t>80.87%</w:t>
      </w:r>
      <w:r>
        <w:rPr>
          <w:rFonts w:hint="eastAsia"/>
          <w:snapToGrid/>
        </w:rPr>
        <w:t>，农村</w:t>
      </w:r>
      <w:r>
        <w:rPr>
          <w:rFonts w:hint="eastAsia"/>
          <w:snapToGrid/>
        </w:rPr>
        <w:t>85.30%</w:t>
      </w:r>
      <w:r>
        <w:rPr>
          <w:rFonts w:hint="eastAsia"/>
          <w:snapToGrid/>
        </w:rPr>
        <w:t>，全国城乡</w:t>
      </w:r>
      <w:r>
        <w:rPr>
          <w:rFonts w:hint="eastAsia"/>
          <w:snapToGrid/>
        </w:rPr>
        <w:t>ORT</w:t>
      </w:r>
      <w:r>
        <w:rPr>
          <w:rFonts w:hint="eastAsia"/>
          <w:snapToGrid/>
        </w:rPr>
        <w:t>使用率均在</w:t>
      </w:r>
      <w:r>
        <w:rPr>
          <w:rFonts w:hint="eastAsia"/>
          <w:snapToGrid/>
        </w:rPr>
        <w:t>80%</w:t>
      </w:r>
      <w:r>
        <w:rPr>
          <w:rFonts w:hint="eastAsia"/>
          <w:snapToGrid/>
        </w:rPr>
        <w:t>以上，实现了</w:t>
      </w:r>
      <w:r>
        <w:rPr>
          <w:rFonts w:hint="eastAsia"/>
          <w:snapToGrid/>
        </w:rPr>
        <w:t>ORT</w:t>
      </w:r>
      <w:r>
        <w:rPr>
          <w:rFonts w:hint="eastAsia"/>
          <w:snapToGrid/>
        </w:rPr>
        <w:t>使用率达</w:t>
      </w:r>
      <w:r>
        <w:rPr>
          <w:rFonts w:hint="eastAsia"/>
          <w:snapToGrid/>
        </w:rPr>
        <w:t>80%</w:t>
      </w:r>
      <w:r>
        <w:rPr>
          <w:rFonts w:hint="eastAsia"/>
          <w:snapToGrid/>
        </w:rPr>
        <w:t>以上的目标。几年来，中国儿童腹泻死亡率有明显下降。监测资料表明：</w:t>
      </w:r>
      <w:r>
        <w:rPr>
          <w:rFonts w:hint="eastAsia"/>
          <w:snapToGrid/>
        </w:rPr>
        <w:t>1991</w:t>
      </w:r>
      <w:r>
        <w:rPr>
          <w:rFonts w:hint="eastAsia"/>
          <w:snapToGrid/>
        </w:rPr>
        <w:t>年全国</w:t>
      </w:r>
      <w:r>
        <w:rPr>
          <w:rFonts w:hint="eastAsia"/>
          <w:snapToGrid/>
        </w:rPr>
        <w:t>5</w:t>
      </w:r>
      <w:r>
        <w:rPr>
          <w:rFonts w:hint="eastAsia"/>
          <w:snapToGrid/>
        </w:rPr>
        <w:t>岁以下儿童腹泻死亡率为</w:t>
      </w:r>
      <w:r>
        <w:rPr>
          <w:rFonts w:hint="eastAsia"/>
          <w:snapToGrid/>
        </w:rPr>
        <w:t>443.1/10</w:t>
      </w:r>
      <w:r>
        <w:rPr>
          <w:rFonts w:hint="eastAsia"/>
          <w:snapToGrid/>
        </w:rPr>
        <w:t>万，</w:t>
      </w:r>
      <w:r>
        <w:rPr>
          <w:rFonts w:hint="eastAsia"/>
          <w:snapToGrid/>
        </w:rPr>
        <w:t>1995</w:t>
      </w:r>
      <w:r>
        <w:rPr>
          <w:rFonts w:hint="eastAsia"/>
          <w:snapToGrid/>
        </w:rPr>
        <w:t>年为</w:t>
      </w:r>
      <w:r>
        <w:rPr>
          <w:rFonts w:hint="eastAsia"/>
          <w:snapToGrid/>
        </w:rPr>
        <w:t>275.2/10</w:t>
      </w:r>
      <w:r>
        <w:rPr>
          <w:rFonts w:hint="eastAsia"/>
          <w:snapToGrid/>
        </w:rPr>
        <w:t>万</w:t>
      </w:r>
      <w:r>
        <w:rPr>
          <w:rFonts w:hint="eastAsia"/>
          <w:snapToGrid/>
        </w:rPr>
        <w:t>2000</w:t>
      </w:r>
      <w:r>
        <w:rPr>
          <w:rFonts w:hint="eastAsia"/>
          <w:snapToGrid/>
        </w:rPr>
        <w:t>年降至</w:t>
      </w:r>
      <w:r>
        <w:rPr>
          <w:rFonts w:hint="eastAsia"/>
          <w:snapToGrid/>
        </w:rPr>
        <w:t>192.8/10</w:t>
      </w:r>
      <w:r>
        <w:rPr>
          <w:rFonts w:hint="eastAsia"/>
          <w:snapToGrid/>
        </w:rPr>
        <w:t>万，</w:t>
      </w:r>
      <w:r>
        <w:rPr>
          <w:rFonts w:hint="eastAsia"/>
          <w:snapToGrid/>
        </w:rPr>
        <w:t>2000</w:t>
      </w:r>
      <w:r>
        <w:rPr>
          <w:rFonts w:hint="eastAsia"/>
          <w:snapToGrid/>
        </w:rPr>
        <w:t>年比</w:t>
      </w:r>
      <w:r>
        <w:rPr>
          <w:rFonts w:hint="eastAsia"/>
          <w:snapToGrid/>
        </w:rPr>
        <w:t>1991</w:t>
      </w:r>
      <w:r>
        <w:rPr>
          <w:rFonts w:hint="eastAsia"/>
          <w:snapToGrid/>
        </w:rPr>
        <w:t>年下降</w:t>
      </w:r>
      <w:r>
        <w:rPr>
          <w:rFonts w:hint="eastAsia"/>
          <w:snapToGrid/>
        </w:rPr>
        <w:t>56.5%</w:t>
      </w:r>
      <w:r>
        <w:rPr>
          <w:rFonts w:hint="eastAsia"/>
          <w:snapToGrid/>
        </w:rPr>
        <w:t>，已完成儿童腹泻死亡率下降</w:t>
      </w:r>
      <w:r>
        <w:rPr>
          <w:rFonts w:hint="eastAsia"/>
          <w:snapToGrid/>
        </w:rPr>
        <w:t>50%</w:t>
      </w:r>
      <w:r>
        <w:rPr>
          <w:rFonts w:hint="eastAsia"/>
          <w:snapToGrid/>
        </w:rPr>
        <w:t>的</w:t>
      </w:r>
      <w:r>
        <w:rPr>
          <w:rFonts w:hint="eastAsia"/>
          <w:snapToGrid/>
        </w:rPr>
        <w:t>2000</w:t>
      </w:r>
      <w:r>
        <w:rPr>
          <w:rFonts w:hint="eastAsia"/>
          <w:snapToGrid/>
        </w:rPr>
        <w:t>年目标。</w:t>
      </w:r>
    </w:p>
    <w:p w:rsidR="00000000" w:rsidRDefault="00000000">
      <w:pPr>
        <w:rPr>
          <w:rFonts w:hint="eastAsia"/>
          <w:snapToGrid/>
        </w:rPr>
      </w:pPr>
      <w:r>
        <w:rPr>
          <w:rFonts w:hint="eastAsia"/>
          <w:snapToGrid/>
        </w:rPr>
        <w:tab/>
        <w:t xml:space="preserve">177.  </w:t>
      </w:r>
      <w:r>
        <w:rPr>
          <w:rFonts w:hint="eastAsia"/>
          <w:snapToGrid/>
        </w:rPr>
        <w:t>监测资料表明，</w:t>
      </w:r>
      <w:r>
        <w:rPr>
          <w:rFonts w:hint="eastAsia"/>
          <w:snapToGrid/>
        </w:rPr>
        <w:t>1991</w:t>
      </w:r>
      <w:r>
        <w:rPr>
          <w:rFonts w:hint="eastAsia"/>
          <w:snapToGrid/>
        </w:rPr>
        <w:t>年全国</w:t>
      </w:r>
      <w:r>
        <w:rPr>
          <w:rFonts w:hint="eastAsia"/>
          <w:snapToGrid/>
        </w:rPr>
        <w:t>5</w:t>
      </w:r>
      <w:r>
        <w:rPr>
          <w:rFonts w:hint="eastAsia"/>
          <w:snapToGrid/>
        </w:rPr>
        <w:t>岁以下儿童肺炎死亡率为</w:t>
      </w:r>
      <w:r>
        <w:rPr>
          <w:rFonts w:hint="eastAsia"/>
          <w:snapToGrid/>
        </w:rPr>
        <w:t>1512.7/10</w:t>
      </w:r>
      <w:r>
        <w:rPr>
          <w:rFonts w:hint="eastAsia"/>
          <w:snapToGrid/>
        </w:rPr>
        <w:t>万，</w:t>
      </w:r>
      <w:r>
        <w:rPr>
          <w:rFonts w:hint="eastAsia"/>
          <w:snapToGrid/>
        </w:rPr>
        <w:t>1995</w:t>
      </w:r>
      <w:r>
        <w:rPr>
          <w:rFonts w:hint="eastAsia"/>
          <w:snapToGrid/>
        </w:rPr>
        <w:t>年为</w:t>
      </w:r>
      <w:r>
        <w:rPr>
          <w:rFonts w:hint="eastAsia"/>
          <w:snapToGrid/>
        </w:rPr>
        <w:t>1062.4/10</w:t>
      </w:r>
      <w:r>
        <w:rPr>
          <w:rFonts w:hint="eastAsia"/>
          <w:snapToGrid/>
        </w:rPr>
        <w:t>万，</w:t>
      </w:r>
      <w:r>
        <w:rPr>
          <w:rFonts w:hint="eastAsia"/>
          <w:snapToGrid/>
        </w:rPr>
        <w:t>2000</w:t>
      </w:r>
      <w:r>
        <w:rPr>
          <w:rFonts w:hint="eastAsia"/>
          <w:snapToGrid/>
        </w:rPr>
        <w:t>年为</w:t>
      </w:r>
      <w:r>
        <w:rPr>
          <w:rFonts w:hint="eastAsia"/>
          <w:snapToGrid/>
        </w:rPr>
        <w:t>773.6/10</w:t>
      </w:r>
      <w:r>
        <w:rPr>
          <w:rFonts w:hint="eastAsia"/>
          <w:snapToGrid/>
        </w:rPr>
        <w:t>万，</w:t>
      </w:r>
      <w:r>
        <w:rPr>
          <w:rFonts w:hint="eastAsia"/>
          <w:snapToGrid/>
        </w:rPr>
        <w:t>2000</w:t>
      </w:r>
      <w:r>
        <w:rPr>
          <w:rFonts w:hint="eastAsia"/>
          <w:snapToGrid/>
        </w:rPr>
        <w:t>年比</w:t>
      </w:r>
      <w:r>
        <w:rPr>
          <w:rFonts w:hint="eastAsia"/>
          <w:snapToGrid/>
        </w:rPr>
        <w:t>1991</w:t>
      </w:r>
      <w:r>
        <w:rPr>
          <w:rFonts w:hint="eastAsia"/>
          <w:snapToGrid/>
        </w:rPr>
        <w:t>年儿童肺炎死亡率下降</w:t>
      </w:r>
      <w:r>
        <w:rPr>
          <w:rFonts w:hint="eastAsia"/>
          <w:snapToGrid/>
        </w:rPr>
        <w:t>48.8%</w:t>
      </w:r>
      <w:r>
        <w:rPr>
          <w:rFonts w:hint="eastAsia"/>
          <w:snapToGrid/>
        </w:rPr>
        <w:t>，儿童肺炎死亡已实现</w:t>
      </w:r>
      <w:r>
        <w:rPr>
          <w:rFonts w:hint="eastAsia"/>
          <w:snapToGrid/>
        </w:rPr>
        <w:t>2000</w:t>
      </w:r>
      <w:r>
        <w:rPr>
          <w:rFonts w:hint="eastAsia"/>
          <w:snapToGrid/>
        </w:rPr>
        <w:t>年降低</w:t>
      </w:r>
      <w:r>
        <w:rPr>
          <w:rFonts w:hint="eastAsia"/>
          <w:snapToGrid/>
        </w:rPr>
        <w:t>1/3</w:t>
      </w:r>
      <w:r>
        <w:rPr>
          <w:rFonts w:hint="eastAsia"/>
          <w:snapToGrid/>
        </w:rPr>
        <w:t>的目标。</w:t>
      </w:r>
    </w:p>
    <w:p w:rsidR="00000000" w:rsidRDefault="00000000">
      <w:pPr>
        <w:rPr>
          <w:rFonts w:hint="eastAsia"/>
        </w:rPr>
      </w:pPr>
      <w:r>
        <w:rPr>
          <w:rFonts w:hint="eastAsia"/>
          <w:snapToGrid/>
        </w:rPr>
        <w:tab/>
        <w:t>178.  1999</w:t>
      </w:r>
      <w:r>
        <w:rPr>
          <w:rFonts w:hint="eastAsia"/>
          <w:snapToGrid/>
        </w:rPr>
        <w:t>年，卫生部与世界卫生组织、联合国儿童基金会合作的儿童疾病综合管理</w:t>
      </w:r>
      <w:r>
        <w:rPr>
          <w:rFonts w:hint="eastAsia"/>
          <w:snapToGrid/>
        </w:rPr>
        <w:t>(IMCI)</w:t>
      </w:r>
      <w:r>
        <w:rPr>
          <w:rFonts w:hint="eastAsia"/>
          <w:snapToGrid/>
        </w:rPr>
        <w:t>项目在中国实施，项目试点阶段选择湖南省和宁夏回族自治区作为项目省</w:t>
      </w:r>
      <w:r>
        <w:rPr>
          <w:rFonts w:hint="eastAsia"/>
          <w:snapToGrid/>
        </w:rPr>
        <w:t>(</w:t>
      </w:r>
      <w:r>
        <w:rPr>
          <w:rFonts w:hint="eastAsia"/>
          <w:snapToGrid/>
        </w:rPr>
        <w:t>区</w:t>
      </w:r>
      <w:r>
        <w:rPr>
          <w:rFonts w:hint="eastAsia"/>
          <w:snapToGrid/>
        </w:rPr>
        <w:t>)</w:t>
      </w:r>
      <w:r>
        <w:rPr>
          <w:rFonts w:hint="eastAsia"/>
          <w:snapToGrid/>
        </w:rPr>
        <w:t>，</w:t>
      </w:r>
      <w:r>
        <w:rPr>
          <w:rFonts w:hint="eastAsia"/>
          <w:snapToGrid/>
        </w:rPr>
        <w:t>2001</w:t>
      </w:r>
      <w:r>
        <w:rPr>
          <w:rFonts w:hint="eastAsia"/>
          <w:snapToGrid/>
        </w:rPr>
        <w:t>年推广到甘肃、内蒙、安徽等</w:t>
      </w:r>
      <w:r>
        <w:rPr>
          <w:rFonts w:hint="eastAsia"/>
          <w:snapToGrid/>
        </w:rPr>
        <w:t>12</w:t>
      </w:r>
      <w:r>
        <w:rPr>
          <w:rFonts w:hint="eastAsia"/>
          <w:snapToGrid/>
        </w:rPr>
        <w:t>个省</w:t>
      </w:r>
      <w:r>
        <w:rPr>
          <w:rFonts w:hint="eastAsia"/>
          <w:snapToGrid/>
        </w:rPr>
        <w:t>(</w:t>
      </w:r>
      <w:r>
        <w:rPr>
          <w:rFonts w:hint="eastAsia"/>
          <w:snapToGrid/>
        </w:rPr>
        <w:t>区</w:t>
      </w:r>
      <w:r>
        <w:rPr>
          <w:rFonts w:hint="eastAsia"/>
          <w:snapToGrid/>
        </w:rPr>
        <w:t>)</w:t>
      </w:r>
      <w:r>
        <w:rPr>
          <w:rFonts w:hint="eastAsia"/>
          <w:snapToGrid/>
        </w:rPr>
        <w:t>。项目实施以来，中国政府组织专家根据国情改编</w:t>
      </w:r>
      <w:r>
        <w:rPr>
          <w:rFonts w:hint="eastAsia"/>
          <w:snapToGrid/>
        </w:rPr>
        <w:t>IMCI</w:t>
      </w:r>
      <w:r>
        <w:rPr>
          <w:rFonts w:hint="eastAsia"/>
          <w:snapToGrid/>
        </w:rPr>
        <w:t>教材、挂图和练习册。举办了三期示范培训班和师资培训班，有</w:t>
      </w:r>
      <w:r>
        <w:rPr>
          <w:rFonts w:hint="eastAsia"/>
          <w:snapToGrid/>
        </w:rPr>
        <w:t>178</w:t>
      </w:r>
      <w:r>
        <w:rPr>
          <w:rFonts w:hint="eastAsia"/>
          <w:snapToGrid/>
        </w:rPr>
        <w:t>人接受了培训。项目地区的卫生工作人员掌握了简单、实用的儿童疾病评估、分类和治疗方法；规范了村医生</w:t>
      </w:r>
      <w:r>
        <w:rPr>
          <w:rFonts w:hint="eastAsia"/>
        </w:rPr>
        <w:t>用药、减少了抗生素的不合理使用现象；为乡村卫生院配备了基本的设备；加强了危重患儿的转诊管理。</w:t>
      </w:r>
    </w:p>
    <w:p w:rsidR="00000000" w:rsidRDefault="00000000">
      <w:pPr>
        <w:rPr>
          <w:rFonts w:hint="eastAsia"/>
        </w:rPr>
      </w:pPr>
      <w:r>
        <w:rPr>
          <w:rFonts w:hint="eastAsia"/>
        </w:rPr>
        <w:tab/>
        <w:t>179.  1991</w:t>
      </w:r>
      <w:r>
        <w:rPr>
          <w:rFonts w:hint="eastAsia"/>
        </w:rPr>
        <w:t>年，卫生部召开“中国促进母乳喂养研讨会”，制定了《中国促进母乳喂养率规划》，自</w:t>
      </w:r>
      <w:r>
        <w:rPr>
          <w:rFonts w:hint="eastAsia"/>
        </w:rPr>
        <w:t>1992</w:t>
      </w:r>
      <w:r>
        <w:rPr>
          <w:rFonts w:hint="eastAsia"/>
        </w:rPr>
        <w:t>年后，中国开展了大规模的爱婴行动，经中国及国际母乳喂养专家按全球标准严格评估，</w:t>
      </w:r>
      <w:r>
        <w:rPr>
          <w:rFonts w:hint="eastAsia"/>
        </w:rPr>
        <w:t>1995</w:t>
      </w:r>
      <w:r>
        <w:rPr>
          <w:rFonts w:hint="eastAsia"/>
        </w:rPr>
        <w:t>年底，中国创建</w:t>
      </w:r>
      <w:r>
        <w:rPr>
          <w:rFonts w:hint="eastAsia"/>
        </w:rPr>
        <w:t>2957</w:t>
      </w:r>
      <w:r>
        <w:rPr>
          <w:rFonts w:hint="eastAsia"/>
        </w:rPr>
        <w:t>所爱婴医院。突破中国向国际社会所作的</w:t>
      </w:r>
      <w:r>
        <w:rPr>
          <w:rFonts w:hint="eastAsia"/>
        </w:rPr>
        <w:t>1995</w:t>
      </w:r>
      <w:r>
        <w:rPr>
          <w:rFonts w:hint="eastAsia"/>
        </w:rPr>
        <w:t>年创建</w:t>
      </w:r>
      <w:r>
        <w:rPr>
          <w:rFonts w:hint="eastAsia"/>
        </w:rPr>
        <w:t>1000</w:t>
      </w:r>
      <w:r>
        <w:rPr>
          <w:rFonts w:hint="eastAsia"/>
        </w:rPr>
        <w:t>所爱婴医院的承诺。截至</w:t>
      </w:r>
      <w:r>
        <w:rPr>
          <w:rFonts w:hint="eastAsia"/>
        </w:rPr>
        <w:t>1999</w:t>
      </w:r>
      <w:r>
        <w:rPr>
          <w:rFonts w:hint="eastAsia"/>
        </w:rPr>
        <w:t>年底，中国共创建爱婴医院</w:t>
      </w:r>
      <w:r>
        <w:rPr>
          <w:rFonts w:hint="eastAsia"/>
        </w:rPr>
        <w:t>7329</w:t>
      </w:r>
      <w:r>
        <w:rPr>
          <w:rFonts w:hint="eastAsia"/>
        </w:rPr>
        <w:t>所。爱婴行动推动了全国母乳喂养。</w:t>
      </w:r>
      <w:r>
        <w:rPr>
          <w:rFonts w:hint="eastAsia"/>
        </w:rPr>
        <w:t>1998</w:t>
      </w:r>
      <w:r>
        <w:rPr>
          <w:rFonts w:hint="eastAsia"/>
        </w:rPr>
        <w:t>年全国调查表明，</w:t>
      </w:r>
      <w:r>
        <w:rPr>
          <w:rFonts w:hint="eastAsia"/>
        </w:rPr>
        <w:t>4</w:t>
      </w:r>
      <w:r>
        <w:rPr>
          <w:rFonts w:hint="eastAsia"/>
        </w:rPr>
        <w:t>个月以内纯母乳喂养率全国为</w:t>
      </w:r>
      <w:r>
        <w:rPr>
          <w:rFonts w:hint="eastAsia"/>
        </w:rPr>
        <w:t>67%</w:t>
      </w:r>
      <w:r>
        <w:rPr>
          <w:rFonts w:hint="eastAsia"/>
        </w:rPr>
        <w:t>，城市为</w:t>
      </w:r>
      <w:r>
        <w:rPr>
          <w:rFonts w:hint="eastAsia"/>
        </w:rPr>
        <w:t>54%</w:t>
      </w:r>
      <w:r>
        <w:rPr>
          <w:rFonts w:hint="eastAsia"/>
        </w:rPr>
        <w:t>，农村为</w:t>
      </w:r>
      <w:r>
        <w:rPr>
          <w:rFonts w:hint="eastAsia"/>
        </w:rPr>
        <w:t>72%</w:t>
      </w:r>
      <w:r>
        <w:rPr>
          <w:rFonts w:hint="eastAsia"/>
        </w:rPr>
        <w:t>。</w:t>
      </w:r>
    </w:p>
    <w:p w:rsidR="00000000" w:rsidRDefault="00000000">
      <w:pPr>
        <w:rPr>
          <w:rFonts w:hint="eastAsia"/>
        </w:rPr>
      </w:pPr>
      <w:r>
        <w:rPr>
          <w:rFonts w:hint="eastAsia"/>
        </w:rPr>
        <w:tab/>
        <w:t>180.  2000</w:t>
      </w:r>
      <w:r>
        <w:rPr>
          <w:rFonts w:hint="eastAsia"/>
        </w:rPr>
        <w:t>年开始，中央政府安排</w:t>
      </w:r>
      <w:r>
        <w:rPr>
          <w:rFonts w:hint="eastAsia"/>
        </w:rPr>
        <w:t>4.2</w:t>
      </w:r>
      <w:r>
        <w:rPr>
          <w:rFonts w:hint="eastAsia"/>
        </w:rPr>
        <w:t>亿元专项资金，为中西部地区的所有县和东部地区的部分贫困县配备了</w:t>
      </w:r>
      <w:r>
        <w:rPr>
          <w:rFonts w:hint="eastAsia"/>
        </w:rPr>
        <w:t>2400</w:t>
      </w:r>
      <w:r>
        <w:rPr>
          <w:rFonts w:hint="eastAsia"/>
        </w:rPr>
        <w:t>辆服务车，车上装备妇幼保健和优生优育设备，提高广大农村妇女的生殖健康服务水平。</w:t>
      </w:r>
      <w:r>
        <w:rPr>
          <w:rFonts w:hint="eastAsia"/>
        </w:rPr>
        <w:t>2000-2001</w:t>
      </w:r>
      <w:r>
        <w:rPr>
          <w:rFonts w:hint="eastAsia"/>
        </w:rPr>
        <w:t>年间，中国政府在西部</w:t>
      </w:r>
      <w:r>
        <w:rPr>
          <w:rFonts w:hint="eastAsia"/>
        </w:rPr>
        <w:t>12</w:t>
      </w:r>
      <w:r>
        <w:rPr>
          <w:rFonts w:hint="eastAsia"/>
        </w:rPr>
        <w:t>个省、</w:t>
      </w:r>
      <w:r>
        <w:rPr>
          <w:rFonts w:hint="eastAsia"/>
        </w:rPr>
        <w:t>378</w:t>
      </w:r>
      <w:r>
        <w:rPr>
          <w:rFonts w:hint="eastAsia"/>
        </w:rPr>
        <w:t>个贫困县组织实施了降低孕产妇死亡率和消除新生儿破伤风项目，总投资</w:t>
      </w:r>
      <w:r>
        <w:rPr>
          <w:rFonts w:hint="eastAsia"/>
        </w:rPr>
        <w:t>2</w:t>
      </w:r>
      <w:r>
        <w:rPr>
          <w:rFonts w:hint="eastAsia"/>
        </w:rPr>
        <w:t>亿元。针对贫困地区的母亲和儿童，开展了孕产妇贫困救助、乡镇卫生院产科建设、对基层人员有针对性的培训、健康教育以及专家指导检查等工作。项目总目标：一是降低孕产妇死亡率，到</w:t>
      </w:r>
      <w:r>
        <w:rPr>
          <w:rFonts w:hint="eastAsia"/>
        </w:rPr>
        <w:t>2001</w:t>
      </w:r>
      <w:r>
        <w:rPr>
          <w:rFonts w:hint="eastAsia"/>
        </w:rPr>
        <w:t>年底，</w:t>
      </w:r>
      <w:r>
        <w:rPr>
          <w:rFonts w:hint="eastAsia"/>
        </w:rPr>
        <w:t>12</w:t>
      </w:r>
      <w:r>
        <w:rPr>
          <w:rFonts w:hint="eastAsia"/>
        </w:rPr>
        <w:t>个项目省</w:t>
      </w:r>
      <w:r>
        <w:rPr>
          <w:rFonts w:hint="eastAsia"/>
        </w:rPr>
        <w:t>378</w:t>
      </w:r>
      <w:r>
        <w:rPr>
          <w:rFonts w:hint="eastAsia"/>
        </w:rPr>
        <w:t>个贫困县的孕产妇死亡率平均下降了</w:t>
      </w:r>
      <w:r>
        <w:rPr>
          <w:rFonts w:hint="eastAsia"/>
        </w:rPr>
        <w:t>28.79%</w:t>
      </w:r>
      <w:r>
        <w:rPr>
          <w:rFonts w:hint="eastAsia"/>
        </w:rPr>
        <w:t>。以省为单位在</w:t>
      </w:r>
      <w:r>
        <w:rPr>
          <w:rFonts w:hint="eastAsia"/>
        </w:rPr>
        <w:t>1990</w:t>
      </w:r>
      <w:r>
        <w:rPr>
          <w:rFonts w:hint="eastAsia"/>
        </w:rPr>
        <w:t>年的基础上下降一半的省有</w:t>
      </w:r>
      <w:r>
        <w:rPr>
          <w:rFonts w:hint="eastAsia"/>
        </w:rPr>
        <w:t>7</w:t>
      </w:r>
      <w:r>
        <w:rPr>
          <w:rFonts w:hint="eastAsia"/>
        </w:rPr>
        <w:t>个，其中下降幅度最大的是甘肃省，下降了</w:t>
      </w:r>
      <w:r>
        <w:rPr>
          <w:rFonts w:hint="eastAsia"/>
        </w:rPr>
        <w:t>72.64%</w:t>
      </w:r>
      <w:r>
        <w:rPr>
          <w:rFonts w:hint="eastAsia"/>
        </w:rPr>
        <w:t>；西藏从</w:t>
      </w:r>
      <w:r>
        <w:rPr>
          <w:rFonts w:hint="eastAsia"/>
        </w:rPr>
        <w:t>715.8/10</w:t>
      </w:r>
      <w:r>
        <w:rPr>
          <w:rFonts w:hint="eastAsia"/>
        </w:rPr>
        <w:t>万下降到</w:t>
      </w:r>
      <w:r>
        <w:rPr>
          <w:rFonts w:hint="eastAsia"/>
        </w:rPr>
        <w:t>324.7/10</w:t>
      </w:r>
      <w:r>
        <w:rPr>
          <w:rFonts w:hint="eastAsia"/>
        </w:rPr>
        <w:t>万，藏族农牧民孕产妇的保健水平在短期内有了较大提高。二是消除新生儿破伤风，</w:t>
      </w:r>
      <w:r>
        <w:rPr>
          <w:rFonts w:hint="eastAsia"/>
        </w:rPr>
        <w:t>12</w:t>
      </w:r>
      <w:r>
        <w:rPr>
          <w:rFonts w:hint="eastAsia"/>
        </w:rPr>
        <w:t>个项目省的新生儿破伤风发病率都降到了</w:t>
      </w:r>
      <w:r>
        <w:rPr>
          <w:rFonts w:hint="eastAsia"/>
        </w:rPr>
        <w:t>1</w:t>
      </w:r>
      <w:r>
        <w:rPr>
          <w:rFonts w:ascii="MS Mincho" w:eastAsia="MS Mincho" w:hAnsi="MS Mincho" w:hint="eastAsia"/>
        </w:rPr>
        <w:t>‰</w:t>
      </w:r>
      <w:r>
        <w:rPr>
          <w:rFonts w:hint="eastAsia"/>
        </w:rPr>
        <w:t>以下，达到了项目目标。经过</w:t>
      </w:r>
      <w:r>
        <w:rPr>
          <w:rFonts w:hint="eastAsia"/>
        </w:rPr>
        <w:t>2</w:t>
      </w:r>
      <w:r>
        <w:rPr>
          <w:rFonts w:hint="eastAsia"/>
        </w:rPr>
        <w:t>年努力，项目总目标和支持性目标大多数已实现，带动了全国孕产妇死亡率和新生儿破伤风发病率的下降。</w:t>
      </w:r>
    </w:p>
    <w:p w:rsidR="00000000" w:rsidRDefault="00000000">
      <w:pPr>
        <w:rPr>
          <w:rFonts w:hint="eastAsia"/>
        </w:rPr>
      </w:pPr>
      <w:r>
        <w:rPr>
          <w:rFonts w:hint="eastAsia"/>
        </w:rPr>
        <w:tab/>
        <w:t xml:space="preserve">181.  </w:t>
      </w:r>
      <w:r>
        <w:rPr>
          <w:rFonts w:hint="eastAsia"/>
        </w:rPr>
        <w:t>为改善环境卫生和工业卫生，</w:t>
      </w:r>
      <w:r>
        <w:rPr>
          <w:rFonts w:hint="eastAsia"/>
        </w:rPr>
        <w:t>1990</w:t>
      </w:r>
      <w:r>
        <w:rPr>
          <w:rFonts w:hint="eastAsia"/>
        </w:rPr>
        <w:t>年，中国建立了疾病监测系统</w:t>
      </w:r>
      <w:r>
        <w:rPr>
          <w:rFonts w:hint="eastAsia"/>
        </w:rPr>
        <w:t>(DSP)</w:t>
      </w:r>
      <w:r>
        <w:rPr>
          <w:rFonts w:hint="eastAsia"/>
        </w:rPr>
        <w:t>。截至</w:t>
      </w:r>
      <w:r>
        <w:rPr>
          <w:rFonts w:hint="eastAsia"/>
        </w:rPr>
        <w:t>2002</w:t>
      </w:r>
      <w:r>
        <w:rPr>
          <w:rFonts w:hint="eastAsia"/>
        </w:rPr>
        <w:t>年底，在全国</w:t>
      </w:r>
      <w:r>
        <w:rPr>
          <w:rFonts w:hint="eastAsia"/>
        </w:rPr>
        <w:t>668</w:t>
      </w:r>
      <w:r>
        <w:rPr>
          <w:rFonts w:hint="eastAsia"/>
        </w:rPr>
        <w:t>个城市中，有</w:t>
      </w:r>
      <w:r>
        <w:rPr>
          <w:rFonts w:hint="eastAsia"/>
        </w:rPr>
        <w:t>400</w:t>
      </w:r>
      <w:r>
        <w:rPr>
          <w:rFonts w:hint="eastAsia"/>
        </w:rPr>
        <w:t>多个城市开展了环境空气质量监测。每个城市根据规模设有</w:t>
      </w:r>
      <w:r>
        <w:rPr>
          <w:rFonts w:hint="eastAsia"/>
        </w:rPr>
        <w:t>2-7</w:t>
      </w:r>
      <w:r>
        <w:rPr>
          <w:rFonts w:hint="eastAsia"/>
        </w:rPr>
        <w:t>个监测点位，其中空气自动监测系统</w:t>
      </w:r>
      <w:r>
        <w:rPr>
          <w:rFonts w:hint="eastAsia"/>
        </w:rPr>
        <w:t>146</w:t>
      </w:r>
      <w:r>
        <w:rPr>
          <w:rFonts w:hint="eastAsia"/>
        </w:rPr>
        <w:t>个，自动监测子站在</w:t>
      </w:r>
      <w:r>
        <w:rPr>
          <w:rFonts w:hint="eastAsia"/>
        </w:rPr>
        <w:t>380</w:t>
      </w:r>
      <w:r>
        <w:rPr>
          <w:rFonts w:hint="eastAsia"/>
        </w:rPr>
        <w:t>个以上。全国</w:t>
      </w:r>
      <w:r>
        <w:rPr>
          <w:rFonts w:hint="eastAsia"/>
        </w:rPr>
        <w:t>31</w:t>
      </w:r>
      <w:r>
        <w:rPr>
          <w:rFonts w:hint="eastAsia"/>
        </w:rPr>
        <w:t>个省共设</w:t>
      </w:r>
      <w:r>
        <w:rPr>
          <w:rFonts w:hint="eastAsia"/>
        </w:rPr>
        <w:t>145</w:t>
      </w:r>
      <w:r>
        <w:rPr>
          <w:rFonts w:hint="eastAsia"/>
        </w:rPr>
        <w:t>个疾病监测点，覆盖人群达</w:t>
      </w:r>
      <w:r>
        <w:rPr>
          <w:rFonts w:hint="eastAsia"/>
        </w:rPr>
        <w:t>1000</w:t>
      </w:r>
      <w:r>
        <w:rPr>
          <w:rFonts w:hint="eastAsia"/>
        </w:rPr>
        <w:t>万。有</w:t>
      </w:r>
      <w:r>
        <w:rPr>
          <w:rFonts w:hint="eastAsia"/>
        </w:rPr>
        <w:t>28</w:t>
      </w:r>
      <w:r>
        <w:rPr>
          <w:rFonts w:hint="eastAsia"/>
        </w:rPr>
        <w:t>个城市同时设有空气质量监测点和疾病监测点，从而构成了空气环境与人群疾病监测网</w:t>
      </w:r>
      <w:r>
        <w:rPr>
          <w:rFonts w:hint="eastAsia"/>
        </w:rPr>
        <w:t>(</w:t>
      </w:r>
      <w:r>
        <w:rPr>
          <w:rFonts w:hint="eastAsia"/>
        </w:rPr>
        <w:t>见表</w:t>
      </w:r>
      <w:r>
        <w:rPr>
          <w:rFonts w:hint="eastAsia"/>
        </w:rPr>
        <w:t>23)</w:t>
      </w:r>
      <w:r>
        <w:rPr>
          <w:rFonts w:hint="eastAsia"/>
        </w:rPr>
        <w:t>。</w:t>
      </w:r>
    </w:p>
    <w:p w:rsidR="00000000" w:rsidRDefault="00000000">
      <w:pPr>
        <w:rPr>
          <w:rFonts w:hint="eastAsia"/>
        </w:rPr>
      </w:pPr>
      <w:r>
        <w:rPr>
          <w:rFonts w:hint="eastAsia"/>
        </w:rPr>
        <w:tab/>
        <w:t xml:space="preserve">182.  </w:t>
      </w:r>
      <w:r>
        <w:rPr>
          <w:rFonts w:hint="eastAsia"/>
        </w:rPr>
        <w:t>在全国</w:t>
      </w:r>
      <w:r>
        <w:rPr>
          <w:rFonts w:hint="eastAsia"/>
        </w:rPr>
        <w:t>100</w:t>
      </w:r>
      <w:r>
        <w:rPr>
          <w:rFonts w:hint="eastAsia"/>
        </w:rPr>
        <w:t>多个城市设立了饮用水卫生监测点。在农村，实施了提高农村安全饮用水计划。</w:t>
      </w:r>
      <w:r>
        <w:rPr>
          <w:rFonts w:hint="eastAsia"/>
        </w:rPr>
        <w:t>1998</w:t>
      </w:r>
      <w:r>
        <w:rPr>
          <w:rFonts w:hint="eastAsia"/>
        </w:rPr>
        <w:t>年在</w:t>
      </w:r>
      <w:r>
        <w:rPr>
          <w:rFonts w:hint="eastAsia"/>
        </w:rPr>
        <w:t>19</w:t>
      </w:r>
      <w:r>
        <w:rPr>
          <w:rFonts w:hint="eastAsia"/>
        </w:rPr>
        <w:t>个省农村进行的饮用水水质的调查结果显示，农村饮用水水质已明显提高。</w:t>
      </w:r>
      <w:r>
        <w:rPr>
          <w:rFonts w:hint="eastAsia"/>
        </w:rPr>
        <w:t>70.6%</w:t>
      </w:r>
      <w:r>
        <w:rPr>
          <w:rFonts w:hint="eastAsia"/>
        </w:rPr>
        <w:t>的人口使用地下水，</w:t>
      </w:r>
      <w:r>
        <w:rPr>
          <w:rFonts w:hint="eastAsia"/>
        </w:rPr>
        <w:t>56.5%</w:t>
      </w:r>
      <w:r>
        <w:rPr>
          <w:rFonts w:hint="eastAsia"/>
        </w:rPr>
        <w:t>使用集中式供水。调查人群中有</w:t>
      </w:r>
      <w:r>
        <w:rPr>
          <w:rFonts w:hint="eastAsia"/>
        </w:rPr>
        <w:t>32.3%</w:t>
      </w:r>
      <w:r>
        <w:rPr>
          <w:rFonts w:hint="eastAsia"/>
        </w:rPr>
        <w:t>人口的饮用水达到了国家一级饮用水标准，而</w:t>
      </w:r>
      <w:r>
        <w:rPr>
          <w:rFonts w:hint="eastAsia"/>
        </w:rPr>
        <w:t>1985</w:t>
      </w:r>
      <w:r>
        <w:rPr>
          <w:rFonts w:hint="eastAsia"/>
        </w:rPr>
        <w:t>年则只有</w:t>
      </w:r>
      <w:r>
        <w:rPr>
          <w:rFonts w:hint="eastAsia"/>
        </w:rPr>
        <w:t>10%</w:t>
      </w:r>
      <w:r>
        <w:rPr>
          <w:rFonts w:hint="eastAsia"/>
        </w:rPr>
        <w:t>。从</w:t>
      </w:r>
      <w:r>
        <w:rPr>
          <w:rFonts w:hint="eastAsia"/>
        </w:rPr>
        <w:t>2000</w:t>
      </w:r>
      <w:r>
        <w:rPr>
          <w:rFonts w:hint="eastAsia"/>
        </w:rPr>
        <w:t>年底开始，全国</w:t>
      </w:r>
      <w:r>
        <w:rPr>
          <w:rFonts w:hint="eastAsia"/>
        </w:rPr>
        <w:t>47</w:t>
      </w:r>
      <w:r>
        <w:rPr>
          <w:rFonts w:hint="eastAsia"/>
        </w:rPr>
        <w:t>个环保重点城市每月对其水源地进行水质监测，目前这项工作已经推广到了部分地级城市。此外，还开展环境污染所致人群健康危害程度的研究工作，对大气污染和水污染所致的健康危害进行了深入研究。</w:t>
      </w:r>
    </w:p>
    <w:p w:rsidR="00000000" w:rsidRDefault="00000000">
      <w:pPr>
        <w:rPr>
          <w:rFonts w:hint="eastAsia"/>
        </w:rPr>
      </w:pPr>
      <w:r>
        <w:rPr>
          <w:rFonts w:hint="eastAsia"/>
        </w:rPr>
        <w:tab/>
        <w:t xml:space="preserve">183.  </w:t>
      </w:r>
      <w:r>
        <w:rPr>
          <w:rFonts w:hint="eastAsia"/>
        </w:rPr>
        <w:t>中国是一个劳动力人口大国，全国现有劳动力人口</w:t>
      </w:r>
      <w:r>
        <w:rPr>
          <w:rFonts w:hint="eastAsia"/>
        </w:rPr>
        <w:t>7</w:t>
      </w:r>
      <w:r>
        <w:rPr>
          <w:rFonts w:hint="eastAsia"/>
        </w:rPr>
        <w:t>亿左右。截至</w:t>
      </w:r>
      <w:r>
        <w:rPr>
          <w:rFonts w:hint="eastAsia"/>
        </w:rPr>
        <w:t>2000</w:t>
      </w:r>
      <w:r>
        <w:rPr>
          <w:rFonts w:hint="eastAsia"/>
        </w:rPr>
        <w:t>年底，全国有工业企业总数</w:t>
      </w:r>
      <w:r>
        <w:rPr>
          <w:rFonts w:hint="eastAsia"/>
        </w:rPr>
        <w:t>790</w:t>
      </w:r>
      <w:r>
        <w:rPr>
          <w:rFonts w:hint="eastAsia"/>
        </w:rPr>
        <w:t>多万个，乡镇企业总数</w:t>
      </w:r>
      <w:r>
        <w:rPr>
          <w:rFonts w:hint="eastAsia"/>
        </w:rPr>
        <w:t>2000</w:t>
      </w:r>
      <w:r>
        <w:rPr>
          <w:rFonts w:hint="eastAsia"/>
        </w:rPr>
        <w:t>多万个，外商及港澳台商投资企业</w:t>
      </w:r>
      <w:r>
        <w:rPr>
          <w:rFonts w:hint="eastAsia"/>
        </w:rPr>
        <w:t>6</w:t>
      </w:r>
      <w:r>
        <w:rPr>
          <w:rFonts w:hint="eastAsia"/>
        </w:rPr>
        <w:t>万多个。为了适应不断发展的职业卫生工作的需要，中国逐步建立覆盖全国的劳动卫生与职业病防治网络，有近</w:t>
      </w:r>
      <w:r>
        <w:rPr>
          <w:rFonts w:hint="eastAsia"/>
        </w:rPr>
        <w:t>3</w:t>
      </w:r>
      <w:r>
        <w:rPr>
          <w:rFonts w:hint="eastAsia"/>
        </w:rPr>
        <w:t>万人从事职业卫生工作。</w:t>
      </w:r>
      <w:r>
        <w:rPr>
          <w:rFonts w:hint="eastAsia"/>
        </w:rPr>
        <w:t>20</w:t>
      </w:r>
      <w:r>
        <w:rPr>
          <w:rFonts w:hint="eastAsia"/>
        </w:rPr>
        <w:t>世纪</w:t>
      </w:r>
      <w:r>
        <w:rPr>
          <w:rFonts w:hint="eastAsia"/>
        </w:rPr>
        <w:t>50</w:t>
      </w:r>
      <w:r>
        <w:rPr>
          <w:rFonts w:hint="eastAsia"/>
        </w:rPr>
        <w:t>年代以来，中国政府组织进行了大量职业病发病情况调查。</w:t>
      </w:r>
      <w:r>
        <w:rPr>
          <w:rFonts w:hint="eastAsia"/>
        </w:rPr>
        <w:t>1981</w:t>
      </w:r>
      <w:r>
        <w:rPr>
          <w:rFonts w:hint="eastAsia"/>
        </w:rPr>
        <w:t>年前后，通过普查，掌握了铅、苯、汞、有机磷农药和三硝基甲苯等职业中毒的发病和分布情况。</w:t>
      </w:r>
      <w:r>
        <w:rPr>
          <w:rFonts w:hint="eastAsia"/>
        </w:rPr>
        <w:t>1983</w:t>
      </w:r>
      <w:r>
        <w:rPr>
          <w:rFonts w:hint="eastAsia"/>
        </w:rPr>
        <w:t>年对接触</w:t>
      </w:r>
      <w:r>
        <w:rPr>
          <w:rFonts w:hint="eastAsia"/>
        </w:rPr>
        <w:t>8</w:t>
      </w:r>
      <w:r>
        <w:rPr>
          <w:rFonts w:hint="eastAsia"/>
        </w:rPr>
        <w:t>种致癌物质的</w:t>
      </w:r>
      <w:r>
        <w:rPr>
          <w:rFonts w:hint="eastAsia"/>
        </w:rPr>
        <w:t>10</w:t>
      </w:r>
      <w:r>
        <w:rPr>
          <w:rFonts w:hint="eastAsia"/>
        </w:rPr>
        <w:t>余万职工进行流行病学调查。</w:t>
      </w:r>
      <w:r>
        <w:rPr>
          <w:rFonts w:hint="eastAsia"/>
        </w:rPr>
        <w:t>1986</w:t>
      </w:r>
      <w:r>
        <w:rPr>
          <w:rFonts w:hint="eastAsia"/>
        </w:rPr>
        <w:t>年至</w:t>
      </w:r>
      <w:r>
        <w:rPr>
          <w:rFonts w:hint="eastAsia"/>
        </w:rPr>
        <w:t>1990</w:t>
      </w:r>
      <w:r>
        <w:rPr>
          <w:rFonts w:hint="eastAsia"/>
        </w:rPr>
        <w:t>年开展了全国尘肺病流行病回顾调查，建立了系统的尘肺病档案。</w:t>
      </w:r>
      <w:r>
        <w:rPr>
          <w:rFonts w:hint="eastAsia"/>
        </w:rPr>
        <w:t>1996</w:t>
      </w:r>
      <w:r>
        <w:rPr>
          <w:rFonts w:hint="eastAsia"/>
        </w:rPr>
        <w:t>年对</w:t>
      </w:r>
      <w:r>
        <w:rPr>
          <w:rFonts w:hint="eastAsia"/>
        </w:rPr>
        <w:t>7</w:t>
      </w:r>
      <w:r>
        <w:rPr>
          <w:rFonts w:hint="eastAsia"/>
        </w:rPr>
        <w:t>省市</w:t>
      </w:r>
      <w:r>
        <w:rPr>
          <w:rFonts w:hint="eastAsia"/>
        </w:rPr>
        <w:t>1421</w:t>
      </w:r>
      <w:r>
        <w:rPr>
          <w:rFonts w:hint="eastAsia"/>
        </w:rPr>
        <w:t>家三资企业进行了职业卫生状况调查。通过大规模普查，积累了大量数据资料。各大工业系统如冶金、煤炭、石油石化、铁路、电力等，在多年实践中形成了一系列职业卫生管理制度。如煤炭企业多年来积极推行湿式凿岩、喷雾洒水、冲洗岩邦、净化通风口等综合防尘措施，使煤尘浓度下降了</w:t>
      </w:r>
      <w:r>
        <w:rPr>
          <w:rFonts w:hint="eastAsia"/>
        </w:rPr>
        <w:t>68-89.5%</w:t>
      </w:r>
      <w:r>
        <w:rPr>
          <w:rFonts w:hint="eastAsia"/>
        </w:rPr>
        <w:t>。据</w:t>
      </w:r>
      <w:r>
        <w:rPr>
          <w:rFonts w:hint="eastAsia"/>
        </w:rPr>
        <w:t>2000</w:t>
      </w:r>
      <w:r>
        <w:rPr>
          <w:rFonts w:hint="eastAsia"/>
        </w:rPr>
        <w:t>年中国职业卫生统计信息网统计，全国对职业危害作业点检测显示，</w:t>
      </w:r>
      <w:r>
        <w:rPr>
          <w:rFonts w:hint="eastAsia"/>
        </w:rPr>
        <w:t>64.8%</w:t>
      </w:r>
      <w:r>
        <w:rPr>
          <w:rFonts w:hint="eastAsia"/>
        </w:rPr>
        <w:t>的国有企业基本达到了国家卫生标准。目前工厂的高温车间已基本消灭了重症中暑的发生。多数企业作业场所粉尘浓度达到或接近国家卫生标准。防治职业中毒工作也取得了巨大成绩，许多工厂采取了以无毒代有毒、改革工艺、加强密闭和通风等综合性措施，基本杜绝了跑、冒、滴、漏的发生，常见慢性职业中毒的发病率也明显下降。</w:t>
      </w:r>
      <w:r>
        <w:rPr>
          <w:rFonts w:hint="eastAsia"/>
        </w:rPr>
        <w:t>2000</w:t>
      </w:r>
      <w:r>
        <w:rPr>
          <w:rFonts w:hint="eastAsia"/>
        </w:rPr>
        <w:t>年全国对</w:t>
      </w:r>
      <w:r>
        <w:rPr>
          <w:rFonts w:hint="eastAsia"/>
        </w:rPr>
        <w:t>370292</w:t>
      </w:r>
      <w:r>
        <w:rPr>
          <w:rFonts w:hint="eastAsia"/>
        </w:rPr>
        <w:t>名从业人员进行职业性健康体检，对已查出或已确诊的职业病患者，及时采取了有效措施。</w:t>
      </w:r>
    </w:p>
    <w:p w:rsidR="00000000" w:rsidRDefault="00000000">
      <w:pPr>
        <w:rPr>
          <w:rFonts w:hint="eastAsia"/>
        </w:rPr>
      </w:pPr>
      <w:r>
        <w:rPr>
          <w:rFonts w:hint="eastAsia"/>
        </w:rPr>
        <w:tab/>
        <w:t xml:space="preserve">184.  </w:t>
      </w:r>
      <w:r>
        <w:rPr>
          <w:rFonts w:hint="eastAsia"/>
        </w:rPr>
        <w:t>为预防、治疗和控制传染病、地方病、职业病和其他疾病，中国政府制定一系列预防控制传染病、地方病的法律规范。如《全国疾病预防控制工作第十个五年计划纲要》、《国家鼠疫控制应急预案》、《中国预防与控制艾滋病中长期规划</w:t>
      </w:r>
      <w:r>
        <w:rPr>
          <w:rFonts w:hint="eastAsia"/>
        </w:rPr>
        <w:t>(1998-2010</w:t>
      </w:r>
      <w:r>
        <w:rPr>
          <w:rFonts w:hint="eastAsia"/>
        </w:rPr>
        <w:t>年</w:t>
      </w:r>
      <w:r>
        <w:rPr>
          <w:rFonts w:hint="eastAsia"/>
        </w:rPr>
        <w:t>)</w:t>
      </w:r>
      <w:r>
        <w:rPr>
          <w:rFonts w:hint="eastAsia"/>
        </w:rPr>
        <w:t>》、《中国遏制与防治艾滋病行动计划</w:t>
      </w:r>
      <w:r>
        <w:rPr>
          <w:rFonts w:hint="eastAsia"/>
        </w:rPr>
        <w:t>(2001-2005</w:t>
      </w:r>
      <w:r>
        <w:rPr>
          <w:rFonts w:hint="eastAsia"/>
        </w:rPr>
        <w:t>年</w:t>
      </w:r>
      <w:r>
        <w:rPr>
          <w:rFonts w:hint="eastAsia"/>
        </w:rPr>
        <w:t>)</w:t>
      </w:r>
      <w:r>
        <w:rPr>
          <w:rFonts w:hint="eastAsia"/>
        </w:rPr>
        <w:t>》、《全国结核病防治规划</w:t>
      </w:r>
      <w:r>
        <w:rPr>
          <w:rFonts w:hint="eastAsia"/>
        </w:rPr>
        <w:t>(2001-2010</w:t>
      </w:r>
      <w:r>
        <w:rPr>
          <w:rFonts w:hint="eastAsia"/>
        </w:rPr>
        <w:t>年</w:t>
      </w:r>
      <w:r>
        <w:rPr>
          <w:rFonts w:hint="eastAsia"/>
        </w:rPr>
        <w:t>)</w:t>
      </w:r>
      <w:r>
        <w:rPr>
          <w:rFonts w:hint="eastAsia"/>
        </w:rPr>
        <w:t>》、《全国综合治理血吸虫病“十五”计划》、《进一步加强消除碘缺乏病工作的意见》、《中国精神卫生工作规划</w:t>
      </w:r>
      <w:r>
        <w:rPr>
          <w:rFonts w:hint="eastAsia"/>
        </w:rPr>
        <w:t>2002-2010</w:t>
      </w:r>
      <w:r>
        <w:rPr>
          <w:rFonts w:hint="eastAsia"/>
        </w:rPr>
        <w:t>年》、《中国食物与营养发展纲要</w:t>
      </w:r>
      <w:r>
        <w:rPr>
          <w:rFonts w:hint="eastAsia"/>
        </w:rPr>
        <w:t>2001-2010</w:t>
      </w:r>
      <w:r>
        <w:rPr>
          <w:rFonts w:hint="eastAsia"/>
        </w:rPr>
        <w:t>年》等。</w:t>
      </w:r>
    </w:p>
    <w:p w:rsidR="00000000" w:rsidRDefault="00000000">
      <w:pPr>
        <w:rPr>
          <w:rFonts w:hint="eastAsia"/>
        </w:rPr>
      </w:pPr>
      <w:r>
        <w:rPr>
          <w:rFonts w:hint="eastAsia"/>
        </w:rPr>
        <w:tab/>
        <w:t xml:space="preserve">185.  </w:t>
      </w:r>
      <w:r>
        <w:rPr>
          <w:rFonts w:hint="eastAsia"/>
        </w:rPr>
        <w:t>中国政府提出“预防为主”的卫生工作方针，把防治严重危害人民生命健康的传染病、地方病和慢性非传染病作为卫生工作的主要任务。全国各地陆续组建了各种专业预防保健机构和队伍，开展了群众性的爱国卫生运动。改革开放以后，中国政府确定了“政府组织、地方负责部门协调、群众动手、科学治理、社会监督”的基本工作方针。实行计划免疫、推行以食盐加碘为主的综合防治措施等。建立了中国疾病预防控制中心，投入国债资金</w:t>
      </w:r>
      <w:r>
        <w:rPr>
          <w:rFonts w:hint="eastAsia"/>
        </w:rPr>
        <w:t>8</w:t>
      </w:r>
      <w:r>
        <w:rPr>
          <w:rFonts w:hint="eastAsia"/>
        </w:rPr>
        <w:t>亿元用于西部地区疾病预防控制机构基本建设。加强对重点传染病的监测，预防和控制传染病暴发流行。国家疾病信息报告管理系统于</w:t>
      </w:r>
      <w:r>
        <w:rPr>
          <w:rFonts w:hint="eastAsia"/>
        </w:rPr>
        <w:t>2002</w:t>
      </w:r>
      <w:r>
        <w:rPr>
          <w:rFonts w:hint="eastAsia"/>
        </w:rPr>
        <w:t>年</w:t>
      </w:r>
      <w:r>
        <w:rPr>
          <w:rFonts w:hint="eastAsia"/>
        </w:rPr>
        <w:t>1</w:t>
      </w:r>
      <w:r>
        <w:rPr>
          <w:rFonts w:hint="eastAsia"/>
        </w:rPr>
        <w:t>月正式启动，基本实现县、地</w:t>
      </w:r>
      <w:r>
        <w:rPr>
          <w:rFonts w:hint="eastAsia"/>
        </w:rPr>
        <w:t>(</w:t>
      </w:r>
      <w:r>
        <w:rPr>
          <w:rFonts w:hint="eastAsia"/>
        </w:rPr>
        <w:t>市</w:t>
      </w:r>
      <w:r>
        <w:rPr>
          <w:rFonts w:hint="eastAsia"/>
        </w:rPr>
        <w:t>)</w:t>
      </w:r>
      <w:r>
        <w:rPr>
          <w:rFonts w:hint="eastAsia"/>
        </w:rPr>
        <w:t>、省、中央的四级疾病信息报告传输与管理，疫情报告信息化管理已初步形成。救灾防病、突发公共卫生事件应急处理系统已完成设计，</w:t>
      </w:r>
      <w:r>
        <w:rPr>
          <w:rFonts w:hint="eastAsia"/>
        </w:rPr>
        <w:t>2003</w:t>
      </w:r>
      <w:r>
        <w:rPr>
          <w:rFonts w:hint="eastAsia"/>
        </w:rPr>
        <w:t>年开始在全国运行。</w:t>
      </w:r>
    </w:p>
    <w:p w:rsidR="00000000" w:rsidRDefault="00000000">
      <w:pPr>
        <w:rPr>
          <w:rFonts w:hint="eastAsia"/>
        </w:rPr>
      </w:pPr>
      <w:r>
        <w:rPr>
          <w:rFonts w:hint="eastAsia"/>
        </w:rPr>
        <w:tab/>
        <w:t xml:space="preserve">186.  </w:t>
      </w:r>
      <w:r>
        <w:rPr>
          <w:rFonts w:hint="eastAsia"/>
        </w:rPr>
        <w:t>全面推进艾滋病防治。利用国债项目加强全国血站建设，积极争取国际合作。基本建立了艾滋病患者关怀策略框架，制定了艾滋病治疗方案，开展以治疗和关怀为主要内容的社区综合防治工作，优先解决国家艾滋病预防控制中心建设及艾滋病预防控制经费的保障。</w:t>
      </w:r>
    </w:p>
    <w:p w:rsidR="00000000" w:rsidRDefault="00000000">
      <w:pPr>
        <w:rPr>
          <w:rFonts w:hint="eastAsia"/>
        </w:rPr>
      </w:pPr>
      <w:r>
        <w:rPr>
          <w:rFonts w:hint="eastAsia"/>
        </w:rPr>
        <w:tab/>
        <w:t xml:space="preserve">187.  </w:t>
      </w:r>
      <w:r>
        <w:rPr>
          <w:rFonts w:hint="eastAsia"/>
        </w:rPr>
        <w:t>落实将乙肝疫苗纳入儿童计划免疫工作。政府积极组织落实省级财政负担乙肝疫苗经费。为帮助西部</w:t>
      </w:r>
      <w:r>
        <w:rPr>
          <w:rFonts w:hint="eastAsia"/>
        </w:rPr>
        <w:t>12</w:t>
      </w:r>
      <w:r>
        <w:rPr>
          <w:rFonts w:hint="eastAsia"/>
        </w:rPr>
        <w:t>省份和中部</w:t>
      </w:r>
      <w:r>
        <w:rPr>
          <w:rFonts w:hint="eastAsia"/>
        </w:rPr>
        <w:t>6</w:t>
      </w:r>
      <w:r>
        <w:rPr>
          <w:rFonts w:hint="eastAsia"/>
        </w:rPr>
        <w:t>省国家级贫困县加快将乙肝疫苗纳入计划免疫工作，中国与国际免疫与疫苗联盟签署了合作项目，双方共同出资为上述地区采购乙肝疫苗和自毁型注射器，</w:t>
      </w:r>
      <w:r>
        <w:rPr>
          <w:rFonts w:hint="eastAsia"/>
        </w:rPr>
        <w:t>2001-2005</w:t>
      </w:r>
      <w:r>
        <w:rPr>
          <w:rFonts w:hint="eastAsia"/>
        </w:rPr>
        <w:t>年，中央财政将每年负担</w:t>
      </w:r>
      <w:r>
        <w:rPr>
          <w:rFonts w:hint="eastAsia"/>
        </w:rPr>
        <w:t>3600</w:t>
      </w:r>
      <w:r>
        <w:rPr>
          <w:rFonts w:hint="eastAsia"/>
        </w:rPr>
        <w:t>万元经费。</w:t>
      </w:r>
    </w:p>
    <w:p w:rsidR="00000000" w:rsidRDefault="00000000">
      <w:pPr>
        <w:rPr>
          <w:rFonts w:hint="eastAsia"/>
        </w:rPr>
      </w:pPr>
      <w:r>
        <w:rPr>
          <w:rFonts w:hint="eastAsia"/>
        </w:rPr>
        <w:tab/>
        <w:t xml:space="preserve">188.  </w:t>
      </w:r>
      <w:r>
        <w:rPr>
          <w:rFonts w:hint="eastAsia"/>
        </w:rPr>
        <w:t>继续做好消灭脊髓灰质炎工作，坚持实施强化免疫策略。加紧制定《预防接种工作管理办法》和《预防接种工作条例》。加强地方病和寄生虫病的防治，全面贯彻落实《全国综合治理血吸虫病“十五”计划》。在贫困地区开展“消除铁缺乏行动”。在一些地区开展“退耕还林。还草”地区居民补助面粉和铁等微量营养素强化工作。</w:t>
      </w:r>
    </w:p>
    <w:p w:rsidR="00000000" w:rsidRDefault="00000000">
      <w:pPr>
        <w:rPr>
          <w:rFonts w:hint="eastAsia"/>
        </w:rPr>
      </w:pPr>
      <w:r>
        <w:rPr>
          <w:rFonts w:hint="eastAsia"/>
        </w:rPr>
        <w:tab/>
        <w:t xml:space="preserve">189.  </w:t>
      </w:r>
      <w:r>
        <w:rPr>
          <w:rFonts w:hint="eastAsia"/>
        </w:rPr>
        <w:t>国家制定了一系列政策措施，如《关于加强大型建设项目中疾病预防控制工作的通知》、《长江三峡水库库底卫生清理技术规范</w:t>
      </w:r>
      <w:r>
        <w:rPr>
          <w:rFonts w:hint="eastAsia"/>
        </w:rPr>
        <w:t>(</w:t>
      </w:r>
      <w:r>
        <w:rPr>
          <w:rFonts w:hint="eastAsia"/>
        </w:rPr>
        <w:t>试行</w:t>
      </w:r>
      <w:r>
        <w:rPr>
          <w:rFonts w:hint="eastAsia"/>
        </w:rPr>
        <w:t>)</w:t>
      </w:r>
      <w:r>
        <w:rPr>
          <w:rFonts w:hint="eastAsia"/>
        </w:rPr>
        <w:t>》、《青藏铁路建设鼠疫防治技术工作方案》等，加强对大型建设项目过程中的疾病预防控制。国家对一些地区出现的自然灾害事件，及时给予业务指导和经费物资等方面的支持，并对各地救灾防病工作和受灾地区的疫情监测与报告提出了明确要求。</w:t>
      </w:r>
    </w:p>
    <w:p w:rsidR="00000000" w:rsidRDefault="00000000">
      <w:pPr>
        <w:rPr>
          <w:rFonts w:hint="eastAsia"/>
        </w:rPr>
      </w:pPr>
      <w:r>
        <w:rPr>
          <w:rFonts w:hint="eastAsia"/>
        </w:rPr>
        <w:tab/>
        <w:t xml:space="preserve">190.  </w:t>
      </w:r>
      <w:r>
        <w:rPr>
          <w:rFonts w:hint="eastAsia"/>
        </w:rPr>
        <w:t>中华人民共和国成立以来，中国政府制定了一系列职业卫生方面的政策和规定，</w:t>
      </w:r>
      <w:r>
        <w:rPr>
          <w:rFonts w:hint="eastAsia"/>
        </w:rPr>
        <w:t>20</w:t>
      </w:r>
      <w:r>
        <w:rPr>
          <w:rFonts w:hint="eastAsia"/>
        </w:rPr>
        <w:t>世纪</w:t>
      </w:r>
      <w:r>
        <w:rPr>
          <w:rFonts w:hint="eastAsia"/>
        </w:rPr>
        <w:t>80</w:t>
      </w:r>
      <w:r>
        <w:rPr>
          <w:rFonts w:hint="eastAsia"/>
        </w:rPr>
        <w:t>年代以来，中国进一步加快了职业卫生法律法规体系建设。</w:t>
      </w:r>
      <w:r>
        <w:rPr>
          <w:rFonts w:hint="eastAsia"/>
        </w:rPr>
        <w:t>2001</w:t>
      </w:r>
      <w:r>
        <w:rPr>
          <w:rFonts w:hint="eastAsia"/>
        </w:rPr>
        <w:t>年</w:t>
      </w:r>
      <w:r>
        <w:rPr>
          <w:rFonts w:hint="eastAsia"/>
        </w:rPr>
        <w:t>10</w:t>
      </w:r>
      <w:r>
        <w:rPr>
          <w:rFonts w:hint="eastAsia"/>
        </w:rPr>
        <w:t>月，中国全国人大常委会颁布了《中华人民共和国职业病防治法》，并已于</w:t>
      </w:r>
      <w:r>
        <w:rPr>
          <w:rFonts w:hint="eastAsia"/>
        </w:rPr>
        <w:t>2002</w:t>
      </w:r>
      <w:r>
        <w:rPr>
          <w:rFonts w:hint="eastAsia"/>
        </w:rPr>
        <w:t>年</w:t>
      </w:r>
      <w:r>
        <w:rPr>
          <w:rFonts w:hint="eastAsia"/>
        </w:rPr>
        <w:t>5</w:t>
      </w:r>
      <w:r>
        <w:rPr>
          <w:rFonts w:hint="eastAsia"/>
        </w:rPr>
        <w:t>月</w:t>
      </w:r>
      <w:r>
        <w:rPr>
          <w:rFonts w:hint="eastAsia"/>
        </w:rPr>
        <w:t>1</w:t>
      </w:r>
      <w:r>
        <w:rPr>
          <w:rFonts w:hint="eastAsia"/>
        </w:rPr>
        <w:t>日起正式施行。结合此前已经发布的一系列国务院法规，如《使用有毒物品作业场所劳动保护条例》、《尘肺病防治条例》、《放射性同位素与射线装置放射防护条例》等，以及卫生部发布的《职业病危害项目申报管理办法》等多个规章和《工业企业职工听力保护规范》等一系列规范性文件，从而基本建立了由法律、行政法规、规章、实施规范等构成的职业卫生工作法律体系框架，为实现中国职业卫生管理的法制化、规范化奠定了基础。</w:t>
      </w:r>
    </w:p>
    <w:p w:rsidR="00000000" w:rsidRDefault="00000000">
      <w:pPr>
        <w:rPr>
          <w:rFonts w:hint="eastAsia"/>
        </w:rPr>
      </w:pPr>
      <w:r>
        <w:rPr>
          <w:rFonts w:hint="eastAsia"/>
        </w:rPr>
        <w:tab/>
        <w:t xml:space="preserve">191.  </w:t>
      </w:r>
      <w:r>
        <w:rPr>
          <w:rFonts w:hint="eastAsia"/>
        </w:rPr>
        <w:t>国家职业卫生标准建设不断加强。在过去多年工作的基础上，</w:t>
      </w:r>
      <w:r>
        <w:rPr>
          <w:rFonts w:hint="eastAsia"/>
        </w:rPr>
        <w:t>2002</w:t>
      </w:r>
      <w:r>
        <w:rPr>
          <w:rFonts w:hint="eastAsia"/>
        </w:rPr>
        <w:t>年，按照《中华人民共和国职业病防治法》的规定，卫生部组织对职业卫生标准进行了修订和整理，重新发布了</w:t>
      </w:r>
      <w:r>
        <w:rPr>
          <w:rFonts w:hint="eastAsia"/>
        </w:rPr>
        <w:t>157</w:t>
      </w:r>
      <w:r>
        <w:rPr>
          <w:rFonts w:hint="eastAsia"/>
        </w:rPr>
        <w:t>个共</w:t>
      </w:r>
      <w:r>
        <w:rPr>
          <w:rFonts w:hint="eastAsia"/>
        </w:rPr>
        <w:t>500</w:t>
      </w:r>
      <w:r>
        <w:rPr>
          <w:rFonts w:hint="eastAsia"/>
        </w:rPr>
        <w:t>余项国家职业卫生标准，其中包括工业企业设计卫生标准、工作场所有害因素职业接触限值，职业病诊断标准、放射防护标准和放射病诊断标准等，形成了既参照国际通用标准，又有中国特色的职业卫生标准体系。</w:t>
      </w:r>
    </w:p>
    <w:p w:rsidR="00000000" w:rsidRDefault="00000000">
      <w:pPr>
        <w:rPr>
          <w:rFonts w:hint="eastAsia"/>
        </w:rPr>
      </w:pPr>
      <w:r>
        <w:rPr>
          <w:rFonts w:hint="eastAsia"/>
        </w:rPr>
        <w:tab/>
        <w:t xml:space="preserve">192.  </w:t>
      </w:r>
      <w:r>
        <w:rPr>
          <w:rFonts w:hint="eastAsia"/>
        </w:rPr>
        <w:t>政府将现有职业病防治信息网络重新整合、整体规划，进一步完善职业中毒控制信息体系，涵盖职业病防治方针政策、法规标准、中毒控制、应急救援、化学品毒性、技术咨询、培训教育、资质认证等重点环节，全面提升急性职业中毒控制信息水平。成立国家急性职业中毒应急救援指挥中心，统一指挥、协调、调度全国重大急性职业中毒事故的应急救援工作。</w:t>
      </w:r>
    </w:p>
    <w:p w:rsidR="00000000" w:rsidRDefault="00000000">
      <w:pPr>
        <w:rPr>
          <w:rFonts w:hint="eastAsia"/>
        </w:rPr>
      </w:pPr>
      <w:r>
        <w:rPr>
          <w:rFonts w:hint="eastAsia"/>
        </w:rPr>
        <w:tab/>
        <w:t xml:space="preserve">193.  </w:t>
      </w:r>
      <w:r>
        <w:rPr>
          <w:rFonts w:hint="eastAsia"/>
        </w:rPr>
        <w:t>中国政府重视职业卫生工作。针对主要职业危害问题，加强尘毒治理，改善劳动条件。国家各大工业系统如冶金、煤炭、石油石化、铁路、电力等行业，多年来已经形成了一整套较为有效的内部职业卫生管理制度。大中型国有企业普遍建立了有害作业安全卫生操作规范、作业场所监测制度、职工健康监护制度等等。近年来，为了适应经济体制改革的需要，特别针对企业管理体制改革、劳动用工制度改革等带来的新问题，中国政府采取了有效措施，保护劳动者的健康。首先加强了法制建设，不断加大执法监管力度。</w:t>
      </w:r>
      <w:r>
        <w:rPr>
          <w:rFonts w:hint="eastAsia"/>
        </w:rPr>
        <w:t>2000</w:t>
      </w:r>
      <w:r>
        <w:rPr>
          <w:rFonts w:hint="eastAsia"/>
        </w:rPr>
        <w:t>年在全国开展了有毒有害化学品生产、销售和使用专项整治工作。同时，在全国范围内开展了工矿企业职业卫生健康促进活动，普及职业卫生知识。中国政府还通过制定《淘汰落后生产能力、工艺和产品的目录》，逐步限制、淘汰职业危害严重的落后技术、材料和工艺，推行清洁生产模式。</w:t>
      </w:r>
    </w:p>
    <w:p w:rsidR="00000000" w:rsidRDefault="00000000">
      <w:pPr>
        <w:rPr>
          <w:rFonts w:hint="eastAsia"/>
        </w:rPr>
      </w:pPr>
      <w:r>
        <w:rPr>
          <w:rFonts w:hint="eastAsia"/>
        </w:rPr>
        <w:tab/>
        <w:t xml:space="preserve">194.  </w:t>
      </w:r>
      <w:r>
        <w:rPr>
          <w:rFonts w:hint="eastAsia"/>
        </w:rPr>
        <w:t>中国</w:t>
      </w:r>
      <w:r>
        <w:rPr>
          <w:rFonts w:hint="eastAsia"/>
        </w:rPr>
        <w:t>65</w:t>
      </w:r>
      <w:r>
        <w:rPr>
          <w:rFonts w:hint="eastAsia"/>
        </w:rPr>
        <w:t>岁以上老龄人口比例已从</w:t>
      </w:r>
      <w:r>
        <w:rPr>
          <w:rFonts w:hint="eastAsia"/>
        </w:rPr>
        <w:t>1990</w:t>
      </w:r>
      <w:r>
        <w:rPr>
          <w:rFonts w:hint="eastAsia"/>
        </w:rPr>
        <w:t>年的</w:t>
      </w:r>
      <w:r>
        <w:rPr>
          <w:rFonts w:hint="eastAsia"/>
        </w:rPr>
        <w:t>5.58%</w:t>
      </w:r>
      <w:r>
        <w:rPr>
          <w:rFonts w:hint="eastAsia"/>
        </w:rPr>
        <w:t>上升到</w:t>
      </w:r>
      <w:r>
        <w:rPr>
          <w:rFonts w:hint="eastAsia"/>
        </w:rPr>
        <w:t>2000</w:t>
      </w:r>
      <w:r>
        <w:rPr>
          <w:rFonts w:hint="eastAsia"/>
        </w:rPr>
        <w:t>年的</w:t>
      </w:r>
      <w:r>
        <w:rPr>
          <w:rFonts w:hint="eastAsia"/>
        </w:rPr>
        <w:t>6.96%</w:t>
      </w:r>
      <w:r>
        <w:rPr>
          <w:rFonts w:hint="eastAsia"/>
        </w:rPr>
        <w:t>，标志着中国人口年龄结构开始进入老年型。人口老龄化引起的慢性病患者增多，病程长，医药费用不断增加，对医疗保健事业产生巨大影响。中国政府采取一系列保障老年人服务医疗的措施，确保年长者的健康权益。</w:t>
      </w:r>
    </w:p>
    <w:p w:rsidR="00000000" w:rsidRDefault="00000000">
      <w:pPr>
        <w:rPr>
          <w:rFonts w:hint="eastAsia"/>
        </w:rPr>
      </w:pPr>
      <w:r>
        <w:rPr>
          <w:rFonts w:hint="eastAsia"/>
        </w:rPr>
        <w:tab/>
        <w:t xml:space="preserve">195.  </w:t>
      </w:r>
      <w:r>
        <w:rPr>
          <w:rFonts w:hint="eastAsia"/>
        </w:rPr>
        <w:t>中国政府制定了《老年病防治研究“十五”规划纲要》。要尽快建立和完善老年人卫生服务和医疗保障体系；将老年人作为城乡基层卫生服务的重点对象，发展多种形式的老年卫生保健服务；制定相应的老年社会服务规范，完善有关规章制度，保障老年社区医疗保健和健康教育的开展。逐步满足老年人的基本医疗和保健需求。</w:t>
      </w:r>
    </w:p>
    <w:p w:rsidR="00000000" w:rsidRDefault="00000000">
      <w:pPr>
        <w:rPr>
          <w:rFonts w:hint="eastAsia"/>
        </w:rPr>
      </w:pPr>
      <w:r>
        <w:rPr>
          <w:rFonts w:hint="eastAsia"/>
        </w:rPr>
        <w:tab/>
        <w:t xml:space="preserve">196.  </w:t>
      </w:r>
      <w:r>
        <w:rPr>
          <w:rFonts w:hint="eastAsia"/>
        </w:rPr>
        <w:t>推动大中型医院积极开展老年医疗领域，增加老年医疗服务项目和方便老年人服务的措施。建立老年人健康档案，发展家庭病床，提供家庭出诊、家庭护理、日间观察、临终关怀，逐步建立老年人家庭医疗与急救呼叫信息服务网络等。加强基层老年护理队伍的建设和技能培训。加强对老年病防治的研究，指导老年人科学健康的文明生活。积极开展慢性病防治工作。针对心血管疾病、糖尿病等发病率明显增长的、常见的、多发的慢性病，开展社区综合防治，为老年人提供连续的预防、治疗和健康教育服务。</w:t>
      </w:r>
    </w:p>
    <w:p w:rsidR="00000000" w:rsidRDefault="00000000">
      <w:pPr>
        <w:rPr>
          <w:rFonts w:hint="eastAsia"/>
        </w:rPr>
      </w:pPr>
      <w:r>
        <w:rPr>
          <w:rFonts w:hint="eastAsia"/>
        </w:rPr>
        <w:tab/>
        <w:t xml:space="preserve">197.  </w:t>
      </w:r>
      <w:r>
        <w:rPr>
          <w:rFonts w:hint="eastAsia"/>
        </w:rPr>
        <w:t>社区卫生服务可以给予社会弱势群体特有的人文和健康关怀，增强他们对社区的认同感和归属感。对于帮助居民形成科学的健康观，维护和增进居民健康，促进形成良好的社区文化起到非常重要的作用。</w:t>
      </w:r>
      <w:r>
        <w:rPr>
          <w:rFonts w:hint="eastAsia"/>
        </w:rPr>
        <w:t>2000</w:t>
      </w:r>
      <w:r>
        <w:rPr>
          <w:rFonts w:hint="eastAsia"/>
        </w:rPr>
        <w:t>年</w:t>
      </w:r>
      <w:r>
        <w:rPr>
          <w:rFonts w:hint="eastAsia"/>
        </w:rPr>
        <w:t>11</w:t>
      </w:r>
      <w:r>
        <w:rPr>
          <w:rFonts w:hint="eastAsia"/>
        </w:rPr>
        <w:t>月，中国政府印发的《关于在全国推进城市社区建设的意见》，明确把社区卫生服务作为社区建设的重要内容之一。要求促进城市卫生资源向社区转移，构建以社区卫生服务为基础的新型的城市卫生服务体系。据</w:t>
      </w:r>
      <w:r>
        <w:rPr>
          <w:rFonts w:hint="eastAsia"/>
        </w:rPr>
        <w:t>2002</w:t>
      </w:r>
      <w:r>
        <w:rPr>
          <w:rFonts w:hint="eastAsia"/>
        </w:rPr>
        <w:t>年底统计，中国开展社区卫生服务的城市已经覆盖全国</w:t>
      </w:r>
      <w:r>
        <w:rPr>
          <w:rFonts w:hint="eastAsia"/>
        </w:rPr>
        <w:t>358</w:t>
      </w:r>
      <w:r>
        <w:rPr>
          <w:rFonts w:hint="eastAsia"/>
        </w:rPr>
        <w:t>个城市，形成了社区卫生服务中心</w:t>
      </w:r>
      <w:r>
        <w:rPr>
          <w:rFonts w:hint="eastAsia"/>
        </w:rPr>
        <w:t>(</w:t>
      </w:r>
      <w:r>
        <w:rPr>
          <w:rFonts w:hint="eastAsia"/>
        </w:rPr>
        <w:t>站</w:t>
      </w:r>
      <w:r>
        <w:rPr>
          <w:rFonts w:hint="eastAsia"/>
        </w:rPr>
        <w:t>)11700</w:t>
      </w:r>
      <w:r>
        <w:rPr>
          <w:rFonts w:hint="eastAsia"/>
        </w:rPr>
        <w:t>多个，在社区还有大量的老年护理院</w:t>
      </w:r>
      <w:r>
        <w:rPr>
          <w:rFonts w:hint="eastAsia"/>
        </w:rPr>
        <w:t>(</w:t>
      </w:r>
      <w:r>
        <w:rPr>
          <w:rFonts w:hint="eastAsia"/>
        </w:rPr>
        <w:t>站</w:t>
      </w:r>
      <w:r>
        <w:rPr>
          <w:rFonts w:hint="eastAsia"/>
        </w:rPr>
        <w:t>)</w:t>
      </w:r>
      <w:r>
        <w:rPr>
          <w:rFonts w:hint="eastAsia"/>
        </w:rPr>
        <w:t>、诊所等医疗机构为社区居民提供专项卫生服务。</w:t>
      </w:r>
    </w:p>
    <w:p w:rsidR="00000000" w:rsidRDefault="00000000">
      <w:pPr>
        <w:rPr>
          <w:rFonts w:hint="eastAsia"/>
        </w:rPr>
      </w:pPr>
      <w:r>
        <w:rPr>
          <w:rFonts w:hint="eastAsia"/>
        </w:rPr>
        <w:tab/>
        <w:t xml:space="preserve">198.  </w:t>
      </w:r>
      <w:r>
        <w:rPr>
          <w:rFonts w:hint="eastAsia"/>
        </w:rPr>
        <w:t>中国政府先后制定了有关社区卫生服务的重要文件、</w:t>
      </w:r>
      <w:r>
        <w:rPr>
          <w:rFonts w:hint="eastAsia"/>
        </w:rPr>
        <w:t>1999</w:t>
      </w:r>
      <w:r>
        <w:rPr>
          <w:rFonts w:hint="eastAsia"/>
        </w:rPr>
        <w:t>年印发的《关于发展城市社区卫生服务的若干意见》提出了发展社区卫生服务的目标：到</w:t>
      </w:r>
      <w:r>
        <w:rPr>
          <w:rFonts w:hint="eastAsia"/>
        </w:rPr>
        <w:t>2000</w:t>
      </w:r>
      <w:r>
        <w:rPr>
          <w:rFonts w:hint="eastAsia"/>
        </w:rPr>
        <w:t>年在全国范围内基本完成社区卫生服务试点；到</w:t>
      </w:r>
      <w:r>
        <w:rPr>
          <w:rFonts w:hint="eastAsia"/>
        </w:rPr>
        <w:t>2005</w:t>
      </w:r>
      <w:r>
        <w:rPr>
          <w:rFonts w:hint="eastAsia"/>
        </w:rPr>
        <w:t>年，基本建立社区卫生服务的框架体系；到</w:t>
      </w:r>
      <w:r>
        <w:rPr>
          <w:rFonts w:hint="eastAsia"/>
        </w:rPr>
        <w:t>2010</w:t>
      </w:r>
      <w:r>
        <w:rPr>
          <w:rFonts w:hint="eastAsia"/>
        </w:rPr>
        <w:t>年，形成较为完善的社区卫生服务体系。</w:t>
      </w:r>
      <w:r>
        <w:rPr>
          <w:rFonts w:hint="eastAsia"/>
        </w:rPr>
        <w:t>2001</w:t>
      </w:r>
      <w:r>
        <w:rPr>
          <w:rFonts w:hint="eastAsia"/>
        </w:rPr>
        <w:t>年制定的《关于</w:t>
      </w:r>
      <w:r>
        <w:rPr>
          <w:rFonts w:hint="eastAsia"/>
        </w:rPr>
        <w:t>2005</w:t>
      </w:r>
      <w:r>
        <w:rPr>
          <w:rFonts w:hint="eastAsia"/>
        </w:rPr>
        <w:t>年城市社区卫生服务发展目标的意见》明确提出：到</w:t>
      </w:r>
      <w:r>
        <w:rPr>
          <w:rFonts w:hint="eastAsia"/>
        </w:rPr>
        <w:t>2005</w:t>
      </w:r>
      <w:r>
        <w:rPr>
          <w:rFonts w:hint="eastAsia"/>
        </w:rPr>
        <w:t>年，社区卫生服务的发展目标是：在全国大部分城市基本建成政策落实、服务网络健全、人力配置合理、服务功能完善、监督管理规范、筹资渠道畅通、适应社会需求的社区卫生服务体系框架。</w:t>
      </w:r>
      <w:r>
        <w:rPr>
          <w:rFonts w:hint="eastAsia"/>
        </w:rPr>
        <w:t>2002</w:t>
      </w:r>
      <w:r>
        <w:rPr>
          <w:rFonts w:hint="eastAsia"/>
        </w:rPr>
        <w:t>年</w:t>
      </w:r>
      <w:r>
        <w:rPr>
          <w:rFonts w:hint="eastAsia"/>
        </w:rPr>
        <w:t>8</w:t>
      </w:r>
      <w:r>
        <w:rPr>
          <w:rFonts w:hint="eastAsia"/>
        </w:rPr>
        <w:t>月制定的《关于加快发展城市社区卫生服务的意见》要求社区卫生服务要引入市场竞争机制，鼓励社会和个人参与举办社区卫生服务，同时要求政府在财政补助、价格税收等方面给予社区卫生服务优惠政策措施。</w:t>
      </w:r>
    </w:p>
    <w:p w:rsidR="00000000" w:rsidRDefault="00000000">
      <w:pPr>
        <w:rPr>
          <w:rFonts w:hint="eastAsia"/>
        </w:rPr>
      </w:pPr>
      <w:r>
        <w:rPr>
          <w:rFonts w:hint="eastAsia"/>
        </w:rPr>
        <w:tab/>
        <w:t xml:space="preserve">199.  </w:t>
      </w:r>
      <w:r>
        <w:rPr>
          <w:rFonts w:hint="eastAsia"/>
        </w:rPr>
        <w:t>中国政府规划，到</w:t>
      </w:r>
      <w:r>
        <w:rPr>
          <w:rFonts w:hint="eastAsia"/>
        </w:rPr>
        <w:t>2005</w:t>
      </w:r>
      <w:r>
        <w:rPr>
          <w:rFonts w:hint="eastAsia"/>
        </w:rPr>
        <w:t>年至少有</w:t>
      </w:r>
      <w:r>
        <w:rPr>
          <w:rFonts w:hint="eastAsia"/>
        </w:rPr>
        <w:t>80%</w:t>
      </w:r>
      <w:r>
        <w:rPr>
          <w:rFonts w:hint="eastAsia"/>
        </w:rPr>
        <w:t>地级以上的城市基本建成以非营利性机构为主导，以具有综合功能的社区卫生服务机构为主体，其他基层医疗卫生机构为补充的多种形式的社区卫生服务网络；至少有</w:t>
      </w:r>
      <w:r>
        <w:rPr>
          <w:rFonts w:hint="eastAsia"/>
        </w:rPr>
        <w:t>35%</w:t>
      </w:r>
      <w:r>
        <w:rPr>
          <w:rFonts w:hint="eastAsia"/>
        </w:rPr>
        <w:t>的县级城市形成适合本地实际的城市社区卫生服务网络。以街道办事处为单位，</w:t>
      </w:r>
      <w:r>
        <w:rPr>
          <w:rFonts w:hint="eastAsia"/>
        </w:rPr>
        <w:t>70%</w:t>
      </w:r>
      <w:r>
        <w:rPr>
          <w:rFonts w:hint="eastAsia"/>
        </w:rPr>
        <w:t>的居民从住所步行</w:t>
      </w:r>
      <w:r>
        <w:rPr>
          <w:rFonts w:hint="eastAsia"/>
        </w:rPr>
        <w:t>15</w:t>
      </w:r>
      <w:r>
        <w:rPr>
          <w:rFonts w:hint="eastAsia"/>
        </w:rPr>
        <w:t>分钟内，可以到达社区卫生服务中心</w:t>
      </w:r>
      <w:r>
        <w:rPr>
          <w:rFonts w:hint="eastAsia"/>
        </w:rPr>
        <w:t>(</w:t>
      </w:r>
      <w:r>
        <w:rPr>
          <w:rFonts w:hint="eastAsia"/>
        </w:rPr>
        <w:t>站</w:t>
      </w:r>
      <w:r>
        <w:rPr>
          <w:rFonts w:hint="eastAsia"/>
        </w:rPr>
        <w:t>)</w:t>
      </w:r>
      <w:r>
        <w:rPr>
          <w:rFonts w:hint="eastAsia"/>
        </w:rPr>
        <w:t>等综合性社区卫生服务的提供机构，能够通过电话取得联系。到</w:t>
      </w:r>
      <w:r>
        <w:rPr>
          <w:rFonts w:hint="eastAsia"/>
        </w:rPr>
        <w:t>2005</w:t>
      </w:r>
      <w:r>
        <w:rPr>
          <w:rFonts w:hint="eastAsia"/>
        </w:rPr>
        <w:t>年初步形成以全科医师为骨干，具有较高素质的社区卫生服务专业技术队伍。平均每</w:t>
      </w:r>
      <w:r>
        <w:rPr>
          <w:rFonts w:hint="eastAsia"/>
        </w:rPr>
        <w:t>1</w:t>
      </w:r>
      <w:r>
        <w:rPr>
          <w:rFonts w:hint="eastAsia"/>
        </w:rPr>
        <w:t>万城市居民至少有</w:t>
      </w:r>
      <w:r>
        <w:rPr>
          <w:rFonts w:hint="eastAsia"/>
        </w:rPr>
        <w:t>1</w:t>
      </w:r>
      <w:r>
        <w:rPr>
          <w:rFonts w:hint="eastAsia"/>
        </w:rPr>
        <w:t>名从事社区卫生服务的全科医师，有条件的城市努力达到</w:t>
      </w:r>
      <w:r>
        <w:rPr>
          <w:rFonts w:hint="eastAsia"/>
        </w:rPr>
        <w:t>2</w:t>
      </w:r>
      <w:r>
        <w:rPr>
          <w:rFonts w:hint="eastAsia"/>
        </w:rPr>
        <w:t>名以上；至少有</w:t>
      </w:r>
      <w:r>
        <w:rPr>
          <w:rFonts w:hint="eastAsia"/>
        </w:rPr>
        <w:t>50%</w:t>
      </w:r>
      <w:r>
        <w:rPr>
          <w:rFonts w:hint="eastAsia"/>
        </w:rPr>
        <w:t>在社区工作的护士经过省级政府卫生行政部门认可的岗位培训。城市居民到各类社区卫生服务机构就诊的比例与</w:t>
      </w:r>
      <w:r>
        <w:rPr>
          <w:rFonts w:hint="eastAsia"/>
        </w:rPr>
        <w:t>2000</w:t>
      </w:r>
      <w:r>
        <w:rPr>
          <w:rFonts w:hint="eastAsia"/>
        </w:rPr>
        <w:t>年相比有明显增加，在大中型城市一般达到</w:t>
      </w:r>
      <w:r>
        <w:rPr>
          <w:rFonts w:hint="eastAsia"/>
        </w:rPr>
        <w:t>50%</w:t>
      </w:r>
      <w:r>
        <w:rPr>
          <w:rFonts w:hint="eastAsia"/>
        </w:rPr>
        <w:t>以上；居民对社区卫生服务的满意度达到</w:t>
      </w:r>
      <w:r>
        <w:rPr>
          <w:rFonts w:hint="eastAsia"/>
        </w:rPr>
        <w:t>80%</w:t>
      </w:r>
      <w:r>
        <w:rPr>
          <w:rFonts w:hint="eastAsia"/>
        </w:rPr>
        <w:t>以上；居民基本健康知识知晓率以及计划免疫接种率、主要慢性非传染性疾病规范化管理率、妇女儿童系统保健管理率、老年保健管理率等与</w:t>
      </w:r>
      <w:r>
        <w:rPr>
          <w:rFonts w:hint="eastAsia"/>
        </w:rPr>
        <w:t>2000</w:t>
      </w:r>
      <w:r>
        <w:rPr>
          <w:rFonts w:hint="eastAsia"/>
        </w:rPr>
        <w:t>年相比，有明显提高；居民平均综合医药费用支出增长速度与</w:t>
      </w:r>
      <w:r>
        <w:rPr>
          <w:rFonts w:hint="eastAsia"/>
        </w:rPr>
        <w:t>2000</w:t>
      </w:r>
      <w:r>
        <w:rPr>
          <w:rFonts w:hint="eastAsia"/>
        </w:rPr>
        <w:t>年相比基本持平或有所降低。</w:t>
      </w:r>
    </w:p>
    <w:p w:rsidR="00000000" w:rsidRDefault="00000000">
      <w:pPr>
        <w:rPr>
          <w:rFonts w:hint="eastAsia"/>
        </w:rPr>
      </w:pPr>
      <w:r>
        <w:rPr>
          <w:rFonts w:hint="eastAsia"/>
        </w:rPr>
        <w:tab/>
        <w:t>200.  2001</w:t>
      </w:r>
      <w:r>
        <w:rPr>
          <w:rFonts w:hint="eastAsia"/>
        </w:rPr>
        <w:t>年</w:t>
      </w:r>
      <w:r>
        <w:rPr>
          <w:rFonts w:hint="eastAsia"/>
        </w:rPr>
        <w:t>10</w:t>
      </w:r>
      <w:r>
        <w:rPr>
          <w:rFonts w:hint="eastAsia"/>
        </w:rPr>
        <w:t>月制定的《城市社区卫生服务基本工作内容</w:t>
      </w:r>
      <w:r>
        <w:rPr>
          <w:rFonts w:hint="eastAsia"/>
        </w:rPr>
        <w:t>(</w:t>
      </w:r>
      <w:r>
        <w:rPr>
          <w:rFonts w:hint="eastAsia"/>
        </w:rPr>
        <w:t>试行</w:t>
      </w:r>
      <w:r>
        <w:rPr>
          <w:rFonts w:hint="eastAsia"/>
        </w:rPr>
        <w:t>)</w:t>
      </w:r>
      <w:r>
        <w:rPr>
          <w:rFonts w:hint="eastAsia"/>
        </w:rPr>
        <w:t>》明确了现阶段城市社区卫生服务最基本的工作内容，主要包括社区卫生论断、精神卫生、社区医疗、健康教育、妇幼保健、社区康复、传染病、地方病、寄生虫病防治、儿童保健、计划生育技术服务、慢性非传染性疾病防治、老年保健、信息收集、整理、分析、上报等工作。</w:t>
      </w:r>
    </w:p>
    <w:p w:rsidR="00000000" w:rsidRDefault="00000000">
      <w:pPr>
        <w:rPr>
          <w:rFonts w:hint="eastAsia"/>
        </w:rPr>
      </w:pPr>
      <w:r>
        <w:rPr>
          <w:rFonts w:hint="eastAsia"/>
        </w:rPr>
        <w:tab/>
        <w:t xml:space="preserve">201.  </w:t>
      </w:r>
      <w:r>
        <w:rPr>
          <w:rFonts w:hint="eastAsia"/>
        </w:rPr>
        <w:t>关于加强健康问题教育。</w:t>
      </w:r>
      <w:r>
        <w:rPr>
          <w:rFonts w:hint="eastAsia"/>
        </w:rPr>
        <w:t>1997</w:t>
      </w:r>
      <w:r>
        <w:rPr>
          <w:rFonts w:hint="eastAsia"/>
        </w:rPr>
        <w:t>年中国政府下发《关于卫生改革与发展的决定》指出，健康教育是公民素质教育的重要内容，要十分重视健康教育，提高广大人民群众的健康意识和自我保健能力，积极推进九亿农民健康教育行动。</w:t>
      </w:r>
      <w:r>
        <w:rPr>
          <w:rFonts w:hint="eastAsia"/>
        </w:rPr>
        <w:t>1999</w:t>
      </w:r>
      <w:r>
        <w:rPr>
          <w:rFonts w:hint="eastAsia"/>
        </w:rPr>
        <w:t>年制定的《关于发展城市社区卫生服务的若干意见》和</w:t>
      </w:r>
      <w:r>
        <w:rPr>
          <w:rFonts w:hint="eastAsia"/>
        </w:rPr>
        <w:t>2000</w:t>
      </w:r>
      <w:r>
        <w:rPr>
          <w:rFonts w:hint="eastAsia"/>
        </w:rPr>
        <w:t>年制定的《关于城镇医药卫生体制改革指导意见》都明确提出健康教育是社区卫生服务职能。《关于卫生事业补助政策的意见》确定了包括健康教育的公共卫生事业机构向社会提供公共卫生服务所需经费的补助政策。</w:t>
      </w:r>
    </w:p>
    <w:p w:rsidR="00000000" w:rsidRDefault="00000000">
      <w:pPr>
        <w:rPr>
          <w:rFonts w:hint="eastAsia"/>
        </w:rPr>
      </w:pPr>
      <w:r>
        <w:rPr>
          <w:rFonts w:hint="eastAsia"/>
        </w:rPr>
        <w:tab/>
        <w:t>202.  2001</w:t>
      </w:r>
      <w:r>
        <w:rPr>
          <w:rFonts w:hint="eastAsia"/>
        </w:rPr>
        <w:t>年</w:t>
      </w:r>
      <w:r>
        <w:rPr>
          <w:rFonts w:hint="eastAsia"/>
        </w:rPr>
        <w:t>11</w:t>
      </w:r>
      <w:r>
        <w:rPr>
          <w:rFonts w:hint="eastAsia"/>
        </w:rPr>
        <w:t>月卫生部关于《城市社区卫生服务基本工作内容》规定了社区健康教育的具体任务。</w:t>
      </w:r>
      <w:r>
        <w:rPr>
          <w:rFonts w:hint="eastAsia"/>
        </w:rPr>
        <w:t>2001</w:t>
      </w:r>
      <w:r>
        <w:rPr>
          <w:rFonts w:hint="eastAsia"/>
        </w:rPr>
        <w:t>年中国政府《关于农村卫生改革与发展的指导意见》强调积极推进九亿农民健康教育行动，普及医药科学知识，倡导文明健康的生活方式。</w:t>
      </w:r>
      <w:r>
        <w:rPr>
          <w:rFonts w:hint="eastAsia"/>
        </w:rPr>
        <w:t>2002</w:t>
      </w:r>
      <w:r>
        <w:rPr>
          <w:rFonts w:hint="eastAsia"/>
        </w:rPr>
        <w:t>年下发《农村初级卫生保健发展纲要</w:t>
      </w:r>
      <w:r>
        <w:rPr>
          <w:rFonts w:hint="eastAsia"/>
        </w:rPr>
        <w:t>(2001-2010</w:t>
      </w:r>
      <w:r>
        <w:rPr>
          <w:rFonts w:hint="eastAsia"/>
        </w:rPr>
        <w:t>年</w:t>
      </w:r>
      <w:r>
        <w:rPr>
          <w:rFonts w:hint="eastAsia"/>
        </w:rPr>
        <w:t>)</w:t>
      </w:r>
      <w:r>
        <w:rPr>
          <w:rFonts w:hint="eastAsia"/>
        </w:rPr>
        <w:t>》，将该“行动”纳入农村初级卫生保健工作指标。</w:t>
      </w:r>
    </w:p>
    <w:p w:rsidR="00000000" w:rsidRDefault="00000000">
      <w:pPr>
        <w:rPr>
          <w:rFonts w:hint="eastAsia"/>
        </w:rPr>
      </w:pPr>
      <w:r>
        <w:rPr>
          <w:rFonts w:hint="eastAsia"/>
        </w:rPr>
        <w:tab/>
        <w:t>203.  20</w:t>
      </w:r>
      <w:r>
        <w:rPr>
          <w:rFonts w:hint="eastAsia"/>
        </w:rPr>
        <w:t>世纪</w:t>
      </w:r>
      <w:r>
        <w:rPr>
          <w:rFonts w:hint="eastAsia"/>
        </w:rPr>
        <w:t>90</w:t>
      </w:r>
      <w:r>
        <w:rPr>
          <w:rFonts w:hint="eastAsia"/>
        </w:rPr>
        <w:t>年代初，中国开展全国范围的城乡社区全民健康教育工作。在农村重点实施“全国九亿农民健康教育行动”，向农民传播基本卫生知识，倡导健康的生活方式，合理利用卫生资源，建设有利于健康的生活生态环境。</w:t>
      </w:r>
      <w:r>
        <w:rPr>
          <w:rFonts w:hint="eastAsia"/>
        </w:rPr>
        <w:t>2002</w:t>
      </w:r>
      <w:r>
        <w:rPr>
          <w:rFonts w:hint="eastAsia"/>
        </w:rPr>
        <w:t>年，政府有关部门制定了《全国九亿农民健康教育行动规划》，进一步加强农村居民的健康教育，确定工作主题为安全与健康，以母婴安全、安全注射、安全性行为、安全食品等为核心信息进行传播。通过加强《规划》的落实，尤其要保障贫困地区农民获得学习和掌握自我保健的机会。目前，已提供《九亿农民健康教育读本》和《九亿农民健康教育广播稿》近</w:t>
      </w:r>
      <w:r>
        <w:rPr>
          <w:rFonts w:hint="eastAsia"/>
        </w:rPr>
        <w:t>20</w:t>
      </w:r>
      <w:r>
        <w:rPr>
          <w:rFonts w:hint="eastAsia"/>
        </w:rPr>
        <w:t>万册；制作和免费下发了</w:t>
      </w:r>
      <w:r>
        <w:rPr>
          <w:rFonts w:hint="eastAsia"/>
        </w:rPr>
        <w:t>140</w:t>
      </w:r>
      <w:r>
        <w:rPr>
          <w:rFonts w:hint="eastAsia"/>
        </w:rPr>
        <w:t>个卫生节目的录像带和</w:t>
      </w:r>
      <w:r>
        <w:rPr>
          <w:rFonts w:hint="eastAsia"/>
        </w:rPr>
        <w:t>30</w:t>
      </w:r>
      <w:r>
        <w:rPr>
          <w:rFonts w:hint="eastAsia"/>
        </w:rPr>
        <w:t>个卫生节目的录音带，总计</w:t>
      </w:r>
      <w:r>
        <w:rPr>
          <w:rFonts w:hint="eastAsia"/>
        </w:rPr>
        <w:t>11</w:t>
      </w:r>
      <w:r>
        <w:rPr>
          <w:rFonts w:hint="eastAsia"/>
        </w:rPr>
        <w:t>万多盘</w:t>
      </w:r>
      <w:r>
        <w:rPr>
          <w:rFonts w:hint="eastAsia"/>
        </w:rPr>
        <w:t>(</w:t>
      </w:r>
      <w:r>
        <w:rPr>
          <w:rFonts w:hint="eastAsia"/>
        </w:rPr>
        <w:t>盒</w:t>
      </w:r>
      <w:r>
        <w:rPr>
          <w:rFonts w:hint="eastAsia"/>
        </w:rPr>
        <w:t>)</w:t>
      </w:r>
      <w:r>
        <w:rPr>
          <w:rFonts w:hint="eastAsia"/>
        </w:rPr>
        <w:t>，以及宣传画、小册子等系列传播材料。各地也因地制宜编印了宣传画、传单、小折页等，并利用宣传板、展览、咨询服务、讲座、知识竞赛和诊治疾病等多种方式传播健康信息。全国有</w:t>
      </w:r>
      <w:r>
        <w:rPr>
          <w:rFonts w:hint="eastAsia"/>
        </w:rPr>
        <w:t>2000</w:t>
      </w:r>
      <w:r>
        <w:rPr>
          <w:rFonts w:hint="eastAsia"/>
        </w:rPr>
        <w:t>多个县市的电视台和电台，播放了相关节目，部分省、区将其译成少数民族或本地方言进行播放，有</w:t>
      </w:r>
      <w:r>
        <w:rPr>
          <w:rFonts w:hint="eastAsia"/>
        </w:rPr>
        <w:t>702</w:t>
      </w:r>
      <w:r>
        <w:rPr>
          <w:rFonts w:hint="eastAsia"/>
        </w:rPr>
        <w:t>家县级电视台开展《卫生天地》健康教育联播，覆盖人口达</w:t>
      </w:r>
      <w:r>
        <w:rPr>
          <w:rFonts w:hint="eastAsia"/>
        </w:rPr>
        <w:t>6</w:t>
      </w:r>
      <w:r>
        <w:rPr>
          <w:rFonts w:hint="eastAsia"/>
        </w:rPr>
        <w:t>亿以上。</w:t>
      </w:r>
    </w:p>
    <w:p w:rsidR="00000000" w:rsidRDefault="00000000">
      <w:pPr>
        <w:rPr>
          <w:rFonts w:hint="eastAsia"/>
        </w:rPr>
      </w:pPr>
      <w:r>
        <w:rPr>
          <w:rFonts w:hint="eastAsia"/>
        </w:rPr>
        <w:tab/>
        <w:t xml:space="preserve">204.  </w:t>
      </w:r>
      <w:r>
        <w:rPr>
          <w:rFonts w:hint="eastAsia"/>
        </w:rPr>
        <w:t>中国</w:t>
      </w:r>
      <w:r>
        <w:rPr>
          <w:rFonts w:hint="eastAsia"/>
          <w:spacing w:val="-40"/>
        </w:rPr>
        <w:t>――</w:t>
      </w:r>
      <w:r>
        <w:rPr>
          <w:rFonts w:hint="eastAsia"/>
          <w:spacing w:val="-40"/>
        </w:rPr>
        <w:t xml:space="preserve"> </w:t>
      </w:r>
      <w:r>
        <w:rPr>
          <w:rFonts w:hint="eastAsia"/>
        </w:rPr>
        <w:t>联合国儿童基金会健康促进合作项目从</w:t>
      </w:r>
      <w:r>
        <w:rPr>
          <w:rFonts w:hint="eastAsia"/>
        </w:rPr>
        <w:t>1990</w:t>
      </w:r>
      <w:r>
        <w:rPr>
          <w:rFonts w:hint="eastAsia"/>
        </w:rPr>
        <w:t>年开展以来，一直关注农村及少数民族地区脆弱人群健康，着重传播生育、母乳喂养、儿童生长、预防接种、家庭卫生及腹泻、咳嗽、疟疾、艾滋病、碘缺乏病、中学生预防吸烟等基本生命知识。该项目已扩展到</w:t>
      </w:r>
      <w:r>
        <w:rPr>
          <w:rFonts w:hint="eastAsia"/>
        </w:rPr>
        <w:t>28</w:t>
      </w:r>
      <w:r>
        <w:rPr>
          <w:rFonts w:hint="eastAsia"/>
        </w:rPr>
        <w:t>个省区的</w:t>
      </w:r>
      <w:r>
        <w:rPr>
          <w:rFonts w:hint="eastAsia"/>
        </w:rPr>
        <w:t>488</w:t>
      </w:r>
      <w:r>
        <w:rPr>
          <w:rFonts w:hint="eastAsia"/>
        </w:rPr>
        <w:t>个县。项目阶段效果评估表明，项目县</w:t>
      </w:r>
      <w:r>
        <w:rPr>
          <w:rFonts w:hint="eastAsia"/>
        </w:rPr>
        <w:t>75%</w:t>
      </w:r>
      <w:r>
        <w:rPr>
          <w:rFonts w:hint="eastAsia"/>
        </w:rPr>
        <w:t>的目标人群掌握《生命知识》一书中</w:t>
      </w:r>
      <w:r>
        <w:rPr>
          <w:rFonts w:hint="eastAsia"/>
        </w:rPr>
        <w:t>75%</w:t>
      </w:r>
      <w:r>
        <w:rPr>
          <w:rFonts w:hint="eastAsia"/>
        </w:rPr>
        <w:t>的信息目标已经实现。</w:t>
      </w:r>
    </w:p>
    <w:p w:rsidR="00000000" w:rsidRDefault="00000000">
      <w:pPr>
        <w:rPr>
          <w:rFonts w:hint="eastAsia"/>
        </w:rPr>
      </w:pPr>
      <w:r>
        <w:rPr>
          <w:rFonts w:hint="eastAsia"/>
        </w:rPr>
        <w:tab/>
        <w:t xml:space="preserve">205.  </w:t>
      </w:r>
      <w:r>
        <w:rPr>
          <w:rFonts w:hint="eastAsia"/>
        </w:rPr>
        <w:t>从</w:t>
      </w:r>
      <w:r>
        <w:rPr>
          <w:rFonts w:hint="eastAsia"/>
        </w:rPr>
        <w:t>1979</w:t>
      </w:r>
      <w:r>
        <w:rPr>
          <w:rFonts w:hint="eastAsia"/>
        </w:rPr>
        <w:t>年开始，中国陆续颁布有关控制吸烟的法规、条例和通知共</w:t>
      </w:r>
      <w:r>
        <w:rPr>
          <w:rFonts w:hint="eastAsia"/>
        </w:rPr>
        <w:t>24</w:t>
      </w:r>
      <w:r>
        <w:rPr>
          <w:rFonts w:hint="eastAsia"/>
        </w:rPr>
        <w:t>个。包括《烟草专卖法》、《未成年人保护法》、《广告法》和《预防未成年人犯罪法》等。到</w:t>
      </w:r>
      <w:r>
        <w:rPr>
          <w:rFonts w:hint="eastAsia"/>
        </w:rPr>
        <w:t>2000</w:t>
      </w:r>
      <w:r>
        <w:rPr>
          <w:rFonts w:hint="eastAsia"/>
        </w:rPr>
        <w:t>年</w:t>
      </w:r>
      <w:r>
        <w:rPr>
          <w:rFonts w:hint="eastAsia"/>
        </w:rPr>
        <w:t>4</w:t>
      </w:r>
      <w:r>
        <w:rPr>
          <w:rFonts w:hint="eastAsia"/>
        </w:rPr>
        <w:t>月，全国已有</w:t>
      </w:r>
      <w:r>
        <w:rPr>
          <w:rFonts w:hint="eastAsia"/>
        </w:rPr>
        <w:t>14</w:t>
      </w:r>
      <w:r>
        <w:rPr>
          <w:rFonts w:hint="eastAsia"/>
        </w:rPr>
        <w:t>个省、直辖市和</w:t>
      </w:r>
      <w:r>
        <w:rPr>
          <w:rFonts w:hint="eastAsia"/>
        </w:rPr>
        <w:t>88</w:t>
      </w:r>
      <w:r>
        <w:rPr>
          <w:rFonts w:hint="eastAsia"/>
        </w:rPr>
        <w:t>个城市颁布了《公共场所禁止吸烟的规定》。通过制定法规和一系列宣传活动，为清除环境烟雾，保障儿童和青少年的健康成长营造良好的社会环境。</w:t>
      </w:r>
    </w:p>
    <w:p w:rsidR="00000000" w:rsidRDefault="00000000">
      <w:pPr>
        <w:rPr>
          <w:rFonts w:hint="eastAsia"/>
        </w:rPr>
      </w:pPr>
      <w:r>
        <w:rPr>
          <w:rFonts w:hint="eastAsia"/>
        </w:rPr>
        <w:tab/>
        <w:t xml:space="preserve">206.  </w:t>
      </w:r>
      <w:r>
        <w:rPr>
          <w:rFonts w:hint="eastAsia"/>
        </w:rPr>
        <w:t>从</w:t>
      </w:r>
      <w:r>
        <w:rPr>
          <w:rFonts w:hint="eastAsia"/>
        </w:rPr>
        <w:t>1998</w:t>
      </w:r>
      <w:r>
        <w:rPr>
          <w:rFonts w:hint="eastAsia"/>
        </w:rPr>
        <w:t>年起，世界卫生组织开始把卫生体系发展列为全球四大战略方向之一，即：减少死亡与残疾、降低危险因素、发展卫生体系，以及促进社会、经济、环境发展政策中的卫生参与。中国政府抓住这一机遇，扩大了与世界卫生组织合作，争取到一系列配合中国城镇医药卫生体制改革和农村卫生改革的课题研究预算外项目。成功地把卫生改革内容列入了世界卫生组织、联合国儿童基金会的正规预算项目。</w:t>
      </w:r>
    </w:p>
    <w:p w:rsidR="00000000" w:rsidRDefault="00000000">
      <w:pPr>
        <w:rPr>
          <w:rFonts w:hint="eastAsia"/>
        </w:rPr>
      </w:pPr>
      <w:r>
        <w:rPr>
          <w:rFonts w:hint="eastAsia"/>
        </w:rPr>
        <w:tab/>
        <w:t xml:space="preserve">207.  </w:t>
      </w:r>
      <w:r>
        <w:rPr>
          <w:rFonts w:hint="eastAsia"/>
        </w:rPr>
        <w:t>几年来，中国与世界卫生组织、联合国儿童基金会、联合国艾滋病规划署、联合国开发计划署等国际组织合作，实施了</w:t>
      </w:r>
      <w:r>
        <w:rPr>
          <w:rFonts w:hint="eastAsia"/>
        </w:rPr>
        <w:t>4000</w:t>
      </w:r>
      <w:r>
        <w:rPr>
          <w:rFonts w:hint="eastAsia"/>
        </w:rPr>
        <w:t>多万美元的正规预算项目，还申请到一批预算外的项目，总金额达</w:t>
      </w:r>
      <w:r>
        <w:rPr>
          <w:rFonts w:hint="eastAsia"/>
        </w:rPr>
        <w:t>2800</w:t>
      </w:r>
      <w:r>
        <w:rPr>
          <w:rFonts w:hint="eastAsia"/>
        </w:rPr>
        <w:t>万美元。中国获得</w:t>
      </w:r>
      <w:r>
        <w:rPr>
          <w:rFonts w:hint="eastAsia"/>
        </w:rPr>
        <w:t>5400</w:t>
      </w:r>
      <w:r>
        <w:rPr>
          <w:rFonts w:hint="eastAsia"/>
        </w:rPr>
        <w:t>万美元全球艾滋病、结核病和疟疾基金项目，以及</w:t>
      </w:r>
      <w:r>
        <w:rPr>
          <w:rFonts w:hint="eastAsia"/>
        </w:rPr>
        <w:t>3800</w:t>
      </w:r>
      <w:r>
        <w:rPr>
          <w:rFonts w:hint="eastAsia"/>
        </w:rPr>
        <w:t>万美元的全球疫苗免疫联盟项目。这些项目都是中国卫生事业发展的重点领域。从</w:t>
      </w:r>
      <w:r>
        <w:rPr>
          <w:rFonts w:hint="eastAsia"/>
        </w:rPr>
        <w:t>1984</w:t>
      </w:r>
      <w:r>
        <w:rPr>
          <w:rFonts w:hint="eastAsia"/>
        </w:rPr>
        <w:t>年开始，中国政府与世界银行签署</w:t>
      </w:r>
      <w:r>
        <w:rPr>
          <w:rFonts w:hint="eastAsia"/>
        </w:rPr>
        <w:t>10</w:t>
      </w:r>
      <w:r>
        <w:rPr>
          <w:rFonts w:hint="eastAsia"/>
        </w:rPr>
        <w:t>项贷款，用于支持中国综合性区域卫生发展、农村卫生及人力开发、基本卫生服务、疾病、传染病</w:t>
      </w:r>
      <w:r>
        <w:rPr>
          <w:rFonts w:hint="eastAsia"/>
        </w:rPr>
        <w:t>(</w:t>
      </w:r>
      <w:r>
        <w:rPr>
          <w:rFonts w:hint="eastAsia"/>
        </w:rPr>
        <w:t>艾滋病、性病、结核等</w:t>
      </w:r>
      <w:r>
        <w:rPr>
          <w:rFonts w:hint="eastAsia"/>
        </w:rPr>
        <w:t>)</w:t>
      </w:r>
      <w:r>
        <w:rPr>
          <w:rFonts w:hint="eastAsia"/>
        </w:rPr>
        <w:t>和地方病控制、妇幼保健、卫生服务、医学教育、健康教育、计划免疫等重点卫生工作。通过卫生贷款项目实施，提供了大量国内外技术和设备，培养了一批适宜人才。</w:t>
      </w:r>
    </w:p>
    <w:p w:rsidR="00000000" w:rsidRDefault="00000000">
      <w:pPr>
        <w:rPr>
          <w:rFonts w:hint="eastAsia"/>
        </w:rPr>
      </w:pPr>
      <w:r>
        <w:rPr>
          <w:rFonts w:hint="eastAsia"/>
        </w:rPr>
        <w:tab/>
        <w:t xml:space="preserve">208.  </w:t>
      </w:r>
      <w:r>
        <w:rPr>
          <w:rFonts w:hint="eastAsia"/>
        </w:rPr>
        <w:t>中国政府开展一系列双边合作。如英国政府无偿援助的艾滋病控制项目、城市社区卫生项目；日本政府的扩大免疫项目、结核病防治项目；比利时的达米恩基金结核病防治项目；日本世川奖学金第二个十年医学人才培训项目；中国、澳大利亚政府合作控制艾滋病亚洲区域项目等。加强与周边国家的卫生往来，参与区域卫生合作。中国参与了湄公河流域五国卫生部有关“人口移动和艾滋病易感性项目谅解备忘录”的签署，积极承办了“湄公河流域六国疾病监测合作项目部长级会议”，六国卫生部长签署了“关于湄公河流域疾病监测项目的谅解备忘录”。</w:t>
      </w:r>
      <w:r>
        <w:rPr>
          <w:rFonts w:hint="eastAsia"/>
        </w:rPr>
        <w:t>2000</w:t>
      </w:r>
      <w:r>
        <w:rPr>
          <w:rFonts w:hint="eastAsia"/>
        </w:rPr>
        <w:t>年</w:t>
      </w:r>
      <w:r>
        <w:rPr>
          <w:rFonts w:hint="eastAsia"/>
        </w:rPr>
        <w:t>10</w:t>
      </w:r>
      <w:r>
        <w:rPr>
          <w:rFonts w:hint="eastAsia"/>
        </w:rPr>
        <w:t>月在北京召开了中非合作论坛，作为中非合作的重要内容之一，在会上，我国领导专门阐述了中国与非洲国家的医疗合作问题。中非卫生合作已成为落实中非合作论坛的重要措施。</w:t>
      </w:r>
    </w:p>
    <w:p w:rsidR="00000000" w:rsidRDefault="00000000">
      <w:pPr>
        <w:spacing w:after="320"/>
        <w:rPr>
          <w:rFonts w:hint="eastAsia"/>
        </w:rPr>
      </w:pPr>
      <w:r>
        <w:rPr>
          <w:rFonts w:hint="eastAsia"/>
        </w:rPr>
        <w:tab/>
        <w:t>209</w:t>
      </w:r>
      <w:r>
        <w:rPr>
          <w:rFonts w:hint="eastAsia"/>
        </w:rPr>
        <w:t>、中国还与国外非官方机构，包括与一些著名大学的医学院以及医学科学研究院所和非政府的国际专业组织开展了卫生科技合作与交流。瞄准世界生物医学发展的方向，开展基础医学和高新技术领域的科技合作，合作领域已经扩大到医学的各个方面。</w:t>
      </w:r>
    </w:p>
    <w:p w:rsidR="00000000" w:rsidRDefault="00000000">
      <w:pPr>
        <w:pStyle w:val="Heading3"/>
        <w:rPr>
          <w:rFonts w:hint="eastAsia"/>
        </w:rPr>
      </w:pPr>
      <w:bookmarkStart w:id="19" w:name="_Toc78623557"/>
      <w:bookmarkStart w:id="20" w:name="_Toc78772934"/>
      <w:r>
        <w:rPr>
          <w:rFonts w:ascii="Time New Roman" w:eastAsia="SimHei" w:hAnsi="Time New Roman" w:hint="eastAsia"/>
          <w:u w:val="none"/>
        </w:rPr>
        <w:t>第十三条和第十四条</w:t>
      </w:r>
      <w:bookmarkStart w:id="21" w:name="_Toc78623558"/>
      <w:bookmarkEnd w:id="19"/>
      <w:r>
        <w:rPr>
          <w:rFonts w:ascii="Time New Roman" w:eastAsia="SimHei" w:hAnsi="Time New Roman"/>
          <w:u w:val="none"/>
        </w:rPr>
        <w:br/>
      </w:r>
      <w:r>
        <w:rPr>
          <w:rFonts w:ascii="Time New Roman" w:eastAsia="SimHei" w:hAnsi="Time New Roman" w:hint="eastAsia"/>
          <w:u w:val="none"/>
        </w:rPr>
        <w:t>受教育权</w:t>
      </w:r>
      <w:bookmarkEnd w:id="20"/>
      <w:bookmarkEnd w:id="21"/>
    </w:p>
    <w:p w:rsidR="00000000" w:rsidRDefault="00000000">
      <w:pPr>
        <w:rPr>
          <w:rFonts w:hint="eastAsia"/>
        </w:rPr>
      </w:pPr>
      <w:r>
        <w:tab/>
        <w:t xml:space="preserve">210.  </w:t>
      </w:r>
      <w:r>
        <w:rPr>
          <w:rFonts w:hint="eastAsia"/>
        </w:rPr>
        <w:t>中国《宪法》及相关法律规定了公民接受教育的权利。《宪法》第</w:t>
      </w:r>
      <w:r>
        <w:rPr>
          <w:rFonts w:hint="eastAsia"/>
        </w:rPr>
        <w:t>46</w:t>
      </w:r>
      <w:r>
        <w:rPr>
          <w:rFonts w:hint="eastAsia"/>
        </w:rPr>
        <w:t>条规定：“中华人民共和国公民有受教育的权利和义务。国家培养青年、少年、儿童在品德、智力、体质等方面全面发展。”《教育法》第</w:t>
      </w:r>
      <w:r>
        <w:rPr>
          <w:rFonts w:hint="eastAsia"/>
        </w:rPr>
        <w:t>9</w:t>
      </w:r>
      <w:r>
        <w:rPr>
          <w:rFonts w:hint="eastAsia"/>
        </w:rPr>
        <w:t>条规定：“中华人民共和国公民有受教育的权利和义务。公民不分民族、种族、性别、职业、财产状况、宗教信仰等，依法享有平等的受教育机会。”《义务教育法》、《职业教育法》、《高等教育法》、《教师法》、《未成年人保护法》、《妇女权益保障法》以及《义务教育法实施细则》、《残疾人教育条例》、《禁止使用童工规定》等法律法规为人人享有受教育权提供了全面、有力的法律保障。</w:t>
      </w:r>
    </w:p>
    <w:p w:rsidR="00000000" w:rsidRDefault="00000000">
      <w:pPr>
        <w:rPr>
          <w:rFonts w:hint="eastAsia"/>
        </w:rPr>
      </w:pPr>
      <w:r>
        <w:rPr>
          <w:rFonts w:hint="eastAsia"/>
        </w:rPr>
        <w:tab/>
        <w:t xml:space="preserve">211.  </w:t>
      </w:r>
      <w:r>
        <w:rPr>
          <w:rFonts w:hint="eastAsia"/>
        </w:rPr>
        <w:t>中国政府把义务教育作为教育工作的重中之重，实施九年义务教育。《教育法》第</w:t>
      </w:r>
      <w:r>
        <w:rPr>
          <w:rFonts w:hint="eastAsia"/>
        </w:rPr>
        <w:t>18</w:t>
      </w:r>
      <w:r>
        <w:rPr>
          <w:rFonts w:hint="eastAsia"/>
        </w:rPr>
        <w:t>条规定：“国家实行九年义务教育制度。各级政府采取各种措施保障适龄儿童、少年就学。”《义务教育法》第</w:t>
      </w:r>
      <w:r>
        <w:rPr>
          <w:rFonts w:hint="eastAsia"/>
        </w:rPr>
        <w:t>4</w:t>
      </w:r>
      <w:r>
        <w:rPr>
          <w:rFonts w:hint="eastAsia"/>
        </w:rPr>
        <w:t>条规定：“国家、社会、学校和家庭依法保障适龄儿童、少年接受义务教育的权利。”第</w:t>
      </w:r>
      <w:r>
        <w:rPr>
          <w:rFonts w:hint="eastAsia"/>
        </w:rPr>
        <w:t>10</w:t>
      </w:r>
      <w:r>
        <w:rPr>
          <w:rFonts w:hint="eastAsia"/>
        </w:rPr>
        <w:t>条规定：“国家对接受义务教育的学生免收学费。”</w:t>
      </w:r>
      <w:r>
        <w:rPr>
          <w:rFonts w:hint="eastAsia"/>
        </w:rPr>
        <w:t>2000</w:t>
      </w:r>
      <w:r>
        <w:rPr>
          <w:rFonts w:hint="eastAsia"/>
        </w:rPr>
        <w:t>年，中国普及九年义务教育的地区人口覆盖率达</w:t>
      </w:r>
      <w:r>
        <w:rPr>
          <w:rFonts w:hint="eastAsia"/>
        </w:rPr>
        <w:t>85%</w:t>
      </w:r>
      <w:r>
        <w:rPr>
          <w:rFonts w:hint="eastAsia"/>
        </w:rPr>
        <w:t>，基本实现</w:t>
      </w:r>
      <w:r>
        <w:rPr>
          <w:rFonts w:hint="eastAsia"/>
        </w:rPr>
        <w:t>1990</w:t>
      </w:r>
      <w:r>
        <w:rPr>
          <w:rFonts w:hint="eastAsia"/>
        </w:rPr>
        <w:t>年泰国宗滴恩世界全民教育大会上提出的“向所有儿童、青年和成年提供基础教育”、“积极消除教育差距”、“到</w:t>
      </w:r>
      <w:r>
        <w:rPr>
          <w:rFonts w:hint="eastAsia"/>
        </w:rPr>
        <w:t>2000</w:t>
      </w:r>
      <w:r>
        <w:rPr>
          <w:rFonts w:hint="eastAsia"/>
        </w:rPr>
        <w:t>年基本普及并完成初等教育”的目标。到</w:t>
      </w:r>
      <w:r>
        <w:rPr>
          <w:rFonts w:hint="eastAsia"/>
        </w:rPr>
        <w:t>2001</w:t>
      </w:r>
      <w:r>
        <w:rPr>
          <w:rFonts w:hint="eastAsia"/>
        </w:rPr>
        <w:t>年底，实现普及义务教育的地区人口覆盖率又有提高，达到</w:t>
      </w:r>
      <w:r>
        <w:rPr>
          <w:rFonts w:hint="eastAsia"/>
        </w:rPr>
        <w:t>90%</w:t>
      </w:r>
      <w:r>
        <w:rPr>
          <w:rFonts w:hint="eastAsia"/>
        </w:rPr>
        <w:t>以上。</w:t>
      </w:r>
      <w:r>
        <w:rPr>
          <w:rFonts w:hint="eastAsia"/>
        </w:rPr>
        <w:t>2001</w:t>
      </w:r>
      <w:r>
        <w:rPr>
          <w:rFonts w:hint="eastAsia"/>
        </w:rPr>
        <w:t>年，中国九年义务教育阶段在校学生总规模达</w:t>
      </w:r>
      <w:r>
        <w:rPr>
          <w:rFonts w:hint="eastAsia"/>
        </w:rPr>
        <w:t>19057.9</w:t>
      </w:r>
      <w:r>
        <w:rPr>
          <w:rFonts w:hint="eastAsia"/>
        </w:rPr>
        <w:t>万人，比</w:t>
      </w:r>
      <w:r>
        <w:rPr>
          <w:rFonts w:hint="eastAsia"/>
        </w:rPr>
        <w:t>1990</w:t>
      </w:r>
      <w:r>
        <w:rPr>
          <w:rFonts w:hint="eastAsia"/>
        </w:rPr>
        <w:t>年增加</w:t>
      </w:r>
      <w:r>
        <w:rPr>
          <w:rFonts w:hint="eastAsia"/>
        </w:rPr>
        <w:t>2899.9</w:t>
      </w:r>
      <w:r>
        <w:rPr>
          <w:rFonts w:hint="eastAsia"/>
        </w:rPr>
        <w:t>万人，增长</w:t>
      </w:r>
      <w:r>
        <w:rPr>
          <w:rFonts w:hint="eastAsia"/>
        </w:rPr>
        <w:t>18.9%</w:t>
      </w:r>
      <w:r>
        <w:rPr>
          <w:rFonts w:hint="eastAsia"/>
        </w:rPr>
        <w:t>。其中全国普通初中在校学生数达</w:t>
      </w:r>
      <w:r>
        <w:rPr>
          <w:rFonts w:hint="eastAsia"/>
        </w:rPr>
        <w:t>6514.38</w:t>
      </w:r>
      <w:r>
        <w:rPr>
          <w:rFonts w:hint="eastAsia"/>
        </w:rPr>
        <w:t>万人，比</w:t>
      </w:r>
      <w:r>
        <w:rPr>
          <w:rFonts w:hint="eastAsia"/>
        </w:rPr>
        <w:t>1990</w:t>
      </w:r>
      <w:r>
        <w:rPr>
          <w:rFonts w:hint="eastAsia"/>
        </w:rPr>
        <w:t>年增加</w:t>
      </w:r>
      <w:r>
        <w:rPr>
          <w:rFonts w:hint="eastAsia"/>
        </w:rPr>
        <w:t>2597.85</w:t>
      </w:r>
      <w:r>
        <w:rPr>
          <w:rFonts w:hint="eastAsia"/>
        </w:rPr>
        <w:t>万人，增幅达</w:t>
      </w:r>
      <w:r>
        <w:rPr>
          <w:rFonts w:hint="eastAsia"/>
        </w:rPr>
        <w:t>66.3%</w:t>
      </w:r>
      <w:r>
        <w:rPr>
          <w:rFonts w:hint="eastAsia"/>
        </w:rPr>
        <w:t>。全国小学学龄儿童入学率由</w:t>
      </w:r>
      <w:r>
        <w:rPr>
          <w:rFonts w:hint="eastAsia"/>
        </w:rPr>
        <w:t>1990</w:t>
      </w:r>
      <w:r>
        <w:rPr>
          <w:rFonts w:hint="eastAsia"/>
        </w:rPr>
        <w:t>年的</w:t>
      </w:r>
      <w:r>
        <w:rPr>
          <w:rFonts w:hint="eastAsia"/>
        </w:rPr>
        <w:t>97.8%</w:t>
      </w:r>
      <w:r>
        <w:rPr>
          <w:rFonts w:hint="eastAsia"/>
        </w:rPr>
        <w:t>左右提高到</w:t>
      </w:r>
      <w:r>
        <w:rPr>
          <w:rFonts w:hint="eastAsia"/>
        </w:rPr>
        <w:t>99.05%</w:t>
      </w:r>
      <w:r>
        <w:rPr>
          <w:rFonts w:hint="eastAsia"/>
        </w:rPr>
        <w:t>，其中男女儿童入学率分别是</w:t>
      </w:r>
      <w:r>
        <w:rPr>
          <w:rFonts w:hint="eastAsia"/>
        </w:rPr>
        <w:t>99.08%</w:t>
      </w:r>
      <w:r>
        <w:rPr>
          <w:rFonts w:hint="eastAsia"/>
        </w:rPr>
        <w:t>和</w:t>
      </w:r>
      <w:r>
        <w:rPr>
          <w:rFonts w:hint="eastAsia"/>
        </w:rPr>
        <w:t>99.01%</w:t>
      </w:r>
      <w:r>
        <w:rPr>
          <w:rFonts w:hint="eastAsia"/>
        </w:rPr>
        <w:t>，男女童入学率的差距降到</w:t>
      </w:r>
      <w:r>
        <w:rPr>
          <w:rFonts w:hint="eastAsia"/>
        </w:rPr>
        <w:t>0.07</w:t>
      </w:r>
      <w:r>
        <w:rPr>
          <w:rFonts w:hint="eastAsia"/>
        </w:rPr>
        <w:t>个百分点。</w:t>
      </w:r>
    </w:p>
    <w:p w:rsidR="00000000" w:rsidRDefault="00000000">
      <w:pPr>
        <w:rPr>
          <w:rFonts w:hint="eastAsia"/>
        </w:rPr>
      </w:pPr>
      <w:r>
        <w:rPr>
          <w:rFonts w:hint="eastAsia"/>
        </w:rPr>
        <w:tab/>
        <w:t xml:space="preserve">212.  </w:t>
      </w:r>
      <w:r>
        <w:rPr>
          <w:rFonts w:hint="eastAsia"/>
        </w:rPr>
        <w:t>中国十分重视贫困家庭儿童入学。</w:t>
      </w:r>
      <w:r>
        <w:rPr>
          <w:rFonts w:hint="eastAsia"/>
        </w:rPr>
        <w:t>1995</w:t>
      </w:r>
      <w:r>
        <w:rPr>
          <w:rFonts w:hint="eastAsia"/>
        </w:rPr>
        <w:t>年，中国政府要求各地建立健全中小学助学金制度，决定“九五”期间从中央财政安排的“义务教育补助专款”和“民族教育补助金”中划出</w:t>
      </w:r>
      <w:r>
        <w:rPr>
          <w:rFonts w:hint="eastAsia"/>
        </w:rPr>
        <w:t>1.3</w:t>
      </w:r>
      <w:r>
        <w:rPr>
          <w:rFonts w:hint="eastAsia"/>
        </w:rPr>
        <w:t>亿元设立“国家贫困地区义务教育助学金”，每年可使</w:t>
      </w:r>
      <w:r>
        <w:rPr>
          <w:rFonts w:hint="eastAsia"/>
        </w:rPr>
        <w:t>60</w:t>
      </w:r>
      <w:r>
        <w:rPr>
          <w:rFonts w:hint="eastAsia"/>
        </w:rPr>
        <w:t>余万因家庭面临失学、辍学的儿童得到资助。</w:t>
      </w:r>
      <w:r>
        <w:rPr>
          <w:rFonts w:hint="eastAsia"/>
        </w:rPr>
        <w:t>1995</w:t>
      </w:r>
      <w:r>
        <w:rPr>
          <w:rFonts w:hint="eastAsia"/>
        </w:rPr>
        <w:t>年到</w:t>
      </w:r>
      <w:r>
        <w:rPr>
          <w:rFonts w:hint="eastAsia"/>
        </w:rPr>
        <w:t>2000</w:t>
      </w:r>
      <w:r>
        <w:rPr>
          <w:rFonts w:hint="eastAsia"/>
        </w:rPr>
        <w:t>年实施的第一期“国家贫困地区义务教育工程”中，政府共投入</w:t>
      </w:r>
      <w:r>
        <w:rPr>
          <w:rFonts w:hint="eastAsia"/>
        </w:rPr>
        <w:t>126</w:t>
      </w:r>
      <w:r>
        <w:rPr>
          <w:rFonts w:hint="eastAsia"/>
        </w:rPr>
        <w:t>亿元，使工程受益地区小学学龄儿童入学率达</w:t>
      </w:r>
      <w:r>
        <w:rPr>
          <w:rFonts w:hint="eastAsia"/>
        </w:rPr>
        <w:t>99.34%</w:t>
      </w:r>
      <w:r>
        <w:rPr>
          <w:rFonts w:hint="eastAsia"/>
        </w:rPr>
        <w:t>，初中学龄人口入学率达</w:t>
      </w:r>
      <w:r>
        <w:t>91.76%</w:t>
      </w:r>
      <w:r>
        <w:t>，</w:t>
      </w:r>
      <w:r>
        <w:rPr>
          <w:rFonts w:hint="eastAsia"/>
        </w:rPr>
        <w:t>小学在校学生辍学率降至</w:t>
      </w:r>
      <w:r>
        <w:rPr>
          <w:rFonts w:hint="eastAsia"/>
        </w:rPr>
        <w:t>0.46%</w:t>
      </w:r>
      <w:r>
        <w:rPr>
          <w:rFonts w:hint="eastAsia"/>
        </w:rPr>
        <w:t>，初中在校学生辍学率降至</w:t>
      </w:r>
      <w:r>
        <w:rPr>
          <w:rFonts w:hint="eastAsia"/>
        </w:rPr>
        <w:t>1.77%</w:t>
      </w:r>
      <w:r>
        <w:rPr>
          <w:rFonts w:hint="eastAsia"/>
        </w:rPr>
        <w:t>。新建中小学近</w:t>
      </w:r>
      <w:r>
        <w:rPr>
          <w:rFonts w:hint="eastAsia"/>
        </w:rPr>
        <w:t>4000</w:t>
      </w:r>
      <w:r>
        <w:rPr>
          <w:rFonts w:hint="eastAsia"/>
        </w:rPr>
        <w:t>所、扩建中小学</w:t>
      </w:r>
      <w:r>
        <w:rPr>
          <w:rFonts w:hint="eastAsia"/>
        </w:rPr>
        <w:t>30000</w:t>
      </w:r>
      <w:r>
        <w:rPr>
          <w:rFonts w:hint="eastAsia"/>
        </w:rPr>
        <w:t>所，增加校舍面积</w:t>
      </w:r>
      <w:r>
        <w:rPr>
          <w:rFonts w:hint="eastAsia"/>
        </w:rPr>
        <w:t>6000</w:t>
      </w:r>
      <w:r>
        <w:rPr>
          <w:rFonts w:hint="eastAsia"/>
        </w:rPr>
        <w:t>万平方米，教学仪器设备、图书装备水平明显提高，从根本上改变了贫困地区基础教育落后的面貌。各级政府还采取减免杂费、书本费、寄宿费等办法，减轻家庭经济困难学生负担。</w:t>
      </w:r>
      <w:r>
        <w:rPr>
          <w:rFonts w:hint="eastAsia"/>
        </w:rPr>
        <w:t>2001</w:t>
      </w:r>
      <w:r>
        <w:rPr>
          <w:rFonts w:hint="eastAsia"/>
        </w:rPr>
        <w:t>年教育部、财政部发布《关于对全国部分贫困地区农村中小学生试行提供教科书的意见》。中央财政每年安排</w:t>
      </w:r>
      <w:r>
        <w:rPr>
          <w:rFonts w:hint="eastAsia"/>
        </w:rPr>
        <w:t>2</w:t>
      </w:r>
      <w:r>
        <w:rPr>
          <w:rFonts w:hint="eastAsia"/>
        </w:rPr>
        <w:t>亿元专款，开展对贫困地区农村家庭经济困难中小学学生免费提供教科书制度的试点工作，每年共有</w:t>
      </w:r>
      <w:r>
        <w:rPr>
          <w:rFonts w:hint="eastAsia"/>
        </w:rPr>
        <w:t>245</w:t>
      </w:r>
      <w:r>
        <w:rPr>
          <w:rFonts w:hint="eastAsia"/>
        </w:rPr>
        <w:t>万名中小学生受益。</w:t>
      </w:r>
    </w:p>
    <w:p w:rsidR="00000000" w:rsidRDefault="00000000">
      <w:pPr>
        <w:rPr>
          <w:rFonts w:hint="eastAsia"/>
        </w:rPr>
      </w:pPr>
      <w:r>
        <w:rPr>
          <w:rFonts w:hint="eastAsia"/>
        </w:rPr>
        <w:tab/>
        <w:t xml:space="preserve">213.  </w:t>
      </w:r>
      <w:r>
        <w:rPr>
          <w:rFonts w:hint="eastAsia"/>
        </w:rPr>
        <w:t>大力加强女童教育。</w:t>
      </w:r>
      <w:r>
        <w:rPr>
          <w:rFonts w:hint="eastAsia"/>
        </w:rPr>
        <w:t>1996</w:t>
      </w:r>
      <w:r>
        <w:rPr>
          <w:rFonts w:hint="eastAsia"/>
        </w:rPr>
        <w:t>年，中国政府制定《全国教育事业“九五”计划和</w:t>
      </w:r>
      <w:r>
        <w:rPr>
          <w:rFonts w:hint="eastAsia"/>
        </w:rPr>
        <w:t>2010</w:t>
      </w:r>
      <w:r>
        <w:rPr>
          <w:rFonts w:hint="eastAsia"/>
        </w:rPr>
        <w:t>年发展规划》，明确提出进一步缩小女童和男童、城市和农村、贫困地区和发达地区、少数民族集居和其他地区学龄儿童入学率的差距。同年</w:t>
      </w:r>
      <w:r>
        <w:rPr>
          <w:rFonts w:hint="eastAsia"/>
        </w:rPr>
        <w:t>7</w:t>
      </w:r>
      <w:r>
        <w:rPr>
          <w:rFonts w:hint="eastAsia"/>
        </w:rPr>
        <w:t>月印发《关于进一步加强贫困地区、民族地区女童教育工作的十条意见》，要求各地把女童教育列入普及义务教育的重要议事日程，为女童创造就学条件、开展扫盲和儿童教育研究工作以及女童教育的国际合作提出具体要求。教育部《关于义务教育评估验收暂行规定》中规定：适龄女童入学率、辍学率均应达到省级规定标准，并把它列入普及义务教育验收条件之一。《教育法》、《未成年人保护法》、《义务教育法》、《中国妇女发展纲要》等也对女童接受教育做出了相应的规定。</w:t>
      </w:r>
    </w:p>
    <w:p w:rsidR="00000000" w:rsidRDefault="00000000">
      <w:pPr>
        <w:rPr>
          <w:rFonts w:hint="eastAsia"/>
        </w:rPr>
      </w:pPr>
      <w:r>
        <w:rPr>
          <w:rFonts w:hint="eastAsia"/>
        </w:rPr>
        <w:tab/>
        <w:t xml:space="preserve">214.  </w:t>
      </w:r>
      <w:r>
        <w:rPr>
          <w:rFonts w:hint="eastAsia"/>
        </w:rPr>
        <w:t>为解决流动人口中适龄儿童就学问题，</w:t>
      </w:r>
      <w:r>
        <w:rPr>
          <w:rFonts w:hint="eastAsia"/>
        </w:rPr>
        <w:t>1998</w:t>
      </w:r>
      <w:r>
        <w:rPr>
          <w:rFonts w:hint="eastAsia"/>
        </w:rPr>
        <w:t>年，中国政府颁布《流动儿童少年就学暂行办法》，使流动人口入学走向规范。</w:t>
      </w:r>
      <w:r>
        <w:rPr>
          <w:rFonts w:hint="eastAsia"/>
        </w:rPr>
        <w:t>2001</w:t>
      </w:r>
      <w:r>
        <w:rPr>
          <w:rFonts w:hint="eastAsia"/>
        </w:rPr>
        <w:t>年《国务院关于基础教育改革与发展的决定》要求各地重视解决流动人口接受义务教育问题，以流动地区政府管理为主，以全日制公办中小学为主，采取多种形式，依法保障流动人口子女接受义务教育的权利。目前，各地制定了解决流动人口子女就学的有关规定，开办流动儿童附属班。有些流动人口集中的地区，开办了流动人口学校，专门供流动人口儿童就学。并对家庭经济困难的学生给予资助，保障其接受义务教育的权利。</w:t>
      </w:r>
    </w:p>
    <w:p w:rsidR="00000000" w:rsidRDefault="00000000">
      <w:pPr>
        <w:rPr>
          <w:rFonts w:hint="eastAsia"/>
        </w:rPr>
      </w:pPr>
      <w:r>
        <w:rPr>
          <w:rFonts w:hint="eastAsia"/>
        </w:rPr>
        <w:tab/>
        <w:t xml:space="preserve">215.  </w:t>
      </w:r>
      <w:r>
        <w:rPr>
          <w:rFonts w:hint="eastAsia"/>
        </w:rPr>
        <w:t>中国政府制定实施《残疾儿童少年义务教育“九五”实施方案》，将残疾儿童教育纳入义务教育轨道，坚持将残疾儿童义务教育同“普及九年义务教育”工作一同检查、验收。</w:t>
      </w:r>
      <w:r>
        <w:rPr>
          <w:rFonts w:hint="eastAsia"/>
        </w:rPr>
        <w:t>2001</w:t>
      </w:r>
      <w:r>
        <w:rPr>
          <w:rFonts w:hint="eastAsia"/>
        </w:rPr>
        <w:t>年下发《关于“十五”期间进一步推进特殊教育改革和发展的意见》，提出“切实将残疾儿童少年教育纳入义务教育体系，坚持将发展残疾儿童少年义务教育作为普及九年义务教育和巩固提高普及九年义务教育成果与水平的一项重要任务，坚持将残疾儿童少年义务教育作为特殊教育事业发展的重点。”国家设立特殊教育补助费，中央自</w:t>
      </w:r>
      <w:r>
        <w:rPr>
          <w:rFonts w:hint="eastAsia"/>
        </w:rPr>
        <w:t>1989</w:t>
      </w:r>
      <w:r>
        <w:rPr>
          <w:rFonts w:hint="eastAsia"/>
        </w:rPr>
        <w:t>年以来共投入特殊教育补助费</w:t>
      </w:r>
      <w:r>
        <w:rPr>
          <w:rFonts w:hint="eastAsia"/>
        </w:rPr>
        <w:t>2.6</w:t>
      </w:r>
      <w:r>
        <w:rPr>
          <w:rFonts w:hint="eastAsia"/>
        </w:rPr>
        <w:t>亿元，地方投入</w:t>
      </w:r>
      <w:r>
        <w:rPr>
          <w:rFonts w:hint="eastAsia"/>
        </w:rPr>
        <w:t>20</w:t>
      </w:r>
      <w:r>
        <w:rPr>
          <w:rFonts w:hint="eastAsia"/>
        </w:rPr>
        <w:t>多亿元支持残疾儿童少年义务教育。</w:t>
      </w:r>
      <w:r>
        <w:rPr>
          <w:rFonts w:hint="eastAsia"/>
        </w:rPr>
        <w:t>1990</w:t>
      </w:r>
      <w:r>
        <w:rPr>
          <w:rFonts w:hint="eastAsia"/>
        </w:rPr>
        <w:t>年全国有特殊教育学校</w:t>
      </w:r>
      <w:r>
        <w:rPr>
          <w:rFonts w:hint="eastAsia"/>
        </w:rPr>
        <w:t>746</w:t>
      </w:r>
      <w:r>
        <w:rPr>
          <w:rFonts w:hint="eastAsia"/>
        </w:rPr>
        <w:t>所，在校学生</w:t>
      </w:r>
      <w:r>
        <w:rPr>
          <w:rFonts w:hint="eastAsia"/>
        </w:rPr>
        <w:t>71959</w:t>
      </w:r>
      <w:r>
        <w:rPr>
          <w:rFonts w:hint="eastAsia"/>
        </w:rPr>
        <w:t>人。到</w:t>
      </w:r>
      <w:r>
        <w:rPr>
          <w:rFonts w:hint="eastAsia"/>
        </w:rPr>
        <w:t>2001</w:t>
      </w:r>
      <w:r>
        <w:rPr>
          <w:rFonts w:hint="eastAsia"/>
        </w:rPr>
        <w:t>年，特殊教育学校已达</w:t>
      </w:r>
      <w:r>
        <w:rPr>
          <w:rFonts w:hint="eastAsia"/>
        </w:rPr>
        <w:t>1531</w:t>
      </w:r>
      <w:r>
        <w:rPr>
          <w:rFonts w:hint="eastAsia"/>
        </w:rPr>
        <w:t>所，义务教育阶段在校学生达到</w:t>
      </w:r>
      <w:r>
        <w:rPr>
          <w:rFonts w:hint="eastAsia"/>
        </w:rPr>
        <w:t>386360</w:t>
      </w:r>
      <w:r>
        <w:rPr>
          <w:rFonts w:hint="eastAsia"/>
        </w:rPr>
        <w:t>人。</w:t>
      </w:r>
    </w:p>
    <w:p w:rsidR="00000000" w:rsidRDefault="00000000">
      <w:pPr>
        <w:rPr>
          <w:rFonts w:hint="eastAsia"/>
        </w:rPr>
      </w:pPr>
      <w:r>
        <w:rPr>
          <w:rFonts w:hint="eastAsia"/>
        </w:rPr>
        <w:tab/>
        <w:t xml:space="preserve">216.  </w:t>
      </w:r>
      <w:r>
        <w:rPr>
          <w:rFonts w:hint="eastAsia"/>
        </w:rPr>
        <w:t>为实现农村义务教育，</w:t>
      </w:r>
      <w:r>
        <w:rPr>
          <w:rFonts w:hint="eastAsia"/>
        </w:rPr>
        <w:t>2001</w:t>
      </w:r>
      <w:r>
        <w:rPr>
          <w:rFonts w:hint="eastAsia"/>
        </w:rPr>
        <w:t>年国务院发布《关于基础教育与改革发展的决定》，提出进一步改革农村义务教育的管理体制。从</w:t>
      </w:r>
      <w:r>
        <w:rPr>
          <w:rFonts w:hint="eastAsia"/>
        </w:rPr>
        <w:t>2002</w:t>
      </w:r>
      <w:r>
        <w:rPr>
          <w:rFonts w:hint="eastAsia"/>
        </w:rPr>
        <w:t>年起，农村义务教育将全面实行“在国务院领导下，由地方政府负责、分级管理、以县为主”的体制。</w:t>
      </w:r>
    </w:p>
    <w:p w:rsidR="00000000" w:rsidRDefault="00000000">
      <w:pPr>
        <w:rPr>
          <w:rFonts w:hint="eastAsia"/>
        </w:rPr>
      </w:pPr>
      <w:r>
        <w:rPr>
          <w:rFonts w:hint="eastAsia"/>
        </w:rPr>
        <w:tab/>
        <w:t xml:space="preserve">217.  </w:t>
      </w:r>
      <w:r>
        <w:rPr>
          <w:rFonts w:hint="eastAsia"/>
        </w:rPr>
        <w:t>中国重视发展儿童早期教育。中国已提前实现《中国教育改革和发展纲要》提出的儿童早期发展目标：</w:t>
      </w:r>
      <w:r>
        <w:rPr>
          <w:rFonts w:hint="eastAsia"/>
        </w:rPr>
        <w:t>1997</w:t>
      </w:r>
      <w:r>
        <w:rPr>
          <w:rFonts w:hint="eastAsia"/>
        </w:rPr>
        <w:t>年</w:t>
      </w:r>
      <w:r>
        <w:rPr>
          <w:rFonts w:hint="eastAsia"/>
        </w:rPr>
        <w:t>3</w:t>
      </w:r>
      <w:r>
        <w:rPr>
          <w:rFonts w:hint="eastAsia"/>
        </w:rPr>
        <w:t>至</w:t>
      </w:r>
      <w:r>
        <w:rPr>
          <w:rFonts w:hint="eastAsia"/>
        </w:rPr>
        <w:t>6</w:t>
      </w:r>
      <w:r>
        <w:rPr>
          <w:rFonts w:hint="eastAsia"/>
        </w:rPr>
        <w:t>岁儿童入园率为</w:t>
      </w:r>
      <w:r>
        <w:rPr>
          <w:rFonts w:hint="eastAsia"/>
        </w:rPr>
        <w:t>43%(</w:t>
      </w:r>
      <w:r>
        <w:rPr>
          <w:rFonts w:hint="eastAsia"/>
        </w:rPr>
        <w:t>目标为</w:t>
      </w:r>
      <w:r>
        <w:rPr>
          <w:rFonts w:hint="eastAsia"/>
        </w:rPr>
        <w:t>30%)</w:t>
      </w:r>
      <w:r>
        <w:rPr>
          <w:rFonts w:hint="eastAsia"/>
        </w:rPr>
        <w:t>，农村学前一年幼儿入园率超过</w:t>
      </w:r>
      <w:r>
        <w:rPr>
          <w:rFonts w:hint="eastAsia"/>
        </w:rPr>
        <w:t>60%</w:t>
      </w:r>
      <w:r>
        <w:rPr>
          <w:rFonts w:hint="eastAsia"/>
        </w:rPr>
        <w:t>。中国幼儿教育的形式因各地经济、文化上的差异而呈多样化的态势，包括三年全日制幼儿园、半日制幼儿园、一年制学前班，同时因地制宜地发展并推广季节班、周末班、游戏小组、巡回辅导站、入户指导、家长互助等灵活多样的非正规幼儿教育形式。</w:t>
      </w:r>
    </w:p>
    <w:p w:rsidR="00000000" w:rsidRDefault="00000000">
      <w:pPr>
        <w:rPr>
          <w:rFonts w:hint="eastAsia"/>
        </w:rPr>
      </w:pPr>
      <w:r>
        <w:rPr>
          <w:rFonts w:hint="eastAsia"/>
        </w:rPr>
        <w:tab/>
        <w:t xml:space="preserve">218.  </w:t>
      </w:r>
      <w:r>
        <w:rPr>
          <w:rFonts w:hint="eastAsia"/>
        </w:rPr>
        <w:t>自</w:t>
      </w:r>
      <w:r>
        <w:rPr>
          <w:rFonts w:hint="eastAsia"/>
        </w:rPr>
        <w:t>1990</w:t>
      </w:r>
      <w:r>
        <w:rPr>
          <w:rFonts w:hint="eastAsia"/>
        </w:rPr>
        <w:t>年起，国家设立民族教育补助经费，专门用于民族教育发展。“国家贫困地区义务教育工程”安排专款</w:t>
      </w:r>
      <w:r>
        <w:rPr>
          <w:rFonts w:hint="eastAsia"/>
        </w:rPr>
        <w:t>70</w:t>
      </w:r>
      <w:r>
        <w:rPr>
          <w:rFonts w:hint="eastAsia"/>
        </w:rPr>
        <w:t>多亿元用于少数民族人口集中的西部地区。“国家贫困地区义务教育助学金”重点用于民族地区，资助家庭经济困难的各民族儿童就学。国家安排的四期世界银行贫困地区基础教育发展项目贷款投入</w:t>
      </w:r>
      <w:r>
        <w:rPr>
          <w:rFonts w:hint="eastAsia"/>
        </w:rPr>
        <w:t>4.15</w:t>
      </w:r>
      <w:r>
        <w:rPr>
          <w:rFonts w:hint="eastAsia"/>
        </w:rPr>
        <w:t>亿美元，重点支持中西部</w:t>
      </w:r>
      <w:r>
        <w:rPr>
          <w:rFonts w:hint="eastAsia"/>
        </w:rPr>
        <w:t>28</w:t>
      </w:r>
      <w:r>
        <w:rPr>
          <w:rFonts w:hint="eastAsia"/>
        </w:rPr>
        <w:t>个省和自治区的</w:t>
      </w:r>
      <w:r>
        <w:rPr>
          <w:rFonts w:hint="eastAsia"/>
        </w:rPr>
        <w:t>466</w:t>
      </w:r>
      <w:r>
        <w:rPr>
          <w:rFonts w:hint="eastAsia"/>
        </w:rPr>
        <w:t>个贫困县发展教育事业。</w:t>
      </w:r>
      <w:r>
        <w:rPr>
          <w:rFonts w:hint="eastAsia"/>
        </w:rPr>
        <w:t>1996</w:t>
      </w:r>
      <w:r>
        <w:rPr>
          <w:rFonts w:hint="eastAsia"/>
        </w:rPr>
        <w:t>年到</w:t>
      </w:r>
      <w:r>
        <w:rPr>
          <w:rFonts w:hint="eastAsia"/>
        </w:rPr>
        <w:t>2001</w:t>
      </w:r>
      <w:r>
        <w:rPr>
          <w:rFonts w:hint="eastAsia"/>
        </w:rPr>
        <w:t>年，国家利用国债和其他专项经费，对民族地区和西部地区投入的经费达</w:t>
      </w:r>
      <w:r>
        <w:rPr>
          <w:rFonts w:hint="eastAsia"/>
        </w:rPr>
        <w:t>53.68</w:t>
      </w:r>
      <w:r>
        <w:rPr>
          <w:rFonts w:hint="eastAsia"/>
        </w:rPr>
        <w:t>亿元。</w:t>
      </w:r>
      <w:r>
        <w:rPr>
          <w:rFonts w:hint="eastAsia"/>
        </w:rPr>
        <w:t>2001</w:t>
      </w:r>
      <w:r>
        <w:rPr>
          <w:rFonts w:hint="eastAsia"/>
        </w:rPr>
        <w:t>年全国少数民族在校生达</w:t>
      </w:r>
      <w:r>
        <w:rPr>
          <w:rFonts w:hint="eastAsia"/>
        </w:rPr>
        <w:t>1949</w:t>
      </w:r>
      <w:r>
        <w:rPr>
          <w:rFonts w:hint="eastAsia"/>
        </w:rPr>
        <w:t>万人，比</w:t>
      </w:r>
      <w:r>
        <w:rPr>
          <w:rFonts w:hint="eastAsia"/>
        </w:rPr>
        <w:t>1991</w:t>
      </w:r>
      <w:r>
        <w:rPr>
          <w:rFonts w:hint="eastAsia"/>
        </w:rPr>
        <w:t>年增长</w:t>
      </w:r>
      <w:r>
        <w:rPr>
          <w:rFonts w:hint="eastAsia"/>
        </w:rPr>
        <w:t>39%</w:t>
      </w:r>
      <w:r>
        <w:rPr>
          <w:rFonts w:hint="eastAsia"/>
        </w:rPr>
        <w:t>。</w:t>
      </w:r>
    </w:p>
    <w:p w:rsidR="00000000" w:rsidRDefault="00000000">
      <w:pPr>
        <w:rPr>
          <w:rFonts w:hint="eastAsia"/>
        </w:rPr>
      </w:pPr>
      <w:r>
        <w:rPr>
          <w:rFonts w:hint="eastAsia"/>
        </w:rPr>
        <w:tab/>
        <w:t xml:space="preserve">219.  </w:t>
      </w:r>
      <w:r>
        <w:rPr>
          <w:rFonts w:hint="eastAsia"/>
        </w:rPr>
        <w:t>中国政府加大对义务教育的经费支持力度。《教育法》第</w:t>
      </w:r>
      <w:r>
        <w:rPr>
          <w:rFonts w:hint="eastAsia"/>
        </w:rPr>
        <w:t>56</w:t>
      </w:r>
      <w:r>
        <w:rPr>
          <w:rFonts w:hint="eastAsia"/>
        </w:rPr>
        <w:t>条规定：“国务院及县级以上地方各级人民政府应当设立教育专项资金，重点扶持边远贫困地区、少数民族地区实施义务教育。”</w:t>
      </w:r>
      <w:r>
        <w:rPr>
          <w:rFonts w:hint="eastAsia"/>
        </w:rPr>
        <w:t>1990</w:t>
      </w:r>
      <w:r>
        <w:rPr>
          <w:rFonts w:hint="eastAsia"/>
        </w:rPr>
        <w:t>年到</w:t>
      </w:r>
      <w:r>
        <w:rPr>
          <w:rFonts w:hint="eastAsia"/>
        </w:rPr>
        <w:t>2001</w:t>
      </w:r>
      <w:r>
        <w:rPr>
          <w:rFonts w:hint="eastAsia"/>
        </w:rPr>
        <w:t>年，预算内义务教育经费增加近</w:t>
      </w:r>
      <w:r>
        <w:rPr>
          <w:rFonts w:hint="eastAsia"/>
        </w:rPr>
        <w:t>11</w:t>
      </w:r>
      <w:r>
        <w:rPr>
          <w:rFonts w:hint="eastAsia"/>
        </w:rPr>
        <w:t>倍。</w:t>
      </w:r>
      <w:r>
        <w:rPr>
          <w:rFonts w:hint="eastAsia"/>
        </w:rPr>
        <w:t>10</w:t>
      </w:r>
      <w:r>
        <w:rPr>
          <w:rFonts w:hint="eastAsia"/>
        </w:rPr>
        <w:t>年间各级政府开征用于教育的税费</w:t>
      </w:r>
      <w:r>
        <w:rPr>
          <w:rFonts w:hint="eastAsia"/>
        </w:rPr>
        <w:t>1717.33</w:t>
      </w:r>
      <w:r>
        <w:rPr>
          <w:rFonts w:hint="eastAsia"/>
        </w:rPr>
        <w:t>亿元，社会捐、集资</w:t>
      </w:r>
      <w:r>
        <w:rPr>
          <w:rFonts w:hint="eastAsia"/>
        </w:rPr>
        <w:t>1394.17</w:t>
      </w:r>
      <w:r>
        <w:rPr>
          <w:rFonts w:hint="eastAsia"/>
        </w:rPr>
        <w:t>亿元，合计</w:t>
      </w:r>
      <w:r>
        <w:rPr>
          <w:rFonts w:hint="eastAsia"/>
        </w:rPr>
        <w:t>3111</w:t>
      </w:r>
      <w:r>
        <w:rPr>
          <w:rFonts w:hint="eastAsia"/>
        </w:rPr>
        <w:t>亿元，大部分用于义务教育。加强对义务教育阶段收费工作的检查监督，严格执行不得向接受义务教育的学生收取学费的规定。</w:t>
      </w:r>
      <w:r>
        <w:rPr>
          <w:rFonts w:hint="eastAsia"/>
        </w:rPr>
        <w:t>1996</w:t>
      </w:r>
      <w:r>
        <w:rPr>
          <w:rFonts w:hint="eastAsia"/>
        </w:rPr>
        <w:t>年教育部、国家计委、财政部发布的《义务教育学校收费管理暂行办法》规定，接受义务教育的学生免收学费，只缴杂费，杂费标准的审批权限在省级人民政府。</w:t>
      </w:r>
      <w:r>
        <w:rPr>
          <w:rFonts w:hint="eastAsia"/>
        </w:rPr>
        <w:t>2001</w:t>
      </w:r>
      <w:r>
        <w:rPr>
          <w:rFonts w:hint="eastAsia"/>
        </w:rPr>
        <w:t>年发布的《关于坚决治理农村中小学乱收费问题的通知》要求从</w:t>
      </w:r>
      <w:r>
        <w:rPr>
          <w:rFonts w:hint="eastAsia"/>
        </w:rPr>
        <w:t>2001</w:t>
      </w:r>
      <w:r>
        <w:rPr>
          <w:rFonts w:hint="eastAsia"/>
        </w:rPr>
        <w:t>年起，在贫困地区试行“一费制”收费办法，即在全面清理农村中小学乱收费，严格核定杂费、课本费标准的基础上，核定一个最高收费标准，只向学生收取一项费用。“一费制”最高限额标准由教育部、国家计委、财政部制定。</w:t>
      </w:r>
    </w:p>
    <w:p w:rsidR="00000000" w:rsidRDefault="00000000">
      <w:pPr>
        <w:rPr>
          <w:rFonts w:hint="eastAsia"/>
        </w:rPr>
      </w:pPr>
      <w:r>
        <w:rPr>
          <w:rFonts w:hint="eastAsia"/>
        </w:rPr>
        <w:tab/>
        <w:t>220.  1992</w:t>
      </w:r>
      <w:r>
        <w:rPr>
          <w:rFonts w:hint="eastAsia"/>
        </w:rPr>
        <w:t>年，中国政府提出到</w:t>
      </w:r>
      <w:r>
        <w:rPr>
          <w:rFonts w:hint="eastAsia"/>
        </w:rPr>
        <w:t>20</w:t>
      </w:r>
      <w:r>
        <w:rPr>
          <w:rFonts w:hint="eastAsia"/>
        </w:rPr>
        <w:t>世纪末基本扫除青壮年文盲的目标。第五次人口普查显示，中国成人文盲由</w:t>
      </w:r>
      <w:r>
        <w:rPr>
          <w:rFonts w:hint="eastAsia"/>
        </w:rPr>
        <w:t>1990</w:t>
      </w:r>
      <w:r>
        <w:rPr>
          <w:rFonts w:hint="eastAsia"/>
        </w:rPr>
        <w:t>年的</w:t>
      </w:r>
      <w:r>
        <w:rPr>
          <w:rFonts w:hint="eastAsia"/>
        </w:rPr>
        <w:t>1.82</w:t>
      </w:r>
      <w:r>
        <w:rPr>
          <w:rFonts w:hint="eastAsia"/>
        </w:rPr>
        <w:t>亿人减少到</w:t>
      </w:r>
      <w:r>
        <w:rPr>
          <w:rFonts w:hint="eastAsia"/>
        </w:rPr>
        <w:t>2000</w:t>
      </w:r>
      <w:r>
        <w:rPr>
          <w:rFonts w:hint="eastAsia"/>
        </w:rPr>
        <w:t>年的</w:t>
      </w:r>
      <w:r>
        <w:rPr>
          <w:rFonts w:hint="eastAsia"/>
        </w:rPr>
        <w:t>0.85</w:t>
      </w:r>
      <w:r>
        <w:rPr>
          <w:rFonts w:hint="eastAsia"/>
        </w:rPr>
        <w:t>亿，十年减少了近</w:t>
      </w:r>
      <w:r>
        <w:rPr>
          <w:rFonts w:hint="eastAsia"/>
        </w:rPr>
        <w:t>1</w:t>
      </w:r>
      <w:r>
        <w:rPr>
          <w:rFonts w:hint="eastAsia"/>
        </w:rPr>
        <w:t>亿人，成人文盲率由</w:t>
      </w:r>
      <w:r>
        <w:rPr>
          <w:rFonts w:hint="eastAsia"/>
        </w:rPr>
        <w:t>1990</w:t>
      </w:r>
      <w:r>
        <w:rPr>
          <w:rFonts w:hint="eastAsia"/>
        </w:rPr>
        <w:t>年的</w:t>
      </w:r>
      <w:r>
        <w:rPr>
          <w:rFonts w:hint="eastAsia"/>
        </w:rPr>
        <w:t>22.2%</w:t>
      </w:r>
      <w:r>
        <w:rPr>
          <w:rFonts w:hint="eastAsia"/>
        </w:rPr>
        <w:t>降至</w:t>
      </w:r>
      <w:r>
        <w:rPr>
          <w:rFonts w:hint="eastAsia"/>
        </w:rPr>
        <w:t>2000</w:t>
      </w:r>
      <w:r>
        <w:rPr>
          <w:rFonts w:hint="eastAsia"/>
        </w:rPr>
        <w:t>年的</w:t>
      </w:r>
      <w:r>
        <w:rPr>
          <w:rFonts w:hint="eastAsia"/>
        </w:rPr>
        <w:t>8.72%</w:t>
      </w:r>
      <w:r>
        <w:rPr>
          <w:rFonts w:hint="eastAsia"/>
        </w:rPr>
        <w:t>；其中累计扫除青壮年文盲</w:t>
      </w:r>
      <w:r>
        <w:rPr>
          <w:rFonts w:hint="eastAsia"/>
        </w:rPr>
        <w:t>4866.97</w:t>
      </w:r>
      <w:r>
        <w:rPr>
          <w:rFonts w:hint="eastAsia"/>
        </w:rPr>
        <w:t>万人，青壮年文盲人数由</w:t>
      </w:r>
      <w:r>
        <w:rPr>
          <w:rFonts w:hint="eastAsia"/>
        </w:rPr>
        <w:t>1990</w:t>
      </w:r>
      <w:r>
        <w:rPr>
          <w:rFonts w:hint="eastAsia"/>
        </w:rPr>
        <w:t>年的</w:t>
      </w:r>
      <w:r>
        <w:rPr>
          <w:rFonts w:hint="eastAsia"/>
        </w:rPr>
        <w:t>6200</w:t>
      </w:r>
      <w:r>
        <w:rPr>
          <w:rFonts w:hint="eastAsia"/>
        </w:rPr>
        <w:t>多万人减少到</w:t>
      </w:r>
      <w:r>
        <w:rPr>
          <w:rFonts w:hint="eastAsia"/>
        </w:rPr>
        <w:t>2000</w:t>
      </w:r>
      <w:r>
        <w:rPr>
          <w:rFonts w:hint="eastAsia"/>
        </w:rPr>
        <w:t>年的</w:t>
      </w:r>
      <w:r>
        <w:rPr>
          <w:rFonts w:hint="eastAsia"/>
        </w:rPr>
        <w:t>2000</w:t>
      </w:r>
      <w:r>
        <w:rPr>
          <w:rFonts w:hint="eastAsia"/>
        </w:rPr>
        <w:t>万多人，青壮年文盲率由</w:t>
      </w:r>
      <w:r>
        <w:rPr>
          <w:rFonts w:hint="eastAsia"/>
        </w:rPr>
        <w:t>1990</w:t>
      </w:r>
      <w:r>
        <w:rPr>
          <w:rFonts w:hint="eastAsia"/>
        </w:rPr>
        <w:t>年的</w:t>
      </w:r>
      <w:r>
        <w:rPr>
          <w:rFonts w:hint="eastAsia"/>
        </w:rPr>
        <w:t>10.38%</w:t>
      </w:r>
      <w:r>
        <w:rPr>
          <w:rFonts w:hint="eastAsia"/>
        </w:rPr>
        <w:t>降至</w:t>
      </w:r>
      <w:r>
        <w:rPr>
          <w:rFonts w:hint="eastAsia"/>
        </w:rPr>
        <w:t>2000</w:t>
      </w:r>
      <w:r>
        <w:rPr>
          <w:rFonts w:hint="eastAsia"/>
        </w:rPr>
        <w:t>年的</w:t>
      </w:r>
      <w:r>
        <w:rPr>
          <w:rFonts w:hint="eastAsia"/>
        </w:rPr>
        <w:t>4.8%</w:t>
      </w:r>
      <w:r>
        <w:rPr>
          <w:rFonts w:hint="eastAsia"/>
        </w:rPr>
        <w:t>。</w:t>
      </w:r>
      <w:r>
        <w:rPr>
          <w:rFonts w:hint="eastAsia"/>
        </w:rPr>
        <w:t>2000</w:t>
      </w:r>
      <w:r>
        <w:rPr>
          <w:rFonts w:hint="eastAsia"/>
        </w:rPr>
        <w:t>年，全国有</w:t>
      </w:r>
      <w:r>
        <w:rPr>
          <w:rFonts w:hint="eastAsia"/>
        </w:rPr>
        <w:t>24</w:t>
      </w:r>
      <w:r>
        <w:rPr>
          <w:rFonts w:hint="eastAsia"/>
        </w:rPr>
        <w:t>个省、自治区、直辖市已经达到现阶段国家规定的基本扫除青壮年文盲的目标。</w:t>
      </w:r>
    </w:p>
    <w:p w:rsidR="00000000" w:rsidRDefault="00000000">
      <w:pPr>
        <w:rPr>
          <w:rFonts w:hint="eastAsia"/>
        </w:rPr>
      </w:pPr>
      <w:r>
        <w:rPr>
          <w:rFonts w:hint="eastAsia"/>
        </w:rPr>
        <w:tab/>
        <w:t xml:space="preserve">221.  </w:t>
      </w:r>
      <w:r>
        <w:rPr>
          <w:rFonts w:hint="eastAsia"/>
        </w:rPr>
        <w:t>为保证公民接受中等教育，中国普遍设立了中等教育机构，保证公民在就业前能获得职业教育或技术培训。</w:t>
      </w:r>
      <w:r>
        <w:rPr>
          <w:rFonts w:hint="eastAsia"/>
        </w:rPr>
        <w:t>2001</w:t>
      </w:r>
      <w:r>
        <w:rPr>
          <w:rFonts w:hint="eastAsia"/>
        </w:rPr>
        <w:t>年，全国高中阶段教育机构</w:t>
      </w:r>
      <w:r>
        <w:rPr>
          <w:rFonts w:hint="eastAsia"/>
        </w:rPr>
        <w:t>(</w:t>
      </w:r>
      <w:r>
        <w:rPr>
          <w:rFonts w:hint="eastAsia"/>
        </w:rPr>
        <w:t>包括普通高中、职业高中、普通中等专业学校、技工学校、成人高中、成人中等专业学校</w:t>
      </w:r>
      <w:r>
        <w:rPr>
          <w:rFonts w:hint="eastAsia"/>
        </w:rPr>
        <w:t>)</w:t>
      </w:r>
      <w:r>
        <w:rPr>
          <w:rFonts w:hint="eastAsia"/>
        </w:rPr>
        <w:t>共</w:t>
      </w:r>
      <w:r>
        <w:rPr>
          <w:rFonts w:hint="eastAsia"/>
        </w:rPr>
        <w:t>3.43</w:t>
      </w:r>
      <w:r>
        <w:rPr>
          <w:rFonts w:hint="eastAsia"/>
        </w:rPr>
        <w:t>万所，招生</w:t>
      </w:r>
      <w:r>
        <w:rPr>
          <w:rFonts w:hint="eastAsia"/>
        </w:rPr>
        <w:t>987.99</w:t>
      </w:r>
      <w:r>
        <w:rPr>
          <w:rFonts w:hint="eastAsia"/>
        </w:rPr>
        <w:t>万人，在校学生</w:t>
      </w:r>
      <w:r>
        <w:rPr>
          <w:rFonts w:hint="eastAsia"/>
        </w:rPr>
        <w:t>2600.93</w:t>
      </w:r>
      <w:r>
        <w:rPr>
          <w:rFonts w:hint="eastAsia"/>
        </w:rPr>
        <w:t>万人。全国初中毕业生升学率达</w:t>
      </w:r>
      <w:r>
        <w:rPr>
          <w:rFonts w:hint="eastAsia"/>
        </w:rPr>
        <w:t>52.9%</w:t>
      </w:r>
      <w:r>
        <w:rPr>
          <w:rFonts w:hint="eastAsia"/>
        </w:rPr>
        <w:t>，比</w:t>
      </w:r>
      <w:r>
        <w:rPr>
          <w:rFonts w:hint="eastAsia"/>
        </w:rPr>
        <w:t>1990</w:t>
      </w:r>
      <w:r>
        <w:rPr>
          <w:rFonts w:hint="eastAsia"/>
        </w:rPr>
        <w:t>年增长</w:t>
      </w:r>
      <w:r>
        <w:rPr>
          <w:rFonts w:hint="eastAsia"/>
        </w:rPr>
        <w:t>12</w:t>
      </w:r>
      <w:r>
        <w:rPr>
          <w:rFonts w:hint="eastAsia"/>
        </w:rPr>
        <w:t>个百分点；普通高中在校生达</w:t>
      </w:r>
      <w:r>
        <w:rPr>
          <w:rFonts w:hint="eastAsia"/>
        </w:rPr>
        <w:t>1404.9</w:t>
      </w:r>
      <w:r>
        <w:rPr>
          <w:rFonts w:hint="eastAsia"/>
        </w:rPr>
        <w:t>万人，比</w:t>
      </w:r>
      <w:r>
        <w:rPr>
          <w:rFonts w:hint="eastAsia"/>
        </w:rPr>
        <w:t>1990</w:t>
      </w:r>
      <w:r>
        <w:rPr>
          <w:rFonts w:hint="eastAsia"/>
        </w:rPr>
        <w:t>年增加</w:t>
      </w:r>
      <w:r>
        <w:rPr>
          <w:rFonts w:hint="eastAsia"/>
        </w:rPr>
        <w:t>687.6</w:t>
      </w:r>
      <w:r>
        <w:rPr>
          <w:rFonts w:hint="eastAsia"/>
        </w:rPr>
        <w:t>万，增幅达</w:t>
      </w:r>
      <w:r>
        <w:rPr>
          <w:rFonts w:hint="eastAsia"/>
        </w:rPr>
        <w:t>95.9%</w:t>
      </w:r>
      <w:r>
        <w:rPr>
          <w:rFonts w:hint="eastAsia"/>
        </w:rPr>
        <w:t>；中等职业学校在校生达</w:t>
      </w:r>
      <w:r>
        <w:rPr>
          <w:rFonts w:hint="eastAsia"/>
        </w:rPr>
        <w:t>1164</w:t>
      </w:r>
      <w:r>
        <w:rPr>
          <w:rFonts w:hint="eastAsia"/>
        </w:rPr>
        <w:t>万人，是</w:t>
      </w:r>
      <w:r>
        <w:rPr>
          <w:rFonts w:hint="eastAsia"/>
        </w:rPr>
        <w:t>1988</w:t>
      </w:r>
      <w:r>
        <w:rPr>
          <w:rFonts w:hint="eastAsia"/>
        </w:rPr>
        <w:t>年的两倍。</w:t>
      </w:r>
      <w:r>
        <w:rPr>
          <w:rFonts w:hint="eastAsia"/>
        </w:rPr>
        <w:t>2001</w:t>
      </w:r>
      <w:r>
        <w:rPr>
          <w:rFonts w:hint="eastAsia"/>
        </w:rPr>
        <w:t>年，全国成人技术培训学校共培训结业学员有</w:t>
      </w:r>
      <w:r>
        <w:rPr>
          <w:rFonts w:hint="eastAsia"/>
        </w:rPr>
        <w:t>9270</w:t>
      </w:r>
      <w:r>
        <w:rPr>
          <w:rFonts w:hint="eastAsia"/>
        </w:rPr>
        <w:t>万人次。</w:t>
      </w:r>
    </w:p>
    <w:p w:rsidR="00000000" w:rsidRDefault="00000000">
      <w:pPr>
        <w:rPr>
          <w:rFonts w:hint="eastAsia"/>
        </w:rPr>
      </w:pPr>
      <w:r>
        <w:rPr>
          <w:rFonts w:hint="eastAsia"/>
        </w:rPr>
        <w:tab/>
        <w:t xml:space="preserve">222.  </w:t>
      </w:r>
      <w:r>
        <w:rPr>
          <w:rFonts w:hint="eastAsia"/>
        </w:rPr>
        <w:t>中国积极发展高等教育。</w:t>
      </w:r>
      <w:r>
        <w:rPr>
          <w:rFonts w:hint="eastAsia"/>
        </w:rPr>
        <w:t>2001</w:t>
      </w:r>
      <w:r>
        <w:rPr>
          <w:rFonts w:hint="eastAsia"/>
        </w:rPr>
        <w:t>年全国高校在校生达</w:t>
      </w:r>
      <w:r>
        <w:rPr>
          <w:rFonts w:hint="eastAsia"/>
        </w:rPr>
        <w:t>1300</w:t>
      </w:r>
      <w:r>
        <w:rPr>
          <w:rFonts w:hint="eastAsia"/>
        </w:rPr>
        <w:t>万人，是</w:t>
      </w:r>
      <w:r>
        <w:rPr>
          <w:rFonts w:hint="eastAsia"/>
        </w:rPr>
        <w:t>1989</w:t>
      </w:r>
      <w:r>
        <w:rPr>
          <w:rFonts w:hint="eastAsia"/>
        </w:rPr>
        <w:t>年的</w:t>
      </w:r>
      <w:r>
        <w:rPr>
          <w:rFonts w:hint="eastAsia"/>
        </w:rPr>
        <w:t>3.4</w:t>
      </w:r>
      <w:r>
        <w:rPr>
          <w:rFonts w:hint="eastAsia"/>
        </w:rPr>
        <w:t>倍。</w:t>
      </w:r>
      <w:r>
        <w:rPr>
          <w:rFonts w:hint="eastAsia"/>
        </w:rPr>
        <w:t>1989</w:t>
      </w:r>
      <w:r>
        <w:rPr>
          <w:rFonts w:hint="eastAsia"/>
        </w:rPr>
        <w:t>年到</w:t>
      </w:r>
      <w:r>
        <w:rPr>
          <w:rFonts w:hint="eastAsia"/>
        </w:rPr>
        <w:t>2001</w:t>
      </w:r>
      <w:r>
        <w:rPr>
          <w:rFonts w:hint="eastAsia"/>
        </w:rPr>
        <w:t>年，我国普通和成人高等学校共有本专科毕业生近</w:t>
      </w:r>
      <w:r>
        <w:rPr>
          <w:rFonts w:hint="eastAsia"/>
        </w:rPr>
        <w:t>1200</w:t>
      </w:r>
      <w:r>
        <w:rPr>
          <w:rFonts w:hint="eastAsia"/>
        </w:rPr>
        <w:t>万人，毕业研究生</w:t>
      </w:r>
      <w:r>
        <w:rPr>
          <w:rFonts w:hint="eastAsia"/>
        </w:rPr>
        <w:t>30</w:t>
      </w:r>
      <w:r>
        <w:rPr>
          <w:rFonts w:hint="eastAsia"/>
        </w:rPr>
        <w:t>多万。高等教育毛入学率从</w:t>
      </w:r>
      <w:r>
        <w:rPr>
          <w:rFonts w:hint="eastAsia"/>
        </w:rPr>
        <w:t>1991</w:t>
      </w:r>
      <w:r>
        <w:rPr>
          <w:rFonts w:hint="eastAsia"/>
        </w:rPr>
        <w:t>年的</w:t>
      </w:r>
      <w:r>
        <w:rPr>
          <w:rFonts w:hint="eastAsia"/>
        </w:rPr>
        <w:t>3.5%</w:t>
      </w:r>
      <w:r>
        <w:rPr>
          <w:rFonts w:hint="eastAsia"/>
        </w:rPr>
        <w:t>提高到</w:t>
      </w:r>
      <w:r>
        <w:rPr>
          <w:rFonts w:hint="eastAsia"/>
        </w:rPr>
        <w:t>2001</w:t>
      </w:r>
      <w:r>
        <w:rPr>
          <w:rFonts w:hint="eastAsia"/>
        </w:rPr>
        <w:t>年的</w:t>
      </w:r>
      <w:r>
        <w:rPr>
          <w:rFonts w:hint="eastAsia"/>
        </w:rPr>
        <w:t>13.3%</w:t>
      </w:r>
      <w:r>
        <w:rPr>
          <w:rFonts w:hint="eastAsia"/>
        </w:rPr>
        <w:t>，增加近</w:t>
      </w:r>
      <w:r>
        <w:rPr>
          <w:rFonts w:hint="eastAsia"/>
        </w:rPr>
        <w:t>10</w:t>
      </w:r>
      <w:r>
        <w:rPr>
          <w:rFonts w:hint="eastAsia"/>
        </w:rPr>
        <w:t>个百分点；高考录取率从</w:t>
      </w:r>
      <w:r>
        <w:rPr>
          <w:rFonts w:hint="eastAsia"/>
        </w:rPr>
        <w:t>1991</w:t>
      </w:r>
      <w:r>
        <w:rPr>
          <w:rFonts w:hint="eastAsia"/>
        </w:rPr>
        <w:t>年的</w:t>
      </w:r>
      <w:r>
        <w:rPr>
          <w:rFonts w:hint="eastAsia"/>
        </w:rPr>
        <w:t>21%</w:t>
      </w:r>
      <w:r>
        <w:rPr>
          <w:rFonts w:hint="eastAsia"/>
        </w:rPr>
        <w:t>提高到</w:t>
      </w:r>
      <w:r>
        <w:rPr>
          <w:rFonts w:hint="eastAsia"/>
        </w:rPr>
        <w:t>2001</w:t>
      </w:r>
      <w:r>
        <w:rPr>
          <w:rFonts w:hint="eastAsia"/>
        </w:rPr>
        <w:t>年的</w:t>
      </w:r>
      <w:r>
        <w:rPr>
          <w:rFonts w:hint="eastAsia"/>
        </w:rPr>
        <w:t>57%</w:t>
      </w:r>
      <w:r>
        <w:rPr>
          <w:rFonts w:hint="eastAsia"/>
        </w:rPr>
        <w:t>，提高了</w:t>
      </w:r>
      <w:r>
        <w:rPr>
          <w:rFonts w:hint="eastAsia"/>
        </w:rPr>
        <w:t>36</w:t>
      </w:r>
      <w:r>
        <w:rPr>
          <w:rFonts w:hint="eastAsia"/>
        </w:rPr>
        <w:t>个百分点。从</w:t>
      </w:r>
      <w:r>
        <w:rPr>
          <w:rFonts w:hint="eastAsia"/>
        </w:rPr>
        <w:t>1995</w:t>
      </w:r>
      <w:r>
        <w:rPr>
          <w:rFonts w:hint="eastAsia"/>
        </w:rPr>
        <w:t>年开始，中央财政投资</w:t>
      </w:r>
      <w:r>
        <w:rPr>
          <w:rFonts w:hint="eastAsia"/>
        </w:rPr>
        <w:t>87.6</w:t>
      </w:r>
      <w:r>
        <w:rPr>
          <w:rFonts w:hint="eastAsia"/>
        </w:rPr>
        <w:t>亿元，实施了高等教育“</w:t>
      </w:r>
      <w:r>
        <w:rPr>
          <w:rFonts w:hint="eastAsia"/>
        </w:rPr>
        <w:t>211</w:t>
      </w:r>
      <w:r>
        <w:rPr>
          <w:rFonts w:hint="eastAsia"/>
        </w:rPr>
        <w:t>工程”，重点建设了近</w:t>
      </w:r>
      <w:r>
        <w:rPr>
          <w:rFonts w:hint="eastAsia"/>
        </w:rPr>
        <w:t>100</w:t>
      </w:r>
      <w:r>
        <w:rPr>
          <w:rFonts w:hint="eastAsia"/>
        </w:rPr>
        <w:t>所高等院校。中国大力发展现代远程教育、职业资格证书教育和其他继续教育，完善自学考试制度，形成社会化，开放式的教育网络。从</w:t>
      </w:r>
      <w:r>
        <w:rPr>
          <w:rFonts w:hint="eastAsia"/>
        </w:rPr>
        <w:t>1999</w:t>
      </w:r>
      <w:r>
        <w:rPr>
          <w:rFonts w:hint="eastAsia"/>
        </w:rPr>
        <w:t>年到</w:t>
      </w:r>
      <w:r>
        <w:rPr>
          <w:rFonts w:hint="eastAsia"/>
        </w:rPr>
        <w:t>2002</w:t>
      </w:r>
      <w:r>
        <w:rPr>
          <w:rFonts w:hint="eastAsia"/>
        </w:rPr>
        <w:t>年，高等学校网络教育从无到有，规模迅速扩大，目前累计注册学生近</w:t>
      </w:r>
      <w:r>
        <w:rPr>
          <w:rFonts w:hint="eastAsia"/>
        </w:rPr>
        <w:t>130</w:t>
      </w:r>
      <w:r>
        <w:rPr>
          <w:rFonts w:hint="eastAsia"/>
        </w:rPr>
        <w:t>万人。到</w:t>
      </w:r>
      <w:r>
        <w:rPr>
          <w:rFonts w:hint="eastAsia"/>
        </w:rPr>
        <w:t>2001</w:t>
      </w:r>
      <w:r>
        <w:rPr>
          <w:rFonts w:hint="eastAsia"/>
        </w:rPr>
        <w:t>年全国高等教育自学考试报考人数达</w:t>
      </w:r>
      <w:r>
        <w:rPr>
          <w:rFonts w:hint="eastAsia"/>
        </w:rPr>
        <w:t>1339.43</w:t>
      </w:r>
      <w:r>
        <w:rPr>
          <w:rFonts w:hint="eastAsia"/>
        </w:rPr>
        <w:t>万人次，取得毕业证书人数达</w:t>
      </w:r>
      <w:r>
        <w:rPr>
          <w:rFonts w:hint="eastAsia"/>
        </w:rPr>
        <w:t>64.1</w:t>
      </w:r>
      <w:r>
        <w:rPr>
          <w:rFonts w:hint="eastAsia"/>
        </w:rPr>
        <w:t>万人；全国成人高等教育在校生规模达</w:t>
      </w:r>
      <w:r>
        <w:rPr>
          <w:rFonts w:hint="eastAsia"/>
        </w:rPr>
        <w:t>455.98</w:t>
      </w:r>
      <w:r>
        <w:rPr>
          <w:rFonts w:hint="eastAsia"/>
        </w:rPr>
        <w:t>万人。高等教育规模的扩大，缓解了高等教育长期形成的“供求”矛盾。中国政府一贯支持公民出国留学。</w:t>
      </w:r>
      <w:r>
        <w:rPr>
          <w:rFonts w:hint="eastAsia"/>
        </w:rPr>
        <w:t>1978</w:t>
      </w:r>
      <w:r>
        <w:rPr>
          <w:rFonts w:hint="eastAsia"/>
        </w:rPr>
        <w:t>年至</w:t>
      </w:r>
      <w:r>
        <w:rPr>
          <w:rFonts w:hint="eastAsia"/>
        </w:rPr>
        <w:t>2002</w:t>
      </w:r>
      <w:r>
        <w:rPr>
          <w:rFonts w:hint="eastAsia"/>
        </w:rPr>
        <w:t>年底，全国出国留学人员达</w:t>
      </w:r>
      <w:r>
        <w:rPr>
          <w:rFonts w:hint="eastAsia"/>
        </w:rPr>
        <w:t>58</w:t>
      </w:r>
      <w:r>
        <w:rPr>
          <w:rFonts w:hint="eastAsia"/>
        </w:rPr>
        <w:t>万多人。</w:t>
      </w:r>
    </w:p>
    <w:p w:rsidR="00000000" w:rsidRDefault="00000000">
      <w:pPr>
        <w:rPr>
          <w:rFonts w:hint="eastAsia"/>
        </w:rPr>
      </w:pPr>
      <w:r>
        <w:rPr>
          <w:rFonts w:hint="eastAsia"/>
        </w:rPr>
        <w:tab/>
        <w:t xml:space="preserve">223.  </w:t>
      </w:r>
      <w:r>
        <w:rPr>
          <w:rFonts w:hint="eastAsia"/>
        </w:rPr>
        <w:t>为资助经济困难的高校学生完成学业，国家采取了一系列措施。</w:t>
      </w:r>
      <w:r>
        <w:rPr>
          <w:rFonts w:hint="eastAsia"/>
        </w:rPr>
        <w:t>1987</w:t>
      </w:r>
      <w:r>
        <w:rPr>
          <w:rFonts w:hint="eastAsia"/>
        </w:rPr>
        <w:t>年国家开始实施奖学金制度。</w:t>
      </w:r>
      <w:r>
        <w:rPr>
          <w:rFonts w:hint="eastAsia"/>
        </w:rPr>
        <w:t>1993</w:t>
      </w:r>
      <w:r>
        <w:rPr>
          <w:rFonts w:hint="eastAsia"/>
        </w:rPr>
        <w:t>年以来，高等学校中逐步建立以奖学金、学生贷款、勤工俭学基金、特殊困难补助和学费减免为主体的多元化资助政策体系。</w:t>
      </w:r>
      <w:r>
        <w:rPr>
          <w:rFonts w:hint="eastAsia"/>
        </w:rPr>
        <w:t>1994</w:t>
      </w:r>
      <w:r>
        <w:rPr>
          <w:rFonts w:hint="eastAsia"/>
        </w:rPr>
        <w:t>年至</w:t>
      </w:r>
      <w:r>
        <w:rPr>
          <w:rFonts w:hint="eastAsia"/>
        </w:rPr>
        <w:t>2001</w:t>
      </w:r>
      <w:r>
        <w:rPr>
          <w:rFonts w:hint="eastAsia"/>
        </w:rPr>
        <w:t>年，中央财政拨款</w:t>
      </w:r>
      <w:r>
        <w:rPr>
          <w:rFonts w:hint="eastAsia"/>
        </w:rPr>
        <w:t>11.5</w:t>
      </w:r>
      <w:r>
        <w:rPr>
          <w:rFonts w:hint="eastAsia"/>
        </w:rPr>
        <w:t>亿元，专门用于资助高校困难学生。</w:t>
      </w:r>
      <w:r>
        <w:rPr>
          <w:rFonts w:hint="eastAsia"/>
        </w:rPr>
        <w:t>1999</w:t>
      </w:r>
      <w:r>
        <w:rPr>
          <w:rFonts w:hint="eastAsia"/>
        </w:rPr>
        <w:t>年，国家建立国家助学贷款制度并于</w:t>
      </w:r>
      <w:r>
        <w:rPr>
          <w:rFonts w:hint="eastAsia"/>
        </w:rPr>
        <w:t>2000</w:t>
      </w:r>
      <w:r>
        <w:rPr>
          <w:rFonts w:hint="eastAsia"/>
        </w:rPr>
        <w:t>年全面推开。中央政府从</w:t>
      </w:r>
      <w:r>
        <w:rPr>
          <w:rFonts w:hint="eastAsia"/>
        </w:rPr>
        <w:t>2002</w:t>
      </w:r>
      <w:r>
        <w:rPr>
          <w:rFonts w:hint="eastAsia"/>
        </w:rPr>
        <w:t>年起设立国家奖学金，每年拨出</w:t>
      </w:r>
      <w:r>
        <w:rPr>
          <w:rFonts w:hint="eastAsia"/>
        </w:rPr>
        <w:t>2</w:t>
      </w:r>
      <w:r>
        <w:rPr>
          <w:rFonts w:hint="eastAsia"/>
        </w:rPr>
        <w:t>亿元，资助</w:t>
      </w:r>
      <w:r>
        <w:rPr>
          <w:rFonts w:hint="eastAsia"/>
        </w:rPr>
        <w:t>45000</w:t>
      </w:r>
      <w:r>
        <w:rPr>
          <w:rFonts w:hint="eastAsia"/>
        </w:rPr>
        <w:t>名家庭经济困难，德、智、体、美等各方面全面发展的学生。</w:t>
      </w:r>
    </w:p>
    <w:p w:rsidR="00000000" w:rsidRDefault="00000000">
      <w:pPr>
        <w:rPr>
          <w:rFonts w:hint="eastAsia"/>
        </w:rPr>
      </w:pPr>
      <w:r>
        <w:rPr>
          <w:rFonts w:hint="eastAsia"/>
        </w:rPr>
        <w:tab/>
        <w:t xml:space="preserve">224.  </w:t>
      </w:r>
      <w:r>
        <w:rPr>
          <w:rFonts w:hint="eastAsia"/>
        </w:rPr>
        <w:t>为提高教育质量，中国不断提高教师素质、待遇和社会地位。国家相继颁布《教师法》、《教师资格条例》等法律法规，国家规定每年</w:t>
      </w:r>
      <w:r>
        <w:rPr>
          <w:rFonts w:hint="eastAsia"/>
        </w:rPr>
        <w:t>9</w:t>
      </w:r>
      <w:r>
        <w:rPr>
          <w:rFonts w:hint="eastAsia"/>
        </w:rPr>
        <w:t>月</w:t>
      </w:r>
      <w:r>
        <w:rPr>
          <w:rFonts w:hint="eastAsia"/>
        </w:rPr>
        <w:t>10</w:t>
      </w:r>
      <w:r>
        <w:rPr>
          <w:rFonts w:hint="eastAsia"/>
        </w:rPr>
        <w:t>日为教师节。中央政府通过实施“长江学者奖励计划”、“高校优秀青年教师教学和科研奖励计划”、“优秀青年教师资助计划”等，造就了新一代优秀青年学术带头人队伍，吸引、稳定和培养了一批有志于高等教育事业的优秀中青年骨干教师。通过实施“跨世纪园丁工程”、“特级教师计划”、中小学校长培训不断加强中小学骨干教师和校长队伍建设。小学、初中、高中教师的学历合格率，分别从</w:t>
      </w:r>
      <w:r>
        <w:rPr>
          <w:rFonts w:hint="eastAsia"/>
        </w:rPr>
        <w:t>1998</w:t>
      </w:r>
      <w:r>
        <w:rPr>
          <w:rFonts w:hint="eastAsia"/>
        </w:rPr>
        <w:t>年的</w:t>
      </w:r>
      <w:r>
        <w:rPr>
          <w:rFonts w:hint="eastAsia"/>
        </w:rPr>
        <w:t>94.6%</w:t>
      </w:r>
      <w:r>
        <w:rPr>
          <w:rFonts w:hint="eastAsia"/>
        </w:rPr>
        <w:t>、</w:t>
      </w:r>
      <w:r>
        <w:rPr>
          <w:rFonts w:hint="eastAsia"/>
        </w:rPr>
        <w:t>83.4%</w:t>
      </w:r>
      <w:r>
        <w:rPr>
          <w:rFonts w:hint="eastAsia"/>
        </w:rPr>
        <w:t>和</w:t>
      </w:r>
      <w:r>
        <w:rPr>
          <w:rFonts w:hint="eastAsia"/>
        </w:rPr>
        <w:t>63.5%</w:t>
      </w:r>
      <w:r>
        <w:rPr>
          <w:rFonts w:hint="eastAsia"/>
        </w:rPr>
        <w:t>提高到</w:t>
      </w:r>
      <w:r>
        <w:rPr>
          <w:rFonts w:hint="eastAsia"/>
        </w:rPr>
        <w:t>2001</w:t>
      </w:r>
      <w:r>
        <w:rPr>
          <w:rFonts w:hint="eastAsia"/>
        </w:rPr>
        <w:t>年的</w:t>
      </w:r>
      <w:r>
        <w:rPr>
          <w:rFonts w:hint="eastAsia"/>
        </w:rPr>
        <w:t>96.8%</w:t>
      </w:r>
      <w:r>
        <w:rPr>
          <w:rFonts w:hint="eastAsia"/>
        </w:rPr>
        <w:t>、</w:t>
      </w:r>
      <w:r>
        <w:rPr>
          <w:rFonts w:hint="eastAsia"/>
        </w:rPr>
        <w:t>88.8%</w:t>
      </w:r>
      <w:r>
        <w:rPr>
          <w:rFonts w:hint="eastAsia"/>
        </w:rPr>
        <w:t>、</w:t>
      </w:r>
      <w:r>
        <w:rPr>
          <w:rFonts w:hint="eastAsia"/>
        </w:rPr>
        <w:t>70.7%</w:t>
      </w:r>
      <w:r>
        <w:rPr>
          <w:rFonts w:hint="eastAsia"/>
        </w:rPr>
        <w:t>。《教师法》第</w:t>
      </w:r>
      <w:r>
        <w:rPr>
          <w:rFonts w:hint="eastAsia"/>
        </w:rPr>
        <w:t>25</w:t>
      </w:r>
      <w:r>
        <w:rPr>
          <w:rFonts w:hint="eastAsia"/>
        </w:rPr>
        <w:t>条规定：“教师平均工资水平应当不低于或者高于国家公务员的平均工资水平，并逐步提高。”中国多次提高教师工资标准。</w:t>
      </w:r>
      <w:r>
        <w:rPr>
          <w:rFonts w:hint="eastAsia"/>
        </w:rPr>
        <w:t>2001</w:t>
      </w:r>
      <w:r>
        <w:rPr>
          <w:rFonts w:hint="eastAsia"/>
        </w:rPr>
        <w:t>年全国中、小学教师月平均工资分别由</w:t>
      </w:r>
      <w:r>
        <w:rPr>
          <w:rFonts w:hint="eastAsia"/>
        </w:rPr>
        <w:t>1995</w:t>
      </w:r>
      <w:r>
        <w:rPr>
          <w:rFonts w:hint="eastAsia"/>
        </w:rPr>
        <w:t>年的</w:t>
      </w:r>
      <w:r>
        <w:rPr>
          <w:rFonts w:hint="eastAsia"/>
        </w:rPr>
        <w:t>452</w:t>
      </w:r>
      <w:r>
        <w:rPr>
          <w:rFonts w:hint="eastAsia"/>
        </w:rPr>
        <w:t>元、</w:t>
      </w:r>
      <w:r>
        <w:rPr>
          <w:rFonts w:hint="eastAsia"/>
        </w:rPr>
        <w:t>415</w:t>
      </w:r>
      <w:r>
        <w:rPr>
          <w:rFonts w:hint="eastAsia"/>
        </w:rPr>
        <w:t>元增加到</w:t>
      </w:r>
      <w:r>
        <w:rPr>
          <w:rFonts w:hint="eastAsia"/>
        </w:rPr>
        <w:t>906</w:t>
      </w:r>
      <w:r>
        <w:rPr>
          <w:rFonts w:hint="eastAsia"/>
        </w:rPr>
        <w:t>元、</w:t>
      </w:r>
      <w:r>
        <w:rPr>
          <w:rFonts w:hint="eastAsia"/>
        </w:rPr>
        <w:t>804</w:t>
      </w:r>
      <w:r>
        <w:rPr>
          <w:rFonts w:hint="eastAsia"/>
        </w:rPr>
        <w:t>元，分别提高</w:t>
      </w:r>
      <w:r>
        <w:rPr>
          <w:rFonts w:hint="eastAsia"/>
        </w:rPr>
        <w:t>100.4%</w:t>
      </w:r>
      <w:r>
        <w:rPr>
          <w:rFonts w:hint="eastAsia"/>
        </w:rPr>
        <w:t>和</w:t>
      </w:r>
      <w:r>
        <w:rPr>
          <w:rFonts w:hint="eastAsia"/>
        </w:rPr>
        <w:t>93.7%</w:t>
      </w:r>
      <w:r>
        <w:rPr>
          <w:rFonts w:hint="eastAsia"/>
        </w:rPr>
        <w:t>。教师正在成为越来越具有吸引力的职业。</w:t>
      </w:r>
      <w:r>
        <w:rPr>
          <w:rFonts w:hint="eastAsia"/>
        </w:rPr>
        <w:t>1991-2001</w:t>
      </w:r>
      <w:r>
        <w:rPr>
          <w:rFonts w:hint="eastAsia"/>
        </w:rPr>
        <w:t>年，全国教职工住房建设共完成投资</w:t>
      </w:r>
      <w:r>
        <w:rPr>
          <w:rFonts w:hint="eastAsia"/>
        </w:rPr>
        <w:t>1400</w:t>
      </w:r>
      <w:r>
        <w:rPr>
          <w:rFonts w:hint="eastAsia"/>
        </w:rPr>
        <w:t>多亿元，建成教师住宅</w:t>
      </w:r>
      <w:r>
        <w:rPr>
          <w:rFonts w:hint="eastAsia"/>
        </w:rPr>
        <w:t>1.9</w:t>
      </w:r>
      <w:r>
        <w:rPr>
          <w:rFonts w:hint="eastAsia"/>
        </w:rPr>
        <w:t>亿平方米，约</w:t>
      </w:r>
      <w:r>
        <w:rPr>
          <w:rFonts w:hint="eastAsia"/>
        </w:rPr>
        <w:t>270</w:t>
      </w:r>
      <w:r>
        <w:rPr>
          <w:rFonts w:hint="eastAsia"/>
        </w:rPr>
        <w:t>余万套，城镇教师家庭人均住房面积从</w:t>
      </w:r>
      <w:r>
        <w:rPr>
          <w:rFonts w:hint="eastAsia"/>
        </w:rPr>
        <w:t>1991</w:t>
      </w:r>
      <w:r>
        <w:rPr>
          <w:rFonts w:hint="eastAsia"/>
        </w:rPr>
        <w:t>年底的</w:t>
      </w:r>
      <w:r>
        <w:rPr>
          <w:rFonts w:hint="eastAsia"/>
        </w:rPr>
        <w:t>6.29</w:t>
      </w:r>
      <w:r>
        <w:rPr>
          <w:rFonts w:hint="eastAsia"/>
        </w:rPr>
        <w:t>平方米提高到</w:t>
      </w:r>
      <w:r>
        <w:rPr>
          <w:rFonts w:hint="eastAsia"/>
        </w:rPr>
        <w:t>2001</w:t>
      </w:r>
      <w:r>
        <w:rPr>
          <w:rFonts w:hint="eastAsia"/>
        </w:rPr>
        <w:t>年初的</w:t>
      </w:r>
      <w:r>
        <w:rPr>
          <w:rFonts w:hint="eastAsia"/>
        </w:rPr>
        <w:t>10.81</w:t>
      </w:r>
      <w:r>
        <w:rPr>
          <w:rFonts w:hint="eastAsia"/>
        </w:rPr>
        <w:t>平方米，超过了同期城镇居民人均居住面积</w:t>
      </w:r>
      <w:r>
        <w:rPr>
          <w:rFonts w:hint="eastAsia"/>
        </w:rPr>
        <w:t>(10.25</w:t>
      </w:r>
      <w:r>
        <w:rPr>
          <w:rFonts w:hint="eastAsia"/>
        </w:rPr>
        <w:t>平方米</w:t>
      </w:r>
      <w:r>
        <w:rPr>
          <w:rFonts w:hint="eastAsia"/>
        </w:rPr>
        <w:t>)0.56</w:t>
      </w:r>
      <w:r>
        <w:rPr>
          <w:rFonts w:hint="eastAsia"/>
        </w:rPr>
        <w:t>平方米。</w:t>
      </w:r>
    </w:p>
    <w:p w:rsidR="00000000" w:rsidRDefault="00000000">
      <w:pPr>
        <w:rPr>
          <w:rFonts w:hint="eastAsia"/>
        </w:rPr>
      </w:pPr>
      <w:r>
        <w:rPr>
          <w:rFonts w:hint="eastAsia"/>
        </w:rPr>
        <w:tab/>
        <w:t xml:space="preserve">225.  </w:t>
      </w:r>
      <w:r>
        <w:rPr>
          <w:rFonts w:hint="eastAsia"/>
        </w:rPr>
        <w:t>中国重视吸纳社会上各种资源共同举办教育机构。</w:t>
      </w:r>
      <w:r>
        <w:rPr>
          <w:rFonts w:hint="eastAsia"/>
        </w:rPr>
        <w:t>1997</w:t>
      </w:r>
      <w:r>
        <w:rPr>
          <w:rFonts w:hint="eastAsia"/>
        </w:rPr>
        <w:t>年国务院制定《社会力量办学条例》，</w:t>
      </w:r>
      <w:r>
        <w:rPr>
          <w:rFonts w:hint="eastAsia"/>
        </w:rPr>
        <w:t>2002</w:t>
      </w:r>
      <w:r>
        <w:rPr>
          <w:rFonts w:hint="eastAsia"/>
        </w:rPr>
        <w:t>年底全国人大常委会审议通过了《民办教育促进法》，将于</w:t>
      </w:r>
      <w:r>
        <w:rPr>
          <w:rFonts w:hint="eastAsia"/>
        </w:rPr>
        <w:t>2003</w:t>
      </w:r>
      <w:r>
        <w:rPr>
          <w:rFonts w:hint="eastAsia"/>
        </w:rPr>
        <w:t>年</w:t>
      </w:r>
      <w:r>
        <w:rPr>
          <w:rFonts w:hint="eastAsia"/>
        </w:rPr>
        <w:t>9</w:t>
      </w:r>
      <w:r>
        <w:rPr>
          <w:rFonts w:hint="eastAsia"/>
        </w:rPr>
        <w:t>月施行，中国的民办教育进入了迅速发展的时期。截至</w:t>
      </w:r>
      <w:r>
        <w:rPr>
          <w:rFonts w:hint="eastAsia"/>
        </w:rPr>
        <w:t>2001</w:t>
      </w:r>
      <w:r>
        <w:rPr>
          <w:rFonts w:hint="eastAsia"/>
        </w:rPr>
        <w:t>年，全国民办学校已达</w:t>
      </w:r>
      <w:r>
        <w:rPr>
          <w:rFonts w:hint="eastAsia"/>
        </w:rPr>
        <w:t>56274</w:t>
      </w:r>
      <w:r>
        <w:rPr>
          <w:rFonts w:hint="eastAsia"/>
        </w:rPr>
        <w:t>所，比</w:t>
      </w:r>
      <w:r>
        <w:rPr>
          <w:rFonts w:hint="eastAsia"/>
        </w:rPr>
        <w:t>1996</w:t>
      </w:r>
      <w:r>
        <w:rPr>
          <w:rFonts w:hint="eastAsia"/>
        </w:rPr>
        <w:t>年增加</w:t>
      </w:r>
      <w:r>
        <w:rPr>
          <w:rFonts w:hint="eastAsia"/>
        </w:rPr>
        <w:t>27190</w:t>
      </w:r>
      <w:r>
        <w:rPr>
          <w:rFonts w:hint="eastAsia"/>
        </w:rPr>
        <w:t>所；在校学生</w:t>
      </w:r>
      <w:r>
        <w:rPr>
          <w:rFonts w:hint="eastAsia"/>
        </w:rPr>
        <w:t>923</w:t>
      </w:r>
      <w:r>
        <w:rPr>
          <w:rFonts w:hint="eastAsia"/>
        </w:rPr>
        <w:t>万人</w:t>
      </w:r>
      <w:r>
        <w:t>，</w:t>
      </w:r>
      <w:r>
        <w:rPr>
          <w:rFonts w:hint="eastAsia"/>
        </w:rPr>
        <w:t>比</w:t>
      </w:r>
      <w:r>
        <w:t>1996</w:t>
      </w:r>
      <w:r>
        <w:rPr>
          <w:rFonts w:hint="eastAsia"/>
        </w:rPr>
        <w:t>年增加</w:t>
      </w:r>
      <w:r>
        <w:rPr>
          <w:rFonts w:hint="eastAsia"/>
        </w:rPr>
        <w:t>585</w:t>
      </w:r>
      <w:r>
        <w:rPr>
          <w:rFonts w:hint="eastAsia"/>
        </w:rPr>
        <w:t>万人。民办幼儿园</w:t>
      </w:r>
      <w:r>
        <w:rPr>
          <w:rFonts w:hint="eastAsia"/>
        </w:rPr>
        <w:t>44526</w:t>
      </w:r>
      <w:r>
        <w:rPr>
          <w:rFonts w:hint="eastAsia"/>
        </w:rPr>
        <w:t>所，占全国幼儿园总数的</w:t>
      </w:r>
      <w:r>
        <w:rPr>
          <w:rFonts w:hint="eastAsia"/>
        </w:rPr>
        <w:t>39.9%</w:t>
      </w:r>
      <w:r>
        <w:rPr>
          <w:rFonts w:hint="eastAsia"/>
        </w:rPr>
        <w:t>；民办小学</w:t>
      </w:r>
      <w:r>
        <w:rPr>
          <w:rFonts w:hint="eastAsia"/>
        </w:rPr>
        <w:t>4846</w:t>
      </w:r>
      <w:r>
        <w:rPr>
          <w:rFonts w:hint="eastAsia"/>
        </w:rPr>
        <w:t>所，占全国小学总数的</w:t>
      </w:r>
      <w:r>
        <w:rPr>
          <w:rFonts w:hint="eastAsia"/>
        </w:rPr>
        <w:t>1%</w:t>
      </w:r>
      <w:r>
        <w:rPr>
          <w:rFonts w:hint="eastAsia"/>
        </w:rPr>
        <w:t>；在校生</w:t>
      </w:r>
      <w:r>
        <w:rPr>
          <w:rFonts w:hint="eastAsia"/>
        </w:rPr>
        <w:t>182</w:t>
      </w:r>
      <w:r>
        <w:rPr>
          <w:rFonts w:hint="eastAsia"/>
        </w:rPr>
        <w:t>万人，占总数的</w:t>
      </w:r>
      <w:r>
        <w:rPr>
          <w:rFonts w:hint="eastAsia"/>
        </w:rPr>
        <w:t>1.4%</w:t>
      </w:r>
      <w:r>
        <w:rPr>
          <w:rFonts w:hint="eastAsia"/>
        </w:rPr>
        <w:t>。民办普通中学</w:t>
      </w:r>
      <w:r>
        <w:rPr>
          <w:rFonts w:hint="eastAsia"/>
        </w:rPr>
        <w:t>4571</w:t>
      </w:r>
      <w:r>
        <w:rPr>
          <w:rFonts w:hint="eastAsia"/>
        </w:rPr>
        <w:t>所，占全国中学总数</w:t>
      </w:r>
      <w:r>
        <w:rPr>
          <w:rFonts w:hint="eastAsia"/>
        </w:rPr>
        <w:t>5.7%</w:t>
      </w:r>
      <w:r>
        <w:rPr>
          <w:rFonts w:hint="eastAsia"/>
        </w:rPr>
        <w:t>；在校生</w:t>
      </w:r>
      <w:r>
        <w:rPr>
          <w:rFonts w:hint="eastAsia"/>
        </w:rPr>
        <w:t>233</w:t>
      </w:r>
      <w:r>
        <w:rPr>
          <w:rFonts w:hint="eastAsia"/>
        </w:rPr>
        <w:t>万人，占总数的</w:t>
      </w:r>
      <w:r>
        <w:rPr>
          <w:rFonts w:hint="eastAsia"/>
        </w:rPr>
        <w:t>3%</w:t>
      </w:r>
      <w:r>
        <w:rPr>
          <w:rFonts w:hint="eastAsia"/>
        </w:rPr>
        <w:t>。民办职业中学</w:t>
      </w:r>
      <w:r>
        <w:rPr>
          <w:rFonts w:hint="eastAsia"/>
        </w:rPr>
        <w:t>1040</w:t>
      </w:r>
      <w:r>
        <w:rPr>
          <w:rFonts w:hint="eastAsia"/>
        </w:rPr>
        <w:t>所，占全国职业中学总数的</w:t>
      </w:r>
      <w:r>
        <w:rPr>
          <w:rFonts w:hint="eastAsia"/>
        </w:rPr>
        <w:t>13.3%</w:t>
      </w:r>
      <w:r>
        <w:rPr>
          <w:rFonts w:hint="eastAsia"/>
        </w:rPr>
        <w:t>；在校生</w:t>
      </w:r>
      <w:r>
        <w:rPr>
          <w:rFonts w:hint="eastAsia"/>
        </w:rPr>
        <w:t>38</w:t>
      </w:r>
      <w:r>
        <w:rPr>
          <w:rFonts w:hint="eastAsia"/>
        </w:rPr>
        <w:t>万人，占总数的</w:t>
      </w:r>
      <w:r>
        <w:rPr>
          <w:rFonts w:hint="eastAsia"/>
        </w:rPr>
        <w:t>8.1%</w:t>
      </w:r>
      <w:r>
        <w:rPr>
          <w:rFonts w:hint="eastAsia"/>
        </w:rPr>
        <w:t>。民办高等教育机构</w:t>
      </w:r>
      <w:r>
        <w:rPr>
          <w:rFonts w:hint="eastAsia"/>
        </w:rPr>
        <w:t>1202</w:t>
      </w:r>
      <w:r>
        <w:rPr>
          <w:rFonts w:hint="eastAsia"/>
        </w:rPr>
        <w:t>所，注册学生</w:t>
      </w:r>
      <w:r>
        <w:rPr>
          <w:rFonts w:hint="eastAsia"/>
        </w:rPr>
        <w:t>113</w:t>
      </w:r>
      <w:r>
        <w:rPr>
          <w:rFonts w:hint="eastAsia"/>
        </w:rPr>
        <w:t>万人。</w:t>
      </w:r>
      <w:r>
        <w:rPr>
          <w:rFonts w:hint="eastAsia"/>
        </w:rPr>
        <w:t>1995</w:t>
      </w:r>
      <w:r>
        <w:rPr>
          <w:rFonts w:hint="eastAsia"/>
        </w:rPr>
        <w:t>年原国家教委颁布《中外合作办学暂行规定》促进了中外合作办学的快速发展。截至</w:t>
      </w:r>
      <w:r>
        <w:rPr>
          <w:rFonts w:hint="eastAsia"/>
        </w:rPr>
        <w:t>2001</w:t>
      </w:r>
      <w:r>
        <w:rPr>
          <w:rFonts w:hint="eastAsia"/>
        </w:rPr>
        <w:t>年底，全国中外合作办学机构或项目共有</w:t>
      </w:r>
      <w:r>
        <w:rPr>
          <w:rFonts w:hint="eastAsia"/>
        </w:rPr>
        <w:t>657</w:t>
      </w:r>
      <w:r>
        <w:rPr>
          <w:rFonts w:hint="eastAsia"/>
        </w:rPr>
        <w:t>个。</w:t>
      </w:r>
      <w:r>
        <w:rPr>
          <w:rFonts w:hint="eastAsia"/>
        </w:rPr>
        <w:t>2003</w:t>
      </w:r>
      <w:r>
        <w:rPr>
          <w:rFonts w:hint="eastAsia"/>
        </w:rPr>
        <w:t>年</w:t>
      </w:r>
      <w:r>
        <w:rPr>
          <w:rFonts w:hint="eastAsia"/>
        </w:rPr>
        <w:t>3</w:t>
      </w:r>
      <w:r>
        <w:rPr>
          <w:rFonts w:hint="eastAsia"/>
        </w:rPr>
        <w:t>月，国务院制定颁布了《中外合作办学条例》，将于</w:t>
      </w:r>
      <w:r>
        <w:rPr>
          <w:rFonts w:hint="eastAsia"/>
        </w:rPr>
        <w:t>2003</w:t>
      </w:r>
      <w:r>
        <w:rPr>
          <w:rFonts w:hint="eastAsia"/>
        </w:rPr>
        <w:t>年</w:t>
      </w:r>
      <w:r>
        <w:rPr>
          <w:rFonts w:hint="eastAsia"/>
        </w:rPr>
        <w:t>9</w:t>
      </w:r>
      <w:r>
        <w:rPr>
          <w:rFonts w:hint="eastAsia"/>
        </w:rPr>
        <w:t>月</w:t>
      </w:r>
      <w:r>
        <w:rPr>
          <w:rFonts w:hint="eastAsia"/>
        </w:rPr>
        <w:t>1</w:t>
      </w:r>
      <w:r>
        <w:rPr>
          <w:rFonts w:hint="eastAsia"/>
        </w:rPr>
        <w:t>日起施行。</w:t>
      </w:r>
    </w:p>
    <w:p w:rsidR="00000000" w:rsidRDefault="00000000">
      <w:pPr>
        <w:rPr>
          <w:rFonts w:hint="eastAsia"/>
        </w:rPr>
      </w:pPr>
      <w:r>
        <w:rPr>
          <w:rFonts w:hint="eastAsia"/>
        </w:rPr>
        <w:tab/>
        <w:t xml:space="preserve">226.  </w:t>
      </w:r>
      <w:r>
        <w:rPr>
          <w:rFonts w:hint="eastAsia"/>
        </w:rPr>
        <w:t>中国政府不断增加对教育的经费投入。《教育法》第</w:t>
      </w:r>
      <w:r>
        <w:rPr>
          <w:rFonts w:hint="eastAsia"/>
        </w:rPr>
        <w:t>53</w:t>
      </w:r>
      <w:r>
        <w:rPr>
          <w:rFonts w:hint="eastAsia"/>
        </w:rPr>
        <w:t>条规定：国家建立以财政拨款为主、其他多种渠道筹措教育经费为辅的体制，逐步增加对教育的投入。第</w:t>
      </w:r>
      <w:r>
        <w:rPr>
          <w:rFonts w:hint="eastAsia"/>
        </w:rPr>
        <w:t>54</w:t>
      </w:r>
      <w:r>
        <w:rPr>
          <w:rFonts w:hint="eastAsia"/>
        </w:rPr>
        <w:t>条规定：国家财政性教育经费支出占国民生产总值的比例应当随着国民经济的发展和财政收入的增长逐步提高。</w:t>
      </w:r>
      <w:r>
        <w:rPr>
          <w:rFonts w:hint="eastAsia"/>
        </w:rPr>
        <w:t>2001</w:t>
      </w:r>
      <w:r>
        <w:rPr>
          <w:rFonts w:hint="eastAsia"/>
        </w:rPr>
        <w:t>年全国教育投入达</w:t>
      </w:r>
      <w:r>
        <w:rPr>
          <w:rFonts w:hint="eastAsia"/>
        </w:rPr>
        <w:t>4637.66</w:t>
      </w:r>
      <w:r>
        <w:rPr>
          <w:rFonts w:hint="eastAsia"/>
        </w:rPr>
        <w:t>亿元，比</w:t>
      </w:r>
      <w:r>
        <w:rPr>
          <w:rFonts w:hint="eastAsia"/>
        </w:rPr>
        <w:t>2000</w:t>
      </w:r>
      <w:r>
        <w:rPr>
          <w:rFonts w:hint="eastAsia"/>
        </w:rPr>
        <w:t>年增长</w:t>
      </w:r>
      <w:r>
        <w:rPr>
          <w:rFonts w:hint="eastAsia"/>
        </w:rPr>
        <w:t>20.49%</w:t>
      </w:r>
      <w:r>
        <w:rPr>
          <w:rFonts w:hint="eastAsia"/>
        </w:rPr>
        <w:t>，是</w:t>
      </w:r>
      <w:r>
        <w:rPr>
          <w:rFonts w:hint="eastAsia"/>
        </w:rPr>
        <w:t>1990</w:t>
      </w:r>
      <w:r>
        <w:rPr>
          <w:rFonts w:hint="eastAsia"/>
        </w:rPr>
        <w:t>年的</w:t>
      </w:r>
      <w:r>
        <w:rPr>
          <w:rFonts w:hint="eastAsia"/>
        </w:rPr>
        <w:t>659</w:t>
      </w:r>
      <w:r>
        <w:t>.</w:t>
      </w:r>
      <w:r>
        <w:rPr>
          <w:rFonts w:hint="eastAsia"/>
        </w:rPr>
        <w:t>38</w:t>
      </w:r>
      <w:r>
        <w:rPr>
          <w:rFonts w:hint="eastAsia"/>
        </w:rPr>
        <w:t>亿元的</w:t>
      </w:r>
      <w:r>
        <w:rPr>
          <w:rFonts w:hint="eastAsia"/>
        </w:rPr>
        <w:t>7.03</w:t>
      </w:r>
      <w:r>
        <w:rPr>
          <w:rFonts w:hint="eastAsia"/>
        </w:rPr>
        <w:t>倍。</w:t>
      </w:r>
      <w:r>
        <w:rPr>
          <w:rFonts w:hint="eastAsia"/>
        </w:rPr>
        <w:t>1990</w:t>
      </w:r>
      <w:r>
        <w:rPr>
          <w:rFonts w:hint="eastAsia"/>
        </w:rPr>
        <w:t>年到</w:t>
      </w:r>
      <w:r>
        <w:rPr>
          <w:rFonts w:hint="eastAsia"/>
        </w:rPr>
        <w:t>2001</w:t>
      </w:r>
      <w:r>
        <w:rPr>
          <w:rFonts w:hint="eastAsia"/>
        </w:rPr>
        <w:t>年，教育投入平均每年增幅达</w:t>
      </w:r>
      <w:r>
        <w:rPr>
          <w:rFonts w:hint="eastAsia"/>
        </w:rPr>
        <w:t>19.4%</w:t>
      </w:r>
      <w:r>
        <w:rPr>
          <w:rFonts w:hint="eastAsia"/>
        </w:rPr>
        <w:t>。</w:t>
      </w:r>
    </w:p>
    <w:p w:rsidR="00000000" w:rsidRDefault="00000000">
      <w:pPr>
        <w:rPr>
          <w:rFonts w:hint="eastAsia"/>
        </w:rPr>
      </w:pPr>
      <w:r>
        <w:rPr>
          <w:rFonts w:hint="eastAsia"/>
        </w:rPr>
        <w:tab/>
        <w:t>227.  2001</w:t>
      </w:r>
      <w:r>
        <w:rPr>
          <w:rFonts w:hint="eastAsia"/>
        </w:rPr>
        <w:t>年，中国各级财政预算内教育拨款总数达</w:t>
      </w:r>
      <w:r>
        <w:rPr>
          <w:rFonts w:hint="eastAsia"/>
        </w:rPr>
        <w:t>2582</w:t>
      </w:r>
      <w:r>
        <w:t>.</w:t>
      </w:r>
      <w:r>
        <w:rPr>
          <w:rFonts w:hint="eastAsia"/>
        </w:rPr>
        <w:t>38</w:t>
      </w:r>
      <w:r>
        <w:rPr>
          <w:rFonts w:hint="eastAsia"/>
        </w:rPr>
        <w:t>亿元，是</w:t>
      </w:r>
      <w:r>
        <w:rPr>
          <w:rFonts w:hint="eastAsia"/>
        </w:rPr>
        <w:t>1990</w:t>
      </w:r>
      <w:r>
        <w:rPr>
          <w:rFonts w:hint="eastAsia"/>
        </w:rPr>
        <w:t>年</w:t>
      </w:r>
      <w:r>
        <w:rPr>
          <w:rFonts w:hint="eastAsia"/>
        </w:rPr>
        <w:t>426.14</w:t>
      </w:r>
      <w:r>
        <w:rPr>
          <w:rFonts w:hint="eastAsia"/>
        </w:rPr>
        <w:t>亿元的</w:t>
      </w:r>
      <w:r>
        <w:rPr>
          <w:rFonts w:hint="eastAsia"/>
        </w:rPr>
        <w:t>6.06</w:t>
      </w:r>
      <w:r>
        <w:rPr>
          <w:rFonts w:hint="eastAsia"/>
        </w:rPr>
        <w:t>倍。从</w:t>
      </w:r>
      <w:r>
        <w:rPr>
          <w:rFonts w:hint="eastAsia"/>
        </w:rPr>
        <w:t>1990</w:t>
      </w:r>
      <w:r>
        <w:rPr>
          <w:rFonts w:hint="eastAsia"/>
        </w:rPr>
        <w:t>年到</w:t>
      </w:r>
      <w:r>
        <w:rPr>
          <w:rFonts w:hint="eastAsia"/>
        </w:rPr>
        <w:t>2001</w:t>
      </w:r>
      <w:r>
        <w:rPr>
          <w:rFonts w:hint="eastAsia"/>
        </w:rPr>
        <w:t>年，财政预算内教育拨款平均每年增幅达</w:t>
      </w:r>
      <w:r>
        <w:rPr>
          <w:rFonts w:hint="eastAsia"/>
        </w:rPr>
        <w:t>17.8%</w:t>
      </w:r>
      <w:r>
        <w:rPr>
          <w:rFonts w:hint="eastAsia"/>
        </w:rPr>
        <w:t>。全国普通小学生人均预算内教育事业费为</w:t>
      </w:r>
      <w:r>
        <w:rPr>
          <w:rFonts w:hint="eastAsia"/>
        </w:rPr>
        <w:t>645.28</w:t>
      </w:r>
      <w:r>
        <w:rPr>
          <w:rFonts w:hint="eastAsia"/>
        </w:rPr>
        <w:t>元，是</w:t>
      </w:r>
      <w:r>
        <w:rPr>
          <w:rFonts w:hint="eastAsia"/>
        </w:rPr>
        <w:t>1993</w:t>
      </w:r>
      <w:r>
        <w:rPr>
          <w:rFonts w:hint="eastAsia"/>
        </w:rPr>
        <w:t>年的</w:t>
      </w:r>
      <w:r>
        <w:rPr>
          <w:rFonts w:hint="eastAsia"/>
        </w:rPr>
        <w:t>3.96</w:t>
      </w:r>
      <w:r>
        <w:rPr>
          <w:rFonts w:hint="eastAsia"/>
        </w:rPr>
        <w:t>倍，平均每年增长</w:t>
      </w:r>
      <w:r>
        <w:rPr>
          <w:rFonts w:hint="eastAsia"/>
        </w:rPr>
        <w:t>18.79%</w:t>
      </w:r>
      <w:r>
        <w:rPr>
          <w:rFonts w:hint="eastAsia"/>
        </w:rPr>
        <w:t>；全国普通初中学生人均预算内教育事业费为</w:t>
      </w:r>
      <w:r>
        <w:rPr>
          <w:rFonts w:hint="eastAsia"/>
        </w:rPr>
        <w:t>817.028</w:t>
      </w:r>
      <w:r>
        <w:rPr>
          <w:rFonts w:hint="eastAsia"/>
        </w:rPr>
        <w:t>元，是</w:t>
      </w:r>
      <w:r>
        <w:rPr>
          <w:rFonts w:hint="eastAsia"/>
        </w:rPr>
        <w:t>1993</w:t>
      </w:r>
      <w:r>
        <w:rPr>
          <w:rFonts w:hint="eastAsia"/>
        </w:rPr>
        <w:t>年的</w:t>
      </w:r>
      <w:r>
        <w:rPr>
          <w:rFonts w:hint="eastAsia"/>
        </w:rPr>
        <w:t>2.57</w:t>
      </w:r>
      <w:r>
        <w:rPr>
          <w:rFonts w:hint="eastAsia"/>
        </w:rPr>
        <w:t>倍，平均每年增长</w:t>
      </w:r>
      <w:r>
        <w:rPr>
          <w:rFonts w:hint="eastAsia"/>
        </w:rPr>
        <w:t>12.53%</w:t>
      </w:r>
      <w:r>
        <w:rPr>
          <w:rFonts w:hint="eastAsia"/>
        </w:rPr>
        <w:t>；全国普通高中学生人均预算内教育事业费为</w:t>
      </w:r>
      <w:r>
        <w:rPr>
          <w:rFonts w:hint="eastAsia"/>
        </w:rPr>
        <w:t>1471</w:t>
      </w:r>
      <w:r>
        <w:t>.</w:t>
      </w:r>
      <w:r>
        <w:rPr>
          <w:rFonts w:hint="eastAsia"/>
        </w:rPr>
        <w:t>12</w:t>
      </w:r>
      <w:r>
        <w:rPr>
          <w:rFonts w:hint="eastAsia"/>
        </w:rPr>
        <w:t>元，是</w:t>
      </w:r>
      <w:r>
        <w:rPr>
          <w:rFonts w:hint="eastAsia"/>
        </w:rPr>
        <w:t>1993</w:t>
      </w:r>
      <w:r>
        <w:rPr>
          <w:rFonts w:hint="eastAsia"/>
        </w:rPr>
        <w:t>年的</w:t>
      </w:r>
      <w:r>
        <w:rPr>
          <w:rFonts w:hint="eastAsia"/>
        </w:rPr>
        <w:t>2.38</w:t>
      </w:r>
      <w:r>
        <w:rPr>
          <w:rFonts w:hint="eastAsia"/>
        </w:rPr>
        <w:t>倍，平均每年增长</w:t>
      </w:r>
      <w:r>
        <w:rPr>
          <w:rFonts w:hint="eastAsia"/>
        </w:rPr>
        <w:t>11.45%</w:t>
      </w:r>
      <w:r>
        <w:rPr>
          <w:rFonts w:hint="eastAsia"/>
        </w:rPr>
        <w:t>；全国普通高等学校学生人均预算内教育事业费为</w:t>
      </w:r>
      <w:r>
        <w:rPr>
          <w:rFonts w:hint="eastAsia"/>
        </w:rPr>
        <w:t>6816.23</w:t>
      </w:r>
      <w:r>
        <w:rPr>
          <w:rFonts w:hint="eastAsia"/>
        </w:rPr>
        <w:t>元，是</w:t>
      </w:r>
      <w:r>
        <w:rPr>
          <w:rFonts w:hint="eastAsia"/>
        </w:rPr>
        <w:t>1993</w:t>
      </w:r>
      <w:r>
        <w:rPr>
          <w:rFonts w:hint="eastAsia"/>
        </w:rPr>
        <w:t>年的</w:t>
      </w:r>
      <w:r>
        <w:rPr>
          <w:rFonts w:hint="eastAsia"/>
        </w:rPr>
        <w:t>1.68</w:t>
      </w:r>
      <w:r>
        <w:rPr>
          <w:rFonts w:hint="eastAsia"/>
        </w:rPr>
        <w:t>倍，平均每年增长</w:t>
      </w:r>
      <w:r>
        <w:rPr>
          <w:rFonts w:hint="eastAsia"/>
        </w:rPr>
        <w:t>6.66%</w:t>
      </w:r>
      <w:r>
        <w:rPr>
          <w:rFonts w:hint="eastAsia"/>
        </w:rPr>
        <w:t>。</w:t>
      </w:r>
    </w:p>
    <w:p w:rsidR="00000000" w:rsidRDefault="00000000">
      <w:pPr>
        <w:rPr>
          <w:rFonts w:hint="eastAsia"/>
        </w:rPr>
      </w:pPr>
      <w:r>
        <w:rPr>
          <w:rFonts w:hint="eastAsia"/>
        </w:rPr>
        <w:tab/>
        <w:t>228.  1995</w:t>
      </w:r>
      <w:r>
        <w:rPr>
          <w:rFonts w:hint="eastAsia"/>
        </w:rPr>
        <w:t>年至</w:t>
      </w:r>
      <w:r>
        <w:rPr>
          <w:rFonts w:hint="eastAsia"/>
        </w:rPr>
        <w:t>2001</w:t>
      </w:r>
      <w:r>
        <w:rPr>
          <w:rFonts w:hint="eastAsia"/>
        </w:rPr>
        <w:t>年，全国财政性教育经费</w:t>
      </w:r>
      <w:r>
        <w:rPr>
          <w:rFonts w:hint="eastAsia"/>
        </w:rPr>
        <w:t>(</w:t>
      </w:r>
      <w:r>
        <w:rPr>
          <w:rFonts w:hint="eastAsia"/>
        </w:rPr>
        <w:t>包括各级财政对教育的拨款、城乡教育费附加、企业用于举办中小学的经费、校办产业减免税部分</w:t>
      </w:r>
      <w:r>
        <w:rPr>
          <w:rFonts w:hint="eastAsia"/>
        </w:rPr>
        <w:t>)</w:t>
      </w:r>
      <w:r>
        <w:rPr>
          <w:rFonts w:hint="eastAsia"/>
        </w:rPr>
        <w:t>占国内生产总值的比例分别为：</w:t>
      </w:r>
      <w:r>
        <w:rPr>
          <w:rFonts w:hint="eastAsia"/>
        </w:rPr>
        <w:t>2.41%</w:t>
      </w:r>
      <w:r>
        <w:rPr>
          <w:rFonts w:hint="eastAsia"/>
        </w:rPr>
        <w:t>、</w:t>
      </w:r>
      <w:r>
        <w:rPr>
          <w:rFonts w:hint="eastAsia"/>
        </w:rPr>
        <w:t>2.44%</w:t>
      </w:r>
      <w:r>
        <w:rPr>
          <w:rFonts w:hint="eastAsia"/>
        </w:rPr>
        <w:t>、</w:t>
      </w:r>
      <w:r>
        <w:rPr>
          <w:rFonts w:hint="eastAsia"/>
        </w:rPr>
        <w:t>2.49%</w:t>
      </w:r>
      <w:r>
        <w:rPr>
          <w:rFonts w:hint="eastAsia"/>
        </w:rPr>
        <w:t>、</w:t>
      </w:r>
      <w:r>
        <w:rPr>
          <w:rFonts w:hint="eastAsia"/>
        </w:rPr>
        <w:t>2.55%</w:t>
      </w:r>
      <w:r>
        <w:rPr>
          <w:rFonts w:hint="eastAsia"/>
        </w:rPr>
        <w:t>、</w:t>
      </w:r>
      <w:r>
        <w:rPr>
          <w:rFonts w:hint="eastAsia"/>
        </w:rPr>
        <w:t>2.79%</w:t>
      </w:r>
      <w:r>
        <w:rPr>
          <w:rFonts w:hint="eastAsia"/>
        </w:rPr>
        <w:t>、</w:t>
      </w:r>
      <w:r>
        <w:rPr>
          <w:rFonts w:hint="eastAsia"/>
        </w:rPr>
        <w:t>2.87%</w:t>
      </w:r>
      <w:r>
        <w:rPr>
          <w:rFonts w:hint="eastAsia"/>
        </w:rPr>
        <w:t>、</w:t>
      </w:r>
      <w:r>
        <w:rPr>
          <w:rFonts w:hint="eastAsia"/>
        </w:rPr>
        <w:t>3.19%</w:t>
      </w:r>
      <w:r>
        <w:rPr>
          <w:rFonts w:hint="eastAsia"/>
        </w:rPr>
        <w:t>。</w:t>
      </w:r>
      <w:r>
        <w:rPr>
          <w:rFonts w:hint="eastAsia"/>
        </w:rPr>
        <w:t>2001</w:t>
      </w:r>
      <w:r>
        <w:rPr>
          <w:rFonts w:hint="eastAsia"/>
        </w:rPr>
        <w:t>年，国家财政性教育经费支出达</w:t>
      </w:r>
      <w:r>
        <w:rPr>
          <w:rFonts w:hint="eastAsia"/>
        </w:rPr>
        <w:t>3057.01</w:t>
      </w:r>
      <w:r>
        <w:rPr>
          <w:rFonts w:hint="eastAsia"/>
        </w:rPr>
        <w:t>亿元，为</w:t>
      </w:r>
      <w:r>
        <w:rPr>
          <w:rFonts w:hint="eastAsia"/>
        </w:rPr>
        <w:t>1990</w:t>
      </w:r>
      <w:r>
        <w:rPr>
          <w:rFonts w:hint="eastAsia"/>
        </w:rPr>
        <w:t>年的</w:t>
      </w:r>
      <w:r>
        <w:rPr>
          <w:rFonts w:hint="eastAsia"/>
        </w:rPr>
        <w:t>5.4</w:t>
      </w:r>
      <w:r>
        <w:rPr>
          <w:rFonts w:hint="eastAsia"/>
        </w:rPr>
        <w:t>倍，年均增长</w:t>
      </w:r>
      <w:r>
        <w:rPr>
          <w:rFonts w:hint="eastAsia"/>
        </w:rPr>
        <w:t>16.61%</w:t>
      </w:r>
      <w:r>
        <w:rPr>
          <w:rFonts w:hint="eastAsia"/>
        </w:rPr>
        <w:t>。其他渠道办学经费不断增长。</w:t>
      </w:r>
      <w:r>
        <w:rPr>
          <w:rFonts w:hint="eastAsia"/>
        </w:rPr>
        <w:t>2001</w:t>
      </w:r>
      <w:r>
        <w:rPr>
          <w:rFonts w:hint="eastAsia"/>
        </w:rPr>
        <w:t>年非财政性教育经费为</w:t>
      </w:r>
      <w:r>
        <w:rPr>
          <w:rFonts w:hint="eastAsia"/>
        </w:rPr>
        <w:t>1580.65</w:t>
      </w:r>
      <w:r>
        <w:rPr>
          <w:rFonts w:hint="eastAsia"/>
        </w:rPr>
        <w:t>亿元，是</w:t>
      </w:r>
      <w:r>
        <w:rPr>
          <w:rFonts w:hint="eastAsia"/>
        </w:rPr>
        <w:t>1990</w:t>
      </w:r>
      <w:r>
        <w:rPr>
          <w:rFonts w:hint="eastAsia"/>
        </w:rPr>
        <w:t>年的</w:t>
      </w:r>
      <w:r>
        <w:rPr>
          <w:rFonts w:hint="eastAsia"/>
        </w:rPr>
        <w:t>16.57</w:t>
      </w:r>
      <w:r>
        <w:rPr>
          <w:rFonts w:hint="eastAsia"/>
        </w:rPr>
        <w:t>倍，年均增长</w:t>
      </w:r>
      <w:r>
        <w:rPr>
          <w:rFonts w:hint="eastAsia"/>
        </w:rPr>
        <w:t>29.08%</w:t>
      </w:r>
      <w:r>
        <w:rPr>
          <w:rFonts w:hint="eastAsia"/>
        </w:rPr>
        <w:t>。</w:t>
      </w:r>
    </w:p>
    <w:p w:rsidR="00000000" w:rsidRDefault="00000000">
      <w:pPr>
        <w:rPr>
          <w:rFonts w:hint="eastAsia"/>
        </w:rPr>
      </w:pPr>
      <w:r>
        <w:rPr>
          <w:rFonts w:hint="eastAsia"/>
        </w:rPr>
        <w:tab/>
        <w:t xml:space="preserve">229.  </w:t>
      </w:r>
      <w:r>
        <w:rPr>
          <w:rFonts w:hint="eastAsia"/>
        </w:rPr>
        <w:t>由于中国不同地区长期以来发展不平衡，目前还有近</w:t>
      </w:r>
      <w:r>
        <w:rPr>
          <w:rFonts w:hint="eastAsia"/>
        </w:rPr>
        <w:t>10%</w:t>
      </w:r>
      <w:r>
        <w:rPr>
          <w:rFonts w:hint="eastAsia"/>
        </w:rPr>
        <w:t>人口所在地区只能普及初等教育或</w:t>
      </w:r>
      <w:r>
        <w:rPr>
          <w:rFonts w:hint="eastAsia"/>
        </w:rPr>
        <w:t>3</w:t>
      </w:r>
      <w:r>
        <w:rPr>
          <w:rFonts w:hint="eastAsia"/>
        </w:rPr>
        <w:t>至</w:t>
      </w:r>
      <w:r>
        <w:rPr>
          <w:rFonts w:hint="eastAsia"/>
        </w:rPr>
        <w:t>4</w:t>
      </w:r>
      <w:r>
        <w:rPr>
          <w:rFonts w:hint="eastAsia"/>
        </w:rPr>
        <w:t>年小学教育，未实现“普及九年义务教育”的地区人口还有近</w:t>
      </w:r>
      <w:r>
        <w:rPr>
          <w:rFonts w:hint="eastAsia"/>
        </w:rPr>
        <w:t>1.1</w:t>
      </w:r>
      <w:r>
        <w:rPr>
          <w:rFonts w:hint="eastAsia"/>
        </w:rPr>
        <w:t>亿；部分农村地区初中学生辍学率还较高。</w:t>
      </w:r>
      <w:r>
        <w:rPr>
          <w:rFonts w:hint="eastAsia"/>
        </w:rPr>
        <w:t>2000</w:t>
      </w:r>
      <w:r>
        <w:rPr>
          <w:rFonts w:hint="eastAsia"/>
        </w:rPr>
        <w:t>年全国小学生辍学率为</w:t>
      </w:r>
      <w:r>
        <w:rPr>
          <w:rFonts w:hint="eastAsia"/>
        </w:rPr>
        <w:t>0.55%</w:t>
      </w:r>
      <w:r>
        <w:rPr>
          <w:rFonts w:hint="eastAsia"/>
        </w:rPr>
        <w:t>，初中辍学率</w:t>
      </w:r>
      <w:r>
        <w:rPr>
          <w:rFonts w:hint="eastAsia"/>
        </w:rPr>
        <w:t>3.21%</w:t>
      </w:r>
      <w:r>
        <w:rPr>
          <w:rFonts w:hint="eastAsia"/>
        </w:rPr>
        <w:t>。跨区域流动人员越来越多，其子女教育问题将是个越来越大的挑战。</w:t>
      </w:r>
    </w:p>
    <w:p w:rsidR="00000000" w:rsidRDefault="00000000">
      <w:pPr>
        <w:rPr>
          <w:rFonts w:hint="eastAsia"/>
        </w:rPr>
      </w:pPr>
      <w:r>
        <w:rPr>
          <w:rFonts w:hint="eastAsia"/>
        </w:rPr>
        <w:tab/>
        <w:t>230.  2001</w:t>
      </w:r>
      <w:r>
        <w:rPr>
          <w:rFonts w:hint="eastAsia"/>
        </w:rPr>
        <w:t>年，国务院发布《关于基础教育改革与发展的决定》，明确提出“十五”期间，地方各级人民政府要坚持将普及九年义务教育和扫除青壮年文盲作为教育工作的重中之重，进一步扩大九年义务教育人口覆盖范围，初中阶段入学率达到</w:t>
      </w:r>
      <w:r>
        <w:rPr>
          <w:rFonts w:hint="eastAsia"/>
        </w:rPr>
        <w:t>90%</w:t>
      </w:r>
      <w:r>
        <w:rPr>
          <w:rFonts w:hint="eastAsia"/>
        </w:rPr>
        <w:t>以上，青壮年非文盲率保持在</w:t>
      </w:r>
      <w:r>
        <w:rPr>
          <w:rFonts w:hint="eastAsia"/>
        </w:rPr>
        <w:t>95%</w:t>
      </w:r>
      <w:r>
        <w:rPr>
          <w:rFonts w:hint="eastAsia"/>
        </w:rPr>
        <w:t>以上；高中阶段入学率达到</w:t>
      </w:r>
      <w:r>
        <w:rPr>
          <w:rFonts w:hint="eastAsia"/>
        </w:rPr>
        <w:t>60%</w:t>
      </w:r>
      <w:r>
        <w:rPr>
          <w:rFonts w:hint="eastAsia"/>
        </w:rPr>
        <w:t>左右。按照“积极进取、实事求是、分区规划、分类指导”的原则，规定了不同地区的任务，其中占全国人口</w:t>
      </w:r>
      <w:r>
        <w:rPr>
          <w:rFonts w:hint="eastAsia"/>
        </w:rPr>
        <w:t>10%</w:t>
      </w:r>
      <w:r>
        <w:rPr>
          <w:rFonts w:hint="eastAsia"/>
        </w:rPr>
        <w:t>左右、未实现普及九年义务教育的贫困地区要打好攻坚战，普及九年义务教育。措施包括：进一步完善农村义务教育管理体制；确保农村中小学教师工资发放；统筹安排农村中小学校舍建设资金；坚决制止一些地方和学校的乱收费；继续实施第二期“国家贫困地区义务教育工程”、“东部地区学校对口支援西部贫困地区学校工程”和“大中城市学校对口支援本地贫困地区学校工程”；进一步完善并落实中小学助学金制度等。</w:t>
      </w:r>
    </w:p>
    <w:p w:rsidR="00000000" w:rsidRDefault="00000000">
      <w:pPr>
        <w:rPr>
          <w:rFonts w:hint="eastAsia"/>
        </w:rPr>
      </w:pPr>
      <w:r>
        <w:rPr>
          <w:rFonts w:hint="eastAsia"/>
        </w:rPr>
        <w:tab/>
        <w:t xml:space="preserve">231.  </w:t>
      </w:r>
      <w:r>
        <w:rPr>
          <w:rFonts w:hint="eastAsia"/>
        </w:rPr>
        <w:t>中国与联合国儿童基金会、联合国开发计划署的教育合作项目始于</w:t>
      </w:r>
      <w:r>
        <w:rPr>
          <w:rFonts w:hint="eastAsia"/>
        </w:rPr>
        <w:t>20</w:t>
      </w:r>
      <w:r>
        <w:rPr>
          <w:rFonts w:hint="eastAsia"/>
        </w:rPr>
        <w:t>世纪</w:t>
      </w:r>
      <w:r>
        <w:rPr>
          <w:rFonts w:hint="eastAsia"/>
        </w:rPr>
        <w:t>80</w:t>
      </w:r>
      <w:r>
        <w:rPr>
          <w:rFonts w:hint="eastAsia"/>
        </w:rPr>
        <w:t>年代初。</w:t>
      </w:r>
      <w:r>
        <w:rPr>
          <w:rFonts w:hint="eastAsia"/>
        </w:rPr>
        <w:t>2001-2005</w:t>
      </w:r>
      <w:r>
        <w:rPr>
          <w:rFonts w:hint="eastAsia"/>
        </w:rPr>
        <w:t>年是中国与联合国儿童基金会的第五个合作周期，儿童基金会教育合作项目预算为</w:t>
      </w:r>
      <w:r>
        <w:rPr>
          <w:rFonts w:hint="eastAsia"/>
        </w:rPr>
        <w:t>1400</w:t>
      </w:r>
      <w:r>
        <w:rPr>
          <w:rFonts w:hint="eastAsia"/>
        </w:rPr>
        <w:t>万美元，主要用于西部</w:t>
      </w:r>
      <w:r>
        <w:rPr>
          <w:rFonts w:hint="eastAsia"/>
        </w:rPr>
        <w:t>12</w:t>
      </w:r>
      <w:r>
        <w:rPr>
          <w:rFonts w:hint="eastAsia"/>
        </w:rPr>
        <w:t>个省区发展基础教育，加强贫困地区的师资培训、加强早期儿童教育、开展远程教育。</w:t>
      </w:r>
      <w:r>
        <w:rPr>
          <w:rFonts w:hint="eastAsia"/>
        </w:rPr>
        <w:t>2001-2005</w:t>
      </w:r>
      <w:r>
        <w:rPr>
          <w:rFonts w:hint="eastAsia"/>
        </w:rPr>
        <w:t>年是中国与联合国开发计划署教育合作项目主要用于甘肃、四川、云南三省利用远程教育手段来提高教师的教学技能和业务水平。开发计划署预算总额为</w:t>
      </w:r>
      <w:r>
        <w:rPr>
          <w:rFonts w:hint="eastAsia"/>
        </w:rPr>
        <w:t>650</w:t>
      </w:r>
      <w:r>
        <w:rPr>
          <w:rFonts w:hint="eastAsia"/>
        </w:rPr>
        <w:t>万美元。此外，中国还与世界银行、联合国人口基金会以及许多国家进行多边合作，开展基础教育、职业技术教育、师范教育、高等教育等领域的项目，取得了良好的效果。</w:t>
      </w:r>
    </w:p>
    <w:p w:rsidR="00000000" w:rsidRDefault="00000000">
      <w:pPr>
        <w:spacing w:after="320"/>
        <w:rPr>
          <w:rFonts w:hint="eastAsia"/>
        </w:rPr>
      </w:pPr>
      <w:r>
        <w:rPr>
          <w:rFonts w:hint="eastAsia"/>
        </w:rPr>
        <w:tab/>
        <w:t xml:space="preserve">232.  </w:t>
      </w:r>
      <w:r>
        <w:rPr>
          <w:rFonts w:hint="eastAsia"/>
        </w:rPr>
        <w:t>中国与联合国教科文组织在教育领域进行了广泛而卓有成效的合作。在全民教育领域，中国政府代表团出席了</w:t>
      </w:r>
      <w:r>
        <w:rPr>
          <w:rFonts w:hint="eastAsia"/>
        </w:rPr>
        <w:t>1990</w:t>
      </w:r>
      <w:r>
        <w:rPr>
          <w:rFonts w:hint="eastAsia"/>
        </w:rPr>
        <w:t>年召开的世界全民教育大会并签署世界全民教育宣言，庄严承诺在</w:t>
      </w:r>
      <w:r>
        <w:rPr>
          <w:rFonts w:hint="eastAsia"/>
        </w:rPr>
        <w:t>2000</w:t>
      </w:r>
      <w:r>
        <w:rPr>
          <w:rFonts w:hint="eastAsia"/>
        </w:rPr>
        <w:t>年实现普及基础教育和扫除文盲的目标。经过十年不懈的努力，中国在全民教育领域取得了长足的发展。</w:t>
      </w:r>
      <w:r>
        <w:rPr>
          <w:rFonts w:hint="eastAsia"/>
        </w:rPr>
        <w:t>2001</w:t>
      </w:r>
      <w:r>
        <w:rPr>
          <w:rFonts w:hint="eastAsia"/>
        </w:rPr>
        <w:t>年，在中国举办的第四届</w:t>
      </w:r>
      <w:r>
        <w:rPr>
          <w:rFonts w:hint="eastAsia"/>
        </w:rPr>
        <w:t>9</w:t>
      </w:r>
      <w:r>
        <w:rPr>
          <w:rFonts w:hint="eastAsia"/>
        </w:rPr>
        <w:t>个人口大国全民教育部长级会议上，中国宣布已基本达到普及九年义务教育和扫除文盲的目标并努力实现更高的目标</w:t>
      </w:r>
      <w:r>
        <w:rPr>
          <w:rFonts w:hint="eastAsia"/>
          <w:spacing w:val="-40"/>
        </w:rPr>
        <w:t>――</w:t>
      </w:r>
      <w:r>
        <w:rPr>
          <w:rFonts w:hint="eastAsia"/>
          <w:spacing w:val="-40"/>
        </w:rPr>
        <w:t xml:space="preserve"> </w:t>
      </w:r>
      <w:r>
        <w:rPr>
          <w:rFonts w:hint="eastAsia"/>
        </w:rPr>
        <w:t>有质量的全民教育。近年来，中国与联合国教科文组织还在教育革新实验、课程开发和改革、教育研究与培训等方面开展了积极合作。</w:t>
      </w:r>
    </w:p>
    <w:p w:rsidR="00000000" w:rsidRDefault="00000000">
      <w:pPr>
        <w:pStyle w:val="Heading3"/>
        <w:rPr>
          <w:rFonts w:hint="eastAsia"/>
        </w:rPr>
      </w:pPr>
      <w:bookmarkStart w:id="22" w:name="_Toc78623559"/>
      <w:bookmarkStart w:id="23" w:name="_Toc78772935"/>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十五</w:t>
      </w:r>
      <w:r>
        <w:rPr>
          <w:rFonts w:ascii="Time New Roman" w:eastAsia="SimHei" w:hAnsi="Time New Roman" w:hint="eastAsia"/>
          <w:u w:val="none"/>
        </w:rPr>
        <w:t xml:space="preserve"> </w:t>
      </w:r>
      <w:r>
        <w:rPr>
          <w:rFonts w:ascii="Time New Roman" w:eastAsia="SimHei" w:hAnsi="Time New Roman" w:hint="eastAsia"/>
          <w:u w:val="none"/>
        </w:rPr>
        <w:t>条</w:t>
      </w:r>
      <w:bookmarkStart w:id="24" w:name="_Toc78623560"/>
      <w:bookmarkEnd w:id="22"/>
      <w:r>
        <w:rPr>
          <w:rFonts w:ascii="Time New Roman" w:eastAsia="SimHei" w:hAnsi="Time New Roman"/>
          <w:u w:val="none"/>
        </w:rPr>
        <w:br/>
      </w:r>
      <w:r>
        <w:rPr>
          <w:rFonts w:ascii="Time New Roman" w:eastAsia="SimHei" w:hAnsi="Time New Roman" w:hint="eastAsia"/>
          <w:u w:val="none"/>
        </w:rPr>
        <w:t>参加文化生活、享受科学进步的权利</w:t>
      </w:r>
      <w:bookmarkEnd w:id="23"/>
      <w:bookmarkEnd w:id="24"/>
    </w:p>
    <w:p w:rsidR="00000000" w:rsidRDefault="00000000">
      <w:pPr>
        <w:rPr>
          <w:rFonts w:hint="eastAsia"/>
        </w:rPr>
      </w:pPr>
      <w:r>
        <w:rPr>
          <w:rFonts w:hint="eastAsia"/>
        </w:rPr>
        <w:tab/>
        <w:t xml:space="preserve">233.  </w:t>
      </w:r>
      <w:r>
        <w:rPr>
          <w:rFonts w:hint="eastAsia"/>
        </w:rPr>
        <w:t>《宪法》第</w:t>
      </w:r>
      <w:r>
        <w:rPr>
          <w:rFonts w:hint="eastAsia"/>
        </w:rPr>
        <w:t>47</w:t>
      </w:r>
      <w:r>
        <w:rPr>
          <w:rFonts w:hint="eastAsia"/>
        </w:rPr>
        <w:t>条明确规定：</w:t>
      </w:r>
    </w:p>
    <w:p w:rsidR="00000000" w:rsidRDefault="00000000">
      <w:pPr>
        <w:pStyle w:val="ae"/>
        <w:rPr>
          <w:rFonts w:hint="eastAsia"/>
        </w:rPr>
      </w:pPr>
      <w:r>
        <w:rPr>
          <w:rFonts w:hint="eastAsia"/>
        </w:rPr>
        <w:t>“中华人民共和国公民有进行科学研究、文学艺术创作和其他文化活动的自由。国家对于从事教育、科学、技术、文学、艺术和其他文化事业的公民的有益于人民的创造性工作，给予鼓励和帮助。”</w:t>
      </w:r>
    </w:p>
    <w:p w:rsidR="00000000" w:rsidRDefault="00000000">
      <w:pPr>
        <w:rPr>
          <w:rFonts w:hint="eastAsia"/>
        </w:rPr>
      </w:pPr>
      <w:r>
        <w:rPr>
          <w:rFonts w:hint="eastAsia"/>
        </w:rPr>
        <w:t>第</w:t>
      </w:r>
      <w:r>
        <w:rPr>
          <w:rFonts w:hint="eastAsia"/>
        </w:rPr>
        <w:t>19</w:t>
      </w:r>
      <w:r>
        <w:rPr>
          <w:rFonts w:hint="eastAsia"/>
        </w:rPr>
        <w:t>条规定：</w:t>
      </w:r>
    </w:p>
    <w:p w:rsidR="00000000" w:rsidRDefault="00000000">
      <w:pPr>
        <w:pStyle w:val="ae"/>
        <w:rPr>
          <w:rFonts w:hint="eastAsia"/>
        </w:rPr>
      </w:pPr>
      <w:r>
        <w:rPr>
          <w:rFonts w:hint="eastAsia"/>
        </w:rPr>
        <w:t>“国家发展社会主义的教育事业，提高全国人民的科学文化水平</w:t>
      </w:r>
      <w:r>
        <w:t>……</w:t>
      </w:r>
      <w:r>
        <w:rPr>
          <w:rFonts w:hint="eastAsia"/>
        </w:rPr>
        <w:t>”</w:t>
      </w:r>
    </w:p>
    <w:p w:rsidR="00000000" w:rsidRDefault="00000000">
      <w:pPr>
        <w:rPr>
          <w:rFonts w:hint="eastAsia"/>
        </w:rPr>
      </w:pPr>
      <w:r>
        <w:rPr>
          <w:rFonts w:hint="eastAsia"/>
        </w:rPr>
        <w:t>第</w:t>
      </w:r>
      <w:r>
        <w:rPr>
          <w:rFonts w:hint="eastAsia"/>
        </w:rPr>
        <w:t>22</w:t>
      </w:r>
      <w:r>
        <w:rPr>
          <w:rFonts w:hint="eastAsia"/>
        </w:rPr>
        <w:t>条规定：</w:t>
      </w:r>
    </w:p>
    <w:p w:rsidR="00000000" w:rsidRDefault="00000000">
      <w:pPr>
        <w:pStyle w:val="ae"/>
        <w:rPr>
          <w:rFonts w:hint="eastAsia"/>
        </w:rPr>
      </w:pPr>
      <w:r>
        <w:rPr>
          <w:rFonts w:hint="eastAsia"/>
        </w:rPr>
        <w:t>“国家发展为人民服务、为社会主义服务的文学艺术事业、新闻广播电视事业、出版发行事业、图书馆博物馆事业和其他文化事业，开展群众性的文化活动。国家保护名胜古迹、珍贵文物和其他重要历史文化遗产。”</w:t>
      </w:r>
    </w:p>
    <w:p w:rsidR="00000000" w:rsidRDefault="00000000">
      <w:pPr>
        <w:rPr>
          <w:rFonts w:hint="eastAsia"/>
        </w:rPr>
      </w:pPr>
      <w:r>
        <w:rPr>
          <w:rFonts w:hint="eastAsia"/>
        </w:rPr>
        <w:t>中国并制定一系列相关法律，如《民法通则》、《著作权法》、《专利法》、《商标法》、《文物保护法》、《民族区域自治法》、《残疾人保障法》、《未成年人保护法》、《妇女权益保障法》、《老年人权益保障法》、《预防未成年人犯罪法》等法律中都规定了具体的权利和保障措施。此外，国务院颁布了《著作权法实施条例》、《计算机软件保护条例》、《集成电路布图设计保护条例》、《专利法实施细则》、《商标法实施条例》、《音像制品管理条例》、《出版管理条例》、《印刷业管理条例》、《电影管理条例》、《广播电视管理条例》、《营业性演出管理条例》、《娱乐场所管理条例》、《互联网上网服务营业场所管理条例》、《知识产权海关保护条例》、《传统工艺美术保护条例》等行政法规。国务院正在审查《公共文化体育设施条例</w:t>
      </w:r>
      <w:r>
        <w:rPr>
          <w:rFonts w:hint="eastAsia"/>
        </w:rPr>
        <w:t>(</w:t>
      </w:r>
      <w:r>
        <w:rPr>
          <w:rFonts w:hint="eastAsia"/>
        </w:rPr>
        <w:t>草案</w:t>
      </w:r>
      <w:r>
        <w:rPr>
          <w:rFonts w:hint="eastAsia"/>
        </w:rPr>
        <w:t>)</w:t>
      </w:r>
      <w:r>
        <w:rPr>
          <w:rFonts w:hint="eastAsia"/>
        </w:rPr>
        <w:t>》，对图书馆、博物馆、文化馆</w:t>
      </w:r>
      <w:r>
        <w:rPr>
          <w:rFonts w:hint="eastAsia"/>
        </w:rPr>
        <w:t>(</w:t>
      </w:r>
      <w:r>
        <w:rPr>
          <w:rFonts w:hint="eastAsia"/>
        </w:rPr>
        <w:t>站</w:t>
      </w:r>
      <w:r>
        <w:rPr>
          <w:rFonts w:hint="eastAsia"/>
        </w:rPr>
        <w:t>)</w:t>
      </w:r>
      <w:r>
        <w:rPr>
          <w:rFonts w:hint="eastAsia"/>
        </w:rPr>
        <w:t>等公共文化设施的建设、使用、管理和保护作了明确、具体的规定。有关部门出台了《中外合作音像制品分销企业管理办法》、《中外合资影院管理办法》等一系列部门规章，对保障公民的文化权利起到了积极的作用。加入世界贸易组织后，中国对包括《文物保护法》在内的一些法律、行政法规和部门规章进行了修改，废止了一些不符合世界贸易组织规则要求的行政法规和部门规章，同时制定了一些新的行政法规和部门规章。</w:t>
      </w:r>
    </w:p>
    <w:p w:rsidR="00000000" w:rsidRDefault="00000000">
      <w:pPr>
        <w:rPr>
          <w:rFonts w:hint="eastAsia"/>
        </w:rPr>
      </w:pPr>
      <w:r>
        <w:rPr>
          <w:rFonts w:hint="eastAsia"/>
        </w:rPr>
        <w:tab/>
        <w:t xml:space="preserve">234.  </w:t>
      </w:r>
      <w:r>
        <w:rPr>
          <w:rFonts w:hint="eastAsia"/>
        </w:rPr>
        <w:t>中国政府近期保障公民文化权利的立法重点是：</w:t>
      </w:r>
      <w:r>
        <w:rPr>
          <w:rFonts w:hint="eastAsia"/>
        </w:rPr>
        <w:t xml:space="preserve">(1) </w:t>
      </w:r>
      <w:r>
        <w:rPr>
          <w:rFonts w:hint="eastAsia"/>
        </w:rPr>
        <w:t>繁荣文艺。重点立法项目有《著作权集体管理机构管理办法》、《艺术表演团体条例》、《国家文化发展基金管理条例》等。保障作家、艺术家权益，明确艺术表演团体的资格、法律地位，激励他们为公众创作、演出更好的作品，满足公众享受文化的权利。</w:t>
      </w:r>
      <w:r>
        <w:rPr>
          <w:rFonts w:hint="eastAsia"/>
        </w:rPr>
        <w:t xml:space="preserve">(2) </w:t>
      </w:r>
      <w:r>
        <w:rPr>
          <w:rFonts w:hint="eastAsia"/>
        </w:rPr>
        <w:t>繁荣群众文化。与即将出台的《公共文化体育设施条例》相衔接，制定有关图书馆、博物馆、文化馆等公共文化场所的单项法律、法规。</w:t>
      </w:r>
      <w:r>
        <w:rPr>
          <w:rFonts w:hint="eastAsia"/>
        </w:rPr>
        <w:t xml:space="preserve">(3) </w:t>
      </w:r>
      <w:r>
        <w:rPr>
          <w:rFonts w:hint="eastAsia"/>
        </w:rPr>
        <w:t>制定与《文物保护法》相配套的有关民族民间文化保护的法律。文化部起草了有关保护民族民间文化的法律草案，现已报送全国人大。待该法律颁布后，还将制定具体的实施办法及相关法律文件。</w:t>
      </w:r>
    </w:p>
    <w:p w:rsidR="00000000" w:rsidRDefault="00000000">
      <w:pPr>
        <w:rPr>
          <w:rFonts w:hint="eastAsia"/>
        </w:rPr>
      </w:pPr>
      <w:r>
        <w:rPr>
          <w:rFonts w:hint="eastAsia"/>
        </w:rPr>
        <w:tab/>
        <w:t xml:space="preserve">235.  </w:t>
      </w:r>
      <w:r>
        <w:rPr>
          <w:rFonts w:hint="eastAsia"/>
        </w:rPr>
        <w:t>中国长期坚持“百花齐放，百家争鸣”的文艺发展根本方针，鼓励公民自由创造，营造宽松、和谐、有利于发挥个人创造性的学术氛围和社会环境。在文艺创作上，提倡不同风格、不同流派，不同题材、不同手法的多样性创造；在学术理论上，提倡不同学派、不同观点互相争鸣，自由讨论。中国将普及与提高作为发展文化事业的两个重要方面。普及，就是让每个公民都能按照自己的意愿，方便地参与各种文化艺术活动。提高，就是要不断提高艺术水平，满足公众不断增长的文化需要。</w:t>
      </w:r>
    </w:p>
    <w:p w:rsidR="00000000" w:rsidRDefault="00000000">
      <w:pPr>
        <w:rPr>
          <w:rFonts w:hint="eastAsia"/>
        </w:rPr>
      </w:pPr>
      <w:r>
        <w:rPr>
          <w:rFonts w:hint="eastAsia"/>
        </w:rPr>
        <w:tab/>
        <w:t>236.  20</w:t>
      </w:r>
      <w:r>
        <w:rPr>
          <w:rFonts w:hint="eastAsia"/>
        </w:rPr>
        <w:t>世纪</w:t>
      </w:r>
      <w:r>
        <w:rPr>
          <w:rFonts w:hint="eastAsia"/>
        </w:rPr>
        <w:t>80</w:t>
      </w:r>
      <w:r>
        <w:rPr>
          <w:rFonts w:hint="eastAsia"/>
        </w:rPr>
        <w:t>年代初，中国将“县县有文化馆、图书馆，乡乡有文化站”列入国家社会发展计划，目标是建设遍布全国城乡的群众文化网络。截至</w:t>
      </w:r>
      <w:r>
        <w:rPr>
          <w:rFonts w:hint="eastAsia"/>
        </w:rPr>
        <w:t>2001</w:t>
      </w:r>
      <w:r>
        <w:rPr>
          <w:rFonts w:hint="eastAsia"/>
        </w:rPr>
        <w:t>年底，中国共有公共图书馆</w:t>
      </w:r>
      <w:r>
        <w:rPr>
          <w:rFonts w:hint="eastAsia"/>
        </w:rPr>
        <w:t>2696</w:t>
      </w:r>
      <w:r>
        <w:rPr>
          <w:rFonts w:hint="eastAsia"/>
        </w:rPr>
        <w:t>个，省地</w:t>
      </w:r>
      <w:r>
        <w:rPr>
          <w:rFonts w:hint="eastAsia"/>
        </w:rPr>
        <w:t>(</w:t>
      </w:r>
      <w:r>
        <w:rPr>
          <w:rFonts w:hint="eastAsia"/>
        </w:rPr>
        <w:t>市</w:t>
      </w:r>
      <w:r>
        <w:rPr>
          <w:rFonts w:hint="eastAsia"/>
        </w:rPr>
        <w:t>)</w:t>
      </w:r>
      <w:r>
        <w:rPr>
          <w:rFonts w:hint="eastAsia"/>
        </w:rPr>
        <w:t>级群众艺术馆</w:t>
      </w:r>
      <w:r>
        <w:rPr>
          <w:rFonts w:hint="eastAsia"/>
        </w:rPr>
        <w:t>402</w:t>
      </w:r>
      <w:r>
        <w:rPr>
          <w:rFonts w:hint="eastAsia"/>
        </w:rPr>
        <w:t>个，县</w:t>
      </w:r>
      <w:r>
        <w:rPr>
          <w:rFonts w:hint="eastAsia"/>
        </w:rPr>
        <w:t>(</w:t>
      </w:r>
      <w:r>
        <w:rPr>
          <w:rFonts w:hint="eastAsia"/>
        </w:rPr>
        <w:t>市</w:t>
      </w:r>
      <w:r>
        <w:rPr>
          <w:rFonts w:hint="eastAsia"/>
        </w:rPr>
        <w:t>)</w:t>
      </w:r>
      <w:r>
        <w:rPr>
          <w:rFonts w:hint="eastAsia"/>
        </w:rPr>
        <w:t>级文化馆</w:t>
      </w:r>
      <w:r>
        <w:rPr>
          <w:rFonts w:hint="eastAsia"/>
        </w:rPr>
        <w:t>2851</w:t>
      </w:r>
      <w:r>
        <w:rPr>
          <w:rFonts w:hint="eastAsia"/>
        </w:rPr>
        <w:t>个，乡镇文化站</w:t>
      </w:r>
      <w:r>
        <w:rPr>
          <w:rFonts w:hint="eastAsia"/>
        </w:rPr>
        <w:t>40138</w:t>
      </w:r>
      <w:r>
        <w:rPr>
          <w:rFonts w:hint="eastAsia"/>
        </w:rPr>
        <w:t>个，农村集镇文化中心</w:t>
      </w:r>
      <w:r>
        <w:rPr>
          <w:rFonts w:hint="eastAsia"/>
        </w:rPr>
        <w:t>20117</w:t>
      </w:r>
      <w:r>
        <w:rPr>
          <w:rFonts w:hint="eastAsia"/>
        </w:rPr>
        <w:t>个，图书室</w:t>
      </w:r>
      <w:r>
        <w:rPr>
          <w:rFonts w:hint="eastAsia"/>
        </w:rPr>
        <w:t>55846</w:t>
      </w:r>
      <w:r>
        <w:rPr>
          <w:rFonts w:hint="eastAsia"/>
        </w:rPr>
        <w:t>个，群众业余演出团</w:t>
      </w:r>
      <w:r>
        <w:rPr>
          <w:rFonts w:hint="eastAsia"/>
        </w:rPr>
        <w:t>(</w:t>
      </w:r>
      <w:r>
        <w:rPr>
          <w:rFonts w:hint="eastAsia"/>
        </w:rPr>
        <w:t>队</w:t>
      </w:r>
      <w:r>
        <w:rPr>
          <w:rFonts w:hint="eastAsia"/>
        </w:rPr>
        <w:t>)32903</w:t>
      </w:r>
      <w:r>
        <w:rPr>
          <w:rFonts w:hint="eastAsia"/>
        </w:rPr>
        <w:t>个。</w:t>
      </w:r>
      <w:r>
        <w:rPr>
          <w:rFonts w:hint="eastAsia"/>
        </w:rPr>
        <w:t>1997-2001</w:t>
      </w:r>
      <w:r>
        <w:rPr>
          <w:rFonts w:hint="eastAsia"/>
        </w:rPr>
        <w:t>年间举办各类基层文化活动</w:t>
      </w:r>
      <w:r>
        <w:rPr>
          <w:rFonts w:hint="eastAsia"/>
        </w:rPr>
        <w:t>138.26</w:t>
      </w:r>
      <w:r>
        <w:rPr>
          <w:rFonts w:hint="eastAsia"/>
        </w:rPr>
        <w:t>万次，举办展览</w:t>
      </w:r>
      <w:r>
        <w:rPr>
          <w:rFonts w:hint="eastAsia"/>
        </w:rPr>
        <w:t>50</w:t>
      </w:r>
      <w:r>
        <w:rPr>
          <w:rFonts w:hint="eastAsia"/>
        </w:rPr>
        <w:t>万个，开办培训班</w:t>
      </w:r>
      <w:r>
        <w:rPr>
          <w:rFonts w:hint="eastAsia"/>
        </w:rPr>
        <w:t>66</w:t>
      </w:r>
      <w:r>
        <w:rPr>
          <w:rFonts w:hint="eastAsia"/>
        </w:rPr>
        <w:t>万次。</w:t>
      </w:r>
      <w:r>
        <w:rPr>
          <w:rFonts w:hint="eastAsia"/>
        </w:rPr>
        <w:t>2002</w:t>
      </w:r>
      <w:r>
        <w:rPr>
          <w:rFonts w:hint="eastAsia"/>
        </w:rPr>
        <w:t>年</w:t>
      </w:r>
      <w:r>
        <w:rPr>
          <w:rFonts w:hint="eastAsia"/>
        </w:rPr>
        <w:t>4</w:t>
      </w:r>
      <w:r>
        <w:rPr>
          <w:rFonts w:hint="eastAsia"/>
        </w:rPr>
        <w:t>月，国家开始实施“全国文化信息资源共享工程”，利用现代信息技术，对中华民族几千年来各种文化资源精华和现代社会文化信息资源进行数字化加工和整合。它将对扭转中国中西部地区，特别是贫困、边远地区的信息匮乏和经济文化落后的状况起到显著的作用。</w:t>
      </w:r>
    </w:p>
    <w:p w:rsidR="00000000" w:rsidRDefault="00000000">
      <w:pPr>
        <w:rPr>
          <w:rFonts w:hint="eastAsia"/>
        </w:rPr>
      </w:pPr>
      <w:r>
        <w:rPr>
          <w:rFonts w:hint="eastAsia"/>
        </w:rPr>
        <w:tab/>
        <w:t xml:space="preserve">237  </w:t>
      </w:r>
      <w:r>
        <w:rPr>
          <w:rFonts w:hint="eastAsia"/>
        </w:rPr>
        <w:t>中国重视引导和鼓励公民的文学艺术创造，组织开展丰富多彩的群众文化活动。自</w:t>
      </w:r>
      <w:r>
        <w:rPr>
          <w:rFonts w:hint="eastAsia"/>
        </w:rPr>
        <w:t>1991</w:t>
      </w:r>
      <w:r>
        <w:rPr>
          <w:rFonts w:hint="eastAsia"/>
        </w:rPr>
        <w:t>年以来，文化部组织了大规模的“群星奖”评选活动，以公民业余文艺创作为主要评选对象，激励公民的文艺创造力，展示他们优秀的创作成果，并注重突出民族特点和地方特色，提倡原创性和多样化。中国政府还非常重视保障老年人、儿童、残疾人等弱势群体享有平等的文化权利，为他们参与文化创造给予特别的关注。制定了旨在全面提高少年儿童文化艺术水平和整体素质的“蒲公英计划”，设立了少年儿童文艺“蒲公英奖”。发展老年大学，举办“中国老年合唱节”，吸引了全国上百万老年人参加活动。组织中国残疾人艺术团，充分保障参与文化活动的权利，支持残疾人的艺术创造。</w:t>
      </w:r>
    </w:p>
    <w:p w:rsidR="00000000" w:rsidRDefault="00000000">
      <w:pPr>
        <w:rPr>
          <w:rFonts w:hint="eastAsia"/>
        </w:rPr>
      </w:pPr>
      <w:r>
        <w:rPr>
          <w:rFonts w:hint="eastAsia"/>
        </w:rPr>
        <w:tab/>
        <w:t xml:space="preserve">238.  </w:t>
      </w:r>
      <w:r>
        <w:rPr>
          <w:rFonts w:hint="eastAsia"/>
        </w:rPr>
        <w:t>中国长期致力于繁荣发展文化艺术，为公民提供更多更好的文艺产品和服务。文化艺术类社会团体蓬勃发展。中国文学艺术界联合会现有团体</w:t>
      </w:r>
      <w:r>
        <w:rPr>
          <w:rFonts w:hint="eastAsia"/>
        </w:rPr>
        <w:t>51</w:t>
      </w:r>
      <w:r>
        <w:rPr>
          <w:rFonts w:hint="eastAsia"/>
        </w:rPr>
        <w:t>个，会员</w:t>
      </w:r>
      <w:r>
        <w:rPr>
          <w:rFonts w:hint="eastAsia"/>
        </w:rPr>
        <w:t>200</w:t>
      </w:r>
      <w:r>
        <w:rPr>
          <w:rFonts w:hint="eastAsia"/>
        </w:rPr>
        <w:t>多万人。各个艺术门类都设立了全国性奖项，定期进行评奖活动。如文学方面的“鲁迅文学奖”、“茅盾文学奖”，戏剧方面的“梅花奖”、“曹禺戏剧奖”，电影方面的“金鸡奖”、“百花奖”，电视方面的“金鹰奖”等，其它如美术、音乐、舞蹈、杂技等也都设有专门的奖项，以奖掖优秀作品和人才。</w:t>
      </w:r>
      <w:r>
        <w:rPr>
          <w:rFonts w:hint="eastAsia"/>
        </w:rPr>
        <w:t>2001</w:t>
      </w:r>
      <w:r>
        <w:rPr>
          <w:rFonts w:hint="eastAsia"/>
        </w:rPr>
        <w:t>年全国有艺术表演团体</w:t>
      </w:r>
      <w:r>
        <w:rPr>
          <w:rFonts w:hint="eastAsia"/>
        </w:rPr>
        <w:t>2600</w:t>
      </w:r>
      <w:r>
        <w:rPr>
          <w:rFonts w:hint="eastAsia"/>
        </w:rPr>
        <w:t>个，共创作舞台艺术剧</w:t>
      </w:r>
      <w:r>
        <w:rPr>
          <w:rFonts w:hint="eastAsia"/>
        </w:rPr>
        <w:t>(</w:t>
      </w:r>
      <w:r>
        <w:rPr>
          <w:rFonts w:hint="eastAsia"/>
        </w:rPr>
        <w:t>节</w:t>
      </w:r>
      <w:r>
        <w:rPr>
          <w:rFonts w:hint="eastAsia"/>
        </w:rPr>
        <w:t>)</w:t>
      </w:r>
      <w:r>
        <w:rPr>
          <w:rFonts w:hint="eastAsia"/>
        </w:rPr>
        <w:t>目</w:t>
      </w:r>
      <w:r>
        <w:rPr>
          <w:rFonts w:hint="eastAsia"/>
        </w:rPr>
        <w:t>4892</w:t>
      </w:r>
      <w:r>
        <w:rPr>
          <w:rFonts w:hint="eastAsia"/>
        </w:rPr>
        <w:t>个，演出</w:t>
      </w:r>
      <w:r>
        <w:rPr>
          <w:rFonts w:hint="eastAsia"/>
        </w:rPr>
        <w:t>7.1</w:t>
      </w:r>
      <w:r>
        <w:rPr>
          <w:rFonts w:hint="eastAsia"/>
        </w:rPr>
        <w:t>万场次，观众</w:t>
      </w:r>
      <w:r>
        <w:rPr>
          <w:rFonts w:hint="eastAsia"/>
        </w:rPr>
        <w:t>4.7</w:t>
      </w:r>
      <w:r>
        <w:rPr>
          <w:rFonts w:hint="eastAsia"/>
        </w:rPr>
        <w:t>亿人次；创作，生产电影故事片</w:t>
      </w:r>
      <w:r>
        <w:rPr>
          <w:rFonts w:hint="eastAsia"/>
        </w:rPr>
        <w:t>100</w:t>
      </w:r>
      <w:r>
        <w:rPr>
          <w:rFonts w:hint="eastAsia"/>
        </w:rPr>
        <w:t>部，电视剧</w:t>
      </w:r>
      <w:r>
        <w:rPr>
          <w:rFonts w:hint="eastAsia"/>
        </w:rPr>
        <w:t>8877</w:t>
      </w:r>
      <w:r>
        <w:rPr>
          <w:rFonts w:hint="eastAsia"/>
        </w:rPr>
        <w:t>部</w:t>
      </w:r>
      <w:r>
        <w:rPr>
          <w:rFonts w:hint="eastAsia"/>
        </w:rPr>
        <w:t>(</w:t>
      </w:r>
      <w:r>
        <w:rPr>
          <w:rFonts w:hint="eastAsia"/>
        </w:rPr>
        <w:t>集</w:t>
      </w:r>
      <w:r>
        <w:rPr>
          <w:rFonts w:hint="eastAsia"/>
        </w:rPr>
        <w:t>)</w:t>
      </w:r>
      <w:r>
        <w:rPr>
          <w:rFonts w:hint="eastAsia"/>
        </w:rPr>
        <w:t>。这些内容丰富、形式多样的文艺产品，充分反映了公民参与文化创造的自由，极大地活跃和丰富了公众的精神文化生活。</w:t>
      </w:r>
    </w:p>
    <w:p w:rsidR="00000000" w:rsidRDefault="00000000">
      <w:pPr>
        <w:rPr>
          <w:rFonts w:hint="eastAsia"/>
        </w:rPr>
      </w:pPr>
      <w:r>
        <w:rPr>
          <w:rFonts w:hint="eastAsia"/>
        </w:rPr>
        <w:tab/>
        <w:t>239.  2002</w:t>
      </w:r>
      <w:r>
        <w:rPr>
          <w:rFonts w:hint="eastAsia"/>
        </w:rPr>
        <w:t>年，中国开始实施国家舞台艺术精品工程，计划在五年内，每年投入</w:t>
      </w:r>
      <w:r>
        <w:rPr>
          <w:rFonts w:hint="eastAsia"/>
        </w:rPr>
        <w:t>4000</w:t>
      </w:r>
      <w:r>
        <w:rPr>
          <w:rFonts w:hint="eastAsia"/>
        </w:rPr>
        <w:t>万元扶持舞台艺术作品的创作，力争在</w:t>
      </w:r>
      <w:r>
        <w:rPr>
          <w:rFonts w:hint="eastAsia"/>
        </w:rPr>
        <w:t>2006</w:t>
      </w:r>
      <w:r>
        <w:rPr>
          <w:rFonts w:hint="eastAsia"/>
        </w:rPr>
        <w:t>年推出</w:t>
      </w:r>
      <w:r>
        <w:rPr>
          <w:rFonts w:hint="eastAsia"/>
        </w:rPr>
        <w:t>50</w:t>
      </w:r>
      <w:r>
        <w:rPr>
          <w:rFonts w:hint="eastAsia"/>
        </w:rPr>
        <w:t>台艺术精品。国家重视边远、贫困地区人民的文化生活。投入专项资金，购买优秀艺术作品的版权，鼓励当地的剧团移植上演；举办文化、科技、卫生下乡活动，组织一些国家级和省市级的高水平艺术表演团体到这些地区无偿演出，并对当地艺术表演团体进行辅导；通过实施广播电视“村村通”工程、“</w:t>
      </w:r>
      <w:r>
        <w:rPr>
          <w:rFonts w:hint="eastAsia"/>
        </w:rPr>
        <w:t>2131</w:t>
      </w:r>
      <w:r>
        <w:rPr>
          <w:rFonts w:hint="eastAsia"/>
        </w:rPr>
        <w:t>工程”</w:t>
      </w:r>
      <w:r>
        <w:rPr>
          <w:rFonts w:hint="eastAsia"/>
        </w:rPr>
        <w:t>(21</w:t>
      </w:r>
      <w:r>
        <w:rPr>
          <w:rFonts w:hint="eastAsia"/>
        </w:rPr>
        <w:t>世纪每村每月一场电影</w:t>
      </w:r>
      <w:r>
        <w:rPr>
          <w:rFonts w:hint="eastAsia"/>
        </w:rPr>
        <w:t>)</w:t>
      </w:r>
      <w:r>
        <w:rPr>
          <w:rFonts w:hint="eastAsia"/>
        </w:rPr>
        <w:t>，确保绝大多数人</w:t>
      </w:r>
      <w:r>
        <w:rPr>
          <w:rFonts w:hint="eastAsia"/>
        </w:rPr>
        <w:t>(</w:t>
      </w:r>
      <w:r>
        <w:rPr>
          <w:rFonts w:hint="eastAsia"/>
        </w:rPr>
        <w:t>特别是边远地区、少数民族地区</w:t>
      </w:r>
      <w:r>
        <w:rPr>
          <w:rFonts w:hint="eastAsia"/>
        </w:rPr>
        <w:t>)</w:t>
      </w:r>
      <w:r>
        <w:rPr>
          <w:rFonts w:hint="eastAsia"/>
        </w:rPr>
        <w:t>听到广播，看到电视、电影。</w:t>
      </w:r>
    </w:p>
    <w:p w:rsidR="00000000" w:rsidRDefault="00000000">
      <w:pPr>
        <w:rPr>
          <w:rFonts w:hint="eastAsia"/>
        </w:rPr>
      </w:pPr>
      <w:r>
        <w:rPr>
          <w:rFonts w:hint="eastAsia"/>
        </w:rPr>
        <w:tab/>
        <w:t>240.  1996</w:t>
      </w:r>
      <w:r>
        <w:rPr>
          <w:rFonts w:hint="eastAsia"/>
        </w:rPr>
        <w:t>年，中国政府要求中央和地方财政对文化事业的投入要随着经济发展逐年增加，且增幅不低于财政收入的增幅。国务院发布《关于进一步完善文化经济政策的若干规定》，开征文化事业建设费，并对鼓励社会对文化事业的捐赠，继续实行财税优惠政策，建立健全专项资金制度等。</w:t>
      </w:r>
      <w:r>
        <w:rPr>
          <w:rFonts w:hint="eastAsia"/>
        </w:rPr>
        <w:t>2000</w:t>
      </w:r>
      <w:r>
        <w:rPr>
          <w:rFonts w:hint="eastAsia"/>
        </w:rPr>
        <w:t>年国务院颁布《关于支持文化事业发展若干经济政策的通知》，重申继续加大财税对公共文化事业的支持，要求财政在预算中安排部分专项资金，纳入文化发展专项资金；提高对文化事业进行捐赠的所得税扣除比例，企业所得税扣除比例和个人所得税扣除比例分别由原来的最高</w:t>
      </w:r>
      <w:r>
        <w:rPr>
          <w:rFonts w:hint="eastAsia"/>
        </w:rPr>
        <w:t>3%</w:t>
      </w:r>
      <w:r>
        <w:rPr>
          <w:rFonts w:hint="eastAsia"/>
        </w:rPr>
        <w:t>提高到最高为年度应纳税所得额的</w:t>
      </w:r>
      <w:r>
        <w:rPr>
          <w:rFonts w:hint="eastAsia"/>
        </w:rPr>
        <w:t>10%</w:t>
      </w:r>
      <w:r>
        <w:rPr>
          <w:rFonts w:hint="eastAsia"/>
        </w:rPr>
        <w:t>和</w:t>
      </w:r>
      <w:r>
        <w:rPr>
          <w:rFonts w:hint="eastAsia"/>
        </w:rPr>
        <w:t>30%</w:t>
      </w:r>
      <w:r>
        <w:rPr>
          <w:rFonts w:hint="eastAsia"/>
        </w:rPr>
        <w:t>。</w:t>
      </w:r>
    </w:p>
    <w:p w:rsidR="00000000" w:rsidRDefault="00000000">
      <w:pPr>
        <w:rPr>
          <w:rFonts w:hint="eastAsia"/>
        </w:rPr>
      </w:pPr>
      <w:r>
        <w:rPr>
          <w:rFonts w:hint="eastAsia"/>
        </w:rPr>
        <w:tab/>
        <w:t xml:space="preserve">241.  </w:t>
      </w:r>
      <w:r>
        <w:rPr>
          <w:rFonts w:hint="eastAsia"/>
        </w:rPr>
        <w:t>全国文化事业费以每年平均增长</w:t>
      </w:r>
      <w:r>
        <w:rPr>
          <w:rFonts w:hint="eastAsia"/>
        </w:rPr>
        <w:t>13.6%</w:t>
      </w:r>
      <w:r>
        <w:rPr>
          <w:rFonts w:hint="eastAsia"/>
        </w:rPr>
        <w:t>的速度增加，</w:t>
      </w:r>
      <w:r>
        <w:rPr>
          <w:rFonts w:hint="eastAsia"/>
        </w:rPr>
        <w:t>1996-2001</w:t>
      </w:r>
      <w:r>
        <w:rPr>
          <w:rFonts w:hint="eastAsia"/>
        </w:rPr>
        <w:t>年累计达</w:t>
      </w:r>
      <w:r>
        <w:rPr>
          <w:rFonts w:hint="eastAsia"/>
        </w:rPr>
        <w:t>325.5</w:t>
      </w:r>
      <w:r>
        <w:rPr>
          <w:rFonts w:hint="eastAsia"/>
        </w:rPr>
        <w:t>亿元。其中</w:t>
      </w:r>
      <w:r>
        <w:rPr>
          <w:rFonts w:hint="eastAsia"/>
        </w:rPr>
        <w:t>2001</w:t>
      </w:r>
      <w:r>
        <w:rPr>
          <w:rFonts w:hint="eastAsia"/>
        </w:rPr>
        <w:t>年全国文化事业财政补助收入达</w:t>
      </w:r>
      <w:r>
        <w:rPr>
          <w:rFonts w:hint="eastAsia"/>
        </w:rPr>
        <w:t>70.99</w:t>
      </w:r>
      <w:r>
        <w:rPr>
          <w:rFonts w:hint="eastAsia"/>
        </w:rPr>
        <w:t>亿元，比</w:t>
      </w:r>
      <w:r>
        <w:rPr>
          <w:rFonts w:hint="eastAsia"/>
        </w:rPr>
        <w:t>2000</w:t>
      </w:r>
      <w:r>
        <w:rPr>
          <w:rFonts w:hint="eastAsia"/>
        </w:rPr>
        <w:t>年增加</w:t>
      </w:r>
      <w:r>
        <w:rPr>
          <w:rFonts w:hint="eastAsia"/>
        </w:rPr>
        <w:t>7.83</w:t>
      </w:r>
      <w:r>
        <w:rPr>
          <w:rFonts w:hint="eastAsia"/>
        </w:rPr>
        <w:t>亿元，增幅为</w:t>
      </w:r>
      <w:r>
        <w:rPr>
          <w:rFonts w:hint="eastAsia"/>
        </w:rPr>
        <w:t>12.4%</w:t>
      </w:r>
      <w:r>
        <w:rPr>
          <w:rFonts w:hint="eastAsia"/>
        </w:rPr>
        <w:t>。</w:t>
      </w:r>
      <w:r>
        <w:rPr>
          <w:rFonts w:hint="eastAsia"/>
        </w:rPr>
        <w:t>1996-2001</w:t>
      </w:r>
      <w:r>
        <w:rPr>
          <w:rFonts w:hint="eastAsia"/>
        </w:rPr>
        <w:t>年，中国国家财政对艺术团体投入达</w:t>
      </w:r>
      <w:r>
        <w:rPr>
          <w:rFonts w:hint="eastAsia"/>
        </w:rPr>
        <w:t>91.3</w:t>
      </w:r>
      <w:r>
        <w:rPr>
          <w:rFonts w:hint="eastAsia"/>
        </w:rPr>
        <w:t>亿元，年均增幅</w:t>
      </w:r>
      <w:r>
        <w:rPr>
          <w:rFonts w:hint="eastAsia"/>
        </w:rPr>
        <w:t>17.8%</w:t>
      </w:r>
      <w:r>
        <w:rPr>
          <w:rFonts w:hint="eastAsia"/>
        </w:rPr>
        <w:t>；对公共图书馆投入</w:t>
      </w:r>
      <w:r>
        <w:rPr>
          <w:rFonts w:hint="eastAsia"/>
        </w:rPr>
        <w:t>68.51</w:t>
      </w:r>
      <w:r>
        <w:rPr>
          <w:rFonts w:hint="eastAsia"/>
        </w:rPr>
        <w:t>亿元，年均增幅度</w:t>
      </w:r>
      <w:r>
        <w:rPr>
          <w:rFonts w:hint="eastAsia"/>
        </w:rPr>
        <w:t>16.2%</w:t>
      </w:r>
      <w:r>
        <w:rPr>
          <w:rFonts w:hint="eastAsia"/>
        </w:rPr>
        <w:t>；对群众文化事业投入</w:t>
      </w:r>
      <w:r>
        <w:rPr>
          <w:rFonts w:hint="eastAsia"/>
        </w:rPr>
        <w:t>63.1</w:t>
      </w:r>
      <w:r>
        <w:rPr>
          <w:rFonts w:hint="eastAsia"/>
        </w:rPr>
        <w:t>亿元，年均增幅</w:t>
      </w:r>
      <w:r>
        <w:rPr>
          <w:rFonts w:hint="eastAsia"/>
        </w:rPr>
        <w:t>15.8%</w:t>
      </w:r>
      <w:r>
        <w:rPr>
          <w:rFonts w:hint="eastAsia"/>
        </w:rPr>
        <w:t>。国家建立了优秀剧节目创作演出专项资金、电影事业发展专项资金和出版发展专项资金。</w:t>
      </w:r>
      <w:r>
        <w:rPr>
          <w:rFonts w:hint="eastAsia"/>
        </w:rPr>
        <w:t>2001</w:t>
      </w:r>
      <w:r>
        <w:rPr>
          <w:rFonts w:hint="eastAsia"/>
        </w:rPr>
        <w:t>年又启动了国家舞台艺术精品工程和中华再造善本工程专项资金。</w:t>
      </w:r>
    </w:p>
    <w:p w:rsidR="00000000" w:rsidRDefault="00000000">
      <w:pPr>
        <w:rPr>
          <w:rFonts w:hint="eastAsia"/>
        </w:rPr>
      </w:pPr>
      <w:r>
        <w:rPr>
          <w:rFonts w:hint="eastAsia"/>
        </w:rPr>
        <w:tab/>
        <w:t xml:space="preserve">242.  </w:t>
      </w:r>
      <w:r>
        <w:rPr>
          <w:rFonts w:hint="eastAsia"/>
        </w:rPr>
        <w:t>中国近年来兴建了一大批重点基础文化工程，新建、改建和扩建了部分图书馆、博物馆、文化中心、影剧院和音乐厅。</w:t>
      </w:r>
      <w:r>
        <w:rPr>
          <w:rFonts w:hint="eastAsia"/>
        </w:rPr>
        <w:t>1998-2001</w:t>
      </w:r>
      <w:r>
        <w:rPr>
          <w:rFonts w:hint="eastAsia"/>
        </w:rPr>
        <w:t>年，公共文化设施基本建设完成投资额达到</w:t>
      </w:r>
      <w:r>
        <w:rPr>
          <w:rFonts w:hint="eastAsia"/>
        </w:rPr>
        <w:t>83.7</w:t>
      </w:r>
      <w:r>
        <w:rPr>
          <w:rFonts w:hint="eastAsia"/>
        </w:rPr>
        <w:t>亿元，全国有</w:t>
      </w:r>
      <w:r>
        <w:rPr>
          <w:rFonts w:hint="eastAsia"/>
        </w:rPr>
        <w:t>762</w:t>
      </w:r>
      <w:r>
        <w:rPr>
          <w:rFonts w:hint="eastAsia"/>
        </w:rPr>
        <w:t>个文化设施项目竣工并交付使用，竣工面积达</w:t>
      </w:r>
      <w:r>
        <w:rPr>
          <w:rFonts w:hint="eastAsia"/>
        </w:rPr>
        <w:t>322.2</w:t>
      </w:r>
      <w:r>
        <w:rPr>
          <w:rFonts w:hint="eastAsia"/>
        </w:rPr>
        <w:t>万平方米。</w:t>
      </w:r>
      <w:r>
        <w:rPr>
          <w:rFonts w:hint="eastAsia"/>
        </w:rPr>
        <w:t>2001</w:t>
      </w:r>
      <w:r>
        <w:rPr>
          <w:rFonts w:hint="eastAsia"/>
        </w:rPr>
        <w:t>年全国文化</w:t>
      </w:r>
      <w:r>
        <w:rPr>
          <w:rFonts w:hint="eastAsia"/>
        </w:rPr>
        <w:t>(</w:t>
      </w:r>
      <w:r>
        <w:rPr>
          <w:rFonts w:hint="eastAsia"/>
        </w:rPr>
        <w:t>文物</w:t>
      </w:r>
      <w:r>
        <w:rPr>
          <w:rFonts w:hint="eastAsia"/>
        </w:rPr>
        <w:t>)</w:t>
      </w:r>
      <w:r>
        <w:rPr>
          <w:rFonts w:hint="eastAsia"/>
        </w:rPr>
        <w:t>系统固定资产投资项目总数</w:t>
      </w:r>
      <w:r>
        <w:rPr>
          <w:rFonts w:hint="eastAsia"/>
        </w:rPr>
        <w:t>818</w:t>
      </w:r>
      <w:r>
        <w:rPr>
          <w:rFonts w:hint="eastAsia"/>
        </w:rPr>
        <w:t>个，计划总投资额</w:t>
      </w:r>
      <w:r>
        <w:rPr>
          <w:rFonts w:hint="eastAsia"/>
        </w:rPr>
        <w:t>229.47</w:t>
      </w:r>
      <w:r>
        <w:rPr>
          <w:rFonts w:hint="eastAsia"/>
        </w:rPr>
        <w:t>亿元，计划施工建筑面积</w:t>
      </w:r>
      <w:r>
        <w:rPr>
          <w:rFonts w:hint="eastAsia"/>
        </w:rPr>
        <w:t>447.1</w:t>
      </w:r>
      <w:r>
        <w:rPr>
          <w:rFonts w:hint="eastAsia"/>
        </w:rPr>
        <w:t>万平方米；建成项目</w:t>
      </w:r>
      <w:r>
        <w:rPr>
          <w:rFonts w:hint="eastAsia"/>
        </w:rPr>
        <w:t>292</w:t>
      </w:r>
      <w:r>
        <w:rPr>
          <w:rFonts w:hint="eastAsia"/>
        </w:rPr>
        <w:t>个，竣工建筑面积</w:t>
      </w:r>
      <w:r>
        <w:rPr>
          <w:rFonts w:hint="eastAsia"/>
        </w:rPr>
        <w:t>112.7</w:t>
      </w:r>
      <w:r>
        <w:rPr>
          <w:rFonts w:hint="eastAsia"/>
        </w:rPr>
        <w:t>万平方米，完成投资额为</w:t>
      </w:r>
      <w:r>
        <w:rPr>
          <w:rFonts w:hint="eastAsia"/>
        </w:rPr>
        <w:t>28.24</w:t>
      </w:r>
      <w:r>
        <w:rPr>
          <w:rFonts w:hint="eastAsia"/>
        </w:rPr>
        <w:t>亿元。</w:t>
      </w:r>
      <w:r>
        <w:rPr>
          <w:rFonts w:hint="eastAsia"/>
        </w:rPr>
        <w:t>2001</w:t>
      </w:r>
      <w:r>
        <w:rPr>
          <w:rFonts w:hint="eastAsia"/>
        </w:rPr>
        <w:t>年正式开工兴建的国家大剧院，批准建设规模</w:t>
      </w:r>
      <w:r>
        <w:rPr>
          <w:rFonts w:hint="eastAsia"/>
        </w:rPr>
        <w:t>14.95</w:t>
      </w:r>
      <w:r>
        <w:rPr>
          <w:rFonts w:hint="eastAsia"/>
        </w:rPr>
        <w:t>万平方米，核定投资</w:t>
      </w:r>
      <w:r>
        <w:rPr>
          <w:rFonts w:hint="eastAsia"/>
        </w:rPr>
        <w:t>26.88</w:t>
      </w:r>
      <w:r>
        <w:rPr>
          <w:rFonts w:hint="eastAsia"/>
        </w:rPr>
        <w:t>亿元。国家博物馆建设、中国美术馆改扩建、国家图书馆二期工程暨国家数字图书馆工程、故宫博物院古建筑维修工程的筹备工作也正在抓紧进行。完成了中央美术学院等建设工程，建设规模共</w:t>
      </w:r>
      <w:r>
        <w:rPr>
          <w:rFonts w:hint="eastAsia"/>
        </w:rPr>
        <w:t>24.18</w:t>
      </w:r>
      <w:r>
        <w:rPr>
          <w:rFonts w:hint="eastAsia"/>
        </w:rPr>
        <w:t>万平方米，投资额达</w:t>
      </w:r>
      <w:r>
        <w:rPr>
          <w:rFonts w:hint="eastAsia"/>
        </w:rPr>
        <w:t>145.33</w:t>
      </w:r>
      <w:r>
        <w:rPr>
          <w:rFonts w:hint="eastAsia"/>
        </w:rPr>
        <w:t>亿元。各地也根据当地情况，建设了一大批代表当地文化风貌的大型重点文化设施。</w:t>
      </w:r>
      <w:r>
        <w:rPr>
          <w:rFonts w:hint="eastAsia"/>
        </w:rPr>
        <w:t>2001</w:t>
      </w:r>
      <w:r>
        <w:rPr>
          <w:rFonts w:hint="eastAsia"/>
        </w:rPr>
        <w:t>年全国投资</w:t>
      </w:r>
      <w:r>
        <w:rPr>
          <w:rFonts w:hint="eastAsia"/>
        </w:rPr>
        <w:t>5000</w:t>
      </w:r>
      <w:r>
        <w:rPr>
          <w:rFonts w:hint="eastAsia"/>
        </w:rPr>
        <w:t>万元以上在建文化项目</w:t>
      </w:r>
      <w:r>
        <w:rPr>
          <w:rFonts w:hint="eastAsia"/>
        </w:rPr>
        <w:t>35</w:t>
      </w:r>
      <w:r>
        <w:rPr>
          <w:rFonts w:hint="eastAsia"/>
        </w:rPr>
        <w:t>个，投资超亿元的有</w:t>
      </w:r>
      <w:r>
        <w:rPr>
          <w:rFonts w:hint="eastAsia"/>
        </w:rPr>
        <w:t>20</w:t>
      </w:r>
      <w:r>
        <w:rPr>
          <w:rFonts w:hint="eastAsia"/>
        </w:rPr>
        <w:t>个。</w:t>
      </w:r>
    </w:p>
    <w:p w:rsidR="00000000" w:rsidRDefault="00000000">
      <w:pPr>
        <w:rPr>
          <w:rFonts w:hint="eastAsia"/>
        </w:rPr>
      </w:pPr>
      <w:r>
        <w:rPr>
          <w:rFonts w:hint="eastAsia"/>
        </w:rPr>
        <w:tab/>
        <w:t>243.  1996-2001</w:t>
      </w:r>
      <w:r>
        <w:rPr>
          <w:rFonts w:hint="eastAsia"/>
        </w:rPr>
        <w:t>年，地方各级政府投资</w:t>
      </w:r>
      <w:r>
        <w:rPr>
          <w:rFonts w:hint="eastAsia"/>
        </w:rPr>
        <w:t>12</w:t>
      </w:r>
      <w:r>
        <w:rPr>
          <w:rFonts w:hint="eastAsia"/>
        </w:rPr>
        <w:t>亿元，新建、扩建县级图书馆、文化馆</w:t>
      </w:r>
      <w:r>
        <w:rPr>
          <w:rFonts w:hint="eastAsia"/>
        </w:rPr>
        <w:t>650</w:t>
      </w:r>
      <w:r>
        <w:rPr>
          <w:rFonts w:hint="eastAsia"/>
        </w:rPr>
        <w:t>多个。“十五”期间，国家还将拿出</w:t>
      </w:r>
      <w:r>
        <w:rPr>
          <w:rFonts w:hint="eastAsia"/>
        </w:rPr>
        <w:t>5</w:t>
      </w:r>
      <w:r>
        <w:rPr>
          <w:rFonts w:hint="eastAsia"/>
        </w:rPr>
        <w:t>亿元专项资金，用于支持地方县级图书馆、文化馆设施建设。</w:t>
      </w:r>
      <w:r>
        <w:rPr>
          <w:rFonts w:hint="eastAsia"/>
        </w:rPr>
        <w:t>2001</w:t>
      </w:r>
      <w:r>
        <w:rPr>
          <w:rFonts w:hint="eastAsia"/>
        </w:rPr>
        <w:t>年，全国群众文化事业的财政补助</w:t>
      </w:r>
      <w:r>
        <w:rPr>
          <w:rFonts w:hint="eastAsia"/>
        </w:rPr>
        <w:t>14.1</w:t>
      </w:r>
      <w:r>
        <w:rPr>
          <w:rFonts w:hint="eastAsia"/>
        </w:rPr>
        <w:t>亿元，比</w:t>
      </w:r>
      <w:r>
        <w:rPr>
          <w:rFonts w:hint="eastAsia"/>
        </w:rPr>
        <w:t>2000</w:t>
      </w:r>
      <w:r>
        <w:rPr>
          <w:rFonts w:hint="eastAsia"/>
        </w:rPr>
        <w:t>年增加</w:t>
      </w:r>
      <w:r>
        <w:rPr>
          <w:rFonts w:hint="eastAsia"/>
        </w:rPr>
        <w:t>2.25</w:t>
      </w:r>
      <w:r>
        <w:rPr>
          <w:rFonts w:hint="eastAsia"/>
        </w:rPr>
        <w:t>亿元，增长</w:t>
      </w:r>
      <w:r>
        <w:rPr>
          <w:rFonts w:hint="eastAsia"/>
        </w:rPr>
        <w:t>19%</w:t>
      </w:r>
      <w:r>
        <w:rPr>
          <w:rFonts w:hint="eastAsia"/>
        </w:rPr>
        <w:t>。其中群众艺术馆、文化馆、文化站财政补助分别增长</w:t>
      </w:r>
      <w:r>
        <w:rPr>
          <w:rFonts w:hint="eastAsia"/>
        </w:rPr>
        <w:t>24.7%</w:t>
      </w:r>
      <w:r>
        <w:rPr>
          <w:rFonts w:hint="eastAsia"/>
        </w:rPr>
        <w:t>、</w:t>
      </w:r>
      <w:r>
        <w:rPr>
          <w:rFonts w:hint="eastAsia"/>
        </w:rPr>
        <w:t>17.8%</w:t>
      </w:r>
      <w:r>
        <w:rPr>
          <w:rFonts w:hint="eastAsia"/>
        </w:rPr>
        <w:t>和</w:t>
      </w:r>
      <w:r>
        <w:rPr>
          <w:rFonts w:hint="eastAsia"/>
        </w:rPr>
        <w:t>17.4%</w:t>
      </w:r>
      <w:r>
        <w:rPr>
          <w:rFonts w:hint="eastAsia"/>
        </w:rPr>
        <w:t>。</w:t>
      </w:r>
    </w:p>
    <w:p w:rsidR="00000000" w:rsidRDefault="00000000">
      <w:pPr>
        <w:rPr>
          <w:rFonts w:hint="eastAsia"/>
        </w:rPr>
      </w:pPr>
      <w:r>
        <w:rPr>
          <w:rFonts w:hint="eastAsia"/>
        </w:rPr>
        <w:tab/>
        <w:t xml:space="preserve">244.  </w:t>
      </w:r>
      <w:r>
        <w:rPr>
          <w:rFonts w:hint="eastAsia"/>
        </w:rPr>
        <w:t>作为著名文明古国，中国大陆目前已知的不可移动文物有近</w:t>
      </w:r>
      <w:r>
        <w:rPr>
          <w:rFonts w:hint="eastAsia"/>
        </w:rPr>
        <w:t>40</w:t>
      </w:r>
      <w:r>
        <w:rPr>
          <w:rFonts w:hint="eastAsia"/>
        </w:rPr>
        <w:t>万处，馆藏可移动文物约</w:t>
      </w:r>
      <w:r>
        <w:rPr>
          <w:rFonts w:hint="eastAsia"/>
        </w:rPr>
        <w:t>1260</w:t>
      </w:r>
      <w:r>
        <w:rPr>
          <w:rFonts w:hint="eastAsia"/>
        </w:rPr>
        <w:t>万件。对各类重要遗址、遗迹等不可移动文物，中国政府采取分级公布文物保护单位的方式加以保护。目前，全国共有县级重点文物保护单位</w:t>
      </w:r>
      <w:r>
        <w:rPr>
          <w:rFonts w:hint="eastAsia"/>
        </w:rPr>
        <w:t>6</w:t>
      </w:r>
      <w:r>
        <w:rPr>
          <w:rFonts w:hint="eastAsia"/>
        </w:rPr>
        <w:t>万处，省级重点文物保护单位近</w:t>
      </w:r>
      <w:r>
        <w:rPr>
          <w:rFonts w:hint="eastAsia"/>
        </w:rPr>
        <w:t>7000</w:t>
      </w:r>
      <w:r>
        <w:rPr>
          <w:rFonts w:hint="eastAsia"/>
        </w:rPr>
        <w:t>处，全国重点文物保护单位</w:t>
      </w:r>
      <w:r>
        <w:rPr>
          <w:rFonts w:hint="eastAsia"/>
        </w:rPr>
        <w:t>1272</w:t>
      </w:r>
      <w:r>
        <w:rPr>
          <w:rFonts w:hint="eastAsia"/>
        </w:rPr>
        <w:t>处。对重要的可移动文物，国家根据其历史、科学、艺术价值，分别定为一级文物、二级文物和三级文物，统称为珍贵文物。文物遗存十分丰富的北京、西安、洛阳等</w:t>
      </w:r>
      <w:r>
        <w:rPr>
          <w:rFonts w:hint="eastAsia"/>
        </w:rPr>
        <w:t>101</w:t>
      </w:r>
      <w:r>
        <w:rPr>
          <w:rFonts w:hint="eastAsia"/>
        </w:rPr>
        <w:t>座城市被列为国家历史文化名城。长城、故宫、秦始皇陵、布达拉宫等</w:t>
      </w:r>
      <w:r>
        <w:rPr>
          <w:rFonts w:hint="eastAsia"/>
        </w:rPr>
        <w:t>28</w:t>
      </w:r>
      <w:r>
        <w:rPr>
          <w:rFonts w:hint="eastAsia"/>
        </w:rPr>
        <w:t>处文物古迹和自然遗产被联合国教科文组织列入《世界遗产》名录，总数达到世界第三位。</w:t>
      </w:r>
    </w:p>
    <w:p w:rsidR="00000000" w:rsidRDefault="00000000">
      <w:pPr>
        <w:rPr>
          <w:rFonts w:hint="eastAsia"/>
        </w:rPr>
      </w:pPr>
      <w:r>
        <w:rPr>
          <w:rFonts w:hint="eastAsia"/>
        </w:rPr>
        <w:tab/>
        <w:t>245.  1982</w:t>
      </w:r>
      <w:r>
        <w:rPr>
          <w:rFonts w:hint="eastAsia"/>
        </w:rPr>
        <w:t>年，全国人大常委会颁布《文物保护法》，这是中国文化领域第一部专门法律。中国对文化遗产实行属地管理、分级负责，投入大量人力、物力用于考古发掘、文物保护和博物馆建设。在国家法律统一约束和中央政府统一指导下，在中央财政支持下，各级地方政府承担保护本行政区内文化遗产的责任。各级政府均设立负责文物保护的行政机构和文物考古研究所、博物馆、古建筑保护研究所等单位。</w:t>
      </w:r>
      <w:r>
        <w:rPr>
          <w:rFonts w:hint="eastAsia"/>
        </w:rPr>
        <w:t>2002</w:t>
      </w:r>
      <w:r>
        <w:rPr>
          <w:rFonts w:hint="eastAsia"/>
        </w:rPr>
        <w:t>年</w:t>
      </w:r>
      <w:r>
        <w:rPr>
          <w:rFonts w:hint="eastAsia"/>
        </w:rPr>
        <w:t>10</w:t>
      </w:r>
      <w:r>
        <w:rPr>
          <w:rFonts w:hint="eastAsia"/>
        </w:rPr>
        <w:t>月，修订后的《文物保护法》颁布实施，确立了“保护为主，抢救第一，合理利用，加强管理”的文物工作方针；进一步明确了各级政府负责文物保护的职责，强调各级政府应将文物保护事业纳入国民经济和社会发展规划，所需经费列入本级财政预算，并将其纳入城乡建设规划；对文物出入境作了更加明确的规定；规范了民间收藏行为，加强了对拍卖企业的管理；完善了法律责任。</w:t>
      </w:r>
    </w:p>
    <w:p w:rsidR="00000000" w:rsidRDefault="00000000">
      <w:pPr>
        <w:rPr>
          <w:rFonts w:hint="eastAsia"/>
        </w:rPr>
      </w:pPr>
      <w:r>
        <w:rPr>
          <w:rFonts w:hint="eastAsia"/>
        </w:rPr>
        <w:tab/>
        <w:t xml:space="preserve">246.  </w:t>
      </w:r>
      <w:r>
        <w:rPr>
          <w:rFonts w:hint="eastAsia"/>
        </w:rPr>
        <w:t>中国政府努力增加对文物保护事业的投入。</w:t>
      </w:r>
      <w:r>
        <w:rPr>
          <w:rFonts w:hint="eastAsia"/>
        </w:rPr>
        <w:t>1998-2000</w:t>
      </w:r>
      <w:r>
        <w:rPr>
          <w:rFonts w:hint="eastAsia"/>
        </w:rPr>
        <w:t>年，中央财政安排的国家重点文物保护专项补助经费年均</w:t>
      </w:r>
      <w:r>
        <w:rPr>
          <w:rFonts w:hint="eastAsia"/>
        </w:rPr>
        <w:t>1.3</w:t>
      </w:r>
      <w:r>
        <w:rPr>
          <w:rFonts w:hint="eastAsia"/>
        </w:rPr>
        <w:t>亿元，</w:t>
      </w:r>
      <w:r>
        <w:rPr>
          <w:rFonts w:hint="eastAsia"/>
        </w:rPr>
        <w:t>2001</w:t>
      </w:r>
      <w:r>
        <w:rPr>
          <w:rFonts w:hint="eastAsia"/>
        </w:rPr>
        <w:t>年达到</w:t>
      </w:r>
      <w:r>
        <w:rPr>
          <w:rFonts w:hint="eastAsia"/>
        </w:rPr>
        <w:t>2</w:t>
      </w:r>
      <w:r>
        <w:rPr>
          <w:rFonts w:hint="eastAsia"/>
        </w:rPr>
        <w:t>亿元，用于</w:t>
      </w:r>
      <w:r>
        <w:rPr>
          <w:rFonts w:hint="eastAsia"/>
        </w:rPr>
        <w:t>2000</w:t>
      </w:r>
      <w:r>
        <w:rPr>
          <w:rFonts w:hint="eastAsia"/>
        </w:rPr>
        <w:t>余项</w:t>
      </w:r>
      <w:r>
        <w:rPr>
          <w:rFonts w:hint="eastAsia"/>
        </w:rPr>
        <w:t>(</w:t>
      </w:r>
      <w:r>
        <w:rPr>
          <w:rFonts w:hint="eastAsia"/>
        </w:rPr>
        <w:t>次</w:t>
      </w:r>
      <w:r>
        <w:rPr>
          <w:rFonts w:hint="eastAsia"/>
        </w:rPr>
        <w:t>)</w:t>
      </w:r>
      <w:r>
        <w:rPr>
          <w:rFonts w:hint="eastAsia"/>
        </w:rPr>
        <w:t>文物保护项目。第九个五年计划以来，国家每年安排补助地方抢救性文物保护设施建设投资</w:t>
      </w:r>
      <w:r>
        <w:rPr>
          <w:rFonts w:hint="eastAsia"/>
        </w:rPr>
        <w:t>2500</w:t>
      </w:r>
      <w:r>
        <w:rPr>
          <w:rFonts w:hint="eastAsia"/>
        </w:rPr>
        <w:t>万元，国家历史文化名城保护专项资金</w:t>
      </w:r>
      <w:r>
        <w:rPr>
          <w:rFonts w:hint="eastAsia"/>
        </w:rPr>
        <w:t>1500</w:t>
      </w:r>
      <w:r>
        <w:rPr>
          <w:rFonts w:hint="eastAsia"/>
        </w:rPr>
        <w:t>万元。仅</w:t>
      </w:r>
      <w:r>
        <w:rPr>
          <w:rFonts w:hint="eastAsia"/>
        </w:rPr>
        <w:t>2002</w:t>
      </w:r>
      <w:r>
        <w:rPr>
          <w:rFonts w:hint="eastAsia"/>
        </w:rPr>
        <w:t>年支持地方重点博物馆建设投资就达</w:t>
      </w:r>
      <w:r>
        <w:rPr>
          <w:rFonts w:hint="eastAsia"/>
        </w:rPr>
        <w:t>2.5</w:t>
      </w:r>
      <w:r>
        <w:rPr>
          <w:rFonts w:hint="eastAsia"/>
        </w:rPr>
        <w:t>亿元。全国博物馆每年举办展览达</w:t>
      </w:r>
      <w:r>
        <w:rPr>
          <w:rFonts w:hint="eastAsia"/>
        </w:rPr>
        <w:t>8000</w:t>
      </w:r>
      <w:r>
        <w:rPr>
          <w:rFonts w:hint="eastAsia"/>
        </w:rPr>
        <w:t>余个，年观众量在</w:t>
      </w:r>
      <w:r>
        <w:rPr>
          <w:rFonts w:hint="eastAsia"/>
        </w:rPr>
        <w:t>1.5</w:t>
      </w:r>
      <w:r>
        <w:rPr>
          <w:rFonts w:hint="eastAsia"/>
        </w:rPr>
        <w:t>亿人次以上。近年来，有</w:t>
      </w:r>
      <w:r>
        <w:rPr>
          <w:rFonts w:hint="eastAsia"/>
        </w:rPr>
        <w:t>30</w:t>
      </w:r>
      <w:r>
        <w:rPr>
          <w:rFonts w:hint="eastAsia"/>
        </w:rPr>
        <w:t>个省、自治区、直辖市在国外、境外举办过展览，观众达千万人次。</w:t>
      </w:r>
    </w:p>
    <w:p w:rsidR="00000000" w:rsidRDefault="00000000">
      <w:pPr>
        <w:rPr>
          <w:rFonts w:hint="eastAsia"/>
        </w:rPr>
      </w:pPr>
      <w:r>
        <w:rPr>
          <w:rFonts w:hint="eastAsia"/>
        </w:rPr>
        <w:tab/>
        <w:t>247.  1991</w:t>
      </w:r>
      <w:r>
        <w:rPr>
          <w:rFonts w:hint="eastAsia"/>
        </w:rPr>
        <w:t>年，全国人大常委会通过《关于惩治盗掘古文化遗址古墓葬犯罪的补充规定》。</w:t>
      </w:r>
      <w:r>
        <w:rPr>
          <w:rFonts w:hint="eastAsia"/>
        </w:rPr>
        <w:t>1997</w:t>
      </w:r>
      <w:r>
        <w:rPr>
          <w:rFonts w:hint="eastAsia"/>
        </w:rPr>
        <w:t>年修订的《刑法》规定了妨害文物管理罪。中国已成为《武装冲突情况下保护文化财产公约》、《关于禁止和防止非法进出口文化财产和非法转让其所有权的方法的公约》、《保护世界文化和自然遗产公约》、《关于被盗或者非法出口文物的公约》的缔约国。通过国际合作，成功地追回部分走私出境的文物。</w:t>
      </w:r>
    </w:p>
    <w:p w:rsidR="00000000" w:rsidRDefault="00000000">
      <w:pPr>
        <w:rPr>
          <w:rFonts w:hint="eastAsia"/>
        </w:rPr>
      </w:pPr>
      <w:r>
        <w:rPr>
          <w:rFonts w:hint="eastAsia"/>
        </w:rPr>
        <w:tab/>
        <w:t xml:space="preserve">248.  </w:t>
      </w:r>
      <w:r>
        <w:rPr>
          <w:rFonts w:hint="eastAsia"/>
        </w:rPr>
        <w:t>中国为保护和弘扬民族民间文化，投入了大量的人力、物力和财力。</w:t>
      </w:r>
      <w:r>
        <w:rPr>
          <w:rFonts w:hint="eastAsia"/>
        </w:rPr>
        <w:t>20</w:t>
      </w:r>
      <w:r>
        <w:rPr>
          <w:rFonts w:hint="eastAsia"/>
        </w:rPr>
        <w:t>世纪</w:t>
      </w:r>
      <w:r>
        <w:rPr>
          <w:rFonts w:hint="eastAsia"/>
        </w:rPr>
        <w:t>80</w:t>
      </w:r>
      <w:r>
        <w:rPr>
          <w:rFonts w:hint="eastAsia"/>
        </w:rPr>
        <w:t>年代以来进行的“十大文艺集成志书”编纂工作已投入人力</w:t>
      </w:r>
      <w:r>
        <w:rPr>
          <w:rFonts w:hint="eastAsia"/>
        </w:rPr>
        <w:t>5</w:t>
      </w:r>
      <w:r>
        <w:rPr>
          <w:rFonts w:hint="eastAsia"/>
        </w:rPr>
        <w:t>万余人次，资金上亿元。到目前为止，十部文艺集成志书已完成审稿</w:t>
      </w:r>
      <w:r>
        <w:rPr>
          <w:rFonts w:hint="eastAsia"/>
        </w:rPr>
        <w:t>270</w:t>
      </w:r>
      <w:r>
        <w:rPr>
          <w:rFonts w:hint="eastAsia"/>
        </w:rPr>
        <w:t>卷，并已出版</w:t>
      </w:r>
      <w:r>
        <w:rPr>
          <w:rFonts w:hint="eastAsia"/>
        </w:rPr>
        <w:t>190</w:t>
      </w:r>
      <w:r>
        <w:rPr>
          <w:rFonts w:hint="eastAsia"/>
        </w:rPr>
        <w:t>卷。计划到</w:t>
      </w:r>
      <w:r>
        <w:rPr>
          <w:rFonts w:hint="eastAsia"/>
        </w:rPr>
        <w:t>2004</w:t>
      </w:r>
      <w:r>
        <w:rPr>
          <w:rFonts w:hint="eastAsia"/>
        </w:rPr>
        <w:t>年全部出齐</w:t>
      </w:r>
      <w:r>
        <w:rPr>
          <w:rFonts w:hint="eastAsia"/>
        </w:rPr>
        <w:t>300</w:t>
      </w:r>
      <w:r>
        <w:rPr>
          <w:rFonts w:hint="eastAsia"/>
        </w:rPr>
        <w:t>卷，这项工作被誉为“保护民族民间文化的万里长城”。文化部成立振兴京剧昆曲办公室，举办了全国昆曲优秀中青年演员评比活动，举办了三届中国京剧节，有效保护了被列入联合国“人类口头和非物质文化遗产名录”的昆曲等民族艺术。随着经济的快速发展，尤其是外来文化和生活方式的影响，中国民族民间文化依然面临着前所未有的严峻形势：许多传统技能和民间艺术后继乏人，面临失传危险，一些独特的语言、文字和习俗正在消亡。为此，国家加快了民族民间文化保护的立法进程，以进一步确定保护范围，明确国家、团体和个人的权利和义务，建立新的保护机制，鼓励对民族民间文化的传承和传播，加强国际合作，防止民族民间文化的流失和毁坏。</w:t>
      </w:r>
    </w:p>
    <w:p w:rsidR="00000000" w:rsidRDefault="00000000">
      <w:pPr>
        <w:rPr>
          <w:rFonts w:hint="eastAsia"/>
        </w:rPr>
      </w:pPr>
      <w:r>
        <w:rPr>
          <w:rFonts w:hint="eastAsia"/>
        </w:rPr>
        <w:tab/>
        <w:t xml:space="preserve">249.  </w:t>
      </w:r>
      <w:r>
        <w:rPr>
          <w:rFonts w:hint="eastAsia"/>
        </w:rPr>
        <w:t>《宪法》第</w:t>
      </w:r>
      <w:r>
        <w:rPr>
          <w:rFonts w:hint="eastAsia"/>
        </w:rPr>
        <w:t>4</w:t>
      </w:r>
      <w:r>
        <w:rPr>
          <w:rFonts w:hint="eastAsia"/>
        </w:rPr>
        <w:t>条规定：</w:t>
      </w:r>
    </w:p>
    <w:p w:rsidR="00000000" w:rsidRDefault="00000000">
      <w:pPr>
        <w:pStyle w:val="ae"/>
        <w:rPr>
          <w:rFonts w:hint="eastAsia"/>
        </w:rPr>
      </w:pPr>
      <w:r>
        <w:rPr>
          <w:rFonts w:hint="eastAsia"/>
        </w:rPr>
        <w:t>“国家保障少数民族的合法的权利和利益，国家根据各少数民族的特点和需要，帮助各少数民族地区加速经济和文化的发展……各民族都有使用和发展自己的语言文字的自由，都有保持或者改革自己的风俗习惯的自由。”</w:t>
      </w:r>
    </w:p>
    <w:p w:rsidR="00000000" w:rsidRDefault="00000000">
      <w:pPr>
        <w:rPr>
          <w:rFonts w:hint="eastAsia"/>
        </w:rPr>
      </w:pPr>
      <w:r>
        <w:rPr>
          <w:rFonts w:hint="eastAsia"/>
        </w:rPr>
        <w:t>《民族区域自治法》规定，民族自治地方有权自主地发展具有民族形式和民族特点的文学、艺术、新闻、出版、广播、电影、电视等民族文化事业，收集、整理、翻译和出版民族书籍，保护民族的名胜古迹、珍贵文物和其他重要历史文化遗产。国家对少数民族地区文化设施建设、文艺人才培养、对外文化交流、文物保护实行特殊优惠政策。</w:t>
      </w:r>
    </w:p>
    <w:p w:rsidR="00000000" w:rsidRDefault="00000000">
      <w:pPr>
        <w:rPr>
          <w:rFonts w:hint="eastAsia"/>
        </w:rPr>
      </w:pPr>
      <w:r>
        <w:rPr>
          <w:rFonts w:hint="eastAsia"/>
        </w:rPr>
        <w:tab/>
        <w:t xml:space="preserve">250.  </w:t>
      </w:r>
      <w:r>
        <w:rPr>
          <w:rFonts w:hint="eastAsia"/>
        </w:rPr>
        <w:t>在国家的扶持下，中国少数民族都建立了自己的民族艺术表演团体。到</w:t>
      </w:r>
      <w:r>
        <w:rPr>
          <w:rFonts w:hint="eastAsia"/>
        </w:rPr>
        <w:t>2000</w:t>
      </w:r>
      <w:r>
        <w:rPr>
          <w:rFonts w:hint="eastAsia"/>
        </w:rPr>
        <w:t>年，少数民族自治地方建有专业艺术表演团体</w:t>
      </w:r>
      <w:r>
        <w:rPr>
          <w:rFonts w:hint="eastAsia"/>
        </w:rPr>
        <w:t>510</w:t>
      </w:r>
      <w:r>
        <w:rPr>
          <w:rFonts w:hint="eastAsia"/>
        </w:rPr>
        <w:t>个，少数民族歌舞团</w:t>
      </w:r>
      <w:r>
        <w:rPr>
          <w:rFonts w:hint="eastAsia"/>
        </w:rPr>
        <w:t>58</w:t>
      </w:r>
      <w:r>
        <w:rPr>
          <w:rFonts w:hint="eastAsia"/>
        </w:rPr>
        <w:t>个，剧场、影剧院</w:t>
      </w:r>
      <w:r>
        <w:rPr>
          <w:rFonts w:hint="eastAsia"/>
        </w:rPr>
        <w:t>182</w:t>
      </w:r>
      <w:r>
        <w:rPr>
          <w:rFonts w:hint="eastAsia"/>
        </w:rPr>
        <w:t>个。国家定期举办少数民族音乐、舞蹈、戏剧“孔雀奖”评比和少数民族题材的电影、电视、文学“骏马奖’评选。到</w:t>
      </w:r>
      <w:r>
        <w:rPr>
          <w:rFonts w:hint="eastAsia"/>
        </w:rPr>
        <w:t>2002</w:t>
      </w:r>
      <w:r>
        <w:rPr>
          <w:rFonts w:hint="eastAsia"/>
        </w:rPr>
        <w:t>年，已举办了</w:t>
      </w:r>
      <w:r>
        <w:rPr>
          <w:rFonts w:hint="eastAsia"/>
        </w:rPr>
        <w:t>12</w:t>
      </w:r>
      <w:r>
        <w:rPr>
          <w:rFonts w:hint="eastAsia"/>
        </w:rPr>
        <w:t>届“孔雀奖”和</w:t>
      </w:r>
      <w:r>
        <w:rPr>
          <w:rFonts w:hint="eastAsia"/>
        </w:rPr>
        <w:t>9</w:t>
      </w:r>
      <w:r>
        <w:rPr>
          <w:rFonts w:hint="eastAsia"/>
        </w:rPr>
        <w:t>届“骏马奖”评选，推出了一大批少数民族题材的优秀作品和优秀文艺人才。在全国有</w:t>
      </w:r>
      <w:r>
        <w:rPr>
          <w:rFonts w:hint="eastAsia"/>
        </w:rPr>
        <w:t>24</w:t>
      </w:r>
      <w:r>
        <w:rPr>
          <w:rFonts w:hint="eastAsia"/>
        </w:rPr>
        <w:t>所中高等艺术院校开设有专门培养少数民族艺术人才的专业班，在民族院校和民族自治地方的一些中高等院校也开设有关少数民族文学、音乐、舞蹈、美术的专业，为少数民族地区培养了大量的艺术人才。</w:t>
      </w:r>
    </w:p>
    <w:p w:rsidR="00000000" w:rsidRDefault="00000000">
      <w:pPr>
        <w:rPr>
          <w:rFonts w:hint="eastAsia"/>
        </w:rPr>
      </w:pPr>
      <w:r>
        <w:rPr>
          <w:rFonts w:hint="eastAsia"/>
        </w:rPr>
        <w:tab/>
        <w:t>251.  1990</w:t>
      </w:r>
      <w:r>
        <w:rPr>
          <w:rFonts w:hint="eastAsia"/>
        </w:rPr>
        <w:t>年以来，中央和地方财政投入专项资金，在民族地区新建、扩建和修缮了一批图书馆、文化馆、群众艺术馆、博物馆和影剧院，极大地推进了民族地区文化基础设施建设。截至</w:t>
      </w:r>
      <w:r>
        <w:rPr>
          <w:rFonts w:hint="eastAsia"/>
        </w:rPr>
        <w:t>2000</w:t>
      </w:r>
      <w:r>
        <w:rPr>
          <w:rFonts w:hint="eastAsia"/>
        </w:rPr>
        <w:t>年，民族自治地方共有群众艺术馆</w:t>
      </w:r>
      <w:r>
        <w:rPr>
          <w:rFonts w:hint="eastAsia"/>
        </w:rPr>
        <w:t>79</w:t>
      </w:r>
      <w:r>
        <w:rPr>
          <w:rFonts w:hint="eastAsia"/>
        </w:rPr>
        <w:t>个，文化馆</w:t>
      </w:r>
      <w:r>
        <w:rPr>
          <w:rFonts w:hint="eastAsia"/>
        </w:rPr>
        <w:t>655</w:t>
      </w:r>
      <w:r>
        <w:rPr>
          <w:rFonts w:hint="eastAsia"/>
        </w:rPr>
        <w:t>个，文化站</w:t>
      </w:r>
      <w:r>
        <w:rPr>
          <w:rFonts w:hint="eastAsia"/>
        </w:rPr>
        <w:t>7078</w:t>
      </w:r>
      <w:r>
        <w:rPr>
          <w:rFonts w:hint="eastAsia"/>
        </w:rPr>
        <w:t>个，图书馆</w:t>
      </w:r>
      <w:r>
        <w:rPr>
          <w:rFonts w:hint="eastAsia"/>
        </w:rPr>
        <w:t>563</w:t>
      </w:r>
      <w:r>
        <w:rPr>
          <w:rFonts w:hint="eastAsia"/>
        </w:rPr>
        <w:t>个，博物馆</w:t>
      </w:r>
      <w:r>
        <w:rPr>
          <w:rFonts w:hint="eastAsia"/>
        </w:rPr>
        <w:t>151</w:t>
      </w:r>
      <w:r>
        <w:rPr>
          <w:rFonts w:hint="eastAsia"/>
        </w:rPr>
        <w:t>个。</w:t>
      </w:r>
      <w:r>
        <w:rPr>
          <w:rFonts w:hint="eastAsia"/>
        </w:rPr>
        <w:t>1992</w:t>
      </w:r>
      <w:r>
        <w:rPr>
          <w:rFonts w:hint="eastAsia"/>
        </w:rPr>
        <w:t>年以来，国家在少数民族聚居的广西、云南、西藏、新疆、内蒙古、甘肃、黑龙江、吉林、辽宁等</w:t>
      </w:r>
      <w:r>
        <w:rPr>
          <w:rFonts w:hint="eastAsia"/>
        </w:rPr>
        <w:t>9</w:t>
      </w:r>
      <w:r>
        <w:rPr>
          <w:rFonts w:hint="eastAsia"/>
        </w:rPr>
        <w:t>个省、自治区实施了“全国万里边疆文化长廊建设”工程。</w:t>
      </w:r>
      <w:r>
        <w:rPr>
          <w:rFonts w:hint="eastAsia"/>
        </w:rPr>
        <w:t>1994</w:t>
      </w:r>
      <w:r>
        <w:rPr>
          <w:rFonts w:hint="eastAsia"/>
        </w:rPr>
        <w:t>年扩展到其他沿海</w:t>
      </w:r>
      <w:r>
        <w:rPr>
          <w:rFonts w:hint="eastAsia"/>
        </w:rPr>
        <w:t>9</w:t>
      </w:r>
      <w:r>
        <w:rPr>
          <w:rFonts w:hint="eastAsia"/>
        </w:rPr>
        <w:t>个省、直辖市。到</w:t>
      </w:r>
      <w:r>
        <w:rPr>
          <w:rFonts w:hint="eastAsia"/>
        </w:rPr>
        <w:t>1999</w:t>
      </w:r>
      <w:r>
        <w:rPr>
          <w:rFonts w:hint="eastAsia"/>
        </w:rPr>
        <w:t>年投入资金逾</w:t>
      </w:r>
      <w:r>
        <w:rPr>
          <w:rFonts w:hint="eastAsia"/>
        </w:rPr>
        <w:t>50</w:t>
      </w:r>
      <w:r>
        <w:rPr>
          <w:rFonts w:hint="eastAsia"/>
        </w:rPr>
        <w:t>亿元，兴建了大批公共文化基础设施及其它文化娱乐设施，使万里边疆形成了环形文化网络，改善和丰富了当地居民的文化生活，受益的边疆各族群众达</w:t>
      </w:r>
      <w:r>
        <w:rPr>
          <w:rFonts w:hint="eastAsia"/>
        </w:rPr>
        <w:t>1000</w:t>
      </w:r>
      <w:r>
        <w:rPr>
          <w:rFonts w:hint="eastAsia"/>
        </w:rPr>
        <w:t>多万人。实施“文化援藏计划”，由文化部统一组织内地</w:t>
      </w:r>
      <w:r>
        <w:rPr>
          <w:rFonts w:hint="eastAsia"/>
        </w:rPr>
        <w:t>14</w:t>
      </w:r>
      <w:r>
        <w:rPr>
          <w:rFonts w:hint="eastAsia"/>
        </w:rPr>
        <w:t>个省、市对口支援西藏。近年来文化部共安排</w:t>
      </w:r>
      <w:r>
        <w:rPr>
          <w:rFonts w:hint="eastAsia"/>
        </w:rPr>
        <w:t>548</w:t>
      </w:r>
      <w:r>
        <w:rPr>
          <w:rFonts w:hint="eastAsia"/>
        </w:rPr>
        <w:t>万元资助了西藏</w:t>
      </w:r>
      <w:r>
        <w:rPr>
          <w:rFonts w:hint="eastAsia"/>
        </w:rPr>
        <w:t>32</w:t>
      </w:r>
      <w:r>
        <w:rPr>
          <w:rFonts w:hint="eastAsia"/>
        </w:rPr>
        <w:t>个文化设施建设；拨款</w:t>
      </w:r>
      <w:r>
        <w:rPr>
          <w:rFonts w:hint="eastAsia"/>
        </w:rPr>
        <w:t>1151</w:t>
      </w:r>
      <w:r>
        <w:rPr>
          <w:rFonts w:hint="eastAsia"/>
        </w:rPr>
        <w:t>万元帮助西藏保护和维修文物；专门为西藏培养一批文化艺术人才。</w:t>
      </w:r>
    </w:p>
    <w:p w:rsidR="00000000" w:rsidRDefault="00000000">
      <w:pPr>
        <w:rPr>
          <w:rFonts w:hint="eastAsia"/>
        </w:rPr>
      </w:pPr>
      <w:r>
        <w:rPr>
          <w:rFonts w:hint="eastAsia"/>
        </w:rPr>
        <w:tab/>
        <w:t xml:space="preserve">252.  </w:t>
      </w:r>
      <w:r>
        <w:rPr>
          <w:rFonts w:hint="eastAsia"/>
        </w:rPr>
        <w:t>国家重视少数民族传统文化的发掘和保护，组织对各少数民族的文化遗产进行搜集、整理、翻译和出版，保护少数民族的名胜古迹、珍贵文物和其他重要历史文化遗产。投入巨资对西藏、青海、新疆境内一些少数民族文物进行了维修，特别是西藏布达拉宫的维修，一期工程历时</w:t>
      </w:r>
      <w:r>
        <w:rPr>
          <w:rFonts w:hint="eastAsia"/>
        </w:rPr>
        <w:t>5</w:t>
      </w:r>
      <w:r>
        <w:rPr>
          <w:rFonts w:hint="eastAsia"/>
        </w:rPr>
        <w:t>年，斥资</w:t>
      </w:r>
      <w:r>
        <w:rPr>
          <w:rFonts w:hint="eastAsia"/>
        </w:rPr>
        <w:t>5000</w:t>
      </w:r>
      <w:r>
        <w:rPr>
          <w:rFonts w:hint="eastAsia"/>
        </w:rPr>
        <w:t>万元。从</w:t>
      </w:r>
      <w:r>
        <w:rPr>
          <w:rFonts w:hint="eastAsia"/>
        </w:rPr>
        <w:t>2002</w:t>
      </w:r>
      <w:r>
        <w:rPr>
          <w:rFonts w:hint="eastAsia"/>
        </w:rPr>
        <w:t>年</w:t>
      </w:r>
      <w:r>
        <w:rPr>
          <w:rFonts w:hint="eastAsia"/>
        </w:rPr>
        <w:t>-2006</w:t>
      </w:r>
      <w:r>
        <w:rPr>
          <w:rFonts w:hint="eastAsia"/>
        </w:rPr>
        <w:t>年，国家还将投入</w:t>
      </w:r>
      <w:r>
        <w:rPr>
          <w:rFonts w:hint="eastAsia"/>
        </w:rPr>
        <w:t>3.3</w:t>
      </w:r>
      <w:r>
        <w:rPr>
          <w:rFonts w:hint="eastAsia"/>
        </w:rPr>
        <w:t>亿元专项资金，用于西藏布达拉宫、罗布林卡和萨加寺的保护。对少数民族三大史诗《格萨尔王传》</w:t>
      </w:r>
      <w:r>
        <w:rPr>
          <w:rFonts w:hint="eastAsia"/>
        </w:rPr>
        <w:t>(</w:t>
      </w:r>
      <w:r>
        <w:rPr>
          <w:rFonts w:hint="eastAsia"/>
        </w:rPr>
        <w:t>藏族</w:t>
      </w:r>
      <w:r>
        <w:rPr>
          <w:rFonts w:hint="eastAsia"/>
        </w:rPr>
        <w:t>)</w:t>
      </w:r>
      <w:r>
        <w:rPr>
          <w:rFonts w:hint="eastAsia"/>
        </w:rPr>
        <w:t>、《江格尔》</w:t>
      </w:r>
      <w:r>
        <w:rPr>
          <w:rFonts w:hint="eastAsia"/>
        </w:rPr>
        <w:t>(</w:t>
      </w:r>
      <w:r>
        <w:rPr>
          <w:rFonts w:hint="eastAsia"/>
        </w:rPr>
        <w:t>蒙古族</w:t>
      </w:r>
      <w:r>
        <w:rPr>
          <w:rFonts w:hint="eastAsia"/>
        </w:rPr>
        <w:t>)</w:t>
      </w:r>
      <w:r>
        <w:rPr>
          <w:rFonts w:hint="eastAsia"/>
        </w:rPr>
        <w:t>、《玛纳斯》</w:t>
      </w:r>
      <w:r>
        <w:rPr>
          <w:rFonts w:hint="eastAsia"/>
        </w:rPr>
        <w:t>(</w:t>
      </w:r>
      <w:r>
        <w:rPr>
          <w:rFonts w:hint="eastAsia"/>
        </w:rPr>
        <w:t>柯尔克孜族</w:t>
      </w:r>
      <w:r>
        <w:rPr>
          <w:rFonts w:hint="eastAsia"/>
        </w:rPr>
        <w:t>)</w:t>
      </w:r>
      <w:r>
        <w:rPr>
          <w:rFonts w:hint="eastAsia"/>
        </w:rPr>
        <w:t>进行了收集、整理和研究。《格萨尔王传》长达</w:t>
      </w:r>
      <w:r>
        <w:rPr>
          <w:rFonts w:hint="eastAsia"/>
        </w:rPr>
        <w:t>150</w:t>
      </w:r>
      <w:r>
        <w:rPr>
          <w:rFonts w:hint="eastAsia"/>
        </w:rPr>
        <w:t>多万行，是世界上最长的一部英雄史诗。现已收集民间艺人传唱资料录音</w:t>
      </w:r>
      <w:r>
        <w:rPr>
          <w:rFonts w:hint="eastAsia"/>
        </w:rPr>
        <w:t>5000</w:t>
      </w:r>
      <w:r>
        <w:rPr>
          <w:rFonts w:hint="eastAsia"/>
        </w:rPr>
        <w:t>多盘，录像数百盘，整理出文字</w:t>
      </w:r>
      <w:r>
        <w:rPr>
          <w:rFonts w:hint="eastAsia"/>
        </w:rPr>
        <w:t>4000</w:t>
      </w:r>
      <w:r>
        <w:rPr>
          <w:rFonts w:hint="eastAsia"/>
        </w:rPr>
        <w:t>多万字，学术论文</w:t>
      </w:r>
      <w:r>
        <w:rPr>
          <w:rFonts w:hint="eastAsia"/>
        </w:rPr>
        <w:t>1000</w:t>
      </w:r>
      <w:r>
        <w:rPr>
          <w:rFonts w:hint="eastAsia"/>
        </w:rPr>
        <w:t>多篇，研究专著</w:t>
      </w:r>
      <w:r>
        <w:rPr>
          <w:rFonts w:hint="eastAsia"/>
        </w:rPr>
        <w:t>30</w:t>
      </w:r>
      <w:r>
        <w:rPr>
          <w:rFonts w:hint="eastAsia"/>
        </w:rPr>
        <w:t>多部，使这一长期零散传唱的口头文学变成了一部系统完整的文学巨著。《玛纳斯》的汉译本也已完成。</w:t>
      </w:r>
    </w:p>
    <w:p w:rsidR="00000000" w:rsidRDefault="00000000">
      <w:pPr>
        <w:rPr>
          <w:rFonts w:hint="eastAsia"/>
        </w:rPr>
      </w:pPr>
      <w:r>
        <w:rPr>
          <w:rFonts w:hint="eastAsia"/>
        </w:rPr>
        <w:tab/>
        <w:t xml:space="preserve">253.  </w:t>
      </w:r>
      <w:r>
        <w:rPr>
          <w:rFonts w:hint="eastAsia"/>
        </w:rPr>
        <w:t>中国积极发展专业和业余艺术教育、培训。普通高等院校设有艺术系或艺术专业，高等、中等师范类院校设有艺术系。高等和中等艺术院校是培养专门文化艺术人才的基地。</w:t>
      </w:r>
      <w:r>
        <w:rPr>
          <w:rFonts w:hint="eastAsia"/>
        </w:rPr>
        <w:t>1997-2001</w:t>
      </w:r>
      <w:r>
        <w:rPr>
          <w:rFonts w:hint="eastAsia"/>
        </w:rPr>
        <w:t>年，全国艺术高等院校共招生</w:t>
      </w:r>
      <w:r>
        <w:rPr>
          <w:rFonts w:hint="eastAsia"/>
        </w:rPr>
        <w:t>7793</w:t>
      </w:r>
      <w:r>
        <w:rPr>
          <w:rFonts w:hint="eastAsia"/>
        </w:rPr>
        <w:t>人，毕业</w:t>
      </w:r>
      <w:r>
        <w:rPr>
          <w:rFonts w:hint="eastAsia"/>
        </w:rPr>
        <w:t>5137</w:t>
      </w:r>
      <w:r>
        <w:rPr>
          <w:rFonts w:hint="eastAsia"/>
        </w:rPr>
        <w:t>人，中等艺术学校招生</w:t>
      </w:r>
      <w:r>
        <w:rPr>
          <w:rFonts w:hint="eastAsia"/>
        </w:rPr>
        <w:t>113842</w:t>
      </w:r>
      <w:r>
        <w:rPr>
          <w:rFonts w:hint="eastAsia"/>
        </w:rPr>
        <w:t>人，毕业</w:t>
      </w:r>
      <w:r>
        <w:rPr>
          <w:rFonts w:hint="eastAsia"/>
        </w:rPr>
        <w:t>80637</w:t>
      </w:r>
      <w:r>
        <w:rPr>
          <w:rFonts w:hint="eastAsia"/>
        </w:rPr>
        <w:t>人。建立全国高等艺术院校、中等艺术院校教学和业余艺术教育培训评估指标体系。目前共有文化艺术科研机构</w:t>
      </w:r>
      <w:r>
        <w:rPr>
          <w:rFonts w:hint="eastAsia"/>
        </w:rPr>
        <w:t>252</w:t>
      </w:r>
      <w:r>
        <w:rPr>
          <w:rFonts w:hint="eastAsia"/>
        </w:rPr>
        <w:t>个，从业人员</w:t>
      </w:r>
      <w:r>
        <w:rPr>
          <w:rFonts w:hint="eastAsia"/>
        </w:rPr>
        <w:t>6457</w:t>
      </w:r>
      <w:r>
        <w:rPr>
          <w:rFonts w:hint="eastAsia"/>
        </w:rPr>
        <w:t>人。形成相当规模、专业门类齐全，多种层次的艺术教育格局。目前艺术学科共有博士学位授予单位</w:t>
      </w:r>
      <w:r>
        <w:rPr>
          <w:rFonts w:hint="eastAsia"/>
        </w:rPr>
        <w:t>18</w:t>
      </w:r>
      <w:r>
        <w:rPr>
          <w:rFonts w:hint="eastAsia"/>
        </w:rPr>
        <w:t>个，博士点</w:t>
      </w:r>
      <w:r>
        <w:rPr>
          <w:rFonts w:hint="eastAsia"/>
        </w:rPr>
        <w:t>23</w:t>
      </w:r>
      <w:r>
        <w:rPr>
          <w:rFonts w:hint="eastAsia"/>
        </w:rPr>
        <w:t>个，硕士学位授予单位</w:t>
      </w:r>
      <w:r>
        <w:rPr>
          <w:rFonts w:hint="eastAsia"/>
        </w:rPr>
        <w:t>90</w:t>
      </w:r>
      <w:r>
        <w:rPr>
          <w:rFonts w:hint="eastAsia"/>
        </w:rPr>
        <w:t>个，硕士点</w:t>
      </w:r>
      <w:r>
        <w:rPr>
          <w:rFonts w:hint="eastAsia"/>
        </w:rPr>
        <w:t>152</w:t>
      </w:r>
      <w:r>
        <w:rPr>
          <w:rFonts w:hint="eastAsia"/>
        </w:rPr>
        <w:t>个，本科专业</w:t>
      </w:r>
      <w:r>
        <w:rPr>
          <w:rFonts w:hint="eastAsia"/>
        </w:rPr>
        <w:t>80</w:t>
      </w:r>
      <w:r>
        <w:rPr>
          <w:rFonts w:hint="eastAsia"/>
        </w:rPr>
        <w:t>个。全国的幼儿园、中小学均设有音乐、美术、手工等课程，目前全国有数以千万计的青少年学习各类器乐、声乐、戏剧、文学、美术等，每年参加各类社会业余艺术考级的人数超过</w:t>
      </w:r>
      <w:r>
        <w:rPr>
          <w:rFonts w:hint="eastAsia"/>
        </w:rPr>
        <w:t>100</w:t>
      </w:r>
      <w:r>
        <w:rPr>
          <w:rFonts w:hint="eastAsia"/>
        </w:rPr>
        <w:t>万人次。群众艺术馆、文化馆</w:t>
      </w:r>
      <w:r>
        <w:rPr>
          <w:rFonts w:hint="eastAsia"/>
        </w:rPr>
        <w:t>(</w:t>
      </w:r>
      <w:r>
        <w:rPr>
          <w:rFonts w:hint="eastAsia"/>
        </w:rPr>
        <w:t>站</w:t>
      </w:r>
      <w:r>
        <w:rPr>
          <w:rFonts w:hint="eastAsia"/>
        </w:rPr>
        <w:t>)</w:t>
      </w:r>
      <w:r>
        <w:rPr>
          <w:rFonts w:hint="eastAsia"/>
        </w:rPr>
        <w:t>、社区文化中心、青少年宫、老年大学及各类业余艺术学校，开展了音乐、舞蹈、戏剧、美术、书法及各类丰富多采的民间传统艺术的培训。</w:t>
      </w:r>
    </w:p>
    <w:p w:rsidR="00000000" w:rsidRDefault="00000000">
      <w:pPr>
        <w:rPr>
          <w:rFonts w:hint="eastAsia"/>
        </w:rPr>
      </w:pPr>
      <w:r>
        <w:rPr>
          <w:rFonts w:hint="eastAsia"/>
        </w:rPr>
        <w:tab/>
        <w:t xml:space="preserve">254.  </w:t>
      </w:r>
      <w:r>
        <w:rPr>
          <w:rFonts w:hint="eastAsia"/>
        </w:rPr>
        <w:t>目前，全国共有广播电台</w:t>
      </w:r>
      <w:r>
        <w:rPr>
          <w:rFonts w:hint="eastAsia"/>
        </w:rPr>
        <w:t>288</w:t>
      </w:r>
      <w:r>
        <w:rPr>
          <w:rFonts w:hint="eastAsia"/>
        </w:rPr>
        <w:t>座，电视台</w:t>
      </w:r>
      <w:r>
        <w:rPr>
          <w:rFonts w:hint="eastAsia"/>
        </w:rPr>
        <w:t>432</w:t>
      </w:r>
      <w:r>
        <w:rPr>
          <w:rFonts w:hint="eastAsia"/>
        </w:rPr>
        <w:t>座，县级广播电视台</w:t>
      </w:r>
      <w:r>
        <w:rPr>
          <w:rFonts w:hint="eastAsia"/>
        </w:rPr>
        <w:t>1263</w:t>
      </w:r>
      <w:r>
        <w:rPr>
          <w:rFonts w:hint="eastAsia"/>
        </w:rPr>
        <w:t>座，中、短波广播电视发射台和转播台</w:t>
      </w:r>
      <w:r>
        <w:rPr>
          <w:rFonts w:hint="eastAsia"/>
        </w:rPr>
        <w:t>70099</w:t>
      </w:r>
      <w:r>
        <w:rPr>
          <w:rFonts w:hint="eastAsia"/>
        </w:rPr>
        <w:t>座，卫星上行站</w:t>
      </w:r>
      <w:r>
        <w:rPr>
          <w:rFonts w:hint="eastAsia"/>
        </w:rPr>
        <w:t>34</w:t>
      </w:r>
      <w:r>
        <w:rPr>
          <w:rFonts w:hint="eastAsia"/>
        </w:rPr>
        <w:t>座，卫星收转站</w:t>
      </w:r>
      <w:r>
        <w:rPr>
          <w:rFonts w:hint="eastAsia"/>
        </w:rPr>
        <w:t>52</w:t>
      </w:r>
      <w:r>
        <w:rPr>
          <w:rFonts w:hint="eastAsia"/>
        </w:rPr>
        <w:t>万座，有线电视传输网络</w:t>
      </w:r>
      <w:r>
        <w:rPr>
          <w:rFonts w:hint="eastAsia"/>
        </w:rPr>
        <w:t>300</w:t>
      </w:r>
      <w:r>
        <w:rPr>
          <w:rFonts w:hint="eastAsia"/>
        </w:rPr>
        <w:t>多万公里，基本形成中央与地方相结合，无线、有线、卫星等传输手段相交融的广播电视传播覆盖体系；绝大多数居民家中都有收音机和电视机。中国政府实施重点工程，全面提高广播电视的覆盖范围。</w:t>
      </w:r>
      <w:r>
        <w:rPr>
          <w:rFonts w:hint="eastAsia"/>
        </w:rPr>
        <w:t>1998</w:t>
      </w:r>
      <w:r>
        <w:rPr>
          <w:rFonts w:hint="eastAsia"/>
        </w:rPr>
        <w:t>年开始实施的“村村通”广播电视工程，到</w:t>
      </w:r>
      <w:r>
        <w:rPr>
          <w:rFonts w:hint="eastAsia"/>
        </w:rPr>
        <w:t>2002</w:t>
      </w:r>
      <w:r>
        <w:rPr>
          <w:rFonts w:hint="eastAsia"/>
        </w:rPr>
        <w:t>年底共投资</w:t>
      </w:r>
      <w:r>
        <w:rPr>
          <w:rFonts w:hint="eastAsia"/>
        </w:rPr>
        <w:t>17.7</w:t>
      </w:r>
      <w:r>
        <w:rPr>
          <w:rFonts w:hint="eastAsia"/>
        </w:rPr>
        <w:t>亿元，解决了</w:t>
      </w:r>
      <w:r>
        <w:rPr>
          <w:rFonts w:hint="eastAsia"/>
        </w:rPr>
        <w:t>10</w:t>
      </w:r>
      <w:r>
        <w:rPr>
          <w:rFonts w:hint="eastAsia"/>
        </w:rPr>
        <w:t>多万个村、</w:t>
      </w:r>
      <w:r>
        <w:rPr>
          <w:rFonts w:hint="eastAsia"/>
        </w:rPr>
        <w:t>7000</w:t>
      </w:r>
      <w:r>
        <w:rPr>
          <w:rFonts w:hint="eastAsia"/>
        </w:rPr>
        <w:t>多万居民收听收看广播电视难的问题，中国的广播、电视人口综合覆盖率分别由</w:t>
      </w:r>
      <w:r>
        <w:rPr>
          <w:rFonts w:hint="eastAsia"/>
        </w:rPr>
        <w:t>1998</w:t>
      </w:r>
      <w:r>
        <w:rPr>
          <w:rFonts w:hint="eastAsia"/>
        </w:rPr>
        <w:t>年的</w:t>
      </w:r>
      <w:r>
        <w:rPr>
          <w:rFonts w:hint="eastAsia"/>
        </w:rPr>
        <w:t>88.3%</w:t>
      </w:r>
      <w:r>
        <w:rPr>
          <w:rFonts w:hint="eastAsia"/>
        </w:rPr>
        <w:t>、</w:t>
      </w:r>
      <w:r>
        <w:rPr>
          <w:rFonts w:hint="eastAsia"/>
        </w:rPr>
        <w:t>89.0%</w:t>
      </w:r>
      <w:r>
        <w:rPr>
          <w:rFonts w:hint="eastAsia"/>
        </w:rPr>
        <w:t>提高到</w:t>
      </w:r>
      <w:r>
        <w:rPr>
          <w:rFonts w:hint="eastAsia"/>
        </w:rPr>
        <w:t>93.2%</w:t>
      </w:r>
      <w:r>
        <w:rPr>
          <w:rFonts w:hint="eastAsia"/>
        </w:rPr>
        <w:t>、</w:t>
      </w:r>
      <w:r>
        <w:rPr>
          <w:rFonts w:hint="eastAsia"/>
        </w:rPr>
        <w:t>94.5%</w:t>
      </w:r>
      <w:r>
        <w:rPr>
          <w:rFonts w:hint="eastAsia"/>
        </w:rPr>
        <w:t>。广播电视节目制作水平进一步提高，数量迅速增长。目前共播出</w:t>
      </w:r>
      <w:r>
        <w:rPr>
          <w:rFonts w:hint="eastAsia"/>
        </w:rPr>
        <w:t>1777</w:t>
      </w:r>
      <w:r>
        <w:rPr>
          <w:rFonts w:hint="eastAsia"/>
        </w:rPr>
        <w:t>套广播节目和</w:t>
      </w:r>
      <w:r>
        <w:rPr>
          <w:rFonts w:hint="eastAsia"/>
        </w:rPr>
        <w:t>1047</w:t>
      </w:r>
      <w:r>
        <w:rPr>
          <w:rFonts w:hint="eastAsia"/>
        </w:rPr>
        <w:t>套电视节目，广播电台每日播出时间</w:t>
      </w:r>
      <w:r>
        <w:rPr>
          <w:rFonts w:hint="eastAsia"/>
        </w:rPr>
        <w:t>21378</w:t>
      </w:r>
      <w:r>
        <w:rPr>
          <w:rFonts w:hint="eastAsia"/>
        </w:rPr>
        <w:t>小时，电视台每周播出时间</w:t>
      </w:r>
      <w:r>
        <w:rPr>
          <w:rFonts w:hint="eastAsia"/>
        </w:rPr>
        <w:t>155819</w:t>
      </w:r>
      <w:r>
        <w:rPr>
          <w:rFonts w:hint="eastAsia"/>
        </w:rPr>
        <w:t>小时。</w:t>
      </w:r>
    </w:p>
    <w:p w:rsidR="00000000" w:rsidRDefault="00000000">
      <w:pPr>
        <w:rPr>
          <w:rFonts w:hint="eastAsia"/>
        </w:rPr>
      </w:pPr>
      <w:r>
        <w:rPr>
          <w:rFonts w:hint="eastAsia"/>
        </w:rPr>
        <w:tab/>
        <w:t xml:space="preserve">255.  </w:t>
      </w:r>
      <w:r>
        <w:rPr>
          <w:rFonts w:hint="eastAsia"/>
        </w:rPr>
        <w:t>图书、报刊、音像制品和电子出版物发展迅速。目前全国有出版社</w:t>
      </w:r>
      <w:r>
        <w:rPr>
          <w:rFonts w:hint="eastAsia"/>
        </w:rPr>
        <w:t>565</w:t>
      </w:r>
      <w:r>
        <w:rPr>
          <w:rFonts w:hint="eastAsia"/>
        </w:rPr>
        <w:t>家，出版图书</w:t>
      </w:r>
      <w:r>
        <w:rPr>
          <w:rFonts w:hint="eastAsia"/>
        </w:rPr>
        <w:t>154526</w:t>
      </w:r>
      <w:r>
        <w:rPr>
          <w:rFonts w:hint="eastAsia"/>
        </w:rPr>
        <w:t>种，总印数</w:t>
      </w:r>
      <w:r>
        <w:rPr>
          <w:rFonts w:hint="eastAsia"/>
        </w:rPr>
        <w:t>63.1</w:t>
      </w:r>
      <w:r>
        <w:rPr>
          <w:rFonts w:hint="eastAsia"/>
        </w:rPr>
        <w:t>亿册；有音像出版单位</w:t>
      </w:r>
      <w:r>
        <w:rPr>
          <w:rFonts w:hint="eastAsia"/>
        </w:rPr>
        <w:t>290</w:t>
      </w:r>
      <w:r>
        <w:rPr>
          <w:rFonts w:hint="eastAsia"/>
        </w:rPr>
        <w:t>家，出版音像制品</w:t>
      </w:r>
      <w:r>
        <w:rPr>
          <w:rFonts w:hint="eastAsia"/>
        </w:rPr>
        <w:t>17648</w:t>
      </w:r>
      <w:r>
        <w:rPr>
          <w:rFonts w:hint="eastAsia"/>
        </w:rPr>
        <w:t>种，出版数量</w:t>
      </w:r>
      <w:r>
        <w:rPr>
          <w:rFonts w:hint="eastAsia"/>
        </w:rPr>
        <w:t>2.02</w:t>
      </w:r>
      <w:r>
        <w:rPr>
          <w:rFonts w:hint="eastAsia"/>
        </w:rPr>
        <w:t>亿盒</w:t>
      </w:r>
      <w:r>
        <w:rPr>
          <w:rFonts w:hint="eastAsia"/>
        </w:rPr>
        <w:t>(</w:t>
      </w:r>
      <w:r>
        <w:rPr>
          <w:rFonts w:hint="eastAsia"/>
        </w:rPr>
        <w:t>张</w:t>
      </w:r>
      <w:r>
        <w:rPr>
          <w:rFonts w:hint="eastAsia"/>
        </w:rPr>
        <w:t>)</w:t>
      </w:r>
      <w:r>
        <w:rPr>
          <w:rFonts w:hint="eastAsia"/>
        </w:rPr>
        <w:t>；出版期刊</w:t>
      </w:r>
      <w:r>
        <w:rPr>
          <w:rFonts w:hint="eastAsia"/>
        </w:rPr>
        <w:t>8889</w:t>
      </w:r>
      <w:r>
        <w:rPr>
          <w:rFonts w:hint="eastAsia"/>
        </w:rPr>
        <w:t>种，总印数</w:t>
      </w:r>
      <w:r>
        <w:rPr>
          <w:rFonts w:hint="eastAsia"/>
        </w:rPr>
        <w:t>28.9</w:t>
      </w:r>
      <w:r>
        <w:rPr>
          <w:rFonts w:hint="eastAsia"/>
        </w:rPr>
        <w:t>亿册；出版报纸</w:t>
      </w:r>
      <w:r>
        <w:rPr>
          <w:rFonts w:hint="eastAsia"/>
        </w:rPr>
        <w:t>2111</w:t>
      </w:r>
      <w:r>
        <w:rPr>
          <w:rFonts w:hint="eastAsia"/>
        </w:rPr>
        <w:t>种，总印数</w:t>
      </w:r>
      <w:r>
        <w:rPr>
          <w:rFonts w:hint="eastAsia"/>
        </w:rPr>
        <w:t>351.06</w:t>
      </w:r>
      <w:r>
        <w:rPr>
          <w:rFonts w:hint="eastAsia"/>
        </w:rPr>
        <w:t>亿册。近年来，信息技术特别是国际互联网在中国发展迅猛，使公众能够享受到更为便捷的信息服务。中国网民人数已由</w:t>
      </w:r>
      <w:r>
        <w:rPr>
          <w:rFonts w:hint="eastAsia"/>
        </w:rPr>
        <w:t>1997</w:t>
      </w:r>
      <w:r>
        <w:rPr>
          <w:rFonts w:hint="eastAsia"/>
        </w:rPr>
        <w:t>年的</w:t>
      </w:r>
      <w:r>
        <w:rPr>
          <w:rFonts w:hint="eastAsia"/>
        </w:rPr>
        <w:t>62</w:t>
      </w:r>
      <w:r>
        <w:rPr>
          <w:rFonts w:hint="eastAsia"/>
        </w:rPr>
        <w:t>万人增至目前的</w:t>
      </w:r>
      <w:r>
        <w:rPr>
          <w:rFonts w:hint="eastAsia"/>
        </w:rPr>
        <w:t>4580</w:t>
      </w:r>
      <w:r>
        <w:rPr>
          <w:rFonts w:hint="eastAsia"/>
        </w:rPr>
        <w:t>万人，</w:t>
      </w:r>
      <w:r>
        <w:rPr>
          <w:rFonts w:hint="eastAsia"/>
        </w:rPr>
        <w:t>5</w:t>
      </w:r>
      <w:r>
        <w:rPr>
          <w:rFonts w:hint="eastAsia"/>
        </w:rPr>
        <w:t>年增长了</w:t>
      </w:r>
      <w:r>
        <w:rPr>
          <w:rFonts w:hint="eastAsia"/>
        </w:rPr>
        <w:t>74</w:t>
      </w:r>
      <w:r>
        <w:rPr>
          <w:rFonts w:hint="eastAsia"/>
        </w:rPr>
        <w:t>倍。联网计算机数量、网民数量、出口带宽、网上资源等均呈快速增长态势。</w:t>
      </w:r>
    </w:p>
    <w:p w:rsidR="00000000" w:rsidRDefault="00000000">
      <w:pPr>
        <w:rPr>
          <w:rFonts w:hint="eastAsia"/>
        </w:rPr>
      </w:pPr>
      <w:r>
        <w:rPr>
          <w:rFonts w:hint="eastAsia"/>
        </w:rPr>
        <w:tab/>
        <w:t>256.  1980</w:t>
      </w:r>
      <w:r>
        <w:rPr>
          <w:rFonts w:hint="eastAsia"/>
        </w:rPr>
        <w:t>年，中国成为世界知识产权组织成员国。中国陆续出台一系列保护知识产权法律法规，如《商标法》、《专利法》、《著作权法》、《民法通则》等，明确了公民、法人对其智力创造成果依法享有知识产权。国务院并出台《商标法实施条例》、《专利法实施细则》、《著作权法实施条例》和《计算机软件保护条例》。中国还加入一些知识产权保护国际公约，如《保护工业产权巴黎公约》、《商标国际注册马德里协定》、《保护文学和艺术作品伯尔尼公约》、《世界版权公约》、《保护录音制品制作者防止未经许可复制其录音制品公约》等。</w:t>
      </w:r>
      <w:r>
        <w:rPr>
          <w:rFonts w:hint="eastAsia"/>
        </w:rPr>
        <w:t>1994</w:t>
      </w:r>
      <w:r>
        <w:rPr>
          <w:rFonts w:hint="eastAsia"/>
        </w:rPr>
        <w:t>年，全国人大常委会通过《关于惩治侵犯著作权的犯罪的决定》。</w:t>
      </w:r>
      <w:r>
        <w:rPr>
          <w:rFonts w:hint="eastAsia"/>
        </w:rPr>
        <w:t>1997</w:t>
      </w:r>
      <w:r>
        <w:rPr>
          <w:rFonts w:hint="eastAsia"/>
        </w:rPr>
        <w:t>年修订的《刑法》设定了侵犯知识产权罪。近年来先后修订《专利法》、《商标法》和《著作权法》，完善了知识产权法律救助机制。</w:t>
      </w:r>
      <w:r>
        <w:rPr>
          <w:rFonts w:hint="eastAsia"/>
        </w:rPr>
        <w:t>2001</w:t>
      </w:r>
      <w:r>
        <w:rPr>
          <w:rFonts w:hint="eastAsia"/>
        </w:rPr>
        <w:t>年，国务院颁布《集成电路布图设计保护条例》，修订了与知识产权法律相关的行政法规。在短短十几年里，中国已形成一个既符合中国国情又与国际公约、国际惯例相协调的比较健全的知识产权保护法律体系，走过了一些发达国家通常需要几十年甚至上百年才能完成的立法路程。</w:t>
      </w:r>
    </w:p>
    <w:p w:rsidR="00000000" w:rsidRDefault="00000000">
      <w:pPr>
        <w:rPr>
          <w:rFonts w:hint="eastAsia"/>
        </w:rPr>
      </w:pPr>
      <w:r>
        <w:rPr>
          <w:rFonts w:hint="eastAsia"/>
        </w:rPr>
        <w:tab/>
        <w:t xml:space="preserve">257.  </w:t>
      </w:r>
      <w:r>
        <w:rPr>
          <w:rFonts w:hint="eastAsia"/>
        </w:rPr>
        <w:t>建立起知识产权保护执法体系。最高人民法院先后颁布一批知识产权审判的司法解释。</w:t>
      </w:r>
      <w:r>
        <w:rPr>
          <w:rFonts w:hint="eastAsia"/>
        </w:rPr>
        <w:t>1992</w:t>
      </w:r>
      <w:r>
        <w:rPr>
          <w:rFonts w:hint="eastAsia"/>
        </w:rPr>
        <w:t>年以来，中国法院系统先后设立</w:t>
      </w:r>
      <w:r>
        <w:rPr>
          <w:rFonts w:hint="eastAsia"/>
        </w:rPr>
        <w:t>20</w:t>
      </w:r>
      <w:r>
        <w:rPr>
          <w:rFonts w:hint="eastAsia"/>
        </w:rPr>
        <w:t>多个知识产权审判庭。赋予行政管理部门行政处罚权，是中国知识产权保护的显著特点。对严重的侵权行为，有关行政管理部门可以对侵权者实施没收非法所得、罚款等行政处罚。</w:t>
      </w:r>
      <w:r>
        <w:rPr>
          <w:rFonts w:hint="eastAsia"/>
        </w:rPr>
        <w:t>1999</w:t>
      </w:r>
      <w:r>
        <w:rPr>
          <w:rFonts w:hint="eastAsia"/>
        </w:rPr>
        <w:t>年以来，全国共取缔关闭音像制品集中经营场所和非法集散地</w:t>
      </w:r>
      <w:r>
        <w:rPr>
          <w:rFonts w:hint="eastAsia"/>
        </w:rPr>
        <w:t>277</w:t>
      </w:r>
      <w:r>
        <w:rPr>
          <w:rFonts w:hint="eastAsia"/>
        </w:rPr>
        <w:t>家，吊销许可证、停业和外迁经营业户</w:t>
      </w:r>
      <w:r>
        <w:rPr>
          <w:rFonts w:hint="eastAsia"/>
        </w:rPr>
        <w:t>8600</w:t>
      </w:r>
      <w:r>
        <w:rPr>
          <w:rFonts w:hint="eastAsia"/>
        </w:rPr>
        <w:t>家。</w:t>
      </w:r>
      <w:r>
        <w:rPr>
          <w:rFonts w:hint="eastAsia"/>
        </w:rPr>
        <w:t>2001</w:t>
      </w:r>
      <w:r>
        <w:rPr>
          <w:rFonts w:hint="eastAsia"/>
        </w:rPr>
        <w:t>年全年收缴、销毁违法音像制品约一亿张，查缴盗版图书</w:t>
      </w:r>
      <w:r>
        <w:rPr>
          <w:rFonts w:hint="eastAsia"/>
        </w:rPr>
        <w:t>1223</w:t>
      </w:r>
      <w:r>
        <w:rPr>
          <w:rFonts w:hint="eastAsia"/>
        </w:rPr>
        <w:t>万余册、盗版计算机软件</w:t>
      </w:r>
      <w:r>
        <w:rPr>
          <w:rFonts w:hint="eastAsia"/>
        </w:rPr>
        <w:t>412</w:t>
      </w:r>
      <w:r>
        <w:rPr>
          <w:rFonts w:hint="eastAsia"/>
        </w:rPr>
        <w:t>万张，查处商标侵权假冒案件</w:t>
      </w:r>
      <w:r>
        <w:rPr>
          <w:rFonts w:hint="eastAsia"/>
        </w:rPr>
        <w:t>22813</w:t>
      </w:r>
      <w:r>
        <w:rPr>
          <w:rFonts w:hint="eastAsia"/>
        </w:rPr>
        <w:t>件。</w:t>
      </w:r>
    </w:p>
    <w:p w:rsidR="00000000" w:rsidRDefault="00000000">
      <w:pPr>
        <w:rPr>
          <w:rFonts w:hint="eastAsia"/>
        </w:rPr>
      </w:pPr>
      <w:r>
        <w:rPr>
          <w:rFonts w:hint="eastAsia"/>
        </w:rPr>
        <w:tab/>
        <w:t xml:space="preserve">258.  </w:t>
      </w:r>
      <w:r>
        <w:rPr>
          <w:rFonts w:hint="eastAsia"/>
        </w:rPr>
        <w:t>中国重视知识产权保护的宣传普及和人才培养。借助报刊、电台、电视台等各种媒体，通过举办讲座、报告、知识竞赛和文艺演出等各种形式宣传知识产权法律、法规，使中国公民的知识产权意识逐步提高。北京大学、中国人民大学等多所大学和中国社会科学院都成立了知识产权学院或知识产权培训中心，培养知识产权专业人才。中国政府积极扶持各种以保护知识产权、促进文化传播为目的的民间团体开展活动。中国第一家知识产权集体管理机构</w:t>
      </w:r>
      <w:r>
        <w:rPr>
          <w:rFonts w:hint="eastAsia"/>
          <w:spacing w:val="-40"/>
        </w:rPr>
        <w:t>――</w:t>
      </w:r>
      <w:r>
        <w:rPr>
          <w:rFonts w:hint="eastAsia"/>
          <w:spacing w:val="-40"/>
        </w:rPr>
        <w:t xml:space="preserve"> </w:t>
      </w:r>
      <w:r>
        <w:rPr>
          <w:rFonts w:hint="eastAsia"/>
        </w:rPr>
        <w:t>中国音乐著作权协会于</w:t>
      </w:r>
      <w:r>
        <w:rPr>
          <w:rFonts w:hint="eastAsia"/>
        </w:rPr>
        <w:t>1992</w:t>
      </w:r>
      <w:r>
        <w:rPr>
          <w:rFonts w:hint="eastAsia"/>
        </w:rPr>
        <w:t>年</w:t>
      </w:r>
      <w:r>
        <w:rPr>
          <w:rFonts w:hint="eastAsia"/>
        </w:rPr>
        <w:t>12</w:t>
      </w:r>
      <w:r>
        <w:rPr>
          <w:rFonts w:hint="eastAsia"/>
        </w:rPr>
        <w:t>月成立，现已吸收会员</w:t>
      </w:r>
      <w:r>
        <w:rPr>
          <w:rFonts w:hint="eastAsia"/>
        </w:rPr>
        <w:t>1200</w:t>
      </w:r>
      <w:r>
        <w:rPr>
          <w:rFonts w:hint="eastAsia"/>
        </w:rPr>
        <w:t>多名。由知识产权各专门协会、集体管理机构等构成的知识产权社会管理和服务体系已经初步建立。</w:t>
      </w:r>
    </w:p>
    <w:p w:rsidR="00000000" w:rsidRDefault="00000000">
      <w:pPr>
        <w:rPr>
          <w:rFonts w:hint="eastAsia"/>
        </w:rPr>
      </w:pPr>
      <w:r>
        <w:rPr>
          <w:rFonts w:hint="eastAsia"/>
        </w:rPr>
        <w:tab/>
        <w:t xml:space="preserve">259.  </w:t>
      </w:r>
      <w:r>
        <w:rPr>
          <w:rFonts w:hint="eastAsia"/>
        </w:rPr>
        <w:t>截至目前，中国已同世界上</w:t>
      </w:r>
      <w:r>
        <w:rPr>
          <w:rFonts w:hint="eastAsia"/>
        </w:rPr>
        <w:t>145</w:t>
      </w:r>
      <w:r>
        <w:rPr>
          <w:rFonts w:hint="eastAsia"/>
        </w:rPr>
        <w:t>个国家签订双边政府文化合作协定和</w:t>
      </w:r>
      <w:r>
        <w:rPr>
          <w:rFonts w:hint="eastAsia"/>
        </w:rPr>
        <w:t>708</w:t>
      </w:r>
      <w:r>
        <w:rPr>
          <w:rFonts w:hint="eastAsia"/>
        </w:rPr>
        <w:t>个年度文化交流计划，与</w:t>
      </w:r>
      <w:r>
        <w:rPr>
          <w:rFonts w:hint="eastAsia"/>
        </w:rPr>
        <w:t>160</w:t>
      </w:r>
      <w:r>
        <w:rPr>
          <w:rFonts w:hint="eastAsia"/>
        </w:rPr>
        <w:t>多个国家和地区有不同形式的文化往来，与数千个外国和国际文化组织保持着各种形式的联系，每年全国对外文化交流项目多达</w:t>
      </w:r>
      <w:r>
        <w:rPr>
          <w:rFonts w:hint="eastAsia"/>
        </w:rPr>
        <w:t>5000</w:t>
      </w:r>
      <w:r>
        <w:rPr>
          <w:rFonts w:hint="eastAsia"/>
        </w:rPr>
        <w:t>起。</w:t>
      </w:r>
    </w:p>
    <w:p w:rsidR="00000000" w:rsidRDefault="00000000">
      <w:pPr>
        <w:rPr>
          <w:rFonts w:hint="eastAsia"/>
        </w:rPr>
      </w:pPr>
      <w:r>
        <w:rPr>
          <w:rFonts w:hint="eastAsia"/>
        </w:rPr>
        <w:tab/>
        <w:t xml:space="preserve">260.  </w:t>
      </w:r>
      <w:r>
        <w:rPr>
          <w:rFonts w:hint="eastAsia"/>
        </w:rPr>
        <w:t>根据中国与各国签定的文化交流计划，中国政府每年拨出专门经费，实施列入计划的具体项目。</w:t>
      </w:r>
      <w:r>
        <w:rPr>
          <w:rFonts w:hint="eastAsia"/>
        </w:rPr>
        <w:t>1995</w:t>
      </w:r>
      <w:r>
        <w:rPr>
          <w:rFonts w:hint="eastAsia"/>
        </w:rPr>
        <w:t>年至今，中国年均派出表演艺术团组</w:t>
      </w:r>
      <w:r>
        <w:rPr>
          <w:rFonts w:hint="eastAsia"/>
        </w:rPr>
        <w:t>2680</w:t>
      </w:r>
      <w:r>
        <w:rPr>
          <w:rFonts w:hint="eastAsia"/>
        </w:rPr>
        <w:t>余起，艺术展览</w:t>
      </w:r>
      <w:r>
        <w:rPr>
          <w:rFonts w:hint="eastAsia"/>
        </w:rPr>
        <w:t>690</w:t>
      </w:r>
      <w:r>
        <w:rPr>
          <w:rFonts w:hint="eastAsia"/>
        </w:rPr>
        <w:t>余起。接待外国来华演出团组</w:t>
      </w:r>
      <w:r>
        <w:rPr>
          <w:rFonts w:hint="eastAsia"/>
        </w:rPr>
        <w:t>1760</w:t>
      </w:r>
      <w:r>
        <w:rPr>
          <w:rFonts w:hint="eastAsia"/>
        </w:rPr>
        <w:t>余起，艺术展览</w:t>
      </w:r>
      <w:r>
        <w:rPr>
          <w:rFonts w:hint="eastAsia"/>
        </w:rPr>
        <w:t>570</w:t>
      </w:r>
      <w:r>
        <w:rPr>
          <w:rFonts w:hint="eastAsia"/>
        </w:rPr>
        <w:t>余起。从</w:t>
      </w:r>
      <w:r>
        <w:rPr>
          <w:rFonts w:hint="eastAsia"/>
        </w:rPr>
        <w:t>2000</w:t>
      </w:r>
      <w:r>
        <w:rPr>
          <w:rFonts w:hint="eastAsia"/>
        </w:rPr>
        <w:t>年开始，中国陆续在美国举办“中华文化美国行”、在法国举办“中国文化季”、作为主宾国参加德国“柏林亚太周”活动、在巴西举办“中国文化节”，在埃及举办“中国文化周”。中国还与日本互办了“中日文化年”，与韩国互办了“中韩国民交流年”活动。</w:t>
      </w:r>
    </w:p>
    <w:p w:rsidR="00000000" w:rsidRDefault="00000000">
      <w:pPr>
        <w:rPr>
          <w:rFonts w:hint="eastAsia"/>
        </w:rPr>
      </w:pPr>
      <w:r>
        <w:rPr>
          <w:rFonts w:hint="eastAsia"/>
        </w:rPr>
        <w:tab/>
        <w:t xml:space="preserve">261.  </w:t>
      </w:r>
      <w:r>
        <w:rPr>
          <w:rFonts w:hint="eastAsia"/>
        </w:rPr>
        <w:t>中国一直为本国选手参加高水平国际比赛提供经费和其他支持。中国成名艺术家和新秀在俄罗斯柴可夫斯基国际音乐比赛、德国慕尼黑国际音乐比赛、波兰肖邦钢琴比赛、奥地利维也纳国际吉他比赛、罗马尼亚国际青少年单簧管比赛、摩纳哥蒙特卡罗国际杂技节和法国戛纳国际电影节、德国柏林国际电影节、意大利威尼斯电影节、美国夏威夷电影节、澳大利亚悉尼国际电影节、日本东京国际电影节等重要国际文化艺术活动中频频亮相，取得可喜成绩。</w:t>
      </w:r>
    </w:p>
    <w:p w:rsidR="00000000" w:rsidRDefault="00000000">
      <w:pPr>
        <w:rPr>
          <w:rFonts w:hint="eastAsia"/>
        </w:rPr>
      </w:pPr>
      <w:r>
        <w:rPr>
          <w:rFonts w:hint="eastAsia"/>
        </w:rPr>
        <w:tab/>
        <w:t>262.  1996</w:t>
      </w:r>
      <w:r>
        <w:rPr>
          <w:rFonts w:hint="eastAsia"/>
        </w:rPr>
        <w:t>年至</w:t>
      </w:r>
      <w:r>
        <w:rPr>
          <w:rFonts w:hint="eastAsia"/>
        </w:rPr>
        <w:t>1999</w:t>
      </w:r>
      <w:r>
        <w:rPr>
          <w:rFonts w:hint="eastAsia"/>
        </w:rPr>
        <w:t>年，中国连续举办“中国国际交响乐年”、“中国国际歌剧舞剧年”、“中国国际美术年”、“中国国际民族歌舞年”等国际艺术主题年活动。从</w:t>
      </w:r>
      <w:r>
        <w:rPr>
          <w:rFonts w:hint="eastAsia"/>
        </w:rPr>
        <w:t>2000</w:t>
      </w:r>
      <w:r>
        <w:rPr>
          <w:rFonts w:hint="eastAsia"/>
        </w:rPr>
        <w:t>年开始，中国又举办了</w:t>
      </w:r>
      <w:r>
        <w:rPr>
          <w:rFonts w:hint="eastAsia"/>
        </w:rPr>
        <w:t>3</w:t>
      </w:r>
      <w:r>
        <w:rPr>
          <w:rFonts w:hint="eastAsia"/>
        </w:rPr>
        <w:t>届“相约北京”联欢活动。中国还连续举办北京国际音乐节、河北吴桥杂技艺术节、上海国际艺术节和上海电影节、长春电影节等国际文化艺术活动。</w:t>
      </w:r>
    </w:p>
    <w:p w:rsidR="00000000" w:rsidRDefault="00000000">
      <w:pPr>
        <w:rPr>
          <w:rFonts w:hint="eastAsia"/>
        </w:rPr>
      </w:pPr>
      <w:r>
        <w:rPr>
          <w:rFonts w:hint="eastAsia"/>
        </w:rPr>
        <w:tab/>
        <w:t xml:space="preserve">263.  </w:t>
      </w:r>
      <w:r>
        <w:rPr>
          <w:rFonts w:hint="eastAsia"/>
        </w:rPr>
        <w:t>鼓励中国文化艺术工作者出国参加国际文化会议和研讨会。中国已加入联合国教科文组织、世界知识产权组织、亚欧基金和涉及各种文化艺术门类的</w:t>
      </w:r>
      <w:r>
        <w:rPr>
          <w:rFonts w:hint="eastAsia"/>
        </w:rPr>
        <w:t>30</w:t>
      </w:r>
      <w:r>
        <w:rPr>
          <w:rFonts w:hint="eastAsia"/>
        </w:rPr>
        <w:t>余个重要国际文化组织和机构。</w:t>
      </w:r>
      <w:r>
        <w:rPr>
          <w:rFonts w:hint="eastAsia"/>
        </w:rPr>
        <w:t>2001</w:t>
      </w:r>
      <w:r>
        <w:rPr>
          <w:rFonts w:hint="eastAsia"/>
        </w:rPr>
        <w:t>年，中国政府文化代表团出席了联合国教科文组织和古巴文化部共同举办的第</w:t>
      </w:r>
      <w:r>
        <w:rPr>
          <w:rFonts w:hint="eastAsia"/>
        </w:rPr>
        <w:t>2</w:t>
      </w:r>
      <w:r>
        <w:rPr>
          <w:rFonts w:hint="eastAsia"/>
        </w:rPr>
        <w:t>届国际文化与发展大会。</w:t>
      </w:r>
      <w:r>
        <w:rPr>
          <w:rFonts w:hint="eastAsia"/>
        </w:rPr>
        <w:t>2002</w:t>
      </w:r>
      <w:r>
        <w:rPr>
          <w:rFonts w:hint="eastAsia"/>
        </w:rPr>
        <w:t>年，中国政府文化代表团先后出席了世界知识产权组织阿曼国际论坛、联合国教科文组织第</w:t>
      </w:r>
      <w:r>
        <w:rPr>
          <w:rFonts w:hint="eastAsia"/>
        </w:rPr>
        <w:t>3</w:t>
      </w:r>
      <w:r>
        <w:rPr>
          <w:rFonts w:hint="eastAsia"/>
        </w:rPr>
        <w:t>次文化部长圆桌会议和在南非举办的第</w:t>
      </w:r>
      <w:r>
        <w:rPr>
          <w:rFonts w:hint="eastAsia"/>
        </w:rPr>
        <w:t>5</w:t>
      </w:r>
      <w:r>
        <w:rPr>
          <w:rFonts w:hint="eastAsia"/>
        </w:rPr>
        <w:t>次“文化政策国际网络”文化部长会议。</w:t>
      </w:r>
    </w:p>
    <w:p w:rsidR="00000000" w:rsidRDefault="00000000">
      <w:pPr>
        <w:rPr>
          <w:rFonts w:hint="eastAsia"/>
        </w:rPr>
      </w:pPr>
      <w:r>
        <w:rPr>
          <w:rFonts w:hint="eastAsia"/>
        </w:rPr>
        <w:tab/>
        <w:t xml:space="preserve">264.  </w:t>
      </w:r>
      <w:r>
        <w:rPr>
          <w:rFonts w:hint="eastAsia"/>
        </w:rPr>
        <w:t>发展科学技术是提高公众生活质量，促进和保护人权，实现人人平等的关键环节和条件。“在社会主义现代化建设中优先发展科学技术”是中国政府的理性选择，并在</w:t>
      </w:r>
      <w:r>
        <w:rPr>
          <w:rFonts w:hint="eastAsia"/>
        </w:rPr>
        <w:t>1993</w:t>
      </w:r>
      <w:r>
        <w:rPr>
          <w:rFonts w:hint="eastAsia"/>
        </w:rPr>
        <w:t>年</w:t>
      </w:r>
      <w:r>
        <w:rPr>
          <w:rFonts w:hint="eastAsia"/>
        </w:rPr>
        <w:t>7</w:t>
      </w:r>
      <w:r>
        <w:rPr>
          <w:rFonts w:hint="eastAsia"/>
        </w:rPr>
        <w:t>月</w:t>
      </w:r>
      <w:r>
        <w:rPr>
          <w:rFonts w:hint="eastAsia"/>
        </w:rPr>
        <w:t>2</w:t>
      </w:r>
      <w:r>
        <w:rPr>
          <w:rFonts w:hint="eastAsia"/>
        </w:rPr>
        <w:t>日第八届全国人民代表大会常务委员会第二次会议通过《中华人民共和国科学技术进步法》得到确认。</w:t>
      </w:r>
    </w:p>
    <w:p w:rsidR="00000000" w:rsidRDefault="00000000">
      <w:pPr>
        <w:rPr>
          <w:rFonts w:hint="eastAsia"/>
        </w:rPr>
      </w:pPr>
      <w:r>
        <w:rPr>
          <w:rFonts w:hint="eastAsia"/>
        </w:rPr>
        <w:tab/>
        <w:t xml:space="preserve">265.  </w:t>
      </w:r>
      <w:r>
        <w:rPr>
          <w:rFonts w:hint="eastAsia"/>
        </w:rPr>
        <w:t>中国积极倡导崇尚科学的社会风气，排除各种非科学或反科学的意识对科学技术活动的干扰，保障科学技术方面的学术观点和研究方法的多样化，以利于中国科学技术水平进入世界先进行列。在全国范围内普及科学技术知识，则是推动科学技术进步和提高劳动者素质的重要途径。</w:t>
      </w:r>
    </w:p>
    <w:p w:rsidR="00000000" w:rsidRDefault="00000000">
      <w:pPr>
        <w:rPr>
          <w:rFonts w:hint="eastAsia"/>
        </w:rPr>
      </w:pPr>
      <w:r>
        <w:rPr>
          <w:rFonts w:hint="eastAsia"/>
        </w:rPr>
        <w:tab/>
        <w:t xml:space="preserve">266.  </w:t>
      </w:r>
      <w:r>
        <w:rPr>
          <w:rFonts w:hint="eastAsia"/>
        </w:rPr>
        <w:t>研究开发机构依照国家有关规定，享有研究开发、生产经营、经费使用、机构设置、人员聘用等方面的自主权，并可按照国家有关规定采取多种形式向社会筹集研究开发基金，促进和保障了科学技术研究工作的顺利开展。中国法律规定，科学技术工作者有依法创办或参加科学技术团体的权利。科学技术社会团体可以在推进学科建设、普及科学技术知识、培养专门人才、开展咨询服务、促进学术交流、维护科学技术工作者的合法权益等方面，发挥积极作用。</w:t>
      </w:r>
    </w:p>
    <w:p w:rsidR="00000000" w:rsidRDefault="00000000">
      <w:pPr>
        <w:rPr>
          <w:rFonts w:hint="eastAsia"/>
        </w:rPr>
      </w:pPr>
      <w:r>
        <w:rPr>
          <w:rFonts w:hint="eastAsia"/>
        </w:rPr>
        <w:tab/>
        <w:t xml:space="preserve">267.  </w:t>
      </w:r>
      <w:r>
        <w:rPr>
          <w:rFonts w:hint="eastAsia"/>
        </w:rPr>
        <w:t>中国《宪法》和《科技进步法》明确了科学技术工作者的社会地位和工作条件、生活条件等特定权益。各级政府和企业事业组织采取各项措施，逐步提高科学技术工作者的待遇，改善其工作条件和生活条件，对有突出贡献的科学技术工作者应当给予优厚待遇；为科学技术工作者的合理流动创造环境和条件，发挥其专长；对从事基础研究和应用基础研究、高技术研究、重大工程建设项目研究、重大科学技术攻关项目研究和重点社会公益性科学技术研究及在农村贫困地区、少数民族地区和恶劣、危险环境中工作的科学技术工作者，依照国家规定给予补贴。</w:t>
      </w:r>
    </w:p>
    <w:p w:rsidR="00000000" w:rsidRDefault="00000000">
      <w:pPr>
        <w:rPr>
          <w:rFonts w:hint="eastAsia"/>
        </w:rPr>
      </w:pPr>
      <w:r>
        <w:rPr>
          <w:rFonts w:hint="eastAsia"/>
        </w:rPr>
        <w:tab/>
        <w:t xml:space="preserve">268.  </w:t>
      </w:r>
      <w:r>
        <w:rPr>
          <w:rFonts w:hint="eastAsia"/>
        </w:rPr>
        <w:t>改革开放以来，中国相继颁布和修订《发明奖励条例》、《自然科学奖励条例》、《科技进步奖励条例》、《合理化建议和技术改进奖励条例》等科技奖励法规。《科技进步法》总结中国科技奖励工作的成功实践，并上升为法律。</w:t>
      </w:r>
      <w:r>
        <w:rPr>
          <w:rFonts w:hint="eastAsia"/>
        </w:rPr>
        <w:t>1999</w:t>
      </w:r>
      <w:r>
        <w:rPr>
          <w:rFonts w:hint="eastAsia"/>
        </w:rPr>
        <w:t>年国务院发布《国家科学技术奖励条例》，对科技奖励制度进行了改革，加大了对推动科技进步、促进科技传播的有功人员的奖励。如国家最高科学技术奖获奖者奖金每人</w:t>
      </w:r>
      <w:r>
        <w:rPr>
          <w:rFonts w:hint="eastAsia"/>
        </w:rPr>
        <w:t>500</w:t>
      </w:r>
      <w:r>
        <w:rPr>
          <w:rFonts w:hint="eastAsia"/>
        </w:rPr>
        <w:t>万元，国家自然科学奖、国家技术发明奖、国家科学技术进步奖的奖金调整为一等奖</w:t>
      </w:r>
      <w:r>
        <w:rPr>
          <w:rFonts w:hint="eastAsia"/>
        </w:rPr>
        <w:t>9</w:t>
      </w:r>
      <w:r>
        <w:rPr>
          <w:rFonts w:hint="eastAsia"/>
        </w:rPr>
        <w:t>万元，二等奖</w:t>
      </w:r>
      <w:r>
        <w:rPr>
          <w:rFonts w:hint="eastAsia"/>
        </w:rPr>
        <w:t>6</w:t>
      </w:r>
      <w:r>
        <w:rPr>
          <w:rFonts w:hint="eastAsia"/>
        </w:rPr>
        <w:t>万元。</w:t>
      </w:r>
    </w:p>
    <w:p w:rsidR="00000000" w:rsidRDefault="00000000">
      <w:pPr>
        <w:rPr>
          <w:rFonts w:hint="eastAsia"/>
        </w:rPr>
      </w:pPr>
      <w:r>
        <w:rPr>
          <w:rFonts w:hint="eastAsia"/>
        </w:rPr>
        <w:tab/>
        <w:t xml:space="preserve">269.  </w:t>
      </w:r>
      <w:r>
        <w:rPr>
          <w:rFonts w:hint="eastAsia"/>
        </w:rPr>
        <w:t>中国政府积极发展同外国政府、国际组织间的科学技术合作与交流，鼓励研究开发机构、高等院校、社会团体和科学技术工作者与国外科学技术界建立多种形式的合作关系。设立中华人民共和国国际科学技术合作奖，授予为国际科学技术合作与交流，促进科学技术发展和人类文明进步做出贡献的外藉科技人员。</w:t>
      </w:r>
    </w:p>
    <w:p w:rsidR="00000000" w:rsidRDefault="00000000">
      <w:pPr>
        <w:rPr>
          <w:rFonts w:hint="eastAsia"/>
        </w:rPr>
      </w:pPr>
      <w:r>
        <w:rPr>
          <w:rFonts w:hint="eastAsia"/>
        </w:rPr>
        <w:tab/>
        <w:t xml:space="preserve">270.  </w:t>
      </w:r>
      <w:r>
        <w:rPr>
          <w:rFonts w:hint="eastAsia"/>
        </w:rPr>
        <w:t>中国政府投资建设了很多科普基础设施。截至</w:t>
      </w:r>
      <w:r>
        <w:rPr>
          <w:rFonts w:hint="eastAsia"/>
        </w:rPr>
        <w:t>2000</w:t>
      </w:r>
      <w:r>
        <w:rPr>
          <w:rFonts w:hint="eastAsia"/>
        </w:rPr>
        <w:t>年，中国共建成科技场馆</w:t>
      </w:r>
      <w:r>
        <w:rPr>
          <w:rFonts w:hint="eastAsia"/>
        </w:rPr>
        <w:t>425</w:t>
      </w:r>
      <w:r>
        <w:rPr>
          <w:rFonts w:hint="eastAsia"/>
        </w:rPr>
        <w:t>座，其中国家级科技馆</w:t>
      </w:r>
      <w:r>
        <w:rPr>
          <w:rFonts w:hint="eastAsia"/>
        </w:rPr>
        <w:t>1</w:t>
      </w:r>
      <w:r>
        <w:rPr>
          <w:rFonts w:hint="eastAsia"/>
        </w:rPr>
        <w:t>座，省级科技馆</w:t>
      </w:r>
      <w:r>
        <w:rPr>
          <w:rFonts w:hint="eastAsia"/>
        </w:rPr>
        <w:t>29</w:t>
      </w:r>
      <w:r>
        <w:rPr>
          <w:rFonts w:hint="eastAsia"/>
        </w:rPr>
        <w:t>座。选定</w:t>
      </w:r>
      <w:r>
        <w:rPr>
          <w:rFonts w:hint="eastAsia"/>
        </w:rPr>
        <w:t>100</w:t>
      </w:r>
      <w:r>
        <w:rPr>
          <w:rFonts w:hint="eastAsia"/>
        </w:rPr>
        <w:t>个“青少年科技教育基地”，认定</w:t>
      </w:r>
      <w:r>
        <w:rPr>
          <w:rFonts w:hint="eastAsia"/>
        </w:rPr>
        <w:t>200</w:t>
      </w:r>
      <w:r>
        <w:rPr>
          <w:rFonts w:hint="eastAsia"/>
        </w:rPr>
        <w:t>个“全国科普教育基地”等。这些基地连同科普场馆通过举办科普展览、报告会、讲座、培训班、实验等活动，在普及科学技术知识，传播科学思想和方法中发挥了显著作用。中国先后创作出版一大批科普期刊、图书。目前全国共有面向不同层次、不同行业的理工农医类和综合性科普期刊近</w:t>
      </w:r>
      <w:r>
        <w:rPr>
          <w:rFonts w:hint="eastAsia"/>
        </w:rPr>
        <w:t>300</w:t>
      </w:r>
      <w:r>
        <w:rPr>
          <w:rFonts w:hint="eastAsia"/>
        </w:rPr>
        <w:t>种。</w:t>
      </w:r>
      <w:r>
        <w:rPr>
          <w:rFonts w:hint="eastAsia"/>
        </w:rPr>
        <w:t>20</w:t>
      </w:r>
      <w:r>
        <w:rPr>
          <w:rFonts w:hint="eastAsia"/>
        </w:rPr>
        <w:t>世纪</w:t>
      </w:r>
      <w:r>
        <w:rPr>
          <w:rFonts w:hint="eastAsia"/>
        </w:rPr>
        <w:t>80</w:t>
      </w:r>
      <w:r>
        <w:rPr>
          <w:rFonts w:hint="eastAsia"/>
        </w:rPr>
        <w:t>年代中国共出版科普图书约</w:t>
      </w:r>
      <w:r>
        <w:rPr>
          <w:rFonts w:hint="eastAsia"/>
        </w:rPr>
        <w:t>20000</w:t>
      </w:r>
      <w:r>
        <w:rPr>
          <w:rFonts w:hint="eastAsia"/>
        </w:rPr>
        <w:t>种，年均</w:t>
      </w:r>
      <w:r>
        <w:rPr>
          <w:rFonts w:hint="eastAsia"/>
        </w:rPr>
        <w:t>2000</w:t>
      </w:r>
      <w:r>
        <w:rPr>
          <w:rFonts w:hint="eastAsia"/>
        </w:rPr>
        <w:t>种。其中基础科学占</w:t>
      </w:r>
      <w:r>
        <w:rPr>
          <w:rFonts w:hint="eastAsia"/>
        </w:rPr>
        <w:t>23%</w:t>
      </w:r>
      <w:r>
        <w:rPr>
          <w:rFonts w:hint="eastAsia"/>
        </w:rPr>
        <w:t>，工交科技占</w:t>
      </w:r>
      <w:r>
        <w:rPr>
          <w:rFonts w:hint="eastAsia"/>
        </w:rPr>
        <w:t>29%</w:t>
      </w:r>
      <w:r>
        <w:rPr>
          <w:rFonts w:hint="eastAsia"/>
        </w:rPr>
        <w:t>，农业科技占</w:t>
      </w:r>
      <w:r>
        <w:rPr>
          <w:rFonts w:hint="eastAsia"/>
        </w:rPr>
        <w:t>20%</w:t>
      </w:r>
      <w:r>
        <w:rPr>
          <w:rFonts w:hint="eastAsia"/>
        </w:rPr>
        <w:t>，医药卫生占</w:t>
      </w:r>
      <w:r>
        <w:rPr>
          <w:rFonts w:hint="eastAsia"/>
        </w:rPr>
        <w:t>12%</w:t>
      </w:r>
      <w:r>
        <w:rPr>
          <w:rFonts w:hint="eastAsia"/>
        </w:rPr>
        <w:t>，交叉科学和多学科综合科普读物占</w:t>
      </w:r>
      <w:r>
        <w:rPr>
          <w:rFonts w:hint="eastAsia"/>
        </w:rPr>
        <w:t>16%</w:t>
      </w:r>
      <w:r>
        <w:rPr>
          <w:rFonts w:hint="eastAsia"/>
        </w:rPr>
        <w:t>。</w:t>
      </w:r>
      <w:r>
        <w:rPr>
          <w:rFonts w:hint="eastAsia"/>
        </w:rPr>
        <w:t>1990</w:t>
      </w:r>
      <w:r>
        <w:rPr>
          <w:rFonts w:hint="eastAsia"/>
        </w:rPr>
        <w:t>年以后，年均出版科普图书约</w:t>
      </w:r>
      <w:r>
        <w:rPr>
          <w:rFonts w:hint="eastAsia"/>
        </w:rPr>
        <w:t>4000</w:t>
      </w:r>
      <w:r>
        <w:rPr>
          <w:rFonts w:hint="eastAsia"/>
        </w:rPr>
        <w:t>种。中国每年出版的科普读物达</w:t>
      </w:r>
      <w:r>
        <w:rPr>
          <w:rFonts w:hint="eastAsia"/>
        </w:rPr>
        <w:t>7000-8000</w:t>
      </w:r>
      <w:r>
        <w:rPr>
          <w:rFonts w:hint="eastAsia"/>
        </w:rPr>
        <w:t>种。全国科技类报纸有</w:t>
      </w:r>
      <w:r>
        <w:rPr>
          <w:rFonts w:hint="eastAsia"/>
        </w:rPr>
        <w:t>200</w:t>
      </w:r>
      <w:r>
        <w:rPr>
          <w:rFonts w:hint="eastAsia"/>
        </w:rPr>
        <w:t>多份，科普杂志</w:t>
      </w:r>
      <w:r>
        <w:rPr>
          <w:rFonts w:hint="eastAsia"/>
        </w:rPr>
        <w:t>300</w:t>
      </w:r>
      <w:r>
        <w:rPr>
          <w:rFonts w:hint="eastAsia"/>
        </w:rPr>
        <w:t>多种；其他类报纸、期刊也大都开设了内容丰富、生动活泼的科普栏目。许多大报恢复或创办了科学副刊或专版。一些科技类行业类报纸的科普副刊也增加了版面或缩短了刊期，并拥有各自的热心读者和作者队伍。</w:t>
      </w:r>
    </w:p>
    <w:p w:rsidR="00000000" w:rsidRDefault="00000000">
      <w:pPr>
        <w:rPr>
          <w:rFonts w:hint="eastAsia"/>
        </w:rPr>
      </w:pPr>
      <w:r>
        <w:rPr>
          <w:rFonts w:hint="eastAsia"/>
        </w:rPr>
        <w:tab/>
        <w:t xml:space="preserve">271.  </w:t>
      </w:r>
      <w:r>
        <w:rPr>
          <w:rFonts w:hint="eastAsia"/>
        </w:rPr>
        <w:t>科普广播节目增加了播出时间和次数，还调整了栏目，丰富了内容，并建立了不同形式的专家热线和咨询服务台，变单向交流为双向交流，从而对一些具有普遍意义的科技热门话题，作出更有的放矢、更有深度的生动解释。有的节目一开播，每隔几秒钟就有一个咨询电话打进来，成为听众最喜爱的节目之一。改革开放</w:t>
      </w:r>
      <w:r>
        <w:rPr>
          <w:rFonts w:hint="eastAsia"/>
        </w:rPr>
        <w:t>20</w:t>
      </w:r>
      <w:r>
        <w:rPr>
          <w:rFonts w:hint="eastAsia"/>
        </w:rPr>
        <w:t>多年来，几乎所有省市以上电视台的主要频道，都办有科普节目。全国生产了数以千计的科教影片。</w:t>
      </w:r>
      <w:r>
        <w:rPr>
          <w:rFonts w:hint="eastAsia"/>
        </w:rPr>
        <w:t>1950-1978</w:t>
      </w:r>
      <w:r>
        <w:rPr>
          <w:rFonts w:hint="eastAsia"/>
        </w:rPr>
        <w:t>年，全国共生产科教影片</w:t>
      </w:r>
      <w:r>
        <w:rPr>
          <w:rFonts w:hint="eastAsia"/>
        </w:rPr>
        <w:t>1328</w:t>
      </w:r>
      <w:r>
        <w:rPr>
          <w:rFonts w:hint="eastAsia"/>
        </w:rPr>
        <w:t>部；</w:t>
      </w:r>
      <w:r>
        <w:rPr>
          <w:rFonts w:hint="eastAsia"/>
        </w:rPr>
        <w:t>1979-1993</w:t>
      </w:r>
      <w:r>
        <w:rPr>
          <w:rFonts w:hint="eastAsia"/>
        </w:rPr>
        <w:t>年，共生产</w:t>
      </w:r>
      <w:r>
        <w:rPr>
          <w:rFonts w:hint="eastAsia"/>
        </w:rPr>
        <w:t>2500</w:t>
      </w:r>
      <w:r>
        <w:rPr>
          <w:rFonts w:hint="eastAsia"/>
        </w:rPr>
        <w:t>部。以北京科教电影制片厂为例，从</w:t>
      </w:r>
      <w:r>
        <w:rPr>
          <w:rFonts w:hint="eastAsia"/>
        </w:rPr>
        <w:t>1960</w:t>
      </w:r>
      <w:r>
        <w:rPr>
          <w:rFonts w:hint="eastAsia"/>
        </w:rPr>
        <w:t>年建厂到</w:t>
      </w:r>
      <w:r>
        <w:rPr>
          <w:rFonts w:hint="eastAsia"/>
        </w:rPr>
        <w:t>1996</w:t>
      </w:r>
      <w:r>
        <w:rPr>
          <w:rFonts w:hint="eastAsia"/>
        </w:rPr>
        <w:t>年共制作影片</w:t>
      </w:r>
      <w:r>
        <w:rPr>
          <w:rFonts w:hint="eastAsia"/>
        </w:rPr>
        <w:t>900</w:t>
      </w:r>
      <w:r>
        <w:rPr>
          <w:rFonts w:hint="eastAsia"/>
        </w:rPr>
        <w:t>多部。中国已建成科普网站</w:t>
      </w:r>
      <w:r>
        <w:rPr>
          <w:rFonts w:hint="eastAsia"/>
        </w:rPr>
        <w:t>100</w:t>
      </w:r>
      <w:r>
        <w:rPr>
          <w:rFonts w:hint="eastAsia"/>
        </w:rPr>
        <w:t>多个，专业性科普网站数十个。</w:t>
      </w:r>
    </w:p>
    <w:p w:rsidR="00000000" w:rsidRDefault="00000000">
      <w:pPr>
        <w:rPr>
          <w:rFonts w:hint="eastAsia"/>
        </w:rPr>
      </w:pPr>
      <w:r>
        <w:rPr>
          <w:rFonts w:hint="eastAsia"/>
        </w:rPr>
        <w:tab/>
        <w:t xml:space="preserve">272.  </w:t>
      </w:r>
      <w:r>
        <w:rPr>
          <w:rFonts w:hint="eastAsia"/>
        </w:rPr>
        <w:t>目前社区各类商业科普街、文明科普公园、旅游科普街、科普文明居委会、科普宣传街、科普专栏、模范科普家庭越来越多，部分社区科普工作已纳入政府工作，统一规划，统一考核，把科普工作广泛地渗透到社区各种社会化服务网络中。这些城市社区科普紧密结合社区居民的学习、生活和工作，有针对性地举办了科普讲座、展览、培训、科技竞赛、科普游园等科技活动，组织社区居民广泛参与科普工作，并组织了离退休人员的科普学习和科学健身活动，发挥他们在科普宣传中的重要作用。</w:t>
      </w:r>
    </w:p>
    <w:p w:rsidR="00000000" w:rsidRDefault="00000000">
      <w:pPr>
        <w:rPr>
          <w:rFonts w:hint="eastAsia"/>
        </w:rPr>
      </w:pPr>
      <w:r>
        <w:rPr>
          <w:rFonts w:hint="eastAsia"/>
        </w:rPr>
        <w:tab/>
        <w:t xml:space="preserve">273.  </w:t>
      </w:r>
      <w:r>
        <w:rPr>
          <w:rFonts w:hint="eastAsia"/>
        </w:rPr>
        <w:t>为改善中国农民科技素质，</w:t>
      </w:r>
      <w:r>
        <w:rPr>
          <w:rFonts w:hint="eastAsia"/>
        </w:rPr>
        <w:t>1986</w:t>
      </w:r>
      <w:r>
        <w:rPr>
          <w:rFonts w:hint="eastAsia"/>
        </w:rPr>
        <w:t>年原国家科委实施了第一个依靠科学技术促进农村经济发展的计划</w:t>
      </w:r>
      <w:r>
        <w:rPr>
          <w:rFonts w:hint="eastAsia"/>
          <w:spacing w:val="-40"/>
        </w:rPr>
        <w:t>――</w:t>
      </w:r>
      <w:r>
        <w:rPr>
          <w:rFonts w:hint="eastAsia"/>
          <w:spacing w:val="-40"/>
        </w:rPr>
        <w:t xml:space="preserve"> </w:t>
      </w:r>
      <w:r>
        <w:rPr>
          <w:rFonts w:hint="eastAsia"/>
        </w:rPr>
        <w:t>星火计划，通过将先进技术引向农村，引导亿万农民依靠科技发展农村经济，引导乡镇企业的科技进步，促进农村劳动者整体素质的提高，推动农业和农村经济持续、快速、健康发展。截至</w:t>
      </w:r>
      <w:r>
        <w:rPr>
          <w:rFonts w:hint="eastAsia"/>
        </w:rPr>
        <w:t>1995</w:t>
      </w:r>
      <w:r>
        <w:rPr>
          <w:rFonts w:hint="eastAsia"/>
        </w:rPr>
        <w:t>年底，全国共组织实施星火计划项目</w:t>
      </w:r>
      <w:r>
        <w:rPr>
          <w:rFonts w:hint="eastAsia"/>
        </w:rPr>
        <w:t>66736</w:t>
      </w:r>
      <w:r>
        <w:rPr>
          <w:rFonts w:hint="eastAsia"/>
        </w:rPr>
        <w:t>项，完成星火项目</w:t>
      </w:r>
      <w:r>
        <w:rPr>
          <w:rFonts w:hint="eastAsia"/>
        </w:rPr>
        <w:t>35254</w:t>
      </w:r>
      <w:r>
        <w:rPr>
          <w:rFonts w:hint="eastAsia"/>
        </w:rPr>
        <w:t>项，总投入</w:t>
      </w:r>
      <w:r>
        <w:rPr>
          <w:rFonts w:hint="eastAsia"/>
        </w:rPr>
        <w:t>937.6</w:t>
      </w:r>
      <w:r>
        <w:rPr>
          <w:rFonts w:hint="eastAsia"/>
        </w:rPr>
        <w:t>亿元，项目覆盖全国</w:t>
      </w:r>
      <w:r>
        <w:rPr>
          <w:rFonts w:hint="eastAsia"/>
        </w:rPr>
        <w:t>85%</w:t>
      </w:r>
      <w:r>
        <w:rPr>
          <w:rFonts w:hint="eastAsia"/>
        </w:rPr>
        <w:t>以上的县，</w:t>
      </w:r>
      <w:r>
        <w:rPr>
          <w:rFonts w:hint="eastAsia"/>
        </w:rPr>
        <w:t>1995</w:t>
      </w:r>
      <w:r>
        <w:rPr>
          <w:rFonts w:hint="eastAsia"/>
        </w:rPr>
        <w:t>年全国星火计划实现产值</w:t>
      </w:r>
      <w:r>
        <w:rPr>
          <w:rFonts w:hint="eastAsia"/>
        </w:rPr>
        <w:t>2682.7</w:t>
      </w:r>
      <w:r>
        <w:rPr>
          <w:rFonts w:hint="eastAsia"/>
        </w:rPr>
        <w:t>亿元，实现利税</w:t>
      </w:r>
      <w:r>
        <w:rPr>
          <w:rFonts w:hint="eastAsia"/>
        </w:rPr>
        <w:t>473.9</w:t>
      </w:r>
      <w:r>
        <w:rPr>
          <w:rFonts w:hint="eastAsia"/>
        </w:rPr>
        <w:t>亿元，创汇</w:t>
      </w:r>
      <w:r>
        <w:rPr>
          <w:rFonts w:hint="eastAsia"/>
        </w:rPr>
        <w:t>88.9</w:t>
      </w:r>
      <w:r>
        <w:rPr>
          <w:rFonts w:hint="eastAsia"/>
        </w:rPr>
        <w:t>亿美元。中国政府的十个部门共同开展文化、科技、卫生“三下乡”活动，组织各级各类科技人员、各级科技部门、农业部门和科协系统，深入农村，向农民传授科技知识，提供技术培训，普及生产生活知识，进行科普宣传。据不完全统计，到</w:t>
      </w:r>
      <w:r>
        <w:rPr>
          <w:rFonts w:hint="eastAsia"/>
        </w:rPr>
        <w:t>1998</w:t>
      </w:r>
      <w:r>
        <w:rPr>
          <w:rFonts w:hint="eastAsia"/>
        </w:rPr>
        <w:t>年，下乡的科技人员共</w:t>
      </w:r>
      <w:r>
        <w:rPr>
          <w:rFonts w:hint="eastAsia"/>
        </w:rPr>
        <w:t>96.2</w:t>
      </w:r>
      <w:r>
        <w:rPr>
          <w:rFonts w:hint="eastAsia"/>
        </w:rPr>
        <w:t>万余人次，共送科技材料</w:t>
      </w:r>
      <w:r>
        <w:rPr>
          <w:rFonts w:hint="eastAsia"/>
        </w:rPr>
        <w:t>4779</w:t>
      </w:r>
      <w:r>
        <w:rPr>
          <w:rFonts w:hint="eastAsia"/>
        </w:rPr>
        <w:t>万份，举办科技大集</w:t>
      </w:r>
      <w:r>
        <w:rPr>
          <w:rFonts w:hint="eastAsia"/>
        </w:rPr>
        <w:t>49.6</w:t>
      </w:r>
      <w:r>
        <w:rPr>
          <w:rFonts w:hint="eastAsia"/>
        </w:rPr>
        <w:t>万场，有近</w:t>
      </w:r>
      <w:r>
        <w:rPr>
          <w:rFonts w:hint="eastAsia"/>
        </w:rPr>
        <w:t>9500</w:t>
      </w:r>
      <w:r>
        <w:rPr>
          <w:rFonts w:hint="eastAsia"/>
        </w:rPr>
        <w:t>多万农民参加了科技培训，培训农民科技人员</w:t>
      </w:r>
      <w:r>
        <w:rPr>
          <w:rFonts w:hint="eastAsia"/>
        </w:rPr>
        <w:t>100</w:t>
      </w:r>
      <w:r>
        <w:rPr>
          <w:rFonts w:hint="eastAsia"/>
        </w:rPr>
        <w:t>万人。中国农业科技进步对农业经济增长的贡献份额由</w:t>
      </w:r>
      <w:r>
        <w:rPr>
          <w:rFonts w:hint="eastAsia"/>
        </w:rPr>
        <w:t>1995</w:t>
      </w:r>
      <w:r>
        <w:rPr>
          <w:rFonts w:hint="eastAsia"/>
        </w:rPr>
        <w:t>年的</w:t>
      </w:r>
      <w:r>
        <w:rPr>
          <w:rFonts w:hint="eastAsia"/>
        </w:rPr>
        <w:t>34.28%</w:t>
      </w:r>
      <w:r>
        <w:rPr>
          <w:rFonts w:hint="eastAsia"/>
        </w:rPr>
        <w:t>提高到</w:t>
      </w:r>
      <w:r>
        <w:rPr>
          <w:rFonts w:hint="eastAsia"/>
        </w:rPr>
        <w:t>1998</w:t>
      </w:r>
      <w:r>
        <w:rPr>
          <w:rFonts w:hint="eastAsia"/>
        </w:rPr>
        <w:t>年的</w:t>
      </w:r>
      <w:r>
        <w:rPr>
          <w:rFonts w:hint="eastAsia"/>
        </w:rPr>
        <w:t>40%</w:t>
      </w:r>
      <w:r>
        <w:rPr>
          <w:rFonts w:hint="eastAsia"/>
        </w:rPr>
        <w:t>左右。</w:t>
      </w:r>
    </w:p>
    <w:p w:rsidR="00000000" w:rsidRDefault="00000000">
      <w:pPr>
        <w:rPr>
          <w:rFonts w:hint="eastAsia"/>
        </w:rPr>
      </w:pPr>
      <w:r>
        <w:rPr>
          <w:rFonts w:hint="eastAsia"/>
        </w:rPr>
        <w:tab/>
        <w:t>274.  1994</w:t>
      </w:r>
      <w:r>
        <w:rPr>
          <w:rFonts w:hint="eastAsia"/>
        </w:rPr>
        <w:t>年，中国政府发布《关于加强科学技术普及工作的若干意见》，明确提出，要“普及科学文化教育，将人民导入科学的生产、生活方式”，把“依靠科技进步和知识传播，促进社会主义物质文明和精神文明建设”作为重要任务。政府成立了</w:t>
      </w:r>
      <w:r>
        <w:rPr>
          <w:rFonts w:hint="eastAsia"/>
        </w:rPr>
        <w:t>19</w:t>
      </w:r>
      <w:r>
        <w:rPr>
          <w:rFonts w:hint="eastAsia"/>
        </w:rPr>
        <w:t>个部门组成的科普工作联席会议，先后发布《科学技术普及“九五”计划纲要》、《</w:t>
      </w:r>
      <w:r>
        <w:rPr>
          <w:rFonts w:hint="eastAsia"/>
        </w:rPr>
        <w:t>2000-2005</w:t>
      </w:r>
      <w:r>
        <w:rPr>
          <w:rFonts w:hint="eastAsia"/>
        </w:rPr>
        <w:t>年科学技术普及工作纲要》、《科学技术普及工作“十五”发展规划》等重要文件和若干重大规划。</w:t>
      </w:r>
      <w:r>
        <w:rPr>
          <w:rFonts w:hint="eastAsia"/>
        </w:rPr>
        <w:t>2001</w:t>
      </w:r>
      <w:r>
        <w:rPr>
          <w:rFonts w:hint="eastAsia"/>
        </w:rPr>
        <w:t>年，中国政府决定从</w:t>
      </w:r>
      <w:r>
        <w:rPr>
          <w:rFonts w:hint="eastAsia"/>
        </w:rPr>
        <w:t>2001</w:t>
      </w:r>
      <w:r>
        <w:rPr>
          <w:rFonts w:hint="eastAsia"/>
        </w:rPr>
        <w:t>年起，每年</w:t>
      </w:r>
      <w:r>
        <w:rPr>
          <w:rFonts w:hint="eastAsia"/>
        </w:rPr>
        <w:t>5</w:t>
      </w:r>
      <w:r>
        <w:rPr>
          <w:rFonts w:hint="eastAsia"/>
        </w:rPr>
        <w:t>月的第三周为全国科技活动周，在全国范围内开展群众性的科技活动。</w:t>
      </w:r>
      <w:r>
        <w:rPr>
          <w:rFonts w:hint="eastAsia"/>
        </w:rPr>
        <w:t>1996</w:t>
      </w:r>
      <w:r>
        <w:rPr>
          <w:rFonts w:hint="eastAsia"/>
        </w:rPr>
        <w:t>年、</w:t>
      </w:r>
      <w:r>
        <w:rPr>
          <w:rFonts w:hint="eastAsia"/>
        </w:rPr>
        <w:t>1999</w:t>
      </w:r>
      <w:r>
        <w:rPr>
          <w:rFonts w:hint="eastAsia"/>
        </w:rPr>
        <w:t>年、</w:t>
      </w:r>
      <w:r>
        <w:rPr>
          <w:rFonts w:hint="eastAsia"/>
        </w:rPr>
        <w:t>2002</w:t>
      </w:r>
      <w:r>
        <w:rPr>
          <w:rFonts w:hint="eastAsia"/>
        </w:rPr>
        <w:t>年，中国政府召开了三次全国科学技术普及工作会议，部署全国的科普工作，确立了工作方针和目标，明确了各类科普工作主体的职责，使科普工作走向规范化。</w:t>
      </w:r>
      <w:r>
        <w:rPr>
          <w:rFonts w:hint="eastAsia"/>
        </w:rPr>
        <w:t>2002</w:t>
      </w:r>
      <w:r>
        <w:rPr>
          <w:rFonts w:hint="eastAsia"/>
        </w:rPr>
        <w:t>年</w:t>
      </w:r>
      <w:r>
        <w:rPr>
          <w:rFonts w:hint="eastAsia"/>
        </w:rPr>
        <w:t>6</w:t>
      </w:r>
      <w:r>
        <w:rPr>
          <w:rFonts w:hint="eastAsia"/>
        </w:rPr>
        <w:t>月</w:t>
      </w:r>
      <w:r>
        <w:rPr>
          <w:rFonts w:hint="eastAsia"/>
        </w:rPr>
        <w:t>29</w:t>
      </w:r>
      <w:r>
        <w:rPr>
          <w:rFonts w:hint="eastAsia"/>
        </w:rPr>
        <w:t>日，中国颁布实施了《科学技术普及法》，以法律的形式将科学技术普及纳入法制轨道，依法推动和规范科普活动。</w:t>
      </w:r>
    </w:p>
    <w:p w:rsidR="00000000" w:rsidRDefault="00000000">
      <w:pPr>
        <w:rPr>
          <w:rFonts w:hint="eastAsia"/>
        </w:rPr>
      </w:pPr>
      <w:r>
        <w:rPr>
          <w:rFonts w:hint="eastAsia"/>
        </w:rPr>
        <w:tab/>
        <w:t xml:space="preserve">275.  </w:t>
      </w:r>
      <w:r>
        <w:rPr>
          <w:rFonts w:hint="eastAsia"/>
        </w:rPr>
        <w:t>中央财政增加了对科普的投入，其他部门也都划拨一定经费用于本行业领域科学技术普及活动。地方政府大幅增加科普财政拨款，各级政府大幅加强了对科技馆等科普设施建设的投入。“七五”计划以来，中国政府共投入</w:t>
      </w:r>
      <w:r>
        <w:rPr>
          <w:rFonts w:hint="eastAsia"/>
        </w:rPr>
        <w:t>30</w:t>
      </w:r>
      <w:r>
        <w:rPr>
          <w:rFonts w:hint="eastAsia"/>
        </w:rPr>
        <w:t>多亿元，在全国建设了一批科技馆。其中一些科技馆，如中国科学技术馆、天津科学技术馆已步入国际水平。</w:t>
      </w:r>
    </w:p>
    <w:p w:rsidR="00000000" w:rsidRDefault="00000000">
      <w:pPr>
        <w:rPr>
          <w:rFonts w:hint="eastAsia"/>
        </w:rPr>
      </w:pPr>
      <w:r>
        <w:rPr>
          <w:rFonts w:hint="eastAsia"/>
        </w:rPr>
        <w:tab/>
        <w:t xml:space="preserve">276.  </w:t>
      </w:r>
      <w:r>
        <w:rPr>
          <w:rFonts w:hint="eastAsia"/>
        </w:rPr>
        <w:t>自</w:t>
      </w:r>
      <w:r>
        <w:rPr>
          <w:rFonts w:hint="eastAsia"/>
        </w:rPr>
        <w:t>1950</w:t>
      </w:r>
      <w:r>
        <w:rPr>
          <w:rFonts w:hint="eastAsia"/>
        </w:rPr>
        <w:t>年“中华科学”</w:t>
      </w:r>
      <w:r>
        <w:rPr>
          <w:rFonts w:hint="eastAsia"/>
        </w:rPr>
        <w:t>(</w:t>
      </w:r>
      <w:r>
        <w:rPr>
          <w:rFonts w:hint="eastAsia"/>
        </w:rPr>
        <w:t>中国科协前身</w:t>
      </w:r>
      <w:r>
        <w:rPr>
          <w:rFonts w:hint="eastAsia"/>
        </w:rPr>
        <w:t>)</w:t>
      </w:r>
      <w:r>
        <w:rPr>
          <w:rFonts w:hint="eastAsia"/>
        </w:rPr>
        <w:t>成立以来，中国科协组织开展了各种大型科普活动。如面向九亿农民开展“送科技下乡”和“科普之冬”；面向青少年开展“科技传播行动”、“科技创新大赛”、科技夏</w:t>
      </w:r>
      <w:r>
        <w:rPr>
          <w:rFonts w:hint="eastAsia"/>
        </w:rPr>
        <w:t>(</w:t>
      </w:r>
      <w:r>
        <w:rPr>
          <w:rFonts w:hint="eastAsia"/>
        </w:rPr>
        <w:t>冬</w:t>
      </w:r>
      <w:r>
        <w:rPr>
          <w:rFonts w:hint="eastAsia"/>
        </w:rPr>
        <w:t>)</w:t>
      </w:r>
      <w:r>
        <w:rPr>
          <w:rFonts w:hint="eastAsia"/>
        </w:rPr>
        <w:t>令营等；面向领导干部组织“百名院士百场科技报告会”等一系列讲座、报告；面对国家大型企业的技术革新实施“千厂千会协作行动”，组织全国性学会开展国有企业技术咨询、技术诊断和技术攻关协作。这些活动对于提高公众科技意识、在全社会形成尊重科学、相信科学、学习科学的良好氛围起到重要作用。</w:t>
      </w:r>
    </w:p>
    <w:p w:rsidR="00000000" w:rsidRDefault="00000000">
      <w:pPr>
        <w:rPr>
          <w:rFonts w:hint="eastAsia"/>
        </w:rPr>
      </w:pPr>
      <w:r>
        <w:rPr>
          <w:rFonts w:hint="eastAsia"/>
        </w:rPr>
        <w:tab/>
        <w:t xml:space="preserve">277.  </w:t>
      </w:r>
      <w:r>
        <w:rPr>
          <w:rFonts w:hint="eastAsia"/>
        </w:rPr>
        <w:t>中国科学院成立</w:t>
      </w:r>
      <w:r>
        <w:rPr>
          <w:rFonts w:hint="eastAsia"/>
        </w:rPr>
        <w:t>50</w:t>
      </w:r>
      <w:r>
        <w:rPr>
          <w:rFonts w:hint="eastAsia"/>
        </w:rPr>
        <w:t>多年来十分重视科普工作，开展了大量科普活动，形成包括科普管理、科普研究、科普传播和科普教育在内的科普工作体系；进行了“科研院所开放进行科普的指南与示范”、《国家级旅游点开展科普的研究与示范》等科普试点活动，出台了《关于加强中国科学院植物园科普基地建设的若干意见》等一系列政策文件；培养了一批积极参与科普活动的科学家；建立了北京植物园、武汉植物园、昆明植物园、周口店北京猿人遗址博物馆、武汉白暨豚馆、科学院计算机网络信息中心、长春人造卫星观测站等一批科普教育基地；开展了“走进科学殿堂”、“崇尚科学，破除迷信，反对邪教”等活动，举办了《生命进化》、《宇宙、地球、生命》、“神秘的分子世界”等展览和讲座；创办、出版了《中国国家地理杂志》、《电脑爱好者》、《牛顿科学世界》等一批科普杂志和</w:t>
      </w:r>
      <w:r>
        <w:rPr>
          <w:rFonts w:hint="eastAsia"/>
        </w:rPr>
        <w:t>4000</w:t>
      </w:r>
      <w:r>
        <w:rPr>
          <w:rFonts w:hint="eastAsia"/>
        </w:rPr>
        <w:t>余种科普书刊和音像制品。同时，中国科学院积极鼓励、组织科学家从事多种形式的科普活动，</w:t>
      </w:r>
      <w:r>
        <w:rPr>
          <w:rFonts w:hint="eastAsia"/>
        </w:rPr>
        <w:t>1996-1998</w:t>
      </w:r>
      <w:r>
        <w:rPr>
          <w:rFonts w:hint="eastAsia"/>
        </w:rPr>
        <w:t>年在全国</w:t>
      </w:r>
      <w:r>
        <w:rPr>
          <w:rFonts w:hint="eastAsia"/>
        </w:rPr>
        <w:t>10</w:t>
      </w:r>
      <w:r>
        <w:rPr>
          <w:rFonts w:hint="eastAsia"/>
        </w:rPr>
        <w:t>多个城市举办了“百名院士科技系列报告会”《院士科普书系》也已出版</w:t>
      </w:r>
      <w:r>
        <w:rPr>
          <w:rFonts w:hint="eastAsia"/>
        </w:rPr>
        <w:t>50</w:t>
      </w:r>
      <w:r>
        <w:rPr>
          <w:rFonts w:hint="eastAsia"/>
        </w:rPr>
        <w:t>多本。针对青少年科普教育，中国科学院利用寒暑假和节假日，组织开展青少年科技夏令营，通过举办展览、讲座、竞赛和参观活动。</w:t>
      </w:r>
    </w:p>
    <w:p w:rsidR="00000000" w:rsidRDefault="00000000">
      <w:pPr>
        <w:rPr>
          <w:rFonts w:hint="eastAsia"/>
        </w:rPr>
      </w:pPr>
      <w:r>
        <w:rPr>
          <w:rFonts w:hint="eastAsia"/>
        </w:rPr>
        <w:tab/>
        <w:t xml:space="preserve">278.  </w:t>
      </w:r>
      <w:r>
        <w:rPr>
          <w:rFonts w:hint="eastAsia"/>
        </w:rPr>
        <w:t>把科普工作与职工岗位培训、企业文化建设、群众性技术革新活动紧密联系，提高职工的科技素质带动企业技术创新能力的提高；对社会各类科普活动给予支持，通过对公众的科技宣传，树立企业良好形象，加强公众对高科技产品的认同。</w:t>
      </w:r>
    </w:p>
    <w:p w:rsidR="00000000" w:rsidRDefault="00000000">
      <w:pPr>
        <w:rPr>
          <w:rFonts w:hint="eastAsia"/>
        </w:rPr>
      </w:pPr>
      <w:r>
        <w:rPr>
          <w:rFonts w:hint="eastAsia"/>
        </w:rPr>
        <w:tab/>
        <w:t>279.  1988</w:t>
      </w:r>
      <w:r>
        <w:rPr>
          <w:rFonts w:hint="eastAsia"/>
        </w:rPr>
        <w:t>年成立了中国科协振华基金会</w:t>
      </w:r>
      <w:r>
        <w:rPr>
          <w:rFonts w:hint="eastAsia"/>
        </w:rPr>
        <w:t>(</w:t>
      </w:r>
      <w:r>
        <w:rPr>
          <w:rFonts w:hint="eastAsia"/>
        </w:rPr>
        <w:t>后更名为中国科学技术发展基金会</w:t>
      </w:r>
      <w:r>
        <w:rPr>
          <w:rFonts w:hint="eastAsia"/>
        </w:rPr>
        <w:t>)</w:t>
      </w:r>
      <w:r>
        <w:rPr>
          <w:rFonts w:hint="eastAsia"/>
        </w:rPr>
        <w:t>，设立包括高士其科普基金、茅以升科技发展基金、孙越琦科技教育基金、中国青少年</w:t>
      </w:r>
      <w:r>
        <w:rPr>
          <w:rFonts w:hint="eastAsia"/>
        </w:rPr>
        <w:t>21</w:t>
      </w:r>
      <w:r>
        <w:rPr>
          <w:rFonts w:hint="eastAsia"/>
        </w:rPr>
        <w:t>世纪科学基金等</w:t>
      </w:r>
      <w:r>
        <w:rPr>
          <w:rFonts w:hint="eastAsia"/>
        </w:rPr>
        <w:t>64</w:t>
      </w:r>
      <w:r>
        <w:rPr>
          <w:rFonts w:hint="eastAsia"/>
        </w:rPr>
        <w:t>个专项基金，</w:t>
      </w:r>
      <w:r>
        <w:rPr>
          <w:rFonts w:hint="eastAsia"/>
        </w:rPr>
        <w:t>2000</w:t>
      </w:r>
      <w:r>
        <w:rPr>
          <w:rFonts w:hint="eastAsia"/>
        </w:rPr>
        <w:t>年共资助各类科普活动</w:t>
      </w:r>
      <w:r>
        <w:rPr>
          <w:rFonts w:hint="eastAsia"/>
        </w:rPr>
        <w:t>12</w:t>
      </w:r>
      <w:r>
        <w:rPr>
          <w:rFonts w:hint="eastAsia"/>
        </w:rPr>
        <w:t>项，资助总额</w:t>
      </w:r>
      <w:r>
        <w:rPr>
          <w:rFonts w:hint="eastAsia"/>
        </w:rPr>
        <w:t>35.55</w:t>
      </w:r>
      <w:r>
        <w:rPr>
          <w:rFonts w:hint="eastAsia"/>
        </w:rPr>
        <w:t>万元，占全年专项资助额的近</w:t>
      </w:r>
      <w:r>
        <w:rPr>
          <w:rFonts w:hint="eastAsia"/>
        </w:rPr>
        <w:t>7%</w:t>
      </w:r>
      <w:r>
        <w:rPr>
          <w:rFonts w:hint="eastAsia"/>
        </w:rPr>
        <w:t>。中国科普基金的发展呈现新的迹象，一是国家投入的大型科技基金增加科普项目；二是各地政府大力推动科普基金的发展；三是社会各界和海内外企业积极投入建立科普类基金。此外，联合国儿童基金会对中国农村</w:t>
      </w:r>
      <w:r>
        <w:rPr>
          <w:rFonts w:hint="eastAsia"/>
        </w:rPr>
        <w:t>150</w:t>
      </w:r>
      <w:r>
        <w:rPr>
          <w:rFonts w:hint="eastAsia"/>
        </w:rPr>
        <w:t>个贫困县开展的科普宣传活动给予资助，每年约使</w:t>
      </w:r>
      <w:r>
        <w:rPr>
          <w:rFonts w:hint="eastAsia"/>
        </w:rPr>
        <w:t>1000</w:t>
      </w:r>
      <w:r>
        <w:rPr>
          <w:rFonts w:hint="eastAsia"/>
        </w:rPr>
        <w:t>万农村青少年受益。</w:t>
      </w:r>
    </w:p>
    <w:p w:rsidR="00000000" w:rsidRDefault="00000000">
      <w:pPr>
        <w:rPr>
          <w:rFonts w:hint="eastAsia"/>
        </w:rPr>
      </w:pPr>
      <w:r>
        <w:rPr>
          <w:rFonts w:hint="eastAsia"/>
        </w:rPr>
        <w:tab/>
        <w:t xml:space="preserve">280.  </w:t>
      </w:r>
      <w:r>
        <w:rPr>
          <w:rFonts w:hint="eastAsia"/>
        </w:rPr>
        <w:t>中国立法机关先后通过《农业技术推广法》、《促进科技成果转化法》等促进科技成果推广的专门法律。政府对完成科技成果及其转化做出重要贡献的人员给予奖励。以税收优惠政策鼓励科技成果转化。科研机构、高等学校的技术转让收入免征营业税。科研单位、高等学校服务于各业的技术成果转让、技术培训、技术咨询、技术承包所取得的技术性服务收入暂免征收所得税。</w:t>
      </w:r>
    </w:p>
    <w:p w:rsidR="00000000" w:rsidRDefault="00000000">
      <w:pPr>
        <w:rPr>
          <w:rFonts w:hint="eastAsia"/>
        </w:rPr>
      </w:pPr>
      <w:r>
        <w:rPr>
          <w:rFonts w:hint="eastAsia"/>
        </w:rPr>
        <w:tab/>
        <w:t xml:space="preserve">281.  </w:t>
      </w:r>
      <w:r>
        <w:rPr>
          <w:rFonts w:hint="eastAsia"/>
        </w:rPr>
        <w:t>科研机构、高等学校及其科技人员可以离岗创办高新技术企业或到其他高新技术企业转化科技成果。实行人员竞争上岗的科研机构、高等学校，应允许离岗人员在单位规定的期限内</w:t>
      </w:r>
      <w:r>
        <w:rPr>
          <w:rFonts w:hint="eastAsia"/>
        </w:rPr>
        <w:t>(</w:t>
      </w:r>
      <w:r>
        <w:rPr>
          <w:rFonts w:hint="eastAsia"/>
        </w:rPr>
        <w:t>一般为</w:t>
      </w:r>
      <w:r>
        <w:rPr>
          <w:rFonts w:hint="eastAsia"/>
        </w:rPr>
        <w:t>2</w:t>
      </w:r>
      <w:r>
        <w:rPr>
          <w:rFonts w:hint="eastAsia"/>
        </w:rPr>
        <w:t>年</w:t>
      </w:r>
      <w:r>
        <w:rPr>
          <w:rFonts w:hint="eastAsia"/>
        </w:rPr>
        <w:t>)</w:t>
      </w:r>
      <w:r>
        <w:rPr>
          <w:rFonts w:hint="eastAsia"/>
        </w:rPr>
        <w:t>回原单位竞争上岗，保障重新上岗者享有与连续工作的人员同等的福利和待遇。科技人员兼职或离岗期间的工资、医疗、意外伤害等待遇和各种保险，原则上应由用人单位负责。</w:t>
      </w:r>
    </w:p>
    <w:p w:rsidR="00000000" w:rsidRDefault="00000000">
      <w:pPr>
        <w:rPr>
          <w:rFonts w:hint="eastAsia"/>
        </w:rPr>
      </w:pPr>
      <w:r>
        <w:rPr>
          <w:rFonts w:hint="eastAsia"/>
        </w:rPr>
        <w:tab/>
        <w:t xml:space="preserve">282.  </w:t>
      </w:r>
      <w:r>
        <w:rPr>
          <w:rFonts w:hint="eastAsia"/>
        </w:rPr>
        <w:t>鼓励科技人员创办高新技术企业。允许其按照“自愿组合、自筹资金、自主经营、自负盈亏、自我约束、自我发展”的原则，实现其自我价值。允许国有和集体性质的高新技术企业吸收本单位的业务骨干参股；企业实行公司制改造时，允许业务骨干作为公司发起人，保证科技人员价值的最大化。要求地方政府和相关机构支持高新技术创业服务中心</w:t>
      </w:r>
      <w:r>
        <w:rPr>
          <w:rFonts w:hint="eastAsia"/>
        </w:rPr>
        <w:t>(</w:t>
      </w:r>
      <w:r>
        <w:rPr>
          <w:rFonts w:hint="eastAsia"/>
        </w:rPr>
        <w:t>科技企业孵化器</w:t>
      </w:r>
      <w:r>
        <w:rPr>
          <w:rFonts w:hint="eastAsia"/>
        </w:rPr>
        <w:t>)</w:t>
      </w:r>
      <w:r>
        <w:rPr>
          <w:rFonts w:hint="eastAsia"/>
        </w:rPr>
        <w:t>为科研机构、高等学校和科技人员转化高新技术成果，创办高新技术企业提供场地、设施和服务。</w:t>
      </w:r>
    </w:p>
    <w:p w:rsidR="00000000" w:rsidRDefault="00000000">
      <w:pPr>
        <w:rPr>
          <w:rFonts w:hint="eastAsia"/>
        </w:rPr>
      </w:pPr>
      <w:r>
        <w:rPr>
          <w:rFonts w:hint="eastAsia"/>
        </w:rPr>
        <w:tab/>
        <w:t xml:space="preserve">283.  </w:t>
      </w:r>
      <w:r>
        <w:rPr>
          <w:rFonts w:hint="eastAsia"/>
        </w:rPr>
        <w:t>政府利用竞标择优机制，以财政经费支持科技成果转化，包括采用投资、贷款贴息、补助资金和风险投资等形式支持成果转化活动。有条件的地方可以按照国家的有关规定，设立科技成果转化基金或风险基金。商业银行应对符合信贷条件的高新技术成果转化项目积极发放贷款。</w:t>
      </w:r>
    </w:p>
    <w:p w:rsidR="00000000" w:rsidRDefault="00000000">
      <w:pPr>
        <w:rPr>
          <w:rFonts w:hint="eastAsia"/>
        </w:rPr>
      </w:pPr>
    </w:p>
    <w:p w:rsidR="00000000" w:rsidRDefault="00000000">
      <w:pPr>
        <w:pStyle w:val="Heading2"/>
        <w:rPr>
          <w:rFonts w:hint="eastAsia"/>
        </w:rPr>
      </w:pPr>
      <w:r>
        <w:br w:type="page"/>
      </w:r>
      <w:bookmarkStart w:id="25" w:name="_Toc78623561"/>
      <w:bookmarkStart w:id="26" w:name="_Toc78772936"/>
      <w:r>
        <w:rPr>
          <w:rFonts w:hint="eastAsia"/>
        </w:rPr>
        <w:t>附</w:t>
      </w:r>
      <w:r>
        <w:rPr>
          <w:rFonts w:hint="eastAsia"/>
        </w:rPr>
        <w:t xml:space="preserve">  </w:t>
      </w:r>
      <w:r>
        <w:rPr>
          <w:rFonts w:hint="eastAsia"/>
        </w:rPr>
        <w:t>表</w:t>
      </w:r>
      <w:bookmarkEnd w:id="25"/>
      <w:bookmarkEnd w:id="26"/>
    </w:p>
    <w:p w:rsidR="00000000" w:rsidRDefault="00000000">
      <w:pPr>
        <w:spacing w:after="320"/>
        <w:jc w:val="center"/>
        <w:rPr>
          <w:rFonts w:hint="eastAsia"/>
          <w:u w:val="single"/>
        </w:rPr>
      </w:pPr>
      <w:r>
        <w:rPr>
          <w:rFonts w:hint="eastAsia"/>
          <w:u w:val="single"/>
        </w:rPr>
        <w:t>表</w:t>
      </w:r>
      <w:r>
        <w:rPr>
          <w:rFonts w:hint="eastAsia"/>
          <w:bCs/>
          <w:u w:val="single"/>
        </w:rPr>
        <w:t>1</w:t>
      </w:r>
      <w:r>
        <w:rPr>
          <w:rFonts w:hint="eastAsia"/>
          <w:bCs/>
        </w:rPr>
        <w:t>.</w:t>
      </w:r>
      <w:r>
        <w:rPr>
          <w:rFonts w:hint="eastAsia"/>
        </w:rPr>
        <w:t xml:space="preserve">  </w:t>
      </w:r>
      <w:r>
        <w:rPr>
          <w:rFonts w:hint="eastAsia"/>
          <w:bCs/>
          <w:u w:val="single"/>
        </w:rPr>
        <w:t>1985-2000</w:t>
      </w:r>
      <w:r>
        <w:rPr>
          <w:rFonts w:hint="eastAsia"/>
          <w:u w:val="single"/>
        </w:rPr>
        <w:t>年中国公民婚姻登记和离婚情况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7"/>
        <w:gridCol w:w="1760"/>
        <w:gridCol w:w="1760"/>
        <w:gridCol w:w="1760"/>
        <w:gridCol w:w="1760"/>
        <w:gridCol w:w="1353"/>
      </w:tblGrid>
      <w:tr w:rsidR="00000000">
        <w:tblPrEx>
          <w:tblCellMar>
            <w:top w:w="0" w:type="dxa"/>
            <w:bottom w:w="0" w:type="dxa"/>
          </w:tblCellMar>
        </w:tblPrEx>
        <w:tc>
          <w:tcPr>
            <w:tcW w:w="540" w:type="pct"/>
            <w:tcBorders>
              <w:bottom w:val="single" w:sz="4" w:space="0" w:color="auto"/>
            </w:tcBorders>
          </w:tcPr>
          <w:p w:rsidR="00000000" w:rsidRDefault="00000000">
            <w:pPr>
              <w:pStyle w:val="a2"/>
              <w:spacing w:before="180" w:line="240" w:lineRule="auto"/>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935"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居民登记</w:t>
            </w:r>
            <w:r>
              <w:rPr>
                <w:rFonts w:ascii="Time New Roman" w:eastAsia="SimHei" w:hAnsi="Time New Roman"/>
              </w:rPr>
              <w:br/>
            </w:r>
            <w:r>
              <w:rPr>
                <w:rFonts w:ascii="Time New Roman" w:eastAsia="SimHei" w:hAnsi="Time New Roman" w:hint="eastAsia"/>
              </w:rPr>
              <w:t>结婚</w:t>
            </w:r>
            <w:r>
              <w:rPr>
                <w:rFonts w:ascii="Time New Roman" w:eastAsia="SimHei" w:hAnsi="Time New Roman" w:hint="eastAsia"/>
              </w:rPr>
              <w:t>(</w:t>
            </w:r>
            <w:r>
              <w:rPr>
                <w:rFonts w:ascii="Time New Roman" w:eastAsia="SimHei" w:hAnsi="Time New Roman" w:hint="eastAsia"/>
              </w:rPr>
              <w:t>对</w:t>
            </w:r>
            <w:r>
              <w:rPr>
                <w:rFonts w:ascii="Time New Roman" w:eastAsia="SimHei" w:hAnsi="Time New Roman" w:hint="eastAsia"/>
              </w:rPr>
              <w:t>)</w:t>
            </w:r>
          </w:p>
        </w:tc>
        <w:tc>
          <w:tcPr>
            <w:tcW w:w="935" w:type="pct"/>
            <w:tcBorders>
              <w:bottom w:val="single" w:sz="4" w:space="0" w:color="auto"/>
            </w:tcBorders>
          </w:tcPr>
          <w:p w:rsidR="00000000" w:rsidRDefault="00000000">
            <w:pPr>
              <w:pStyle w:val="a2"/>
              <w:spacing w:before="180" w:line="240" w:lineRule="auto"/>
              <w:jc w:val="center"/>
              <w:rPr>
                <w:rFonts w:ascii="Time New Roman" w:eastAsia="SimHei" w:hAnsi="Time New Roman" w:hint="eastAsia"/>
              </w:rPr>
            </w:pPr>
            <w:r>
              <w:rPr>
                <w:rFonts w:ascii="Time New Roman" w:eastAsia="SimHei" w:hAnsi="Time New Roman" w:hint="eastAsia"/>
              </w:rPr>
              <w:t>初婚</w:t>
            </w:r>
            <w:r>
              <w:rPr>
                <w:rFonts w:ascii="Time New Roman" w:eastAsia="SimHei" w:hAnsi="Time New Roman" w:hint="eastAsia"/>
              </w:rPr>
              <w:t>(</w:t>
            </w:r>
            <w:r>
              <w:rPr>
                <w:rFonts w:ascii="Time New Roman" w:eastAsia="SimHei" w:hAnsi="Time New Roman" w:hint="eastAsia"/>
              </w:rPr>
              <w:t>人</w:t>
            </w:r>
            <w:r>
              <w:rPr>
                <w:rFonts w:ascii="Time New Roman" w:eastAsia="SimHei" w:hAnsi="Time New Roman" w:hint="eastAsia"/>
              </w:rPr>
              <w:t>)</w:t>
            </w:r>
          </w:p>
        </w:tc>
        <w:tc>
          <w:tcPr>
            <w:tcW w:w="935" w:type="pct"/>
            <w:tcBorders>
              <w:bottom w:val="single" w:sz="4" w:space="0" w:color="auto"/>
            </w:tcBorders>
          </w:tcPr>
          <w:p w:rsidR="00000000" w:rsidRDefault="00000000">
            <w:pPr>
              <w:pStyle w:val="a2"/>
              <w:spacing w:before="180" w:line="240" w:lineRule="auto"/>
              <w:jc w:val="center"/>
              <w:rPr>
                <w:rFonts w:ascii="Time New Roman" w:eastAsia="SimHei" w:hAnsi="Time New Roman" w:hint="eastAsia"/>
              </w:rPr>
            </w:pPr>
            <w:r>
              <w:rPr>
                <w:rFonts w:ascii="Time New Roman" w:eastAsia="SimHei" w:hAnsi="Time New Roman" w:hint="eastAsia"/>
              </w:rPr>
              <w:t>再婚</w:t>
            </w:r>
            <w:r>
              <w:rPr>
                <w:rFonts w:ascii="Time New Roman" w:eastAsia="SimHei" w:hAnsi="Time New Roman" w:hint="eastAsia"/>
              </w:rPr>
              <w:t>(</w:t>
            </w:r>
            <w:r>
              <w:rPr>
                <w:rFonts w:ascii="Time New Roman" w:eastAsia="SimHei" w:hAnsi="Time New Roman" w:hint="eastAsia"/>
              </w:rPr>
              <w:t>人</w:t>
            </w:r>
            <w:r>
              <w:rPr>
                <w:rFonts w:ascii="Time New Roman" w:eastAsia="SimHei" w:hAnsi="Time New Roman" w:hint="eastAsia"/>
              </w:rPr>
              <w:t>)</w:t>
            </w:r>
          </w:p>
        </w:tc>
        <w:tc>
          <w:tcPr>
            <w:tcW w:w="935" w:type="pct"/>
            <w:tcBorders>
              <w:bottom w:val="single" w:sz="4" w:space="0" w:color="auto"/>
            </w:tcBorders>
          </w:tcPr>
          <w:p w:rsidR="00000000" w:rsidRDefault="00000000">
            <w:pPr>
              <w:pStyle w:val="a2"/>
              <w:spacing w:before="180" w:line="240" w:lineRule="auto"/>
              <w:jc w:val="center"/>
              <w:rPr>
                <w:rFonts w:ascii="Time New Roman" w:eastAsia="SimHei" w:hAnsi="Time New Roman" w:hint="eastAsia"/>
              </w:rPr>
            </w:pPr>
            <w:r>
              <w:rPr>
                <w:rFonts w:ascii="Time New Roman" w:eastAsia="SimHei" w:hAnsi="Time New Roman" w:hint="eastAsia"/>
              </w:rPr>
              <w:t>离婚</w:t>
            </w:r>
            <w:r>
              <w:rPr>
                <w:rFonts w:ascii="Time New Roman" w:eastAsia="SimHei" w:hAnsi="Time New Roman" w:hint="eastAsia"/>
              </w:rPr>
              <w:t>(</w:t>
            </w:r>
            <w:r>
              <w:rPr>
                <w:rFonts w:ascii="Time New Roman" w:eastAsia="SimHei" w:hAnsi="Time New Roman" w:hint="eastAsia"/>
              </w:rPr>
              <w:t>对</w:t>
            </w:r>
            <w:r>
              <w:rPr>
                <w:rFonts w:ascii="Time New Roman" w:eastAsia="SimHei" w:hAnsi="Time New Roman" w:hint="eastAsia"/>
              </w:rPr>
              <w:t>)</w:t>
            </w:r>
          </w:p>
        </w:tc>
        <w:tc>
          <w:tcPr>
            <w:tcW w:w="719" w:type="pct"/>
            <w:tcBorders>
              <w:bottom w:val="single" w:sz="4" w:space="0" w:color="auto"/>
            </w:tcBorders>
          </w:tcPr>
          <w:p w:rsidR="00000000" w:rsidRDefault="00000000">
            <w:pPr>
              <w:pStyle w:val="a2"/>
              <w:spacing w:before="180" w:line="240" w:lineRule="auto"/>
              <w:jc w:val="center"/>
              <w:rPr>
                <w:rFonts w:ascii="Time New Roman" w:eastAsia="SimHei" w:hAnsi="Time New Roman" w:hint="eastAsia"/>
              </w:rPr>
            </w:pPr>
            <w:r>
              <w:rPr>
                <w:rFonts w:ascii="Time New Roman" w:eastAsia="SimHei" w:hAnsi="Time New Roman" w:hint="eastAsia"/>
              </w:rPr>
              <w:t>离婚率</w:t>
            </w:r>
            <w:r>
              <w:rPr>
                <w:rFonts w:ascii="Time New Roman" w:eastAsia="SimHei" w:hAnsi="Time New Roman" w:hint="eastAsia"/>
              </w:rPr>
              <w:t>(</w:t>
            </w:r>
            <w:r>
              <w:rPr>
                <w:rFonts w:ascii="Time New Roman" w:eastAsia="SimHei" w:hAnsi="Time New Roman" w:hint="eastAsia"/>
              </w:rPr>
              <w:t>‰</w:t>
            </w:r>
            <w:r>
              <w:rPr>
                <w:rFonts w:ascii="Time New Roman" w:eastAsia="SimHei" w:hAnsi="Time New Roman" w:hint="eastAsia"/>
              </w:rPr>
              <w:t>)</w:t>
            </w:r>
          </w:p>
        </w:tc>
      </w:tr>
      <w:tr w:rsidR="00000000">
        <w:tblPrEx>
          <w:tblCellMar>
            <w:top w:w="0" w:type="dxa"/>
            <w:bottom w:w="0" w:type="dxa"/>
          </w:tblCellMar>
        </w:tblPrEx>
        <w:tc>
          <w:tcPr>
            <w:tcW w:w="540" w:type="pct"/>
            <w:tcBorders>
              <w:bottom w:val="nil"/>
            </w:tcBorders>
          </w:tcPr>
          <w:p w:rsidR="00000000" w:rsidRDefault="00000000">
            <w:pPr>
              <w:jc w:val="center"/>
            </w:pPr>
            <w:r>
              <w:t>1985</w:t>
            </w:r>
          </w:p>
        </w:tc>
        <w:tc>
          <w:tcPr>
            <w:tcW w:w="935" w:type="pct"/>
            <w:tcBorders>
              <w:bottom w:val="nil"/>
            </w:tcBorders>
          </w:tcPr>
          <w:p w:rsidR="00000000" w:rsidRDefault="00000000">
            <w:pPr>
              <w:pStyle w:val="a2"/>
              <w:tabs>
                <w:tab w:val="decimal" w:pos="1269"/>
              </w:tabs>
            </w:pPr>
            <w:r>
              <w:t>8,290,588</w:t>
            </w:r>
          </w:p>
        </w:tc>
        <w:tc>
          <w:tcPr>
            <w:tcW w:w="935" w:type="pct"/>
            <w:tcBorders>
              <w:bottom w:val="nil"/>
            </w:tcBorders>
          </w:tcPr>
          <w:p w:rsidR="00000000" w:rsidRDefault="00000000">
            <w:pPr>
              <w:pStyle w:val="a2"/>
              <w:tabs>
                <w:tab w:val="decimal" w:pos="1269"/>
              </w:tabs>
            </w:pPr>
            <w:r>
              <w:t>16,076,337</w:t>
            </w:r>
          </w:p>
        </w:tc>
        <w:tc>
          <w:tcPr>
            <w:tcW w:w="935" w:type="pct"/>
            <w:tcBorders>
              <w:bottom w:val="nil"/>
            </w:tcBorders>
          </w:tcPr>
          <w:p w:rsidR="00000000" w:rsidRDefault="00000000">
            <w:pPr>
              <w:pStyle w:val="a2"/>
              <w:tabs>
                <w:tab w:val="decimal" w:pos="1269"/>
              </w:tabs>
            </w:pPr>
            <w:r>
              <w:t>504,839</w:t>
            </w:r>
          </w:p>
        </w:tc>
        <w:tc>
          <w:tcPr>
            <w:tcW w:w="935" w:type="pct"/>
            <w:tcBorders>
              <w:bottom w:val="nil"/>
            </w:tcBorders>
          </w:tcPr>
          <w:p w:rsidR="00000000" w:rsidRDefault="00000000">
            <w:pPr>
              <w:pStyle w:val="a2"/>
              <w:tabs>
                <w:tab w:val="decimal" w:pos="1269"/>
              </w:tabs>
            </w:pPr>
            <w:r>
              <w:t>457,938</w:t>
            </w:r>
          </w:p>
        </w:tc>
        <w:tc>
          <w:tcPr>
            <w:tcW w:w="719" w:type="pct"/>
            <w:tcBorders>
              <w:bottom w:val="nil"/>
            </w:tcBorders>
          </w:tcPr>
          <w:p w:rsidR="00000000" w:rsidRDefault="00000000">
            <w:pPr>
              <w:pStyle w:val="a2"/>
              <w:tabs>
                <w:tab w:val="decimal" w:pos="528"/>
              </w:tabs>
            </w:pPr>
            <w:r>
              <w:t>0.9</w:t>
            </w:r>
          </w:p>
        </w:tc>
      </w:tr>
      <w:tr w:rsidR="00000000">
        <w:tblPrEx>
          <w:tblCellMar>
            <w:top w:w="0" w:type="dxa"/>
            <w:bottom w:w="0" w:type="dxa"/>
          </w:tblCellMar>
        </w:tblPrEx>
        <w:tc>
          <w:tcPr>
            <w:tcW w:w="540" w:type="pct"/>
            <w:tcBorders>
              <w:top w:val="nil"/>
              <w:bottom w:val="nil"/>
            </w:tcBorders>
          </w:tcPr>
          <w:p w:rsidR="00000000" w:rsidRDefault="00000000">
            <w:pPr>
              <w:jc w:val="center"/>
            </w:pPr>
            <w:r>
              <w:t>1986</w:t>
            </w:r>
          </w:p>
        </w:tc>
        <w:tc>
          <w:tcPr>
            <w:tcW w:w="935" w:type="pct"/>
            <w:tcBorders>
              <w:top w:val="nil"/>
              <w:bottom w:val="nil"/>
            </w:tcBorders>
          </w:tcPr>
          <w:p w:rsidR="00000000" w:rsidRDefault="00000000">
            <w:pPr>
              <w:pStyle w:val="a2"/>
              <w:tabs>
                <w:tab w:val="decimal" w:pos="1269"/>
              </w:tabs>
            </w:pPr>
            <w:r>
              <w:t>8,822,935</w:t>
            </w:r>
          </w:p>
        </w:tc>
        <w:tc>
          <w:tcPr>
            <w:tcW w:w="935" w:type="pct"/>
            <w:tcBorders>
              <w:top w:val="nil"/>
              <w:bottom w:val="nil"/>
            </w:tcBorders>
          </w:tcPr>
          <w:p w:rsidR="00000000" w:rsidRDefault="00000000">
            <w:pPr>
              <w:pStyle w:val="a2"/>
              <w:tabs>
                <w:tab w:val="decimal" w:pos="1269"/>
              </w:tabs>
            </w:pPr>
            <w:r>
              <w:t>17,075,107</w:t>
            </w:r>
          </w:p>
        </w:tc>
        <w:tc>
          <w:tcPr>
            <w:tcW w:w="935" w:type="pct"/>
            <w:tcBorders>
              <w:top w:val="nil"/>
              <w:bottom w:val="nil"/>
            </w:tcBorders>
          </w:tcPr>
          <w:p w:rsidR="00000000" w:rsidRDefault="00000000">
            <w:pPr>
              <w:pStyle w:val="a2"/>
              <w:tabs>
                <w:tab w:val="decimal" w:pos="1269"/>
              </w:tabs>
            </w:pPr>
            <w:r>
              <w:t>570,763</w:t>
            </w:r>
          </w:p>
        </w:tc>
        <w:tc>
          <w:tcPr>
            <w:tcW w:w="935" w:type="pct"/>
            <w:tcBorders>
              <w:top w:val="nil"/>
              <w:bottom w:val="nil"/>
            </w:tcBorders>
          </w:tcPr>
          <w:p w:rsidR="00000000" w:rsidRDefault="00000000">
            <w:pPr>
              <w:pStyle w:val="a2"/>
              <w:tabs>
                <w:tab w:val="decimal" w:pos="1269"/>
              </w:tabs>
            </w:pPr>
            <w:r>
              <w:t>505,675</w:t>
            </w:r>
          </w:p>
        </w:tc>
        <w:tc>
          <w:tcPr>
            <w:tcW w:w="719" w:type="pct"/>
            <w:tcBorders>
              <w:top w:val="nil"/>
              <w:bottom w:val="nil"/>
            </w:tcBorders>
          </w:tcPr>
          <w:p w:rsidR="00000000" w:rsidRDefault="00000000">
            <w:pPr>
              <w:pStyle w:val="a2"/>
              <w:tabs>
                <w:tab w:val="decimal" w:pos="528"/>
              </w:tabs>
            </w:pPr>
            <w:r>
              <w:t>0.9</w:t>
            </w:r>
          </w:p>
        </w:tc>
      </w:tr>
      <w:tr w:rsidR="00000000">
        <w:tblPrEx>
          <w:tblCellMar>
            <w:top w:w="0" w:type="dxa"/>
            <w:bottom w:w="0" w:type="dxa"/>
          </w:tblCellMar>
        </w:tblPrEx>
        <w:tc>
          <w:tcPr>
            <w:tcW w:w="540" w:type="pct"/>
            <w:tcBorders>
              <w:top w:val="nil"/>
              <w:bottom w:val="nil"/>
            </w:tcBorders>
          </w:tcPr>
          <w:p w:rsidR="00000000" w:rsidRDefault="00000000">
            <w:pPr>
              <w:jc w:val="center"/>
            </w:pPr>
            <w:r>
              <w:t>1987</w:t>
            </w:r>
          </w:p>
        </w:tc>
        <w:tc>
          <w:tcPr>
            <w:tcW w:w="935" w:type="pct"/>
            <w:tcBorders>
              <w:top w:val="nil"/>
              <w:bottom w:val="nil"/>
            </w:tcBorders>
          </w:tcPr>
          <w:p w:rsidR="00000000" w:rsidRDefault="00000000">
            <w:pPr>
              <w:pStyle w:val="a2"/>
              <w:tabs>
                <w:tab w:val="decimal" w:pos="1269"/>
              </w:tabs>
            </w:pPr>
            <w:r>
              <w:t>9,247,372</w:t>
            </w:r>
          </w:p>
        </w:tc>
        <w:tc>
          <w:tcPr>
            <w:tcW w:w="935" w:type="pct"/>
            <w:tcBorders>
              <w:top w:val="nil"/>
              <w:bottom w:val="nil"/>
            </w:tcBorders>
          </w:tcPr>
          <w:p w:rsidR="00000000" w:rsidRDefault="00000000">
            <w:pPr>
              <w:pStyle w:val="a2"/>
              <w:tabs>
                <w:tab w:val="decimal" w:pos="1269"/>
              </w:tabs>
            </w:pPr>
            <w:r>
              <w:t>17,880,856</w:t>
            </w:r>
          </w:p>
        </w:tc>
        <w:tc>
          <w:tcPr>
            <w:tcW w:w="935" w:type="pct"/>
            <w:tcBorders>
              <w:top w:val="nil"/>
              <w:bottom w:val="nil"/>
            </w:tcBorders>
          </w:tcPr>
          <w:p w:rsidR="00000000" w:rsidRDefault="00000000">
            <w:pPr>
              <w:pStyle w:val="a2"/>
              <w:tabs>
                <w:tab w:val="decimal" w:pos="1269"/>
              </w:tabs>
            </w:pPr>
            <w:r>
              <w:t>613,888</w:t>
            </w:r>
          </w:p>
        </w:tc>
        <w:tc>
          <w:tcPr>
            <w:tcW w:w="935" w:type="pct"/>
            <w:tcBorders>
              <w:top w:val="nil"/>
              <w:bottom w:val="nil"/>
            </w:tcBorders>
          </w:tcPr>
          <w:p w:rsidR="00000000" w:rsidRDefault="00000000">
            <w:pPr>
              <w:pStyle w:val="a2"/>
              <w:tabs>
                <w:tab w:val="decimal" w:pos="1269"/>
              </w:tabs>
            </w:pPr>
            <w:r>
              <w:t>581,484</w:t>
            </w:r>
          </w:p>
        </w:tc>
        <w:tc>
          <w:tcPr>
            <w:tcW w:w="719" w:type="pct"/>
            <w:tcBorders>
              <w:top w:val="nil"/>
              <w:bottom w:val="nil"/>
            </w:tcBorders>
          </w:tcPr>
          <w:p w:rsidR="00000000" w:rsidRDefault="00000000">
            <w:pPr>
              <w:pStyle w:val="a2"/>
              <w:tabs>
                <w:tab w:val="decimal" w:pos="528"/>
              </w:tabs>
            </w:pPr>
            <w:r>
              <w:t>1.1</w:t>
            </w:r>
          </w:p>
        </w:tc>
      </w:tr>
      <w:tr w:rsidR="00000000">
        <w:tblPrEx>
          <w:tblCellMar>
            <w:top w:w="0" w:type="dxa"/>
            <w:bottom w:w="0" w:type="dxa"/>
          </w:tblCellMar>
        </w:tblPrEx>
        <w:tc>
          <w:tcPr>
            <w:tcW w:w="540" w:type="pct"/>
            <w:tcBorders>
              <w:top w:val="nil"/>
              <w:bottom w:val="nil"/>
            </w:tcBorders>
          </w:tcPr>
          <w:p w:rsidR="00000000" w:rsidRDefault="00000000">
            <w:pPr>
              <w:jc w:val="center"/>
            </w:pPr>
            <w:r>
              <w:t>1988</w:t>
            </w:r>
          </w:p>
        </w:tc>
        <w:tc>
          <w:tcPr>
            <w:tcW w:w="935" w:type="pct"/>
            <w:tcBorders>
              <w:top w:val="nil"/>
              <w:bottom w:val="nil"/>
            </w:tcBorders>
          </w:tcPr>
          <w:p w:rsidR="00000000" w:rsidRDefault="00000000">
            <w:pPr>
              <w:pStyle w:val="a2"/>
              <w:tabs>
                <w:tab w:val="decimal" w:pos="1269"/>
              </w:tabs>
            </w:pPr>
            <w:r>
              <w:t>8,971,750</w:t>
            </w:r>
          </w:p>
        </w:tc>
        <w:tc>
          <w:tcPr>
            <w:tcW w:w="935" w:type="pct"/>
            <w:tcBorders>
              <w:top w:val="nil"/>
              <w:bottom w:val="nil"/>
            </w:tcBorders>
          </w:tcPr>
          <w:p w:rsidR="00000000" w:rsidRDefault="00000000">
            <w:pPr>
              <w:pStyle w:val="a2"/>
              <w:tabs>
                <w:tab w:val="decimal" w:pos="1269"/>
              </w:tabs>
            </w:pPr>
            <w:r>
              <w:t>17,285,077</w:t>
            </w:r>
          </w:p>
        </w:tc>
        <w:tc>
          <w:tcPr>
            <w:tcW w:w="935" w:type="pct"/>
            <w:tcBorders>
              <w:top w:val="nil"/>
              <w:bottom w:val="nil"/>
            </w:tcBorders>
          </w:tcPr>
          <w:p w:rsidR="00000000" w:rsidRDefault="00000000">
            <w:pPr>
              <w:pStyle w:val="a2"/>
              <w:tabs>
                <w:tab w:val="decimal" w:pos="1269"/>
              </w:tabs>
            </w:pPr>
            <w:r>
              <w:t>658,423</w:t>
            </w:r>
          </w:p>
        </w:tc>
        <w:tc>
          <w:tcPr>
            <w:tcW w:w="935" w:type="pct"/>
            <w:tcBorders>
              <w:top w:val="nil"/>
              <w:bottom w:val="nil"/>
            </w:tcBorders>
          </w:tcPr>
          <w:p w:rsidR="00000000" w:rsidRDefault="00000000">
            <w:pPr>
              <w:pStyle w:val="a2"/>
              <w:tabs>
                <w:tab w:val="decimal" w:pos="1269"/>
              </w:tabs>
            </w:pPr>
            <w:r>
              <w:t>658,551</w:t>
            </w:r>
          </w:p>
        </w:tc>
        <w:tc>
          <w:tcPr>
            <w:tcW w:w="719" w:type="pct"/>
            <w:tcBorders>
              <w:top w:val="nil"/>
              <w:bottom w:val="nil"/>
            </w:tcBorders>
          </w:tcPr>
          <w:p w:rsidR="00000000" w:rsidRDefault="00000000">
            <w:pPr>
              <w:pStyle w:val="a2"/>
              <w:tabs>
                <w:tab w:val="decimal" w:pos="528"/>
              </w:tabs>
            </w:pPr>
            <w:r>
              <w:t>1.2</w:t>
            </w:r>
          </w:p>
        </w:tc>
      </w:tr>
      <w:tr w:rsidR="00000000">
        <w:tblPrEx>
          <w:tblCellMar>
            <w:top w:w="0" w:type="dxa"/>
            <w:bottom w:w="0" w:type="dxa"/>
          </w:tblCellMar>
        </w:tblPrEx>
        <w:tc>
          <w:tcPr>
            <w:tcW w:w="540" w:type="pct"/>
            <w:tcBorders>
              <w:top w:val="nil"/>
              <w:bottom w:val="nil"/>
            </w:tcBorders>
          </w:tcPr>
          <w:p w:rsidR="00000000" w:rsidRDefault="00000000">
            <w:pPr>
              <w:jc w:val="center"/>
            </w:pPr>
            <w:r>
              <w:t>1989</w:t>
            </w:r>
          </w:p>
        </w:tc>
        <w:tc>
          <w:tcPr>
            <w:tcW w:w="935" w:type="pct"/>
            <w:tcBorders>
              <w:top w:val="nil"/>
              <w:bottom w:val="nil"/>
            </w:tcBorders>
          </w:tcPr>
          <w:p w:rsidR="00000000" w:rsidRDefault="00000000">
            <w:pPr>
              <w:pStyle w:val="a2"/>
              <w:tabs>
                <w:tab w:val="decimal" w:pos="1269"/>
              </w:tabs>
            </w:pPr>
            <w:r>
              <w:t>9,351,915</w:t>
            </w:r>
          </w:p>
        </w:tc>
        <w:tc>
          <w:tcPr>
            <w:tcW w:w="935" w:type="pct"/>
            <w:tcBorders>
              <w:top w:val="nil"/>
              <w:bottom w:val="nil"/>
            </w:tcBorders>
          </w:tcPr>
          <w:p w:rsidR="00000000" w:rsidRDefault="00000000">
            <w:pPr>
              <w:pStyle w:val="a2"/>
              <w:tabs>
                <w:tab w:val="decimal" w:pos="1269"/>
              </w:tabs>
            </w:pPr>
            <w:r>
              <w:t>17,959,680</w:t>
            </w:r>
          </w:p>
        </w:tc>
        <w:tc>
          <w:tcPr>
            <w:tcW w:w="935" w:type="pct"/>
            <w:tcBorders>
              <w:top w:val="nil"/>
              <w:bottom w:val="nil"/>
            </w:tcBorders>
          </w:tcPr>
          <w:p w:rsidR="00000000" w:rsidRDefault="00000000">
            <w:pPr>
              <w:pStyle w:val="a2"/>
              <w:tabs>
                <w:tab w:val="decimal" w:pos="1269"/>
              </w:tabs>
            </w:pPr>
            <w:r>
              <w:t>744,150</w:t>
            </w:r>
          </w:p>
        </w:tc>
        <w:tc>
          <w:tcPr>
            <w:tcW w:w="935" w:type="pct"/>
            <w:tcBorders>
              <w:top w:val="nil"/>
              <w:bottom w:val="nil"/>
            </w:tcBorders>
          </w:tcPr>
          <w:p w:rsidR="00000000" w:rsidRDefault="00000000">
            <w:pPr>
              <w:pStyle w:val="a2"/>
              <w:tabs>
                <w:tab w:val="decimal" w:pos="1269"/>
              </w:tabs>
            </w:pPr>
            <w:r>
              <w:t>752,914</w:t>
            </w:r>
          </w:p>
        </w:tc>
        <w:tc>
          <w:tcPr>
            <w:tcW w:w="719" w:type="pct"/>
            <w:tcBorders>
              <w:top w:val="nil"/>
              <w:bottom w:val="nil"/>
            </w:tcBorders>
          </w:tcPr>
          <w:p w:rsidR="00000000" w:rsidRDefault="00000000">
            <w:pPr>
              <w:pStyle w:val="a2"/>
              <w:tabs>
                <w:tab w:val="decimal" w:pos="528"/>
              </w:tabs>
            </w:pPr>
            <w:r>
              <w:t>1.3</w:t>
            </w:r>
          </w:p>
        </w:tc>
      </w:tr>
      <w:tr w:rsidR="00000000">
        <w:tblPrEx>
          <w:tblCellMar>
            <w:top w:w="0" w:type="dxa"/>
            <w:bottom w:w="0" w:type="dxa"/>
          </w:tblCellMar>
        </w:tblPrEx>
        <w:tc>
          <w:tcPr>
            <w:tcW w:w="540" w:type="pct"/>
            <w:tcBorders>
              <w:top w:val="nil"/>
              <w:bottom w:val="nil"/>
            </w:tcBorders>
          </w:tcPr>
          <w:p w:rsidR="00000000" w:rsidRDefault="00000000">
            <w:pPr>
              <w:jc w:val="center"/>
            </w:pPr>
            <w:r>
              <w:t>1990</w:t>
            </w:r>
          </w:p>
        </w:tc>
        <w:tc>
          <w:tcPr>
            <w:tcW w:w="935" w:type="pct"/>
            <w:tcBorders>
              <w:top w:val="nil"/>
              <w:bottom w:val="nil"/>
            </w:tcBorders>
          </w:tcPr>
          <w:p w:rsidR="00000000" w:rsidRDefault="00000000">
            <w:pPr>
              <w:pStyle w:val="a2"/>
              <w:tabs>
                <w:tab w:val="decimal" w:pos="1269"/>
              </w:tabs>
            </w:pPr>
            <w:r>
              <w:t>9,486,870</w:t>
            </w:r>
          </w:p>
        </w:tc>
        <w:tc>
          <w:tcPr>
            <w:tcW w:w="935" w:type="pct"/>
            <w:tcBorders>
              <w:top w:val="nil"/>
              <w:bottom w:val="nil"/>
            </w:tcBorders>
          </w:tcPr>
          <w:p w:rsidR="00000000" w:rsidRDefault="00000000">
            <w:pPr>
              <w:pStyle w:val="a2"/>
              <w:tabs>
                <w:tab w:val="decimal" w:pos="1269"/>
              </w:tabs>
            </w:pPr>
            <w:r>
              <w:t>18,191,303</w:t>
            </w:r>
          </w:p>
        </w:tc>
        <w:tc>
          <w:tcPr>
            <w:tcW w:w="935" w:type="pct"/>
            <w:tcBorders>
              <w:top w:val="nil"/>
              <w:bottom w:val="nil"/>
            </w:tcBorders>
          </w:tcPr>
          <w:p w:rsidR="00000000" w:rsidRDefault="00000000">
            <w:pPr>
              <w:pStyle w:val="a2"/>
              <w:tabs>
                <w:tab w:val="decimal" w:pos="1269"/>
              </w:tabs>
            </w:pPr>
            <w:r>
              <w:t>782,437</w:t>
            </w:r>
          </w:p>
        </w:tc>
        <w:tc>
          <w:tcPr>
            <w:tcW w:w="935" w:type="pct"/>
            <w:tcBorders>
              <w:top w:val="nil"/>
              <w:bottom w:val="nil"/>
            </w:tcBorders>
          </w:tcPr>
          <w:p w:rsidR="00000000" w:rsidRDefault="00000000">
            <w:pPr>
              <w:pStyle w:val="a2"/>
              <w:tabs>
                <w:tab w:val="decimal" w:pos="1269"/>
              </w:tabs>
            </w:pPr>
            <w:r>
              <w:t>800,037</w:t>
            </w:r>
          </w:p>
        </w:tc>
        <w:tc>
          <w:tcPr>
            <w:tcW w:w="719" w:type="pct"/>
            <w:tcBorders>
              <w:top w:val="nil"/>
              <w:bottom w:val="nil"/>
            </w:tcBorders>
          </w:tcPr>
          <w:p w:rsidR="00000000" w:rsidRDefault="00000000">
            <w:pPr>
              <w:pStyle w:val="a2"/>
              <w:tabs>
                <w:tab w:val="decimal" w:pos="528"/>
              </w:tabs>
            </w:pPr>
            <w:r>
              <w:t>1.4</w:t>
            </w:r>
          </w:p>
        </w:tc>
      </w:tr>
      <w:tr w:rsidR="00000000">
        <w:tblPrEx>
          <w:tblCellMar>
            <w:top w:w="0" w:type="dxa"/>
            <w:bottom w:w="0" w:type="dxa"/>
          </w:tblCellMar>
        </w:tblPrEx>
        <w:tc>
          <w:tcPr>
            <w:tcW w:w="540" w:type="pct"/>
            <w:tcBorders>
              <w:top w:val="nil"/>
              <w:bottom w:val="nil"/>
            </w:tcBorders>
          </w:tcPr>
          <w:p w:rsidR="00000000" w:rsidRDefault="00000000">
            <w:pPr>
              <w:jc w:val="center"/>
            </w:pPr>
            <w:r>
              <w:t>1991</w:t>
            </w:r>
          </w:p>
        </w:tc>
        <w:tc>
          <w:tcPr>
            <w:tcW w:w="935" w:type="pct"/>
            <w:tcBorders>
              <w:top w:val="nil"/>
              <w:bottom w:val="nil"/>
            </w:tcBorders>
          </w:tcPr>
          <w:p w:rsidR="00000000" w:rsidRDefault="00000000">
            <w:pPr>
              <w:pStyle w:val="a2"/>
              <w:tabs>
                <w:tab w:val="decimal" w:pos="1269"/>
              </w:tabs>
            </w:pPr>
            <w:r>
              <w:t>9,509,849</w:t>
            </w:r>
          </w:p>
        </w:tc>
        <w:tc>
          <w:tcPr>
            <w:tcW w:w="935" w:type="pct"/>
            <w:tcBorders>
              <w:top w:val="nil"/>
              <w:bottom w:val="nil"/>
            </w:tcBorders>
          </w:tcPr>
          <w:p w:rsidR="00000000" w:rsidRDefault="00000000">
            <w:pPr>
              <w:pStyle w:val="a2"/>
              <w:tabs>
                <w:tab w:val="decimal" w:pos="1269"/>
              </w:tabs>
            </w:pPr>
            <w:r>
              <w:t>18,203,226</w:t>
            </w:r>
          </w:p>
        </w:tc>
        <w:tc>
          <w:tcPr>
            <w:tcW w:w="935" w:type="pct"/>
            <w:tcBorders>
              <w:top w:val="nil"/>
              <w:bottom w:val="nil"/>
            </w:tcBorders>
          </w:tcPr>
          <w:p w:rsidR="00000000" w:rsidRDefault="00000000">
            <w:pPr>
              <w:pStyle w:val="a2"/>
              <w:tabs>
                <w:tab w:val="decimal" w:pos="1269"/>
              </w:tabs>
            </w:pPr>
            <w:r>
              <w:t>816,472</w:t>
            </w:r>
          </w:p>
        </w:tc>
        <w:tc>
          <w:tcPr>
            <w:tcW w:w="935" w:type="pct"/>
            <w:tcBorders>
              <w:top w:val="nil"/>
              <w:bottom w:val="nil"/>
            </w:tcBorders>
          </w:tcPr>
          <w:p w:rsidR="00000000" w:rsidRDefault="00000000">
            <w:pPr>
              <w:pStyle w:val="a2"/>
              <w:tabs>
                <w:tab w:val="decimal" w:pos="1269"/>
              </w:tabs>
            </w:pPr>
            <w:r>
              <w:t>829,449</w:t>
            </w:r>
          </w:p>
        </w:tc>
        <w:tc>
          <w:tcPr>
            <w:tcW w:w="719" w:type="pct"/>
            <w:tcBorders>
              <w:top w:val="nil"/>
              <w:bottom w:val="nil"/>
            </w:tcBorders>
          </w:tcPr>
          <w:p w:rsidR="00000000" w:rsidRDefault="00000000">
            <w:pPr>
              <w:pStyle w:val="a2"/>
              <w:tabs>
                <w:tab w:val="decimal" w:pos="528"/>
              </w:tabs>
            </w:pPr>
            <w:r>
              <w:t>1.4</w:t>
            </w:r>
          </w:p>
        </w:tc>
      </w:tr>
      <w:tr w:rsidR="00000000">
        <w:tblPrEx>
          <w:tblCellMar>
            <w:top w:w="0" w:type="dxa"/>
            <w:bottom w:w="0" w:type="dxa"/>
          </w:tblCellMar>
        </w:tblPrEx>
        <w:tc>
          <w:tcPr>
            <w:tcW w:w="540" w:type="pct"/>
            <w:tcBorders>
              <w:top w:val="nil"/>
              <w:bottom w:val="nil"/>
            </w:tcBorders>
          </w:tcPr>
          <w:p w:rsidR="00000000" w:rsidRDefault="00000000">
            <w:pPr>
              <w:jc w:val="center"/>
            </w:pPr>
            <w:r>
              <w:t>1992</w:t>
            </w:r>
          </w:p>
        </w:tc>
        <w:tc>
          <w:tcPr>
            <w:tcW w:w="935" w:type="pct"/>
            <w:tcBorders>
              <w:top w:val="nil"/>
              <w:bottom w:val="nil"/>
            </w:tcBorders>
          </w:tcPr>
          <w:p w:rsidR="00000000" w:rsidRDefault="00000000">
            <w:pPr>
              <w:pStyle w:val="a2"/>
              <w:tabs>
                <w:tab w:val="decimal" w:pos="1269"/>
              </w:tabs>
            </w:pPr>
            <w:r>
              <w:t>9,545,047</w:t>
            </w:r>
          </w:p>
        </w:tc>
        <w:tc>
          <w:tcPr>
            <w:tcW w:w="935" w:type="pct"/>
            <w:tcBorders>
              <w:top w:val="nil"/>
              <w:bottom w:val="nil"/>
            </w:tcBorders>
          </w:tcPr>
          <w:p w:rsidR="00000000" w:rsidRDefault="00000000">
            <w:pPr>
              <w:pStyle w:val="a2"/>
              <w:tabs>
                <w:tab w:val="decimal" w:pos="1269"/>
              </w:tabs>
            </w:pPr>
            <w:r>
              <w:t>18,320,957</w:t>
            </w:r>
          </w:p>
        </w:tc>
        <w:tc>
          <w:tcPr>
            <w:tcW w:w="935" w:type="pct"/>
            <w:tcBorders>
              <w:top w:val="nil"/>
              <w:bottom w:val="nil"/>
            </w:tcBorders>
          </w:tcPr>
          <w:p w:rsidR="00000000" w:rsidRDefault="00000000">
            <w:pPr>
              <w:pStyle w:val="a2"/>
              <w:tabs>
                <w:tab w:val="decimal" w:pos="1269"/>
              </w:tabs>
            </w:pPr>
            <w:r>
              <w:t>769,137</w:t>
            </w:r>
          </w:p>
        </w:tc>
        <w:tc>
          <w:tcPr>
            <w:tcW w:w="935" w:type="pct"/>
            <w:tcBorders>
              <w:top w:val="nil"/>
              <w:bottom w:val="nil"/>
            </w:tcBorders>
          </w:tcPr>
          <w:p w:rsidR="00000000" w:rsidRDefault="00000000">
            <w:pPr>
              <w:pStyle w:val="a2"/>
              <w:tabs>
                <w:tab w:val="decimal" w:pos="1269"/>
              </w:tabs>
            </w:pPr>
            <w:r>
              <w:t>849,611</w:t>
            </w:r>
          </w:p>
        </w:tc>
        <w:tc>
          <w:tcPr>
            <w:tcW w:w="719" w:type="pct"/>
            <w:tcBorders>
              <w:top w:val="nil"/>
              <w:bottom w:val="nil"/>
            </w:tcBorders>
          </w:tcPr>
          <w:p w:rsidR="00000000" w:rsidRDefault="00000000">
            <w:pPr>
              <w:pStyle w:val="a2"/>
              <w:tabs>
                <w:tab w:val="decimal" w:pos="528"/>
              </w:tabs>
            </w:pPr>
            <w:r>
              <w:t>1.5</w:t>
            </w:r>
          </w:p>
        </w:tc>
      </w:tr>
      <w:tr w:rsidR="00000000">
        <w:tblPrEx>
          <w:tblCellMar>
            <w:top w:w="0" w:type="dxa"/>
            <w:bottom w:w="0" w:type="dxa"/>
          </w:tblCellMar>
        </w:tblPrEx>
        <w:tc>
          <w:tcPr>
            <w:tcW w:w="540" w:type="pct"/>
            <w:tcBorders>
              <w:top w:val="nil"/>
              <w:bottom w:val="nil"/>
            </w:tcBorders>
          </w:tcPr>
          <w:p w:rsidR="00000000" w:rsidRDefault="00000000">
            <w:pPr>
              <w:jc w:val="center"/>
            </w:pPr>
            <w:r>
              <w:t>1993</w:t>
            </w:r>
          </w:p>
        </w:tc>
        <w:tc>
          <w:tcPr>
            <w:tcW w:w="935" w:type="pct"/>
            <w:tcBorders>
              <w:top w:val="nil"/>
              <w:bottom w:val="nil"/>
            </w:tcBorders>
          </w:tcPr>
          <w:p w:rsidR="00000000" w:rsidRDefault="00000000">
            <w:pPr>
              <w:pStyle w:val="a2"/>
              <w:tabs>
                <w:tab w:val="decimal" w:pos="1269"/>
              </w:tabs>
            </w:pPr>
            <w:r>
              <w:t>9,121,622</w:t>
            </w:r>
          </w:p>
        </w:tc>
        <w:tc>
          <w:tcPr>
            <w:tcW w:w="935" w:type="pct"/>
            <w:tcBorders>
              <w:top w:val="nil"/>
              <w:bottom w:val="nil"/>
            </w:tcBorders>
          </w:tcPr>
          <w:p w:rsidR="00000000" w:rsidRDefault="00000000">
            <w:pPr>
              <w:pStyle w:val="a2"/>
              <w:tabs>
                <w:tab w:val="decimal" w:pos="1269"/>
              </w:tabs>
            </w:pPr>
            <w:r>
              <w:t>17,470,092</w:t>
            </w:r>
          </w:p>
        </w:tc>
        <w:tc>
          <w:tcPr>
            <w:tcW w:w="935" w:type="pct"/>
            <w:tcBorders>
              <w:top w:val="nil"/>
              <w:bottom w:val="nil"/>
            </w:tcBorders>
          </w:tcPr>
          <w:p w:rsidR="00000000" w:rsidRDefault="00000000">
            <w:pPr>
              <w:pStyle w:val="a2"/>
              <w:tabs>
                <w:tab w:val="decimal" w:pos="1269"/>
              </w:tabs>
            </w:pPr>
            <w:r>
              <w:t>773,152</w:t>
            </w:r>
          </w:p>
        </w:tc>
        <w:tc>
          <w:tcPr>
            <w:tcW w:w="935" w:type="pct"/>
            <w:tcBorders>
              <w:top w:val="nil"/>
              <w:bottom w:val="nil"/>
            </w:tcBorders>
          </w:tcPr>
          <w:p w:rsidR="00000000" w:rsidRDefault="00000000">
            <w:pPr>
              <w:pStyle w:val="a2"/>
              <w:tabs>
                <w:tab w:val="decimal" w:pos="1269"/>
              </w:tabs>
            </w:pPr>
            <w:r>
              <w:t>909,195</w:t>
            </w:r>
          </w:p>
        </w:tc>
        <w:tc>
          <w:tcPr>
            <w:tcW w:w="719" w:type="pct"/>
            <w:tcBorders>
              <w:top w:val="nil"/>
              <w:bottom w:val="nil"/>
            </w:tcBorders>
          </w:tcPr>
          <w:p w:rsidR="00000000" w:rsidRDefault="00000000">
            <w:pPr>
              <w:pStyle w:val="a2"/>
              <w:tabs>
                <w:tab w:val="decimal" w:pos="528"/>
              </w:tabs>
            </w:pPr>
            <w:r>
              <w:t>1.5</w:t>
            </w:r>
          </w:p>
        </w:tc>
      </w:tr>
      <w:tr w:rsidR="00000000">
        <w:tblPrEx>
          <w:tblCellMar>
            <w:top w:w="0" w:type="dxa"/>
            <w:bottom w:w="0" w:type="dxa"/>
          </w:tblCellMar>
        </w:tblPrEx>
        <w:tc>
          <w:tcPr>
            <w:tcW w:w="540" w:type="pct"/>
            <w:tcBorders>
              <w:top w:val="nil"/>
              <w:bottom w:val="nil"/>
            </w:tcBorders>
          </w:tcPr>
          <w:p w:rsidR="00000000" w:rsidRDefault="00000000">
            <w:pPr>
              <w:jc w:val="center"/>
            </w:pPr>
            <w:r>
              <w:t>1994</w:t>
            </w:r>
          </w:p>
        </w:tc>
        <w:tc>
          <w:tcPr>
            <w:tcW w:w="935" w:type="pct"/>
            <w:tcBorders>
              <w:top w:val="nil"/>
              <w:bottom w:val="nil"/>
            </w:tcBorders>
          </w:tcPr>
          <w:p w:rsidR="00000000" w:rsidRDefault="00000000">
            <w:pPr>
              <w:pStyle w:val="a2"/>
              <w:tabs>
                <w:tab w:val="decimal" w:pos="1269"/>
              </w:tabs>
            </w:pPr>
            <w:r>
              <w:t>9,290,027</w:t>
            </w:r>
          </w:p>
        </w:tc>
        <w:tc>
          <w:tcPr>
            <w:tcW w:w="935" w:type="pct"/>
            <w:tcBorders>
              <w:top w:val="nil"/>
              <w:bottom w:val="nil"/>
            </w:tcBorders>
          </w:tcPr>
          <w:p w:rsidR="00000000" w:rsidRDefault="00000000">
            <w:pPr>
              <w:pStyle w:val="a2"/>
              <w:tabs>
                <w:tab w:val="decimal" w:pos="1269"/>
              </w:tabs>
            </w:pPr>
            <w:r>
              <w:t>17,793,306</w:t>
            </w:r>
          </w:p>
        </w:tc>
        <w:tc>
          <w:tcPr>
            <w:tcW w:w="935" w:type="pct"/>
            <w:tcBorders>
              <w:top w:val="nil"/>
              <w:bottom w:val="nil"/>
            </w:tcBorders>
          </w:tcPr>
          <w:p w:rsidR="00000000" w:rsidRDefault="00000000">
            <w:pPr>
              <w:pStyle w:val="a2"/>
              <w:tabs>
                <w:tab w:val="decimal" w:pos="1269"/>
              </w:tabs>
            </w:pPr>
            <w:r>
              <w:t>786,748</w:t>
            </w:r>
          </w:p>
        </w:tc>
        <w:tc>
          <w:tcPr>
            <w:tcW w:w="935" w:type="pct"/>
            <w:tcBorders>
              <w:top w:val="nil"/>
              <w:bottom w:val="nil"/>
            </w:tcBorders>
          </w:tcPr>
          <w:p w:rsidR="00000000" w:rsidRDefault="00000000">
            <w:pPr>
              <w:pStyle w:val="a2"/>
              <w:tabs>
                <w:tab w:val="decimal" w:pos="1269"/>
              </w:tabs>
            </w:pPr>
            <w:r>
              <w:t>980,980</w:t>
            </w:r>
          </w:p>
        </w:tc>
        <w:tc>
          <w:tcPr>
            <w:tcW w:w="719" w:type="pct"/>
            <w:tcBorders>
              <w:top w:val="nil"/>
              <w:bottom w:val="nil"/>
            </w:tcBorders>
          </w:tcPr>
          <w:p w:rsidR="00000000" w:rsidRDefault="00000000">
            <w:pPr>
              <w:pStyle w:val="a2"/>
              <w:tabs>
                <w:tab w:val="decimal" w:pos="528"/>
              </w:tabs>
            </w:pPr>
            <w:r>
              <w:t>1.6</w:t>
            </w:r>
          </w:p>
        </w:tc>
      </w:tr>
      <w:tr w:rsidR="00000000">
        <w:tblPrEx>
          <w:tblCellMar>
            <w:top w:w="0" w:type="dxa"/>
            <w:bottom w:w="0" w:type="dxa"/>
          </w:tblCellMar>
        </w:tblPrEx>
        <w:tc>
          <w:tcPr>
            <w:tcW w:w="540" w:type="pct"/>
            <w:tcBorders>
              <w:top w:val="nil"/>
              <w:bottom w:val="nil"/>
            </w:tcBorders>
          </w:tcPr>
          <w:p w:rsidR="00000000" w:rsidRDefault="00000000">
            <w:pPr>
              <w:jc w:val="center"/>
            </w:pPr>
            <w:r>
              <w:t>1995</w:t>
            </w:r>
          </w:p>
        </w:tc>
        <w:tc>
          <w:tcPr>
            <w:tcW w:w="935" w:type="pct"/>
            <w:tcBorders>
              <w:top w:val="nil"/>
              <w:bottom w:val="nil"/>
            </w:tcBorders>
          </w:tcPr>
          <w:p w:rsidR="00000000" w:rsidRDefault="00000000">
            <w:pPr>
              <w:pStyle w:val="a2"/>
              <w:tabs>
                <w:tab w:val="decimal" w:pos="1269"/>
              </w:tabs>
            </w:pPr>
            <w:r>
              <w:t>9,297,061</w:t>
            </w:r>
          </w:p>
        </w:tc>
        <w:tc>
          <w:tcPr>
            <w:tcW w:w="935" w:type="pct"/>
            <w:tcBorders>
              <w:top w:val="nil"/>
              <w:bottom w:val="nil"/>
            </w:tcBorders>
          </w:tcPr>
          <w:p w:rsidR="00000000" w:rsidRDefault="00000000">
            <w:pPr>
              <w:pStyle w:val="a2"/>
              <w:tabs>
                <w:tab w:val="decimal" w:pos="1269"/>
              </w:tabs>
            </w:pPr>
            <w:r>
              <w:t>17,760,657</w:t>
            </w:r>
          </w:p>
        </w:tc>
        <w:tc>
          <w:tcPr>
            <w:tcW w:w="935" w:type="pct"/>
            <w:tcBorders>
              <w:top w:val="nil"/>
              <w:bottom w:val="nil"/>
            </w:tcBorders>
          </w:tcPr>
          <w:p w:rsidR="00000000" w:rsidRDefault="00000000">
            <w:pPr>
              <w:pStyle w:val="a2"/>
              <w:tabs>
                <w:tab w:val="decimal" w:pos="1269"/>
              </w:tabs>
            </w:pPr>
            <w:r>
              <w:t>833,465</w:t>
            </w:r>
          </w:p>
        </w:tc>
        <w:tc>
          <w:tcPr>
            <w:tcW w:w="935" w:type="pct"/>
            <w:tcBorders>
              <w:top w:val="nil"/>
              <w:bottom w:val="nil"/>
            </w:tcBorders>
          </w:tcPr>
          <w:p w:rsidR="00000000" w:rsidRDefault="00000000">
            <w:pPr>
              <w:pStyle w:val="a2"/>
              <w:tabs>
                <w:tab w:val="decimal" w:pos="1269"/>
              </w:tabs>
            </w:pPr>
            <w:r>
              <w:t>1,055,196</w:t>
            </w:r>
          </w:p>
        </w:tc>
        <w:tc>
          <w:tcPr>
            <w:tcW w:w="719" w:type="pct"/>
            <w:tcBorders>
              <w:top w:val="nil"/>
              <w:bottom w:val="nil"/>
            </w:tcBorders>
          </w:tcPr>
          <w:p w:rsidR="00000000" w:rsidRDefault="00000000">
            <w:pPr>
              <w:pStyle w:val="a2"/>
              <w:tabs>
                <w:tab w:val="decimal" w:pos="528"/>
              </w:tabs>
            </w:pPr>
            <w:r>
              <w:t>1.8</w:t>
            </w:r>
          </w:p>
        </w:tc>
      </w:tr>
      <w:tr w:rsidR="00000000">
        <w:tblPrEx>
          <w:tblCellMar>
            <w:top w:w="0" w:type="dxa"/>
            <w:bottom w:w="0" w:type="dxa"/>
          </w:tblCellMar>
        </w:tblPrEx>
        <w:tc>
          <w:tcPr>
            <w:tcW w:w="540" w:type="pct"/>
            <w:tcBorders>
              <w:top w:val="nil"/>
              <w:bottom w:val="nil"/>
            </w:tcBorders>
          </w:tcPr>
          <w:p w:rsidR="00000000" w:rsidRDefault="00000000">
            <w:pPr>
              <w:jc w:val="center"/>
            </w:pPr>
            <w:r>
              <w:t>1996</w:t>
            </w:r>
          </w:p>
        </w:tc>
        <w:tc>
          <w:tcPr>
            <w:tcW w:w="935" w:type="pct"/>
            <w:tcBorders>
              <w:top w:val="nil"/>
              <w:bottom w:val="nil"/>
            </w:tcBorders>
          </w:tcPr>
          <w:p w:rsidR="00000000" w:rsidRDefault="00000000">
            <w:pPr>
              <w:pStyle w:val="a2"/>
              <w:tabs>
                <w:tab w:val="decimal" w:pos="1269"/>
              </w:tabs>
            </w:pPr>
            <w:r>
              <w:t>9,339,615</w:t>
            </w:r>
          </w:p>
        </w:tc>
        <w:tc>
          <w:tcPr>
            <w:tcW w:w="935" w:type="pct"/>
            <w:tcBorders>
              <w:top w:val="nil"/>
              <w:bottom w:val="nil"/>
            </w:tcBorders>
          </w:tcPr>
          <w:p w:rsidR="00000000" w:rsidRDefault="00000000">
            <w:pPr>
              <w:pStyle w:val="a2"/>
              <w:tabs>
                <w:tab w:val="decimal" w:pos="1269"/>
              </w:tabs>
            </w:pPr>
            <w:r>
              <w:t>17,817,240</w:t>
            </w:r>
          </w:p>
        </w:tc>
        <w:tc>
          <w:tcPr>
            <w:tcW w:w="935" w:type="pct"/>
            <w:tcBorders>
              <w:top w:val="nil"/>
              <w:bottom w:val="nil"/>
            </w:tcBorders>
          </w:tcPr>
          <w:p w:rsidR="00000000" w:rsidRDefault="00000000">
            <w:pPr>
              <w:pStyle w:val="a2"/>
              <w:tabs>
                <w:tab w:val="decimal" w:pos="1269"/>
              </w:tabs>
            </w:pPr>
            <w:r>
              <w:t>861,990</w:t>
            </w:r>
          </w:p>
        </w:tc>
        <w:tc>
          <w:tcPr>
            <w:tcW w:w="935" w:type="pct"/>
            <w:tcBorders>
              <w:top w:val="nil"/>
              <w:bottom w:val="nil"/>
            </w:tcBorders>
          </w:tcPr>
          <w:p w:rsidR="00000000" w:rsidRDefault="00000000">
            <w:pPr>
              <w:pStyle w:val="a2"/>
              <w:tabs>
                <w:tab w:val="decimal" w:pos="1269"/>
              </w:tabs>
            </w:pPr>
            <w:r>
              <w:t>1,332,215</w:t>
            </w:r>
          </w:p>
        </w:tc>
        <w:tc>
          <w:tcPr>
            <w:tcW w:w="719" w:type="pct"/>
            <w:tcBorders>
              <w:top w:val="nil"/>
              <w:bottom w:val="nil"/>
            </w:tcBorders>
          </w:tcPr>
          <w:p w:rsidR="00000000" w:rsidRDefault="00000000">
            <w:pPr>
              <w:pStyle w:val="a2"/>
              <w:tabs>
                <w:tab w:val="decimal" w:pos="528"/>
              </w:tabs>
            </w:pPr>
            <w:r>
              <w:t>1.8</w:t>
            </w:r>
          </w:p>
        </w:tc>
      </w:tr>
      <w:tr w:rsidR="00000000">
        <w:tblPrEx>
          <w:tblCellMar>
            <w:top w:w="0" w:type="dxa"/>
            <w:bottom w:w="0" w:type="dxa"/>
          </w:tblCellMar>
        </w:tblPrEx>
        <w:tc>
          <w:tcPr>
            <w:tcW w:w="540" w:type="pct"/>
            <w:tcBorders>
              <w:top w:val="nil"/>
              <w:bottom w:val="nil"/>
            </w:tcBorders>
          </w:tcPr>
          <w:p w:rsidR="00000000" w:rsidRDefault="00000000">
            <w:pPr>
              <w:jc w:val="center"/>
            </w:pPr>
            <w:r>
              <w:t>1997</w:t>
            </w:r>
          </w:p>
        </w:tc>
        <w:tc>
          <w:tcPr>
            <w:tcW w:w="935" w:type="pct"/>
            <w:tcBorders>
              <w:top w:val="nil"/>
              <w:bottom w:val="nil"/>
            </w:tcBorders>
          </w:tcPr>
          <w:p w:rsidR="00000000" w:rsidRDefault="00000000">
            <w:pPr>
              <w:pStyle w:val="a2"/>
              <w:tabs>
                <w:tab w:val="decimal" w:pos="1269"/>
              </w:tabs>
            </w:pPr>
            <w:r>
              <w:t>9,090,571</w:t>
            </w:r>
          </w:p>
        </w:tc>
        <w:tc>
          <w:tcPr>
            <w:tcW w:w="935" w:type="pct"/>
            <w:tcBorders>
              <w:top w:val="nil"/>
              <w:bottom w:val="nil"/>
            </w:tcBorders>
          </w:tcPr>
          <w:p w:rsidR="00000000" w:rsidRDefault="00000000">
            <w:pPr>
              <w:pStyle w:val="a2"/>
              <w:tabs>
                <w:tab w:val="decimal" w:pos="1269"/>
              </w:tabs>
            </w:pPr>
            <w:r>
              <w:t>17,259,504</w:t>
            </w:r>
          </w:p>
        </w:tc>
        <w:tc>
          <w:tcPr>
            <w:tcW w:w="935" w:type="pct"/>
            <w:tcBorders>
              <w:top w:val="nil"/>
              <w:bottom w:val="nil"/>
            </w:tcBorders>
          </w:tcPr>
          <w:p w:rsidR="00000000" w:rsidRDefault="00000000">
            <w:pPr>
              <w:pStyle w:val="a2"/>
              <w:tabs>
                <w:tab w:val="decimal" w:pos="1269"/>
              </w:tabs>
            </w:pPr>
            <w:r>
              <w:t>921,638</w:t>
            </w:r>
          </w:p>
        </w:tc>
        <w:tc>
          <w:tcPr>
            <w:tcW w:w="935" w:type="pct"/>
            <w:tcBorders>
              <w:top w:val="nil"/>
              <w:bottom w:val="nil"/>
            </w:tcBorders>
          </w:tcPr>
          <w:p w:rsidR="00000000" w:rsidRDefault="00000000">
            <w:pPr>
              <w:pStyle w:val="a2"/>
              <w:tabs>
                <w:tab w:val="decimal" w:pos="1269"/>
              </w:tabs>
            </w:pPr>
            <w:r>
              <w:t>1,197,759</w:t>
            </w:r>
          </w:p>
        </w:tc>
        <w:tc>
          <w:tcPr>
            <w:tcW w:w="719" w:type="pct"/>
            <w:tcBorders>
              <w:top w:val="nil"/>
              <w:bottom w:val="nil"/>
            </w:tcBorders>
          </w:tcPr>
          <w:p w:rsidR="00000000" w:rsidRDefault="00000000">
            <w:pPr>
              <w:pStyle w:val="a2"/>
              <w:tabs>
                <w:tab w:val="decimal" w:pos="528"/>
              </w:tabs>
            </w:pPr>
            <w:r>
              <w:t>1.9</w:t>
            </w:r>
          </w:p>
        </w:tc>
      </w:tr>
      <w:tr w:rsidR="00000000">
        <w:tblPrEx>
          <w:tblCellMar>
            <w:top w:w="0" w:type="dxa"/>
            <w:bottom w:w="0" w:type="dxa"/>
          </w:tblCellMar>
        </w:tblPrEx>
        <w:tc>
          <w:tcPr>
            <w:tcW w:w="540" w:type="pct"/>
            <w:tcBorders>
              <w:top w:val="nil"/>
              <w:bottom w:val="nil"/>
            </w:tcBorders>
          </w:tcPr>
          <w:p w:rsidR="00000000" w:rsidRDefault="00000000">
            <w:pPr>
              <w:jc w:val="center"/>
            </w:pPr>
            <w:r>
              <w:t>1998</w:t>
            </w:r>
          </w:p>
        </w:tc>
        <w:tc>
          <w:tcPr>
            <w:tcW w:w="935" w:type="pct"/>
            <w:tcBorders>
              <w:top w:val="nil"/>
              <w:bottom w:val="nil"/>
            </w:tcBorders>
          </w:tcPr>
          <w:p w:rsidR="00000000" w:rsidRDefault="00000000">
            <w:pPr>
              <w:pStyle w:val="a2"/>
              <w:tabs>
                <w:tab w:val="decimal" w:pos="1269"/>
              </w:tabs>
            </w:pPr>
            <w:r>
              <w:t>8,866,593</w:t>
            </w:r>
          </w:p>
        </w:tc>
        <w:tc>
          <w:tcPr>
            <w:tcW w:w="935" w:type="pct"/>
            <w:tcBorders>
              <w:top w:val="nil"/>
              <w:bottom w:val="nil"/>
            </w:tcBorders>
          </w:tcPr>
          <w:p w:rsidR="00000000" w:rsidRDefault="00000000">
            <w:pPr>
              <w:pStyle w:val="a2"/>
              <w:tabs>
                <w:tab w:val="decimal" w:pos="1269"/>
              </w:tabs>
            </w:pPr>
            <w:r>
              <w:t>16,753,749</w:t>
            </w:r>
          </w:p>
        </w:tc>
        <w:tc>
          <w:tcPr>
            <w:tcW w:w="935" w:type="pct"/>
            <w:tcBorders>
              <w:top w:val="nil"/>
              <w:bottom w:val="nil"/>
            </w:tcBorders>
          </w:tcPr>
          <w:p w:rsidR="00000000" w:rsidRDefault="00000000">
            <w:pPr>
              <w:pStyle w:val="a2"/>
              <w:tabs>
                <w:tab w:val="decimal" w:pos="1269"/>
              </w:tabs>
            </w:pPr>
            <w:r>
              <w:t>979,437</w:t>
            </w:r>
          </w:p>
        </w:tc>
        <w:tc>
          <w:tcPr>
            <w:tcW w:w="935" w:type="pct"/>
            <w:tcBorders>
              <w:top w:val="nil"/>
              <w:bottom w:val="nil"/>
            </w:tcBorders>
          </w:tcPr>
          <w:p w:rsidR="00000000" w:rsidRDefault="00000000">
            <w:pPr>
              <w:pStyle w:val="a2"/>
              <w:tabs>
                <w:tab w:val="decimal" w:pos="1269"/>
              </w:tabs>
            </w:pPr>
            <w:r>
              <w:t>1,190,214</w:t>
            </w:r>
          </w:p>
        </w:tc>
        <w:tc>
          <w:tcPr>
            <w:tcW w:w="719" w:type="pct"/>
            <w:tcBorders>
              <w:top w:val="nil"/>
              <w:bottom w:val="nil"/>
            </w:tcBorders>
          </w:tcPr>
          <w:p w:rsidR="00000000" w:rsidRDefault="00000000">
            <w:pPr>
              <w:pStyle w:val="a2"/>
              <w:tabs>
                <w:tab w:val="decimal" w:pos="528"/>
              </w:tabs>
            </w:pPr>
            <w:r>
              <w:t>1.9</w:t>
            </w:r>
          </w:p>
        </w:tc>
      </w:tr>
      <w:tr w:rsidR="00000000">
        <w:tblPrEx>
          <w:tblCellMar>
            <w:top w:w="0" w:type="dxa"/>
            <w:bottom w:w="0" w:type="dxa"/>
          </w:tblCellMar>
        </w:tblPrEx>
        <w:tc>
          <w:tcPr>
            <w:tcW w:w="540" w:type="pct"/>
            <w:tcBorders>
              <w:top w:val="nil"/>
              <w:bottom w:val="nil"/>
            </w:tcBorders>
          </w:tcPr>
          <w:p w:rsidR="00000000" w:rsidRDefault="00000000">
            <w:pPr>
              <w:jc w:val="center"/>
            </w:pPr>
            <w:r>
              <w:t>1999</w:t>
            </w:r>
          </w:p>
        </w:tc>
        <w:tc>
          <w:tcPr>
            <w:tcW w:w="935" w:type="pct"/>
            <w:tcBorders>
              <w:top w:val="nil"/>
              <w:bottom w:val="nil"/>
            </w:tcBorders>
          </w:tcPr>
          <w:p w:rsidR="00000000" w:rsidRDefault="00000000">
            <w:pPr>
              <w:pStyle w:val="a2"/>
              <w:tabs>
                <w:tab w:val="decimal" w:pos="1269"/>
              </w:tabs>
            </w:pPr>
            <w:r>
              <w:t>8,799,079</w:t>
            </w:r>
          </w:p>
        </w:tc>
        <w:tc>
          <w:tcPr>
            <w:tcW w:w="935" w:type="pct"/>
            <w:tcBorders>
              <w:top w:val="nil"/>
              <w:bottom w:val="nil"/>
            </w:tcBorders>
          </w:tcPr>
          <w:p w:rsidR="00000000" w:rsidRDefault="00000000">
            <w:pPr>
              <w:pStyle w:val="a2"/>
              <w:tabs>
                <w:tab w:val="decimal" w:pos="1269"/>
              </w:tabs>
            </w:pPr>
            <w:r>
              <w:t>16,583,593</w:t>
            </w:r>
          </w:p>
        </w:tc>
        <w:tc>
          <w:tcPr>
            <w:tcW w:w="935" w:type="pct"/>
            <w:tcBorders>
              <w:top w:val="nil"/>
              <w:bottom w:val="nil"/>
            </w:tcBorders>
          </w:tcPr>
          <w:p w:rsidR="00000000" w:rsidRDefault="00000000">
            <w:pPr>
              <w:pStyle w:val="a2"/>
              <w:tabs>
                <w:tab w:val="decimal" w:pos="1269"/>
              </w:tabs>
            </w:pPr>
            <w:r>
              <w:t>1,004,565</w:t>
            </w:r>
          </w:p>
        </w:tc>
        <w:tc>
          <w:tcPr>
            <w:tcW w:w="935" w:type="pct"/>
            <w:tcBorders>
              <w:top w:val="nil"/>
              <w:bottom w:val="nil"/>
            </w:tcBorders>
          </w:tcPr>
          <w:p w:rsidR="00000000" w:rsidRDefault="00000000">
            <w:pPr>
              <w:pStyle w:val="a2"/>
              <w:tabs>
                <w:tab w:val="decimal" w:pos="1269"/>
              </w:tabs>
            </w:pPr>
            <w:r>
              <w:t>1,201,541</w:t>
            </w:r>
          </w:p>
        </w:tc>
        <w:tc>
          <w:tcPr>
            <w:tcW w:w="719" w:type="pct"/>
            <w:tcBorders>
              <w:top w:val="nil"/>
              <w:bottom w:val="nil"/>
            </w:tcBorders>
          </w:tcPr>
          <w:p w:rsidR="00000000" w:rsidRDefault="00000000">
            <w:pPr>
              <w:pStyle w:val="a2"/>
              <w:tabs>
                <w:tab w:val="decimal" w:pos="528"/>
              </w:tabs>
            </w:pPr>
            <w:r>
              <w:t>1.9</w:t>
            </w:r>
          </w:p>
        </w:tc>
      </w:tr>
      <w:tr w:rsidR="00000000">
        <w:tblPrEx>
          <w:tblCellMar>
            <w:top w:w="0" w:type="dxa"/>
            <w:bottom w:w="0" w:type="dxa"/>
          </w:tblCellMar>
        </w:tblPrEx>
        <w:tc>
          <w:tcPr>
            <w:tcW w:w="540" w:type="pct"/>
            <w:tcBorders>
              <w:top w:val="nil"/>
            </w:tcBorders>
          </w:tcPr>
          <w:p w:rsidR="00000000" w:rsidRDefault="00000000">
            <w:pPr>
              <w:jc w:val="center"/>
            </w:pPr>
            <w:r>
              <w:t>2000</w:t>
            </w:r>
          </w:p>
        </w:tc>
        <w:tc>
          <w:tcPr>
            <w:tcW w:w="935" w:type="pct"/>
            <w:tcBorders>
              <w:top w:val="nil"/>
            </w:tcBorders>
          </w:tcPr>
          <w:p w:rsidR="00000000" w:rsidRDefault="00000000">
            <w:pPr>
              <w:pStyle w:val="a2"/>
              <w:tabs>
                <w:tab w:val="decimal" w:pos="1269"/>
              </w:tabs>
            </w:pPr>
            <w:r>
              <w:t>8,420,044</w:t>
            </w:r>
          </w:p>
        </w:tc>
        <w:tc>
          <w:tcPr>
            <w:tcW w:w="935" w:type="pct"/>
            <w:tcBorders>
              <w:top w:val="nil"/>
            </w:tcBorders>
          </w:tcPr>
          <w:p w:rsidR="00000000" w:rsidRDefault="00000000">
            <w:pPr>
              <w:pStyle w:val="a2"/>
              <w:tabs>
                <w:tab w:val="decimal" w:pos="1269"/>
              </w:tabs>
            </w:pPr>
            <w:r>
              <w:t>15,813,933</w:t>
            </w:r>
          </w:p>
        </w:tc>
        <w:tc>
          <w:tcPr>
            <w:tcW w:w="935" w:type="pct"/>
            <w:tcBorders>
              <w:top w:val="nil"/>
            </w:tcBorders>
          </w:tcPr>
          <w:p w:rsidR="00000000" w:rsidRDefault="00000000">
            <w:pPr>
              <w:pStyle w:val="a2"/>
              <w:tabs>
                <w:tab w:val="decimal" w:pos="1269"/>
              </w:tabs>
            </w:pPr>
            <w:r>
              <w:t>1,026,155</w:t>
            </w:r>
          </w:p>
        </w:tc>
        <w:tc>
          <w:tcPr>
            <w:tcW w:w="935" w:type="pct"/>
            <w:tcBorders>
              <w:top w:val="nil"/>
            </w:tcBorders>
          </w:tcPr>
          <w:p w:rsidR="00000000" w:rsidRDefault="00000000">
            <w:pPr>
              <w:pStyle w:val="a2"/>
              <w:tabs>
                <w:tab w:val="decimal" w:pos="1269"/>
              </w:tabs>
            </w:pPr>
            <w:r>
              <w:t>1,212,863</w:t>
            </w:r>
          </w:p>
        </w:tc>
        <w:tc>
          <w:tcPr>
            <w:tcW w:w="719" w:type="pct"/>
            <w:tcBorders>
              <w:top w:val="nil"/>
            </w:tcBorders>
          </w:tcPr>
          <w:p w:rsidR="00000000" w:rsidRDefault="00000000">
            <w:pPr>
              <w:pStyle w:val="a2"/>
              <w:tabs>
                <w:tab w:val="decimal" w:pos="528"/>
              </w:tabs>
            </w:pPr>
            <w:r>
              <w:t>1.9</w:t>
            </w:r>
          </w:p>
        </w:tc>
      </w:tr>
    </w:tbl>
    <w:p w:rsidR="00000000" w:rsidRDefault="00000000">
      <w:pPr>
        <w:pStyle w:val="a6"/>
        <w:spacing w:before="180"/>
        <w:ind w:firstLine="510"/>
        <w:rPr>
          <w:rFonts w:hint="eastAsia"/>
        </w:rPr>
      </w:pPr>
      <w:r>
        <w:rPr>
          <w:rFonts w:hint="eastAsia"/>
          <w:u w:val="single"/>
        </w:rPr>
        <w:t>资料来源</w:t>
      </w:r>
      <w:r>
        <w:rPr>
          <w:rFonts w:hint="eastAsia"/>
        </w:rPr>
        <w:t>：国家统计局《</w:t>
      </w:r>
      <w:r>
        <w:rPr>
          <w:rFonts w:hint="eastAsia"/>
        </w:rPr>
        <w:t>2001</w:t>
      </w:r>
      <w:r>
        <w:rPr>
          <w:rFonts w:hint="eastAsia"/>
        </w:rPr>
        <w:t>年中国统计年鉴》。</w:t>
      </w:r>
    </w:p>
    <w:p w:rsidR="00000000" w:rsidRDefault="00000000">
      <w:pPr>
        <w:pStyle w:val="a6"/>
        <w:spacing w:before="240"/>
        <w:rPr>
          <w:rFonts w:hint="eastAsia"/>
        </w:rPr>
      </w:pPr>
    </w:p>
    <w:p w:rsidR="00000000" w:rsidRDefault="00000000">
      <w:pPr>
        <w:spacing w:after="320"/>
        <w:jc w:val="center"/>
        <w:rPr>
          <w:rFonts w:hint="eastAsia"/>
          <w:u w:val="single"/>
        </w:rPr>
      </w:pPr>
      <w:r>
        <w:br w:type="page"/>
      </w:r>
      <w:r>
        <w:rPr>
          <w:rFonts w:hint="eastAsia"/>
          <w:u w:val="single"/>
        </w:rPr>
        <w:t>表</w:t>
      </w:r>
      <w:r>
        <w:rPr>
          <w:rFonts w:hint="eastAsia"/>
          <w:u w:val="single"/>
        </w:rPr>
        <w:t>2</w:t>
      </w:r>
      <w:r>
        <w:rPr>
          <w:rFonts w:hint="eastAsia"/>
        </w:rPr>
        <w:t xml:space="preserve">.  </w:t>
      </w:r>
      <w:r>
        <w:rPr>
          <w:rFonts w:hint="eastAsia"/>
          <w:u w:val="single"/>
        </w:rPr>
        <w:t>1996</w:t>
      </w:r>
      <w:r>
        <w:rPr>
          <w:rFonts w:hint="eastAsia"/>
          <w:u w:val="single"/>
        </w:rPr>
        <w:t>年、</w:t>
      </w:r>
      <w:r>
        <w:rPr>
          <w:rFonts w:hint="eastAsia"/>
          <w:u w:val="single"/>
        </w:rPr>
        <w:t>2000</w:t>
      </w:r>
      <w:r>
        <w:rPr>
          <w:rFonts w:hint="eastAsia"/>
          <w:u w:val="single"/>
        </w:rPr>
        <w:t>年女性职工孕产期、哺乳期保护情况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98"/>
        <w:gridCol w:w="1785"/>
        <w:gridCol w:w="1927"/>
      </w:tblGrid>
      <w:tr w:rsidR="00000000">
        <w:tblPrEx>
          <w:tblCellMar>
            <w:top w:w="0" w:type="dxa"/>
            <w:bottom w:w="0" w:type="dxa"/>
          </w:tblCellMar>
        </w:tblPrEx>
        <w:tc>
          <w:tcPr>
            <w:tcW w:w="5698" w:type="dxa"/>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调</w:t>
            </w:r>
            <w:r>
              <w:rPr>
                <w:rFonts w:ascii="Time New Roman" w:eastAsia="SimHei" w:hAnsi="Time New Roman" w:hint="eastAsia"/>
              </w:rPr>
              <w:t xml:space="preserve"> </w:t>
            </w:r>
            <w:r>
              <w:rPr>
                <w:rFonts w:ascii="Time New Roman" w:eastAsia="SimHei" w:hAnsi="Time New Roman" w:hint="eastAsia"/>
              </w:rPr>
              <w:t>查</w:t>
            </w:r>
            <w:r>
              <w:rPr>
                <w:rFonts w:ascii="Time New Roman" w:eastAsia="SimHei" w:hAnsi="Time New Roman" w:hint="eastAsia"/>
              </w:rPr>
              <w:t xml:space="preserve"> </w:t>
            </w:r>
            <w:r>
              <w:rPr>
                <w:rFonts w:ascii="Time New Roman" w:eastAsia="SimHei" w:hAnsi="Time New Roman" w:hint="eastAsia"/>
              </w:rPr>
              <w:t>项</w:t>
            </w:r>
            <w:r>
              <w:rPr>
                <w:rFonts w:ascii="Time New Roman" w:eastAsia="SimHei" w:hAnsi="Time New Roman" w:hint="eastAsia"/>
              </w:rPr>
              <w:t xml:space="preserve"> </w:t>
            </w:r>
            <w:r>
              <w:rPr>
                <w:rFonts w:ascii="Time New Roman" w:eastAsia="SimHei" w:hAnsi="Time New Roman" w:hint="eastAsia"/>
              </w:rPr>
              <w:t>目</w:t>
            </w:r>
          </w:p>
        </w:tc>
        <w:tc>
          <w:tcPr>
            <w:tcW w:w="1785" w:type="dxa"/>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b/>
              </w:rPr>
              <w:t>1996</w:t>
            </w:r>
            <w:r>
              <w:rPr>
                <w:rFonts w:ascii="Time New Roman" w:eastAsia="SimHei" w:hAnsi="Time New Roman" w:hint="eastAsia"/>
              </w:rPr>
              <w:t>年</w:t>
            </w:r>
            <w:r>
              <w:rPr>
                <w:rFonts w:ascii="Time New Roman" w:eastAsia="SimHei" w:hAnsi="Time New Roman" w:hint="eastAsia"/>
              </w:rPr>
              <w:t>(%)</w:t>
            </w:r>
          </w:p>
        </w:tc>
        <w:tc>
          <w:tcPr>
            <w:tcW w:w="1927" w:type="dxa"/>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b/>
              </w:rPr>
              <w:t>2000</w:t>
            </w:r>
            <w:r>
              <w:rPr>
                <w:rFonts w:ascii="Time New Roman" w:eastAsia="SimHei" w:hAnsi="Time New Roman" w:hint="eastAsia"/>
              </w:rPr>
              <w:t>年</w:t>
            </w:r>
            <w:r>
              <w:rPr>
                <w:rFonts w:ascii="Time New Roman" w:eastAsia="SimHei" w:hAnsi="Time New Roman" w:hint="eastAsia"/>
              </w:rPr>
              <w:t>(%)</w:t>
            </w:r>
          </w:p>
        </w:tc>
      </w:tr>
      <w:tr w:rsidR="00000000">
        <w:tblPrEx>
          <w:tblCellMar>
            <w:top w:w="0" w:type="dxa"/>
            <w:bottom w:w="0" w:type="dxa"/>
          </w:tblCellMar>
        </w:tblPrEx>
        <w:tc>
          <w:tcPr>
            <w:tcW w:w="5698" w:type="dxa"/>
          </w:tcPr>
          <w:p w:rsidR="00000000" w:rsidRDefault="00000000">
            <w:pPr>
              <w:pStyle w:val="a2"/>
              <w:ind w:left="113"/>
              <w:rPr>
                <w:rFonts w:hint="eastAsia"/>
              </w:rPr>
            </w:pPr>
            <w:r>
              <w:rPr>
                <w:rFonts w:hint="eastAsia"/>
              </w:rPr>
              <w:t>能调离有毒有害或禁忌从事工种</w:t>
            </w:r>
          </w:p>
        </w:tc>
        <w:tc>
          <w:tcPr>
            <w:tcW w:w="1785" w:type="dxa"/>
          </w:tcPr>
          <w:p w:rsidR="00000000" w:rsidRDefault="00000000">
            <w:pPr>
              <w:pStyle w:val="a2"/>
              <w:tabs>
                <w:tab w:val="decimal" w:pos="707"/>
              </w:tabs>
            </w:pPr>
            <w:r>
              <w:t>96.8</w:t>
            </w:r>
          </w:p>
        </w:tc>
        <w:tc>
          <w:tcPr>
            <w:tcW w:w="1927" w:type="dxa"/>
          </w:tcPr>
          <w:p w:rsidR="00000000" w:rsidRDefault="00000000">
            <w:pPr>
              <w:pStyle w:val="a2"/>
              <w:tabs>
                <w:tab w:val="decimal" w:pos="917"/>
              </w:tabs>
            </w:pPr>
            <w:r>
              <w:t>97.6</w:t>
            </w:r>
          </w:p>
        </w:tc>
      </w:tr>
      <w:tr w:rsidR="00000000">
        <w:tblPrEx>
          <w:tblCellMar>
            <w:top w:w="0" w:type="dxa"/>
            <w:bottom w:w="0" w:type="dxa"/>
          </w:tblCellMar>
        </w:tblPrEx>
        <w:tc>
          <w:tcPr>
            <w:tcW w:w="5698" w:type="dxa"/>
          </w:tcPr>
          <w:p w:rsidR="00000000" w:rsidRDefault="00000000">
            <w:pPr>
              <w:pStyle w:val="a2"/>
              <w:ind w:left="113"/>
              <w:rPr>
                <w:rFonts w:hint="eastAsia"/>
              </w:rPr>
            </w:pPr>
            <w:r>
              <w:rPr>
                <w:rFonts w:hint="eastAsia"/>
              </w:rPr>
              <w:t>能免于加班加点、夜班</w:t>
            </w:r>
          </w:p>
        </w:tc>
        <w:tc>
          <w:tcPr>
            <w:tcW w:w="1785" w:type="dxa"/>
          </w:tcPr>
          <w:p w:rsidR="00000000" w:rsidRDefault="00000000">
            <w:pPr>
              <w:pStyle w:val="a2"/>
              <w:tabs>
                <w:tab w:val="decimal" w:pos="707"/>
              </w:tabs>
            </w:pPr>
            <w:r>
              <w:t>91.8</w:t>
            </w:r>
          </w:p>
        </w:tc>
        <w:tc>
          <w:tcPr>
            <w:tcW w:w="1927" w:type="dxa"/>
          </w:tcPr>
          <w:p w:rsidR="00000000" w:rsidRDefault="00000000">
            <w:pPr>
              <w:pStyle w:val="a2"/>
              <w:tabs>
                <w:tab w:val="decimal" w:pos="917"/>
              </w:tabs>
            </w:pPr>
            <w:r>
              <w:t>95.8</w:t>
            </w:r>
          </w:p>
        </w:tc>
      </w:tr>
      <w:tr w:rsidR="00000000">
        <w:tblPrEx>
          <w:tblCellMar>
            <w:top w:w="0" w:type="dxa"/>
            <w:bottom w:w="0" w:type="dxa"/>
          </w:tblCellMar>
        </w:tblPrEx>
        <w:tc>
          <w:tcPr>
            <w:tcW w:w="5698" w:type="dxa"/>
          </w:tcPr>
          <w:p w:rsidR="00000000" w:rsidRDefault="00000000">
            <w:pPr>
              <w:pStyle w:val="a2"/>
              <w:ind w:left="113"/>
              <w:rPr>
                <w:rFonts w:hint="eastAsia"/>
              </w:rPr>
            </w:pPr>
            <w:r>
              <w:rPr>
                <w:rFonts w:hint="eastAsia"/>
              </w:rPr>
              <w:t>分娩后享受</w:t>
            </w:r>
            <w:r>
              <w:rPr>
                <w:rFonts w:hint="eastAsia"/>
              </w:rPr>
              <w:t>90</w:t>
            </w:r>
            <w:r>
              <w:rPr>
                <w:rFonts w:hint="eastAsia"/>
              </w:rPr>
              <w:t>天以上产假</w:t>
            </w:r>
          </w:p>
        </w:tc>
        <w:tc>
          <w:tcPr>
            <w:tcW w:w="1785" w:type="dxa"/>
          </w:tcPr>
          <w:p w:rsidR="00000000" w:rsidRDefault="00000000">
            <w:pPr>
              <w:pStyle w:val="a2"/>
              <w:tabs>
                <w:tab w:val="decimal" w:pos="707"/>
              </w:tabs>
            </w:pPr>
            <w:r>
              <w:t>92.1</w:t>
            </w:r>
          </w:p>
        </w:tc>
        <w:tc>
          <w:tcPr>
            <w:tcW w:w="1927" w:type="dxa"/>
          </w:tcPr>
          <w:p w:rsidR="00000000" w:rsidRDefault="00000000">
            <w:pPr>
              <w:pStyle w:val="a2"/>
              <w:tabs>
                <w:tab w:val="decimal" w:pos="917"/>
              </w:tabs>
            </w:pPr>
            <w:r>
              <w:t>88.2</w:t>
            </w:r>
          </w:p>
        </w:tc>
      </w:tr>
      <w:tr w:rsidR="00000000">
        <w:tblPrEx>
          <w:tblCellMar>
            <w:top w:w="0" w:type="dxa"/>
            <w:bottom w:w="0" w:type="dxa"/>
          </w:tblCellMar>
        </w:tblPrEx>
        <w:tc>
          <w:tcPr>
            <w:tcW w:w="5698" w:type="dxa"/>
          </w:tcPr>
          <w:p w:rsidR="00000000" w:rsidRDefault="00000000">
            <w:pPr>
              <w:pStyle w:val="a2"/>
              <w:ind w:left="113"/>
              <w:rPr>
                <w:rFonts w:hint="eastAsia"/>
              </w:rPr>
            </w:pPr>
            <w:r>
              <w:rPr>
                <w:rFonts w:hint="eastAsia"/>
              </w:rPr>
              <w:t>有哺乳时间</w:t>
            </w:r>
          </w:p>
        </w:tc>
        <w:tc>
          <w:tcPr>
            <w:tcW w:w="1785" w:type="dxa"/>
          </w:tcPr>
          <w:p w:rsidR="00000000" w:rsidRDefault="00000000">
            <w:pPr>
              <w:pStyle w:val="a2"/>
              <w:tabs>
                <w:tab w:val="decimal" w:pos="707"/>
              </w:tabs>
            </w:pPr>
            <w:r>
              <w:t>96.4</w:t>
            </w:r>
          </w:p>
        </w:tc>
        <w:tc>
          <w:tcPr>
            <w:tcW w:w="1927" w:type="dxa"/>
          </w:tcPr>
          <w:p w:rsidR="00000000" w:rsidRDefault="00000000">
            <w:pPr>
              <w:pStyle w:val="a2"/>
              <w:tabs>
                <w:tab w:val="decimal" w:pos="917"/>
              </w:tabs>
            </w:pPr>
            <w:r>
              <w:t>94.5</w:t>
            </w:r>
          </w:p>
        </w:tc>
      </w:tr>
      <w:tr w:rsidR="00000000">
        <w:tblPrEx>
          <w:tblCellMar>
            <w:top w:w="0" w:type="dxa"/>
            <w:bottom w:w="0" w:type="dxa"/>
          </w:tblCellMar>
        </w:tblPrEx>
        <w:tc>
          <w:tcPr>
            <w:tcW w:w="5698" w:type="dxa"/>
          </w:tcPr>
          <w:p w:rsidR="00000000" w:rsidRDefault="00000000">
            <w:pPr>
              <w:pStyle w:val="a2"/>
              <w:ind w:left="113"/>
              <w:rPr>
                <w:rFonts w:hint="eastAsia"/>
              </w:rPr>
            </w:pPr>
            <w:r>
              <w:rPr>
                <w:rFonts w:hint="eastAsia"/>
              </w:rPr>
              <w:t>哺乳期免于加班加点、夜班</w:t>
            </w:r>
          </w:p>
        </w:tc>
        <w:tc>
          <w:tcPr>
            <w:tcW w:w="1785" w:type="dxa"/>
          </w:tcPr>
          <w:p w:rsidR="00000000" w:rsidRDefault="00000000">
            <w:pPr>
              <w:pStyle w:val="a2"/>
              <w:tabs>
                <w:tab w:val="decimal" w:pos="707"/>
              </w:tabs>
            </w:pPr>
            <w:r>
              <w:t>92.5</w:t>
            </w:r>
          </w:p>
        </w:tc>
        <w:tc>
          <w:tcPr>
            <w:tcW w:w="1927" w:type="dxa"/>
          </w:tcPr>
          <w:p w:rsidR="00000000" w:rsidRDefault="00000000">
            <w:pPr>
              <w:pStyle w:val="a2"/>
              <w:tabs>
                <w:tab w:val="decimal" w:pos="917"/>
              </w:tabs>
            </w:pPr>
            <w:r>
              <w:t>93.7</w:t>
            </w:r>
          </w:p>
        </w:tc>
      </w:tr>
      <w:tr w:rsidR="00000000">
        <w:tblPrEx>
          <w:tblCellMar>
            <w:top w:w="0" w:type="dxa"/>
            <w:bottom w:w="0" w:type="dxa"/>
          </w:tblCellMar>
        </w:tblPrEx>
        <w:tc>
          <w:tcPr>
            <w:tcW w:w="5698" w:type="dxa"/>
          </w:tcPr>
          <w:p w:rsidR="00000000" w:rsidRDefault="00000000">
            <w:pPr>
              <w:pStyle w:val="a2"/>
              <w:ind w:left="113"/>
              <w:rPr>
                <w:rFonts w:hint="eastAsia"/>
              </w:rPr>
            </w:pPr>
            <w:r>
              <w:rPr>
                <w:rFonts w:hint="eastAsia"/>
              </w:rPr>
              <w:t>能全部或部分报销妊娠期间产前检查费用</w:t>
            </w:r>
          </w:p>
        </w:tc>
        <w:tc>
          <w:tcPr>
            <w:tcW w:w="1785" w:type="dxa"/>
          </w:tcPr>
          <w:p w:rsidR="00000000" w:rsidRDefault="00000000">
            <w:pPr>
              <w:pStyle w:val="a2"/>
              <w:tabs>
                <w:tab w:val="decimal" w:pos="707"/>
              </w:tabs>
            </w:pPr>
            <w:r>
              <w:t>60.0</w:t>
            </w:r>
          </w:p>
        </w:tc>
        <w:tc>
          <w:tcPr>
            <w:tcW w:w="1927" w:type="dxa"/>
          </w:tcPr>
          <w:p w:rsidR="00000000" w:rsidRDefault="00000000">
            <w:pPr>
              <w:pStyle w:val="a2"/>
              <w:tabs>
                <w:tab w:val="decimal" w:pos="917"/>
              </w:tabs>
            </w:pPr>
            <w:r>
              <w:t>75.8</w:t>
            </w:r>
          </w:p>
        </w:tc>
      </w:tr>
      <w:tr w:rsidR="00000000">
        <w:tblPrEx>
          <w:tblCellMar>
            <w:top w:w="0" w:type="dxa"/>
            <w:bottom w:w="0" w:type="dxa"/>
          </w:tblCellMar>
        </w:tblPrEx>
        <w:tc>
          <w:tcPr>
            <w:tcW w:w="5698" w:type="dxa"/>
          </w:tcPr>
          <w:p w:rsidR="00000000" w:rsidRDefault="00000000">
            <w:pPr>
              <w:pStyle w:val="a2"/>
              <w:ind w:left="113"/>
              <w:rPr>
                <w:rFonts w:hint="eastAsia"/>
              </w:rPr>
            </w:pPr>
            <w:r>
              <w:rPr>
                <w:rFonts w:hint="eastAsia"/>
              </w:rPr>
              <w:t>能全部或部分报销分娩费用</w:t>
            </w:r>
          </w:p>
        </w:tc>
        <w:tc>
          <w:tcPr>
            <w:tcW w:w="1785" w:type="dxa"/>
          </w:tcPr>
          <w:p w:rsidR="00000000" w:rsidRDefault="00000000">
            <w:pPr>
              <w:pStyle w:val="a2"/>
              <w:tabs>
                <w:tab w:val="decimal" w:pos="707"/>
              </w:tabs>
            </w:pPr>
            <w:r>
              <w:t>81.7</w:t>
            </w:r>
          </w:p>
        </w:tc>
        <w:tc>
          <w:tcPr>
            <w:tcW w:w="1927" w:type="dxa"/>
          </w:tcPr>
          <w:p w:rsidR="00000000" w:rsidRDefault="00000000">
            <w:pPr>
              <w:pStyle w:val="a2"/>
              <w:tabs>
                <w:tab w:val="decimal" w:pos="917"/>
              </w:tabs>
            </w:pPr>
            <w:r>
              <w:t>77.2</w:t>
            </w:r>
          </w:p>
        </w:tc>
      </w:tr>
      <w:tr w:rsidR="00000000">
        <w:tblPrEx>
          <w:tblCellMar>
            <w:top w:w="0" w:type="dxa"/>
            <w:bottom w:w="0" w:type="dxa"/>
          </w:tblCellMar>
        </w:tblPrEx>
        <w:tc>
          <w:tcPr>
            <w:tcW w:w="5698" w:type="dxa"/>
          </w:tcPr>
          <w:p w:rsidR="00000000" w:rsidRDefault="00000000">
            <w:pPr>
              <w:pStyle w:val="a2"/>
              <w:ind w:left="113"/>
              <w:rPr>
                <w:rFonts w:hint="eastAsia"/>
              </w:rPr>
            </w:pPr>
            <w:r>
              <w:rPr>
                <w:rFonts w:hint="eastAsia"/>
              </w:rPr>
              <w:t>产假期间能发工资</w:t>
            </w:r>
          </w:p>
        </w:tc>
        <w:tc>
          <w:tcPr>
            <w:tcW w:w="1785" w:type="dxa"/>
          </w:tcPr>
          <w:p w:rsidR="00000000" w:rsidRDefault="00000000">
            <w:pPr>
              <w:pStyle w:val="a2"/>
              <w:tabs>
                <w:tab w:val="decimal" w:pos="707"/>
              </w:tabs>
            </w:pPr>
            <w:r>
              <w:t>91.9</w:t>
            </w:r>
          </w:p>
        </w:tc>
        <w:tc>
          <w:tcPr>
            <w:tcW w:w="1927" w:type="dxa"/>
          </w:tcPr>
          <w:p w:rsidR="00000000" w:rsidRDefault="00000000">
            <w:pPr>
              <w:pStyle w:val="a2"/>
              <w:tabs>
                <w:tab w:val="decimal" w:pos="917"/>
              </w:tabs>
            </w:pPr>
            <w:r>
              <w:t>85.3</w:t>
            </w:r>
          </w:p>
        </w:tc>
      </w:tr>
    </w:tbl>
    <w:p w:rsidR="00000000" w:rsidRDefault="00000000">
      <w:pPr>
        <w:spacing w:before="180"/>
        <w:ind w:firstLine="51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：国家人口和计划生育委员会。</w:t>
      </w:r>
    </w:p>
    <w:p w:rsidR="00000000" w:rsidRDefault="00000000">
      <w:pPr>
        <w:rPr>
          <w:rFonts w:hint="eastAsia"/>
        </w:rPr>
      </w:pPr>
    </w:p>
    <w:p w:rsidR="00000000" w:rsidRDefault="00000000">
      <w:pPr>
        <w:spacing w:after="320"/>
        <w:jc w:val="center"/>
        <w:rPr>
          <w:rFonts w:hint="eastAsia"/>
        </w:rPr>
      </w:pPr>
      <w:r>
        <w:rPr>
          <w:rFonts w:hint="eastAsia"/>
          <w:u w:val="single"/>
        </w:rPr>
        <w:t>表</w:t>
      </w:r>
      <w:r>
        <w:rPr>
          <w:rFonts w:hint="eastAsia"/>
          <w:u w:val="single"/>
        </w:rPr>
        <w:t>3</w:t>
      </w:r>
      <w:r>
        <w:rPr>
          <w:rFonts w:hint="eastAsia"/>
        </w:rPr>
        <w:t xml:space="preserve">.  </w:t>
      </w:r>
      <w:r>
        <w:rPr>
          <w:rFonts w:hint="eastAsia"/>
          <w:u w:val="single"/>
        </w:rPr>
        <w:t>城镇居民住房情况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03"/>
        <w:gridCol w:w="2603"/>
        <w:gridCol w:w="2603"/>
        <w:gridCol w:w="2601"/>
      </w:tblGrid>
      <w:tr w:rsidR="00000000">
        <w:tblPrEx>
          <w:tblCellMar>
            <w:top w:w="0" w:type="dxa"/>
            <w:bottom w:w="0" w:type="dxa"/>
          </w:tblCellMar>
        </w:tblPrEx>
        <w:tc>
          <w:tcPr>
            <w:tcW w:w="852" w:type="pct"/>
            <w:tcBorders>
              <w:bottom w:val="single" w:sz="4" w:space="0" w:color="auto"/>
            </w:tcBorders>
          </w:tcPr>
          <w:p w:rsidR="00000000" w:rsidRDefault="00000000">
            <w:pPr>
              <w:pStyle w:val="a2"/>
              <w:spacing w:before="180" w:line="240" w:lineRule="auto"/>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383" w:type="pct"/>
            <w:tcBorders>
              <w:bottom w:val="single" w:sz="4" w:space="0" w:color="auto"/>
            </w:tcBorders>
          </w:tcPr>
          <w:p w:rsidR="00000000" w:rsidRDefault="00000000">
            <w:pPr>
              <w:pStyle w:val="a2"/>
              <w:spacing w:before="60" w:after="40" w:line="240" w:lineRule="auto"/>
              <w:jc w:val="center"/>
              <w:rPr>
                <w:rFonts w:ascii="Time New Roman" w:eastAsia="SimHei" w:hAnsi="Time New Roman" w:hint="eastAsia"/>
              </w:rPr>
            </w:pPr>
            <w:r>
              <w:rPr>
                <w:rFonts w:ascii="Time New Roman" w:eastAsia="SimHei" w:hAnsi="Time New Roman" w:hint="eastAsia"/>
              </w:rPr>
              <w:t>城镇新建住宅面积</w:t>
            </w:r>
            <w:r>
              <w:rPr>
                <w:rFonts w:ascii="Time New Roman" w:eastAsia="SimHei" w:hAnsi="Time New Roman"/>
              </w:rPr>
              <w:br/>
              <w:t>(</w:t>
            </w:r>
            <w:r>
              <w:rPr>
                <w:rFonts w:ascii="Time New Roman" w:eastAsia="SimHei" w:hAnsi="Time New Roman" w:hint="eastAsia"/>
              </w:rPr>
              <w:t>亿平方米</w:t>
            </w:r>
            <w:r>
              <w:rPr>
                <w:rFonts w:ascii="Time New Roman" w:eastAsia="SimHei" w:hAnsi="Time New Roman" w:hint="eastAsia"/>
              </w:rPr>
              <w:t>)</w:t>
            </w:r>
          </w:p>
        </w:tc>
        <w:tc>
          <w:tcPr>
            <w:tcW w:w="1383" w:type="pct"/>
            <w:tcBorders>
              <w:bottom w:val="single" w:sz="4" w:space="0" w:color="auto"/>
            </w:tcBorders>
          </w:tcPr>
          <w:p w:rsidR="00000000" w:rsidRDefault="00000000">
            <w:pPr>
              <w:pStyle w:val="a2"/>
              <w:spacing w:before="60" w:after="40" w:line="240" w:lineRule="auto"/>
              <w:jc w:val="center"/>
              <w:rPr>
                <w:rFonts w:ascii="Time New Roman" w:eastAsia="SimHei" w:hAnsi="Time New Roman" w:hint="eastAsia"/>
              </w:rPr>
            </w:pPr>
            <w:r>
              <w:rPr>
                <w:rFonts w:ascii="Time New Roman" w:eastAsia="SimHei" w:hAnsi="Time New Roman" w:hint="eastAsia"/>
              </w:rPr>
              <w:t>城市人均建筑面积</w:t>
            </w:r>
            <w:r>
              <w:rPr>
                <w:rFonts w:ascii="Time New Roman" w:eastAsia="SimHei" w:hAnsi="Time New Roman"/>
              </w:rPr>
              <w:br/>
              <w:t>(</w:t>
            </w:r>
            <w:r>
              <w:rPr>
                <w:rFonts w:ascii="Time New Roman" w:eastAsia="SimHei" w:hAnsi="Time New Roman" w:hint="eastAsia"/>
              </w:rPr>
              <w:t>平方米</w:t>
            </w:r>
            <w:r>
              <w:rPr>
                <w:rFonts w:ascii="Time New Roman" w:eastAsia="SimHei" w:hAnsi="Time New Roman" w:hint="eastAsia"/>
              </w:rPr>
              <w:t>)</w:t>
            </w:r>
          </w:p>
        </w:tc>
        <w:tc>
          <w:tcPr>
            <w:tcW w:w="1382" w:type="pct"/>
            <w:tcBorders>
              <w:bottom w:val="single" w:sz="4" w:space="0" w:color="auto"/>
            </w:tcBorders>
          </w:tcPr>
          <w:p w:rsidR="00000000" w:rsidRDefault="00000000">
            <w:pPr>
              <w:pStyle w:val="a2"/>
              <w:spacing w:before="60" w:after="40" w:line="240" w:lineRule="auto"/>
              <w:jc w:val="center"/>
              <w:rPr>
                <w:rFonts w:ascii="Time New Roman" w:eastAsia="SimHei" w:hAnsi="Time New Roman" w:hint="eastAsia"/>
              </w:rPr>
            </w:pPr>
            <w:r>
              <w:rPr>
                <w:rFonts w:ascii="Time New Roman" w:eastAsia="SimHei" w:hAnsi="Time New Roman" w:hint="eastAsia"/>
              </w:rPr>
              <w:t>城市人均使用面积</w:t>
            </w:r>
            <w:r>
              <w:rPr>
                <w:rFonts w:ascii="Time New Roman" w:eastAsia="SimHei" w:hAnsi="Time New Roman"/>
              </w:rPr>
              <w:br/>
              <w:t>(</w:t>
            </w:r>
            <w:r>
              <w:rPr>
                <w:rFonts w:ascii="Time New Roman" w:eastAsia="SimHei" w:hAnsi="Time New Roman" w:hint="eastAsia"/>
              </w:rPr>
              <w:t>平方米</w:t>
            </w:r>
            <w:r>
              <w:rPr>
                <w:rFonts w:ascii="Time New Roman" w:eastAsia="SimHei" w:hAnsi="Time New Roman" w:hint="eastAsia"/>
              </w:rPr>
              <w:t>)</w:t>
            </w:r>
          </w:p>
        </w:tc>
      </w:tr>
      <w:tr w:rsidR="00000000">
        <w:tblPrEx>
          <w:tblCellMar>
            <w:top w:w="0" w:type="dxa"/>
            <w:bottom w:w="0" w:type="dxa"/>
          </w:tblCellMar>
        </w:tblPrEx>
        <w:tc>
          <w:tcPr>
            <w:tcW w:w="852" w:type="pct"/>
            <w:tcBorders>
              <w:bottom w:val="nil"/>
            </w:tcBorders>
          </w:tcPr>
          <w:p w:rsidR="00000000" w:rsidRDefault="00000000">
            <w:pPr>
              <w:pStyle w:val="a2"/>
              <w:jc w:val="center"/>
            </w:pPr>
            <w:r>
              <w:t>1978</w:t>
            </w:r>
          </w:p>
        </w:tc>
        <w:tc>
          <w:tcPr>
            <w:tcW w:w="1383" w:type="pct"/>
            <w:tcBorders>
              <w:bottom w:val="nil"/>
            </w:tcBorders>
          </w:tcPr>
          <w:p w:rsidR="00000000" w:rsidRDefault="00000000">
            <w:pPr>
              <w:pStyle w:val="a2"/>
              <w:tabs>
                <w:tab w:val="decimal" w:pos="1275"/>
              </w:tabs>
            </w:pPr>
            <w:r>
              <w:t>0.38</w:t>
            </w:r>
          </w:p>
        </w:tc>
        <w:tc>
          <w:tcPr>
            <w:tcW w:w="1383" w:type="pct"/>
            <w:tcBorders>
              <w:bottom w:val="nil"/>
            </w:tcBorders>
          </w:tcPr>
          <w:p w:rsidR="00000000" w:rsidRDefault="00000000">
            <w:pPr>
              <w:pStyle w:val="a2"/>
              <w:tabs>
                <w:tab w:val="decimal" w:pos="1275"/>
              </w:tabs>
            </w:pPr>
            <w:r>
              <w:t>…</w:t>
            </w:r>
          </w:p>
        </w:tc>
        <w:tc>
          <w:tcPr>
            <w:tcW w:w="1382" w:type="pct"/>
            <w:tcBorders>
              <w:bottom w:val="nil"/>
            </w:tcBorders>
          </w:tcPr>
          <w:p w:rsidR="00000000" w:rsidRDefault="00000000">
            <w:pPr>
              <w:pStyle w:val="a2"/>
              <w:tabs>
                <w:tab w:val="decimal" w:pos="1275"/>
              </w:tabs>
            </w:pPr>
            <w:r>
              <w:t>…</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1980</w:t>
            </w:r>
          </w:p>
        </w:tc>
        <w:tc>
          <w:tcPr>
            <w:tcW w:w="1383" w:type="pct"/>
            <w:tcBorders>
              <w:top w:val="nil"/>
              <w:bottom w:val="nil"/>
            </w:tcBorders>
          </w:tcPr>
          <w:p w:rsidR="00000000" w:rsidRDefault="00000000">
            <w:pPr>
              <w:pStyle w:val="a2"/>
              <w:tabs>
                <w:tab w:val="decimal" w:pos="1275"/>
              </w:tabs>
            </w:pPr>
            <w:r>
              <w:t>0.92</w:t>
            </w:r>
          </w:p>
        </w:tc>
        <w:tc>
          <w:tcPr>
            <w:tcW w:w="1383" w:type="pct"/>
            <w:tcBorders>
              <w:top w:val="nil"/>
              <w:bottom w:val="nil"/>
            </w:tcBorders>
          </w:tcPr>
          <w:p w:rsidR="00000000" w:rsidRDefault="00000000">
            <w:pPr>
              <w:pStyle w:val="a2"/>
              <w:tabs>
                <w:tab w:val="decimal" w:pos="1275"/>
              </w:tabs>
            </w:pPr>
            <w:r>
              <w:t>7.2</w:t>
            </w:r>
          </w:p>
        </w:tc>
        <w:tc>
          <w:tcPr>
            <w:tcW w:w="1382" w:type="pct"/>
            <w:tcBorders>
              <w:top w:val="nil"/>
              <w:bottom w:val="nil"/>
            </w:tcBorders>
          </w:tcPr>
          <w:p w:rsidR="00000000" w:rsidRDefault="00000000">
            <w:pPr>
              <w:pStyle w:val="a2"/>
              <w:tabs>
                <w:tab w:val="decimal" w:pos="1275"/>
              </w:tabs>
            </w:pPr>
            <w:r>
              <w:t>…</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1985</w:t>
            </w:r>
          </w:p>
        </w:tc>
        <w:tc>
          <w:tcPr>
            <w:tcW w:w="1383" w:type="pct"/>
            <w:tcBorders>
              <w:top w:val="nil"/>
              <w:bottom w:val="nil"/>
            </w:tcBorders>
          </w:tcPr>
          <w:p w:rsidR="00000000" w:rsidRDefault="00000000">
            <w:pPr>
              <w:pStyle w:val="a2"/>
              <w:tabs>
                <w:tab w:val="decimal" w:pos="1275"/>
              </w:tabs>
            </w:pPr>
            <w:r>
              <w:t>1.88</w:t>
            </w:r>
          </w:p>
        </w:tc>
        <w:tc>
          <w:tcPr>
            <w:tcW w:w="1383" w:type="pct"/>
            <w:tcBorders>
              <w:top w:val="nil"/>
              <w:bottom w:val="nil"/>
            </w:tcBorders>
          </w:tcPr>
          <w:p w:rsidR="00000000" w:rsidRDefault="00000000">
            <w:pPr>
              <w:pStyle w:val="a2"/>
              <w:tabs>
                <w:tab w:val="decimal" w:pos="1275"/>
              </w:tabs>
            </w:pPr>
            <w:r>
              <w:t>10.0</w:t>
            </w:r>
          </w:p>
        </w:tc>
        <w:tc>
          <w:tcPr>
            <w:tcW w:w="1382" w:type="pct"/>
            <w:tcBorders>
              <w:top w:val="nil"/>
              <w:bottom w:val="nil"/>
            </w:tcBorders>
          </w:tcPr>
          <w:p w:rsidR="00000000" w:rsidRDefault="00000000">
            <w:pPr>
              <w:pStyle w:val="a2"/>
              <w:tabs>
                <w:tab w:val="decimal" w:pos="1275"/>
              </w:tabs>
            </w:pPr>
            <w:r>
              <w:t>…</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1986</w:t>
            </w:r>
          </w:p>
        </w:tc>
        <w:tc>
          <w:tcPr>
            <w:tcW w:w="1383" w:type="pct"/>
            <w:tcBorders>
              <w:top w:val="nil"/>
              <w:bottom w:val="nil"/>
            </w:tcBorders>
          </w:tcPr>
          <w:p w:rsidR="00000000" w:rsidRDefault="00000000">
            <w:pPr>
              <w:pStyle w:val="a2"/>
              <w:tabs>
                <w:tab w:val="decimal" w:pos="1275"/>
              </w:tabs>
            </w:pPr>
            <w:r>
              <w:t>2.22</w:t>
            </w:r>
          </w:p>
        </w:tc>
        <w:tc>
          <w:tcPr>
            <w:tcW w:w="1383" w:type="pct"/>
            <w:tcBorders>
              <w:top w:val="nil"/>
              <w:bottom w:val="nil"/>
            </w:tcBorders>
          </w:tcPr>
          <w:p w:rsidR="00000000" w:rsidRDefault="00000000">
            <w:pPr>
              <w:pStyle w:val="a2"/>
              <w:tabs>
                <w:tab w:val="decimal" w:pos="1275"/>
              </w:tabs>
            </w:pPr>
            <w:r>
              <w:t>12.4</w:t>
            </w:r>
          </w:p>
        </w:tc>
        <w:tc>
          <w:tcPr>
            <w:tcW w:w="1382" w:type="pct"/>
            <w:tcBorders>
              <w:top w:val="nil"/>
              <w:bottom w:val="nil"/>
            </w:tcBorders>
          </w:tcPr>
          <w:p w:rsidR="00000000" w:rsidRDefault="00000000">
            <w:pPr>
              <w:pStyle w:val="a2"/>
              <w:tabs>
                <w:tab w:val="decimal" w:pos="1275"/>
              </w:tabs>
            </w:pPr>
            <w:r>
              <w:t>8.8</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1987</w:t>
            </w:r>
          </w:p>
        </w:tc>
        <w:tc>
          <w:tcPr>
            <w:tcW w:w="1383" w:type="pct"/>
            <w:tcBorders>
              <w:top w:val="nil"/>
              <w:bottom w:val="nil"/>
            </w:tcBorders>
          </w:tcPr>
          <w:p w:rsidR="00000000" w:rsidRDefault="00000000">
            <w:pPr>
              <w:pStyle w:val="a2"/>
              <w:tabs>
                <w:tab w:val="decimal" w:pos="1275"/>
              </w:tabs>
            </w:pPr>
            <w:r>
              <w:t>2.23</w:t>
            </w:r>
          </w:p>
        </w:tc>
        <w:tc>
          <w:tcPr>
            <w:tcW w:w="1383" w:type="pct"/>
            <w:tcBorders>
              <w:top w:val="nil"/>
              <w:bottom w:val="nil"/>
            </w:tcBorders>
          </w:tcPr>
          <w:p w:rsidR="00000000" w:rsidRDefault="00000000">
            <w:pPr>
              <w:pStyle w:val="a2"/>
              <w:tabs>
                <w:tab w:val="decimal" w:pos="1275"/>
              </w:tabs>
            </w:pPr>
            <w:r>
              <w:t>12.7</w:t>
            </w:r>
          </w:p>
        </w:tc>
        <w:tc>
          <w:tcPr>
            <w:tcW w:w="1382" w:type="pct"/>
            <w:tcBorders>
              <w:top w:val="nil"/>
              <w:bottom w:val="nil"/>
            </w:tcBorders>
          </w:tcPr>
          <w:p w:rsidR="00000000" w:rsidRDefault="00000000">
            <w:pPr>
              <w:pStyle w:val="a2"/>
              <w:tabs>
                <w:tab w:val="decimal" w:pos="1275"/>
              </w:tabs>
            </w:pPr>
            <w:r>
              <w:t>9.0</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1988</w:t>
            </w:r>
          </w:p>
        </w:tc>
        <w:tc>
          <w:tcPr>
            <w:tcW w:w="1383" w:type="pct"/>
            <w:tcBorders>
              <w:top w:val="nil"/>
              <w:bottom w:val="nil"/>
            </w:tcBorders>
          </w:tcPr>
          <w:p w:rsidR="00000000" w:rsidRDefault="00000000">
            <w:pPr>
              <w:pStyle w:val="a2"/>
              <w:tabs>
                <w:tab w:val="decimal" w:pos="1275"/>
              </w:tabs>
            </w:pPr>
            <w:r>
              <w:t>2.40</w:t>
            </w:r>
          </w:p>
        </w:tc>
        <w:tc>
          <w:tcPr>
            <w:tcW w:w="1383" w:type="pct"/>
            <w:tcBorders>
              <w:top w:val="nil"/>
              <w:bottom w:val="nil"/>
            </w:tcBorders>
          </w:tcPr>
          <w:p w:rsidR="00000000" w:rsidRDefault="00000000">
            <w:pPr>
              <w:pStyle w:val="a2"/>
              <w:tabs>
                <w:tab w:val="decimal" w:pos="1275"/>
              </w:tabs>
            </w:pPr>
            <w:r>
              <w:t>13.0</w:t>
            </w:r>
          </w:p>
        </w:tc>
        <w:tc>
          <w:tcPr>
            <w:tcW w:w="1382" w:type="pct"/>
            <w:tcBorders>
              <w:top w:val="nil"/>
              <w:bottom w:val="nil"/>
            </w:tcBorders>
          </w:tcPr>
          <w:p w:rsidR="00000000" w:rsidRDefault="00000000">
            <w:pPr>
              <w:pStyle w:val="a2"/>
              <w:tabs>
                <w:tab w:val="decimal" w:pos="1275"/>
              </w:tabs>
            </w:pPr>
            <w:r>
              <w:t>9.3</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1989</w:t>
            </w:r>
          </w:p>
        </w:tc>
        <w:tc>
          <w:tcPr>
            <w:tcW w:w="1383" w:type="pct"/>
            <w:tcBorders>
              <w:top w:val="nil"/>
              <w:bottom w:val="nil"/>
            </w:tcBorders>
          </w:tcPr>
          <w:p w:rsidR="00000000" w:rsidRDefault="00000000">
            <w:pPr>
              <w:pStyle w:val="a2"/>
              <w:tabs>
                <w:tab w:val="decimal" w:pos="1275"/>
              </w:tabs>
            </w:pPr>
            <w:r>
              <w:t>1.97</w:t>
            </w:r>
          </w:p>
        </w:tc>
        <w:tc>
          <w:tcPr>
            <w:tcW w:w="1383" w:type="pct"/>
            <w:tcBorders>
              <w:top w:val="nil"/>
              <w:bottom w:val="nil"/>
            </w:tcBorders>
          </w:tcPr>
          <w:p w:rsidR="00000000" w:rsidRDefault="00000000">
            <w:pPr>
              <w:pStyle w:val="a2"/>
              <w:tabs>
                <w:tab w:val="decimal" w:pos="1275"/>
              </w:tabs>
            </w:pPr>
            <w:r>
              <w:t>13.5</w:t>
            </w:r>
          </w:p>
        </w:tc>
        <w:tc>
          <w:tcPr>
            <w:tcW w:w="1382" w:type="pct"/>
            <w:tcBorders>
              <w:top w:val="nil"/>
              <w:bottom w:val="nil"/>
            </w:tcBorders>
          </w:tcPr>
          <w:p w:rsidR="00000000" w:rsidRDefault="00000000">
            <w:pPr>
              <w:pStyle w:val="a2"/>
              <w:tabs>
                <w:tab w:val="decimal" w:pos="1275"/>
              </w:tabs>
            </w:pPr>
            <w:r>
              <w:t>9.7</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1990</w:t>
            </w:r>
          </w:p>
        </w:tc>
        <w:tc>
          <w:tcPr>
            <w:tcW w:w="1383" w:type="pct"/>
            <w:tcBorders>
              <w:top w:val="nil"/>
              <w:bottom w:val="nil"/>
            </w:tcBorders>
          </w:tcPr>
          <w:p w:rsidR="00000000" w:rsidRDefault="00000000">
            <w:pPr>
              <w:pStyle w:val="a2"/>
              <w:tabs>
                <w:tab w:val="decimal" w:pos="1275"/>
              </w:tabs>
            </w:pPr>
            <w:r>
              <w:t>1.73</w:t>
            </w:r>
          </w:p>
        </w:tc>
        <w:tc>
          <w:tcPr>
            <w:tcW w:w="1383" w:type="pct"/>
            <w:tcBorders>
              <w:top w:val="nil"/>
              <w:bottom w:val="nil"/>
            </w:tcBorders>
          </w:tcPr>
          <w:p w:rsidR="00000000" w:rsidRDefault="00000000">
            <w:pPr>
              <w:pStyle w:val="a2"/>
              <w:tabs>
                <w:tab w:val="decimal" w:pos="1275"/>
              </w:tabs>
            </w:pPr>
            <w:r>
              <w:t>13.7</w:t>
            </w:r>
          </w:p>
        </w:tc>
        <w:tc>
          <w:tcPr>
            <w:tcW w:w="1382" w:type="pct"/>
            <w:tcBorders>
              <w:top w:val="nil"/>
              <w:bottom w:val="nil"/>
            </w:tcBorders>
          </w:tcPr>
          <w:p w:rsidR="00000000" w:rsidRDefault="00000000">
            <w:pPr>
              <w:pStyle w:val="a2"/>
              <w:tabs>
                <w:tab w:val="decimal" w:pos="1275"/>
              </w:tabs>
            </w:pPr>
            <w:r>
              <w:t>9.9</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1991</w:t>
            </w:r>
          </w:p>
        </w:tc>
        <w:tc>
          <w:tcPr>
            <w:tcW w:w="1383" w:type="pct"/>
            <w:tcBorders>
              <w:top w:val="nil"/>
              <w:bottom w:val="nil"/>
            </w:tcBorders>
          </w:tcPr>
          <w:p w:rsidR="00000000" w:rsidRDefault="00000000">
            <w:pPr>
              <w:pStyle w:val="a2"/>
              <w:tabs>
                <w:tab w:val="decimal" w:pos="1275"/>
              </w:tabs>
            </w:pPr>
            <w:r>
              <w:t>1.92</w:t>
            </w:r>
          </w:p>
        </w:tc>
        <w:tc>
          <w:tcPr>
            <w:tcW w:w="1383" w:type="pct"/>
            <w:tcBorders>
              <w:top w:val="nil"/>
              <w:bottom w:val="nil"/>
            </w:tcBorders>
          </w:tcPr>
          <w:p w:rsidR="00000000" w:rsidRDefault="00000000">
            <w:pPr>
              <w:pStyle w:val="a2"/>
              <w:tabs>
                <w:tab w:val="decimal" w:pos="1275"/>
              </w:tabs>
            </w:pPr>
            <w:r>
              <w:t>14.2</w:t>
            </w:r>
          </w:p>
        </w:tc>
        <w:tc>
          <w:tcPr>
            <w:tcW w:w="1382" w:type="pct"/>
            <w:tcBorders>
              <w:top w:val="nil"/>
              <w:bottom w:val="nil"/>
            </w:tcBorders>
          </w:tcPr>
          <w:p w:rsidR="00000000" w:rsidRDefault="00000000">
            <w:pPr>
              <w:pStyle w:val="a2"/>
              <w:tabs>
                <w:tab w:val="decimal" w:pos="1275"/>
              </w:tabs>
            </w:pPr>
            <w:r>
              <w:t>10.3</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1992</w:t>
            </w:r>
          </w:p>
        </w:tc>
        <w:tc>
          <w:tcPr>
            <w:tcW w:w="1383" w:type="pct"/>
            <w:tcBorders>
              <w:top w:val="nil"/>
              <w:bottom w:val="nil"/>
            </w:tcBorders>
          </w:tcPr>
          <w:p w:rsidR="00000000" w:rsidRDefault="00000000">
            <w:pPr>
              <w:pStyle w:val="a2"/>
              <w:tabs>
                <w:tab w:val="decimal" w:pos="1275"/>
              </w:tabs>
            </w:pPr>
            <w:r>
              <w:t>2.40</w:t>
            </w:r>
          </w:p>
        </w:tc>
        <w:tc>
          <w:tcPr>
            <w:tcW w:w="1383" w:type="pct"/>
            <w:tcBorders>
              <w:top w:val="nil"/>
              <w:bottom w:val="nil"/>
            </w:tcBorders>
          </w:tcPr>
          <w:p w:rsidR="00000000" w:rsidRDefault="00000000">
            <w:pPr>
              <w:pStyle w:val="a2"/>
              <w:tabs>
                <w:tab w:val="decimal" w:pos="1275"/>
              </w:tabs>
            </w:pPr>
            <w:r>
              <w:t>14.8</w:t>
            </w:r>
          </w:p>
        </w:tc>
        <w:tc>
          <w:tcPr>
            <w:tcW w:w="1382" w:type="pct"/>
            <w:tcBorders>
              <w:top w:val="nil"/>
              <w:bottom w:val="nil"/>
            </w:tcBorders>
          </w:tcPr>
          <w:p w:rsidR="00000000" w:rsidRDefault="00000000">
            <w:pPr>
              <w:pStyle w:val="a2"/>
              <w:tabs>
                <w:tab w:val="decimal" w:pos="1275"/>
              </w:tabs>
            </w:pPr>
            <w:r>
              <w:t>10.7</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1993</w:t>
            </w:r>
          </w:p>
        </w:tc>
        <w:tc>
          <w:tcPr>
            <w:tcW w:w="1383" w:type="pct"/>
            <w:tcBorders>
              <w:top w:val="nil"/>
              <w:bottom w:val="nil"/>
            </w:tcBorders>
          </w:tcPr>
          <w:p w:rsidR="00000000" w:rsidRDefault="00000000">
            <w:pPr>
              <w:pStyle w:val="a2"/>
              <w:tabs>
                <w:tab w:val="decimal" w:pos="1275"/>
              </w:tabs>
            </w:pPr>
            <w:r>
              <w:t>3.08</w:t>
            </w:r>
          </w:p>
        </w:tc>
        <w:tc>
          <w:tcPr>
            <w:tcW w:w="1383" w:type="pct"/>
            <w:tcBorders>
              <w:top w:val="nil"/>
              <w:bottom w:val="nil"/>
            </w:tcBorders>
          </w:tcPr>
          <w:p w:rsidR="00000000" w:rsidRDefault="00000000">
            <w:pPr>
              <w:pStyle w:val="a2"/>
              <w:tabs>
                <w:tab w:val="decimal" w:pos="1275"/>
              </w:tabs>
            </w:pPr>
            <w:r>
              <w:t>15.2</w:t>
            </w:r>
          </w:p>
        </w:tc>
        <w:tc>
          <w:tcPr>
            <w:tcW w:w="1382" w:type="pct"/>
            <w:tcBorders>
              <w:top w:val="nil"/>
              <w:bottom w:val="nil"/>
            </w:tcBorders>
          </w:tcPr>
          <w:p w:rsidR="00000000" w:rsidRDefault="00000000">
            <w:pPr>
              <w:pStyle w:val="a2"/>
              <w:tabs>
                <w:tab w:val="decimal" w:pos="1275"/>
              </w:tabs>
            </w:pPr>
            <w:r>
              <w:t>11.0</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1994</w:t>
            </w:r>
          </w:p>
        </w:tc>
        <w:tc>
          <w:tcPr>
            <w:tcW w:w="1383" w:type="pct"/>
            <w:tcBorders>
              <w:top w:val="nil"/>
              <w:bottom w:val="nil"/>
            </w:tcBorders>
          </w:tcPr>
          <w:p w:rsidR="00000000" w:rsidRDefault="00000000">
            <w:pPr>
              <w:pStyle w:val="a2"/>
              <w:tabs>
                <w:tab w:val="decimal" w:pos="1275"/>
              </w:tabs>
            </w:pPr>
            <w:r>
              <w:t>3.57</w:t>
            </w:r>
          </w:p>
        </w:tc>
        <w:tc>
          <w:tcPr>
            <w:tcW w:w="1383" w:type="pct"/>
            <w:tcBorders>
              <w:top w:val="nil"/>
              <w:bottom w:val="nil"/>
            </w:tcBorders>
          </w:tcPr>
          <w:p w:rsidR="00000000" w:rsidRDefault="00000000">
            <w:pPr>
              <w:pStyle w:val="a2"/>
              <w:tabs>
                <w:tab w:val="decimal" w:pos="1275"/>
              </w:tabs>
            </w:pPr>
            <w:r>
              <w:t>15.7</w:t>
            </w:r>
          </w:p>
        </w:tc>
        <w:tc>
          <w:tcPr>
            <w:tcW w:w="1382" w:type="pct"/>
            <w:tcBorders>
              <w:top w:val="nil"/>
              <w:bottom w:val="nil"/>
            </w:tcBorders>
          </w:tcPr>
          <w:p w:rsidR="00000000" w:rsidRDefault="00000000">
            <w:pPr>
              <w:pStyle w:val="a2"/>
              <w:tabs>
                <w:tab w:val="decimal" w:pos="1275"/>
              </w:tabs>
            </w:pPr>
            <w:r>
              <w:t>11.4</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1995</w:t>
            </w:r>
          </w:p>
        </w:tc>
        <w:tc>
          <w:tcPr>
            <w:tcW w:w="1383" w:type="pct"/>
            <w:tcBorders>
              <w:top w:val="nil"/>
              <w:bottom w:val="nil"/>
            </w:tcBorders>
          </w:tcPr>
          <w:p w:rsidR="00000000" w:rsidRDefault="00000000">
            <w:pPr>
              <w:pStyle w:val="a2"/>
              <w:tabs>
                <w:tab w:val="decimal" w:pos="1275"/>
              </w:tabs>
            </w:pPr>
            <w:r>
              <w:t>3.75</w:t>
            </w:r>
          </w:p>
        </w:tc>
        <w:tc>
          <w:tcPr>
            <w:tcW w:w="1383" w:type="pct"/>
            <w:tcBorders>
              <w:top w:val="nil"/>
              <w:bottom w:val="nil"/>
            </w:tcBorders>
          </w:tcPr>
          <w:p w:rsidR="00000000" w:rsidRDefault="00000000">
            <w:pPr>
              <w:pStyle w:val="a2"/>
              <w:tabs>
                <w:tab w:val="decimal" w:pos="1275"/>
              </w:tabs>
            </w:pPr>
            <w:r>
              <w:t>16.3</w:t>
            </w:r>
          </w:p>
        </w:tc>
        <w:tc>
          <w:tcPr>
            <w:tcW w:w="1382" w:type="pct"/>
            <w:tcBorders>
              <w:top w:val="nil"/>
              <w:bottom w:val="nil"/>
            </w:tcBorders>
          </w:tcPr>
          <w:p w:rsidR="00000000" w:rsidRDefault="00000000">
            <w:pPr>
              <w:pStyle w:val="a2"/>
              <w:tabs>
                <w:tab w:val="decimal" w:pos="1275"/>
              </w:tabs>
            </w:pPr>
            <w:r>
              <w:t>11.8</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1996</w:t>
            </w:r>
          </w:p>
        </w:tc>
        <w:tc>
          <w:tcPr>
            <w:tcW w:w="1383" w:type="pct"/>
            <w:tcBorders>
              <w:top w:val="nil"/>
              <w:bottom w:val="nil"/>
            </w:tcBorders>
          </w:tcPr>
          <w:p w:rsidR="00000000" w:rsidRDefault="00000000">
            <w:pPr>
              <w:pStyle w:val="a2"/>
              <w:tabs>
                <w:tab w:val="decimal" w:pos="1275"/>
              </w:tabs>
            </w:pPr>
            <w:r>
              <w:t>3.95</w:t>
            </w:r>
          </w:p>
        </w:tc>
        <w:tc>
          <w:tcPr>
            <w:tcW w:w="1383" w:type="pct"/>
            <w:tcBorders>
              <w:top w:val="nil"/>
              <w:bottom w:val="nil"/>
            </w:tcBorders>
          </w:tcPr>
          <w:p w:rsidR="00000000" w:rsidRDefault="00000000">
            <w:pPr>
              <w:pStyle w:val="a2"/>
              <w:tabs>
                <w:tab w:val="decimal" w:pos="1275"/>
              </w:tabs>
            </w:pPr>
            <w:r>
              <w:t>17.0</w:t>
            </w:r>
          </w:p>
        </w:tc>
        <w:tc>
          <w:tcPr>
            <w:tcW w:w="1382" w:type="pct"/>
            <w:tcBorders>
              <w:top w:val="nil"/>
              <w:bottom w:val="nil"/>
            </w:tcBorders>
          </w:tcPr>
          <w:p w:rsidR="00000000" w:rsidRDefault="00000000">
            <w:pPr>
              <w:pStyle w:val="a2"/>
              <w:tabs>
                <w:tab w:val="decimal" w:pos="1275"/>
              </w:tabs>
            </w:pPr>
            <w:r>
              <w:t>12.3</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1997</w:t>
            </w:r>
          </w:p>
        </w:tc>
        <w:tc>
          <w:tcPr>
            <w:tcW w:w="1383" w:type="pct"/>
            <w:tcBorders>
              <w:top w:val="nil"/>
              <w:bottom w:val="nil"/>
            </w:tcBorders>
          </w:tcPr>
          <w:p w:rsidR="00000000" w:rsidRDefault="00000000">
            <w:pPr>
              <w:pStyle w:val="a2"/>
              <w:tabs>
                <w:tab w:val="decimal" w:pos="1275"/>
              </w:tabs>
            </w:pPr>
            <w:r>
              <w:t>4.06</w:t>
            </w:r>
          </w:p>
        </w:tc>
        <w:tc>
          <w:tcPr>
            <w:tcW w:w="1383" w:type="pct"/>
            <w:tcBorders>
              <w:top w:val="nil"/>
              <w:bottom w:val="nil"/>
            </w:tcBorders>
          </w:tcPr>
          <w:p w:rsidR="00000000" w:rsidRDefault="00000000">
            <w:pPr>
              <w:pStyle w:val="a2"/>
              <w:tabs>
                <w:tab w:val="decimal" w:pos="1275"/>
              </w:tabs>
            </w:pPr>
            <w:r>
              <w:t>17.8</w:t>
            </w:r>
          </w:p>
        </w:tc>
        <w:tc>
          <w:tcPr>
            <w:tcW w:w="1382" w:type="pct"/>
            <w:tcBorders>
              <w:top w:val="nil"/>
              <w:bottom w:val="nil"/>
            </w:tcBorders>
          </w:tcPr>
          <w:p w:rsidR="00000000" w:rsidRDefault="00000000">
            <w:pPr>
              <w:pStyle w:val="a2"/>
              <w:tabs>
                <w:tab w:val="decimal" w:pos="1275"/>
              </w:tabs>
            </w:pPr>
            <w:r>
              <w:t>13.0</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1998</w:t>
            </w:r>
          </w:p>
        </w:tc>
        <w:tc>
          <w:tcPr>
            <w:tcW w:w="1383" w:type="pct"/>
            <w:tcBorders>
              <w:top w:val="nil"/>
              <w:bottom w:val="nil"/>
            </w:tcBorders>
          </w:tcPr>
          <w:p w:rsidR="00000000" w:rsidRDefault="00000000">
            <w:pPr>
              <w:pStyle w:val="a2"/>
              <w:tabs>
                <w:tab w:val="decimal" w:pos="1275"/>
              </w:tabs>
            </w:pPr>
            <w:r>
              <w:t>4.76</w:t>
            </w:r>
          </w:p>
        </w:tc>
        <w:tc>
          <w:tcPr>
            <w:tcW w:w="1383" w:type="pct"/>
            <w:tcBorders>
              <w:top w:val="nil"/>
              <w:bottom w:val="nil"/>
            </w:tcBorders>
          </w:tcPr>
          <w:p w:rsidR="00000000" w:rsidRDefault="00000000">
            <w:pPr>
              <w:pStyle w:val="a2"/>
              <w:tabs>
                <w:tab w:val="decimal" w:pos="1275"/>
              </w:tabs>
            </w:pPr>
            <w:r>
              <w:t>18.7</w:t>
            </w:r>
          </w:p>
        </w:tc>
        <w:tc>
          <w:tcPr>
            <w:tcW w:w="1382" w:type="pct"/>
            <w:tcBorders>
              <w:top w:val="nil"/>
              <w:bottom w:val="nil"/>
            </w:tcBorders>
          </w:tcPr>
          <w:p w:rsidR="00000000" w:rsidRDefault="00000000">
            <w:pPr>
              <w:pStyle w:val="a2"/>
              <w:tabs>
                <w:tab w:val="decimal" w:pos="1275"/>
              </w:tabs>
            </w:pPr>
            <w:r>
              <w:t>13.6</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1999</w:t>
            </w:r>
          </w:p>
        </w:tc>
        <w:tc>
          <w:tcPr>
            <w:tcW w:w="1383" w:type="pct"/>
            <w:tcBorders>
              <w:top w:val="nil"/>
              <w:bottom w:val="nil"/>
            </w:tcBorders>
          </w:tcPr>
          <w:p w:rsidR="00000000" w:rsidRDefault="00000000">
            <w:pPr>
              <w:pStyle w:val="a2"/>
              <w:tabs>
                <w:tab w:val="decimal" w:pos="1275"/>
              </w:tabs>
            </w:pPr>
            <w:r>
              <w:t>5.59</w:t>
            </w:r>
          </w:p>
        </w:tc>
        <w:tc>
          <w:tcPr>
            <w:tcW w:w="1383" w:type="pct"/>
            <w:tcBorders>
              <w:top w:val="nil"/>
              <w:bottom w:val="nil"/>
            </w:tcBorders>
          </w:tcPr>
          <w:p w:rsidR="00000000" w:rsidRDefault="00000000">
            <w:pPr>
              <w:pStyle w:val="a2"/>
              <w:tabs>
                <w:tab w:val="decimal" w:pos="1275"/>
              </w:tabs>
            </w:pPr>
            <w:r>
              <w:t>19.4</w:t>
            </w:r>
          </w:p>
        </w:tc>
        <w:tc>
          <w:tcPr>
            <w:tcW w:w="1382" w:type="pct"/>
            <w:tcBorders>
              <w:top w:val="nil"/>
              <w:bottom w:val="nil"/>
            </w:tcBorders>
          </w:tcPr>
          <w:p w:rsidR="00000000" w:rsidRDefault="00000000">
            <w:pPr>
              <w:pStyle w:val="a2"/>
              <w:tabs>
                <w:tab w:val="decimal" w:pos="1275"/>
              </w:tabs>
            </w:pPr>
            <w:r>
              <w:t>14.2</w:t>
            </w:r>
          </w:p>
        </w:tc>
      </w:tr>
      <w:tr w:rsidR="00000000">
        <w:tblPrEx>
          <w:tblCellMar>
            <w:top w:w="0" w:type="dxa"/>
            <w:bottom w:w="0" w:type="dxa"/>
          </w:tblCellMar>
        </w:tblPrEx>
        <w:tc>
          <w:tcPr>
            <w:tcW w:w="852" w:type="pct"/>
            <w:tcBorders>
              <w:top w:val="nil"/>
              <w:bottom w:val="nil"/>
            </w:tcBorders>
          </w:tcPr>
          <w:p w:rsidR="00000000" w:rsidRDefault="00000000">
            <w:pPr>
              <w:pStyle w:val="a2"/>
              <w:jc w:val="center"/>
            </w:pPr>
            <w:r>
              <w:t>2000</w:t>
            </w:r>
          </w:p>
        </w:tc>
        <w:tc>
          <w:tcPr>
            <w:tcW w:w="1383" w:type="pct"/>
            <w:tcBorders>
              <w:top w:val="nil"/>
              <w:bottom w:val="nil"/>
            </w:tcBorders>
          </w:tcPr>
          <w:p w:rsidR="00000000" w:rsidRDefault="00000000">
            <w:pPr>
              <w:pStyle w:val="a2"/>
              <w:tabs>
                <w:tab w:val="decimal" w:pos="1275"/>
              </w:tabs>
            </w:pPr>
            <w:r>
              <w:t>5.49</w:t>
            </w:r>
          </w:p>
        </w:tc>
        <w:tc>
          <w:tcPr>
            <w:tcW w:w="1383" w:type="pct"/>
            <w:tcBorders>
              <w:top w:val="nil"/>
              <w:bottom w:val="nil"/>
            </w:tcBorders>
          </w:tcPr>
          <w:p w:rsidR="00000000" w:rsidRDefault="00000000">
            <w:pPr>
              <w:pStyle w:val="a2"/>
              <w:tabs>
                <w:tab w:val="decimal" w:pos="1275"/>
              </w:tabs>
            </w:pPr>
            <w:r>
              <w:t>20.3</w:t>
            </w:r>
          </w:p>
        </w:tc>
        <w:tc>
          <w:tcPr>
            <w:tcW w:w="1382" w:type="pct"/>
            <w:tcBorders>
              <w:top w:val="nil"/>
              <w:bottom w:val="nil"/>
            </w:tcBorders>
          </w:tcPr>
          <w:p w:rsidR="00000000" w:rsidRDefault="00000000">
            <w:pPr>
              <w:pStyle w:val="a2"/>
              <w:tabs>
                <w:tab w:val="decimal" w:pos="1275"/>
              </w:tabs>
            </w:pPr>
            <w:r>
              <w:t>14.9</w:t>
            </w:r>
          </w:p>
        </w:tc>
      </w:tr>
      <w:tr w:rsidR="00000000">
        <w:tblPrEx>
          <w:tblCellMar>
            <w:top w:w="0" w:type="dxa"/>
            <w:bottom w:w="0" w:type="dxa"/>
          </w:tblCellMar>
        </w:tblPrEx>
        <w:tc>
          <w:tcPr>
            <w:tcW w:w="852" w:type="pct"/>
            <w:tcBorders>
              <w:top w:val="nil"/>
            </w:tcBorders>
          </w:tcPr>
          <w:p w:rsidR="00000000" w:rsidRDefault="00000000">
            <w:pPr>
              <w:pStyle w:val="a2"/>
              <w:jc w:val="center"/>
            </w:pPr>
            <w:r>
              <w:t>2001</w:t>
            </w:r>
          </w:p>
        </w:tc>
        <w:tc>
          <w:tcPr>
            <w:tcW w:w="1383" w:type="pct"/>
            <w:tcBorders>
              <w:top w:val="nil"/>
            </w:tcBorders>
          </w:tcPr>
          <w:p w:rsidR="00000000" w:rsidRDefault="00000000">
            <w:pPr>
              <w:pStyle w:val="a2"/>
              <w:tabs>
                <w:tab w:val="decimal" w:pos="1275"/>
              </w:tabs>
            </w:pPr>
            <w:r>
              <w:t>5.75</w:t>
            </w:r>
          </w:p>
        </w:tc>
        <w:tc>
          <w:tcPr>
            <w:tcW w:w="1383" w:type="pct"/>
            <w:tcBorders>
              <w:top w:val="nil"/>
            </w:tcBorders>
          </w:tcPr>
          <w:p w:rsidR="00000000" w:rsidRDefault="00000000">
            <w:pPr>
              <w:pStyle w:val="a2"/>
              <w:tabs>
                <w:tab w:val="decimal" w:pos="1275"/>
              </w:tabs>
            </w:pPr>
            <w:r>
              <w:t>20.8</w:t>
            </w:r>
          </w:p>
        </w:tc>
        <w:tc>
          <w:tcPr>
            <w:tcW w:w="1382" w:type="pct"/>
            <w:tcBorders>
              <w:top w:val="nil"/>
            </w:tcBorders>
          </w:tcPr>
          <w:p w:rsidR="00000000" w:rsidRDefault="00000000">
            <w:pPr>
              <w:pStyle w:val="a2"/>
              <w:tabs>
                <w:tab w:val="decimal" w:pos="1275"/>
              </w:tabs>
            </w:pPr>
            <w:r>
              <w:t>15.5</w:t>
            </w:r>
          </w:p>
        </w:tc>
      </w:tr>
    </w:tbl>
    <w:p w:rsidR="00000000" w:rsidRDefault="00000000">
      <w:pPr>
        <w:spacing w:before="180"/>
        <w:ind w:firstLine="510"/>
        <w:rPr>
          <w:rFonts w:hint="eastAsia"/>
        </w:rPr>
      </w:pPr>
      <w:r>
        <w:rPr>
          <w:rFonts w:eastAsia="KaiTi_GB2312" w:hint="eastAsia"/>
          <w:snapToGrid/>
          <w:spacing w:val="0"/>
          <w:u w:val="single"/>
        </w:rPr>
        <w:t>资料来源</w:t>
      </w:r>
      <w:r>
        <w:rPr>
          <w:rFonts w:eastAsia="KaiTi_GB2312" w:hint="eastAsia"/>
          <w:snapToGrid/>
          <w:spacing w:val="0"/>
        </w:rPr>
        <w:t>：《中国统计年鉴－</w:t>
      </w:r>
      <w:r>
        <w:rPr>
          <w:rFonts w:eastAsia="KaiTi_GB2312" w:hint="eastAsia"/>
          <w:snapToGrid/>
          <w:spacing w:val="0"/>
        </w:rPr>
        <w:t>2002</w:t>
      </w:r>
      <w:r>
        <w:rPr>
          <w:rFonts w:eastAsia="KaiTi_GB2312" w:hint="eastAsia"/>
          <w:snapToGrid/>
          <w:spacing w:val="0"/>
        </w:rPr>
        <w:t>》。</w:t>
      </w:r>
    </w:p>
    <w:p w:rsidR="00000000" w:rsidRDefault="00000000">
      <w:pPr>
        <w:spacing w:after="320"/>
        <w:jc w:val="center"/>
        <w:rPr>
          <w:rFonts w:hint="eastAsia"/>
        </w:rPr>
      </w:pPr>
      <w:r>
        <w:rPr>
          <w:rFonts w:hint="eastAsia"/>
          <w:u w:val="single"/>
        </w:rPr>
        <w:t>表</w:t>
      </w:r>
      <w:r>
        <w:rPr>
          <w:rFonts w:hint="eastAsia"/>
          <w:u w:val="single"/>
        </w:rPr>
        <w:t>4</w:t>
      </w:r>
      <w:r>
        <w:rPr>
          <w:rFonts w:hint="eastAsia"/>
        </w:rPr>
        <w:t xml:space="preserve">.  </w:t>
      </w:r>
      <w:r>
        <w:rPr>
          <w:rFonts w:hint="eastAsia"/>
          <w:u w:val="single"/>
        </w:rPr>
        <w:t>2000</w:t>
      </w:r>
      <w:r>
        <w:rPr>
          <w:rFonts w:hint="eastAsia"/>
          <w:u w:val="single"/>
        </w:rPr>
        <w:t>年中国城市家庭户按住房间数分的户数比例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97"/>
        <w:gridCol w:w="982"/>
        <w:gridCol w:w="994"/>
        <w:gridCol w:w="971"/>
        <w:gridCol w:w="937"/>
        <w:gridCol w:w="937"/>
        <w:gridCol w:w="947"/>
        <w:gridCol w:w="915"/>
        <w:gridCol w:w="915"/>
        <w:gridCol w:w="915"/>
      </w:tblGrid>
      <w:tr w:rsidR="00000000">
        <w:tblPrEx>
          <w:tblCellMar>
            <w:top w:w="0" w:type="dxa"/>
            <w:bottom w:w="0" w:type="dxa"/>
          </w:tblCellMar>
        </w:tblPrEx>
        <w:trPr>
          <w:cantSplit/>
        </w:trPr>
        <w:tc>
          <w:tcPr>
            <w:tcW w:w="477" w:type="pct"/>
            <w:vMerge w:val="restart"/>
          </w:tcPr>
          <w:p w:rsidR="00000000" w:rsidRDefault="00000000">
            <w:pPr>
              <w:pStyle w:val="a2"/>
              <w:spacing w:before="60" w:after="40"/>
              <w:jc w:val="center"/>
              <w:rPr>
                <w:rFonts w:ascii="Time New Roman" w:eastAsia="SimHei" w:hAnsi="Time New Roman" w:hint="eastAsia"/>
              </w:rPr>
            </w:pPr>
          </w:p>
        </w:tc>
        <w:tc>
          <w:tcPr>
            <w:tcW w:w="522" w:type="pct"/>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家庭户</w:t>
            </w:r>
          </w:p>
        </w:tc>
        <w:tc>
          <w:tcPr>
            <w:tcW w:w="528" w:type="pct"/>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户均</w:t>
            </w:r>
          </w:p>
        </w:tc>
        <w:tc>
          <w:tcPr>
            <w:tcW w:w="3473" w:type="pct"/>
            <w:gridSpan w:val="7"/>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住房间数比例</w:t>
            </w:r>
            <w:r>
              <w:rPr>
                <w:rFonts w:ascii="Time New Roman" w:eastAsia="SimHei" w:hAnsi="Time New Roman" w:hint="eastAsia"/>
              </w:rPr>
              <w:t>(%)</w:t>
            </w:r>
          </w:p>
        </w:tc>
      </w:tr>
      <w:tr w:rsidR="00000000">
        <w:tblPrEx>
          <w:tblCellMar>
            <w:top w:w="0" w:type="dxa"/>
            <w:bottom w:w="0" w:type="dxa"/>
          </w:tblCellMar>
        </w:tblPrEx>
        <w:trPr>
          <w:cantSplit/>
        </w:trPr>
        <w:tc>
          <w:tcPr>
            <w:tcW w:w="477" w:type="pct"/>
            <w:vMerge/>
          </w:tcPr>
          <w:p w:rsidR="00000000" w:rsidRDefault="00000000">
            <w:pPr>
              <w:pStyle w:val="a2"/>
              <w:jc w:val="center"/>
              <w:rPr>
                <w:rFonts w:hint="eastAsia"/>
              </w:rPr>
            </w:pPr>
          </w:p>
        </w:tc>
        <w:tc>
          <w:tcPr>
            <w:tcW w:w="522" w:type="pct"/>
            <w:tcBorders>
              <w:bottom w:val="single" w:sz="4" w:space="0" w:color="auto"/>
            </w:tcBorders>
          </w:tcPr>
          <w:p w:rsidR="00000000" w:rsidRDefault="00000000">
            <w:pPr>
              <w:pStyle w:val="a2"/>
              <w:jc w:val="center"/>
              <w:rPr>
                <w:rFonts w:hint="eastAsia"/>
              </w:rPr>
            </w:pPr>
            <w:r>
              <w:rPr>
                <w:rFonts w:hint="eastAsia"/>
              </w:rPr>
              <w:t>万户</w:t>
            </w:r>
          </w:p>
        </w:tc>
        <w:tc>
          <w:tcPr>
            <w:tcW w:w="528" w:type="pct"/>
            <w:tcBorders>
              <w:bottom w:val="single" w:sz="4" w:space="0" w:color="auto"/>
            </w:tcBorders>
          </w:tcPr>
          <w:p w:rsidR="00000000" w:rsidRDefault="00000000">
            <w:pPr>
              <w:pStyle w:val="a2"/>
              <w:jc w:val="center"/>
              <w:rPr>
                <w:rFonts w:hint="eastAsia"/>
              </w:rPr>
            </w:pPr>
            <w:r>
              <w:rPr>
                <w:rFonts w:hint="eastAsia"/>
              </w:rPr>
              <w:t>间数</w:t>
            </w:r>
          </w:p>
        </w:tc>
        <w:tc>
          <w:tcPr>
            <w:tcW w:w="516" w:type="pct"/>
            <w:tcBorders>
              <w:bottom w:val="single" w:sz="4" w:space="0" w:color="auto"/>
            </w:tcBorders>
          </w:tcPr>
          <w:p w:rsidR="00000000" w:rsidRDefault="00000000">
            <w:pPr>
              <w:pStyle w:val="a2"/>
              <w:jc w:val="center"/>
              <w:rPr>
                <w:rFonts w:hint="eastAsia"/>
              </w:rPr>
            </w:pPr>
            <w:r>
              <w:rPr>
                <w:rFonts w:hint="eastAsia"/>
              </w:rPr>
              <w:t>0</w:t>
            </w:r>
            <w:r>
              <w:rPr>
                <w:rFonts w:hint="eastAsia"/>
              </w:rPr>
              <w:t>间</w:t>
            </w:r>
          </w:p>
        </w:tc>
        <w:tc>
          <w:tcPr>
            <w:tcW w:w="498" w:type="pct"/>
            <w:tcBorders>
              <w:bottom w:val="single" w:sz="4" w:space="0" w:color="auto"/>
            </w:tcBorders>
          </w:tcPr>
          <w:p w:rsidR="00000000" w:rsidRDefault="00000000">
            <w:pPr>
              <w:pStyle w:val="a2"/>
              <w:jc w:val="center"/>
              <w:rPr>
                <w:rFonts w:hint="eastAsia"/>
              </w:rPr>
            </w:pPr>
            <w:r>
              <w:rPr>
                <w:rFonts w:hint="eastAsia"/>
              </w:rPr>
              <w:t>1</w:t>
            </w:r>
            <w:r>
              <w:rPr>
                <w:rFonts w:hint="eastAsia"/>
              </w:rPr>
              <w:t>间</w:t>
            </w:r>
          </w:p>
        </w:tc>
        <w:tc>
          <w:tcPr>
            <w:tcW w:w="498" w:type="pct"/>
            <w:tcBorders>
              <w:bottom w:val="single" w:sz="4" w:space="0" w:color="auto"/>
            </w:tcBorders>
          </w:tcPr>
          <w:p w:rsidR="00000000" w:rsidRDefault="00000000">
            <w:pPr>
              <w:pStyle w:val="a2"/>
              <w:jc w:val="center"/>
              <w:rPr>
                <w:rFonts w:hint="eastAsia"/>
              </w:rPr>
            </w:pPr>
            <w:r>
              <w:rPr>
                <w:rFonts w:hint="eastAsia"/>
              </w:rPr>
              <w:t>2</w:t>
            </w:r>
            <w:r>
              <w:rPr>
                <w:rFonts w:hint="eastAsia"/>
              </w:rPr>
              <w:t>间</w:t>
            </w:r>
          </w:p>
        </w:tc>
        <w:tc>
          <w:tcPr>
            <w:tcW w:w="503" w:type="pct"/>
            <w:tcBorders>
              <w:bottom w:val="single" w:sz="4" w:space="0" w:color="auto"/>
            </w:tcBorders>
          </w:tcPr>
          <w:p w:rsidR="00000000" w:rsidRDefault="00000000">
            <w:pPr>
              <w:pStyle w:val="a2"/>
              <w:jc w:val="center"/>
              <w:rPr>
                <w:rFonts w:hint="eastAsia"/>
              </w:rPr>
            </w:pPr>
            <w:r>
              <w:rPr>
                <w:rFonts w:hint="eastAsia"/>
              </w:rPr>
              <w:t>3</w:t>
            </w:r>
            <w:r>
              <w:rPr>
                <w:rFonts w:hint="eastAsia"/>
              </w:rPr>
              <w:t>间</w:t>
            </w:r>
          </w:p>
        </w:tc>
        <w:tc>
          <w:tcPr>
            <w:tcW w:w="486" w:type="pct"/>
            <w:tcBorders>
              <w:bottom w:val="single" w:sz="4" w:space="0" w:color="auto"/>
            </w:tcBorders>
          </w:tcPr>
          <w:p w:rsidR="00000000" w:rsidRDefault="00000000">
            <w:pPr>
              <w:pStyle w:val="a2"/>
              <w:jc w:val="center"/>
              <w:rPr>
                <w:rFonts w:hint="eastAsia"/>
              </w:rPr>
            </w:pPr>
            <w:r>
              <w:rPr>
                <w:rFonts w:hint="eastAsia"/>
              </w:rPr>
              <w:t>4</w:t>
            </w:r>
            <w:r>
              <w:rPr>
                <w:rFonts w:hint="eastAsia"/>
              </w:rPr>
              <w:t>间</w:t>
            </w:r>
          </w:p>
        </w:tc>
        <w:tc>
          <w:tcPr>
            <w:tcW w:w="486" w:type="pct"/>
            <w:tcBorders>
              <w:bottom w:val="single" w:sz="4" w:space="0" w:color="auto"/>
            </w:tcBorders>
          </w:tcPr>
          <w:p w:rsidR="00000000" w:rsidRDefault="00000000">
            <w:pPr>
              <w:pStyle w:val="a2"/>
              <w:jc w:val="center"/>
              <w:rPr>
                <w:rFonts w:hint="eastAsia"/>
              </w:rPr>
            </w:pPr>
            <w:r>
              <w:rPr>
                <w:rFonts w:hint="eastAsia"/>
              </w:rPr>
              <w:t>5</w:t>
            </w:r>
            <w:r>
              <w:rPr>
                <w:rFonts w:hint="eastAsia"/>
              </w:rPr>
              <w:t>间</w:t>
            </w:r>
          </w:p>
        </w:tc>
        <w:tc>
          <w:tcPr>
            <w:tcW w:w="486" w:type="pct"/>
            <w:tcBorders>
              <w:bottom w:val="single" w:sz="4" w:space="0" w:color="auto"/>
            </w:tcBorders>
          </w:tcPr>
          <w:p w:rsidR="00000000" w:rsidRDefault="00000000">
            <w:pPr>
              <w:pStyle w:val="a2"/>
              <w:jc w:val="center"/>
              <w:rPr>
                <w:rFonts w:hint="eastAsia"/>
              </w:rPr>
            </w:pPr>
            <w:r>
              <w:rPr>
                <w:rFonts w:hint="eastAsia"/>
              </w:rPr>
              <w:t>6</w:t>
            </w:r>
            <w:r>
              <w:rPr>
                <w:rFonts w:hint="eastAsia"/>
              </w:rPr>
              <w:t>间以上</w:t>
            </w:r>
          </w:p>
        </w:tc>
      </w:tr>
      <w:tr w:rsidR="00000000">
        <w:tblPrEx>
          <w:tblCellMar>
            <w:top w:w="0" w:type="dxa"/>
            <w:bottom w:w="0" w:type="dxa"/>
          </w:tblCellMar>
        </w:tblPrEx>
        <w:tc>
          <w:tcPr>
            <w:tcW w:w="477" w:type="pct"/>
            <w:tcBorders>
              <w:bottom w:val="nil"/>
            </w:tcBorders>
          </w:tcPr>
          <w:p w:rsidR="00000000" w:rsidRDefault="00000000">
            <w:pPr>
              <w:pStyle w:val="a2"/>
              <w:jc w:val="center"/>
              <w:rPr>
                <w:rFonts w:hint="eastAsia"/>
              </w:rPr>
            </w:pPr>
            <w:r>
              <w:rPr>
                <w:rFonts w:hint="eastAsia"/>
              </w:rPr>
              <w:t>全国</w:t>
            </w:r>
          </w:p>
        </w:tc>
        <w:tc>
          <w:tcPr>
            <w:tcW w:w="522" w:type="pct"/>
            <w:tcBorders>
              <w:bottom w:val="nil"/>
            </w:tcBorders>
            <w:vAlign w:val="center"/>
          </w:tcPr>
          <w:p w:rsidR="00000000" w:rsidRDefault="00000000">
            <w:pPr>
              <w:pStyle w:val="a2"/>
              <w:tabs>
                <w:tab w:val="decimal" w:pos="363"/>
              </w:tabs>
              <w:jc w:val="center"/>
            </w:pPr>
            <w:r>
              <w:t>8489</w:t>
            </w:r>
          </w:p>
        </w:tc>
        <w:tc>
          <w:tcPr>
            <w:tcW w:w="528" w:type="pct"/>
            <w:tcBorders>
              <w:bottom w:val="nil"/>
            </w:tcBorders>
            <w:vAlign w:val="center"/>
          </w:tcPr>
          <w:p w:rsidR="00000000" w:rsidRDefault="00000000">
            <w:pPr>
              <w:pStyle w:val="a2"/>
              <w:tabs>
                <w:tab w:val="decimal" w:pos="363"/>
              </w:tabs>
            </w:pPr>
            <w:r>
              <w:t>2.27  </w:t>
            </w:r>
          </w:p>
        </w:tc>
        <w:tc>
          <w:tcPr>
            <w:tcW w:w="516" w:type="pct"/>
            <w:tcBorders>
              <w:bottom w:val="nil"/>
            </w:tcBorders>
            <w:vAlign w:val="center"/>
          </w:tcPr>
          <w:p w:rsidR="00000000" w:rsidRDefault="00000000">
            <w:pPr>
              <w:pStyle w:val="a2"/>
              <w:tabs>
                <w:tab w:val="decimal" w:pos="363"/>
              </w:tabs>
            </w:pPr>
            <w:r>
              <w:t>0.1  </w:t>
            </w:r>
          </w:p>
        </w:tc>
        <w:tc>
          <w:tcPr>
            <w:tcW w:w="498" w:type="pct"/>
            <w:tcBorders>
              <w:bottom w:val="nil"/>
            </w:tcBorders>
            <w:vAlign w:val="center"/>
          </w:tcPr>
          <w:p w:rsidR="00000000" w:rsidRDefault="00000000">
            <w:pPr>
              <w:pStyle w:val="a2"/>
              <w:tabs>
                <w:tab w:val="decimal" w:pos="566"/>
              </w:tabs>
            </w:pPr>
            <w:r>
              <w:t>25</w:t>
            </w:r>
          </w:p>
        </w:tc>
        <w:tc>
          <w:tcPr>
            <w:tcW w:w="498" w:type="pct"/>
            <w:tcBorders>
              <w:bottom w:val="nil"/>
            </w:tcBorders>
            <w:vAlign w:val="center"/>
          </w:tcPr>
          <w:p w:rsidR="00000000" w:rsidRDefault="00000000">
            <w:pPr>
              <w:pStyle w:val="a2"/>
              <w:tabs>
                <w:tab w:val="decimal" w:pos="566"/>
              </w:tabs>
            </w:pPr>
            <w:r>
              <w:t>43</w:t>
            </w:r>
          </w:p>
        </w:tc>
        <w:tc>
          <w:tcPr>
            <w:tcW w:w="503" w:type="pct"/>
            <w:tcBorders>
              <w:bottom w:val="nil"/>
            </w:tcBorders>
            <w:vAlign w:val="center"/>
          </w:tcPr>
          <w:p w:rsidR="00000000" w:rsidRDefault="00000000">
            <w:pPr>
              <w:pStyle w:val="a2"/>
              <w:tabs>
                <w:tab w:val="decimal" w:pos="566"/>
              </w:tabs>
            </w:pPr>
            <w:r>
              <w:t>21</w:t>
            </w:r>
          </w:p>
        </w:tc>
        <w:tc>
          <w:tcPr>
            <w:tcW w:w="486" w:type="pct"/>
            <w:tcBorders>
              <w:bottom w:val="nil"/>
            </w:tcBorders>
            <w:vAlign w:val="center"/>
          </w:tcPr>
          <w:p w:rsidR="00000000" w:rsidRDefault="00000000">
            <w:pPr>
              <w:pStyle w:val="a2"/>
              <w:tabs>
                <w:tab w:val="decimal" w:pos="566"/>
              </w:tabs>
            </w:pPr>
            <w:r>
              <w:t>6</w:t>
            </w:r>
          </w:p>
        </w:tc>
        <w:tc>
          <w:tcPr>
            <w:tcW w:w="486" w:type="pct"/>
            <w:tcBorders>
              <w:bottom w:val="nil"/>
            </w:tcBorders>
            <w:vAlign w:val="center"/>
          </w:tcPr>
          <w:p w:rsidR="00000000" w:rsidRDefault="00000000">
            <w:pPr>
              <w:pStyle w:val="a2"/>
              <w:tabs>
                <w:tab w:val="decimal" w:pos="566"/>
              </w:tabs>
            </w:pPr>
            <w:r>
              <w:t>2</w:t>
            </w:r>
          </w:p>
        </w:tc>
        <w:tc>
          <w:tcPr>
            <w:tcW w:w="486" w:type="pct"/>
            <w:tcBorders>
              <w:bottom w:val="nil"/>
            </w:tcBorders>
            <w:vAlign w:val="center"/>
          </w:tcPr>
          <w:p w:rsidR="00000000" w:rsidRDefault="00000000">
            <w:pPr>
              <w:pStyle w:val="a2"/>
              <w:tabs>
                <w:tab w:val="decimal" w:pos="566"/>
              </w:tabs>
            </w:pPr>
            <w:r>
              <w:t>3</w:t>
            </w:r>
          </w:p>
        </w:tc>
      </w:tr>
      <w:tr w:rsidR="00000000">
        <w:tblPrEx>
          <w:tblCellMar>
            <w:top w:w="0" w:type="dxa"/>
            <w:bottom w:w="0" w:type="dxa"/>
          </w:tblCellMar>
        </w:tblPrEx>
        <w:tc>
          <w:tcPr>
            <w:tcW w:w="477" w:type="pct"/>
            <w:tcBorders>
              <w:top w:val="nil"/>
              <w:bottom w:val="nil"/>
            </w:tcBorders>
          </w:tcPr>
          <w:p w:rsidR="00000000" w:rsidRDefault="00000000">
            <w:pPr>
              <w:pStyle w:val="a2"/>
              <w:jc w:val="center"/>
              <w:rPr>
                <w:rFonts w:hint="eastAsia"/>
              </w:rPr>
            </w:pPr>
            <w:r>
              <w:rPr>
                <w:rFonts w:hint="eastAsia"/>
              </w:rPr>
              <w:t>东部</w:t>
            </w:r>
          </w:p>
        </w:tc>
        <w:tc>
          <w:tcPr>
            <w:tcW w:w="522" w:type="pct"/>
            <w:tcBorders>
              <w:top w:val="nil"/>
              <w:bottom w:val="nil"/>
            </w:tcBorders>
            <w:vAlign w:val="center"/>
          </w:tcPr>
          <w:p w:rsidR="00000000" w:rsidRDefault="00000000">
            <w:pPr>
              <w:pStyle w:val="a2"/>
              <w:tabs>
                <w:tab w:val="decimal" w:pos="363"/>
              </w:tabs>
              <w:jc w:val="center"/>
            </w:pPr>
            <w:r>
              <w:t>4499</w:t>
            </w:r>
          </w:p>
        </w:tc>
        <w:tc>
          <w:tcPr>
            <w:tcW w:w="528" w:type="pct"/>
            <w:tcBorders>
              <w:top w:val="nil"/>
              <w:bottom w:val="nil"/>
            </w:tcBorders>
            <w:vAlign w:val="center"/>
          </w:tcPr>
          <w:p w:rsidR="00000000" w:rsidRDefault="00000000">
            <w:pPr>
              <w:pStyle w:val="a2"/>
              <w:tabs>
                <w:tab w:val="decimal" w:pos="363"/>
              </w:tabs>
            </w:pPr>
            <w:r>
              <w:t>2.269</w:t>
            </w:r>
          </w:p>
        </w:tc>
        <w:tc>
          <w:tcPr>
            <w:tcW w:w="516" w:type="pct"/>
            <w:tcBorders>
              <w:top w:val="nil"/>
              <w:bottom w:val="nil"/>
            </w:tcBorders>
            <w:vAlign w:val="center"/>
          </w:tcPr>
          <w:p w:rsidR="00000000" w:rsidRDefault="00000000">
            <w:pPr>
              <w:pStyle w:val="a2"/>
              <w:tabs>
                <w:tab w:val="decimal" w:pos="363"/>
              </w:tabs>
            </w:pPr>
            <w:r>
              <w:t>0.1  </w:t>
            </w:r>
          </w:p>
        </w:tc>
        <w:tc>
          <w:tcPr>
            <w:tcW w:w="498" w:type="pct"/>
            <w:tcBorders>
              <w:top w:val="nil"/>
              <w:bottom w:val="nil"/>
            </w:tcBorders>
            <w:vAlign w:val="center"/>
          </w:tcPr>
          <w:p w:rsidR="00000000" w:rsidRDefault="00000000">
            <w:pPr>
              <w:pStyle w:val="a2"/>
              <w:tabs>
                <w:tab w:val="decimal" w:pos="566"/>
              </w:tabs>
            </w:pPr>
            <w:r>
              <w:t>26</w:t>
            </w:r>
          </w:p>
        </w:tc>
        <w:tc>
          <w:tcPr>
            <w:tcW w:w="498" w:type="pct"/>
            <w:tcBorders>
              <w:top w:val="nil"/>
              <w:bottom w:val="nil"/>
            </w:tcBorders>
            <w:vAlign w:val="center"/>
          </w:tcPr>
          <w:p w:rsidR="00000000" w:rsidRDefault="00000000">
            <w:pPr>
              <w:pStyle w:val="a2"/>
              <w:tabs>
                <w:tab w:val="decimal" w:pos="566"/>
              </w:tabs>
            </w:pPr>
            <w:r>
              <w:t>40</w:t>
            </w:r>
          </w:p>
        </w:tc>
        <w:tc>
          <w:tcPr>
            <w:tcW w:w="503" w:type="pct"/>
            <w:tcBorders>
              <w:top w:val="nil"/>
              <w:bottom w:val="nil"/>
            </w:tcBorders>
            <w:vAlign w:val="center"/>
          </w:tcPr>
          <w:p w:rsidR="00000000" w:rsidRDefault="00000000">
            <w:pPr>
              <w:pStyle w:val="a2"/>
              <w:tabs>
                <w:tab w:val="decimal" w:pos="566"/>
              </w:tabs>
            </w:pPr>
            <w:r>
              <w:t>21</w:t>
            </w:r>
          </w:p>
        </w:tc>
        <w:tc>
          <w:tcPr>
            <w:tcW w:w="486" w:type="pct"/>
            <w:tcBorders>
              <w:top w:val="nil"/>
              <w:bottom w:val="nil"/>
            </w:tcBorders>
            <w:vAlign w:val="center"/>
          </w:tcPr>
          <w:p w:rsidR="00000000" w:rsidRDefault="00000000">
            <w:pPr>
              <w:pStyle w:val="a2"/>
              <w:tabs>
                <w:tab w:val="decimal" w:pos="566"/>
              </w:tabs>
            </w:pPr>
            <w:r>
              <w:t>7</w:t>
            </w:r>
          </w:p>
        </w:tc>
        <w:tc>
          <w:tcPr>
            <w:tcW w:w="486" w:type="pct"/>
            <w:tcBorders>
              <w:top w:val="nil"/>
              <w:bottom w:val="nil"/>
            </w:tcBorders>
            <w:vAlign w:val="center"/>
          </w:tcPr>
          <w:p w:rsidR="00000000" w:rsidRDefault="00000000">
            <w:pPr>
              <w:pStyle w:val="a2"/>
              <w:tabs>
                <w:tab w:val="decimal" w:pos="566"/>
              </w:tabs>
            </w:pPr>
            <w:r>
              <w:t>2</w:t>
            </w:r>
          </w:p>
        </w:tc>
        <w:tc>
          <w:tcPr>
            <w:tcW w:w="486" w:type="pct"/>
            <w:tcBorders>
              <w:top w:val="nil"/>
              <w:bottom w:val="nil"/>
            </w:tcBorders>
            <w:vAlign w:val="center"/>
          </w:tcPr>
          <w:p w:rsidR="00000000" w:rsidRDefault="00000000">
            <w:pPr>
              <w:pStyle w:val="a2"/>
              <w:tabs>
                <w:tab w:val="decimal" w:pos="566"/>
              </w:tabs>
            </w:pPr>
            <w:r>
              <w:t>3</w:t>
            </w:r>
          </w:p>
        </w:tc>
      </w:tr>
      <w:tr w:rsidR="00000000">
        <w:tblPrEx>
          <w:tblCellMar>
            <w:top w:w="0" w:type="dxa"/>
            <w:bottom w:w="0" w:type="dxa"/>
          </w:tblCellMar>
        </w:tblPrEx>
        <w:tc>
          <w:tcPr>
            <w:tcW w:w="477" w:type="pct"/>
            <w:tcBorders>
              <w:top w:val="nil"/>
              <w:bottom w:val="nil"/>
            </w:tcBorders>
          </w:tcPr>
          <w:p w:rsidR="00000000" w:rsidRDefault="00000000">
            <w:pPr>
              <w:pStyle w:val="a2"/>
              <w:jc w:val="center"/>
              <w:rPr>
                <w:rFonts w:hint="eastAsia"/>
              </w:rPr>
            </w:pPr>
            <w:r>
              <w:rPr>
                <w:rFonts w:hint="eastAsia"/>
              </w:rPr>
              <w:t>中部</w:t>
            </w:r>
          </w:p>
        </w:tc>
        <w:tc>
          <w:tcPr>
            <w:tcW w:w="522" w:type="pct"/>
            <w:tcBorders>
              <w:top w:val="nil"/>
              <w:bottom w:val="nil"/>
            </w:tcBorders>
            <w:vAlign w:val="center"/>
          </w:tcPr>
          <w:p w:rsidR="00000000" w:rsidRDefault="00000000">
            <w:pPr>
              <w:pStyle w:val="a2"/>
              <w:tabs>
                <w:tab w:val="decimal" w:pos="363"/>
              </w:tabs>
              <w:jc w:val="center"/>
            </w:pPr>
            <w:r>
              <w:t>2627</w:t>
            </w:r>
          </w:p>
        </w:tc>
        <w:tc>
          <w:tcPr>
            <w:tcW w:w="528" w:type="pct"/>
            <w:tcBorders>
              <w:top w:val="nil"/>
              <w:bottom w:val="nil"/>
            </w:tcBorders>
            <w:vAlign w:val="center"/>
          </w:tcPr>
          <w:p w:rsidR="00000000" w:rsidRDefault="00000000">
            <w:pPr>
              <w:pStyle w:val="a2"/>
              <w:tabs>
                <w:tab w:val="decimal" w:pos="363"/>
              </w:tabs>
            </w:pPr>
            <w:r>
              <w:t>2.214</w:t>
            </w:r>
          </w:p>
        </w:tc>
        <w:tc>
          <w:tcPr>
            <w:tcW w:w="516" w:type="pct"/>
            <w:tcBorders>
              <w:top w:val="nil"/>
              <w:bottom w:val="nil"/>
            </w:tcBorders>
            <w:vAlign w:val="center"/>
          </w:tcPr>
          <w:p w:rsidR="00000000" w:rsidRDefault="00000000">
            <w:pPr>
              <w:pStyle w:val="a2"/>
              <w:tabs>
                <w:tab w:val="decimal" w:pos="363"/>
              </w:tabs>
            </w:pPr>
            <w:r>
              <w:t>0.1  </w:t>
            </w:r>
          </w:p>
        </w:tc>
        <w:tc>
          <w:tcPr>
            <w:tcW w:w="498" w:type="pct"/>
            <w:tcBorders>
              <w:top w:val="nil"/>
              <w:bottom w:val="nil"/>
            </w:tcBorders>
            <w:vAlign w:val="center"/>
          </w:tcPr>
          <w:p w:rsidR="00000000" w:rsidRDefault="00000000">
            <w:pPr>
              <w:pStyle w:val="a2"/>
              <w:tabs>
                <w:tab w:val="decimal" w:pos="566"/>
              </w:tabs>
            </w:pPr>
            <w:r>
              <w:t>24</w:t>
            </w:r>
          </w:p>
        </w:tc>
        <w:tc>
          <w:tcPr>
            <w:tcW w:w="498" w:type="pct"/>
            <w:tcBorders>
              <w:top w:val="nil"/>
              <w:bottom w:val="nil"/>
            </w:tcBorders>
            <w:vAlign w:val="center"/>
          </w:tcPr>
          <w:p w:rsidR="00000000" w:rsidRDefault="00000000">
            <w:pPr>
              <w:pStyle w:val="a2"/>
              <w:tabs>
                <w:tab w:val="decimal" w:pos="566"/>
              </w:tabs>
            </w:pPr>
            <w:r>
              <w:t>47</w:t>
            </w:r>
          </w:p>
        </w:tc>
        <w:tc>
          <w:tcPr>
            <w:tcW w:w="503" w:type="pct"/>
            <w:tcBorders>
              <w:top w:val="nil"/>
              <w:bottom w:val="nil"/>
            </w:tcBorders>
            <w:vAlign w:val="center"/>
          </w:tcPr>
          <w:p w:rsidR="00000000" w:rsidRDefault="00000000">
            <w:pPr>
              <w:pStyle w:val="a2"/>
              <w:tabs>
                <w:tab w:val="decimal" w:pos="566"/>
              </w:tabs>
            </w:pPr>
            <w:r>
              <w:t>21</w:t>
            </w:r>
          </w:p>
        </w:tc>
        <w:tc>
          <w:tcPr>
            <w:tcW w:w="486" w:type="pct"/>
            <w:tcBorders>
              <w:top w:val="nil"/>
              <w:bottom w:val="nil"/>
            </w:tcBorders>
            <w:vAlign w:val="center"/>
          </w:tcPr>
          <w:p w:rsidR="00000000" w:rsidRDefault="00000000">
            <w:pPr>
              <w:pStyle w:val="a2"/>
              <w:tabs>
                <w:tab w:val="decimal" w:pos="566"/>
              </w:tabs>
            </w:pPr>
            <w:r>
              <w:t>5</w:t>
            </w:r>
          </w:p>
        </w:tc>
        <w:tc>
          <w:tcPr>
            <w:tcW w:w="486" w:type="pct"/>
            <w:tcBorders>
              <w:top w:val="nil"/>
              <w:bottom w:val="nil"/>
            </w:tcBorders>
            <w:vAlign w:val="center"/>
          </w:tcPr>
          <w:p w:rsidR="00000000" w:rsidRDefault="00000000">
            <w:pPr>
              <w:pStyle w:val="a2"/>
              <w:tabs>
                <w:tab w:val="decimal" w:pos="566"/>
              </w:tabs>
            </w:pPr>
            <w:r>
              <w:t>1</w:t>
            </w:r>
          </w:p>
        </w:tc>
        <w:tc>
          <w:tcPr>
            <w:tcW w:w="486" w:type="pct"/>
            <w:tcBorders>
              <w:top w:val="nil"/>
              <w:bottom w:val="nil"/>
            </w:tcBorders>
            <w:vAlign w:val="center"/>
          </w:tcPr>
          <w:p w:rsidR="00000000" w:rsidRDefault="00000000">
            <w:pPr>
              <w:pStyle w:val="a2"/>
              <w:tabs>
                <w:tab w:val="decimal" w:pos="566"/>
              </w:tabs>
            </w:pPr>
            <w:r>
              <w:t>2</w:t>
            </w:r>
          </w:p>
        </w:tc>
      </w:tr>
      <w:tr w:rsidR="00000000">
        <w:tblPrEx>
          <w:tblCellMar>
            <w:top w:w="0" w:type="dxa"/>
            <w:bottom w:w="0" w:type="dxa"/>
          </w:tblCellMar>
        </w:tblPrEx>
        <w:tc>
          <w:tcPr>
            <w:tcW w:w="477" w:type="pct"/>
            <w:tcBorders>
              <w:top w:val="nil"/>
            </w:tcBorders>
          </w:tcPr>
          <w:p w:rsidR="00000000" w:rsidRDefault="00000000">
            <w:pPr>
              <w:pStyle w:val="a2"/>
              <w:jc w:val="center"/>
              <w:rPr>
                <w:rFonts w:hint="eastAsia"/>
              </w:rPr>
            </w:pPr>
            <w:r>
              <w:rPr>
                <w:rFonts w:hint="eastAsia"/>
              </w:rPr>
              <w:t>西部</w:t>
            </w:r>
          </w:p>
        </w:tc>
        <w:tc>
          <w:tcPr>
            <w:tcW w:w="522" w:type="pct"/>
            <w:tcBorders>
              <w:top w:val="nil"/>
            </w:tcBorders>
            <w:vAlign w:val="center"/>
          </w:tcPr>
          <w:p w:rsidR="00000000" w:rsidRDefault="00000000">
            <w:pPr>
              <w:pStyle w:val="a2"/>
              <w:tabs>
                <w:tab w:val="decimal" w:pos="363"/>
              </w:tabs>
              <w:jc w:val="center"/>
            </w:pPr>
            <w:r>
              <w:t>1363</w:t>
            </w:r>
          </w:p>
        </w:tc>
        <w:tc>
          <w:tcPr>
            <w:tcW w:w="528" w:type="pct"/>
            <w:tcBorders>
              <w:top w:val="nil"/>
            </w:tcBorders>
            <w:vAlign w:val="center"/>
          </w:tcPr>
          <w:p w:rsidR="00000000" w:rsidRDefault="00000000">
            <w:pPr>
              <w:pStyle w:val="a2"/>
              <w:tabs>
                <w:tab w:val="decimal" w:pos="363"/>
              </w:tabs>
            </w:pPr>
            <w:r>
              <w:t>2.254</w:t>
            </w:r>
          </w:p>
        </w:tc>
        <w:tc>
          <w:tcPr>
            <w:tcW w:w="516" w:type="pct"/>
            <w:tcBorders>
              <w:top w:val="nil"/>
            </w:tcBorders>
            <w:vAlign w:val="center"/>
          </w:tcPr>
          <w:p w:rsidR="00000000" w:rsidRDefault="00000000">
            <w:pPr>
              <w:pStyle w:val="a2"/>
              <w:tabs>
                <w:tab w:val="decimal" w:pos="363"/>
              </w:tabs>
            </w:pPr>
            <w:r>
              <w:t>0.05</w:t>
            </w:r>
          </w:p>
        </w:tc>
        <w:tc>
          <w:tcPr>
            <w:tcW w:w="498" w:type="pct"/>
            <w:tcBorders>
              <w:top w:val="nil"/>
            </w:tcBorders>
            <w:vAlign w:val="center"/>
          </w:tcPr>
          <w:p w:rsidR="00000000" w:rsidRDefault="00000000">
            <w:pPr>
              <w:pStyle w:val="a2"/>
              <w:tabs>
                <w:tab w:val="decimal" w:pos="566"/>
              </w:tabs>
            </w:pPr>
            <w:r>
              <w:t>25</w:t>
            </w:r>
          </w:p>
        </w:tc>
        <w:tc>
          <w:tcPr>
            <w:tcW w:w="498" w:type="pct"/>
            <w:tcBorders>
              <w:top w:val="nil"/>
            </w:tcBorders>
            <w:vAlign w:val="center"/>
          </w:tcPr>
          <w:p w:rsidR="00000000" w:rsidRDefault="00000000">
            <w:pPr>
              <w:pStyle w:val="a2"/>
              <w:tabs>
                <w:tab w:val="decimal" w:pos="566"/>
              </w:tabs>
            </w:pPr>
            <w:r>
              <w:t>44</w:t>
            </w:r>
          </w:p>
        </w:tc>
        <w:tc>
          <w:tcPr>
            <w:tcW w:w="503" w:type="pct"/>
            <w:tcBorders>
              <w:top w:val="nil"/>
            </w:tcBorders>
            <w:vAlign w:val="center"/>
          </w:tcPr>
          <w:p w:rsidR="00000000" w:rsidRDefault="00000000">
            <w:pPr>
              <w:pStyle w:val="a2"/>
              <w:tabs>
                <w:tab w:val="decimal" w:pos="566"/>
              </w:tabs>
            </w:pPr>
            <w:r>
              <w:t>22</w:t>
            </w:r>
          </w:p>
        </w:tc>
        <w:tc>
          <w:tcPr>
            <w:tcW w:w="486" w:type="pct"/>
            <w:tcBorders>
              <w:top w:val="nil"/>
            </w:tcBorders>
            <w:vAlign w:val="center"/>
          </w:tcPr>
          <w:p w:rsidR="00000000" w:rsidRDefault="00000000">
            <w:pPr>
              <w:pStyle w:val="a2"/>
              <w:tabs>
                <w:tab w:val="decimal" w:pos="566"/>
              </w:tabs>
            </w:pPr>
            <w:r>
              <w:t>5</w:t>
            </w:r>
          </w:p>
        </w:tc>
        <w:tc>
          <w:tcPr>
            <w:tcW w:w="486" w:type="pct"/>
            <w:tcBorders>
              <w:top w:val="nil"/>
            </w:tcBorders>
            <w:vAlign w:val="center"/>
          </w:tcPr>
          <w:p w:rsidR="00000000" w:rsidRDefault="00000000">
            <w:pPr>
              <w:pStyle w:val="a2"/>
              <w:tabs>
                <w:tab w:val="decimal" w:pos="566"/>
              </w:tabs>
            </w:pPr>
            <w:r>
              <w:t>2</w:t>
            </w:r>
          </w:p>
        </w:tc>
        <w:tc>
          <w:tcPr>
            <w:tcW w:w="486" w:type="pct"/>
            <w:tcBorders>
              <w:top w:val="nil"/>
            </w:tcBorders>
            <w:vAlign w:val="center"/>
          </w:tcPr>
          <w:p w:rsidR="00000000" w:rsidRDefault="00000000">
            <w:pPr>
              <w:pStyle w:val="a2"/>
              <w:tabs>
                <w:tab w:val="decimal" w:pos="566"/>
              </w:tabs>
            </w:pPr>
            <w:r>
              <w:t>2</w:t>
            </w:r>
          </w:p>
        </w:tc>
      </w:tr>
    </w:tbl>
    <w:p w:rsidR="00000000" w:rsidRDefault="00000000">
      <w:pPr>
        <w:spacing w:before="180" w:line="288" w:lineRule="auto"/>
        <w:ind w:firstLine="51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：《中国</w:t>
      </w:r>
      <w:r>
        <w:rPr>
          <w:rFonts w:eastAsia="KaiTi_GB2312" w:hint="eastAsia"/>
          <w:snapToGrid/>
          <w:spacing w:val="0"/>
        </w:rPr>
        <w:t>2000</w:t>
      </w:r>
      <w:r>
        <w:rPr>
          <w:rFonts w:eastAsia="KaiTi_GB2312" w:hint="eastAsia"/>
          <w:snapToGrid/>
          <w:spacing w:val="0"/>
        </w:rPr>
        <w:t>年人口普查资料》。</w:t>
      </w:r>
    </w:p>
    <w:p w:rsidR="00000000" w:rsidRDefault="00000000">
      <w:pPr>
        <w:rPr>
          <w:rFonts w:hint="eastAsia"/>
        </w:rPr>
      </w:pPr>
    </w:p>
    <w:p w:rsidR="00000000" w:rsidRDefault="00000000">
      <w:pPr>
        <w:spacing w:after="320"/>
        <w:jc w:val="center"/>
        <w:rPr>
          <w:rFonts w:hint="eastAsia"/>
        </w:rPr>
      </w:pPr>
      <w:r>
        <w:rPr>
          <w:rFonts w:hint="eastAsia"/>
          <w:u w:val="single"/>
        </w:rPr>
        <w:t>表</w:t>
      </w:r>
      <w:r>
        <w:rPr>
          <w:rFonts w:hint="eastAsia"/>
          <w:u w:val="single"/>
        </w:rPr>
        <w:t>5</w:t>
      </w:r>
      <w:r>
        <w:rPr>
          <w:rFonts w:hint="eastAsia"/>
        </w:rPr>
        <w:t xml:space="preserve">.  </w:t>
      </w:r>
      <w:r>
        <w:rPr>
          <w:rFonts w:hint="eastAsia"/>
          <w:u w:val="single"/>
        </w:rPr>
        <w:t>农村居民家庭住房情况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73"/>
        <w:gridCol w:w="1267"/>
        <w:gridCol w:w="1267"/>
        <w:gridCol w:w="1268"/>
        <w:gridCol w:w="1267"/>
        <w:gridCol w:w="1268"/>
      </w:tblGrid>
      <w:tr w:rsidR="00000000">
        <w:tblPrEx>
          <w:tblCellMar>
            <w:top w:w="0" w:type="dxa"/>
            <w:bottom w:w="0" w:type="dxa"/>
          </w:tblCellMar>
        </w:tblPrEx>
        <w:tc>
          <w:tcPr>
            <w:tcW w:w="1633" w:type="pct"/>
            <w:tcBorders>
              <w:bottom w:val="single" w:sz="4" w:space="0" w:color="auto"/>
            </w:tcBorders>
          </w:tcPr>
          <w:p w:rsidR="00000000" w:rsidRDefault="00000000">
            <w:pPr>
              <w:pStyle w:val="a2"/>
              <w:spacing w:before="60" w:after="40"/>
              <w:jc w:val="center"/>
              <w:rPr>
                <w:rFonts w:hint="eastAsia"/>
                <w:snapToGrid/>
              </w:rPr>
            </w:pPr>
            <w:r>
              <w:rPr>
                <w:rFonts w:hint="eastAsia"/>
                <w:snapToGrid/>
              </w:rPr>
              <w:t>项</w:t>
            </w:r>
            <w:r>
              <w:rPr>
                <w:rFonts w:hint="eastAsia"/>
                <w:snapToGrid/>
              </w:rPr>
              <w:t xml:space="preserve">  </w:t>
            </w:r>
            <w:r>
              <w:rPr>
                <w:rFonts w:hint="eastAsia"/>
                <w:snapToGrid/>
              </w:rPr>
              <w:t>目</w:t>
            </w:r>
          </w:p>
        </w:tc>
        <w:tc>
          <w:tcPr>
            <w:tcW w:w="673"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1985</w:t>
            </w:r>
          </w:p>
        </w:tc>
        <w:tc>
          <w:tcPr>
            <w:tcW w:w="673"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1990</w:t>
            </w:r>
          </w:p>
        </w:tc>
        <w:tc>
          <w:tcPr>
            <w:tcW w:w="674"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1995</w:t>
            </w:r>
          </w:p>
        </w:tc>
        <w:tc>
          <w:tcPr>
            <w:tcW w:w="673"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2000</w:t>
            </w:r>
          </w:p>
        </w:tc>
        <w:tc>
          <w:tcPr>
            <w:tcW w:w="674"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2001</w:t>
            </w:r>
          </w:p>
        </w:tc>
      </w:tr>
      <w:tr w:rsidR="00000000">
        <w:tblPrEx>
          <w:tblCellMar>
            <w:top w:w="0" w:type="dxa"/>
            <w:bottom w:w="0" w:type="dxa"/>
          </w:tblCellMar>
        </w:tblPrEx>
        <w:tc>
          <w:tcPr>
            <w:tcW w:w="1633" w:type="pct"/>
            <w:tcBorders>
              <w:top w:val="single" w:sz="4" w:space="0" w:color="auto"/>
              <w:bottom w:val="nil"/>
            </w:tcBorders>
          </w:tcPr>
          <w:p w:rsidR="00000000" w:rsidRDefault="00000000">
            <w:pPr>
              <w:pStyle w:val="a2"/>
              <w:ind w:left="170"/>
              <w:rPr>
                <w:rFonts w:hint="eastAsia"/>
                <w:snapToGrid/>
              </w:rPr>
            </w:pPr>
            <w:r>
              <w:rPr>
                <w:rFonts w:hint="eastAsia"/>
                <w:snapToGrid/>
              </w:rPr>
              <w:t>本年新建房屋</w:t>
            </w:r>
          </w:p>
        </w:tc>
        <w:tc>
          <w:tcPr>
            <w:tcW w:w="673" w:type="pct"/>
            <w:tcBorders>
              <w:top w:val="single" w:sz="4" w:space="0" w:color="auto"/>
              <w:bottom w:val="nil"/>
            </w:tcBorders>
            <w:vAlign w:val="center"/>
          </w:tcPr>
          <w:p w:rsidR="00000000" w:rsidRDefault="00000000">
            <w:pPr>
              <w:pStyle w:val="a2"/>
              <w:tabs>
                <w:tab w:val="decimal" w:pos="620"/>
              </w:tabs>
            </w:pPr>
          </w:p>
        </w:tc>
        <w:tc>
          <w:tcPr>
            <w:tcW w:w="673" w:type="pct"/>
            <w:tcBorders>
              <w:top w:val="single" w:sz="4" w:space="0" w:color="auto"/>
              <w:bottom w:val="nil"/>
            </w:tcBorders>
            <w:vAlign w:val="center"/>
          </w:tcPr>
          <w:p w:rsidR="00000000" w:rsidRDefault="00000000">
            <w:pPr>
              <w:pStyle w:val="a2"/>
              <w:tabs>
                <w:tab w:val="decimal" w:pos="620"/>
              </w:tabs>
            </w:pPr>
          </w:p>
        </w:tc>
        <w:tc>
          <w:tcPr>
            <w:tcW w:w="674" w:type="pct"/>
            <w:tcBorders>
              <w:top w:val="single" w:sz="4" w:space="0" w:color="auto"/>
              <w:bottom w:val="nil"/>
            </w:tcBorders>
            <w:vAlign w:val="center"/>
          </w:tcPr>
          <w:p w:rsidR="00000000" w:rsidRDefault="00000000">
            <w:pPr>
              <w:pStyle w:val="a2"/>
              <w:tabs>
                <w:tab w:val="decimal" w:pos="620"/>
              </w:tabs>
            </w:pPr>
          </w:p>
        </w:tc>
        <w:tc>
          <w:tcPr>
            <w:tcW w:w="673" w:type="pct"/>
            <w:tcBorders>
              <w:top w:val="single" w:sz="4" w:space="0" w:color="auto"/>
              <w:bottom w:val="nil"/>
            </w:tcBorders>
            <w:vAlign w:val="center"/>
          </w:tcPr>
          <w:p w:rsidR="00000000" w:rsidRDefault="00000000">
            <w:pPr>
              <w:pStyle w:val="a2"/>
              <w:tabs>
                <w:tab w:val="decimal" w:pos="620"/>
              </w:tabs>
            </w:pPr>
          </w:p>
        </w:tc>
        <w:tc>
          <w:tcPr>
            <w:tcW w:w="674" w:type="pct"/>
            <w:tcBorders>
              <w:top w:val="single" w:sz="4" w:space="0" w:color="auto"/>
              <w:bottom w:val="nil"/>
            </w:tcBorders>
            <w:vAlign w:val="center"/>
          </w:tcPr>
          <w:p w:rsidR="00000000" w:rsidRDefault="00000000">
            <w:pPr>
              <w:pStyle w:val="a2"/>
              <w:tabs>
                <w:tab w:val="decimal" w:pos="620"/>
              </w:tabs>
            </w:pPr>
          </w:p>
        </w:tc>
      </w:tr>
      <w:tr w:rsidR="00000000">
        <w:tblPrEx>
          <w:tblCellMar>
            <w:top w:w="0" w:type="dxa"/>
            <w:bottom w:w="0" w:type="dxa"/>
          </w:tblCellMar>
        </w:tblPrEx>
        <w:tc>
          <w:tcPr>
            <w:tcW w:w="1633" w:type="pct"/>
            <w:tcBorders>
              <w:top w:val="nil"/>
              <w:bottom w:val="nil"/>
            </w:tcBorders>
          </w:tcPr>
          <w:p w:rsidR="00000000" w:rsidRDefault="00000000">
            <w:pPr>
              <w:pStyle w:val="a2"/>
              <w:ind w:left="630"/>
              <w:rPr>
                <w:rFonts w:hint="eastAsia"/>
                <w:snapToGrid/>
              </w:rPr>
            </w:pPr>
            <w:r>
              <w:rPr>
                <w:rFonts w:hint="eastAsia"/>
                <w:snapToGrid/>
              </w:rPr>
              <w:t>面积</w:t>
            </w:r>
            <w:r>
              <w:rPr>
                <w:rFonts w:hint="eastAsia"/>
                <w:snapToGrid/>
              </w:rPr>
              <w:t>(</w:t>
            </w:r>
            <w:r>
              <w:rPr>
                <w:rFonts w:hint="eastAsia"/>
                <w:snapToGrid/>
              </w:rPr>
              <w:t>平方米</w:t>
            </w:r>
            <w:r>
              <w:rPr>
                <w:rFonts w:hint="eastAsia"/>
                <w:snapToGrid/>
              </w:rPr>
              <w:t>/</w:t>
            </w:r>
            <w:r>
              <w:rPr>
                <w:rFonts w:hint="eastAsia"/>
                <w:snapToGrid/>
              </w:rPr>
              <w:t>人</w:t>
            </w:r>
            <w:r>
              <w:rPr>
                <w:rFonts w:hint="eastAsia"/>
                <w:snapToGrid/>
              </w:rPr>
              <w:t>)</w:t>
            </w:r>
          </w:p>
        </w:tc>
        <w:tc>
          <w:tcPr>
            <w:tcW w:w="673" w:type="pct"/>
            <w:tcBorders>
              <w:top w:val="nil"/>
              <w:bottom w:val="nil"/>
            </w:tcBorders>
            <w:vAlign w:val="center"/>
          </w:tcPr>
          <w:p w:rsidR="00000000" w:rsidRDefault="00000000">
            <w:pPr>
              <w:pStyle w:val="a2"/>
              <w:tabs>
                <w:tab w:val="decimal" w:pos="620"/>
              </w:tabs>
            </w:pPr>
            <w:r>
              <w:t>1.08</w:t>
            </w:r>
          </w:p>
        </w:tc>
        <w:tc>
          <w:tcPr>
            <w:tcW w:w="673" w:type="pct"/>
            <w:tcBorders>
              <w:top w:val="nil"/>
              <w:bottom w:val="nil"/>
            </w:tcBorders>
            <w:vAlign w:val="center"/>
          </w:tcPr>
          <w:p w:rsidR="00000000" w:rsidRDefault="00000000">
            <w:pPr>
              <w:pStyle w:val="a2"/>
              <w:tabs>
                <w:tab w:val="decimal" w:pos="620"/>
              </w:tabs>
            </w:pPr>
            <w:r>
              <w:t>0.82</w:t>
            </w:r>
          </w:p>
        </w:tc>
        <w:tc>
          <w:tcPr>
            <w:tcW w:w="674" w:type="pct"/>
            <w:tcBorders>
              <w:top w:val="nil"/>
              <w:bottom w:val="nil"/>
            </w:tcBorders>
            <w:vAlign w:val="center"/>
          </w:tcPr>
          <w:p w:rsidR="00000000" w:rsidRDefault="00000000">
            <w:pPr>
              <w:pStyle w:val="a2"/>
              <w:tabs>
                <w:tab w:val="decimal" w:pos="620"/>
              </w:tabs>
            </w:pPr>
            <w:r>
              <w:t>0.78</w:t>
            </w:r>
          </w:p>
        </w:tc>
        <w:tc>
          <w:tcPr>
            <w:tcW w:w="673" w:type="pct"/>
            <w:tcBorders>
              <w:top w:val="nil"/>
              <w:bottom w:val="nil"/>
            </w:tcBorders>
            <w:vAlign w:val="center"/>
          </w:tcPr>
          <w:p w:rsidR="00000000" w:rsidRDefault="00000000">
            <w:pPr>
              <w:pStyle w:val="a2"/>
              <w:tabs>
                <w:tab w:val="decimal" w:pos="620"/>
              </w:tabs>
            </w:pPr>
            <w:r>
              <w:t>0.87</w:t>
            </w:r>
          </w:p>
        </w:tc>
        <w:tc>
          <w:tcPr>
            <w:tcW w:w="674" w:type="pct"/>
            <w:tcBorders>
              <w:top w:val="nil"/>
              <w:bottom w:val="nil"/>
            </w:tcBorders>
            <w:vAlign w:val="center"/>
          </w:tcPr>
          <w:p w:rsidR="00000000" w:rsidRDefault="00000000">
            <w:pPr>
              <w:pStyle w:val="a2"/>
              <w:tabs>
                <w:tab w:val="decimal" w:pos="620"/>
              </w:tabs>
            </w:pPr>
            <w:r>
              <w:t>0.84</w:t>
            </w:r>
          </w:p>
        </w:tc>
      </w:tr>
      <w:tr w:rsidR="00000000">
        <w:tblPrEx>
          <w:tblCellMar>
            <w:top w:w="0" w:type="dxa"/>
            <w:bottom w:w="0" w:type="dxa"/>
          </w:tblCellMar>
        </w:tblPrEx>
        <w:tc>
          <w:tcPr>
            <w:tcW w:w="1633" w:type="pct"/>
            <w:tcBorders>
              <w:top w:val="nil"/>
              <w:bottom w:val="nil"/>
            </w:tcBorders>
          </w:tcPr>
          <w:p w:rsidR="00000000" w:rsidRDefault="00000000">
            <w:pPr>
              <w:pStyle w:val="a2"/>
              <w:ind w:left="630"/>
              <w:rPr>
                <w:rFonts w:hint="eastAsia"/>
                <w:snapToGrid/>
              </w:rPr>
            </w:pPr>
            <w:r>
              <w:rPr>
                <w:rFonts w:hint="eastAsia"/>
                <w:snapToGrid/>
              </w:rPr>
              <w:t>价值</w:t>
            </w:r>
            <w:r>
              <w:rPr>
                <w:rFonts w:hint="eastAsia"/>
                <w:snapToGrid/>
              </w:rPr>
              <w:t>(</w:t>
            </w:r>
            <w:r>
              <w:rPr>
                <w:rFonts w:hint="eastAsia"/>
                <w:snapToGrid/>
              </w:rPr>
              <w:t>元</w:t>
            </w:r>
            <w:r>
              <w:rPr>
                <w:rFonts w:hint="eastAsia"/>
                <w:snapToGrid/>
              </w:rPr>
              <w:t>/</w:t>
            </w:r>
            <w:r>
              <w:rPr>
                <w:rFonts w:hint="eastAsia"/>
                <w:snapToGrid/>
              </w:rPr>
              <w:t>平方米</w:t>
            </w:r>
            <w:r>
              <w:rPr>
                <w:rFonts w:hint="eastAsia"/>
                <w:snapToGrid/>
              </w:rPr>
              <w:t>)</w:t>
            </w:r>
          </w:p>
        </w:tc>
        <w:tc>
          <w:tcPr>
            <w:tcW w:w="673" w:type="pct"/>
            <w:tcBorders>
              <w:top w:val="nil"/>
              <w:bottom w:val="nil"/>
            </w:tcBorders>
            <w:vAlign w:val="center"/>
          </w:tcPr>
          <w:p w:rsidR="00000000" w:rsidRDefault="00000000">
            <w:pPr>
              <w:pStyle w:val="a2"/>
              <w:tabs>
                <w:tab w:val="decimal" w:pos="620"/>
              </w:tabs>
            </w:pPr>
            <w:r>
              <w:t>40.17</w:t>
            </w:r>
          </w:p>
        </w:tc>
        <w:tc>
          <w:tcPr>
            <w:tcW w:w="673" w:type="pct"/>
            <w:tcBorders>
              <w:top w:val="nil"/>
              <w:bottom w:val="nil"/>
            </w:tcBorders>
            <w:vAlign w:val="center"/>
          </w:tcPr>
          <w:p w:rsidR="00000000" w:rsidRDefault="00000000">
            <w:pPr>
              <w:pStyle w:val="a2"/>
              <w:tabs>
                <w:tab w:val="decimal" w:pos="620"/>
              </w:tabs>
            </w:pPr>
            <w:r>
              <w:t>92.32</w:t>
            </w:r>
          </w:p>
        </w:tc>
        <w:tc>
          <w:tcPr>
            <w:tcW w:w="674" w:type="pct"/>
            <w:tcBorders>
              <w:top w:val="nil"/>
              <w:bottom w:val="nil"/>
            </w:tcBorders>
            <w:vAlign w:val="center"/>
          </w:tcPr>
          <w:p w:rsidR="00000000" w:rsidRDefault="00000000">
            <w:pPr>
              <w:pStyle w:val="a2"/>
              <w:tabs>
                <w:tab w:val="decimal" w:pos="620"/>
              </w:tabs>
            </w:pPr>
            <w:r>
              <w:t>200.30</w:t>
            </w:r>
          </w:p>
        </w:tc>
        <w:tc>
          <w:tcPr>
            <w:tcW w:w="673" w:type="pct"/>
            <w:tcBorders>
              <w:top w:val="nil"/>
              <w:bottom w:val="nil"/>
            </w:tcBorders>
            <w:vAlign w:val="center"/>
          </w:tcPr>
          <w:p w:rsidR="00000000" w:rsidRDefault="00000000">
            <w:pPr>
              <w:pStyle w:val="a2"/>
              <w:tabs>
                <w:tab w:val="decimal" w:pos="620"/>
              </w:tabs>
            </w:pPr>
            <w:r>
              <w:t>260.23</w:t>
            </w:r>
          </w:p>
        </w:tc>
        <w:tc>
          <w:tcPr>
            <w:tcW w:w="674" w:type="pct"/>
            <w:tcBorders>
              <w:top w:val="nil"/>
              <w:bottom w:val="nil"/>
            </w:tcBorders>
            <w:vAlign w:val="center"/>
          </w:tcPr>
          <w:p w:rsidR="00000000" w:rsidRDefault="00000000">
            <w:pPr>
              <w:pStyle w:val="a2"/>
              <w:tabs>
                <w:tab w:val="decimal" w:pos="620"/>
              </w:tabs>
            </w:pPr>
            <w:r>
              <w:t>263.45</w:t>
            </w:r>
          </w:p>
        </w:tc>
      </w:tr>
      <w:tr w:rsidR="00000000">
        <w:tblPrEx>
          <w:tblCellMar>
            <w:top w:w="0" w:type="dxa"/>
            <w:bottom w:w="0" w:type="dxa"/>
          </w:tblCellMar>
        </w:tblPrEx>
        <w:tc>
          <w:tcPr>
            <w:tcW w:w="1633" w:type="pct"/>
            <w:tcBorders>
              <w:top w:val="nil"/>
              <w:bottom w:val="nil"/>
            </w:tcBorders>
          </w:tcPr>
          <w:p w:rsidR="00000000" w:rsidRDefault="00000000">
            <w:pPr>
              <w:pStyle w:val="a2"/>
              <w:ind w:left="170"/>
              <w:rPr>
                <w:rFonts w:hint="eastAsia"/>
                <w:snapToGrid/>
              </w:rPr>
            </w:pPr>
            <w:r>
              <w:rPr>
                <w:rFonts w:hint="eastAsia"/>
                <w:snapToGrid/>
              </w:rPr>
              <w:t>住房结构</w:t>
            </w:r>
          </w:p>
        </w:tc>
        <w:tc>
          <w:tcPr>
            <w:tcW w:w="673" w:type="pct"/>
            <w:tcBorders>
              <w:top w:val="nil"/>
              <w:bottom w:val="nil"/>
            </w:tcBorders>
            <w:vAlign w:val="center"/>
          </w:tcPr>
          <w:p w:rsidR="00000000" w:rsidRDefault="00000000">
            <w:pPr>
              <w:pStyle w:val="a2"/>
              <w:tabs>
                <w:tab w:val="decimal" w:pos="620"/>
              </w:tabs>
            </w:pPr>
          </w:p>
        </w:tc>
        <w:tc>
          <w:tcPr>
            <w:tcW w:w="673" w:type="pct"/>
            <w:tcBorders>
              <w:top w:val="nil"/>
              <w:bottom w:val="nil"/>
            </w:tcBorders>
            <w:vAlign w:val="center"/>
          </w:tcPr>
          <w:p w:rsidR="00000000" w:rsidRDefault="00000000">
            <w:pPr>
              <w:pStyle w:val="a2"/>
              <w:tabs>
                <w:tab w:val="decimal" w:pos="620"/>
              </w:tabs>
            </w:pPr>
          </w:p>
        </w:tc>
        <w:tc>
          <w:tcPr>
            <w:tcW w:w="674" w:type="pct"/>
            <w:tcBorders>
              <w:top w:val="nil"/>
              <w:bottom w:val="nil"/>
            </w:tcBorders>
            <w:vAlign w:val="center"/>
          </w:tcPr>
          <w:p w:rsidR="00000000" w:rsidRDefault="00000000">
            <w:pPr>
              <w:pStyle w:val="a2"/>
              <w:tabs>
                <w:tab w:val="decimal" w:pos="620"/>
              </w:tabs>
            </w:pPr>
          </w:p>
        </w:tc>
        <w:tc>
          <w:tcPr>
            <w:tcW w:w="673" w:type="pct"/>
            <w:tcBorders>
              <w:top w:val="nil"/>
              <w:bottom w:val="nil"/>
            </w:tcBorders>
            <w:vAlign w:val="center"/>
          </w:tcPr>
          <w:p w:rsidR="00000000" w:rsidRDefault="00000000">
            <w:pPr>
              <w:pStyle w:val="a2"/>
              <w:tabs>
                <w:tab w:val="decimal" w:pos="620"/>
              </w:tabs>
            </w:pPr>
          </w:p>
        </w:tc>
        <w:tc>
          <w:tcPr>
            <w:tcW w:w="674" w:type="pct"/>
            <w:tcBorders>
              <w:top w:val="nil"/>
              <w:bottom w:val="nil"/>
            </w:tcBorders>
            <w:vAlign w:val="center"/>
          </w:tcPr>
          <w:p w:rsidR="00000000" w:rsidRDefault="00000000">
            <w:pPr>
              <w:pStyle w:val="a2"/>
              <w:tabs>
                <w:tab w:val="decimal" w:pos="620"/>
              </w:tabs>
            </w:pPr>
          </w:p>
        </w:tc>
      </w:tr>
      <w:tr w:rsidR="00000000">
        <w:tblPrEx>
          <w:tblCellMar>
            <w:top w:w="0" w:type="dxa"/>
            <w:bottom w:w="0" w:type="dxa"/>
          </w:tblCellMar>
        </w:tblPrEx>
        <w:tc>
          <w:tcPr>
            <w:tcW w:w="1633" w:type="pct"/>
            <w:tcBorders>
              <w:top w:val="nil"/>
              <w:bottom w:val="nil"/>
            </w:tcBorders>
          </w:tcPr>
          <w:p w:rsidR="00000000" w:rsidRDefault="00000000">
            <w:pPr>
              <w:pStyle w:val="a2"/>
              <w:ind w:left="630"/>
              <w:rPr>
                <w:rFonts w:hint="eastAsia"/>
                <w:snapToGrid/>
              </w:rPr>
            </w:pPr>
            <w:r>
              <w:rPr>
                <w:rFonts w:hint="eastAsia"/>
                <w:snapToGrid/>
              </w:rPr>
              <w:t>钢筋混凝土结构</w:t>
            </w:r>
          </w:p>
        </w:tc>
        <w:tc>
          <w:tcPr>
            <w:tcW w:w="673" w:type="pct"/>
            <w:tcBorders>
              <w:top w:val="nil"/>
              <w:bottom w:val="nil"/>
            </w:tcBorders>
            <w:vAlign w:val="center"/>
          </w:tcPr>
          <w:p w:rsidR="00000000" w:rsidRDefault="00000000">
            <w:pPr>
              <w:pStyle w:val="a2"/>
              <w:tabs>
                <w:tab w:val="decimal" w:pos="620"/>
              </w:tabs>
            </w:pPr>
            <w:r>
              <w:t>0.09</w:t>
            </w:r>
          </w:p>
        </w:tc>
        <w:tc>
          <w:tcPr>
            <w:tcW w:w="673" w:type="pct"/>
            <w:tcBorders>
              <w:top w:val="nil"/>
              <w:bottom w:val="nil"/>
            </w:tcBorders>
            <w:vAlign w:val="center"/>
          </w:tcPr>
          <w:p w:rsidR="00000000" w:rsidRDefault="00000000">
            <w:pPr>
              <w:pStyle w:val="a2"/>
              <w:tabs>
                <w:tab w:val="decimal" w:pos="620"/>
              </w:tabs>
            </w:pPr>
            <w:r>
              <w:t>0.23</w:t>
            </w:r>
          </w:p>
        </w:tc>
        <w:tc>
          <w:tcPr>
            <w:tcW w:w="674" w:type="pct"/>
            <w:tcBorders>
              <w:top w:val="nil"/>
              <w:bottom w:val="nil"/>
            </w:tcBorders>
            <w:vAlign w:val="center"/>
          </w:tcPr>
          <w:p w:rsidR="00000000" w:rsidRDefault="00000000">
            <w:pPr>
              <w:pStyle w:val="a2"/>
              <w:tabs>
                <w:tab w:val="decimal" w:pos="620"/>
              </w:tabs>
            </w:pPr>
            <w:r>
              <w:t>0.33</w:t>
            </w:r>
          </w:p>
        </w:tc>
        <w:tc>
          <w:tcPr>
            <w:tcW w:w="673" w:type="pct"/>
            <w:tcBorders>
              <w:top w:val="nil"/>
              <w:bottom w:val="nil"/>
            </w:tcBorders>
            <w:vAlign w:val="center"/>
          </w:tcPr>
          <w:p w:rsidR="00000000" w:rsidRDefault="00000000">
            <w:pPr>
              <w:pStyle w:val="a2"/>
              <w:tabs>
                <w:tab w:val="decimal" w:pos="620"/>
              </w:tabs>
            </w:pPr>
            <w:r>
              <w:t>0.47</w:t>
            </w:r>
          </w:p>
        </w:tc>
        <w:tc>
          <w:tcPr>
            <w:tcW w:w="674" w:type="pct"/>
            <w:tcBorders>
              <w:top w:val="nil"/>
              <w:bottom w:val="nil"/>
            </w:tcBorders>
            <w:vAlign w:val="center"/>
          </w:tcPr>
          <w:p w:rsidR="00000000" w:rsidRDefault="00000000">
            <w:pPr>
              <w:pStyle w:val="a2"/>
              <w:tabs>
                <w:tab w:val="decimal" w:pos="620"/>
              </w:tabs>
            </w:pPr>
            <w:r>
              <w:t>0.45</w:t>
            </w:r>
          </w:p>
        </w:tc>
      </w:tr>
      <w:tr w:rsidR="00000000">
        <w:tblPrEx>
          <w:tblCellMar>
            <w:top w:w="0" w:type="dxa"/>
            <w:bottom w:w="0" w:type="dxa"/>
          </w:tblCellMar>
        </w:tblPrEx>
        <w:tc>
          <w:tcPr>
            <w:tcW w:w="1633" w:type="pct"/>
            <w:tcBorders>
              <w:top w:val="nil"/>
              <w:bottom w:val="nil"/>
            </w:tcBorders>
          </w:tcPr>
          <w:p w:rsidR="00000000" w:rsidRDefault="00000000">
            <w:pPr>
              <w:pStyle w:val="a2"/>
              <w:ind w:left="630"/>
              <w:rPr>
                <w:rFonts w:hint="eastAsia"/>
                <w:snapToGrid/>
              </w:rPr>
            </w:pPr>
            <w:r>
              <w:rPr>
                <w:rFonts w:hint="eastAsia"/>
                <w:snapToGrid/>
              </w:rPr>
              <w:t>砖木结构</w:t>
            </w:r>
          </w:p>
        </w:tc>
        <w:tc>
          <w:tcPr>
            <w:tcW w:w="673" w:type="pct"/>
            <w:tcBorders>
              <w:top w:val="nil"/>
              <w:bottom w:val="nil"/>
            </w:tcBorders>
            <w:vAlign w:val="center"/>
          </w:tcPr>
          <w:p w:rsidR="00000000" w:rsidRDefault="00000000">
            <w:pPr>
              <w:pStyle w:val="a2"/>
              <w:tabs>
                <w:tab w:val="decimal" w:pos="620"/>
              </w:tabs>
            </w:pPr>
            <w:r>
              <w:t>0.70</w:t>
            </w:r>
          </w:p>
        </w:tc>
        <w:tc>
          <w:tcPr>
            <w:tcW w:w="673" w:type="pct"/>
            <w:tcBorders>
              <w:top w:val="nil"/>
              <w:bottom w:val="nil"/>
            </w:tcBorders>
            <w:vAlign w:val="center"/>
          </w:tcPr>
          <w:p w:rsidR="00000000" w:rsidRDefault="00000000">
            <w:pPr>
              <w:pStyle w:val="a2"/>
              <w:tabs>
                <w:tab w:val="decimal" w:pos="620"/>
              </w:tabs>
            </w:pPr>
            <w:r>
              <w:t>0.47</w:t>
            </w:r>
          </w:p>
        </w:tc>
        <w:tc>
          <w:tcPr>
            <w:tcW w:w="674" w:type="pct"/>
            <w:tcBorders>
              <w:top w:val="nil"/>
              <w:bottom w:val="nil"/>
            </w:tcBorders>
            <w:vAlign w:val="center"/>
          </w:tcPr>
          <w:p w:rsidR="00000000" w:rsidRDefault="00000000">
            <w:pPr>
              <w:pStyle w:val="a2"/>
              <w:tabs>
                <w:tab w:val="decimal" w:pos="620"/>
              </w:tabs>
            </w:pPr>
            <w:r>
              <w:t>0.37</w:t>
            </w:r>
          </w:p>
        </w:tc>
        <w:tc>
          <w:tcPr>
            <w:tcW w:w="673" w:type="pct"/>
            <w:tcBorders>
              <w:top w:val="nil"/>
              <w:bottom w:val="nil"/>
            </w:tcBorders>
            <w:vAlign w:val="center"/>
          </w:tcPr>
          <w:p w:rsidR="00000000" w:rsidRDefault="00000000">
            <w:pPr>
              <w:pStyle w:val="a2"/>
              <w:tabs>
                <w:tab w:val="decimal" w:pos="620"/>
              </w:tabs>
            </w:pPr>
            <w:r>
              <w:t>0.36</w:t>
            </w:r>
          </w:p>
        </w:tc>
        <w:tc>
          <w:tcPr>
            <w:tcW w:w="674" w:type="pct"/>
            <w:tcBorders>
              <w:top w:val="nil"/>
              <w:bottom w:val="nil"/>
            </w:tcBorders>
            <w:vAlign w:val="center"/>
          </w:tcPr>
          <w:p w:rsidR="00000000" w:rsidRDefault="00000000">
            <w:pPr>
              <w:pStyle w:val="a2"/>
              <w:tabs>
                <w:tab w:val="decimal" w:pos="620"/>
              </w:tabs>
            </w:pPr>
            <w:r>
              <w:t>0.34</w:t>
            </w:r>
          </w:p>
        </w:tc>
      </w:tr>
      <w:tr w:rsidR="00000000">
        <w:tblPrEx>
          <w:tblCellMar>
            <w:top w:w="0" w:type="dxa"/>
            <w:bottom w:w="0" w:type="dxa"/>
          </w:tblCellMar>
        </w:tblPrEx>
        <w:tc>
          <w:tcPr>
            <w:tcW w:w="1633" w:type="pct"/>
            <w:tcBorders>
              <w:top w:val="nil"/>
              <w:bottom w:val="nil"/>
            </w:tcBorders>
          </w:tcPr>
          <w:p w:rsidR="00000000" w:rsidRDefault="00000000">
            <w:pPr>
              <w:pStyle w:val="a2"/>
              <w:ind w:left="170"/>
              <w:rPr>
                <w:rFonts w:hint="eastAsia"/>
                <w:snapToGrid/>
              </w:rPr>
            </w:pPr>
            <w:r>
              <w:rPr>
                <w:rFonts w:hint="eastAsia"/>
                <w:snapToGrid/>
              </w:rPr>
              <w:t>年末住房情况</w:t>
            </w:r>
          </w:p>
        </w:tc>
        <w:tc>
          <w:tcPr>
            <w:tcW w:w="673" w:type="pct"/>
            <w:tcBorders>
              <w:top w:val="nil"/>
              <w:bottom w:val="nil"/>
            </w:tcBorders>
            <w:vAlign w:val="center"/>
          </w:tcPr>
          <w:p w:rsidR="00000000" w:rsidRDefault="00000000">
            <w:pPr>
              <w:pStyle w:val="a2"/>
              <w:tabs>
                <w:tab w:val="decimal" w:pos="620"/>
              </w:tabs>
            </w:pPr>
          </w:p>
        </w:tc>
        <w:tc>
          <w:tcPr>
            <w:tcW w:w="673" w:type="pct"/>
            <w:tcBorders>
              <w:top w:val="nil"/>
              <w:bottom w:val="nil"/>
            </w:tcBorders>
            <w:vAlign w:val="center"/>
          </w:tcPr>
          <w:p w:rsidR="00000000" w:rsidRDefault="00000000">
            <w:pPr>
              <w:pStyle w:val="a2"/>
              <w:tabs>
                <w:tab w:val="decimal" w:pos="620"/>
              </w:tabs>
            </w:pPr>
          </w:p>
        </w:tc>
        <w:tc>
          <w:tcPr>
            <w:tcW w:w="674" w:type="pct"/>
            <w:tcBorders>
              <w:top w:val="nil"/>
              <w:bottom w:val="nil"/>
            </w:tcBorders>
            <w:vAlign w:val="center"/>
          </w:tcPr>
          <w:p w:rsidR="00000000" w:rsidRDefault="00000000">
            <w:pPr>
              <w:pStyle w:val="a2"/>
              <w:tabs>
                <w:tab w:val="decimal" w:pos="620"/>
              </w:tabs>
            </w:pPr>
          </w:p>
        </w:tc>
        <w:tc>
          <w:tcPr>
            <w:tcW w:w="673" w:type="pct"/>
            <w:tcBorders>
              <w:top w:val="nil"/>
              <w:bottom w:val="nil"/>
            </w:tcBorders>
            <w:vAlign w:val="center"/>
          </w:tcPr>
          <w:p w:rsidR="00000000" w:rsidRDefault="00000000">
            <w:pPr>
              <w:pStyle w:val="a2"/>
              <w:tabs>
                <w:tab w:val="decimal" w:pos="620"/>
              </w:tabs>
            </w:pPr>
          </w:p>
        </w:tc>
        <w:tc>
          <w:tcPr>
            <w:tcW w:w="674" w:type="pct"/>
            <w:tcBorders>
              <w:top w:val="nil"/>
              <w:bottom w:val="nil"/>
            </w:tcBorders>
            <w:vAlign w:val="center"/>
          </w:tcPr>
          <w:p w:rsidR="00000000" w:rsidRDefault="00000000">
            <w:pPr>
              <w:pStyle w:val="a2"/>
              <w:tabs>
                <w:tab w:val="decimal" w:pos="620"/>
              </w:tabs>
            </w:pPr>
          </w:p>
        </w:tc>
      </w:tr>
      <w:tr w:rsidR="00000000">
        <w:tblPrEx>
          <w:tblCellMar>
            <w:top w:w="0" w:type="dxa"/>
            <w:bottom w:w="0" w:type="dxa"/>
          </w:tblCellMar>
        </w:tblPrEx>
        <w:tc>
          <w:tcPr>
            <w:tcW w:w="1633" w:type="pct"/>
            <w:tcBorders>
              <w:top w:val="nil"/>
              <w:bottom w:val="nil"/>
            </w:tcBorders>
          </w:tcPr>
          <w:p w:rsidR="00000000" w:rsidRDefault="00000000">
            <w:pPr>
              <w:pStyle w:val="a2"/>
              <w:ind w:left="630"/>
              <w:rPr>
                <w:rFonts w:hint="eastAsia"/>
                <w:snapToGrid/>
              </w:rPr>
            </w:pPr>
            <w:r>
              <w:rPr>
                <w:rFonts w:hint="eastAsia"/>
                <w:snapToGrid/>
              </w:rPr>
              <w:t>住房面积</w:t>
            </w:r>
            <w:r>
              <w:rPr>
                <w:rFonts w:hint="eastAsia"/>
                <w:snapToGrid/>
              </w:rPr>
              <w:t>(</w:t>
            </w:r>
            <w:r>
              <w:rPr>
                <w:rFonts w:hint="eastAsia"/>
                <w:snapToGrid/>
              </w:rPr>
              <w:t>平方米</w:t>
            </w:r>
            <w:r>
              <w:rPr>
                <w:rFonts w:hint="eastAsia"/>
                <w:snapToGrid/>
              </w:rPr>
              <w:t>/</w:t>
            </w:r>
            <w:r>
              <w:rPr>
                <w:rFonts w:hint="eastAsia"/>
                <w:snapToGrid/>
              </w:rPr>
              <w:t>人</w:t>
            </w:r>
            <w:r>
              <w:rPr>
                <w:rFonts w:hint="eastAsia"/>
                <w:snapToGrid/>
              </w:rPr>
              <w:t>)</w:t>
            </w:r>
          </w:p>
        </w:tc>
        <w:tc>
          <w:tcPr>
            <w:tcW w:w="673" w:type="pct"/>
            <w:tcBorders>
              <w:top w:val="nil"/>
              <w:bottom w:val="nil"/>
            </w:tcBorders>
            <w:vAlign w:val="center"/>
          </w:tcPr>
          <w:p w:rsidR="00000000" w:rsidRDefault="00000000">
            <w:pPr>
              <w:pStyle w:val="a2"/>
              <w:tabs>
                <w:tab w:val="decimal" w:pos="620"/>
              </w:tabs>
            </w:pPr>
            <w:r>
              <w:t>14.70</w:t>
            </w:r>
          </w:p>
        </w:tc>
        <w:tc>
          <w:tcPr>
            <w:tcW w:w="673" w:type="pct"/>
            <w:tcBorders>
              <w:top w:val="nil"/>
              <w:bottom w:val="nil"/>
            </w:tcBorders>
            <w:vAlign w:val="center"/>
          </w:tcPr>
          <w:p w:rsidR="00000000" w:rsidRDefault="00000000">
            <w:pPr>
              <w:pStyle w:val="a2"/>
              <w:tabs>
                <w:tab w:val="decimal" w:pos="620"/>
              </w:tabs>
            </w:pPr>
            <w:r>
              <w:t>17.83</w:t>
            </w:r>
          </w:p>
        </w:tc>
        <w:tc>
          <w:tcPr>
            <w:tcW w:w="674" w:type="pct"/>
            <w:tcBorders>
              <w:top w:val="nil"/>
              <w:bottom w:val="nil"/>
            </w:tcBorders>
            <w:vAlign w:val="center"/>
          </w:tcPr>
          <w:p w:rsidR="00000000" w:rsidRDefault="00000000">
            <w:pPr>
              <w:pStyle w:val="a2"/>
              <w:tabs>
                <w:tab w:val="decimal" w:pos="620"/>
              </w:tabs>
            </w:pPr>
            <w:r>
              <w:t>21.01</w:t>
            </w:r>
          </w:p>
        </w:tc>
        <w:tc>
          <w:tcPr>
            <w:tcW w:w="673" w:type="pct"/>
            <w:tcBorders>
              <w:top w:val="nil"/>
              <w:bottom w:val="nil"/>
            </w:tcBorders>
            <w:vAlign w:val="center"/>
          </w:tcPr>
          <w:p w:rsidR="00000000" w:rsidRDefault="00000000">
            <w:pPr>
              <w:pStyle w:val="a2"/>
              <w:tabs>
                <w:tab w:val="decimal" w:pos="620"/>
              </w:tabs>
            </w:pPr>
            <w:r>
              <w:t>24.82</w:t>
            </w:r>
          </w:p>
        </w:tc>
        <w:tc>
          <w:tcPr>
            <w:tcW w:w="674" w:type="pct"/>
            <w:tcBorders>
              <w:top w:val="nil"/>
              <w:bottom w:val="nil"/>
            </w:tcBorders>
            <w:vAlign w:val="center"/>
          </w:tcPr>
          <w:p w:rsidR="00000000" w:rsidRDefault="00000000">
            <w:pPr>
              <w:pStyle w:val="a2"/>
              <w:tabs>
                <w:tab w:val="decimal" w:pos="620"/>
              </w:tabs>
            </w:pPr>
            <w:r>
              <w:t>25.37</w:t>
            </w:r>
          </w:p>
        </w:tc>
      </w:tr>
      <w:tr w:rsidR="00000000">
        <w:tblPrEx>
          <w:tblCellMar>
            <w:top w:w="0" w:type="dxa"/>
            <w:bottom w:w="0" w:type="dxa"/>
          </w:tblCellMar>
        </w:tblPrEx>
        <w:tc>
          <w:tcPr>
            <w:tcW w:w="1633" w:type="pct"/>
            <w:tcBorders>
              <w:top w:val="nil"/>
              <w:bottom w:val="nil"/>
            </w:tcBorders>
          </w:tcPr>
          <w:p w:rsidR="00000000" w:rsidRDefault="00000000">
            <w:pPr>
              <w:pStyle w:val="a2"/>
              <w:ind w:left="630"/>
              <w:rPr>
                <w:rFonts w:hint="eastAsia"/>
                <w:snapToGrid/>
              </w:rPr>
            </w:pPr>
            <w:r>
              <w:rPr>
                <w:rFonts w:hint="eastAsia"/>
                <w:snapToGrid/>
              </w:rPr>
              <w:t>住房价值</w:t>
            </w:r>
            <w:r>
              <w:rPr>
                <w:rFonts w:hint="eastAsia"/>
                <w:snapToGrid/>
              </w:rPr>
              <w:t>(</w:t>
            </w:r>
            <w:r>
              <w:rPr>
                <w:rFonts w:hint="eastAsia"/>
                <w:snapToGrid/>
              </w:rPr>
              <w:t>元</w:t>
            </w:r>
            <w:r>
              <w:rPr>
                <w:rFonts w:hint="eastAsia"/>
                <w:snapToGrid/>
              </w:rPr>
              <w:t>/</w:t>
            </w:r>
            <w:r>
              <w:rPr>
                <w:rFonts w:hint="eastAsia"/>
                <w:snapToGrid/>
              </w:rPr>
              <w:t>平方米</w:t>
            </w:r>
            <w:r>
              <w:rPr>
                <w:rFonts w:hint="eastAsia"/>
                <w:snapToGrid/>
              </w:rPr>
              <w:t>)</w:t>
            </w:r>
          </w:p>
        </w:tc>
        <w:tc>
          <w:tcPr>
            <w:tcW w:w="673" w:type="pct"/>
            <w:tcBorders>
              <w:top w:val="nil"/>
              <w:bottom w:val="nil"/>
            </w:tcBorders>
            <w:vAlign w:val="center"/>
          </w:tcPr>
          <w:p w:rsidR="00000000" w:rsidRDefault="00000000">
            <w:pPr>
              <w:pStyle w:val="a2"/>
              <w:tabs>
                <w:tab w:val="decimal" w:pos="620"/>
              </w:tabs>
            </w:pPr>
            <w:r>
              <w:t>26.27</w:t>
            </w:r>
          </w:p>
        </w:tc>
        <w:tc>
          <w:tcPr>
            <w:tcW w:w="673" w:type="pct"/>
            <w:tcBorders>
              <w:top w:val="nil"/>
              <w:bottom w:val="nil"/>
            </w:tcBorders>
            <w:vAlign w:val="center"/>
          </w:tcPr>
          <w:p w:rsidR="00000000" w:rsidRDefault="00000000">
            <w:pPr>
              <w:pStyle w:val="a2"/>
              <w:tabs>
                <w:tab w:val="decimal" w:pos="620"/>
              </w:tabs>
            </w:pPr>
            <w:r>
              <w:t>44.60</w:t>
            </w:r>
          </w:p>
        </w:tc>
        <w:tc>
          <w:tcPr>
            <w:tcW w:w="674" w:type="pct"/>
            <w:tcBorders>
              <w:top w:val="nil"/>
              <w:bottom w:val="nil"/>
            </w:tcBorders>
            <w:vAlign w:val="center"/>
          </w:tcPr>
          <w:p w:rsidR="00000000" w:rsidRDefault="00000000">
            <w:pPr>
              <w:pStyle w:val="a2"/>
              <w:tabs>
                <w:tab w:val="decimal" w:pos="620"/>
              </w:tabs>
            </w:pPr>
            <w:r>
              <w:t>101.64</w:t>
            </w:r>
          </w:p>
        </w:tc>
        <w:tc>
          <w:tcPr>
            <w:tcW w:w="673" w:type="pct"/>
            <w:tcBorders>
              <w:top w:val="nil"/>
              <w:bottom w:val="nil"/>
            </w:tcBorders>
            <w:vAlign w:val="center"/>
          </w:tcPr>
          <w:p w:rsidR="00000000" w:rsidRDefault="00000000">
            <w:pPr>
              <w:pStyle w:val="a2"/>
              <w:tabs>
                <w:tab w:val="decimal" w:pos="620"/>
              </w:tabs>
            </w:pPr>
            <w:r>
              <w:t>187.41</w:t>
            </w:r>
          </w:p>
        </w:tc>
        <w:tc>
          <w:tcPr>
            <w:tcW w:w="674" w:type="pct"/>
            <w:tcBorders>
              <w:top w:val="nil"/>
              <w:bottom w:val="nil"/>
            </w:tcBorders>
            <w:vAlign w:val="center"/>
          </w:tcPr>
          <w:p w:rsidR="00000000" w:rsidRDefault="00000000">
            <w:pPr>
              <w:pStyle w:val="a2"/>
              <w:tabs>
                <w:tab w:val="decimal" w:pos="620"/>
              </w:tabs>
            </w:pPr>
            <w:r>
              <w:t>196.12</w:t>
            </w:r>
          </w:p>
        </w:tc>
      </w:tr>
      <w:tr w:rsidR="00000000">
        <w:tblPrEx>
          <w:tblCellMar>
            <w:top w:w="0" w:type="dxa"/>
            <w:bottom w:w="0" w:type="dxa"/>
          </w:tblCellMar>
        </w:tblPrEx>
        <w:tc>
          <w:tcPr>
            <w:tcW w:w="1633" w:type="pct"/>
            <w:tcBorders>
              <w:top w:val="nil"/>
              <w:bottom w:val="nil"/>
            </w:tcBorders>
          </w:tcPr>
          <w:p w:rsidR="00000000" w:rsidRDefault="00000000">
            <w:pPr>
              <w:pStyle w:val="a2"/>
              <w:ind w:left="170"/>
              <w:rPr>
                <w:rFonts w:hint="eastAsia"/>
                <w:snapToGrid/>
              </w:rPr>
            </w:pPr>
            <w:r>
              <w:rPr>
                <w:rFonts w:hint="eastAsia"/>
                <w:snapToGrid/>
              </w:rPr>
              <w:t>住房结构</w:t>
            </w:r>
          </w:p>
        </w:tc>
        <w:tc>
          <w:tcPr>
            <w:tcW w:w="673" w:type="pct"/>
            <w:tcBorders>
              <w:top w:val="nil"/>
              <w:bottom w:val="nil"/>
            </w:tcBorders>
            <w:vAlign w:val="center"/>
          </w:tcPr>
          <w:p w:rsidR="00000000" w:rsidRDefault="00000000">
            <w:pPr>
              <w:pStyle w:val="a2"/>
              <w:tabs>
                <w:tab w:val="decimal" w:pos="620"/>
              </w:tabs>
            </w:pPr>
          </w:p>
        </w:tc>
        <w:tc>
          <w:tcPr>
            <w:tcW w:w="673" w:type="pct"/>
            <w:tcBorders>
              <w:top w:val="nil"/>
              <w:bottom w:val="nil"/>
            </w:tcBorders>
            <w:vAlign w:val="center"/>
          </w:tcPr>
          <w:p w:rsidR="00000000" w:rsidRDefault="00000000">
            <w:pPr>
              <w:pStyle w:val="a2"/>
              <w:tabs>
                <w:tab w:val="decimal" w:pos="620"/>
              </w:tabs>
            </w:pPr>
          </w:p>
        </w:tc>
        <w:tc>
          <w:tcPr>
            <w:tcW w:w="674" w:type="pct"/>
            <w:tcBorders>
              <w:top w:val="nil"/>
              <w:bottom w:val="nil"/>
            </w:tcBorders>
            <w:vAlign w:val="center"/>
          </w:tcPr>
          <w:p w:rsidR="00000000" w:rsidRDefault="00000000">
            <w:pPr>
              <w:pStyle w:val="a2"/>
              <w:tabs>
                <w:tab w:val="decimal" w:pos="620"/>
              </w:tabs>
            </w:pPr>
          </w:p>
        </w:tc>
        <w:tc>
          <w:tcPr>
            <w:tcW w:w="673" w:type="pct"/>
            <w:tcBorders>
              <w:top w:val="nil"/>
              <w:bottom w:val="nil"/>
            </w:tcBorders>
            <w:vAlign w:val="center"/>
          </w:tcPr>
          <w:p w:rsidR="00000000" w:rsidRDefault="00000000">
            <w:pPr>
              <w:pStyle w:val="a2"/>
              <w:tabs>
                <w:tab w:val="decimal" w:pos="620"/>
              </w:tabs>
            </w:pPr>
          </w:p>
        </w:tc>
        <w:tc>
          <w:tcPr>
            <w:tcW w:w="674" w:type="pct"/>
            <w:tcBorders>
              <w:top w:val="nil"/>
              <w:bottom w:val="nil"/>
            </w:tcBorders>
            <w:vAlign w:val="center"/>
          </w:tcPr>
          <w:p w:rsidR="00000000" w:rsidRDefault="00000000">
            <w:pPr>
              <w:pStyle w:val="a2"/>
              <w:tabs>
                <w:tab w:val="decimal" w:pos="620"/>
              </w:tabs>
            </w:pPr>
          </w:p>
        </w:tc>
      </w:tr>
      <w:tr w:rsidR="00000000">
        <w:tblPrEx>
          <w:tblCellMar>
            <w:top w:w="0" w:type="dxa"/>
            <w:bottom w:w="0" w:type="dxa"/>
          </w:tblCellMar>
        </w:tblPrEx>
        <w:tc>
          <w:tcPr>
            <w:tcW w:w="1633" w:type="pct"/>
            <w:tcBorders>
              <w:top w:val="nil"/>
              <w:bottom w:val="nil"/>
            </w:tcBorders>
          </w:tcPr>
          <w:p w:rsidR="00000000" w:rsidRDefault="00000000">
            <w:pPr>
              <w:pStyle w:val="a2"/>
              <w:ind w:left="630"/>
              <w:rPr>
                <w:rFonts w:hint="eastAsia"/>
                <w:snapToGrid/>
              </w:rPr>
            </w:pPr>
            <w:r>
              <w:rPr>
                <w:rFonts w:hint="eastAsia"/>
                <w:snapToGrid/>
              </w:rPr>
              <w:t>钢筋混凝土结构</w:t>
            </w:r>
          </w:p>
        </w:tc>
        <w:tc>
          <w:tcPr>
            <w:tcW w:w="673" w:type="pct"/>
            <w:tcBorders>
              <w:top w:val="nil"/>
              <w:bottom w:val="nil"/>
            </w:tcBorders>
            <w:vAlign w:val="center"/>
          </w:tcPr>
          <w:p w:rsidR="00000000" w:rsidRDefault="00000000">
            <w:pPr>
              <w:pStyle w:val="a2"/>
              <w:tabs>
                <w:tab w:val="decimal" w:pos="620"/>
              </w:tabs>
            </w:pPr>
            <w:r>
              <w:t>0.31</w:t>
            </w:r>
          </w:p>
        </w:tc>
        <w:tc>
          <w:tcPr>
            <w:tcW w:w="673" w:type="pct"/>
            <w:tcBorders>
              <w:top w:val="nil"/>
              <w:bottom w:val="nil"/>
            </w:tcBorders>
            <w:vAlign w:val="center"/>
          </w:tcPr>
          <w:p w:rsidR="00000000" w:rsidRDefault="00000000">
            <w:pPr>
              <w:pStyle w:val="a2"/>
              <w:tabs>
                <w:tab w:val="decimal" w:pos="620"/>
              </w:tabs>
            </w:pPr>
            <w:r>
              <w:t>1.22</w:t>
            </w:r>
          </w:p>
        </w:tc>
        <w:tc>
          <w:tcPr>
            <w:tcW w:w="674" w:type="pct"/>
            <w:tcBorders>
              <w:top w:val="nil"/>
              <w:bottom w:val="nil"/>
            </w:tcBorders>
            <w:vAlign w:val="center"/>
          </w:tcPr>
          <w:p w:rsidR="00000000" w:rsidRDefault="00000000">
            <w:pPr>
              <w:pStyle w:val="a2"/>
              <w:tabs>
                <w:tab w:val="decimal" w:pos="620"/>
              </w:tabs>
            </w:pPr>
            <w:r>
              <w:t>3.10</w:t>
            </w:r>
          </w:p>
        </w:tc>
        <w:tc>
          <w:tcPr>
            <w:tcW w:w="673" w:type="pct"/>
            <w:tcBorders>
              <w:top w:val="nil"/>
              <w:bottom w:val="nil"/>
            </w:tcBorders>
            <w:vAlign w:val="center"/>
          </w:tcPr>
          <w:p w:rsidR="00000000" w:rsidRDefault="00000000">
            <w:pPr>
              <w:pStyle w:val="a2"/>
              <w:tabs>
                <w:tab w:val="decimal" w:pos="620"/>
              </w:tabs>
            </w:pPr>
            <w:r>
              <w:t>6.15</w:t>
            </w:r>
          </w:p>
        </w:tc>
        <w:tc>
          <w:tcPr>
            <w:tcW w:w="674" w:type="pct"/>
            <w:tcBorders>
              <w:top w:val="nil"/>
              <w:bottom w:val="nil"/>
            </w:tcBorders>
            <w:vAlign w:val="center"/>
          </w:tcPr>
          <w:p w:rsidR="00000000" w:rsidRDefault="00000000">
            <w:pPr>
              <w:pStyle w:val="a2"/>
              <w:tabs>
                <w:tab w:val="decimal" w:pos="620"/>
              </w:tabs>
            </w:pPr>
            <w:r>
              <w:t>6.94</w:t>
            </w:r>
          </w:p>
        </w:tc>
      </w:tr>
      <w:tr w:rsidR="00000000">
        <w:tblPrEx>
          <w:tblCellMar>
            <w:top w:w="0" w:type="dxa"/>
            <w:bottom w:w="0" w:type="dxa"/>
          </w:tblCellMar>
        </w:tblPrEx>
        <w:tc>
          <w:tcPr>
            <w:tcW w:w="1633" w:type="pct"/>
            <w:tcBorders>
              <w:top w:val="nil"/>
            </w:tcBorders>
          </w:tcPr>
          <w:p w:rsidR="00000000" w:rsidRDefault="00000000">
            <w:pPr>
              <w:pStyle w:val="a2"/>
              <w:ind w:left="630"/>
              <w:rPr>
                <w:rFonts w:hint="eastAsia"/>
                <w:snapToGrid/>
              </w:rPr>
            </w:pPr>
            <w:r>
              <w:rPr>
                <w:rFonts w:hint="eastAsia"/>
                <w:snapToGrid/>
              </w:rPr>
              <w:t>砖木结构</w:t>
            </w:r>
          </w:p>
        </w:tc>
        <w:tc>
          <w:tcPr>
            <w:tcW w:w="673" w:type="pct"/>
            <w:tcBorders>
              <w:top w:val="nil"/>
            </w:tcBorders>
            <w:vAlign w:val="center"/>
          </w:tcPr>
          <w:p w:rsidR="00000000" w:rsidRDefault="00000000">
            <w:pPr>
              <w:pStyle w:val="a2"/>
              <w:tabs>
                <w:tab w:val="decimal" w:pos="620"/>
              </w:tabs>
            </w:pPr>
            <w:r>
              <w:t>7.47</w:t>
            </w:r>
          </w:p>
        </w:tc>
        <w:tc>
          <w:tcPr>
            <w:tcW w:w="673" w:type="pct"/>
            <w:tcBorders>
              <w:top w:val="nil"/>
            </w:tcBorders>
            <w:vAlign w:val="center"/>
          </w:tcPr>
          <w:p w:rsidR="00000000" w:rsidRDefault="00000000">
            <w:pPr>
              <w:pStyle w:val="a2"/>
              <w:tabs>
                <w:tab w:val="decimal" w:pos="620"/>
              </w:tabs>
            </w:pPr>
            <w:r>
              <w:t>9.84</w:t>
            </w:r>
          </w:p>
        </w:tc>
        <w:tc>
          <w:tcPr>
            <w:tcW w:w="674" w:type="pct"/>
            <w:tcBorders>
              <w:top w:val="nil"/>
            </w:tcBorders>
            <w:vAlign w:val="center"/>
          </w:tcPr>
          <w:p w:rsidR="00000000" w:rsidRDefault="00000000">
            <w:pPr>
              <w:pStyle w:val="a2"/>
              <w:tabs>
                <w:tab w:val="decimal" w:pos="620"/>
              </w:tabs>
            </w:pPr>
            <w:r>
              <w:t>11.91</w:t>
            </w:r>
          </w:p>
        </w:tc>
        <w:tc>
          <w:tcPr>
            <w:tcW w:w="673" w:type="pct"/>
            <w:tcBorders>
              <w:top w:val="nil"/>
            </w:tcBorders>
            <w:vAlign w:val="center"/>
          </w:tcPr>
          <w:p w:rsidR="00000000" w:rsidRDefault="00000000">
            <w:pPr>
              <w:pStyle w:val="a2"/>
              <w:tabs>
                <w:tab w:val="decimal" w:pos="620"/>
              </w:tabs>
            </w:pPr>
            <w:r>
              <w:t>13.61</w:t>
            </w:r>
          </w:p>
        </w:tc>
        <w:tc>
          <w:tcPr>
            <w:tcW w:w="674" w:type="pct"/>
            <w:tcBorders>
              <w:top w:val="nil"/>
            </w:tcBorders>
            <w:vAlign w:val="center"/>
          </w:tcPr>
          <w:p w:rsidR="00000000" w:rsidRDefault="00000000">
            <w:pPr>
              <w:pStyle w:val="a2"/>
              <w:tabs>
                <w:tab w:val="decimal" w:pos="620"/>
              </w:tabs>
            </w:pPr>
            <w:r>
              <w:t>13.82</w:t>
            </w:r>
          </w:p>
        </w:tc>
      </w:tr>
    </w:tbl>
    <w:p w:rsidR="00000000" w:rsidRDefault="00000000">
      <w:pPr>
        <w:spacing w:before="180" w:line="288" w:lineRule="auto"/>
        <w:ind w:firstLine="510"/>
        <w:rPr>
          <w:rFonts w:eastAsia="KaiTi_GB2312" w:hint="eastAsia"/>
          <w:snapToGrid/>
          <w:spacing w:val="0"/>
        </w:rPr>
      </w:pPr>
      <w:r>
        <w:rPr>
          <w:rFonts w:eastAsia="KaiTi_GB2312"/>
          <w:snapToGrid/>
          <w:spacing w:val="0"/>
        </w:rPr>
        <w:tab/>
        <w:t xml:space="preserve">  </w:t>
      </w:r>
      <w:r>
        <w:rPr>
          <w:rFonts w:eastAsia="KaiTi_GB2312" w:hint="eastAsia"/>
          <w:snapToGrid/>
          <w:spacing w:val="0"/>
          <w:u w:val="single"/>
        </w:rPr>
        <w:t>注</w:t>
      </w:r>
      <w:r>
        <w:rPr>
          <w:rFonts w:eastAsia="KaiTi_GB2312" w:hint="eastAsia"/>
          <w:snapToGrid/>
          <w:spacing w:val="0"/>
        </w:rPr>
        <w:t>：本表为农村住户抽样调查资料。</w:t>
      </w:r>
    </w:p>
    <w:p w:rsidR="00000000" w:rsidRDefault="00000000">
      <w:pPr>
        <w:spacing w:line="288" w:lineRule="auto"/>
        <w:ind w:firstLine="51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：《中国统计年鉴－</w:t>
      </w:r>
      <w:r>
        <w:rPr>
          <w:rFonts w:eastAsia="KaiTi_GB2312" w:hint="eastAsia"/>
          <w:snapToGrid/>
          <w:spacing w:val="0"/>
        </w:rPr>
        <w:t>2002</w:t>
      </w:r>
      <w:r>
        <w:rPr>
          <w:rFonts w:eastAsia="KaiTi_GB2312" w:hint="eastAsia"/>
          <w:snapToGrid/>
          <w:spacing w:val="0"/>
        </w:rPr>
        <w:t>》。</w:t>
      </w:r>
    </w:p>
    <w:p w:rsidR="00000000" w:rsidRDefault="00000000">
      <w:pPr>
        <w:rPr>
          <w:rFonts w:hint="eastAsia"/>
        </w:rPr>
      </w:pPr>
    </w:p>
    <w:p w:rsidR="00000000" w:rsidRDefault="00000000">
      <w:pPr>
        <w:spacing w:after="320"/>
        <w:jc w:val="center"/>
        <w:rPr>
          <w:rFonts w:ascii="Time New Roman" w:eastAsia="SimHei" w:hAnsi="Time New Roman" w:hint="eastAsia"/>
        </w:rPr>
      </w:pPr>
      <w:r>
        <w:rPr>
          <w:rFonts w:ascii="Time New Roman" w:eastAsia="SimHei" w:hAnsi="Time New Roman" w:hint="eastAsia"/>
        </w:rPr>
        <w:br w:type="page"/>
      </w:r>
      <w:r>
        <w:rPr>
          <w:rFonts w:hint="eastAsia"/>
          <w:u w:val="single"/>
        </w:rPr>
        <w:t>表</w:t>
      </w:r>
      <w:r>
        <w:rPr>
          <w:rFonts w:hint="eastAsia"/>
          <w:u w:val="single"/>
        </w:rPr>
        <w:t>6</w:t>
      </w:r>
      <w:r>
        <w:rPr>
          <w:rFonts w:hint="eastAsia"/>
        </w:rPr>
        <w:t xml:space="preserve">.  </w:t>
      </w:r>
      <w:r>
        <w:rPr>
          <w:rFonts w:hint="eastAsia"/>
          <w:u w:val="single"/>
        </w:rPr>
        <w:t>中国城镇居民生活水平变动情况</w:t>
      </w:r>
      <w:r>
        <w:rPr>
          <w:rFonts w:ascii="Time New Roman" w:eastAsia="SimHei" w:hAnsi="Time New Roman"/>
        </w:rPr>
        <w:br/>
      </w:r>
      <w:r>
        <w:rPr>
          <w:rFonts w:ascii="Time New Roman" w:eastAsia="SimHei" w:hAnsi="Time New Roman" w:hint="eastAsia"/>
        </w:rPr>
        <w:t xml:space="preserve">  (</w:t>
      </w:r>
      <w:r>
        <w:rPr>
          <w:rFonts w:hint="eastAsia"/>
        </w:rPr>
        <w:t>单位：元、</w:t>
      </w:r>
      <w:r>
        <w:rPr>
          <w:rFonts w:hint="eastAsia"/>
        </w:rPr>
        <w:t>%</w:t>
      </w:r>
      <w:r>
        <w:rPr>
          <w:rFonts w:hint="eastAsia"/>
        </w:rPr>
        <w:t>、公斤</w:t>
      </w:r>
      <w:r>
        <w:rPr>
          <w:rFonts w:hint="eastAsia"/>
        </w:rPr>
        <w:t>/</w:t>
      </w:r>
      <w:r>
        <w:rPr>
          <w:rFonts w:hint="eastAsia"/>
        </w:rPr>
        <w:t>人</w:t>
      </w:r>
      <w:r>
        <w:rPr>
          <w:rFonts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6"/>
        <w:gridCol w:w="2004"/>
        <w:gridCol w:w="2004"/>
        <w:gridCol w:w="2004"/>
        <w:gridCol w:w="2002"/>
      </w:tblGrid>
      <w:tr w:rsidR="00000000">
        <w:tblPrEx>
          <w:tblCellMar>
            <w:top w:w="0" w:type="dxa"/>
            <w:bottom w:w="0" w:type="dxa"/>
          </w:tblCellMar>
        </w:tblPrEx>
        <w:tc>
          <w:tcPr>
            <w:tcW w:w="741"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065"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可支配收入</w:t>
            </w:r>
          </w:p>
        </w:tc>
        <w:tc>
          <w:tcPr>
            <w:tcW w:w="1065"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恩格尔系数</w:t>
            </w:r>
          </w:p>
        </w:tc>
        <w:tc>
          <w:tcPr>
            <w:tcW w:w="1065"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口粮消费量</w:t>
            </w:r>
          </w:p>
        </w:tc>
        <w:tc>
          <w:tcPr>
            <w:tcW w:w="1065"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动物性食物消费量</w:t>
            </w:r>
          </w:p>
        </w:tc>
      </w:tr>
      <w:tr w:rsidR="00000000">
        <w:tblPrEx>
          <w:tblCellMar>
            <w:top w:w="0" w:type="dxa"/>
            <w:bottom w:w="0" w:type="dxa"/>
          </w:tblCellMar>
        </w:tblPrEx>
        <w:tc>
          <w:tcPr>
            <w:tcW w:w="741" w:type="pct"/>
            <w:tcBorders>
              <w:bottom w:val="nil"/>
            </w:tcBorders>
          </w:tcPr>
          <w:p w:rsidR="00000000" w:rsidRDefault="00000000">
            <w:pPr>
              <w:pStyle w:val="a2"/>
              <w:jc w:val="center"/>
            </w:pPr>
            <w:r>
              <w:t>1996</w:t>
            </w:r>
          </w:p>
        </w:tc>
        <w:tc>
          <w:tcPr>
            <w:tcW w:w="1065" w:type="pct"/>
            <w:tcBorders>
              <w:bottom w:val="nil"/>
            </w:tcBorders>
            <w:vAlign w:val="center"/>
          </w:tcPr>
          <w:p w:rsidR="00000000" w:rsidRDefault="00000000">
            <w:pPr>
              <w:pStyle w:val="a2"/>
              <w:tabs>
                <w:tab w:val="decimal" w:pos="1124"/>
              </w:tabs>
            </w:pPr>
            <w:r>
              <w:t>4,839</w:t>
            </w:r>
          </w:p>
        </w:tc>
        <w:tc>
          <w:tcPr>
            <w:tcW w:w="1065" w:type="pct"/>
            <w:tcBorders>
              <w:bottom w:val="nil"/>
            </w:tcBorders>
            <w:vAlign w:val="center"/>
          </w:tcPr>
          <w:p w:rsidR="00000000" w:rsidRDefault="00000000">
            <w:pPr>
              <w:pStyle w:val="a2"/>
              <w:tabs>
                <w:tab w:val="decimal" w:pos="1124"/>
              </w:tabs>
            </w:pPr>
            <w:r>
              <w:t>48.6</w:t>
            </w:r>
          </w:p>
        </w:tc>
        <w:tc>
          <w:tcPr>
            <w:tcW w:w="1065" w:type="pct"/>
            <w:tcBorders>
              <w:bottom w:val="nil"/>
            </w:tcBorders>
            <w:vAlign w:val="center"/>
          </w:tcPr>
          <w:p w:rsidR="00000000" w:rsidRDefault="00000000">
            <w:pPr>
              <w:pStyle w:val="a2"/>
              <w:tabs>
                <w:tab w:val="decimal" w:pos="1124"/>
              </w:tabs>
            </w:pPr>
            <w:r>
              <w:t>125</w:t>
            </w:r>
          </w:p>
        </w:tc>
        <w:tc>
          <w:tcPr>
            <w:tcW w:w="1065" w:type="pct"/>
            <w:tcBorders>
              <w:bottom w:val="nil"/>
            </w:tcBorders>
            <w:vAlign w:val="center"/>
          </w:tcPr>
          <w:p w:rsidR="00000000" w:rsidRDefault="00000000">
            <w:pPr>
              <w:pStyle w:val="a2"/>
              <w:tabs>
                <w:tab w:val="decimal" w:pos="1124"/>
              </w:tabs>
            </w:pPr>
            <w:r>
              <w:t>43.2</w:t>
            </w:r>
          </w:p>
        </w:tc>
      </w:tr>
      <w:tr w:rsidR="00000000">
        <w:tblPrEx>
          <w:tblCellMar>
            <w:top w:w="0" w:type="dxa"/>
            <w:bottom w:w="0" w:type="dxa"/>
          </w:tblCellMar>
        </w:tblPrEx>
        <w:tc>
          <w:tcPr>
            <w:tcW w:w="741" w:type="pct"/>
            <w:tcBorders>
              <w:top w:val="nil"/>
              <w:bottom w:val="nil"/>
            </w:tcBorders>
          </w:tcPr>
          <w:p w:rsidR="00000000" w:rsidRDefault="00000000">
            <w:pPr>
              <w:pStyle w:val="a2"/>
              <w:jc w:val="center"/>
            </w:pPr>
            <w:r>
              <w:t>1997</w:t>
            </w:r>
          </w:p>
        </w:tc>
        <w:tc>
          <w:tcPr>
            <w:tcW w:w="1065" w:type="pct"/>
            <w:tcBorders>
              <w:top w:val="nil"/>
              <w:bottom w:val="nil"/>
            </w:tcBorders>
            <w:vAlign w:val="center"/>
          </w:tcPr>
          <w:p w:rsidR="00000000" w:rsidRDefault="00000000">
            <w:pPr>
              <w:pStyle w:val="a2"/>
              <w:tabs>
                <w:tab w:val="decimal" w:pos="1124"/>
              </w:tabs>
            </w:pPr>
            <w:r>
              <w:t>5,160</w:t>
            </w:r>
          </w:p>
        </w:tc>
        <w:tc>
          <w:tcPr>
            <w:tcW w:w="1065" w:type="pct"/>
            <w:tcBorders>
              <w:top w:val="nil"/>
              <w:bottom w:val="nil"/>
            </w:tcBorders>
            <w:vAlign w:val="center"/>
          </w:tcPr>
          <w:p w:rsidR="00000000" w:rsidRDefault="00000000">
            <w:pPr>
              <w:pStyle w:val="a2"/>
              <w:tabs>
                <w:tab w:val="decimal" w:pos="1124"/>
              </w:tabs>
            </w:pPr>
            <w:r>
              <w:t>46.4</w:t>
            </w:r>
          </w:p>
        </w:tc>
        <w:tc>
          <w:tcPr>
            <w:tcW w:w="1065" w:type="pct"/>
            <w:tcBorders>
              <w:top w:val="nil"/>
              <w:bottom w:val="nil"/>
            </w:tcBorders>
            <w:vAlign w:val="center"/>
          </w:tcPr>
          <w:p w:rsidR="00000000" w:rsidRDefault="00000000">
            <w:pPr>
              <w:pStyle w:val="a2"/>
              <w:tabs>
                <w:tab w:val="decimal" w:pos="1124"/>
              </w:tabs>
            </w:pPr>
            <w:r>
              <w:t>117</w:t>
            </w:r>
          </w:p>
        </w:tc>
        <w:tc>
          <w:tcPr>
            <w:tcW w:w="1065" w:type="pct"/>
            <w:tcBorders>
              <w:top w:val="nil"/>
              <w:bottom w:val="nil"/>
            </w:tcBorders>
            <w:vAlign w:val="center"/>
          </w:tcPr>
          <w:p w:rsidR="00000000" w:rsidRDefault="00000000">
            <w:pPr>
              <w:pStyle w:val="a2"/>
              <w:tabs>
                <w:tab w:val="decimal" w:pos="1124"/>
              </w:tabs>
            </w:pPr>
            <w:r>
              <w:t>44.4</w:t>
            </w:r>
          </w:p>
        </w:tc>
      </w:tr>
      <w:tr w:rsidR="00000000">
        <w:tblPrEx>
          <w:tblCellMar>
            <w:top w:w="0" w:type="dxa"/>
            <w:bottom w:w="0" w:type="dxa"/>
          </w:tblCellMar>
        </w:tblPrEx>
        <w:tc>
          <w:tcPr>
            <w:tcW w:w="741" w:type="pct"/>
            <w:tcBorders>
              <w:top w:val="nil"/>
              <w:bottom w:val="nil"/>
            </w:tcBorders>
          </w:tcPr>
          <w:p w:rsidR="00000000" w:rsidRDefault="00000000">
            <w:pPr>
              <w:pStyle w:val="a2"/>
              <w:jc w:val="center"/>
            </w:pPr>
            <w:r>
              <w:t>1998</w:t>
            </w:r>
          </w:p>
        </w:tc>
        <w:tc>
          <w:tcPr>
            <w:tcW w:w="1065" w:type="pct"/>
            <w:tcBorders>
              <w:top w:val="nil"/>
              <w:bottom w:val="nil"/>
            </w:tcBorders>
            <w:vAlign w:val="center"/>
          </w:tcPr>
          <w:p w:rsidR="00000000" w:rsidRDefault="00000000">
            <w:pPr>
              <w:pStyle w:val="a2"/>
              <w:tabs>
                <w:tab w:val="decimal" w:pos="1124"/>
              </w:tabs>
            </w:pPr>
            <w:r>
              <w:t>5,425</w:t>
            </w:r>
          </w:p>
        </w:tc>
        <w:tc>
          <w:tcPr>
            <w:tcW w:w="1065" w:type="pct"/>
            <w:tcBorders>
              <w:top w:val="nil"/>
              <w:bottom w:val="nil"/>
            </w:tcBorders>
            <w:vAlign w:val="center"/>
          </w:tcPr>
          <w:p w:rsidR="00000000" w:rsidRDefault="00000000">
            <w:pPr>
              <w:pStyle w:val="a2"/>
              <w:tabs>
                <w:tab w:val="decimal" w:pos="1124"/>
              </w:tabs>
            </w:pPr>
            <w:r>
              <w:t>44.5</w:t>
            </w:r>
          </w:p>
        </w:tc>
        <w:tc>
          <w:tcPr>
            <w:tcW w:w="1065" w:type="pct"/>
            <w:tcBorders>
              <w:top w:val="nil"/>
              <w:bottom w:val="nil"/>
            </w:tcBorders>
            <w:vAlign w:val="center"/>
          </w:tcPr>
          <w:p w:rsidR="00000000" w:rsidRDefault="00000000">
            <w:pPr>
              <w:pStyle w:val="a2"/>
              <w:tabs>
                <w:tab w:val="decimal" w:pos="1124"/>
              </w:tabs>
            </w:pPr>
            <w:r>
              <w:t>114</w:t>
            </w:r>
          </w:p>
        </w:tc>
        <w:tc>
          <w:tcPr>
            <w:tcW w:w="1065" w:type="pct"/>
            <w:tcBorders>
              <w:top w:val="nil"/>
              <w:bottom w:val="nil"/>
            </w:tcBorders>
            <w:vAlign w:val="center"/>
          </w:tcPr>
          <w:p w:rsidR="00000000" w:rsidRDefault="00000000">
            <w:pPr>
              <w:pStyle w:val="a2"/>
              <w:tabs>
                <w:tab w:val="decimal" w:pos="1124"/>
              </w:tabs>
            </w:pPr>
            <w:r>
              <w:t>44.5</w:t>
            </w:r>
          </w:p>
        </w:tc>
      </w:tr>
      <w:tr w:rsidR="00000000">
        <w:tblPrEx>
          <w:tblCellMar>
            <w:top w:w="0" w:type="dxa"/>
            <w:bottom w:w="0" w:type="dxa"/>
          </w:tblCellMar>
        </w:tblPrEx>
        <w:tc>
          <w:tcPr>
            <w:tcW w:w="741" w:type="pct"/>
            <w:tcBorders>
              <w:top w:val="nil"/>
              <w:bottom w:val="nil"/>
            </w:tcBorders>
          </w:tcPr>
          <w:p w:rsidR="00000000" w:rsidRDefault="00000000">
            <w:pPr>
              <w:pStyle w:val="a2"/>
              <w:jc w:val="center"/>
            </w:pPr>
            <w:r>
              <w:t>1999</w:t>
            </w:r>
          </w:p>
        </w:tc>
        <w:tc>
          <w:tcPr>
            <w:tcW w:w="1065" w:type="pct"/>
            <w:tcBorders>
              <w:top w:val="nil"/>
              <w:bottom w:val="nil"/>
            </w:tcBorders>
            <w:vAlign w:val="center"/>
          </w:tcPr>
          <w:p w:rsidR="00000000" w:rsidRDefault="00000000">
            <w:pPr>
              <w:pStyle w:val="a2"/>
              <w:tabs>
                <w:tab w:val="decimal" w:pos="1124"/>
              </w:tabs>
            </w:pPr>
            <w:r>
              <w:t>5,854</w:t>
            </w:r>
          </w:p>
        </w:tc>
        <w:tc>
          <w:tcPr>
            <w:tcW w:w="1065" w:type="pct"/>
            <w:tcBorders>
              <w:top w:val="nil"/>
              <w:bottom w:val="nil"/>
            </w:tcBorders>
            <w:vAlign w:val="center"/>
          </w:tcPr>
          <w:p w:rsidR="00000000" w:rsidRDefault="00000000">
            <w:pPr>
              <w:pStyle w:val="a2"/>
              <w:tabs>
                <w:tab w:val="decimal" w:pos="1124"/>
              </w:tabs>
            </w:pPr>
            <w:r>
              <w:t>41.9</w:t>
            </w:r>
          </w:p>
        </w:tc>
        <w:tc>
          <w:tcPr>
            <w:tcW w:w="1065" w:type="pct"/>
            <w:tcBorders>
              <w:top w:val="nil"/>
              <w:bottom w:val="nil"/>
            </w:tcBorders>
            <w:vAlign w:val="center"/>
          </w:tcPr>
          <w:p w:rsidR="00000000" w:rsidRDefault="00000000">
            <w:pPr>
              <w:pStyle w:val="a2"/>
              <w:tabs>
                <w:tab w:val="decimal" w:pos="1124"/>
              </w:tabs>
              <w:rPr>
                <w:lang w:val="en-GB"/>
              </w:rPr>
            </w:pPr>
            <w:r>
              <w:rPr>
                <w:lang w:val="en-GB"/>
              </w:rPr>
              <w:t>112</w:t>
            </w:r>
          </w:p>
        </w:tc>
        <w:tc>
          <w:tcPr>
            <w:tcW w:w="1065" w:type="pct"/>
            <w:tcBorders>
              <w:top w:val="nil"/>
              <w:bottom w:val="nil"/>
            </w:tcBorders>
            <w:vAlign w:val="center"/>
          </w:tcPr>
          <w:p w:rsidR="00000000" w:rsidRDefault="00000000">
            <w:pPr>
              <w:pStyle w:val="a2"/>
              <w:tabs>
                <w:tab w:val="decimal" w:pos="1124"/>
              </w:tabs>
            </w:pPr>
            <w:r>
              <w:t>46.8</w:t>
            </w:r>
          </w:p>
        </w:tc>
      </w:tr>
      <w:tr w:rsidR="00000000">
        <w:tblPrEx>
          <w:tblCellMar>
            <w:top w:w="0" w:type="dxa"/>
            <w:bottom w:w="0" w:type="dxa"/>
          </w:tblCellMar>
        </w:tblPrEx>
        <w:tc>
          <w:tcPr>
            <w:tcW w:w="741" w:type="pct"/>
            <w:tcBorders>
              <w:top w:val="nil"/>
            </w:tcBorders>
          </w:tcPr>
          <w:p w:rsidR="00000000" w:rsidRDefault="00000000">
            <w:pPr>
              <w:pStyle w:val="a2"/>
              <w:jc w:val="center"/>
            </w:pPr>
            <w:r>
              <w:t>2000</w:t>
            </w:r>
          </w:p>
        </w:tc>
        <w:tc>
          <w:tcPr>
            <w:tcW w:w="1065" w:type="pct"/>
            <w:tcBorders>
              <w:top w:val="nil"/>
            </w:tcBorders>
            <w:vAlign w:val="center"/>
          </w:tcPr>
          <w:p w:rsidR="00000000" w:rsidRDefault="00000000">
            <w:pPr>
              <w:pStyle w:val="a2"/>
              <w:tabs>
                <w:tab w:val="decimal" w:pos="1124"/>
              </w:tabs>
            </w:pPr>
            <w:r>
              <w:t>6,280</w:t>
            </w:r>
          </w:p>
        </w:tc>
        <w:tc>
          <w:tcPr>
            <w:tcW w:w="1065" w:type="pct"/>
            <w:tcBorders>
              <w:top w:val="nil"/>
            </w:tcBorders>
            <w:vAlign w:val="center"/>
          </w:tcPr>
          <w:p w:rsidR="00000000" w:rsidRDefault="00000000">
            <w:pPr>
              <w:pStyle w:val="a2"/>
              <w:tabs>
                <w:tab w:val="decimal" w:pos="1124"/>
              </w:tabs>
            </w:pPr>
            <w:r>
              <w:t>39.2</w:t>
            </w:r>
          </w:p>
        </w:tc>
        <w:tc>
          <w:tcPr>
            <w:tcW w:w="1065" w:type="pct"/>
            <w:tcBorders>
              <w:top w:val="nil"/>
            </w:tcBorders>
            <w:vAlign w:val="center"/>
          </w:tcPr>
          <w:p w:rsidR="00000000" w:rsidRDefault="00000000">
            <w:pPr>
              <w:pStyle w:val="a2"/>
              <w:tabs>
                <w:tab w:val="decimal" w:pos="1124"/>
              </w:tabs>
            </w:pPr>
            <w:r>
              <w:t>108</w:t>
            </w:r>
          </w:p>
        </w:tc>
        <w:tc>
          <w:tcPr>
            <w:tcW w:w="1065" w:type="pct"/>
            <w:tcBorders>
              <w:top w:val="nil"/>
            </w:tcBorders>
            <w:vAlign w:val="center"/>
          </w:tcPr>
          <w:p w:rsidR="00000000" w:rsidRDefault="00000000">
            <w:pPr>
              <w:pStyle w:val="a2"/>
              <w:tabs>
                <w:tab w:val="decimal" w:pos="1124"/>
              </w:tabs>
            </w:pPr>
            <w:r>
              <w:t>46.6</w:t>
            </w:r>
          </w:p>
        </w:tc>
      </w:tr>
    </w:tbl>
    <w:p w:rsidR="00000000" w:rsidRDefault="00000000">
      <w:pPr>
        <w:pStyle w:val="a2"/>
        <w:spacing w:before="180"/>
        <w:rPr>
          <w:rFonts w:eastAsia="KaiTi_GB2312" w:hint="eastAsia"/>
          <w:snapToGrid/>
          <w:sz w:val="22"/>
        </w:rPr>
      </w:pPr>
      <w:r>
        <w:rPr>
          <w:rFonts w:hint="eastAsia"/>
        </w:rPr>
        <w:tab/>
      </w:r>
      <w:r>
        <w:rPr>
          <w:rFonts w:eastAsia="KaiTi_GB2312" w:hint="eastAsia"/>
          <w:snapToGrid/>
          <w:sz w:val="22"/>
          <w:u w:val="single"/>
        </w:rPr>
        <w:t>资料来源</w:t>
      </w:r>
      <w:r>
        <w:rPr>
          <w:rFonts w:eastAsia="KaiTi_GB2312" w:hint="eastAsia"/>
          <w:snapToGrid/>
          <w:sz w:val="22"/>
        </w:rPr>
        <w:t>：《中国统计年鉴》</w:t>
      </w:r>
      <w:r>
        <w:rPr>
          <w:rFonts w:eastAsia="KaiTi_GB2312" w:hint="eastAsia"/>
          <w:snapToGrid/>
          <w:sz w:val="22"/>
        </w:rPr>
        <w:t>1996-2001</w:t>
      </w:r>
      <w:r>
        <w:rPr>
          <w:rFonts w:eastAsia="KaiTi_GB2312" w:hint="eastAsia"/>
          <w:snapToGrid/>
          <w:sz w:val="22"/>
        </w:rPr>
        <w:t>年。</w:t>
      </w:r>
    </w:p>
    <w:p w:rsidR="00000000" w:rsidRDefault="00000000">
      <w:pPr>
        <w:pStyle w:val="a2"/>
        <w:spacing w:after="240" w:line="320" w:lineRule="auto"/>
        <w:rPr>
          <w:rFonts w:hint="eastAsia"/>
        </w:rPr>
      </w:pPr>
    </w:p>
    <w:p w:rsidR="00000000" w:rsidRDefault="00000000">
      <w:pPr>
        <w:spacing w:after="320"/>
        <w:jc w:val="center"/>
        <w:rPr>
          <w:rFonts w:hint="eastAsia"/>
        </w:rPr>
      </w:pPr>
      <w:r>
        <w:rPr>
          <w:rFonts w:hint="eastAsia"/>
          <w:u w:val="single"/>
        </w:rPr>
        <w:t>表</w:t>
      </w:r>
      <w:r>
        <w:rPr>
          <w:rFonts w:hint="eastAsia"/>
          <w:u w:val="single"/>
        </w:rPr>
        <w:t>7</w:t>
      </w:r>
      <w:r>
        <w:rPr>
          <w:rFonts w:hint="eastAsia"/>
        </w:rPr>
        <w:t>.  1995</w:t>
      </w:r>
      <w:r>
        <w:rPr>
          <w:rFonts w:hint="eastAsia"/>
          <w:u w:val="single"/>
        </w:rPr>
        <w:t>-2000</w:t>
      </w:r>
      <w:r>
        <w:rPr>
          <w:rFonts w:hint="eastAsia"/>
          <w:u w:val="single"/>
        </w:rPr>
        <w:t>年农村居民收入水平及主要食物消费量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24"/>
        <w:gridCol w:w="1562"/>
        <w:gridCol w:w="1344"/>
        <w:gridCol w:w="1344"/>
        <w:gridCol w:w="1344"/>
        <w:gridCol w:w="1344"/>
        <w:gridCol w:w="1348"/>
      </w:tblGrid>
      <w:tr w:rsidR="00000000">
        <w:tblPrEx>
          <w:tblCellMar>
            <w:top w:w="0" w:type="dxa"/>
            <w:bottom w:w="0" w:type="dxa"/>
          </w:tblCellMar>
        </w:tblPrEx>
        <w:trPr>
          <w:cantSplit/>
        </w:trPr>
        <w:tc>
          <w:tcPr>
            <w:tcW w:w="598" w:type="pct"/>
            <w:vMerge w:val="restart"/>
          </w:tcPr>
          <w:p w:rsidR="00000000" w:rsidRDefault="00000000">
            <w:pPr>
              <w:pStyle w:val="a2"/>
              <w:spacing w:before="120"/>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830" w:type="pct"/>
            <w:vMerge w:val="restart"/>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人均纯收入</w:t>
            </w:r>
            <w:r>
              <w:rPr>
                <w:rFonts w:ascii="Time New Roman" w:eastAsia="SimHei" w:hAnsi="Time New Roman"/>
              </w:rPr>
              <w:br/>
            </w:r>
            <w:r>
              <w:rPr>
                <w:rFonts w:ascii="Time New Roman" w:eastAsia="SimHei" w:hAnsi="Time New Roman" w:hint="eastAsia"/>
              </w:rPr>
              <w:t>(</w:t>
            </w:r>
            <w:r>
              <w:rPr>
                <w:rFonts w:ascii="Time New Roman" w:eastAsia="SimHei" w:hAnsi="Time New Roman" w:hint="eastAsia"/>
              </w:rPr>
              <w:t>元</w:t>
            </w:r>
            <w:r>
              <w:rPr>
                <w:rFonts w:ascii="Time New Roman" w:eastAsia="SimHei" w:hAnsi="Time New Roman" w:hint="eastAsia"/>
              </w:rPr>
              <w:t>)</w:t>
            </w:r>
          </w:p>
        </w:tc>
        <w:tc>
          <w:tcPr>
            <w:tcW w:w="3572" w:type="pct"/>
            <w:gridSpan w:val="5"/>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主要食物消费量</w:t>
            </w:r>
            <w:r>
              <w:rPr>
                <w:rFonts w:ascii="Time New Roman" w:eastAsia="SimHei" w:hAnsi="Time New Roman" w:hint="eastAsia"/>
              </w:rPr>
              <w:t>(</w:t>
            </w:r>
            <w:r>
              <w:rPr>
                <w:rFonts w:ascii="Time New Roman" w:eastAsia="SimHei" w:hAnsi="Time New Roman" w:hint="eastAsia"/>
              </w:rPr>
              <w:t>公斤</w:t>
            </w:r>
            <w:r>
              <w:rPr>
                <w:rFonts w:ascii="Time New Roman" w:eastAsia="SimHei" w:hAnsi="Time New Roman" w:hint="eastAsia"/>
              </w:rPr>
              <w:t>/</w:t>
            </w:r>
            <w:r>
              <w:rPr>
                <w:rFonts w:ascii="Time New Roman" w:eastAsia="SimHei" w:hAnsi="Time New Roman" w:hint="eastAsia"/>
              </w:rPr>
              <w:t>人</w:t>
            </w:r>
            <w:r>
              <w:rPr>
                <w:rFonts w:ascii="Time New Roman" w:eastAsia="SimHei" w:hAnsi="Time New Roman" w:hint="eastAsia"/>
              </w:rPr>
              <w:t>)</w:t>
            </w:r>
          </w:p>
        </w:tc>
      </w:tr>
      <w:tr w:rsidR="00000000">
        <w:tblPrEx>
          <w:tblCellMar>
            <w:top w:w="0" w:type="dxa"/>
            <w:bottom w:w="0" w:type="dxa"/>
          </w:tblCellMar>
        </w:tblPrEx>
        <w:trPr>
          <w:cantSplit/>
        </w:trPr>
        <w:tc>
          <w:tcPr>
            <w:tcW w:w="598" w:type="pct"/>
            <w:vMerge/>
            <w:tcBorders>
              <w:bottom w:val="single" w:sz="4" w:space="0" w:color="auto"/>
            </w:tcBorders>
          </w:tcPr>
          <w:p w:rsidR="00000000" w:rsidRDefault="00000000">
            <w:pPr>
              <w:pStyle w:val="a2"/>
              <w:jc w:val="center"/>
              <w:rPr>
                <w:rFonts w:ascii="Time New Roman" w:eastAsia="SimHei" w:hAnsi="Time New Roman"/>
              </w:rPr>
            </w:pPr>
          </w:p>
        </w:tc>
        <w:tc>
          <w:tcPr>
            <w:tcW w:w="830" w:type="pct"/>
            <w:vMerge/>
            <w:tcBorders>
              <w:bottom w:val="single" w:sz="4" w:space="0" w:color="auto"/>
            </w:tcBorders>
          </w:tcPr>
          <w:p w:rsidR="00000000" w:rsidRDefault="00000000">
            <w:pPr>
              <w:pStyle w:val="a2"/>
              <w:jc w:val="center"/>
              <w:rPr>
                <w:rFonts w:ascii="Time New Roman" w:eastAsia="SimHei" w:hAnsi="Time New Roman"/>
              </w:rPr>
            </w:pPr>
          </w:p>
        </w:tc>
        <w:tc>
          <w:tcPr>
            <w:tcW w:w="714" w:type="pct"/>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口</w:t>
            </w:r>
            <w:r>
              <w:rPr>
                <w:rFonts w:ascii="Time New Roman" w:eastAsia="SimHei" w:hAnsi="Time New Roman" w:hint="eastAsia"/>
              </w:rPr>
              <w:t xml:space="preserve"> </w:t>
            </w:r>
            <w:r>
              <w:rPr>
                <w:rFonts w:ascii="Time New Roman" w:eastAsia="SimHei" w:hAnsi="Time New Roman" w:hint="eastAsia"/>
              </w:rPr>
              <w:t>粮</w:t>
            </w:r>
          </w:p>
        </w:tc>
        <w:tc>
          <w:tcPr>
            <w:tcW w:w="714" w:type="pct"/>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食</w:t>
            </w:r>
            <w:r>
              <w:rPr>
                <w:rFonts w:ascii="Time New Roman" w:eastAsia="SimHei" w:hAnsi="Time New Roman" w:hint="eastAsia"/>
              </w:rPr>
              <w:t xml:space="preserve"> </w:t>
            </w:r>
            <w:r>
              <w:rPr>
                <w:rFonts w:ascii="Time New Roman" w:eastAsia="SimHei" w:hAnsi="Time New Roman" w:hint="eastAsia"/>
              </w:rPr>
              <w:t>油</w:t>
            </w:r>
          </w:p>
        </w:tc>
        <w:tc>
          <w:tcPr>
            <w:tcW w:w="714" w:type="pct"/>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蔬</w:t>
            </w:r>
            <w:r>
              <w:rPr>
                <w:rFonts w:ascii="Time New Roman" w:eastAsia="SimHei" w:hAnsi="Time New Roman" w:hint="eastAsia"/>
              </w:rPr>
              <w:t xml:space="preserve"> </w:t>
            </w:r>
            <w:r>
              <w:rPr>
                <w:rFonts w:ascii="Time New Roman" w:eastAsia="SimHei" w:hAnsi="Time New Roman" w:hint="eastAsia"/>
              </w:rPr>
              <w:t>菜</w:t>
            </w:r>
          </w:p>
        </w:tc>
        <w:tc>
          <w:tcPr>
            <w:tcW w:w="714" w:type="pct"/>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肉</w:t>
            </w:r>
            <w:r>
              <w:rPr>
                <w:rFonts w:ascii="Time New Roman" w:eastAsia="SimHei" w:hAnsi="Time New Roman" w:hint="eastAsia"/>
              </w:rPr>
              <w:t xml:space="preserve"> </w:t>
            </w:r>
            <w:r>
              <w:rPr>
                <w:rFonts w:ascii="Time New Roman" w:eastAsia="SimHei" w:hAnsi="Time New Roman" w:hint="eastAsia"/>
              </w:rPr>
              <w:t>类</w:t>
            </w:r>
          </w:p>
        </w:tc>
        <w:tc>
          <w:tcPr>
            <w:tcW w:w="715" w:type="pct"/>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蛋</w:t>
            </w:r>
            <w:r>
              <w:rPr>
                <w:rFonts w:ascii="Time New Roman" w:eastAsia="SimHei" w:hAnsi="Time New Roman" w:hint="eastAsia"/>
              </w:rPr>
              <w:t xml:space="preserve"> </w:t>
            </w:r>
            <w:r>
              <w:rPr>
                <w:rFonts w:ascii="Time New Roman" w:eastAsia="SimHei" w:hAnsi="Time New Roman" w:hint="eastAsia"/>
              </w:rPr>
              <w:t>类</w:t>
            </w:r>
          </w:p>
        </w:tc>
      </w:tr>
      <w:tr w:rsidR="00000000">
        <w:tblPrEx>
          <w:tblCellMar>
            <w:top w:w="0" w:type="dxa"/>
            <w:bottom w:w="0" w:type="dxa"/>
          </w:tblCellMar>
        </w:tblPrEx>
        <w:tc>
          <w:tcPr>
            <w:tcW w:w="598" w:type="pct"/>
            <w:tcBorders>
              <w:bottom w:val="nil"/>
            </w:tcBorders>
          </w:tcPr>
          <w:p w:rsidR="00000000" w:rsidRDefault="00000000">
            <w:pPr>
              <w:pStyle w:val="a2"/>
              <w:jc w:val="center"/>
            </w:pPr>
            <w:r>
              <w:t>1995</w:t>
            </w:r>
          </w:p>
        </w:tc>
        <w:tc>
          <w:tcPr>
            <w:tcW w:w="830" w:type="pct"/>
            <w:tcBorders>
              <w:bottom w:val="nil"/>
            </w:tcBorders>
            <w:vAlign w:val="center"/>
          </w:tcPr>
          <w:p w:rsidR="00000000" w:rsidRDefault="00000000">
            <w:pPr>
              <w:pStyle w:val="a2"/>
              <w:tabs>
                <w:tab w:val="decimal" w:pos="662"/>
              </w:tabs>
              <w:ind w:right="340"/>
            </w:pPr>
            <w:r>
              <w:t>1 577.74</w:t>
            </w:r>
          </w:p>
        </w:tc>
        <w:tc>
          <w:tcPr>
            <w:tcW w:w="714" w:type="pct"/>
            <w:tcBorders>
              <w:bottom w:val="nil"/>
            </w:tcBorders>
            <w:vAlign w:val="center"/>
          </w:tcPr>
          <w:p w:rsidR="00000000" w:rsidRDefault="00000000">
            <w:pPr>
              <w:pStyle w:val="a2"/>
              <w:tabs>
                <w:tab w:val="decimal" w:pos="662"/>
              </w:tabs>
            </w:pPr>
            <w:r>
              <w:t>258.92</w:t>
            </w:r>
          </w:p>
        </w:tc>
        <w:tc>
          <w:tcPr>
            <w:tcW w:w="714" w:type="pct"/>
            <w:tcBorders>
              <w:bottom w:val="nil"/>
            </w:tcBorders>
            <w:vAlign w:val="center"/>
          </w:tcPr>
          <w:p w:rsidR="00000000" w:rsidRDefault="00000000">
            <w:pPr>
              <w:pStyle w:val="a2"/>
              <w:tabs>
                <w:tab w:val="decimal" w:pos="662"/>
              </w:tabs>
            </w:pPr>
            <w:r>
              <w:t>5.80</w:t>
            </w:r>
          </w:p>
        </w:tc>
        <w:tc>
          <w:tcPr>
            <w:tcW w:w="714" w:type="pct"/>
            <w:tcBorders>
              <w:bottom w:val="nil"/>
            </w:tcBorders>
            <w:vAlign w:val="center"/>
          </w:tcPr>
          <w:p w:rsidR="00000000" w:rsidRDefault="00000000">
            <w:pPr>
              <w:pStyle w:val="a2"/>
              <w:tabs>
                <w:tab w:val="decimal" w:pos="662"/>
              </w:tabs>
            </w:pPr>
            <w:r>
              <w:t>104.62</w:t>
            </w:r>
          </w:p>
        </w:tc>
        <w:tc>
          <w:tcPr>
            <w:tcW w:w="714" w:type="pct"/>
            <w:tcBorders>
              <w:bottom w:val="nil"/>
            </w:tcBorders>
            <w:vAlign w:val="center"/>
          </w:tcPr>
          <w:p w:rsidR="00000000" w:rsidRDefault="00000000">
            <w:pPr>
              <w:pStyle w:val="a2"/>
              <w:tabs>
                <w:tab w:val="decimal" w:pos="662"/>
              </w:tabs>
            </w:pPr>
            <w:r>
              <w:t>13.12</w:t>
            </w:r>
          </w:p>
        </w:tc>
        <w:tc>
          <w:tcPr>
            <w:tcW w:w="715" w:type="pct"/>
            <w:tcBorders>
              <w:bottom w:val="nil"/>
            </w:tcBorders>
            <w:vAlign w:val="center"/>
          </w:tcPr>
          <w:p w:rsidR="00000000" w:rsidRDefault="00000000">
            <w:pPr>
              <w:pStyle w:val="a2"/>
              <w:tabs>
                <w:tab w:val="decimal" w:pos="662"/>
              </w:tabs>
            </w:pPr>
            <w:r>
              <w:t>3.22</w:t>
            </w:r>
          </w:p>
        </w:tc>
      </w:tr>
      <w:tr w:rsidR="00000000">
        <w:tblPrEx>
          <w:tblCellMar>
            <w:top w:w="0" w:type="dxa"/>
            <w:bottom w:w="0" w:type="dxa"/>
          </w:tblCellMar>
        </w:tblPrEx>
        <w:tc>
          <w:tcPr>
            <w:tcW w:w="598" w:type="pct"/>
            <w:tcBorders>
              <w:top w:val="nil"/>
              <w:bottom w:val="nil"/>
            </w:tcBorders>
          </w:tcPr>
          <w:p w:rsidR="00000000" w:rsidRDefault="00000000">
            <w:pPr>
              <w:pStyle w:val="a2"/>
              <w:jc w:val="center"/>
            </w:pPr>
            <w:r>
              <w:t>1996</w:t>
            </w:r>
          </w:p>
        </w:tc>
        <w:tc>
          <w:tcPr>
            <w:tcW w:w="830" w:type="pct"/>
            <w:tcBorders>
              <w:top w:val="nil"/>
              <w:bottom w:val="nil"/>
            </w:tcBorders>
            <w:vAlign w:val="center"/>
          </w:tcPr>
          <w:p w:rsidR="00000000" w:rsidRDefault="00000000">
            <w:pPr>
              <w:pStyle w:val="a2"/>
              <w:tabs>
                <w:tab w:val="decimal" w:pos="662"/>
              </w:tabs>
              <w:ind w:right="340"/>
            </w:pPr>
            <w:r>
              <w:t>1 926.1  </w:t>
            </w:r>
          </w:p>
        </w:tc>
        <w:tc>
          <w:tcPr>
            <w:tcW w:w="714" w:type="pct"/>
            <w:tcBorders>
              <w:top w:val="nil"/>
              <w:bottom w:val="nil"/>
            </w:tcBorders>
            <w:vAlign w:val="center"/>
          </w:tcPr>
          <w:p w:rsidR="00000000" w:rsidRDefault="00000000">
            <w:pPr>
              <w:pStyle w:val="a2"/>
              <w:tabs>
                <w:tab w:val="decimal" w:pos="662"/>
              </w:tabs>
            </w:pPr>
            <w:r>
              <w:t>256.19</w:t>
            </w:r>
          </w:p>
        </w:tc>
        <w:tc>
          <w:tcPr>
            <w:tcW w:w="714" w:type="pct"/>
            <w:tcBorders>
              <w:top w:val="nil"/>
              <w:bottom w:val="nil"/>
            </w:tcBorders>
            <w:vAlign w:val="center"/>
          </w:tcPr>
          <w:p w:rsidR="00000000" w:rsidRDefault="00000000">
            <w:pPr>
              <w:pStyle w:val="a2"/>
              <w:tabs>
                <w:tab w:val="decimal" w:pos="662"/>
              </w:tabs>
            </w:pPr>
            <w:r>
              <w:t>6.07</w:t>
            </w:r>
          </w:p>
        </w:tc>
        <w:tc>
          <w:tcPr>
            <w:tcW w:w="714" w:type="pct"/>
            <w:tcBorders>
              <w:top w:val="nil"/>
              <w:bottom w:val="nil"/>
            </w:tcBorders>
            <w:vAlign w:val="center"/>
          </w:tcPr>
          <w:p w:rsidR="00000000" w:rsidRDefault="00000000">
            <w:pPr>
              <w:pStyle w:val="a2"/>
              <w:tabs>
                <w:tab w:val="decimal" w:pos="662"/>
              </w:tabs>
            </w:pPr>
            <w:r>
              <w:t>106.26</w:t>
            </w:r>
          </w:p>
        </w:tc>
        <w:tc>
          <w:tcPr>
            <w:tcW w:w="714" w:type="pct"/>
            <w:tcBorders>
              <w:top w:val="nil"/>
              <w:bottom w:val="nil"/>
            </w:tcBorders>
            <w:vAlign w:val="center"/>
          </w:tcPr>
          <w:p w:rsidR="00000000" w:rsidRDefault="00000000">
            <w:pPr>
              <w:pStyle w:val="a2"/>
              <w:tabs>
                <w:tab w:val="decimal" w:pos="662"/>
              </w:tabs>
            </w:pPr>
            <w:r>
              <w:t>14.83</w:t>
            </w:r>
          </w:p>
        </w:tc>
        <w:tc>
          <w:tcPr>
            <w:tcW w:w="715" w:type="pct"/>
            <w:tcBorders>
              <w:top w:val="nil"/>
              <w:bottom w:val="nil"/>
            </w:tcBorders>
            <w:vAlign w:val="center"/>
          </w:tcPr>
          <w:p w:rsidR="00000000" w:rsidRDefault="00000000">
            <w:pPr>
              <w:pStyle w:val="a2"/>
              <w:tabs>
                <w:tab w:val="decimal" w:pos="662"/>
              </w:tabs>
            </w:pPr>
            <w:r>
              <w:t>3.35</w:t>
            </w:r>
          </w:p>
        </w:tc>
      </w:tr>
      <w:tr w:rsidR="00000000">
        <w:tblPrEx>
          <w:tblCellMar>
            <w:top w:w="0" w:type="dxa"/>
            <w:bottom w:w="0" w:type="dxa"/>
          </w:tblCellMar>
        </w:tblPrEx>
        <w:tc>
          <w:tcPr>
            <w:tcW w:w="598" w:type="pct"/>
            <w:tcBorders>
              <w:top w:val="nil"/>
              <w:bottom w:val="nil"/>
            </w:tcBorders>
          </w:tcPr>
          <w:p w:rsidR="00000000" w:rsidRDefault="00000000">
            <w:pPr>
              <w:pStyle w:val="a2"/>
              <w:jc w:val="center"/>
            </w:pPr>
            <w:r>
              <w:t>1997</w:t>
            </w:r>
          </w:p>
        </w:tc>
        <w:tc>
          <w:tcPr>
            <w:tcW w:w="830" w:type="pct"/>
            <w:tcBorders>
              <w:top w:val="nil"/>
              <w:bottom w:val="nil"/>
            </w:tcBorders>
            <w:vAlign w:val="center"/>
          </w:tcPr>
          <w:p w:rsidR="00000000" w:rsidRDefault="00000000">
            <w:pPr>
              <w:pStyle w:val="a2"/>
              <w:tabs>
                <w:tab w:val="decimal" w:pos="662"/>
              </w:tabs>
              <w:ind w:right="340"/>
            </w:pPr>
            <w:r>
              <w:t>2 090.1  </w:t>
            </w:r>
          </w:p>
        </w:tc>
        <w:tc>
          <w:tcPr>
            <w:tcW w:w="714" w:type="pct"/>
            <w:tcBorders>
              <w:top w:val="nil"/>
              <w:bottom w:val="nil"/>
            </w:tcBorders>
            <w:vAlign w:val="center"/>
          </w:tcPr>
          <w:p w:rsidR="00000000" w:rsidRDefault="00000000">
            <w:pPr>
              <w:pStyle w:val="a2"/>
              <w:tabs>
                <w:tab w:val="decimal" w:pos="662"/>
              </w:tabs>
            </w:pPr>
            <w:r>
              <w:t>250.67</w:t>
            </w:r>
          </w:p>
        </w:tc>
        <w:tc>
          <w:tcPr>
            <w:tcW w:w="714" w:type="pct"/>
            <w:tcBorders>
              <w:top w:val="nil"/>
              <w:bottom w:val="nil"/>
            </w:tcBorders>
            <w:vAlign w:val="center"/>
          </w:tcPr>
          <w:p w:rsidR="00000000" w:rsidRDefault="00000000">
            <w:pPr>
              <w:pStyle w:val="a2"/>
              <w:tabs>
                <w:tab w:val="decimal" w:pos="662"/>
              </w:tabs>
            </w:pPr>
            <w:r>
              <w:t>6.16</w:t>
            </w:r>
          </w:p>
        </w:tc>
        <w:tc>
          <w:tcPr>
            <w:tcW w:w="714" w:type="pct"/>
            <w:tcBorders>
              <w:top w:val="nil"/>
              <w:bottom w:val="nil"/>
            </w:tcBorders>
            <w:vAlign w:val="center"/>
          </w:tcPr>
          <w:p w:rsidR="00000000" w:rsidRDefault="00000000">
            <w:pPr>
              <w:pStyle w:val="a2"/>
              <w:tabs>
                <w:tab w:val="decimal" w:pos="662"/>
              </w:tabs>
            </w:pPr>
            <w:r>
              <w:t>107.21</w:t>
            </w:r>
          </w:p>
        </w:tc>
        <w:tc>
          <w:tcPr>
            <w:tcW w:w="714" w:type="pct"/>
            <w:tcBorders>
              <w:top w:val="nil"/>
              <w:bottom w:val="nil"/>
            </w:tcBorders>
            <w:vAlign w:val="center"/>
          </w:tcPr>
          <w:p w:rsidR="00000000" w:rsidRDefault="00000000">
            <w:pPr>
              <w:pStyle w:val="a2"/>
              <w:tabs>
                <w:tab w:val="decimal" w:pos="662"/>
              </w:tabs>
            </w:pPr>
            <w:r>
              <w:t>15.08</w:t>
            </w:r>
          </w:p>
        </w:tc>
        <w:tc>
          <w:tcPr>
            <w:tcW w:w="715" w:type="pct"/>
            <w:tcBorders>
              <w:top w:val="nil"/>
              <w:bottom w:val="nil"/>
            </w:tcBorders>
            <w:vAlign w:val="center"/>
          </w:tcPr>
          <w:p w:rsidR="00000000" w:rsidRDefault="00000000">
            <w:pPr>
              <w:pStyle w:val="a2"/>
              <w:tabs>
                <w:tab w:val="decimal" w:pos="662"/>
              </w:tabs>
            </w:pPr>
            <w:r>
              <w:t>4.08</w:t>
            </w:r>
          </w:p>
        </w:tc>
      </w:tr>
      <w:tr w:rsidR="00000000">
        <w:tblPrEx>
          <w:tblCellMar>
            <w:top w:w="0" w:type="dxa"/>
            <w:bottom w:w="0" w:type="dxa"/>
          </w:tblCellMar>
        </w:tblPrEx>
        <w:tc>
          <w:tcPr>
            <w:tcW w:w="598" w:type="pct"/>
            <w:tcBorders>
              <w:top w:val="nil"/>
              <w:bottom w:val="nil"/>
            </w:tcBorders>
          </w:tcPr>
          <w:p w:rsidR="00000000" w:rsidRDefault="00000000">
            <w:pPr>
              <w:pStyle w:val="a2"/>
              <w:jc w:val="center"/>
            </w:pPr>
            <w:r>
              <w:t>1998</w:t>
            </w:r>
          </w:p>
        </w:tc>
        <w:tc>
          <w:tcPr>
            <w:tcW w:w="830" w:type="pct"/>
            <w:tcBorders>
              <w:top w:val="nil"/>
              <w:bottom w:val="nil"/>
            </w:tcBorders>
            <w:vAlign w:val="center"/>
          </w:tcPr>
          <w:p w:rsidR="00000000" w:rsidRDefault="00000000">
            <w:pPr>
              <w:pStyle w:val="a2"/>
              <w:tabs>
                <w:tab w:val="decimal" w:pos="662"/>
              </w:tabs>
              <w:ind w:right="340"/>
            </w:pPr>
            <w:r>
              <w:t>2 162.0  </w:t>
            </w:r>
          </w:p>
        </w:tc>
        <w:tc>
          <w:tcPr>
            <w:tcW w:w="714" w:type="pct"/>
            <w:tcBorders>
              <w:top w:val="nil"/>
              <w:bottom w:val="nil"/>
            </w:tcBorders>
            <w:vAlign w:val="center"/>
          </w:tcPr>
          <w:p w:rsidR="00000000" w:rsidRDefault="00000000">
            <w:pPr>
              <w:pStyle w:val="a2"/>
              <w:tabs>
                <w:tab w:val="decimal" w:pos="662"/>
              </w:tabs>
            </w:pPr>
            <w:r>
              <w:t>249.3  </w:t>
            </w:r>
          </w:p>
        </w:tc>
        <w:tc>
          <w:tcPr>
            <w:tcW w:w="714" w:type="pct"/>
            <w:tcBorders>
              <w:top w:val="nil"/>
              <w:bottom w:val="nil"/>
            </w:tcBorders>
            <w:vAlign w:val="center"/>
          </w:tcPr>
          <w:p w:rsidR="00000000" w:rsidRDefault="00000000">
            <w:pPr>
              <w:pStyle w:val="a2"/>
              <w:tabs>
                <w:tab w:val="decimal" w:pos="662"/>
              </w:tabs>
            </w:pPr>
            <w:r>
              <w:t>6.13</w:t>
            </w:r>
          </w:p>
        </w:tc>
        <w:tc>
          <w:tcPr>
            <w:tcW w:w="714" w:type="pct"/>
            <w:tcBorders>
              <w:top w:val="nil"/>
              <w:bottom w:val="nil"/>
            </w:tcBorders>
            <w:vAlign w:val="center"/>
          </w:tcPr>
          <w:p w:rsidR="00000000" w:rsidRDefault="00000000">
            <w:pPr>
              <w:pStyle w:val="a2"/>
              <w:tabs>
                <w:tab w:val="decimal" w:pos="662"/>
              </w:tabs>
            </w:pPr>
            <w:r>
              <w:t>108.96</w:t>
            </w:r>
          </w:p>
        </w:tc>
        <w:tc>
          <w:tcPr>
            <w:tcW w:w="714" w:type="pct"/>
            <w:tcBorders>
              <w:top w:val="nil"/>
              <w:bottom w:val="nil"/>
            </w:tcBorders>
            <w:vAlign w:val="center"/>
          </w:tcPr>
          <w:p w:rsidR="00000000" w:rsidRDefault="00000000">
            <w:pPr>
              <w:pStyle w:val="a2"/>
              <w:tabs>
                <w:tab w:val="decimal" w:pos="662"/>
              </w:tabs>
            </w:pPr>
            <w:r>
              <w:t>15.53</w:t>
            </w:r>
          </w:p>
        </w:tc>
        <w:tc>
          <w:tcPr>
            <w:tcW w:w="715" w:type="pct"/>
            <w:tcBorders>
              <w:top w:val="nil"/>
              <w:bottom w:val="nil"/>
            </w:tcBorders>
            <w:vAlign w:val="center"/>
          </w:tcPr>
          <w:p w:rsidR="00000000" w:rsidRDefault="00000000">
            <w:pPr>
              <w:pStyle w:val="a2"/>
              <w:tabs>
                <w:tab w:val="decimal" w:pos="662"/>
              </w:tabs>
            </w:pPr>
            <w:r>
              <w:t>4.11</w:t>
            </w:r>
          </w:p>
        </w:tc>
      </w:tr>
      <w:tr w:rsidR="00000000">
        <w:tblPrEx>
          <w:tblCellMar>
            <w:top w:w="0" w:type="dxa"/>
            <w:bottom w:w="0" w:type="dxa"/>
          </w:tblCellMar>
        </w:tblPrEx>
        <w:tc>
          <w:tcPr>
            <w:tcW w:w="598" w:type="pct"/>
            <w:tcBorders>
              <w:top w:val="nil"/>
              <w:bottom w:val="nil"/>
            </w:tcBorders>
          </w:tcPr>
          <w:p w:rsidR="00000000" w:rsidRDefault="00000000">
            <w:pPr>
              <w:pStyle w:val="a2"/>
              <w:jc w:val="center"/>
            </w:pPr>
            <w:r>
              <w:rPr>
                <w:rFonts w:hint="eastAsia"/>
              </w:rPr>
              <w:t>1</w:t>
            </w:r>
            <w:r>
              <w:t>999</w:t>
            </w:r>
          </w:p>
        </w:tc>
        <w:tc>
          <w:tcPr>
            <w:tcW w:w="830" w:type="pct"/>
            <w:tcBorders>
              <w:top w:val="nil"/>
              <w:bottom w:val="nil"/>
            </w:tcBorders>
            <w:vAlign w:val="center"/>
          </w:tcPr>
          <w:p w:rsidR="00000000" w:rsidRDefault="00000000">
            <w:pPr>
              <w:pStyle w:val="a2"/>
              <w:tabs>
                <w:tab w:val="decimal" w:pos="662"/>
              </w:tabs>
              <w:ind w:right="340"/>
            </w:pPr>
            <w:r>
              <w:t>2 210.3  </w:t>
            </w:r>
          </w:p>
        </w:tc>
        <w:tc>
          <w:tcPr>
            <w:tcW w:w="714" w:type="pct"/>
            <w:tcBorders>
              <w:top w:val="nil"/>
              <w:bottom w:val="nil"/>
            </w:tcBorders>
            <w:vAlign w:val="center"/>
          </w:tcPr>
          <w:p w:rsidR="00000000" w:rsidRDefault="00000000">
            <w:pPr>
              <w:pStyle w:val="a2"/>
              <w:tabs>
                <w:tab w:val="decimal" w:pos="662"/>
              </w:tabs>
            </w:pPr>
            <w:r>
              <w:t>247.45</w:t>
            </w:r>
          </w:p>
        </w:tc>
        <w:tc>
          <w:tcPr>
            <w:tcW w:w="714" w:type="pct"/>
            <w:tcBorders>
              <w:top w:val="nil"/>
              <w:bottom w:val="nil"/>
            </w:tcBorders>
            <w:vAlign w:val="center"/>
          </w:tcPr>
          <w:p w:rsidR="00000000" w:rsidRDefault="00000000">
            <w:pPr>
              <w:pStyle w:val="a2"/>
              <w:tabs>
                <w:tab w:val="decimal" w:pos="662"/>
              </w:tabs>
            </w:pPr>
            <w:r>
              <w:t>6.17</w:t>
            </w:r>
          </w:p>
        </w:tc>
        <w:tc>
          <w:tcPr>
            <w:tcW w:w="714" w:type="pct"/>
            <w:tcBorders>
              <w:top w:val="nil"/>
              <w:bottom w:val="nil"/>
            </w:tcBorders>
            <w:vAlign w:val="center"/>
          </w:tcPr>
          <w:p w:rsidR="00000000" w:rsidRDefault="00000000">
            <w:pPr>
              <w:pStyle w:val="a2"/>
              <w:tabs>
                <w:tab w:val="decimal" w:pos="662"/>
              </w:tabs>
            </w:pPr>
            <w:r>
              <w:t>108.89</w:t>
            </w:r>
          </w:p>
        </w:tc>
        <w:tc>
          <w:tcPr>
            <w:tcW w:w="714" w:type="pct"/>
            <w:tcBorders>
              <w:top w:val="nil"/>
              <w:bottom w:val="nil"/>
            </w:tcBorders>
            <w:vAlign w:val="center"/>
          </w:tcPr>
          <w:p w:rsidR="00000000" w:rsidRDefault="00000000">
            <w:pPr>
              <w:pStyle w:val="a2"/>
              <w:tabs>
                <w:tab w:val="decimal" w:pos="662"/>
              </w:tabs>
            </w:pPr>
            <w:r>
              <w:t>16.35</w:t>
            </w:r>
          </w:p>
        </w:tc>
        <w:tc>
          <w:tcPr>
            <w:tcW w:w="715" w:type="pct"/>
            <w:tcBorders>
              <w:top w:val="nil"/>
              <w:bottom w:val="nil"/>
            </w:tcBorders>
            <w:vAlign w:val="center"/>
          </w:tcPr>
          <w:p w:rsidR="00000000" w:rsidRDefault="00000000">
            <w:pPr>
              <w:pStyle w:val="a2"/>
              <w:tabs>
                <w:tab w:val="decimal" w:pos="662"/>
              </w:tabs>
            </w:pPr>
            <w:r>
              <w:t>4.28</w:t>
            </w:r>
          </w:p>
        </w:tc>
      </w:tr>
      <w:tr w:rsidR="00000000">
        <w:tblPrEx>
          <w:tblCellMar>
            <w:top w:w="0" w:type="dxa"/>
            <w:bottom w:w="0" w:type="dxa"/>
          </w:tblCellMar>
        </w:tblPrEx>
        <w:tc>
          <w:tcPr>
            <w:tcW w:w="598" w:type="pct"/>
            <w:tcBorders>
              <w:top w:val="nil"/>
            </w:tcBorders>
          </w:tcPr>
          <w:p w:rsidR="00000000" w:rsidRDefault="00000000">
            <w:pPr>
              <w:pStyle w:val="a2"/>
              <w:jc w:val="center"/>
            </w:pPr>
            <w:r>
              <w:t>2000</w:t>
            </w:r>
          </w:p>
        </w:tc>
        <w:tc>
          <w:tcPr>
            <w:tcW w:w="830" w:type="pct"/>
            <w:tcBorders>
              <w:top w:val="nil"/>
            </w:tcBorders>
            <w:vAlign w:val="center"/>
          </w:tcPr>
          <w:p w:rsidR="00000000" w:rsidRDefault="00000000">
            <w:pPr>
              <w:pStyle w:val="a2"/>
              <w:tabs>
                <w:tab w:val="decimal" w:pos="662"/>
              </w:tabs>
              <w:ind w:right="340"/>
            </w:pPr>
            <w:r>
              <w:t>2 253.4  </w:t>
            </w:r>
          </w:p>
        </w:tc>
        <w:tc>
          <w:tcPr>
            <w:tcW w:w="714" w:type="pct"/>
            <w:tcBorders>
              <w:top w:val="nil"/>
            </w:tcBorders>
            <w:vAlign w:val="center"/>
          </w:tcPr>
          <w:p w:rsidR="00000000" w:rsidRDefault="00000000">
            <w:pPr>
              <w:pStyle w:val="a2"/>
              <w:tabs>
                <w:tab w:val="decimal" w:pos="662"/>
              </w:tabs>
            </w:pPr>
            <w:r>
              <w:t>249.5  </w:t>
            </w:r>
          </w:p>
        </w:tc>
        <w:tc>
          <w:tcPr>
            <w:tcW w:w="714" w:type="pct"/>
            <w:tcBorders>
              <w:top w:val="nil"/>
            </w:tcBorders>
            <w:vAlign w:val="center"/>
          </w:tcPr>
          <w:p w:rsidR="00000000" w:rsidRDefault="00000000">
            <w:pPr>
              <w:pStyle w:val="a2"/>
              <w:tabs>
                <w:tab w:val="decimal" w:pos="662"/>
              </w:tabs>
            </w:pPr>
            <w:r>
              <w:t>7.06</w:t>
            </w:r>
          </w:p>
        </w:tc>
        <w:tc>
          <w:tcPr>
            <w:tcW w:w="714" w:type="pct"/>
            <w:tcBorders>
              <w:top w:val="nil"/>
            </w:tcBorders>
            <w:vAlign w:val="center"/>
          </w:tcPr>
          <w:p w:rsidR="00000000" w:rsidRDefault="00000000">
            <w:pPr>
              <w:pStyle w:val="a2"/>
              <w:tabs>
                <w:tab w:val="decimal" w:pos="662"/>
              </w:tabs>
            </w:pPr>
            <w:r>
              <w:t>106.7  </w:t>
            </w:r>
          </w:p>
        </w:tc>
        <w:tc>
          <w:tcPr>
            <w:tcW w:w="714" w:type="pct"/>
            <w:tcBorders>
              <w:top w:val="nil"/>
            </w:tcBorders>
            <w:vAlign w:val="center"/>
          </w:tcPr>
          <w:p w:rsidR="00000000" w:rsidRDefault="00000000">
            <w:pPr>
              <w:pStyle w:val="a2"/>
              <w:tabs>
                <w:tab w:val="decimal" w:pos="662"/>
              </w:tabs>
            </w:pPr>
            <w:r>
              <w:t>17.48</w:t>
            </w:r>
          </w:p>
        </w:tc>
        <w:tc>
          <w:tcPr>
            <w:tcW w:w="715" w:type="pct"/>
            <w:tcBorders>
              <w:top w:val="nil"/>
            </w:tcBorders>
            <w:vAlign w:val="center"/>
          </w:tcPr>
          <w:p w:rsidR="00000000" w:rsidRDefault="00000000">
            <w:pPr>
              <w:pStyle w:val="a2"/>
              <w:tabs>
                <w:tab w:val="decimal" w:pos="662"/>
              </w:tabs>
            </w:pPr>
            <w:r>
              <w:t>5.0  </w:t>
            </w:r>
          </w:p>
        </w:tc>
      </w:tr>
    </w:tbl>
    <w:p w:rsidR="00000000" w:rsidRDefault="00000000">
      <w:pPr>
        <w:pStyle w:val="a2"/>
        <w:spacing w:before="180"/>
        <w:rPr>
          <w:rFonts w:eastAsia="KaiTi_GB2312" w:hint="eastAsia"/>
          <w:sz w:val="22"/>
          <w:szCs w:val="30"/>
        </w:rPr>
      </w:pPr>
      <w:r>
        <w:rPr>
          <w:rFonts w:hint="eastAsia"/>
          <w:sz w:val="22"/>
          <w:szCs w:val="30"/>
        </w:rPr>
        <w:tab/>
      </w:r>
      <w:r>
        <w:rPr>
          <w:rFonts w:eastAsia="KaiTi_GB2312" w:hint="eastAsia"/>
          <w:sz w:val="22"/>
          <w:szCs w:val="30"/>
          <w:u w:val="single"/>
        </w:rPr>
        <w:t>资料来源</w:t>
      </w:r>
      <w:r>
        <w:rPr>
          <w:rFonts w:eastAsia="KaiTi_GB2312" w:hint="eastAsia"/>
          <w:sz w:val="22"/>
          <w:szCs w:val="30"/>
        </w:rPr>
        <w:t>：《中国统计年鉴》</w:t>
      </w:r>
      <w:r>
        <w:rPr>
          <w:rFonts w:eastAsia="KaiTi_GB2312" w:hint="eastAsia"/>
          <w:sz w:val="22"/>
          <w:szCs w:val="30"/>
        </w:rPr>
        <w:t>1996-2001</w:t>
      </w:r>
      <w:r>
        <w:rPr>
          <w:rFonts w:eastAsia="KaiTi_GB2312" w:hint="eastAsia"/>
          <w:sz w:val="22"/>
          <w:szCs w:val="30"/>
        </w:rPr>
        <w:t>年。</w:t>
      </w:r>
    </w:p>
    <w:p w:rsidR="00000000" w:rsidRDefault="00000000">
      <w:pPr>
        <w:pStyle w:val="a6"/>
        <w:spacing w:after="160"/>
        <w:rPr>
          <w:rFonts w:eastAsia="SimSun" w:hint="eastAsia"/>
        </w:rPr>
      </w:pPr>
    </w:p>
    <w:p w:rsidR="00000000" w:rsidRDefault="00000000">
      <w:pPr>
        <w:spacing w:after="320"/>
        <w:jc w:val="center"/>
        <w:rPr>
          <w:rFonts w:hint="eastAsia"/>
        </w:rPr>
      </w:pPr>
      <w:r>
        <w:rPr>
          <w:rFonts w:hint="eastAsia"/>
          <w:u w:val="single"/>
        </w:rPr>
        <w:t>表</w:t>
      </w:r>
      <w:r>
        <w:rPr>
          <w:rFonts w:hint="eastAsia"/>
          <w:u w:val="single"/>
        </w:rPr>
        <w:t>8</w:t>
      </w:r>
      <w:r>
        <w:rPr>
          <w:rFonts w:hint="eastAsia"/>
        </w:rPr>
        <w:t xml:space="preserve">.  </w:t>
      </w:r>
      <w:r>
        <w:rPr>
          <w:rFonts w:hint="eastAsia"/>
          <w:u w:val="single"/>
        </w:rPr>
        <w:t>1995</w:t>
      </w:r>
      <w:r>
        <w:rPr>
          <w:rFonts w:hint="eastAsia"/>
          <w:u w:val="single"/>
        </w:rPr>
        <w:t>年至</w:t>
      </w:r>
      <w:r>
        <w:rPr>
          <w:rFonts w:hint="eastAsia"/>
          <w:u w:val="single"/>
        </w:rPr>
        <w:t>2000</w:t>
      </w:r>
      <w:r>
        <w:rPr>
          <w:rFonts w:hint="eastAsia"/>
          <w:u w:val="single"/>
        </w:rPr>
        <w:t>年中国农村贫困人口</w:t>
      </w:r>
      <w:r>
        <w:rPr>
          <w:u w:val="single"/>
        </w:rPr>
        <w:br/>
      </w:r>
      <w:r>
        <w:rPr>
          <w:rFonts w:hint="eastAsia"/>
          <w:u w:val="single"/>
        </w:rPr>
        <w:t>及其比例减少情况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49"/>
        <w:gridCol w:w="1143"/>
        <w:gridCol w:w="1144"/>
        <w:gridCol w:w="1144"/>
        <w:gridCol w:w="1142"/>
        <w:gridCol w:w="1144"/>
        <w:gridCol w:w="1144"/>
      </w:tblGrid>
      <w:tr w:rsidR="00000000">
        <w:tblPrEx>
          <w:tblCellMar>
            <w:top w:w="0" w:type="dxa"/>
            <w:bottom w:w="0" w:type="dxa"/>
          </w:tblCellMar>
        </w:tblPrEx>
        <w:tc>
          <w:tcPr>
            <w:tcW w:w="1354"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607"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1995</w:t>
            </w:r>
          </w:p>
        </w:tc>
        <w:tc>
          <w:tcPr>
            <w:tcW w:w="608"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1996</w:t>
            </w:r>
          </w:p>
        </w:tc>
        <w:tc>
          <w:tcPr>
            <w:tcW w:w="608"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1997</w:t>
            </w:r>
          </w:p>
        </w:tc>
        <w:tc>
          <w:tcPr>
            <w:tcW w:w="607"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1998</w:t>
            </w:r>
          </w:p>
        </w:tc>
        <w:tc>
          <w:tcPr>
            <w:tcW w:w="608"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1999</w:t>
            </w:r>
          </w:p>
        </w:tc>
        <w:tc>
          <w:tcPr>
            <w:tcW w:w="608" w:type="pct"/>
            <w:tcBorders>
              <w:bottom w:val="single" w:sz="4" w:space="0" w:color="auto"/>
            </w:tcBorders>
          </w:tcPr>
          <w:p w:rsidR="00000000" w:rsidRDefault="00000000">
            <w:pPr>
              <w:pStyle w:val="a2"/>
              <w:spacing w:before="60" w:after="40"/>
              <w:jc w:val="center"/>
              <w:rPr>
                <w:rFonts w:ascii="Time New Roman" w:eastAsia="SimHei" w:hAnsi="Time New Roman"/>
              </w:rPr>
            </w:pPr>
            <w:r>
              <w:rPr>
                <w:rFonts w:ascii="Time New Roman" w:eastAsia="SimHei" w:hAnsi="Time New Roman"/>
                <w:b/>
              </w:rPr>
              <w:t>2000</w:t>
            </w:r>
          </w:p>
        </w:tc>
      </w:tr>
      <w:tr w:rsidR="00000000">
        <w:tblPrEx>
          <w:tblCellMar>
            <w:top w:w="0" w:type="dxa"/>
            <w:bottom w:w="0" w:type="dxa"/>
          </w:tblCellMar>
        </w:tblPrEx>
        <w:tc>
          <w:tcPr>
            <w:tcW w:w="1354" w:type="pct"/>
            <w:tcBorders>
              <w:bottom w:val="nil"/>
            </w:tcBorders>
          </w:tcPr>
          <w:p w:rsidR="00000000" w:rsidRDefault="00000000">
            <w:pPr>
              <w:pStyle w:val="a2"/>
              <w:ind w:left="113" w:right="113"/>
              <w:rPr>
                <w:rFonts w:hint="eastAsia"/>
              </w:rPr>
            </w:pPr>
            <w:r>
              <w:rPr>
                <w:rFonts w:hint="eastAsia"/>
              </w:rPr>
              <w:t>贫困人口比例</w:t>
            </w:r>
            <w:r>
              <w:rPr>
                <w:rFonts w:hint="eastAsia"/>
              </w:rPr>
              <w:t>(%)</w:t>
            </w:r>
          </w:p>
        </w:tc>
        <w:tc>
          <w:tcPr>
            <w:tcW w:w="607" w:type="pct"/>
            <w:tcBorders>
              <w:bottom w:val="nil"/>
            </w:tcBorders>
            <w:vAlign w:val="center"/>
          </w:tcPr>
          <w:p w:rsidR="00000000" w:rsidRDefault="00000000">
            <w:pPr>
              <w:pStyle w:val="a2"/>
              <w:jc w:val="center"/>
            </w:pPr>
            <w:r>
              <w:t>6.3</w:t>
            </w:r>
          </w:p>
        </w:tc>
        <w:tc>
          <w:tcPr>
            <w:tcW w:w="608" w:type="pct"/>
            <w:tcBorders>
              <w:bottom w:val="nil"/>
            </w:tcBorders>
            <w:vAlign w:val="center"/>
          </w:tcPr>
          <w:p w:rsidR="00000000" w:rsidRDefault="00000000">
            <w:pPr>
              <w:pStyle w:val="a2"/>
              <w:jc w:val="center"/>
            </w:pPr>
            <w:r>
              <w:t>5.44</w:t>
            </w:r>
          </w:p>
        </w:tc>
        <w:tc>
          <w:tcPr>
            <w:tcW w:w="608" w:type="pct"/>
            <w:tcBorders>
              <w:bottom w:val="nil"/>
            </w:tcBorders>
            <w:vAlign w:val="center"/>
          </w:tcPr>
          <w:p w:rsidR="00000000" w:rsidRDefault="00000000">
            <w:pPr>
              <w:pStyle w:val="a2"/>
              <w:jc w:val="center"/>
            </w:pPr>
            <w:r>
              <w:t>5.40</w:t>
            </w:r>
          </w:p>
        </w:tc>
        <w:tc>
          <w:tcPr>
            <w:tcW w:w="607" w:type="pct"/>
            <w:tcBorders>
              <w:bottom w:val="nil"/>
            </w:tcBorders>
            <w:vAlign w:val="center"/>
          </w:tcPr>
          <w:p w:rsidR="00000000" w:rsidRDefault="00000000">
            <w:pPr>
              <w:pStyle w:val="a2"/>
              <w:jc w:val="center"/>
            </w:pPr>
            <w:r>
              <w:t>4.6</w:t>
            </w:r>
          </w:p>
        </w:tc>
        <w:tc>
          <w:tcPr>
            <w:tcW w:w="608" w:type="pct"/>
            <w:tcBorders>
              <w:bottom w:val="nil"/>
            </w:tcBorders>
            <w:vAlign w:val="center"/>
          </w:tcPr>
          <w:p w:rsidR="00000000" w:rsidRDefault="00000000">
            <w:pPr>
              <w:pStyle w:val="a2"/>
              <w:jc w:val="center"/>
            </w:pPr>
            <w:r>
              <w:t>3.5</w:t>
            </w:r>
          </w:p>
        </w:tc>
        <w:tc>
          <w:tcPr>
            <w:tcW w:w="608" w:type="pct"/>
            <w:tcBorders>
              <w:bottom w:val="nil"/>
            </w:tcBorders>
            <w:vAlign w:val="center"/>
          </w:tcPr>
          <w:p w:rsidR="00000000" w:rsidRDefault="00000000">
            <w:pPr>
              <w:pStyle w:val="a2"/>
              <w:jc w:val="center"/>
            </w:pPr>
            <w:r>
              <w:t>2.5</w:t>
            </w:r>
          </w:p>
        </w:tc>
      </w:tr>
      <w:tr w:rsidR="00000000">
        <w:tblPrEx>
          <w:tblCellMar>
            <w:top w:w="0" w:type="dxa"/>
            <w:bottom w:w="0" w:type="dxa"/>
          </w:tblCellMar>
        </w:tblPrEx>
        <w:tc>
          <w:tcPr>
            <w:tcW w:w="1354" w:type="pct"/>
            <w:tcBorders>
              <w:top w:val="nil"/>
            </w:tcBorders>
          </w:tcPr>
          <w:p w:rsidR="00000000" w:rsidRDefault="00000000">
            <w:pPr>
              <w:pStyle w:val="a2"/>
              <w:ind w:left="113" w:right="113"/>
              <w:rPr>
                <w:rFonts w:hint="eastAsia"/>
              </w:rPr>
            </w:pPr>
            <w:r>
              <w:rPr>
                <w:rFonts w:hint="eastAsia"/>
              </w:rPr>
              <w:t>农村贫困人口</w:t>
            </w:r>
            <w:r>
              <w:rPr>
                <w:rFonts w:hint="eastAsia"/>
              </w:rPr>
              <w:t>(</w:t>
            </w:r>
            <w:r>
              <w:rPr>
                <w:rFonts w:hint="eastAsia"/>
              </w:rPr>
              <w:t>万人</w:t>
            </w:r>
            <w:r>
              <w:rPr>
                <w:rFonts w:hint="eastAsia"/>
              </w:rPr>
              <w:t>)</w:t>
            </w:r>
          </w:p>
        </w:tc>
        <w:tc>
          <w:tcPr>
            <w:tcW w:w="607" w:type="pct"/>
            <w:tcBorders>
              <w:top w:val="nil"/>
            </w:tcBorders>
            <w:vAlign w:val="center"/>
          </w:tcPr>
          <w:p w:rsidR="00000000" w:rsidRDefault="00000000">
            <w:pPr>
              <w:pStyle w:val="a2"/>
              <w:jc w:val="center"/>
            </w:pPr>
            <w:r>
              <w:t>6500</w:t>
            </w:r>
          </w:p>
        </w:tc>
        <w:tc>
          <w:tcPr>
            <w:tcW w:w="608" w:type="pct"/>
            <w:tcBorders>
              <w:top w:val="nil"/>
            </w:tcBorders>
            <w:vAlign w:val="center"/>
          </w:tcPr>
          <w:p w:rsidR="00000000" w:rsidRDefault="00000000">
            <w:pPr>
              <w:pStyle w:val="a2"/>
              <w:jc w:val="center"/>
            </w:pPr>
            <w:r>
              <w:t>5800</w:t>
            </w:r>
          </w:p>
        </w:tc>
        <w:tc>
          <w:tcPr>
            <w:tcW w:w="608" w:type="pct"/>
            <w:tcBorders>
              <w:top w:val="nil"/>
            </w:tcBorders>
            <w:vAlign w:val="center"/>
          </w:tcPr>
          <w:p w:rsidR="00000000" w:rsidRDefault="00000000">
            <w:pPr>
              <w:pStyle w:val="a2"/>
              <w:jc w:val="center"/>
            </w:pPr>
            <w:r>
              <w:t>5000</w:t>
            </w:r>
          </w:p>
        </w:tc>
        <w:tc>
          <w:tcPr>
            <w:tcW w:w="607" w:type="pct"/>
            <w:tcBorders>
              <w:top w:val="nil"/>
            </w:tcBorders>
            <w:vAlign w:val="center"/>
          </w:tcPr>
          <w:p w:rsidR="00000000" w:rsidRDefault="00000000">
            <w:pPr>
              <w:pStyle w:val="a2"/>
              <w:jc w:val="center"/>
            </w:pPr>
            <w:r>
              <w:t>4200</w:t>
            </w:r>
          </w:p>
        </w:tc>
        <w:tc>
          <w:tcPr>
            <w:tcW w:w="608" w:type="pct"/>
            <w:tcBorders>
              <w:top w:val="nil"/>
            </w:tcBorders>
            <w:vAlign w:val="center"/>
          </w:tcPr>
          <w:p w:rsidR="00000000" w:rsidRDefault="00000000">
            <w:pPr>
              <w:pStyle w:val="a2"/>
              <w:jc w:val="center"/>
            </w:pPr>
            <w:r>
              <w:t>3400</w:t>
            </w:r>
          </w:p>
        </w:tc>
        <w:tc>
          <w:tcPr>
            <w:tcW w:w="608" w:type="pct"/>
            <w:tcBorders>
              <w:top w:val="nil"/>
            </w:tcBorders>
            <w:vAlign w:val="center"/>
          </w:tcPr>
          <w:p w:rsidR="00000000" w:rsidRDefault="00000000">
            <w:pPr>
              <w:pStyle w:val="a2"/>
              <w:jc w:val="center"/>
            </w:pPr>
            <w:r>
              <w:t>3000</w:t>
            </w:r>
          </w:p>
        </w:tc>
      </w:tr>
    </w:tbl>
    <w:p w:rsidR="00000000" w:rsidRDefault="00000000">
      <w:pPr>
        <w:pStyle w:val="a2"/>
        <w:spacing w:before="180"/>
        <w:rPr>
          <w:rFonts w:eastAsia="KaiTi_GB2312" w:hint="eastAsia"/>
          <w:snapToGrid/>
          <w:sz w:val="24"/>
        </w:rPr>
      </w:pPr>
      <w:r>
        <w:rPr>
          <w:rFonts w:hint="eastAsia"/>
        </w:rPr>
        <w:tab/>
      </w:r>
      <w:r>
        <w:rPr>
          <w:rFonts w:eastAsia="KaiTi_GB2312" w:hint="eastAsia"/>
          <w:snapToGrid/>
          <w:sz w:val="24"/>
          <w:u w:val="single"/>
        </w:rPr>
        <w:t>资料来源</w:t>
      </w:r>
      <w:r>
        <w:rPr>
          <w:rFonts w:eastAsia="KaiTi_GB2312" w:hint="eastAsia"/>
          <w:snapToGrid/>
          <w:sz w:val="24"/>
        </w:rPr>
        <w:t>：国家统计局《中国农村贫困监测报告》。</w:t>
      </w:r>
    </w:p>
    <w:p w:rsidR="00000000" w:rsidRDefault="00000000">
      <w:pPr>
        <w:pStyle w:val="a2"/>
        <w:spacing w:after="160" w:line="320" w:lineRule="auto"/>
        <w:rPr>
          <w:rFonts w:hint="eastAsia"/>
        </w:rPr>
      </w:pPr>
    </w:p>
    <w:p w:rsidR="00000000" w:rsidRDefault="00000000">
      <w:pPr>
        <w:spacing w:after="320"/>
        <w:jc w:val="center"/>
        <w:rPr>
          <w:rFonts w:hint="eastAsia"/>
        </w:rPr>
      </w:pPr>
      <w:r>
        <w:rPr>
          <w:rFonts w:hint="eastAsia"/>
        </w:rPr>
        <w:br w:type="page"/>
      </w:r>
      <w:r>
        <w:rPr>
          <w:rFonts w:hint="eastAsia"/>
          <w:u w:val="single"/>
        </w:rPr>
        <w:t>表</w:t>
      </w:r>
      <w:r>
        <w:rPr>
          <w:rFonts w:hint="eastAsia"/>
          <w:u w:val="single"/>
        </w:rPr>
        <w:t>9</w:t>
      </w:r>
      <w:r>
        <w:rPr>
          <w:rFonts w:hint="eastAsia"/>
        </w:rPr>
        <w:t xml:space="preserve">.  </w:t>
      </w:r>
      <w:r>
        <w:rPr>
          <w:rFonts w:hint="eastAsia"/>
          <w:u w:val="single"/>
        </w:rPr>
        <w:t>中国法定传染病报告发病率的变化趋势</w:t>
      </w:r>
      <w:r>
        <w:rPr>
          <w:rFonts w:hint="eastAsia"/>
          <w:u w:val="single"/>
        </w:rPr>
        <w:t>(/10</w:t>
      </w:r>
      <w:r>
        <w:rPr>
          <w:rFonts w:hint="eastAsia"/>
          <w:u w:val="single"/>
        </w:rPr>
        <w:t>万</w:t>
      </w:r>
      <w:r>
        <w:rPr>
          <w:rFonts w:hint="eastAsia"/>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1"/>
        <w:gridCol w:w="1881"/>
        <w:gridCol w:w="1882"/>
        <w:gridCol w:w="1882"/>
        <w:gridCol w:w="1884"/>
      </w:tblGrid>
      <w:tr w:rsidR="00000000">
        <w:tblPrEx>
          <w:tblCellMar>
            <w:top w:w="0" w:type="dxa"/>
            <w:bottom w:w="0" w:type="dxa"/>
          </w:tblCellMar>
        </w:tblPrEx>
        <w:tc>
          <w:tcPr>
            <w:tcW w:w="999" w:type="pct"/>
            <w:tcBorders>
              <w:bottom w:val="single" w:sz="4" w:space="0" w:color="auto"/>
            </w:tcBorders>
          </w:tcPr>
          <w:p w:rsidR="00000000" w:rsidRDefault="00000000">
            <w:pPr>
              <w:pStyle w:val="a2"/>
              <w:spacing w:before="60" w:after="20"/>
              <w:jc w:val="center"/>
              <w:rPr>
                <w:rFonts w:ascii="Time New Roman" w:eastAsia="SimHei" w:hAnsi="Time New Roman" w:hint="eastAsia"/>
              </w:rPr>
            </w:pPr>
            <w:r>
              <w:rPr>
                <w:rFonts w:ascii="Time New Roman" w:eastAsia="SimHei" w:hAnsi="Time New Roman" w:hint="eastAsia"/>
              </w:rPr>
              <w:t>报告传染病</w:t>
            </w:r>
          </w:p>
        </w:tc>
        <w:tc>
          <w:tcPr>
            <w:tcW w:w="999" w:type="pct"/>
            <w:tcBorders>
              <w:bottom w:val="single" w:sz="4" w:space="0" w:color="auto"/>
            </w:tcBorders>
          </w:tcPr>
          <w:p w:rsidR="00000000" w:rsidRDefault="00000000">
            <w:pPr>
              <w:pStyle w:val="a2"/>
              <w:spacing w:before="60" w:after="20"/>
              <w:jc w:val="center"/>
              <w:rPr>
                <w:rFonts w:ascii="Time New Roman" w:eastAsia="SimHei" w:hAnsi="Time New Roman" w:hint="eastAsia"/>
              </w:rPr>
            </w:pPr>
            <w:r>
              <w:rPr>
                <w:rFonts w:ascii="Time New Roman" w:eastAsia="SimHei" w:hAnsi="Time New Roman" w:hint="eastAsia"/>
                <w:b/>
              </w:rPr>
              <w:t>1980</w:t>
            </w:r>
            <w:r>
              <w:rPr>
                <w:rFonts w:ascii="Time New Roman" w:eastAsia="SimHei" w:hAnsi="Time New Roman" w:hint="eastAsia"/>
              </w:rPr>
              <w:t>年</w:t>
            </w:r>
          </w:p>
        </w:tc>
        <w:tc>
          <w:tcPr>
            <w:tcW w:w="1000" w:type="pct"/>
            <w:tcBorders>
              <w:bottom w:val="single" w:sz="4" w:space="0" w:color="auto"/>
            </w:tcBorders>
          </w:tcPr>
          <w:p w:rsidR="00000000" w:rsidRDefault="00000000">
            <w:pPr>
              <w:pStyle w:val="a2"/>
              <w:spacing w:before="60" w:after="20"/>
              <w:jc w:val="center"/>
              <w:rPr>
                <w:rFonts w:ascii="Time New Roman" w:eastAsia="SimHei" w:hAnsi="Time New Roman" w:hint="eastAsia"/>
              </w:rPr>
            </w:pPr>
            <w:r>
              <w:rPr>
                <w:rFonts w:ascii="Time New Roman" w:eastAsia="SimHei" w:hAnsi="Time New Roman" w:hint="eastAsia"/>
                <w:b/>
              </w:rPr>
              <w:t>1990</w:t>
            </w:r>
            <w:r>
              <w:rPr>
                <w:rFonts w:ascii="Time New Roman" w:eastAsia="SimHei" w:hAnsi="Time New Roman" w:hint="eastAsia"/>
              </w:rPr>
              <w:t>年</w:t>
            </w:r>
          </w:p>
        </w:tc>
        <w:tc>
          <w:tcPr>
            <w:tcW w:w="1000" w:type="pct"/>
            <w:tcBorders>
              <w:bottom w:val="single" w:sz="4" w:space="0" w:color="auto"/>
            </w:tcBorders>
          </w:tcPr>
          <w:p w:rsidR="00000000" w:rsidRDefault="00000000">
            <w:pPr>
              <w:pStyle w:val="a2"/>
              <w:spacing w:before="60" w:after="20"/>
              <w:jc w:val="center"/>
              <w:rPr>
                <w:rFonts w:ascii="Time New Roman" w:eastAsia="SimHei" w:hAnsi="Time New Roman" w:hint="eastAsia"/>
              </w:rPr>
            </w:pPr>
            <w:r>
              <w:rPr>
                <w:rFonts w:ascii="Time New Roman" w:eastAsia="SimHei" w:hAnsi="Time New Roman" w:hint="eastAsia"/>
                <w:b/>
              </w:rPr>
              <w:t>2000</w:t>
            </w:r>
            <w:r>
              <w:rPr>
                <w:rFonts w:ascii="Time New Roman" w:eastAsia="SimHei" w:hAnsi="Time New Roman" w:hint="eastAsia"/>
              </w:rPr>
              <w:t>年</w:t>
            </w:r>
          </w:p>
        </w:tc>
        <w:tc>
          <w:tcPr>
            <w:tcW w:w="1001" w:type="pct"/>
            <w:tcBorders>
              <w:bottom w:val="single" w:sz="4" w:space="0" w:color="auto"/>
            </w:tcBorders>
          </w:tcPr>
          <w:p w:rsidR="00000000" w:rsidRDefault="00000000">
            <w:pPr>
              <w:pStyle w:val="a2"/>
              <w:spacing w:before="60" w:after="20"/>
              <w:jc w:val="center"/>
              <w:rPr>
                <w:rFonts w:ascii="Time New Roman" w:eastAsia="SimHei" w:hAnsi="Time New Roman" w:hint="eastAsia"/>
              </w:rPr>
            </w:pPr>
            <w:r>
              <w:rPr>
                <w:rFonts w:ascii="Time New Roman" w:eastAsia="SimHei" w:hAnsi="Time New Roman" w:hint="eastAsia"/>
                <w:b/>
              </w:rPr>
              <w:t>1980</w:t>
            </w:r>
            <w:r>
              <w:rPr>
                <w:rFonts w:ascii="Time New Roman" w:eastAsia="SimHei" w:hAnsi="Time New Roman" w:hint="eastAsia"/>
              </w:rPr>
              <w:t>-</w:t>
            </w:r>
            <w:r>
              <w:rPr>
                <w:rFonts w:ascii="Time New Roman" w:eastAsia="SimHei" w:hAnsi="Time New Roman" w:hint="eastAsia"/>
                <w:b/>
              </w:rPr>
              <w:t>2000</w:t>
            </w:r>
            <w:r>
              <w:rPr>
                <w:rFonts w:ascii="Time New Roman" w:eastAsia="SimHei" w:hAnsi="Time New Roman" w:hint="eastAsia"/>
              </w:rPr>
              <w:t>年变化</w:t>
            </w:r>
            <w:r>
              <w:rPr>
                <w:rFonts w:ascii="Time New Roman" w:eastAsia="SimHei" w:hAnsi="Time New Roman" w:hint="eastAsia"/>
              </w:rPr>
              <w:t>%</w:t>
            </w:r>
          </w:p>
        </w:tc>
      </w:tr>
      <w:tr w:rsidR="00000000">
        <w:tblPrEx>
          <w:tblCellMar>
            <w:top w:w="0" w:type="dxa"/>
            <w:bottom w:w="0" w:type="dxa"/>
          </w:tblCellMar>
        </w:tblPrEx>
        <w:tc>
          <w:tcPr>
            <w:tcW w:w="999" w:type="pct"/>
            <w:tcBorders>
              <w:bottom w:val="nil"/>
            </w:tcBorders>
          </w:tcPr>
          <w:p w:rsidR="00000000" w:rsidRDefault="00000000">
            <w:pPr>
              <w:pStyle w:val="a2"/>
              <w:ind w:left="170"/>
              <w:rPr>
                <w:rFonts w:hint="eastAsia"/>
              </w:rPr>
            </w:pPr>
            <w:r>
              <w:rPr>
                <w:rFonts w:hint="eastAsia"/>
              </w:rPr>
              <w:t>总</w:t>
            </w:r>
            <w:r>
              <w:rPr>
                <w:rFonts w:hint="eastAsia"/>
              </w:rPr>
              <w:t xml:space="preserve">  </w:t>
            </w:r>
            <w:r>
              <w:rPr>
                <w:rFonts w:hint="eastAsia"/>
              </w:rPr>
              <w:t>计</w:t>
            </w:r>
          </w:p>
        </w:tc>
        <w:tc>
          <w:tcPr>
            <w:tcW w:w="999" w:type="pct"/>
            <w:tcBorders>
              <w:bottom w:val="nil"/>
            </w:tcBorders>
            <w:vAlign w:val="center"/>
          </w:tcPr>
          <w:p w:rsidR="00000000" w:rsidRDefault="00000000">
            <w:pPr>
              <w:pStyle w:val="a2"/>
              <w:tabs>
                <w:tab w:val="decimal" w:pos="840"/>
              </w:tabs>
            </w:pPr>
            <w:r>
              <w:t>2,079.79</w:t>
            </w:r>
          </w:p>
        </w:tc>
        <w:tc>
          <w:tcPr>
            <w:tcW w:w="1000" w:type="pct"/>
            <w:tcBorders>
              <w:bottom w:val="nil"/>
            </w:tcBorders>
            <w:vAlign w:val="center"/>
          </w:tcPr>
          <w:p w:rsidR="00000000" w:rsidRDefault="00000000">
            <w:pPr>
              <w:pStyle w:val="a2"/>
              <w:tabs>
                <w:tab w:val="decimal" w:pos="840"/>
              </w:tabs>
            </w:pPr>
            <w:r>
              <w:t>292.21</w:t>
            </w:r>
          </w:p>
        </w:tc>
        <w:tc>
          <w:tcPr>
            <w:tcW w:w="1000" w:type="pct"/>
            <w:tcBorders>
              <w:bottom w:val="nil"/>
            </w:tcBorders>
            <w:vAlign w:val="center"/>
          </w:tcPr>
          <w:p w:rsidR="00000000" w:rsidRDefault="00000000">
            <w:pPr>
              <w:pStyle w:val="a2"/>
              <w:tabs>
                <w:tab w:val="decimal" w:pos="840"/>
              </w:tabs>
            </w:pPr>
            <w:r>
              <w:t>185.98</w:t>
            </w:r>
          </w:p>
        </w:tc>
        <w:tc>
          <w:tcPr>
            <w:tcW w:w="1001" w:type="pct"/>
            <w:tcBorders>
              <w:bottom w:val="nil"/>
            </w:tcBorders>
            <w:vAlign w:val="center"/>
          </w:tcPr>
          <w:p w:rsidR="00000000" w:rsidRDefault="00000000">
            <w:pPr>
              <w:pStyle w:val="a2"/>
              <w:tabs>
                <w:tab w:val="decimal" w:pos="840"/>
              </w:tabs>
            </w:pPr>
            <w:r>
              <w:noBreakHyphen/>
              <w:t>91.06</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霍乱</w:t>
            </w:r>
          </w:p>
        </w:tc>
        <w:tc>
          <w:tcPr>
            <w:tcW w:w="999" w:type="pct"/>
            <w:tcBorders>
              <w:top w:val="nil"/>
              <w:bottom w:val="nil"/>
            </w:tcBorders>
            <w:vAlign w:val="center"/>
          </w:tcPr>
          <w:p w:rsidR="00000000" w:rsidRDefault="00000000">
            <w:pPr>
              <w:pStyle w:val="a2"/>
              <w:tabs>
                <w:tab w:val="decimal" w:pos="840"/>
              </w:tabs>
            </w:pPr>
            <w:r>
              <w:t>4.16</w:t>
            </w:r>
          </w:p>
        </w:tc>
        <w:tc>
          <w:tcPr>
            <w:tcW w:w="1000" w:type="pct"/>
            <w:tcBorders>
              <w:top w:val="nil"/>
              <w:bottom w:val="nil"/>
            </w:tcBorders>
            <w:vAlign w:val="center"/>
          </w:tcPr>
          <w:p w:rsidR="00000000" w:rsidRDefault="00000000">
            <w:pPr>
              <w:pStyle w:val="a2"/>
              <w:tabs>
                <w:tab w:val="decimal" w:pos="840"/>
              </w:tabs>
            </w:pPr>
            <w:r>
              <w:t>0.06</w:t>
            </w:r>
          </w:p>
        </w:tc>
        <w:tc>
          <w:tcPr>
            <w:tcW w:w="1000" w:type="pct"/>
            <w:tcBorders>
              <w:top w:val="nil"/>
              <w:bottom w:val="nil"/>
            </w:tcBorders>
            <w:vAlign w:val="center"/>
          </w:tcPr>
          <w:p w:rsidR="00000000" w:rsidRDefault="00000000">
            <w:pPr>
              <w:pStyle w:val="a2"/>
              <w:tabs>
                <w:tab w:val="decimal" w:pos="840"/>
              </w:tabs>
            </w:pPr>
            <w:r>
              <w:t>0.15</w:t>
            </w:r>
          </w:p>
        </w:tc>
        <w:tc>
          <w:tcPr>
            <w:tcW w:w="1001" w:type="pct"/>
            <w:tcBorders>
              <w:top w:val="nil"/>
              <w:bottom w:val="nil"/>
            </w:tcBorders>
            <w:vAlign w:val="center"/>
          </w:tcPr>
          <w:p w:rsidR="00000000" w:rsidRDefault="00000000">
            <w:pPr>
              <w:pStyle w:val="a2"/>
              <w:tabs>
                <w:tab w:val="decimal" w:pos="840"/>
              </w:tabs>
            </w:pPr>
            <w:r>
              <w:noBreakHyphen/>
              <w:t>96.39</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白喉</w:t>
            </w:r>
          </w:p>
        </w:tc>
        <w:tc>
          <w:tcPr>
            <w:tcW w:w="999" w:type="pct"/>
            <w:tcBorders>
              <w:top w:val="nil"/>
              <w:bottom w:val="nil"/>
            </w:tcBorders>
            <w:vAlign w:val="center"/>
          </w:tcPr>
          <w:p w:rsidR="00000000" w:rsidRDefault="00000000">
            <w:pPr>
              <w:pStyle w:val="a2"/>
              <w:tabs>
                <w:tab w:val="decimal" w:pos="840"/>
              </w:tabs>
            </w:pPr>
            <w:r>
              <w:t>1</w:t>
            </w:r>
          </w:p>
        </w:tc>
        <w:tc>
          <w:tcPr>
            <w:tcW w:w="1000" w:type="pct"/>
            <w:tcBorders>
              <w:top w:val="nil"/>
              <w:bottom w:val="nil"/>
            </w:tcBorders>
            <w:vAlign w:val="center"/>
          </w:tcPr>
          <w:p w:rsidR="00000000" w:rsidRDefault="00000000">
            <w:pPr>
              <w:pStyle w:val="a2"/>
              <w:tabs>
                <w:tab w:val="decimal" w:pos="840"/>
              </w:tabs>
            </w:pPr>
            <w:r>
              <w:t>0.04</w:t>
            </w:r>
          </w:p>
        </w:tc>
        <w:tc>
          <w:tcPr>
            <w:tcW w:w="1000" w:type="pct"/>
            <w:tcBorders>
              <w:top w:val="nil"/>
              <w:bottom w:val="nil"/>
            </w:tcBorders>
            <w:vAlign w:val="center"/>
          </w:tcPr>
          <w:p w:rsidR="00000000" w:rsidRDefault="00000000">
            <w:pPr>
              <w:pStyle w:val="a2"/>
              <w:tabs>
                <w:tab w:val="decimal" w:pos="840"/>
              </w:tabs>
            </w:pPr>
            <w:r>
              <w:t>0</w:t>
            </w:r>
          </w:p>
        </w:tc>
        <w:tc>
          <w:tcPr>
            <w:tcW w:w="1001" w:type="pct"/>
            <w:tcBorders>
              <w:top w:val="nil"/>
              <w:bottom w:val="nil"/>
            </w:tcBorders>
            <w:vAlign w:val="center"/>
          </w:tcPr>
          <w:p w:rsidR="00000000" w:rsidRDefault="00000000">
            <w:pPr>
              <w:pStyle w:val="a2"/>
              <w:tabs>
                <w:tab w:val="decimal" w:pos="840"/>
              </w:tabs>
            </w:pPr>
            <w:r>
              <w:noBreakHyphen/>
              <w:t>100.00</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流脑</w:t>
            </w:r>
          </w:p>
        </w:tc>
        <w:tc>
          <w:tcPr>
            <w:tcW w:w="999" w:type="pct"/>
            <w:tcBorders>
              <w:top w:val="nil"/>
              <w:bottom w:val="nil"/>
            </w:tcBorders>
            <w:vAlign w:val="center"/>
          </w:tcPr>
          <w:p w:rsidR="00000000" w:rsidRDefault="00000000">
            <w:pPr>
              <w:pStyle w:val="a2"/>
              <w:tabs>
                <w:tab w:val="decimal" w:pos="840"/>
              </w:tabs>
            </w:pPr>
            <w:r>
              <w:t>23.44</w:t>
            </w:r>
          </w:p>
        </w:tc>
        <w:tc>
          <w:tcPr>
            <w:tcW w:w="1000" w:type="pct"/>
            <w:tcBorders>
              <w:top w:val="nil"/>
              <w:bottom w:val="nil"/>
            </w:tcBorders>
            <w:vAlign w:val="center"/>
          </w:tcPr>
          <w:p w:rsidR="00000000" w:rsidRDefault="00000000">
            <w:pPr>
              <w:pStyle w:val="a2"/>
              <w:tabs>
                <w:tab w:val="decimal" w:pos="840"/>
              </w:tabs>
            </w:pPr>
            <w:r>
              <w:t>0.87</w:t>
            </w:r>
          </w:p>
        </w:tc>
        <w:tc>
          <w:tcPr>
            <w:tcW w:w="1000" w:type="pct"/>
            <w:tcBorders>
              <w:top w:val="nil"/>
              <w:bottom w:val="nil"/>
            </w:tcBorders>
            <w:vAlign w:val="center"/>
          </w:tcPr>
          <w:p w:rsidR="00000000" w:rsidRDefault="00000000">
            <w:pPr>
              <w:pStyle w:val="a2"/>
              <w:tabs>
                <w:tab w:val="decimal" w:pos="840"/>
              </w:tabs>
            </w:pPr>
            <w:r>
              <w:t>0.19</w:t>
            </w:r>
          </w:p>
        </w:tc>
        <w:tc>
          <w:tcPr>
            <w:tcW w:w="1001" w:type="pct"/>
            <w:tcBorders>
              <w:top w:val="nil"/>
              <w:bottom w:val="nil"/>
            </w:tcBorders>
            <w:vAlign w:val="center"/>
          </w:tcPr>
          <w:p w:rsidR="00000000" w:rsidRDefault="00000000">
            <w:pPr>
              <w:pStyle w:val="a2"/>
              <w:tabs>
                <w:tab w:val="decimal" w:pos="840"/>
              </w:tabs>
            </w:pPr>
            <w:r>
              <w:noBreakHyphen/>
              <w:t>99.19</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百日咳</w:t>
            </w:r>
          </w:p>
        </w:tc>
        <w:tc>
          <w:tcPr>
            <w:tcW w:w="999" w:type="pct"/>
            <w:tcBorders>
              <w:top w:val="nil"/>
              <w:bottom w:val="nil"/>
            </w:tcBorders>
            <w:vAlign w:val="center"/>
          </w:tcPr>
          <w:p w:rsidR="00000000" w:rsidRDefault="00000000">
            <w:pPr>
              <w:pStyle w:val="a2"/>
              <w:tabs>
                <w:tab w:val="decimal" w:pos="840"/>
              </w:tabs>
            </w:pPr>
            <w:r>
              <w:t>62.82</w:t>
            </w:r>
          </w:p>
        </w:tc>
        <w:tc>
          <w:tcPr>
            <w:tcW w:w="1000" w:type="pct"/>
            <w:tcBorders>
              <w:top w:val="nil"/>
              <w:bottom w:val="nil"/>
            </w:tcBorders>
            <w:vAlign w:val="center"/>
          </w:tcPr>
          <w:p w:rsidR="00000000" w:rsidRDefault="00000000">
            <w:pPr>
              <w:pStyle w:val="a2"/>
              <w:tabs>
                <w:tab w:val="decimal" w:pos="840"/>
              </w:tabs>
            </w:pPr>
            <w:r>
              <w:t>1.76</w:t>
            </w:r>
          </w:p>
        </w:tc>
        <w:tc>
          <w:tcPr>
            <w:tcW w:w="1000" w:type="pct"/>
            <w:tcBorders>
              <w:top w:val="nil"/>
              <w:bottom w:val="nil"/>
            </w:tcBorders>
            <w:vAlign w:val="center"/>
          </w:tcPr>
          <w:p w:rsidR="00000000" w:rsidRDefault="00000000">
            <w:pPr>
              <w:pStyle w:val="a2"/>
              <w:tabs>
                <w:tab w:val="decimal" w:pos="840"/>
              </w:tabs>
            </w:pPr>
            <w:r>
              <w:t>0.45</w:t>
            </w:r>
          </w:p>
        </w:tc>
        <w:tc>
          <w:tcPr>
            <w:tcW w:w="1001" w:type="pct"/>
            <w:tcBorders>
              <w:top w:val="nil"/>
              <w:bottom w:val="nil"/>
            </w:tcBorders>
            <w:vAlign w:val="center"/>
          </w:tcPr>
          <w:p w:rsidR="00000000" w:rsidRDefault="00000000">
            <w:pPr>
              <w:pStyle w:val="a2"/>
              <w:tabs>
                <w:tab w:val="decimal" w:pos="840"/>
              </w:tabs>
            </w:pPr>
            <w:r>
              <w:noBreakHyphen/>
              <w:t>99.28</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猩红热</w:t>
            </w:r>
          </w:p>
        </w:tc>
        <w:tc>
          <w:tcPr>
            <w:tcW w:w="999" w:type="pct"/>
            <w:tcBorders>
              <w:top w:val="nil"/>
              <w:bottom w:val="nil"/>
            </w:tcBorders>
            <w:vAlign w:val="center"/>
          </w:tcPr>
          <w:p w:rsidR="00000000" w:rsidRDefault="00000000">
            <w:pPr>
              <w:pStyle w:val="a2"/>
              <w:tabs>
                <w:tab w:val="decimal" w:pos="840"/>
              </w:tabs>
            </w:pPr>
            <w:r>
              <w:t>10.95</w:t>
            </w:r>
          </w:p>
        </w:tc>
        <w:tc>
          <w:tcPr>
            <w:tcW w:w="1000" w:type="pct"/>
            <w:tcBorders>
              <w:top w:val="nil"/>
              <w:bottom w:val="nil"/>
            </w:tcBorders>
            <w:vAlign w:val="center"/>
          </w:tcPr>
          <w:p w:rsidR="00000000" w:rsidRDefault="00000000">
            <w:pPr>
              <w:pStyle w:val="a2"/>
              <w:tabs>
                <w:tab w:val="decimal" w:pos="840"/>
              </w:tabs>
            </w:pPr>
            <w:r>
              <w:t>2.66</w:t>
            </w:r>
          </w:p>
        </w:tc>
        <w:tc>
          <w:tcPr>
            <w:tcW w:w="1000" w:type="pct"/>
            <w:tcBorders>
              <w:top w:val="nil"/>
              <w:bottom w:val="nil"/>
            </w:tcBorders>
            <w:vAlign w:val="center"/>
          </w:tcPr>
          <w:p w:rsidR="00000000" w:rsidRDefault="00000000">
            <w:pPr>
              <w:pStyle w:val="a2"/>
              <w:tabs>
                <w:tab w:val="decimal" w:pos="840"/>
              </w:tabs>
            </w:pPr>
            <w:r>
              <w:t>1.03</w:t>
            </w:r>
          </w:p>
        </w:tc>
        <w:tc>
          <w:tcPr>
            <w:tcW w:w="1001" w:type="pct"/>
            <w:tcBorders>
              <w:top w:val="nil"/>
              <w:bottom w:val="nil"/>
            </w:tcBorders>
            <w:vAlign w:val="center"/>
          </w:tcPr>
          <w:p w:rsidR="00000000" w:rsidRDefault="00000000">
            <w:pPr>
              <w:pStyle w:val="a2"/>
              <w:tabs>
                <w:tab w:val="decimal" w:pos="840"/>
              </w:tabs>
            </w:pPr>
            <w:r>
              <w:noBreakHyphen/>
              <w:t>90.59</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麻疹</w:t>
            </w:r>
          </w:p>
        </w:tc>
        <w:tc>
          <w:tcPr>
            <w:tcW w:w="999" w:type="pct"/>
            <w:tcBorders>
              <w:top w:val="nil"/>
              <w:bottom w:val="nil"/>
            </w:tcBorders>
            <w:vAlign w:val="center"/>
          </w:tcPr>
          <w:p w:rsidR="00000000" w:rsidRDefault="00000000">
            <w:pPr>
              <w:pStyle w:val="a2"/>
              <w:tabs>
                <w:tab w:val="decimal" w:pos="840"/>
              </w:tabs>
            </w:pPr>
            <w:r>
              <w:t>114.88</w:t>
            </w:r>
          </w:p>
        </w:tc>
        <w:tc>
          <w:tcPr>
            <w:tcW w:w="1000" w:type="pct"/>
            <w:tcBorders>
              <w:top w:val="nil"/>
              <w:bottom w:val="nil"/>
            </w:tcBorders>
            <w:vAlign w:val="center"/>
          </w:tcPr>
          <w:p w:rsidR="00000000" w:rsidRDefault="00000000">
            <w:pPr>
              <w:pStyle w:val="a2"/>
              <w:tabs>
                <w:tab w:val="decimal" w:pos="840"/>
              </w:tabs>
            </w:pPr>
            <w:r>
              <w:t>7.59</w:t>
            </w:r>
          </w:p>
        </w:tc>
        <w:tc>
          <w:tcPr>
            <w:tcW w:w="1000" w:type="pct"/>
            <w:tcBorders>
              <w:top w:val="nil"/>
              <w:bottom w:val="nil"/>
            </w:tcBorders>
            <w:vAlign w:val="center"/>
          </w:tcPr>
          <w:p w:rsidR="00000000" w:rsidRDefault="00000000">
            <w:pPr>
              <w:pStyle w:val="a2"/>
              <w:tabs>
                <w:tab w:val="decimal" w:pos="840"/>
              </w:tabs>
            </w:pPr>
            <w:r>
              <w:t>5.74</w:t>
            </w:r>
          </w:p>
        </w:tc>
        <w:tc>
          <w:tcPr>
            <w:tcW w:w="1001" w:type="pct"/>
            <w:tcBorders>
              <w:top w:val="nil"/>
              <w:bottom w:val="nil"/>
            </w:tcBorders>
            <w:vAlign w:val="center"/>
          </w:tcPr>
          <w:p w:rsidR="00000000" w:rsidRDefault="00000000">
            <w:pPr>
              <w:pStyle w:val="a2"/>
              <w:tabs>
                <w:tab w:val="decimal" w:pos="840"/>
              </w:tabs>
            </w:pPr>
            <w:r>
              <w:noBreakHyphen/>
              <w:t>95.00</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痢疾</w:t>
            </w:r>
          </w:p>
        </w:tc>
        <w:tc>
          <w:tcPr>
            <w:tcW w:w="999" w:type="pct"/>
            <w:tcBorders>
              <w:top w:val="nil"/>
              <w:bottom w:val="nil"/>
            </w:tcBorders>
            <w:vAlign w:val="center"/>
          </w:tcPr>
          <w:p w:rsidR="00000000" w:rsidRDefault="00000000">
            <w:pPr>
              <w:pStyle w:val="a2"/>
              <w:tabs>
                <w:tab w:val="decimal" w:pos="840"/>
              </w:tabs>
            </w:pPr>
            <w:r>
              <w:t>568.99</w:t>
            </w:r>
          </w:p>
        </w:tc>
        <w:tc>
          <w:tcPr>
            <w:tcW w:w="1000" w:type="pct"/>
            <w:tcBorders>
              <w:top w:val="nil"/>
              <w:bottom w:val="nil"/>
            </w:tcBorders>
            <w:vAlign w:val="center"/>
          </w:tcPr>
          <w:p w:rsidR="00000000" w:rsidRDefault="00000000">
            <w:pPr>
              <w:pStyle w:val="a2"/>
              <w:tabs>
                <w:tab w:val="decimal" w:pos="840"/>
              </w:tabs>
            </w:pPr>
            <w:r>
              <w:t>125.28</w:t>
            </w:r>
          </w:p>
        </w:tc>
        <w:tc>
          <w:tcPr>
            <w:tcW w:w="1000" w:type="pct"/>
            <w:tcBorders>
              <w:top w:val="nil"/>
              <w:bottom w:val="nil"/>
            </w:tcBorders>
            <w:vAlign w:val="center"/>
          </w:tcPr>
          <w:p w:rsidR="00000000" w:rsidRDefault="00000000">
            <w:pPr>
              <w:pStyle w:val="a2"/>
              <w:tabs>
                <w:tab w:val="decimal" w:pos="840"/>
              </w:tabs>
            </w:pPr>
            <w:r>
              <w:t>39.65</w:t>
            </w:r>
          </w:p>
        </w:tc>
        <w:tc>
          <w:tcPr>
            <w:tcW w:w="1001" w:type="pct"/>
            <w:tcBorders>
              <w:top w:val="nil"/>
              <w:bottom w:val="nil"/>
            </w:tcBorders>
            <w:vAlign w:val="center"/>
          </w:tcPr>
          <w:p w:rsidR="00000000" w:rsidRDefault="00000000">
            <w:pPr>
              <w:pStyle w:val="a2"/>
              <w:tabs>
                <w:tab w:val="decimal" w:pos="840"/>
              </w:tabs>
            </w:pPr>
            <w:r>
              <w:noBreakHyphen/>
              <w:t>93.03</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伤寒副伤寒</w:t>
            </w:r>
          </w:p>
        </w:tc>
        <w:tc>
          <w:tcPr>
            <w:tcW w:w="999" w:type="pct"/>
            <w:tcBorders>
              <w:top w:val="nil"/>
              <w:bottom w:val="nil"/>
            </w:tcBorders>
            <w:vAlign w:val="center"/>
          </w:tcPr>
          <w:p w:rsidR="00000000" w:rsidRDefault="00000000">
            <w:pPr>
              <w:pStyle w:val="a2"/>
              <w:tabs>
                <w:tab w:val="decimal" w:pos="840"/>
              </w:tabs>
            </w:pPr>
            <w:r>
              <w:t>11.94</w:t>
            </w:r>
          </w:p>
        </w:tc>
        <w:tc>
          <w:tcPr>
            <w:tcW w:w="1000" w:type="pct"/>
            <w:tcBorders>
              <w:top w:val="nil"/>
              <w:bottom w:val="nil"/>
            </w:tcBorders>
            <w:vAlign w:val="center"/>
          </w:tcPr>
          <w:p w:rsidR="00000000" w:rsidRDefault="00000000">
            <w:pPr>
              <w:pStyle w:val="a2"/>
              <w:tabs>
                <w:tab w:val="decimal" w:pos="840"/>
              </w:tabs>
            </w:pPr>
            <w:r>
              <w:t>10.14</w:t>
            </w:r>
          </w:p>
        </w:tc>
        <w:tc>
          <w:tcPr>
            <w:tcW w:w="1000" w:type="pct"/>
            <w:tcBorders>
              <w:top w:val="nil"/>
              <w:bottom w:val="nil"/>
            </w:tcBorders>
            <w:vAlign w:val="center"/>
          </w:tcPr>
          <w:p w:rsidR="00000000" w:rsidRDefault="00000000">
            <w:pPr>
              <w:pStyle w:val="a2"/>
              <w:tabs>
                <w:tab w:val="decimal" w:pos="840"/>
              </w:tabs>
            </w:pPr>
            <w:r>
              <w:t>3.9</w:t>
            </w:r>
          </w:p>
        </w:tc>
        <w:tc>
          <w:tcPr>
            <w:tcW w:w="1001" w:type="pct"/>
            <w:tcBorders>
              <w:top w:val="nil"/>
              <w:bottom w:val="nil"/>
            </w:tcBorders>
            <w:vAlign w:val="center"/>
          </w:tcPr>
          <w:p w:rsidR="00000000" w:rsidRDefault="00000000">
            <w:pPr>
              <w:pStyle w:val="a2"/>
              <w:tabs>
                <w:tab w:val="decimal" w:pos="840"/>
              </w:tabs>
            </w:pPr>
            <w:r>
              <w:noBreakHyphen/>
              <w:t>67.34</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病毒性肝炎</w:t>
            </w:r>
          </w:p>
        </w:tc>
        <w:tc>
          <w:tcPr>
            <w:tcW w:w="999" w:type="pct"/>
            <w:tcBorders>
              <w:top w:val="nil"/>
              <w:bottom w:val="nil"/>
            </w:tcBorders>
            <w:vAlign w:val="center"/>
          </w:tcPr>
          <w:p w:rsidR="00000000" w:rsidRDefault="00000000">
            <w:pPr>
              <w:pStyle w:val="a2"/>
              <w:tabs>
                <w:tab w:val="decimal" w:pos="840"/>
              </w:tabs>
            </w:pPr>
            <w:r>
              <w:t>111.47</w:t>
            </w:r>
          </w:p>
        </w:tc>
        <w:tc>
          <w:tcPr>
            <w:tcW w:w="1000" w:type="pct"/>
            <w:tcBorders>
              <w:top w:val="nil"/>
              <w:bottom w:val="nil"/>
            </w:tcBorders>
            <w:vAlign w:val="center"/>
          </w:tcPr>
          <w:p w:rsidR="00000000" w:rsidRDefault="00000000">
            <w:pPr>
              <w:pStyle w:val="a2"/>
              <w:tabs>
                <w:tab w:val="decimal" w:pos="840"/>
              </w:tabs>
            </w:pPr>
            <w:r>
              <w:t>115.58</w:t>
            </w:r>
          </w:p>
        </w:tc>
        <w:tc>
          <w:tcPr>
            <w:tcW w:w="1000" w:type="pct"/>
            <w:tcBorders>
              <w:top w:val="nil"/>
              <w:bottom w:val="nil"/>
            </w:tcBorders>
            <w:vAlign w:val="center"/>
          </w:tcPr>
          <w:p w:rsidR="00000000" w:rsidRDefault="00000000">
            <w:pPr>
              <w:pStyle w:val="a2"/>
              <w:tabs>
                <w:tab w:val="decimal" w:pos="840"/>
              </w:tabs>
            </w:pPr>
            <w:r>
              <w:t>63.04</w:t>
            </w:r>
          </w:p>
        </w:tc>
        <w:tc>
          <w:tcPr>
            <w:tcW w:w="1001" w:type="pct"/>
            <w:tcBorders>
              <w:top w:val="nil"/>
              <w:bottom w:val="nil"/>
            </w:tcBorders>
            <w:vAlign w:val="center"/>
          </w:tcPr>
          <w:p w:rsidR="00000000" w:rsidRDefault="00000000">
            <w:pPr>
              <w:pStyle w:val="a2"/>
              <w:tabs>
                <w:tab w:val="decimal" w:pos="840"/>
              </w:tabs>
            </w:pPr>
            <w:r>
              <w:noBreakHyphen/>
              <w:t>43.45</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乙脑</w:t>
            </w:r>
          </w:p>
        </w:tc>
        <w:tc>
          <w:tcPr>
            <w:tcW w:w="999" w:type="pct"/>
            <w:tcBorders>
              <w:top w:val="nil"/>
              <w:bottom w:val="nil"/>
            </w:tcBorders>
            <w:vAlign w:val="center"/>
          </w:tcPr>
          <w:p w:rsidR="00000000" w:rsidRDefault="00000000">
            <w:pPr>
              <w:pStyle w:val="a2"/>
              <w:tabs>
                <w:tab w:val="decimal" w:pos="840"/>
              </w:tabs>
            </w:pPr>
            <w:r>
              <w:t>3.31</w:t>
            </w:r>
          </w:p>
        </w:tc>
        <w:tc>
          <w:tcPr>
            <w:tcW w:w="1000" w:type="pct"/>
            <w:tcBorders>
              <w:top w:val="nil"/>
              <w:bottom w:val="nil"/>
            </w:tcBorders>
            <w:vAlign w:val="center"/>
          </w:tcPr>
          <w:p w:rsidR="00000000" w:rsidRDefault="00000000">
            <w:pPr>
              <w:pStyle w:val="a2"/>
              <w:tabs>
                <w:tab w:val="decimal" w:pos="840"/>
              </w:tabs>
            </w:pPr>
            <w:r>
              <w:t>3.37</w:t>
            </w:r>
          </w:p>
        </w:tc>
        <w:tc>
          <w:tcPr>
            <w:tcW w:w="1000" w:type="pct"/>
            <w:tcBorders>
              <w:top w:val="nil"/>
              <w:bottom w:val="nil"/>
            </w:tcBorders>
            <w:vAlign w:val="center"/>
          </w:tcPr>
          <w:p w:rsidR="00000000" w:rsidRDefault="00000000">
            <w:pPr>
              <w:pStyle w:val="a2"/>
              <w:tabs>
                <w:tab w:val="decimal" w:pos="840"/>
              </w:tabs>
            </w:pPr>
            <w:r>
              <w:t>0.93</w:t>
            </w:r>
          </w:p>
        </w:tc>
        <w:tc>
          <w:tcPr>
            <w:tcW w:w="1001" w:type="pct"/>
            <w:tcBorders>
              <w:top w:val="nil"/>
              <w:bottom w:val="nil"/>
            </w:tcBorders>
            <w:vAlign w:val="center"/>
          </w:tcPr>
          <w:p w:rsidR="00000000" w:rsidRDefault="00000000">
            <w:pPr>
              <w:pStyle w:val="a2"/>
              <w:tabs>
                <w:tab w:val="decimal" w:pos="840"/>
              </w:tabs>
            </w:pPr>
            <w:r>
              <w:noBreakHyphen/>
              <w:t>71.90</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疟疾</w:t>
            </w:r>
          </w:p>
        </w:tc>
        <w:tc>
          <w:tcPr>
            <w:tcW w:w="999" w:type="pct"/>
            <w:tcBorders>
              <w:top w:val="nil"/>
              <w:bottom w:val="nil"/>
            </w:tcBorders>
            <w:vAlign w:val="center"/>
          </w:tcPr>
          <w:p w:rsidR="00000000" w:rsidRDefault="00000000">
            <w:pPr>
              <w:pStyle w:val="a2"/>
              <w:tabs>
                <w:tab w:val="decimal" w:pos="840"/>
              </w:tabs>
            </w:pPr>
            <w:r>
              <w:t>337.83</w:t>
            </w:r>
          </w:p>
        </w:tc>
        <w:tc>
          <w:tcPr>
            <w:tcW w:w="1000" w:type="pct"/>
            <w:tcBorders>
              <w:top w:val="nil"/>
              <w:bottom w:val="nil"/>
            </w:tcBorders>
            <w:vAlign w:val="center"/>
          </w:tcPr>
          <w:p w:rsidR="00000000" w:rsidRDefault="00000000">
            <w:pPr>
              <w:pStyle w:val="a2"/>
              <w:tabs>
                <w:tab w:val="decimal" w:pos="840"/>
              </w:tabs>
            </w:pPr>
            <w:r>
              <w:t>10.38</w:t>
            </w:r>
          </w:p>
        </w:tc>
        <w:tc>
          <w:tcPr>
            <w:tcW w:w="1000" w:type="pct"/>
            <w:tcBorders>
              <w:top w:val="nil"/>
              <w:bottom w:val="nil"/>
            </w:tcBorders>
            <w:vAlign w:val="center"/>
          </w:tcPr>
          <w:p w:rsidR="00000000" w:rsidRDefault="00000000">
            <w:pPr>
              <w:pStyle w:val="a2"/>
              <w:tabs>
                <w:tab w:val="decimal" w:pos="840"/>
              </w:tabs>
            </w:pPr>
            <w:r>
              <w:t>1.94</w:t>
            </w:r>
          </w:p>
        </w:tc>
        <w:tc>
          <w:tcPr>
            <w:tcW w:w="1001" w:type="pct"/>
            <w:tcBorders>
              <w:top w:val="nil"/>
              <w:bottom w:val="nil"/>
            </w:tcBorders>
            <w:vAlign w:val="center"/>
          </w:tcPr>
          <w:p w:rsidR="00000000" w:rsidRDefault="00000000">
            <w:pPr>
              <w:pStyle w:val="a2"/>
              <w:tabs>
                <w:tab w:val="decimal" w:pos="840"/>
              </w:tabs>
            </w:pPr>
            <w:r>
              <w:noBreakHyphen/>
              <w:t>99.43</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出血热</w:t>
            </w:r>
          </w:p>
        </w:tc>
        <w:tc>
          <w:tcPr>
            <w:tcW w:w="999" w:type="pct"/>
            <w:tcBorders>
              <w:top w:val="nil"/>
              <w:bottom w:val="nil"/>
            </w:tcBorders>
            <w:vAlign w:val="center"/>
          </w:tcPr>
          <w:p w:rsidR="00000000" w:rsidRDefault="00000000">
            <w:pPr>
              <w:pStyle w:val="a2"/>
              <w:tabs>
                <w:tab w:val="decimal" w:pos="840"/>
              </w:tabs>
            </w:pPr>
            <w:r>
              <w:t>3.12</w:t>
            </w:r>
          </w:p>
        </w:tc>
        <w:tc>
          <w:tcPr>
            <w:tcW w:w="1000" w:type="pct"/>
            <w:tcBorders>
              <w:top w:val="nil"/>
              <w:bottom w:val="nil"/>
            </w:tcBorders>
            <w:vAlign w:val="center"/>
          </w:tcPr>
          <w:p w:rsidR="00000000" w:rsidRDefault="00000000">
            <w:pPr>
              <w:pStyle w:val="a2"/>
              <w:tabs>
                <w:tab w:val="decimal" w:pos="840"/>
              </w:tabs>
            </w:pPr>
            <w:r>
              <w:t>3.6</w:t>
            </w:r>
          </w:p>
        </w:tc>
        <w:tc>
          <w:tcPr>
            <w:tcW w:w="1000" w:type="pct"/>
            <w:tcBorders>
              <w:top w:val="nil"/>
              <w:bottom w:val="nil"/>
            </w:tcBorders>
            <w:vAlign w:val="center"/>
          </w:tcPr>
          <w:p w:rsidR="00000000" w:rsidRDefault="00000000">
            <w:pPr>
              <w:pStyle w:val="a2"/>
              <w:tabs>
                <w:tab w:val="decimal" w:pos="840"/>
              </w:tabs>
            </w:pPr>
            <w:r>
              <w:t>2.89</w:t>
            </w:r>
          </w:p>
        </w:tc>
        <w:tc>
          <w:tcPr>
            <w:tcW w:w="1001" w:type="pct"/>
            <w:tcBorders>
              <w:top w:val="nil"/>
              <w:bottom w:val="nil"/>
            </w:tcBorders>
            <w:vAlign w:val="center"/>
          </w:tcPr>
          <w:p w:rsidR="00000000" w:rsidRDefault="00000000">
            <w:pPr>
              <w:pStyle w:val="a2"/>
              <w:tabs>
                <w:tab w:val="decimal" w:pos="840"/>
              </w:tabs>
            </w:pPr>
            <w:r>
              <w:noBreakHyphen/>
              <w:t>7.37</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钩体病</w:t>
            </w:r>
          </w:p>
        </w:tc>
        <w:tc>
          <w:tcPr>
            <w:tcW w:w="999" w:type="pct"/>
            <w:tcBorders>
              <w:top w:val="nil"/>
              <w:bottom w:val="nil"/>
            </w:tcBorders>
            <w:vAlign w:val="center"/>
          </w:tcPr>
          <w:p w:rsidR="00000000" w:rsidRDefault="00000000">
            <w:pPr>
              <w:pStyle w:val="a2"/>
              <w:tabs>
                <w:tab w:val="decimal" w:pos="840"/>
              </w:tabs>
            </w:pPr>
            <w:r>
              <w:t>3.67</w:t>
            </w:r>
          </w:p>
        </w:tc>
        <w:tc>
          <w:tcPr>
            <w:tcW w:w="1000" w:type="pct"/>
            <w:tcBorders>
              <w:top w:val="nil"/>
              <w:bottom w:val="nil"/>
            </w:tcBorders>
            <w:vAlign w:val="center"/>
          </w:tcPr>
          <w:p w:rsidR="00000000" w:rsidRDefault="00000000">
            <w:pPr>
              <w:pStyle w:val="a2"/>
              <w:tabs>
                <w:tab w:val="decimal" w:pos="840"/>
              </w:tabs>
            </w:pPr>
            <w:r>
              <w:t>2.55</w:t>
            </w:r>
          </w:p>
        </w:tc>
        <w:tc>
          <w:tcPr>
            <w:tcW w:w="1000" w:type="pct"/>
            <w:tcBorders>
              <w:top w:val="nil"/>
              <w:bottom w:val="nil"/>
            </w:tcBorders>
            <w:vAlign w:val="center"/>
          </w:tcPr>
          <w:p w:rsidR="00000000" w:rsidRDefault="00000000">
            <w:pPr>
              <w:pStyle w:val="a2"/>
              <w:tabs>
                <w:tab w:val="decimal" w:pos="840"/>
              </w:tabs>
            </w:pPr>
            <w:r>
              <w:t>0.31</w:t>
            </w:r>
          </w:p>
        </w:tc>
        <w:tc>
          <w:tcPr>
            <w:tcW w:w="1001" w:type="pct"/>
            <w:tcBorders>
              <w:top w:val="nil"/>
              <w:bottom w:val="nil"/>
            </w:tcBorders>
            <w:vAlign w:val="center"/>
          </w:tcPr>
          <w:p w:rsidR="00000000" w:rsidRDefault="00000000">
            <w:pPr>
              <w:pStyle w:val="a2"/>
              <w:tabs>
                <w:tab w:val="decimal" w:pos="840"/>
              </w:tabs>
            </w:pPr>
            <w:r>
              <w:noBreakHyphen/>
              <w:t>91.55</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狂犬病</w:t>
            </w:r>
          </w:p>
        </w:tc>
        <w:tc>
          <w:tcPr>
            <w:tcW w:w="999" w:type="pct"/>
            <w:tcBorders>
              <w:top w:val="nil"/>
              <w:bottom w:val="nil"/>
            </w:tcBorders>
            <w:vAlign w:val="center"/>
          </w:tcPr>
          <w:p w:rsidR="00000000" w:rsidRDefault="00000000">
            <w:pPr>
              <w:pStyle w:val="a2"/>
              <w:tabs>
                <w:tab w:val="decimal" w:pos="840"/>
              </w:tabs>
            </w:pPr>
            <w:r>
              <w:t>0.68</w:t>
            </w:r>
          </w:p>
        </w:tc>
        <w:tc>
          <w:tcPr>
            <w:tcW w:w="1000" w:type="pct"/>
            <w:tcBorders>
              <w:top w:val="nil"/>
              <w:bottom w:val="nil"/>
            </w:tcBorders>
            <w:vAlign w:val="center"/>
          </w:tcPr>
          <w:p w:rsidR="00000000" w:rsidRDefault="00000000">
            <w:pPr>
              <w:pStyle w:val="a2"/>
              <w:tabs>
                <w:tab w:val="decimal" w:pos="840"/>
              </w:tabs>
            </w:pPr>
            <w:r>
              <w:t>0.31</w:t>
            </w:r>
          </w:p>
        </w:tc>
        <w:tc>
          <w:tcPr>
            <w:tcW w:w="1000" w:type="pct"/>
            <w:tcBorders>
              <w:top w:val="nil"/>
              <w:bottom w:val="nil"/>
            </w:tcBorders>
            <w:vAlign w:val="center"/>
          </w:tcPr>
          <w:p w:rsidR="00000000" w:rsidRDefault="00000000">
            <w:pPr>
              <w:pStyle w:val="a2"/>
              <w:tabs>
                <w:tab w:val="decimal" w:pos="840"/>
              </w:tabs>
            </w:pPr>
            <w:r>
              <w:t>0.04</w:t>
            </w:r>
          </w:p>
        </w:tc>
        <w:tc>
          <w:tcPr>
            <w:tcW w:w="1001" w:type="pct"/>
            <w:tcBorders>
              <w:top w:val="nil"/>
              <w:bottom w:val="nil"/>
            </w:tcBorders>
            <w:vAlign w:val="center"/>
          </w:tcPr>
          <w:p w:rsidR="00000000" w:rsidRDefault="00000000">
            <w:pPr>
              <w:pStyle w:val="a2"/>
              <w:tabs>
                <w:tab w:val="decimal" w:pos="840"/>
              </w:tabs>
            </w:pPr>
            <w:r>
              <w:noBreakHyphen/>
              <w:t>94.12</w:t>
            </w:r>
          </w:p>
        </w:tc>
      </w:tr>
      <w:tr w:rsidR="00000000">
        <w:tblPrEx>
          <w:tblCellMar>
            <w:top w:w="0" w:type="dxa"/>
            <w:bottom w:w="0" w:type="dxa"/>
          </w:tblCellMar>
        </w:tblPrEx>
        <w:tc>
          <w:tcPr>
            <w:tcW w:w="999" w:type="pct"/>
            <w:tcBorders>
              <w:top w:val="nil"/>
              <w:bottom w:val="nil"/>
            </w:tcBorders>
          </w:tcPr>
          <w:p w:rsidR="00000000" w:rsidRDefault="00000000">
            <w:pPr>
              <w:pStyle w:val="a2"/>
              <w:ind w:left="340"/>
              <w:rPr>
                <w:rFonts w:hint="eastAsia"/>
              </w:rPr>
            </w:pPr>
            <w:r>
              <w:rPr>
                <w:rFonts w:hint="eastAsia"/>
              </w:rPr>
              <w:t>淋病</w:t>
            </w:r>
          </w:p>
        </w:tc>
        <w:tc>
          <w:tcPr>
            <w:tcW w:w="999" w:type="pct"/>
            <w:tcBorders>
              <w:top w:val="nil"/>
              <w:bottom w:val="nil"/>
            </w:tcBorders>
            <w:vAlign w:val="center"/>
          </w:tcPr>
          <w:p w:rsidR="00000000" w:rsidRDefault="00000000">
            <w:pPr>
              <w:pStyle w:val="a2"/>
              <w:tabs>
                <w:tab w:val="decimal" w:pos="840"/>
              </w:tabs>
            </w:pPr>
            <w:r>
              <w:t>…</w:t>
            </w:r>
          </w:p>
        </w:tc>
        <w:tc>
          <w:tcPr>
            <w:tcW w:w="1000" w:type="pct"/>
            <w:tcBorders>
              <w:top w:val="nil"/>
              <w:bottom w:val="nil"/>
            </w:tcBorders>
            <w:vAlign w:val="center"/>
          </w:tcPr>
          <w:p w:rsidR="00000000" w:rsidRDefault="00000000">
            <w:pPr>
              <w:pStyle w:val="a2"/>
              <w:tabs>
                <w:tab w:val="decimal" w:pos="840"/>
              </w:tabs>
            </w:pPr>
            <w:r>
              <w:t>6.84</w:t>
            </w:r>
          </w:p>
        </w:tc>
        <w:tc>
          <w:tcPr>
            <w:tcW w:w="1000" w:type="pct"/>
            <w:tcBorders>
              <w:top w:val="nil"/>
              <w:bottom w:val="nil"/>
            </w:tcBorders>
            <w:vAlign w:val="center"/>
          </w:tcPr>
          <w:p w:rsidR="00000000" w:rsidRDefault="00000000">
            <w:pPr>
              <w:pStyle w:val="a2"/>
              <w:tabs>
                <w:tab w:val="decimal" w:pos="840"/>
              </w:tabs>
            </w:pPr>
            <w:r>
              <w:t>18.31</w:t>
            </w:r>
          </w:p>
        </w:tc>
        <w:tc>
          <w:tcPr>
            <w:tcW w:w="1001" w:type="pct"/>
            <w:tcBorders>
              <w:top w:val="nil"/>
              <w:bottom w:val="nil"/>
            </w:tcBorders>
            <w:vAlign w:val="center"/>
          </w:tcPr>
          <w:p w:rsidR="00000000" w:rsidRDefault="00000000">
            <w:pPr>
              <w:pStyle w:val="a2"/>
              <w:tabs>
                <w:tab w:val="decimal" w:pos="840"/>
              </w:tabs>
            </w:pPr>
            <w:r>
              <w:t>167.69</w:t>
            </w:r>
          </w:p>
        </w:tc>
      </w:tr>
      <w:tr w:rsidR="00000000">
        <w:tblPrEx>
          <w:tblCellMar>
            <w:top w:w="0" w:type="dxa"/>
            <w:bottom w:w="0" w:type="dxa"/>
          </w:tblCellMar>
        </w:tblPrEx>
        <w:tc>
          <w:tcPr>
            <w:tcW w:w="999" w:type="pct"/>
            <w:tcBorders>
              <w:top w:val="nil"/>
            </w:tcBorders>
          </w:tcPr>
          <w:p w:rsidR="00000000" w:rsidRDefault="00000000">
            <w:pPr>
              <w:pStyle w:val="a2"/>
              <w:ind w:left="340"/>
              <w:rPr>
                <w:rFonts w:hint="eastAsia"/>
              </w:rPr>
            </w:pPr>
            <w:r>
              <w:rPr>
                <w:rFonts w:hint="eastAsia"/>
              </w:rPr>
              <w:t>梅毒</w:t>
            </w:r>
          </w:p>
        </w:tc>
        <w:tc>
          <w:tcPr>
            <w:tcW w:w="999" w:type="pct"/>
            <w:tcBorders>
              <w:top w:val="nil"/>
            </w:tcBorders>
            <w:vAlign w:val="center"/>
          </w:tcPr>
          <w:p w:rsidR="00000000" w:rsidRDefault="00000000">
            <w:pPr>
              <w:pStyle w:val="a2"/>
              <w:tabs>
                <w:tab w:val="decimal" w:pos="840"/>
              </w:tabs>
            </w:pPr>
            <w:r>
              <w:t>…</w:t>
            </w:r>
          </w:p>
        </w:tc>
        <w:tc>
          <w:tcPr>
            <w:tcW w:w="1000" w:type="pct"/>
            <w:tcBorders>
              <w:top w:val="nil"/>
            </w:tcBorders>
            <w:vAlign w:val="center"/>
          </w:tcPr>
          <w:p w:rsidR="00000000" w:rsidRDefault="00000000">
            <w:pPr>
              <w:pStyle w:val="a2"/>
              <w:tabs>
                <w:tab w:val="decimal" w:pos="840"/>
              </w:tabs>
            </w:pPr>
            <w:r>
              <w:t>0.09</w:t>
            </w:r>
          </w:p>
        </w:tc>
        <w:tc>
          <w:tcPr>
            <w:tcW w:w="1000" w:type="pct"/>
            <w:tcBorders>
              <w:top w:val="nil"/>
            </w:tcBorders>
            <w:vAlign w:val="center"/>
          </w:tcPr>
          <w:p w:rsidR="00000000" w:rsidRDefault="00000000">
            <w:pPr>
              <w:pStyle w:val="a2"/>
              <w:tabs>
                <w:tab w:val="decimal" w:pos="840"/>
              </w:tabs>
            </w:pPr>
            <w:r>
              <w:t>4.73</w:t>
            </w:r>
          </w:p>
        </w:tc>
        <w:tc>
          <w:tcPr>
            <w:tcW w:w="1001" w:type="pct"/>
            <w:tcBorders>
              <w:top w:val="nil"/>
            </w:tcBorders>
            <w:vAlign w:val="center"/>
          </w:tcPr>
          <w:p w:rsidR="00000000" w:rsidRDefault="00000000">
            <w:pPr>
              <w:pStyle w:val="a2"/>
              <w:tabs>
                <w:tab w:val="decimal" w:pos="840"/>
              </w:tabs>
            </w:pPr>
            <w:r>
              <w:t>5,155.56</w:t>
            </w:r>
          </w:p>
        </w:tc>
      </w:tr>
    </w:tbl>
    <w:p w:rsidR="00000000" w:rsidRDefault="00000000">
      <w:pPr>
        <w:spacing w:before="180"/>
        <w:rPr>
          <w:rFonts w:eastAsia="KaiTi_GB2312" w:hint="eastAsia"/>
          <w:snapToGrid/>
          <w:spacing w:val="0"/>
        </w:rPr>
      </w:pPr>
      <w:r>
        <w:rPr>
          <w:rFonts w:hint="eastAsia"/>
        </w:rPr>
        <w:tab/>
      </w:r>
      <w:r>
        <w:rPr>
          <w:rFonts w:eastAsia="KaiTi_GB2312" w:hint="eastAsia"/>
          <w:snapToGrid/>
          <w:spacing w:val="0"/>
          <w:u w:val="single"/>
        </w:rPr>
        <w:t>资料来源</w:t>
      </w:r>
      <w:r>
        <w:rPr>
          <w:rFonts w:eastAsia="KaiTi_GB2312" w:hint="eastAsia"/>
          <w:snapToGrid/>
          <w:spacing w:val="0"/>
        </w:rPr>
        <w:t>：《</w:t>
      </w:r>
      <w:r>
        <w:rPr>
          <w:rFonts w:eastAsia="KaiTi_GB2312" w:hint="eastAsia"/>
          <w:snapToGrid/>
          <w:spacing w:val="0"/>
        </w:rPr>
        <w:t>2000</w:t>
      </w:r>
      <w:r>
        <w:rPr>
          <w:rFonts w:eastAsia="KaiTi_GB2312" w:hint="eastAsia"/>
          <w:snapToGrid/>
          <w:spacing w:val="0"/>
        </w:rPr>
        <w:t>年中国卫生统计提要》。</w:t>
      </w:r>
    </w:p>
    <w:p w:rsidR="00000000" w:rsidRDefault="00000000">
      <w:pPr>
        <w:rPr>
          <w:rFonts w:hint="eastAsia"/>
        </w:rPr>
      </w:pPr>
    </w:p>
    <w:p w:rsidR="00000000" w:rsidRDefault="00000000">
      <w:pPr>
        <w:spacing w:after="320"/>
        <w:jc w:val="center"/>
        <w:rPr>
          <w:rFonts w:hint="eastAsia"/>
        </w:rPr>
      </w:pPr>
      <w:r>
        <w:rPr>
          <w:rFonts w:hint="eastAsia"/>
          <w:u w:val="single"/>
        </w:rPr>
        <w:t>表</w:t>
      </w:r>
      <w:r>
        <w:rPr>
          <w:rFonts w:hint="eastAsia"/>
          <w:u w:val="single"/>
        </w:rPr>
        <w:t>10</w:t>
      </w:r>
      <w:r>
        <w:rPr>
          <w:rFonts w:hint="eastAsia"/>
        </w:rPr>
        <w:t xml:space="preserve">.  </w:t>
      </w:r>
      <w:r>
        <w:rPr>
          <w:rFonts w:hint="eastAsia"/>
          <w:u w:val="single"/>
        </w:rPr>
        <w:t>2001</w:t>
      </w:r>
      <w:r>
        <w:rPr>
          <w:rFonts w:hint="eastAsia"/>
          <w:u w:val="single"/>
        </w:rPr>
        <w:t>年部分城市及农村前五位主要疾病死亡率及死因构成</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9"/>
        <w:gridCol w:w="1591"/>
        <w:gridCol w:w="1586"/>
        <w:gridCol w:w="1558"/>
        <w:gridCol w:w="1558"/>
        <w:gridCol w:w="1558"/>
      </w:tblGrid>
      <w:tr w:rsidR="00000000">
        <w:tblPrEx>
          <w:tblCellMar>
            <w:top w:w="0" w:type="dxa"/>
            <w:bottom w:w="0" w:type="dxa"/>
          </w:tblCellMar>
        </w:tblPrEx>
        <w:trPr>
          <w:cantSplit/>
        </w:trPr>
        <w:tc>
          <w:tcPr>
            <w:tcW w:w="4736" w:type="dxa"/>
            <w:gridSpan w:val="3"/>
          </w:tcPr>
          <w:p w:rsidR="00000000" w:rsidRDefault="00000000">
            <w:pPr>
              <w:pStyle w:val="a2"/>
              <w:spacing w:before="60" w:after="40"/>
              <w:jc w:val="center"/>
              <w:rPr>
                <w:rFonts w:ascii="Time New Roman" w:eastAsia="SimHei" w:hAnsi="Time New Roman"/>
              </w:rPr>
            </w:pPr>
            <w:r>
              <w:rPr>
                <w:rFonts w:ascii="Time New Roman" w:eastAsia="SimHei" w:hAnsi="Time New Roman" w:hint="eastAsia"/>
              </w:rPr>
              <w:t>部分城市合计</w:t>
            </w:r>
          </w:p>
        </w:tc>
        <w:tc>
          <w:tcPr>
            <w:tcW w:w="4674" w:type="dxa"/>
            <w:gridSpan w:val="3"/>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部分农村合计</w:t>
            </w:r>
          </w:p>
        </w:tc>
      </w:tr>
      <w:tr w:rsidR="00000000">
        <w:tblPrEx>
          <w:tblCellMar>
            <w:top w:w="0" w:type="dxa"/>
            <w:bottom w:w="0" w:type="dxa"/>
          </w:tblCellMar>
        </w:tblPrEx>
        <w:tc>
          <w:tcPr>
            <w:tcW w:w="1559" w:type="dxa"/>
            <w:tcBorders>
              <w:bottom w:val="single" w:sz="4" w:space="0" w:color="auto"/>
            </w:tcBorders>
          </w:tcPr>
          <w:p w:rsidR="00000000" w:rsidRDefault="00000000">
            <w:pPr>
              <w:pStyle w:val="a2"/>
              <w:spacing w:before="180" w:line="240" w:lineRule="auto"/>
              <w:jc w:val="center"/>
              <w:rPr>
                <w:rFonts w:ascii="Time New Roman" w:eastAsia="SimHei" w:hAnsi="Time New Roman" w:hint="eastAsia"/>
              </w:rPr>
            </w:pPr>
            <w:r>
              <w:rPr>
                <w:rFonts w:ascii="Time New Roman" w:eastAsia="SimHei" w:hAnsi="Time New Roman" w:hint="eastAsia"/>
              </w:rPr>
              <w:t>死亡原因</w:t>
            </w:r>
          </w:p>
        </w:tc>
        <w:tc>
          <w:tcPr>
            <w:tcW w:w="1591" w:type="dxa"/>
            <w:tcBorders>
              <w:bottom w:val="single" w:sz="4" w:space="0" w:color="auto"/>
            </w:tcBorders>
          </w:tcPr>
          <w:p w:rsidR="00000000" w:rsidRDefault="00000000">
            <w:pPr>
              <w:pStyle w:val="a2"/>
              <w:spacing w:before="40" w:line="240" w:lineRule="auto"/>
              <w:jc w:val="center"/>
              <w:rPr>
                <w:rFonts w:ascii="Time New Roman" w:eastAsia="SimHei" w:hAnsi="Time New Roman" w:hint="eastAsia"/>
              </w:rPr>
            </w:pPr>
            <w:r>
              <w:rPr>
                <w:rFonts w:ascii="Time New Roman" w:eastAsia="SimHei" w:hAnsi="Time New Roman" w:hint="eastAsia"/>
              </w:rPr>
              <w:t>死亡专率</w:t>
            </w:r>
            <w:r>
              <w:rPr>
                <w:rFonts w:ascii="Time New Roman" w:eastAsia="SimHei" w:hAnsi="Time New Roman"/>
              </w:rPr>
              <w:br/>
              <w:t>(</w:t>
            </w:r>
            <w:r>
              <w:rPr>
                <w:rFonts w:ascii="Time New Roman" w:eastAsia="SimHei" w:hAnsi="Time New Roman"/>
                <w:b/>
              </w:rPr>
              <w:t>1</w:t>
            </w:r>
            <w:r>
              <w:rPr>
                <w:rFonts w:ascii="Time New Roman" w:eastAsia="SimHei" w:hAnsi="Time New Roman"/>
              </w:rPr>
              <w:t>/</w:t>
            </w:r>
            <w:r>
              <w:rPr>
                <w:rFonts w:ascii="Time New Roman" w:eastAsia="SimHei" w:hAnsi="Time New Roman"/>
                <w:b/>
              </w:rPr>
              <w:t>10</w:t>
            </w:r>
            <w:r>
              <w:rPr>
                <w:rFonts w:ascii="Time New Roman" w:eastAsia="SimHei" w:hAnsi="Time New Roman" w:hint="eastAsia"/>
              </w:rPr>
              <w:t>万</w:t>
            </w:r>
            <w:r>
              <w:rPr>
                <w:rFonts w:ascii="Time New Roman" w:eastAsia="SimHei" w:hAnsi="Time New Roman" w:hint="eastAsia"/>
              </w:rPr>
              <w:t>)</w:t>
            </w:r>
          </w:p>
        </w:tc>
        <w:tc>
          <w:tcPr>
            <w:tcW w:w="1586" w:type="dxa"/>
            <w:tcBorders>
              <w:bottom w:val="single" w:sz="4" w:space="0" w:color="auto"/>
            </w:tcBorders>
          </w:tcPr>
          <w:p w:rsidR="00000000" w:rsidRDefault="00000000">
            <w:pPr>
              <w:pStyle w:val="a2"/>
              <w:spacing w:before="40" w:line="240" w:lineRule="auto"/>
              <w:jc w:val="center"/>
              <w:rPr>
                <w:rFonts w:ascii="Time New Roman" w:eastAsia="SimHei" w:hAnsi="Time New Roman" w:hint="eastAsia"/>
              </w:rPr>
            </w:pPr>
            <w:r>
              <w:rPr>
                <w:rFonts w:ascii="Time New Roman" w:eastAsia="SimHei" w:hAnsi="Time New Roman" w:hint="eastAsia"/>
              </w:rPr>
              <w:t>占死亡</w:t>
            </w:r>
            <w:r>
              <w:rPr>
                <w:rFonts w:ascii="Time New Roman" w:eastAsia="SimHei" w:hAnsi="Time New Roman"/>
              </w:rPr>
              <w:br/>
            </w:r>
            <w:r>
              <w:rPr>
                <w:rFonts w:ascii="Time New Roman" w:eastAsia="SimHei" w:hAnsi="Time New Roman" w:hint="eastAsia"/>
              </w:rPr>
              <w:t>总人数</w:t>
            </w:r>
            <w:r>
              <w:rPr>
                <w:rFonts w:ascii="Time New Roman" w:eastAsia="SimHei" w:hAnsi="Time New Roman" w:hint="eastAsia"/>
              </w:rPr>
              <w:t>%</w:t>
            </w:r>
          </w:p>
        </w:tc>
        <w:tc>
          <w:tcPr>
            <w:tcW w:w="1558" w:type="dxa"/>
            <w:tcBorders>
              <w:bottom w:val="single" w:sz="4" w:space="0" w:color="auto"/>
            </w:tcBorders>
          </w:tcPr>
          <w:p w:rsidR="00000000" w:rsidRDefault="00000000">
            <w:pPr>
              <w:pStyle w:val="a2"/>
              <w:spacing w:before="180" w:line="240" w:lineRule="auto"/>
              <w:jc w:val="center"/>
              <w:rPr>
                <w:rFonts w:ascii="Time New Roman" w:eastAsia="SimHei" w:hAnsi="Time New Roman" w:hint="eastAsia"/>
              </w:rPr>
            </w:pPr>
            <w:r>
              <w:rPr>
                <w:rFonts w:ascii="Time New Roman" w:eastAsia="SimHei" w:hAnsi="Time New Roman" w:hint="eastAsia"/>
              </w:rPr>
              <w:t>死亡原因</w:t>
            </w:r>
          </w:p>
        </w:tc>
        <w:tc>
          <w:tcPr>
            <w:tcW w:w="1558" w:type="dxa"/>
            <w:tcBorders>
              <w:bottom w:val="single" w:sz="4" w:space="0" w:color="auto"/>
            </w:tcBorders>
          </w:tcPr>
          <w:p w:rsidR="00000000" w:rsidRDefault="00000000">
            <w:pPr>
              <w:pStyle w:val="a2"/>
              <w:spacing w:before="40" w:line="240" w:lineRule="auto"/>
              <w:jc w:val="center"/>
              <w:rPr>
                <w:rFonts w:ascii="Time New Roman" w:eastAsia="SimHei" w:hAnsi="Time New Roman" w:hint="eastAsia"/>
              </w:rPr>
            </w:pPr>
            <w:r>
              <w:rPr>
                <w:rFonts w:ascii="Time New Roman" w:eastAsia="SimHei" w:hAnsi="Time New Roman" w:hint="eastAsia"/>
              </w:rPr>
              <w:t>死亡专率</w:t>
            </w:r>
            <w:r>
              <w:rPr>
                <w:rFonts w:ascii="Time New Roman" w:eastAsia="SimHei" w:hAnsi="Time New Roman"/>
              </w:rPr>
              <w:br/>
              <w:t>(</w:t>
            </w:r>
            <w:r>
              <w:rPr>
                <w:rFonts w:ascii="Time New Roman" w:eastAsia="SimHei" w:hAnsi="Time New Roman"/>
                <w:b/>
              </w:rPr>
              <w:t>1</w:t>
            </w:r>
            <w:r>
              <w:rPr>
                <w:rFonts w:ascii="Time New Roman" w:eastAsia="SimHei" w:hAnsi="Time New Roman"/>
              </w:rPr>
              <w:t>/</w:t>
            </w:r>
            <w:r>
              <w:rPr>
                <w:rFonts w:ascii="Time New Roman" w:eastAsia="SimHei" w:hAnsi="Time New Roman"/>
                <w:b/>
              </w:rPr>
              <w:t>10</w:t>
            </w:r>
            <w:r>
              <w:rPr>
                <w:rFonts w:ascii="Time New Roman" w:eastAsia="SimHei" w:hAnsi="Time New Roman" w:hint="eastAsia"/>
              </w:rPr>
              <w:t>万</w:t>
            </w:r>
            <w:r>
              <w:rPr>
                <w:rFonts w:ascii="Time New Roman" w:eastAsia="SimHei" w:hAnsi="Time New Roman" w:hint="eastAsia"/>
              </w:rPr>
              <w:t>)</w:t>
            </w:r>
          </w:p>
        </w:tc>
        <w:tc>
          <w:tcPr>
            <w:tcW w:w="1558" w:type="dxa"/>
            <w:tcBorders>
              <w:bottom w:val="single" w:sz="4" w:space="0" w:color="auto"/>
            </w:tcBorders>
          </w:tcPr>
          <w:p w:rsidR="00000000" w:rsidRDefault="00000000">
            <w:pPr>
              <w:pStyle w:val="a2"/>
              <w:spacing w:before="40" w:line="240" w:lineRule="auto"/>
              <w:jc w:val="center"/>
              <w:rPr>
                <w:rFonts w:ascii="Time New Roman" w:eastAsia="SimHei" w:hAnsi="Time New Roman" w:hint="eastAsia"/>
              </w:rPr>
            </w:pPr>
            <w:r>
              <w:rPr>
                <w:rFonts w:ascii="Time New Roman" w:eastAsia="SimHei" w:hAnsi="Time New Roman" w:hint="eastAsia"/>
              </w:rPr>
              <w:t>占死亡</w:t>
            </w:r>
            <w:r>
              <w:rPr>
                <w:rFonts w:ascii="Time New Roman" w:eastAsia="SimHei" w:hAnsi="Time New Roman"/>
              </w:rPr>
              <w:br/>
            </w:r>
            <w:r>
              <w:rPr>
                <w:rFonts w:ascii="Time New Roman" w:eastAsia="SimHei" w:hAnsi="Time New Roman" w:hint="eastAsia"/>
              </w:rPr>
              <w:t>总人数</w:t>
            </w:r>
            <w:r>
              <w:rPr>
                <w:rFonts w:ascii="Time New Roman" w:eastAsia="SimHei" w:hAnsi="Time New Roman" w:hint="eastAsia"/>
              </w:rPr>
              <w:t>%</w:t>
            </w:r>
          </w:p>
        </w:tc>
      </w:tr>
      <w:tr w:rsidR="00000000">
        <w:tblPrEx>
          <w:tblCellMar>
            <w:top w:w="0" w:type="dxa"/>
            <w:bottom w:w="0" w:type="dxa"/>
          </w:tblCellMar>
        </w:tblPrEx>
        <w:tc>
          <w:tcPr>
            <w:tcW w:w="1559" w:type="dxa"/>
            <w:tcBorders>
              <w:bottom w:val="nil"/>
            </w:tcBorders>
          </w:tcPr>
          <w:p w:rsidR="00000000" w:rsidRDefault="00000000">
            <w:pPr>
              <w:pStyle w:val="a2"/>
              <w:ind w:left="113"/>
              <w:rPr>
                <w:rFonts w:hint="eastAsia"/>
              </w:rPr>
            </w:pPr>
            <w:r>
              <w:rPr>
                <w:rFonts w:hint="eastAsia"/>
              </w:rPr>
              <w:t>恶性肿瘤</w:t>
            </w:r>
          </w:p>
        </w:tc>
        <w:tc>
          <w:tcPr>
            <w:tcW w:w="1591" w:type="dxa"/>
            <w:tcBorders>
              <w:bottom w:val="nil"/>
            </w:tcBorders>
          </w:tcPr>
          <w:p w:rsidR="00000000" w:rsidRDefault="00000000">
            <w:pPr>
              <w:pStyle w:val="a2"/>
              <w:tabs>
                <w:tab w:val="decimal" w:pos="751"/>
              </w:tabs>
            </w:pPr>
            <w:r>
              <w:t>135.59</w:t>
            </w:r>
          </w:p>
        </w:tc>
        <w:tc>
          <w:tcPr>
            <w:tcW w:w="1586" w:type="dxa"/>
            <w:tcBorders>
              <w:bottom w:val="nil"/>
            </w:tcBorders>
          </w:tcPr>
          <w:p w:rsidR="00000000" w:rsidRDefault="00000000">
            <w:pPr>
              <w:pStyle w:val="a2"/>
              <w:tabs>
                <w:tab w:val="decimal" w:pos="751"/>
              </w:tabs>
            </w:pPr>
            <w:r>
              <w:t>24.93</w:t>
            </w:r>
          </w:p>
        </w:tc>
        <w:tc>
          <w:tcPr>
            <w:tcW w:w="1558" w:type="dxa"/>
            <w:tcBorders>
              <w:bottom w:val="nil"/>
            </w:tcBorders>
          </w:tcPr>
          <w:p w:rsidR="00000000" w:rsidRDefault="00000000">
            <w:pPr>
              <w:pStyle w:val="a2"/>
              <w:ind w:left="113"/>
              <w:rPr>
                <w:rFonts w:hint="eastAsia"/>
              </w:rPr>
            </w:pPr>
            <w:r>
              <w:rPr>
                <w:rFonts w:hint="eastAsia"/>
              </w:rPr>
              <w:t>呼吸系统疾病</w:t>
            </w:r>
          </w:p>
        </w:tc>
        <w:tc>
          <w:tcPr>
            <w:tcW w:w="1558" w:type="dxa"/>
            <w:tcBorders>
              <w:bottom w:val="nil"/>
            </w:tcBorders>
          </w:tcPr>
          <w:p w:rsidR="00000000" w:rsidRDefault="00000000">
            <w:pPr>
              <w:pStyle w:val="a2"/>
              <w:tabs>
                <w:tab w:val="decimal" w:pos="846"/>
              </w:tabs>
            </w:pPr>
            <w:r>
              <w:t>133.42</w:t>
            </w:r>
          </w:p>
        </w:tc>
        <w:tc>
          <w:tcPr>
            <w:tcW w:w="1558" w:type="dxa"/>
            <w:tcBorders>
              <w:bottom w:val="nil"/>
            </w:tcBorders>
          </w:tcPr>
          <w:p w:rsidR="00000000" w:rsidRDefault="00000000">
            <w:pPr>
              <w:pStyle w:val="a2"/>
              <w:tabs>
                <w:tab w:val="decimal" w:pos="846"/>
              </w:tabs>
            </w:pPr>
            <w:r>
              <w:t>22.46</w:t>
            </w:r>
          </w:p>
        </w:tc>
      </w:tr>
      <w:tr w:rsidR="00000000">
        <w:tblPrEx>
          <w:tblCellMar>
            <w:top w:w="0" w:type="dxa"/>
            <w:bottom w:w="0" w:type="dxa"/>
          </w:tblCellMar>
        </w:tblPrEx>
        <w:tc>
          <w:tcPr>
            <w:tcW w:w="1559" w:type="dxa"/>
            <w:tcBorders>
              <w:top w:val="nil"/>
              <w:bottom w:val="nil"/>
            </w:tcBorders>
          </w:tcPr>
          <w:p w:rsidR="00000000" w:rsidRDefault="00000000">
            <w:pPr>
              <w:pStyle w:val="a2"/>
              <w:ind w:left="113"/>
              <w:rPr>
                <w:rFonts w:hint="eastAsia"/>
              </w:rPr>
            </w:pPr>
            <w:r>
              <w:rPr>
                <w:rFonts w:hint="eastAsia"/>
              </w:rPr>
              <w:t>脑血管病</w:t>
            </w:r>
          </w:p>
        </w:tc>
        <w:tc>
          <w:tcPr>
            <w:tcW w:w="1591" w:type="dxa"/>
            <w:tcBorders>
              <w:top w:val="nil"/>
              <w:bottom w:val="nil"/>
            </w:tcBorders>
          </w:tcPr>
          <w:p w:rsidR="00000000" w:rsidRDefault="00000000">
            <w:pPr>
              <w:pStyle w:val="a2"/>
              <w:tabs>
                <w:tab w:val="decimal" w:pos="751"/>
              </w:tabs>
            </w:pPr>
            <w:r>
              <w:t>111.01</w:t>
            </w:r>
          </w:p>
        </w:tc>
        <w:tc>
          <w:tcPr>
            <w:tcW w:w="1586" w:type="dxa"/>
            <w:tcBorders>
              <w:top w:val="nil"/>
              <w:bottom w:val="nil"/>
            </w:tcBorders>
          </w:tcPr>
          <w:p w:rsidR="00000000" w:rsidRDefault="00000000">
            <w:pPr>
              <w:pStyle w:val="a2"/>
              <w:tabs>
                <w:tab w:val="decimal" w:pos="751"/>
              </w:tabs>
            </w:pPr>
            <w:r>
              <w:t>20.41</w:t>
            </w:r>
          </w:p>
        </w:tc>
        <w:tc>
          <w:tcPr>
            <w:tcW w:w="1558" w:type="dxa"/>
            <w:tcBorders>
              <w:top w:val="nil"/>
              <w:bottom w:val="nil"/>
            </w:tcBorders>
          </w:tcPr>
          <w:p w:rsidR="00000000" w:rsidRDefault="00000000">
            <w:pPr>
              <w:pStyle w:val="a2"/>
              <w:ind w:left="113"/>
              <w:rPr>
                <w:rFonts w:hint="eastAsia"/>
              </w:rPr>
            </w:pPr>
            <w:r>
              <w:rPr>
                <w:rFonts w:hint="eastAsia"/>
              </w:rPr>
              <w:t>脑血管病</w:t>
            </w:r>
          </w:p>
        </w:tc>
        <w:tc>
          <w:tcPr>
            <w:tcW w:w="1558" w:type="dxa"/>
            <w:tcBorders>
              <w:top w:val="nil"/>
              <w:bottom w:val="nil"/>
            </w:tcBorders>
          </w:tcPr>
          <w:p w:rsidR="00000000" w:rsidRDefault="00000000">
            <w:pPr>
              <w:pStyle w:val="a2"/>
              <w:tabs>
                <w:tab w:val="decimal" w:pos="846"/>
              </w:tabs>
            </w:pPr>
            <w:r>
              <w:t>112.60</w:t>
            </w:r>
          </w:p>
        </w:tc>
        <w:tc>
          <w:tcPr>
            <w:tcW w:w="1558" w:type="dxa"/>
            <w:tcBorders>
              <w:top w:val="nil"/>
              <w:bottom w:val="nil"/>
            </w:tcBorders>
          </w:tcPr>
          <w:p w:rsidR="00000000" w:rsidRDefault="00000000">
            <w:pPr>
              <w:pStyle w:val="a2"/>
              <w:tabs>
                <w:tab w:val="decimal" w:pos="846"/>
              </w:tabs>
            </w:pPr>
            <w:r>
              <w:t>18.95</w:t>
            </w:r>
          </w:p>
        </w:tc>
      </w:tr>
      <w:tr w:rsidR="00000000">
        <w:tblPrEx>
          <w:tblCellMar>
            <w:top w:w="0" w:type="dxa"/>
            <w:bottom w:w="0" w:type="dxa"/>
          </w:tblCellMar>
        </w:tblPrEx>
        <w:tc>
          <w:tcPr>
            <w:tcW w:w="1559" w:type="dxa"/>
            <w:tcBorders>
              <w:top w:val="nil"/>
              <w:bottom w:val="nil"/>
            </w:tcBorders>
          </w:tcPr>
          <w:p w:rsidR="00000000" w:rsidRDefault="00000000">
            <w:pPr>
              <w:pStyle w:val="a2"/>
              <w:ind w:left="113"/>
              <w:rPr>
                <w:rFonts w:hint="eastAsia"/>
              </w:rPr>
            </w:pPr>
            <w:r>
              <w:rPr>
                <w:rFonts w:hint="eastAsia"/>
              </w:rPr>
              <w:t>心脏病</w:t>
            </w:r>
          </w:p>
        </w:tc>
        <w:tc>
          <w:tcPr>
            <w:tcW w:w="1591" w:type="dxa"/>
            <w:tcBorders>
              <w:top w:val="nil"/>
              <w:bottom w:val="nil"/>
            </w:tcBorders>
          </w:tcPr>
          <w:p w:rsidR="00000000" w:rsidRDefault="00000000">
            <w:pPr>
              <w:pStyle w:val="a2"/>
              <w:tabs>
                <w:tab w:val="decimal" w:pos="751"/>
              </w:tabs>
            </w:pPr>
            <w:r>
              <w:t>95.77</w:t>
            </w:r>
          </w:p>
        </w:tc>
        <w:tc>
          <w:tcPr>
            <w:tcW w:w="1586" w:type="dxa"/>
            <w:tcBorders>
              <w:top w:val="nil"/>
              <w:bottom w:val="nil"/>
            </w:tcBorders>
          </w:tcPr>
          <w:p w:rsidR="00000000" w:rsidRDefault="00000000">
            <w:pPr>
              <w:pStyle w:val="a2"/>
              <w:tabs>
                <w:tab w:val="decimal" w:pos="751"/>
              </w:tabs>
            </w:pPr>
            <w:r>
              <w:t>17.61</w:t>
            </w:r>
          </w:p>
        </w:tc>
        <w:tc>
          <w:tcPr>
            <w:tcW w:w="1558" w:type="dxa"/>
            <w:tcBorders>
              <w:top w:val="nil"/>
              <w:bottom w:val="nil"/>
            </w:tcBorders>
          </w:tcPr>
          <w:p w:rsidR="00000000" w:rsidRDefault="00000000">
            <w:pPr>
              <w:pStyle w:val="a2"/>
              <w:ind w:left="113"/>
              <w:rPr>
                <w:rFonts w:hint="eastAsia"/>
              </w:rPr>
            </w:pPr>
            <w:r>
              <w:rPr>
                <w:rFonts w:hint="eastAsia"/>
              </w:rPr>
              <w:t>恶性肿瘤</w:t>
            </w:r>
          </w:p>
        </w:tc>
        <w:tc>
          <w:tcPr>
            <w:tcW w:w="1558" w:type="dxa"/>
            <w:tcBorders>
              <w:top w:val="nil"/>
              <w:bottom w:val="nil"/>
            </w:tcBorders>
          </w:tcPr>
          <w:p w:rsidR="00000000" w:rsidRDefault="00000000">
            <w:pPr>
              <w:pStyle w:val="a2"/>
              <w:tabs>
                <w:tab w:val="decimal" w:pos="846"/>
              </w:tabs>
            </w:pPr>
            <w:r>
              <w:t>105.36</w:t>
            </w:r>
          </w:p>
        </w:tc>
        <w:tc>
          <w:tcPr>
            <w:tcW w:w="1558" w:type="dxa"/>
            <w:tcBorders>
              <w:top w:val="nil"/>
              <w:bottom w:val="nil"/>
            </w:tcBorders>
          </w:tcPr>
          <w:p w:rsidR="00000000" w:rsidRDefault="00000000">
            <w:pPr>
              <w:pStyle w:val="a2"/>
              <w:tabs>
                <w:tab w:val="decimal" w:pos="846"/>
              </w:tabs>
            </w:pPr>
            <w:r>
              <w:t>17.73</w:t>
            </w:r>
          </w:p>
        </w:tc>
      </w:tr>
      <w:tr w:rsidR="00000000">
        <w:tblPrEx>
          <w:tblCellMar>
            <w:top w:w="0" w:type="dxa"/>
            <w:bottom w:w="0" w:type="dxa"/>
          </w:tblCellMar>
        </w:tblPrEx>
        <w:tc>
          <w:tcPr>
            <w:tcW w:w="1559" w:type="dxa"/>
            <w:tcBorders>
              <w:top w:val="nil"/>
              <w:bottom w:val="nil"/>
            </w:tcBorders>
          </w:tcPr>
          <w:p w:rsidR="00000000" w:rsidRDefault="00000000">
            <w:pPr>
              <w:pStyle w:val="a2"/>
              <w:ind w:left="113"/>
              <w:rPr>
                <w:rFonts w:hint="eastAsia"/>
              </w:rPr>
            </w:pPr>
            <w:r>
              <w:rPr>
                <w:rFonts w:hint="eastAsia"/>
              </w:rPr>
              <w:t>呼吸系统疾病</w:t>
            </w:r>
          </w:p>
        </w:tc>
        <w:tc>
          <w:tcPr>
            <w:tcW w:w="1591" w:type="dxa"/>
            <w:tcBorders>
              <w:top w:val="nil"/>
              <w:bottom w:val="nil"/>
            </w:tcBorders>
          </w:tcPr>
          <w:p w:rsidR="00000000" w:rsidRDefault="00000000">
            <w:pPr>
              <w:pStyle w:val="a2"/>
              <w:tabs>
                <w:tab w:val="decimal" w:pos="751"/>
              </w:tabs>
            </w:pPr>
            <w:r>
              <w:t>72.64</w:t>
            </w:r>
          </w:p>
        </w:tc>
        <w:tc>
          <w:tcPr>
            <w:tcW w:w="1586" w:type="dxa"/>
            <w:tcBorders>
              <w:top w:val="nil"/>
              <w:bottom w:val="nil"/>
            </w:tcBorders>
          </w:tcPr>
          <w:p w:rsidR="00000000" w:rsidRDefault="00000000">
            <w:pPr>
              <w:pStyle w:val="a2"/>
              <w:tabs>
                <w:tab w:val="decimal" w:pos="751"/>
              </w:tabs>
            </w:pPr>
            <w:r>
              <w:t>13.36</w:t>
            </w:r>
          </w:p>
        </w:tc>
        <w:tc>
          <w:tcPr>
            <w:tcW w:w="1558" w:type="dxa"/>
            <w:tcBorders>
              <w:top w:val="nil"/>
              <w:bottom w:val="nil"/>
            </w:tcBorders>
          </w:tcPr>
          <w:p w:rsidR="00000000" w:rsidRDefault="00000000">
            <w:pPr>
              <w:pStyle w:val="a2"/>
              <w:ind w:left="113"/>
              <w:rPr>
                <w:rFonts w:hint="eastAsia"/>
              </w:rPr>
            </w:pPr>
            <w:r>
              <w:rPr>
                <w:rFonts w:hint="eastAsia"/>
              </w:rPr>
              <w:t>心脏病</w:t>
            </w:r>
          </w:p>
        </w:tc>
        <w:tc>
          <w:tcPr>
            <w:tcW w:w="1558" w:type="dxa"/>
            <w:tcBorders>
              <w:top w:val="nil"/>
              <w:bottom w:val="nil"/>
            </w:tcBorders>
          </w:tcPr>
          <w:p w:rsidR="00000000" w:rsidRDefault="00000000">
            <w:pPr>
              <w:pStyle w:val="a2"/>
              <w:tabs>
                <w:tab w:val="decimal" w:pos="846"/>
              </w:tabs>
            </w:pPr>
            <w:r>
              <w:t>77.72</w:t>
            </w:r>
          </w:p>
        </w:tc>
        <w:tc>
          <w:tcPr>
            <w:tcW w:w="1558" w:type="dxa"/>
            <w:tcBorders>
              <w:top w:val="nil"/>
              <w:bottom w:val="nil"/>
            </w:tcBorders>
          </w:tcPr>
          <w:p w:rsidR="00000000" w:rsidRDefault="00000000">
            <w:pPr>
              <w:pStyle w:val="a2"/>
              <w:tabs>
                <w:tab w:val="decimal" w:pos="846"/>
              </w:tabs>
            </w:pPr>
            <w:r>
              <w:t>13.08</w:t>
            </w:r>
          </w:p>
        </w:tc>
      </w:tr>
      <w:tr w:rsidR="00000000">
        <w:tblPrEx>
          <w:tblCellMar>
            <w:top w:w="0" w:type="dxa"/>
            <w:bottom w:w="0" w:type="dxa"/>
          </w:tblCellMar>
        </w:tblPrEx>
        <w:tc>
          <w:tcPr>
            <w:tcW w:w="1559" w:type="dxa"/>
            <w:tcBorders>
              <w:top w:val="nil"/>
            </w:tcBorders>
          </w:tcPr>
          <w:p w:rsidR="00000000" w:rsidRDefault="00000000">
            <w:pPr>
              <w:pStyle w:val="a2"/>
              <w:ind w:left="113"/>
              <w:rPr>
                <w:rFonts w:hint="eastAsia"/>
              </w:rPr>
            </w:pPr>
            <w:r>
              <w:rPr>
                <w:rFonts w:hint="eastAsia"/>
              </w:rPr>
              <w:t>损伤与中毒</w:t>
            </w:r>
          </w:p>
        </w:tc>
        <w:tc>
          <w:tcPr>
            <w:tcW w:w="1591" w:type="dxa"/>
            <w:tcBorders>
              <w:top w:val="nil"/>
            </w:tcBorders>
          </w:tcPr>
          <w:p w:rsidR="00000000" w:rsidRDefault="00000000">
            <w:pPr>
              <w:pStyle w:val="a2"/>
              <w:tabs>
                <w:tab w:val="decimal" w:pos="751"/>
              </w:tabs>
            </w:pPr>
            <w:r>
              <w:t>31.92</w:t>
            </w:r>
          </w:p>
        </w:tc>
        <w:tc>
          <w:tcPr>
            <w:tcW w:w="1586" w:type="dxa"/>
            <w:tcBorders>
              <w:top w:val="nil"/>
            </w:tcBorders>
          </w:tcPr>
          <w:p w:rsidR="00000000" w:rsidRDefault="00000000">
            <w:pPr>
              <w:pStyle w:val="a2"/>
              <w:tabs>
                <w:tab w:val="decimal" w:pos="751"/>
              </w:tabs>
            </w:pPr>
            <w:r>
              <w:t>5.87</w:t>
            </w:r>
          </w:p>
        </w:tc>
        <w:tc>
          <w:tcPr>
            <w:tcW w:w="1558" w:type="dxa"/>
            <w:tcBorders>
              <w:top w:val="nil"/>
            </w:tcBorders>
          </w:tcPr>
          <w:p w:rsidR="00000000" w:rsidRDefault="00000000">
            <w:pPr>
              <w:pStyle w:val="a2"/>
              <w:ind w:left="113"/>
              <w:rPr>
                <w:rFonts w:hint="eastAsia"/>
              </w:rPr>
            </w:pPr>
            <w:r>
              <w:rPr>
                <w:rFonts w:hint="eastAsia"/>
              </w:rPr>
              <w:t>损伤与中毒</w:t>
            </w:r>
          </w:p>
        </w:tc>
        <w:tc>
          <w:tcPr>
            <w:tcW w:w="1558" w:type="dxa"/>
            <w:tcBorders>
              <w:top w:val="nil"/>
            </w:tcBorders>
          </w:tcPr>
          <w:p w:rsidR="00000000" w:rsidRDefault="00000000">
            <w:pPr>
              <w:pStyle w:val="a2"/>
              <w:tabs>
                <w:tab w:val="decimal" w:pos="846"/>
              </w:tabs>
            </w:pPr>
            <w:r>
              <w:t>63.69</w:t>
            </w:r>
          </w:p>
        </w:tc>
        <w:tc>
          <w:tcPr>
            <w:tcW w:w="1558" w:type="dxa"/>
            <w:tcBorders>
              <w:top w:val="nil"/>
            </w:tcBorders>
          </w:tcPr>
          <w:p w:rsidR="00000000" w:rsidRDefault="00000000">
            <w:pPr>
              <w:pStyle w:val="a2"/>
              <w:tabs>
                <w:tab w:val="decimal" w:pos="846"/>
              </w:tabs>
            </w:pPr>
            <w:r>
              <w:t>10.72</w:t>
            </w:r>
          </w:p>
        </w:tc>
      </w:tr>
    </w:tbl>
    <w:p w:rsidR="00000000" w:rsidRDefault="00000000">
      <w:pPr>
        <w:pStyle w:val="a6"/>
        <w:spacing w:before="180"/>
        <w:rPr>
          <w:rFonts w:hint="eastAsia"/>
        </w:rPr>
      </w:pPr>
      <w:r>
        <w:rPr>
          <w:rFonts w:ascii="Arial Narrow" w:hAnsi="Arial Narrow" w:hint="eastAsia"/>
        </w:rPr>
        <w:tab/>
      </w:r>
      <w:r>
        <w:rPr>
          <w:rFonts w:hint="eastAsia"/>
          <w:u w:val="single"/>
        </w:rPr>
        <w:t>资料来源</w:t>
      </w:r>
      <w:r>
        <w:rPr>
          <w:rFonts w:hint="eastAsia"/>
        </w:rPr>
        <w:t>：《</w:t>
      </w:r>
      <w:r>
        <w:rPr>
          <w:rFonts w:hint="eastAsia"/>
        </w:rPr>
        <w:t>2001</w:t>
      </w:r>
      <w:r>
        <w:rPr>
          <w:rFonts w:hint="eastAsia"/>
        </w:rPr>
        <w:t>年中国卫生统计提要》。</w:t>
      </w:r>
    </w:p>
    <w:p w:rsidR="00000000" w:rsidRDefault="00000000">
      <w:pPr>
        <w:pStyle w:val="a6"/>
        <w:spacing w:before="180"/>
        <w:rPr>
          <w:rFonts w:hint="eastAsia"/>
        </w:rPr>
      </w:pPr>
    </w:p>
    <w:p w:rsidR="00000000" w:rsidRDefault="00000000">
      <w:pPr>
        <w:spacing w:after="320"/>
        <w:jc w:val="center"/>
        <w:rPr>
          <w:rFonts w:hint="eastAsia"/>
        </w:rPr>
      </w:pPr>
      <w:r>
        <w:rPr>
          <w:u w:val="single"/>
        </w:rPr>
        <w:br w:type="page"/>
      </w:r>
      <w:r>
        <w:rPr>
          <w:rFonts w:hint="eastAsia"/>
          <w:u w:val="single"/>
        </w:rPr>
        <w:t>表</w:t>
      </w:r>
      <w:r>
        <w:rPr>
          <w:rFonts w:hint="eastAsia"/>
          <w:u w:val="single"/>
        </w:rPr>
        <w:t>11</w:t>
      </w:r>
      <w:r>
        <w:rPr>
          <w:rFonts w:hint="eastAsia"/>
        </w:rPr>
        <w:t xml:space="preserve">.  </w:t>
      </w:r>
      <w:r>
        <w:rPr>
          <w:rFonts w:hint="eastAsia"/>
          <w:u w:val="single"/>
        </w:rPr>
        <w:t>中国六大类疾病和伤害占总的疾病负担的比例</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3"/>
        <w:gridCol w:w="1231"/>
        <w:gridCol w:w="1231"/>
        <w:gridCol w:w="1231"/>
        <w:gridCol w:w="1231"/>
        <w:gridCol w:w="1231"/>
        <w:gridCol w:w="1232"/>
      </w:tblGrid>
      <w:tr w:rsidR="00000000">
        <w:tblPrEx>
          <w:tblCellMar>
            <w:top w:w="0" w:type="dxa"/>
            <w:bottom w:w="0" w:type="dxa"/>
          </w:tblCellMar>
        </w:tblPrEx>
        <w:trPr>
          <w:cantSplit/>
        </w:trPr>
        <w:tc>
          <w:tcPr>
            <w:tcW w:w="2023" w:type="dxa"/>
            <w:vMerge w:val="restart"/>
          </w:tcPr>
          <w:p w:rsidR="00000000" w:rsidRDefault="00000000">
            <w:pPr>
              <w:pStyle w:val="a2"/>
              <w:jc w:val="center"/>
              <w:rPr>
                <w:rFonts w:hint="eastAsia"/>
              </w:rPr>
            </w:pPr>
          </w:p>
        </w:tc>
        <w:tc>
          <w:tcPr>
            <w:tcW w:w="3693" w:type="dxa"/>
            <w:gridSpan w:val="3"/>
          </w:tcPr>
          <w:p w:rsidR="00000000" w:rsidRDefault="00000000">
            <w:pPr>
              <w:pStyle w:val="a2"/>
              <w:jc w:val="center"/>
              <w:rPr>
                <w:rFonts w:ascii="Time New Roman" w:eastAsia="SimHei" w:hAnsi="Time New Roman" w:hint="eastAsia"/>
              </w:rPr>
            </w:pPr>
            <w:r>
              <w:rPr>
                <w:rFonts w:ascii="Time New Roman" w:eastAsia="SimHei" w:hAnsi="Time New Roman" w:hint="eastAsia"/>
                <w:b/>
              </w:rPr>
              <w:t>1990</w:t>
            </w:r>
            <w:r>
              <w:rPr>
                <w:rFonts w:ascii="Time New Roman" w:eastAsia="SimHei" w:hAnsi="Time New Roman" w:hint="eastAsia"/>
              </w:rPr>
              <w:t>年估计数</w:t>
            </w:r>
          </w:p>
        </w:tc>
        <w:tc>
          <w:tcPr>
            <w:tcW w:w="3694" w:type="dxa"/>
            <w:gridSpan w:val="3"/>
          </w:tcPr>
          <w:p w:rsidR="00000000" w:rsidRDefault="00000000">
            <w:pPr>
              <w:pStyle w:val="a2"/>
              <w:jc w:val="center"/>
              <w:rPr>
                <w:rFonts w:ascii="Time New Roman" w:eastAsia="SimHei" w:hAnsi="Time New Roman" w:hint="eastAsia"/>
              </w:rPr>
            </w:pPr>
            <w:r>
              <w:rPr>
                <w:rFonts w:ascii="Time New Roman" w:eastAsia="SimHei" w:hAnsi="Time New Roman" w:hint="eastAsia"/>
                <w:b/>
              </w:rPr>
              <w:t>2020</w:t>
            </w:r>
            <w:r>
              <w:rPr>
                <w:rFonts w:ascii="Time New Roman" w:eastAsia="SimHei" w:hAnsi="Time New Roman" w:hint="eastAsia"/>
              </w:rPr>
              <w:t>年预测数</w:t>
            </w:r>
          </w:p>
        </w:tc>
      </w:tr>
      <w:tr w:rsidR="00000000">
        <w:tblPrEx>
          <w:tblCellMar>
            <w:top w:w="0" w:type="dxa"/>
            <w:bottom w:w="0" w:type="dxa"/>
          </w:tblCellMar>
        </w:tblPrEx>
        <w:trPr>
          <w:cantSplit/>
        </w:trPr>
        <w:tc>
          <w:tcPr>
            <w:tcW w:w="2023" w:type="dxa"/>
            <w:vMerge/>
            <w:tcBorders>
              <w:bottom w:val="single" w:sz="4" w:space="0" w:color="auto"/>
            </w:tcBorders>
          </w:tcPr>
          <w:p w:rsidR="00000000" w:rsidRDefault="00000000">
            <w:pPr>
              <w:pStyle w:val="a2"/>
              <w:jc w:val="center"/>
              <w:rPr>
                <w:rFonts w:hint="eastAsia"/>
              </w:rPr>
            </w:pPr>
          </w:p>
        </w:tc>
        <w:tc>
          <w:tcPr>
            <w:tcW w:w="1231" w:type="dxa"/>
            <w:tcBorders>
              <w:bottom w:val="single" w:sz="4" w:space="0" w:color="auto"/>
            </w:tcBorders>
          </w:tcPr>
          <w:p w:rsidR="00000000" w:rsidRDefault="00000000">
            <w:pPr>
              <w:pStyle w:val="a2"/>
              <w:jc w:val="center"/>
              <w:rPr>
                <w:rFonts w:hint="eastAsia"/>
              </w:rPr>
            </w:pPr>
            <w:r>
              <w:rPr>
                <w:rFonts w:hint="eastAsia"/>
              </w:rPr>
              <w:t>合计</w:t>
            </w:r>
          </w:p>
        </w:tc>
        <w:tc>
          <w:tcPr>
            <w:tcW w:w="1231" w:type="dxa"/>
            <w:tcBorders>
              <w:bottom w:val="single" w:sz="4" w:space="0" w:color="auto"/>
            </w:tcBorders>
          </w:tcPr>
          <w:p w:rsidR="00000000" w:rsidRDefault="00000000">
            <w:pPr>
              <w:pStyle w:val="a2"/>
              <w:jc w:val="center"/>
              <w:rPr>
                <w:rFonts w:hint="eastAsia"/>
              </w:rPr>
            </w:pPr>
            <w:r>
              <w:rPr>
                <w:rFonts w:hint="eastAsia"/>
              </w:rPr>
              <w:t>男性</w:t>
            </w:r>
          </w:p>
        </w:tc>
        <w:tc>
          <w:tcPr>
            <w:tcW w:w="1231" w:type="dxa"/>
            <w:tcBorders>
              <w:bottom w:val="single" w:sz="4" w:space="0" w:color="auto"/>
            </w:tcBorders>
          </w:tcPr>
          <w:p w:rsidR="00000000" w:rsidRDefault="00000000">
            <w:pPr>
              <w:pStyle w:val="a2"/>
              <w:jc w:val="center"/>
              <w:rPr>
                <w:rFonts w:hint="eastAsia"/>
              </w:rPr>
            </w:pPr>
            <w:r>
              <w:rPr>
                <w:rFonts w:hint="eastAsia"/>
              </w:rPr>
              <w:t>女性</w:t>
            </w:r>
          </w:p>
        </w:tc>
        <w:tc>
          <w:tcPr>
            <w:tcW w:w="1231" w:type="dxa"/>
            <w:tcBorders>
              <w:bottom w:val="single" w:sz="4" w:space="0" w:color="auto"/>
            </w:tcBorders>
          </w:tcPr>
          <w:p w:rsidR="00000000" w:rsidRDefault="00000000">
            <w:pPr>
              <w:pStyle w:val="a2"/>
              <w:jc w:val="center"/>
              <w:rPr>
                <w:rFonts w:hint="eastAsia"/>
              </w:rPr>
            </w:pPr>
            <w:r>
              <w:rPr>
                <w:rFonts w:hint="eastAsia"/>
              </w:rPr>
              <w:t>合计</w:t>
            </w:r>
          </w:p>
        </w:tc>
        <w:tc>
          <w:tcPr>
            <w:tcW w:w="1231" w:type="dxa"/>
            <w:tcBorders>
              <w:bottom w:val="single" w:sz="4" w:space="0" w:color="auto"/>
            </w:tcBorders>
          </w:tcPr>
          <w:p w:rsidR="00000000" w:rsidRDefault="00000000">
            <w:pPr>
              <w:pStyle w:val="a2"/>
              <w:jc w:val="center"/>
              <w:rPr>
                <w:rFonts w:hint="eastAsia"/>
              </w:rPr>
            </w:pPr>
            <w:r>
              <w:rPr>
                <w:rFonts w:hint="eastAsia"/>
              </w:rPr>
              <w:t>男性</w:t>
            </w:r>
          </w:p>
        </w:tc>
        <w:tc>
          <w:tcPr>
            <w:tcW w:w="1232" w:type="dxa"/>
            <w:tcBorders>
              <w:bottom w:val="single" w:sz="4" w:space="0" w:color="auto"/>
            </w:tcBorders>
          </w:tcPr>
          <w:p w:rsidR="00000000" w:rsidRDefault="00000000">
            <w:pPr>
              <w:pStyle w:val="a2"/>
              <w:jc w:val="center"/>
              <w:rPr>
                <w:rFonts w:hint="eastAsia"/>
              </w:rPr>
            </w:pPr>
            <w:r>
              <w:rPr>
                <w:rFonts w:hint="eastAsia"/>
              </w:rPr>
              <w:t>女性</w:t>
            </w:r>
          </w:p>
        </w:tc>
      </w:tr>
      <w:tr w:rsidR="00000000">
        <w:tblPrEx>
          <w:tblCellMar>
            <w:top w:w="0" w:type="dxa"/>
            <w:bottom w:w="0" w:type="dxa"/>
          </w:tblCellMar>
        </w:tblPrEx>
        <w:tc>
          <w:tcPr>
            <w:tcW w:w="2023" w:type="dxa"/>
            <w:tcBorders>
              <w:bottom w:val="nil"/>
            </w:tcBorders>
          </w:tcPr>
          <w:p w:rsidR="00000000" w:rsidRDefault="00000000">
            <w:pPr>
              <w:pStyle w:val="a2"/>
              <w:ind w:left="105"/>
              <w:rPr>
                <w:rFonts w:hint="eastAsia"/>
              </w:rPr>
            </w:pPr>
            <w:r>
              <w:rPr>
                <w:rFonts w:hint="eastAsia"/>
              </w:rPr>
              <w:t>精神问题和自杀</w:t>
            </w:r>
          </w:p>
        </w:tc>
        <w:tc>
          <w:tcPr>
            <w:tcW w:w="1231" w:type="dxa"/>
            <w:tcBorders>
              <w:bottom w:val="nil"/>
            </w:tcBorders>
            <w:vAlign w:val="center"/>
          </w:tcPr>
          <w:p w:rsidR="00000000" w:rsidRDefault="00000000">
            <w:pPr>
              <w:pStyle w:val="a2"/>
              <w:tabs>
                <w:tab w:val="decimal" w:pos="588"/>
              </w:tabs>
            </w:pPr>
            <w:r>
              <w:t>18.0</w:t>
            </w:r>
          </w:p>
        </w:tc>
        <w:tc>
          <w:tcPr>
            <w:tcW w:w="1231" w:type="dxa"/>
            <w:tcBorders>
              <w:bottom w:val="nil"/>
            </w:tcBorders>
            <w:vAlign w:val="center"/>
          </w:tcPr>
          <w:p w:rsidR="00000000" w:rsidRDefault="00000000">
            <w:pPr>
              <w:pStyle w:val="a2"/>
              <w:tabs>
                <w:tab w:val="decimal" w:pos="588"/>
              </w:tabs>
            </w:pPr>
            <w:r>
              <w:t>15.6</w:t>
            </w:r>
          </w:p>
        </w:tc>
        <w:tc>
          <w:tcPr>
            <w:tcW w:w="1231" w:type="dxa"/>
            <w:tcBorders>
              <w:bottom w:val="nil"/>
            </w:tcBorders>
            <w:vAlign w:val="center"/>
          </w:tcPr>
          <w:p w:rsidR="00000000" w:rsidRDefault="00000000">
            <w:pPr>
              <w:pStyle w:val="a2"/>
              <w:tabs>
                <w:tab w:val="decimal" w:pos="588"/>
              </w:tabs>
            </w:pPr>
            <w:r>
              <w:t>20.7</w:t>
            </w:r>
          </w:p>
        </w:tc>
        <w:tc>
          <w:tcPr>
            <w:tcW w:w="1231" w:type="dxa"/>
            <w:tcBorders>
              <w:bottom w:val="nil"/>
            </w:tcBorders>
            <w:vAlign w:val="center"/>
          </w:tcPr>
          <w:p w:rsidR="00000000" w:rsidRDefault="00000000">
            <w:pPr>
              <w:pStyle w:val="a2"/>
              <w:tabs>
                <w:tab w:val="decimal" w:pos="588"/>
              </w:tabs>
            </w:pPr>
            <w:r>
              <w:t>20.0</w:t>
            </w:r>
          </w:p>
        </w:tc>
        <w:tc>
          <w:tcPr>
            <w:tcW w:w="1231" w:type="dxa"/>
            <w:tcBorders>
              <w:bottom w:val="nil"/>
            </w:tcBorders>
            <w:vAlign w:val="center"/>
          </w:tcPr>
          <w:p w:rsidR="00000000" w:rsidRDefault="00000000">
            <w:pPr>
              <w:pStyle w:val="a2"/>
              <w:tabs>
                <w:tab w:val="decimal" w:pos="588"/>
              </w:tabs>
            </w:pPr>
            <w:r>
              <w:t>15.0</w:t>
            </w:r>
          </w:p>
        </w:tc>
        <w:tc>
          <w:tcPr>
            <w:tcW w:w="1232" w:type="dxa"/>
            <w:tcBorders>
              <w:bottom w:val="nil"/>
            </w:tcBorders>
            <w:vAlign w:val="center"/>
          </w:tcPr>
          <w:p w:rsidR="00000000" w:rsidRDefault="00000000">
            <w:pPr>
              <w:pStyle w:val="a2"/>
              <w:tabs>
                <w:tab w:val="decimal" w:pos="588"/>
              </w:tabs>
            </w:pPr>
            <w:r>
              <w:t>26.8</w:t>
            </w:r>
          </w:p>
        </w:tc>
      </w:tr>
      <w:tr w:rsidR="00000000">
        <w:tblPrEx>
          <w:tblCellMar>
            <w:top w:w="0" w:type="dxa"/>
            <w:bottom w:w="0" w:type="dxa"/>
          </w:tblCellMar>
        </w:tblPrEx>
        <w:tc>
          <w:tcPr>
            <w:tcW w:w="2023" w:type="dxa"/>
            <w:tcBorders>
              <w:top w:val="nil"/>
              <w:bottom w:val="nil"/>
            </w:tcBorders>
          </w:tcPr>
          <w:p w:rsidR="00000000" w:rsidRDefault="00000000">
            <w:pPr>
              <w:pStyle w:val="a2"/>
              <w:ind w:left="105"/>
              <w:rPr>
                <w:rFonts w:hint="eastAsia"/>
              </w:rPr>
            </w:pPr>
            <w:r>
              <w:rPr>
                <w:rFonts w:hint="eastAsia"/>
              </w:rPr>
              <w:t>非故意的伤害</w:t>
            </w:r>
          </w:p>
        </w:tc>
        <w:tc>
          <w:tcPr>
            <w:tcW w:w="1231" w:type="dxa"/>
            <w:tcBorders>
              <w:top w:val="nil"/>
              <w:bottom w:val="nil"/>
            </w:tcBorders>
            <w:vAlign w:val="center"/>
          </w:tcPr>
          <w:p w:rsidR="00000000" w:rsidRDefault="00000000">
            <w:pPr>
              <w:pStyle w:val="a2"/>
              <w:tabs>
                <w:tab w:val="decimal" w:pos="588"/>
              </w:tabs>
            </w:pPr>
            <w:r>
              <w:t>12.9</w:t>
            </w:r>
          </w:p>
        </w:tc>
        <w:tc>
          <w:tcPr>
            <w:tcW w:w="1231" w:type="dxa"/>
            <w:tcBorders>
              <w:top w:val="nil"/>
              <w:bottom w:val="nil"/>
            </w:tcBorders>
            <w:vAlign w:val="center"/>
          </w:tcPr>
          <w:p w:rsidR="00000000" w:rsidRDefault="00000000">
            <w:pPr>
              <w:pStyle w:val="a2"/>
              <w:tabs>
                <w:tab w:val="decimal" w:pos="588"/>
              </w:tabs>
            </w:pPr>
            <w:r>
              <w:t>15.7</w:t>
            </w:r>
          </w:p>
        </w:tc>
        <w:tc>
          <w:tcPr>
            <w:tcW w:w="1231" w:type="dxa"/>
            <w:tcBorders>
              <w:top w:val="nil"/>
              <w:bottom w:val="nil"/>
            </w:tcBorders>
            <w:vAlign w:val="center"/>
          </w:tcPr>
          <w:p w:rsidR="00000000" w:rsidRDefault="00000000">
            <w:pPr>
              <w:pStyle w:val="a2"/>
              <w:tabs>
                <w:tab w:val="decimal" w:pos="588"/>
              </w:tabs>
            </w:pPr>
            <w:r>
              <w:t>9.9</w:t>
            </w:r>
          </w:p>
        </w:tc>
        <w:tc>
          <w:tcPr>
            <w:tcW w:w="1231" w:type="dxa"/>
            <w:tcBorders>
              <w:top w:val="nil"/>
              <w:bottom w:val="nil"/>
            </w:tcBorders>
            <w:vAlign w:val="center"/>
          </w:tcPr>
          <w:p w:rsidR="00000000" w:rsidRDefault="00000000">
            <w:pPr>
              <w:pStyle w:val="a2"/>
              <w:tabs>
                <w:tab w:val="decimal" w:pos="588"/>
              </w:tabs>
            </w:pPr>
            <w:r>
              <w:t>11.0</w:t>
            </w:r>
          </w:p>
        </w:tc>
        <w:tc>
          <w:tcPr>
            <w:tcW w:w="1231" w:type="dxa"/>
            <w:tcBorders>
              <w:top w:val="nil"/>
              <w:bottom w:val="nil"/>
            </w:tcBorders>
            <w:vAlign w:val="center"/>
          </w:tcPr>
          <w:p w:rsidR="00000000" w:rsidRDefault="00000000">
            <w:pPr>
              <w:pStyle w:val="a2"/>
              <w:tabs>
                <w:tab w:val="decimal" w:pos="588"/>
              </w:tabs>
            </w:pPr>
            <w:r>
              <w:t>11.6</w:t>
            </w:r>
          </w:p>
        </w:tc>
        <w:tc>
          <w:tcPr>
            <w:tcW w:w="1232" w:type="dxa"/>
            <w:tcBorders>
              <w:top w:val="nil"/>
              <w:bottom w:val="nil"/>
            </w:tcBorders>
            <w:vAlign w:val="center"/>
          </w:tcPr>
          <w:p w:rsidR="00000000" w:rsidRDefault="00000000">
            <w:pPr>
              <w:pStyle w:val="a2"/>
              <w:tabs>
                <w:tab w:val="decimal" w:pos="588"/>
              </w:tabs>
            </w:pPr>
            <w:r>
              <w:t>10.2</w:t>
            </w:r>
          </w:p>
        </w:tc>
      </w:tr>
      <w:tr w:rsidR="00000000">
        <w:tblPrEx>
          <w:tblCellMar>
            <w:top w:w="0" w:type="dxa"/>
            <w:bottom w:w="0" w:type="dxa"/>
          </w:tblCellMar>
        </w:tblPrEx>
        <w:tc>
          <w:tcPr>
            <w:tcW w:w="2023" w:type="dxa"/>
            <w:tcBorders>
              <w:top w:val="nil"/>
              <w:bottom w:val="nil"/>
            </w:tcBorders>
          </w:tcPr>
          <w:p w:rsidR="00000000" w:rsidRDefault="00000000">
            <w:pPr>
              <w:pStyle w:val="a2"/>
              <w:ind w:left="105"/>
              <w:rPr>
                <w:rFonts w:hint="eastAsia"/>
              </w:rPr>
            </w:pPr>
            <w:r>
              <w:rPr>
                <w:rFonts w:hint="eastAsia"/>
              </w:rPr>
              <w:t>心脑血管疾病</w:t>
            </w:r>
          </w:p>
        </w:tc>
        <w:tc>
          <w:tcPr>
            <w:tcW w:w="1231" w:type="dxa"/>
            <w:tcBorders>
              <w:top w:val="nil"/>
              <w:bottom w:val="nil"/>
            </w:tcBorders>
            <w:vAlign w:val="center"/>
          </w:tcPr>
          <w:p w:rsidR="00000000" w:rsidRDefault="00000000">
            <w:pPr>
              <w:pStyle w:val="a2"/>
              <w:tabs>
                <w:tab w:val="decimal" w:pos="588"/>
              </w:tabs>
            </w:pPr>
            <w:r>
              <w:t>11.0</w:t>
            </w:r>
          </w:p>
        </w:tc>
        <w:tc>
          <w:tcPr>
            <w:tcW w:w="1231" w:type="dxa"/>
            <w:tcBorders>
              <w:top w:val="nil"/>
              <w:bottom w:val="nil"/>
            </w:tcBorders>
            <w:vAlign w:val="center"/>
          </w:tcPr>
          <w:p w:rsidR="00000000" w:rsidRDefault="00000000">
            <w:pPr>
              <w:pStyle w:val="a2"/>
              <w:tabs>
                <w:tab w:val="decimal" w:pos="588"/>
              </w:tabs>
            </w:pPr>
            <w:r>
              <w:t>11.2</w:t>
            </w:r>
          </w:p>
        </w:tc>
        <w:tc>
          <w:tcPr>
            <w:tcW w:w="1231" w:type="dxa"/>
            <w:tcBorders>
              <w:top w:val="nil"/>
              <w:bottom w:val="nil"/>
            </w:tcBorders>
            <w:vAlign w:val="center"/>
          </w:tcPr>
          <w:p w:rsidR="00000000" w:rsidRDefault="00000000">
            <w:pPr>
              <w:pStyle w:val="a2"/>
              <w:tabs>
                <w:tab w:val="decimal" w:pos="588"/>
              </w:tabs>
            </w:pPr>
            <w:r>
              <w:t>10.7</w:t>
            </w:r>
          </w:p>
        </w:tc>
        <w:tc>
          <w:tcPr>
            <w:tcW w:w="1231" w:type="dxa"/>
            <w:tcBorders>
              <w:top w:val="nil"/>
              <w:bottom w:val="nil"/>
            </w:tcBorders>
            <w:vAlign w:val="center"/>
          </w:tcPr>
          <w:p w:rsidR="00000000" w:rsidRDefault="00000000">
            <w:pPr>
              <w:pStyle w:val="a2"/>
              <w:tabs>
                <w:tab w:val="decimal" w:pos="588"/>
              </w:tabs>
            </w:pPr>
            <w:r>
              <w:t>16.3</w:t>
            </w:r>
          </w:p>
        </w:tc>
        <w:tc>
          <w:tcPr>
            <w:tcW w:w="1231" w:type="dxa"/>
            <w:tcBorders>
              <w:top w:val="nil"/>
              <w:bottom w:val="nil"/>
            </w:tcBorders>
            <w:vAlign w:val="center"/>
          </w:tcPr>
          <w:p w:rsidR="00000000" w:rsidRDefault="00000000">
            <w:pPr>
              <w:pStyle w:val="a2"/>
              <w:tabs>
                <w:tab w:val="decimal" w:pos="588"/>
              </w:tabs>
            </w:pPr>
            <w:r>
              <w:t>19.1</w:t>
            </w:r>
          </w:p>
        </w:tc>
        <w:tc>
          <w:tcPr>
            <w:tcW w:w="1232" w:type="dxa"/>
            <w:tcBorders>
              <w:top w:val="nil"/>
              <w:bottom w:val="nil"/>
            </w:tcBorders>
            <w:vAlign w:val="center"/>
          </w:tcPr>
          <w:p w:rsidR="00000000" w:rsidRDefault="00000000">
            <w:pPr>
              <w:pStyle w:val="a2"/>
              <w:tabs>
                <w:tab w:val="decimal" w:pos="588"/>
              </w:tabs>
            </w:pPr>
            <w:r>
              <w:t>12.6</w:t>
            </w:r>
          </w:p>
        </w:tc>
      </w:tr>
      <w:tr w:rsidR="00000000">
        <w:tblPrEx>
          <w:tblCellMar>
            <w:top w:w="0" w:type="dxa"/>
            <w:bottom w:w="0" w:type="dxa"/>
          </w:tblCellMar>
        </w:tblPrEx>
        <w:tc>
          <w:tcPr>
            <w:tcW w:w="2023" w:type="dxa"/>
            <w:tcBorders>
              <w:top w:val="nil"/>
              <w:bottom w:val="nil"/>
            </w:tcBorders>
          </w:tcPr>
          <w:p w:rsidR="00000000" w:rsidRDefault="00000000">
            <w:pPr>
              <w:pStyle w:val="a2"/>
              <w:ind w:left="105"/>
              <w:rPr>
                <w:rFonts w:hint="eastAsia"/>
              </w:rPr>
            </w:pPr>
            <w:r>
              <w:rPr>
                <w:rFonts w:hint="eastAsia"/>
              </w:rPr>
              <w:t>呼吸系统疾病</w:t>
            </w:r>
          </w:p>
        </w:tc>
        <w:tc>
          <w:tcPr>
            <w:tcW w:w="1231" w:type="dxa"/>
            <w:tcBorders>
              <w:top w:val="nil"/>
              <w:bottom w:val="nil"/>
            </w:tcBorders>
            <w:vAlign w:val="center"/>
          </w:tcPr>
          <w:p w:rsidR="00000000" w:rsidRDefault="00000000">
            <w:pPr>
              <w:pStyle w:val="a2"/>
              <w:tabs>
                <w:tab w:val="decimal" w:pos="588"/>
              </w:tabs>
            </w:pPr>
            <w:r>
              <w:t>10.7</w:t>
            </w:r>
          </w:p>
        </w:tc>
        <w:tc>
          <w:tcPr>
            <w:tcW w:w="1231" w:type="dxa"/>
            <w:tcBorders>
              <w:top w:val="nil"/>
              <w:bottom w:val="nil"/>
            </w:tcBorders>
            <w:vAlign w:val="center"/>
          </w:tcPr>
          <w:p w:rsidR="00000000" w:rsidRDefault="00000000">
            <w:pPr>
              <w:pStyle w:val="a2"/>
              <w:tabs>
                <w:tab w:val="decimal" w:pos="588"/>
              </w:tabs>
            </w:pPr>
            <w:r>
              <w:t>11.1</w:t>
            </w:r>
          </w:p>
        </w:tc>
        <w:tc>
          <w:tcPr>
            <w:tcW w:w="1231" w:type="dxa"/>
            <w:tcBorders>
              <w:top w:val="nil"/>
              <w:bottom w:val="nil"/>
            </w:tcBorders>
            <w:vAlign w:val="center"/>
          </w:tcPr>
          <w:p w:rsidR="00000000" w:rsidRDefault="00000000">
            <w:pPr>
              <w:pStyle w:val="a2"/>
              <w:tabs>
                <w:tab w:val="decimal" w:pos="588"/>
              </w:tabs>
            </w:pPr>
            <w:r>
              <w:t>10.2</w:t>
            </w:r>
          </w:p>
        </w:tc>
        <w:tc>
          <w:tcPr>
            <w:tcW w:w="1231" w:type="dxa"/>
            <w:tcBorders>
              <w:top w:val="nil"/>
              <w:bottom w:val="nil"/>
            </w:tcBorders>
            <w:vAlign w:val="center"/>
          </w:tcPr>
          <w:p w:rsidR="00000000" w:rsidRDefault="00000000">
            <w:pPr>
              <w:pStyle w:val="a2"/>
              <w:tabs>
                <w:tab w:val="decimal" w:pos="588"/>
              </w:tabs>
            </w:pPr>
            <w:r>
              <w:t>16.3</w:t>
            </w:r>
          </w:p>
        </w:tc>
        <w:tc>
          <w:tcPr>
            <w:tcW w:w="1231" w:type="dxa"/>
            <w:tcBorders>
              <w:top w:val="nil"/>
              <w:bottom w:val="nil"/>
            </w:tcBorders>
            <w:vAlign w:val="center"/>
          </w:tcPr>
          <w:p w:rsidR="00000000" w:rsidRDefault="00000000">
            <w:pPr>
              <w:pStyle w:val="a2"/>
              <w:tabs>
                <w:tab w:val="decimal" w:pos="588"/>
              </w:tabs>
            </w:pPr>
            <w:r>
              <w:t>16.2</w:t>
            </w:r>
          </w:p>
        </w:tc>
        <w:tc>
          <w:tcPr>
            <w:tcW w:w="1232" w:type="dxa"/>
            <w:tcBorders>
              <w:top w:val="nil"/>
              <w:bottom w:val="nil"/>
            </w:tcBorders>
            <w:vAlign w:val="center"/>
          </w:tcPr>
          <w:p w:rsidR="00000000" w:rsidRDefault="00000000">
            <w:pPr>
              <w:pStyle w:val="a2"/>
              <w:tabs>
                <w:tab w:val="decimal" w:pos="588"/>
              </w:tabs>
            </w:pPr>
            <w:r>
              <w:t>16.5</w:t>
            </w:r>
          </w:p>
        </w:tc>
      </w:tr>
      <w:tr w:rsidR="00000000">
        <w:tblPrEx>
          <w:tblCellMar>
            <w:top w:w="0" w:type="dxa"/>
            <w:bottom w:w="0" w:type="dxa"/>
          </w:tblCellMar>
        </w:tblPrEx>
        <w:tc>
          <w:tcPr>
            <w:tcW w:w="2023" w:type="dxa"/>
            <w:tcBorders>
              <w:top w:val="nil"/>
              <w:bottom w:val="nil"/>
            </w:tcBorders>
          </w:tcPr>
          <w:p w:rsidR="00000000" w:rsidRDefault="00000000">
            <w:pPr>
              <w:pStyle w:val="a2"/>
              <w:ind w:left="105"/>
              <w:rPr>
                <w:rFonts w:hint="eastAsia"/>
              </w:rPr>
            </w:pPr>
            <w:r>
              <w:rPr>
                <w:rFonts w:hint="eastAsia"/>
              </w:rPr>
              <w:t>恶性肿瘤</w:t>
            </w:r>
          </w:p>
        </w:tc>
        <w:tc>
          <w:tcPr>
            <w:tcW w:w="1231" w:type="dxa"/>
            <w:tcBorders>
              <w:top w:val="nil"/>
              <w:bottom w:val="nil"/>
            </w:tcBorders>
            <w:vAlign w:val="center"/>
          </w:tcPr>
          <w:p w:rsidR="00000000" w:rsidRDefault="00000000">
            <w:pPr>
              <w:pStyle w:val="a2"/>
              <w:tabs>
                <w:tab w:val="decimal" w:pos="588"/>
              </w:tabs>
            </w:pPr>
            <w:r>
              <w:t>8.7</w:t>
            </w:r>
          </w:p>
        </w:tc>
        <w:tc>
          <w:tcPr>
            <w:tcW w:w="1231" w:type="dxa"/>
            <w:tcBorders>
              <w:top w:val="nil"/>
              <w:bottom w:val="nil"/>
            </w:tcBorders>
            <w:vAlign w:val="center"/>
          </w:tcPr>
          <w:p w:rsidR="00000000" w:rsidRDefault="00000000">
            <w:pPr>
              <w:pStyle w:val="a2"/>
              <w:tabs>
                <w:tab w:val="decimal" w:pos="588"/>
              </w:tabs>
            </w:pPr>
            <w:r>
              <w:t>10.4</w:t>
            </w:r>
          </w:p>
        </w:tc>
        <w:tc>
          <w:tcPr>
            <w:tcW w:w="1231" w:type="dxa"/>
            <w:tcBorders>
              <w:top w:val="nil"/>
              <w:bottom w:val="nil"/>
            </w:tcBorders>
            <w:vAlign w:val="center"/>
          </w:tcPr>
          <w:p w:rsidR="00000000" w:rsidRDefault="00000000">
            <w:pPr>
              <w:pStyle w:val="a2"/>
              <w:tabs>
                <w:tab w:val="decimal" w:pos="588"/>
              </w:tabs>
            </w:pPr>
            <w:r>
              <w:t>6.8</w:t>
            </w:r>
          </w:p>
        </w:tc>
        <w:tc>
          <w:tcPr>
            <w:tcW w:w="1231" w:type="dxa"/>
            <w:tcBorders>
              <w:top w:val="nil"/>
              <w:bottom w:val="nil"/>
            </w:tcBorders>
            <w:vAlign w:val="center"/>
          </w:tcPr>
          <w:p w:rsidR="00000000" w:rsidRDefault="00000000">
            <w:pPr>
              <w:pStyle w:val="a2"/>
              <w:tabs>
                <w:tab w:val="decimal" w:pos="588"/>
              </w:tabs>
            </w:pPr>
            <w:r>
              <w:t>18.7</w:t>
            </w:r>
          </w:p>
        </w:tc>
        <w:tc>
          <w:tcPr>
            <w:tcW w:w="1231" w:type="dxa"/>
            <w:tcBorders>
              <w:top w:val="nil"/>
              <w:bottom w:val="nil"/>
            </w:tcBorders>
            <w:vAlign w:val="center"/>
          </w:tcPr>
          <w:p w:rsidR="00000000" w:rsidRDefault="00000000">
            <w:pPr>
              <w:pStyle w:val="a2"/>
              <w:tabs>
                <w:tab w:val="decimal" w:pos="588"/>
              </w:tabs>
            </w:pPr>
            <w:r>
              <w:t>22.7</w:t>
            </w:r>
          </w:p>
        </w:tc>
        <w:tc>
          <w:tcPr>
            <w:tcW w:w="1232" w:type="dxa"/>
            <w:tcBorders>
              <w:top w:val="nil"/>
              <w:bottom w:val="nil"/>
            </w:tcBorders>
            <w:vAlign w:val="center"/>
          </w:tcPr>
          <w:p w:rsidR="00000000" w:rsidRDefault="00000000">
            <w:pPr>
              <w:pStyle w:val="a2"/>
              <w:tabs>
                <w:tab w:val="decimal" w:pos="588"/>
              </w:tabs>
            </w:pPr>
            <w:r>
              <w:t>13.3</w:t>
            </w:r>
          </w:p>
        </w:tc>
      </w:tr>
      <w:tr w:rsidR="00000000">
        <w:tblPrEx>
          <w:tblCellMar>
            <w:top w:w="0" w:type="dxa"/>
            <w:bottom w:w="0" w:type="dxa"/>
          </w:tblCellMar>
        </w:tblPrEx>
        <w:tc>
          <w:tcPr>
            <w:tcW w:w="2023" w:type="dxa"/>
            <w:tcBorders>
              <w:top w:val="nil"/>
            </w:tcBorders>
          </w:tcPr>
          <w:p w:rsidR="00000000" w:rsidRDefault="00000000">
            <w:pPr>
              <w:pStyle w:val="a2"/>
              <w:ind w:left="105"/>
              <w:rPr>
                <w:rFonts w:hint="eastAsia"/>
              </w:rPr>
            </w:pPr>
            <w:r>
              <w:rPr>
                <w:rFonts w:hint="eastAsia"/>
              </w:rPr>
              <w:t>传染寄生性疾病</w:t>
            </w:r>
          </w:p>
        </w:tc>
        <w:tc>
          <w:tcPr>
            <w:tcW w:w="1231" w:type="dxa"/>
            <w:tcBorders>
              <w:top w:val="nil"/>
            </w:tcBorders>
            <w:vAlign w:val="center"/>
          </w:tcPr>
          <w:p w:rsidR="00000000" w:rsidRDefault="00000000">
            <w:pPr>
              <w:pStyle w:val="a2"/>
              <w:tabs>
                <w:tab w:val="decimal" w:pos="588"/>
              </w:tabs>
            </w:pPr>
            <w:r>
              <w:t>7.5</w:t>
            </w:r>
          </w:p>
        </w:tc>
        <w:tc>
          <w:tcPr>
            <w:tcW w:w="1231" w:type="dxa"/>
            <w:tcBorders>
              <w:top w:val="nil"/>
            </w:tcBorders>
            <w:vAlign w:val="center"/>
          </w:tcPr>
          <w:p w:rsidR="00000000" w:rsidRDefault="00000000">
            <w:pPr>
              <w:pStyle w:val="a2"/>
              <w:tabs>
                <w:tab w:val="decimal" w:pos="588"/>
              </w:tabs>
            </w:pPr>
            <w:r>
              <w:t>7.7</w:t>
            </w:r>
          </w:p>
        </w:tc>
        <w:tc>
          <w:tcPr>
            <w:tcW w:w="1231" w:type="dxa"/>
            <w:tcBorders>
              <w:top w:val="nil"/>
            </w:tcBorders>
            <w:vAlign w:val="center"/>
          </w:tcPr>
          <w:p w:rsidR="00000000" w:rsidRDefault="00000000">
            <w:pPr>
              <w:pStyle w:val="a2"/>
              <w:tabs>
                <w:tab w:val="decimal" w:pos="588"/>
              </w:tabs>
            </w:pPr>
            <w:r>
              <w:t>7.2</w:t>
            </w:r>
          </w:p>
        </w:tc>
        <w:tc>
          <w:tcPr>
            <w:tcW w:w="1231" w:type="dxa"/>
            <w:tcBorders>
              <w:top w:val="nil"/>
            </w:tcBorders>
            <w:vAlign w:val="center"/>
          </w:tcPr>
          <w:p w:rsidR="00000000" w:rsidRDefault="00000000">
            <w:pPr>
              <w:pStyle w:val="a2"/>
              <w:tabs>
                <w:tab w:val="decimal" w:pos="588"/>
              </w:tabs>
            </w:pPr>
            <w:r>
              <w:t>1.4</w:t>
            </w:r>
          </w:p>
        </w:tc>
        <w:tc>
          <w:tcPr>
            <w:tcW w:w="1231" w:type="dxa"/>
            <w:tcBorders>
              <w:top w:val="nil"/>
            </w:tcBorders>
            <w:vAlign w:val="center"/>
          </w:tcPr>
          <w:p w:rsidR="00000000" w:rsidRDefault="00000000">
            <w:pPr>
              <w:pStyle w:val="a2"/>
              <w:tabs>
                <w:tab w:val="decimal" w:pos="588"/>
              </w:tabs>
            </w:pPr>
            <w:r>
              <w:t>1.3</w:t>
            </w:r>
          </w:p>
        </w:tc>
        <w:tc>
          <w:tcPr>
            <w:tcW w:w="1232" w:type="dxa"/>
            <w:tcBorders>
              <w:top w:val="nil"/>
            </w:tcBorders>
            <w:vAlign w:val="center"/>
          </w:tcPr>
          <w:p w:rsidR="00000000" w:rsidRDefault="00000000">
            <w:pPr>
              <w:pStyle w:val="a2"/>
              <w:tabs>
                <w:tab w:val="decimal" w:pos="588"/>
              </w:tabs>
            </w:pPr>
            <w:r>
              <w:t>1.5</w:t>
            </w:r>
          </w:p>
        </w:tc>
      </w:tr>
    </w:tbl>
    <w:p w:rsidR="00000000" w:rsidRDefault="00000000">
      <w:pPr>
        <w:pStyle w:val="a6"/>
        <w:spacing w:before="180"/>
        <w:rPr>
          <w:rFonts w:hint="eastAsia"/>
        </w:rPr>
      </w:pPr>
      <w:r>
        <w:rPr>
          <w:rFonts w:eastAsia="SimSun" w:hint="eastAsia"/>
        </w:rPr>
        <w:tab/>
      </w:r>
      <w:r>
        <w:rPr>
          <w:rFonts w:hint="eastAsia"/>
          <w:u w:val="single"/>
        </w:rPr>
        <w:t>资料来源</w:t>
      </w:r>
      <w:r>
        <w:rPr>
          <w:rFonts w:hint="eastAsia"/>
        </w:rPr>
        <w:t>：卫生部提供。</w:t>
      </w:r>
    </w:p>
    <w:p w:rsidR="00000000" w:rsidRDefault="00000000">
      <w:pPr>
        <w:spacing w:after="160"/>
        <w:rPr>
          <w:rFonts w:hint="eastAsia"/>
        </w:rPr>
      </w:pPr>
    </w:p>
    <w:p w:rsidR="00000000" w:rsidRDefault="00000000">
      <w:pPr>
        <w:spacing w:after="160"/>
        <w:jc w:val="center"/>
        <w:rPr>
          <w:rFonts w:ascii="Time New Roman" w:eastAsia="SimHei" w:hAnsi="Time New Roman"/>
        </w:rPr>
      </w:pPr>
      <w:r>
        <w:rPr>
          <w:rFonts w:hint="eastAsia"/>
          <w:u w:val="single"/>
        </w:rPr>
        <w:t>表</w:t>
      </w:r>
      <w:r>
        <w:rPr>
          <w:rFonts w:hint="eastAsia"/>
          <w:u w:val="single"/>
        </w:rPr>
        <w:t>12</w:t>
      </w:r>
      <w:r>
        <w:rPr>
          <w:rFonts w:hint="eastAsia"/>
        </w:rPr>
        <w:t xml:space="preserve">.  </w:t>
      </w:r>
      <w:r>
        <w:rPr>
          <w:rFonts w:hint="eastAsia"/>
          <w:u w:val="single"/>
        </w:rPr>
        <w:t>全国人口出生率、死亡率、自然增长率</w:t>
      </w:r>
      <w:r>
        <w:br/>
      </w:r>
      <w:r>
        <w:rPr>
          <w:rFonts w:ascii="Time New Roman" w:eastAsia="SimHei" w:hAnsi="Time New Roman" w:hint="eastAsia"/>
        </w:rPr>
        <w:t xml:space="preserve">     </w:t>
      </w:r>
      <w:r>
        <w:rPr>
          <w:rFonts w:ascii="Time New Roman" w:eastAsia="SimHei" w:hAnsi="Time New Roman"/>
        </w:rPr>
        <w:t>(</w:t>
      </w:r>
      <w:r>
        <w:rPr>
          <w:rFonts w:hint="eastAsia"/>
        </w:rPr>
        <w:t>单位</w:t>
      </w:r>
      <w:r>
        <w:rPr>
          <w:rFonts w:ascii="Time New Roman" w:eastAsia="SimHei" w:hAnsi="Time New Roman" w:hint="eastAsia"/>
        </w:rPr>
        <w:t>：‰</w:t>
      </w:r>
      <w:r>
        <w:rPr>
          <w:rFonts w:ascii="Time New Roman" w:eastAsia="SimHei" w:hAnsi="Time New Roman"/>
        </w:rPr>
        <w:t>)</w:t>
      </w: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1"/>
        <w:gridCol w:w="842"/>
        <w:gridCol w:w="842"/>
        <w:gridCol w:w="1090"/>
        <w:gridCol w:w="794"/>
        <w:gridCol w:w="796"/>
        <w:gridCol w:w="1133"/>
        <w:gridCol w:w="880"/>
        <w:gridCol w:w="880"/>
        <w:gridCol w:w="1139"/>
      </w:tblGrid>
      <w:tr w:rsidR="00000000">
        <w:tblPrEx>
          <w:tblCellMar>
            <w:top w:w="0" w:type="dxa"/>
            <w:bottom w:w="0" w:type="dxa"/>
          </w:tblCellMar>
        </w:tblPrEx>
        <w:trPr>
          <w:cantSplit/>
        </w:trPr>
        <w:tc>
          <w:tcPr>
            <w:tcW w:w="518" w:type="pct"/>
            <w:vMerge w:val="restart"/>
          </w:tcPr>
          <w:p w:rsidR="00000000" w:rsidRDefault="00000000">
            <w:pPr>
              <w:pStyle w:val="a2"/>
              <w:ind w:left="113"/>
              <w:rPr>
                <w:rFonts w:ascii="Time New Roman" w:eastAsia="SimHei" w:hAnsi="Time New Roman"/>
                <w:snapToGrid/>
              </w:rPr>
            </w:pPr>
          </w:p>
        </w:tc>
        <w:tc>
          <w:tcPr>
            <w:tcW w:w="1480" w:type="pct"/>
            <w:gridSpan w:val="3"/>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总</w:t>
            </w:r>
            <w:r>
              <w:rPr>
                <w:rFonts w:ascii="Time New Roman" w:eastAsia="SimHei" w:hAnsi="Time New Roman" w:hint="eastAsia"/>
                <w:snapToGrid/>
              </w:rPr>
              <w:t xml:space="preserve">  </w:t>
            </w:r>
            <w:r>
              <w:rPr>
                <w:rFonts w:ascii="Time New Roman" w:eastAsia="SimHei" w:hAnsi="Time New Roman" w:hint="eastAsia"/>
                <w:snapToGrid/>
              </w:rPr>
              <w:t>计</w:t>
            </w:r>
          </w:p>
        </w:tc>
        <w:tc>
          <w:tcPr>
            <w:tcW w:w="1454" w:type="pct"/>
            <w:gridSpan w:val="3"/>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市</w:t>
            </w:r>
          </w:p>
        </w:tc>
        <w:tc>
          <w:tcPr>
            <w:tcW w:w="1549" w:type="pct"/>
            <w:gridSpan w:val="3"/>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县</w:t>
            </w:r>
          </w:p>
        </w:tc>
      </w:tr>
      <w:tr w:rsidR="00000000">
        <w:tblPrEx>
          <w:tblCellMar>
            <w:top w:w="0" w:type="dxa"/>
            <w:bottom w:w="0" w:type="dxa"/>
          </w:tblCellMar>
        </w:tblPrEx>
        <w:trPr>
          <w:cantSplit/>
        </w:trPr>
        <w:tc>
          <w:tcPr>
            <w:tcW w:w="518" w:type="pct"/>
            <w:vMerge/>
            <w:tcBorders>
              <w:bottom w:val="single" w:sz="4" w:space="0" w:color="auto"/>
            </w:tcBorders>
          </w:tcPr>
          <w:p w:rsidR="00000000" w:rsidRDefault="00000000">
            <w:pPr>
              <w:pStyle w:val="a2"/>
              <w:ind w:left="113"/>
              <w:rPr>
                <w:rFonts w:ascii="Time New Roman" w:eastAsia="SimHei" w:hAnsi="Time New Roman"/>
                <w:snapToGrid/>
              </w:rPr>
            </w:pPr>
          </w:p>
        </w:tc>
        <w:tc>
          <w:tcPr>
            <w:tcW w:w="449" w:type="pct"/>
            <w:tcBorders>
              <w:bottom w:val="single" w:sz="4" w:space="0" w:color="auto"/>
            </w:tcBorders>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出生率</w:t>
            </w:r>
          </w:p>
        </w:tc>
        <w:tc>
          <w:tcPr>
            <w:tcW w:w="449" w:type="pct"/>
            <w:tcBorders>
              <w:bottom w:val="single" w:sz="4" w:space="0" w:color="auto"/>
            </w:tcBorders>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死亡率</w:t>
            </w:r>
          </w:p>
        </w:tc>
        <w:tc>
          <w:tcPr>
            <w:tcW w:w="581" w:type="pct"/>
            <w:tcBorders>
              <w:bottom w:val="single" w:sz="4" w:space="0" w:color="auto"/>
            </w:tcBorders>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spacing w:val="-4"/>
              </w:rPr>
              <w:t>自然增长率</w:t>
            </w:r>
          </w:p>
        </w:tc>
        <w:tc>
          <w:tcPr>
            <w:tcW w:w="424" w:type="pct"/>
            <w:tcBorders>
              <w:bottom w:val="single" w:sz="4" w:space="0" w:color="auto"/>
            </w:tcBorders>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出生率</w:t>
            </w:r>
          </w:p>
        </w:tc>
        <w:tc>
          <w:tcPr>
            <w:tcW w:w="425" w:type="pct"/>
            <w:tcBorders>
              <w:bottom w:val="single" w:sz="4" w:space="0" w:color="auto"/>
            </w:tcBorders>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死亡率</w:t>
            </w:r>
          </w:p>
        </w:tc>
        <w:tc>
          <w:tcPr>
            <w:tcW w:w="605" w:type="pct"/>
            <w:tcBorders>
              <w:bottom w:val="single" w:sz="4" w:space="0" w:color="auto"/>
            </w:tcBorders>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spacing w:val="-4"/>
              </w:rPr>
              <w:t>自然增长率</w:t>
            </w:r>
          </w:p>
        </w:tc>
        <w:tc>
          <w:tcPr>
            <w:tcW w:w="470" w:type="pct"/>
            <w:tcBorders>
              <w:bottom w:val="single" w:sz="4" w:space="0" w:color="auto"/>
            </w:tcBorders>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出生率</w:t>
            </w:r>
          </w:p>
        </w:tc>
        <w:tc>
          <w:tcPr>
            <w:tcW w:w="470" w:type="pct"/>
            <w:tcBorders>
              <w:bottom w:val="single" w:sz="4" w:space="0" w:color="auto"/>
            </w:tcBorders>
          </w:tcPr>
          <w:p w:rsidR="00000000" w:rsidRDefault="00000000">
            <w:pPr>
              <w:pStyle w:val="a2"/>
              <w:jc w:val="center"/>
              <w:rPr>
                <w:rFonts w:ascii="Time New Roman" w:eastAsia="SimHei" w:hAnsi="Time New Roman" w:hint="eastAsia"/>
                <w:snapToGrid/>
              </w:rPr>
            </w:pPr>
            <w:r>
              <w:rPr>
                <w:rFonts w:ascii="Time New Roman" w:eastAsia="SimHei" w:hAnsi="Time New Roman" w:hint="eastAsia"/>
                <w:snapToGrid/>
              </w:rPr>
              <w:t>死亡率</w:t>
            </w:r>
          </w:p>
        </w:tc>
        <w:tc>
          <w:tcPr>
            <w:tcW w:w="609" w:type="pct"/>
            <w:tcBorders>
              <w:bottom w:val="single" w:sz="4" w:space="0" w:color="auto"/>
            </w:tcBorders>
          </w:tcPr>
          <w:p w:rsidR="00000000" w:rsidRDefault="00000000">
            <w:pPr>
              <w:pStyle w:val="a2"/>
              <w:jc w:val="center"/>
              <w:rPr>
                <w:rFonts w:ascii="Time New Roman" w:eastAsia="SimHei" w:hAnsi="Time New Roman" w:hint="eastAsia"/>
                <w:snapToGrid/>
                <w:spacing w:val="-4"/>
              </w:rPr>
            </w:pPr>
            <w:r>
              <w:rPr>
                <w:rFonts w:ascii="Time New Roman" w:eastAsia="SimHei" w:hAnsi="Time New Roman" w:hint="eastAsia"/>
                <w:snapToGrid/>
                <w:spacing w:val="-4"/>
              </w:rPr>
              <w:t>自然增长率</w:t>
            </w:r>
          </w:p>
        </w:tc>
      </w:tr>
      <w:tr w:rsidR="00000000">
        <w:tblPrEx>
          <w:tblCellMar>
            <w:top w:w="0" w:type="dxa"/>
            <w:bottom w:w="0" w:type="dxa"/>
          </w:tblCellMar>
        </w:tblPrEx>
        <w:tc>
          <w:tcPr>
            <w:tcW w:w="518" w:type="pct"/>
            <w:tcBorders>
              <w:bottom w:val="nil"/>
            </w:tcBorders>
          </w:tcPr>
          <w:p w:rsidR="00000000" w:rsidRDefault="00000000">
            <w:pPr>
              <w:pStyle w:val="a2"/>
              <w:ind w:left="113"/>
              <w:rPr>
                <w:snapToGrid/>
              </w:rPr>
            </w:pPr>
            <w:r>
              <w:rPr>
                <w:snapToGrid/>
              </w:rPr>
              <w:t>1949</w:t>
            </w:r>
          </w:p>
        </w:tc>
        <w:tc>
          <w:tcPr>
            <w:tcW w:w="449" w:type="pct"/>
            <w:tcBorders>
              <w:bottom w:val="nil"/>
            </w:tcBorders>
          </w:tcPr>
          <w:p w:rsidR="00000000" w:rsidRDefault="00000000">
            <w:pPr>
              <w:pStyle w:val="a2"/>
              <w:tabs>
                <w:tab w:val="decimal" w:pos="289"/>
              </w:tabs>
              <w:ind w:left="113"/>
              <w:rPr>
                <w:snapToGrid/>
              </w:rPr>
            </w:pPr>
            <w:r>
              <w:rPr>
                <w:snapToGrid/>
              </w:rPr>
              <w:t>36.00</w:t>
            </w:r>
          </w:p>
        </w:tc>
        <w:tc>
          <w:tcPr>
            <w:tcW w:w="449" w:type="pct"/>
            <w:tcBorders>
              <w:bottom w:val="nil"/>
            </w:tcBorders>
          </w:tcPr>
          <w:p w:rsidR="00000000" w:rsidRDefault="00000000">
            <w:pPr>
              <w:pStyle w:val="a2"/>
              <w:tabs>
                <w:tab w:val="decimal" w:pos="289"/>
              </w:tabs>
              <w:rPr>
                <w:snapToGrid/>
              </w:rPr>
            </w:pPr>
            <w:r>
              <w:rPr>
                <w:snapToGrid/>
              </w:rPr>
              <w:t>20.00</w:t>
            </w:r>
          </w:p>
        </w:tc>
        <w:tc>
          <w:tcPr>
            <w:tcW w:w="581" w:type="pct"/>
            <w:tcBorders>
              <w:bottom w:val="nil"/>
            </w:tcBorders>
          </w:tcPr>
          <w:p w:rsidR="00000000" w:rsidRDefault="00000000">
            <w:pPr>
              <w:pStyle w:val="a2"/>
              <w:tabs>
                <w:tab w:val="decimal" w:pos="390"/>
              </w:tabs>
              <w:rPr>
                <w:snapToGrid/>
              </w:rPr>
            </w:pPr>
            <w:r>
              <w:rPr>
                <w:snapToGrid/>
              </w:rPr>
              <w:t>16.00</w:t>
            </w:r>
          </w:p>
        </w:tc>
        <w:tc>
          <w:tcPr>
            <w:tcW w:w="424" w:type="pct"/>
            <w:tcBorders>
              <w:bottom w:val="nil"/>
            </w:tcBorders>
          </w:tcPr>
          <w:p w:rsidR="00000000" w:rsidRDefault="00000000">
            <w:pPr>
              <w:pStyle w:val="a2"/>
              <w:tabs>
                <w:tab w:val="decimal" w:pos="289"/>
              </w:tabs>
              <w:rPr>
                <w:snapToGrid/>
              </w:rPr>
            </w:pPr>
            <w:r>
              <w:rPr>
                <w:snapToGrid/>
              </w:rPr>
              <w:t>...</w:t>
            </w:r>
          </w:p>
        </w:tc>
        <w:tc>
          <w:tcPr>
            <w:tcW w:w="425" w:type="pct"/>
            <w:tcBorders>
              <w:bottom w:val="nil"/>
            </w:tcBorders>
          </w:tcPr>
          <w:p w:rsidR="00000000" w:rsidRDefault="00000000">
            <w:pPr>
              <w:pStyle w:val="a2"/>
              <w:tabs>
                <w:tab w:val="decimal" w:pos="289"/>
              </w:tabs>
              <w:rPr>
                <w:snapToGrid/>
              </w:rPr>
            </w:pPr>
            <w:r>
              <w:rPr>
                <w:snapToGrid/>
              </w:rPr>
              <w:t>...</w:t>
            </w:r>
          </w:p>
        </w:tc>
        <w:tc>
          <w:tcPr>
            <w:tcW w:w="605" w:type="pct"/>
            <w:tcBorders>
              <w:bottom w:val="nil"/>
            </w:tcBorders>
          </w:tcPr>
          <w:p w:rsidR="00000000" w:rsidRDefault="00000000">
            <w:pPr>
              <w:pStyle w:val="a2"/>
              <w:tabs>
                <w:tab w:val="decimal" w:pos="545"/>
              </w:tabs>
              <w:rPr>
                <w:snapToGrid/>
              </w:rPr>
            </w:pPr>
            <w:r>
              <w:rPr>
                <w:snapToGrid/>
              </w:rPr>
              <w:t>...</w:t>
            </w:r>
          </w:p>
        </w:tc>
        <w:tc>
          <w:tcPr>
            <w:tcW w:w="470" w:type="pct"/>
            <w:tcBorders>
              <w:bottom w:val="nil"/>
            </w:tcBorders>
          </w:tcPr>
          <w:p w:rsidR="00000000" w:rsidRDefault="00000000">
            <w:pPr>
              <w:pStyle w:val="a2"/>
              <w:tabs>
                <w:tab w:val="decimal" w:pos="289"/>
              </w:tabs>
              <w:rPr>
                <w:snapToGrid/>
              </w:rPr>
            </w:pPr>
            <w:r>
              <w:rPr>
                <w:snapToGrid/>
              </w:rPr>
              <w:t>...</w:t>
            </w:r>
          </w:p>
        </w:tc>
        <w:tc>
          <w:tcPr>
            <w:tcW w:w="470" w:type="pct"/>
            <w:tcBorders>
              <w:bottom w:val="nil"/>
            </w:tcBorders>
          </w:tcPr>
          <w:p w:rsidR="00000000" w:rsidRDefault="00000000">
            <w:pPr>
              <w:pStyle w:val="a2"/>
              <w:tabs>
                <w:tab w:val="decimal" w:pos="289"/>
              </w:tabs>
              <w:rPr>
                <w:snapToGrid/>
              </w:rPr>
            </w:pPr>
            <w:r>
              <w:rPr>
                <w:snapToGrid/>
              </w:rPr>
              <w:t>...</w:t>
            </w:r>
          </w:p>
        </w:tc>
        <w:tc>
          <w:tcPr>
            <w:tcW w:w="609" w:type="pct"/>
            <w:tcBorders>
              <w:bottom w:val="nil"/>
            </w:tcBorders>
          </w:tcPr>
          <w:p w:rsidR="00000000" w:rsidRDefault="00000000">
            <w:pPr>
              <w:pStyle w:val="a2"/>
              <w:tabs>
                <w:tab w:val="decimal" w:pos="487"/>
              </w:tabs>
              <w:rPr>
                <w:snapToGrid/>
              </w:rPr>
            </w:pPr>
            <w:r>
              <w:rPr>
                <w:snapToGrid/>
              </w:rPr>
              <w:t>...</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1952</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37.00</w:t>
            </w:r>
          </w:p>
        </w:tc>
        <w:tc>
          <w:tcPr>
            <w:tcW w:w="449" w:type="pct"/>
            <w:tcBorders>
              <w:top w:val="nil"/>
              <w:bottom w:val="nil"/>
            </w:tcBorders>
          </w:tcPr>
          <w:p w:rsidR="00000000" w:rsidRDefault="00000000">
            <w:pPr>
              <w:pStyle w:val="a2"/>
              <w:tabs>
                <w:tab w:val="decimal" w:pos="289"/>
              </w:tabs>
              <w:rPr>
                <w:snapToGrid/>
                <w:szCs w:val="28"/>
              </w:rPr>
            </w:pPr>
            <w:r>
              <w:rPr>
                <w:snapToGrid/>
                <w:szCs w:val="28"/>
              </w:rPr>
              <w:t>17.00</w:t>
            </w:r>
          </w:p>
        </w:tc>
        <w:tc>
          <w:tcPr>
            <w:tcW w:w="581" w:type="pct"/>
            <w:tcBorders>
              <w:top w:val="nil"/>
              <w:bottom w:val="nil"/>
            </w:tcBorders>
          </w:tcPr>
          <w:p w:rsidR="00000000" w:rsidRDefault="00000000">
            <w:pPr>
              <w:pStyle w:val="a2"/>
              <w:tabs>
                <w:tab w:val="decimal" w:pos="390"/>
              </w:tabs>
              <w:rPr>
                <w:snapToGrid/>
                <w:szCs w:val="28"/>
              </w:rPr>
            </w:pPr>
            <w:r>
              <w:rPr>
                <w:snapToGrid/>
                <w:szCs w:val="28"/>
              </w:rPr>
              <w:t>20.00</w:t>
            </w:r>
          </w:p>
        </w:tc>
        <w:tc>
          <w:tcPr>
            <w:tcW w:w="424" w:type="pct"/>
            <w:tcBorders>
              <w:top w:val="nil"/>
              <w:bottom w:val="nil"/>
            </w:tcBorders>
          </w:tcPr>
          <w:p w:rsidR="00000000" w:rsidRDefault="00000000">
            <w:pPr>
              <w:pStyle w:val="a2"/>
              <w:tabs>
                <w:tab w:val="decimal" w:pos="289"/>
              </w:tabs>
              <w:rPr>
                <w:snapToGrid/>
                <w:szCs w:val="28"/>
              </w:rPr>
            </w:pPr>
            <w:r>
              <w:rPr>
                <w:snapToGrid/>
                <w:szCs w:val="28"/>
              </w:rPr>
              <w:t>...</w:t>
            </w:r>
          </w:p>
        </w:tc>
        <w:tc>
          <w:tcPr>
            <w:tcW w:w="425" w:type="pct"/>
            <w:tcBorders>
              <w:top w:val="nil"/>
              <w:bottom w:val="nil"/>
            </w:tcBorders>
          </w:tcPr>
          <w:p w:rsidR="00000000" w:rsidRDefault="00000000">
            <w:pPr>
              <w:pStyle w:val="a2"/>
              <w:tabs>
                <w:tab w:val="decimal" w:pos="289"/>
              </w:tabs>
              <w:rPr>
                <w:snapToGrid/>
                <w:szCs w:val="28"/>
              </w:rPr>
            </w:pPr>
            <w:r>
              <w:rPr>
                <w:snapToGrid/>
                <w:szCs w:val="28"/>
              </w:rPr>
              <w:t>...</w:t>
            </w:r>
          </w:p>
        </w:tc>
        <w:tc>
          <w:tcPr>
            <w:tcW w:w="605" w:type="pct"/>
            <w:tcBorders>
              <w:top w:val="nil"/>
              <w:bottom w:val="nil"/>
            </w:tcBorders>
          </w:tcPr>
          <w:p w:rsidR="00000000" w:rsidRDefault="00000000">
            <w:pPr>
              <w:pStyle w:val="a2"/>
              <w:tabs>
                <w:tab w:val="decimal" w:pos="755"/>
              </w:tabs>
              <w:rPr>
                <w:rFonts w:hint="eastAsia"/>
                <w:snapToGrid/>
                <w:szCs w:val="6"/>
              </w:rPr>
            </w:pPr>
            <w:r>
              <w:rPr>
                <w:snapToGrid/>
                <w:szCs w:val="6"/>
              </w:rPr>
              <w:t>…</w:t>
            </w:r>
          </w:p>
        </w:tc>
        <w:tc>
          <w:tcPr>
            <w:tcW w:w="470" w:type="pct"/>
            <w:tcBorders>
              <w:top w:val="nil"/>
              <w:bottom w:val="nil"/>
            </w:tcBorders>
          </w:tcPr>
          <w:p w:rsidR="00000000" w:rsidRDefault="00000000">
            <w:pPr>
              <w:pStyle w:val="a2"/>
              <w:tabs>
                <w:tab w:val="decimal" w:pos="289"/>
              </w:tabs>
              <w:rPr>
                <w:snapToGrid/>
                <w:szCs w:val="32"/>
              </w:rPr>
            </w:pPr>
            <w:r>
              <w:rPr>
                <w:snapToGrid/>
                <w:szCs w:val="32"/>
              </w:rPr>
              <w:t>...</w:t>
            </w:r>
          </w:p>
        </w:tc>
        <w:tc>
          <w:tcPr>
            <w:tcW w:w="470" w:type="pct"/>
            <w:tcBorders>
              <w:top w:val="nil"/>
              <w:bottom w:val="nil"/>
            </w:tcBorders>
          </w:tcPr>
          <w:p w:rsidR="00000000" w:rsidRDefault="00000000">
            <w:pPr>
              <w:pStyle w:val="a2"/>
              <w:tabs>
                <w:tab w:val="decimal" w:pos="289"/>
              </w:tabs>
              <w:rPr>
                <w:snapToGrid/>
                <w:szCs w:val="32"/>
              </w:rPr>
            </w:pPr>
            <w:r>
              <w:rPr>
                <w:snapToGrid/>
                <w:szCs w:val="32"/>
              </w:rPr>
              <w:t>...</w:t>
            </w:r>
          </w:p>
        </w:tc>
        <w:tc>
          <w:tcPr>
            <w:tcW w:w="609" w:type="pct"/>
            <w:tcBorders>
              <w:top w:val="nil"/>
              <w:bottom w:val="nil"/>
            </w:tcBorders>
          </w:tcPr>
          <w:p w:rsidR="00000000" w:rsidRDefault="00000000">
            <w:pPr>
              <w:pStyle w:val="a2"/>
              <w:tabs>
                <w:tab w:val="decimal" w:pos="487"/>
              </w:tabs>
              <w:rPr>
                <w:snapToGrid/>
                <w:szCs w:val="32"/>
              </w:rPr>
            </w:pPr>
            <w:r>
              <w:rPr>
                <w:snapToGrid/>
                <w:szCs w:val="32"/>
              </w:rPr>
              <w:t>...</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1957</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34.03</w:t>
            </w:r>
          </w:p>
        </w:tc>
        <w:tc>
          <w:tcPr>
            <w:tcW w:w="449" w:type="pct"/>
            <w:tcBorders>
              <w:top w:val="nil"/>
              <w:bottom w:val="nil"/>
            </w:tcBorders>
          </w:tcPr>
          <w:p w:rsidR="00000000" w:rsidRDefault="00000000">
            <w:pPr>
              <w:pStyle w:val="a2"/>
              <w:tabs>
                <w:tab w:val="decimal" w:pos="289"/>
              </w:tabs>
              <w:rPr>
                <w:snapToGrid/>
                <w:szCs w:val="28"/>
              </w:rPr>
            </w:pPr>
            <w:r>
              <w:rPr>
                <w:snapToGrid/>
                <w:szCs w:val="28"/>
              </w:rPr>
              <w:t>10.80</w:t>
            </w:r>
          </w:p>
        </w:tc>
        <w:tc>
          <w:tcPr>
            <w:tcW w:w="581" w:type="pct"/>
            <w:tcBorders>
              <w:top w:val="nil"/>
              <w:bottom w:val="nil"/>
            </w:tcBorders>
          </w:tcPr>
          <w:p w:rsidR="00000000" w:rsidRDefault="00000000">
            <w:pPr>
              <w:pStyle w:val="a2"/>
              <w:tabs>
                <w:tab w:val="decimal" w:pos="390"/>
              </w:tabs>
              <w:rPr>
                <w:snapToGrid/>
                <w:szCs w:val="28"/>
              </w:rPr>
            </w:pPr>
            <w:r>
              <w:rPr>
                <w:snapToGrid/>
                <w:szCs w:val="28"/>
              </w:rPr>
              <w:t>23.23</w:t>
            </w:r>
          </w:p>
        </w:tc>
        <w:tc>
          <w:tcPr>
            <w:tcW w:w="424" w:type="pct"/>
            <w:tcBorders>
              <w:top w:val="nil"/>
              <w:bottom w:val="nil"/>
            </w:tcBorders>
          </w:tcPr>
          <w:p w:rsidR="00000000" w:rsidRDefault="00000000">
            <w:pPr>
              <w:pStyle w:val="a2"/>
              <w:tabs>
                <w:tab w:val="decimal" w:pos="289"/>
              </w:tabs>
              <w:rPr>
                <w:snapToGrid/>
                <w:szCs w:val="28"/>
              </w:rPr>
            </w:pPr>
            <w:r>
              <w:rPr>
                <w:snapToGrid/>
                <w:szCs w:val="28"/>
              </w:rPr>
              <w:t>44.48</w:t>
            </w:r>
          </w:p>
        </w:tc>
        <w:tc>
          <w:tcPr>
            <w:tcW w:w="425" w:type="pct"/>
            <w:tcBorders>
              <w:top w:val="nil"/>
              <w:bottom w:val="nil"/>
            </w:tcBorders>
          </w:tcPr>
          <w:p w:rsidR="00000000" w:rsidRDefault="00000000">
            <w:pPr>
              <w:pStyle w:val="a2"/>
              <w:tabs>
                <w:tab w:val="decimal" w:pos="289"/>
              </w:tabs>
              <w:rPr>
                <w:snapToGrid/>
                <w:szCs w:val="28"/>
              </w:rPr>
            </w:pPr>
            <w:r>
              <w:rPr>
                <w:snapToGrid/>
                <w:szCs w:val="28"/>
              </w:rPr>
              <w:t>8.47</w:t>
            </w:r>
          </w:p>
        </w:tc>
        <w:tc>
          <w:tcPr>
            <w:tcW w:w="605" w:type="pct"/>
            <w:tcBorders>
              <w:top w:val="nil"/>
              <w:bottom w:val="nil"/>
            </w:tcBorders>
          </w:tcPr>
          <w:p w:rsidR="00000000" w:rsidRDefault="00000000">
            <w:pPr>
              <w:pStyle w:val="a2"/>
              <w:tabs>
                <w:tab w:val="decimal" w:pos="545"/>
              </w:tabs>
              <w:rPr>
                <w:snapToGrid/>
                <w:szCs w:val="28"/>
              </w:rPr>
            </w:pPr>
            <w:r>
              <w:rPr>
                <w:snapToGrid/>
                <w:szCs w:val="28"/>
              </w:rPr>
              <w:t>36.01</w:t>
            </w:r>
          </w:p>
        </w:tc>
        <w:tc>
          <w:tcPr>
            <w:tcW w:w="470" w:type="pct"/>
            <w:tcBorders>
              <w:top w:val="nil"/>
              <w:bottom w:val="nil"/>
            </w:tcBorders>
          </w:tcPr>
          <w:p w:rsidR="00000000" w:rsidRDefault="00000000">
            <w:pPr>
              <w:pStyle w:val="a2"/>
              <w:tabs>
                <w:tab w:val="decimal" w:pos="289"/>
              </w:tabs>
              <w:rPr>
                <w:snapToGrid/>
                <w:szCs w:val="28"/>
              </w:rPr>
            </w:pPr>
            <w:r>
              <w:rPr>
                <w:snapToGrid/>
                <w:szCs w:val="28"/>
              </w:rPr>
              <w:t>32.81</w:t>
            </w:r>
          </w:p>
        </w:tc>
        <w:tc>
          <w:tcPr>
            <w:tcW w:w="470" w:type="pct"/>
            <w:tcBorders>
              <w:top w:val="nil"/>
              <w:bottom w:val="nil"/>
            </w:tcBorders>
          </w:tcPr>
          <w:p w:rsidR="00000000" w:rsidRDefault="00000000">
            <w:pPr>
              <w:pStyle w:val="a2"/>
              <w:tabs>
                <w:tab w:val="decimal" w:pos="289"/>
              </w:tabs>
              <w:rPr>
                <w:snapToGrid/>
                <w:szCs w:val="28"/>
              </w:rPr>
            </w:pPr>
            <w:r>
              <w:rPr>
                <w:snapToGrid/>
                <w:szCs w:val="28"/>
              </w:rPr>
              <w:t>11.07</w:t>
            </w:r>
          </w:p>
        </w:tc>
        <w:tc>
          <w:tcPr>
            <w:tcW w:w="609" w:type="pct"/>
            <w:tcBorders>
              <w:top w:val="nil"/>
              <w:bottom w:val="nil"/>
            </w:tcBorders>
          </w:tcPr>
          <w:p w:rsidR="00000000" w:rsidRDefault="00000000">
            <w:pPr>
              <w:pStyle w:val="a2"/>
              <w:tabs>
                <w:tab w:val="decimal" w:pos="487"/>
              </w:tabs>
              <w:rPr>
                <w:snapToGrid/>
                <w:szCs w:val="28"/>
              </w:rPr>
            </w:pPr>
            <w:r>
              <w:rPr>
                <w:snapToGrid/>
                <w:szCs w:val="28"/>
              </w:rPr>
              <w:t>21.74</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1965</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37.88</w:t>
            </w:r>
          </w:p>
        </w:tc>
        <w:tc>
          <w:tcPr>
            <w:tcW w:w="449" w:type="pct"/>
            <w:tcBorders>
              <w:top w:val="nil"/>
              <w:bottom w:val="nil"/>
            </w:tcBorders>
          </w:tcPr>
          <w:p w:rsidR="00000000" w:rsidRDefault="00000000">
            <w:pPr>
              <w:pStyle w:val="a2"/>
              <w:tabs>
                <w:tab w:val="decimal" w:pos="289"/>
              </w:tabs>
              <w:rPr>
                <w:snapToGrid/>
                <w:szCs w:val="28"/>
              </w:rPr>
            </w:pPr>
            <w:r>
              <w:rPr>
                <w:snapToGrid/>
                <w:szCs w:val="28"/>
              </w:rPr>
              <w:t>9.50</w:t>
            </w:r>
          </w:p>
        </w:tc>
        <w:tc>
          <w:tcPr>
            <w:tcW w:w="581" w:type="pct"/>
            <w:tcBorders>
              <w:top w:val="nil"/>
              <w:bottom w:val="nil"/>
            </w:tcBorders>
          </w:tcPr>
          <w:p w:rsidR="00000000" w:rsidRDefault="00000000">
            <w:pPr>
              <w:pStyle w:val="a2"/>
              <w:tabs>
                <w:tab w:val="decimal" w:pos="390"/>
              </w:tabs>
              <w:rPr>
                <w:snapToGrid/>
                <w:szCs w:val="28"/>
              </w:rPr>
            </w:pPr>
            <w:r>
              <w:rPr>
                <w:snapToGrid/>
                <w:szCs w:val="28"/>
              </w:rPr>
              <w:t>28.38</w:t>
            </w:r>
          </w:p>
        </w:tc>
        <w:tc>
          <w:tcPr>
            <w:tcW w:w="424" w:type="pct"/>
            <w:tcBorders>
              <w:top w:val="nil"/>
              <w:bottom w:val="nil"/>
            </w:tcBorders>
          </w:tcPr>
          <w:p w:rsidR="00000000" w:rsidRDefault="00000000">
            <w:pPr>
              <w:pStyle w:val="a2"/>
              <w:tabs>
                <w:tab w:val="decimal" w:pos="289"/>
              </w:tabs>
              <w:rPr>
                <w:snapToGrid/>
                <w:szCs w:val="28"/>
              </w:rPr>
            </w:pPr>
            <w:r>
              <w:rPr>
                <w:snapToGrid/>
                <w:szCs w:val="28"/>
              </w:rPr>
              <w:t>26.59</w:t>
            </w:r>
          </w:p>
        </w:tc>
        <w:tc>
          <w:tcPr>
            <w:tcW w:w="425" w:type="pct"/>
            <w:tcBorders>
              <w:top w:val="nil"/>
              <w:bottom w:val="nil"/>
            </w:tcBorders>
          </w:tcPr>
          <w:p w:rsidR="00000000" w:rsidRDefault="00000000">
            <w:pPr>
              <w:pStyle w:val="a2"/>
              <w:tabs>
                <w:tab w:val="decimal" w:pos="289"/>
              </w:tabs>
              <w:rPr>
                <w:snapToGrid/>
                <w:szCs w:val="28"/>
              </w:rPr>
            </w:pPr>
            <w:r>
              <w:rPr>
                <w:snapToGrid/>
                <w:szCs w:val="28"/>
              </w:rPr>
              <w:t>5.69</w:t>
            </w:r>
          </w:p>
        </w:tc>
        <w:tc>
          <w:tcPr>
            <w:tcW w:w="605" w:type="pct"/>
            <w:tcBorders>
              <w:top w:val="nil"/>
              <w:bottom w:val="nil"/>
            </w:tcBorders>
          </w:tcPr>
          <w:p w:rsidR="00000000" w:rsidRDefault="00000000">
            <w:pPr>
              <w:pStyle w:val="a2"/>
              <w:tabs>
                <w:tab w:val="decimal" w:pos="545"/>
              </w:tabs>
              <w:rPr>
                <w:snapToGrid/>
                <w:szCs w:val="28"/>
              </w:rPr>
            </w:pPr>
            <w:r>
              <w:rPr>
                <w:snapToGrid/>
                <w:szCs w:val="28"/>
              </w:rPr>
              <w:t>20.90</w:t>
            </w:r>
          </w:p>
        </w:tc>
        <w:tc>
          <w:tcPr>
            <w:tcW w:w="470" w:type="pct"/>
            <w:tcBorders>
              <w:top w:val="nil"/>
              <w:bottom w:val="nil"/>
            </w:tcBorders>
          </w:tcPr>
          <w:p w:rsidR="00000000" w:rsidRDefault="00000000">
            <w:pPr>
              <w:pStyle w:val="a2"/>
              <w:tabs>
                <w:tab w:val="decimal" w:pos="289"/>
              </w:tabs>
              <w:rPr>
                <w:snapToGrid/>
                <w:szCs w:val="28"/>
              </w:rPr>
            </w:pPr>
            <w:r>
              <w:rPr>
                <w:snapToGrid/>
                <w:szCs w:val="28"/>
              </w:rPr>
              <w:t>39.53</w:t>
            </w:r>
          </w:p>
        </w:tc>
        <w:tc>
          <w:tcPr>
            <w:tcW w:w="470" w:type="pct"/>
            <w:tcBorders>
              <w:top w:val="nil"/>
              <w:bottom w:val="nil"/>
            </w:tcBorders>
          </w:tcPr>
          <w:p w:rsidR="00000000" w:rsidRDefault="00000000">
            <w:pPr>
              <w:pStyle w:val="a2"/>
              <w:tabs>
                <w:tab w:val="decimal" w:pos="289"/>
              </w:tabs>
              <w:rPr>
                <w:snapToGrid/>
                <w:szCs w:val="28"/>
              </w:rPr>
            </w:pPr>
            <w:r>
              <w:rPr>
                <w:snapToGrid/>
                <w:szCs w:val="28"/>
              </w:rPr>
              <w:t>10.06</w:t>
            </w:r>
          </w:p>
        </w:tc>
        <w:tc>
          <w:tcPr>
            <w:tcW w:w="609" w:type="pct"/>
            <w:tcBorders>
              <w:top w:val="nil"/>
              <w:bottom w:val="nil"/>
            </w:tcBorders>
          </w:tcPr>
          <w:p w:rsidR="00000000" w:rsidRDefault="00000000">
            <w:pPr>
              <w:pStyle w:val="a2"/>
              <w:tabs>
                <w:tab w:val="decimal" w:pos="487"/>
              </w:tabs>
              <w:rPr>
                <w:snapToGrid/>
                <w:szCs w:val="28"/>
              </w:rPr>
            </w:pPr>
            <w:r>
              <w:rPr>
                <w:snapToGrid/>
                <w:szCs w:val="28"/>
              </w:rPr>
              <w:t>29.47</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1970</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33.43</w:t>
            </w:r>
          </w:p>
        </w:tc>
        <w:tc>
          <w:tcPr>
            <w:tcW w:w="449" w:type="pct"/>
            <w:tcBorders>
              <w:top w:val="nil"/>
              <w:bottom w:val="nil"/>
            </w:tcBorders>
          </w:tcPr>
          <w:p w:rsidR="00000000" w:rsidRDefault="00000000">
            <w:pPr>
              <w:pStyle w:val="a2"/>
              <w:tabs>
                <w:tab w:val="decimal" w:pos="289"/>
              </w:tabs>
              <w:rPr>
                <w:snapToGrid/>
                <w:szCs w:val="28"/>
              </w:rPr>
            </w:pPr>
            <w:r>
              <w:rPr>
                <w:snapToGrid/>
                <w:szCs w:val="28"/>
              </w:rPr>
              <w:t>7.60</w:t>
            </w:r>
          </w:p>
        </w:tc>
        <w:tc>
          <w:tcPr>
            <w:tcW w:w="581" w:type="pct"/>
            <w:tcBorders>
              <w:top w:val="nil"/>
              <w:bottom w:val="nil"/>
            </w:tcBorders>
          </w:tcPr>
          <w:p w:rsidR="00000000" w:rsidRDefault="00000000">
            <w:pPr>
              <w:pStyle w:val="a2"/>
              <w:tabs>
                <w:tab w:val="decimal" w:pos="390"/>
              </w:tabs>
              <w:rPr>
                <w:snapToGrid/>
                <w:szCs w:val="28"/>
              </w:rPr>
            </w:pPr>
            <w:r>
              <w:rPr>
                <w:snapToGrid/>
                <w:szCs w:val="28"/>
              </w:rPr>
              <w:t>25.83</w:t>
            </w:r>
          </w:p>
        </w:tc>
        <w:tc>
          <w:tcPr>
            <w:tcW w:w="424" w:type="pct"/>
            <w:tcBorders>
              <w:top w:val="nil"/>
              <w:bottom w:val="nil"/>
            </w:tcBorders>
          </w:tcPr>
          <w:p w:rsidR="00000000" w:rsidRDefault="00000000">
            <w:pPr>
              <w:pStyle w:val="a2"/>
              <w:tabs>
                <w:tab w:val="decimal" w:pos="289"/>
              </w:tabs>
              <w:rPr>
                <w:snapToGrid/>
                <w:szCs w:val="28"/>
              </w:rPr>
            </w:pPr>
            <w:r>
              <w:rPr>
                <w:snapToGrid/>
                <w:szCs w:val="28"/>
              </w:rPr>
              <w:t>...</w:t>
            </w:r>
          </w:p>
        </w:tc>
        <w:tc>
          <w:tcPr>
            <w:tcW w:w="425" w:type="pct"/>
            <w:tcBorders>
              <w:top w:val="nil"/>
              <w:bottom w:val="nil"/>
            </w:tcBorders>
          </w:tcPr>
          <w:p w:rsidR="00000000" w:rsidRDefault="00000000">
            <w:pPr>
              <w:pStyle w:val="a2"/>
              <w:tabs>
                <w:tab w:val="decimal" w:pos="289"/>
              </w:tabs>
              <w:rPr>
                <w:snapToGrid/>
                <w:szCs w:val="28"/>
              </w:rPr>
            </w:pPr>
            <w:r>
              <w:rPr>
                <w:snapToGrid/>
                <w:szCs w:val="28"/>
              </w:rPr>
              <w:t>...</w:t>
            </w:r>
          </w:p>
        </w:tc>
        <w:tc>
          <w:tcPr>
            <w:tcW w:w="605" w:type="pct"/>
            <w:tcBorders>
              <w:top w:val="nil"/>
              <w:bottom w:val="nil"/>
            </w:tcBorders>
          </w:tcPr>
          <w:p w:rsidR="00000000" w:rsidRDefault="00000000">
            <w:pPr>
              <w:pStyle w:val="a2"/>
              <w:tabs>
                <w:tab w:val="decimal" w:pos="545"/>
              </w:tabs>
              <w:rPr>
                <w:snapToGrid/>
                <w:szCs w:val="28"/>
              </w:rPr>
            </w:pPr>
            <w:r>
              <w:rPr>
                <w:snapToGrid/>
                <w:szCs w:val="28"/>
              </w:rPr>
              <w:t>...</w:t>
            </w:r>
          </w:p>
        </w:tc>
        <w:tc>
          <w:tcPr>
            <w:tcW w:w="470" w:type="pct"/>
            <w:tcBorders>
              <w:top w:val="nil"/>
              <w:bottom w:val="nil"/>
            </w:tcBorders>
          </w:tcPr>
          <w:p w:rsidR="00000000" w:rsidRDefault="00000000">
            <w:pPr>
              <w:pStyle w:val="a2"/>
              <w:tabs>
                <w:tab w:val="decimal" w:pos="289"/>
              </w:tabs>
              <w:rPr>
                <w:snapToGrid/>
                <w:szCs w:val="28"/>
              </w:rPr>
            </w:pPr>
            <w:r>
              <w:rPr>
                <w:snapToGrid/>
                <w:szCs w:val="28"/>
              </w:rPr>
              <w:t>...</w:t>
            </w:r>
          </w:p>
        </w:tc>
        <w:tc>
          <w:tcPr>
            <w:tcW w:w="470" w:type="pct"/>
            <w:tcBorders>
              <w:top w:val="nil"/>
              <w:bottom w:val="nil"/>
            </w:tcBorders>
          </w:tcPr>
          <w:p w:rsidR="00000000" w:rsidRDefault="00000000">
            <w:pPr>
              <w:pStyle w:val="a2"/>
              <w:tabs>
                <w:tab w:val="decimal" w:pos="289"/>
              </w:tabs>
              <w:rPr>
                <w:snapToGrid/>
                <w:szCs w:val="28"/>
              </w:rPr>
            </w:pPr>
            <w:r>
              <w:rPr>
                <w:snapToGrid/>
                <w:szCs w:val="28"/>
              </w:rPr>
              <w:t>...</w:t>
            </w:r>
          </w:p>
        </w:tc>
        <w:tc>
          <w:tcPr>
            <w:tcW w:w="609" w:type="pct"/>
            <w:tcBorders>
              <w:top w:val="nil"/>
              <w:bottom w:val="nil"/>
            </w:tcBorders>
          </w:tcPr>
          <w:p w:rsidR="00000000" w:rsidRDefault="00000000">
            <w:pPr>
              <w:pStyle w:val="a2"/>
              <w:tabs>
                <w:tab w:val="decimal" w:pos="487"/>
              </w:tabs>
              <w:rPr>
                <w:snapToGrid/>
                <w:szCs w:val="28"/>
              </w:rPr>
            </w:pPr>
            <w:r>
              <w:rPr>
                <w:snapToGrid/>
                <w:szCs w:val="28"/>
              </w:rPr>
              <w:t>...</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1975</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23.01</w:t>
            </w:r>
          </w:p>
        </w:tc>
        <w:tc>
          <w:tcPr>
            <w:tcW w:w="449" w:type="pct"/>
            <w:tcBorders>
              <w:top w:val="nil"/>
              <w:bottom w:val="nil"/>
            </w:tcBorders>
          </w:tcPr>
          <w:p w:rsidR="00000000" w:rsidRDefault="00000000">
            <w:pPr>
              <w:pStyle w:val="a2"/>
              <w:tabs>
                <w:tab w:val="decimal" w:pos="289"/>
              </w:tabs>
              <w:rPr>
                <w:snapToGrid/>
                <w:szCs w:val="28"/>
              </w:rPr>
            </w:pPr>
            <w:r>
              <w:rPr>
                <w:snapToGrid/>
                <w:szCs w:val="28"/>
              </w:rPr>
              <w:t>7.32</w:t>
            </w:r>
          </w:p>
        </w:tc>
        <w:tc>
          <w:tcPr>
            <w:tcW w:w="581" w:type="pct"/>
            <w:tcBorders>
              <w:top w:val="nil"/>
              <w:bottom w:val="nil"/>
            </w:tcBorders>
          </w:tcPr>
          <w:p w:rsidR="00000000" w:rsidRDefault="00000000">
            <w:pPr>
              <w:pStyle w:val="a2"/>
              <w:tabs>
                <w:tab w:val="decimal" w:pos="390"/>
              </w:tabs>
              <w:rPr>
                <w:snapToGrid/>
                <w:szCs w:val="28"/>
              </w:rPr>
            </w:pPr>
            <w:r>
              <w:rPr>
                <w:snapToGrid/>
                <w:szCs w:val="28"/>
              </w:rPr>
              <w:t>15.69</w:t>
            </w:r>
          </w:p>
        </w:tc>
        <w:tc>
          <w:tcPr>
            <w:tcW w:w="424" w:type="pct"/>
            <w:tcBorders>
              <w:top w:val="nil"/>
              <w:bottom w:val="nil"/>
            </w:tcBorders>
          </w:tcPr>
          <w:p w:rsidR="00000000" w:rsidRDefault="00000000">
            <w:pPr>
              <w:pStyle w:val="a2"/>
              <w:tabs>
                <w:tab w:val="decimal" w:pos="289"/>
              </w:tabs>
              <w:rPr>
                <w:snapToGrid/>
                <w:szCs w:val="28"/>
              </w:rPr>
            </w:pPr>
            <w:r>
              <w:rPr>
                <w:snapToGrid/>
                <w:szCs w:val="28"/>
              </w:rPr>
              <w:t>14.71</w:t>
            </w:r>
          </w:p>
        </w:tc>
        <w:tc>
          <w:tcPr>
            <w:tcW w:w="425" w:type="pct"/>
            <w:tcBorders>
              <w:top w:val="nil"/>
              <w:bottom w:val="nil"/>
            </w:tcBorders>
          </w:tcPr>
          <w:p w:rsidR="00000000" w:rsidRDefault="00000000">
            <w:pPr>
              <w:pStyle w:val="a2"/>
              <w:tabs>
                <w:tab w:val="decimal" w:pos="289"/>
              </w:tabs>
              <w:rPr>
                <w:snapToGrid/>
                <w:szCs w:val="28"/>
              </w:rPr>
            </w:pPr>
            <w:r>
              <w:rPr>
                <w:snapToGrid/>
                <w:szCs w:val="28"/>
              </w:rPr>
              <w:t>5.39</w:t>
            </w:r>
          </w:p>
        </w:tc>
        <w:tc>
          <w:tcPr>
            <w:tcW w:w="605" w:type="pct"/>
            <w:tcBorders>
              <w:top w:val="nil"/>
              <w:bottom w:val="nil"/>
            </w:tcBorders>
          </w:tcPr>
          <w:p w:rsidR="00000000" w:rsidRDefault="00000000">
            <w:pPr>
              <w:pStyle w:val="a2"/>
              <w:tabs>
                <w:tab w:val="decimal" w:pos="545"/>
              </w:tabs>
              <w:rPr>
                <w:snapToGrid/>
                <w:szCs w:val="28"/>
              </w:rPr>
            </w:pPr>
            <w:r>
              <w:rPr>
                <w:snapToGrid/>
                <w:szCs w:val="28"/>
              </w:rPr>
              <w:t>9.32</w:t>
            </w:r>
          </w:p>
        </w:tc>
        <w:tc>
          <w:tcPr>
            <w:tcW w:w="470" w:type="pct"/>
            <w:tcBorders>
              <w:top w:val="nil"/>
              <w:bottom w:val="nil"/>
            </w:tcBorders>
          </w:tcPr>
          <w:p w:rsidR="00000000" w:rsidRDefault="00000000">
            <w:pPr>
              <w:pStyle w:val="a2"/>
              <w:tabs>
                <w:tab w:val="decimal" w:pos="289"/>
              </w:tabs>
              <w:rPr>
                <w:snapToGrid/>
                <w:szCs w:val="28"/>
              </w:rPr>
            </w:pPr>
            <w:r>
              <w:rPr>
                <w:snapToGrid/>
                <w:szCs w:val="28"/>
              </w:rPr>
              <w:t>24.17</w:t>
            </w:r>
          </w:p>
        </w:tc>
        <w:tc>
          <w:tcPr>
            <w:tcW w:w="470" w:type="pct"/>
            <w:tcBorders>
              <w:top w:val="nil"/>
              <w:bottom w:val="nil"/>
            </w:tcBorders>
          </w:tcPr>
          <w:p w:rsidR="00000000" w:rsidRDefault="00000000">
            <w:pPr>
              <w:pStyle w:val="a2"/>
              <w:tabs>
                <w:tab w:val="decimal" w:pos="289"/>
              </w:tabs>
              <w:rPr>
                <w:snapToGrid/>
                <w:szCs w:val="28"/>
              </w:rPr>
            </w:pPr>
            <w:r>
              <w:rPr>
                <w:snapToGrid/>
                <w:szCs w:val="28"/>
              </w:rPr>
              <w:t>7.59</w:t>
            </w:r>
          </w:p>
        </w:tc>
        <w:tc>
          <w:tcPr>
            <w:tcW w:w="609" w:type="pct"/>
            <w:tcBorders>
              <w:top w:val="nil"/>
              <w:bottom w:val="nil"/>
            </w:tcBorders>
          </w:tcPr>
          <w:p w:rsidR="00000000" w:rsidRDefault="00000000">
            <w:pPr>
              <w:pStyle w:val="a2"/>
              <w:tabs>
                <w:tab w:val="decimal" w:pos="487"/>
              </w:tabs>
              <w:rPr>
                <w:snapToGrid/>
                <w:szCs w:val="28"/>
              </w:rPr>
            </w:pPr>
            <w:r>
              <w:rPr>
                <w:snapToGrid/>
                <w:szCs w:val="28"/>
              </w:rPr>
              <w:t>16.58</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1980</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18.21</w:t>
            </w:r>
          </w:p>
        </w:tc>
        <w:tc>
          <w:tcPr>
            <w:tcW w:w="449" w:type="pct"/>
            <w:tcBorders>
              <w:top w:val="nil"/>
              <w:bottom w:val="nil"/>
            </w:tcBorders>
          </w:tcPr>
          <w:p w:rsidR="00000000" w:rsidRDefault="00000000">
            <w:pPr>
              <w:pStyle w:val="a2"/>
              <w:tabs>
                <w:tab w:val="decimal" w:pos="289"/>
              </w:tabs>
              <w:rPr>
                <w:snapToGrid/>
                <w:szCs w:val="28"/>
              </w:rPr>
            </w:pPr>
            <w:r>
              <w:rPr>
                <w:snapToGrid/>
                <w:szCs w:val="28"/>
              </w:rPr>
              <w:t>6.34</w:t>
            </w:r>
          </w:p>
        </w:tc>
        <w:tc>
          <w:tcPr>
            <w:tcW w:w="581" w:type="pct"/>
            <w:tcBorders>
              <w:top w:val="nil"/>
              <w:bottom w:val="nil"/>
            </w:tcBorders>
          </w:tcPr>
          <w:p w:rsidR="00000000" w:rsidRDefault="00000000">
            <w:pPr>
              <w:pStyle w:val="a2"/>
              <w:tabs>
                <w:tab w:val="decimal" w:pos="390"/>
              </w:tabs>
              <w:rPr>
                <w:snapToGrid/>
                <w:szCs w:val="28"/>
              </w:rPr>
            </w:pPr>
            <w:r>
              <w:rPr>
                <w:snapToGrid/>
                <w:szCs w:val="28"/>
              </w:rPr>
              <w:t>11.87</w:t>
            </w:r>
          </w:p>
        </w:tc>
        <w:tc>
          <w:tcPr>
            <w:tcW w:w="424" w:type="pct"/>
            <w:tcBorders>
              <w:top w:val="nil"/>
              <w:bottom w:val="nil"/>
            </w:tcBorders>
          </w:tcPr>
          <w:p w:rsidR="00000000" w:rsidRDefault="00000000">
            <w:pPr>
              <w:pStyle w:val="a2"/>
              <w:tabs>
                <w:tab w:val="decimal" w:pos="289"/>
              </w:tabs>
              <w:rPr>
                <w:snapToGrid/>
                <w:szCs w:val="28"/>
              </w:rPr>
            </w:pPr>
            <w:r>
              <w:rPr>
                <w:snapToGrid/>
                <w:szCs w:val="28"/>
              </w:rPr>
              <w:t>14.17</w:t>
            </w:r>
          </w:p>
        </w:tc>
        <w:tc>
          <w:tcPr>
            <w:tcW w:w="425" w:type="pct"/>
            <w:tcBorders>
              <w:top w:val="nil"/>
              <w:bottom w:val="nil"/>
            </w:tcBorders>
          </w:tcPr>
          <w:p w:rsidR="00000000" w:rsidRDefault="00000000">
            <w:pPr>
              <w:pStyle w:val="a2"/>
              <w:tabs>
                <w:tab w:val="decimal" w:pos="289"/>
              </w:tabs>
              <w:rPr>
                <w:snapToGrid/>
                <w:szCs w:val="28"/>
              </w:rPr>
            </w:pPr>
            <w:r>
              <w:rPr>
                <w:snapToGrid/>
                <w:szCs w:val="28"/>
              </w:rPr>
              <w:t>5.48</w:t>
            </w:r>
          </w:p>
        </w:tc>
        <w:tc>
          <w:tcPr>
            <w:tcW w:w="605" w:type="pct"/>
            <w:tcBorders>
              <w:top w:val="nil"/>
              <w:bottom w:val="nil"/>
            </w:tcBorders>
          </w:tcPr>
          <w:p w:rsidR="00000000" w:rsidRDefault="00000000">
            <w:pPr>
              <w:pStyle w:val="a2"/>
              <w:tabs>
                <w:tab w:val="decimal" w:pos="545"/>
              </w:tabs>
              <w:rPr>
                <w:snapToGrid/>
                <w:szCs w:val="28"/>
              </w:rPr>
            </w:pPr>
            <w:r>
              <w:rPr>
                <w:snapToGrid/>
                <w:szCs w:val="28"/>
              </w:rPr>
              <w:t>8.69</w:t>
            </w:r>
          </w:p>
        </w:tc>
        <w:tc>
          <w:tcPr>
            <w:tcW w:w="470" w:type="pct"/>
            <w:tcBorders>
              <w:top w:val="nil"/>
              <w:bottom w:val="nil"/>
            </w:tcBorders>
          </w:tcPr>
          <w:p w:rsidR="00000000" w:rsidRDefault="00000000">
            <w:pPr>
              <w:pStyle w:val="a2"/>
              <w:tabs>
                <w:tab w:val="decimal" w:pos="289"/>
              </w:tabs>
              <w:rPr>
                <w:snapToGrid/>
                <w:szCs w:val="28"/>
              </w:rPr>
            </w:pPr>
            <w:r>
              <w:rPr>
                <w:snapToGrid/>
                <w:szCs w:val="28"/>
              </w:rPr>
              <w:t>18.82</w:t>
            </w:r>
          </w:p>
        </w:tc>
        <w:tc>
          <w:tcPr>
            <w:tcW w:w="470" w:type="pct"/>
            <w:tcBorders>
              <w:top w:val="nil"/>
              <w:bottom w:val="nil"/>
            </w:tcBorders>
          </w:tcPr>
          <w:p w:rsidR="00000000" w:rsidRDefault="00000000">
            <w:pPr>
              <w:pStyle w:val="a2"/>
              <w:tabs>
                <w:tab w:val="decimal" w:pos="289"/>
              </w:tabs>
              <w:rPr>
                <w:snapToGrid/>
                <w:szCs w:val="28"/>
              </w:rPr>
            </w:pPr>
            <w:r>
              <w:rPr>
                <w:snapToGrid/>
                <w:szCs w:val="28"/>
              </w:rPr>
              <w:t>6.47</w:t>
            </w:r>
          </w:p>
        </w:tc>
        <w:tc>
          <w:tcPr>
            <w:tcW w:w="609" w:type="pct"/>
            <w:tcBorders>
              <w:top w:val="nil"/>
              <w:bottom w:val="nil"/>
            </w:tcBorders>
          </w:tcPr>
          <w:p w:rsidR="00000000" w:rsidRDefault="00000000">
            <w:pPr>
              <w:pStyle w:val="a2"/>
              <w:tabs>
                <w:tab w:val="decimal" w:pos="487"/>
              </w:tabs>
              <w:rPr>
                <w:snapToGrid/>
                <w:szCs w:val="28"/>
              </w:rPr>
            </w:pPr>
            <w:r>
              <w:rPr>
                <w:snapToGrid/>
                <w:szCs w:val="28"/>
              </w:rPr>
              <w:t>12.35</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1985</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21.04</w:t>
            </w:r>
          </w:p>
        </w:tc>
        <w:tc>
          <w:tcPr>
            <w:tcW w:w="449" w:type="pct"/>
            <w:tcBorders>
              <w:top w:val="nil"/>
              <w:bottom w:val="nil"/>
            </w:tcBorders>
          </w:tcPr>
          <w:p w:rsidR="00000000" w:rsidRDefault="00000000">
            <w:pPr>
              <w:pStyle w:val="a2"/>
              <w:tabs>
                <w:tab w:val="decimal" w:pos="289"/>
              </w:tabs>
              <w:rPr>
                <w:snapToGrid/>
                <w:szCs w:val="28"/>
              </w:rPr>
            </w:pPr>
            <w:r>
              <w:rPr>
                <w:snapToGrid/>
                <w:szCs w:val="28"/>
              </w:rPr>
              <w:t>6.78</w:t>
            </w:r>
          </w:p>
        </w:tc>
        <w:tc>
          <w:tcPr>
            <w:tcW w:w="581" w:type="pct"/>
            <w:tcBorders>
              <w:top w:val="nil"/>
              <w:bottom w:val="nil"/>
            </w:tcBorders>
          </w:tcPr>
          <w:p w:rsidR="00000000" w:rsidRDefault="00000000">
            <w:pPr>
              <w:pStyle w:val="a2"/>
              <w:tabs>
                <w:tab w:val="decimal" w:pos="390"/>
              </w:tabs>
              <w:rPr>
                <w:snapToGrid/>
                <w:szCs w:val="28"/>
              </w:rPr>
            </w:pPr>
            <w:r>
              <w:rPr>
                <w:snapToGrid/>
                <w:szCs w:val="28"/>
              </w:rPr>
              <w:t>14.26</w:t>
            </w:r>
          </w:p>
        </w:tc>
        <w:tc>
          <w:tcPr>
            <w:tcW w:w="424" w:type="pct"/>
            <w:tcBorders>
              <w:top w:val="nil"/>
              <w:bottom w:val="nil"/>
            </w:tcBorders>
          </w:tcPr>
          <w:p w:rsidR="00000000" w:rsidRDefault="00000000">
            <w:pPr>
              <w:pStyle w:val="a2"/>
              <w:tabs>
                <w:tab w:val="decimal" w:pos="289"/>
              </w:tabs>
              <w:rPr>
                <w:snapToGrid/>
                <w:szCs w:val="28"/>
              </w:rPr>
            </w:pPr>
            <w:r>
              <w:rPr>
                <w:snapToGrid/>
                <w:szCs w:val="28"/>
              </w:rPr>
              <w:t>14.02</w:t>
            </w:r>
          </w:p>
        </w:tc>
        <w:tc>
          <w:tcPr>
            <w:tcW w:w="425" w:type="pct"/>
            <w:tcBorders>
              <w:top w:val="nil"/>
              <w:bottom w:val="nil"/>
            </w:tcBorders>
          </w:tcPr>
          <w:p w:rsidR="00000000" w:rsidRDefault="00000000">
            <w:pPr>
              <w:pStyle w:val="a2"/>
              <w:tabs>
                <w:tab w:val="decimal" w:pos="289"/>
              </w:tabs>
              <w:rPr>
                <w:snapToGrid/>
                <w:szCs w:val="28"/>
              </w:rPr>
            </w:pPr>
            <w:r>
              <w:rPr>
                <w:snapToGrid/>
                <w:szCs w:val="28"/>
              </w:rPr>
              <w:t>5.96</w:t>
            </w:r>
          </w:p>
        </w:tc>
        <w:tc>
          <w:tcPr>
            <w:tcW w:w="605" w:type="pct"/>
            <w:tcBorders>
              <w:top w:val="nil"/>
              <w:bottom w:val="nil"/>
            </w:tcBorders>
          </w:tcPr>
          <w:p w:rsidR="00000000" w:rsidRDefault="00000000">
            <w:pPr>
              <w:pStyle w:val="a2"/>
              <w:tabs>
                <w:tab w:val="decimal" w:pos="545"/>
              </w:tabs>
              <w:rPr>
                <w:snapToGrid/>
                <w:szCs w:val="28"/>
              </w:rPr>
            </w:pPr>
            <w:r>
              <w:rPr>
                <w:snapToGrid/>
                <w:szCs w:val="28"/>
              </w:rPr>
              <w:t>8.06</w:t>
            </w:r>
          </w:p>
        </w:tc>
        <w:tc>
          <w:tcPr>
            <w:tcW w:w="470" w:type="pct"/>
            <w:tcBorders>
              <w:top w:val="nil"/>
              <w:bottom w:val="nil"/>
            </w:tcBorders>
          </w:tcPr>
          <w:p w:rsidR="00000000" w:rsidRDefault="00000000">
            <w:pPr>
              <w:pStyle w:val="a2"/>
              <w:tabs>
                <w:tab w:val="decimal" w:pos="289"/>
              </w:tabs>
              <w:rPr>
                <w:snapToGrid/>
                <w:szCs w:val="28"/>
              </w:rPr>
            </w:pPr>
            <w:r>
              <w:rPr>
                <w:snapToGrid/>
                <w:szCs w:val="28"/>
              </w:rPr>
              <w:t>19.17</w:t>
            </w:r>
          </w:p>
        </w:tc>
        <w:tc>
          <w:tcPr>
            <w:tcW w:w="470" w:type="pct"/>
            <w:tcBorders>
              <w:top w:val="nil"/>
              <w:bottom w:val="nil"/>
            </w:tcBorders>
          </w:tcPr>
          <w:p w:rsidR="00000000" w:rsidRDefault="00000000">
            <w:pPr>
              <w:pStyle w:val="a2"/>
              <w:tabs>
                <w:tab w:val="decimal" w:pos="289"/>
              </w:tabs>
              <w:rPr>
                <w:snapToGrid/>
                <w:szCs w:val="28"/>
              </w:rPr>
            </w:pPr>
            <w:r>
              <w:rPr>
                <w:snapToGrid/>
                <w:szCs w:val="28"/>
              </w:rPr>
              <w:t>6.66</w:t>
            </w:r>
          </w:p>
        </w:tc>
        <w:tc>
          <w:tcPr>
            <w:tcW w:w="609" w:type="pct"/>
            <w:tcBorders>
              <w:top w:val="nil"/>
              <w:bottom w:val="nil"/>
            </w:tcBorders>
          </w:tcPr>
          <w:p w:rsidR="00000000" w:rsidRDefault="00000000">
            <w:pPr>
              <w:pStyle w:val="a2"/>
              <w:tabs>
                <w:tab w:val="decimal" w:pos="487"/>
              </w:tabs>
              <w:rPr>
                <w:snapToGrid/>
                <w:szCs w:val="28"/>
              </w:rPr>
            </w:pPr>
            <w:r>
              <w:rPr>
                <w:snapToGrid/>
                <w:szCs w:val="28"/>
              </w:rPr>
              <w:t>12.51</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1990</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21.06</w:t>
            </w:r>
          </w:p>
        </w:tc>
        <w:tc>
          <w:tcPr>
            <w:tcW w:w="449" w:type="pct"/>
            <w:tcBorders>
              <w:top w:val="nil"/>
              <w:bottom w:val="nil"/>
            </w:tcBorders>
          </w:tcPr>
          <w:p w:rsidR="00000000" w:rsidRDefault="00000000">
            <w:pPr>
              <w:pStyle w:val="a2"/>
              <w:tabs>
                <w:tab w:val="decimal" w:pos="289"/>
              </w:tabs>
              <w:rPr>
                <w:snapToGrid/>
                <w:szCs w:val="28"/>
              </w:rPr>
            </w:pPr>
            <w:r>
              <w:rPr>
                <w:snapToGrid/>
                <w:szCs w:val="28"/>
              </w:rPr>
              <w:t>6.67</w:t>
            </w:r>
          </w:p>
        </w:tc>
        <w:tc>
          <w:tcPr>
            <w:tcW w:w="581" w:type="pct"/>
            <w:tcBorders>
              <w:top w:val="nil"/>
              <w:bottom w:val="nil"/>
            </w:tcBorders>
          </w:tcPr>
          <w:p w:rsidR="00000000" w:rsidRDefault="00000000">
            <w:pPr>
              <w:pStyle w:val="a2"/>
              <w:tabs>
                <w:tab w:val="decimal" w:pos="390"/>
              </w:tabs>
              <w:rPr>
                <w:snapToGrid/>
                <w:szCs w:val="28"/>
              </w:rPr>
            </w:pPr>
            <w:r>
              <w:rPr>
                <w:snapToGrid/>
                <w:szCs w:val="28"/>
              </w:rPr>
              <w:t>14.39</w:t>
            </w:r>
          </w:p>
        </w:tc>
        <w:tc>
          <w:tcPr>
            <w:tcW w:w="424" w:type="pct"/>
            <w:tcBorders>
              <w:top w:val="nil"/>
              <w:bottom w:val="nil"/>
            </w:tcBorders>
          </w:tcPr>
          <w:p w:rsidR="00000000" w:rsidRDefault="00000000">
            <w:pPr>
              <w:pStyle w:val="a2"/>
              <w:tabs>
                <w:tab w:val="decimal" w:pos="289"/>
              </w:tabs>
              <w:rPr>
                <w:snapToGrid/>
                <w:szCs w:val="28"/>
              </w:rPr>
            </w:pPr>
            <w:r>
              <w:rPr>
                <w:snapToGrid/>
                <w:szCs w:val="28"/>
              </w:rPr>
              <w:t>16.14</w:t>
            </w:r>
          </w:p>
        </w:tc>
        <w:tc>
          <w:tcPr>
            <w:tcW w:w="425" w:type="pct"/>
            <w:tcBorders>
              <w:top w:val="nil"/>
              <w:bottom w:val="nil"/>
            </w:tcBorders>
          </w:tcPr>
          <w:p w:rsidR="00000000" w:rsidRDefault="00000000">
            <w:pPr>
              <w:pStyle w:val="a2"/>
              <w:tabs>
                <w:tab w:val="decimal" w:pos="289"/>
              </w:tabs>
              <w:rPr>
                <w:snapToGrid/>
                <w:szCs w:val="28"/>
              </w:rPr>
            </w:pPr>
            <w:r>
              <w:rPr>
                <w:snapToGrid/>
                <w:szCs w:val="28"/>
              </w:rPr>
              <w:t>5.71</w:t>
            </w:r>
          </w:p>
        </w:tc>
        <w:tc>
          <w:tcPr>
            <w:tcW w:w="605" w:type="pct"/>
            <w:tcBorders>
              <w:top w:val="nil"/>
              <w:bottom w:val="nil"/>
            </w:tcBorders>
          </w:tcPr>
          <w:p w:rsidR="00000000" w:rsidRDefault="00000000">
            <w:pPr>
              <w:pStyle w:val="a2"/>
              <w:tabs>
                <w:tab w:val="decimal" w:pos="545"/>
              </w:tabs>
              <w:rPr>
                <w:snapToGrid/>
                <w:szCs w:val="28"/>
              </w:rPr>
            </w:pPr>
            <w:r>
              <w:rPr>
                <w:snapToGrid/>
                <w:szCs w:val="28"/>
              </w:rPr>
              <w:t>10.43</w:t>
            </w:r>
          </w:p>
        </w:tc>
        <w:tc>
          <w:tcPr>
            <w:tcW w:w="470" w:type="pct"/>
            <w:tcBorders>
              <w:top w:val="nil"/>
              <w:bottom w:val="nil"/>
            </w:tcBorders>
          </w:tcPr>
          <w:p w:rsidR="00000000" w:rsidRDefault="00000000">
            <w:pPr>
              <w:pStyle w:val="a2"/>
              <w:tabs>
                <w:tab w:val="decimal" w:pos="289"/>
              </w:tabs>
              <w:rPr>
                <w:snapToGrid/>
                <w:szCs w:val="28"/>
              </w:rPr>
            </w:pPr>
            <w:r>
              <w:rPr>
                <w:snapToGrid/>
                <w:szCs w:val="28"/>
              </w:rPr>
              <w:t>22.80</w:t>
            </w:r>
          </w:p>
        </w:tc>
        <w:tc>
          <w:tcPr>
            <w:tcW w:w="470" w:type="pct"/>
            <w:tcBorders>
              <w:top w:val="nil"/>
              <w:bottom w:val="nil"/>
            </w:tcBorders>
          </w:tcPr>
          <w:p w:rsidR="00000000" w:rsidRDefault="00000000">
            <w:pPr>
              <w:pStyle w:val="a2"/>
              <w:tabs>
                <w:tab w:val="decimal" w:pos="289"/>
              </w:tabs>
              <w:rPr>
                <w:snapToGrid/>
                <w:szCs w:val="28"/>
              </w:rPr>
            </w:pPr>
            <w:r>
              <w:rPr>
                <w:snapToGrid/>
                <w:szCs w:val="28"/>
              </w:rPr>
              <w:t>7.01</w:t>
            </w:r>
          </w:p>
        </w:tc>
        <w:tc>
          <w:tcPr>
            <w:tcW w:w="609" w:type="pct"/>
            <w:tcBorders>
              <w:top w:val="nil"/>
              <w:bottom w:val="nil"/>
            </w:tcBorders>
          </w:tcPr>
          <w:p w:rsidR="00000000" w:rsidRDefault="00000000">
            <w:pPr>
              <w:pStyle w:val="a2"/>
              <w:tabs>
                <w:tab w:val="decimal" w:pos="487"/>
              </w:tabs>
              <w:rPr>
                <w:snapToGrid/>
                <w:szCs w:val="28"/>
              </w:rPr>
            </w:pPr>
            <w:r>
              <w:rPr>
                <w:snapToGrid/>
                <w:szCs w:val="28"/>
              </w:rPr>
              <w:t>15.79</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1995</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17.12</w:t>
            </w:r>
          </w:p>
        </w:tc>
        <w:tc>
          <w:tcPr>
            <w:tcW w:w="449" w:type="pct"/>
            <w:tcBorders>
              <w:top w:val="nil"/>
              <w:bottom w:val="nil"/>
            </w:tcBorders>
          </w:tcPr>
          <w:p w:rsidR="00000000" w:rsidRDefault="00000000">
            <w:pPr>
              <w:pStyle w:val="a2"/>
              <w:tabs>
                <w:tab w:val="decimal" w:pos="289"/>
              </w:tabs>
              <w:rPr>
                <w:snapToGrid/>
                <w:szCs w:val="28"/>
              </w:rPr>
            </w:pPr>
            <w:r>
              <w:rPr>
                <w:snapToGrid/>
                <w:szCs w:val="28"/>
              </w:rPr>
              <w:t>6.57</w:t>
            </w:r>
          </w:p>
        </w:tc>
        <w:tc>
          <w:tcPr>
            <w:tcW w:w="581" w:type="pct"/>
            <w:tcBorders>
              <w:top w:val="nil"/>
              <w:bottom w:val="nil"/>
            </w:tcBorders>
          </w:tcPr>
          <w:p w:rsidR="00000000" w:rsidRDefault="00000000">
            <w:pPr>
              <w:pStyle w:val="a2"/>
              <w:tabs>
                <w:tab w:val="decimal" w:pos="390"/>
              </w:tabs>
              <w:rPr>
                <w:snapToGrid/>
                <w:szCs w:val="28"/>
              </w:rPr>
            </w:pPr>
            <w:r>
              <w:rPr>
                <w:snapToGrid/>
                <w:szCs w:val="28"/>
              </w:rPr>
              <w:t>10.55</w:t>
            </w:r>
          </w:p>
        </w:tc>
        <w:tc>
          <w:tcPr>
            <w:tcW w:w="424" w:type="pct"/>
            <w:tcBorders>
              <w:top w:val="nil"/>
              <w:bottom w:val="nil"/>
            </w:tcBorders>
          </w:tcPr>
          <w:p w:rsidR="00000000" w:rsidRDefault="00000000">
            <w:pPr>
              <w:pStyle w:val="a2"/>
              <w:tabs>
                <w:tab w:val="decimal" w:pos="289"/>
              </w:tabs>
              <w:rPr>
                <w:snapToGrid/>
                <w:szCs w:val="28"/>
              </w:rPr>
            </w:pPr>
            <w:r>
              <w:rPr>
                <w:snapToGrid/>
                <w:szCs w:val="28"/>
              </w:rPr>
              <w:t>14.76</w:t>
            </w:r>
          </w:p>
        </w:tc>
        <w:tc>
          <w:tcPr>
            <w:tcW w:w="425" w:type="pct"/>
            <w:tcBorders>
              <w:top w:val="nil"/>
              <w:bottom w:val="nil"/>
            </w:tcBorders>
          </w:tcPr>
          <w:p w:rsidR="00000000" w:rsidRDefault="00000000">
            <w:pPr>
              <w:pStyle w:val="a2"/>
              <w:tabs>
                <w:tab w:val="decimal" w:pos="289"/>
              </w:tabs>
              <w:rPr>
                <w:snapToGrid/>
                <w:szCs w:val="28"/>
              </w:rPr>
            </w:pPr>
            <w:r>
              <w:rPr>
                <w:snapToGrid/>
                <w:szCs w:val="28"/>
              </w:rPr>
              <w:t>5.53</w:t>
            </w:r>
          </w:p>
        </w:tc>
        <w:tc>
          <w:tcPr>
            <w:tcW w:w="605" w:type="pct"/>
            <w:tcBorders>
              <w:top w:val="nil"/>
              <w:bottom w:val="nil"/>
            </w:tcBorders>
          </w:tcPr>
          <w:p w:rsidR="00000000" w:rsidRDefault="00000000">
            <w:pPr>
              <w:pStyle w:val="a2"/>
              <w:tabs>
                <w:tab w:val="decimal" w:pos="545"/>
              </w:tabs>
              <w:rPr>
                <w:snapToGrid/>
                <w:szCs w:val="28"/>
              </w:rPr>
            </w:pPr>
            <w:r>
              <w:rPr>
                <w:snapToGrid/>
                <w:szCs w:val="28"/>
              </w:rPr>
              <w:t>9.23</w:t>
            </w:r>
          </w:p>
        </w:tc>
        <w:tc>
          <w:tcPr>
            <w:tcW w:w="470" w:type="pct"/>
            <w:tcBorders>
              <w:top w:val="nil"/>
              <w:bottom w:val="nil"/>
            </w:tcBorders>
          </w:tcPr>
          <w:p w:rsidR="00000000" w:rsidRDefault="00000000">
            <w:pPr>
              <w:pStyle w:val="a2"/>
              <w:tabs>
                <w:tab w:val="decimal" w:pos="289"/>
              </w:tabs>
              <w:rPr>
                <w:snapToGrid/>
                <w:szCs w:val="28"/>
              </w:rPr>
            </w:pPr>
            <w:r>
              <w:rPr>
                <w:snapToGrid/>
                <w:szCs w:val="28"/>
              </w:rPr>
              <w:t>18.08</w:t>
            </w:r>
          </w:p>
        </w:tc>
        <w:tc>
          <w:tcPr>
            <w:tcW w:w="470" w:type="pct"/>
            <w:tcBorders>
              <w:top w:val="nil"/>
              <w:bottom w:val="nil"/>
            </w:tcBorders>
          </w:tcPr>
          <w:p w:rsidR="00000000" w:rsidRDefault="00000000">
            <w:pPr>
              <w:pStyle w:val="a2"/>
              <w:tabs>
                <w:tab w:val="decimal" w:pos="289"/>
              </w:tabs>
              <w:rPr>
                <w:snapToGrid/>
                <w:szCs w:val="28"/>
              </w:rPr>
            </w:pPr>
            <w:r>
              <w:rPr>
                <w:snapToGrid/>
                <w:szCs w:val="28"/>
              </w:rPr>
              <w:t>6.99</w:t>
            </w:r>
          </w:p>
        </w:tc>
        <w:tc>
          <w:tcPr>
            <w:tcW w:w="609" w:type="pct"/>
            <w:tcBorders>
              <w:top w:val="nil"/>
              <w:bottom w:val="nil"/>
            </w:tcBorders>
          </w:tcPr>
          <w:p w:rsidR="00000000" w:rsidRDefault="00000000">
            <w:pPr>
              <w:pStyle w:val="a2"/>
              <w:tabs>
                <w:tab w:val="decimal" w:pos="487"/>
              </w:tabs>
              <w:rPr>
                <w:snapToGrid/>
                <w:szCs w:val="28"/>
              </w:rPr>
            </w:pPr>
            <w:r>
              <w:rPr>
                <w:snapToGrid/>
                <w:szCs w:val="28"/>
              </w:rPr>
              <w:t>11.09</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1996</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16.98</w:t>
            </w:r>
          </w:p>
        </w:tc>
        <w:tc>
          <w:tcPr>
            <w:tcW w:w="449" w:type="pct"/>
            <w:tcBorders>
              <w:top w:val="nil"/>
              <w:bottom w:val="nil"/>
            </w:tcBorders>
          </w:tcPr>
          <w:p w:rsidR="00000000" w:rsidRDefault="00000000">
            <w:pPr>
              <w:pStyle w:val="a2"/>
              <w:tabs>
                <w:tab w:val="decimal" w:pos="289"/>
              </w:tabs>
              <w:rPr>
                <w:snapToGrid/>
                <w:szCs w:val="28"/>
              </w:rPr>
            </w:pPr>
            <w:r>
              <w:rPr>
                <w:snapToGrid/>
                <w:szCs w:val="28"/>
              </w:rPr>
              <w:t>6.56</w:t>
            </w:r>
          </w:p>
        </w:tc>
        <w:tc>
          <w:tcPr>
            <w:tcW w:w="581" w:type="pct"/>
            <w:tcBorders>
              <w:top w:val="nil"/>
              <w:bottom w:val="nil"/>
            </w:tcBorders>
          </w:tcPr>
          <w:p w:rsidR="00000000" w:rsidRDefault="00000000">
            <w:pPr>
              <w:pStyle w:val="a2"/>
              <w:tabs>
                <w:tab w:val="decimal" w:pos="390"/>
              </w:tabs>
              <w:rPr>
                <w:snapToGrid/>
                <w:szCs w:val="28"/>
              </w:rPr>
            </w:pPr>
            <w:r>
              <w:rPr>
                <w:snapToGrid/>
                <w:szCs w:val="28"/>
              </w:rPr>
              <w:t>10.42</w:t>
            </w:r>
          </w:p>
        </w:tc>
        <w:tc>
          <w:tcPr>
            <w:tcW w:w="424" w:type="pct"/>
            <w:tcBorders>
              <w:top w:val="nil"/>
              <w:bottom w:val="nil"/>
            </w:tcBorders>
          </w:tcPr>
          <w:p w:rsidR="00000000" w:rsidRDefault="00000000">
            <w:pPr>
              <w:pStyle w:val="a2"/>
              <w:tabs>
                <w:tab w:val="decimal" w:pos="289"/>
              </w:tabs>
              <w:rPr>
                <w:snapToGrid/>
                <w:szCs w:val="28"/>
              </w:rPr>
            </w:pPr>
            <w:r>
              <w:rPr>
                <w:snapToGrid/>
                <w:szCs w:val="28"/>
              </w:rPr>
              <w:t>14.67</w:t>
            </w:r>
          </w:p>
        </w:tc>
        <w:tc>
          <w:tcPr>
            <w:tcW w:w="425" w:type="pct"/>
            <w:tcBorders>
              <w:top w:val="nil"/>
              <w:bottom w:val="nil"/>
            </w:tcBorders>
          </w:tcPr>
          <w:p w:rsidR="00000000" w:rsidRDefault="00000000">
            <w:pPr>
              <w:pStyle w:val="a2"/>
              <w:tabs>
                <w:tab w:val="decimal" w:pos="289"/>
              </w:tabs>
              <w:rPr>
                <w:snapToGrid/>
                <w:szCs w:val="28"/>
              </w:rPr>
            </w:pPr>
            <w:r>
              <w:rPr>
                <w:snapToGrid/>
                <w:szCs w:val="28"/>
              </w:rPr>
              <w:t>5.65</w:t>
            </w:r>
          </w:p>
        </w:tc>
        <w:tc>
          <w:tcPr>
            <w:tcW w:w="605" w:type="pct"/>
            <w:tcBorders>
              <w:top w:val="nil"/>
              <w:bottom w:val="nil"/>
            </w:tcBorders>
          </w:tcPr>
          <w:p w:rsidR="00000000" w:rsidRDefault="00000000">
            <w:pPr>
              <w:pStyle w:val="a2"/>
              <w:tabs>
                <w:tab w:val="decimal" w:pos="545"/>
              </w:tabs>
              <w:rPr>
                <w:snapToGrid/>
                <w:szCs w:val="28"/>
              </w:rPr>
            </w:pPr>
            <w:r>
              <w:rPr>
                <w:snapToGrid/>
                <w:szCs w:val="28"/>
              </w:rPr>
              <w:t>8.82</w:t>
            </w:r>
          </w:p>
        </w:tc>
        <w:tc>
          <w:tcPr>
            <w:tcW w:w="470" w:type="pct"/>
            <w:tcBorders>
              <w:top w:val="nil"/>
              <w:bottom w:val="nil"/>
            </w:tcBorders>
          </w:tcPr>
          <w:p w:rsidR="00000000" w:rsidRDefault="00000000">
            <w:pPr>
              <w:pStyle w:val="a2"/>
              <w:tabs>
                <w:tab w:val="decimal" w:pos="289"/>
              </w:tabs>
              <w:rPr>
                <w:snapToGrid/>
                <w:szCs w:val="28"/>
              </w:rPr>
            </w:pPr>
            <w:r>
              <w:rPr>
                <w:snapToGrid/>
                <w:szCs w:val="28"/>
              </w:rPr>
              <w:t>18.02</w:t>
            </w:r>
          </w:p>
        </w:tc>
        <w:tc>
          <w:tcPr>
            <w:tcW w:w="470" w:type="pct"/>
            <w:tcBorders>
              <w:top w:val="nil"/>
              <w:bottom w:val="nil"/>
            </w:tcBorders>
          </w:tcPr>
          <w:p w:rsidR="00000000" w:rsidRDefault="00000000">
            <w:pPr>
              <w:pStyle w:val="a2"/>
              <w:tabs>
                <w:tab w:val="decimal" w:pos="289"/>
              </w:tabs>
              <w:rPr>
                <w:snapToGrid/>
                <w:szCs w:val="28"/>
              </w:rPr>
            </w:pPr>
            <w:r>
              <w:rPr>
                <w:snapToGrid/>
                <w:szCs w:val="28"/>
              </w:rPr>
              <w:t>6.94</w:t>
            </w:r>
          </w:p>
        </w:tc>
        <w:tc>
          <w:tcPr>
            <w:tcW w:w="609" w:type="pct"/>
            <w:tcBorders>
              <w:top w:val="nil"/>
              <w:bottom w:val="nil"/>
            </w:tcBorders>
          </w:tcPr>
          <w:p w:rsidR="00000000" w:rsidRDefault="00000000">
            <w:pPr>
              <w:pStyle w:val="a2"/>
              <w:tabs>
                <w:tab w:val="decimal" w:pos="487"/>
              </w:tabs>
              <w:rPr>
                <w:snapToGrid/>
                <w:szCs w:val="28"/>
              </w:rPr>
            </w:pPr>
            <w:r>
              <w:rPr>
                <w:snapToGrid/>
                <w:szCs w:val="28"/>
              </w:rPr>
              <w:t>11.08</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1997</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16.57</w:t>
            </w:r>
          </w:p>
        </w:tc>
        <w:tc>
          <w:tcPr>
            <w:tcW w:w="449" w:type="pct"/>
            <w:tcBorders>
              <w:top w:val="nil"/>
              <w:bottom w:val="nil"/>
            </w:tcBorders>
          </w:tcPr>
          <w:p w:rsidR="00000000" w:rsidRDefault="00000000">
            <w:pPr>
              <w:pStyle w:val="a2"/>
              <w:tabs>
                <w:tab w:val="decimal" w:pos="289"/>
              </w:tabs>
              <w:rPr>
                <w:snapToGrid/>
                <w:szCs w:val="28"/>
              </w:rPr>
            </w:pPr>
            <w:r>
              <w:rPr>
                <w:snapToGrid/>
                <w:szCs w:val="28"/>
              </w:rPr>
              <w:t>6.51</w:t>
            </w:r>
          </w:p>
        </w:tc>
        <w:tc>
          <w:tcPr>
            <w:tcW w:w="581" w:type="pct"/>
            <w:tcBorders>
              <w:top w:val="nil"/>
              <w:bottom w:val="nil"/>
            </w:tcBorders>
          </w:tcPr>
          <w:p w:rsidR="00000000" w:rsidRDefault="00000000">
            <w:pPr>
              <w:pStyle w:val="a2"/>
              <w:tabs>
                <w:tab w:val="decimal" w:pos="390"/>
              </w:tabs>
              <w:rPr>
                <w:snapToGrid/>
                <w:szCs w:val="28"/>
              </w:rPr>
            </w:pPr>
            <w:r>
              <w:rPr>
                <w:snapToGrid/>
                <w:szCs w:val="28"/>
              </w:rPr>
              <w:t>10.06</w:t>
            </w:r>
          </w:p>
        </w:tc>
        <w:tc>
          <w:tcPr>
            <w:tcW w:w="424" w:type="pct"/>
            <w:tcBorders>
              <w:top w:val="nil"/>
              <w:bottom w:val="nil"/>
            </w:tcBorders>
          </w:tcPr>
          <w:p w:rsidR="00000000" w:rsidRDefault="00000000">
            <w:pPr>
              <w:pStyle w:val="a2"/>
              <w:tabs>
                <w:tab w:val="decimal" w:pos="289"/>
              </w:tabs>
              <w:rPr>
                <w:snapToGrid/>
                <w:szCs w:val="28"/>
              </w:rPr>
            </w:pPr>
            <w:r>
              <w:rPr>
                <w:snapToGrid/>
                <w:szCs w:val="28"/>
              </w:rPr>
              <w:t>14.52</w:t>
            </w:r>
          </w:p>
        </w:tc>
        <w:tc>
          <w:tcPr>
            <w:tcW w:w="425" w:type="pct"/>
            <w:tcBorders>
              <w:top w:val="nil"/>
              <w:bottom w:val="nil"/>
            </w:tcBorders>
          </w:tcPr>
          <w:p w:rsidR="00000000" w:rsidRDefault="00000000">
            <w:pPr>
              <w:pStyle w:val="a2"/>
              <w:tabs>
                <w:tab w:val="decimal" w:pos="289"/>
              </w:tabs>
              <w:rPr>
                <w:snapToGrid/>
                <w:szCs w:val="28"/>
              </w:rPr>
            </w:pPr>
            <w:r>
              <w:rPr>
                <w:snapToGrid/>
                <w:szCs w:val="28"/>
              </w:rPr>
              <w:t>5.58</w:t>
            </w:r>
          </w:p>
        </w:tc>
        <w:tc>
          <w:tcPr>
            <w:tcW w:w="605" w:type="pct"/>
            <w:tcBorders>
              <w:top w:val="nil"/>
              <w:bottom w:val="nil"/>
            </w:tcBorders>
          </w:tcPr>
          <w:p w:rsidR="00000000" w:rsidRDefault="00000000">
            <w:pPr>
              <w:pStyle w:val="a2"/>
              <w:tabs>
                <w:tab w:val="decimal" w:pos="545"/>
              </w:tabs>
              <w:rPr>
                <w:snapToGrid/>
                <w:szCs w:val="28"/>
              </w:rPr>
            </w:pPr>
            <w:r>
              <w:rPr>
                <w:snapToGrid/>
                <w:szCs w:val="28"/>
              </w:rPr>
              <w:t>8.94</w:t>
            </w:r>
          </w:p>
        </w:tc>
        <w:tc>
          <w:tcPr>
            <w:tcW w:w="470" w:type="pct"/>
            <w:tcBorders>
              <w:top w:val="nil"/>
              <w:bottom w:val="nil"/>
            </w:tcBorders>
          </w:tcPr>
          <w:p w:rsidR="00000000" w:rsidRDefault="00000000">
            <w:pPr>
              <w:pStyle w:val="a2"/>
              <w:tabs>
                <w:tab w:val="decimal" w:pos="289"/>
              </w:tabs>
              <w:rPr>
                <w:snapToGrid/>
                <w:szCs w:val="28"/>
              </w:rPr>
            </w:pPr>
            <w:r>
              <w:rPr>
                <w:snapToGrid/>
                <w:szCs w:val="28"/>
              </w:rPr>
              <w:t>17.43</w:t>
            </w:r>
          </w:p>
        </w:tc>
        <w:tc>
          <w:tcPr>
            <w:tcW w:w="470" w:type="pct"/>
            <w:tcBorders>
              <w:top w:val="nil"/>
              <w:bottom w:val="nil"/>
            </w:tcBorders>
          </w:tcPr>
          <w:p w:rsidR="00000000" w:rsidRDefault="00000000">
            <w:pPr>
              <w:pStyle w:val="a2"/>
              <w:tabs>
                <w:tab w:val="decimal" w:pos="289"/>
              </w:tabs>
              <w:rPr>
                <w:snapToGrid/>
                <w:szCs w:val="28"/>
              </w:rPr>
            </w:pPr>
            <w:r>
              <w:rPr>
                <w:snapToGrid/>
                <w:szCs w:val="28"/>
              </w:rPr>
              <w:t>6.90</w:t>
            </w:r>
          </w:p>
        </w:tc>
        <w:tc>
          <w:tcPr>
            <w:tcW w:w="609" w:type="pct"/>
            <w:tcBorders>
              <w:top w:val="nil"/>
              <w:bottom w:val="nil"/>
            </w:tcBorders>
          </w:tcPr>
          <w:p w:rsidR="00000000" w:rsidRDefault="00000000">
            <w:pPr>
              <w:pStyle w:val="a2"/>
              <w:tabs>
                <w:tab w:val="decimal" w:pos="487"/>
              </w:tabs>
              <w:rPr>
                <w:snapToGrid/>
                <w:szCs w:val="28"/>
              </w:rPr>
            </w:pPr>
            <w:r>
              <w:rPr>
                <w:snapToGrid/>
                <w:szCs w:val="28"/>
              </w:rPr>
              <w:t>10.53</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1998</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16.03</w:t>
            </w:r>
          </w:p>
        </w:tc>
        <w:tc>
          <w:tcPr>
            <w:tcW w:w="449" w:type="pct"/>
            <w:tcBorders>
              <w:top w:val="nil"/>
              <w:bottom w:val="nil"/>
            </w:tcBorders>
          </w:tcPr>
          <w:p w:rsidR="00000000" w:rsidRDefault="00000000">
            <w:pPr>
              <w:pStyle w:val="a2"/>
              <w:tabs>
                <w:tab w:val="decimal" w:pos="289"/>
              </w:tabs>
              <w:rPr>
                <w:snapToGrid/>
                <w:szCs w:val="28"/>
              </w:rPr>
            </w:pPr>
            <w:r>
              <w:rPr>
                <w:snapToGrid/>
                <w:szCs w:val="28"/>
              </w:rPr>
              <w:t>6.50</w:t>
            </w:r>
          </w:p>
        </w:tc>
        <w:tc>
          <w:tcPr>
            <w:tcW w:w="581" w:type="pct"/>
            <w:tcBorders>
              <w:top w:val="nil"/>
              <w:bottom w:val="nil"/>
            </w:tcBorders>
          </w:tcPr>
          <w:p w:rsidR="00000000" w:rsidRDefault="00000000">
            <w:pPr>
              <w:pStyle w:val="a2"/>
              <w:tabs>
                <w:tab w:val="decimal" w:pos="390"/>
              </w:tabs>
              <w:rPr>
                <w:snapToGrid/>
                <w:szCs w:val="28"/>
              </w:rPr>
            </w:pPr>
            <w:r>
              <w:rPr>
                <w:snapToGrid/>
                <w:szCs w:val="28"/>
              </w:rPr>
              <w:t>9.53</w:t>
            </w:r>
          </w:p>
        </w:tc>
        <w:tc>
          <w:tcPr>
            <w:tcW w:w="424" w:type="pct"/>
            <w:tcBorders>
              <w:top w:val="nil"/>
              <w:bottom w:val="nil"/>
            </w:tcBorders>
          </w:tcPr>
          <w:p w:rsidR="00000000" w:rsidRDefault="00000000">
            <w:pPr>
              <w:pStyle w:val="a2"/>
              <w:tabs>
                <w:tab w:val="decimal" w:pos="289"/>
              </w:tabs>
              <w:rPr>
                <w:snapToGrid/>
                <w:szCs w:val="28"/>
              </w:rPr>
            </w:pPr>
            <w:r>
              <w:rPr>
                <w:snapToGrid/>
                <w:szCs w:val="28"/>
              </w:rPr>
              <w:t>13.67</w:t>
            </w:r>
          </w:p>
        </w:tc>
        <w:tc>
          <w:tcPr>
            <w:tcW w:w="425" w:type="pct"/>
            <w:tcBorders>
              <w:top w:val="nil"/>
              <w:bottom w:val="nil"/>
            </w:tcBorders>
          </w:tcPr>
          <w:p w:rsidR="00000000" w:rsidRDefault="00000000">
            <w:pPr>
              <w:pStyle w:val="a2"/>
              <w:tabs>
                <w:tab w:val="decimal" w:pos="289"/>
              </w:tabs>
              <w:rPr>
                <w:snapToGrid/>
                <w:szCs w:val="28"/>
              </w:rPr>
            </w:pPr>
            <w:r>
              <w:rPr>
                <w:snapToGrid/>
                <w:szCs w:val="28"/>
              </w:rPr>
              <w:t>5.31</w:t>
            </w:r>
          </w:p>
        </w:tc>
        <w:tc>
          <w:tcPr>
            <w:tcW w:w="605" w:type="pct"/>
            <w:tcBorders>
              <w:top w:val="nil"/>
              <w:bottom w:val="nil"/>
            </w:tcBorders>
          </w:tcPr>
          <w:p w:rsidR="00000000" w:rsidRDefault="00000000">
            <w:pPr>
              <w:pStyle w:val="a2"/>
              <w:tabs>
                <w:tab w:val="decimal" w:pos="545"/>
              </w:tabs>
              <w:rPr>
                <w:snapToGrid/>
                <w:szCs w:val="28"/>
              </w:rPr>
            </w:pPr>
            <w:r>
              <w:rPr>
                <w:snapToGrid/>
                <w:szCs w:val="28"/>
              </w:rPr>
              <w:t>8.36</w:t>
            </w:r>
          </w:p>
        </w:tc>
        <w:tc>
          <w:tcPr>
            <w:tcW w:w="470" w:type="pct"/>
            <w:tcBorders>
              <w:top w:val="nil"/>
              <w:bottom w:val="nil"/>
            </w:tcBorders>
          </w:tcPr>
          <w:p w:rsidR="00000000" w:rsidRDefault="00000000">
            <w:pPr>
              <w:pStyle w:val="a2"/>
              <w:tabs>
                <w:tab w:val="decimal" w:pos="289"/>
              </w:tabs>
              <w:rPr>
                <w:snapToGrid/>
                <w:szCs w:val="28"/>
              </w:rPr>
            </w:pPr>
            <w:r>
              <w:rPr>
                <w:snapToGrid/>
                <w:szCs w:val="28"/>
              </w:rPr>
              <w:t>17.05</w:t>
            </w:r>
          </w:p>
        </w:tc>
        <w:tc>
          <w:tcPr>
            <w:tcW w:w="470" w:type="pct"/>
            <w:tcBorders>
              <w:top w:val="nil"/>
              <w:bottom w:val="nil"/>
            </w:tcBorders>
          </w:tcPr>
          <w:p w:rsidR="00000000" w:rsidRDefault="00000000">
            <w:pPr>
              <w:pStyle w:val="a2"/>
              <w:tabs>
                <w:tab w:val="decimal" w:pos="289"/>
              </w:tabs>
              <w:rPr>
                <w:snapToGrid/>
                <w:szCs w:val="28"/>
              </w:rPr>
            </w:pPr>
            <w:r>
              <w:rPr>
                <w:snapToGrid/>
                <w:szCs w:val="28"/>
              </w:rPr>
              <w:t>7.01</w:t>
            </w:r>
          </w:p>
        </w:tc>
        <w:tc>
          <w:tcPr>
            <w:tcW w:w="609" w:type="pct"/>
            <w:tcBorders>
              <w:top w:val="nil"/>
              <w:bottom w:val="nil"/>
            </w:tcBorders>
          </w:tcPr>
          <w:p w:rsidR="00000000" w:rsidRDefault="00000000">
            <w:pPr>
              <w:pStyle w:val="a2"/>
              <w:tabs>
                <w:tab w:val="decimal" w:pos="487"/>
              </w:tabs>
              <w:rPr>
                <w:snapToGrid/>
                <w:szCs w:val="28"/>
              </w:rPr>
            </w:pPr>
            <w:r>
              <w:rPr>
                <w:snapToGrid/>
                <w:szCs w:val="28"/>
              </w:rPr>
              <w:t>10.04</w:t>
            </w:r>
          </w:p>
        </w:tc>
      </w:tr>
      <w:tr w:rsidR="00000000">
        <w:tblPrEx>
          <w:tblCellMar>
            <w:top w:w="0" w:type="dxa"/>
            <w:bottom w:w="0" w:type="dxa"/>
          </w:tblCellMar>
        </w:tblPrEx>
        <w:tc>
          <w:tcPr>
            <w:tcW w:w="518" w:type="pct"/>
            <w:tcBorders>
              <w:top w:val="nil"/>
              <w:bottom w:val="nil"/>
            </w:tcBorders>
          </w:tcPr>
          <w:p w:rsidR="00000000" w:rsidRDefault="00000000">
            <w:pPr>
              <w:pStyle w:val="a2"/>
              <w:ind w:left="113"/>
              <w:rPr>
                <w:snapToGrid/>
                <w:szCs w:val="28"/>
              </w:rPr>
            </w:pPr>
            <w:r>
              <w:rPr>
                <w:snapToGrid/>
                <w:szCs w:val="28"/>
              </w:rPr>
              <w:t>1999</w:t>
            </w:r>
          </w:p>
        </w:tc>
        <w:tc>
          <w:tcPr>
            <w:tcW w:w="449" w:type="pct"/>
            <w:tcBorders>
              <w:top w:val="nil"/>
              <w:bottom w:val="nil"/>
            </w:tcBorders>
          </w:tcPr>
          <w:p w:rsidR="00000000" w:rsidRDefault="00000000">
            <w:pPr>
              <w:pStyle w:val="a2"/>
              <w:tabs>
                <w:tab w:val="decimal" w:pos="289"/>
              </w:tabs>
              <w:ind w:left="113"/>
              <w:rPr>
                <w:snapToGrid/>
                <w:szCs w:val="28"/>
              </w:rPr>
            </w:pPr>
            <w:r>
              <w:rPr>
                <w:snapToGrid/>
                <w:szCs w:val="28"/>
              </w:rPr>
              <w:t>15.23</w:t>
            </w:r>
          </w:p>
        </w:tc>
        <w:tc>
          <w:tcPr>
            <w:tcW w:w="449" w:type="pct"/>
            <w:tcBorders>
              <w:top w:val="nil"/>
              <w:bottom w:val="nil"/>
            </w:tcBorders>
          </w:tcPr>
          <w:p w:rsidR="00000000" w:rsidRDefault="00000000">
            <w:pPr>
              <w:pStyle w:val="a2"/>
              <w:tabs>
                <w:tab w:val="decimal" w:pos="289"/>
              </w:tabs>
              <w:rPr>
                <w:snapToGrid/>
                <w:szCs w:val="28"/>
              </w:rPr>
            </w:pPr>
            <w:r>
              <w:rPr>
                <w:snapToGrid/>
                <w:szCs w:val="28"/>
              </w:rPr>
              <w:t>6.46</w:t>
            </w:r>
          </w:p>
        </w:tc>
        <w:tc>
          <w:tcPr>
            <w:tcW w:w="581" w:type="pct"/>
            <w:tcBorders>
              <w:top w:val="nil"/>
              <w:bottom w:val="nil"/>
            </w:tcBorders>
          </w:tcPr>
          <w:p w:rsidR="00000000" w:rsidRDefault="00000000">
            <w:pPr>
              <w:pStyle w:val="a2"/>
              <w:tabs>
                <w:tab w:val="decimal" w:pos="390"/>
              </w:tabs>
              <w:rPr>
                <w:snapToGrid/>
                <w:szCs w:val="28"/>
              </w:rPr>
            </w:pPr>
            <w:r>
              <w:rPr>
                <w:snapToGrid/>
                <w:szCs w:val="28"/>
              </w:rPr>
              <w:t>8.77</w:t>
            </w:r>
          </w:p>
        </w:tc>
        <w:tc>
          <w:tcPr>
            <w:tcW w:w="424" w:type="pct"/>
            <w:tcBorders>
              <w:top w:val="nil"/>
              <w:bottom w:val="nil"/>
            </w:tcBorders>
          </w:tcPr>
          <w:p w:rsidR="00000000" w:rsidRDefault="00000000">
            <w:pPr>
              <w:pStyle w:val="a2"/>
              <w:tabs>
                <w:tab w:val="decimal" w:pos="289"/>
              </w:tabs>
              <w:rPr>
                <w:snapToGrid/>
                <w:szCs w:val="28"/>
              </w:rPr>
            </w:pPr>
            <w:r>
              <w:rPr>
                <w:snapToGrid/>
                <w:szCs w:val="28"/>
              </w:rPr>
              <w:t>13.18</w:t>
            </w:r>
          </w:p>
        </w:tc>
        <w:tc>
          <w:tcPr>
            <w:tcW w:w="425" w:type="pct"/>
            <w:tcBorders>
              <w:top w:val="nil"/>
              <w:bottom w:val="nil"/>
            </w:tcBorders>
          </w:tcPr>
          <w:p w:rsidR="00000000" w:rsidRDefault="00000000">
            <w:pPr>
              <w:pStyle w:val="a2"/>
              <w:tabs>
                <w:tab w:val="decimal" w:pos="289"/>
              </w:tabs>
              <w:rPr>
                <w:snapToGrid/>
                <w:szCs w:val="28"/>
              </w:rPr>
            </w:pPr>
            <w:r>
              <w:rPr>
                <w:snapToGrid/>
                <w:szCs w:val="28"/>
              </w:rPr>
              <w:t>5.51</w:t>
            </w:r>
          </w:p>
        </w:tc>
        <w:tc>
          <w:tcPr>
            <w:tcW w:w="605" w:type="pct"/>
            <w:tcBorders>
              <w:top w:val="nil"/>
              <w:bottom w:val="nil"/>
            </w:tcBorders>
          </w:tcPr>
          <w:p w:rsidR="00000000" w:rsidRDefault="00000000">
            <w:pPr>
              <w:pStyle w:val="a2"/>
              <w:tabs>
                <w:tab w:val="decimal" w:pos="545"/>
              </w:tabs>
              <w:rPr>
                <w:snapToGrid/>
                <w:szCs w:val="28"/>
              </w:rPr>
            </w:pPr>
            <w:r>
              <w:rPr>
                <w:snapToGrid/>
                <w:szCs w:val="28"/>
              </w:rPr>
              <w:t>7.67</w:t>
            </w:r>
          </w:p>
        </w:tc>
        <w:tc>
          <w:tcPr>
            <w:tcW w:w="470" w:type="pct"/>
            <w:tcBorders>
              <w:top w:val="nil"/>
              <w:bottom w:val="nil"/>
            </w:tcBorders>
          </w:tcPr>
          <w:p w:rsidR="00000000" w:rsidRDefault="00000000">
            <w:pPr>
              <w:pStyle w:val="a2"/>
              <w:tabs>
                <w:tab w:val="decimal" w:pos="289"/>
              </w:tabs>
              <w:rPr>
                <w:snapToGrid/>
                <w:szCs w:val="28"/>
              </w:rPr>
            </w:pPr>
            <w:r>
              <w:rPr>
                <w:snapToGrid/>
                <w:szCs w:val="28"/>
              </w:rPr>
              <w:t>16.13</w:t>
            </w:r>
          </w:p>
        </w:tc>
        <w:tc>
          <w:tcPr>
            <w:tcW w:w="470" w:type="pct"/>
            <w:tcBorders>
              <w:top w:val="nil"/>
              <w:bottom w:val="nil"/>
            </w:tcBorders>
          </w:tcPr>
          <w:p w:rsidR="00000000" w:rsidRDefault="00000000">
            <w:pPr>
              <w:pStyle w:val="a2"/>
              <w:tabs>
                <w:tab w:val="decimal" w:pos="289"/>
              </w:tabs>
              <w:rPr>
                <w:snapToGrid/>
                <w:szCs w:val="28"/>
              </w:rPr>
            </w:pPr>
            <w:r>
              <w:rPr>
                <w:snapToGrid/>
                <w:szCs w:val="28"/>
              </w:rPr>
              <w:t>6.88</w:t>
            </w:r>
          </w:p>
        </w:tc>
        <w:tc>
          <w:tcPr>
            <w:tcW w:w="609" w:type="pct"/>
            <w:tcBorders>
              <w:top w:val="nil"/>
              <w:bottom w:val="nil"/>
            </w:tcBorders>
          </w:tcPr>
          <w:p w:rsidR="00000000" w:rsidRDefault="00000000">
            <w:pPr>
              <w:pStyle w:val="a2"/>
              <w:tabs>
                <w:tab w:val="decimal" w:pos="487"/>
              </w:tabs>
              <w:rPr>
                <w:snapToGrid/>
                <w:szCs w:val="28"/>
              </w:rPr>
            </w:pPr>
            <w:r>
              <w:rPr>
                <w:snapToGrid/>
                <w:szCs w:val="28"/>
              </w:rPr>
              <w:t>9.25</w:t>
            </w:r>
          </w:p>
        </w:tc>
      </w:tr>
      <w:tr w:rsidR="00000000">
        <w:tblPrEx>
          <w:tblCellMar>
            <w:top w:w="0" w:type="dxa"/>
            <w:bottom w:w="0" w:type="dxa"/>
          </w:tblCellMar>
        </w:tblPrEx>
        <w:tc>
          <w:tcPr>
            <w:tcW w:w="518" w:type="pct"/>
            <w:tcBorders>
              <w:top w:val="nil"/>
            </w:tcBorders>
          </w:tcPr>
          <w:p w:rsidR="00000000" w:rsidRDefault="00000000">
            <w:pPr>
              <w:pStyle w:val="a2"/>
              <w:ind w:left="113"/>
              <w:rPr>
                <w:snapToGrid/>
                <w:szCs w:val="28"/>
              </w:rPr>
            </w:pPr>
            <w:r>
              <w:rPr>
                <w:snapToGrid/>
                <w:szCs w:val="28"/>
              </w:rPr>
              <w:t>2001</w:t>
            </w:r>
          </w:p>
        </w:tc>
        <w:tc>
          <w:tcPr>
            <w:tcW w:w="449" w:type="pct"/>
            <w:tcBorders>
              <w:top w:val="nil"/>
            </w:tcBorders>
          </w:tcPr>
          <w:p w:rsidR="00000000" w:rsidRDefault="00000000">
            <w:pPr>
              <w:pStyle w:val="a2"/>
              <w:tabs>
                <w:tab w:val="decimal" w:pos="289"/>
              </w:tabs>
              <w:ind w:left="113"/>
              <w:rPr>
                <w:snapToGrid/>
                <w:szCs w:val="28"/>
              </w:rPr>
            </w:pPr>
            <w:r>
              <w:rPr>
                <w:snapToGrid/>
                <w:szCs w:val="28"/>
              </w:rPr>
              <w:t>13.38</w:t>
            </w:r>
          </w:p>
        </w:tc>
        <w:tc>
          <w:tcPr>
            <w:tcW w:w="449" w:type="pct"/>
            <w:tcBorders>
              <w:top w:val="nil"/>
            </w:tcBorders>
          </w:tcPr>
          <w:p w:rsidR="00000000" w:rsidRDefault="00000000">
            <w:pPr>
              <w:pStyle w:val="a2"/>
              <w:tabs>
                <w:tab w:val="decimal" w:pos="289"/>
              </w:tabs>
              <w:rPr>
                <w:snapToGrid/>
                <w:szCs w:val="28"/>
              </w:rPr>
            </w:pPr>
            <w:r>
              <w:rPr>
                <w:snapToGrid/>
                <w:szCs w:val="28"/>
              </w:rPr>
              <w:t>6.43</w:t>
            </w:r>
          </w:p>
        </w:tc>
        <w:tc>
          <w:tcPr>
            <w:tcW w:w="581" w:type="pct"/>
            <w:tcBorders>
              <w:top w:val="nil"/>
            </w:tcBorders>
          </w:tcPr>
          <w:p w:rsidR="00000000" w:rsidRDefault="00000000">
            <w:pPr>
              <w:pStyle w:val="a2"/>
              <w:tabs>
                <w:tab w:val="decimal" w:pos="390"/>
              </w:tabs>
              <w:rPr>
                <w:snapToGrid/>
                <w:szCs w:val="28"/>
              </w:rPr>
            </w:pPr>
            <w:r>
              <w:rPr>
                <w:snapToGrid/>
                <w:szCs w:val="28"/>
              </w:rPr>
              <w:t>6.95</w:t>
            </w:r>
          </w:p>
        </w:tc>
        <w:tc>
          <w:tcPr>
            <w:tcW w:w="424" w:type="pct"/>
            <w:tcBorders>
              <w:top w:val="nil"/>
            </w:tcBorders>
          </w:tcPr>
          <w:p w:rsidR="00000000" w:rsidRDefault="00000000">
            <w:pPr>
              <w:pStyle w:val="a2"/>
              <w:tabs>
                <w:tab w:val="decimal" w:pos="289"/>
              </w:tabs>
              <w:rPr>
                <w:snapToGrid/>
                <w:szCs w:val="28"/>
              </w:rPr>
            </w:pPr>
            <w:r>
              <w:rPr>
                <w:snapToGrid/>
                <w:szCs w:val="28"/>
              </w:rPr>
              <w:t>...</w:t>
            </w:r>
          </w:p>
        </w:tc>
        <w:tc>
          <w:tcPr>
            <w:tcW w:w="425" w:type="pct"/>
            <w:tcBorders>
              <w:top w:val="nil"/>
            </w:tcBorders>
          </w:tcPr>
          <w:p w:rsidR="00000000" w:rsidRDefault="00000000">
            <w:pPr>
              <w:pStyle w:val="a2"/>
              <w:tabs>
                <w:tab w:val="decimal" w:pos="289"/>
              </w:tabs>
              <w:rPr>
                <w:snapToGrid/>
                <w:szCs w:val="28"/>
              </w:rPr>
            </w:pPr>
            <w:r>
              <w:rPr>
                <w:snapToGrid/>
                <w:szCs w:val="28"/>
              </w:rPr>
              <w:t>...</w:t>
            </w:r>
          </w:p>
        </w:tc>
        <w:tc>
          <w:tcPr>
            <w:tcW w:w="605" w:type="pct"/>
            <w:tcBorders>
              <w:top w:val="nil"/>
            </w:tcBorders>
          </w:tcPr>
          <w:p w:rsidR="00000000" w:rsidRDefault="00000000">
            <w:pPr>
              <w:pStyle w:val="a2"/>
              <w:tabs>
                <w:tab w:val="decimal" w:pos="545"/>
              </w:tabs>
              <w:rPr>
                <w:snapToGrid/>
                <w:szCs w:val="28"/>
              </w:rPr>
            </w:pPr>
            <w:r>
              <w:rPr>
                <w:snapToGrid/>
                <w:szCs w:val="28"/>
              </w:rPr>
              <w:t>...</w:t>
            </w:r>
          </w:p>
        </w:tc>
        <w:tc>
          <w:tcPr>
            <w:tcW w:w="470" w:type="pct"/>
            <w:tcBorders>
              <w:top w:val="nil"/>
            </w:tcBorders>
          </w:tcPr>
          <w:p w:rsidR="00000000" w:rsidRDefault="00000000">
            <w:pPr>
              <w:pStyle w:val="a2"/>
              <w:tabs>
                <w:tab w:val="decimal" w:pos="289"/>
              </w:tabs>
              <w:rPr>
                <w:snapToGrid/>
                <w:szCs w:val="28"/>
              </w:rPr>
            </w:pPr>
            <w:r>
              <w:rPr>
                <w:snapToGrid/>
                <w:szCs w:val="28"/>
              </w:rPr>
              <w:t>...</w:t>
            </w:r>
          </w:p>
        </w:tc>
        <w:tc>
          <w:tcPr>
            <w:tcW w:w="470" w:type="pct"/>
            <w:tcBorders>
              <w:top w:val="nil"/>
            </w:tcBorders>
          </w:tcPr>
          <w:p w:rsidR="00000000" w:rsidRDefault="00000000">
            <w:pPr>
              <w:pStyle w:val="a2"/>
              <w:tabs>
                <w:tab w:val="decimal" w:pos="289"/>
              </w:tabs>
              <w:rPr>
                <w:snapToGrid/>
                <w:szCs w:val="28"/>
              </w:rPr>
            </w:pPr>
            <w:r>
              <w:rPr>
                <w:snapToGrid/>
                <w:szCs w:val="28"/>
              </w:rPr>
              <w:t>...</w:t>
            </w:r>
          </w:p>
        </w:tc>
        <w:tc>
          <w:tcPr>
            <w:tcW w:w="609" w:type="pct"/>
            <w:tcBorders>
              <w:top w:val="nil"/>
            </w:tcBorders>
          </w:tcPr>
          <w:p w:rsidR="00000000" w:rsidRDefault="00000000">
            <w:pPr>
              <w:pStyle w:val="a2"/>
              <w:tabs>
                <w:tab w:val="decimal" w:pos="487"/>
              </w:tabs>
              <w:rPr>
                <w:snapToGrid/>
                <w:szCs w:val="28"/>
              </w:rPr>
            </w:pPr>
            <w:r>
              <w:rPr>
                <w:snapToGrid/>
                <w:szCs w:val="28"/>
              </w:rPr>
              <w:t>...</w:t>
            </w:r>
          </w:p>
        </w:tc>
      </w:tr>
    </w:tbl>
    <w:p w:rsidR="00000000" w:rsidRDefault="00000000">
      <w:pPr>
        <w:tabs>
          <w:tab w:val="left" w:pos="520"/>
        </w:tabs>
        <w:spacing w:before="120"/>
        <w:ind w:left="1690" w:hanging="1690"/>
        <w:rPr>
          <w:rFonts w:eastAsia="KaiTi_GB2312" w:hint="eastAsia"/>
          <w:snapToGrid/>
          <w:spacing w:val="0"/>
        </w:rPr>
      </w:pPr>
      <w:r>
        <w:rPr>
          <w:rFonts w:hint="eastAsia"/>
        </w:rPr>
        <w:tab/>
      </w:r>
      <w:r>
        <w:rPr>
          <w:rFonts w:eastAsia="KaiTi_GB2312" w:hint="eastAsia"/>
          <w:snapToGrid/>
          <w:spacing w:val="0"/>
          <w:u w:val="single"/>
        </w:rPr>
        <w:t>资料来源</w:t>
      </w:r>
      <w:r>
        <w:rPr>
          <w:rFonts w:eastAsia="KaiTi_GB2312" w:hint="eastAsia"/>
          <w:snapToGrid/>
          <w:spacing w:val="0"/>
        </w:rPr>
        <w:t>：摘自《中国统计年鉴》</w:t>
      </w:r>
      <w:r>
        <w:rPr>
          <w:rFonts w:eastAsia="KaiTi_GB2312" w:hint="eastAsia"/>
          <w:snapToGrid/>
          <w:spacing w:val="0"/>
        </w:rPr>
        <w:t>2000</w:t>
      </w:r>
      <w:r>
        <w:rPr>
          <w:rFonts w:eastAsia="KaiTi_GB2312" w:hint="eastAsia"/>
          <w:snapToGrid/>
          <w:spacing w:val="0"/>
        </w:rPr>
        <w:t>年；</w:t>
      </w:r>
      <w:r>
        <w:rPr>
          <w:rFonts w:eastAsia="KaiTi_GB2312" w:hint="eastAsia"/>
          <w:snapToGrid/>
          <w:spacing w:val="0"/>
        </w:rPr>
        <w:t>2001</w:t>
      </w:r>
      <w:r>
        <w:rPr>
          <w:rFonts w:eastAsia="KaiTi_GB2312" w:hint="eastAsia"/>
          <w:snapToGrid/>
          <w:spacing w:val="0"/>
        </w:rPr>
        <w:t>年数字摘自《</w:t>
      </w:r>
      <w:r>
        <w:rPr>
          <w:rFonts w:eastAsia="KaiTi_GB2312" w:hint="eastAsia"/>
          <w:snapToGrid/>
          <w:spacing w:val="0"/>
        </w:rPr>
        <w:t>2001</w:t>
      </w:r>
      <w:r>
        <w:rPr>
          <w:rFonts w:eastAsia="KaiTi_GB2312" w:hint="eastAsia"/>
          <w:snapToGrid/>
          <w:spacing w:val="0"/>
        </w:rPr>
        <w:t>年国民经济和社会发展统计公报》。</w:t>
      </w:r>
    </w:p>
    <w:p w:rsidR="00000000" w:rsidRDefault="00000000">
      <w:pPr>
        <w:spacing w:before="120"/>
        <w:rPr>
          <w:rFonts w:eastAsia="KaiTi_GB2312" w:hint="eastAsia"/>
          <w:snapToGrid/>
          <w:spacing w:val="0"/>
        </w:rPr>
      </w:pPr>
    </w:p>
    <w:p w:rsidR="00000000" w:rsidRDefault="00000000">
      <w:pPr>
        <w:spacing w:after="320"/>
        <w:jc w:val="center"/>
        <w:rPr>
          <w:rFonts w:hint="eastAsia"/>
        </w:rPr>
      </w:pPr>
      <w:r>
        <w:br w:type="page"/>
      </w:r>
      <w:r>
        <w:rPr>
          <w:rFonts w:hint="eastAsia"/>
          <w:u w:val="single"/>
        </w:rPr>
        <w:t>表</w:t>
      </w:r>
      <w:r>
        <w:rPr>
          <w:rFonts w:hint="eastAsia"/>
          <w:u w:val="single"/>
        </w:rPr>
        <w:t>13</w:t>
      </w:r>
      <w:r>
        <w:rPr>
          <w:rFonts w:hint="eastAsia"/>
        </w:rPr>
        <w:t xml:space="preserve">.  </w:t>
      </w:r>
      <w:r>
        <w:rPr>
          <w:rFonts w:hint="eastAsia"/>
          <w:u w:val="single"/>
        </w:rPr>
        <w:t>中国卫生总费用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9"/>
        <w:gridCol w:w="1052"/>
        <w:gridCol w:w="1097"/>
        <w:gridCol w:w="1046"/>
        <w:gridCol w:w="945"/>
        <w:gridCol w:w="1191"/>
        <w:gridCol w:w="1270"/>
        <w:gridCol w:w="1020"/>
        <w:gridCol w:w="1050"/>
      </w:tblGrid>
      <w:tr w:rsidR="00000000">
        <w:tblPrEx>
          <w:tblCellMar>
            <w:top w:w="0" w:type="dxa"/>
            <w:bottom w:w="0" w:type="dxa"/>
          </w:tblCellMar>
        </w:tblPrEx>
        <w:trPr>
          <w:cantSplit/>
          <w:trHeight w:val="70"/>
        </w:trPr>
        <w:tc>
          <w:tcPr>
            <w:tcW w:w="392" w:type="pct"/>
            <w:vMerge w:val="restart"/>
            <w:vAlign w:val="center"/>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698" w:type="pct"/>
            <w:gridSpan w:val="3"/>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国内生产总值</w:t>
            </w:r>
            <w:r>
              <w:rPr>
                <w:rFonts w:ascii="Time New Roman" w:eastAsia="SimHei" w:hAnsi="Time New Roman" w:hint="eastAsia"/>
                <w:b/>
              </w:rPr>
              <w:t>GDP</w:t>
            </w:r>
          </w:p>
        </w:tc>
        <w:tc>
          <w:tcPr>
            <w:tcW w:w="1810" w:type="pct"/>
            <w:gridSpan w:val="3"/>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卫生总费用</w:t>
            </w:r>
            <w:r>
              <w:rPr>
                <w:rFonts w:ascii="Time New Roman" w:eastAsia="SimHei" w:hAnsi="Time New Roman" w:hint="eastAsia"/>
                <w:b/>
              </w:rPr>
              <w:t>TEH</w:t>
            </w:r>
          </w:p>
        </w:tc>
        <w:tc>
          <w:tcPr>
            <w:tcW w:w="542" w:type="pct"/>
            <w:vMerge w:val="restart"/>
            <w:vAlign w:val="center"/>
          </w:tcPr>
          <w:p w:rsidR="00000000" w:rsidRDefault="00000000">
            <w:pPr>
              <w:pStyle w:val="a2"/>
              <w:spacing w:line="240" w:lineRule="auto"/>
              <w:jc w:val="center"/>
              <w:rPr>
                <w:rFonts w:ascii="Time New Roman" w:eastAsia="SimHei" w:hAnsi="Time New Roman" w:hint="eastAsia"/>
                <w:spacing w:val="-10"/>
              </w:rPr>
            </w:pPr>
            <w:r>
              <w:rPr>
                <w:rFonts w:ascii="Time New Roman" w:eastAsia="SimHei" w:hAnsi="Time New Roman" w:hint="eastAsia"/>
                <w:spacing w:val="-10"/>
              </w:rPr>
              <w:t>卫生总费</w:t>
            </w:r>
            <w:r>
              <w:rPr>
                <w:rFonts w:ascii="Time New Roman" w:eastAsia="SimHei" w:hAnsi="Time New Roman" w:hint="eastAsia"/>
                <w:spacing w:val="-14"/>
              </w:rPr>
              <w:t>用</w:t>
            </w:r>
            <w:r>
              <w:rPr>
                <w:rFonts w:ascii="Time New Roman" w:eastAsia="SimHei" w:hAnsi="Time New Roman"/>
                <w:spacing w:val="-14"/>
              </w:rPr>
              <w:br/>
            </w:r>
            <w:r>
              <w:rPr>
                <w:rFonts w:ascii="Time New Roman" w:eastAsia="SimHei" w:hAnsi="Time New Roman" w:hint="eastAsia"/>
                <w:spacing w:val="-14"/>
              </w:rPr>
              <w:t>占</w:t>
            </w:r>
            <w:r>
              <w:rPr>
                <w:rFonts w:ascii="Time New Roman" w:eastAsia="SimHei" w:hAnsi="Time New Roman" w:hint="eastAsia"/>
                <w:b/>
                <w:spacing w:val="-10"/>
              </w:rPr>
              <w:t>GDP</w:t>
            </w:r>
            <w:r>
              <w:rPr>
                <w:rFonts w:ascii="Time New Roman" w:eastAsia="SimHei" w:hAnsi="Time New Roman"/>
                <w:b/>
                <w:spacing w:val="-10"/>
              </w:rPr>
              <w:br/>
            </w:r>
            <w:r>
              <w:rPr>
                <w:rFonts w:ascii="Time New Roman" w:eastAsia="SimHei" w:hAnsi="Time New Roman" w:hint="eastAsia"/>
                <w:spacing w:val="-10"/>
              </w:rPr>
              <w:t>%</w:t>
            </w:r>
          </w:p>
        </w:tc>
        <w:tc>
          <w:tcPr>
            <w:tcW w:w="558" w:type="pct"/>
            <w:vMerge w:val="restart"/>
            <w:vAlign w:val="center"/>
          </w:tcPr>
          <w:p w:rsidR="00000000" w:rsidRDefault="00000000">
            <w:pPr>
              <w:pStyle w:val="a2"/>
              <w:spacing w:line="240" w:lineRule="auto"/>
              <w:jc w:val="center"/>
              <w:rPr>
                <w:rFonts w:ascii="Time New Roman" w:eastAsia="SimHei" w:hAnsi="Time New Roman" w:hint="eastAsia"/>
                <w:spacing w:val="-10"/>
              </w:rPr>
            </w:pPr>
            <w:r>
              <w:rPr>
                <w:rFonts w:ascii="Time New Roman" w:eastAsia="SimHei" w:hAnsi="Time New Roman" w:hint="eastAsia"/>
                <w:spacing w:val="-10"/>
              </w:rPr>
              <w:t>人均卫生</w:t>
            </w:r>
            <w:r>
              <w:rPr>
                <w:rFonts w:ascii="Time New Roman" w:eastAsia="SimHei" w:hAnsi="Time New Roman"/>
                <w:spacing w:val="-10"/>
              </w:rPr>
              <w:br/>
            </w:r>
            <w:r>
              <w:rPr>
                <w:rFonts w:ascii="Time New Roman" w:eastAsia="SimHei" w:hAnsi="Time New Roman" w:hint="eastAsia"/>
                <w:spacing w:val="-10"/>
              </w:rPr>
              <w:t>总费用</w:t>
            </w:r>
            <w:r>
              <w:rPr>
                <w:rFonts w:ascii="Time New Roman" w:eastAsia="SimHei" w:hAnsi="Time New Roman"/>
                <w:spacing w:val="-10"/>
              </w:rPr>
              <w:br/>
            </w:r>
            <w:r>
              <w:rPr>
                <w:rFonts w:ascii="Time New Roman" w:eastAsia="SimHei" w:hAnsi="Time New Roman" w:hint="eastAsia"/>
                <w:spacing w:val="-10"/>
              </w:rPr>
              <w:t>(</w:t>
            </w:r>
            <w:r>
              <w:rPr>
                <w:rFonts w:ascii="Time New Roman" w:eastAsia="SimHei" w:hAnsi="Time New Roman" w:hint="eastAsia"/>
                <w:spacing w:val="-10"/>
              </w:rPr>
              <w:t>元</w:t>
            </w:r>
            <w:r>
              <w:rPr>
                <w:rFonts w:ascii="Time New Roman" w:eastAsia="SimHei" w:hAnsi="Time New Roman" w:hint="eastAsia"/>
                <w:spacing w:val="-10"/>
              </w:rPr>
              <w:t>)</w:t>
            </w:r>
          </w:p>
        </w:tc>
      </w:tr>
      <w:tr w:rsidR="00000000">
        <w:tblPrEx>
          <w:tblCellMar>
            <w:top w:w="0" w:type="dxa"/>
            <w:bottom w:w="0" w:type="dxa"/>
          </w:tblCellMar>
        </w:tblPrEx>
        <w:trPr>
          <w:cantSplit/>
        </w:trPr>
        <w:tc>
          <w:tcPr>
            <w:tcW w:w="392" w:type="pct"/>
            <w:vMerge/>
            <w:tcBorders>
              <w:bottom w:val="single" w:sz="4" w:space="0" w:color="auto"/>
            </w:tcBorders>
          </w:tcPr>
          <w:p w:rsidR="00000000" w:rsidRDefault="00000000">
            <w:pPr>
              <w:pStyle w:val="a2"/>
              <w:jc w:val="center"/>
              <w:rPr>
                <w:rFonts w:ascii="Time New Roman" w:eastAsia="SimHei" w:hAnsi="Time New Roman"/>
              </w:rPr>
            </w:pPr>
          </w:p>
        </w:tc>
        <w:tc>
          <w:tcPr>
            <w:tcW w:w="559"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当年价格</w:t>
            </w:r>
            <w:r>
              <w:rPr>
                <w:rFonts w:ascii="Time New Roman" w:eastAsia="SimHei" w:hAnsi="Time New Roman"/>
              </w:rPr>
              <w:br/>
              <w:t>(</w:t>
            </w:r>
            <w:r>
              <w:rPr>
                <w:rFonts w:ascii="Time New Roman" w:eastAsia="SimHei" w:hAnsi="Time New Roman" w:hint="eastAsia"/>
              </w:rPr>
              <w:t>亿元</w:t>
            </w:r>
            <w:r>
              <w:rPr>
                <w:rFonts w:ascii="Time New Roman" w:eastAsia="SimHei" w:hAnsi="Time New Roman" w:hint="eastAsia"/>
              </w:rPr>
              <w:t>)</w:t>
            </w:r>
          </w:p>
        </w:tc>
        <w:tc>
          <w:tcPr>
            <w:tcW w:w="583"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可比价格</w:t>
            </w:r>
            <w:r>
              <w:rPr>
                <w:rFonts w:ascii="Time New Roman" w:eastAsia="SimHei" w:hAnsi="Time New Roman" w:hint="eastAsia"/>
                <w:b/>
              </w:rPr>
              <w:t>1978</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rPr>
              <w:br/>
            </w:r>
            <w:r>
              <w:rPr>
                <w:rFonts w:ascii="Time New Roman" w:eastAsia="SimHei" w:hAnsi="Time New Roman"/>
                <w:b/>
              </w:rPr>
              <w:t>100</w:t>
            </w:r>
            <w:r>
              <w:rPr>
                <w:rFonts w:ascii="Time New Roman" w:eastAsia="SimHei" w:hAnsi="Time New Roman" w:hint="eastAsia"/>
                <w:b/>
              </w:rPr>
              <w:t>(</w:t>
            </w:r>
            <w:r>
              <w:rPr>
                <w:rFonts w:ascii="Time New Roman" w:eastAsia="SimHei" w:hAnsi="Time New Roman" w:hint="eastAsia"/>
              </w:rPr>
              <w:t>亿元</w:t>
            </w:r>
            <w:r>
              <w:rPr>
                <w:rFonts w:ascii="Time New Roman" w:eastAsia="SimHei" w:hAnsi="Time New Roman" w:hint="eastAsia"/>
              </w:rPr>
              <w:t>)</w:t>
            </w:r>
          </w:p>
        </w:tc>
        <w:tc>
          <w:tcPr>
            <w:tcW w:w="556"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增长速度</w:t>
            </w:r>
            <w:r>
              <w:rPr>
                <w:rFonts w:ascii="Time New Roman" w:eastAsia="SimHei" w:hAnsi="Time New Roman"/>
              </w:rPr>
              <w:br/>
            </w:r>
            <w:r>
              <w:rPr>
                <w:rFonts w:ascii="Time New Roman" w:eastAsia="SimHei" w:hAnsi="Time New Roman" w:hint="eastAsia"/>
              </w:rPr>
              <w:t>上年</w:t>
            </w:r>
            <w:r>
              <w:rPr>
                <w:rFonts w:ascii="Time New Roman" w:eastAsia="SimHei" w:hAnsi="Time New Roman" w:hint="eastAsia"/>
              </w:rPr>
              <w:t>=100%</w:t>
            </w:r>
          </w:p>
        </w:tc>
        <w:tc>
          <w:tcPr>
            <w:tcW w:w="502" w:type="pct"/>
            <w:tcBorders>
              <w:bottom w:val="single" w:sz="4" w:space="0" w:color="auto"/>
            </w:tcBorders>
            <w:tcMar>
              <w:left w:w="0" w:type="dxa"/>
              <w:right w:w="0" w:type="dxa"/>
            </w:tcMar>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当年价格</w:t>
            </w:r>
            <w:r>
              <w:rPr>
                <w:rFonts w:ascii="Time New Roman" w:eastAsia="SimHei" w:hAnsi="Time New Roman"/>
              </w:rPr>
              <w:br/>
              <w:t>(</w:t>
            </w:r>
            <w:r>
              <w:rPr>
                <w:rFonts w:ascii="Time New Roman" w:eastAsia="SimHei" w:hAnsi="Time New Roman" w:hint="eastAsia"/>
              </w:rPr>
              <w:t>亿元</w:t>
            </w:r>
            <w:r>
              <w:rPr>
                <w:rFonts w:ascii="Time New Roman" w:eastAsia="SimHei" w:hAnsi="Time New Roman" w:hint="eastAsia"/>
              </w:rPr>
              <w:t>)</w:t>
            </w:r>
          </w:p>
        </w:tc>
        <w:tc>
          <w:tcPr>
            <w:tcW w:w="633"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可比价格</w:t>
            </w:r>
            <w:r>
              <w:rPr>
                <w:rFonts w:ascii="Time New Roman" w:eastAsia="SimHei" w:hAnsi="Time New Roman" w:hint="eastAsia"/>
                <w:b/>
              </w:rPr>
              <w:t>1978</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rPr>
              <w:br/>
            </w:r>
            <w:r>
              <w:rPr>
                <w:rFonts w:ascii="Time New Roman" w:eastAsia="SimHei" w:hAnsi="Time New Roman"/>
                <w:b/>
              </w:rPr>
              <w:t>100</w:t>
            </w:r>
            <w:r>
              <w:rPr>
                <w:rFonts w:ascii="Time New Roman" w:eastAsia="SimHei" w:hAnsi="Time New Roman" w:hint="eastAsia"/>
                <w:b/>
              </w:rPr>
              <w:t>(</w:t>
            </w:r>
            <w:r>
              <w:rPr>
                <w:rFonts w:ascii="Time New Roman" w:eastAsia="SimHei" w:hAnsi="Time New Roman" w:hint="eastAsia"/>
              </w:rPr>
              <w:t>亿元</w:t>
            </w:r>
            <w:r>
              <w:rPr>
                <w:rFonts w:ascii="Time New Roman" w:eastAsia="SimHei" w:hAnsi="Time New Roman" w:hint="eastAsia"/>
              </w:rPr>
              <w:t>)</w:t>
            </w:r>
          </w:p>
        </w:tc>
        <w:tc>
          <w:tcPr>
            <w:tcW w:w="675"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增长速度</w:t>
            </w:r>
            <w:r>
              <w:rPr>
                <w:rFonts w:ascii="Time New Roman" w:eastAsia="SimHei" w:hAnsi="Time New Roman"/>
              </w:rPr>
              <w:br/>
            </w:r>
            <w:r>
              <w:rPr>
                <w:rFonts w:ascii="Time New Roman" w:eastAsia="SimHei" w:hAnsi="Time New Roman" w:hint="eastAsia"/>
              </w:rPr>
              <w:t>上年</w:t>
            </w:r>
            <w:r>
              <w:rPr>
                <w:rFonts w:ascii="Time New Roman" w:eastAsia="SimHei" w:hAnsi="Time New Roman" w:hint="eastAsia"/>
              </w:rPr>
              <w:t>=</w:t>
            </w:r>
            <w:r>
              <w:rPr>
                <w:rFonts w:ascii="Time New Roman" w:eastAsia="SimHei" w:hAnsi="Time New Roman" w:hint="eastAsia"/>
                <w:b/>
              </w:rPr>
              <w:t>100</w:t>
            </w:r>
            <w:r>
              <w:rPr>
                <w:rFonts w:ascii="Time New Roman" w:eastAsia="SimHei" w:hAnsi="Time New Roman" w:hint="eastAsia"/>
              </w:rPr>
              <w:t>%</w:t>
            </w:r>
          </w:p>
        </w:tc>
        <w:tc>
          <w:tcPr>
            <w:tcW w:w="542" w:type="pct"/>
            <w:vMerge/>
            <w:tcBorders>
              <w:bottom w:val="single" w:sz="4" w:space="0" w:color="auto"/>
            </w:tcBorders>
          </w:tcPr>
          <w:p w:rsidR="00000000" w:rsidRDefault="00000000">
            <w:pPr>
              <w:pStyle w:val="a2"/>
              <w:jc w:val="center"/>
              <w:rPr>
                <w:rFonts w:ascii="Time New Roman" w:eastAsia="SimHei" w:hAnsi="Time New Roman"/>
              </w:rPr>
            </w:pPr>
          </w:p>
        </w:tc>
        <w:tc>
          <w:tcPr>
            <w:tcW w:w="558" w:type="pct"/>
            <w:vMerge/>
            <w:tcBorders>
              <w:bottom w:val="single" w:sz="4" w:space="0" w:color="auto"/>
            </w:tcBorders>
          </w:tcPr>
          <w:p w:rsidR="00000000" w:rsidRDefault="00000000">
            <w:pPr>
              <w:pStyle w:val="a2"/>
              <w:jc w:val="center"/>
              <w:rPr>
                <w:rFonts w:ascii="Time New Roman" w:eastAsia="SimHei" w:hAnsi="Time New Roman"/>
              </w:rPr>
            </w:pPr>
          </w:p>
        </w:tc>
      </w:tr>
      <w:tr w:rsidR="00000000">
        <w:tblPrEx>
          <w:tblCellMar>
            <w:top w:w="0" w:type="dxa"/>
            <w:bottom w:w="0" w:type="dxa"/>
          </w:tblCellMar>
        </w:tblPrEx>
        <w:tc>
          <w:tcPr>
            <w:tcW w:w="392" w:type="pct"/>
            <w:tcBorders>
              <w:bottom w:val="nil"/>
            </w:tcBorders>
          </w:tcPr>
          <w:p w:rsidR="00000000" w:rsidRDefault="00000000">
            <w:pPr>
              <w:pStyle w:val="a2"/>
              <w:spacing w:before="120"/>
              <w:jc w:val="center"/>
            </w:pPr>
            <w:r>
              <w:t>1990</w:t>
            </w:r>
          </w:p>
        </w:tc>
        <w:tc>
          <w:tcPr>
            <w:tcW w:w="559" w:type="pct"/>
            <w:tcBorders>
              <w:bottom w:val="nil"/>
            </w:tcBorders>
            <w:vAlign w:val="center"/>
          </w:tcPr>
          <w:p w:rsidR="00000000" w:rsidRDefault="00000000">
            <w:pPr>
              <w:pStyle w:val="a2"/>
              <w:spacing w:before="120"/>
              <w:jc w:val="center"/>
            </w:pPr>
            <w:r>
              <w:t>18,547</w:t>
            </w:r>
            <w:r>
              <w:rPr>
                <w:rFonts w:hint="eastAsia"/>
              </w:rPr>
              <w:t>.</w:t>
            </w:r>
            <w:r>
              <w:t>9</w:t>
            </w:r>
          </w:p>
        </w:tc>
        <w:tc>
          <w:tcPr>
            <w:tcW w:w="583" w:type="pct"/>
            <w:tcBorders>
              <w:bottom w:val="nil"/>
            </w:tcBorders>
            <w:vAlign w:val="center"/>
          </w:tcPr>
          <w:p w:rsidR="00000000" w:rsidRDefault="00000000">
            <w:pPr>
              <w:pStyle w:val="a2"/>
              <w:spacing w:before="120"/>
              <w:jc w:val="center"/>
            </w:pPr>
            <w:r>
              <w:t>10,209</w:t>
            </w:r>
            <w:r>
              <w:rPr>
                <w:rFonts w:hint="eastAsia"/>
              </w:rPr>
              <w:t>.</w:t>
            </w:r>
            <w:r>
              <w:t>1</w:t>
            </w:r>
          </w:p>
        </w:tc>
        <w:tc>
          <w:tcPr>
            <w:tcW w:w="556" w:type="pct"/>
            <w:tcBorders>
              <w:bottom w:val="nil"/>
            </w:tcBorders>
            <w:vAlign w:val="center"/>
          </w:tcPr>
          <w:p w:rsidR="00000000" w:rsidRDefault="00000000">
            <w:pPr>
              <w:pStyle w:val="a2"/>
              <w:spacing w:before="120" w:line="240" w:lineRule="auto"/>
              <w:jc w:val="center"/>
              <w:rPr>
                <w:rFonts w:ascii="Time New Roman" w:eastAsia="SimHei" w:hAnsi="Time New Roman"/>
              </w:rPr>
            </w:pPr>
            <w:r>
              <w:rPr>
                <w:rFonts w:ascii="Time New Roman" w:eastAsia="SimHei" w:hAnsi="Time New Roman"/>
              </w:rPr>
              <w:t>3.8</w:t>
            </w:r>
          </w:p>
        </w:tc>
        <w:tc>
          <w:tcPr>
            <w:tcW w:w="502" w:type="pct"/>
            <w:tcBorders>
              <w:bottom w:val="nil"/>
            </w:tcBorders>
            <w:vAlign w:val="center"/>
          </w:tcPr>
          <w:p w:rsidR="00000000" w:rsidRDefault="00000000">
            <w:pPr>
              <w:pStyle w:val="a2"/>
              <w:spacing w:before="120"/>
              <w:ind w:right="57"/>
              <w:jc w:val="right"/>
            </w:pPr>
            <w:r>
              <w:t>743</w:t>
            </w:r>
            <w:r>
              <w:rPr>
                <w:rFonts w:hint="eastAsia"/>
              </w:rPr>
              <w:t>.</w:t>
            </w:r>
            <w:r>
              <w:t>0</w:t>
            </w:r>
          </w:p>
        </w:tc>
        <w:tc>
          <w:tcPr>
            <w:tcW w:w="633" w:type="pct"/>
            <w:tcBorders>
              <w:bottom w:val="nil"/>
            </w:tcBorders>
            <w:vAlign w:val="center"/>
          </w:tcPr>
          <w:p w:rsidR="00000000" w:rsidRDefault="00000000">
            <w:pPr>
              <w:pStyle w:val="a2"/>
              <w:spacing w:before="120"/>
              <w:ind w:right="170"/>
              <w:jc w:val="right"/>
            </w:pPr>
            <w:r>
              <w:t>409</w:t>
            </w:r>
            <w:r>
              <w:rPr>
                <w:rFonts w:hint="eastAsia"/>
              </w:rPr>
              <w:t>.</w:t>
            </w:r>
            <w:r>
              <w:t>0</w:t>
            </w:r>
          </w:p>
        </w:tc>
        <w:tc>
          <w:tcPr>
            <w:tcW w:w="675" w:type="pct"/>
            <w:tcBorders>
              <w:bottom w:val="nil"/>
            </w:tcBorders>
            <w:vAlign w:val="center"/>
          </w:tcPr>
          <w:p w:rsidR="00000000" w:rsidRDefault="00000000">
            <w:pPr>
              <w:pStyle w:val="a2"/>
              <w:spacing w:before="120"/>
              <w:jc w:val="center"/>
            </w:pPr>
            <w:r>
              <w:t>14.3</w:t>
            </w:r>
          </w:p>
        </w:tc>
        <w:tc>
          <w:tcPr>
            <w:tcW w:w="542" w:type="pct"/>
            <w:tcBorders>
              <w:bottom w:val="nil"/>
            </w:tcBorders>
            <w:vAlign w:val="center"/>
          </w:tcPr>
          <w:p w:rsidR="00000000" w:rsidRDefault="00000000">
            <w:pPr>
              <w:pStyle w:val="a2"/>
              <w:spacing w:before="120"/>
              <w:jc w:val="center"/>
            </w:pPr>
            <w:r>
              <w:t>4.0</w:t>
            </w:r>
          </w:p>
        </w:tc>
        <w:tc>
          <w:tcPr>
            <w:tcW w:w="558" w:type="pct"/>
            <w:tcBorders>
              <w:bottom w:val="nil"/>
            </w:tcBorders>
            <w:vAlign w:val="center"/>
          </w:tcPr>
          <w:p w:rsidR="00000000" w:rsidRDefault="00000000">
            <w:pPr>
              <w:pStyle w:val="a2"/>
              <w:spacing w:before="120"/>
              <w:ind w:right="170"/>
              <w:jc w:val="right"/>
              <w:rPr>
                <w:rFonts w:hint="eastAsia"/>
              </w:rPr>
            </w:pPr>
            <w:r>
              <w:t>65.</w:t>
            </w:r>
            <w:r>
              <w:rPr>
                <w:rFonts w:hint="eastAsia"/>
              </w:rPr>
              <w:t>0</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1991</w:t>
            </w:r>
          </w:p>
        </w:tc>
        <w:tc>
          <w:tcPr>
            <w:tcW w:w="559" w:type="pct"/>
            <w:tcBorders>
              <w:top w:val="nil"/>
              <w:bottom w:val="nil"/>
            </w:tcBorders>
            <w:vAlign w:val="center"/>
          </w:tcPr>
          <w:p w:rsidR="00000000" w:rsidRDefault="00000000">
            <w:pPr>
              <w:pStyle w:val="a2"/>
              <w:jc w:val="center"/>
            </w:pPr>
            <w:r>
              <w:t>21,617</w:t>
            </w:r>
            <w:r>
              <w:rPr>
                <w:rFonts w:hint="eastAsia"/>
              </w:rPr>
              <w:t>.</w:t>
            </w:r>
            <w:r>
              <w:t>8</w:t>
            </w:r>
          </w:p>
        </w:tc>
        <w:tc>
          <w:tcPr>
            <w:tcW w:w="583" w:type="pct"/>
            <w:tcBorders>
              <w:top w:val="nil"/>
              <w:bottom w:val="nil"/>
            </w:tcBorders>
            <w:vAlign w:val="center"/>
          </w:tcPr>
          <w:p w:rsidR="00000000" w:rsidRDefault="00000000">
            <w:pPr>
              <w:pStyle w:val="a2"/>
              <w:jc w:val="center"/>
            </w:pPr>
            <w:r>
              <w:t>11,147</w:t>
            </w:r>
            <w:r>
              <w:rPr>
                <w:rFonts w:hint="eastAsia"/>
              </w:rPr>
              <w:t>.</w:t>
            </w:r>
            <w:r>
              <w:t>7</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9.2</w:t>
            </w:r>
          </w:p>
        </w:tc>
        <w:tc>
          <w:tcPr>
            <w:tcW w:w="502" w:type="pct"/>
            <w:tcBorders>
              <w:top w:val="nil"/>
              <w:bottom w:val="nil"/>
            </w:tcBorders>
            <w:vAlign w:val="center"/>
          </w:tcPr>
          <w:p w:rsidR="00000000" w:rsidRDefault="00000000">
            <w:pPr>
              <w:pStyle w:val="a2"/>
              <w:ind w:right="57"/>
              <w:jc w:val="right"/>
            </w:pPr>
            <w:r>
              <w:t>888</w:t>
            </w:r>
            <w:r>
              <w:rPr>
                <w:rFonts w:hint="eastAsia"/>
              </w:rPr>
              <w:t>.</w:t>
            </w:r>
            <w:r>
              <w:t>6</w:t>
            </w:r>
          </w:p>
        </w:tc>
        <w:tc>
          <w:tcPr>
            <w:tcW w:w="633" w:type="pct"/>
            <w:tcBorders>
              <w:top w:val="nil"/>
              <w:bottom w:val="nil"/>
            </w:tcBorders>
            <w:vAlign w:val="center"/>
          </w:tcPr>
          <w:p w:rsidR="00000000" w:rsidRDefault="00000000">
            <w:pPr>
              <w:pStyle w:val="a2"/>
              <w:ind w:right="170"/>
              <w:jc w:val="right"/>
            </w:pPr>
            <w:r>
              <w:t>458</w:t>
            </w:r>
            <w:r>
              <w:rPr>
                <w:rFonts w:hint="eastAsia"/>
              </w:rPr>
              <w:t>.</w:t>
            </w:r>
            <w:r>
              <w:t>2</w:t>
            </w:r>
          </w:p>
        </w:tc>
        <w:tc>
          <w:tcPr>
            <w:tcW w:w="675" w:type="pct"/>
            <w:tcBorders>
              <w:top w:val="nil"/>
              <w:bottom w:val="nil"/>
            </w:tcBorders>
            <w:vAlign w:val="center"/>
          </w:tcPr>
          <w:p w:rsidR="00000000" w:rsidRDefault="00000000">
            <w:pPr>
              <w:pStyle w:val="a2"/>
              <w:jc w:val="center"/>
            </w:pPr>
            <w:r>
              <w:t>12.0</w:t>
            </w:r>
          </w:p>
        </w:tc>
        <w:tc>
          <w:tcPr>
            <w:tcW w:w="542" w:type="pct"/>
            <w:tcBorders>
              <w:top w:val="nil"/>
              <w:bottom w:val="nil"/>
            </w:tcBorders>
            <w:vAlign w:val="center"/>
          </w:tcPr>
          <w:p w:rsidR="00000000" w:rsidRDefault="00000000">
            <w:pPr>
              <w:pStyle w:val="a2"/>
              <w:jc w:val="center"/>
            </w:pPr>
            <w:r>
              <w:t>4.1</w:t>
            </w:r>
          </w:p>
        </w:tc>
        <w:tc>
          <w:tcPr>
            <w:tcW w:w="558" w:type="pct"/>
            <w:tcBorders>
              <w:top w:val="nil"/>
              <w:bottom w:val="nil"/>
            </w:tcBorders>
            <w:vAlign w:val="center"/>
          </w:tcPr>
          <w:p w:rsidR="00000000" w:rsidRDefault="00000000">
            <w:pPr>
              <w:pStyle w:val="a2"/>
              <w:ind w:right="170"/>
              <w:jc w:val="right"/>
            </w:pPr>
            <w:r>
              <w:t>76.7</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1992</w:t>
            </w:r>
          </w:p>
        </w:tc>
        <w:tc>
          <w:tcPr>
            <w:tcW w:w="559" w:type="pct"/>
            <w:tcBorders>
              <w:top w:val="nil"/>
              <w:bottom w:val="nil"/>
            </w:tcBorders>
            <w:vAlign w:val="center"/>
          </w:tcPr>
          <w:p w:rsidR="00000000" w:rsidRDefault="00000000">
            <w:pPr>
              <w:pStyle w:val="a2"/>
              <w:jc w:val="center"/>
            </w:pPr>
            <w:r>
              <w:t>26,638</w:t>
            </w:r>
            <w:r>
              <w:rPr>
                <w:rFonts w:hint="eastAsia"/>
              </w:rPr>
              <w:t>.</w:t>
            </w:r>
            <w:r>
              <w:t>1</w:t>
            </w:r>
          </w:p>
        </w:tc>
        <w:tc>
          <w:tcPr>
            <w:tcW w:w="583" w:type="pct"/>
            <w:tcBorders>
              <w:top w:val="nil"/>
              <w:bottom w:val="nil"/>
            </w:tcBorders>
            <w:vAlign w:val="center"/>
          </w:tcPr>
          <w:p w:rsidR="00000000" w:rsidRDefault="00000000">
            <w:pPr>
              <w:pStyle w:val="a2"/>
              <w:jc w:val="center"/>
            </w:pPr>
            <w:r>
              <w:t>12,735</w:t>
            </w:r>
            <w:r>
              <w:rPr>
                <w:rFonts w:hint="eastAsia"/>
              </w:rPr>
              <w:t>.</w:t>
            </w:r>
            <w:r>
              <w:t>1</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14.2</w:t>
            </w:r>
          </w:p>
        </w:tc>
        <w:tc>
          <w:tcPr>
            <w:tcW w:w="502" w:type="pct"/>
            <w:tcBorders>
              <w:top w:val="nil"/>
              <w:bottom w:val="nil"/>
            </w:tcBorders>
            <w:vAlign w:val="center"/>
          </w:tcPr>
          <w:p w:rsidR="00000000" w:rsidRDefault="00000000">
            <w:pPr>
              <w:pStyle w:val="a2"/>
              <w:ind w:right="57"/>
              <w:jc w:val="right"/>
            </w:pPr>
            <w:r>
              <w:t>1,090</w:t>
            </w:r>
            <w:r>
              <w:rPr>
                <w:rFonts w:hint="eastAsia"/>
              </w:rPr>
              <w:t>.</w:t>
            </w:r>
            <w:r>
              <w:t>7</w:t>
            </w:r>
          </w:p>
        </w:tc>
        <w:tc>
          <w:tcPr>
            <w:tcW w:w="633" w:type="pct"/>
            <w:tcBorders>
              <w:top w:val="nil"/>
              <w:bottom w:val="nil"/>
            </w:tcBorders>
            <w:vAlign w:val="center"/>
          </w:tcPr>
          <w:p w:rsidR="00000000" w:rsidRDefault="00000000">
            <w:pPr>
              <w:pStyle w:val="a2"/>
              <w:ind w:right="170"/>
              <w:jc w:val="right"/>
            </w:pPr>
            <w:r>
              <w:t>521</w:t>
            </w:r>
            <w:r>
              <w:rPr>
                <w:rFonts w:hint="eastAsia"/>
              </w:rPr>
              <w:t>.</w:t>
            </w:r>
            <w:r>
              <w:t>4</w:t>
            </w:r>
          </w:p>
        </w:tc>
        <w:tc>
          <w:tcPr>
            <w:tcW w:w="675" w:type="pct"/>
            <w:tcBorders>
              <w:top w:val="nil"/>
              <w:bottom w:val="nil"/>
            </w:tcBorders>
            <w:vAlign w:val="center"/>
          </w:tcPr>
          <w:p w:rsidR="00000000" w:rsidRDefault="00000000">
            <w:pPr>
              <w:pStyle w:val="a2"/>
              <w:jc w:val="center"/>
            </w:pPr>
            <w:r>
              <w:t>13.8</w:t>
            </w:r>
          </w:p>
        </w:tc>
        <w:tc>
          <w:tcPr>
            <w:tcW w:w="542" w:type="pct"/>
            <w:tcBorders>
              <w:top w:val="nil"/>
              <w:bottom w:val="nil"/>
            </w:tcBorders>
            <w:vAlign w:val="center"/>
          </w:tcPr>
          <w:p w:rsidR="00000000" w:rsidRDefault="00000000">
            <w:pPr>
              <w:pStyle w:val="a2"/>
              <w:jc w:val="center"/>
            </w:pPr>
            <w:r>
              <w:t>4.1</w:t>
            </w:r>
          </w:p>
        </w:tc>
        <w:tc>
          <w:tcPr>
            <w:tcW w:w="558" w:type="pct"/>
            <w:tcBorders>
              <w:top w:val="nil"/>
              <w:bottom w:val="nil"/>
            </w:tcBorders>
            <w:vAlign w:val="center"/>
          </w:tcPr>
          <w:p w:rsidR="00000000" w:rsidRDefault="00000000">
            <w:pPr>
              <w:pStyle w:val="a2"/>
              <w:ind w:right="170"/>
              <w:jc w:val="right"/>
            </w:pPr>
            <w:r>
              <w:t>93.1</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1993</w:t>
            </w:r>
          </w:p>
        </w:tc>
        <w:tc>
          <w:tcPr>
            <w:tcW w:w="559" w:type="pct"/>
            <w:tcBorders>
              <w:top w:val="nil"/>
              <w:bottom w:val="nil"/>
            </w:tcBorders>
            <w:vAlign w:val="center"/>
          </w:tcPr>
          <w:p w:rsidR="00000000" w:rsidRDefault="00000000">
            <w:pPr>
              <w:pStyle w:val="a2"/>
              <w:jc w:val="center"/>
            </w:pPr>
            <w:r>
              <w:t>34,634</w:t>
            </w:r>
            <w:r>
              <w:rPr>
                <w:rFonts w:hint="eastAsia"/>
              </w:rPr>
              <w:t>.</w:t>
            </w:r>
            <w:r>
              <w:t>4</w:t>
            </w:r>
          </w:p>
        </w:tc>
        <w:tc>
          <w:tcPr>
            <w:tcW w:w="583" w:type="pct"/>
            <w:tcBorders>
              <w:top w:val="nil"/>
              <w:bottom w:val="nil"/>
            </w:tcBorders>
            <w:vAlign w:val="center"/>
          </w:tcPr>
          <w:p w:rsidR="00000000" w:rsidRDefault="00000000">
            <w:pPr>
              <w:pStyle w:val="a2"/>
              <w:jc w:val="center"/>
            </w:pPr>
            <w:r>
              <w:t>14,452</w:t>
            </w:r>
            <w:r>
              <w:rPr>
                <w:rFonts w:hint="eastAsia"/>
              </w:rPr>
              <w:t>.</w:t>
            </w:r>
            <w:r>
              <w:t>9</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13.5</w:t>
            </w:r>
          </w:p>
        </w:tc>
        <w:tc>
          <w:tcPr>
            <w:tcW w:w="502" w:type="pct"/>
            <w:tcBorders>
              <w:top w:val="nil"/>
              <w:bottom w:val="nil"/>
            </w:tcBorders>
            <w:vAlign w:val="center"/>
          </w:tcPr>
          <w:p w:rsidR="00000000" w:rsidRDefault="00000000">
            <w:pPr>
              <w:pStyle w:val="a2"/>
              <w:ind w:right="57"/>
              <w:jc w:val="right"/>
            </w:pPr>
            <w:r>
              <w:t>1,370</w:t>
            </w:r>
            <w:r>
              <w:rPr>
                <w:rFonts w:hint="eastAsia"/>
              </w:rPr>
              <w:t>.</w:t>
            </w:r>
            <w:r>
              <w:t>4</w:t>
            </w:r>
          </w:p>
        </w:tc>
        <w:tc>
          <w:tcPr>
            <w:tcW w:w="633" w:type="pct"/>
            <w:tcBorders>
              <w:top w:val="nil"/>
              <w:bottom w:val="nil"/>
            </w:tcBorders>
            <w:vAlign w:val="center"/>
          </w:tcPr>
          <w:p w:rsidR="00000000" w:rsidRDefault="00000000">
            <w:pPr>
              <w:pStyle w:val="a2"/>
              <w:ind w:right="170"/>
              <w:jc w:val="right"/>
            </w:pPr>
            <w:r>
              <w:t>571</w:t>
            </w:r>
            <w:r>
              <w:rPr>
                <w:rFonts w:hint="eastAsia"/>
              </w:rPr>
              <w:t>.</w:t>
            </w:r>
            <w:r>
              <w:t>9</w:t>
            </w:r>
          </w:p>
        </w:tc>
        <w:tc>
          <w:tcPr>
            <w:tcW w:w="675" w:type="pct"/>
            <w:tcBorders>
              <w:top w:val="nil"/>
              <w:bottom w:val="nil"/>
            </w:tcBorders>
            <w:vAlign w:val="center"/>
          </w:tcPr>
          <w:p w:rsidR="00000000" w:rsidRDefault="00000000">
            <w:pPr>
              <w:pStyle w:val="a2"/>
              <w:jc w:val="center"/>
            </w:pPr>
            <w:r>
              <w:t>9.7</w:t>
            </w:r>
          </w:p>
        </w:tc>
        <w:tc>
          <w:tcPr>
            <w:tcW w:w="542" w:type="pct"/>
            <w:tcBorders>
              <w:top w:val="nil"/>
              <w:bottom w:val="nil"/>
            </w:tcBorders>
            <w:vAlign w:val="center"/>
          </w:tcPr>
          <w:p w:rsidR="00000000" w:rsidRDefault="00000000">
            <w:pPr>
              <w:pStyle w:val="a2"/>
              <w:jc w:val="center"/>
            </w:pPr>
            <w:r>
              <w:t>4.0</w:t>
            </w:r>
          </w:p>
        </w:tc>
        <w:tc>
          <w:tcPr>
            <w:tcW w:w="558" w:type="pct"/>
            <w:tcBorders>
              <w:top w:val="nil"/>
              <w:bottom w:val="nil"/>
            </w:tcBorders>
            <w:vAlign w:val="center"/>
          </w:tcPr>
          <w:p w:rsidR="00000000" w:rsidRDefault="00000000">
            <w:pPr>
              <w:pStyle w:val="a2"/>
              <w:ind w:right="170"/>
              <w:jc w:val="right"/>
            </w:pPr>
            <w:r>
              <w:t>115</w:t>
            </w:r>
            <w:r>
              <w:rPr>
                <w:rFonts w:hint="eastAsia"/>
              </w:rPr>
              <w:t>.</w:t>
            </w:r>
            <w:r>
              <w:t>6</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1994</w:t>
            </w:r>
          </w:p>
        </w:tc>
        <w:tc>
          <w:tcPr>
            <w:tcW w:w="559" w:type="pct"/>
            <w:tcBorders>
              <w:top w:val="nil"/>
              <w:bottom w:val="nil"/>
            </w:tcBorders>
            <w:vAlign w:val="center"/>
          </w:tcPr>
          <w:p w:rsidR="00000000" w:rsidRDefault="00000000">
            <w:pPr>
              <w:pStyle w:val="a2"/>
              <w:jc w:val="center"/>
            </w:pPr>
            <w:r>
              <w:t>46,759</w:t>
            </w:r>
            <w:r>
              <w:rPr>
                <w:rFonts w:hint="eastAsia"/>
              </w:rPr>
              <w:t>.</w:t>
            </w:r>
            <w:r>
              <w:t>4</w:t>
            </w:r>
          </w:p>
        </w:tc>
        <w:tc>
          <w:tcPr>
            <w:tcW w:w="583" w:type="pct"/>
            <w:tcBorders>
              <w:top w:val="nil"/>
              <w:bottom w:val="nil"/>
            </w:tcBorders>
            <w:vAlign w:val="center"/>
          </w:tcPr>
          <w:p w:rsidR="00000000" w:rsidRDefault="00000000">
            <w:pPr>
              <w:pStyle w:val="a2"/>
              <w:jc w:val="center"/>
            </w:pPr>
            <w:r>
              <w:t>16,283</w:t>
            </w:r>
            <w:r>
              <w:rPr>
                <w:rFonts w:hint="eastAsia"/>
              </w:rPr>
              <w:t>.</w:t>
            </w:r>
            <w:r>
              <w:t>1</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12.7</w:t>
            </w:r>
          </w:p>
        </w:tc>
        <w:tc>
          <w:tcPr>
            <w:tcW w:w="502" w:type="pct"/>
            <w:tcBorders>
              <w:top w:val="nil"/>
              <w:bottom w:val="nil"/>
            </w:tcBorders>
            <w:vAlign w:val="center"/>
          </w:tcPr>
          <w:p w:rsidR="00000000" w:rsidRDefault="00000000">
            <w:pPr>
              <w:pStyle w:val="a2"/>
              <w:ind w:right="57"/>
              <w:jc w:val="right"/>
            </w:pPr>
            <w:r>
              <w:t>1,768</w:t>
            </w:r>
            <w:r>
              <w:rPr>
                <w:rFonts w:hint="eastAsia"/>
              </w:rPr>
              <w:t>.</w:t>
            </w:r>
            <w:r>
              <w:t>6</w:t>
            </w:r>
          </w:p>
        </w:tc>
        <w:tc>
          <w:tcPr>
            <w:tcW w:w="633" w:type="pct"/>
            <w:tcBorders>
              <w:top w:val="nil"/>
              <w:bottom w:val="nil"/>
            </w:tcBorders>
            <w:vAlign w:val="center"/>
          </w:tcPr>
          <w:p w:rsidR="00000000" w:rsidRDefault="00000000">
            <w:pPr>
              <w:pStyle w:val="a2"/>
              <w:ind w:right="170"/>
              <w:jc w:val="right"/>
            </w:pPr>
            <w:r>
              <w:t>615</w:t>
            </w:r>
            <w:r>
              <w:rPr>
                <w:rFonts w:hint="eastAsia"/>
              </w:rPr>
              <w:t>.</w:t>
            </w:r>
            <w:r>
              <w:t>9</w:t>
            </w:r>
          </w:p>
        </w:tc>
        <w:tc>
          <w:tcPr>
            <w:tcW w:w="675" w:type="pct"/>
            <w:tcBorders>
              <w:top w:val="nil"/>
              <w:bottom w:val="nil"/>
            </w:tcBorders>
            <w:vAlign w:val="center"/>
          </w:tcPr>
          <w:p w:rsidR="00000000" w:rsidRDefault="00000000">
            <w:pPr>
              <w:pStyle w:val="a2"/>
              <w:jc w:val="center"/>
            </w:pPr>
            <w:r>
              <w:t>7.7</w:t>
            </w:r>
          </w:p>
        </w:tc>
        <w:tc>
          <w:tcPr>
            <w:tcW w:w="542" w:type="pct"/>
            <w:tcBorders>
              <w:top w:val="nil"/>
              <w:bottom w:val="nil"/>
            </w:tcBorders>
            <w:vAlign w:val="center"/>
          </w:tcPr>
          <w:p w:rsidR="00000000" w:rsidRDefault="00000000">
            <w:pPr>
              <w:pStyle w:val="a2"/>
              <w:jc w:val="center"/>
            </w:pPr>
            <w:r>
              <w:t>3.8</w:t>
            </w:r>
          </w:p>
        </w:tc>
        <w:tc>
          <w:tcPr>
            <w:tcW w:w="558" w:type="pct"/>
            <w:tcBorders>
              <w:top w:val="nil"/>
              <w:bottom w:val="nil"/>
            </w:tcBorders>
            <w:vAlign w:val="center"/>
          </w:tcPr>
          <w:p w:rsidR="00000000" w:rsidRDefault="00000000">
            <w:pPr>
              <w:pStyle w:val="a2"/>
              <w:ind w:right="170"/>
              <w:jc w:val="right"/>
            </w:pPr>
            <w:r>
              <w:t>147</w:t>
            </w:r>
            <w:r>
              <w:rPr>
                <w:rFonts w:hint="eastAsia"/>
              </w:rPr>
              <w:t>.</w:t>
            </w:r>
            <w:r>
              <w:t>6</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1995</w:t>
            </w:r>
          </w:p>
        </w:tc>
        <w:tc>
          <w:tcPr>
            <w:tcW w:w="559" w:type="pct"/>
            <w:tcBorders>
              <w:top w:val="nil"/>
              <w:bottom w:val="nil"/>
            </w:tcBorders>
            <w:vAlign w:val="center"/>
          </w:tcPr>
          <w:p w:rsidR="00000000" w:rsidRDefault="00000000">
            <w:pPr>
              <w:pStyle w:val="a2"/>
              <w:jc w:val="center"/>
            </w:pPr>
            <w:r>
              <w:t>58,478</w:t>
            </w:r>
            <w:r>
              <w:rPr>
                <w:rFonts w:hint="eastAsia"/>
              </w:rPr>
              <w:t>.</w:t>
            </w:r>
            <w:r>
              <w:t>1</w:t>
            </w:r>
          </w:p>
        </w:tc>
        <w:tc>
          <w:tcPr>
            <w:tcW w:w="583" w:type="pct"/>
            <w:tcBorders>
              <w:top w:val="nil"/>
              <w:bottom w:val="nil"/>
            </w:tcBorders>
            <w:vAlign w:val="center"/>
          </w:tcPr>
          <w:p w:rsidR="00000000" w:rsidRDefault="00000000">
            <w:pPr>
              <w:pStyle w:val="a2"/>
              <w:jc w:val="center"/>
            </w:pPr>
            <w:r>
              <w:t>17,993</w:t>
            </w:r>
            <w:r>
              <w:rPr>
                <w:rFonts w:hint="eastAsia"/>
              </w:rPr>
              <w:t>.</w:t>
            </w:r>
            <w:r>
              <w:t>7</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10.5</w:t>
            </w:r>
          </w:p>
        </w:tc>
        <w:tc>
          <w:tcPr>
            <w:tcW w:w="502" w:type="pct"/>
            <w:tcBorders>
              <w:top w:val="nil"/>
              <w:bottom w:val="nil"/>
            </w:tcBorders>
            <w:vAlign w:val="center"/>
          </w:tcPr>
          <w:p w:rsidR="00000000" w:rsidRDefault="00000000">
            <w:pPr>
              <w:pStyle w:val="a2"/>
              <w:ind w:right="57"/>
              <w:jc w:val="right"/>
            </w:pPr>
            <w:r>
              <w:t>2,257</w:t>
            </w:r>
            <w:r>
              <w:rPr>
                <w:rFonts w:hint="eastAsia"/>
              </w:rPr>
              <w:t>.</w:t>
            </w:r>
            <w:r>
              <w:t>8</w:t>
            </w:r>
          </w:p>
        </w:tc>
        <w:tc>
          <w:tcPr>
            <w:tcW w:w="633" w:type="pct"/>
            <w:tcBorders>
              <w:top w:val="nil"/>
              <w:bottom w:val="nil"/>
            </w:tcBorders>
            <w:vAlign w:val="center"/>
          </w:tcPr>
          <w:p w:rsidR="00000000" w:rsidRDefault="00000000">
            <w:pPr>
              <w:pStyle w:val="a2"/>
              <w:ind w:right="170"/>
              <w:jc w:val="right"/>
            </w:pPr>
            <w:r>
              <w:t>694</w:t>
            </w:r>
            <w:r>
              <w:rPr>
                <w:rFonts w:hint="eastAsia"/>
              </w:rPr>
              <w:t>.</w:t>
            </w:r>
            <w:r>
              <w:t>7</w:t>
            </w:r>
          </w:p>
        </w:tc>
        <w:tc>
          <w:tcPr>
            <w:tcW w:w="675" w:type="pct"/>
            <w:tcBorders>
              <w:top w:val="nil"/>
              <w:bottom w:val="nil"/>
            </w:tcBorders>
            <w:vAlign w:val="center"/>
          </w:tcPr>
          <w:p w:rsidR="00000000" w:rsidRDefault="00000000">
            <w:pPr>
              <w:pStyle w:val="a2"/>
              <w:jc w:val="center"/>
            </w:pPr>
            <w:r>
              <w:t>12.8</w:t>
            </w:r>
          </w:p>
        </w:tc>
        <w:tc>
          <w:tcPr>
            <w:tcW w:w="542" w:type="pct"/>
            <w:tcBorders>
              <w:top w:val="nil"/>
              <w:bottom w:val="nil"/>
            </w:tcBorders>
            <w:vAlign w:val="center"/>
          </w:tcPr>
          <w:p w:rsidR="00000000" w:rsidRDefault="00000000">
            <w:pPr>
              <w:pStyle w:val="a2"/>
              <w:jc w:val="center"/>
            </w:pPr>
            <w:r>
              <w:t>3.9</w:t>
            </w:r>
          </w:p>
        </w:tc>
        <w:tc>
          <w:tcPr>
            <w:tcW w:w="558" w:type="pct"/>
            <w:tcBorders>
              <w:top w:val="nil"/>
              <w:bottom w:val="nil"/>
            </w:tcBorders>
            <w:vAlign w:val="center"/>
          </w:tcPr>
          <w:p w:rsidR="00000000" w:rsidRDefault="00000000">
            <w:pPr>
              <w:pStyle w:val="a2"/>
              <w:ind w:right="170"/>
              <w:jc w:val="right"/>
            </w:pPr>
            <w:r>
              <w:t>186.4</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1996</w:t>
            </w:r>
          </w:p>
        </w:tc>
        <w:tc>
          <w:tcPr>
            <w:tcW w:w="559" w:type="pct"/>
            <w:tcBorders>
              <w:top w:val="nil"/>
              <w:bottom w:val="nil"/>
            </w:tcBorders>
            <w:vAlign w:val="center"/>
          </w:tcPr>
          <w:p w:rsidR="00000000" w:rsidRDefault="00000000">
            <w:pPr>
              <w:pStyle w:val="a2"/>
              <w:jc w:val="center"/>
            </w:pPr>
            <w:r>
              <w:t>67,884</w:t>
            </w:r>
            <w:r>
              <w:rPr>
                <w:rFonts w:hint="eastAsia"/>
              </w:rPr>
              <w:t>.</w:t>
            </w:r>
            <w:r>
              <w:t>6</w:t>
            </w:r>
          </w:p>
        </w:tc>
        <w:tc>
          <w:tcPr>
            <w:tcW w:w="583" w:type="pct"/>
            <w:tcBorders>
              <w:top w:val="nil"/>
              <w:bottom w:val="nil"/>
            </w:tcBorders>
            <w:vAlign w:val="center"/>
          </w:tcPr>
          <w:p w:rsidR="00000000" w:rsidRDefault="00000000">
            <w:pPr>
              <w:pStyle w:val="a2"/>
              <w:jc w:val="center"/>
            </w:pPr>
            <w:r>
              <w:t>19,718</w:t>
            </w:r>
            <w:r>
              <w:rPr>
                <w:rFonts w:hint="eastAsia"/>
              </w:rPr>
              <w:t>.</w:t>
            </w:r>
            <w:r>
              <w:t>7</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9.6</w:t>
            </w:r>
          </w:p>
        </w:tc>
        <w:tc>
          <w:tcPr>
            <w:tcW w:w="502" w:type="pct"/>
            <w:tcBorders>
              <w:top w:val="nil"/>
              <w:bottom w:val="nil"/>
            </w:tcBorders>
            <w:vAlign w:val="center"/>
          </w:tcPr>
          <w:p w:rsidR="00000000" w:rsidRDefault="00000000">
            <w:pPr>
              <w:pStyle w:val="a2"/>
              <w:ind w:right="57"/>
              <w:jc w:val="right"/>
            </w:pPr>
            <w:r>
              <w:t>2,857</w:t>
            </w:r>
            <w:r>
              <w:rPr>
                <w:rFonts w:hint="eastAsia"/>
              </w:rPr>
              <w:t>.</w:t>
            </w:r>
            <w:r>
              <w:t>2</w:t>
            </w:r>
          </w:p>
        </w:tc>
        <w:tc>
          <w:tcPr>
            <w:tcW w:w="633" w:type="pct"/>
            <w:tcBorders>
              <w:top w:val="nil"/>
              <w:bottom w:val="nil"/>
            </w:tcBorders>
            <w:vAlign w:val="center"/>
          </w:tcPr>
          <w:p w:rsidR="00000000" w:rsidRDefault="00000000">
            <w:pPr>
              <w:pStyle w:val="a2"/>
              <w:ind w:right="170"/>
              <w:jc w:val="right"/>
            </w:pPr>
            <w:r>
              <w:t>830</w:t>
            </w:r>
            <w:r>
              <w:rPr>
                <w:rFonts w:hint="eastAsia"/>
              </w:rPr>
              <w:t>.</w:t>
            </w:r>
            <w:r>
              <w:t>0</w:t>
            </w:r>
          </w:p>
        </w:tc>
        <w:tc>
          <w:tcPr>
            <w:tcW w:w="675" w:type="pct"/>
            <w:tcBorders>
              <w:top w:val="nil"/>
              <w:bottom w:val="nil"/>
            </w:tcBorders>
            <w:vAlign w:val="center"/>
          </w:tcPr>
          <w:p w:rsidR="00000000" w:rsidRDefault="00000000">
            <w:pPr>
              <w:pStyle w:val="a2"/>
              <w:jc w:val="center"/>
            </w:pPr>
            <w:r>
              <w:t>19.5</w:t>
            </w:r>
          </w:p>
        </w:tc>
        <w:tc>
          <w:tcPr>
            <w:tcW w:w="542" w:type="pct"/>
            <w:tcBorders>
              <w:top w:val="nil"/>
              <w:bottom w:val="nil"/>
            </w:tcBorders>
            <w:vAlign w:val="center"/>
          </w:tcPr>
          <w:p w:rsidR="00000000" w:rsidRDefault="00000000">
            <w:pPr>
              <w:pStyle w:val="a2"/>
              <w:jc w:val="center"/>
            </w:pPr>
            <w:r>
              <w:t>4.2</w:t>
            </w:r>
          </w:p>
        </w:tc>
        <w:tc>
          <w:tcPr>
            <w:tcW w:w="558" w:type="pct"/>
            <w:tcBorders>
              <w:top w:val="nil"/>
              <w:bottom w:val="nil"/>
            </w:tcBorders>
            <w:vAlign w:val="center"/>
          </w:tcPr>
          <w:p w:rsidR="00000000" w:rsidRDefault="00000000">
            <w:pPr>
              <w:pStyle w:val="a2"/>
              <w:ind w:right="170"/>
              <w:jc w:val="right"/>
            </w:pPr>
            <w:r>
              <w:t>233.5</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1997</w:t>
            </w:r>
          </w:p>
        </w:tc>
        <w:tc>
          <w:tcPr>
            <w:tcW w:w="559" w:type="pct"/>
            <w:tcBorders>
              <w:top w:val="nil"/>
              <w:bottom w:val="nil"/>
            </w:tcBorders>
            <w:vAlign w:val="center"/>
          </w:tcPr>
          <w:p w:rsidR="00000000" w:rsidRDefault="00000000">
            <w:pPr>
              <w:pStyle w:val="a2"/>
              <w:jc w:val="center"/>
            </w:pPr>
            <w:r>
              <w:t>74,462</w:t>
            </w:r>
            <w:r>
              <w:rPr>
                <w:rFonts w:hint="eastAsia"/>
              </w:rPr>
              <w:t>.</w:t>
            </w:r>
            <w:r>
              <w:t>6</w:t>
            </w:r>
          </w:p>
        </w:tc>
        <w:tc>
          <w:tcPr>
            <w:tcW w:w="583" w:type="pct"/>
            <w:tcBorders>
              <w:top w:val="nil"/>
              <w:bottom w:val="nil"/>
            </w:tcBorders>
            <w:vAlign w:val="center"/>
          </w:tcPr>
          <w:p w:rsidR="00000000" w:rsidRDefault="00000000">
            <w:pPr>
              <w:pStyle w:val="a2"/>
              <w:jc w:val="center"/>
            </w:pPr>
            <w:r>
              <w:t>21,461</w:t>
            </w:r>
            <w:r>
              <w:rPr>
                <w:rFonts w:hint="eastAsia"/>
              </w:rPr>
              <w:t>.</w:t>
            </w:r>
            <w:r>
              <w:t>9</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8.8</w:t>
            </w:r>
          </w:p>
        </w:tc>
        <w:tc>
          <w:tcPr>
            <w:tcW w:w="502" w:type="pct"/>
            <w:tcBorders>
              <w:top w:val="nil"/>
              <w:bottom w:val="nil"/>
            </w:tcBorders>
            <w:vAlign w:val="center"/>
          </w:tcPr>
          <w:p w:rsidR="00000000" w:rsidRDefault="00000000">
            <w:pPr>
              <w:pStyle w:val="a2"/>
              <w:ind w:right="57"/>
              <w:jc w:val="right"/>
            </w:pPr>
            <w:r>
              <w:t>3,384</w:t>
            </w:r>
            <w:r>
              <w:rPr>
                <w:rFonts w:hint="eastAsia"/>
              </w:rPr>
              <w:t>.</w:t>
            </w:r>
            <w:r>
              <w:t>9</w:t>
            </w:r>
          </w:p>
        </w:tc>
        <w:tc>
          <w:tcPr>
            <w:tcW w:w="633" w:type="pct"/>
            <w:tcBorders>
              <w:top w:val="nil"/>
              <w:bottom w:val="nil"/>
            </w:tcBorders>
            <w:vAlign w:val="center"/>
          </w:tcPr>
          <w:p w:rsidR="00000000" w:rsidRDefault="00000000">
            <w:pPr>
              <w:pStyle w:val="a2"/>
              <w:ind w:right="170"/>
              <w:jc w:val="right"/>
            </w:pPr>
            <w:r>
              <w:t>975</w:t>
            </w:r>
            <w:r>
              <w:rPr>
                <w:rFonts w:hint="eastAsia"/>
              </w:rPr>
              <w:t>.</w:t>
            </w:r>
            <w:r>
              <w:t>6</w:t>
            </w:r>
          </w:p>
        </w:tc>
        <w:tc>
          <w:tcPr>
            <w:tcW w:w="675" w:type="pct"/>
            <w:tcBorders>
              <w:top w:val="nil"/>
              <w:bottom w:val="nil"/>
            </w:tcBorders>
            <w:vAlign w:val="center"/>
          </w:tcPr>
          <w:p w:rsidR="00000000" w:rsidRDefault="00000000">
            <w:pPr>
              <w:pStyle w:val="a2"/>
              <w:jc w:val="center"/>
            </w:pPr>
            <w:r>
              <w:t>17.6</w:t>
            </w:r>
          </w:p>
        </w:tc>
        <w:tc>
          <w:tcPr>
            <w:tcW w:w="542" w:type="pct"/>
            <w:tcBorders>
              <w:top w:val="nil"/>
              <w:bottom w:val="nil"/>
            </w:tcBorders>
            <w:vAlign w:val="center"/>
          </w:tcPr>
          <w:p w:rsidR="00000000" w:rsidRDefault="00000000">
            <w:pPr>
              <w:pStyle w:val="a2"/>
              <w:jc w:val="center"/>
            </w:pPr>
            <w:r>
              <w:t>4.5</w:t>
            </w:r>
          </w:p>
        </w:tc>
        <w:tc>
          <w:tcPr>
            <w:tcW w:w="558" w:type="pct"/>
            <w:tcBorders>
              <w:top w:val="nil"/>
              <w:bottom w:val="nil"/>
            </w:tcBorders>
            <w:vAlign w:val="center"/>
          </w:tcPr>
          <w:p w:rsidR="00000000" w:rsidRDefault="00000000">
            <w:pPr>
              <w:pStyle w:val="a2"/>
              <w:ind w:right="170"/>
              <w:jc w:val="right"/>
            </w:pPr>
            <w:r>
              <w:t>273.8</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1998</w:t>
            </w:r>
          </w:p>
        </w:tc>
        <w:tc>
          <w:tcPr>
            <w:tcW w:w="559" w:type="pct"/>
            <w:tcBorders>
              <w:top w:val="nil"/>
              <w:bottom w:val="nil"/>
            </w:tcBorders>
            <w:vAlign w:val="center"/>
          </w:tcPr>
          <w:p w:rsidR="00000000" w:rsidRDefault="00000000">
            <w:pPr>
              <w:pStyle w:val="a2"/>
              <w:jc w:val="center"/>
            </w:pPr>
            <w:r>
              <w:t>78,345</w:t>
            </w:r>
            <w:r>
              <w:rPr>
                <w:rFonts w:hint="eastAsia"/>
              </w:rPr>
              <w:t>.</w:t>
            </w:r>
            <w:r>
              <w:t>2</w:t>
            </w:r>
          </w:p>
        </w:tc>
        <w:tc>
          <w:tcPr>
            <w:tcW w:w="583" w:type="pct"/>
            <w:tcBorders>
              <w:top w:val="nil"/>
              <w:bottom w:val="nil"/>
            </w:tcBorders>
            <w:vAlign w:val="center"/>
          </w:tcPr>
          <w:p w:rsidR="00000000" w:rsidRDefault="00000000">
            <w:pPr>
              <w:pStyle w:val="a2"/>
              <w:jc w:val="center"/>
            </w:pPr>
            <w:r>
              <w:t>23,139</w:t>
            </w:r>
            <w:r>
              <w:rPr>
                <w:rFonts w:hint="eastAsia"/>
              </w:rPr>
              <w:t>.</w:t>
            </w:r>
            <w:r>
              <w:t>9</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7.8</w:t>
            </w:r>
          </w:p>
        </w:tc>
        <w:tc>
          <w:tcPr>
            <w:tcW w:w="502" w:type="pct"/>
            <w:tcBorders>
              <w:top w:val="nil"/>
              <w:bottom w:val="nil"/>
            </w:tcBorders>
            <w:vAlign w:val="center"/>
          </w:tcPr>
          <w:p w:rsidR="00000000" w:rsidRDefault="00000000">
            <w:pPr>
              <w:pStyle w:val="a2"/>
              <w:ind w:right="57"/>
              <w:jc w:val="right"/>
            </w:pPr>
            <w:r>
              <w:t>3,776</w:t>
            </w:r>
            <w:r>
              <w:rPr>
                <w:rFonts w:hint="eastAsia"/>
              </w:rPr>
              <w:t>.</w:t>
            </w:r>
            <w:r>
              <w:t>5</w:t>
            </w:r>
          </w:p>
        </w:tc>
        <w:tc>
          <w:tcPr>
            <w:tcW w:w="633" w:type="pct"/>
            <w:tcBorders>
              <w:top w:val="nil"/>
              <w:bottom w:val="nil"/>
            </w:tcBorders>
            <w:vAlign w:val="center"/>
          </w:tcPr>
          <w:p w:rsidR="00000000" w:rsidRDefault="00000000">
            <w:pPr>
              <w:pStyle w:val="a2"/>
              <w:ind w:right="170"/>
              <w:jc w:val="right"/>
            </w:pPr>
            <w:r>
              <w:t>1,115</w:t>
            </w:r>
            <w:r>
              <w:rPr>
                <w:rFonts w:hint="eastAsia"/>
              </w:rPr>
              <w:t>.</w:t>
            </w:r>
            <w:r>
              <w:t>4</w:t>
            </w:r>
          </w:p>
        </w:tc>
        <w:tc>
          <w:tcPr>
            <w:tcW w:w="675" w:type="pct"/>
            <w:tcBorders>
              <w:top w:val="nil"/>
              <w:bottom w:val="nil"/>
            </w:tcBorders>
            <w:vAlign w:val="center"/>
          </w:tcPr>
          <w:p w:rsidR="00000000" w:rsidRDefault="00000000">
            <w:pPr>
              <w:pStyle w:val="a2"/>
              <w:jc w:val="center"/>
            </w:pPr>
            <w:r>
              <w:t>14.3</w:t>
            </w:r>
          </w:p>
        </w:tc>
        <w:tc>
          <w:tcPr>
            <w:tcW w:w="542" w:type="pct"/>
            <w:tcBorders>
              <w:top w:val="nil"/>
              <w:bottom w:val="nil"/>
            </w:tcBorders>
            <w:vAlign w:val="center"/>
          </w:tcPr>
          <w:p w:rsidR="00000000" w:rsidRDefault="00000000">
            <w:pPr>
              <w:pStyle w:val="a2"/>
              <w:jc w:val="center"/>
            </w:pPr>
            <w:r>
              <w:t>4.8</w:t>
            </w:r>
          </w:p>
        </w:tc>
        <w:tc>
          <w:tcPr>
            <w:tcW w:w="558" w:type="pct"/>
            <w:tcBorders>
              <w:top w:val="nil"/>
              <w:bottom w:val="nil"/>
            </w:tcBorders>
            <w:vAlign w:val="center"/>
          </w:tcPr>
          <w:p w:rsidR="00000000" w:rsidRDefault="00000000">
            <w:pPr>
              <w:pStyle w:val="a2"/>
              <w:ind w:right="170"/>
              <w:jc w:val="right"/>
            </w:pPr>
            <w:r>
              <w:t>302.6</w:t>
            </w:r>
          </w:p>
        </w:tc>
      </w:tr>
      <w:tr w:rsidR="00000000">
        <w:tblPrEx>
          <w:tblCellMar>
            <w:top w:w="0" w:type="dxa"/>
            <w:bottom w:w="0" w:type="dxa"/>
          </w:tblCellMar>
        </w:tblPrEx>
        <w:tc>
          <w:tcPr>
            <w:tcW w:w="392" w:type="pct"/>
            <w:tcBorders>
              <w:top w:val="nil"/>
              <w:bottom w:val="nil"/>
            </w:tcBorders>
          </w:tcPr>
          <w:p w:rsidR="00000000" w:rsidRDefault="00000000">
            <w:pPr>
              <w:pStyle w:val="a2"/>
              <w:jc w:val="center"/>
            </w:pPr>
            <w:r>
              <w:t>1999</w:t>
            </w:r>
          </w:p>
        </w:tc>
        <w:tc>
          <w:tcPr>
            <w:tcW w:w="559" w:type="pct"/>
            <w:tcBorders>
              <w:top w:val="nil"/>
              <w:bottom w:val="nil"/>
            </w:tcBorders>
            <w:vAlign w:val="center"/>
          </w:tcPr>
          <w:p w:rsidR="00000000" w:rsidRDefault="00000000">
            <w:pPr>
              <w:pStyle w:val="a2"/>
              <w:jc w:val="center"/>
            </w:pPr>
            <w:r>
              <w:t>82,067</w:t>
            </w:r>
            <w:r>
              <w:rPr>
                <w:rFonts w:hint="eastAsia"/>
              </w:rPr>
              <w:t>.</w:t>
            </w:r>
            <w:r>
              <w:t>4</w:t>
            </w:r>
          </w:p>
        </w:tc>
        <w:tc>
          <w:tcPr>
            <w:tcW w:w="583" w:type="pct"/>
            <w:tcBorders>
              <w:top w:val="nil"/>
              <w:bottom w:val="nil"/>
            </w:tcBorders>
            <w:vAlign w:val="center"/>
          </w:tcPr>
          <w:p w:rsidR="00000000" w:rsidRDefault="00000000">
            <w:pPr>
              <w:pStyle w:val="a2"/>
              <w:jc w:val="center"/>
            </w:pPr>
            <w:r>
              <w:t>24,792</w:t>
            </w:r>
            <w:r>
              <w:rPr>
                <w:rFonts w:hint="eastAsia"/>
              </w:rPr>
              <w:t>.</w:t>
            </w:r>
            <w:r>
              <w:t>5</w:t>
            </w:r>
          </w:p>
        </w:tc>
        <w:tc>
          <w:tcPr>
            <w:tcW w:w="556" w:type="pct"/>
            <w:tcBorders>
              <w:top w:val="nil"/>
              <w:bottom w:val="nil"/>
            </w:tcBorders>
            <w:vAlign w:val="center"/>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rPr>
              <w:t>7.1</w:t>
            </w:r>
          </w:p>
        </w:tc>
        <w:tc>
          <w:tcPr>
            <w:tcW w:w="502" w:type="pct"/>
            <w:tcBorders>
              <w:top w:val="nil"/>
              <w:bottom w:val="nil"/>
            </w:tcBorders>
            <w:vAlign w:val="center"/>
          </w:tcPr>
          <w:p w:rsidR="00000000" w:rsidRDefault="00000000">
            <w:pPr>
              <w:pStyle w:val="a2"/>
              <w:ind w:right="57"/>
              <w:jc w:val="right"/>
            </w:pPr>
            <w:r>
              <w:t>4,178</w:t>
            </w:r>
            <w:r>
              <w:rPr>
                <w:rFonts w:hint="eastAsia"/>
              </w:rPr>
              <w:t>.</w:t>
            </w:r>
            <w:r>
              <w:t>6</w:t>
            </w:r>
          </w:p>
        </w:tc>
        <w:tc>
          <w:tcPr>
            <w:tcW w:w="633" w:type="pct"/>
            <w:tcBorders>
              <w:top w:val="nil"/>
              <w:bottom w:val="nil"/>
            </w:tcBorders>
            <w:vAlign w:val="center"/>
          </w:tcPr>
          <w:p w:rsidR="00000000" w:rsidRDefault="00000000">
            <w:pPr>
              <w:pStyle w:val="a2"/>
              <w:ind w:right="170"/>
              <w:jc w:val="right"/>
            </w:pPr>
            <w:r>
              <w:t>1,262</w:t>
            </w:r>
            <w:r>
              <w:rPr>
                <w:rFonts w:hint="eastAsia"/>
              </w:rPr>
              <w:t>.</w:t>
            </w:r>
            <w:r>
              <w:t>4</w:t>
            </w:r>
          </w:p>
        </w:tc>
        <w:tc>
          <w:tcPr>
            <w:tcW w:w="675" w:type="pct"/>
            <w:tcBorders>
              <w:top w:val="nil"/>
              <w:bottom w:val="nil"/>
            </w:tcBorders>
            <w:vAlign w:val="center"/>
          </w:tcPr>
          <w:p w:rsidR="00000000" w:rsidRDefault="00000000">
            <w:pPr>
              <w:pStyle w:val="a2"/>
              <w:jc w:val="center"/>
            </w:pPr>
            <w:r>
              <w:t>13.3</w:t>
            </w:r>
          </w:p>
        </w:tc>
        <w:tc>
          <w:tcPr>
            <w:tcW w:w="542" w:type="pct"/>
            <w:tcBorders>
              <w:top w:val="nil"/>
              <w:bottom w:val="nil"/>
            </w:tcBorders>
            <w:vAlign w:val="center"/>
          </w:tcPr>
          <w:p w:rsidR="00000000" w:rsidRDefault="00000000">
            <w:pPr>
              <w:pStyle w:val="a2"/>
              <w:jc w:val="center"/>
            </w:pPr>
            <w:r>
              <w:t>5.1</w:t>
            </w:r>
          </w:p>
        </w:tc>
        <w:tc>
          <w:tcPr>
            <w:tcW w:w="558" w:type="pct"/>
            <w:tcBorders>
              <w:top w:val="nil"/>
              <w:bottom w:val="nil"/>
            </w:tcBorders>
            <w:vAlign w:val="center"/>
          </w:tcPr>
          <w:p w:rsidR="00000000" w:rsidRDefault="00000000">
            <w:pPr>
              <w:pStyle w:val="a2"/>
              <w:ind w:right="170"/>
              <w:jc w:val="right"/>
            </w:pPr>
            <w:r>
              <w:t>331.9</w:t>
            </w:r>
          </w:p>
        </w:tc>
      </w:tr>
      <w:tr w:rsidR="00000000">
        <w:tblPrEx>
          <w:tblCellMar>
            <w:top w:w="0" w:type="dxa"/>
            <w:bottom w:w="0" w:type="dxa"/>
          </w:tblCellMar>
        </w:tblPrEx>
        <w:tc>
          <w:tcPr>
            <w:tcW w:w="392" w:type="pct"/>
            <w:tcBorders>
              <w:top w:val="nil"/>
            </w:tcBorders>
          </w:tcPr>
          <w:p w:rsidR="00000000" w:rsidRDefault="00000000">
            <w:pPr>
              <w:pStyle w:val="a2"/>
              <w:spacing w:after="120"/>
              <w:jc w:val="center"/>
            </w:pPr>
            <w:r>
              <w:t>2000</w:t>
            </w:r>
          </w:p>
        </w:tc>
        <w:tc>
          <w:tcPr>
            <w:tcW w:w="559" w:type="pct"/>
            <w:tcBorders>
              <w:top w:val="nil"/>
            </w:tcBorders>
            <w:vAlign w:val="center"/>
          </w:tcPr>
          <w:p w:rsidR="00000000" w:rsidRDefault="00000000">
            <w:pPr>
              <w:pStyle w:val="a2"/>
              <w:spacing w:after="120"/>
              <w:jc w:val="center"/>
            </w:pPr>
            <w:r>
              <w:t>89,403</w:t>
            </w:r>
            <w:r>
              <w:rPr>
                <w:rFonts w:hint="eastAsia"/>
              </w:rPr>
              <w:t>.</w:t>
            </w:r>
            <w:r>
              <w:t>6</w:t>
            </w:r>
          </w:p>
        </w:tc>
        <w:tc>
          <w:tcPr>
            <w:tcW w:w="583" w:type="pct"/>
            <w:tcBorders>
              <w:top w:val="nil"/>
            </w:tcBorders>
            <w:vAlign w:val="center"/>
          </w:tcPr>
          <w:p w:rsidR="00000000" w:rsidRDefault="00000000">
            <w:pPr>
              <w:pStyle w:val="a2"/>
              <w:spacing w:after="120"/>
              <w:jc w:val="center"/>
            </w:pPr>
            <w:r>
              <w:t>26,774</w:t>
            </w:r>
            <w:r>
              <w:rPr>
                <w:rFonts w:hint="eastAsia"/>
              </w:rPr>
              <w:t>.</w:t>
            </w:r>
            <w:r>
              <w:t>8</w:t>
            </w:r>
          </w:p>
        </w:tc>
        <w:tc>
          <w:tcPr>
            <w:tcW w:w="556" w:type="pct"/>
            <w:tcBorders>
              <w:top w:val="nil"/>
            </w:tcBorders>
            <w:vAlign w:val="center"/>
          </w:tcPr>
          <w:p w:rsidR="00000000" w:rsidRDefault="00000000">
            <w:pPr>
              <w:pStyle w:val="a2"/>
              <w:spacing w:before="60" w:after="120" w:line="240" w:lineRule="auto"/>
              <w:jc w:val="center"/>
              <w:rPr>
                <w:rFonts w:ascii="Time New Roman" w:eastAsia="SimHei" w:hAnsi="Time New Roman"/>
              </w:rPr>
            </w:pPr>
            <w:r>
              <w:rPr>
                <w:rFonts w:ascii="Time New Roman" w:eastAsia="SimHei" w:hAnsi="Time New Roman"/>
              </w:rPr>
              <w:t>8.0</w:t>
            </w:r>
          </w:p>
        </w:tc>
        <w:tc>
          <w:tcPr>
            <w:tcW w:w="502" w:type="pct"/>
            <w:tcBorders>
              <w:top w:val="nil"/>
            </w:tcBorders>
            <w:vAlign w:val="center"/>
          </w:tcPr>
          <w:p w:rsidR="00000000" w:rsidRDefault="00000000">
            <w:pPr>
              <w:pStyle w:val="a2"/>
              <w:spacing w:after="120"/>
              <w:ind w:right="57"/>
              <w:jc w:val="right"/>
            </w:pPr>
            <w:r>
              <w:t>4,764</w:t>
            </w:r>
            <w:r>
              <w:rPr>
                <w:rFonts w:hint="eastAsia"/>
              </w:rPr>
              <w:t>.</w:t>
            </w:r>
            <w:r>
              <w:t>0</w:t>
            </w:r>
          </w:p>
        </w:tc>
        <w:tc>
          <w:tcPr>
            <w:tcW w:w="633" w:type="pct"/>
            <w:tcBorders>
              <w:top w:val="nil"/>
            </w:tcBorders>
            <w:vAlign w:val="center"/>
          </w:tcPr>
          <w:p w:rsidR="00000000" w:rsidRDefault="00000000">
            <w:pPr>
              <w:pStyle w:val="a2"/>
              <w:spacing w:after="120"/>
              <w:ind w:right="170"/>
              <w:jc w:val="right"/>
            </w:pPr>
            <w:r>
              <w:t>1,431</w:t>
            </w:r>
            <w:r>
              <w:rPr>
                <w:rFonts w:hint="eastAsia"/>
              </w:rPr>
              <w:t>.</w:t>
            </w:r>
            <w:r>
              <w:t>6</w:t>
            </w:r>
          </w:p>
        </w:tc>
        <w:tc>
          <w:tcPr>
            <w:tcW w:w="675" w:type="pct"/>
            <w:tcBorders>
              <w:top w:val="nil"/>
            </w:tcBorders>
            <w:vAlign w:val="center"/>
          </w:tcPr>
          <w:p w:rsidR="00000000" w:rsidRDefault="00000000">
            <w:pPr>
              <w:pStyle w:val="a2"/>
              <w:spacing w:after="120"/>
              <w:jc w:val="center"/>
            </w:pPr>
            <w:r>
              <w:t>13.5</w:t>
            </w:r>
          </w:p>
        </w:tc>
        <w:tc>
          <w:tcPr>
            <w:tcW w:w="542" w:type="pct"/>
            <w:tcBorders>
              <w:top w:val="nil"/>
            </w:tcBorders>
            <w:vAlign w:val="center"/>
          </w:tcPr>
          <w:p w:rsidR="00000000" w:rsidRDefault="00000000">
            <w:pPr>
              <w:pStyle w:val="a2"/>
              <w:spacing w:after="120"/>
              <w:jc w:val="center"/>
            </w:pPr>
            <w:r>
              <w:t>5.3</w:t>
            </w:r>
          </w:p>
        </w:tc>
        <w:tc>
          <w:tcPr>
            <w:tcW w:w="558" w:type="pct"/>
            <w:tcBorders>
              <w:top w:val="nil"/>
            </w:tcBorders>
            <w:vAlign w:val="center"/>
          </w:tcPr>
          <w:p w:rsidR="00000000" w:rsidRDefault="00000000">
            <w:pPr>
              <w:pStyle w:val="a2"/>
              <w:spacing w:after="120"/>
              <w:ind w:right="170"/>
              <w:jc w:val="right"/>
            </w:pPr>
            <w:r>
              <w:t>376.4</w:t>
            </w:r>
          </w:p>
        </w:tc>
      </w:tr>
    </w:tbl>
    <w:p w:rsidR="00000000" w:rsidRDefault="00000000">
      <w:pPr>
        <w:tabs>
          <w:tab w:val="left" w:pos="520"/>
          <w:tab w:val="left" w:pos="1300"/>
        </w:tabs>
        <w:spacing w:before="180" w:line="288" w:lineRule="auto"/>
        <w:ind w:left="1820" w:hanging="1690"/>
        <w:rPr>
          <w:rFonts w:eastAsia="KaiTi_GB2312" w:hint="eastAsia"/>
          <w:snapToGrid/>
          <w:spacing w:val="0"/>
        </w:rPr>
      </w:pPr>
      <w:r>
        <w:rPr>
          <w:rFonts w:eastAsia="KaiTi_GB2312" w:hint="eastAsia"/>
          <w:snapToGrid/>
          <w:spacing w:val="0"/>
        </w:rPr>
        <w:tab/>
      </w:r>
      <w:r>
        <w:rPr>
          <w:rFonts w:eastAsia="KaiTi_GB2312"/>
          <w:snapToGrid/>
          <w:spacing w:val="0"/>
        </w:rPr>
        <w:t xml:space="preserve">   </w:t>
      </w:r>
      <w:r>
        <w:rPr>
          <w:rFonts w:eastAsia="KaiTi_GB2312" w:hint="eastAsia"/>
          <w:snapToGrid/>
          <w:spacing w:val="0"/>
          <w:u w:val="single"/>
        </w:rPr>
        <w:t>注</w:t>
      </w:r>
      <w:r>
        <w:rPr>
          <w:rFonts w:eastAsia="KaiTi_GB2312" w:hint="eastAsia"/>
          <w:snapToGrid/>
          <w:spacing w:val="0"/>
        </w:rPr>
        <w:t>：</w:t>
      </w:r>
      <w:r>
        <w:rPr>
          <w:rFonts w:eastAsia="KaiTi_GB2312" w:hint="eastAsia"/>
          <w:snapToGrid/>
          <w:spacing w:val="0"/>
        </w:rPr>
        <w:t>(1)</w:t>
      </w:r>
      <w:r>
        <w:rPr>
          <w:rFonts w:eastAsia="KaiTi_GB2312"/>
          <w:snapToGrid/>
          <w:spacing w:val="0"/>
        </w:rPr>
        <w:t xml:space="preserve">  </w:t>
      </w:r>
      <w:r>
        <w:rPr>
          <w:rFonts w:eastAsia="KaiTi_GB2312" w:hint="eastAsia"/>
          <w:snapToGrid/>
          <w:spacing w:val="0"/>
        </w:rPr>
        <w:t>GDP</w:t>
      </w:r>
      <w:r>
        <w:rPr>
          <w:rFonts w:eastAsia="KaiTi_GB2312" w:hint="eastAsia"/>
          <w:snapToGrid/>
          <w:spacing w:val="0"/>
        </w:rPr>
        <w:t>当年价格来源于《中国统计年鉴</w:t>
      </w:r>
      <w:r>
        <w:rPr>
          <w:rFonts w:eastAsia="KaiTi_GB2312" w:hint="eastAsia"/>
          <w:snapToGrid/>
          <w:spacing w:val="0"/>
        </w:rPr>
        <w:t>2001</w:t>
      </w:r>
      <w:r>
        <w:rPr>
          <w:rFonts w:eastAsia="KaiTi_GB2312" w:hint="eastAsia"/>
          <w:snapToGrid/>
          <w:spacing w:val="0"/>
        </w:rPr>
        <w:t>》，卫生总费用当年价格来源于卫生部卫生经济研究所。</w:t>
      </w:r>
    </w:p>
    <w:p w:rsidR="00000000" w:rsidRDefault="00000000">
      <w:pPr>
        <w:spacing w:line="288" w:lineRule="auto"/>
        <w:ind w:left="260" w:firstLine="1040"/>
        <w:rPr>
          <w:rFonts w:eastAsia="KaiTi_GB2312" w:hint="eastAsia"/>
          <w:snapToGrid/>
          <w:spacing w:val="0"/>
        </w:rPr>
      </w:pPr>
      <w:r>
        <w:rPr>
          <w:rFonts w:eastAsia="KaiTi_GB2312" w:hint="eastAsia"/>
          <w:snapToGrid/>
          <w:spacing w:val="0"/>
        </w:rPr>
        <w:t>(2)</w:t>
      </w:r>
      <w:r>
        <w:rPr>
          <w:rFonts w:eastAsia="KaiTi_GB2312"/>
          <w:snapToGrid/>
          <w:spacing w:val="0"/>
        </w:rPr>
        <w:t xml:space="preserve">  </w:t>
      </w:r>
      <w:r>
        <w:rPr>
          <w:rFonts w:eastAsia="KaiTi_GB2312" w:hint="eastAsia"/>
          <w:snapToGrid/>
          <w:spacing w:val="0"/>
        </w:rPr>
        <w:t>GDP</w:t>
      </w:r>
      <w:r>
        <w:rPr>
          <w:rFonts w:eastAsia="KaiTi_GB2312" w:hint="eastAsia"/>
          <w:snapToGrid/>
          <w:spacing w:val="0"/>
        </w:rPr>
        <w:t>与卫生总费用各年增长速度均按可比价格计算</w:t>
      </w:r>
      <w:r>
        <w:rPr>
          <w:rFonts w:eastAsia="KaiTi_GB2312" w:hint="eastAsia"/>
          <w:snapToGrid/>
          <w:spacing w:val="0"/>
        </w:rPr>
        <w:t>(1978</w:t>
      </w:r>
      <w:r>
        <w:rPr>
          <w:rFonts w:eastAsia="KaiTi_GB2312" w:hint="eastAsia"/>
          <w:snapToGrid/>
          <w:spacing w:val="0"/>
        </w:rPr>
        <w:t>年</w:t>
      </w:r>
      <w:r>
        <w:rPr>
          <w:rFonts w:eastAsia="KaiTi_GB2312" w:hint="eastAsia"/>
          <w:snapToGrid/>
          <w:spacing w:val="0"/>
        </w:rPr>
        <w:t>=100)</w:t>
      </w:r>
      <w:r>
        <w:rPr>
          <w:rFonts w:eastAsia="KaiTi_GB2312" w:hint="eastAsia"/>
          <w:snapToGrid/>
          <w:spacing w:val="0"/>
        </w:rPr>
        <w:t>。</w:t>
      </w:r>
    </w:p>
    <w:p w:rsidR="00000000" w:rsidRDefault="00000000">
      <w:pPr>
        <w:spacing w:line="288" w:lineRule="auto"/>
        <w:ind w:left="260" w:firstLine="1040"/>
        <w:rPr>
          <w:rFonts w:eastAsia="KaiTi_GB2312" w:hint="eastAsia"/>
          <w:snapToGrid/>
          <w:spacing w:val="0"/>
        </w:rPr>
      </w:pPr>
      <w:r>
        <w:rPr>
          <w:rFonts w:eastAsia="KaiTi_GB2312" w:hint="eastAsia"/>
          <w:snapToGrid/>
          <w:spacing w:val="0"/>
        </w:rPr>
        <w:t>(3)</w:t>
      </w:r>
      <w:r>
        <w:rPr>
          <w:rFonts w:eastAsia="KaiTi_GB2312"/>
          <w:snapToGrid/>
          <w:spacing w:val="0"/>
        </w:rPr>
        <w:t xml:space="preserve">  </w:t>
      </w:r>
      <w:r>
        <w:rPr>
          <w:rFonts w:eastAsia="KaiTi_GB2312" w:hint="eastAsia"/>
          <w:snapToGrid/>
          <w:spacing w:val="0"/>
        </w:rPr>
        <w:t>人均卫生费用为当年价格。</w:t>
      </w:r>
    </w:p>
    <w:p w:rsidR="00000000" w:rsidRDefault="00000000">
      <w:pPr>
        <w:spacing w:line="288" w:lineRule="auto"/>
        <w:ind w:left="525" w:hanging="395"/>
        <w:rPr>
          <w:rFonts w:hint="eastAsia"/>
        </w:rPr>
      </w:pPr>
      <w:r>
        <w:rPr>
          <w:rFonts w:eastAsia="KaiTi_GB2312" w:hint="eastAsia"/>
          <w:snapToGrid/>
          <w:spacing w:val="0"/>
          <w:u w:val="single"/>
        </w:rPr>
        <w:t>资料来源</w:t>
      </w:r>
      <w:r>
        <w:rPr>
          <w:rFonts w:eastAsia="KaiTi_GB2312" w:hint="eastAsia"/>
          <w:snapToGrid/>
          <w:spacing w:val="0"/>
        </w:rPr>
        <w:t>：卫生部卫生经济研究所提供。</w:t>
      </w:r>
    </w:p>
    <w:p w:rsidR="00000000" w:rsidRDefault="00000000">
      <w:pPr>
        <w:rPr>
          <w:rFonts w:hint="eastAsia"/>
        </w:rPr>
      </w:pPr>
    </w:p>
    <w:p w:rsidR="00000000" w:rsidRDefault="00000000">
      <w:pPr>
        <w:spacing w:after="320"/>
        <w:jc w:val="center"/>
        <w:rPr>
          <w:rFonts w:hint="eastAsia"/>
        </w:rPr>
      </w:pPr>
      <w:r>
        <w:rPr>
          <w:rFonts w:hint="eastAsia"/>
        </w:rPr>
        <w:br w:type="page"/>
      </w:r>
      <w:r>
        <w:rPr>
          <w:rFonts w:hint="eastAsia"/>
          <w:u w:val="single"/>
        </w:rPr>
        <w:t>表</w:t>
      </w:r>
      <w:r>
        <w:rPr>
          <w:rFonts w:hint="eastAsia"/>
          <w:u w:val="single"/>
        </w:rPr>
        <w:t>14</w:t>
      </w:r>
      <w:r>
        <w:rPr>
          <w:rFonts w:hint="eastAsia"/>
        </w:rPr>
        <w:t xml:space="preserve">.  </w:t>
      </w:r>
      <w:r>
        <w:rPr>
          <w:rFonts w:hint="eastAsia"/>
          <w:u w:val="single"/>
        </w:rPr>
        <w:t>政府预算卫生支出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44"/>
        <w:gridCol w:w="1992"/>
        <w:gridCol w:w="1992"/>
        <w:gridCol w:w="1991"/>
        <w:gridCol w:w="1991"/>
      </w:tblGrid>
      <w:tr w:rsidR="00000000">
        <w:tblPrEx>
          <w:tblCellMar>
            <w:top w:w="0" w:type="dxa"/>
            <w:bottom w:w="0" w:type="dxa"/>
          </w:tblCellMar>
        </w:tblPrEx>
        <w:tc>
          <w:tcPr>
            <w:tcW w:w="767" w:type="pct"/>
            <w:tcBorders>
              <w:bottom w:val="single" w:sz="4" w:space="0" w:color="auto"/>
            </w:tcBorders>
            <w:vAlign w:val="center"/>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058"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卫生总费用</w:t>
            </w:r>
            <w:r>
              <w:rPr>
                <w:rFonts w:ascii="Time New Roman" w:eastAsia="SimHei" w:hAnsi="Time New Roman"/>
              </w:rPr>
              <w:br/>
            </w:r>
            <w:r>
              <w:rPr>
                <w:rFonts w:ascii="Time New Roman" w:eastAsia="SimHei" w:hAnsi="Time New Roman" w:hint="eastAsia"/>
              </w:rPr>
              <w:t>(</w:t>
            </w:r>
            <w:r>
              <w:rPr>
                <w:rFonts w:ascii="Time New Roman" w:eastAsia="SimHei" w:hAnsi="Time New Roman" w:hint="eastAsia"/>
              </w:rPr>
              <w:t>亿</w:t>
            </w:r>
            <w:r>
              <w:rPr>
                <w:rFonts w:ascii="Time New Roman" w:eastAsia="SimHei" w:hAnsi="Time New Roman" w:hint="eastAsia"/>
              </w:rPr>
              <w:t xml:space="preserve">  </w:t>
            </w:r>
            <w:r>
              <w:rPr>
                <w:rFonts w:ascii="Time New Roman" w:eastAsia="SimHei" w:hAnsi="Time New Roman" w:hint="eastAsia"/>
              </w:rPr>
              <w:t>元</w:t>
            </w:r>
            <w:r>
              <w:rPr>
                <w:rFonts w:ascii="Time New Roman" w:eastAsia="SimHei" w:hAnsi="Time New Roman" w:hint="eastAsia"/>
              </w:rPr>
              <w:t>)</w:t>
            </w:r>
          </w:p>
        </w:tc>
        <w:tc>
          <w:tcPr>
            <w:tcW w:w="1058"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政府卫生支出</w:t>
            </w:r>
            <w:r>
              <w:rPr>
                <w:rFonts w:ascii="Time New Roman" w:eastAsia="SimHei" w:hAnsi="Time New Roman"/>
              </w:rPr>
              <w:br/>
            </w:r>
            <w:r>
              <w:rPr>
                <w:rFonts w:ascii="Time New Roman" w:eastAsia="SimHei" w:hAnsi="Time New Roman" w:hint="eastAsia"/>
              </w:rPr>
              <w:t>(</w:t>
            </w:r>
            <w:r>
              <w:rPr>
                <w:rFonts w:ascii="Time New Roman" w:eastAsia="SimHei" w:hAnsi="Time New Roman" w:hint="eastAsia"/>
              </w:rPr>
              <w:t>亿</w:t>
            </w:r>
            <w:r>
              <w:rPr>
                <w:rFonts w:ascii="Time New Roman" w:eastAsia="SimHei" w:hAnsi="Time New Roman" w:hint="eastAsia"/>
              </w:rPr>
              <w:t xml:space="preserve">  </w:t>
            </w:r>
            <w:r>
              <w:rPr>
                <w:rFonts w:ascii="Time New Roman" w:eastAsia="SimHei" w:hAnsi="Time New Roman" w:hint="eastAsia"/>
              </w:rPr>
              <w:t>元</w:t>
            </w:r>
            <w:r>
              <w:rPr>
                <w:rFonts w:ascii="Time New Roman" w:eastAsia="SimHei" w:hAnsi="Time New Roman" w:hint="eastAsia"/>
              </w:rPr>
              <w:t>)</w:t>
            </w:r>
          </w:p>
        </w:tc>
        <w:tc>
          <w:tcPr>
            <w:tcW w:w="1058" w:type="pct"/>
            <w:tcBorders>
              <w:bottom w:val="single" w:sz="4" w:space="0" w:color="auto"/>
            </w:tcBorders>
          </w:tcPr>
          <w:p w:rsidR="00000000" w:rsidRDefault="00000000">
            <w:pPr>
              <w:pStyle w:val="a2"/>
              <w:spacing w:before="60" w:line="240" w:lineRule="auto"/>
              <w:jc w:val="center"/>
              <w:rPr>
                <w:rFonts w:ascii="Time New Roman" w:eastAsia="SimHei" w:hAnsi="Time New Roman" w:hint="eastAsia"/>
              </w:rPr>
            </w:pPr>
            <w:r>
              <w:rPr>
                <w:rFonts w:ascii="Time New Roman" w:eastAsia="SimHei" w:hAnsi="Time New Roman" w:hint="eastAsia"/>
              </w:rPr>
              <w:t>政府卫生投入占</w:t>
            </w:r>
            <w:r>
              <w:rPr>
                <w:rFonts w:ascii="Time New Roman" w:eastAsia="SimHei" w:hAnsi="Time New Roman"/>
              </w:rPr>
              <w:br/>
            </w:r>
            <w:r>
              <w:rPr>
                <w:rFonts w:ascii="Time New Roman" w:eastAsia="SimHei" w:hAnsi="Time New Roman" w:hint="eastAsia"/>
              </w:rPr>
              <w:t>卫生总费用</w:t>
            </w:r>
            <w:r>
              <w:rPr>
                <w:rFonts w:ascii="Time New Roman" w:eastAsia="SimHei" w:hAnsi="Time New Roman" w:hint="eastAsia"/>
              </w:rPr>
              <w:t>%</w:t>
            </w:r>
          </w:p>
        </w:tc>
        <w:tc>
          <w:tcPr>
            <w:tcW w:w="1058" w:type="pct"/>
            <w:tcBorders>
              <w:bottom w:val="single" w:sz="4" w:space="0" w:color="auto"/>
            </w:tcBorders>
          </w:tcPr>
          <w:p w:rsidR="00000000" w:rsidRDefault="00000000">
            <w:pPr>
              <w:pStyle w:val="a2"/>
              <w:spacing w:before="60" w:line="240" w:lineRule="auto"/>
              <w:jc w:val="center"/>
              <w:rPr>
                <w:rFonts w:ascii="Time New Roman" w:eastAsia="SimHei" w:hAnsi="Time New Roman"/>
              </w:rPr>
            </w:pPr>
            <w:r>
              <w:rPr>
                <w:rFonts w:ascii="Time New Roman" w:eastAsia="SimHei" w:hAnsi="Time New Roman" w:hint="eastAsia"/>
              </w:rPr>
              <w:t>政府卫生投入</w:t>
            </w:r>
            <w:r>
              <w:rPr>
                <w:rFonts w:ascii="Time New Roman" w:eastAsia="SimHei" w:hAnsi="Time New Roman"/>
              </w:rPr>
              <w:br/>
            </w:r>
            <w:r>
              <w:rPr>
                <w:rFonts w:ascii="Time New Roman" w:eastAsia="SimHei" w:hAnsi="Time New Roman" w:hint="eastAsia"/>
              </w:rPr>
              <w:t>占财政支出</w:t>
            </w:r>
            <w:r>
              <w:rPr>
                <w:rFonts w:ascii="Time New Roman" w:eastAsia="SimHei" w:hAnsi="Time New Roman" w:hint="eastAsia"/>
              </w:rPr>
              <w:t>%</w:t>
            </w:r>
          </w:p>
        </w:tc>
      </w:tr>
      <w:tr w:rsidR="00000000">
        <w:tblPrEx>
          <w:tblCellMar>
            <w:top w:w="0" w:type="dxa"/>
            <w:bottom w:w="0" w:type="dxa"/>
          </w:tblCellMar>
        </w:tblPrEx>
        <w:tc>
          <w:tcPr>
            <w:tcW w:w="767" w:type="pct"/>
            <w:tcBorders>
              <w:bottom w:val="nil"/>
            </w:tcBorders>
          </w:tcPr>
          <w:p w:rsidR="00000000" w:rsidRDefault="00000000">
            <w:pPr>
              <w:pStyle w:val="a2"/>
              <w:jc w:val="center"/>
            </w:pPr>
            <w:r>
              <w:t>1990</w:t>
            </w:r>
          </w:p>
        </w:tc>
        <w:tc>
          <w:tcPr>
            <w:tcW w:w="1058" w:type="pct"/>
            <w:tcBorders>
              <w:bottom w:val="nil"/>
            </w:tcBorders>
            <w:vAlign w:val="center"/>
          </w:tcPr>
          <w:p w:rsidR="00000000" w:rsidRDefault="00000000">
            <w:pPr>
              <w:pStyle w:val="a2"/>
              <w:tabs>
                <w:tab w:val="decimal" w:pos="931"/>
              </w:tabs>
            </w:pPr>
            <w:r>
              <w:t>743</w:t>
            </w:r>
            <w:r>
              <w:rPr>
                <w:rFonts w:hint="eastAsia"/>
              </w:rPr>
              <w:t>.</w:t>
            </w:r>
            <w:r>
              <w:t>0</w:t>
            </w:r>
          </w:p>
        </w:tc>
        <w:tc>
          <w:tcPr>
            <w:tcW w:w="1058" w:type="pct"/>
            <w:tcBorders>
              <w:bottom w:val="nil"/>
            </w:tcBorders>
            <w:vAlign w:val="center"/>
          </w:tcPr>
          <w:p w:rsidR="00000000" w:rsidRDefault="00000000">
            <w:pPr>
              <w:pStyle w:val="a2"/>
              <w:tabs>
                <w:tab w:val="decimal" w:pos="931"/>
              </w:tabs>
            </w:pPr>
            <w:r>
              <w:t>185</w:t>
            </w:r>
            <w:r>
              <w:rPr>
                <w:rFonts w:hint="eastAsia"/>
              </w:rPr>
              <w:t>.</w:t>
            </w:r>
            <w:r>
              <w:t>7</w:t>
            </w:r>
          </w:p>
        </w:tc>
        <w:tc>
          <w:tcPr>
            <w:tcW w:w="1058" w:type="pct"/>
            <w:tcBorders>
              <w:bottom w:val="nil"/>
            </w:tcBorders>
            <w:vAlign w:val="center"/>
          </w:tcPr>
          <w:p w:rsidR="00000000" w:rsidRDefault="00000000">
            <w:pPr>
              <w:pStyle w:val="a2"/>
              <w:tabs>
                <w:tab w:val="decimal" w:pos="931"/>
              </w:tabs>
            </w:pPr>
            <w:r>
              <w:t>25.0</w:t>
            </w:r>
          </w:p>
        </w:tc>
        <w:tc>
          <w:tcPr>
            <w:tcW w:w="1058" w:type="pct"/>
            <w:tcBorders>
              <w:bottom w:val="nil"/>
            </w:tcBorders>
            <w:vAlign w:val="center"/>
          </w:tcPr>
          <w:p w:rsidR="00000000" w:rsidRDefault="00000000">
            <w:pPr>
              <w:pStyle w:val="a2"/>
              <w:tabs>
                <w:tab w:val="decimal" w:pos="931"/>
              </w:tabs>
            </w:pPr>
            <w:r>
              <w:t>6.02</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1991</w:t>
            </w:r>
          </w:p>
        </w:tc>
        <w:tc>
          <w:tcPr>
            <w:tcW w:w="1058" w:type="pct"/>
            <w:tcBorders>
              <w:top w:val="nil"/>
              <w:bottom w:val="nil"/>
            </w:tcBorders>
            <w:vAlign w:val="center"/>
          </w:tcPr>
          <w:p w:rsidR="00000000" w:rsidRDefault="00000000">
            <w:pPr>
              <w:pStyle w:val="a2"/>
              <w:tabs>
                <w:tab w:val="decimal" w:pos="931"/>
              </w:tabs>
              <w:rPr>
                <w:rFonts w:hint="eastAsia"/>
              </w:rPr>
            </w:pPr>
            <w:r>
              <w:t>888</w:t>
            </w:r>
            <w:r>
              <w:rPr>
                <w:rFonts w:hint="eastAsia"/>
              </w:rPr>
              <w:t>.</w:t>
            </w:r>
            <w:r>
              <w:t>6</w:t>
            </w:r>
          </w:p>
        </w:tc>
        <w:tc>
          <w:tcPr>
            <w:tcW w:w="1058" w:type="pct"/>
            <w:tcBorders>
              <w:top w:val="nil"/>
              <w:bottom w:val="nil"/>
            </w:tcBorders>
            <w:vAlign w:val="center"/>
          </w:tcPr>
          <w:p w:rsidR="00000000" w:rsidRDefault="00000000">
            <w:pPr>
              <w:pStyle w:val="a2"/>
              <w:tabs>
                <w:tab w:val="decimal" w:pos="931"/>
              </w:tabs>
            </w:pPr>
            <w:r>
              <w:t>202</w:t>
            </w:r>
            <w:r>
              <w:rPr>
                <w:rFonts w:hint="eastAsia"/>
              </w:rPr>
              <w:t>.</w:t>
            </w:r>
            <w:r>
              <w:t>3</w:t>
            </w:r>
          </w:p>
        </w:tc>
        <w:tc>
          <w:tcPr>
            <w:tcW w:w="1058" w:type="pct"/>
            <w:tcBorders>
              <w:top w:val="nil"/>
              <w:bottom w:val="nil"/>
            </w:tcBorders>
            <w:vAlign w:val="center"/>
          </w:tcPr>
          <w:p w:rsidR="00000000" w:rsidRDefault="00000000">
            <w:pPr>
              <w:pStyle w:val="a2"/>
              <w:tabs>
                <w:tab w:val="decimal" w:pos="931"/>
              </w:tabs>
            </w:pPr>
            <w:r>
              <w:t>22.8</w:t>
            </w:r>
          </w:p>
        </w:tc>
        <w:tc>
          <w:tcPr>
            <w:tcW w:w="1058" w:type="pct"/>
            <w:tcBorders>
              <w:top w:val="nil"/>
              <w:bottom w:val="nil"/>
            </w:tcBorders>
            <w:vAlign w:val="center"/>
          </w:tcPr>
          <w:p w:rsidR="00000000" w:rsidRDefault="00000000">
            <w:pPr>
              <w:pStyle w:val="a2"/>
              <w:tabs>
                <w:tab w:val="decimal" w:pos="931"/>
              </w:tabs>
            </w:pPr>
            <w:r>
              <w:t>5.97</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1992</w:t>
            </w:r>
          </w:p>
        </w:tc>
        <w:tc>
          <w:tcPr>
            <w:tcW w:w="1058" w:type="pct"/>
            <w:tcBorders>
              <w:top w:val="nil"/>
              <w:bottom w:val="nil"/>
            </w:tcBorders>
            <w:vAlign w:val="center"/>
          </w:tcPr>
          <w:p w:rsidR="00000000" w:rsidRDefault="00000000">
            <w:pPr>
              <w:pStyle w:val="a2"/>
              <w:tabs>
                <w:tab w:val="decimal" w:pos="931"/>
              </w:tabs>
            </w:pPr>
            <w:r>
              <w:t>1090</w:t>
            </w:r>
            <w:r>
              <w:rPr>
                <w:rFonts w:hint="eastAsia"/>
              </w:rPr>
              <w:t>.</w:t>
            </w:r>
            <w:r>
              <w:t>7</w:t>
            </w:r>
          </w:p>
        </w:tc>
        <w:tc>
          <w:tcPr>
            <w:tcW w:w="1058" w:type="pct"/>
            <w:tcBorders>
              <w:top w:val="nil"/>
              <w:bottom w:val="nil"/>
            </w:tcBorders>
            <w:vAlign w:val="center"/>
          </w:tcPr>
          <w:p w:rsidR="00000000" w:rsidRDefault="00000000">
            <w:pPr>
              <w:pStyle w:val="a2"/>
              <w:tabs>
                <w:tab w:val="decimal" w:pos="931"/>
              </w:tabs>
            </w:pPr>
            <w:r>
              <w:t>226</w:t>
            </w:r>
            <w:r>
              <w:rPr>
                <w:rFonts w:hint="eastAsia"/>
              </w:rPr>
              <w:t>.</w:t>
            </w:r>
            <w:r>
              <w:t>5</w:t>
            </w:r>
          </w:p>
        </w:tc>
        <w:tc>
          <w:tcPr>
            <w:tcW w:w="1058" w:type="pct"/>
            <w:tcBorders>
              <w:top w:val="nil"/>
              <w:bottom w:val="nil"/>
            </w:tcBorders>
            <w:vAlign w:val="center"/>
          </w:tcPr>
          <w:p w:rsidR="00000000" w:rsidRDefault="00000000">
            <w:pPr>
              <w:pStyle w:val="a2"/>
              <w:tabs>
                <w:tab w:val="decimal" w:pos="931"/>
              </w:tabs>
            </w:pPr>
            <w:r>
              <w:t>20.8</w:t>
            </w:r>
          </w:p>
        </w:tc>
        <w:tc>
          <w:tcPr>
            <w:tcW w:w="1058" w:type="pct"/>
            <w:tcBorders>
              <w:top w:val="nil"/>
              <w:bottom w:val="nil"/>
            </w:tcBorders>
            <w:vAlign w:val="center"/>
          </w:tcPr>
          <w:p w:rsidR="00000000" w:rsidRDefault="00000000">
            <w:pPr>
              <w:pStyle w:val="a2"/>
              <w:tabs>
                <w:tab w:val="decimal" w:pos="931"/>
              </w:tabs>
            </w:pPr>
            <w:r>
              <w:t>6.05</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1993</w:t>
            </w:r>
          </w:p>
        </w:tc>
        <w:tc>
          <w:tcPr>
            <w:tcW w:w="1058" w:type="pct"/>
            <w:tcBorders>
              <w:top w:val="nil"/>
              <w:bottom w:val="nil"/>
            </w:tcBorders>
            <w:vAlign w:val="center"/>
          </w:tcPr>
          <w:p w:rsidR="00000000" w:rsidRDefault="00000000">
            <w:pPr>
              <w:pStyle w:val="a2"/>
              <w:tabs>
                <w:tab w:val="decimal" w:pos="931"/>
              </w:tabs>
            </w:pPr>
            <w:r>
              <w:t>1370</w:t>
            </w:r>
            <w:r>
              <w:rPr>
                <w:rFonts w:hint="eastAsia"/>
              </w:rPr>
              <w:t>.</w:t>
            </w:r>
            <w:r>
              <w:t>4</w:t>
            </w:r>
          </w:p>
        </w:tc>
        <w:tc>
          <w:tcPr>
            <w:tcW w:w="1058" w:type="pct"/>
            <w:tcBorders>
              <w:top w:val="nil"/>
              <w:bottom w:val="nil"/>
            </w:tcBorders>
            <w:vAlign w:val="center"/>
          </w:tcPr>
          <w:p w:rsidR="00000000" w:rsidRDefault="00000000">
            <w:pPr>
              <w:pStyle w:val="a2"/>
              <w:tabs>
                <w:tab w:val="decimal" w:pos="931"/>
              </w:tabs>
            </w:pPr>
            <w:r>
              <w:t>269</w:t>
            </w:r>
            <w:r>
              <w:rPr>
                <w:rFonts w:hint="eastAsia"/>
              </w:rPr>
              <w:t>.</w:t>
            </w:r>
            <w:r>
              <w:t>4</w:t>
            </w:r>
          </w:p>
        </w:tc>
        <w:tc>
          <w:tcPr>
            <w:tcW w:w="1058" w:type="pct"/>
            <w:tcBorders>
              <w:top w:val="nil"/>
              <w:bottom w:val="nil"/>
            </w:tcBorders>
            <w:vAlign w:val="center"/>
          </w:tcPr>
          <w:p w:rsidR="00000000" w:rsidRDefault="00000000">
            <w:pPr>
              <w:pStyle w:val="a2"/>
              <w:tabs>
                <w:tab w:val="decimal" w:pos="931"/>
              </w:tabs>
            </w:pPr>
            <w:r>
              <w:t>19.7</w:t>
            </w:r>
          </w:p>
        </w:tc>
        <w:tc>
          <w:tcPr>
            <w:tcW w:w="1058" w:type="pct"/>
            <w:tcBorders>
              <w:top w:val="nil"/>
              <w:bottom w:val="nil"/>
            </w:tcBorders>
            <w:vAlign w:val="center"/>
          </w:tcPr>
          <w:p w:rsidR="00000000" w:rsidRDefault="00000000">
            <w:pPr>
              <w:pStyle w:val="a2"/>
              <w:tabs>
                <w:tab w:val="decimal" w:pos="931"/>
              </w:tabs>
            </w:pPr>
            <w:r>
              <w:t>5.80</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1994</w:t>
            </w:r>
          </w:p>
        </w:tc>
        <w:tc>
          <w:tcPr>
            <w:tcW w:w="1058" w:type="pct"/>
            <w:tcBorders>
              <w:top w:val="nil"/>
              <w:bottom w:val="nil"/>
            </w:tcBorders>
            <w:vAlign w:val="center"/>
          </w:tcPr>
          <w:p w:rsidR="00000000" w:rsidRDefault="00000000">
            <w:pPr>
              <w:pStyle w:val="a2"/>
              <w:tabs>
                <w:tab w:val="decimal" w:pos="931"/>
              </w:tabs>
            </w:pPr>
            <w:r>
              <w:t>1768</w:t>
            </w:r>
            <w:r>
              <w:rPr>
                <w:rFonts w:hint="eastAsia"/>
              </w:rPr>
              <w:t>.</w:t>
            </w:r>
            <w:r>
              <w:t>6</w:t>
            </w:r>
          </w:p>
        </w:tc>
        <w:tc>
          <w:tcPr>
            <w:tcW w:w="1058" w:type="pct"/>
            <w:tcBorders>
              <w:top w:val="nil"/>
              <w:bottom w:val="nil"/>
            </w:tcBorders>
            <w:vAlign w:val="center"/>
          </w:tcPr>
          <w:p w:rsidR="00000000" w:rsidRDefault="00000000">
            <w:pPr>
              <w:pStyle w:val="a2"/>
              <w:tabs>
                <w:tab w:val="decimal" w:pos="931"/>
              </w:tabs>
            </w:pPr>
            <w:r>
              <w:t>338</w:t>
            </w:r>
            <w:r>
              <w:rPr>
                <w:rFonts w:hint="eastAsia"/>
              </w:rPr>
              <w:t>.</w:t>
            </w:r>
            <w:r>
              <w:t>4</w:t>
            </w:r>
          </w:p>
        </w:tc>
        <w:tc>
          <w:tcPr>
            <w:tcW w:w="1058" w:type="pct"/>
            <w:tcBorders>
              <w:top w:val="nil"/>
              <w:bottom w:val="nil"/>
            </w:tcBorders>
            <w:vAlign w:val="center"/>
          </w:tcPr>
          <w:p w:rsidR="00000000" w:rsidRDefault="00000000">
            <w:pPr>
              <w:pStyle w:val="a2"/>
              <w:tabs>
                <w:tab w:val="decimal" w:pos="931"/>
              </w:tabs>
            </w:pPr>
            <w:r>
              <w:t>19.1</w:t>
            </w:r>
          </w:p>
        </w:tc>
        <w:tc>
          <w:tcPr>
            <w:tcW w:w="1058" w:type="pct"/>
            <w:tcBorders>
              <w:top w:val="nil"/>
              <w:bottom w:val="nil"/>
            </w:tcBorders>
            <w:vAlign w:val="center"/>
          </w:tcPr>
          <w:p w:rsidR="00000000" w:rsidRDefault="00000000">
            <w:pPr>
              <w:pStyle w:val="a2"/>
              <w:tabs>
                <w:tab w:val="decimal" w:pos="931"/>
              </w:tabs>
            </w:pPr>
            <w:r>
              <w:t>5.84</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1995</w:t>
            </w:r>
          </w:p>
        </w:tc>
        <w:tc>
          <w:tcPr>
            <w:tcW w:w="1058" w:type="pct"/>
            <w:tcBorders>
              <w:top w:val="nil"/>
              <w:bottom w:val="nil"/>
            </w:tcBorders>
            <w:vAlign w:val="center"/>
          </w:tcPr>
          <w:p w:rsidR="00000000" w:rsidRDefault="00000000">
            <w:pPr>
              <w:pStyle w:val="a2"/>
              <w:tabs>
                <w:tab w:val="decimal" w:pos="931"/>
              </w:tabs>
            </w:pPr>
            <w:r>
              <w:t>2257</w:t>
            </w:r>
            <w:r>
              <w:rPr>
                <w:rFonts w:hint="eastAsia"/>
              </w:rPr>
              <w:t>.</w:t>
            </w:r>
            <w:r>
              <w:t>8</w:t>
            </w:r>
          </w:p>
        </w:tc>
        <w:tc>
          <w:tcPr>
            <w:tcW w:w="1058" w:type="pct"/>
            <w:tcBorders>
              <w:top w:val="nil"/>
              <w:bottom w:val="nil"/>
            </w:tcBorders>
            <w:vAlign w:val="center"/>
          </w:tcPr>
          <w:p w:rsidR="00000000" w:rsidRDefault="00000000">
            <w:pPr>
              <w:pStyle w:val="a2"/>
              <w:tabs>
                <w:tab w:val="decimal" w:pos="931"/>
              </w:tabs>
            </w:pPr>
            <w:r>
              <w:t>383</w:t>
            </w:r>
            <w:r>
              <w:rPr>
                <w:rFonts w:hint="eastAsia"/>
              </w:rPr>
              <w:t>.</w:t>
            </w:r>
            <w:r>
              <w:t>1</w:t>
            </w:r>
          </w:p>
        </w:tc>
        <w:tc>
          <w:tcPr>
            <w:tcW w:w="1058" w:type="pct"/>
            <w:tcBorders>
              <w:top w:val="nil"/>
              <w:bottom w:val="nil"/>
            </w:tcBorders>
            <w:vAlign w:val="center"/>
          </w:tcPr>
          <w:p w:rsidR="00000000" w:rsidRDefault="00000000">
            <w:pPr>
              <w:pStyle w:val="a2"/>
              <w:tabs>
                <w:tab w:val="decimal" w:pos="931"/>
              </w:tabs>
            </w:pPr>
            <w:r>
              <w:t>17.0</w:t>
            </w:r>
          </w:p>
        </w:tc>
        <w:tc>
          <w:tcPr>
            <w:tcW w:w="1058" w:type="pct"/>
            <w:tcBorders>
              <w:top w:val="nil"/>
              <w:bottom w:val="nil"/>
            </w:tcBorders>
            <w:vAlign w:val="center"/>
          </w:tcPr>
          <w:p w:rsidR="00000000" w:rsidRDefault="00000000">
            <w:pPr>
              <w:pStyle w:val="a2"/>
              <w:tabs>
                <w:tab w:val="decimal" w:pos="931"/>
              </w:tabs>
            </w:pPr>
            <w:r>
              <w:t>5.61</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1996</w:t>
            </w:r>
          </w:p>
        </w:tc>
        <w:tc>
          <w:tcPr>
            <w:tcW w:w="1058" w:type="pct"/>
            <w:tcBorders>
              <w:top w:val="nil"/>
              <w:bottom w:val="nil"/>
            </w:tcBorders>
            <w:vAlign w:val="center"/>
          </w:tcPr>
          <w:p w:rsidR="00000000" w:rsidRDefault="00000000">
            <w:pPr>
              <w:pStyle w:val="a2"/>
              <w:tabs>
                <w:tab w:val="decimal" w:pos="931"/>
              </w:tabs>
            </w:pPr>
            <w:r>
              <w:t>2853</w:t>
            </w:r>
            <w:r>
              <w:rPr>
                <w:rFonts w:hint="eastAsia"/>
              </w:rPr>
              <w:t>.</w:t>
            </w:r>
            <w:r>
              <w:t>5</w:t>
            </w:r>
          </w:p>
        </w:tc>
        <w:tc>
          <w:tcPr>
            <w:tcW w:w="1058" w:type="pct"/>
            <w:tcBorders>
              <w:top w:val="nil"/>
              <w:bottom w:val="nil"/>
            </w:tcBorders>
            <w:vAlign w:val="center"/>
          </w:tcPr>
          <w:p w:rsidR="00000000" w:rsidRDefault="00000000">
            <w:pPr>
              <w:pStyle w:val="a2"/>
              <w:tabs>
                <w:tab w:val="decimal" w:pos="931"/>
              </w:tabs>
            </w:pPr>
            <w:r>
              <w:t>461</w:t>
            </w:r>
            <w:r>
              <w:rPr>
                <w:rFonts w:hint="eastAsia"/>
              </w:rPr>
              <w:t>.</w:t>
            </w:r>
            <w:r>
              <w:t>0</w:t>
            </w:r>
          </w:p>
        </w:tc>
        <w:tc>
          <w:tcPr>
            <w:tcW w:w="1058" w:type="pct"/>
            <w:tcBorders>
              <w:top w:val="nil"/>
              <w:bottom w:val="nil"/>
            </w:tcBorders>
            <w:vAlign w:val="center"/>
          </w:tcPr>
          <w:p w:rsidR="00000000" w:rsidRDefault="00000000">
            <w:pPr>
              <w:pStyle w:val="a2"/>
              <w:tabs>
                <w:tab w:val="decimal" w:pos="931"/>
              </w:tabs>
            </w:pPr>
            <w:r>
              <w:t>16.2</w:t>
            </w:r>
          </w:p>
        </w:tc>
        <w:tc>
          <w:tcPr>
            <w:tcW w:w="1058" w:type="pct"/>
            <w:tcBorders>
              <w:top w:val="nil"/>
              <w:bottom w:val="nil"/>
            </w:tcBorders>
            <w:vAlign w:val="center"/>
          </w:tcPr>
          <w:p w:rsidR="00000000" w:rsidRDefault="00000000">
            <w:pPr>
              <w:pStyle w:val="a2"/>
              <w:tabs>
                <w:tab w:val="decimal" w:pos="931"/>
              </w:tabs>
            </w:pPr>
            <w:r>
              <w:t>5.81</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1997</w:t>
            </w:r>
          </w:p>
        </w:tc>
        <w:tc>
          <w:tcPr>
            <w:tcW w:w="1058" w:type="pct"/>
            <w:tcBorders>
              <w:top w:val="nil"/>
              <w:bottom w:val="nil"/>
            </w:tcBorders>
            <w:vAlign w:val="center"/>
          </w:tcPr>
          <w:p w:rsidR="00000000" w:rsidRDefault="00000000">
            <w:pPr>
              <w:pStyle w:val="a2"/>
              <w:tabs>
                <w:tab w:val="decimal" w:pos="931"/>
              </w:tabs>
            </w:pPr>
            <w:r>
              <w:t>3384</w:t>
            </w:r>
            <w:r>
              <w:rPr>
                <w:rFonts w:hint="eastAsia"/>
              </w:rPr>
              <w:t>.</w:t>
            </w:r>
            <w:r>
              <w:t>9</w:t>
            </w:r>
          </w:p>
        </w:tc>
        <w:tc>
          <w:tcPr>
            <w:tcW w:w="1058" w:type="pct"/>
            <w:tcBorders>
              <w:top w:val="nil"/>
              <w:bottom w:val="nil"/>
            </w:tcBorders>
            <w:vAlign w:val="center"/>
          </w:tcPr>
          <w:p w:rsidR="00000000" w:rsidRDefault="00000000">
            <w:pPr>
              <w:pStyle w:val="a2"/>
              <w:tabs>
                <w:tab w:val="decimal" w:pos="931"/>
              </w:tabs>
            </w:pPr>
            <w:r>
              <w:t>522</w:t>
            </w:r>
            <w:r>
              <w:rPr>
                <w:rFonts w:hint="eastAsia"/>
              </w:rPr>
              <w:t>.</w:t>
            </w:r>
            <w:r>
              <w:t>1</w:t>
            </w:r>
          </w:p>
        </w:tc>
        <w:tc>
          <w:tcPr>
            <w:tcW w:w="1058" w:type="pct"/>
            <w:tcBorders>
              <w:top w:val="nil"/>
              <w:bottom w:val="nil"/>
            </w:tcBorders>
            <w:vAlign w:val="center"/>
          </w:tcPr>
          <w:p w:rsidR="00000000" w:rsidRDefault="00000000">
            <w:pPr>
              <w:pStyle w:val="a2"/>
              <w:tabs>
                <w:tab w:val="decimal" w:pos="931"/>
              </w:tabs>
            </w:pPr>
            <w:r>
              <w:t>15.4</w:t>
            </w:r>
          </w:p>
        </w:tc>
        <w:tc>
          <w:tcPr>
            <w:tcW w:w="1058" w:type="pct"/>
            <w:tcBorders>
              <w:top w:val="nil"/>
              <w:bottom w:val="nil"/>
            </w:tcBorders>
            <w:vAlign w:val="center"/>
          </w:tcPr>
          <w:p w:rsidR="00000000" w:rsidRDefault="00000000">
            <w:pPr>
              <w:pStyle w:val="a2"/>
              <w:tabs>
                <w:tab w:val="decimal" w:pos="931"/>
              </w:tabs>
            </w:pPr>
            <w:r>
              <w:t>5.65</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1998</w:t>
            </w:r>
          </w:p>
        </w:tc>
        <w:tc>
          <w:tcPr>
            <w:tcW w:w="1058" w:type="pct"/>
            <w:tcBorders>
              <w:top w:val="nil"/>
              <w:bottom w:val="nil"/>
            </w:tcBorders>
            <w:vAlign w:val="center"/>
          </w:tcPr>
          <w:p w:rsidR="00000000" w:rsidRDefault="00000000">
            <w:pPr>
              <w:pStyle w:val="a2"/>
              <w:tabs>
                <w:tab w:val="decimal" w:pos="931"/>
              </w:tabs>
            </w:pPr>
            <w:r>
              <w:t>3776</w:t>
            </w:r>
            <w:r>
              <w:rPr>
                <w:rFonts w:hint="eastAsia"/>
              </w:rPr>
              <w:t>.</w:t>
            </w:r>
            <w:r>
              <w:t>5</w:t>
            </w:r>
          </w:p>
        </w:tc>
        <w:tc>
          <w:tcPr>
            <w:tcW w:w="1058" w:type="pct"/>
            <w:tcBorders>
              <w:top w:val="nil"/>
              <w:bottom w:val="nil"/>
            </w:tcBorders>
            <w:vAlign w:val="center"/>
          </w:tcPr>
          <w:p w:rsidR="00000000" w:rsidRDefault="00000000">
            <w:pPr>
              <w:pStyle w:val="a2"/>
              <w:tabs>
                <w:tab w:val="decimal" w:pos="931"/>
              </w:tabs>
            </w:pPr>
            <w:r>
              <w:t>587</w:t>
            </w:r>
            <w:r>
              <w:rPr>
                <w:rFonts w:hint="eastAsia"/>
              </w:rPr>
              <w:t>.</w:t>
            </w:r>
            <w:r>
              <w:t>2</w:t>
            </w:r>
          </w:p>
        </w:tc>
        <w:tc>
          <w:tcPr>
            <w:tcW w:w="1058" w:type="pct"/>
            <w:tcBorders>
              <w:top w:val="nil"/>
              <w:bottom w:val="nil"/>
            </w:tcBorders>
            <w:vAlign w:val="center"/>
          </w:tcPr>
          <w:p w:rsidR="00000000" w:rsidRDefault="00000000">
            <w:pPr>
              <w:pStyle w:val="a2"/>
              <w:tabs>
                <w:tab w:val="decimal" w:pos="931"/>
              </w:tabs>
            </w:pPr>
            <w:r>
              <w:t>15.6</w:t>
            </w:r>
          </w:p>
        </w:tc>
        <w:tc>
          <w:tcPr>
            <w:tcW w:w="1058" w:type="pct"/>
            <w:tcBorders>
              <w:top w:val="nil"/>
              <w:bottom w:val="nil"/>
            </w:tcBorders>
            <w:vAlign w:val="center"/>
          </w:tcPr>
          <w:p w:rsidR="00000000" w:rsidRDefault="00000000">
            <w:pPr>
              <w:pStyle w:val="a2"/>
              <w:tabs>
                <w:tab w:val="decimal" w:pos="931"/>
              </w:tabs>
            </w:pPr>
            <w:r>
              <w:t>5.44</w:t>
            </w:r>
          </w:p>
        </w:tc>
      </w:tr>
      <w:tr w:rsidR="00000000">
        <w:tblPrEx>
          <w:tblCellMar>
            <w:top w:w="0" w:type="dxa"/>
            <w:bottom w:w="0" w:type="dxa"/>
          </w:tblCellMar>
        </w:tblPrEx>
        <w:tc>
          <w:tcPr>
            <w:tcW w:w="767" w:type="pct"/>
            <w:tcBorders>
              <w:top w:val="nil"/>
              <w:bottom w:val="nil"/>
            </w:tcBorders>
          </w:tcPr>
          <w:p w:rsidR="00000000" w:rsidRDefault="00000000">
            <w:pPr>
              <w:pStyle w:val="a2"/>
              <w:jc w:val="center"/>
            </w:pPr>
            <w:r>
              <w:t>1999</w:t>
            </w:r>
          </w:p>
        </w:tc>
        <w:tc>
          <w:tcPr>
            <w:tcW w:w="1058" w:type="pct"/>
            <w:tcBorders>
              <w:top w:val="nil"/>
              <w:bottom w:val="nil"/>
            </w:tcBorders>
            <w:vAlign w:val="center"/>
          </w:tcPr>
          <w:p w:rsidR="00000000" w:rsidRDefault="00000000">
            <w:pPr>
              <w:pStyle w:val="a2"/>
              <w:tabs>
                <w:tab w:val="decimal" w:pos="931"/>
              </w:tabs>
            </w:pPr>
            <w:r>
              <w:t>4178</w:t>
            </w:r>
            <w:r>
              <w:rPr>
                <w:rFonts w:hint="eastAsia"/>
              </w:rPr>
              <w:t>.</w:t>
            </w:r>
            <w:r>
              <w:t>6</w:t>
            </w:r>
          </w:p>
        </w:tc>
        <w:tc>
          <w:tcPr>
            <w:tcW w:w="1058" w:type="pct"/>
            <w:tcBorders>
              <w:top w:val="nil"/>
              <w:bottom w:val="nil"/>
            </w:tcBorders>
            <w:vAlign w:val="center"/>
          </w:tcPr>
          <w:p w:rsidR="00000000" w:rsidRDefault="00000000">
            <w:pPr>
              <w:pStyle w:val="a2"/>
              <w:tabs>
                <w:tab w:val="decimal" w:pos="931"/>
              </w:tabs>
            </w:pPr>
            <w:r>
              <w:t>641</w:t>
            </w:r>
            <w:r>
              <w:rPr>
                <w:rFonts w:hint="eastAsia"/>
              </w:rPr>
              <w:t>.</w:t>
            </w:r>
            <w:r>
              <w:t>0</w:t>
            </w:r>
          </w:p>
        </w:tc>
        <w:tc>
          <w:tcPr>
            <w:tcW w:w="1058" w:type="pct"/>
            <w:tcBorders>
              <w:top w:val="nil"/>
              <w:bottom w:val="nil"/>
            </w:tcBorders>
            <w:vAlign w:val="center"/>
          </w:tcPr>
          <w:p w:rsidR="00000000" w:rsidRDefault="00000000">
            <w:pPr>
              <w:pStyle w:val="a2"/>
              <w:tabs>
                <w:tab w:val="decimal" w:pos="931"/>
              </w:tabs>
            </w:pPr>
            <w:r>
              <w:t>15.3</w:t>
            </w:r>
          </w:p>
        </w:tc>
        <w:tc>
          <w:tcPr>
            <w:tcW w:w="1058" w:type="pct"/>
            <w:tcBorders>
              <w:top w:val="nil"/>
              <w:bottom w:val="nil"/>
            </w:tcBorders>
            <w:vAlign w:val="center"/>
          </w:tcPr>
          <w:p w:rsidR="00000000" w:rsidRDefault="00000000">
            <w:pPr>
              <w:pStyle w:val="a2"/>
              <w:tabs>
                <w:tab w:val="decimal" w:pos="931"/>
              </w:tabs>
            </w:pPr>
            <w:r>
              <w:t>5.00</w:t>
            </w:r>
          </w:p>
        </w:tc>
      </w:tr>
      <w:tr w:rsidR="00000000">
        <w:tblPrEx>
          <w:tblCellMar>
            <w:top w:w="0" w:type="dxa"/>
            <w:bottom w:w="0" w:type="dxa"/>
          </w:tblCellMar>
        </w:tblPrEx>
        <w:tc>
          <w:tcPr>
            <w:tcW w:w="767" w:type="pct"/>
            <w:tcBorders>
              <w:top w:val="nil"/>
            </w:tcBorders>
          </w:tcPr>
          <w:p w:rsidR="00000000" w:rsidRDefault="00000000">
            <w:pPr>
              <w:pStyle w:val="a2"/>
              <w:jc w:val="center"/>
            </w:pPr>
            <w:r>
              <w:t>2000</w:t>
            </w:r>
          </w:p>
        </w:tc>
        <w:tc>
          <w:tcPr>
            <w:tcW w:w="1058" w:type="pct"/>
            <w:tcBorders>
              <w:top w:val="nil"/>
            </w:tcBorders>
            <w:vAlign w:val="center"/>
          </w:tcPr>
          <w:p w:rsidR="00000000" w:rsidRDefault="00000000">
            <w:pPr>
              <w:pStyle w:val="a2"/>
              <w:tabs>
                <w:tab w:val="decimal" w:pos="931"/>
              </w:tabs>
            </w:pPr>
            <w:r>
              <w:t>4764</w:t>
            </w:r>
            <w:r>
              <w:rPr>
                <w:rFonts w:hint="eastAsia"/>
              </w:rPr>
              <w:t>.</w:t>
            </w:r>
            <w:r>
              <w:t>0</w:t>
            </w:r>
          </w:p>
        </w:tc>
        <w:tc>
          <w:tcPr>
            <w:tcW w:w="1058" w:type="pct"/>
            <w:tcBorders>
              <w:top w:val="nil"/>
            </w:tcBorders>
            <w:vAlign w:val="center"/>
          </w:tcPr>
          <w:p w:rsidR="00000000" w:rsidRDefault="00000000">
            <w:pPr>
              <w:pStyle w:val="a2"/>
              <w:tabs>
                <w:tab w:val="decimal" w:pos="931"/>
              </w:tabs>
            </w:pPr>
            <w:r>
              <w:t>709</w:t>
            </w:r>
            <w:r>
              <w:rPr>
                <w:rFonts w:hint="eastAsia"/>
              </w:rPr>
              <w:t>.</w:t>
            </w:r>
            <w:r>
              <w:t>5</w:t>
            </w:r>
          </w:p>
        </w:tc>
        <w:tc>
          <w:tcPr>
            <w:tcW w:w="1058" w:type="pct"/>
            <w:tcBorders>
              <w:top w:val="nil"/>
            </w:tcBorders>
            <w:vAlign w:val="center"/>
          </w:tcPr>
          <w:p w:rsidR="00000000" w:rsidRDefault="00000000">
            <w:pPr>
              <w:pStyle w:val="a2"/>
              <w:tabs>
                <w:tab w:val="decimal" w:pos="931"/>
              </w:tabs>
            </w:pPr>
            <w:r>
              <w:t>14.9</w:t>
            </w:r>
          </w:p>
        </w:tc>
        <w:tc>
          <w:tcPr>
            <w:tcW w:w="1058" w:type="pct"/>
            <w:tcBorders>
              <w:top w:val="nil"/>
            </w:tcBorders>
            <w:vAlign w:val="center"/>
          </w:tcPr>
          <w:p w:rsidR="00000000" w:rsidRDefault="00000000">
            <w:pPr>
              <w:pStyle w:val="a2"/>
              <w:tabs>
                <w:tab w:val="decimal" w:pos="931"/>
              </w:tabs>
            </w:pPr>
            <w:r>
              <w:t>4.50</w:t>
            </w:r>
          </w:p>
        </w:tc>
      </w:tr>
    </w:tbl>
    <w:p w:rsidR="00000000" w:rsidRDefault="00000000">
      <w:pPr>
        <w:spacing w:before="12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：《中国统计年鉴》。</w:t>
      </w:r>
    </w:p>
    <w:p w:rsidR="00000000" w:rsidRDefault="00000000">
      <w:pPr>
        <w:spacing w:after="320"/>
        <w:jc w:val="center"/>
        <w:rPr>
          <w:rFonts w:hint="eastAsia"/>
          <w:u w:val="single"/>
        </w:rPr>
      </w:pPr>
    </w:p>
    <w:p w:rsidR="00000000" w:rsidRDefault="00000000">
      <w:pPr>
        <w:spacing w:after="320"/>
        <w:jc w:val="center"/>
        <w:rPr>
          <w:rFonts w:hint="eastAsia"/>
        </w:rPr>
      </w:pPr>
      <w:r>
        <w:rPr>
          <w:rFonts w:hint="eastAsia"/>
          <w:u w:val="single"/>
        </w:rPr>
        <w:t>表</w:t>
      </w:r>
      <w:r>
        <w:rPr>
          <w:rFonts w:hint="eastAsia"/>
          <w:u w:val="single"/>
        </w:rPr>
        <w:t>15</w:t>
      </w:r>
      <w:r>
        <w:rPr>
          <w:rFonts w:hint="eastAsia"/>
        </w:rPr>
        <w:t xml:space="preserve">.  </w:t>
      </w:r>
      <w:r>
        <w:rPr>
          <w:rFonts w:hint="eastAsia"/>
          <w:u w:val="single"/>
        </w:rPr>
        <w:t>1990-2000</w:t>
      </w:r>
      <w:r>
        <w:rPr>
          <w:rFonts w:hint="eastAsia"/>
          <w:u w:val="single"/>
        </w:rPr>
        <w:t>年政府预算卫生支出及</w:t>
      </w:r>
      <w:r>
        <w:rPr>
          <w:u w:val="single"/>
        </w:rPr>
        <w:br/>
      </w:r>
      <w:r>
        <w:rPr>
          <w:rFonts w:hint="eastAsia"/>
        </w:rPr>
        <w:t xml:space="preserve">    </w:t>
      </w:r>
      <w:r>
        <w:rPr>
          <w:rFonts w:hint="eastAsia"/>
          <w:u w:val="single"/>
        </w:rPr>
        <w:t>初级保健预算支出</w:t>
      </w:r>
      <w:r>
        <w:rPr>
          <w:rFonts w:hint="eastAsia"/>
          <w:u w:val="single"/>
        </w:rPr>
        <w:t>(</w:t>
      </w:r>
      <w:r>
        <w:rPr>
          <w:rFonts w:hint="eastAsia"/>
          <w:u w:val="single"/>
        </w:rPr>
        <w:t>亿元</w:t>
      </w:r>
      <w:r>
        <w:rPr>
          <w:rFonts w:hint="eastAsia"/>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50"/>
        <w:gridCol w:w="781"/>
        <w:gridCol w:w="785"/>
        <w:gridCol w:w="785"/>
        <w:gridCol w:w="785"/>
        <w:gridCol w:w="692"/>
        <w:gridCol w:w="746"/>
        <w:gridCol w:w="746"/>
        <w:gridCol w:w="801"/>
        <w:gridCol w:w="771"/>
        <w:gridCol w:w="668"/>
      </w:tblGrid>
      <w:tr w:rsidR="00000000">
        <w:tblPrEx>
          <w:tblCellMar>
            <w:top w:w="0" w:type="dxa"/>
            <w:bottom w:w="0" w:type="dxa"/>
          </w:tblCellMar>
        </w:tblPrEx>
        <w:tc>
          <w:tcPr>
            <w:tcW w:w="984" w:type="pct"/>
            <w:tcBorders>
              <w:bottom w:val="single" w:sz="4" w:space="0" w:color="auto"/>
            </w:tcBorders>
          </w:tcPr>
          <w:p w:rsidR="00000000" w:rsidRDefault="00000000">
            <w:pPr>
              <w:pStyle w:val="a2"/>
              <w:spacing w:before="60" w:after="20"/>
              <w:rPr>
                <w:rFonts w:ascii="Time New Roman" w:eastAsia="SimHei" w:hAnsi="Time New Roman" w:hint="eastAsia"/>
                <w:sz w:val="18"/>
              </w:rPr>
            </w:pPr>
          </w:p>
        </w:tc>
        <w:tc>
          <w:tcPr>
            <w:tcW w:w="416" w:type="pct"/>
            <w:tcBorders>
              <w:bottom w:val="single" w:sz="4" w:space="0" w:color="auto"/>
            </w:tcBorders>
          </w:tcPr>
          <w:p w:rsidR="00000000" w:rsidRDefault="00000000">
            <w:pPr>
              <w:pStyle w:val="a2"/>
              <w:spacing w:before="60" w:after="20"/>
              <w:jc w:val="center"/>
              <w:rPr>
                <w:rFonts w:ascii="Time New Roman" w:eastAsia="SimHei" w:hAnsi="Time New Roman"/>
                <w:sz w:val="18"/>
              </w:rPr>
            </w:pPr>
            <w:r>
              <w:rPr>
                <w:rFonts w:ascii="Time New Roman" w:eastAsia="SimHei" w:hAnsi="Time New Roman"/>
                <w:b/>
                <w:sz w:val="18"/>
              </w:rPr>
              <w:t>1991</w:t>
            </w:r>
          </w:p>
        </w:tc>
        <w:tc>
          <w:tcPr>
            <w:tcW w:w="418"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1992</w:t>
            </w:r>
          </w:p>
        </w:tc>
        <w:tc>
          <w:tcPr>
            <w:tcW w:w="418"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1993</w:t>
            </w:r>
          </w:p>
        </w:tc>
        <w:tc>
          <w:tcPr>
            <w:tcW w:w="418"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1994</w:t>
            </w:r>
          </w:p>
        </w:tc>
        <w:tc>
          <w:tcPr>
            <w:tcW w:w="368"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1995</w:t>
            </w:r>
          </w:p>
        </w:tc>
        <w:tc>
          <w:tcPr>
            <w:tcW w:w="397"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1996</w:t>
            </w:r>
          </w:p>
        </w:tc>
        <w:tc>
          <w:tcPr>
            <w:tcW w:w="397"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1997</w:t>
            </w:r>
          </w:p>
        </w:tc>
        <w:tc>
          <w:tcPr>
            <w:tcW w:w="426"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1998</w:t>
            </w:r>
          </w:p>
        </w:tc>
        <w:tc>
          <w:tcPr>
            <w:tcW w:w="410"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1999</w:t>
            </w:r>
          </w:p>
        </w:tc>
        <w:tc>
          <w:tcPr>
            <w:tcW w:w="349" w:type="pct"/>
            <w:tcBorders>
              <w:bottom w:val="single" w:sz="4" w:space="0" w:color="auto"/>
            </w:tcBorders>
          </w:tcPr>
          <w:p w:rsidR="00000000" w:rsidRDefault="00000000">
            <w:pPr>
              <w:pStyle w:val="a2"/>
              <w:spacing w:before="60" w:after="20"/>
              <w:jc w:val="center"/>
              <w:rPr>
                <w:rFonts w:ascii="Time New Roman" w:eastAsia="SimHei" w:hAnsi="Time New Roman"/>
                <w:sz w:val="18"/>
                <w:szCs w:val="26"/>
              </w:rPr>
            </w:pPr>
            <w:r>
              <w:rPr>
                <w:rFonts w:ascii="Time New Roman" w:eastAsia="SimHei" w:hAnsi="Time New Roman"/>
                <w:b/>
                <w:sz w:val="18"/>
                <w:szCs w:val="26"/>
              </w:rPr>
              <w:t>2000</w:t>
            </w:r>
          </w:p>
        </w:tc>
      </w:tr>
      <w:tr w:rsidR="00000000">
        <w:tblPrEx>
          <w:tblCellMar>
            <w:top w:w="0" w:type="dxa"/>
            <w:bottom w:w="0" w:type="dxa"/>
          </w:tblCellMar>
        </w:tblPrEx>
        <w:tc>
          <w:tcPr>
            <w:tcW w:w="984" w:type="pct"/>
            <w:tcBorders>
              <w:bottom w:val="nil"/>
            </w:tcBorders>
          </w:tcPr>
          <w:p w:rsidR="00000000" w:rsidRDefault="00000000">
            <w:pPr>
              <w:pStyle w:val="a2"/>
              <w:ind w:left="57"/>
              <w:jc w:val="left"/>
              <w:rPr>
                <w:rFonts w:hint="eastAsia"/>
                <w:sz w:val="18"/>
                <w:szCs w:val="26"/>
              </w:rPr>
            </w:pPr>
            <w:r>
              <w:rPr>
                <w:rFonts w:hint="eastAsia"/>
                <w:sz w:val="18"/>
              </w:rPr>
              <w:t>政府预算卫生支出</w:t>
            </w:r>
          </w:p>
        </w:tc>
        <w:tc>
          <w:tcPr>
            <w:tcW w:w="416" w:type="pct"/>
            <w:tcBorders>
              <w:bottom w:val="nil"/>
            </w:tcBorders>
          </w:tcPr>
          <w:p w:rsidR="00000000" w:rsidRDefault="00000000">
            <w:pPr>
              <w:pStyle w:val="a2"/>
              <w:ind w:right="57"/>
              <w:jc w:val="right"/>
              <w:rPr>
                <w:sz w:val="18"/>
              </w:rPr>
            </w:pPr>
            <w:r>
              <w:rPr>
                <w:sz w:val="18"/>
              </w:rPr>
              <w:t>202</w:t>
            </w:r>
            <w:r>
              <w:rPr>
                <w:rFonts w:hint="eastAsia"/>
                <w:sz w:val="18"/>
              </w:rPr>
              <w:t>.</w:t>
            </w:r>
            <w:r>
              <w:rPr>
                <w:sz w:val="18"/>
              </w:rPr>
              <w:t>29</w:t>
            </w:r>
          </w:p>
        </w:tc>
        <w:tc>
          <w:tcPr>
            <w:tcW w:w="418" w:type="pct"/>
            <w:tcBorders>
              <w:bottom w:val="nil"/>
            </w:tcBorders>
          </w:tcPr>
          <w:p w:rsidR="00000000" w:rsidRDefault="00000000">
            <w:pPr>
              <w:pStyle w:val="a2"/>
              <w:ind w:right="57"/>
              <w:jc w:val="right"/>
              <w:rPr>
                <w:sz w:val="18"/>
              </w:rPr>
            </w:pPr>
            <w:r>
              <w:rPr>
                <w:sz w:val="18"/>
              </w:rPr>
              <w:t>226</w:t>
            </w:r>
            <w:r>
              <w:rPr>
                <w:rFonts w:hint="eastAsia"/>
                <w:sz w:val="18"/>
              </w:rPr>
              <w:t>.</w:t>
            </w:r>
            <w:r>
              <w:rPr>
                <w:sz w:val="18"/>
              </w:rPr>
              <w:t>53</w:t>
            </w:r>
          </w:p>
        </w:tc>
        <w:tc>
          <w:tcPr>
            <w:tcW w:w="418" w:type="pct"/>
            <w:tcBorders>
              <w:bottom w:val="nil"/>
            </w:tcBorders>
          </w:tcPr>
          <w:p w:rsidR="00000000" w:rsidRDefault="00000000">
            <w:pPr>
              <w:pStyle w:val="a2"/>
              <w:ind w:right="57"/>
              <w:jc w:val="right"/>
              <w:rPr>
                <w:sz w:val="18"/>
              </w:rPr>
            </w:pPr>
            <w:r>
              <w:rPr>
                <w:sz w:val="18"/>
              </w:rPr>
              <w:t>269</w:t>
            </w:r>
            <w:r>
              <w:rPr>
                <w:rFonts w:hint="eastAsia"/>
                <w:sz w:val="18"/>
              </w:rPr>
              <w:t>.</w:t>
            </w:r>
            <w:r>
              <w:rPr>
                <w:sz w:val="18"/>
              </w:rPr>
              <w:t>42</w:t>
            </w:r>
          </w:p>
        </w:tc>
        <w:tc>
          <w:tcPr>
            <w:tcW w:w="418" w:type="pct"/>
            <w:tcBorders>
              <w:bottom w:val="nil"/>
            </w:tcBorders>
          </w:tcPr>
          <w:p w:rsidR="00000000" w:rsidRDefault="00000000">
            <w:pPr>
              <w:pStyle w:val="a2"/>
              <w:ind w:right="57"/>
              <w:jc w:val="right"/>
              <w:rPr>
                <w:sz w:val="18"/>
              </w:rPr>
            </w:pPr>
            <w:r>
              <w:rPr>
                <w:sz w:val="18"/>
              </w:rPr>
              <w:t>338</w:t>
            </w:r>
            <w:r>
              <w:rPr>
                <w:rFonts w:hint="eastAsia"/>
                <w:sz w:val="18"/>
              </w:rPr>
              <w:t>.</w:t>
            </w:r>
            <w:r>
              <w:rPr>
                <w:sz w:val="18"/>
              </w:rPr>
              <w:t>43</w:t>
            </w:r>
          </w:p>
        </w:tc>
        <w:tc>
          <w:tcPr>
            <w:tcW w:w="368" w:type="pct"/>
            <w:tcBorders>
              <w:bottom w:val="nil"/>
            </w:tcBorders>
          </w:tcPr>
          <w:p w:rsidR="00000000" w:rsidRDefault="00000000">
            <w:pPr>
              <w:pStyle w:val="a2"/>
              <w:ind w:right="57"/>
              <w:jc w:val="right"/>
              <w:rPr>
                <w:sz w:val="18"/>
              </w:rPr>
            </w:pPr>
            <w:r>
              <w:rPr>
                <w:sz w:val="18"/>
              </w:rPr>
              <w:t>383</w:t>
            </w:r>
            <w:r>
              <w:rPr>
                <w:rFonts w:hint="eastAsia"/>
                <w:sz w:val="18"/>
              </w:rPr>
              <w:t>.</w:t>
            </w:r>
            <w:r>
              <w:rPr>
                <w:sz w:val="18"/>
              </w:rPr>
              <w:t>09</w:t>
            </w:r>
          </w:p>
        </w:tc>
        <w:tc>
          <w:tcPr>
            <w:tcW w:w="397" w:type="pct"/>
            <w:tcBorders>
              <w:bottom w:val="nil"/>
            </w:tcBorders>
          </w:tcPr>
          <w:p w:rsidR="00000000" w:rsidRDefault="00000000">
            <w:pPr>
              <w:pStyle w:val="a2"/>
              <w:ind w:right="57"/>
              <w:jc w:val="right"/>
              <w:rPr>
                <w:sz w:val="18"/>
              </w:rPr>
            </w:pPr>
            <w:r>
              <w:rPr>
                <w:sz w:val="18"/>
              </w:rPr>
              <w:t>460</w:t>
            </w:r>
            <w:r>
              <w:rPr>
                <w:rFonts w:hint="eastAsia"/>
                <w:sz w:val="18"/>
              </w:rPr>
              <w:t>.</w:t>
            </w:r>
            <w:r>
              <w:rPr>
                <w:sz w:val="18"/>
              </w:rPr>
              <w:t>95</w:t>
            </w:r>
          </w:p>
        </w:tc>
        <w:tc>
          <w:tcPr>
            <w:tcW w:w="397" w:type="pct"/>
            <w:tcBorders>
              <w:bottom w:val="nil"/>
            </w:tcBorders>
          </w:tcPr>
          <w:p w:rsidR="00000000" w:rsidRDefault="00000000">
            <w:pPr>
              <w:pStyle w:val="a2"/>
              <w:ind w:right="57"/>
              <w:jc w:val="right"/>
              <w:rPr>
                <w:sz w:val="18"/>
              </w:rPr>
            </w:pPr>
            <w:r>
              <w:rPr>
                <w:sz w:val="18"/>
              </w:rPr>
              <w:t>522</w:t>
            </w:r>
            <w:r>
              <w:rPr>
                <w:rFonts w:hint="eastAsia"/>
                <w:sz w:val="18"/>
              </w:rPr>
              <w:t>.</w:t>
            </w:r>
            <w:r>
              <w:rPr>
                <w:sz w:val="18"/>
              </w:rPr>
              <w:t>08</w:t>
            </w:r>
          </w:p>
        </w:tc>
        <w:tc>
          <w:tcPr>
            <w:tcW w:w="426" w:type="pct"/>
            <w:tcBorders>
              <w:bottom w:val="nil"/>
            </w:tcBorders>
          </w:tcPr>
          <w:p w:rsidR="00000000" w:rsidRDefault="00000000">
            <w:pPr>
              <w:pStyle w:val="a2"/>
              <w:ind w:right="57"/>
              <w:jc w:val="right"/>
              <w:rPr>
                <w:sz w:val="18"/>
              </w:rPr>
            </w:pPr>
            <w:r>
              <w:rPr>
                <w:sz w:val="18"/>
              </w:rPr>
              <w:t>587</w:t>
            </w:r>
            <w:r>
              <w:rPr>
                <w:rFonts w:hint="eastAsia"/>
                <w:sz w:val="18"/>
              </w:rPr>
              <w:t>.</w:t>
            </w:r>
            <w:r>
              <w:rPr>
                <w:sz w:val="18"/>
              </w:rPr>
              <w:t>23</w:t>
            </w:r>
          </w:p>
        </w:tc>
        <w:tc>
          <w:tcPr>
            <w:tcW w:w="410" w:type="pct"/>
            <w:tcBorders>
              <w:bottom w:val="nil"/>
            </w:tcBorders>
          </w:tcPr>
          <w:p w:rsidR="00000000" w:rsidRDefault="00000000">
            <w:pPr>
              <w:pStyle w:val="a2"/>
              <w:ind w:right="57"/>
              <w:jc w:val="right"/>
              <w:rPr>
                <w:sz w:val="18"/>
              </w:rPr>
            </w:pPr>
            <w:r>
              <w:rPr>
                <w:sz w:val="18"/>
              </w:rPr>
              <w:t>640</w:t>
            </w:r>
            <w:r>
              <w:rPr>
                <w:rFonts w:hint="eastAsia"/>
                <w:sz w:val="18"/>
              </w:rPr>
              <w:t>.</w:t>
            </w:r>
            <w:r>
              <w:rPr>
                <w:sz w:val="18"/>
              </w:rPr>
              <w:t>96</w:t>
            </w:r>
          </w:p>
        </w:tc>
        <w:tc>
          <w:tcPr>
            <w:tcW w:w="349" w:type="pct"/>
            <w:tcBorders>
              <w:bottom w:val="nil"/>
            </w:tcBorders>
          </w:tcPr>
          <w:p w:rsidR="00000000" w:rsidRDefault="00000000">
            <w:pPr>
              <w:pStyle w:val="a2"/>
              <w:ind w:right="57"/>
              <w:jc w:val="right"/>
              <w:rPr>
                <w:sz w:val="18"/>
              </w:rPr>
            </w:pPr>
            <w:r>
              <w:rPr>
                <w:sz w:val="18"/>
              </w:rPr>
              <w:t>709</w:t>
            </w:r>
            <w:r>
              <w:rPr>
                <w:rFonts w:hint="eastAsia"/>
                <w:sz w:val="18"/>
              </w:rPr>
              <w:t>.</w:t>
            </w:r>
            <w:r>
              <w:rPr>
                <w:sz w:val="18"/>
              </w:rPr>
              <w:t>52</w:t>
            </w:r>
          </w:p>
        </w:tc>
      </w:tr>
      <w:tr w:rsidR="00000000">
        <w:tblPrEx>
          <w:tblCellMar>
            <w:top w:w="0" w:type="dxa"/>
            <w:bottom w:w="0" w:type="dxa"/>
          </w:tblCellMar>
        </w:tblPrEx>
        <w:tc>
          <w:tcPr>
            <w:tcW w:w="984" w:type="pct"/>
            <w:tcBorders>
              <w:top w:val="nil"/>
              <w:bottom w:val="nil"/>
            </w:tcBorders>
          </w:tcPr>
          <w:p w:rsidR="00000000" w:rsidRDefault="00000000">
            <w:pPr>
              <w:pStyle w:val="a2"/>
              <w:ind w:left="57"/>
              <w:jc w:val="left"/>
              <w:rPr>
                <w:rFonts w:hint="eastAsia"/>
                <w:sz w:val="18"/>
                <w:szCs w:val="26"/>
              </w:rPr>
            </w:pPr>
            <w:r>
              <w:rPr>
                <w:rFonts w:hint="eastAsia"/>
                <w:sz w:val="18"/>
                <w:szCs w:val="26"/>
              </w:rPr>
              <w:t>用于初级保健的支出</w:t>
            </w:r>
          </w:p>
        </w:tc>
        <w:tc>
          <w:tcPr>
            <w:tcW w:w="416" w:type="pct"/>
            <w:tcBorders>
              <w:top w:val="nil"/>
              <w:bottom w:val="nil"/>
            </w:tcBorders>
          </w:tcPr>
          <w:p w:rsidR="00000000" w:rsidRDefault="00000000">
            <w:pPr>
              <w:pStyle w:val="a2"/>
              <w:ind w:right="57"/>
              <w:jc w:val="right"/>
              <w:rPr>
                <w:sz w:val="18"/>
              </w:rPr>
            </w:pPr>
            <w:r>
              <w:rPr>
                <w:sz w:val="18"/>
              </w:rPr>
              <w:t>87</w:t>
            </w:r>
            <w:r>
              <w:rPr>
                <w:rFonts w:hint="eastAsia"/>
                <w:sz w:val="18"/>
              </w:rPr>
              <w:t>.</w:t>
            </w:r>
            <w:r>
              <w:rPr>
                <w:sz w:val="18"/>
              </w:rPr>
              <w:t>98</w:t>
            </w:r>
          </w:p>
        </w:tc>
        <w:tc>
          <w:tcPr>
            <w:tcW w:w="418" w:type="pct"/>
            <w:tcBorders>
              <w:top w:val="nil"/>
              <w:bottom w:val="nil"/>
            </w:tcBorders>
          </w:tcPr>
          <w:p w:rsidR="00000000" w:rsidRDefault="00000000">
            <w:pPr>
              <w:pStyle w:val="a2"/>
              <w:ind w:right="57"/>
              <w:jc w:val="right"/>
              <w:rPr>
                <w:sz w:val="18"/>
              </w:rPr>
            </w:pPr>
            <w:r>
              <w:rPr>
                <w:sz w:val="18"/>
              </w:rPr>
              <w:t>101</w:t>
            </w:r>
            <w:r>
              <w:rPr>
                <w:rFonts w:hint="eastAsia"/>
                <w:sz w:val="18"/>
              </w:rPr>
              <w:t>.</w:t>
            </w:r>
            <w:r>
              <w:rPr>
                <w:sz w:val="18"/>
              </w:rPr>
              <w:t>04</w:t>
            </w:r>
          </w:p>
        </w:tc>
        <w:tc>
          <w:tcPr>
            <w:tcW w:w="418" w:type="pct"/>
            <w:tcBorders>
              <w:top w:val="nil"/>
              <w:bottom w:val="nil"/>
            </w:tcBorders>
          </w:tcPr>
          <w:p w:rsidR="00000000" w:rsidRDefault="00000000">
            <w:pPr>
              <w:pStyle w:val="a2"/>
              <w:ind w:right="57"/>
              <w:jc w:val="right"/>
              <w:rPr>
                <w:sz w:val="18"/>
              </w:rPr>
            </w:pPr>
            <w:r>
              <w:rPr>
                <w:sz w:val="18"/>
              </w:rPr>
              <w:t>122</w:t>
            </w:r>
            <w:r>
              <w:rPr>
                <w:rFonts w:hint="eastAsia"/>
                <w:sz w:val="18"/>
              </w:rPr>
              <w:t>.</w:t>
            </w:r>
            <w:r>
              <w:rPr>
                <w:sz w:val="18"/>
              </w:rPr>
              <w:t>56</w:t>
            </w:r>
          </w:p>
        </w:tc>
        <w:tc>
          <w:tcPr>
            <w:tcW w:w="418" w:type="pct"/>
            <w:tcBorders>
              <w:top w:val="nil"/>
              <w:bottom w:val="nil"/>
            </w:tcBorders>
          </w:tcPr>
          <w:p w:rsidR="00000000" w:rsidRDefault="00000000">
            <w:pPr>
              <w:pStyle w:val="a2"/>
              <w:ind w:right="57"/>
              <w:jc w:val="right"/>
              <w:rPr>
                <w:sz w:val="18"/>
              </w:rPr>
            </w:pPr>
            <w:r>
              <w:rPr>
                <w:sz w:val="18"/>
              </w:rPr>
              <w:t>152</w:t>
            </w:r>
            <w:r>
              <w:rPr>
                <w:rFonts w:hint="eastAsia"/>
                <w:sz w:val="18"/>
              </w:rPr>
              <w:t>.</w:t>
            </w:r>
            <w:r>
              <w:rPr>
                <w:sz w:val="18"/>
              </w:rPr>
              <w:t>32</w:t>
            </w:r>
          </w:p>
        </w:tc>
        <w:tc>
          <w:tcPr>
            <w:tcW w:w="368" w:type="pct"/>
            <w:tcBorders>
              <w:top w:val="nil"/>
              <w:bottom w:val="nil"/>
            </w:tcBorders>
          </w:tcPr>
          <w:p w:rsidR="00000000" w:rsidRDefault="00000000">
            <w:pPr>
              <w:pStyle w:val="a2"/>
              <w:ind w:right="57"/>
              <w:jc w:val="right"/>
              <w:rPr>
                <w:sz w:val="18"/>
              </w:rPr>
            </w:pPr>
            <w:r>
              <w:rPr>
                <w:sz w:val="18"/>
              </w:rPr>
              <w:t>179</w:t>
            </w:r>
            <w:r>
              <w:rPr>
                <w:rFonts w:hint="eastAsia"/>
                <w:sz w:val="18"/>
              </w:rPr>
              <w:t>.</w:t>
            </w:r>
            <w:r>
              <w:rPr>
                <w:sz w:val="18"/>
              </w:rPr>
              <w:t>09</w:t>
            </w:r>
          </w:p>
        </w:tc>
        <w:tc>
          <w:tcPr>
            <w:tcW w:w="397" w:type="pct"/>
            <w:tcBorders>
              <w:top w:val="nil"/>
              <w:bottom w:val="nil"/>
            </w:tcBorders>
          </w:tcPr>
          <w:p w:rsidR="00000000" w:rsidRDefault="00000000">
            <w:pPr>
              <w:pStyle w:val="a2"/>
              <w:ind w:right="57"/>
              <w:jc w:val="right"/>
              <w:rPr>
                <w:sz w:val="18"/>
              </w:rPr>
            </w:pPr>
            <w:r>
              <w:rPr>
                <w:sz w:val="18"/>
              </w:rPr>
              <w:t>210</w:t>
            </w:r>
            <w:r>
              <w:rPr>
                <w:rFonts w:hint="eastAsia"/>
                <w:sz w:val="18"/>
              </w:rPr>
              <w:t>.</w:t>
            </w:r>
            <w:r>
              <w:rPr>
                <w:sz w:val="18"/>
              </w:rPr>
              <w:t>65</w:t>
            </w:r>
          </w:p>
        </w:tc>
        <w:tc>
          <w:tcPr>
            <w:tcW w:w="397" w:type="pct"/>
            <w:tcBorders>
              <w:top w:val="nil"/>
              <w:bottom w:val="nil"/>
            </w:tcBorders>
          </w:tcPr>
          <w:p w:rsidR="00000000" w:rsidRDefault="00000000">
            <w:pPr>
              <w:pStyle w:val="a2"/>
              <w:ind w:right="57"/>
              <w:jc w:val="right"/>
              <w:rPr>
                <w:sz w:val="18"/>
              </w:rPr>
            </w:pPr>
            <w:r>
              <w:rPr>
                <w:sz w:val="18"/>
              </w:rPr>
              <w:t>241</w:t>
            </w:r>
            <w:r>
              <w:rPr>
                <w:rFonts w:hint="eastAsia"/>
                <w:sz w:val="18"/>
              </w:rPr>
              <w:t>.</w:t>
            </w:r>
            <w:r>
              <w:rPr>
                <w:sz w:val="18"/>
              </w:rPr>
              <w:t>25</w:t>
            </w:r>
          </w:p>
        </w:tc>
        <w:tc>
          <w:tcPr>
            <w:tcW w:w="426" w:type="pct"/>
            <w:tcBorders>
              <w:top w:val="nil"/>
              <w:bottom w:val="nil"/>
            </w:tcBorders>
          </w:tcPr>
          <w:p w:rsidR="00000000" w:rsidRDefault="00000000">
            <w:pPr>
              <w:pStyle w:val="a2"/>
              <w:ind w:right="57"/>
              <w:jc w:val="right"/>
              <w:rPr>
                <w:sz w:val="18"/>
              </w:rPr>
            </w:pPr>
            <w:r>
              <w:rPr>
                <w:sz w:val="18"/>
              </w:rPr>
              <w:t>262</w:t>
            </w:r>
            <w:r>
              <w:rPr>
                <w:rFonts w:hint="eastAsia"/>
                <w:sz w:val="18"/>
              </w:rPr>
              <w:t>.</w:t>
            </w:r>
            <w:r>
              <w:rPr>
                <w:sz w:val="18"/>
              </w:rPr>
              <w:t>85</w:t>
            </w:r>
          </w:p>
        </w:tc>
        <w:tc>
          <w:tcPr>
            <w:tcW w:w="410" w:type="pct"/>
            <w:tcBorders>
              <w:top w:val="nil"/>
              <w:bottom w:val="nil"/>
            </w:tcBorders>
          </w:tcPr>
          <w:p w:rsidR="00000000" w:rsidRDefault="00000000">
            <w:pPr>
              <w:pStyle w:val="a2"/>
              <w:ind w:right="57"/>
              <w:jc w:val="right"/>
              <w:rPr>
                <w:sz w:val="18"/>
              </w:rPr>
            </w:pPr>
            <w:r>
              <w:rPr>
                <w:sz w:val="18"/>
              </w:rPr>
              <w:t>285</w:t>
            </w:r>
            <w:r>
              <w:rPr>
                <w:rFonts w:hint="eastAsia"/>
                <w:sz w:val="18"/>
              </w:rPr>
              <w:t>.</w:t>
            </w:r>
            <w:r>
              <w:rPr>
                <w:sz w:val="18"/>
              </w:rPr>
              <w:t>48</w:t>
            </w:r>
          </w:p>
        </w:tc>
        <w:tc>
          <w:tcPr>
            <w:tcW w:w="349" w:type="pct"/>
            <w:tcBorders>
              <w:top w:val="nil"/>
              <w:bottom w:val="nil"/>
            </w:tcBorders>
          </w:tcPr>
          <w:p w:rsidR="00000000" w:rsidRDefault="00000000">
            <w:pPr>
              <w:pStyle w:val="a2"/>
              <w:ind w:right="57"/>
              <w:jc w:val="right"/>
              <w:rPr>
                <w:sz w:val="18"/>
              </w:rPr>
            </w:pPr>
            <w:r>
              <w:rPr>
                <w:sz w:val="18"/>
              </w:rPr>
              <w:t>311</w:t>
            </w:r>
            <w:r>
              <w:rPr>
                <w:rFonts w:hint="eastAsia"/>
                <w:sz w:val="18"/>
              </w:rPr>
              <w:t>.</w:t>
            </w:r>
            <w:r>
              <w:rPr>
                <w:sz w:val="18"/>
              </w:rPr>
              <w:t>65</w:t>
            </w:r>
          </w:p>
        </w:tc>
      </w:tr>
      <w:tr w:rsidR="00000000">
        <w:tblPrEx>
          <w:tblCellMar>
            <w:top w:w="0" w:type="dxa"/>
            <w:bottom w:w="0" w:type="dxa"/>
          </w:tblCellMar>
        </w:tblPrEx>
        <w:tc>
          <w:tcPr>
            <w:tcW w:w="984" w:type="pct"/>
            <w:tcBorders>
              <w:top w:val="nil"/>
              <w:bottom w:val="nil"/>
            </w:tcBorders>
          </w:tcPr>
          <w:p w:rsidR="00000000" w:rsidRDefault="00000000">
            <w:pPr>
              <w:pStyle w:val="a2"/>
              <w:ind w:left="57"/>
              <w:jc w:val="left"/>
              <w:rPr>
                <w:rFonts w:hint="eastAsia"/>
                <w:sz w:val="18"/>
                <w:szCs w:val="26"/>
              </w:rPr>
            </w:pPr>
            <w:r>
              <w:rPr>
                <w:rFonts w:hint="eastAsia"/>
                <w:sz w:val="18"/>
                <w:szCs w:val="26"/>
              </w:rPr>
              <w:t>其中：农村卫生支出</w:t>
            </w:r>
          </w:p>
        </w:tc>
        <w:tc>
          <w:tcPr>
            <w:tcW w:w="416" w:type="pct"/>
            <w:tcBorders>
              <w:top w:val="nil"/>
              <w:bottom w:val="nil"/>
            </w:tcBorders>
          </w:tcPr>
          <w:p w:rsidR="00000000" w:rsidRDefault="00000000">
            <w:pPr>
              <w:pStyle w:val="a2"/>
              <w:ind w:right="57"/>
              <w:jc w:val="right"/>
              <w:rPr>
                <w:sz w:val="18"/>
              </w:rPr>
            </w:pPr>
            <w:r>
              <w:rPr>
                <w:sz w:val="18"/>
              </w:rPr>
              <w:t>37</w:t>
            </w:r>
            <w:r>
              <w:rPr>
                <w:rFonts w:hint="eastAsia"/>
                <w:sz w:val="18"/>
              </w:rPr>
              <w:t>.</w:t>
            </w:r>
            <w:r>
              <w:rPr>
                <w:sz w:val="18"/>
              </w:rPr>
              <w:t>57</w:t>
            </w:r>
          </w:p>
        </w:tc>
        <w:tc>
          <w:tcPr>
            <w:tcW w:w="418" w:type="pct"/>
            <w:tcBorders>
              <w:top w:val="nil"/>
              <w:bottom w:val="nil"/>
            </w:tcBorders>
          </w:tcPr>
          <w:p w:rsidR="00000000" w:rsidRDefault="00000000">
            <w:pPr>
              <w:pStyle w:val="a2"/>
              <w:ind w:right="57"/>
              <w:jc w:val="right"/>
              <w:rPr>
                <w:sz w:val="18"/>
              </w:rPr>
            </w:pPr>
            <w:r>
              <w:rPr>
                <w:sz w:val="18"/>
              </w:rPr>
              <w:t>42</w:t>
            </w:r>
            <w:r>
              <w:rPr>
                <w:rFonts w:hint="eastAsia"/>
                <w:sz w:val="18"/>
              </w:rPr>
              <w:t>.</w:t>
            </w:r>
            <w:r>
              <w:rPr>
                <w:sz w:val="18"/>
              </w:rPr>
              <w:t>94</w:t>
            </w:r>
          </w:p>
        </w:tc>
        <w:tc>
          <w:tcPr>
            <w:tcW w:w="418" w:type="pct"/>
            <w:tcBorders>
              <w:top w:val="nil"/>
              <w:bottom w:val="nil"/>
            </w:tcBorders>
          </w:tcPr>
          <w:p w:rsidR="00000000" w:rsidRDefault="00000000">
            <w:pPr>
              <w:pStyle w:val="a2"/>
              <w:ind w:right="57"/>
              <w:jc w:val="right"/>
              <w:rPr>
                <w:sz w:val="18"/>
              </w:rPr>
            </w:pPr>
            <w:r>
              <w:rPr>
                <w:sz w:val="18"/>
              </w:rPr>
              <w:t>46</w:t>
            </w:r>
            <w:r>
              <w:rPr>
                <w:rFonts w:hint="eastAsia"/>
                <w:sz w:val="18"/>
              </w:rPr>
              <w:t>.</w:t>
            </w:r>
            <w:r>
              <w:rPr>
                <w:sz w:val="18"/>
              </w:rPr>
              <w:t>23</w:t>
            </w:r>
          </w:p>
        </w:tc>
        <w:tc>
          <w:tcPr>
            <w:tcW w:w="418" w:type="pct"/>
            <w:tcBorders>
              <w:top w:val="nil"/>
              <w:bottom w:val="nil"/>
            </w:tcBorders>
          </w:tcPr>
          <w:p w:rsidR="00000000" w:rsidRDefault="00000000">
            <w:pPr>
              <w:pStyle w:val="a2"/>
              <w:ind w:right="57"/>
              <w:jc w:val="right"/>
              <w:rPr>
                <w:sz w:val="18"/>
              </w:rPr>
            </w:pPr>
            <w:r>
              <w:rPr>
                <w:sz w:val="18"/>
              </w:rPr>
              <w:t>60</w:t>
            </w:r>
            <w:r>
              <w:rPr>
                <w:rFonts w:hint="eastAsia"/>
                <w:sz w:val="18"/>
              </w:rPr>
              <w:t>.</w:t>
            </w:r>
            <w:r>
              <w:rPr>
                <w:sz w:val="18"/>
              </w:rPr>
              <w:t>30</w:t>
            </w:r>
          </w:p>
        </w:tc>
        <w:tc>
          <w:tcPr>
            <w:tcW w:w="368" w:type="pct"/>
            <w:tcBorders>
              <w:top w:val="nil"/>
              <w:bottom w:val="nil"/>
            </w:tcBorders>
          </w:tcPr>
          <w:p w:rsidR="00000000" w:rsidRDefault="00000000">
            <w:pPr>
              <w:pStyle w:val="a2"/>
              <w:ind w:right="57"/>
              <w:jc w:val="right"/>
              <w:rPr>
                <w:sz w:val="18"/>
              </w:rPr>
            </w:pPr>
            <w:r>
              <w:rPr>
                <w:sz w:val="18"/>
              </w:rPr>
              <w:t>66</w:t>
            </w:r>
            <w:r>
              <w:rPr>
                <w:rFonts w:hint="eastAsia"/>
                <w:sz w:val="18"/>
              </w:rPr>
              <w:t>.</w:t>
            </w:r>
            <w:r>
              <w:rPr>
                <w:sz w:val="18"/>
              </w:rPr>
              <w:t>80</w:t>
            </w:r>
          </w:p>
        </w:tc>
        <w:tc>
          <w:tcPr>
            <w:tcW w:w="397" w:type="pct"/>
            <w:tcBorders>
              <w:top w:val="nil"/>
              <w:bottom w:val="nil"/>
            </w:tcBorders>
          </w:tcPr>
          <w:p w:rsidR="00000000" w:rsidRDefault="00000000">
            <w:pPr>
              <w:pStyle w:val="a2"/>
              <w:ind w:right="57"/>
              <w:jc w:val="right"/>
              <w:rPr>
                <w:sz w:val="18"/>
              </w:rPr>
            </w:pPr>
            <w:r>
              <w:rPr>
                <w:sz w:val="18"/>
              </w:rPr>
              <w:t>74</w:t>
            </w:r>
            <w:r>
              <w:rPr>
                <w:rFonts w:hint="eastAsia"/>
                <w:sz w:val="18"/>
              </w:rPr>
              <w:t>.</w:t>
            </w:r>
            <w:r>
              <w:rPr>
                <w:sz w:val="18"/>
              </w:rPr>
              <w:t>66</w:t>
            </w:r>
          </w:p>
        </w:tc>
        <w:tc>
          <w:tcPr>
            <w:tcW w:w="397" w:type="pct"/>
            <w:tcBorders>
              <w:top w:val="nil"/>
              <w:bottom w:val="nil"/>
            </w:tcBorders>
          </w:tcPr>
          <w:p w:rsidR="00000000" w:rsidRDefault="00000000">
            <w:pPr>
              <w:pStyle w:val="a2"/>
              <w:ind w:right="57"/>
              <w:jc w:val="right"/>
              <w:rPr>
                <w:sz w:val="18"/>
              </w:rPr>
            </w:pPr>
            <w:r>
              <w:rPr>
                <w:sz w:val="18"/>
              </w:rPr>
              <w:t>81</w:t>
            </w:r>
            <w:r>
              <w:rPr>
                <w:rFonts w:hint="eastAsia"/>
                <w:sz w:val="18"/>
              </w:rPr>
              <w:t>.</w:t>
            </w:r>
            <w:r>
              <w:rPr>
                <w:sz w:val="18"/>
              </w:rPr>
              <w:t>49</w:t>
            </w:r>
          </w:p>
        </w:tc>
        <w:tc>
          <w:tcPr>
            <w:tcW w:w="426" w:type="pct"/>
            <w:tcBorders>
              <w:top w:val="nil"/>
              <w:bottom w:val="nil"/>
            </w:tcBorders>
          </w:tcPr>
          <w:p w:rsidR="00000000" w:rsidRDefault="00000000">
            <w:pPr>
              <w:pStyle w:val="a2"/>
              <w:ind w:right="57"/>
              <w:jc w:val="right"/>
              <w:rPr>
                <w:sz w:val="18"/>
              </w:rPr>
            </w:pPr>
            <w:r>
              <w:rPr>
                <w:sz w:val="18"/>
              </w:rPr>
              <w:t>86</w:t>
            </w:r>
            <w:r>
              <w:rPr>
                <w:rFonts w:hint="eastAsia"/>
                <w:sz w:val="18"/>
              </w:rPr>
              <w:t>.</w:t>
            </w:r>
            <w:r>
              <w:rPr>
                <w:sz w:val="18"/>
              </w:rPr>
              <w:t>10</w:t>
            </w:r>
          </w:p>
        </w:tc>
        <w:tc>
          <w:tcPr>
            <w:tcW w:w="410" w:type="pct"/>
            <w:tcBorders>
              <w:top w:val="nil"/>
              <w:bottom w:val="nil"/>
            </w:tcBorders>
          </w:tcPr>
          <w:p w:rsidR="00000000" w:rsidRDefault="00000000">
            <w:pPr>
              <w:pStyle w:val="a2"/>
              <w:ind w:right="57"/>
              <w:jc w:val="right"/>
              <w:rPr>
                <w:sz w:val="18"/>
              </w:rPr>
            </w:pPr>
            <w:r>
              <w:rPr>
                <w:sz w:val="18"/>
              </w:rPr>
              <w:t>94</w:t>
            </w:r>
            <w:r>
              <w:rPr>
                <w:rFonts w:hint="eastAsia"/>
                <w:sz w:val="18"/>
              </w:rPr>
              <w:t>.</w:t>
            </w:r>
            <w:r>
              <w:rPr>
                <w:sz w:val="18"/>
              </w:rPr>
              <w:t>21</w:t>
            </w:r>
          </w:p>
        </w:tc>
        <w:tc>
          <w:tcPr>
            <w:tcW w:w="349" w:type="pct"/>
            <w:tcBorders>
              <w:top w:val="nil"/>
              <w:bottom w:val="nil"/>
            </w:tcBorders>
          </w:tcPr>
          <w:p w:rsidR="00000000" w:rsidRDefault="00000000">
            <w:pPr>
              <w:pStyle w:val="a2"/>
              <w:ind w:right="57"/>
              <w:jc w:val="right"/>
              <w:rPr>
                <w:sz w:val="18"/>
              </w:rPr>
            </w:pPr>
            <w:r>
              <w:rPr>
                <w:sz w:val="18"/>
              </w:rPr>
              <w:t>100</w:t>
            </w:r>
            <w:r>
              <w:rPr>
                <w:rFonts w:hint="eastAsia"/>
                <w:sz w:val="18"/>
              </w:rPr>
              <w:t>.</w:t>
            </w:r>
            <w:r>
              <w:rPr>
                <w:sz w:val="18"/>
              </w:rPr>
              <w:t>65</w:t>
            </w:r>
          </w:p>
        </w:tc>
      </w:tr>
      <w:tr w:rsidR="00000000">
        <w:tblPrEx>
          <w:tblCellMar>
            <w:top w:w="0" w:type="dxa"/>
            <w:bottom w:w="0" w:type="dxa"/>
          </w:tblCellMar>
        </w:tblPrEx>
        <w:tc>
          <w:tcPr>
            <w:tcW w:w="984" w:type="pct"/>
            <w:tcBorders>
              <w:top w:val="nil"/>
              <w:bottom w:val="nil"/>
            </w:tcBorders>
          </w:tcPr>
          <w:p w:rsidR="00000000" w:rsidRDefault="00000000">
            <w:pPr>
              <w:pStyle w:val="a2"/>
              <w:ind w:left="57"/>
              <w:jc w:val="left"/>
              <w:rPr>
                <w:rFonts w:hint="eastAsia"/>
                <w:sz w:val="18"/>
                <w:szCs w:val="26"/>
              </w:rPr>
            </w:pPr>
            <w:r>
              <w:rPr>
                <w:rFonts w:hint="eastAsia"/>
                <w:sz w:val="18"/>
                <w:szCs w:val="26"/>
              </w:rPr>
              <w:t>公费医疗支出</w:t>
            </w:r>
          </w:p>
        </w:tc>
        <w:tc>
          <w:tcPr>
            <w:tcW w:w="416" w:type="pct"/>
            <w:tcBorders>
              <w:top w:val="nil"/>
              <w:bottom w:val="nil"/>
            </w:tcBorders>
          </w:tcPr>
          <w:p w:rsidR="00000000" w:rsidRDefault="00000000">
            <w:pPr>
              <w:pStyle w:val="a2"/>
              <w:ind w:right="57"/>
              <w:jc w:val="right"/>
              <w:rPr>
                <w:sz w:val="18"/>
              </w:rPr>
            </w:pPr>
            <w:r>
              <w:rPr>
                <w:sz w:val="18"/>
              </w:rPr>
              <w:t>50</w:t>
            </w:r>
            <w:r>
              <w:rPr>
                <w:rFonts w:hint="eastAsia"/>
                <w:sz w:val="18"/>
              </w:rPr>
              <w:t>.</w:t>
            </w:r>
            <w:r>
              <w:rPr>
                <w:sz w:val="18"/>
              </w:rPr>
              <w:t>41</w:t>
            </w:r>
          </w:p>
        </w:tc>
        <w:tc>
          <w:tcPr>
            <w:tcW w:w="418" w:type="pct"/>
            <w:tcBorders>
              <w:top w:val="nil"/>
              <w:bottom w:val="nil"/>
            </w:tcBorders>
          </w:tcPr>
          <w:p w:rsidR="00000000" w:rsidRDefault="00000000">
            <w:pPr>
              <w:pStyle w:val="a2"/>
              <w:ind w:right="57"/>
              <w:jc w:val="right"/>
              <w:rPr>
                <w:sz w:val="18"/>
              </w:rPr>
            </w:pPr>
            <w:r>
              <w:rPr>
                <w:sz w:val="18"/>
              </w:rPr>
              <w:t>58</w:t>
            </w:r>
            <w:r>
              <w:rPr>
                <w:rFonts w:hint="eastAsia"/>
                <w:sz w:val="18"/>
              </w:rPr>
              <w:t>.</w:t>
            </w:r>
            <w:r>
              <w:rPr>
                <w:sz w:val="18"/>
              </w:rPr>
              <w:t>10</w:t>
            </w:r>
          </w:p>
        </w:tc>
        <w:tc>
          <w:tcPr>
            <w:tcW w:w="418" w:type="pct"/>
            <w:tcBorders>
              <w:top w:val="nil"/>
              <w:bottom w:val="nil"/>
            </w:tcBorders>
          </w:tcPr>
          <w:p w:rsidR="00000000" w:rsidRDefault="00000000">
            <w:pPr>
              <w:pStyle w:val="a2"/>
              <w:ind w:right="57"/>
              <w:jc w:val="right"/>
              <w:rPr>
                <w:sz w:val="18"/>
              </w:rPr>
            </w:pPr>
            <w:r>
              <w:rPr>
                <w:sz w:val="18"/>
              </w:rPr>
              <w:t>76</w:t>
            </w:r>
            <w:r>
              <w:rPr>
                <w:rFonts w:hint="eastAsia"/>
                <w:sz w:val="18"/>
              </w:rPr>
              <w:t>.</w:t>
            </w:r>
            <w:r>
              <w:rPr>
                <w:sz w:val="18"/>
              </w:rPr>
              <w:t>33</w:t>
            </w:r>
          </w:p>
        </w:tc>
        <w:tc>
          <w:tcPr>
            <w:tcW w:w="418" w:type="pct"/>
            <w:tcBorders>
              <w:top w:val="nil"/>
              <w:bottom w:val="nil"/>
            </w:tcBorders>
          </w:tcPr>
          <w:p w:rsidR="00000000" w:rsidRDefault="00000000">
            <w:pPr>
              <w:pStyle w:val="a2"/>
              <w:ind w:right="57"/>
              <w:jc w:val="right"/>
              <w:rPr>
                <w:sz w:val="18"/>
              </w:rPr>
            </w:pPr>
            <w:r>
              <w:rPr>
                <w:sz w:val="18"/>
              </w:rPr>
              <w:t>92</w:t>
            </w:r>
            <w:r>
              <w:rPr>
                <w:rFonts w:hint="eastAsia"/>
                <w:sz w:val="18"/>
              </w:rPr>
              <w:t>.</w:t>
            </w:r>
            <w:r>
              <w:rPr>
                <w:sz w:val="18"/>
              </w:rPr>
              <w:t>02</w:t>
            </w:r>
          </w:p>
        </w:tc>
        <w:tc>
          <w:tcPr>
            <w:tcW w:w="368" w:type="pct"/>
            <w:tcBorders>
              <w:top w:val="nil"/>
              <w:bottom w:val="nil"/>
            </w:tcBorders>
          </w:tcPr>
          <w:p w:rsidR="00000000" w:rsidRDefault="00000000">
            <w:pPr>
              <w:pStyle w:val="a2"/>
              <w:ind w:right="57"/>
              <w:jc w:val="right"/>
              <w:rPr>
                <w:sz w:val="18"/>
              </w:rPr>
            </w:pPr>
            <w:r>
              <w:rPr>
                <w:sz w:val="18"/>
              </w:rPr>
              <w:t>112</w:t>
            </w:r>
            <w:r>
              <w:rPr>
                <w:rFonts w:hint="eastAsia"/>
                <w:sz w:val="18"/>
              </w:rPr>
              <w:t>.</w:t>
            </w:r>
            <w:r>
              <w:rPr>
                <w:sz w:val="18"/>
              </w:rPr>
              <w:t>29</w:t>
            </w:r>
          </w:p>
        </w:tc>
        <w:tc>
          <w:tcPr>
            <w:tcW w:w="397" w:type="pct"/>
            <w:tcBorders>
              <w:top w:val="nil"/>
              <w:bottom w:val="nil"/>
            </w:tcBorders>
          </w:tcPr>
          <w:p w:rsidR="00000000" w:rsidRDefault="00000000">
            <w:pPr>
              <w:pStyle w:val="a2"/>
              <w:ind w:right="57"/>
              <w:jc w:val="right"/>
              <w:rPr>
                <w:sz w:val="18"/>
              </w:rPr>
            </w:pPr>
            <w:r>
              <w:rPr>
                <w:sz w:val="18"/>
              </w:rPr>
              <w:t>135</w:t>
            </w:r>
            <w:r>
              <w:rPr>
                <w:rFonts w:hint="eastAsia"/>
                <w:sz w:val="18"/>
              </w:rPr>
              <w:t>.</w:t>
            </w:r>
            <w:r>
              <w:rPr>
                <w:sz w:val="18"/>
              </w:rPr>
              <w:t>99</w:t>
            </w:r>
          </w:p>
        </w:tc>
        <w:tc>
          <w:tcPr>
            <w:tcW w:w="397" w:type="pct"/>
            <w:tcBorders>
              <w:top w:val="nil"/>
              <w:bottom w:val="nil"/>
            </w:tcBorders>
          </w:tcPr>
          <w:p w:rsidR="00000000" w:rsidRDefault="00000000">
            <w:pPr>
              <w:pStyle w:val="a2"/>
              <w:ind w:right="57"/>
              <w:jc w:val="right"/>
              <w:rPr>
                <w:sz w:val="18"/>
              </w:rPr>
            </w:pPr>
            <w:r>
              <w:rPr>
                <w:sz w:val="18"/>
              </w:rPr>
              <w:t>159</w:t>
            </w:r>
            <w:r>
              <w:rPr>
                <w:rFonts w:hint="eastAsia"/>
                <w:sz w:val="18"/>
              </w:rPr>
              <w:t>.</w:t>
            </w:r>
            <w:r>
              <w:rPr>
                <w:sz w:val="18"/>
              </w:rPr>
              <w:t>76</w:t>
            </w:r>
          </w:p>
        </w:tc>
        <w:tc>
          <w:tcPr>
            <w:tcW w:w="426" w:type="pct"/>
            <w:tcBorders>
              <w:top w:val="nil"/>
              <w:bottom w:val="nil"/>
            </w:tcBorders>
          </w:tcPr>
          <w:p w:rsidR="00000000" w:rsidRDefault="00000000">
            <w:pPr>
              <w:pStyle w:val="a2"/>
              <w:ind w:right="57"/>
              <w:jc w:val="right"/>
              <w:rPr>
                <w:sz w:val="18"/>
              </w:rPr>
            </w:pPr>
            <w:r>
              <w:rPr>
                <w:sz w:val="18"/>
              </w:rPr>
              <w:t>176</w:t>
            </w:r>
            <w:r>
              <w:rPr>
                <w:rFonts w:hint="eastAsia"/>
                <w:sz w:val="18"/>
              </w:rPr>
              <w:t>.</w:t>
            </w:r>
            <w:r>
              <w:rPr>
                <w:sz w:val="18"/>
              </w:rPr>
              <w:t>75</w:t>
            </w:r>
          </w:p>
        </w:tc>
        <w:tc>
          <w:tcPr>
            <w:tcW w:w="410" w:type="pct"/>
            <w:tcBorders>
              <w:top w:val="nil"/>
              <w:bottom w:val="nil"/>
            </w:tcBorders>
          </w:tcPr>
          <w:p w:rsidR="00000000" w:rsidRDefault="00000000">
            <w:pPr>
              <w:pStyle w:val="a2"/>
              <w:ind w:right="57"/>
              <w:jc w:val="right"/>
              <w:rPr>
                <w:sz w:val="18"/>
              </w:rPr>
            </w:pPr>
            <w:r>
              <w:rPr>
                <w:sz w:val="18"/>
              </w:rPr>
              <w:t>191</w:t>
            </w:r>
            <w:r>
              <w:rPr>
                <w:rFonts w:hint="eastAsia"/>
                <w:sz w:val="18"/>
              </w:rPr>
              <w:t>.</w:t>
            </w:r>
            <w:r>
              <w:rPr>
                <w:sz w:val="18"/>
              </w:rPr>
              <w:t>27</w:t>
            </w:r>
          </w:p>
        </w:tc>
        <w:tc>
          <w:tcPr>
            <w:tcW w:w="349" w:type="pct"/>
            <w:tcBorders>
              <w:top w:val="nil"/>
              <w:bottom w:val="nil"/>
            </w:tcBorders>
          </w:tcPr>
          <w:p w:rsidR="00000000" w:rsidRDefault="00000000">
            <w:pPr>
              <w:pStyle w:val="a2"/>
              <w:ind w:right="57"/>
              <w:jc w:val="right"/>
              <w:rPr>
                <w:sz w:val="18"/>
              </w:rPr>
            </w:pPr>
            <w:r>
              <w:rPr>
                <w:sz w:val="18"/>
              </w:rPr>
              <w:t>211</w:t>
            </w:r>
            <w:r>
              <w:rPr>
                <w:rFonts w:hint="eastAsia"/>
                <w:sz w:val="18"/>
              </w:rPr>
              <w:t>.</w:t>
            </w:r>
            <w:r>
              <w:rPr>
                <w:sz w:val="18"/>
              </w:rPr>
              <w:t>00</w:t>
            </w:r>
          </w:p>
        </w:tc>
      </w:tr>
      <w:tr w:rsidR="00000000">
        <w:tblPrEx>
          <w:tblCellMar>
            <w:top w:w="0" w:type="dxa"/>
            <w:bottom w:w="0" w:type="dxa"/>
          </w:tblCellMar>
        </w:tblPrEx>
        <w:tc>
          <w:tcPr>
            <w:tcW w:w="984" w:type="pct"/>
            <w:tcBorders>
              <w:top w:val="nil"/>
            </w:tcBorders>
          </w:tcPr>
          <w:p w:rsidR="00000000" w:rsidRDefault="00000000">
            <w:pPr>
              <w:pStyle w:val="a2"/>
              <w:spacing w:line="240" w:lineRule="auto"/>
              <w:ind w:left="57"/>
              <w:jc w:val="left"/>
              <w:rPr>
                <w:rFonts w:hint="eastAsia"/>
                <w:sz w:val="18"/>
                <w:szCs w:val="26"/>
              </w:rPr>
            </w:pPr>
            <w:r>
              <w:rPr>
                <w:rFonts w:hint="eastAsia"/>
                <w:sz w:val="18"/>
                <w:szCs w:val="26"/>
              </w:rPr>
              <w:t>政府</w:t>
            </w:r>
            <w:r>
              <w:rPr>
                <w:rFonts w:hint="eastAsia"/>
                <w:sz w:val="18"/>
                <w:szCs w:val="26"/>
              </w:rPr>
              <w:t>PHC</w:t>
            </w:r>
            <w:r>
              <w:rPr>
                <w:rFonts w:hint="eastAsia"/>
                <w:sz w:val="18"/>
                <w:szCs w:val="26"/>
              </w:rPr>
              <w:t>支出占政府卫生支出的</w:t>
            </w:r>
            <w:r>
              <w:rPr>
                <w:rFonts w:hint="eastAsia"/>
                <w:sz w:val="18"/>
                <w:szCs w:val="26"/>
              </w:rPr>
              <w:t>%</w:t>
            </w:r>
          </w:p>
        </w:tc>
        <w:tc>
          <w:tcPr>
            <w:tcW w:w="416" w:type="pct"/>
            <w:tcBorders>
              <w:top w:val="nil"/>
            </w:tcBorders>
          </w:tcPr>
          <w:p w:rsidR="00000000" w:rsidRDefault="00000000">
            <w:pPr>
              <w:pStyle w:val="a2"/>
              <w:ind w:right="57"/>
              <w:jc w:val="right"/>
              <w:rPr>
                <w:sz w:val="18"/>
              </w:rPr>
            </w:pPr>
            <w:r>
              <w:rPr>
                <w:sz w:val="18"/>
              </w:rPr>
              <w:t>43.49</w:t>
            </w:r>
          </w:p>
        </w:tc>
        <w:tc>
          <w:tcPr>
            <w:tcW w:w="418" w:type="pct"/>
            <w:tcBorders>
              <w:top w:val="nil"/>
            </w:tcBorders>
          </w:tcPr>
          <w:p w:rsidR="00000000" w:rsidRDefault="00000000">
            <w:pPr>
              <w:pStyle w:val="a2"/>
              <w:ind w:right="57"/>
              <w:jc w:val="right"/>
              <w:rPr>
                <w:sz w:val="18"/>
              </w:rPr>
            </w:pPr>
            <w:r>
              <w:rPr>
                <w:sz w:val="18"/>
              </w:rPr>
              <w:t>44.60</w:t>
            </w:r>
          </w:p>
        </w:tc>
        <w:tc>
          <w:tcPr>
            <w:tcW w:w="418" w:type="pct"/>
            <w:tcBorders>
              <w:top w:val="nil"/>
            </w:tcBorders>
          </w:tcPr>
          <w:p w:rsidR="00000000" w:rsidRDefault="00000000">
            <w:pPr>
              <w:pStyle w:val="a2"/>
              <w:ind w:right="57"/>
              <w:jc w:val="right"/>
              <w:rPr>
                <w:sz w:val="18"/>
              </w:rPr>
            </w:pPr>
            <w:r>
              <w:rPr>
                <w:sz w:val="18"/>
              </w:rPr>
              <w:t>45.49</w:t>
            </w:r>
          </w:p>
        </w:tc>
        <w:tc>
          <w:tcPr>
            <w:tcW w:w="418" w:type="pct"/>
            <w:tcBorders>
              <w:top w:val="nil"/>
            </w:tcBorders>
          </w:tcPr>
          <w:p w:rsidR="00000000" w:rsidRDefault="00000000">
            <w:pPr>
              <w:pStyle w:val="a2"/>
              <w:ind w:right="57"/>
              <w:jc w:val="right"/>
              <w:rPr>
                <w:sz w:val="18"/>
              </w:rPr>
            </w:pPr>
            <w:r>
              <w:rPr>
                <w:sz w:val="18"/>
              </w:rPr>
              <w:t>45.01</w:t>
            </w:r>
          </w:p>
        </w:tc>
        <w:tc>
          <w:tcPr>
            <w:tcW w:w="368" w:type="pct"/>
            <w:tcBorders>
              <w:top w:val="nil"/>
            </w:tcBorders>
          </w:tcPr>
          <w:p w:rsidR="00000000" w:rsidRDefault="00000000">
            <w:pPr>
              <w:pStyle w:val="a2"/>
              <w:ind w:right="57"/>
              <w:jc w:val="right"/>
              <w:rPr>
                <w:sz w:val="18"/>
              </w:rPr>
            </w:pPr>
            <w:r>
              <w:rPr>
                <w:sz w:val="18"/>
              </w:rPr>
              <w:t>46.75</w:t>
            </w:r>
          </w:p>
        </w:tc>
        <w:tc>
          <w:tcPr>
            <w:tcW w:w="397" w:type="pct"/>
            <w:tcBorders>
              <w:top w:val="nil"/>
            </w:tcBorders>
          </w:tcPr>
          <w:p w:rsidR="00000000" w:rsidRDefault="00000000">
            <w:pPr>
              <w:pStyle w:val="a2"/>
              <w:ind w:right="57"/>
              <w:jc w:val="right"/>
              <w:rPr>
                <w:sz w:val="18"/>
              </w:rPr>
            </w:pPr>
            <w:r>
              <w:rPr>
                <w:sz w:val="18"/>
              </w:rPr>
              <w:t>45.70</w:t>
            </w:r>
          </w:p>
        </w:tc>
        <w:tc>
          <w:tcPr>
            <w:tcW w:w="397" w:type="pct"/>
            <w:tcBorders>
              <w:top w:val="nil"/>
            </w:tcBorders>
          </w:tcPr>
          <w:p w:rsidR="00000000" w:rsidRDefault="00000000">
            <w:pPr>
              <w:pStyle w:val="a2"/>
              <w:ind w:right="57"/>
              <w:jc w:val="right"/>
              <w:rPr>
                <w:sz w:val="18"/>
              </w:rPr>
            </w:pPr>
            <w:r>
              <w:rPr>
                <w:sz w:val="18"/>
              </w:rPr>
              <w:t>46.21</w:t>
            </w:r>
          </w:p>
        </w:tc>
        <w:tc>
          <w:tcPr>
            <w:tcW w:w="426" w:type="pct"/>
            <w:tcBorders>
              <w:top w:val="nil"/>
            </w:tcBorders>
          </w:tcPr>
          <w:p w:rsidR="00000000" w:rsidRDefault="00000000">
            <w:pPr>
              <w:pStyle w:val="a2"/>
              <w:ind w:right="57"/>
              <w:jc w:val="right"/>
              <w:rPr>
                <w:sz w:val="18"/>
              </w:rPr>
            </w:pPr>
            <w:r>
              <w:rPr>
                <w:sz w:val="18"/>
              </w:rPr>
              <w:t>44.76</w:t>
            </w:r>
          </w:p>
        </w:tc>
        <w:tc>
          <w:tcPr>
            <w:tcW w:w="410" w:type="pct"/>
            <w:tcBorders>
              <w:top w:val="nil"/>
            </w:tcBorders>
          </w:tcPr>
          <w:p w:rsidR="00000000" w:rsidRDefault="00000000">
            <w:pPr>
              <w:pStyle w:val="a2"/>
              <w:ind w:right="57"/>
              <w:jc w:val="right"/>
              <w:rPr>
                <w:sz w:val="18"/>
              </w:rPr>
            </w:pPr>
            <w:r>
              <w:rPr>
                <w:sz w:val="18"/>
              </w:rPr>
              <w:t>44.54</w:t>
            </w:r>
          </w:p>
        </w:tc>
        <w:tc>
          <w:tcPr>
            <w:tcW w:w="349" w:type="pct"/>
            <w:tcBorders>
              <w:top w:val="nil"/>
            </w:tcBorders>
          </w:tcPr>
          <w:p w:rsidR="00000000" w:rsidRDefault="00000000">
            <w:pPr>
              <w:pStyle w:val="a2"/>
              <w:ind w:right="57"/>
              <w:jc w:val="right"/>
              <w:rPr>
                <w:sz w:val="18"/>
              </w:rPr>
            </w:pPr>
            <w:r>
              <w:rPr>
                <w:sz w:val="18"/>
              </w:rPr>
              <w:t>43.92</w:t>
            </w:r>
          </w:p>
        </w:tc>
      </w:tr>
    </w:tbl>
    <w:p w:rsidR="00000000" w:rsidRDefault="00000000">
      <w:pPr>
        <w:spacing w:before="120"/>
        <w:rPr>
          <w:rFonts w:eastAsia="KaiTi_GB2312" w:hint="eastAsia"/>
          <w:snapToGrid/>
          <w:spacing w:val="0"/>
          <w:sz w:val="22"/>
        </w:rPr>
      </w:pPr>
      <w:r>
        <w:rPr>
          <w:rFonts w:eastAsia="KaiTi_GB2312" w:hint="eastAsia"/>
          <w:snapToGrid/>
          <w:spacing w:val="0"/>
        </w:rPr>
        <w:tab/>
      </w:r>
      <w:r>
        <w:rPr>
          <w:rFonts w:eastAsia="KaiTi_GB2312" w:hint="eastAsia"/>
          <w:snapToGrid/>
          <w:spacing w:val="0"/>
          <w:sz w:val="22"/>
          <w:u w:val="single"/>
        </w:rPr>
        <w:t>资料来源</w:t>
      </w:r>
      <w:r>
        <w:rPr>
          <w:rFonts w:eastAsia="KaiTi_GB2312" w:hint="eastAsia"/>
          <w:snapToGrid/>
          <w:spacing w:val="0"/>
          <w:sz w:val="22"/>
        </w:rPr>
        <w:t>：卫生部卫生经济研究所提供。</w:t>
      </w:r>
    </w:p>
    <w:p w:rsidR="00000000" w:rsidRDefault="00000000">
      <w:pPr>
        <w:spacing w:before="120"/>
        <w:rPr>
          <w:rFonts w:eastAsia="KaiTi_GB2312" w:hint="eastAsia"/>
          <w:snapToGrid/>
          <w:spacing w:val="0"/>
          <w:sz w:val="22"/>
        </w:rPr>
      </w:pPr>
    </w:p>
    <w:p w:rsidR="00000000" w:rsidRDefault="00000000">
      <w:pPr>
        <w:spacing w:after="320"/>
        <w:jc w:val="center"/>
        <w:rPr>
          <w:rFonts w:hint="eastAsia"/>
        </w:rPr>
      </w:pPr>
      <w:r>
        <w:br w:type="page"/>
      </w:r>
      <w:r>
        <w:rPr>
          <w:rFonts w:hint="eastAsia"/>
          <w:u w:val="single"/>
        </w:rPr>
        <w:t>表</w:t>
      </w:r>
      <w:r>
        <w:rPr>
          <w:rFonts w:hint="eastAsia"/>
          <w:u w:val="single"/>
        </w:rPr>
        <w:t>16</w:t>
      </w:r>
      <w:r>
        <w:rPr>
          <w:rFonts w:hint="eastAsia"/>
        </w:rPr>
        <w:t xml:space="preserve">.  </w:t>
      </w:r>
      <w:r>
        <w:rPr>
          <w:rFonts w:hint="eastAsia"/>
          <w:u w:val="single"/>
        </w:rPr>
        <w:t>1991-2000</w:t>
      </w:r>
      <w:r>
        <w:rPr>
          <w:rFonts w:hint="eastAsia"/>
          <w:u w:val="single"/>
        </w:rPr>
        <w:t>年监测地区城市</w:t>
      </w:r>
      <w:r>
        <w:rPr>
          <w:rFonts w:hint="eastAsia"/>
        </w:rPr>
        <w:t>、</w:t>
      </w:r>
      <w:r>
        <w:rPr>
          <w:u w:val="single"/>
        </w:rPr>
        <w:br/>
      </w:r>
      <w:r>
        <w:rPr>
          <w:rFonts w:hint="eastAsia"/>
        </w:rPr>
        <w:t xml:space="preserve">      </w:t>
      </w:r>
      <w:r>
        <w:rPr>
          <w:rFonts w:hint="eastAsia"/>
          <w:u w:val="single"/>
        </w:rPr>
        <w:t>农村</w:t>
      </w:r>
      <w:r>
        <w:rPr>
          <w:rFonts w:hint="eastAsia"/>
          <w:u w:val="single"/>
        </w:rPr>
        <w:t>5</w:t>
      </w:r>
      <w:r>
        <w:rPr>
          <w:rFonts w:hint="eastAsia"/>
          <w:u w:val="single"/>
        </w:rPr>
        <w:t>岁以下儿童死亡率</w:t>
      </w:r>
      <w:r>
        <w:rPr>
          <w:rFonts w:hint="eastAsia"/>
          <w:u w:val="single"/>
        </w:rPr>
        <w:t>(</w:t>
      </w:r>
      <w:r>
        <w:rPr>
          <w:rFonts w:hint="eastAsia"/>
          <w:u w:val="single"/>
        </w:rPr>
        <w:t>‰</w:t>
      </w:r>
      <w:r>
        <w:rPr>
          <w:rFonts w:hint="eastAsia"/>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93"/>
        <w:gridCol w:w="783"/>
        <w:gridCol w:w="1007"/>
        <w:gridCol w:w="1007"/>
        <w:gridCol w:w="785"/>
        <w:gridCol w:w="1005"/>
        <w:gridCol w:w="1080"/>
        <w:gridCol w:w="871"/>
        <w:gridCol w:w="1065"/>
        <w:gridCol w:w="1014"/>
      </w:tblGrid>
      <w:tr w:rsidR="00000000">
        <w:tblPrEx>
          <w:tblCellMar>
            <w:top w:w="0" w:type="dxa"/>
            <w:bottom w:w="0" w:type="dxa"/>
          </w:tblCellMar>
        </w:tblPrEx>
        <w:trPr>
          <w:cantSplit/>
        </w:trPr>
        <w:tc>
          <w:tcPr>
            <w:tcW w:w="421" w:type="pct"/>
            <w:vMerge w:val="restart"/>
          </w:tcPr>
          <w:p w:rsidR="00000000" w:rsidRDefault="00000000">
            <w:pPr>
              <w:pStyle w:val="a2"/>
              <w:jc w:val="center"/>
              <w:rPr>
                <w:rFonts w:ascii="Time New Roman" w:eastAsia="SimHei" w:hAnsi="Time New Roman"/>
              </w:rPr>
            </w:pPr>
          </w:p>
        </w:tc>
        <w:tc>
          <w:tcPr>
            <w:tcW w:w="1486" w:type="pct"/>
            <w:gridSpan w:val="3"/>
          </w:tcPr>
          <w:p w:rsidR="00000000" w:rsidRDefault="00000000">
            <w:pPr>
              <w:pStyle w:val="a2"/>
              <w:jc w:val="center"/>
              <w:rPr>
                <w:rFonts w:ascii="Time New Roman" w:eastAsia="SimHei" w:hAnsi="Time New Roman" w:hint="eastAsia"/>
                <w:szCs w:val="28"/>
              </w:rPr>
            </w:pPr>
            <w:r>
              <w:rPr>
                <w:rFonts w:ascii="Time New Roman" w:eastAsia="SimHei" w:hAnsi="Time New Roman" w:hint="eastAsia"/>
                <w:szCs w:val="28"/>
              </w:rPr>
              <w:t>全</w:t>
            </w:r>
            <w:r>
              <w:rPr>
                <w:rFonts w:ascii="Time New Roman" w:eastAsia="SimHei" w:hAnsi="Time New Roman" w:hint="eastAsia"/>
                <w:szCs w:val="28"/>
              </w:rPr>
              <w:t xml:space="preserve">  </w:t>
            </w:r>
            <w:r>
              <w:rPr>
                <w:rFonts w:ascii="Time New Roman" w:eastAsia="SimHei" w:hAnsi="Time New Roman" w:hint="eastAsia"/>
                <w:szCs w:val="28"/>
              </w:rPr>
              <w:t>国</w:t>
            </w:r>
          </w:p>
        </w:tc>
        <w:tc>
          <w:tcPr>
            <w:tcW w:w="1525" w:type="pct"/>
            <w:gridSpan w:val="3"/>
          </w:tcPr>
          <w:p w:rsidR="00000000" w:rsidRDefault="00000000">
            <w:pPr>
              <w:pStyle w:val="a2"/>
              <w:jc w:val="center"/>
              <w:rPr>
                <w:rFonts w:ascii="Time New Roman" w:eastAsia="SimHei" w:hAnsi="Time New Roman" w:hint="eastAsia"/>
                <w:szCs w:val="28"/>
              </w:rPr>
            </w:pPr>
            <w:r>
              <w:rPr>
                <w:rFonts w:ascii="Time New Roman" w:eastAsia="SimHei" w:hAnsi="Time New Roman" w:hint="eastAsia"/>
                <w:szCs w:val="28"/>
              </w:rPr>
              <w:t>城</w:t>
            </w:r>
            <w:r>
              <w:rPr>
                <w:rFonts w:ascii="Time New Roman" w:eastAsia="SimHei" w:hAnsi="Time New Roman" w:hint="eastAsia"/>
                <w:szCs w:val="28"/>
              </w:rPr>
              <w:t xml:space="preserve">  </w:t>
            </w:r>
            <w:r>
              <w:rPr>
                <w:rFonts w:ascii="Time New Roman" w:eastAsia="SimHei" w:hAnsi="Time New Roman" w:hint="eastAsia"/>
                <w:szCs w:val="28"/>
              </w:rPr>
              <w:t>市</w:t>
            </w:r>
          </w:p>
        </w:tc>
        <w:tc>
          <w:tcPr>
            <w:tcW w:w="1567" w:type="pct"/>
            <w:gridSpan w:val="3"/>
          </w:tcPr>
          <w:p w:rsidR="00000000" w:rsidRDefault="00000000">
            <w:pPr>
              <w:pStyle w:val="a2"/>
              <w:jc w:val="center"/>
              <w:rPr>
                <w:rFonts w:ascii="Time New Roman" w:eastAsia="SimHei" w:hAnsi="Time New Roman" w:hint="eastAsia"/>
                <w:szCs w:val="28"/>
              </w:rPr>
            </w:pPr>
            <w:r>
              <w:rPr>
                <w:rFonts w:ascii="Time New Roman" w:eastAsia="SimHei" w:hAnsi="Time New Roman" w:hint="eastAsia"/>
                <w:szCs w:val="28"/>
              </w:rPr>
              <w:t>农</w:t>
            </w:r>
            <w:r>
              <w:rPr>
                <w:rFonts w:ascii="Time New Roman" w:eastAsia="SimHei" w:hAnsi="Time New Roman" w:hint="eastAsia"/>
                <w:szCs w:val="28"/>
              </w:rPr>
              <w:t xml:space="preserve">  </w:t>
            </w:r>
            <w:r>
              <w:rPr>
                <w:rFonts w:ascii="Time New Roman" w:eastAsia="SimHei" w:hAnsi="Time New Roman" w:hint="eastAsia"/>
                <w:szCs w:val="28"/>
              </w:rPr>
              <w:t>村</w:t>
            </w:r>
          </w:p>
        </w:tc>
      </w:tr>
      <w:tr w:rsidR="00000000">
        <w:tblPrEx>
          <w:tblCellMar>
            <w:top w:w="0" w:type="dxa"/>
            <w:bottom w:w="0" w:type="dxa"/>
          </w:tblCellMar>
        </w:tblPrEx>
        <w:trPr>
          <w:cantSplit/>
        </w:trPr>
        <w:tc>
          <w:tcPr>
            <w:tcW w:w="421" w:type="pct"/>
            <w:vMerge/>
            <w:tcBorders>
              <w:bottom w:val="single" w:sz="4" w:space="0" w:color="auto"/>
            </w:tcBorders>
          </w:tcPr>
          <w:p w:rsidR="00000000" w:rsidRDefault="00000000">
            <w:pPr>
              <w:pStyle w:val="a2"/>
              <w:jc w:val="center"/>
              <w:rPr>
                <w:rFonts w:ascii="Time New Roman" w:eastAsia="SimHei" w:hAnsi="Time New Roman"/>
              </w:rPr>
            </w:pPr>
          </w:p>
        </w:tc>
        <w:tc>
          <w:tcPr>
            <w:tcW w:w="416" w:type="pct"/>
            <w:tcBorders>
              <w:bottom w:val="single" w:sz="4" w:space="0" w:color="auto"/>
            </w:tcBorders>
          </w:tcPr>
          <w:p w:rsidR="00000000" w:rsidRDefault="00000000">
            <w:pPr>
              <w:pStyle w:val="a2"/>
              <w:spacing w:line="240" w:lineRule="auto"/>
              <w:jc w:val="center"/>
              <w:rPr>
                <w:rFonts w:ascii="Time New Roman" w:eastAsia="SimHei" w:hAnsi="Time New Roman" w:hint="eastAsia"/>
                <w:spacing w:val="-10"/>
                <w:sz w:val="20"/>
              </w:rPr>
            </w:pPr>
            <w:r>
              <w:rPr>
                <w:rFonts w:ascii="Time New Roman" w:eastAsia="SimHei" w:hAnsi="Time New Roman" w:hint="eastAsia"/>
                <w:spacing w:val="-10"/>
                <w:sz w:val="20"/>
              </w:rPr>
              <w:t>新生儿</w:t>
            </w:r>
            <w:r>
              <w:rPr>
                <w:rFonts w:ascii="Time New Roman" w:eastAsia="SimHei" w:hAnsi="Time New Roman"/>
                <w:spacing w:val="-10"/>
                <w:sz w:val="20"/>
              </w:rPr>
              <w:br/>
            </w:r>
            <w:r>
              <w:rPr>
                <w:rFonts w:ascii="Time New Roman" w:eastAsia="SimHei" w:hAnsi="Time New Roman" w:hint="eastAsia"/>
                <w:spacing w:val="-10"/>
                <w:sz w:val="20"/>
              </w:rPr>
              <w:t>死亡率</w:t>
            </w:r>
          </w:p>
        </w:tc>
        <w:tc>
          <w:tcPr>
            <w:tcW w:w="535" w:type="pct"/>
            <w:tcBorders>
              <w:bottom w:val="single" w:sz="4" w:space="0" w:color="auto"/>
            </w:tcBorders>
            <w:vAlign w:val="center"/>
          </w:tcPr>
          <w:p w:rsidR="00000000" w:rsidRDefault="00000000">
            <w:pPr>
              <w:pStyle w:val="a2"/>
              <w:spacing w:line="240" w:lineRule="auto"/>
              <w:jc w:val="center"/>
              <w:rPr>
                <w:rFonts w:ascii="Time New Roman" w:eastAsia="SimHei" w:hAnsi="Time New Roman" w:hint="eastAsia"/>
                <w:spacing w:val="-10"/>
                <w:sz w:val="20"/>
              </w:rPr>
            </w:pPr>
            <w:r>
              <w:rPr>
                <w:rFonts w:ascii="Time New Roman" w:eastAsia="SimHei" w:hAnsi="Time New Roman" w:hint="eastAsia"/>
                <w:spacing w:val="-10"/>
                <w:sz w:val="20"/>
              </w:rPr>
              <w:t>婴儿死亡率</w:t>
            </w:r>
          </w:p>
        </w:tc>
        <w:tc>
          <w:tcPr>
            <w:tcW w:w="535" w:type="pct"/>
            <w:tcBorders>
              <w:bottom w:val="single" w:sz="4" w:space="0" w:color="auto"/>
            </w:tcBorders>
          </w:tcPr>
          <w:p w:rsidR="00000000" w:rsidRDefault="00000000">
            <w:pPr>
              <w:pStyle w:val="a2"/>
              <w:spacing w:line="240" w:lineRule="auto"/>
              <w:jc w:val="center"/>
              <w:rPr>
                <w:rFonts w:ascii="Time New Roman" w:eastAsia="SimHei" w:hAnsi="Time New Roman" w:hint="eastAsia"/>
                <w:spacing w:val="-10"/>
                <w:sz w:val="20"/>
                <w:szCs w:val="28"/>
              </w:rPr>
            </w:pPr>
            <w:r>
              <w:rPr>
                <w:rFonts w:ascii="Time New Roman" w:eastAsia="SimHei" w:hAnsi="Time New Roman" w:hint="eastAsia"/>
                <w:b/>
                <w:spacing w:val="-10"/>
                <w:sz w:val="20"/>
                <w:szCs w:val="28"/>
              </w:rPr>
              <w:t>5</w:t>
            </w:r>
            <w:r>
              <w:rPr>
                <w:rFonts w:ascii="Time New Roman" w:eastAsia="SimHei" w:hAnsi="Time New Roman" w:hint="eastAsia"/>
                <w:spacing w:val="-10"/>
                <w:sz w:val="20"/>
                <w:szCs w:val="28"/>
              </w:rPr>
              <w:t>岁以下</w:t>
            </w:r>
            <w:r>
              <w:rPr>
                <w:rFonts w:ascii="Time New Roman" w:eastAsia="SimHei" w:hAnsi="Time New Roman"/>
                <w:spacing w:val="-10"/>
                <w:sz w:val="20"/>
                <w:szCs w:val="28"/>
              </w:rPr>
              <w:br/>
            </w:r>
            <w:r>
              <w:rPr>
                <w:rFonts w:ascii="Time New Roman" w:eastAsia="SimHei" w:hAnsi="Time New Roman" w:hint="eastAsia"/>
                <w:spacing w:val="-10"/>
                <w:sz w:val="20"/>
                <w:szCs w:val="28"/>
              </w:rPr>
              <w:t>儿童死亡率</w:t>
            </w:r>
          </w:p>
        </w:tc>
        <w:tc>
          <w:tcPr>
            <w:tcW w:w="417" w:type="pct"/>
            <w:tcBorders>
              <w:bottom w:val="single" w:sz="4" w:space="0" w:color="auto"/>
            </w:tcBorders>
          </w:tcPr>
          <w:p w:rsidR="00000000" w:rsidRDefault="00000000">
            <w:pPr>
              <w:pStyle w:val="a2"/>
              <w:spacing w:line="240" w:lineRule="auto"/>
              <w:jc w:val="center"/>
              <w:rPr>
                <w:rFonts w:ascii="Time New Roman" w:eastAsia="SimHei" w:hAnsi="Time New Roman" w:hint="eastAsia"/>
                <w:spacing w:val="-10"/>
                <w:sz w:val="20"/>
              </w:rPr>
            </w:pPr>
            <w:r>
              <w:rPr>
                <w:rFonts w:ascii="Time New Roman" w:eastAsia="SimHei" w:hAnsi="Time New Roman" w:hint="eastAsia"/>
                <w:spacing w:val="-10"/>
                <w:sz w:val="20"/>
              </w:rPr>
              <w:t>新生儿</w:t>
            </w:r>
            <w:r>
              <w:rPr>
                <w:rFonts w:ascii="Time New Roman" w:eastAsia="SimHei" w:hAnsi="Time New Roman"/>
                <w:spacing w:val="-10"/>
                <w:sz w:val="20"/>
              </w:rPr>
              <w:br/>
            </w:r>
            <w:r>
              <w:rPr>
                <w:rFonts w:ascii="Time New Roman" w:eastAsia="SimHei" w:hAnsi="Time New Roman" w:hint="eastAsia"/>
                <w:spacing w:val="-10"/>
                <w:sz w:val="20"/>
              </w:rPr>
              <w:t>死亡率</w:t>
            </w:r>
          </w:p>
        </w:tc>
        <w:tc>
          <w:tcPr>
            <w:tcW w:w="534" w:type="pct"/>
            <w:tcBorders>
              <w:bottom w:val="single" w:sz="4" w:space="0" w:color="auto"/>
            </w:tcBorders>
            <w:vAlign w:val="center"/>
          </w:tcPr>
          <w:p w:rsidR="00000000" w:rsidRDefault="00000000">
            <w:pPr>
              <w:pStyle w:val="a2"/>
              <w:spacing w:line="240" w:lineRule="auto"/>
              <w:jc w:val="center"/>
              <w:rPr>
                <w:rFonts w:ascii="Time New Roman" w:eastAsia="SimHei" w:hAnsi="Time New Roman" w:hint="eastAsia"/>
                <w:spacing w:val="-10"/>
                <w:sz w:val="20"/>
              </w:rPr>
            </w:pPr>
            <w:r>
              <w:rPr>
                <w:rFonts w:ascii="Time New Roman" w:eastAsia="SimHei" w:hAnsi="Time New Roman" w:hint="eastAsia"/>
                <w:spacing w:val="-10"/>
                <w:sz w:val="20"/>
              </w:rPr>
              <w:t>婴儿死亡率</w:t>
            </w:r>
          </w:p>
        </w:tc>
        <w:tc>
          <w:tcPr>
            <w:tcW w:w="574" w:type="pct"/>
            <w:tcBorders>
              <w:bottom w:val="single" w:sz="4" w:space="0" w:color="auto"/>
            </w:tcBorders>
          </w:tcPr>
          <w:p w:rsidR="00000000" w:rsidRDefault="00000000">
            <w:pPr>
              <w:pStyle w:val="a2"/>
              <w:spacing w:line="240" w:lineRule="auto"/>
              <w:jc w:val="center"/>
              <w:rPr>
                <w:rFonts w:ascii="Time New Roman" w:eastAsia="SimHei" w:hAnsi="Time New Roman" w:hint="eastAsia"/>
                <w:spacing w:val="-10"/>
                <w:sz w:val="20"/>
                <w:szCs w:val="28"/>
              </w:rPr>
            </w:pPr>
            <w:r>
              <w:rPr>
                <w:rFonts w:ascii="Time New Roman" w:eastAsia="SimHei" w:hAnsi="Time New Roman" w:hint="eastAsia"/>
                <w:b/>
                <w:spacing w:val="-10"/>
                <w:sz w:val="20"/>
                <w:szCs w:val="28"/>
              </w:rPr>
              <w:t>5</w:t>
            </w:r>
            <w:r>
              <w:rPr>
                <w:rFonts w:ascii="Time New Roman" w:eastAsia="SimHei" w:hAnsi="Time New Roman" w:hint="eastAsia"/>
                <w:spacing w:val="-10"/>
                <w:sz w:val="20"/>
                <w:szCs w:val="28"/>
              </w:rPr>
              <w:t>岁以下</w:t>
            </w:r>
            <w:r>
              <w:rPr>
                <w:rFonts w:ascii="Time New Roman" w:eastAsia="SimHei" w:hAnsi="Time New Roman"/>
                <w:spacing w:val="-10"/>
                <w:sz w:val="20"/>
                <w:szCs w:val="28"/>
              </w:rPr>
              <w:br/>
            </w:r>
            <w:r>
              <w:rPr>
                <w:rFonts w:ascii="Time New Roman" w:eastAsia="SimHei" w:hAnsi="Time New Roman" w:hint="eastAsia"/>
                <w:spacing w:val="-10"/>
                <w:sz w:val="20"/>
                <w:szCs w:val="28"/>
              </w:rPr>
              <w:t>儿童死亡率</w:t>
            </w:r>
          </w:p>
        </w:tc>
        <w:tc>
          <w:tcPr>
            <w:tcW w:w="463" w:type="pct"/>
            <w:tcBorders>
              <w:bottom w:val="single" w:sz="4" w:space="0" w:color="auto"/>
            </w:tcBorders>
          </w:tcPr>
          <w:p w:rsidR="00000000" w:rsidRDefault="00000000">
            <w:pPr>
              <w:pStyle w:val="a2"/>
              <w:spacing w:line="240" w:lineRule="auto"/>
              <w:jc w:val="center"/>
              <w:rPr>
                <w:rFonts w:ascii="Time New Roman" w:eastAsia="SimHei" w:hAnsi="Time New Roman" w:hint="eastAsia"/>
                <w:spacing w:val="-10"/>
                <w:sz w:val="20"/>
              </w:rPr>
            </w:pPr>
            <w:r>
              <w:rPr>
                <w:rFonts w:ascii="Time New Roman" w:eastAsia="SimHei" w:hAnsi="Time New Roman" w:hint="eastAsia"/>
                <w:spacing w:val="-10"/>
                <w:sz w:val="20"/>
              </w:rPr>
              <w:t>新生儿</w:t>
            </w:r>
            <w:r>
              <w:rPr>
                <w:rFonts w:ascii="Time New Roman" w:eastAsia="SimHei" w:hAnsi="Time New Roman"/>
                <w:spacing w:val="-10"/>
                <w:sz w:val="20"/>
              </w:rPr>
              <w:br/>
            </w:r>
            <w:r>
              <w:rPr>
                <w:rFonts w:ascii="Time New Roman" w:eastAsia="SimHei" w:hAnsi="Time New Roman" w:hint="eastAsia"/>
                <w:spacing w:val="-10"/>
                <w:sz w:val="20"/>
              </w:rPr>
              <w:t>死亡率</w:t>
            </w:r>
          </w:p>
        </w:tc>
        <w:tc>
          <w:tcPr>
            <w:tcW w:w="566" w:type="pct"/>
            <w:tcBorders>
              <w:bottom w:val="single" w:sz="4" w:space="0" w:color="auto"/>
            </w:tcBorders>
            <w:vAlign w:val="center"/>
          </w:tcPr>
          <w:p w:rsidR="00000000" w:rsidRDefault="00000000">
            <w:pPr>
              <w:pStyle w:val="a2"/>
              <w:spacing w:line="240" w:lineRule="auto"/>
              <w:jc w:val="center"/>
              <w:rPr>
                <w:rFonts w:ascii="Time New Roman" w:eastAsia="SimHei" w:hAnsi="Time New Roman" w:hint="eastAsia"/>
                <w:spacing w:val="-10"/>
                <w:sz w:val="20"/>
              </w:rPr>
            </w:pPr>
            <w:r>
              <w:rPr>
                <w:rFonts w:ascii="Time New Roman" w:eastAsia="SimHei" w:hAnsi="Time New Roman" w:hint="eastAsia"/>
                <w:spacing w:val="-10"/>
                <w:sz w:val="20"/>
              </w:rPr>
              <w:t>婴儿死亡率</w:t>
            </w:r>
          </w:p>
        </w:tc>
        <w:tc>
          <w:tcPr>
            <w:tcW w:w="539" w:type="pct"/>
            <w:tcBorders>
              <w:bottom w:val="single" w:sz="4" w:space="0" w:color="auto"/>
            </w:tcBorders>
          </w:tcPr>
          <w:p w:rsidR="00000000" w:rsidRDefault="00000000">
            <w:pPr>
              <w:pStyle w:val="a2"/>
              <w:spacing w:line="240" w:lineRule="auto"/>
              <w:jc w:val="center"/>
              <w:rPr>
                <w:rFonts w:ascii="Time New Roman" w:eastAsia="SimHei" w:hAnsi="Time New Roman" w:hint="eastAsia"/>
                <w:spacing w:val="-10"/>
                <w:sz w:val="20"/>
                <w:szCs w:val="28"/>
              </w:rPr>
            </w:pPr>
            <w:r>
              <w:rPr>
                <w:rFonts w:ascii="Time New Roman" w:eastAsia="SimHei" w:hAnsi="Time New Roman" w:hint="eastAsia"/>
                <w:b/>
                <w:spacing w:val="-10"/>
                <w:sz w:val="20"/>
                <w:szCs w:val="28"/>
              </w:rPr>
              <w:t>5</w:t>
            </w:r>
            <w:r>
              <w:rPr>
                <w:rFonts w:ascii="Time New Roman" w:eastAsia="SimHei" w:hAnsi="Time New Roman" w:hint="eastAsia"/>
                <w:spacing w:val="-10"/>
                <w:sz w:val="20"/>
                <w:szCs w:val="28"/>
              </w:rPr>
              <w:t>岁以下</w:t>
            </w:r>
            <w:r>
              <w:rPr>
                <w:rFonts w:ascii="Time New Roman" w:eastAsia="SimHei" w:hAnsi="Time New Roman"/>
                <w:spacing w:val="-10"/>
                <w:sz w:val="20"/>
                <w:szCs w:val="28"/>
              </w:rPr>
              <w:br/>
            </w:r>
            <w:r>
              <w:rPr>
                <w:rFonts w:ascii="Time New Roman" w:eastAsia="SimHei" w:hAnsi="Time New Roman" w:hint="eastAsia"/>
                <w:spacing w:val="-10"/>
                <w:sz w:val="20"/>
                <w:szCs w:val="28"/>
              </w:rPr>
              <w:t>儿童死亡率</w:t>
            </w:r>
          </w:p>
        </w:tc>
      </w:tr>
      <w:tr w:rsidR="00000000">
        <w:tblPrEx>
          <w:tblCellMar>
            <w:top w:w="0" w:type="dxa"/>
            <w:bottom w:w="0" w:type="dxa"/>
          </w:tblCellMar>
        </w:tblPrEx>
        <w:tc>
          <w:tcPr>
            <w:tcW w:w="421" w:type="pct"/>
            <w:tcBorders>
              <w:bottom w:val="nil"/>
            </w:tcBorders>
          </w:tcPr>
          <w:p w:rsidR="00000000" w:rsidRDefault="00000000">
            <w:pPr>
              <w:pStyle w:val="a2"/>
            </w:pPr>
            <w:r>
              <w:t>1991</w:t>
            </w:r>
          </w:p>
        </w:tc>
        <w:tc>
          <w:tcPr>
            <w:tcW w:w="416" w:type="pct"/>
            <w:tcBorders>
              <w:bottom w:val="nil"/>
            </w:tcBorders>
            <w:vAlign w:val="center"/>
          </w:tcPr>
          <w:p w:rsidR="00000000" w:rsidRDefault="00000000">
            <w:pPr>
              <w:pStyle w:val="a2"/>
              <w:tabs>
                <w:tab w:val="decimal" w:pos="408"/>
              </w:tabs>
            </w:pPr>
            <w:r>
              <w:t>33.1</w:t>
            </w:r>
          </w:p>
        </w:tc>
        <w:tc>
          <w:tcPr>
            <w:tcW w:w="535" w:type="pct"/>
            <w:tcBorders>
              <w:bottom w:val="nil"/>
            </w:tcBorders>
            <w:vAlign w:val="center"/>
          </w:tcPr>
          <w:p w:rsidR="00000000" w:rsidRDefault="00000000">
            <w:pPr>
              <w:pStyle w:val="a2"/>
              <w:tabs>
                <w:tab w:val="decimal" w:pos="408"/>
              </w:tabs>
            </w:pPr>
            <w:r>
              <w:t>50.2</w:t>
            </w:r>
          </w:p>
        </w:tc>
        <w:tc>
          <w:tcPr>
            <w:tcW w:w="535" w:type="pct"/>
            <w:tcBorders>
              <w:bottom w:val="nil"/>
            </w:tcBorders>
            <w:vAlign w:val="center"/>
          </w:tcPr>
          <w:p w:rsidR="00000000" w:rsidRDefault="00000000">
            <w:pPr>
              <w:pStyle w:val="a2"/>
              <w:tabs>
                <w:tab w:val="decimal" w:pos="408"/>
              </w:tabs>
            </w:pPr>
            <w:r>
              <w:t>61.0</w:t>
            </w:r>
          </w:p>
        </w:tc>
        <w:tc>
          <w:tcPr>
            <w:tcW w:w="417" w:type="pct"/>
            <w:tcBorders>
              <w:bottom w:val="nil"/>
            </w:tcBorders>
            <w:vAlign w:val="center"/>
          </w:tcPr>
          <w:p w:rsidR="00000000" w:rsidRDefault="00000000">
            <w:pPr>
              <w:pStyle w:val="a2"/>
              <w:tabs>
                <w:tab w:val="decimal" w:pos="408"/>
              </w:tabs>
            </w:pPr>
            <w:r>
              <w:t>12.5</w:t>
            </w:r>
          </w:p>
        </w:tc>
        <w:tc>
          <w:tcPr>
            <w:tcW w:w="534" w:type="pct"/>
            <w:tcBorders>
              <w:bottom w:val="nil"/>
            </w:tcBorders>
            <w:vAlign w:val="center"/>
          </w:tcPr>
          <w:p w:rsidR="00000000" w:rsidRDefault="00000000">
            <w:pPr>
              <w:pStyle w:val="a2"/>
              <w:tabs>
                <w:tab w:val="decimal" w:pos="408"/>
              </w:tabs>
            </w:pPr>
            <w:r>
              <w:t>17.3</w:t>
            </w:r>
          </w:p>
        </w:tc>
        <w:tc>
          <w:tcPr>
            <w:tcW w:w="574" w:type="pct"/>
            <w:tcBorders>
              <w:bottom w:val="nil"/>
            </w:tcBorders>
            <w:vAlign w:val="center"/>
          </w:tcPr>
          <w:p w:rsidR="00000000" w:rsidRDefault="00000000">
            <w:pPr>
              <w:pStyle w:val="a2"/>
              <w:tabs>
                <w:tab w:val="decimal" w:pos="408"/>
              </w:tabs>
            </w:pPr>
            <w:r>
              <w:t>20.9</w:t>
            </w:r>
          </w:p>
        </w:tc>
        <w:tc>
          <w:tcPr>
            <w:tcW w:w="463" w:type="pct"/>
            <w:tcBorders>
              <w:bottom w:val="nil"/>
            </w:tcBorders>
            <w:vAlign w:val="center"/>
          </w:tcPr>
          <w:p w:rsidR="00000000" w:rsidRDefault="00000000">
            <w:pPr>
              <w:pStyle w:val="a2"/>
              <w:tabs>
                <w:tab w:val="decimal" w:pos="408"/>
              </w:tabs>
            </w:pPr>
            <w:r>
              <w:t>37.9</w:t>
            </w:r>
          </w:p>
        </w:tc>
        <w:tc>
          <w:tcPr>
            <w:tcW w:w="566" w:type="pct"/>
            <w:tcBorders>
              <w:bottom w:val="nil"/>
            </w:tcBorders>
            <w:vAlign w:val="center"/>
          </w:tcPr>
          <w:p w:rsidR="00000000" w:rsidRDefault="00000000">
            <w:pPr>
              <w:pStyle w:val="a2"/>
              <w:tabs>
                <w:tab w:val="decimal" w:pos="408"/>
              </w:tabs>
            </w:pPr>
            <w:r>
              <w:t>58.0</w:t>
            </w:r>
          </w:p>
        </w:tc>
        <w:tc>
          <w:tcPr>
            <w:tcW w:w="539" w:type="pct"/>
            <w:tcBorders>
              <w:bottom w:val="nil"/>
            </w:tcBorders>
            <w:vAlign w:val="center"/>
          </w:tcPr>
          <w:p w:rsidR="00000000" w:rsidRDefault="00000000">
            <w:pPr>
              <w:pStyle w:val="a2"/>
              <w:tabs>
                <w:tab w:val="decimal" w:pos="408"/>
              </w:tabs>
            </w:pPr>
            <w:r>
              <w:t>71.1</w:t>
            </w:r>
          </w:p>
        </w:tc>
      </w:tr>
      <w:tr w:rsidR="00000000">
        <w:tblPrEx>
          <w:tblCellMar>
            <w:top w:w="0" w:type="dxa"/>
            <w:bottom w:w="0" w:type="dxa"/>
          </w:tblCellMar>
        </w:tblPrEx>
        <w:tc>
          <w:tcPr>
            <w:tcW w:w="421" w:type="pct"/>
            <w:tcBorders>
              <w:top w:val="nil"/>
              <w:bottom w:val="nil"/>
            </w:tcBorders>
          </w:tcPr>
          <w:p w:rsidR="00000000" w:rsidRDefault="00000000">
            <w:pPr>
              <w:pStyle w:val="a2"/>
            </w:pPr>
            <w:r>
              <w:t>1992</w:t>
            </w:r>
          </w:p>
        </w:tc>
        <w:tc>
          <w:tcPr>
            <w:tcW w:w="416" w:type="pct"/>
            <w:tcBorders>
              <w:top w:val="nil"/>
              <w:bottom w:val="nil"/>
            </w:tcBorders>
            <w:vAlign w:val="center"/>
          </w:tcPr>
          <w:p w:rsidR="00000000" w:rsidRDefault="00000000">
            <w:pPr>
              <w:pStyle w:val="a2"/>
              <w:tabs>
                <w:tab w:val="decimal" w:pos="408"/>
              </w:tabs>
            </w:pPr>
            <w:r>
              <w:t>32.5</w:t>
            </w:r>
          </w:p>
        </w:tc>
        <w:tc>
          <w:tcPr>
            <w:tcW w:w="535" w:type="pct"/>
            <w:tcBorders>
              <w:top w:val="nil"/>
              <w:bottom w:val="nil"/>
            </w:tcBorders>
            <w:vAlign w:val="center"/>
          </w:tcPr>
          <w:p w:rsidR="00000000" w:rsidRDefault="00000000">
            <w:pPr>
              <w:pStyle w:val="a2"/>
              <w:tabs>
                <w:tab w:val="decimal" w:pos="408"/>
              </w:tabs>
            </w:pPr>
            <w:r>
              <w:t>46.7</w:t>
            </w:r>
          </w:p>
        </w:tc>
        <w:tc>
          <w:tcPr>
            <w:tcW w:w="535" w:type="pct"/>
            <w:tcBorders>
              <w:top w:val="nil"/>
              <w:bottom w:val="nil"/>
            </w:tcBorders>
            <w:vAlign w:val="center"/>
          </w:tcPr>
          <w:p w:rsidR="00000000" w:rsidRDefault="00000000">
            <w:pPr>
              <w:pStyle w:val="a2"/>
              <w:tabs>
                <w:tab w:val="decimal" w:pos="408"/>
              </w:tabs>
            </w:pPr>
            <w:r>
              <w:t>57.4</w:t>
            </w:r>
          </w:p>
        </w:tc>
        <w:tc>
          <w:tcPr>
            <w:tcW w:w="417" w:type="pct"/>
            <w:tcBorders>
              <w:top w:val="nil"/>
              <w:bottom w:val="nil"/>
            </w:tcBorders>
            <w:vAlign w:val="center"/>
          </w:tcPr>
          <w:p w:rsidR="00000000" w:rsidRDefault="00000000">
            <w:pPr>
              <w:pStyle w:val="a2"/>
              <w:tabs>
                <w:tab w:val="decimal" w:pos="408"/>
              </w:tabs>
            </w:pPr>
            <w:r>
              <w:t>13.9</w:t>
            </w:r>
          </w:p>
        </w:tc>
        <w:tc>
          <w:tcPr>
            <w:tcW w:w="534" w:type="pct"/>
            <w:tcBorders>
              <w:top w:val="nil"/>
              <w:bottom w:val="nil"/>
            </w:tcBorders>
            <w:vAlign w:val="center"/>
          </w:tcPr>
          <w:p w:rsidR="00000000" w:rsidRDefault="00000000">
            <w:pPr>
              <w:pStyle w:val="a2"/>
              <w:tabs>
                <w:tab w:val="decimal" w:pos="408"/>
              </w:tabs>
            </w:pPr>
            <w:r>
              <w:t>18.4</w:t>
            </w:r>
          </w:p>
        </w:tc>
        <w:tc>
          <w:tcPr>
            <w:tcW w:w="574" w:type="pct"/>
            <w:tcBorders>
              <w:top w:val="nil"/>
              <w:bottom w:val="nil"/>
            </w:tcBorders>
            <w:vAlign w:val="center"/>
          </w:tcPr>
          <w:p w:rsidR="00000000" w:rsidRDefault="00000000">
            <w:pPr>
              <w:pStyle w:val="a2"/>
              <w:tabs>
                <w:tab w:val="decimal" w:pos="408"/>
              </w:tabs>
            </w:pPr>
            <w:r>
              <w:t>20.7</w:t>
            </w:r>
          </w:p>
        </w:tc>
        <w:tc>
          <w:tcPr>
            <w:tcW w:w="463" w:type="pct"/>
            <w:tcBorders>
              <w:top w:val="nil"/>
              <w:bottom w:val="nil"/>
            </w:tcBorders>
            <w:vAlign w:val="center"/>
          </w:tcPr>
          <w:p w:rsidR="00000000" w:rsidRDefault="00000000">
            <w:pPr>
              <w:pStyle w:val="a2"/>
              <w:tabs>
                <w:tab w:val="decimal" w:pos="408"/>
              </w:tabs>
            </w:pPr>
            <w:r>
              <w:t>36.8</w:t>
            </w:r>
          </w:p>
        </w:tc>
        <w:tc>
          <w:tcPr>
            <w:tcW w:w="566" w:type="pct"/>
            <w:tcBorders>
              <w:top w:val="nil"/>
              <w:bottom w:val="nil"/>
            </w:tcBorders>
            <w:vAlign w:val="center"/>
          </w:tcPr>
          <w:p w:rsidR="00000000" w:rsidRDefault="00000000">
            <w:pPr>
              <w:pStyle w:val="a2"/>
              <w:tabs>
                <w:tab w:val="decimal" w:pos="408"/>
              </w:tabs>
            </w:pPr>
            <w:r>
              <w:t>53.2</w:t>
            </w:r>
          </w:p>
        </w:tc>
        <w:tc>
          <w:tcPr>
            <w:tcW w:w="539" w:type="pct"/>
            <w:tcBorders>
              <w:top w:val="nil"/>
              <w:bottom w:val="nil"/>
            </w:tcBorders>
            <w:vAlign w:val="center"/>
          </w:tcPr>
          <w:p w:rsidR="00000000" w:rsidRDefault="00000000">
            <w:pPr>
              <w:pStyle w:val="a2"/>
              <w:tabs>
                <w:tab w:val="decimal" w:pos="408"/>
              </w:tabs>
            </w:pPr>
            <w:r>
              <w:t>65.6</w:t>
            </w:r>
          </w:p>
        </w:tc>
      </w:tr>
      <w:tr w:rsidR="00000000">
        <w:tblPrEx>
          <w:tblCellMar>
            <w:top w:w="0" w:type="dxa"/>
            <w:bottom w:w="0" w:type="dxa"/>
          </w:tblCellMar>
        </w:tblPrEx>
        <w:tc>
          <w:tcPr>
            <w:tcW w:w="421" w:type="pct"/>
            <w:tcBorders>
              <w:top w:val="nil"/>
              <w:bottom w:val="nil"/>
            </w:tcBorders>
          </w:tcPr>
          <w:p w:rsidR="00000000" w:rsidRDefault="00000000">
            <w:pPr>
              <w:pStyle w:val="a2"/>
            </w:pPr>
            <w:r>
              <w:t>1993</w:t>
            </w:r>
          </w:p>
        </w:tc>
        <w:tc>
          <w:tcPr>
            <w:tcW w:w="416" w:type="pct"/>
            <w:tcBorders>
              <w:top w:val="nil"/>
              <w:bottom w:val="nil"/>
            </w:tcBorders>
            <w:vAlign w:val="center"/>
          </w:tcPr>
          <w:p w:rsidR="00000000" w:rsidRDefault="00000000">
            <w:pPr>
              <w:pStyle w:val="a2"/>
              <w:tabs>
                <w:tab w:val="decimal" w:pos="408"/>
              </w:tabs>
            </w:pPr>
            <w:r>
              <w:t>31.2</w:t>
            </w:r>
          </w:p>
        </w:tc>
        <w:tc>
          <w:tcPr>
            <w:tcW w:w="535" w:type="pct"/>
            <w:tcBorders>
              <w:top w:val="nil"/>
              <w:bottom w:val="nil"/>
            </w:tcBorders>
            <w:vAlign w:val="center"/>
          </w:tcPr>
          <w:p w:rsidR="00000000" w:rsidRDefault="00000000">
            <w:pPr>
              <w:pStyle w:val="a2"/>
              <w:tabs>
                <w:tab w:val="decimal" w:pos="408"/>
              </w:tabs>
            </w:pPr>
            <w:r>
              <w:t>43.6</w:t>
            </w:r>
          </w:p>
        </w:tc>
        <w:tc>
          <w:tcPr>
            <w:tcW w:w="535" w:type="pct"/>
            <w:tcBorders>
              <w:top w:val="nil"/>
              <w:bottom w:val="nil"/>
            </w:tcBorders>
            <w:vAlign w:val="center"/>
          </w:tcPr>
          <w:p w:rsidR="00000000" w:rsidRDefault="00000000">
            <w:pPr>
              <w:pStyle w:val="a2"/>
              <w:tabs>
                <w:tab w:val="decimal" w:pos="408"/>
              </w:tabs>
            </w:pPr>
            <w:r>
              <w:t>53.1</w:t>
            </w:r>
          </w:p>
        </w:tc>
        <w:tc>
          <w:tcPr>
            <w:tcW w:w="417" w:type="pct"/>
            <w:tcBorders>
              <w:top w:val="nil"/>
              <w:bottom w:val="nil"/>
            </w:tcBorders>
            <w:vAlign w:val="center"/>
          </w:tcPr>
          <w:p w:rsidR="00000000" w:rsidRDefault="00000000">
            <w:pPr>
              <w:pStyle w:val="a2"/>
              <w:tabs>
                <w:tab w:val="decimal" w:pos="408"/>
              </w:tabs>
            </w:pPr>
            <w:r>
              <w:t>12.9</w:t>
            </w:r>
          </w:p>
        </w:tc>
        <w:tc>
          <w:tcPr>
            <w:tcW w:w="534" w:type="pct"/>
            <w:tcBorders>
              <w:top w:val="nil"/>
              <w:bottom w:val="nil"/>
            </w:tcBorders>
            <w:vAlign w:val="center"/>
          </w:tcPr>
          <w:p w:rsidR="00000000" w:rsidRDefault="00000000">
            <w:pPr>
              <w:pStyle w:val="a2"/>
              <w:tabs>
                <w:tab w:val="decimal" w:pos="408"/>
              </w:tabs>
            </w:pPr>
            <w:r>
              <w:t>15.9</w:t>
            </w:r>
          </w:p>
        </w:tc>
        <w:tc>
          <w:tcPr>
            <w:tcW w:w="574" w:type="pct"/>
            <w:tcBorders>
              <w:top w:val="nil"/>
              <w:bottom w:val="nil"/>
            </w:tcBorders>
            <w:vAlign w:val="center"/>
          </w:tcPr>
          <w:p w:rsidR="00000000" w:rsidRDefault="00000000">
            <w:pPr>
              <w:pStyle w:val="a2"/>
              <w:tabs>
                <w:tab w:val="decimal" w:pos="408"/>
              </w:tabs>
            </w:pPr>
            <w:r>
              <w:t>18.3</w:t>
            </w:r>
          </w:p>
        </w:tc>
        <w:tc>
          <w:tcPr>
            <w:tcW w:w="463" w:type="pct"/>
            <w:tcBorders>
              <w:top w:val="nil"/>
              <w:bottom w:val="nil"/>
            </w:tcBorders>
            <w:vAlign w:val="center"/>
          </w:tcPr>
          <w:p w:rsidR="00000000" w:rsidRDefault="00000000">
            <w:pPr>
              <w:pStyle w:val="a2"/>
              <w:tabs>
                <w:tab w:val="decimal" w:pos="408"/>
              </w:tabs>
            </w:pPr>
            <w:r>
              <w:t>35.4</w:t>
            </w:r>
          </w:p>
        </w:tc>
        <w:tc>
          <w:tcPr>
            <w:tcW w:w="566" w:type="pct"/>
            <w:tcBorders>
              <w:top w:val="nil"/>
              <w:bottom w:val="nil"/>
            </w:tcBorders>
            <w:vAlign w:val="center"/>
          </w:tcPr>
          <w:p w:rsidR="00000000" w:rsidRDefault="00000000">
            <w:pPr>
              <w:pStyle w:val="a2"/>
              <w:tabs>
                <w:tab w:val="decimal" w:pos="408"/>
              </w:tabs>
            </w:pPr>
            <w:r>
              <w:t>50.0</w:t>
            </w:r>
          </w:p>
        </w:tc>
        <w:tc>
          <w:tcPr>
            <w:tcW w:w="539" w:type="pct"/>
            <w:tcBorders>
              <w:top w:val="nil"/>
              <w:bottom w:val="nil"/>
            </w:tcBorders>
            <w:vAlign w:val="center"/>
          </w:tcPr>
          <w:p w:rsidR="00000000" w:rsidRDefault="00000000">
            <w:pPr>
              <w:pStyle w:val="a2"/>
              <w:tabs>
                <w:tab w:val="decimal" w:pos="408"/>
              </w:tabs>
            </w:pPr>
            <w:r>
              <w:t>61.1</w:t>
            </w:r>
          </w:p>
        </w:tc>
      </w:tr>
      <w:tr w:rsidR="00000000">
        <w:tblPrEx>
          <w:tblCellMar>
            <w:top w:w="0" w:type="dxa"/>
            <w:bottom w:w="0" w:type="dxa"/>
          </w:tblCellMar>
        </w:tblPrEx>
        <w:tc>
          <w:tcPr>
            <w:tcW w:w="421" w:type="pct"/>
            <w:tcBorders>
              <w:top w:val="nil"/>
              <w:bottom w:val="nil"/>
            </w:tcBorders>
          </w:tcPr>
          <w:p w:rsidR="00000000" w:rsidRDefault="00000000">
            <w:pPr>
              <w:pStyle w:val="a2"/>
            </w:pPr>
            <w:r>
              <w:t>1994</w:t>
            </w:r>
          </w:p>
        </w:tc>
        <w:tc>
          <w:tcPr>
            <w:tcW w:w="416" w:type="pct"/>
            <w:tcBorders>
              <w:top w:val="nil"/>
              <w:bottom w:val="nil"/>
            </w:tcBorders>
            <w:vAlign w:val="center"/>
          </w:tcPr>
          <w:p w:rsidR="00000000" w:rsidRDefault="00000000">
            <w:pPr>
              <w:pStyle w:val="a2"/>
              <w:tabs>
                <w:tab w:val="decimal" w:pos="408"/>
              </w:tabs>
            </w:pPr>
            <w:r>
              <w:t>28.5</w:t>
            </w:r>
          </w:p>
        </w:tc>
        <w:tc>
          <w:tcPr>
            <w:tcW w:w="535" w:type="pct"/>
            <w:tcBorders>
              <w:top w:val="nil"/>
              <w:bottom w:val="nil"/>
            </w:tcBorders>
            <w:vAlign w:val="center"/>
          </w:tcPr>
          <w:p w:rsidR="00000000" w:rsidRDefault="00000000">
            <w:pPr>
              <w:pStyle w:val="a2"/>
              <w:tabs>
                <w:tab w:val="decimal" w:pos="408"/>
              </w:tabs>
            </w:pPr>
            <w:r>
              <w:t>39.9</w:t>
            </w:r>
          </w:p>
        </w:tc>
        <w:tc>
          <w:tcPr>
            <w:tcW w:w="535" w:type="pct"/>
            <w:tcBorders>
              <w:top w:val="nil"/>
              <w:bottom w:val="nil"/>
            </w:tcBorders>
            <w:vAlign w:val="center"/>
          </w:tcPr>
          <w:p w:rsidR="00000000" w:rsidRDefault="00000000">
            <w:pPr>
              <w:pStyle w:val="a2"/>
              <w:tabs>
                <w:tab w:val="decimal" w:pos="408"/>
              </w:tabs>
            </w:pPr>
            <w:r>
              <w:t>49.6</w:t>
            </w:r>
          </w:p>
        </w:tc>
        <w:tc>
          <w:tcPr>
            <w:tcW w:w="417" w:type="pct"/>
            <w:tcBorders>
              <w:top w:val="nil"/>
              <w:bottom w:val="nil"/>
            </w:tcBorders>
            <w:vAlign w:val="center"/>
          </w:tcPr>
          <w:p w:rsidR="00000000" w:rsidRDefault="00000000">
            <w:pPr>
              <w:pStyle w:val="a2"/>
              <w:tabs>
                <w:tab w:val="decimal" w:pos="408"/>
              </w:tabs>
            </w:pPr>
            <w:r>
              <w:t>12.2</w:t>
            </w:r>
          </w:p>
        </w:tc>
        <w:tc>
          <w:tcPr>
            <w:tcW w:w="534" w:type="pct"/>
            <w:tcBorders>
              <w:top w:val="nil"/>
              <w:bottom w:val="nil"/>
            </w:tcBorders>
            <w:vAlign w:val="center"/>
          </w:tcPr>
          <w:p w:rsidR="00000000" w:rsidRDefault="00000000">
            <w:pPr>
              <w:pStyle w:val="a2"/>
              <w:tabs>
                <w:tab w:val="decimal" w:pos="408"/>
              </w:tabs>
            </w:pPr>
            <w:r>
              <w:t>15.5</w:t>
            </w:r>
          </w:p>
        </w:tc>
        <w:tc>
          <w:tcPr>
            <w:tcW w:w="574" w:type="pct"/>
            <w:tcBorders>
              <w:top w:val="nil"/>
              <w:bottom w:val="nil"/>
            </w:tcBorders>
            <w:vAlign w:val="center"/>
          </w:tcPr>
          <w:p w:rsidR="00000000" w:rsidRDefault="00000000">
            <w:pPr>
              <w:pStyle w:val="a2"/>
              <w:tabs>
                <w:tab w:val="decimal" w:pos="408"/>
              </w:tabs>
            </w:pPr>
            <w:r>
              <w:t>18.0</w:t>
            </w:r>
          </w:p>
        </w:tc>
        <w:tc>
          <w:tcPr>
            <w:tcW w:w="463" w:type="pct"/>
            <w:tcBorders>
              <w:top w:val="nil"/>
              <w:bottom w:val="nil"/>
            </w:tcBorders>
            <w:vAlign w:val="center"/>
          </w:tcPr>
          <w:p w:rsidR="00000000" w:rsidRDefault="00000000">
            <w:pPr>
              <w:pStyle w:val="a2"/>
              <w:tabs>
                <w:tab w:val="decimal" w:pos="408"/>
              </w:tabs>
            </w:pPr>
            <w:r>
              <w:t>32.3</w:t>
            </w:r>
          </w:p>
        </w:tc>
        <w:tc>
          <w:tcPr>
            <w:tcW w:w="566" w:type="pct"/>
            <w:tcBorders>
              <w:top w:val="nil"/>
              <w:bottom w:val="nil"/>
            </w:tcBorders>
            <w:vAlign w:val="center"/>
          </w:tcPr>
          <w:p w:rsidR="00000000" w:rsidRDefault="00000000">
            <w:pPr>
              <w:pStyle w:val="a2"/>
              <w:tabs>
                <w:tab w:val="decimal" w:pos="408"/>
              </w:tabs>
            </w:pPr>
            <w:r>
              <w:t>45.6</w:t>
            </w:r>
          </w:p>
        </w:tc>
        <w:tc>
          <w:tcPr>
            <w:tcW w:w="539" w:type="pct"/>
            <w:tcBorders>
              <w:top w:val="nil"/>
              <w:bottom w:val="nil"/>
            </w:tcBorders>
            <w:vAlign w:val="center"/>
          </w:tcPr>
          <w:p w:rsidR="00000000" w:rsidRDefault="00000000">
            <w:pPr>
              <w:pStyle w:val="a2"/>
              <w:tabs>
                <w:tab w:val="decimal" w:pos="408"/>
              </w:tabs>
            </w:pPr>
            <w:r>
              <w:t>56.9</w:t>
            </w:r>
          </w:p>
        </w:tc>
      </w:tr>
      <w:tr w:rsidR="00000000">
        <w:tblPrEx>
          <w:tblCellMar>
            <w:top w:w="0" w:type="dxa"/>
            <w:bottom w:w="0" w:type="dxa"/>
          </w:tblCellMar>
        </w:tblPrEx>
        <w:tc>
          <w:tcPr>
            <w:tcW w:w="421" w:type="pct"/>
            <w:tcBorders>
              <w:top w:val="nil"/>
              <w:bottom w:val="nil"/>
            </w:tcBorders>
          </w:tcPr>
          <w:p w:rsidR="00000000" w:rsidRDefault="00000000">
            <w:pPr>
              <w:pStyle w:val="a2"/>
            </w:pPr>
            <w:r>
              <w:t>1995</w:t>
            </w:r>
          </w:p>
        </w:tc>
        <w:tc>
          <w:tcPr>
            <w:tcW w:w="416" w:type="pct"/>
            <w:tcBorders>
              <w:top w:val="nil"/>
              <w:bottom w:val="nil"/>
            </w:tcBorders>
            <w:vAlign w:val="center"/>
          </w:tcPr>
          <w:p w:rsidR="00000000" w:rsidRDefault="00000000">
            <w:pPr>
              <w:pStyle w:val="a2"/>
              <w:tabs>
                <w:tab w:val="decimal" w:pos="408"/>
              </w:tabs>
            </w:pPr>
            <w:r>
              <w:t>27.3</w:t>
            </w:r>
          </w:p>
        </w:tc>
        <w:tc>
          <w:tcPr>
            <w:tcW w:w="535" w:type="pct"/>
            <w:tcBorders>
              <w:top w:val="nil"/>
              <w:bottom w:val="nil"/>
            </w:tcBorders>
            <w:vAlign w:val="center"/>
          </w:tcPr>
          <w:p w:rsidR="00000000" w:rsidRDefault="00000000">
            <w:pPr>
              <w:pStyle w:val="a2"/>
              <w:tabs>
                <w:tab w:val="decimal" w:pos="408"/>
              </w:tabs>
            </w:pPr>
            <w:r>
              <w:t>36.4</w:t>
            </w:r>
          </w:p>
        </w:tc>
        <w:tc>
          <w:tcPr>
            <w:tcW w:w="535" w:type="pct"/>
            <w:tcBorders>
              <w:top w:val="nil"/>
              <w:bottom w:val="nil"/>
            </w:tcBorders>
            <w:vAlign w:val="center"/>
          </w:tcPr>
          <w:p w:rsidR="00000000" w:rsidRDefault="00000000">
            <w:pPr>
              <w:pStyle w:val="a2"/>
              <w:tabs>
                <w:tab w:val="decimal" w:pos="408"/>
              </w:tabs>
            </w:pPr>
            <w:r>
              <w:t>44.5</w:t>
            </w:r>
          </w:p>
        </w:tc>
        <w:tc>
          <w:tcPr>
            <w:tcW w:w="417" w:type="pct"/>
            <w:tcBorders>
              <w:top w:val="nil"/>
              <w:bottom w:val="nil"/>
            </w:tcBorders>
            <w:vAlign w:val="center"/>
          </w:tcPr>
          <w:p w:rsidR="00000000" w:rsidRDefault="00000000">
            <w:pPr>
              <w:pStyle w:val="a2"/>
              <w:tabs>
                <w:tab w:val="decimal" w:pos="408"/>
              </w:tabs>
            </w:pPr>
            <w:r>
              <w:t>10.6</w:t>
            </w:r>
          </w:p>
        </w:tc>
        <w:tc>
          <w:tcPr>
            <w:tcW w:w="534" w:type="pct"/>
            <w:tcBorders>
              <w:top w:val="nil"/>
              <w:bottom w:val="nil"/>
            </w:tcBorders>
            <w:vAlign w:val="center"/>
          </w:tcPr>
          <w:p w:rsidR="00000000" w:rsidRDefault="00000000">
            <w:pPr>
              <w:pStyle w:val="a2"/>
              <w:tabs>
                <w:tab w:val="decimal" w:pos="408"/>
              </w:tabs>
            </w:pPr>
            <w:r>
              <w:t>14.2</w:t>
            </w:r>
          </w:p>
        </w:tc>
        <w:tc>
          <w:tcPr>
            <w:tcW w:w="574" w:type="pct"/>
            <w:tcBorders>
              <w:top w:val="nil"/>
              <w:bottom w:val="nil"/>
            </w:tcBorders>
            <w:vAlign w:val="center"/>
          </w:tcPr>
          <w:p w:rsidR="00000000" w:rsidRDefault="00000000">
            <w:pPr>
              <w:pStyle w:val="a2"/>
              <w:tabs>
                <w:tab w:val="decimal" w:pos="408"/>
              </w:tabs>
            </w:pPr>
            <w:r>
              <w:t>16.4</w:t>
            </w:r>
          </w:p>
        </w:tc>
        <w:tc>
          <w:tcPr>
            <w:tcW w:w="463" w:type="pct"/>
            <w:tcBorders>
              <w:top w:val="nil"/>
              <w:bottom w:val="nil"/>
            </w:tcBorders>
            <w:vAlign w:val="center"/>
          </w:tcPr>
          <w:p w:rsidR="00000000" w:rsidRDefault="00000000">
            <w:pPr>
              <w:pStyle w:val="a2"/>
              <w:tabs>
                <w:tab w:val="decimal" w:pos="408"/>
              </w:tabs>
            </w:pPr>
            <w:r>
              <w:t>31.1</w:t>
            </w:r>
          </w:p>
        </w:tc>
        <w:tc>
          <w:tcPr>
            <w:tcW w:w="566" w:type="pct"/>
            <w:tcBorders>
              <w:top w:val="nil"/>
              <w:bottom w:val="nil"/>
            </w:tcBorders>
            <w:vAlign w:val="center"/>
          </w:tcPr>
          <w:p w:rsidR="00000000" w:rsidRDefault="00000000">
            <w:pPr>
              <w:pStyle w:val="a2"/>
              <w:tabs>
                <w:tab w:val="decimal" w:pos="408"/>
              </w:tabs>
            </w:pPr>
            <w:r>
              <w:t>41.6</w:t>
            </w:r>
          </w:p>
        </w:tc>
        <w:tc>
          <w:tcPr>
            <w:tcW w:w="539" w:type="pct"/>
            <w:tcBorders>
              <w:top w:val="nil"/>
              <w:bottom w:val="nil"/>
            </w:tcBorders>
            <w:vAlign w:val="center"/>
          </w:tcPr>
          <w:p w:rsidR="00000000" w:rsidRDefault="00000000">
            <w:pPr>
              <w:pStyle w:val="a2"/>
              <w:tabs>
                <w:tab w:val="decimal" w:pos="408"/>
              </w:tabs>
            </w:pPr>
            <w:r>
              <w:t>51.1</w:t>
            </w:r>
          </w:p>
        </w:tc>
      </w:tr>
      <w:tr w:rsidR="00000000">
        <w:tblPrEx>
          <w:tblCellMar>
            <w:top w:w="0" w:type="dxa"/>
            <w:bottom w:w="0" w:type="dxa"/>
          </w:tblCellMar>
        </w:tblPrEx>
        <w:tc>
          <w:tcPr>
            <w:tcW w:w="421" w:type="pct"/>
            <w:tcBorders>
              <w:top w:val="nil"/>
              <w:bottom w:val="nil"/>
            </w:tcBorders>
          </w:tcPr>
          <w:p w:rsidR="00000000" w:rsidRDefault="00000000">
            <w:pPr>
              <w:pStyle w:val="a2"/>
            </w:pPr>
            <w:r>
              <w:t>1997</w:t>
            </w:r>
          </w:p>
        </w:tc>
        <w:tc>
          <w:tcPr>
            <w:tcW w:w="416" w:type="pct"/>
            <w:tcBorders>
              <w:top w:val="nil"/>
              <w:bottom w:val="nil"/>
            </w:tcBorders>
            <w:vAlign w:val="center"/>
          </w:tcPr>
          <w:p w:rsidR="00000000" w:rsidRDefault="00000000">
            <w:pPr>
              <w:pStyle w:val="a2"/>
              <w:tabs>
                <w:tab w:val="decimal" w:pos="408"/>
              </w:tabs>
            </w:pPr>
            <w:r>
              <w:t>…</w:t>
            </w:r>
          </w:p>
        </w:tc>
        <w:tc>
          <w:tcPr>
            <w:tcW w:w="535" w:type="pct"/>
            <w:tcBorders>
              <w:top w:val="nil"/>
              <w:bottom w:val="nil"/>
            </w:tcBorders>
            <w:vAlign w:val="center"/>
          </w:tcPr>
          <w:p w:rsidR="00000000" w:rsidRDefault="00000000">
            <w:pPr>
              <w:pStyle w:val="a2"/>
              <w:tabs>
                <w:tab w:val="decimal" w:pos="408"/>
              </w:tabs>
            </w:pPr>
            <w:r>
              <w:t>33.1</w:t>
            </w:r>
          </w:p>
        </w:tc>
        <w:tc>
          <w:tcPr>
            <w:tcW w:w="535" w:type="pct"/>
            <w:tcBorders>
              <w:top w:val="nil"/>
              <w:bottom w:val="nil"/>
            </w:tcBorders>
            <w:vAlign w:val="center"/>
          </w:tcPr>
          <w:p w:rsidR="00000000" w:rsidRDefault="00000000">
            <w:pPr>
              <w:pStyle w:val="a2"/>
              <w:tabs>
                <w:tab w:val="decimal" w:pos="408"/>
              </w:tabs>
            </w:pPr>
            <w:r>
              <w:t>42.3</w:t>
            </w:r>
          </w:p>
        </w:tc>
        <w:tc>
          <w:tcPr>
            <w:tcW w:w="417" w:type="pct"/>
            <w:tcBorders>
              <w:top w:val="nil"/>
              <w:bottom w:val="nil"/>
            </w:tcBorders>
            <w:vAlign w:val="center"/>
          </w:tcPr>
          <w:p w:rsidR="00000000" w:rsidRDefault="00000000">
            <w:pPr>
              <w:pStyle w:val="a2"/>
              <w:tabs>
                <w:tab w:val="decimal" w:pos="408"/>
              </w:tabs>
            </w:pPr>
            <w:r>
              <w:t>…</w:t>
            </w:r>
          </w:p>
        </w:tc>
        <w:tc>
          <w:tcPr>
            <w:tcW w:w="534" w:type="pct"/>
            <w:tcBorders>
              <w:top w:val="nil"/>
              <w:bottom w:val="nil"/>
            </w:tcBorders>
            <w:vAlign w:val="center"/>
          </w:tcPr>
          <w:p w:rsidR="00000000" w:rsidRDefault="00000000">
            <w:pPr>
              <w:pStyle w:val="a2"/>
              <w:tabs>
                <w:tab w:val="decimal" w:pos="408"/>
              </w:tabs>
            </w:pPr>
            <w:r>
              <w:t>13.1</w:t>
            </w:r>
          </w:p>
        </w:tc>
        <w:tc>
          <w:tcPr>
            <w:tcW w:w="574" w:type="pct"/>
            <w:tcBorders>
              <w:top w:val="nil"/>
              <w:bottom w:val="nil"/>
            </w:tcBorders>
            <w:vAlign w:val="center"/>
          </w:tcPr>
          <w:p w:rsidR="00000000" w:rsidRDefault="00000000">
            <w:pPr>
              <w:pStyle w:val="a2"/>
              <w:tabs>
                <w:tab w:val="decimal" w:pos="408"/>
              </w:tabs>
            </w:pPr>
            <w:r>
              <w:t>15.5</w:t>
            </w:r>
          </w:p>
        </w:tc>
        <w:tc>
          <w:tcPr>
            <w:tcW w:w="463" w:type="pct"/>
            <w:tcBorders>
              <w:top w:val="nil"/>
              <w:bottom w:val="nil"/>
            </w:tcBorders>
            <w:vAlign w:val="center"/>
          </w:tcPr>
          <w:p w:rsidR="00000000" w:rsidRDefault="00000000">
            <w:pPr>
              <w:pStyle w:val="a2"/>
              <w:tabs>
                <w:tab w:val="decimal" w:pos="408"/>
              </w:tabs>
            </w:pPr>
            <w:r>
              <w:t>…</w:t>
            </w:r>
          </w:p>
        </w:tc>
        <w:tc>
          <w:tcPr>
            <w:tcW w:w="566" w:type="pct"/>
            <w:tcBorders>
              <w:top w:val="nil"/>
              <w:bottom w:val="nil"/>
            </w:tcBorders>
            <w:vAlign w:val="center"/>
          </w:tcPr>
          <w:p w:rsidR="00000000" w:rsidRDefault="00000000">
            <w:pPr>
              <w:pStyle w:val="a2"/>
              <w:tabs>
                <w:tab w:val="decimal" w:pos="408"/>
              </w:tabs>
            </w:pPr>
            <w:r>
              <w:t>37.7</w:t>
            </w:r>
          </w:p>
        </w:tc>
        <w:tc>
          <w:tcPr>
            <w:tcW w:w="539" w:type="pct"/>
            <w:tcBorders>
              <w:top w:val="nil"/>
              <w:bottom w:val="nil"/>
            </w:tcBorders>
            <w:vAlign w:val="center"/>
          </w:tcPr>
          <w:p w:rsidR="00000000" w:rsidRDefault="00000000">
            <w:pPr>
              <w:pStyle w:val="a2"/>
              <w:tabs>
                <w:tab w:val="decimal" w:pos="408"/>
              </w:tabs>
            </w:pPr>
            <w:r>
              <w:t>48.5</w:t>
            </w:r>
          </w:p>
        </w:tc>
      </w:tr>
      <w:tr w:rsidR="00000000">
        <w:tblPrEx>
          <w:tblCellMar>
            <w:top w:w="0" w:type="dxa"/>
            <w:bottom w:w="0" w:type="dxa"/>
          </w:tblCellMar>
        </w:tblPrEx>
        <w:tc>
          <w:tcPr>
            <w:tcW w:w="421" w:type="pct"/>
            <w:tcBorders>
              <w:top w:val="nil"/>
              <w:bottom w:val="nil"/>
            </w:tcBorders>
          </w:tcPr>
          <w:p w:rsidR="00000000" w:rsidRDefault="00000000">
            <w:pPr>
              <w:pStyle w:val="a2"/>
              <w:rPr>
                <w:szCs w:val="28"/>
              </w:rPr>
            </w:pPr>
            <w:r>
              <w:rPr>
                <w:szCs w:val="28"/>
              </w:rPr>
              <w:t>1998</w:t>
            </w:r>
          </w:p>
        </w:tc>
        <w:tc>
          <w:tcPr>
            <w:tcW w:w="416" w:type="pct"/>
            <w:tcBorders>
              <w:top w:val="nil"/>
              <w:bottom w:val="nil"/>
            </w:tcBorders>
            <w:vAlign w:val="center"/>
          </w:tcPr>
          <w:p w:rsidR="00000000" w:rsidRDefault="00000000">
            <w:pPr>
              <w:pStyle w:val="a2"/>
              <w:tabs>
                <w:tab w:val="decimal" w:pos="408"/>
              </w:tabs>
            </w:pPr>
            <w:r>
              <w:t>22.3</w:t>
            </w:r>
          </w:p>
        </w:tc>
        <w:tc>
          <w:tcPr>
            <w:tcW w:w="535" w:type="pct"/>
            <w:tcBorders>
              <w:top w:val="nil"/>
              <w:bottom w:val="nil"/>
            </w:tcBorders>
            <w:vAlign w:val="center"/>
          </w:tcPr>
          <w:p w:rsidR="00000000" w:rsidRDefault="00000000">
            <w:pPr>
              <w:pStyle w:val="a2"/>
              <w:tabs>
                <w:tab w:val="decimal" w:pos="408"/>
              </w:tabs>
            </w:pPr>
            <w:r>
              <w:t>33.2</w:t>
            </w:r>
          </w:p>
        </w:tc>
        <w:tc>
          <w:tcPr>
            <w:tcW w:w="535" w:type="pct"/>
            <w:tcBorders>
              <w:top w:val="nil"/>
              <w:bottom w:val="nil"/>
            </w:tcBorders>
            <w:vAlign w:val="center"/>
          </w:tcPr>
          <w:p w:rsidR="00000000" w:rsidRDefault="00000000">
            <w:pPr>
              <w:pStyle w:val="a2"/>
              <w:tabs>
                <w:tab w:val="decimal" w:pos="408"/>
              </w:tabs>
            </w:pPr>
            <w:r>
              <w:t>42.0</w:t>
            </w:r>
          </w:p>
        </w:tc>
        <w:tc>
          <w:tcPr>
            <w:tcW w:w="417" w:type="pct"/>
            <w:tcBorders>
              <w:top w:val="nil"/>
              <w:bottom w:val="nil"/>
            </w:tcBorders>
            <w:vAlign w:val="center"/>
          </w:tcPr>
          <w:p w:rsidR="00000000" w:rsidRDefault="00000000">
            <w:pPr>
              <w:pStyle w:val="a2"/>
              <w:tabs>
                <w:tab w:val="decimal" w:pos="408"/>
              </w:tabs>
            </w:pPr>
            <w:r>
              <w:t>10.0</w:t>
            </w:r>
          </w:p>
        </w:tc>
        <w:tc>
          <w:tcPr>
            <w:tcW w:w="534" w:type="pct"/>
            <w:tcBorders>
              <w:top w:val="nil"/>
              <w:bottom w:val="nil"/>
            </w:tcBorders>
            <w:vAlign w:val="center"/>
          </w:tcPr>
          <w:p w:rsidR="00000000" w:rsidRDefault="00000000">
            <w:pPr>
              <w:pStyle w:val="a2"/>
              <w:tabs>
                <w:tab w:val="decimal" w:pos="408"/>
              </w:tabs>
            </w:pPr>
            <w:r>
              <w:t>13.5</w:t>
            </w:r>
          </w:p>
        </w:tc>
        <w:tc>
          <w:tcPr>
            <w:tcW w:w="574" w:type="pct"/>
            <w:tcBorders>
              <w:top w:val="nil"/>
              <w:bottom w:val="nil"/>
            </w:tcBorders>
            <w:vAlign w:val="center"/>
          </w:tcPr>
          <w:p w:rsidR="00000000" w:rsidRDefault="00000000">
            <w:pPr>
              <w:pStyle w:val="a2"/>
              <w:tabs>
                <w:tab w:val="decimal" w:pos="408"/>
              </w:tabs>
            </w:pPr>
            <w:r>
              <w:t>16.2</w:t>
            </w:r>
          </w:p>
        </w:tc>
        <w:tc>
          <w:tcPr>
            <w:tcW w:w="463" w:type="pct"/>
            <w:tcBorders>
              <w:top w:val="nil"/>
              <w:bottom w:val="nil"/>
            </w:tcBorders>
            <w:vAlign w:val="center"/>
          </w:tcPr>
          <w:p w:rsidR="00000000" w:rsidRDefault="00000000">
            <w:pPr>
              <w:pStyle w:val="a2"/>
              <w:tabs>
                <w:tab w:val="decimal" w:pos="408"/>
              </w:tabs>
            </w:pPr>
            <w:r>
              <w:t>25.1</w:t>
            </w:r>
          </w:p>
        </w:tc>
        <w:tc>
          <w:tcPr>
            <w:tcW w:w="566" w:type="pct"/>
            <w:tcBorders>
              <w:top w:val="nil"/>
              <w:bottom w:val="nil"/>
            </w:tcBorders>
            <w:vAlign w:val="center"/>
          </w:tcPr>
          <w:p w:rsidR="00000000" w:rsidRDefault="00000000">
            <w:pPr>
              <w:pStyle w:val="a2"/>
              <w:tabs>
                <w:tab w:val="decimal" w:pos="408"/>
              </w:tabs>
            </w:pPr>
            <w:r>
              <w:t>37.7</w:t>
            </w:r>
          </w:p>
        </w:tc>
        <w:tc>
          <w:tcPr>
            <w:tcW w:w="539" w:type="pct"/>
            <w:tcBorders>
              <w:top w:val="nil"/>
              <w:bottom w:val="nil"/>
            </w:tcBorders>
            <w:vAlign w:val="center"/>
          </w:tcPr>
          <w:p w:rsidR="00000000" w:rsidRDefault="00000000">
            <w:pPr>
              <w:pStyle w:val="a2"/>
              <w:tabs>
                <w:tab w:val="decimal" w:pos="408"/>
              </w:tabs>
            </w:pPr>
            <w:r>
              <w:t>47.9</w:t>
            </w:r>
          </w:p>
        </w:tc>
      </w:tr>
      <w:tr w:rsidR="00000000">
        <w:tblPrEx>
          <w:tblCellMar>
            <w:top w:w="0" w:type="dxa"/>
            <w:bottom w:w="0" w:type="dxa"/>
          </w:tblCellMar>
        </w:tblPrEx>
        <w:tc>
          <w:tcPr>
            <w:tcW w:w="421" w:type="pct"/>
            <w:tcBorders>
              <w:top w:val="nil"/>
              <w:bottom w:val="nil"/>
            </w:tcBorders>
          </w:tcPr>
          <w:p w:rsidR="00000000" w:rsidRDefault="00000000">
            <w:pPr>
              <w:pStyle w:val="a2"/>
            </w:pPr>
            <w:r>
              <w:t>1999</w:t>
            </w:r>
          </w:p>
        </w:tc>
        <w:tc>
          <w:tcPr>
            <w:tcW w:w="416" w:type="pct"/>
            <w:tcBorders>
              <w:top w:val="nil"/>
              <w:bottom w:val="nil"/>
            </w:tcBorders>
            <w:vAlign w:val="center"/>
          </w:tcPr>
          <w:p w:rsidR="00000000" w:rsidRDefault="00000000">
            <w:pPr>
              <w:pStyle w:val="a2"/>
              <w:tabs>
                <w:tab w:val="decimal" w:pos="408"/>
              </w:tabs>
            </w:pPr>
            <w:r>
              <w:t>22.2</w:t>
            </w:r>
          </w:p>
        </w:tc>
        <w:tc>
          <w:tcPr>
            <w:tcW w:w="535" w:type="pct"/>
            <w:tcBorders>
              <w:top w:val="nil"/>
              <w:bottom w:val="nil"/>
            </w:tcBorders>
            <w:vAlign w:val="center"/>
          </w:tcPr>
          <w:p w:rsidR="00000000" w:rsidRDefault="00000000">
            <w:pPr>
              <w:pStyle w:val="a2"/>
              <w:tabs>
                <w:tab w:val="decimal" w:pos="408"/>
              </w:tabs>
            </w:pPr>
            <w:r>
              <w:t>33.3</w:t>
            </w:r>
          </w:p>
        </w:tc>
        <w:tc>
          <w:tcPr>
            <w:tcW w:w="535" w:type="pct"/>
            <w:tcBorders>
              <w:top w:val="nil"/>
              <w:bottom w:val="nil"/>
            </w:tcBorders>
            <w:vAlign w:val="center"/>
          </w:tcPr>
          <w:p w:rsidR="00000000" w:rsidRDefault="00000000">
            <w:pPr>
              <w:pStyle w:val="a2"/>
              <w:tabs>
                <w:tab w:val="decimal" w:pos="408"/>
              </w:tabs>
            </w:pPr>
            <w:r>
              <w:t>41.4</w:t>
            </w:r>
          </w:p>
        </w:tc>
        <w:tc>
          <w:tcPr>
            <w:tcW w:w="417" w:type="pct"/>
            <w:tcBorders>
              <w:top w:val="nil"/>
              <w:bottom w:val="nil"/>
            </w:tcBorders>
            <w:vAlign w:val="center"/>
          </w:tcPr>
          <w:p w:rsidR="00000000" w:rsidRDefault="00000000">
            <w:pPr>
              <w:pStyle w:val="a2"/>
              <w:tabs>
                <w:tab w:val="decimal" w:pos="408"/>
              </w:tabs>
            </w:pPr>
            <w:r>
              <w:t>9.5</w:t>
            </w:r>
          </w:p>
        </w:tc>
        <w:tc>
          <w:tcPr>
            <w:tcW w:w="534" w:type="pct"/>
            <w:tcBorders>
              <w:top w:val="nil"/>
              <w:bottom w:val="nil"/>
            </w:tcBorders>
            <w:vAlign w:val="center"/>
          </w:tcPr>
          <w:p w:rsidR="00000000" w:rsidRDefault="00000000">
            <w:pPr>
              <w:pStyle w:val="a2"/>
              <w:tabs>
                <w:tab w:val="decimal" w:pos="408"/>
              </w:tabs>
            </w:pPr>
            <w:r>
              <w:t>11.9</w:t>
            </w:r>
          </w:p>
        </w:tc>
        <w:tc>
          <w:tcPr>
            <w:tcW w:w="574" w:type="pct"/>
            <w:tcBorders>
              <w:top w:val="nil"/>
              <w:bottom w:val="nil"/>
            </w:tcBorders>
            <w:vAlign w:val="center"/>
          </w:tcPr>
          <w:p w:rsidR="00000000" w:rsidRDefault="00000000">
            <w:pPr>
              <w:pStyle w:val="a2"/>
              <w:tabs>
                <w:tab w:val="decimal" w:pos="408"/>
              </w:tabs>
            </w:pPr>
            <w:r>
              <w:t>14.3</w:t>
            </w:r>
          </w:p>
        </w:tc>
        <w:tc>
          <w:tcPr>
            <w:tcW w:w="463" w:type="pct"/>
            <w:tcBorders>
              <w:top w:val="nil"/>
              <w:bottom w:val="nil"/>
            </w:tcBorders>
            <w:vAlign w:val="center"/>
          </w:tcPr>
          <w:p w:rsidR="00000000" w:rsidRDefault="00000000">
            <w:pPr>
              <w:pStyle w:val="a2"/>
              <w:tabs>
                <w:tab w:val="decimal" w:pos="408"/>
              </w:tabs>
            </w:pPr>
            <w:r>
              <w:t>25.1</w:t>
            </w:r>
          </w:p>
        </w:tc>
        <w:tc>
          <w:tcPr>
            <w:tcW w:w="566" w:type="pct"/>
            <w:tcBorders>
              <w:top w:val="nil"/>
              <w:bottom w:val="nil"/>
            </w:tcBorders>
            <w:vAlign w:val="center"/>
          </w:tcPr>
          <w:p w:rsidR="00000000" w:rsidRDefault="00000000">
            <w:pPr>
              <w:pStyle w:val="a2"/>
              <w:tabs>
                <w:tab w:val="decimal" w:pos="408"/>
              </w:tabs>
            </w:pPr>
            <w:r>
              <w:t>38.2</w:t>
            </w:r>
          </w:p>
        </w:tc>
        <w:tc>
          <w:tcPr>
            <w:tcW w:w="539" w:type="pct"/>
            <w:tcBorders>
              <w:top w:val="nil"/>
              <w:bottom w:val="nil"/>
            </w:tcBorders>
            <w:vAlign w:val="center"/>
          </w:tcPr>
          <w:p w:rsidR="00000000" w:rsidRDefault="00000000">
            <w:pPr>
              <w:pStyle w:val="a2"/>
              <w:tabs>
                <w:tab w:val="decimal" w:pos="408"/>
              </w:tabs>
            </w:pPr>
            <w:r>
              <w:t>47.7</w:t>
            </w:r>
          </w:p>
        </w:tc>
      </w:tr>
      <w:tr w:rsidR="00000000">
        <w:tblPrEx>
          <w:tblCellMar>
            <w:top w:w="0" w:type="dxa"/>
            <w:bottom w:w="0" w:type="dxa"/>
          </w:tblCellMar>
        </w:tblPrEx>
        <w:tc>
          <w:tcPr>
            <w:tcW w:w="421" w:type="pct"/>
            <w:tcBorders>
              <w:top w:val="nil"/>
            </w:tcBorders>
          </w:tcPr>
          <w:p w:rsidR="00000000" w:rsidRDefault="00000000">
            <w:pPr>
              <w:pStyle w:val="a2"/>
            </w:pPr>
            <w:r>
              <w:t>2000</w:t>
            </w:r>
          </w:p>
        </w:tc>
        <w:tc>
          <w:tcPr>
            <w:tcW w:w="416" w:type="pct"/>
            <w:tcBorders>
              <w:top w:val="nil"/>
            </w:tcBorders>
            <w:vAlign w:val="center"/>
          </w:tcPr>
          <w:p w:rsidR="00000000" w:rsidRDefault="00000000">
            <w:pPr>
              <w:pStyle w:val="a2"/>
              <w:tabs>
                <w:tab w:val="decimal" w:pos="408"/>
              </w:tabs>
            </w:pPr>
            <w:r>
              <w:t>22.8</w:t>
            </w:r>
          </w:p>
        </w:tc>
        <w:tc>
          <w:tcPr>
            <w:tcW w:w="535" w:type="pct"/>
            <w:tcBorders>
              <w:top w:val="nil"/>
            </w:tcBorders>
            <w:vAlign w:val="center"/>
          </w:tcPr>
          <w:p w:rsidR="00000000" w:rsidRDefault="00000000">
            <w:pPr>
              <w:pStyle w:val="a2"/>
              <w:tabs>
                <w:tab w:val="decimal" w:pos="408"/>
              </w:tabs>
            </w:pPr>
            <w:r>
              <w:t>32.2</w:t>
            </w:r>
          </w:p>
        </w:tc>
        <w:tc>
          <w:tcPr>
            <w:tcW w:w="535" w:type="pct"/>
            <w:tcBorders>
              <w:top w:val="nil"/>
            </w:tcBorders>
            <w:vAlign w:val="center"/>
          </w:tcPr>
          <w:p w:rsidR="00000000" w:rsidRDefault="00000000">
            <w:pPr>
              <w:pStyle w:val="a2"/>
              <w:tabs>
                <w:tab w:val="decimal" w:pos="408"/>
              </w:tabs>
            </w:pPr>
            <w:r>
              <w:t>39.7</w:t>
            </w:r>
          </w:p>
        </w:tc>
        <w:tc>
          <w:tcPr>
            <w:tcW w:w="417" w:type="pct"/>
            <w:tcBorders>
              <w:top w:val="nil"/>
            </w:tcBorders>
            <w:vAlign w:val="center"/>
          </w:tcPr>
          <w:p w:rsidR="00000000" w:rsidRDefault="00000000">
            <w:pPr>
              <w:pStyle w:val="a2"/>
              <w:tabs>
                <w:tab w:val="decimal" w:pos="408"/>
              </w:tabs>
            </w:pPr>
            <w:r>
              <w:t>9.5</w:t>
            </w:r>
          </w:p>
        </w:tc>
        <w:tc>
          <w:tcPr>
            <w:tcW w:w="534" w:type="pct"/>
            <w:tcBorders>
              <w:top w:val="nil"/>
            </w:tcBorders>
            <w:vAlign w:val="center"/>
          </w:tcPr>
          <w:p w:rsidR="00000000" w:rsidRDefault="00000000">
            <w:pPr>
              <w:pStyle w:val="a2"/>
              <w:tabs>
                <w:tab w:val="decimal" w:pos="408"/>
              </w:tabs>
            </w:pPr>
            <w:r>
              <w:t>11.8</w:t>
            </w:r>
          </w:p>
        </w:tc>
        <w:tc>
          <w:tcPr>
            <w:tcW w:w="574" w:type="pct"/>
            <w:tcBorders>
              <w:top w:val="nil"/>
            </w:tcBorders>
            <w:vAlign w:val="center"/>
          </w:tcPr>
          <w:p w:rsidR="00000000" w:rsidRDefault="00000000">
            <w:pPr>
              <w:pStyle w:val="a2"/>
              <w:tabs>
                <w:tab w:val="decimal" w:pos="408"/>
              </w:tabs>
            </w:pPr>
            <w:r>
              <w:t>13.8</w:t>
            </w:r>
          </w:p>
        </w:tc>
        <w:tc>
          <w:tcPr>
            <w:tcW w:w="463" w:type="pct"/>
            <w:tcBorders>
              <w:top w:val="nil"/>
            </w:tcBorders>
            <w:vAlign w:val="center"/>
          </w:tcPr>
          <w:p w:rsidR="00000000" w:rsidRDefault="00000000">
            <w:pPr>
              <w:pStyle w:val="a2"/>
              <w:tabs>
                <w:tab w:val="decimal" w:pos="408"/>
              </w:tabs>
            </w:pPr>
            <w:r>
              <w:t>25.8</w:t>
            </w:r>
          </w:p>
        </w:tc>
        <w:tc>
          <w:tcPr>
            <w:tcW w:w="566" w:type="pct"/>
            <w:tcBorders>
              <w:top w:val="nil"/>
            </w:tcBorders>
            <w:vAlign w:val="center"/>
          </w:tcPr>
          <w:p w:rsidR="00000000" w:rsidRDefault="00000000">
            <w:pPr>
              <w:pStyle w:val="a2"/>
              <w:tabs>
                <w:tab w:val="decimal" w:pos="408"/>
              </w:tabs>
            </w:pPr>
            <w:r>
              <w:t>37.0</w:t>
            </w:r>
          </w:p>
        </w:tc>
        <w:tc>
          <w:tcPr>
            <w:tcW w:w="539" w:type="pct"/>
            <w:tcBorders>
              <w:top w:val="nil"/>
            </w:tcBorders>
            <w:vAlign w:val="center"/>
          </w:tcPr>
          <w:p w:rsidR="00000000" w:rsidRDefault="00000000">
            <w:pPr>
              <w:pStyle w:val="a2"/>
              <w:tabs>
                <w:tab w:val="decimal" w:pos="408"/>
              </w:tabs>
            </w:pPr>
            <w:r>
              <w:t>45.7</w:t>
            </w:r>
          </w:p>
        </w:tc>
      </w:tr>
    </w:tbl>
    <w:p w:rsidR="00000000" w:rsidRDefault="00000000">
      <w:pPr>
        <w:spacing w:before="120"/>
        <w:rPr>
          <w:rFonts w:eastAsia="KaiTi_GB2312" w:hint="eastAsia"/>
          <w:snapToGrid/>
          <w:spacing w:val="0"/>
        </w:rPr>
      </w:pPr>
      <w:r>
        <w:rPr>
          <w:rFonts w:hint="eastAsia"/>
        </w:rPr>
        <w:tab/>
      </w:r>
      <w:r>
        <w:rPr>
          <w:rFonts w:eastAsia="KaiTi_GB2312" w:hint="eastAsia"/>
          <w:snapToGrid/>
          <w:spacing w:val="0"/>
          <w:u w:val="single"/>
        </w:rPr>
        <w:t>资料来源</w:t>
      </w:r>
      <w:r>
        <w:rPr>
          <w:rFonts w:eastAsia="KaiTi_GB2312" w:hint="eastAsia"/>
          <w:snapToGrid/>
          <w:spacing w:val="0"/>
        </w:rPr>
        <w:t>：卫生部提供。</w:t>
      </w:r>
    </w:p>
    <w:p w:rsidR="00000000" w:rsidRDefault="00000000">
      <w:pPr>
        <w:spacing w:after="320"/>
        <w:jc w:val="center"/>
        <w:rPr>
          <w:rFonts w:hint="eastAsia"/>
          <w:u w:val="single"/>
        </w:rPr>
      </w:pPr>
    </w:p>
    <w:p w:rsidR="00000000" w:rsidRDefault="00000000">
      <w:pPr>
        <w:spacing w:after="320"/>
        <w:jc w:val="center"/>
        <w:rPr>
          <w:rFonts w:hint="eastAsia"/>
        </w:rPr>
      </w:pPr>
      <w:r>
        <w:rPr>
          <w:rFonts w:hint="eastAsia"/>
          <w:u w:val="single"/>
        </w:rPr>
        <w:t>表</w:t>
      </w:r>
      <w:r>
        <w:rPr>
          <w:rFonts w:hint="eastAsia"/>
          <w:u w:val="single"/>
        </w:rPr>
        <w:t>17</w:t>
      </w:r>
      <w:r>
        <w:rPr>
          <w:rFonts w:hint="eastAsia"/>
        </w:rPr>
        <w:t xml:space="preserve">.  </w:t>
      </w:r>
      <w:r>
        <w:rPr>
          <w:rFonts w:hint="eastAsia"/>
          <w:u w:val="single"/>
        </w:rPr>
        <w:t>全国农村改水工作情况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80"/>
        <w:gridCol w:w="700"/>
        <w:gridCol w:w="1246"/>
        <w:gridCol w:w="1246"/>
        <w:gridCol w:w="1246"/>
        <w:gridCol w:w="1246"/>
        <w:gridCol w:w="1246"/>
      </w:tblGrid>
      <w:tr w:rsidR="00000000">
        <w:tblPrEx>
          <w:tblCellMar>
            <w:top w:w="0" w:type="dxa"/>
            <w:bottom w:w="0" w:type="dxa"/>
          </w:tblCellMar>
        </w:tblPrEx>
        <w:tc>
          <w:tcPr>
            <w:tcW w:w="1318" w:type="pct"/>
            <w:tcBorders>
              <w:bottom w:val="single" w:sz="4" w:space="0" w:color="auto"/>
            </w:tcBorders>
          </w:tcPr>
          <w:p w:rsidR="00000000" w:rsidRDefault="00000000">
            <w:pPr>
              <w:pStyle w:val="a2"/>
              <w:spacing w:before="60" w:after="40"/>
              <w:ind w:left="113"/>
              <w:jc w:val="center"/>
              <w:rPr>
                <w:rFonts w:ascii="Time New Roman" w:eastAsia="SimHei" w:hAnsi="Time New Roman" w:hint="eastAsia"/>
              </w:rPr>
            </w:pPr>
          </w:p>
        </w:tc>
        <w:tc>
          <w:tcPr>
            <w:tcW w:w="372"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单位</w:t>
            </w:r>
          </w:p>
        </w:tc>
        <w:tc>
          <w:tcPr>
            <w:tcW w:w="662"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b/>
              </w:rPr>
              <w:t>1987</w:t>
            </w:r>
            <w:r>
              <w:rPr>
                <w:rFonts w:ascii="Time New Roman" w:eastAsia="SimHei" w:hAnsi="Time New Roman" w:hint="eastAsia"/>
              </w:rPr>
              <w:t>年底</w:t>
            </w:r>
          </w:p>
        </w:tc>
        <w:tc>
          <w:tcPr>
            <w:tcW w:w="662"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b/>
              </w:rPr>
              <w:t>1989</w:t>
            </w:r>
            <w:r>
              <w:rPr>
                <w:rFonts w:ascii="Time New Roman" w:eastAsia="SimHei" w:hAnsi="Time New Roman" w:hint="eastAsia"/>
              </w:rPr>
              <w:t>年底</w:t>
            </w:r>
          </w:p>
        </w:tc>
        <w:tc>
          <w:tcPr>
            <w:tcW w:w="662"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b/>
              </w:rPr>
              <w:t>1991</w:t>
            </w:r>
            <w:r>
              <w:rPr>
                <w:rFonts w:ascii="Time New Roman" w:eastAsia="SimHei" w:hAnsi="Time New Roman" w:hint="eastAsia"/>
              </w:rPr>
              <w:t>年底</w:t>
            </w:r>
          </w:p>
        </w:tc>
        <w:tc>
          <w:tcPr>
            <w:tcW w:w="662"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b/>
              </w:rPr>
              <w:t>1993</w:t>
            </w:r>
            <w:r>
              <w:rPr>
                <w:rFonts w:ascii="Time New Roman" w:eastAsia="SimHei" w:hAnsi="Time New Roman" w:hint="eastAsia"/>
              </w:rPr>
              <w:t>年底</w:t>
            </w:r>
          </w:p>
        </w:tc>
        <w:tc>
          <w:tcPr>
            <w:tcW w:w="662"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b/>
              </w:rPr>
              <w:t>2001</w:t>
            </w:r>
            <w:r>
              <w:rPr>
                <w:rFonts w:ascii="Time New Roman" w:eastAsia="SimHei" w:hAnsi="Time New Roman" w:hint="eastAsia"/>
              </w:rPr>
              <w:t>年底</w:t>
            </w:r>
          </w:p>
        </w:tc>
      </w:tr>
      <w:tr w:rsidR="00000000">
        <w:tblPrEx>
          <w:tblCellMar>
            <w:top w:w="0" w:type="dxa"/>
            <w:bottom w:w="0" w:type="dxa"/>
          </w:tblCellMar>
        </w:tblPrEx>
        <w:tc>
          <w:tcPr>
            <w:tcW w:w="1318" w:type="pct"/>
            <w:tcBorders>
              <w:bottom w:val="nil"/>
            </w:tcBorders>
          </w:tcPr>
          <w:p w:rsidR="00000000" w:rsidRDefault="00000000">
            <w:pPr>
              <w:pStyle w:val="a2"/>
              <w:ind w:left="113"/>
              <w:rPr>
                <w:rFonts w:hint="eastAsia"/>
              </w:rPr>
            </w:pPr>
            <w:r>
              <w:rPr>
                <w:rFonts w:hint="eastAsia"/>
              </w:rPr>
              <w:t>已改水受益人口数</w:t>
            </w:r>
          </w:p>
        </w:tc>
        <w:tc>
          <w:tcPr>
            <w:tcW w:w="372" w:type="pct"/>
            <w:tcBorders>
              <w:bottom w:val="nil"/>
            </w:tcBorders>
          </w:tcPr>
          <w:p w:rsidR="00000000" w:rsidRDefault="00000000">
            <w:pPr>
              <w:pStyle w:val="a2"/>
              <w:jc w:val="center"/>
              <w:rPr>
                <w:rFonts w:hint="eastAsia"/>
              </w:rPr>
            </w:pPr>
            <w:r>
              <w:rPr>
                <w:rFonts w:hint="eastAsia"/>
              </w:rPr>
              <w:t>万人</w:t>
            </w:r>
          </w:p>
        </w:tc>
        <w:tc>
          <w:tcPr>
            <w:tcW w:w="662" w:type="pct"/>
            <w:tcBorders>
              <w:bottom w:val="nil"/>
            </w:tcBorders>
          </w:tcPr>
          <w:p w:rsidR="00000000" w:rsidRDefault="00000000">
            <w:pPr>
              <w:pStyle w:val="a2"/>
              <w:ind w:right="284"/>
              <w:jc w:val="right"/>
            </w:pPr>
            <w:r>
              <w:t>50,994</w:t>
            </w:r>
          </w:p>
        </w:tc>
        <w:tc>
          <w:tcPr>
            <w:tcW w:w="662" w:type="pct"/>
            <w:tcBorders>
              <w:bottom w:val="nil"/>
            </w:tcBorders>
          </w:tcPr>
          <w:p w:rsidR="00000000" w:rsidRDefault="00000000">
            <w:pPr>
              <w:pStyle w:val="a2"/>
              <w:ind w:right="284"/>
              <w:jc w:val="right"/>
            </w:pPr>
            <w:r>
              <w:t>61,543</w:t>
            </w:r>
          </w:p>
        </w:tc>
        <w:tc>
          <w:tcPr>
            <w:tcW w:w="662" w:type="pct"/>
            <w:tcBorders>
              <w:bottom w:val="nil"/>
            </w:tcBorders>
          </w:tcPr>
          <w:p w:rsidR="00000000" w:rsidRDefault="00000000">
            <w:pPr>
              <w:pStyle w:val="a2"/>
              <w:ind w:right="284"/>
              <w:jc w:val="right"/>
            </w:pPr>
            <w:r>
              <w:t>70,555</w:t>
            </w:r>
          </w:p>
        </w:tc>
        <w:tc>
          <w:tcPr>
            <w:tcW w:w="662" w:type="pct"/>
            <w:tcBorders>
              <w:bottom w:val="nil"/>
            </w:tcBorders>
          </w:tcPr>
          <w:p w:rsidR="00000000" w:rsidRDefault="00000000">
            <w:pPr>
              <w:pStyle w:val="a2"/>
              <w:ind w:right="284"/>
              <w:jc w:val="right"/>
            </w:pPr>
            <w:r>
              <w:t>76,211</w:t>
            </w:r>
          </w:p>
        </w:tc>
        <w:tc>
          <w:tcPr>
            <w:tcW w:w="662" w:type="pct"/>
            <w:tcBorders>
              <w:bottom w:val="nil"/>
            </w:tcBorders>
          </w:tcPr>
          <w:p w:rsidR="00000000" w:rsidRDefault="00000000">
            <w:pPr>
              <w:pStyle w:val="a2"/>
              <w:ind w:right="284"/>
              <w:jc w:val="right"/>
            </w:pPr>
            <w:r>
              <w:t>86,113</w:t>
            </w: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占农村人口比重</w:t>
            </w:r>
          </w:p>
        </w:tc>
        <w:tc>
          <w:tcPr>
            <w:tcW w:w="372" w:type="pct"/>
            <w:tcBorders>
              <w:top w:val="nil"/>
              <w:bottom w:val="nil"/>
            </w:tcBorders>
          </w:tcPr>
          <w:p w:rsidR="00000000" w:rsidRDefault="00000000">
            <w:pPr>
              <w:pStyle w:val="a2"/>
              <w:jc w:val="center"/>
              <w:rPr>
                <w:rFonts w:hint="eastAsia"/>
              </w:rPr>
            </w:pPr>
            <w:r>
              <w:rPr>
                <w:rFonts w:hint="eastAsia"/>
              </w:rPr>
              <w:t>%</w:t>
            </w:r>
          </w:p>
        </w:tc>
        <w:tc>
          <w:tcPr>
            <w:tcW w:w="662" w:type="pct"/>
            <w:tcBorders>
              <w:top w:val="nil"/>
              <w:bottom w:val="nil"/>
            </w:tcBorders>
          </w:tcPr>
          <w:p w:rsidR="00000000" w:rsidRDefault="00000000">
            <w:pPr>
              <w:pStyle w:val="a2"/>
              <w:jc w:val="center"/>
            </w:pPr>
            <w:r>
              <w:t>60.2</w:t>
            </w:r>
          </w:p>
        </w:tc>
        <w:tc>
          <w:tcPr>
            <w:tcW w:w="662" w:type="pct"/>
            <w:tcBorders>
              <w:top w:val="nil"/>
              <w:bottom w:val="nil"/>
            </w:tcBorders>
          </w:tcPr>
          <w:p w:rsidR="00000000" w:rsidRDefault="00000000">
            <w:pPr>
              <w:pStyle w:val="a2"/>
              <w:jc w:val="center"/>
            </w:pPr>
            <w:r>
              <w:t>70.3</w:t>
            </w:r>
          </w:p>
        </w:tc>
        <w:tc>
          <w:tcPr>
            <w:tcW w:w="662" w:type="pct"/>
            <w:tcBorders>
              <w:top w:val="nil"/>
              <w:bottom w:val="nil"/>
            </w:tcBorders>
          </w:tcPr>
          <w:p w:rsidR="00000000" w:rsidRDefault="00000000">
            <w:pPr>
              <w:pStyle w:val="a2"/>
              <w:jc w:val="center"/>
            </w:pPr>
            <w:r>
              <w:t>77.0</w:t>
            </w:r>
          </w:p>
        </w:tc>
        <w:tc>
          <w:tcPr>
            <w:tcW w:w="662" w:type="pct"/>
            <w:tcBorders>
              <w:top w:val="nil"/>
              <w:bottom w:val="nil"/>
            </w:tcBorders>
          </w:tcPr>
          <w:p w:rsidR="00000000" w:rsidRDefault="00000000">
            <w:pPr>
              <w:pStyle w:val="a2"/>
              <w:jc w:val="center"/>
            </w:pPr>
            <w:r>
              <w:t>82.9</w:t>
            </w:r>
          </w:p>
        </w:tc>
        <w:tc>
          <w:tcPr>
            <w:tcW w:w="662" w:type="pct"/>
            <w:tcBorders>
              <w:top w:val="nil"/>
              <w:bottom w:val="nil"/>
            </w:tcBorders>
          </w:tcPr>
          <w:p w:rsidR="00000000" w:rsidRDefault="00000000">
            <w:pPr>
              <w:pStyle w:val="a2"/>
              <w:jc w:val="center"/>
            </w:pPr>
            <w:r>
              <w:t>91.0</w:t>
            </w: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改水形式</w:t>
            </w:r>
          </w:p>
        </w:tc>
        <w:tc>
          <w:tcPr>
            <w:tcW w:w="372" w:type="pct"/>
            <w:tcBorders>
              <w:top w:val="nil"/>
              <w:bottom w:val="nil"/>
            </w:tcBorders>
          </w:tcPr>
          <w:p w:rsidR="00000000" w:rsidRDefault="00000000">
            <w:pPr>
              <w:pStyle w:val="a2"/>
              <w:jc w:val="center"/>
              <w:rPr>
                <w:rFonts w:hint="eastAsia"/>
              </w:rPr>
            </w:pPr>
          </w:p>
        </w:tc>
        <w:tc>
          <w:tcPr>
            <w:tcW w:w="662" w:type="pct"/>
            <w:tcBorders>
              <w:top w:val="nil"/>
              <w:bottom w:val="nil"/>
            </w:tcBorders>
          </w:tcPr>
          <w:p w:rsidR="00000000" w:rsidRDefault="00000000">
            <w:pPr>
              <w:pStyle w:val="a2"/>
              <w:jc w:val="right"/>
            </w:pPr>
          </w:p>
        </w:tc>
        <w:tc>
          <w:tcPr>
            <w:tcW w:w="662" w:type="pct"/>
            <w:tcBorders>
              <w:top w:val="nil"/>
              <w:bottom w:val="nil"/>
            </w:tcBorders>
          </w:tcPr>
          <w:p w:rsidR="00000000" w:rsidRDefault="00000000">
            <w:pPr>
              <w:pStyle w:val="a2"/>
            </w:pPr>
          </w:p>
        </w:tc>
        <w:tc>
          <w:tcPr>
            <w:tcW w:w="662" w:type="pct"/>
            <w:tcBorders>
              <w:top w:val="nil"/>
              <w:bottom w:val="nil"/>
            </w:tcBorders>
          </w:tcPr>
          <w:p w:rsidR="00000000" w:rsidRDefault="00000000">
            <w:pPr>
              <w:pStyle w:val="a2"/>
            </w:pPr>
          </w:p>
        </w:tc>
        <w:tc>
          <w:tcPr>
            <w:tcW w:w="662" w:type="pct"/>
            <w:tcBorders>
              <w:top w:val="nil"/>
              <w:bottom w:val="nil"/>
            </w:tcBorders>
          </w:tcPr>
          <w:p w:rsidR="00000000" w:rsidRDefault="00000000">
            <w:pPr>
              <w:pStyle w:val="a2"/>
            </w:pPr>
          </w:p>
        </w:tc>
        <w:tc>
          <w:tcPr>
            <w:tcW w:w="662" w:type="pct"/>
            <w:tcBorders>
              <w:top w:val="nil"/>
              <w:bottom w:val="nil"/>
            </w:tcBorders>
          </w:tcPr>
          <w:p w:rsidR="00000000" w:rsidRDefault="00000000">
            <w:pPr>
              <w:pStyle w:val="a2"/>
            </w:pP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自来水厂、站数</w:t>
            </w:r>
          </w:p>
        </w:tc>
        <w:tc>
          <w:tcPr>
            <w:tcW w:w="372" w:type="pct"/>
            <w:tcBorders>
              <w:top w:val="nil"/>
              <w:bottom w:val="nil"/>
            </w:tcBorders>
          </w:tcPr>
          <w:p w:rsidR="00000000" w:rsidRDefault="00000000">
            <w:pPr>
              <w:pStyle w:val="a2"/>
              <w:jc w:val="center"/>
              <w:rPr>
                <w:rFonts w:hint="eastAsia"/>
              </w:rPr>
            </w:pPr>
            <w:r>
              <w:rPr>
                <w:rFonts w:hint="eastAsia"/>
              </w:rPr>
              <w:t>个</w:t>
            </w:r>
          </w:p>
        </w:tc>
        <w:tc>
          <w:tcPr>
            <w:tcW w:w="662" w:type="pct"/>
            <w:tcBorders>
              <w:top w:val="nil"/>
              <w:bottom w:val="nil"/>
            </w:tcBorders>
          </w:tcPr>
          <w:p w:rsidR="00000000" w:rsidRDefault="00000000">
            <w:pPr>
              <w:pStyle w:val="a2"/>
              <w:ind w:right="284"/>
              <w:jc w:val="right"/>
            </w:pPr>
            <w:r>
              <w:t>204,107</w:t>
            </w:r>
          </w:p>
        </w:tc>
        <w:tc>
          <w:tcPr>
            <w:tcW w:w="662" w:type="pct"/>
            <w:tcBorders>
              <w:top w:val="nil"/>
              <w:bottom w:val="nil"/>
            </w:tcBorders>
          </w:tcPr>
          <w:p w:rsidR="00000000" w:rsidRDefault="00000000">
            <w:pPr>
              <w:pStyle w:val="a2"/>
              <w:ind w:right="284"/>
              <w:jc w:val="right"/>
            </w:pPr>
            <w:r>
              <w:t>302,096</w:t>
            </w:r>
          </w:p>
        </w:tc>
        <w:tc>
          <w:tcPr>
            <w:tcW w:w="662" w:type="pct"/>
            <w:tcBorders>
              <w:top w:val="nil"/>
              <w:bottom w:val="nil"/>
            </w:tcBorders>
          </w:tcPr>
          <w:p w:rsidR="00000000" w:rsidRDefault="00000000">
            <w:pPr>
              <w:pStyle w:val="a2"/>
              <w:ind w:right="284"/>
              <w:jc w:val="right"/>
            </w:pPr>
            <w:r>
              <w:t>522,691</w:t>
            </w:r>
          </w:p>
        </w:tc>
        <w:tc>
          <w:tcPr>
            <w:tcW w:w="662" w:type="pct"/>
            <w:tcBorders>
              <w:top w:val="nil"/>
              <w:bottom w:val="nil"/>
            </w:tcBorders>
          </w:tcPr>
          <w:p w:rsidR="00000000" w:rsidRDefault="00000000">
            <w:pPr>
              <w:pStyle w:val="a2"/>
              <w:ind w:right="284"/>
              <w:jc w:val="right"/>
            </w:pPr>
            <w:r>
              <w:t>591,251</w:t>
            </w:r>
          </w:p>
        </w:tc>
        <w:tc>
          <w:tcPr>
            <w:tcW w:w="662" w:type="pct"/>
            <w:tcBorders>
              <w:top w:val="nil"/>
              <w:bottom w:val="nil"/>
            </w:tcBorders>
          </w:tcPr>
          <w:p w:rsidR="00000000" w:rsidRDefault="00000000">
            <w:pPr>
              <w:pStyle w:val="a2"/>
              <w:ind w:right="284"/>
              <w:jc w:val="right"/>
            </w:pPr>
            <w:r>
              <w:t>694,138</w:t>
            </w: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受益人口</w:t>
            </w:r>
          </w:p>
        </w:tc>
        <w:tc>
          <w:tcPr>
            <w:tcW w:w="372" w:type="pct"/>
            <w:tcBorders>
              <w:top w:val="nil"/>
              <w:bottom w:val="nil"/>
            </w:tcBorders>
          </w:tcPr>
          <w:p w:rsidR="00000000" w:rsidRDefault="00000000">
            <w:pPr>
              <w:pStyle w:val="a2"/>
              <w:jc w:val="center"/>
              <w:rPr>
                <w:rFonts w:hint="eastAsia"/>
              </w:rPr>
            </w:pPr>
            <w:r>
              <w:rPr>
                <w:rFonts w:hint="eastAsia"/>
              </w:rPr>
              <w:t>万人</w:t>
            </w:r>
          </w:p>
        </w:tc>
        <w:tc>
          <w:tcPr>
            <w:tcW w:w="662" w:type="pct"/>
            <w:tcBorders>
              <w:top w:val="nil"/>
              <w:bottom w:val="nil"/>
            </w:tcBorders>
          </w:tcPr>
          <w:p w:rsidR="00000000" w:rsidRDefault="00000000">
            <w:pPr>
              <w:pStyle w:val="a2"/>
              <w:ind w:right="284"/>
              <w:jc w:val="right"/>
            </w:pPr>
            <w:r>
              <w:t>17,415</w:t>
            </w:r>
          </w:p>
        </w:tc>
        <w:tc>
          <w:tcPr>
            <w:tcW w:w="662" w:type="pct"/>
            <w:tcBorders>
              <w:top w:val="nil"/>
              <w:bottom w:val="nil"/>
            </w:tcBorders>
          </w:tcPr>
          <w:p w:rsidR="00000000" w:rsidRDefault="00000000">
            <w:pPr>
              <w:pStyle w:val="a2"/>
              <w:ind w:right="284"/>
              <w:jc w:val="right"/>
            </w:pPr>
            <w:r>
              <w:t>22,725</w:t>
            </w:r>
          </w:p>
        </w:tc>
        <w:tc>
          <w:tcPr>
            <w:tcW w:w="662" w:type="pct"/>
            <w:tcBorders>
              <w:top w:val="nil"/>
              <w:bottom w:val="nil"/>
            </w:tcBorders>
          </w:tcPr>
          <w:p w:rsidR="00000000" w:rsidRDefault="00000000">
            <w:pPr>
              <w:pStyle w:val="a2"/>
              <w:ind w:right="284"/>
              <w:jc w:val="right"/>
            </w:pPr>
            <w:r>
              <w:t>30,092</w:t>
            </w:r>
          </w:p>
        </w:tc>
        <w:tc>
          <w:tcPr>
            <w:tcW w:w="662" w:type="pct"/>
            <w:tcBorders>
              <w:top w:val="nil"/>
              <w:bottom w:val="nil"/>
            </w:tcBorders>
          </w:tcPr>
          <w:p w:rsidR="00000000" w:rsidRDefault="00000000">
            <w:pPr>
              <w:pStyle w:val="a2"/>
              <w:ind w:right="284"/>
              <w:jc w:val="right"/>
            </w:pPr>
            <w:r>
              <w:t>35,007</w:t>
            </w:r>
          </w:p>
        </w:tc>
        <w:tc>
          <w:tcPr>
            <w:tcW w:w="662" w:type="pct"/>
            <w:tcBorders>
              <w:top w:val="nil"/>
              <w:bottom w:val="nil"/>
            </w:tcBorders>
          </w:tcPr>
          <w:p w:rsidR="00000000" w:rsidRDefault="00000000">
            <w:pPr>
              <w:pStyle w:val="a2"/>
              <w:ind w:right="284"/>
              <w:jc w:val="right"/>
            </w:pPr>
            <w:r>
              <w:t>52,146</w:t>
            </w: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占改水受益总人口比重</w:t>
            </w:r>
          </w:p>
        </w:tc>
        <w:tc>
          <w:tcPr>
            <w:tcW w:w="372" w:type="pct"/>
            <w:tcBorders>
              <w:top w:val="nil"/>
              <w:bottom w:val="nil"/>
            </w:tcBorders>
          </w:tcPr>
          <w:p w:rsidR="00000000" w:rsidRDefault="00000000">
            <w:pPr>
              <w:pStyle w:val="a2"/>
              <w:jc w:val="center"/>
              <w:rPr>
                <w:rFonts w:hint="eastAsia"/>
              </w:rPr>
            </w:pPr>
            <w:r>
              <w:rPr>
                <w:rFonts w:hint="eastAsia"/>
              </w:rPr>
              <w:t>%</w:t>
            </w:r>
          </w:p>
        </w:tc>
        <w:tc>
          <w:tcPr>
            <w:tcW w:w="662" w:type="pct"/>
            <w:tcBorders>
              <w:top w:val="nil"/>
              <w:bottom w:val="nil"/>
            </w:tcBorders>
          </w:tcPr>
          <w:p w:rsidR="00000000" w:rsidRDefault="00000000">
            <w:pPr>
              <w:pStyle w:val="a2"/>
              <w:jc w:val="center"/>
            </w:pPr>
            <w:r>
              <w:t>34.2</w:t>
            </w:r>
          </w:p>
        </w:tc>
        <w:tc>
          <w:tcPr>
            <w:tcW w:w="662" w:type="pct"/>
            <w:tcBorders>
              <w:top w:val="nil"/>
              <w:bottom w:val="nil"/>
            </w:tcBorders>
          </w:tcPr>
          <w:p w:rsidR="00000000" w:rsidRDefault="00000000">
            <w:pPr>
              <w:pStyle w:val="a2"/>
              <w:jc w:val="center"/>
            </w:pPr>
            <w:r>
              <w:t>36.9</w:t>
            </w:r>
          </w:p>
        </w:tc>
        <w:tc>
          <w:tcPr>
            <w:tcW w:w="662" w:type="pct"/>
            <w:tcBorders>
              <w:top w:val="nil"/>
              <w:bottom w:val="nil"/>
            </w:tcBorders>
          </w:tcPr>
          <w:p w:rsidR="00000000" w:rsidRDefault="00000000">
            <w:pPr>
              <w:pStyle w:val="a2"/>
              <w:jc w:val="center"/>
            </w:pPr>
            <w:r>
              <w:t>42.7</w:t>
            </w:r>
          </w:p>
        </w:tc>
        <w:tc>
          <w:tcPr>
            <w:tcW w:w="662" w:type="pct"/>
            <w:tcBorders>
              <w:top w:val="nil"/>
              <w:bottom w:val="nil"/>
            </w:tcBorders>
          </w:tcPr>
          <w:p w:rsidR="00000000" w:rsidRDefault="00000000">
            <w:pPr>
              <w:pStyle w:val="a2"/>
              <w:jc w:val="center"/>
            </w:pPr>
            <w:r>
              <w:t>45.9</w:t>
            </w:r>
          </w:p>
        </w:tc>
        <w:tc>
          <w:tcPr>
            <w:tcW w:w="662" w:type="pct"/>
            <w:tcBorders>
              <w:top w:val="nil"/>
              <w:bottom w:val="nil"/>
            </w:tcBorders>
          </w:tcPr>
          <w:p w:rsidR="00000000" w:rsidRDefault="00000000">
            <w:pPr>
              <w:pStyle w:val="a2"/>
              <w:jc w:val="center"/>
            </w:pPr>
            <w:r>
              <w:t>55.1</w:t>
            </w: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手压机井数</w:t>
            </w:r>
          </w:p>
        </w:tc>
        <w:tc>
          <w:tcPr>
            <w:tcW w:w="372" w:type="pct"/>
            <w:tcBorders>
              <w:top w:val="nil"/>
              <w:bottom w:val="nil"/>
            </w:tcBorders>
          </w:tcPr>
          <w:p w:rsidR="00000000" w:rsidRDefault="00000000">
            <w:pPr>
              <w:pStyle w:val="a2"/>
              <w:jc w:val="center"/>
              <w:rPr>
                <w:rFonts w:hint="eastAsia"/>
              </w:rPr>
            </w:pPr>
            <w:r>
              <w:rPr>
                <w:rFonts w:hint="eastAsia"/>
              </w:rPr>
              <w:t>万台</w:t>
            </w:r>
          </w:p>
        </w:tc>
        <w:tc>
          <w:tcPr>
            <w:tcW w:w="662" w:type="pct"/>
            <w:tcBorders>
              <w:top w:val="nil"/>
              <w:bottom w:val="nil"/>
            </w:tcBorders>
          </w:tcPr>
          <w:p w:rsidR="00000000" w:rsidRDefault="00000000">
            <w:pPr>
              <w:pStyle w:val="a2"/>
              <w:ind w:right="284"/>
              <w:jc w:val="right"/>
              <w:rPr>
                <w:rFonts w:hint="eastAsia"/>
              </w:rPr>
            </w:pPr>
            <w:r>
              <w:t>4,823</w:t>
            </w:r>
          </w:p>
        </w:tc>
        <w:tc>
          <w:tcPr>
            <w:tcW w:w="662" w:type="pct"/>
            <w:tcBorders>
              <w:top w:val="nil"/>
              <w:bottom w:val="nil"/>
            </w:tcBorders>
          </w:tcPr>
          <w:p w:rsidR="00000000" w:rsidRDefault="00000000">
            <w:pPr>
              <w:pStyle w:val="a2"/>
              <w:ind w:right="284"/>
              <w:jc w:val="right"/>
              <w:rPr>
                <w:rFonts w:hint="eastAsia"/>
              </w:rPr>
            </w:pPr>
            <w:r>
              <w:t>3,041</w:t>
            </w:r>
          </w:p>
        </w:tc>
        <w:tc>
          <w:tcPr>
            <w:tcW w:w="662" w:type="pct"/>
            <w:tcBorders>
              <w:top w:val="nil"/>
              <w:bottom w:val="nil"/>
            </w:tcBorders>
          </w:tcPr>
          <w:p w:rsidR="00000000" w:rsidRDefault="00000000">
            <w:pPr>
              <w:pStyle w:val="a2"/>
              <w:ind w:right="284"/>
              <w:jc w:val="right"/>
              <w:rPr>
                <w:rFonts w:hint="eastAsia"/>
              </w:rPr>
            </w:pPr>
            <w:r>
              <w:t>3,607</w:t>
            </w:r>
          </w:p>
        </w:tc>
        <w:tc>
          <w:tcPr>
            <w:tcW w:w="662" w:type="pct"/>
            <w:tcBorders>
              <w:top w:val="nil"/>
              <w:bottom w:val="nil"/>
            </w:tcBorders>
          </w:tcPr>
          <w:p w:rsidR="00000000" w:rsidRDefault="00000000">
            <w:pPr>
              <w:pStyle w:val="a2"/>
              <w:ind w:right="284"/>
              <w:jc w:val="right"/>
              <w:rPr>
                <w:rFonts w:hint="eastAsia"/>
              </w:rPr>
            </w:pPr>
            <w:r>
              <w:t>3,976</w:t>
            </w:r>
          </w:p>
        </w:tc>
        <w:tc>
          <w:tcPr>
            <w:tcW w:w="662" w:type="pct"/>
            <w:tcBorders>
              <w:top w:val="nil"/>
              <w:bottom w:val="nil"/>
            </w:tcBorders>
          </w:tcPr>
          <w:p w:rsidR="00000000" w:rsidRDefault="00000000">
            <w:pPr>
              <w:pStyle w:val="a2"/>
              <w:ind w:right="284"/>
              <w:jc w:val="right"/>
              <w:rPr>
                <w:rFonts w:hint="eastAsia"/>
              </w:rPr>
            </w:pPr>
            <w:r>
              <w:t>6,725</w:t>
            </w: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受益人口</w:t>
            </w:r>
          </w:p>
        </w:tc>
        <w:tc>
          <w:tcPr>
            <w:tcW w:w="372" w:type="pct"/>
            <w:tcBorders>
              <w:top w:val="nil"/>
              <w:bottom w:val="nil"/>
            </w:tcBorders>
          </w:tcPr>
          <w:p w:rsidR="00000000" w:rsidRDefault="00000000">
            <w:pPr>
              <w:pStyle w:val="a2"/>
              <w:jc w:val="center"/>
              <w:rPr>
                <w:rFonts w:hint="eastAsia"/>
              </w:rPr>
            </w:pPr>
            <w:r>
              <w:rPr>
                <w:rFonts w:hint="eastAsia"/>
              </w:rPr>
              <w:t>万人</w:t>
            </w:r>
          </w:p>
        </w:tc>
        <w:tc>
          <w:tcPr>
            <w:tcW w:w="662" w:type="pct"/>
            <w:tcBorders>
              <w:top w:val="nil"/>
              <w:bottom w:val="nil"/>
            </w:tcBorders>
          </w:tcPr>
          <w:p w:rsidR="00000000" w:rsidRDefault="00000000">
            <w:pPr>
              <w:pStyle w:val="a2"/>
              <w:ind w:right="284"/>
              <w:jc w:val="right"/>
            </w:pPr>
            <w:r>
              <w:t>13,772</w:t>
            </w:r>
          </w:p>
        </w:tc>
        <w:tc>
          <w:tcPr>
            <w:tcW w:w="662" w:type="pct"/>
            <w:tcBorders>
              <w:top w:val="nil"/>
              <w:bottom w:val="nil"/>
            </w:tcBorders>
          </w:tcPr>
          <w:p w:rsidR="00000000" w:rsidRDefault="00000000">
            <w:pPr>
              <w:pStyle w:val="a2"/>
              <w:ind w:right="284"/>
              <w:jc w:val="right"/>
            </w:pPr>
            <w:r>
              <w:t>18,398</w:t>
            </w:r>
          </w:p>
        </w:tc>
        <w:tc>
          <w:tcPr>
            <w:tcW w:w="662" w:type="pct"/>
            <w:tcBorders>
              <w:top w:val="nil"/>
              <w:bottom w:val="nil"/>
            </w:tcBorders>
          </w:tcPr>
          <w:p w:rsidR="00000000" w:rsidRDefault="00000000">
            <w:pPr>
              <w:pStyle w:val="a2"/>
              <w:ind w:right="284"/>
              <w:jc w:val="right"/>
            </w:pPr>
            <w:r>
              <w:t>19,898</w:t>
            </w:r>
          </w:p>
        </w:tc>
        <w:tc>
          <w:tcPr>
            <w:tcW w:w="662" w:type="pct"/>
            <w:tcBorders>
              <w:top w:val="nil"/>
              <w:bottom w:val="nil"/>
            </w:tcBorders>
          </w:tcPr>
          <w:p w:rsidR="00000000" w:rsidRDefault="00000000">
            <w:pPr>
              <w:pStyle w:val="a2"/>
              <w:ind w:right="284"/>
              <w:jc w:val="right"/>
            </w:pPr>
            <w:r>
              <w:t>20,662</w:t>
            </w:r>
          </w:p>
        </w:tc>
        <w:tc>
          <w:tcPr>
            <w:tcW w:w="662" w:type="pct"/>
            <w:tcBorders>
              <w:top w:val="nil"/>
              <w:bottom w:val="nil"/>
            </w:tcBorders>
          </w:tcPr>
          <w:p w:rsidR="00000000" w:rsidRDefault="00000000">
            <w:pPr>
              <w:pStyle w:val="a2"/>
              <w:ind w:right="284"/>
              <w:jc w:val="right"/>
            </w:pPr>
            <w:r>
              <w:t>21,214</w:t>
            </w: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占改水受益总人口比重</w:t>
            </w:r>
          </w:p>
        </w:tc>
        <w:tc>
          <w:tcPr>
            <w:tcW w:w="372" w:type="pct"/>
            <w:tcBorders>
              <w:top w:val="nil"/>
              <w:bottom w:val="nil"/>
            </w:tcBorders>
          </w:tcPr>
          <w:p w:rsidR="00000000" w:rsidRDefault="00000000">
            <w:pPr>
              <w:pStyle w:val="a2"/>
              <w:jc w:val="center"/>
              <w:rPr>
                <w:rFonts w:hint="eastAsia"/>
              </w:rPr>
            </w:pPr>
            <w:r>
              <w:rPr>
                <w:rFonts w:hint="eastAsia"/>
              </w:rPr>
              <w:t>%</w:t>
            </w:r>
          </w:p>
        </w:tc>
        <w:tc>
          <w:tcPr>
            <w:tcW w:w="662" w:type="pct"/>
            <w:tcBorders>
              <w:top w:val="nil"/>
              <w:bottom w:val="nil"/>
            </w:tcBorders>
          </w:tcPr>
          <w:p w:rsidR="00000000" w:rsidRDefault="00000000">
            <w:pPr>
              <w:pStyle w:val="a2"/>
              <w:jc w:val="center"/>
            </w:pPr>
            <w:r>
              <w:t>27</w:t>
            </w:r>
          </w:p>
        </w:tc>
        <w:tc>
          <w:tcPr>
            <w:tcW w:w="662" w:type="pct"/>
            <w:tcBorders>
              <w:top w:val="nil"/>
              <w:bottom w:val="nil"/>
            </w:tcBorders>
          </w:tcPr>
          <w:p w:rsidR="00000000" w:rsidRDefault="00000000">
            <w:pPr>
              <w:pStyle w:val="a2"/>
              <w:jc w:val="center"/>
            </w:pPr>
            <w:r>
              <w:t>29.9</w:t>
            </w:r>
          </w:p>
        </w:tc>
        <w:tc>
          <w:tcPr>
            <w:tcW w:w="662" w:type="pct"/>
            <w:tcBorders>
              <w:top w:val="nil"/>
              <w:bottom w:val="nil"/>
            </w:tcBorders>
          </w:tcPr>
          <w:p w:rsidR="00000000" w:rsidRDefault="00000000">
            <w:pPr>
              <w:pStyle w:val="a2"/>
              <w:jc w:val="center"/>
            </w:pPr>
            <w:r>
              <w:t>28.2</w:t>
            </w:r>
          </w:p>
        </w:tc>
        <w:tc>
          <w:tcPr>
            <w:tcW w:w="662" w:type="pct"/>
            <w:tcBorders>
              <w:top w:val="nil"/>
              <w:bottom w:val="nil"/>
            </w:tcBorders>
          </w:tcPr>
          <w:p w:rsidR="00000000" w:rsidRDefault="00000000">
            <w:pPr>
              <w:pStyle w:val="a2"/>
              <w:jc w:val="center"/>
            </w:pPr>
            <w:r>
              <w:t>27.1</w:t>
            </w:r>
          </w:p>
        </w:tc>
        <w:tc>
          <w:tcPr>
            <w:tcW w:w="662" w:type="pct"/>
            <w:tcBorders>
              <w:top w:val="nil"/>
              <w:bottom w:val="nil"/>
            </w:tcBorders>
          </w:tcPr>
          <w:p w:rsidR="00000000" w:rsidRDefault="00000000">
            <w:pPr>
              <w:pStyle w:val="a2"/>
              <w:jc w:val="center"/>
            </w:pPr>
            <w:r>
              <w:t>22.4</w:t>
            </w:r>
          </w:p>
        </w:tc>
      </w:tr>
      <w:tr w:rsidR="00000000">
        <w:tblPrEx>
          <w:tblCellMar>
            <w:top w:w="0" w:type="dxa"/>
            <w:bottom w:w="0" w:type="dxa"/>
          </w:tblCellMar>
        </w:tblPrEx>
        <w:tc>
          <w:tcPr>
            <w:tcW w:w="1318" w:type="pct"/>
            <w:tcBorders>
              <w:top w:val="nil"/>
              <w:bottom w:val="nil"/>
            </w:tcBorders>
          </w:tcPr>
          <w:p w:rsidR="00000000" w:rsidRDefault="00000000">
            <w:pPr>
              <w:pStyle w:val="a2"/>
              <w:ind w:left="113"/>
              <w:rPr>
                <w:rFonts w:hint="eastAsia"/>
              </w:rPr>
            </w:pPr>
            <w:r>
              <w:rPr>
                <w:rFonts w:hint="eastAsia"/>
              </w:rPr>
              <w:t>其他改水受益人口</w:t>
            </w:r>
          </w:p>
        </w:tc>
        <w:tc>
          <w:tcPr>
            <w:tcW w:w="372" w:type="pct"/>
            <w:tcBorders>
              <w:top w:val="nil"/>
              <w:bottom w:val="nil"/>
            </w:tcBorders>
          </w:tcPr>
          <w:p w:rsidR="00000000" w:rsidRDefault="00000000">
            <w:pPr>
              <w:pStyle w:val="a2"/>
              <w:jc w:val="center"/>
              <w:rPr>
                <w:rFonts w:hint="eastAsia"/>
              </w:rPr>
            </w:pPr>
            <w:r>
              <w:rPr>
                <w:rFonts w:hint="eastAsia"/>
              </w:rPr>
              <w:t>万人</w:t>
            </w:r>
          </w:p>
        </w:tc>
        <w:tc>
          <w:tcPr>
            <w:tcW w:w="662" w:type="pct"/>
            <w:tcBorders>
              <w:top w:val="nil"/>
              <w:bottom w:val="nil"/>
            </w:tcBorders>
          </w:tcPr>
          <w:p w:rsidR="00000000" w:rsidRDefault="00000000">
            <w:pPr>
              <w:pStyle w:val="a2"/>
              <w:ind w:right="284"/>
              <w:jc w:val="right"/>
            </w:pPr>
            <w:r>
              <w:t>19,807</w:t>
            </w:r>
          </w:p>
        </w:tc>
        <w:tc>
          <w:tcPr>
            <w:tcW w:w="662" w:type="pct"/>
            <w:tcBorders>
              <w:top w:val="nil"/>
              <w:bottom w:val="nil"/>
            </w:tcBorders>
          </w:tcPr>
          <w:p w:rsidR="00000000" w:rsidRDefault="00000000">
            <w:pPr>
              <w:pStyle w:val="a2"/>
              <w:ind w:right="284"/>
              <w:jc w:val="right"/>
            </w:pPr>
            <w:r>
              <w:t>20,422</w:t>
            </w:r>
          </w:p>
        </w:tc>
        <w:tc>
          <w:tcPr>
            <w:tcW w:w="662" w:type="pct"/>
            <w:tcBorders>
              <w:top w:val="nil"/>
              <w:bottom w:val="nil"/>
            </w:tcBorders>
          </w:tcPr>
          <w:p w:rsidR="00000000" w:rsidRDefault="00000000">
            <w:pPr>
              <w:pStyle w:val="a2"/>
              <w:ind w:right="284"/>
              <w:jc w:val="right"/>
            </w:pPr>
            <w:r>
              <w:t>20,565</w:t>
            </w:r>
          </w:p>
        </w:tc>
        <w:tc>
          <w:tcPr>
            <w:tcW w:w="662" w:type="pct"/>
            <w:tcBorders>
              <w:top w:val="nil"/>
              <w:bottom w:val="nil"/>
            </w:tcBorders>
          </w:tcPr>
          <w:p w:rsidR="00000000" w:rsidRDefault="00000000">
            <w:pPr>
              <w:pStyle w:val="a2"/>
              <w:ind w:right="284"/>
              <w:jc w:val="right"/>
            </w:pPr>
            <w:r>
              <w:t>20,542</w:t>
            </w:r>
          </w:p>
        </w:tc>
        <w:tc>
          <w:tcPr>
            <w:tcW w:w="662" w:type="pct"/>
            <w:tcBorders>
              <w:top w:val="nil"/>
              <w:bottom w:val="nil"/>
            </w:tcBorders>
          </w:tcPr>
          <w:p w:rsidR="00000000" w:rsidRDefault="00000000">
            <w:pPr>
              <w:pStyle w:val="a2"/>
              <w:ind w:right="284"/>
              <w:jc w:val="right"/>
            </w:pPr>
            <w:r>
              <w:t>12,753</w:t>
            </w:r>
          </w:p>
        </w:tc>
      </w:tr>
      <w:tr w:rsidR="00000000">
        <w:tblPrEx>
          <w:tblCellMar>
            <w:top w:w="0" w:type="dxa"/>
            <w:bottom w:w="0" w:type="dxa"/>
          </w:tblCellMar>
        </w:tblPrEx>
        <w:tc>
          <w:tcPr>
            <w:tcW w:w="1318" w:type="pct"/>
            <w:tcBorders>
              <w:top w:val="nil"/>
            </w:tcBorders>
          </w:tcPr>
          <w:p w:rsidR="00000000" w:rsidRDefault="00000000">
            <w:pPr>
              <w:pStyle w:val="a2"/>
              <w:ind w:left="113"/>
              <w:rPr>
                <w:rFonts w:hint="eastAsia"/>
              </w:rPr>
            </w:pPr>
            <w:r>
              <w:rPr>
                <w:rFonts w:hint="eastAsia"/>
              </w:rPr>
              <w:t>占改水受益总人口比重</w:t>
            </w:r>
          </w:p>
        </w:tc>
        <w:tc>
          <w:tcPr>
            <w:tcW w:w="372" w:type="pct"/>
            <w:tcBorders>
              <w:top w:val="nil"/>
            </w:tcBorders>
          </w:tcPr>
          <w:p w:rsidR="00000000" w:rsidRDefault="00000000">
            <w:pPr>
              <w:pStyle w:val="a2"/>
              <w:jc w:val="center"/>
              <w:rPr>
                <w:rFonts w:hint="eastAsia"/>
              </w:rPr>
            </w:pPr>
            <w:r>
              <w:rPr>
                <w:rFonts w:hint="eastAsia"/>
              </w:rPr>
              <w:t>%</w:t>
            </w:r>
          </w:p>
        </w:tc>
        <w:tc>
          <w:tcPr>
            <w:tcW w:w="662" w:type="pct"/>
            <w:tcBorders>
              <w:top w:val="nil"/>
            </w:tcBorders>
          </w:tcPr>
          <w:p w:rsidR="00000000" w:rsidRDefault="00000000">
            <w:pPr>
              <w:pStyle w:val="a2"/>
              <w:jc w:val="center"/>
            </w:pPr>
            <w:r>
              <w:t>38.8</w:t>
            </w:r>
          </w:p>
        </w:tc>
        <w:tc>
          <w:tcPr>
            <w:tcW w:w="662" w:type="pct"/>
            <w:tcBorders>
              <w:top w:val="nil"/>
            </w:tcBorders>
          </w:tcPr>
          <w:p w:rsidR="00000000" w:rsidRDefault="00000000">
            <w:pPr>
              <w:pStyle w:val="a2"/>
              <w:jc w:val="center"/>
            </w:pPr>
            <w:r>
              <w:t>33.2</w:t>
            </w:r>
          </w:p>
        </w:tc>
        <w:tc>
          <w:tcPr>
            <w:tcW w:w="662" w:type="pct"/>
            <w:tcBorders>
              <w:top w:val="nil"/>
            </w:tcBorders>
          </w:tcPr>
          <w:p w:rsidR="00000000" w:rsidRDefault="00000000">
            <w:pPr>
              <w:pStyle w:val="a2"/>
              <w:jc w:val="center"/>
            </w:pPr>
            <w:r>
              <w:t>29.1</w:t>
            </w:r>
          </w:p>
        </w:tc>
        <w:tc>
          <w:tcPr>
            <w:tcW w:w="662" w:type="pct"/>
            <w:tcBorders>
              <w:top w:val="nil"/>
            </w:tcBorders>
          </w:tcPr>
          <w:p w:rsidR="00000000" w:rsidRDefault="00000000">
            <w:pPr>
              <w:pStyle w:val="a2"/>
              <w:jc w:val="center"/>
            </w:pPr>
            <w:r>
              <w:t>27.0</w:t>
            </w:r>
          </w:p>
        </w:tc>
        <w:tc>
          <w:tcPr>
            <w:tcW w:w="662" w:type="pct"/>
            <w:tcBorders>
              <w:top w:val="nil"/>
            </w:tcBorders>
          </w:tcPr>
          <w:p w:rsidR="00000000" w:rsidRDefault="00000000">
            <w:pPr>
              <w:pStyle w:val="a2"/>
              <w:jc w:val="center"/>
            </w:pPr>
            <w:r>
              <w:t>14.8</w:t>
            </w:r>
          </w:p>
        </w:tc>
      </w:tr>
    </w:tbl>
    <w:p w:rsidR="00000000" w:rsidRDefault="00000000">
      <w:pPr>
        <w:spacing w:before="120" w:line="288" w:lineRule="auto"/>
        <w:rPr>
          <w:rFonts w:eastAsia="KaiTi_GB2312" w:hint="eastAsia"/>
          <w:snapToGrid/>
          <w:spacing w:val="0"/>
        </w:rPr>
      </w:pPr>
      <w:r>
        <w:rPr>
          <w:rFonts w:hint="eastAsia"/>
        </w:rPr>
        <w:tab/>
        <w:t xml:space="preserve">     </w:t>
      </w:r>
      <w:r>
        <w:rPr>
          <w:rFonts w:eastAsia="KaiTi_GB2312" w:hint="eastAsia"/>
          <w:snapToGrid/>
          <w:spacing w:val="0"/>
          <w:u w:val="single"/>
        </w:rPr>
        <w:t>注</w:t>
      </w:r>
      <w:r>
        <w:rPr>
          <w:rFonts w:eastAsia="KaiTi_GB2312" w:hint="eastAsia"/>
          <w:snapToGrid/>
          <w:spacing w:val="0"/>
        </w:rPr>
        <w:t>：表中数字系累计数。</w:t>
      </w:r>
    </w:p>
    <w:p w:rsidR="00000000" w:rsidRDefault="00000000">
      <w:pPr>
        <w:spacing w:line="288" w:lineRule="auto"/>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：卫生部提供。</w:t>
      </w:r>
    </w:p>
    <w:p w:rsidR="00000000" w:rsidRDefault="00000000">
      <w:pPr>
        <w:rPr>
          <w:rFonts w:hint="eastAsia"/>
        </w:rPr>
      </w:pPr>
    </w:p>
    <w:p w:rsidR="00000000" w:rsidRDefault="00000000">
      <w:pPr>
        <w:spacing w:after="320"/>
        <w:jc w:val="center"/>
        <w:rPr>
          <w:rFonts w:hint="eastAsia"/>
        </w:rPr>
      </w:pPr>
      <w:r>
        <w:br w:type="page"/>
      </w:r>
      <w:r>
        <w:rPr>
          <w:rFonts w:hint="eastAsia"/>
          <w:u w:val="single"/>
        </w:rPr>
        <w:t>表</w:t>
      </w:r>
      <w:r>
        <w:rPr>
          <w:rFonts w:hint="eastAsia"/>
          <w:u w:val="single"/>
        </w:rPr>
        <w:t>18</w:t>
      </w:r>
      <w:r>
        <w:rPr>
          <w:rFonts w:hint="eastAsia"/>
        </w:rPr>
        <w:t xml:space="preserve">.  </w:t>
      </w:r>
      <w:r>
        <w:rPr>
          <w:rFonts w:hint="eastAsia"/>
          <w:u w:val="single"/>
        </w:rPr>
        <w:t>全国一岁儿童计划免疫疫苗接种率</w:t>
      </w:r>
      <w:r>
        <w:rPr>
          <w:u w:val="single"/>
        </w:rPr>
        <w:br/>
      </w:r>
      <w:r>
        <w:rPr>
          <w:rFonts w:hint="eastAsia"/>
          <w:u w:val="single"/>
        </w:rPr>
        <w:t>及相应传染病发病率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68"/>
        <w:gridCol w:w="1067"/>
        <w:gridCol w:w="1068"/>
        <w:gridCol w:w="1068"/>
        <w:gridCol w:w="1068"/>
        <w:gridCol w:w="1067"/>
        <w:gridCol w:w="1068"/>
        <w:gridCol w:w="1068"/>
        <w:gridCol w:w="1068"/>
      </w:tblGrid>
      <w:tr w:rsidR="00000000">
        <w:tblPrEx>
          <w:tblCellMar>
            <w:top w:w="0" w:type="dxa"/>
            <w:bottom w:w="0" w:type="dxa"/>
          </w:tblCellMar>
        </w:tblPrEx>
        <w:trPr>
          <w:cantSplit/>
        </w:trPr>
        <w:tc>
          <w:tcPr>
            <w:tcW w:w="868" w:type="dxa"/>
            <w:vMerge w:val="restart"/>
          </w:tcPr>
          <w:p w:rsidR="00000000" w:rsidRDefault="00000000">
            <w:pPr>
              <w:pStyle w:val="a2"/>
              <w:jc w:val="center"/>
            </w:pPr>
          </w:p>
        </w:tc>
        <w:tc>
          <w:tcPr>
            <w:tcW w:w="4271" w:type="dxa"/>
            <w:gridSpan w:val="4"/>
          </w:tcPr>
          <w:p w:rsidR="00000000" w:rsidRDefault="00000000">
            <w:pPr>
              <w:pStyle w:val="a2"/>
              <w:jc w:val="center"/>
              <w:rPr>
                <w:rFonts w:ascii="Time New Roman" w:eastAsia="SimHei" w:hAnsi="Time New Roman" w:hint="eastAsia"/>
              </w:rPr>
            </w:pPr>
            <w:r>
              <w:rPr>
                <w:rFonts w:ascii="Time New Roman" w:eastAsia="SimHei" w:hAnsi="Time New Roman" w:hint="eastAsia"/>
              </w:rPr>
              <w:t>发病率</w:t>
            </w:r>
            <w:r>
              <w:rPr>
                <w:rFonts w:ascii="Time New Roman" w:eastAsia="SimHei" w:hAnsi="Time New Roman" w:hint="eastAsia"/>
              </w:rPr>
              <w:t>(</w:t>
            </w:r>
            <w:r>
              <w:rPr>
                <w:rFonts w:ascii="Time New Roman" w:eastAsia="SimHei" w:hAnsi="Time New Roman" w:hint="eastAsia"/>
                <w:b/>
              </w:rPr>
              <w:t>1</w:t>
            </w:r>
            <w:r>
              <w:rPr>
                <w:rFonts w:ascii="Time New Roman" w:eastAsia="SimHei" w:hAnsi="Time New Roman" w:hint="eastAsia"/>
              </w:rPr>
              <w:t>/</w:t>
            </w:r>
            <w:r>
              <w:rPr>
                <w:rFonts w:ascii="Time New Roman" w:eastAsia="SimHei" w:hAnsi="Time New Roman" w:hint="eastAsia"/>
                <w:b/>
              </w:rPr>
              <w:t>10</w:t>
            </w:r>
            <w:r>
              <w:rPr>
                <w:rFonts w:ascii="Time New Roman" w:eastAsia="SimHei" w:hAnsi="Time New Roman" w:hint="eastAsia"/>
              </w:rPr>
              <w:t>万</w:t>
            </w:r>
            <w:r>
              <w:rPr>
                <w:rFonts w:ascii="Time New Roman" w:eastAsia="SimHei" w:hAnsi="Time New Roman" w:hint="eastAsia"/>
              </w:rPr>
              <w:t>)</w:t>
            </w:r>
          </w:p>
        </w:tc>
        <w:tc>
          <w:tcPr>
            <w:tcW w:w="4271" w:type="dxa"/>
            <w:gridSpan w:val="4"/>
          </w:tcPr>
          <w:p w:rsidR="00000000" w:rsidRDefault="00000000">
            <w:pPr>
              <w:pStyle w:val="a2"/>
              <w:jc w:val="center"/>
              <w:rPr>
                <w:rFonts w:ascii="Time New Roman" w:eastAsia="SimHei" w:hAnsi="Time New Roman" w:hint="eastAsia"/>
              </w:rPr>
            </w:pPr>
            <w:r>
              <w:rPr>
                <w:rFonts w:ascii="Time New Roman" w:eastAsia="SimHei" w:hAnsi="Time New Roman" w:hint="eastAsia"/>
              </w:rPr>
              <w:t>十二月龄接种率</w:t>
            </w:r>
            <w:r>
              <w:rPr>
                <w:rFonts w:ascii="Time New Roman" w:eastAsia="SimHei" w:hAnsi="Time New Roman" w:hint="eastAsia"/>
              </w:rPr>
              <w:t>(%)</w:t>
            </w:r>
          </w:p>
        </w:tc>
      </w:tr>
      <w:tr w:rsidR="00000000">
        <w:tblPrEx>
          <w:tblCellMar>
            <w:top w:w="0" w:type="dxa"/>
            <w:bottom w:w="0" w:type="dxa"/>
          </w:tblCellMar>
        </w:tblPrEx>
        <w:trPr>
          <w:cantSplit/>
        </w:trPr>
        <w:tc>
          <w:tcPr>
            <w:tcW w:w="868" w:type="dxa"/>
            <w:vMerge/>
            <w:tcBorders>
              <w:bottom w:val="single" w:sz="4" w:space="0" w:color="auto"/>
            </w:tcBorders>
          </w:tcPr>
          <w:p w:rsidR="00000000" w:rsidRDefault="00000000">
            <w:pPr>
              <w:pStyle w:val="a2"/>
            </w:pPr>
          </w:p>
        </w:tc>
        <w:tc>
          <w:tcPr>
            <w:tcW w:w="1067"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白喉</w:t>
            </w:r>
          </w:p>
        </w:tc>
        <w:tc>
          <w:tcPr>
            <w:tcW w:w="1068"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百日咳</w:t>
            </w:r>
          </w:p>
        </w:tc>
        <w:tc>
          <w:tcPr>
            <w:tcW w:w="1068"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脊灰</w:t>
            </w:r>
          </w:p>
        </w:tc>
        <w:tc>
          <w:tcPr>
            <w:tcW w:w="1068"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麻疹</w:t>
            </w:r>
          </w:p>
        </w:tc>
        <w:tc>
          <w:tcPr>
            <w:tcW w:w="1067"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卡介苗</w:t>
            </w:r>
          </w:p>
        </w:tc>
        <w:tc>
          <w:tcPr>
            <w:tcW w:w="1068"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百白破</w:t>
            </w:r>
          </w:p>
        </w:tc>
        <w:tc>
          <w:tcPr>
            <w:tcW w:w="1068" w:type="dxa"/>
            <w:tcBorders>
              <w:bottom w:val="single" w:sz="4" w:space="0" w:color="auto"/>
            </w:tcBorders>
          </w:tcPr>
          <w:p w:rsidR="00000000" w:rsidRDefault="00000000">
            <w:pPr>
              <w:pStyle w:val="a2"/>
              <w:jc w:val="center"/>
              <w:rPr>
                <w:rFonts w:ascii="Time New Roman" w:eastAsia="SimHei" w:hAnsi="Time New Roman"/>
              </w:rPr>
            </w:pPr>
            <w:r>
              <w:rPr>
                <w:rFonts w:ascii="Time New Roman" w:eastAsia="SimHei" w:hAnsi="Time New Roman" w:hint="eastAsia"/>
              </w:rPr>
              <w:t>脊灰</w:t>
            </w:r>
          </w:p>
        </w:tc>
        <w:tc>
          <w:tcPr>
            <w:tcW w:w="1068"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麻苗</w:t>
            </w:r>
          </w:p>
        </w:tc>
      </w:tr>
      <w:tr w:rsidR="00000000">
        <w:tblPrEx>
          <w:tblCellMar>
            <w:top w:w="0" w:type="dxa"/>
            <w:bottom w:w="0" w:type="dxa"/>
          </w:tblCellMar>
        </w:tblPrEx>
        <w:tc>
          <w:tcPr>
            <w:tcW w:w="868" w:type="dxa"/>
            <w:tcBorders>
              <w:bottom w:val="nil"/>
            </w:tcBorders>
          </w:tcPr>
          <w:p w:rsidR="00000000" w:rsidRDefault="00000000">
            <w:pPr>
              <w:pStyle w:val="a2"/>
              <w:ind w:left="113"/>
            </w:pPr>
            <w:r>
              <w:t>1980</w:t>
            </w:r>
          </w:p>
        </w:tc>
        <w:tc>
          <w:tcPr>
            <w:tcW w:w="1067" w:type="dxa"/>
            <w:tcBorders>
              <w:bottom w:val="nil"/>
            </w:tcBorders>
            <w:vAlign w:val="center"/>
          </w:tcPr>
          <w:p w:rsidR="00000000" w:rsidRDefault="00000000">
            <w:pPr>
              <w:pStyle w:val="a2"/>
              <w:tabs>
                <w:tab w:val="decimal" w:pos="436"/>
              </w:tabs>
            </w:pPr>
            <w:r>
              <w:t>1.00</w:t>
            </w:r>
          </w:p>
        </w:tc>
        <w:tc>
          <w:tcPr>
            <w:tcW w:w="1068" w:type="dxa"/>
            <w:tcBorders>
              <w:bottom w:val="nil"/>
            </w:tcBorders>
            <w:vAlign w:val="center"/>
          </w:tcPr>
          <w:p w:rsidR="00000000" w:rsidRDefault="00000000">
            <w:pPr>
              <w:pStyle w:val="a2"/>
              <w:tabs>
                <w:tab w:val="decimal" w:pos="436"/>
              </w:tabs>
            </w:pPr>
            <w:r>
              <w:t>62.82</w:t>
            </w:r>
          </w:p>
        </w:tc>
        <w:tc>
          <w:tcPr>
            <w:tcW w:w="1068" w:type="dxa"/>
            <w:tcBorders>
              <w:bottom w:val="nil"/>
            </w:tcBorders>
            <w:vAlign w:val="center"/>
          </w:tcPr>
          <w:p w:rsidR="00000000" w:rsidRDefault="00000000">
            <w:pPr>
              <w:pStyle w:val="a2"/>
              <w:tabs>
                <w:tab w:val="decimal" w:pos="436"/>
              </w:tabs>
            </w:pPr>
            <w:r>
              <w:t>0.76</w:t>
            </w:r>
          </w:p>
        </w:tc>
        <w:tc>
          <w:tcPr>
            <w:tcW w:w="1068" w:type="dxa"/>
            <w:tcBorders>
              <w:bottom w:val="nil"/>
            </w:tcBorders>
            <w:vAlign w:val="center"/>
          </w:tcPr>
          <w:p w:rsidR="00000000" w:rsidRDefault="00000000">
            <w:pPr>
              <w:pStyle w:val="a2"/>
              <w:tabs>
                <w:tab w:val="decimal" w:pos="436"/>
              </w:tabs>
            </w:pPr>
            <w:r>
              <w:t>114.88</w:t>
            </w:r>
          </w:p>
        </w:tc>
        <w:tc>
          <w:tcPr>
            <w:tcW w:w="1067" w:type="dxa"/>
            <w:tcBorders>
              <w:bottom w:val="nil"/>
            </w:tcBorders>
            <w:vAlign w:val="center"/>
          </w:tcPr>
          <w:p w:rsidR="00000000" w:rsidRDefault="00000000">
            <w:pPr>
              <w:pStyle w:val="a2"/>
              <w:tabs>
                <w:tab w:val="decimal" w:pos="436"/>
              </w:tabs>
            </w:pPr>
            <w:r>
              <w:t>…</w:t>
            </w:r>
          </w:p>
        </w:tc>
        <w:tc>
          <w:tcPr>
            <w:tcW w:w="1068" w:type="dxa"/>
            <w:tcBorders>
              <w:bottom w:val="nil"/>
            </w:tcBorders>
            <w:vAlign w:val="center"/>
          </w:tcPr>
          <w:p w:rsidR="00000000" w:rsidRDefault="00000000">
            <w:pPr>
              <w:pStyle w:val="a2"/>
              <w:tabs>
                <w:tab w:val="decimal" w:pos="436"/>
              </w:tabs>
            </w:pPr>
            <w:r>
              <w:t>…</w:t>
            </w:r>
          </w:p>
        </w:tc>
        <w:tc>
          <w:tcPr>
            <w:tcW w:w="1068" w:type="dxa"/>
            <w:tcBorders>
              <w:bottom w:val="nil"/>
            </w:tcBorders>
            <w:vAlign w:val="center"/>
          </w:tcPr>
          <w:p w:rsidR="00000000" w:rsidRDefault="00000000">
            <w:pPr>
              <w:pStyle w:val="a2"/>
              <w:tabs>
                <w:tab w:val="decimal" w:pos="436"/>
              </w:tabs>
            </w:pPr>
            <w:r>
              <w:t>…</w:t>
            </w:r>
          </w:p>
        </w:tc>
        <w:tc>
          <w:tcPr>
            <w:tcW w:w="1068" w:type="dxa"/>
            <w:tcBorders>
              <w:bottom w:val="nil"/>
            </w:tcBorders>
            <w:vAlign w:val="center"/>
          </w:tcPr>
          <w:p w:rsidR="00000000" w:rsidRDefault="00000000">
            <w:pPr>
              <w:pStyle w:val="a2"/>
              <w:tabs>
                <w:tab w:val="decimal" w:pos="436"/>
              </w:tabs>
            </w:pPr>
            <w:r>
              <w:t>…</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0"/>
              </w:rPr>
            </w:pPr>
            <w:r>
              <w:rPr>
                <w:szCs w:val="30"/>
              </w:rPr>
              <w:t>1985</w:t>
            </w:r>
          </w:p>
        </w:tc>
        <w:tc>
          <w:tcPr>
            <w:tcW w:w="1067" w:type="dxa"/>
            <w:tcBorders>
              <w:top w:val="nil"/>
              <w:bottom w:val="nil"/>
            </w:tcBorders>
            <w:vAlign w:val="center"/>
          </w:tcPr>
          <w:p w:rsidR="00000000" w:rsidRDefault="00000000">
            <w:pPr>
              <w:pStyle w:val="a2"/>
              <w:tabs>
                <w:tab w:val="decimal" w:pos="436"/>
              </w:tabs>
            </w:pPr>
            <w:r>
              <w:t>0.14</w:t>
            </w:r>
          </w:p>
        </w:tc>
        <w:tc>
          <w:tcPr>
            <w:tcW w:w="1068" w:type="dxa"/>
            <w:tcBorders>
              <w:top w:val="nil"/>
              <w:bottom w:val="nil"/>
            </w:tcBorders>
            <w:vAlign w:val="center"/>
          </w:tcPr>
          <w:p w:rsidR="00000000" w:rsidRDefault="00000000">
            <w:pPr>
              <w:pStyle w:val="a2"/>
              <w:tabs>
                <w:tab w:val="decimal" w:pos="436"/>
              </w:tabs>
            </w:pPr>
            <w:r>
              <w:t>14.22</w:t>
            </w:r>
          </w:p>
        </w:tc>
        <w:tc>
          <w:tcPr>
            <w:tcW w:w="1068" w:type="dxa"/>
            <w:tcBorders>
              <w:top w:val="nil"/>
              <w:bottom w:val="nil"/>
            </w:tcBorders>
            <w:vAlign w:val="center"/>
          </w:tcPr>
          <w:p w:rsidR="00000000" w:rsidRDefault="00000000">
            <w:pPr>
              <w:pStyle w:val="a2"/>
              <w:tabs>
                <w:tab w:val="decimal" w:pos="436"/>
              </w:tabs>
            </w:pPr>
            <w:r>
              <w:t>0.15</w:t>
            </w:r>
          </w:p>
        </w:tc>
        <w:tc>
          <w:tcPr>
            <w:tcW w:w="1068" w:type="dxa"/>
            <w:tcBorders>
              <w:top w:val="nil"/>
              <w:bottom w:val="nil"/>
            </w:tcBorders>
            <w:vAlign w:val="center"/>
          </w:tcPr>
          <w:p w:rsidR="00000000" w:rsidRDefault="00000000">
            <w:pPr>
              <w:pStyle w:val="a2"/>
              <w:tabs>
                <w:tab w:val="decimal" w:pos="436"/>
              </w:tabs>
            </w:pPr>
            <w:r>
              <w:t>40.37</w:t>
            </w:r>
          </w:p>
        </w:tc>
        <w:tc>
          <w:tcPr>
            <w:tcW w:w="1067"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0"/>
              </w:rPr>
            </w:pPr>
            <w:r>
              <w:rPr>
                <w:szCs w:val="30"/>
              </w:rPr>
              <w:t>1987</w:t>
            </w:r>
          </w:p>
        </w:tc>
        <w:tc>
          <w:tcPr>
            <w:tcW w:w="1067" w:type="dxa"/>
            <w:tcBorders>
              <w:top w:val="nil"/>
              <w:bottom w:val="nil"/>
            </w:tcBorders>
            <w:vAlign w:val="center"/>
          </w:tcPr>
          <w:p w:rsidR="00000000" w:rsidRDefault="00000000">
            <w:pPr>
              <w:pStyle w:val="a2"/>
              <w:tabs>
                <w:tab w:val="decimal" w:pos="436"/>
              </w:tabs>
            </w:pPr>
            <w:r>
              <w:t>0.04</w:t>
            </w:r>
          </w:p>
        </w:tc>
        <w:tc>
          <w:tcPr>
            <w:tcW w:w="1068" w:type="dxa"/>
            <w:tcBorders>
              <w:top w:val="nil"/>
              <w:bottom w:val="nil"/>
            </w:tcBorders>
            <w:vAlign w:val="center"/>
          </w:tcPr>
          <w:p w:rsidR="00000000" w:rsidRDefault="00000000">
            <w:pPr>
              <w:pStyle w:val="a2"/>
              <w:tabs>
                <w:tab w:val="decimal" w:pos="436"/>
              </w:tabs>
            </w:pPr>
            <w:r>
              <w:t>5.61</w:t>
            </w:r>
          </w:p>
        </w:tc>
        <w:tc>
          <w:tcPr>
            <w:tcW w:w="1068" w:type="dxa"/>
            <w:tcBorders>
              <w:top w:val="nil"/>
              <w:bottom w:val="nil"/>
            </w:tcBorders>
            <w:vAlign w:val="center"/>
          </w:tcPr>
          <w:p w:rsidR="00000000" w:rsidRDefault="00000000">
            <w:pPr>
              <w:pStyle w:val="a2"/>
              <w:tabs>
                <w:tab w:val="decimal" w:pos="436"/>
              </w:tabs>
            </w:pPr>
            <w:r>
              <w:t>0.18</w:t>
            </w:r>
          </w:p>
        </w:tc>
        <w:tc>
          <w:tcPr>
            <w:tcW w:w="1068" w:type="dxa"/>
            <w:tcBorders>
              <w:top w:val="nil"/>
              <w:bottom w:val="nil"/>
            </w:tcBorders>
            <w:vAlign w:val="center"/>
          </w:tcPr>
          <w:p w:rsidR="00000000" w:rsidRDefault="00000000">
            <w:pPr>
              <w:pStyle w:val="a2"/>
              <w:tabs>
                <w:tab w:val="decimal" w:pos="436"/>
              </w:tabs>
            </w:pPr>
            <w:r>
              <w:t>9.88</w:t>
            </w:r>
          </w:p>
        </w:tc>
        <w:tc>
          <w:tcPr>
            <w:tcW w:w="1067" w:type="dxa"/>
            <w:tcBorders>
              <w:top w:val="nil"/>
              <w:bottom w:val="nil"/>
            </w:tcBorders>
            <w:vAlign w:val="center"/>
          </w:tcPr>
          <w:p w:rsidR="00000000" w:rsidRDefault="00000000">
            <w:pPr>
              <w:pStyle w:val="a2"/>
              <w:tabs>
                <w:tab w:val="decimal" w:pos="436"/>
              </w:tabs>
            </w:pPr>
            <w:r>
              <w:t>85</w:t>
            </w:r>
          </w:p>
        </w:tc>
        <w:tc>
          <w:tcPr>
            <w:tcW w:w="1068" w:type="dxa"/>
            <w:tcBorders>
              <w:top w:val="nil"/>
              <w:bottom w:val="nil"/>
            </w:tcBorders>
            <w:vAlign w:val="center"/>
          </w:tcPr>
          <w:p w:rsidR="00000000" w:rsidRDefault="00000000">
            <w:pPr>
              <w:pStyle w:val="a2"/>
              <w:tabs>
                <w:tab w:val="decimal" w:pos="436"/>
              </w:tabs>
            </w:pPr>
            <w:r>
              <w:t>74</w:t>
            </w:r>
          </w:p>
        </w:tc>
        <w:tc>
          <w:tcPr>
            <w:tcW w:w="1068" w:type="dxa"/>
            <w:tcBorders>
              <w:top w:val="nil"/>
              <w:bottom w:val="nil"/>
            </w:tcBorders>
            <w:vAlign w:val="center"/>
          </w:tcPr>
          <w:p w:rsidR="00000000" w:rsidRDefault="00000000">
            <w:pPr>
              <w:pStyle w:val="a2"/>
              <w:tabs>
                <w:tab w:val="decimal" w:pos="436"/>
              </w:tabs>
            </w:pPr>
            <w:r>
              <w:t>78</w:t>
            </w:r>
          </w:p>
        </w:tc>
        <w:tc>
          <w:tcPr>
            <w:tcW w:w="1068" w:type="dxa"/>
            <w:tcBorders>
              <w:top w:val="nil"/>
              <w:bottom w:val="nil"/>
            </w:tcBorders>
            <w:vAlign w:val="center"/>
          </w:tcPr>
          <w:p w:rsidR="00000000" w:rsidRDefault="00000000">
            <w:pPr>
              <w:pStyle w:val="a2"/>
              <w:tabs>
                <w:tab w:val="decimal" w:pos="436"/>
              </w:tabs>
            </w:pPr>
            <w:r>
              <w:t>77</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0"/>
              </w:rPr>
            </w:pPr>
            <w:r>
              <w:rPr>
                <w:szCs w:val="30"/>
              </w:rPr>
              <w:t>1989</w:t>
            </w:r>
          </w:p>
        </w:tc>
        <w:tc>
          <w:tcPr>
            <w:tcW w:w="1067" w:type="dxa"/>
            <w:tcBorders>
              <w:top w:val="nil"/>
              <w:bottom w:val="nil"/>
            </w:tcBorders>
            <w:vAlign w:val="center"/>
          </w:tcPr>
          <w:p w:rsidR="00000000" w:rsidRDefault="00000000">
            <w:pPr>
              <w:pStyle w:val="a2"/>
              <w:tabs>
                <w:tab w:val="decimal" w:pos="436"/>
              </w:tabs>
            </w:pPr>
            <w:r>
              <w:t>0.03</w:t>
            </w:r>
          </w:p>
        </w:tc>
        <w:tc>
          <w:tcPr>
            <w:tcW w:w="1068" w:type="dxa"/>
            <w:tcBorders>
              <w:top w:val="nil"/>
              <w:bottom w:val="nil"/>
            </w:tcBorders>
            <w:vAlign w:val="center"/>
          </w:tcPr>
          <w:p w:rsidR="00000000" w:rsidRDefault="00000000">
            <w:pPr>
              <w:pStyle w:val="a2"/>
              <w:tabs>
                <w:tab w:val="decimal" w:pos="436"/>
              </w:tabs>
            </w:pPr>
            <w:r>
              <w:t>2.46</w:t>
            </w:r>
          </w:p>
        </w:tc>
        <w:tc>
          <w:tcPr>
            <w:tcW w:w="1068" w:type="dxa"/>
            <w:tcBorders>
              <w:top w:val="nil"/>
              <w:bottom w:val="nil"/>
            </w:tcBorders>
            <w:vAlign w:val="center"/>
          </w:tcPr>
          <w:p w:rsidR="00000000" w:rsidRDefault="00000000">
            <w:pPr>
              <w:pStyle w:val="a2"/>
              <w:tabs>
                <w:tab w:val="decimal" w:pos="436"/>
              </w:tabs>
            </w:pPr>
            <w:r>
              <w:t>0.42</w:t>
            </w:r>
          </w:p>
        </w:tc>
        <w:tc>
          <w:tcPr>
            <w:tcW w:w="1068" w:type="dxa"/>
            <w:tcBorders>
              <w:top w:val="nil"/>
              <w:bottom w:val="nil"/>
            </w:tcBorders>
            <w:vAlign w:val="center"/>
          </w:tcPr>
          <w:p w:rsidR="00000000" w:rsidRDefault="00000000">
            <w:pPr>
              <w:pStyle w:val="a2"/>
              <w:tabs>
                <w:tab w:val="decimal" w:pos="436"/>
              </w:tabs>
            </w:pPr>
            <w:r>
              <w:t>7.77</w:t>
            </w:r>
          </w:p>
        </w:tc>
        <w:tc>
          <w:tcPr>
            <w:tcW w:w="1067"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0"/>
              </w:rPr>
            </w:pPr>
            <w:r>
              <w:rPr>
                <w:szCs w:val="30"/>
              </w:rPr>
              <w:t>1991</w:t>
            </w:r>
          </w:p>
        </w:tc>
        <w:tc>
          <w:tcPr>
            <w:tcW w:w="1067" w:type="dxa"/>
            <w:tcBorders>
              <w:top w:val="nil"/>
              <w:bottom w:val="nil"/>
            </w:tcBorders>
            <w:vAlign w:val="center"/>
          </w:tcPr>
          <w:p w:rsidR="00000000" w:rsidRDefault="00000000">
            <w:pPr>
              <w:pStyle w:val="a2"/>
              <w:tabs>
                <w:tab w:val="decimal" w:pos="436"/>
              </w:tabs>
            </w:pPr>
            <w:r>
              <w:t>0.02</w:t>
            </w:r>
          </w:p>
        </w:tc>
        <w:tc>
          <w:tcPr>
            <w:tcW w:w="1068" w:type="dxa"/>
            <w:tcBorders>
              <w:top w:val="nil"/>
              <w:bottom w:val="nil"/>
            </w:tcBorders>
            <w:vAlign w:val="center"/>
          </w:tcPr>
          <w:p w:rsidR="00000000" w:rsidRDefault="00000000">
            <w:pPr>
              <w:pStyle w:val="a2"/>
              <w:tabs>
                <w:tab w:val="decimal" w:pos="436"/>
              </w:tabs>
            </w:pPr>
            <w:r>
              <w:t>0.94</w:t>
            </w:r>
          </w:p>
        </w:tc>
        <w:tc>
          <w:tcPr>
            <w:tcW w:w="1068" w:type="dxa"/>
            <w:tcBorders>
              <w:top w:val="nil"/>
              <w:bottom w:val="nil"/>
            </w:tcBorders>
            <w:vAlign w:val="center"/>
          </w:tcPr>
          <w:p w:rsidR="00000000" w:rsidRDefault="00000000">
            <w:pPr>
              <w:pStyle w:val="a2"/>
              <w:tabs>
                <w:tab w:val="decimal" w:pos="436"/>
              </w:tabs>
            </w:pPr>
            <w:r>
              <w:t>0.17</w:t>
            </w:r>
          </w:p>
        </w:tc>
        <w:tc>
          <w:tcPr>
            <w:tcW w:w="1068" w:type="dxa"/>
            <w:tcBorders>
              <w:top w:val="nil"/>
              <w:bottom w:val="nil"/>
            </w:tcBorders>
            <w:vAlign w:val="center"/>
          </w:tcPr>
          <w:p w:rsidR="00000000" w:rsidRDefault="00000000">
            <w:pPr>
              <w:pStyle w:val="a2"/>
              <w:tabs>
                <w:tab w:val="decimal" w:pos="436"/>
              </w:tabs>
            </w:pPr>
            <w:r>
              <w:t>10.90</w:t>
            </w:r>
          </w:p>
        </w:tc>
        <w:tc>
          <w:tcPr>
            <w:tcW w:w="1067" w:type="dxa"/>
            <w:tcBorders>
              <w:top w:val="nil"/>
              <w:bottom w:val="nil"/>
            </w:tcBorders>
            <w:vAlign w:val="center"/>
          </w:tcPr>
          <w:p w:rsidR="00000000" w:rsidRDefault="00000000">
            <w:pPr>
              <w:pStyle w:val="a2"/>
              <w:tabs>
                <w:tab w:val="decimal" w:pos="436"/>
              </w:tabs>
            </w:pPr>
            <w:r>
              <w:t>96</w:t>
            </w:r>
          </w:p>
        </w:tc>
        <w:tc>
          <w:tcPr>
            <w:tcW w:w="1068" w:type="dxa"/>
            <w:tcBorders>
              <w:top w:val="nil"/>
              <w:bottom w:val="nil"/>
            </w:tcBorders>
            <w:vAlign w:val="center"/>
          </w:tcPr>
          <w:p w:rsidR="00000000" w:rsidRDefault="00000000">
            <w:pPr>
              <w:pStyle w:val="a2"/>
              <w:tabs>
                <w:tab w:val="decimal" w:pos="436"/>
              </w:tabs>
            </w:pPr>
            <w:r>
              <w:t>95</w:t>
            </w:r>
          </w:p>
        </w:tc>
        <w:tc>
          <w:tcPr>
            <w:tcW w:w="1068" w:type="dxa"/>
            <w:tcBorders>
              <w:top w:val="nil"/>
              <w:bottom w:val="nil"/>
            </w:tcBorders>
            <w:vAlign w:val="center"/>
          </w:tcPr>
          <w:p w:rsidR="00000000" w:rsidRDefault="00000000">
            <w:pPr>
              <w:pStyle w:val="a2"/>
              <w:tabs>
                <w:tab w:val="decimal" w:pos="436"/>
              </w:tabs>
            </w:pPr>
            <w:r>
              <w:t>96</w:t>
            </w:r>
          </w:p>
        </w:tc>
        <w:tc>
          <w:tcPr>
            <w:tcW w:w="1068" w:type="dxa"/>
            <w:tcBorders>
              <w:top w:val="nil"/>
              <w:bottom w:val="nil"/>
            </w:tcBorders>
            <w:vAlign w:val="center"/>
          </w:tcPr>
          <w:p w:rsidR="00000000" w:rsidRDefault="00000000">
            <w:pPr>
              <w:pStyle w:val="a2"/>
              <w:tabs>
                <w:tab w:val="decimal" w:pos="436"/>
              </w:tabs>
            </w:pPr>
            <w:r>
              <w:t>95</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4"/>
              </w:rPr>
            </w:pPr>
            <w:r>
              <w:rPr>
                <w:szCs w:val="34"/>
              </w:rPr>
              <w:t>1994</w:t>
            </w:r>
          </w:p>
        </w:tc>
        <w:tc>
          <w:tcPr>
            <w:tcW w:w="1067"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7" w:type="dxa"/>
            <w:tcBorders>
              <w:top w:val="nil"/>
              <w:bottom w:val="nil"/>
            </w:tcBorders>
            <w:vAlign w:val="center"/>
          </w:tcPr>
          <w:p w:rsidR="00000000" w:rsidRDefault="00000000">
            <w:pPr>
              <w:pStyle w:val="a2"/>
              <w:tabs>
                <w:tab w:val="decimal" w:pos="436"/>
              </w:tabs>
            </w:pPr>
            <w:r>
              <w:t>94</w:t>
            </w:r>
          </w:p>
        </w:tc>
        <w:tc>
          <w:tcPr>
            <w:tcW w:w="1068" w:type="dxa"/>
            <w:tcBorders>
              <w:top w:val="nil"/>
              <w:bottom w:val="nil"/>
            </w:tcBorders>
            <w:vAlign w:val="center"/>
          </w:tcPr>
          <w:p w:rsidR="00000000" w:rsidRDefault="00000000">
            <w:pPr>
              <w:pStyle w:val="a2"/>
              <w:tabs>
                <w:tab w:val="decimal" w:pos="436"/>
              </w:tabs>
            </w:pPr>
            <w:r>
              <w:t>93</w:t>
            </w:r>
          </w:p>
        </w:tc>
        <w:tc>
          <w:tcPr>
            <w:tcW w:w="1068" w:type="dxa"/>
            <w:tcBorders>
              <w:top w:val="nil"/>
              <w:bottom w:val="nil"/>
            </w:tcBorders>
            <w:vAlign w:val="center"/>
          </w:tcPr>
          <w:p w:rsidR="00000000" w:rsidRDefault="00000000">
            <w:pPr>
              <w:pStyle w:val="a2"/>
              <w:tabs>
                <w:tab w:val="decimal" w:pos="436"/>
              </w:tabs>
            </w:pPr>
            <w:r>
              <w:t>94</w:t>
            </w:r>
          </w:p>
        </w:tc>
        <w:tc>
          <w:tcPr>
            <w:tcW w:w="1068" w:type="dxa"/>
            <w:tcBorders>
              <w:top w:val="nil"/>
              <w:bottom w:val="nil"/>
            </w:tcBorders>
            <w:vAlign w:val="center"/>
          </w:tcPr>
          <w:p w:rsidR="00000000" w:rsidRDefault="00000000">
            <w:pPr>
              <w:pStyle w:val="a2"/>
              <w:tabs>
                <w:tab w:val="decimal" w:pos="436"/>
              </w:tabs>
            </w:pPr>
            <w:r>
              <w:t>89</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28"/>
              </w:rPr>
            </w:pPr>
            <w:r>
              <w:rPr>
                <w:szCs w:val="28"/>
              </w:rPr>
              <w:t>1995</w:t>
            </w:r>
          </w:p>
        </w:tc>
        <w:tc>
          <w:tcPr>
            <w:tcW w:w="1067"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7" w:type="dxa"/>
            <w:tcBorders>
              <w:top w:val="nil"/>
              <w:bottom w:val="nil"/>
            </w:tcBorders>
            <w:vAlign w:val="center"/>
          </w:tcPr>
          <w:p w:rsidR="00000000" w:rsidRDefault="00000000">
            <w:pPr>
              <w:pStyle w:val="a2"/>
              <w:tabs>
                <w:tab w:val="decimal" w:pos="436"/>
              </w:tabs>
            </w:pPr>
            <w:r>
              <w:t>92</w:t>
            </w:r>
          </w:p>
        </w:tc>
        <w:tc>
          <w:tcPr>
            <w:tcW w:w="1068" w:type="dxa"/>
            <w:tcBorders>
              <w:top w:val="nil"/>
              <w:bottom w:val="nil"/>
            </w:tcBorders>
            <w:vAlign w:val="center"/>
          </w:tcPr>
          <w:p w:rsidR="00000000" w:rsidRDefault="00000000">
            <w:pPr>
              <w:pStyle w:val="a2"/>
              <w:tabs>
                <w:tab w:val="decimal" w:pos="436"/>
              </w:tabs>
            </w:pPr>
            <w:r>
              <w:t>92</w:t>
            </w:r>
          </w:p>
        </w:tc>
        <w:tc>
          <w:tcPr>
            <w:tcW w:w="1068" w:type="dxa"/>
            <w:tcBorders>
              <w:top w:val="nil"/>
              <w:bottom w:val="nil"/>
            </w:tcBorders>
            <w:vAlign w:val="center"/>
          </w:tcPr>
          <w:p w:rsidR="00000000" w:rsidRDefault="00000000">
            <w:pPr>
              <w:pStyle w:val="a2"/>
              <w:tabs>
                <w:tab w:val="decimal" w:pos="436"/>
              </w:tabs>
            </w:pPr>
            <w:r>
              <w:t>94</w:t>
            </w:r>
          </w:p>
        </w:tc>
        <w:tc>
          <w:tcPr>
            <w:tcW w:w="1068" w:type="dxa"/>
            <w:tcBorders>
              <w:top w:val="nil"/>
              <w:bottom w:val="nil"/>
            </w:tcBorders>
            <w:vAlign w:val="center"/>
          </w:tcPr>
          <w:p w:rsidR="00000000" w:rsidRDefault="00000000">
            <w:pPr>
              <w:pStyle w:val="a2"/>
              <w:tabs>
                <w:tab w:val="decimal" w:pos="436"/>
              </w:tabs>
            </w:pPr>
            <w:r>
              <w:t>93</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0"/>
              </w:rPr>
            </w:pPr>
            <w:r>
              <w:rPr>
                <w:szCs w:val="30"/>
              </w:rPr>
              <w:t>1996</w:t>
            </w:r>
          </w:p>
        </w:tc>
        <w:tc>
          <w:tcPr>
            <w:tcW w:w="1067"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7" w:type="dxa"/>
            <w:tcBorders>
              <w:top w:val="nil"/>
              <w:bottom w:val="nil"/>
            </w:tcBorders>
            <w:vAlign w:val="center"/>
          </w:tcPr>
          <w:p w:rsidR="00000000" w:rsidRDefault="00000000">
            <w:pPr>
              <w:pStyle w:val="a2"/>
              <w:tabs>
                <w:tab w:val="decimal" w:pos="436"/>
              </w:tabs>
            </w:pPr>
            <w:r>
              <w:t>97</w:t>
            </w:r>
          </w:p>
        </w:tc>
        <w:tc>
          <w:tcPr>
            <w:tcW w:w="1068" w:type="dxa"/>
            <w:tcBorders>
              <w:top w:val="nil"/>
              <w:bottom w:val="nil"/>
            </w:tcBorders>
            <w:vAlign w:val="center"/>
          </w:tcPr>
          <w:p w:rsidR="00000000" w:rsidRDefault="00000000">
            <w:pPr>
              <w:pStyle w:val="a2"/>
              <w:tabs>
                <w:tab w:val="decimal" w:pos="436"/>
              </w:tabs>
            </w:pPr>
            <w:r>
              <w:t>95</w:t>
            </w:r>
          </w:p>
        </w:tc>
        <w:tc>
          <w:tcPr>
            <w:tcW w:w="1068" w:type="dxa"/>
            <w:tcBorders>
              <w:top w:val="nil"/>
              <w:bottom w:val="nil"/>
            </w:tcBorders>
            <w:vAlign w:val="center"/>
          </w:tcPr>
          <w:p w:rsidR="00000000" w:rsidRDefault="00000000">
            <w:pPr>
              <w:pStyle w:val="a2"/>
              <w:tabs>
                <w:tab w:val="decimal" w:pos="436"/>
              </w:tabs>
            </w:pPr>
            <w:r>
              <w:t>96</w:t>
            </w:r>
          </w:p>
        </w:tc>
        <w:tc>
          <w:tcPr>
            <w:tcW w:w="1068" w:type="dxa"/>
            <w:tcBorders>
              <w:top w:val="nil"/>
              <w:bottom w:val="nil"/>
            </w:tcBorders>
            <w:vAlign w:val="center"/>
          </w:tcPr>
          <w:p w:rsidR="00000000" w:rsidRDefault="00000000">
            <w:pPr>
              <w:pStyle w:val="a2"/>
              <w:tabs>
                <w:tab w:val="decimal" w:pos="436"/>
              </w:tabs>
            </w:pPr>
            <w:r>
              <w:t>97</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0"/>
              </w:rPr>
            </w:pPr>
            <w:r>
              <w:rPr>
                <w:szCs w:val="30"/>
              </w:rPr>
              <w:t>1997</w:t>
            </w:r>
          </w:p>
        </w:tc>
        <w:tc>
          <w:tcPr>
            <w:tcW w:w="1067" w:type="dxa"/>
            <w:tcBorders>
              <w:top w:val="nil"/>
              <w:bottom w:val="nil"/>
            </w:tcBorders>
          </w:tcPr>
          <w:p w:rsidR="00000000" w:rsidRDefault="00000000">
            <w:pPr>
              <w:pStyle w:val="a2"/>
              <w:tabs>
                <w:tab w:val="decimal" w:pos="436"/>
              </w:tabs>
            </w:pPr>
            <w:r>
              <w:t>…</w:t>
            </w:r>
          </w:p>
        </w:tc>
        <w:tc>
          <w:tcPr>
            <w:tcW w:w="1068" w:type="dxa"/>
            <w:tcBorders>
              <w:top w:val="nil"/>
              <w:bottom w:val="nil"/>
            </w:tcBorders>
          </w:tcPr>
          <w:p w:rsidR="00000000" w:rsidRDefault="00000000">
            <w:pPr>
              <w:pStyle w:val="a2"/>
              <w:tabs>
                <w:tab w:val="decimal" w:pos="436"/>
              </w:tabs>
            </w:pPr>
            <w:r>
              <w:t>…</w:t>
            </w:r>
          </w:p>
        </w:tc>
        <w:tc>
          <w:tcPr>
            <w:tcW w:w="1068" w:type="dxa"/>
            <w:tcBorders>
              <w:top w:val="nil"/>
              <w:bottom w:val="nil"/>
            </w:tcBorders>
          </w:tcPr>
          <w:p w:rsidR="00000000" w:rsidRDefault="00000000">
            <w:pPr>
              <w:pStyle w:val="a2"/>
              <w:tabs>
                <w:tab w:val="decimal" w:pos="436"/>
              </w:tabs>
            </w:pPr>
            <w:r>
              <w:t>…</w:t>
            </w:r>
          </w:p>
        </w:tc>
        <w:tc>
          <w:tcPr>
            <w:tcW w:w="1068" w:type="dxa"/>
            <w:tcBorders>
              <w:top w:val="nil"/>
              <w:bottom w:val="nil"/>
            </w:tcBorders>
          </w:tcPr>
          <w:p w:rsidR="00000000" w:rsidRDefault="00000000">
            <w:pPr>
              <w:pStyle w:val="a2"/>
              <w:tabs>
                <w:tab w:val="decimal" w:pos="436"/>
              </w:tabs>
            </w:pPr>
            <w:r>
              <w:t>…</w:t>
            </w:r>
          </w:p>
        </w:tc>
        <w:tc>
          <w:tcPr>
            <w:tcW w:w="1067" w:type="dxa"/>
            <w:tcBorders>
              <w:top w:val="nil"/>
              <w:bottom w:val="nil"/>
            </w:tcBorders>
          </w:tcPr>
          <w:p w:rsidR="00000000" w:rsidRDefault="00000000">
            <w:pPr>
              <w:pStyle w:val="a2"/>
              <w:tabs>
                <w:tab w:val="decimal" w:pos="436"/>
              </w:tabs>
            </w:pPr>
            <w:r>
              <w:t>96</w:t>
            </w:r>
          </w:p>
        </w:tc>
        <w:tc>
          <w:tcPr>
            <w:tcW w:w="1068" w:type="dxa"/>
            <w:tcBorders>
              <w:top w:val="nil"/>
              <w:bottom w:val="nil"/>
            </w:tcBorders>
          </w:tcPr>
          <w:p w:rsidR="00000000" w:rsidRDefault="00000000">
            <w:pPr>
              <w:pStyle w:val="a2"/>
              <w:tabs>
                <w:tab w:val="decimal" w:pos="436"/>
              </w:tabs>
            </w:pPr>
            <w:r>
              <w:t>96</w:t>
            </w:r>
          </w:p>
        </w:tc>
        <w:tc>
          <w:tcPr>
            <w:tcW w:w="1068" w:type="dxa"/>
            <w:tcBorders>
              <w:top w:val="nil"/>
              <w:bottom w:val="nil"/>
            </w:tcBorders>
          </w:tcPr>
          <w:p w:rsidR="00000000" w:rsidRDefault="00000000">
            <w:pPr>
              <w:pStyle w:val="a2"/>
              <w:tabs>
                <w:tab w:val="decimal" w:pos="436"/>
              </w:tabs>
            </w:pPr>
            <w:r>
              <w:t>97</w:t>
            </w:r>
          </w:p>
        </w:tc>
        <w:tc>
          <w:tcPr>
            <w:tcW w:w="1068" w:type="dxa"/>
            <w:tcBorders>
              <w:top w:val="nil"/>
              <w:bottom w:val="nil"/>
            </w:tcBorders>
          </w:tcPr>
          <w:p w:rsidR="00000000" w:rsidRDefault="00000000">
            <w:pPr>
              <w:pStyle w:val="a2"/>
              <w:tabs>
                <w:tab w:val="decimal" w:pos="436"/>
              </w:tabs>
            </w:pPr>
            <w:r>
              <w:t>96</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0"/>
              </w:rPr>
            </w:pPr>
            <w:r>
              <w:rPr>
                <w:szCs w:val="30"/>
              </w:rPr>
              <w:t>1999</w:t>
            </w:r>
          </w:p>
        </w:tc>
        <w:tc>
          <w:tcPr>
            <w:tcW w:w="1067"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7" w:type="dxa"/>
            <w:tcBorders>
              <w:top w:val="nil"/>
              <w:bottom w:val="nil"/>
            </w:tcBorders>
            <w:vAlign w:val="center"/>
          </w:tcPr>
          <w:p w:rsidR="00000000" w:rsidRDefault="00000000">
            <w:pPr>
              <w:pStyle w:val="a2"/>
              <w:tabs>
                <w:tab w:val="decimal" w:pos="436"/>
              </w:tabs>
            </w:pPr>
            <w:r>
              <w:t>97.2</w:t>
            </w:r>
          </w:p>
        </w:tc>
        <w:tc>
          <w:tcPr>
            <w:tcW w:w="1068" w:type="dxa"/>
            <w:tcBorders>
              <w:top w:val="nil"/>
              <w:bottom w:val="nil"/>
            </w:tcBorders>
            <w:vAlign w:val="center"/>
          </w:tcPr>
          <w:p w:rsidR="00000000" w:rsidRDefault="00000000">
            <w:pPr>
              <w:pStyle w:val="a2"/>
              <w:tabs>
                <w:tab w:val="decimal" w:pos="436"/>
              </w:tabs>
            </w:pPr>
            <w:r>
              <w:t>92.0</w:t>
            </w:r>
          </w:p>
        </w:tc>
        <w:tc>
          <w:tcPr>
            <w:tcW w:w="1068" w:type="dxa"/>
            <w:tcBorders>
              <w:top w:val="nil"/>
              <w:bottom w:val="nil"/>
            </w:tcBorders>
            <w:vAlign w:val="center"/>
          </w:tcPr>
          <w:p w:rsidR="00000000" w:rsidRDefault="00000000">
            <w:pPr>
              <w:pStyle w:val="a2"/>
              <w:tabs>
                <w:tab w:val="decimal" w:pos="436"/>
              </w:tabs>
            </w:pPr>
            <w:r>
              <w:t>92.7</w:t>
            </w:r>
          </w:p>
        </w:tc>
        <w:tc>
          <w:tcPr>
            <w:tcW w:w="1068" w:type="dxa"/>
            <w:tcBorders>
              <w:top w:val="nil"/>
              <w:bottom w:val="nil"/>
            </w:tcBorders>
            <w:vAlign w:val="center"/>
          </w:tcPr>
          <w:p w:rsidR="00000000" w:rsidRDefault="00000000">
            <w:pPr>
              <w:pStyle w:val="a2"/>
              <w:tabs>
                <w:tab w:val="decimal" w:pos="436"/>
              </w:tabs>
            </w:pPr>
            <w:r>
              <w:t>93.6</w:t>
            </w:r>
          </w:p>
        </w:tc>
      </w:tr>
      <w:tr w:rsidR="00000000">
        <w:tblPrEx>
          <w:tblCellMar>
            <w:top w:w="0" w:type="dxa"/>
            <w:bottom w:w="0" w:type="dxa"/>
          </w:tblCellMar>
        </w:tblPrEx>
        <w:tc>
          <w:tcPr>
            <w:tcW w:w="868" w:type="dxa"/>
            <w:tcBorders>
              <w:top w:val="nil"/>
              <w:bottom w:val="nil"/>
            </w:tcBorders>
          </w:tcPr>
          <w:p w:rsidR="00000000" w:rsidRDefault="00000000">
            <w:pPr>
              <w:pStyle w:val="a2"/>
              <w:ind w:left="113"/>
              <w:rPr>
                <w:szCs w:val="30"/>
              </w:rPr>
            </w:pPr>
            <w:r>
              <w:rPr>
                <w:szCs w:val="30"/>
              </w:rPr>
              <w:t>2000</w:t>
            </w:r>
          </w:p>
        </w:tc>
        <w:tc>
          <w:tcPr>
            <w:tcW w:w="1067"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8" w:type="dxa"/>
            <w:tcBorders>
              <w:top w:val="nil"/>
              <w:bottom w:val="nil"/>
            </w:tcBorders>
            <w:vAlign w:val="center"/>
          </w:tcPr>
          <w:p w:rsidR="00000000" w:rsidRDefault="00000000">
            <w:pPr>
              <w:pStyle w:val="a2"/>
              <w:tabs>
                <w:tab w:val="decimal" w:pos="436"/>
              </w:tabs>
            </w:pPr>
            <w:r>
              <w:t>…</w:t>
            </w:r>
          </w:p>
        </w:tc>
        <w:tc>
          <w:tcPr>
            <w:tcW w:w="1067" w:type="dxa"/>
            <w:tcBorders>
              <w:top w:val="nil"/>
              <w:bottom w:val="nil"/>
            </w:tcBorders>
            <w:vAlign w:val="center"/>
          </w:tcPr>
          <w:p w:rsidR="00000000" w:rsidRDefault="00000000">
            <w:pPr>
              <w:pStyle w:val="a2"/>
              <w:tabs>
                <w:tab w:val="decimal" w:pos="436"/>
              </w:tabs>
            </w:pPr>
            <w:r>
              <w:t>97.8</w:t>
            </w:r>
          </w:p>
        </w:tc>
        <w:tc>
          <w:tcPr>
            <w:tcW w:w="1068" w:type="dxa"/>
            <w:tcBorders>
              <w:top w:val="nil"/>
              <w:bottom w:val="nil"/>
            </w:tcBorders>
            <w:vAlign w:val="center"/>
          </w:tcPr>
          <w:p w:rsidR="00000000" w:rsidRDefault="00000000">
            <w:pPr>
              <w:pStyle w:val="a2"/>
              <w:tabs>
                <w:tab w:val="decimal" w:pos="436"/>
              </w:tabs>
            </w:pPr>
            <w:r>
              <w:t>97.9</w:t>
            </w:r>
          </w:p>
        </w:tc>
        <w:tc>
          <w:tcPr>
            <w:tcW w:w="1068" w:type="dxa"/>
            <w:tcBorders>
              <w:top w:val="nil"/>
              <w:bottom w:val="nil"/>
            </w:tcBorders>
            <w:vAlign w:val="center"/>
          </w:tcPr>
          <w:p w:rsidR="00000000" w:rsidRDefault="00000000">
            <w:pPr>
              <w:pStyle w:val="a2"/>
              <w:tabs>
                <w:tab w:val="decimal" w:pos="436"/>
              </w:tabs>
            </w:pPr>
            <w:r>
              <w:t>98.0</w:t>
            </w:r>
          </w:p>
        </w:tc>
        <w:tc>
          <w:tcPr>
            <w:tcW w:w="1068" w:type="dxa"/>
            <w:tcBorders>
              <w:top w:val="nil"/>
              <w:bottom w:val="nil"/>
            </w:tcBorders>
            <w:vAlign w:val="center"/>
          </w:tcPr>
          <w:p w:rsidR="00000000" w:rsidRDefault="00000000">
            <w:pPr>
              <w:pStyle w:val="a2"/>
              <w:tabs>
                <w:tab w:val="decimal" w:pos="436"/>
              </w:tabs>
            </w:pPr>
            <w:r>
              <w:t>97.4</w:t>
            </w:r>
          </w:p>
        </w:tc>
      </w:tr>
      <w:tr w:rsidR="00000000">
        <w:tblPrEx>
          <w:tblCellMar>
            <w:top w:w="0" w:type="dxa"/>
            <w:bottom w:w="0" w:type="dxa"/>
          </w:tblCellMar>
        </w:tblPrEx>
        <w:tc>
          <w:tcPr>
            <w:tcW w:w="868" w:type="dxa"/>
            <w:tcBorders>
              <w:top w:val="nil"/>
            </w:tcBorders>
          </w:tcPr>
          <w:p w:rsidR="00000000" w:rsidRDefault="00000000">
            <w:pPr>
              <w:pStyle w:val="a2"/>
              <w:ind w:left="113"/>
              <w:rPr>
                <w:szCs w:val="30"/>
              </w:rPr>
            </w:pPr>
            <w:r>
              <w:rPr>
                <w:szCs w:val="30"/>
              </w:rPr>
              <w:t>2001</w:t>
            </w:r>
          </w:p>
        </w:tc>
        <w:tc>
          <w:tcPr>
            <w:tcW w:w="1067" w:type="dxa"/>
            <w:tcBorders>
              <w:top w:val="nil"/>
            </w:tcBorders>
            <w:vAlign w:val="center"/>
          </w:tcPr>
          <w:p w:rsidR="00000000" w:rsidRDefault="00000000">
            <w:pPr>
              <w:pStyle w:val="a2"/>
              <w:tabs>
                <w:tab w:val="decimal" w:pos="436"/>
              </w:tabs>
            </w:pPr>
            <w:r>
              <w:t>…</w:t>
            </w:r>
          </w:p>
        </w:tc>
        <w:tc>
          <w:tcPr>
            <w:tcW w:w="1068" w:type="dxa"/>
            <w:tcBorders>
              <w:top w:val="nil"/>
            </w:tcBorders>
            <w:vAlign w:val="center"/>
          </w:tcPr>
          <w:p w:rsidR="00000000" w:rsidRDefault="00000000">
            <w:pPr>
              <w:pStyle w:val="a2"/>
              <w:tabs>
                <w:tab w:val="decimal" w:pos="436"/>
              </w:tabs>
            </w:pPr>
            <w:r>
              <w:t>…</w:t>
            </w:r>
          </w:p>
        </w:tc>
        <w:tc>
          <w:tcPr>
            <w:tcW w:w="1068" w:type="dxa"/>
            <w:tcBorders>
              <w:top w:val="nil"/>
            </w:tcBorders>
            <w:vAlign w:val="center"/>
          </w:tcPr>
          <w:p w:rsidR="00000000" w:rsidRDefault="00000000">
            <w:pPr>
              <w:pStyle w:val="a2"/>
              <w:tabs>
                <w:tab w:val="decimal" w:pos="436"/>
              </w:tabs>
            </w:pPr>
            <w:r>
              <w:t>…</w:t>
            </w:r>
          </w:p>
        </w:tc>
        <w:tc>
          <w:tcPr>
            <w:tcW w:w="1068" w:type="dxa"/>
            <w:tcBorders>
              <w:top w:val="nil"/>
            </w:tcBorders>
            <w:vAlign w:val="center"/>
          </w:tcPr>
          <w:p w:rsidR="00000000" w:rsidRDefault="00000000">
            <w:pPr>
              <w:pStyle w:val="a2"/>
              <w:tabs>
                <w:tab w:val="decimal" w:pos="436"/>
              </w:tabs>
            </w:pPr>
            <w:r>
              <w:t>…</w:t>
            </w:r>
          </w:p>
        </w:tc>
        <w:tc>
          <w:tcPr>
            <w:tcW w:w="1067" w:type="dxa"/>
            <w:tcBorders>
              <w:top w:val="nil"/>
            </w:tcBorders>
            <w:vAlign w:val="center"/>
          </w:tcPr>
          <w:p w:rsidR="00000000" w:rsidRDefault="00000000">
            <w:pPr>
              <w:pStyle w:val="a2"/>
              <w:tabs>
                <w:tab w:val="decimal" w:pos="436"/>
              </w:tabs>
            </w:pPr>
            <w:r>
              <w:t>97.6</w:t>
            </w:r>
          </w:p>
        </w:tc>
        <w:tc>
          <w:tcPr>
            <w:tcW w:w="1068" w:type="dxa"/>
            <w:tcBorders>
              <w:top w:val="nil"/>
            </w:tcBorders>
            <w:vAlign w:val="center"/>
          </w:tcPr>
          <w:p w:rsidR="00000000" w:rsidRDefault="00000000">
            <w:pPr>
              <w:pStyle w:val="a2"/>
              <w:tabs>
                <w:tab w:val="decimal" w:pos="436"/>
              </w:tabs>
            </w:pPr>
            <w:r>
              <w:t>98.3</w:t>
            </w:r>
          </w:p>
        </w:tc>
        <w:tc>
          <w:tcPr>
            <w:tcW w:w="1068" w:type="dxa"/>
            <w:tcBorders>
              <w:top w:val="nil"/>
            </w:tcBorders>
            <w:vAlign w:val="center"/>
          </w:tcPr>
          <w:p w:rsidR="00000000" w:rsidRDefault="00000000">
            <w:pPr>
              <w:pStyle w:val="a2"/>
              <w:tabs>
                <w:tab w:val="decimal" w:pos="436"/>
              </w:tabs>
            </w:pPr>
            <w:r>
              <w:t>98.3</w:t>
            </w:r>
          </w:p>
        </w:tc>
        <w:tc>
          <w:tcPr>
            <w:tcW w:w="1068" w:type="dxa"/>
            <w:tcBorders>
              <w:top w:val="nil"/>
            </w:tcBorders>
            <w:vAlign w:val="center"/>
          </w:tcPr>
          <w:p w:rsidR="00000000" w:rsidRDefault="00000000">
            <w:pPr>
              <w:pStyle w:val="a2"/>
              <w:tabs>
                <w:tab w:val="decimal" w:pos="436"/>
              </w:tabs>
            </w:pPr>
            <w:r>
              <w:t>97.7</w:t>
            </w:r>
          </w:p>
        </w:tc>
      </w:tr>
    </w:tbl>
    <w:p w:rsidR="00000000" w:rsidRDefault="00000000">
      <w:pPr>
        <w:spacing w:before="120"/>
        <w:rPr>
          <w:rFonts w:eastAsia="KaiTi_GB2312" w:hint="eastAsia"/>
          <w:snapToGrid/>
          <w:spacing w:val="0"/>
          <w:sz w:val="22"/>
        </w:rPr>
      </w:pPr>
      <w:r>
        <w:rPr>
          <w:rFonts w:eastAsia="KaiTi_GB2312" w:hint="eastAsia"/>
          <w:snapToGrid/>
          <w:spacing w:val="0"/>
          <w:sz w:val="22"/>
        </w:rPr>
        <w:tab/>
      </w:r>
      <w:r>
        <w:rPr>
          <w:rFonts w:eastAsia="KaiTi_GB2312" w:hint="eastAsia"/>
          <w:snapToGrid/>
          <w:spacing w:val="0"/>
          <w:sz w:val="22"/>
          <w:u w:val="single"/>
        </w:rPr>
        <w:t>资料来源</w:t>
      </w:r>
      <w:r>
        <w:rPr>
          <w:rFonts w:eastAsia="KaiTi_GB2312" w:hint="eastAsia"/>
          <w:snapToGrid/>
          <w:spacing w:val="0"/>
          <w:sz w:val="22"/>
        </w:rPr>
        <w:t>：卫生部提供。</w:t>
      </w:r>
    </w:p>
    <w:p w:rsidR="00000000" w:rsidRDefault="00000000">
      <w:pPr>
        <w:spacing w:before="120"/>
        <w:rPr>
          <w:rFonts w:eastAsia="KaiTi_GB2312" w:hint="eastAsia"/>
          <w:snapToGrid/>
          <w:spacing w:val="0"/>
          <w:sz w:val="22"/>
        </w:rPr>
      </w:pPr>
    </w:p>
    <w:p w:rsidR="00000000" w:rsidRDefault="00000000">
      <w:pPr>
        <w:spacing w:after="320"/>
        <w:jc w:val="center"/>
        <w:rPr>
          <w:rFonts w:hint="eastAsia"/>
        </w:rPr>
      </w:pPr>
      <w:r>
        <w:br w:type="page"/>
      </w:r>
      <w:r>
        <w:rPr>
          <w:rFonts w:hint="eastAsia"/>
          <w:u w:val="single"/>
        </w:rPr>
        <w:t>表</w:t>
      </w:r>
      <w:r>
        <w:rPr>
          <w:rFonts w:hint="eastAsia"/>
          <w:u w:val="single"/>
        </w:rPr>
        <w:t>19</w:t>
      </w:r>
      <w:r>
        <w:rPr>
          <w:rFonts w:hint="eastAsia"/>
        </w:rPr>
        <w:t xml:space="preserve">.  </w:t>
      </w:r>
      <w:r>
        <w:rPr>
          <w:rFonts w:hint="eastAsia"/>
          <w:u w:val="single"/>
        </w:rPr>
        <w:t>全国农村村级卫生组织情况</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44"/>
        <w:gridCol w:w="635"/>
        <w:gridCol w:w="1017"/>
        <w:gridCol w:w="1017"/>
        <w:gridCol w:w="1017"/>
        <w:gridCol w:w="1017"/>
        <w:gridCol w:w="1017"/>
        <w:gridCol w:w="1017"/>
        <w:gridCol w:w="1004"/>
      </w:tblGrid>
      <w:tr w:rsidR="00000000">
        <w:tblPrEx>
          <w:tblCellMar>
            <w:top w:w="0" w:type="dxa"/>
            <w:bottom w:w="0" w:type="dxa"/>
          </w:tblCellMar>
        </w:tblPrEx>
        <w:tc>
          <w:tcPr>
            <w:tcW w:w="920"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ind w:left="57" w:right="57"/>
              <w:jc w:val="center"/>
              <w:rPr>
                <w:rFonts w:ascii="Time New Roman" w:eastAsia="SimHei" w:hAnsi="Time New Roman"/>
                <w:spacing w:val="-4"/>
                <w:sz w:val="20"/>
              </w:rPr>
            </w:pPr>
          </w:p>
        </w:tc>
        <w:tc>
          <w:tcPr>
            <w:tcW w:w="335"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jc w:val="center"/>
              <w:rPr>
                <w:rFonts w:ascii="Time New Roman" w:eastAsia="SimHei" w:hAnsi="Time New Roman" w:hint="eastAsia"/>
                <w:sz w:val="20"/>
              </w:rPr>
            </w:pPr>
            <w:r>
              <w:rPr>
                <w:rFonts w:ascii="Time New Roman" w:eastAsia="SimHei" w:hAnsi="Time New Roman" w:hint="eastAsia"/>
                <w:sz w:val="20"/>
              </w:rPr>
              <w:t>单位</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jc w:val="center"/>
              <w:rPr>
                <w:rFonts w:ascii="Time New Roman" w:eastAsia="SimHei" w:hAnsi="Time New Roman" w:hint="eastAsia"/>
                <w:sz w:val="20"/>
              </w:rPr>
            </w:pPr>
            <w:r>
              <w:rPr>
                <w:rFonts w:ascii="Time New Roman" w:eastAsia="SimHei" w:hAnsi="Time New Roman" w:hint="eastAsia"/>
                <w:b/>
                <w:sz w:val="20"/>
              </w:rPr>
              <w:t>1985</w:t>
            </w:r>
            <w:r>
              <w:rPr>
                <w:rFonts w:ascii="Time New Roman" w:eastAsia="SimHei" w:hAnsi="Time New Roman" w:hint="eastAsia"/>
                <w:sz w:val="20"/>
              </w:rPr>
              <w:t>年</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jc w:val="center"/>
              <w:rPr>
                <w:rFonts w:ascii="Time New Roman" w:eastAsia="SimHei" w:hAnsi="Time New Roman" w:hint="eastAsia"/>
                <w:sz w:val="20"/>
              </w:rPr>
            </w:pPr>
            <w:r>
              <w:rPr>
                <w:rFonts w:ascii="Time New Roman" w:eastAsia="SimHei" w:hAnsi="Time New Roman" w:hint="eastAsia"/>
                <w:b/>
                <w:sz w:val="20"/>
              </w:rPr>
              <w:t>1988</w:t>
            </w:r>
            <w:r>
              <w:rPr>
                <w:rFonts w:ascii="Time New Roman" w:eastAsia="SimHei" w:hAnsi="Time New Roman" w:hint="eastAsia"/>
                <w:sz w:val="20"/>
              </w:rPr>
              <w:t>年</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jc w:val="center"/>
              <w:rPr>
                <w:rFonts w:ascii="Time New Roman" w:eastAsia="SimHei" w:hAnsi="Time New Roman" w:hint="eastAsia"/>
                <w:sz w:val="20"/>
              </w:rPr>
            </w:pPr>
            <w:r>
              <w:rPr>
                <w:rFonts w:ascii="Time New Roman" w:eastAsia="SimHei" w:hAnsi="Time New Roman" w:hint="eastAsia"/>
                <w:b/>
                <w:sz w:val="20"/>
              </w:rPr>
              <w:t>1990</w:t>
            </w:r>
            <w:r>
              <w:rPr>
                <w:rFonts w:ascii="Time New Roman" w:eastAsia="SimHei" w:hAnsi="Time New Roman" w:hint="eastAsia"/>
                <w:sz w:val="20"/>
              </w:rPr>
              <w:t>年</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jc w:val="center"/>
              <w:rPr>
                <w:rFonts w:ascii="Time New Roman" w:eastAsia="SimHei" w:hAnsi="Time New Roman" w:hint="eastAsia"/>
                <w:sz w:val="20"/>
              </w:rPr>
            </w:pPr>
            <w:r>
              <w:rPr>
                <w:rFonts w:ascii="Time New Roman" w:eastAsia="SimHei" w:hAnsi="Time New Roman" w:hint="eastAsia"/>
                <w:b/>
                <w:sz w:val="20"/>
              </w:rPr>
              <w:t>1992</w:t>
            </w:r>
            <w:r>
              <w:rPr>
                <w:rFonts w:ascii="Time New Roman" w:eastAsia="SimHei" w:hAnsi="Time New Roman" w:hint="eastAsia"/>
                <w:sz w:val="20"/>
              </w:rPr>
              <w:t>年</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jc w:val="center"/>
              <w:rPr>
                <w:rFonts w:ascii="Time New Roman" w:eastAsia="SimHei" w:hAnsi="Time New Roman" w:hint="eastAsia"/>
                <w:sz w:val="20"/>
              </w:rPr>
            </w:pPr>
            <w:r>
              <w:rPr>
                <w:rFonts w:ascii="Time New Roman" w:eastAsia="SimHei" w:hAnsi="Time New Roman" w:hint="eastAsia"/>
                <w:b/>
                <w:sz w:val="20"/>
              </w:rPr>
              <w:t>1993</w:t>
            </w:r>
            <w:r>
              <w:rPr>
                <w:rFonts w:ascii="Time New Roman" w:eastAsia="SimHei" w:hAnsi="Time New Roman" w:hint="eastAsia"/>
                <w:sz w:val="20"/>
              </w:rPr>
              <w:t>年</w:t>
            </w:r>
          </w:p>
        </w:tc>
        <w:tc>
          <w:tcPr>
            <w:tcW w:w="536"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jc w:val="center"/>
              <w:rPr>
                <w:rFonts w:ascii="Time New Roman" w:eastAsia="SimHei" w:hAnsi="Time New Roman" w:hint="eastAsia"/>
                <w:sz w:val="20"/>
              </w:rPr>
            </w:pPr>
            <w:r>
              <w:rPr>
                <w:rFonts w:ascii="Time New Roman" w:eastAsia="SimHei" w:hAnsi="Time New Roman" w:hint="eastAsia"/>
                <w:b/>
                <w:sz w:val="20"/>
              </w:rPr>
              <w:t>1995</w:t>
            </w:r>
            <w:r>
              <w:rPr>
                <w:rFonts w:ascii="Time New Roman" w:eastAsia="SimHei" w:hAnsi="Time New Roman" w:hint="eastAsia"/>
                <w:sz w:val="20"/>
              </w:rPr>
              <w:t>年</w:t>
            </w:r>
          </w:p>
        </w:tc>
        <w:tc>
          <w:tcPr>
            <w:tcW w:w="532"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jc w:val="center"/>
              <w:rPr>
                <w:rFonts w:ascii="Time New Roman" w:eastAsia="SimHei" w:hAnsi="Time New Roman" w:hint="eastAsia"/>
                <w:sz w:val="20"/>
              </w:rPr>
            </w:pPr>
            <w:r>
              <w:rPr>
                <w:rFonts w:ascii="Time New Roman" w:eastAsia="SimHei" w:hAnsi="Time New Roman" w:hint="eastAsia"/>
                <w:b/>
                <w:sz w:val="20"/>
              </w:rPr>
              <w:t>2001</w:t>
            </w:r>
            <w:r>
              <w:rPr>
                <w:rFonts w:ascii="Time New Roman" w:eastAsia="SimHei" w:hAnsi="Time New Roman" w:hint="eastAsia"/>
                <w:sz w:val="20"/>
              </w:rPr>
              <w:t>年</w:t>
            </w:r>
          </w:p>
        </w:tc>
      </w:tr>
      <w:tr w:rsidR="00000000">
        <w:tblPrEx>
          <w:tblCellMar>
            <w:top w:w="0" w:type="dxa"/>
            <w:bottom w:w="0" w:type="dxa"/>
          </w:tblCellMar>
        </w:tblPrEx>
        <w:tc>
          <w:tcPr>
            <w:tcW w:w="920" w:type="pct"/>
            <w:tcBorders>
              <w:top w:val="single" w:sz="4" w:space="0" w:color="auto"/>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行政村数</w:t>
            </w:r>
          </w:p>
        </w:tc>
        <w:tc>
          <w:tcPr>
            <w:tcW w:w="335" w:type="pct"/>
            <w:tcBorders>
              <w:top w:val="single" w:sz="4" w:space="0" w:color="auto"/>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个</w:t>
            </w:r>
          </w:p>
        </w:tc>
        <w:tc>
          <w:tcPr>
            <w:tcW w:w="536" w:type="pct"/>
            <w:tcBorders>
              <w:top w:val="single" w:sz="4" w:space="0" w:color="auto"/>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716,639</w:t>
            </w:r>
          </w:p>
        </w:tc>
        <w:tc>
          <w:tcPr>
            <w:tcW w:w="536" w:type="pct"/>
            <w:tcBorders>
              <w:top w:val="single" w:sz="4" w:space="0" w:color="auto"/>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734,095</w:t>
            </w:r>
          </w:p>
        </w:tc>
        <w:tc>
          <w:tcPr>
            <w:tcW w:w="536" w:type="pct"/>
            <w:tcBorders>
              <w:top w:val="single" w:sz="4" w:space="0" w:color="auto"/>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749,963</w:t>
            </w:r>
          </w:p>
        </w:tc>
        <w:tc>
          <w:tcPr>
            <w:tcW w:w="536" w:type="pct"/>
            <w:tcBorders>
              <w:top w:val="single" w:sz="4" w:space="0" w:color="auto"/>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735,355</w:t>
            </w:r>
          </w:p>
        </w:tc>
        <w:tc>
          <w:tcPr>
            <w:tcW w:w="536" w:type="pct"/>
            <w:tcBorders>
              <w:top w:val="single" w:sz="4" w:space="0" w:color="auto"/>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731,755</w:t>
            </w:r>
          </w:p>
        </w:tc>
        <w:tc>
          <w:tcPr>
            <w:tcW w:w="536" w:type="pct"/>
            <w:tcBorders>
              <w:top w:val="single" w:sz="4" w:space="0" w:color="auto"/>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736,671</w:t>
            </w:r>
          </w:p>
        </w:tc>
        <w:tc>
          <w:tcPr>
            <w:tcW w:w="532" w:type="pct"/>
            <w:tcBorders>
              <w:top w:val="single" w:sz="4" w:space="0" w:color="auto"/>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710,012</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10"/>
                <w:sz w:val="20"/>
              </w:rPr>
            </w:pPr>
            <w:r>
              <w:rPr>
                <w:rFonts w:hint="eastAsia"/>
                <w:spacing w:val="-10"/>
                <w:sz w:val="20"/>
              </w:rPr>
              <w:t>设置医疗点的村数</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个</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625,992</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641,076</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646,529</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651,031</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651,861</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655,105</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637,084</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占行政村的比重</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87.35</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87.33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86.21</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88.5</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89.1</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88.9</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89.7</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村设置的医疗点数</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个</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777,674</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806,497</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803,956</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796,523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806,945</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804,352</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698,966</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村或群众集体办</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个</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305,537</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287,586</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266,137</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294,417</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279,382</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297,462</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289,091</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乡村医生或</w:t>
            </w:r>
            <w:r>
              <w:rPr>
                <w:rFonts w:hint="eastAsia"/>
                <w:spacing w:val="-4"/>
                <w:sz w:val="20"/>
              </w:rPr>
              <w:t>(</w:t>
            </w:r>
            <w:r>
              <w:rPr>
                <w:rFonts w:hint="eastAsia"/>
                <w:spacing w:val="-4"/>
                <w:sz w:val="20"/>
              </w:rPr>
              <w:t>与</w:t>
            </w:r>
            <w:r>
              <w:rPr>
                <w:rFonts w:hint="eastAsia"/>
                <w:spacing w:val="-4"/>
                <w:sz w:val="20"/>
              </w:rPr>
              <w:t>)</w:t>
            </w:r>
            <w:r>
              <w:rPr>
                <w:spacing w:val="-4"/>
                <w:sz w:val="20"/>
              </w:rPr>
              <w:br/>
            </w:r>
            <w:r>
              <w:rPr>
                <w:rFonts w:hint="eastAsia"/>
                <w:spacing w:val="-4"/>
                <w:sz w:val="20"/>
              </w:rPr>
              <w:t xml:space="preserve">  </w:t>
            </w:r>
            <w:r>
              <w:rPr>
                <w:rFonts w:hint="eastAsia"/>
                <w:spacing w:val="-4"/>
                <w:sz w:val="20"/>
              </w:rPr>
              <w:t>卫生员联合办</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个</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88,803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78,873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87,149</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83,742</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94,700</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90,681</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92,555</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乡卫生院设点</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个</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29,769</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29,845</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29,963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34,213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34,914</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36,388</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44,857</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个体办</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个</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323,904</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369,209</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381,844</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350,633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374,296</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354,981</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255,423</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其他</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个</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29,661</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40,984</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38,863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33,518</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23,663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22,876</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17,040</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乡村医生和卫生员</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人</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1,293,094</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1,247,045</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1,231,510</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1,269,061</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1,325,106</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1,331,017</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1,290,595</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乡村医生</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人</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643,022</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731,653</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776,859</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816,557</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910,664</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955,933</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1,021,542</w:t>
            </w:r>
          </w:p>
        </w:tc>
      </w:tr>
      <w:tr w:rsidR="00000000">
        <w:tblPrEx>
          <w:tblCellMar>
            <w:top w:w="0" w:type="dxa"/>
            <w:bottom w:w="0" w:type="dxa"/>
          </w:tblCellMar>
        </w:tblPrEx>
        <w:tc>
          <w:tcPr>
            <w:tcW w:w="920" w:type="pct"/>
            <w:tcBorders>
              <w:top w:val="nil"/>
              <w:left w:val="single" w:sz="4" w:space="0" w:color="auto"/>
              <w:bottom w:val="nil"/>
              <w:right w:val="single" w:sz="4" w:space="0" w:color="auto"/>
            </w:tcBorders>
          </w:tcPr>
          <w:p w:rsidR="00000000" w:rsidRDefault="00000000">
            <w:pPr>
              <w:pStyle w:val="a2"/>
              <w:ind w:left="57" w:right="57"/>
              <w:rPr>
                <w:rFonts w:hint="eastAsia"/>
                <w:spacing w:val="-4"/>
                <w:sz w:val="20"/>
              </w:rPr>
            </w:pPr>
            <w:r>
              <w:rPr>
                <w:rFonts w:hint="eastAsia"/>
                <w:spacing w:val="-4"/>
                <w:sz w:val="20"/>
              </w:rPr>
              <w:t>卫生员</w:t>
            </w:r>
          </w:p>
        </w:tc>
        <w:tc>
          <w:tcPr>
            <w:tcW w:w="335" w:type="pct"/>
            <w:tcBorders>
              <w:top w:val="nil"/>
              <w:left w:val="single" w:sz="4" w:space="0" w:color="auto"/>
              <w:bottom w:val="nil"/>
              <w:right w:val="single" w:sz="4" w:space="0" w:color="auto"/>
            </w:tcBorders>
          </w:tcPr>
          <w:p w:rsidR="00000000" w:rsidRDefault="00000000">
            <w:pPr>
              <w:pStyle w:val="a2"/>
              <w:jc w:val="center"/>
              <w:rPr>
                <w:rFonts w:hint="eastAsia"/>
                <w:sz w:val="20"/>
              </w:rPr>
            </w:pPr>
            <w:r>
              <w:rPr>
                <w:rFonts w:hint="eastAsia"/>
                <w:sz w:val="20"/>
              </w:rPr>
              <w:t>人</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650,072</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515,392</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454,651</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452,504</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414,442</w:t>
            </w:r>
          </w:p>
        </w:tc>
        <w:tc>
          <w:tcPr>
            <w:tcW w:w="536"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375,084</w:t>
            </w:r>
          </w:p>
        </w:tc>
        <w:tc>
          <w:tcPr>
            <w:tcW w:w="532" w:type="pct"/>
            <w:tcBorders>
              <w:top w:val="nil"/>
              <w:left w:val="single" w:sz="4" w:space="0" w:color="auto"/>
              <w:bottom w:val="nil"/>
              <w:right w:val="single" w:sz="4" w:space="0" w:color="auto"/>
            </w:tcBorders>
          </w:tcPr>
          <w:p w:rsidR="00000000" w:rsidRDefault="00000000">
            <w:pPr>
              <w:pStyle w:val="a2"/>
              <w:tabs>
                <w:tab w:val="decimal" w:pos="909"/>
              </w:tabs>
              <w:ind w:left="57" w:right="57"/>
              <w:rPr>
                <w:sz w:val="20"/>
              </w:rPr>
            </w:pPr>
            <w:r>
              <w:rPr>
                <w:sz w:val="20"/>
              </w:rPr>
              <w:t>269,053</w:t>
            </w:r>
          </w:p>
        </w:tc>
      </w:tr>
      <w:tr w:rsidR="00000000">
        <w:tblPrEx>
          <w:tblCellMar>
            <w:top w:w="0" w:type="dxa"/>
            <w:bottom w:w="0" w:type="dxa"/>
          </w:tblCellMar>
        </w:tblPrEx>
        <w:tc>
          <w:tcPr>
            <w:tcW w:w="920" w:type="pct"/>
            <w:tcBorders>
              <w:top w:val="nil"/>
              <w:left w:val="single" w:sz="4" w:space="0" w:color="auto"/>
              <w:bottom w:val="single" w:sz="4" w:space="0" w:color="auto"/>
              <w:right w:val="single" w:sz="4" w:space="0" w:color="auto"/>
            </w:tcBorders>
          </w:tcPr>
          <w:p w:rsidR="00000000" w:rsidRDefault="00000000">
            <w:pPr>
              <w:pStyle w:val="a2"/>
              <w:ind w:left="57" w:right="57"/>
              <w:rPr>
                <w:rFonts w:hint="eastAsia"/>
                <w:spacing w:val="-4"/>
                <w:sz w:val="20"/>
              </w:rPr>
            </w:pPr>
            <w:r>
              <w:rPr>
                <w:rFonts w:hint="eastAsia"/>
                <w:spacing w:val="-4"/>
                <w:sz w:val="20"/>
              </w:rPr>
              <w:t>每千农业人口乡村</w:t>
            </w:r>
            <w:r>
              <w:rPr>
                <w:spacing w:val="-4"/>
                <w:sz w:val="20"/>
              </w:rPr>
              <w:br/>
            </w:r>
            <w:r>
              <w:rPr>
                <w:rFonts w:hint="eastAsia"/>
                <w:spacing w:val="-4"/>
                <w:sz w:val="20"/>
              </w:rPr>
              <w:t xml:space="preserve">  </w:t>
            </w:r>
            <w:r>
              <w:rPr>
                <w:rFonts w:hint="eastAsia"/>
                <w:spacing w:val="-4"/>
                <w:sz w:val="20"/>
              </w:rPr>
              <w:t>医生和卫生员</w:t>
            </w:r>
          </w:p>
        </w:tc>
        <w:tc>
          <w:tcPr>
            <w:tcW w:w="335" w:type="pct"/>
            <w:tcBorders>
              <w:top w:val="nil"/>
              <w:left w:val="single" w:sz="4" w:space="0" w:color="auto"/>
              <w:bottom w:val="single" w:sz="4" w:space="0" w:color="auto"/>
              <w:right w:val="single" w:sz="4" w:space="0" w:color="auto"/>
            </w:tcBorders>
          </w:tcPr>
          <w:p w:rsidR="00000000" w:rsidRDefault="00000000">
            <w:pPr>
              <w:pStyle w:val="a2"/>
              <w:jc w:val="center"/>
              <w:rPr>
                <w:rFonts w:hint="eastAsia"/>
                <w:sz w:val="20"/>
              </w:rPr>
            </w:pPr>
            <w:r>
              <w:rPr>
                <w:rFonts w:hint="eastAsia"/>
                <w:sz w:val="20"/>
              </w:rPr>
              <w:t>人</w:t>
            </w:r>
          </w:p>
        </w:tc>
        <w:tc>
          <w:tcPr>
            <w:tcW w:w="536" w:type="pct"/>
            <w:tcBorders>
              <w:top w:val="nil"/>
              <w:left w:val="single" w:sz="4" w:space="0" w:color="auto"/>
              <w:bottom w:val="single" w:sz="4" w:space="0" w:color="auto"/>
              <w:right w:val="single" w:sz="4" w:space="0" w:color="auto"/>
            </w:tcBorders>
          </w:tcPr>
          <w:p w:rsidR="00000000" w:rsidRDefault="00000000">
            <w:pPr>
              <w:pStyle w:val="a2"/>
              <w:tabs>
                <w:tab w:val="decimal" w:pos="909"/>
              </w:tabs>
              <w:ind w:left="57" w:right="57"/>
              <w:rPr>
                <w:sz w:val="20"/>
              </w:rPr>
            </w:pPr>
            <w:r>
              <w:rPr>
                <w:sz w:val="20"/>
              </w:rPr>
              <w:t>1</w:t>
            </w:r>
            <w:r>
              <w:rPr>
                <w:rFonts w:hint="eastAsia"/>
                <w:sz w:val="20"/>
              </w:rPr>
              <w:t>.</w:t>
            </w:r>
            <w:r>
              <w:rPr>
                <w:sz w:val="20"/>
              </w:rPr>
              <w:t>55</w:t>
            </w:r>
          </w:p>
        </w:tc>
        <w:tc>
          <w:tcPr>
            <w:tcW w:w="536" w:type="pct"/>
            <w:tcBorders>
              <w:top w:val="nil"/>
              <w:left w:val="single" w:sz="4" w:space="0" w:color="auto"/>
              <w:bottom w:val="single" w:sz="4" w:space="0" w:color="auto"/>
              <w:right w:val="single" w:sz="4" w:space="0" w:color="auto"/>
            </w:tcBorders>
          </w:tcPr>
          <w:p w:rsidR="00000000" w:rsidRDefault="00000000">
            <w:pPr>
              <w:pStyle w:val="a2"/>
              <w:tabs>
                <w:tab w:val="decimal" w:pos="909"/>
              </w:tabs>
              <w:ind w:left="57" w:right="57"/>
              <w:rPr>
                <w:sz w:val="20"/>
              </w:rPr>
            </w:pPr>
            <w:r>
              <w:rPr>
                <w:sz w:val="20"/>
              </w:rPr>
              <w:t>1</w:t>
            </w:r>
            <w:r>
              <w:rPr>
                <w:rFonts w:hint="eastAsia"/>
                <w:sz w:val="20"/>
              </w:rPr>
              <w:t>.</w:t>
            </w:r>
            <w:r>
              <w:rPr>
                <w:sz w:val="20"/>
              </w:rPr>
              <w:t>44</w:t>
            </w:r>
          </w:p>
        </w:tc>
        <w:tc>
          <w:tcPr>
            <w:tcW w:w="536" w:type="pct"/>
            <w:tcBorders>
              <w:top w:val="nil"/>
              <w:left w:val="single" w:sz="4" w:space="0" w:color="auto"/>
              <w:bottom w:val="single" w:sz="4" w:space="0" w:color="auto"/>
              <w:right w:val="single" w:sz="4" w:space="0" w:color="auto"/>
            </w:tcBorders>
          </w:tcPr>
          <w:p w:rsidR="00000000" w:rsidRDefault="00000000">
            <w:pPr>
              <w:pStyle w:val="a2"/>
              <w:tabs>
                <w:tab w:val="decimal" w:pos="909"/>
              </w:tabs>
              <w:ind w:left="57" w:right="57"/>
              <w:rPr>
                <w:sz w:val="20"/>
              </w:rPr>
            </w:pPr>
            <w:r>
              <w:rPr>
                <w:sz w:val="20"/>
              </w:rPr>
              <w:t>1</w:t>
            </w:r>
            <w:r>
              <w:rPr>
                <w:rFonts w:hint="eastAsia"/>
                <w:sz w:val="20"/>
              </w:rPr>
              <w:t>.</w:t>
            </w:r>
            <w:r>
              <w:rPr>
                <w:sz w:val="20"/>
              </w:rPr>
              <w:t>38</w:t>
            </w:r>
          </w:p>
        </w:tc>
        <w:tc>
          <w:tcPr>
            <w:tcW w:w="536" w:type="pct"/>
            <w:tcBorders>
              <w:top w:val="nil"/>
              <w:left w:val="single" w:sz="4" w:space="0" w:color="auto"/>
              <w:bottom w:val="single" w:sz="4" w:space="0" w:color="auto"/>
              <w:right w:val="single" w:sz="4" w:space="0" w:color="auto"/>
            </w:tcBorders>
          </w:tcPr>
          <w:p w:rsidR="00000000" w:rsidRDefault="00000000">
            <w:pPr>
              <w:pStyle w:val="a2"/>
              <w:tabs>
                <w:tab w:val="decimal" w:pos="909"/>
              </w:tabs>
              <w:ind w:left="57" w:right="57"/>
              <w:rPr>
                <w:sz w:val="20"/>
              </w:rPr>
            </w:pPr>
            <w:r>
              <w:rPr>
                <w:sz w:val="20"/>
              </w:rPr>
              <w:t>1</w:t>
            </w:r>
            <w:r>
              <w:rPr>
                <w:rFonts w:hint="eastAsia"/>
                <w:sz w:val="20"/>
              </w:rPr>
              <w:t>.</w:t>
            </w:r>
            <w:r>
              <w:rPr>
                <w:sz w:val="20"/>
              </w:rPr>
              <w:t>41</w:t>
            </w:r>
          </w:p>
        </w:tc>
        <w:tc>
          <w:tcPr>
            <w:tcW w:w="536" w:type="pct"/>
            <w:tcBorders>
              <w:top w:val="nil"/>
              <w:left w:val="single" w:sz="4" w:space="0" w:color="auto"/>
              <w:bottom w:val="single" w:sz="4" w:space="0" w:color="auto"/>
              <w:right w:val="single" w:sz="4" w:space="0" w:color="auto"/>
            </w:tcBorders>
          </w:tcPr>
          <w:p w:rsidR="00000000" w:rsidRDefault="00000000">
            <w:pPr>
              <w:pStyle w:val="a2"/>
              <w:tabs>
                <w:tab w:val="decimal" w:pos="909"/>
              </w:tabs>
              <w:ind w:left="57" w:right="57"/>
              <w:rPr>
                <w:sz w:val="20"/>
              </w:rPr>
            </w:pPr>
            <w:r>
              <w:rPr>
                <w:sz w:val="20"/>
              </w:rPr>
              <w:t>1</w:t>
            </w:r>
            <w:r>
              <w:rPr>
                <w:rFonts w:hint="eastAsia"/>
                <w:sz w:val="20"/>
              </w:rPr>
              <w:t>.</w:t>
            </w:r>
            <w:r>
              <w:rPr>
                <w:sz w:val="20"/>
              </w:rPr>
              <w:t>47</w:t>
            </w:r>
          </w:p>
        </w:tc>
        <w:tc>
          <w:tcPr>
            <w:tcW w:w="536" w:type="pct"/>
            <w:tcBorders>
              <w:top w:val="nil"/>
              <w:left w:val="single" w:sz="4" w:space="0" w:color="auto"/>
              <w:bottom w:val="single" w:sz="4" w:space="0" w:color="auto"/>
              <w:right w:val="single" w:sz="4" w:space="0" w:color="auto"/>
            </w:tcBorders>
          </w:tcPr>
          <w:p w:rsidR="00000000" w:rsidRDefault="00000000">
            <w:pPr>
              <w:pStyle w:val="a2"/>
              <w:tabs>
                <w:tab w:val="decimal" w:pos="909"/>
              </w:tabs>
              <w:ind w:left="57" w:right="57"/>
              <w:rPr>
                <w:sz w:val="20"/>
              </w:rPr>
            </w:pPr>
            <w:r>
              <w:rPr>
                <w:sz w:val="20"/>
              </w:rPr>
              <w:t>1</w:t>
            </w:r>
            <w:r>
              <w:rPr>
                <w:rFonts w:hint="eastAsia"/>
                <w:sz w:val="20"/>
              </w:rPr>
              <w:t>.</w:t>
            </w:r>
            <w:r>
              <w:rPr>
                <w:sz w:val="20"/>
              </w:rPr>
              <w:t>48</w:t>
            </w:r>
          </w:p>
        </w:tc>
        <w:tc>
          <w:tcPr>
            <w:tcW w:w="532" w:type="pct"/>
            <w:tcBorders>
              <w:top w:val="nil"/>
              <w:left w:val="single" w:sz="4" w:space="0" w:color="auto"/>
              <w:bottom w:val="single" w:sz="4" w:space="0" w:color="auto"/>
              <w:right w:val="single" w:sz="4" w:space="0" w:color="auto"/>
            </w:tcBorders>
          </w:tcPr>
          <w:p w:rsidR="00000000" w:rsidRDefault="00000000">
            <w:pPr>
              <w:pStyle w:val="a2"/>
              <w:tabs>
                <w:tab w:val="decimal" w:pos="909"/>
              </w:tabs>
              <w:ind w:left="57" w:right="57"/>
              <w:rPr>
                <w:sz w:val="20"/>
              </w:rPr>
            </w:pPr>
            <w:r>
              <w:rPr>
                <w:sz w:val="20"/>
              </w:rPr>
              <w:t>1</w:t>
            </w:r>
            <w:r>
              <w:rPr>
                <w:rFonts w:hint="eastAsia"/>
                <w:sz w:val="20"/>
              </w:rPr>
              <w:t>.</w:t>
            </w:r>
            <w:r>
              <w:rPr>
                <w:sz w:val="20"/>
              </w:rPr>
              <w:t>41</w:t>
            </w:r>
          </w:p>
        </w:tc>
      </w:tr>
    </w:tbl>
    <w:p w:rsidR="00000000" w:rsidRDefault="00000000">
      <w:pPr>
        <w:pStyle w:val="a2"/>
        <w:tabs>
          <w:tab w:val="left" w:pos="520"/>
        </w:tabs>
        <w:spacing w:before="120"/>
        <w:ind w:left="1820" w:hanging="1820"/>
        <w:rPr>
          <w:rFonts w:eastAsia="KaiTi_GB2312" w:hint="eastAsia"/>
          <w:snapToGrid/>
          <w:sz w:val="24"/>
        </w:rPr>
      </w:pPr>
      <w:r>
        <w:rPr>
          <w:rFonts w:hint="eastAsia"/>
          <w:sz w:val="24"/>
        </w:rPr>
        <w:tab/>
        <w:t xml:space="preserve">     </w:t>
      </w:r>
      <w:r>
        <w:rPr>
          <w:rFonts w:eastAsia="KaiTi_GB2312" w:hint="eastAsia"/>
          <w:snapToGrid/>
          <w:sz w:val="24"/>
          <w:u w:val="single"/>
        </w:rPr>
        <w:t>注</w:t>
      </w:r>
      <w:r>
        <w:rPr>
          <w:rFonts w:eastAsia="KaiTi_GB2312" w:hint="eastAsia"/>
          <w:snapToGrid/>
          <w:sz w:val="24"/>
        </w:rPr>
        <w:t>：乡村医生是指经过县级卫生行政部门考核，获得乡村医生证书的人员。</w:t>
      </w:r>
    </w:p>
    <w:p w:rsidR="00000000" w:rsidRDefault="00000000">
      <w:pPr>
        <w:pStyle w:val="a2"/>
        <w:rPr>
          <w:rFonts w:eastAsia="KaiTi_GB2312" w:hint="eastAsia"/>
          <w:snapToGrid/>
          <w:sz w:val="24"/>
        </w:rPr>
      </w:pPr>
      <w:r>
        <w:rPr>
          <w:rFonts w:eastAsia="KaiTi_GB2312" w:hint="eastAsia"/>
          <w:snapToGrid/>
          <w:sz w:val="24"/>
        </w:rPr>
        <w:tab/>
      </w:r>
      <w:r>
        <w:rPr>
          <w:rFonts w:eastAsia="KaiTi_GB2312" w:hint="eastAsia"/>
          <w:snapToGrid/>
          <w:sz w:val="24"/>
          <w:u w:val="single"/>
        </w:rPr>
        <w:t>资料来源</w:t>
      </w:r>
      <w:r>
        <w:rPr>
          <w:rFonts w:eastAsia="KaiTi_GB2312" w:hint="eastAsia"/>
          <w:snapToGrid/>
          <w:sz w:val="24"/>
        </w:rPr>
        <w:t>：卫生部提供。</w:t>
      </w:r>
    </w:p>
    <w:p w:rsidR="00000000" w:rsidRDefault="00000000">
      <w:pPr>
        <w:spacing w:after="240"/>
        <w:rPr>
          <w:rFonts w:hint="eastAsia"/>
        </w:rPr>
      </w:pPr>
    </w:p>
    <w:p w:rsidR="00000000" w:rsidRDefault="00000000">
      <w:pPr>
        <w:spacing w:after="320"/>
        <w:jc w:val="center"/>
        <w:rPr>
          <w:rFonts w:hint="eastAsia"/>
        </w:rPr>
      </w:pPr>
      <w:r>
        <w:rPr>
          <w:rFonts w:hint="eastAsia"/>
          <w:u w:val="single"/>
        </w:rPr>
        <w:t>表</w:t>
      </w:r>
      <w:r>
        <w:rPr>
          <w:rFonts w:hint="eastAsia"/>
          <w:u w:val="single"/>
        </w:rPr>
        <w:t>20</w:t>
      </w:r>
      <w:r>
        <w:rPr>
          <w:rFonts w:hint="eastAsia"/>
        </w:rPr>
        <w:t xml:space="preserve">.  </w:t>
      </w:r>
      <w:r>
        <w:rPr>
          <w:rFonts w:hint="eastAsia"/>
          <w:u w:val="single"/>
        </w:rPr>
        <w:t>1996-2001</w:t>
      </w:r>
      <w:r>
        <w:rPr>
          <w:rFonts w:hint="eastAsia"/>
          <w:u w:val="single"/>
        </w:rPr>
        <w:t>年得到经过训练的人员</w:t>
      </w:r>
      <w:r>
        <w:rPr>
          <w:u w:val="single"/>
        </w:rPr>
        <w:br/>
      </w:r>
      <w:r>
        <w:rPr>
          <w:rFonts w:hint="eastAsia"/>
        </w:rPr>
        <w:t xml:space="preserve">   </w:t>
      </w:r>
      <w:r>
        <w:rPr>
          <w:rFonts w:hint="eastAsia"/>
          <w:u w:val="single"/>
        </w:rPr>
        <w:t>保健服务的孕产妇比例</w:t>
      </w:r>
      <w:r>
        <w:rPr>
          <w:rFonts w:hint="eastAsia"/>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22"/>
        <w:gridCol w:w="3145"/>
        <w:gridCol w:w="3143"/>
      </w:tblGrid>
      <w:tr w:rsidR="00000000">
        <w:tblPrEx>
          <w:tblCellMar>
            <w:top w:w="0" w:type="dxa"/>
            <w:bottom w:w="0" w:type="dxa"/>
          </w:tblCellMar>
        </w:tblPrEx>
        <w:tc>
          <w:tcPr>
            <w:tcW w:w="1659"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671"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孕</w:t>
            </w:r>
            <w:r>
              <w:rPr>
                <w:rFonts w:ascii="Time New Roman" w:eastAsia="SimHei" w:hAnsi="Time New Roman" w:hint="eastAsia"/>
              </w:rPr>
              <w:t xml:space="preserve">  </w:t>
            </w:r>
            <w:r>
              <w:rPr>
                <w:rFonts w:ascii="Time New Roman" w:eastAsia="SimHei" w:hAnsi="Time New Roman" w:hint="eastAsia"/>
              </w:rPr>
              <w:t>期</w:t>
            </w:r>
          </w:p>
        </w:tc>
        <w:tc>
          <w:tcPr>
            <w:tcW w:w="1670" w:type="pct"/>
            <w:tcBorders>
              <w:bottom w:val="single" w:sz="4" w:space="0" w:color="auto"/>
            </w:tcBorders>
          </w:tcPr>
          <w:p w:rsidR="00000000" w:rsidRDefault="00000000">
            <w:pPr>
              <w:pStyle w:val="a2"/>
              <w:spacing w:before="60" w:after="40"/>
              <w:jc w:val="center"/>
              <w:rPr>
                <w:rFonts w:ascii="Time New Roman" w:eastAsia="SimHei" w:hAnsi="Time New Roman" w:hint="eastAsia"/>
              </w:rPr>
            </w:pPr>
            <w:r>
              <w:rPr>
                <w:rFonts w:ascii="Time New Roman" w:eastAsia="SimHei" w:hAnsi="Time New Roman" w:hint="eastAsia"/>
              </w:rPr>
              <w:t>分</w:t>
            </w:r>
            <w:r>
              <w:rPr>
                <w:rFonts w:ascii="Time New Roman" w:eastAsia="SimHei" w:hAnsi="Time New Roman" w:hint="eastAsia"/>
              </w:rPr>
              <w:t xml:space="preserve"> </w:t>
            </w:r>
            <w:r>
              <w:rPr>
                <w:rFonts w:ascii="Time New Roman" w:eastAsia="SimHei" w:hAnsi="Time New Roman" w:hint="eastAsia"/>
              </w:rPr>
              <w:t>娩</w:t>
            </w:r>
            <w:r>
              <w:rPr>
                <w:rFonts w:ascii="Time New Roman" w:eastAsia="SimHei" w:hAnsi="Time New Roman" w:hint="eastAsia"/>
              </w:rPr>
              <w:t xml:space="preserve"> </w:t>
            </w:r>
            <w:r>
              <w:rPr>
                <w:rFonts w:ascii="Time New Roman" w:eastAsia="SimHei" w:hAnsi="Time New Roman" w:hint="eastAsia"/>
              </w:rPr>
              <w:t>期</w:t>
            </w:r>
          </w:p>
        </w:tc>
      </w:tr>
      <w:tr w:rsidR="00000000">
        <w:tblPrEx>
          <w:tblCellMar>
            <w:top w:w="0" w:type="dxa"/>
            <w:bottom w:w="0" w:type="dxa"/>
          </w:tblCellMar>
        </w:tblPrEx>
        <w:tc>
          <w:tcPr>
            <w:tcW w:w="1659" w:type="pct"/>
            <w:tcBorders>
              <w:bottom w:val="nil"/>
            </w:tcBorders>
          </w:tcPr>
          <w:p w:rsidR="00000000" w:rsidRDefault="00000000">
            <w:pPr>
              <w:pStyle w:val="a2"/>
              <w:jc w:val="center"/>
              <w:rPr>
                <w:rFonts w:hint="eastAsia"/>
              </w:rPr>
            </w:pPr>
            <w:r>
              <w:t>1996</w:t>
            </w:r>
            <w:r>
              <w:rPr>
                <w:rFonts w:hint="eastAsia"/>
              </w:rPr>
              <w:t>年</w:t>
            </w:r>
          </w:p>
        </w:tc>
        <w:tc>
          <w:tcPr>
            <w:tcW w:w="1671" w:type="pct"/>
            <w:tcBorders>
              <w:bottom w:val="nil"/>
            </w:tcBorders>
          </w:tcPr>
          <w:p w:rsidR="00000000" w:rsidRDefault="00000000">
            <w:pPr>
              <w:pStyle w:val="a2"/>
              <w:tabs>
                <w:tab w:val="decimal" w:pos="1498"/>
              </w:tabs>
            </w:pPr>
            <w:r>
              <w:t>83.69</w:t>
            </w:r>
          </w:p>
        </w:tc>
        <w:tc>
          <w:tcPr>
            <w:tcW w:w="1670" w:type="pct"/>
            <w:tcBorders>
              <w:bottom w:val="nil"/>
            </w:tcBorders>
          </w:tcPr>
          <w:p w:rsidR="00000000" w:rsidRDefault="00000000">
            <w:pPr>
              <w:pStyle w:val="a2"/>
              <w:tabs>
                <w:tab w:val="decimal" w:pos="1498"/>
              </w:tabs>
            </w:pPr>
            <w:r>
              <w:t>80.06</w:t>
            </w:r>
          </w:p>
        </w:tc>
      </w:tr>
      <w:tr w:rsidR="00000000">
        <w:tblPrEx>
          <w:tblCellMar>
            <w:top w:w="0" w:type="dxa"/>
            <w:bottom w:w="0" w:type="dxa"/>
          </w:tblCellMar>
        </w:tblPrEx>
        <w:tc>
          <w:tcPr>
            <w:tcW w:w="1659" w:type="pct"/>
            <w:tcBorders>
              <w:top w:val="nil"/>
              <w:bottom w:val="nil"/>
            </w:tcBorders>
          </w:tcPr>
          <w:p w:rsidR="00000000" w:rsidRDefault="00000000">
            <w:pPr>
              <w:pStyle w:val="a2"/>
              <w:jc w:val="center"/>
              <w:rPr>
                <w:rFonts w:hint="eastAsia"/>
              </w:rPr>
            </w:pPr>
            <w:r>
              <w:t>1997</w:t>
            </w:r>
            <w:r>
              <w:rPr>
                <w:rFonts w:hint="eastAsia"/>
              </w:rPr>
              <w:t>年</w:t>
            </w:r>
          </w:p>
        </w:tc>
        <w:tc>
          <w:tcPr>
            <w:tcW w:w="1671" w:type="pct"/>
            <w:tcBorders>
              <w:top w:val="nil"/>
              <w:bottom w:val="nil"/>
            </w:tcBorders>
          </w:tcPr>
          <w:p w:rsidR="00000000" w:rsidRDefault="00000000">
            <w:pPr>
              <w:pStyle w:val="a2"/>
              <w:tabs>
                <w:tab w:val="decimal" w:pos="1498"/>
              </w:tabs>
            </w:pPr>
            <w:r>
              <w:t>85.89</w:t>
            </w:r>
          </w:p>
        </w:tc>
        <w:tc>
          <w:tcPr>
            <w:tcW w:w="1670" w:type="pct"/>
            <w:tcBorders>
              <w:top w:val="nil"/>
              <w:bottom w:val="nil"/>
            </w:tcBorders>
          </w:tcPr>
          <w:p w:rsidR="00000000" w:rsidRDefault="00000000">
            <w:pPr>
              <w:pStyle w:val="a2"/>
              <w:tabs>
                <w:tab w:val="decimal" w:pos="1498"/>
              </w:tabs>
            </w:pPr>
            <w:r>
              <w:t>82.85</w:t>
            </w:r>
          </w:p>
        </w:tc>
      </w:tr>
      <w:tr w:rsidR="00000000">
        <w:tblPrEx>
          <w:tblCellMar>
            <w:top w:w="0" w:type="dxa"/>
            <w:bottom w:w="0" w:type="dxa"/>
          </w:tblCellMar>
        </w:tblPrEx>
        <w:tc>
          <w:tcPr>
            <w:tcW w:w="1659" w:type="pct"/>
            <w:tcBorders>
              <w:top w:val="nil"/>
              <w:bottom w:val="nil"/>
            </w:tcBorders>
          </w:tcPr>
          <w:p w:rsidR="00000000" w:rsidRDefault="00000000">
            <w:pPr>
              <w:pStyle w:val="a2"/>
              <w:jc w:val="center"/>
              <w:rPr>
                <w:rFonts w:hint="eastAsia"/>
              </w:rPr>
            </w:pPr>
            <w:r>
              <w:t>1998</w:t>
            </w:r>
            <w:r>
              <w:rPr>
                <w:rFonts w:hint="eastAsia"/>
              </w:rPr>
              <w:t>年</w:t>
            </w:r>
          </w:p>
        </w:tc>
        <w:tc>
          <w:tcPr>
            <w:tcW w:w="1671" w:type="pct"/>
            <w:tcBorders>
              <w:top w:val="nil"/>
              <w:bottom w:val="nil"/>
            </w:tcBorders>
          </w:tcPr>
          <w:p w:rsidR="00000000" w:rsidRDefault="00000000">
            <w:pPr>
              <w:pStyle w:val="a2"/>
              <w:tabs>
                <w:tab w:val="decimal" w:pos="1498"/>
              </w:tabs>
            </w:pPr>
            <w:r>
              <w:t>87.13</w:t>
            </w:r>
          </w:p>
        </w:tc>
        <w:tc>
          <w:tcPr>
            <w:tcW w:w="1670" w:type="pct"/>
            <w:tcBorders>
              <w:top w:val="nil"/>
              <w:bottom w:val="nil"/>
            </w:tcBorders>
          </w:tcPr>
          <w:p w:rsidR="00000000" w:rsidRDefault="00000000">
            <w:pPr>
              <w:pStyle w:val="a2"/>
              <w:tabs>
                <w:tab w:val="decimal" w:pos="1498"/>
              </w:tabs>
            </w:pPr>
            <w:r>
              <w:t>83.91</w:t>
            </w:r>
          </w:p>
        </w:tc>
      </w:tr>
      <w:tr w:rsidR="00000000">
        <w:tblPrEx>
          <w:tblCellMar>
            <w:top w:w="0" w:type="dxa"/>
            <w:bottom w:w="0" w:type="dxa"/>
          </w:tblCellMar>
        </w:tblPrEx>
        <w:tc>
          <w:tcPr>
            <w:tcW w:w="1659" w:type="pct"/>
            <w:tcBorders>
              <w:top w:val="nil"/>
              <w:bottom w:val="nil"/>
            </w:tcBorders>
          </w:tcPr>
          <w:p w:rsidR="00000000" w:rsidRDefault="00000000">
            <w:pPr>
              <w:pStyle w:val="a2"/>
              <w:jc w:val="center"/>
              <w:rPr>
                <w:rFonts w:hint="eastAsia"/>
              </w:rPr>
            </w:pPr>
            <w:r>
              <w:t>1999</w:t>
            </w:r>
            <w:r>
              <w:rPr>
                <w:rFonts w:hint="eastAsia"/>
              </w:rPr>
              <w:t>年</w:t>
            </w:r>
          </w:p>
        </w:tc>
        <w:tc>
          <w:tcPr>
            <w:tcW w:w="1671" w:type="pct"/>
            <w:tcBorders>
              <w:top w:val="nil"/>
              <w:bottom w:val="nil"/>
            </w:tcBorders>
          </w:tcPr>
          <w:p w:rsidR="00000000" w:rsidRDefault="00000000">
            <w:pPr>
              <w:pStyle w:val="a2"/>
              <w:tabs>
                <w:tab w:val="decimal" w:pos="1498"/>
              </w:tabs>
            </w:pPr>
            <w:r>
              <w:t>89.25</w:t>
            </w:r>
          </w:p>
        </w:tc>
        <w:tc>
          <w:tcPr>
            <w:tcW w:w="1670" w:type="pct"/>
            <w:tcBorders>
              <w:top w:val="nil"/>
              <w:bottom w:val="nil"/>
            </w:tcBorders>
          </w:tcPr>
          <w:p w:rsidR="00000000" w:rsidRDefault="00000000">
            <w:pPr>
              <w:pStyle w:val="a2"/>
              <w:tabs>
                <w:tab w:val="decimal" w:pos="1498"/>
              </w:tabs>
            </w:pPr>
            <w:r>
              <w:t>85.86</w:t>
            </w:r>
          </w:p>
        </w:tc>
      </w:tr>
      <w:tr w:rsidR="00000000">
        <w:tblPrEx>
          <w:tblCellMar>
            <w:top w:w="0" w:type="dxa"/>
            <w:bottom w:w="0" w:type="dxa"/>
          </w:tblCellMar>
        </w:tblPrEx>
        <w:tc>
          <w:tcPr>
            <w:tcW w:w="1659" w:type="pct"/>
            <w:tcBorders>
              <w:top w:val="nil"/>
              <w:bottom w:val="nil"/>
            </w:tcBorders>
          </w:tcPr>
          <w:p w:rsidR="00000000" w:rsidRDefault="00000000">
            <w:pPr>
              <w:pStyle w:val="a2"/>
              <w:jc w:val="center"/>
              <w:rPr>
                <w:rFonts w:hint="eastAsia"/>
              </w:rPr>
            </w:pPr>
            <w:r>
              <w:t>2000</w:t>
            </w:r>
            <w:r>
              <w:rPr>
                <w:rFonts w:hint="eastAsia"/>
              </w:rPr>
              <w:t>年</w:t>
            </w:r>
          </w:p>
        </w:tc>
        <w:tc>
          <w:tcPr>
            <w:tcW w:w="1671" w:type="pct"/>
            <w:tcBorders>
              <w:top w:val="nil"/>
              <w:bottom w:val="nil"/>
            </w:tcBorders>
          </w:tcPr>
          <w:p w:rsidR="00000000" w:rsidRDefault="00000000">
            <w:pPr>
              <w:pStyle w:val="a2"/>
              <w:tabs>
                <w:tab w:val="decimal" w:pos="1498"/>
              </w:tabs>
            </w:pPr>
            <w:r>
              <w:t>89.36</w:t>
            </w:r>
          </w:p>
        </w:tc>
        <w:tc>
          <w:tcPr>
            <w:tcW w:w="1670" w:type="pct"/>
            <w:tcBorders>
              <w:top w:val="nil"/>
              <w:bottom w:val="nil"/>
            </w:tcBorders>
          </w:tcPr>
          <w:p w:rsidR="00000000" w:rsidRDefault="00000000">
            <w:pPr>
              <w:pStyle w:val="a2"/>
              <w:tabs>
                <w:tab w:val="decimal" w:pos="1498"/>
              </w:tabs>
            </w:pPr>
            <w:r>
              <w:t>86.15</w:t>
            </w:r>
          </w:p>
        </w:tc>
      </w:tr>
      <w:tr w:rsidR="00000000">
        <w:tblPrEx>
          <w:tblCellMar>
            <w:top w:w="0" w:type="dxa"/>
            <w:bottom w:w="0" w:type="dxa"/>
          </w:tblCellMar>
        </w:tblPrEx>
        <w:tc>
          <w:tcPr>
            <w:tcW w:w="1659" w:type="pct"/>
            <w:tcBorders>
              <w:top w:val="nil"/>
            </w:tcBorders>
          </w:tcPr>
          <w:p w:rsidR="00000000" w:rsidRDefault="00000000">
            <w:pPr>
              <w:pStyle w:val="a2"/>
              <w:jc w:val="center"/>
              <w:rPr>
                <w:rFonts w:hint="eastAsia"/>
              </w:rPr>
            </w:pPr>
            <w:r>
              <w:t>2001</w:t>
            </w:r>
            <w:r>
              <w:rPr>
                <w:rFonts w:hint="eastAsia"/>
              </w:rPr>
              <w:t>年</w:t>
            </w:r>
          </w:p>
        </w:tc>
        <w:tc>
          <w:tcPr>
            <w:tcW w:w="1671" w:type="pct"/>
            <w:tcBorders>
              <w:top w:val="nil"/>
            </w:tcBorders>
          </w:tcPr>
          <w:p w:rsidR="00000000" w:rsidRDefault="00000000">
            <w:pPr>
              <w:pStyle w:val="a2"/>
              <w:tabs>
                <w:tab w:val="decimal" w:pos="1498"/>
              </w:tabs>
            </w:pPr>
            <w:r>
              <w:t>90.31</w:t>
            </w:r>
          </w:p>
        </w:tc>
        <w:tc>
          <w:tcPr>
            <w:tcW w:w="1670" w:type="pct"/>
            <w:tcBorders>
              <w:top w:val="nil"/>
            </w:tcBorders>
          </w:tcPr>
          <w:p w:rsidR="00000000" w:rsidRDefault="00000000">
            <w:pPr>
              <w:pStyle w:val="a2"/>
              <w:tabs>
                <w:tab w:val="decimal" w:pos="1498"/>
              </w:tabs>
            </w:pPr>
            <w:r>
              <w:t>87.15</w:t>
            </w:r>
          </w:p>
        </w:tc>
      </w:tr>
    </w:tbl>
    <w:p w:rsidR="00000000" w:rsidRDefault="00000000">
      <w:pPr>
        <w:spacing w:before="120"/>
        <w:rPr>
          <w:rFonts w:eastAsia="KaiTi_GB2312" w:hint="eastAsia"/>
          <w:snapToGrid/>
          <w:spacing w:val="0"/>
        </w:rPr>
      </w:pPr>
      <w:r>
        <w:rPr>
          <w:rFonts w:hint="eastAsia"/>
        </w:rPr>
        <w:tab/>
      </w:r>
      <w:r>
        <w:rPr>
          <w:rFonts w:eastAsia="KaiTi_GB2312" w:hint="eastAsia"/>
          <w:snapToGrid/>
          <w:spacing w:val="0"/>
          <w:u w:val="single"/>
        </w:rPr>
        <w:t>来源</w:t>
      </w:r>
      <w:r>
        <w:rPr>
          <w:rFonts w:eastAsia="KaiTi_GB2312" w:hint="eastAsia"/>
          <w:snapToGrid/>
          <w:spacing w:val="0"/>
        </w:rPr>
        <w:t>：卫生部。</w:t>
      </w:r>
    </w:p>
    <w:p w:rsidR="00000000" w:rsidRDefault="00000000">
      <w:pPr>
        <w:spacing w:before="120"/>
        <w:rPr>
          <w:rFonts w:eastAsia="KaiTi_GB2312" w:hint="eastAsia"/>
          <w:snapToGrid/>
          <w:spacing w:val="0"/>
        </w:rPr>
      </w:pPr>
    </w:p>
    <w:p w:rsidR="00000000" w:rsidRDefault="00000000">
      <w:pPr>
        <w:spacing w:after="320"/>
        <w:jc w:val="center"/>
        <w:rPr>
          <w:rFonts w:hint="eastAsia"/>
        </w:rPr>
      </w:pPr>
      <w:r>
        <w:rPr>
          <w:rFonts w:hint="eastAsia"/>
          <w:u w:val="single"/>
        </w:rPr>
        <w:t>表</w:t>
      </w:r>
      <w:r>
        <w:rPr>
          <w:rFonts w:hint="eastAsia"/>
          <w:u w:val="single"/>
        </w:rPr>
        <w:t>21</w:t>
      </w:r>
      <w:r>
        <w:rPr>
          <w:rFonts w:hint="eastAsia"/>
        </w:rPr>
        <w:t xml:space="preserve">.  </w:t>
      </w:r>
      <w:r>
        <w:rPr>
          <w:rFonts w:hint="eastAsia"/>
          <w:u w:val="single"/>
        </w:rPr>
        <w:t>1996-2001</w:t>
      </w:r>
      <w:r>
        <w:rPr>
          <w:rFonts w:hint="eastAsia"/>
          <w:u w:val="single"/>
        </w:rPr>
        <w:t>年孕产妇死亡率</w:t>
      </w:r>
      <w:r>
        <w:rPr>
          <w:rFonts w:hint="eastAsia"/>
          <w:u w:val="single"/>
        </w:rPr>
        <w:t>(</w:t>
      </w:r>
      <w:r>
        <w:rPr>
          <w:rFonts w:hint="eastAsia"/>
          <w:u w:val="single"/>
        </w:rPr>
        <w:t>全国、城市、农村</w:t>
      </w:r>
      <w:r>
        <w:rPr>
          <w:rFonts w:hint="eastAsia"/>
          <w:u w:val="single"/>
        </w:rPr>
        <w:t>)</w:t>
      </w:r>
      <w:r>
        <w:rPr>
          <w:rFonts w:hint="eastAsia"/>
          <w:u w:val="single"/>
        </w:rPr>
        <w:t>、每年的</w:t>
      </w:r>
      <w:r>
        <w:rPr>
          <w:u w:val="single"/>
        </w:rPr>
        <w:br/>
      </w:r>
      <w:r>
        <w:rPr>
          <w:rFonts w:hint="eastAsia"/>
        </w:rPr>
        <w:t xml:space="preserve">  </w:t>
      </w:r>
      <w:r>
        <w:rPr>
          <w:rFonts w:hint="eastAsia"/>
          <w:u w:val="single"/>
        </w:rPr>
        <w:t>产前和产后死亡占当年全国孕产妇死亡的构成比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78"/>
        <w:gridCol w:w="1566"/>
        <w:gridCol w:w="1566"/>
        <w:gridCol w:w="1566"/>
        <w:gridCol w:w="1567"/>
        <w:gridCol w:w="1567"/>
      </w:tblGrid>
      <w:tr w:rsidR="00000000">
        <w:tblPrEx>
          <w:tblCellMar>
            <w:top w:w="0" w:type="dxa"/>
            <w:bottom w:w="0" w:type="dxa"/>
          </w:tblCellMar>
        </w:tblPrEx>
        <w:trPr>
          <w:cantSplit/>
        </w:trPr>
        <w:tc>
          <w:tcPr>
            <w:tcW w:w="1578" w:type="dxa"/>
            <w:vMerge w:val="restart"/>
            <w:vAlign w:val="center"/>
          </w:tcPr>
          <w:p w:rsidR="00000000" w:rsidRDefault="00000000">
            <w:pPr>
              <w:pStyle w:val="a2"/>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4698" w:type="dxa"/>
            <w:gridSpan w:val="3"/>
          </w:tcPr>
          <w:p w:rsidR="00000000" w:rsidRDefault="00000000">
            <w:pPr>
              <w:pStyle w:val="a2"/>
              <w:jc w:val="center"/>
              <w:rPr>
                <w:rFonts w:ascii="Time New Roman" w:eastAsia="SimHei" w:hAnsi="Time New Roman"/>
              </w:rPr>
            </w:pPr>
            <w:r>
              <w:rPr>
                <w:rFonts w:ascii="Time New Roman" w:eastAsia="SimHei" w:hAnsi="Time New Roman" w:hint="eastAsia"/>
              </w:rPr>
              <w:t>孕产妇死亡率</w:t>
            </w:r>
            <w:r>
              <w:rPr>
                <w:rFonts w:ascii="Time New Roman" w:eastAsia="SimHei" w:hAnsi="Time New Roman" w:hint="eastAsia"/>
              </w:rPr>
              <w:t>(</w:t>
            </w:r>
            <w:r>
              <w:rPr>
                <w:rFonts w:ascii="Time New Roman" w:eastAsia="SimHei" w:hAnsi="Time New Roman" w:hint="eastAsia"/>
                <w:b/>
              </w:rPr>
              <w:t>1</w:t>
            </w:r>
            <w:r>
              <w:rPr>
                <w:rFonts w:ascii="Time New Roman" w:eastAsia="SimHei" w:hAnsi="Time New Roman" w:hint="eastAsia"/>
              </w:rPr>
              <w:t>/</w:t>
            </w:r>
            <w:r>
              <w:rPr>
                <w:rFonts w:ascii="Time New Roman" w:eastAsia="SimHei" w:hAnsi="Time New Roman" w:hint="eastAsia"/>
                <w:b/>
              </w:rPr>
              <w:t>10</w:t>
            </w:r>
            <w:r>
              <w:rPr>
                <w:rFonts w:ascii="Time New Roman" w:eastAsia="SimHei" w:hAnsi="Time New Roman" w:hint="eastAsia"/>
              </w:rPr>
              <w:t>万</w:t>
            </w:r>
            <w:r>
              <w:rPr>
                <w:rFonts w:ascii="Time New Roman" w:eastAsia="SimHei" w:hAnsi="Time New Roman" w:hint="eastAsia"/>
              </w:rPr>
              <w:t>)</w:t>
            </w:r>
          </w:p>
        </w:tc>
        <w:tc>
          <w:tcPr>
            <w:tcW w:w="3134" w:type="dxa"/>
            <w:gridSpan w:val="2"/>
          </w:tcPr>
          <w:p w:rsidR="00000000" w:rsidRDefault="00000000">
            <w:pPr>
              <w:pStyle w:val="a2"/>
              <w:jc w:val="center"/>
              <w:rPr>
                <w:rFonts w:ascii="Time New Roman" w:eastAsia="SimHei" w:hAnsi="Time New Roman" w:hint="eastAsia"/>
              </w:rPr>
            </w:pPr>
            <w:r>
              <w:rPr>
                <w:rFonts w:ascii="Time New Roman" w:eastAsia="SimHei" w:hAnsi="Time New Roman" w:hint="eastAsia"/>
              </w:rPr>
              <w:t>构成比</w:t>
            </w:r>
            <w:r>
              <w:rPr>
                <w:rFonts w:ascii="Time New Roman" w:eastAsia="SimHei" w:hAnsi="Time New Roman" w:hint="eastAsia"/>
              </w:rPr>
              <w:t>(%)</w:t>
            </w:r>
          </w:p>
        </w:tc>
      </w:tr>
      <w:tr w:rsidR="00000000">
        <w:tblPrEx>
          <w:tblCellMar>
            <w:top w:w="0" w:type="dxa"/>
            <w:bottom w:w="0" w:type="dxa"/>
          </w:tblCellMar>
        </w:tblPrEx>
        <w:trPr>
          <w:cantSplit/>
        </w:trPr>
        <w:tc>
          <w:tcPr>
            <w:tcW w:w="1578" w:type="dxa"/>
            <w:vMerge/>
            <w:tcBorders>
              <w:bottom w:val="single" w:sz="4" w:space="0" w:color="auto"/>
            </w:tcBorders>
          </w:tcPr>
          <w:p w:rsidR="00000000" w:rsidRDefault="00000000">
            <w:pPr>
              <w:pStyle w:val="a2"/>
              <w:jc w:val="center"/>
              <w:rPr>
                <w:rFonts w:ascii="Time New Roman" w:eastAsia="SimHei" w:hAnsi="Time New Roman" w:hint="eastAsia"/>
              </w:rPr>
            </w:pPr>
          </w:p>
        </w:tc>
        <w:tc>
          <w:tcPr>
            <w:tcW w:w="1566"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全</w:t>
            </w:r>
            <w:r>
              <w:rPr>
                <w:rFonts w:ascii="Time New Roman" w:eastAsia="SimHei" w:hAnsi="Time New Roman" w:hint="eastAsia"/>
              </w:rPr>
              <w:t xml:space="preserve">  </w:t>
            </w:r>
            <w:r>
              <w:rPr>
                <w:rFonts w:ascii="Time New Roman" w:eastAsia="SimHei" w:hAnsi="Time New Roman" w:hint="eastAsia"/>
              </w:rPr>
              <w:t>国</w:t>
            </w:r>
          </w:p>
        </w:tc>
        <w:tc>
          <w:tcPr>
            <w:tcW w:w="1566"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城</w:t>
            </w:r>
            <w:r>
              <w:rPr>
                <w:rFonts w:ascii="Time New Roman" w:eastAsia="SimHei" w:hAnsi="Time New Roman" w:hint="eastAsia"/>
              </w:rPr>
              <w:t xml:space="preserve">  </w:t>
            </w:r>
            <w:r>
              <w:rPr>
                <w:rFonts w:ascii="Time New Roman" w:eastAsia="SimHei" w:hAnsi="Time New Roman" w:hint="eastAsia"/>
              </w:rPr>
              <w:t>市</w:t>
            </w:r>
          </w:p>
        </w:tc>
        <w:tc>
          <w:tcPr>
            <w:tcW w:w="1566"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农</w:t>
            </w:r>
            <w:r>
              <w:rPr>
                <w:rFonts w:ascii="Time New Roman" w:eastAsia="SimHei" w:hAnsi="Time New Roman" w:hint="eastAsia"/>
              </w:rPr>
              <w:t xml:space="preserve">  </w:t>
            </w:r>
            <w:r>
              <w:rPr>
                <w:rFonts w:ascii="Time New Roman" w:eastAsia="SimHei" w:hAnsi="Time New Roman" w:hint="eastAsia"/>
              </w:rPr>
              <w:t>村</w:t>
            </w:r>
          </w:p>
        </w:tc>
        <w:tc>
          <w:tcPr>
            <w:tcW w:w="1567"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产</w:t>
            </w:r>
            <w:r>
              <w:rPr>
                <w:rFonts w:ascii="Time New Roman" w:eastAsia="SimHei" w:hAnsi="Time New Roman" w:hint="eastAsia"/>
              </w:rPr>
              <w:t xml:space="preserve">  </w:t>
            </w:r>
            <w:r>
              <w:rPr>
                <w:rFonts w:ascii="Time New Roman" w:eastAsia="SimHei" w:hAnsi="Time New Roman" w:hint="eastAsia"/>
              </w:rPr>
              <w:t>前</w:t>
            </w:r>
          </w:p>
        </w:tc>
        <w:tc>
          <w:tcPr>
            <w:tcW w:w="1567"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产</w:t>
            </w:r>
            <w:r>
              <w:rPr>
                <w:rFonts w:ascii="Time New Roman" w:eastAsia="SimHei" w:hAnsi="Time New Roman" w:hint="eastAsia"/>
              </w:rPr>
              <w:t xml:space="preserve">  </w:t>
            </w:r>
            <w:r>
              <w:rPr>
                <w:rFonts w:ascii="Time New Roman" w:eastAsia="SimHei" w:hAnsi="Time New Roman" w:hint="eastAsia"/>
              </w:rPr>
              <w:t>后</w:t>
            </w:r>
          </w:p>
        </w:tc>
      </w:tr>
      <w:tr w:rsidR="00000000">
        <w:tblPrEx>
          <w:tblCellMar>
            <w:top w:w="0" w:type="dxa"/>
            <w:bottom w:w="0" w:type="dxa"/>
          </w:tblCellMar>
        </w:tblPrEx>
        <w:tc>
          <w:tcPr>
            <w:tcW w:w="1578" w:type="dxa"/>
            <w:tcBorders>
              <w:bottom w:val="nil"/>
            </w:tcBorders>
          </w:tcPr>
          <w:p w:rsidR="00000000" w:rsidRDefault="00000000">
            <w:pPr>
              <w:pStyle w:val="a2"/>
              <w:jc w:val="center"/>
            </w:pPr>
            <w:r>
              <w:t>1996</w:t>
            </w:r>
            <w:r>
              <w:t>年</w:t>
            </w:r>
          </w:p>
        </w:tc>
        <w:tc>
          <w:tcPr>
            <w:tcW w:w="1566" w:type="dxa"/>
            <w:tcBorders>
              <w:bottom w:val="nil"/>
            </w:tcBorders>
          </w:tcPr>
          <w:p w:rsidR="00000000" w:rsidRDefault="00000000">
            <w:pPr>
              <w:pStyle w:val="a2"/>
              <w:tabs>
                <w:tab w:val="decimal" w:pos="732"/>
              </w:tabs>
            </w:pPr>
            <w:r>
              <w:t>63.9</w:t>
            </w:r>
          </w:p>
        </w:tc>
        <w:tc>
          <w:tcPr>
            <w:tcW w:w="1566" w:type="dxa"/>
            <w:tcBorders>
              <w:bottom w:val="nil"/>
            </w:tcBorders>
          </w:tcPr>
          <w:p w:rsidR="00000000" w:rsidRDefault="00000000">
            <w:pPr>
              <w:pStyle w:val="a2"/>
              <w:tabs>
                <w:tab w:val="decimal" w:pos="732"/>
              </w:tabs>
            </w:pPr>
            <w:r>
              <w:t>29.2</w:t>
            </w:r>
          </w:p>
        </w:tc>
        <w:tc>
          <w:tcPr>
            <w:tcW w:w="1566" w:type="dxa"/>
            <w:tcBorders>
              <w:bottom w:val="nil"/>
            </w:tcBorders>
          </w:tcPr>
          <w:p w:rsidR="00000000" w:rsidRDefault="00000000">
            <w:pPr>
              <w:pStyle w:val="a2"/>
              <w:tabs>
                <w:tab w:val="decimal" w:pos="732"/>
              </w:tabs>
            </w:pPr>
            <w:r>
              <w:t>86.4</w:t>
            </w:r>
          </w:p>
        </w:tc>
        <w:tc>
          <w:tcPr>
            <w:tcW w:w="1567" w:type="dxa"/>
            <w:tcBorders>
              <w:bottom w:val="nil"/>
            </w:tcBorders>
          </w:tcPr>
          <w:p w:rsidR="00000000" w:rsidRDefault="00000000">
            <w:pPr>
              <w:pStyle w:val="a2"/>
              <w:tabs>
                <w:tab w:val="decimal" w:pos="732"/>
              </w:tabs>
            </w:pPr>
            <w:r>
              <w:t>20.0</w:t>
            </w:r>
          </w:p>
        </w:tc>
        <w:tc>
          <w:tcPr>
            <w:tcW w:w="1567" w:type="dxa"/>
            <w:tcBorders>
              <w:bottom w:val="nil"/>
            </w:tcBorders>
          </w:tcPr>
          <w:p w:rsidR="00000000" w:rsidRDefault="00000000">
            <w:pPr>
              <w:pStyle w:val="a2"/>
              <w:tabs>
                <w:tab w:val="decimal" w:pos="732"/>
              </w:tabs>
            </w:pPr>
            <w:r>
              <w:t>80.0</w:t>
            </w:r>
          </w:p>
        </w:tc>
      </w:tr>
      <w:tr w:rsidR="00000000">
        <w:tblPrEx>
          <w:tblCellMar>
            <w:top w:w="0" w:type="dxa"/>
            <w:bottom w:w="0" w:type="dxa"/>
          </w:tblCellMar>
        </w:tblPrEx>
        <w:tc>
          <w:tcPr>
            <w:tcW w:w="1578" w:type="dxa"/>
            <w:tcBorders>
              <w:top w:val="nil"/>
              <w:bottom w:val="nil"/>
            </w:tcBorders>
          </w:tcPr>
          <w:p w:rsidR="00000000" w:rsidRDefault="00000000">
            <w:pPr>
              <w:pStyle w:val="a2"/>
              <w:jc w:val="center"/>
              <w:rPr>
                <w:szCs w:val="30"/>
              </w:rPr>
            </w:pPr>
            <w:r>
              <w:rPr>
                <w:szCs w:val="30"/>
              </w:rPr>
              <w:t>1997</w:t>
            </w:r>
            <w:r>
              <w:rPr>
                <w:szCs w:val="30"/>
              </w:rPr>
              <w:t>年</w:t>
            </w:r>
          </w:p>
        </w:tc>
        <w:tc>
          <w:tcPr>
            <w:tcW w:w="1566" w:type="dxa"/>
            <w:tcBorders>
              <w:top w:val="nil"/>
              <w:bottom w:val="nil"/>
            </w:tcBorders>
          </w:tcPr>
          <w:p w:rsidR="00000000" w:rsidRDefault="00000000">
            <w:pPr>
              <w:pStyle w:val="a2"/>
              <w:tabs>
                <w:tab w:val="decimal" w:pos="732"/>
              </w:tabs>
            </w:pPr>
            <w:r>
              <w:t>63.6</w:t>
            </w:r>
          </w:p>
        </w:tc>
        <w:tc>
          <w:tcPr>
            <w:tcW w:w="1566" w:type="dxa"/>
            <w:tcBorders>
              <w:top w:val="nil"/>
              <w:bottom w:val="nil"/>
            </w:tcBorders>
          </w:tcPr>
          <w:p w:rsidR="00000000" w:rsidRDefault="00000000">
            <w:pPr>
              <w:pStyle w:val="a2"/>
              <w:tabs>
                <w:tab w:val="decimal" w:pos="732"/>
              </w:tabs>
            </w:pPr>
            <w:r>
              <w:t>38.3</w:t>
            </w:r>
          </w:p>
        </w:tc>
        <w:tc>
          <w:tcPr>
            <w:tcW w:w="1566" w:type="dxa"/>
            <w:tcBorders>
              <w:top w:val="nil"/>
              <w:bottom w:val="nil"/>
            </w:tcBorders>
          </w:tcPr>
          <w:p w:rsidR="00000000" w:rsidRDefault="00000000">
            <w:pPr>
              <w:pStyle w:val="a2"/>
              <w:tabs>
                <w:tab w:val="decimal" w:pos="732"/>
              </w:tabs>
            </w:pPr>
            <w:r>
              <w:t>80.4</w:t>
            </w:r>
          </w:p>
        </w:tc>
        <w:tc>
          <w:tcPr>
            <w:tcW w:w="1567" w:type="dxa"/>
            <w:tcBorders>
              <w:top w:val="nil"/>
              <w:bottom w:val="nil"/>
            </w:tcBorders>
          </w:tcPr>
          <w:p w:rsidR="00000000" w:rsidRDefault="00000000">
            <w:pPr>
              <w:pStyle w:val="a2"/>
              <w:tabs>
                <w:tab w:val="decimal" w:pos="732"/>
              </w:tabs>
            </w:pPr>
            <w:r>
              <w:t>22.6</w:t>
            </w:r>
          </w:p>
        </w:tc>
        <w:tc>
          <w:tcPr>
            <w:tcW w:w="1567" w:type="dxa"/>
            <w:tcBorders>
              <w:top w:val="nil"/>
              <w:bottom w:val="nil"/>
            </w:tcBorders>
          </w:tcPr>
          <w:p w:rsidR="00000000" w:rsidRDefault="00000000">
            <w:pPr>
              <w:pStyle w:val="a2"/>
              <w:tabs>
                <w:tab w:val="decimal" w:pos="732"/>
              </w:tabs>
            </w:pPr>
            <w:r>
              <w:t>77.4</w:t>
            </w:r>
          </w:p>
        </w:tc>
      </w:tr>
      <w:tr w:rsidR="00000000">
        <w:tblPrEx>
          <w:tblCellMar>
            <w:top w:w="0" w:type="dxa"/>
            <w:bottom w:w="0" w:type="dxa"/>
          </w:tblCellMar>
        </w:tblPrEx>
        <w:tc>
          <w:tcPr>
            <w:tcW w:w="1578" w:type="dxa"/>
            <w:tcBorders>
              <w:top w:val="nil"/>
              <w:bottom w:val="nil"/>
            </w:tcBorders>
          </w:tcPr>
          <w:p w:rsidR="00000000" w:rsidRDefault="00000000">
            <w:pPr>
              <w:pStyle w:val="a2"/>
              <w:jc w:val="center"/>
              <w:rPr>
                <w:szCs w:val="30"/>
              </w:rPr>
            </w:pPr>
            <w:r>
              <w:rPr>
                <w:szCs w:val="30"/>
              </w:rPr>
              <w:t>1998</w:t>
            </w:r>
            <w:r>
              <w:rPr>
                <w:szCs w:val="30"/>
              </w:rPr>
              <w:t>年</w:t>
            </w:r>
          </w:p>
        </w:tc>
        <w:tc>
          <w:tcPr>
            <w:tcW w:w="1566" w:type="dxa"/>
            <w:tcBorders>
              <w:top w:val="nil"/>
              <w:bottom w:val="nil"/>
            </w:tcBorders>
          </w:tcPr>
          <w:p w:rsidR="00000000" w:rsidRDefault="00000000">
            <w:pPr>
              <w:pStyle w:val="a2"/>
              <w:tabs>
                <w:tab w:val="decimal" w:pos="732"/>
              </w:tabs>
            </w:pPr>
            <w:r>
              <w:t>56.2</w:t>
            </w:r>
          </w:p>
        </w:tc>
        <w:tc>
          <w:tcPr>
            <w:tcW w:w="1566" w:type="dxa"/>
            <w:tcBorders>
              <w:top w:val="nil"/>
              <w:bottom w:val="nil"/>
            </w:tcBorders>
          </w:tcPr>
          <w:p w:rsidR="00000000" w:rsidRDefault="00000000">
            <w:pPr>
              <w:pStyle w:val="a2"/>
              <w:tabs>
                <w:tab w:val="decimal" w:pos="732"/>
              </w:tabs>
            </w:pPr>
            <w:r>
              <w:t>28.1</w:t>
            </w:r>
          </w:p>
        </w:tc>
        <w:tc>
          <w:tcPr>
            <w:tcW w:w="1566" w:type="dxa"/>
            <w:tcBorders>
              <w:top w:val="nil"/>
              <w:bottom w:val="nil"/>
            </w:tcBorders>
          </w:tcPr>
          <w:p w:rsidR="00000000" w:rsidRDefault="00000000">
            <w:pPr>
              <w:pStyle w:val="a2"/>
              <w:tabs>
                <w:tab w:val="decimal" w:pos="732"/>
              </w:tabs>
            </w:pPr>
            <w:r>
              <w:t>75.5</w:t>
            </w:r>
          </w:p>
        </w:tc>
        <w:tc>
          <w:tcPr>
            <w:tcW w:w="1567" w:type="dxa"/>
            <w:tcBorders>
              <w:top w:val="nil"/>
              <w:bottom w:val="nil"/>
            </w:tcBorders>
          </w:tcPr>
          <w:p w:rsidR="00000000" w:rsidRDefault="00000000">
            <w:pPr>
              <w:pStyle w:val="a2"/>
              <w:tabs>
                <w:tab w:val="decimal" w:pos="732"/>
              </w:tabs>
            </w:pPr>
            <w:r>
              <w:t>24.9</w:t>
            </w:r>
          </w:p>
        </w:tc>
        <w:tc>
          <w:tcPr>
            <w:tcW w:w="1567" w:type="dxa"/>
            <w:tcBorders>
              <w:top w:val="nil"/>
              <w:bottom w:val="nil"/>
            </w:tcBorders>
          </w:tcPr>
          <w:p w:rsidR="00000000" w:rsidRDefault="00000000">
            <w:pPr>
              <w:pStyle w:val="a2"/>
              <w:tabs>
                <w:tab w:val="decimal" w:pos="732"/>
              </w:tabs>
            </w:pPr>
            <w:r>
              <w:t>75.1</w:t>
            </w:r>
          </w:p>
        </w:tc>
      </w:tr>
      <w:tr w:rsidR="00000000">
        <w:tblPrEx>
          <w:tblCellMar>
            <w:top w:w="0" w:type="dxa"/>
            <w:bottom w:w="0" w:type="dxa"/>
          </w:tblCellMar>
        </w:tblPrEx>
        <w:tc>
          <w:tcPr>
            <w:tcW w:w="1578" w:type="dxa"/>
            <w:tcBorders>
              <w:top w:val="nil"/>
              <w:bottom w:val="nil"/>
            </w:tcBorders>
          </w:tcPr>
          <w:p w:rsidR="00000000" w:rsidRDefault="00000000">
            <w:pPr>
              <w:pStyle w:val="a2"/>
              <w:jc w:val="center"/>
              <w:rPr>
                <w:szCs w:val="30"/>
              </w:rPr>
            </w:pPr>
            <w:r>
              <w:rPr>
                <w:szCs w:val="30"/>
              </w:rPr>
              <w:t>1999</w:t>
            </w:r>
            <w:r>
              <w:rPr>
                <w:szCs w:val="30"/>
              </w:rPr>
              <w:t>年</w:t>
            </w:r>
          </w:p>
        </w:tc>
        <w:tc>
          <w:tcPr>
            <w:tcW w:w="1566" w:type="dxa"/>
            <w:tcBorders>
              <w:top w:val="nil"/>
              <w:bottom w:val="nil"/>
            </w:tcBorders>
          </w:tcPr>
          <w:p w:rsidR="00000000" w:rsidRDefault="00000000">
            <w:pPr>
              <w:pStyle w:val="a2"/>
              <w:tabs>
                <w:tab w:val="decimal" w:pos="732"/>
              </w:tabs>
            </w:pPr>
            <w:r>
              <w:t>58.7</w:t>
            </w:r>
          </w:p>
        </w:tc>
        <w:tc>
          <w:tcPr>
            <w:tcW w:w="1566" w:type="dxa"/>
            <w:tcBorders>
              <w:top w:val="nil"/>
              <w:bottom w:val="nil"/>
            </w:tcBorders>
          </w:tcPr>
          <w:p w:rsidR="00000000" w:rsidRDefault="00000000">
            <w:pPr>
              <w:pStyle w:val="a2"/>
              <w:tabs>
                <w:tab w:val="decimal" w:pos="732"/>
              </w:tabs>
            </w:pPr>
            <w:r>
              <w:t>26.2</w:t>
            </w:r>
          </w:p>
        </w:tc>
        <w:tc>
          <w:tcPr>
            <w:tcW w:w="1566" w:type="dxa"/>
            <w:tcBorders>
              <w:top w:val="nil"/>
              <w:bottom w:val="nil"/>
            </w:tcBorders>
          </w:tcPr>
          <w:p w:rsidR="00000000" w:rsidRDefault="00000000">
            <w:pPr>
              <w:pStyle w:val="a2"/>
              <w:tabs>
                <w:tab w:val="decimal" w:pos="732"/>
              </w:tabs>
            </w:pPr>
            <w:r>
              <w:t>79.7</w:t>
            </w:r>
          </w:p>
        </w:tc>
        <w:tc>
          <w:tcPr>
            <w:tcW w:w="1567" w:type="dxa"/>
            <w:tcBorders>
              <w:top w:val="nil"/>
              <w:bottom w:val="nil"/>
            </w:tcBorders>
          </w:tcPr>
          <w:p w:rsidR="00000000" w:rsidRDefault="00000000">
            <w:pPr>
              <w:pStyle w:val="a2"/>
              <w:tabs>
                <w:tab w:val="decimal" w:pos="732"/>
              </w:tabs>
            </w:pPr>
            <w:r>
              <w:t>22.7</w:t>
            </w:r>
          </w:p>
        </w:tc>
        <w:tc>
          <w:tcPr>
            <w:tcW w:w="1567" w:type="dxa"/>
            <w:tcBorders>
              <w:top w:val="nil"/>
              <w:bottom w:val="nil"/>
            </w:tcBorders>
          </w:tcPr>
          <w:p w:rsidR="00000000" w:rsidRDefault="00000000">
            <w:pPr>
              <w:pStyle w:val="a2"/>
              <w:tabs>
                <w:tab w:val="decimal" w:pos="732"/>
              </w:tabs>
            </w:pPr>
            <w:r>
              <w:t>77.3</w:t>
            </w:r>
          </w:p>
        </w:tc>
      </w:tr>
      <w:tr w:rsidR="00000000">
        <w:tblPrEx>
          <w:tblCellMar>
            <w:top w:w="0" w:type="dxa"/>
            <w:bottom w:w="0" w:type="dxa"/>
          </w:tblCellMar>
        </w:tblPrEx>
        <w:tc>
          <w:tcPr>
            <w:tcW w:w="1578" w:type="dxa"/>
            <w:tcBorders>
              <w:top w:val="nil"/>
              <w:bottom w:val="nil"/>
            </w:tcBorders>
          </w:tcPr>
          <w:p w:rsidR="00000000" w:rsidRDefault="00000000">
            <w:pPr>
              <w:pStyle w:val="a2"/>
              <w:jc w:val="center"/>
              <w:rPr>
                <w:szCs w:val="30"/>
              </w:rPr>
            </w:pPr>
            <w:r>
              <w:rPr>
                <w:szCs w:val="30"/>
              </w:rPr>
              <w:t>2000</w:t>
            </w:r>
            <w:r>
              <w:rPr>
                <w:szCs w:val="30"/>
              </w:rPr>
              <w:t>年</w:t>
            </w:r>
          </w:p>
        </w:tc>
        <w:tc>
          <w:tcPr>
            <w:tcW w:w="1566" w:type="dxa"/>
            <w:tcBorders>
              <w:top w:val="nil"/>
              <w:bottom w:val="nil"/>
            </w:tcBorders>
          </w:tcPr>
          <w:p w:rsidR="00000000" w:rsidRDefault="00000000">
            <w:pPr>
              <w:pStyle w:val="a2"/>
              <w:tabs>
                <w:tab w:val="decimal" w:pos="732"/>
              </w:tabs>
            </w:pPr>
            <w:r>
              <w:t>53.0</w:t>
            </w:r>
          </w:p>
        </w:tc>
        <w:tc>
          <w:tcPr>
            <w:tcW w:w="1566" w:type="dxa"/>
            <w:tcBorders>
              <w:top w:val="nil"/>
              <w:bottom w:val="nil"/>
            </w:tcBorders>
          </w:tcPr>
          <w:p w:rsidR="00000000" w:rsidRDefault="00000000">
            <w:pPr>
              <w:pStyle w:val="a2"/>
              <w:tabs>
                <w:tab w:val="decimal" w:pos="732"/>
              </w:tabs>
            </w:pPr>
            <w:r>
              <w:t>28.9</w:t>
            </w:r>
          </w:p>
        </w:tc>
        <w:tc>
          <w:tcPr>
            <w:tcW w:w="1566" w:type="dxa"/>
            <w:tcBorders>
              <w:top w:val="nil"/>
              <w:bottom w:val="nil"/>
            </w:tcBorders>
          </w:tcPr>
          <w:p w:rsidR="00000000" w:rsidRDefault="00000000">
            <w:pPr>
              <w:pStyle w:val="a2"/>
              <w:tabs>
                <w:tab w:val="decimal" w:pos="732"/>
              </w:tabs>
            </w:pPr>
            <w:r>
              <w:t>67.2</w:t>
            </w:r>
          </w:p>
        </w:tc>
        <w:tc>
          <w:tcPr>
            <w:tcW w:w="1567" w:type="dxa"/>
            <w:tcBorders>
              <w:top w:val="nil"/>
              <w:bottom w:val="nil"/>
            </w:tcBorders>
          </w:tcPr>
          <w:p w:rsidR="00000000" w:rsidRDefault="00000000">
            <w:pPr>
              <w:pStyle w:val="a2"/>
              <w:tabs>
                <w:tab w:val="decimal" w:pos="732"/>
              </w:tabs>
            </w:pPr>
            <w:r>
              <w:t>22.0</w:t>
            </w:r>
          </w:p>
        </w:tc>
        <w:tc>
          <w:tcPr>
            <w:tcW w:w="1567" w:type="dxa"/>
            <w:tcBorders>
              <w:top w:val="nil"/>
              <w:bottom w:val="nil"/>
            </w:tcBorders>
          </w:tcPr>
          <w:p w:rsidR="00000000" w:rsidRDefault="00000000">
            <w:pPr>
              <w:pStyle w:val="a2"/>
              <w:tabs>
                <w:tab w:val="decimal" w:pos="732"/>
              </w:tabs>
            </w:pPr>
            <w:r>
              <w:t>78.0</w:t>
            </w:r>
          </w:p>
        </w:tc>
      </w:tr>
      <w:tr w:rsidR="00000000">
        <w:tblPrEx>
          <w:tblCellMar>
            <w:top w:w="0" w:type="dxa"/>
            <w:bottom w:w="0" w:type="dxa"/>
          </w:tblCellMar>
        </w:tblPrEx>
        <w:tc>
          <w:tcPr>
            <w:tcW w:w="1578" w:type="dxa"/>
            <w:tcBorders>
              <w:top w:val="nil"/>
            </w:tcBorders>
          </w:tcPr>
          <w:p w:rsidR="00000000" w:rsidRDefault="00000000">
            <w:pPr>
              <w:pStyle w:val="a2"/>
              <w:jc w:val="center"/>
              <w:rPr>
                <w:szCs w:val="30"/>
              </w:rPr>
            </w:pPr>
            <w:r>
              <w:rPr>
                <w:szCs w:val="30"/>
              </w:rPr>
              <w:t>2001</w:t>
            </w:r>
            <w:r>
              <w:rPr>
                <w:szCs w:val="30"/>
              </w:rPr>
              <w:t>年</w:t>
            </w:r>
          </w:p>
        </w:tc>
        <w:tc>
          <w:tcPr>
            <w:tcW w:w="1566" w:type="dxa"/>
            <w:tcBorders>
              <w:top w:val="nil"/>
            </w:tcBorders>
          </w:tcPr>
          <w:p w:rsidR="00000000" w:rsidRDefault="00000000">
            <w:pPr>
              <w:pStyle w:val="a2"/>
              <w:tabs>
                <w:tab w:val="decimal" w:pos="732"/>
              </w:tabs>
            </w:pPr>
            <w:r>
              <w:t>50.2</w:t>
            </w:r>
          </w:p>
        </w:tc>
        <w:tc>
          <w:tcPr>
            <w:tcW w:w="1566" w:type="dxa"/>
            <w:tcBorders>
              <w:top w:val="nil"/>
            </w:tcBorders>
          </w:tcPr>
          <w:p w:rsidR="00000000" w:rsidRDefault="00000000">
            <w:pPr>
              <w:pStyle w:val="a2"/>
              <w:tabs>
                <w:tab w:val="decimal" w:pos="732"/>
              </w:tabs>
            </w:pPr>
            <w:r>
              <w:t>33.1</w:t>
            </w:r>
          </w:p>
        </w:tc>
        <w:tc>
          <w:tcPr>
            <w:tcW w:w="1566" w:type="dxa"/>
            <w:tcBorders>
              <w:top w:val="nil"/>
            </w:tcBorders>
          </w:tcPr>
          <w:p w:rsidR="00000000" w:rsidRDefault="00000000">
            <w:pPr>
              <w:pStyle w:val="a2"/>
              <w:tabs>
                <w:tab w:val="decimal" w:pos="732"/>
              </w:tabs>
            </w:pPr>
            <w:r>
              <w:t>61.9</w:t>
            </w:r>
          </w:p>
        </w:tc>
        <w:tc>
          <w:tcPr>
            <w:tcW w:w="1567" w:type="dxa"/>
            <w:tcBorders>
              <w:top w:val="nil"/>
            </w:tcBorders>
          </w:tcPr>
          <w:p w:rsidR="00000000" w:rsidRDefault="00000000">
            <w:pPr>
              <w:pStyle w:val="a2"/>
              <w:tabs>
                <w:tab w:val="decimal" w:pos="732"/>
              </w:tabs>
            </w:pPr>
            <w:r>
              <w:t>19.2</w:t>
            </w:r>
          </w:p>
        </w:tc>
        <w:tc>
          <w:tcPr>
            <w:tcW w:w="1567" w:type="dxa"/>
            <w:tcBorders>
              <w:top w:val="nil"/>
            </w:tcBorders>
          </w:tcPr>
          <w:p w:rsidR="00000000" w:rsidRDefault="00000000">
            <w:pPr>
              <w:pStyle w:val="a2"/>
              <w:tabs>
                <w:tab w:val="decimal" w:pos="732"/>
              </w:tabs>
            </w:pPr>
            <w:r>
              <w:t>80.8</w:t>
            </w:r>
          </w:p>
        </w:tc>
      </w:tr>
    </w:tbl>
    <w:p w:rsidR="00000000" w:rsidRDefault="00000000">
      <w:pPr>
        <w:pStyle w:val="a2"/>
        <w:spacing w:before="120"/>
        <w:rPr>
          <w:rFonts w:eastAsia="KaiTi_GB2312" w:hint="eastAsia"/>
          <w:snapToGrid/>
          <w:sz w:val="24"/>
        </w:rPr>
      </w:pPr>
      <w:r>
        <w:rPr>
          <w:rFonts w:eastAsia="KaiTi_GB2312" w:hint="eastAsia"/>
          <w:snapToGrid/>
        </w:rPr>
        <w:tab/>
      </w:r>
      <w:r>
        <w:rPr>
          <w:rFonts w:eastAsia="KaiTi_GB2312" w:hint="eastAsia"/>
          <w:snapToGrid/>
          <w:sz w:val="24"/>
          <w:u w:val="single"/>
        </w:rPr>
        <w:t>来源</w:t>
      </w:r>
      <w:r>
        <w:rPr>
          <w:rFonts w:eastAsia="KaiTi_GB2312" w:hint="eastAsia"/>
          <w:snapToGrid/>
          <w:sz w:val="24"/>
        </w:rPr>
        <w:t>：卫生部。</w:t>
      </w:r>
    </w:p>
    <w:p w:rsidR="00000000" w:rsidRDefault="00000000">
      <w:pPr>
        <w:spacing w:after="240"/>
        <w:rPr>
          <w:rFonts w:hint="eastAsia"/>
        </w:rPr>
      </w:pPr>
    </w:p>
    <w:p w:rsidR="00000000" w:rsidRDefault="00000000">
      <w:pPr>
        <w:spacing w:after="320"/>
        <w:jc w:val="center"/>
        <w:rPr>
          <w:rFonts w:hint="eastAsia"/>
        </w:rPr>
      </w:pPr>
      <w:r>
        <w:rPr>
          <w:rFonts w:hint="eastAsia"/>
          <w:u w:val="single"/>
        </w:rPr>
        <w:t>表</w:t>
      </w:r>
      <w:r>
        <w:rPr>
          <w:rFonts w:hint="eastAsia"/>
          <w:u w:val="single"/>
        </w:rPr>
        <w:t>22</w:t>
      </w:r>
      <w:r>
        <w:rPr>
          <w:rFonts w:hint="eastAsia"/>
        </w:rPr>
        <w:t xml:space="preserve">.  </w:t>
      </w:r>
      <w:r>
        <w:rPr>
          <w:rFonts w:hint="eastAsia"/>
          <w:u w:val="single"/>
        </w:rPr>
        <w:t>全国妇幼卫生机构、床位、人员数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630"/>
        <w:gridCol w:w="884"/>
        <w:gridCol w:w="884"/>
        <w:gridCol w:w="884"/>
        <w:gridCol w:w="884"/>
        <w:gridCol w:w="884"/>
        <w:gridCol w:w="884"/>
        <w:gridCol w:w="884"/>
        <w:gridCol w:w="884"/>
      </w:tblGrid>
      <w:tr w:rsidR="00000000">
        <w:tblPrEx>
          <w:tblCellMar>
            <w:top w:w="0" w:type="dxa"/>
            <w:bottom w:w="0" w:type="dxa"/>
          </w:tblCellMar>
        </w:tblPrEx>
        <w:tc>
          <w:tcPr>
            <w:tcW w:w="1708"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p>
        </w:tc>
        <w:tc>
          <w:tcPr>
            <w:tcW w:w="630"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rPr>
              <w:t>单位</w:t>
            </w:r>
          </w:p>
        </w:tc>
        <w:tc>
          <w:tcPr>
            <w:tcW w:w="884"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b/>
              </w:rPr>
              <w:t>1949</w:t>
            </w:r>
            <w:r>
              <w:rPr>
                <w:rFonts w:ascii="Time New Roman" w:eastAsia="SimHei" w:hAnsi="Time New Roman" w:hint="eastAsia"/>
              </w:rPr>
              <w:t>年</w:t>
            </w:r>
          </w:p>
        </w:tc>
        <w:tc>
          <w:tcPr>
            <w:tcW w:w="884"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b/>
              </w:rPr>
              <w:t>1957</w:t>
            </w:r>
            <w:r>
              <w:rPr>
                <w:rFonts w:ascii="Time New Roman" w:eastAsia="SimHei" w:hAnsi="Time New Roman" w:hint="eastAsia"/>
              </w:rPr>
              <w:t>年</w:t>
            </w:r>
          </w:p>
        </w:tc>
        <w:tc>
          <w:tcPr>
            <w:tcW w:w="884"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b/>
              </w:rPr>
              <w:t>1965</w:t>
            </w:r>
            <w:r>
              <w:rPr>
                <w:rFonts w:ascii="Time New Roman" w:eastAsia="SimHei" w:hAnsi="Time New Roman" w:hint="eastAsia"/>
              </w:rPr>
              <w:t>年</w:t>
            </w:r>
          </w:p>
        </w:tc>
        <w:tc>
          <w:tcPr>
            <w:tcW w:w="884"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b/>
              </w:rPr>
              <w:t>1975</w:t>
            </w:r>
            <w:r>
              <w:rPr>
                <w:rFonts w:ascii="Time New Roman" w:eastAsia="SimHei" w:hAnsi="Time New Roman" w:hint="eastAsia"/>
              </w:rPr>
              <w:t>年</w:t>
            </w:r>
          </w:p>
        </w:tc>
        <w:tc>
          <w:tcPr>
            <w:tcW w:w="884"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b/>
              </w:rPr>
              <w:t>1985</w:t>
            </w:r>
            <w:r>
              <w:rPr>
                <w:rFonts w:ascii="Time New Roman" w:eastAsia="SimHei" w:hAnsi="Time New Roman" w:hint="eastAsia"/>
              </w:rPr>
              <w:t>年</w:t>
            </w:r>
          </w:p>
        </w:tc>
        <w:tc>
          <w:tcPr>
            <w:tcW w:w="884"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b/>
              </w:rPr>
              <w:t>1990</w:t>
            </w:r>
            <w:r>
              <w:rPr>
                <w:rFonts w:ascii="Time New Roman" w:eastAsia="SimHei" w:hAnsi="Time New Roman" w:hint="eastAsia"/>
              </w:rPr>
              <w:t>年</w:t>
            </w:r>
          </w:p>
        </w:tc>
        <w:tc>
          <w:tcPr>
            <w:tcW w:w="884"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b/>
              </w:rPr>
              <w:t>1995</w:t>
            </w:r>
            <w:r>
              <w:rPr>
                <w:rFonts w:ascii="Time New Roman" w:eastAsia="SimHei" w:hAnsi="Time New Roman" w:hint="eastAsia"/>
              </w:rPr>
              <w:t>年</w:t>
            </w:r>
          </w:p>
        </w:tc>
        <w:tc>
          <w:tcPr>
            <w:tcW w:w="884" w:type="dxa"/>
            <w:tcBorders>
              <w:bottom w:val="single" w:sz="4" w:space="0" w:color="auto"/>
            </w:tcBorders>
          </w:tcPr>
          <w:p w:rsidR="00000000" w:rsidRDefault="00000000">
            <w:pPr>
              <w:pStyle w:val="a2"/>
              <w:spacing w:before="120" w:after="60"/>
              <w:jc w:val="center"/>
              <w:rPr>
                <w:rFonts w:ascii="Time New Roman" w:eastAsia="SimHei" w:hAnsi="Time New Roman" w:hint="eastAsia"/>
              </w:rPr>
            </w:pPr>
            <w:r>
              <w:rPr>
                <w:rFonts w:ascii="Time New Roman" w:eastAsia="SimHei" w:hAnsi="Time New Roman" w:hint="eastAsia"/>
                <w:b/>
              </w:rPr>
              <w:t>2001</w:t>
            </w:r>
            <w:r>
              <w:rPr>
                <w:rFonts w:ascii="Time New Roman" w:eastAsia="SimHei" w:hAnsi="Time New Roman" w:hint="eastAsia"/>
              </w:rPr>
              <w:t>年</w:t>
            </w:r>
          </w:p>
        </w:tc>
      </w:tr>
      <w:tr w:rsidR="00000000">
        <w:tblPrEx>
          <w:tblCellMar>
            <w:top w:w="0" w:type="dxa"/>
            <w:bottom w:w="0" w:type="dxa"/>
          </w:tblCellMar>
        </w:tblPrEx>
        <w:tc>
          <w:tcPr>
            <w:tcW w:w="1708" w:type="dxa"/>
            <w:tcBorders>
              <w:bottom w:val="nil"/>
            </w:tcBorders>
          </w:tcPr>
          <w:p w:rsidR="00000000" w:rsidRDefault="00000000">
            <w:pPr>
              <w:pStyle w:val="a2"/>
              <w:ind w:left="57"/>
              <w:rPr>
                <w:rFonts w:hint="eastAsia"/>
              </w:rPr>
            </w:pPr>
            <w:r>
              <w:rPr>
                <w:rFonts w:hint="eastAsia"/>
              </w:rPr>
              <w:t>妇幼保健院数</w:t>
            </w:r>
          </w:p>
        </w:tc>
        <w:tc>
          <w:tcPr>
            <w:tcW w:w="630" w:type="dxa"/>
            <w:tcBorders>
              <w:bottom w:val="nil"/>
            </w:tcBorders>
          </w:tcPr>
          <w:p w:rsidR="00000000" w:rsidRDefault="00000000">
            <w:pPr>
              <w:pStyle w:val="a2"/>
              <w:jc w:val="center"/>
              <w:rPr>
                <w:rFonts w:hint="eastAsia"/>
              </w:rPr>
            </w:pPr>
            <w:r>
              <w:rPr>
                <w:rFonts w:hint="eastAsia"/>
              </w:rPr>
              <w:t>个</w:t>
            </w:r>
          </w:p>
        </w:tc>
        <w:tc>
          <w:tcPr>
            <w:tcW w:w="884" w:type="dxa"/>
            <w:tcBorders>
              <w:bottom w:val="nil"/>
            </w:tcBorders>
          </w:tcPr>
          <w:p w:rsidR="00000000" w:rsidRDefault="00000000">
            <w:pPr>
              <w:pStyle w:val="a2"/>
              <w:tabs>
                <w:tab w:val="decimal" w:pos="674"/>
              </w:tabs>
            </w:pPr>
            <w:r>
              <w:t>80</w:t>
            </w:r>
          </w:p>
        </w:tc>
        <w:tc>
          <w:tcPr>
            <w:tcW w:w="884" w:type="dxa"/>
            <w:tcBorders>
              <w:bottom w:val="nil"/>
            </w:tcBorders>
          </w:tcPr>
          <w:p w:rsidR="00000000" w:rsidRDefault="00000000">
            <w:pPr>
              <w:pStyle w:val="a2"/>
              <w:tabs>
                <w:tab w:val="decimal" w:pos="674"/>
              </w:tabs>
            </w:pPr>
            <w:r>
              <w:t>96</w:t>
            </w:r>
          </w:p>
        </w:tc>
        <w:tc>
          <w:tcPr>
            <w:tcW w:w="884" w:type="dxa"/>
            <w:tcBorders>
              <w:bottom w:val="nil"/>
            </w:tcBorders>
          </w:tcPr>
          <w:p w:rsidR="00000000" w:rsidRDefault="00000000">
            <w:pPr>
              <w:pStyle w:val="a2"/>
              <w:tabs>
                <w:tab w:val="decimal" w:pos="674"/>
              </w:tabs>
            </w:pPr>
            <w:r>
              <w:t>115</w:t>
            </w:r>
          </w:p>
        </w:tc>
        <w:tc>
          <w:tcPr>
            <w:tcW w:w="884" w:type="dxa"/>
            <w:tcBorders>
              <w:bottom w:val="nil"/>
            </w:tcBorders>
          </w:tcPr>
          <w:p w:rsidR="00000000" w:rsidRDefault="00000000">
            <w:pPr>
              <w:pStyle w:val="a2"/>
              <w:tabs>
                <w:tab w:val="decimal" w:pos="674"/>
              </w:tabs>
            </w:pPr>
            <w:r>
              <w:t>103</w:t>
            </w:r>
          </w:p>
        </w:tc>
        <w:tc>
          <w:tcPr>
            <w:tcW w:w="884" w:type="dxa"/>
            <w:tcBorders>
              <w:bottom w:val="nil"/>
            </w:tcBorders>
          </w:tcPr>
          <w:p w:rsidR="00000000" w:rsidRDefault="00000000">
            <w:pPr>
              <w:pStyle w:val="a2"/>
              <w:tabs>
                <w:tab w:val="decimal" w:pos="674"/>
              </w:tabs>
            </w:pPr>
            <w:r>
              <w:t>272</w:t>
            </w:r>
          </w:p>
        </w:tc>
        <w:tc>
          <w:tcPr>
            <w:tcW w:w="884" w:type="dxa"/>
            <w:tcBorders>
              <w:bottom w:val="nil"/>
            </w:tcBorders>
          </w:tcPr>
          <w:p w:rsidR="00000000" w:rsidRDefault="00000000">
            <w:pPr>
              <w:pStyle w:val="a2"/>
              <w:tabs>
                <w:tab w:val="decimal" w:pos="674"/>
              </w:tabs>
            </w:pPr>
            <w:r>
              <w:t>328</w:t>
            </w:r>
          </w:p>
        </w:tc>
        <w:tc>
          <w:tcPr>
            <w:tcW w:w="884" w:type="dxa"/>
            <w:tcBorders>
              <w:bottom w:val="nil"/>
            </w:tcBorders>
          </w:tcPr>
          <w:p w:rsidR="00000000" w:rsidRDefault="00000000">
            <w:pPr>
              <w:pStyle w:val="a2"/>
              <w:tabs>
                <w:tab w:val="decimal" w:pos="674"/>
              </w:tabs>
            </w:pPr>
            <w:r>
              <w:t>396</w:t>
            </w:r>
          </w:p>
        </w:tc>
        <w:tc>
          <w:tcPr>
            <w:tcW w:w="884" w:type="dxa"/>
            <w:tcBorders>
              <w:bottom w:val="nil"/>
            </w:tcBorders>
          </w:tcPr>
          <w:p w:rsidR="00000000" w:rsidRDefault="00000000">
            <w:pPr>
              <w:pStyle w:val="a2"/>
              <w:tabs>
                <w:tab w:val="decimal" w:pos="674"/>
              </w:tabs>
            </w:pPr>
            <w:r>
              <w:t>584</w:t>
            </w:r>
          </w:p>
        </w:tc>
      </w:tr>
      <w:tr w:rsidR="00000000">
        <w:tblPrEx>
          <w:tblCellMar>
            <w:top w:w="0" w:type="dxa"/>
            <w:bottom w:w="0" w:type="dxa"/>
          </w:tblCellMar>
        </w:tblPrEx>
        <w:tc>
          <w:tcPr>
            <w:tcW w:w="1708" w:type="dxa"/>
            <w:tcBorders>
              <w:top w:val="nil"/>
              <w:bottom w:val="nil"/>
            </w:tcBorders>
          </w:tcPr>
          <w:p w:rsidR="00000000" w:rsidRDefault="00000000">
            <w:pPr>
              <w:pStyle w:val="a2"/>
              <w:ind w:left="57"/>
              <w:rPr>
                <w:rFonts w:hint="eastAsia"/>
              </w:rPr>
            </w:pPr>
            <w:r>
              <w:rPr>
                <w:rFonts w:hint="eastAsia"/>
              </w:rPr>
              <w:t>床位数</w:t>
            </w:r>
          </w:p>
        </w:tc>
        <w:tc>
          <w:tcPr>
            <w:tcW w:w="630" w:type="dxa"/>
            <w:tcBorders>
              <w:top w:val="nil"/>
              <w:bottom w:val="nil"/>
            </w:tcBorders>
          </w:tcPr>
          <w:p w:rsidR="00000000" w:rsidRDefault="00000000">
            <w:pPr>
              <w:pStyle w:val="a2"/>
              <w:jc w:val="center"/>
              <w:rPr>
                <w:rFonts w:hint="eastAsia"/>
              </w:rPr>
            </w:pPr>
            <w:r>
              <w:rPr>
                <w:rFonts w:hint="eastAsia"/>
              </w:rPr>
              <w:t>张</w:t>
            </w:r>
          </w:p>
        </w:tc>
        <w:tc>
          <w:tcPr>
            <w:tcW w:w="884" w:type="dxa"/>
            <w:tcBorders>
              <w:top w:val="nil"/>
              <w:bottom w:val="nil"/>
            </w:tcBorders>
          </w:tcPr>
          <w:p w:rsidR="00000000" w:rsidRDefault="00000000">
            <w:pPr>
              <w:pStyle w:val="a2"/>
              <w:tabs>
                <w:tab w:val="decimal" w:pos="674"/>
              </w:tabs>
            </w:pPr>
            <w:r>
              <w:t>1,762</w:t>
            </w:r>
          </w:p>
        </w:tc>
        <w:tc>
          <w:tcPr>
            <w:tcW w:w="884" w:type="dxa"/>
            <w:tcBorders>
              <w:top w:val="nil"/>
              <w:bottom w:val="nil"/>
            </w:tcBorders>
          </w:tcPr>
          <w:p w:rsidR="00000000" w:rsidRDefault="00000000">
            <w:pPr>
              <w:pStyle w:val="a2"/>
              <w:tabs>
                <w:tab w:val="decimal" w:pos="674"/>
              </w:tabs>
            </w:pPr>
            <w:r>
              <w:t>6,794</w:t>
            </w:r>
          </w:p>
        </w:tc>
        <w:tc>
          <w:tcPr>
            <w:tcW w:w="884" w:type="dxa"/>
            <w:tcBorders>
              <w:top w:val="nil"/>
              <w:bottom w:val="nil"/>
            </w:tcBorders>
          </w:tcPr>
          <w:p w:rsidR="00000000" w:rsidRDefault="00000000">
            <w:pPr>
              <w:pStyle w:val="a2"/>
              <w:tabs>
                <w:tab w:val="decimal" w:pos="674"/>
              </w:tabs>
            </w:pPr>
            <w:r>
              <w:t>9,233</w:t>
            </w:r>
          </w:p>
        </w:tc>
        <w:tc>
          <w:tcPr>
            <w:tcW w:w="884" w:type="dxa"/>
            <w:tcBorders>
              <w:top w:val="nil"/>
              <w:bottom w:val="nil"/>
            </w:tcBorders>
          </w:tcPr>
          <w:p w:rsidR="00000000" w:rsidRDefault="00000000">
            <w:pPr>
              <w:pStyle w:val="a2"/>
              <w:tabs>
                <w:tab w:val="decimal" w:pos="674"/>
              </w:tabs>
            </w:pPr>
            <w:r>
              <w:t>8,307</w:t>
            </w:r>
          </w:p>
        </w:tc>
        <w:tc>
          <w:tcPr>
            <w:tcW w:w="884" w:type="dxa"/>
            <w:tcBorders>
              <w:top w:val="nil"/>
              <w:bottom w:val="nil"/>
            </w:tcBorders>
          </w:tcPr>
          <w:p w:rsidR="00000000" w:rsidRDefault="00000000">
            <w:pPr>
              <w:pStyle w:val="a2"/>
              <w:tabs>
                <w:tab w:val="decimal" w:pos="674"/>
              </w:tabs>
            </w:pPr>
            <w:r>
              <w:t>24,443</w:t>
            </w:r>
          </w:p>
        </w:tc>
        <w:tc>
          <w:tcPr>
            <w:tcW w:w="884" w:type="dxa"/>
            <w:tcBorders>
              <w:top w:val="nil"/>
              <w:bottom w:val="nil"/>
            </w:tcBorders>
          </w:tcPr>
          <w:p w:rsidR="00000000" w:rsidRDefault="00000000">
            <w:pPr>
              <w:pStyle w:val="a2"/>
              <w:tabs>
                <w:tab w:val="decimal" w:pos="674"/>
              </w:tabs>
            </w:pPr>
            <w:r>
              <w:t>32,304</w:t>
            </w:r>
          </w:p>
        </w:tc>
        <w:tc>
          <w:tcPr>
            <w:tcW w:w="884" w:type="dxa"/>
            <w:tcBorders>
              <w:top w:val="nil"/>
              <w:bottom w:val="nil"/>
            </w:tcBorders>
          </w:tcPr>
          <w:p w:rsidR="00000000" w:rsidRDefault="00000000">
            <w:pPr>
              <w:pStyle w:val="a2"/>
              <w:tabs>
                <w:tab w:val="decimal" w:pos="674"/>
              </w:tabs>
            </w:pPr>
            <w:r>
              <w:t>38,368</w:t>
            </w:r>
          </w:p>
        </w:tc>
        <w:tc>
          <w:tcPr>
            <w:tcW w:w="884" w:type="dxa"/>
            <w:tcBorders>
              <w:top w:val="nil"/>
              <w:bottom w:val="nil"/>
            </w:tcBorders>
          </w:tcPr>
          <w:p w:rsidR="00000000" w:rsidRDefault="00000000">
            <w:pPr>
              <w:pStyle w:val="a2"/>
              <w:tabs>
                <w:tab w:val="decimal" w:pos="674"/>
              </w:tabs>
            </w:pPr>
            <w:r>
              <w:t>41,431</w:t>
            </w:r>
          </w:p>
        </w:tc>
      </w:tr>
      <w:tr w:rsidR="00000000">
        <w:tblPrEx>
          <w:tblCellMar>
            <w:top w:w="0" w:type="dxa"/>
            <w:bottom w:w="0" w:type="dxa"/>
          </w:tblCellMar>
        </w:tblPrEx>
        <w:tc>
          <w:tcPr>
            <w:tcW w:w="1708" w:type="dxa"/>
            <w:tcBorders>
              <w:top w:val="nil"/>
              <w:bottom w:val="nil"/>
            </w:tcBorders>
          </w:tcPr>
          <w:p w:rsidR="00000000" w:rsidRDefault="00000000">
            <w:pPr>
              <w:pStyle w:val="a2"/>
              <w:ind w:left="57"/>
              <w:rPr>
                <w:rFonts w:hint="eastAsia"/>
              </w:rPr>
            </w:pPr>
            <w:r>
              <w:rPr>
                <w:rFonts w:hint="eastAsia"/>
              </w:rPr>
              <w:t>儿童医院数</w:t>
            </w:r>
          </w:p>
        </w:tc>
        <w:tc>
          <w:tcPr>
            <w:tcW w:w="630" w:type="dxa"/>
            <w:tcBorders>
              <w:top w:val="nil"/>
              <w:bottom w:val="nil"/>
            </w:tcBorders>
          </w:tcPr>
          <w:p w:rsidR="00000000" w:rsidRDefault="00000000">
            <w:pPr>
              <w:pStyle w:val="a2"/>
              <w:jc w:val="center"/>
              <w:rPr>
                <w:rFonts w:hint="eastAsia"/>
              </w:rPr>
            </w:pPr>
            <w:r>
              <w:rPr>
                <w:rFonts w:hint="eastAsia"/>
              </w:rPr>
              <w:t>个</w:t>
            </w:r>
          </w:p>
        </w:tc>
        <w:tc>
          <w:tcPr>
            <w:tcW w:w="884" w:type="dxa"/>
            <w:tcBorders>
              <w:top w:val="nil"/>
              <w:bottom w:val="nil"/>
            </w:tcBorders>
          </w:tcPr>
          <w:p w:rsidR="00000000" w:rsidRDefault="00000000">
            <w:pPr>
              <w:pStyle w:val="a2"/>
              <w:tabs>
                <w:tab w:val="decimal" w:pos="674"/>
              </w:tabs>
            </w:pPr>
            <w:r>
              <w:t>5</w:t>
            </w:r>
          </w:p>
        </w:tc>
        <w:tc>
          <w:tcPr>
            <w:tcW w:w="884" w:type="dxa"/>
            <w:tcBorders>
              <w:top w:val="nil"/>
              <w:bottom w:val="nil"/>
            </w:tcBorders>
          </w:tcPr>
          <w:p w:rsidR="00000000" w:rsidRDefault="00000000">
            <w:pPr>
              <w:pStyle w:val="a2"/>
              <w:tabs>
                <w:tab w:val="decimal" w:pos="674"/>
              </w:tabs>
            </w:pPr>
            <w:r>
              <w:t>16</w:t>
            </w:r>
          </w:p>
        </w:tc>
        <w:tc>
          <w:tcPr>
            <w:tcW w:w="884" w:type="dxa"/>
            <w:tcBorders>
              <w:top w:val="nil"/>
              <w:bottom w:val="nil"/>
            </w:tcBorders>
          </w:tcPr>
          <w:p w:rsidR="00000000" w:rsidRDefault="00000000">
            <w:pPr>
              <w:pStyle w:val="a2"/>
              <w:tabs>
                <w:tab w:val="decimal" w:pos="674"/>
              </w:tabs>
            </w:pPr>
            <w:r>
              <w:t>28</w:t>
            </w:r>
          </w:p>
        </w:tc>
        <w:tc>
          <w:tcPr>
            <w:tcW w:w="884" w:type="dxa"/>
            <w:tcBorders>
              <w:top w:val="nil"/>
              <w:bottom w:val="nil"/>
            </w:tcBorders>
          </w:tcPr>
          <w:p w:rsidR="00000000" w:rsidRDefault="00000000">
            <w:pPr>
              <w:pStyle w:val="a2"/>
              <w:tabs>
                <w:tab w:val="decimal" w:pos="674"/>
              </w:tabs>
            </w:pPr>
            <w:r>
              <w:t>23</w:t>
            </w:r>
          </w:p>
        </w:tc>
        <w:tc>
          <w:tcPr>
            <w:tcW w:w="884" w:type="dxa"/>
            <w:tcBorders>
              <w:top w:val="nil"/>
              <w:bottom w:val="nil"/>
            </w:tcBorders>
          </w:tcPr>
          <w:p w:rsidR="00000000" w:rsidRDefault="00000000">
            <w:pPr>
              <w:pStyle w:val="a2"/>
              <w:tabs>
                <w:tab w:val="decimal" w:pos="674"/>
              </w:tabs>
            </w:pPr>
            <w:r>
              <w:t>26</w:t>
            </w:r>
          </w:p>
        </w:tc>
        <w:tc>
          <w:tcPr>
            <w:tcW w:w="884" w:type="dxa"/>
            <w:tcBorders>
              <w:top w:val="nil"/>
              <w:bottom w:val="nil"/>
            </w:tcBorders>
          </w:tcPr>
          <w:p w:rsidR="00000000" w:rsidRDefault="00000000">
            <w:pPr>
              <w:pStyle w:val="a2"/>
              <w:tabs>
                <w:tab w:val="decimal" w:pos="674"/>
              </w:tabs>
            </w:pPr>
            <w:r>
              <w:t>33</w:t>
            </w:r>
          </w:p>
        </w:tc>
        <w:tc>
          <w:tcPr>
            <w:tcW w:w="884" w:type="dxa"/>
            <w:tcBorders>
              <w:top w:val="nil"/>
              <w:bottom w:val="nil"/>
            </w:tcBorders>
          </w:tcPr>
          <w:p w:rsidR="00000000" w:rsidRDefault="00000000">
            <w:pPr>
              <w:pStyle w:val="a2"/>
              <w:tabs>
                <w:tab w:val="decimal" w:pos="674"/>
              </w:tabs>
            </w:pPr>
            <w:r>
              <w:t>35</w:t>
            </w:r>
          </w:p>
        </w:tc>
        <w:tc>
          <w:tcPr>
            <w:tcW w:w="884" w:type="dxa"/>
            <w:tcBorders>
              <w:top w:val="nil"/>
              <w:bottom w:val="nil"/>
            </w:tcBorders>
          </w:tcPr>
          <w:p w:rsidR="00000000" w:rsidRDefault="00000000">
            <w:pPr>
              <w:pStyle w:val="a2"/>
              <w:tabs>
                <w:tab w:val="decimal" w:pos="674"/>
              </w:tabs>
            </w:pPr>
            <w:r>
              <w:t>37</w:t>
            </w:r>
          </w:p>
        </w:tc>
      </w:tr>
      <w:tr w:rsidR="00000000">
        <w:tblPrEx>
          <w:tblCellMar>
            <w:top w:w="0" w:type="dxa"/>
            <w:bottom w:w="0" w:type="dxa"/>
          </w:tblCellMar>
        </w:tblPrEx>
        <w:tc>
          <w:tcPr>
            <w:tcW w:w="1708" w:type="dxa"/>
            <w:tcBorders>
              <w:top w:val="nil"/>
              <w:bottom w:val="nil"/>
            </w:tcBorders>
          </w:tcPr>
          <w:p w:rsidR="00000000" w:rsidRDefault="00000000">
            <w:pPr>
              <w:pStyle w:val="a2"/>
              <w:ind w:left="57"/>
              <w:rPr>
                <w:rFonts w:hint="eastAsia"/>
              </w:rPr>
            </w:pPr>
            <w:r>
              <w:rPr>
                <w:rFonts w:hint="eastAsia"/>
              </w:rPr>
              <w:t>床位数</w:t>
            </w:r>
          </w:p>
        </w:tc>
        <w:tc>
          <w:tcPr>
            <w:tcW w:w="630" w:type="dxa"/>
            <w:tcBorders>
              <w:top w:val="nil"/>
              <w:bottom w:val="nil"/>
            </w:tcBorders>
          </w:tcPr>
          <w:p w:rsidR="00000000" w:rsidRDefault="00000000">
            <w:pPr>
              <w:pStyle w:val="a2"/>
              <w:jc w:val="center"/>
              <w:rPr>
                <w:rFonts w:hint="eastAsia"/>
              </w:rPr>
            </w:pPr>
            <w:r>
              <w:rPr>
                <w:rFonts w:hint="eastAsia"/>
              </w:rPr>
              <w:t>张</w:t>
            </w:r>
          </w:p>
        </w:tc>
        <w:tc>
          <w:tcPr>
            <w:tcW w:w="884" w:type="dxa"/>
            <w:tcBorders>
              <w:top w:val="nil"/>
              <w:bottom w:val="nil"/>
            </w:tcBorders>
          </w:tcPr>
          <w:p w:rsidR="00000000" w:rsidRDefault="00000000">
            <w:pPr>
              <w:pStyle w:val="a2"/>
              <w:tabs>
                <w:tab w:val="decimal" w:pos="674"/>
              </w:tabs>
            </w:pPr>
            <w:r>
              <w:t>139</w:t>
            </w:r>
          </w:p>
        </w:tc>
        <w:tc>
          <w:tcPr>
            <w:tcW w:w="884" w:type="dxa"/>
            <w:tcBorders>
              <w:top w:val="nil"/>
              <w:bottom w:val="nil"/>
            </w:tcBorders>
          </w:tcPr>
          <w:p w:rsidR="00000000" w:rsidRDefault="00000000">
            <w:pPr>
              <w:pStyle w:val="a2"/>
              <w:tabs>
                <w:tab w:val="decimal" w:pos="674"/>
              </w:tabs>
            </w:pPr>
            <w:r>
              <w:t>2,295</w:t>
            </w:r>
          </w:p>
        </w:tc>
        <w:tc>
          <w:tcPr>
            <w:tcW w:w="884" w:type="dxa"/>
            <w:tcBorders>
              <w:top w:val="nil"/>
              <w:bottom w:val="nil"/>
            </w:tcBorders>
          </w:tcPr>
          <w:p w:rsidR="00000000" w:rsidRDefault="00000000">
            <w:pPr>
              <w:pStyle w:val="a2"/>
              <w:tabs>
                <w:tab w:val="decimal" w:pos="674"/>
              </w:tabs>
            </w:pPr>
            <w:r>
              <w:t>4,527</w:t>
            </w:r>
          </w:p>
        </w:tc>
        <w:tc>
          <w:tcPr>
            <w:tcW w:w="884" w:type="dxa"/>
            <w:tcBorders>
              <w:top w:val="nil"/>
              <w:bottom w:val="nil"/>
            </w:tcBorders>
          </w:tcPr>
          <w:p w:rsidR="00000000" w:rsidRDefault="00000000">
            <w:pPr>
              <w:pStyle w:val="a2"/>
              <w:tabs>
                <w:tab w:val="decimal" w:pos="674"/>
              </w:tabs>
            </w:pPr>
            <w:r>
              <w:t>4,546</w:t>
            </w:r>
          </w:p>
        </w:tc>
        <w:tc>
          <w:tcPr>
            <w:tcW w:w="884" w:type="dxa"/>
            <w:tcBorders>
              <w:top w:val="nil"/>
              <w:bottom w:val="nil"/>
            </w:tcBorders>
          </w:tcPr>
          <w:p w:rsidR="00000000" w:rsidRDefault="00000000">
            <w:pPr>
              <w:pStyle w:val="a2"/>
              <w:tabs>
                <w:tab w:val="decimal" w:pos="674"/>
              </w:tabs>
            </w:pPr>
            <w:r>
              <w:t>6,209</w:t>
            </w:r>
          </w:p>
        </w:tc>
        <w:tc>
          <w:tcPr>
            <w:tcW w:w="884" w:type="dxa"/>
            <w:tcBorders>
              <w:top w:val="nil"/>
              <w:bottom w:val="nil"/>
            </w:tcBorders>
          </w:tcPr>
          <w:p w:rsidR="00000000" w:rsidRDefault="00000000">
            <w:pPr>
              <w:pStyle w:val="a2"/>
              <w:tabs>
                <w:tab w:val="decimal" w:pos="674"/>
              </w:tabs>
            </w:pPr>
            <w:r>
              <w:t>7,866</w:t>
            </w:r>
          </w:p>
        </w:tc>
        <w:tc>
          <w:tcPr>
            <w:tcW w:w="884" w:type="dxa"/>
            <w:tcBorders>
              <w:top w:val="nil"/>
              <w:bottom w:val="nil"/>
            </w:tcBorders>
          </w:tcPr>
          <w:p w:rsidR="00000000" w:rsidRDefault="00000000">
            <w:pPr>
              <w:pStyle w:val="a2"/>
              <w:tabs>
                <w:tab w:val="decimal" w:pos="674"/>
              </w:tabs>
            </w:pPr>
            <w:r>
              <w:t>9,407</w:t>
            </w:r>
          </w:p>
        </w:tc>
        <w:tc>
          <w:tcPr>
            <w:tcW w:w="884" w:type="dxa"/>
            <w:tcBorders>
              <w:top w:val="nil"/>
              <w:bottom w:val="nil"/>
            </w:tcBorders>
          </w:tcPr>
          <w:p w:rsidR="00000000" w:rsidRDefault="00000000">
            <w:pPr>
              <w:pStyle w:val="a2"/>
              <w:tabs>
                <w:tab w:val="decimal" w:pos="674"/>
              </w:tabs>
            </w:pPr>
            <w:r>
              <w:t>9,907</w:t>
            </w:r>
          </w:p>
        </w:tc>
      </w:tr>
      <w:tr w:rsidR="00000000">
        <w:tblPrEx>
          <w:tblCellMar>
            <w:top w:w="0" w:type="dxa"/>
            <w:bottom w:w="0" w:type="dxa"/>
          </w:tblCellMar>
        </w:tblPrEx>
        <w:tc>
          <w:tcPr>
            <w:tcW w:w="1708" w:type="dxa"/>
            <w:tcBorders>
              <w:top w:val="nil"/>
              <w:bottom w:val="nil"/>
            </w:tcBorders>
          </w:tcPr>
          <w:p w:rsidR="00000000" w:rsidRDefault="00000000">
            <w:pPr>
              <w:pStyle w:val="a2"/>
              <w:ind w:left="57"/>
              <w:rPr>
                <w:rFonts w:hint="eastAsia"/>
              </w:rPr>
            </w:pPr>
            <w:r>
              <w:rPr>
                <w:rFonts w:hint="eastAsia"/>
              </w:rPr>
              <w:t>妇幼保健机构</w:t>
            </w:r>
          </w:p>
        </w:tc>
        <w:tc>
          <w:tcPr>
            <w:tcW w:w="630" w:type="dxa"/>
            <w:tcBorders>
              <w:top w:val="nil"/>
              <w:bottom w:val="nil"/>
            </w:tcBorders>
          </w:tcPr>
          <w:p w:rsidR="00000000" w:rsidRDefault="00000000">
            <w:pPr>
              <w:pStyle w:val="a2"/>
              <w:jc w:val="center"/>
              <w:rPr>
                <w:rFonts w:hint="eastAsia"/>
              </w:rPr>
            </w:pPr>
            <w:r>
              <w:rPr>
                <w:rFonts w:hint="eastAsia"/>
              </w:rPr>
              <w:t>个</w:t>
            </w:r>
          </w:p>
        </w:tc>
        <w:tc>
          <w:tcPr>
            <w:tcW w:w="884" w:type="dxa"/>
            <w:tcBorders>
              <w:top w:val="nil"/>
              <w:bottom w:val="nil"/>
            </w:tcBorders>
          </w:tcPr>
          <w:p w:rsidR="00000000" w:rsidRDefault="00000000">
            <w:pPr>
              <w:pStyle w:val="a2"/>
              <w:tabs>
                <w:tab w:val="decimal" w:pos="674"/>
              </w:tabs>
            </w:pPr>
            <w:r>
              <w:t>9</w:t>
            </w:r>
          </w:p>
        </w:tc>
        <w:tc>
          <w:tcPr>
            <w:tcW w:w="884" w:type="dxa"/>
            <w:tcBorders>
              <w:top w:val="nil"/>
              <w:bottom w:val="nil"/>
            </w:tcBorders>
          </w:tcPr>
          <w:p w:rsidR="00000000" w:rsidRDefault="00000000">
            <w:pPr>
              <w:pStyle w:val="a2"/>
              <w:tabs>
                <w:tab w:val="decimal" w:pos="674"/>
              </w:tabs>
            </w:pPr>
            <w:r>
              <w:t>4,599</w:t>
            </w:r>
          </w:p>
        </w:tc>
        <w:tc>
          <w:tcPr>
            <w:tcW w:w="884" w:type="dxa"/>
            <w:tcBorders>
              <w:top w:val="nil"/>
              <w:bottom w:val="nil"/>
            </w:tcBorders>
          </w:tcPr>
          <w:p w:rsidR="00000000" w:rsidRDefault="00000000">
            <w:pPr>
              <w:pStyle w:val="a2"/>
              <w:tabs>
                <w:tab w:val="decimal" w:pos="674"/>
              </w:tabs>
            </w:pPr>
            <w:r>
              <w:t>2,795</w:t>
            </w:r>
          </w:p>
        </w:tc>
        <w:tc>
          <w:tcPr>
            <w:tcW w:w="884" w:type="dxa"/>
            <w:tcBorders>
              <w:top w:val="nil"/>
              <w:bottom w:val="nil"/>
            </w:tcBorders>
          </w:tcPr>
          <w:p w:rsidR="00000000" w:rsidRDefault="00000000">
            <w:pPr>
              <w:pStyle w:val="a2"/>
              <w:tabs>
                <w:tab w:val="decimal" w:pos="674"/>
              </w:tabs>
            </w:pPr>
            <w:r>
              <w:t>2,025</w:t>
            </w:r>
          </w:p>
        </w:tc>
        <w:tc>
          <w:tcPr>
            <w:tcW w:w="884" w:type="dxa"/>
            <w:tcBorders>
              <w:top w:val="nil"/>
              <w:bottom w:val="nil"/>
            </w:tcBorders>
          </w:tcPr>
          <w:p w:rsidR="00000000" w:rsidRDefault="00000000">
            <w:pPr>
              <w:pStyle w:val="a2"/>
              <w:tabs>
                <w:tab w:val="decimal" w:pos="674"/>
              </w:tabs>
            </w:pPr>
            <w:r>
              <w:t>2,724</w:t>
            </w:r>
          </w:p>
        </w:tc>
        <w:tc>
          <w:tcPr>
            <w:tcW w:w="884" w:type="dxa"/>
            <w:tcBorders>
              <w:top w:val="nil"/>
              <w:bottom w:val="nil"/>
            </w:tcBorders>
          </w:tcPr>
          <w:p w:rsidR="00000000" w:rsidRDefault="00000000">
            <w:pPr>
              <w:pStyle w:val="a2"/>
              <w:tabs>
                <w:tab w:val="decimal" w:pos="674"/>
              </w:tabs>
            </w:pPr>
            <w:r>
              <w:t>2,820</w:t>
            </w:r>
          </w:p>
        </w:tc>
        <w:tc>
          <w:tcPr>
            <w:tcW w:w="884" w:type="dxa"/>
            <w:tcBorders>
              <w:top w:val="nil"/>
              <w:bottom w:val="nil"/>
            </w:tcBorders>
          </w:tcPr>
          <w:p w:rsidR="00000000" w:rsidRDefault="00000000">
            <w:pPr>
              <w:pStyle w:val="a2"/>
              <w:tabs>
                <w:tab w:val="decimal" w:pos="674"/>
              </w:tabs>
            </w:pPr>
            <w:r>
              <w:t>2,832</w:t>
            </w:r>
          </w:p>
        </w:tc>
        <w:tc>
          <w:tcPr>
            <w:tcW w:w="884" w:type="dxa"/>
            <w:tcBorders>
              <w:top w:val="nil"/>
              <w:bottom w:val="nil"/>
            </w:tcBorders>
          </w:tcPr>
          <w:p w:rsidR="00000000" w:rsidRDefault="00000000">
            <w:pPr>
              <w:pStyle w:val="a2"/>
              <w:tabs>
                <w:tab w:val="decimal" w:pos="674"/>
              </w:tabs>
            </w:pPr>
            <w:r>
              <w:t>2,548</w:t>
            </w:r>
          </w:p>
        </w:tc>
      </w:tr>
      <w:tr w:rsidR="00000000">
        <w:tblPrEx>
          <w:tblCellMar>
            <w:top w:w="0" w:type="dxa"/>
            <w:bottom w:w="0" w:type="dxa"/>
          </w:tblCellMar>
        </w:tblPrEx>
        <w:tc>
          <w:tcPr>
            <w:tcW w:w="1708" w:type="dxa"/>
            <w:tcBorders>
              <w:top w:val="nil"/>
              <w:bottom w:val="nil"/>
            </w:tcBorders>
          </w:tcPr>
          <w:p w:rsidR="00000000" w:rsidRDefault="00000000">
            <w:pPr>
              <w:pStyle w:val="a2"/>
              <w:ind w:left="57"/>
              <w:rPr>
                <w:rFonts w:hint="eastAsia"/>
              </w:rPr>
            </w:pPr>
            <w:r>
              <w:rPr>
                <w:rFonts w:hint="eastAsia"/>
              </w:rPr>
              <w:t>床位数</w:t>
            </w:r>
          </w:p>
        </w:tc>
        <w:tc>
          <w:tcPr>
            <w:tcW w:w="630" w:type="dxa"/>
            <w:tcBorders>
              <w:top w:val="nil"/>
              <w:bottom w:val="nil"/>
            </w:tcBorders>
          </w:tcPr>
          <w:p w:rsidR="00000000" w:rsidRDefault="00000000">
            <w:pPr>
              <w:pStyle w:val="a2"/>
              <w:jc w:val="center"/>
              <w:rPr>
                <w:rFonts w:hint="eastAsia"/>
              </w:rPr>
            </w:pPr>
            <w:r>
              <w:rPr>
                <w:rFonts w:hint="eastAsia"/>
              </w:rPr>
              <w:t>张</w:t>
            </w:r>
          </w:p>
        </w:tc>
        <w:tc>
          <w:tcPr>
            <w:tcW w:w="884" w:type="dxa"/>
            <w:tcBorders>
              <w:top w:val="nil"/>
              <w:bottom w:val="nil"/>
            </w:tcBorders>
          </w:tcPr>
          <w:p w:rsidR="00000000" w:rsidRDefault="00000000">
            <w:pPr>
              <w:pStyle w:val="a2"/>
              <w:tabs>
                <w:tab w:val="decimal" w:pos="674"/>
              </w:tabs>
            </w:pPr>
            <w:r>
              <w:t>139</w:t>
            </w:r>
          </w:p>
        </w:tc>
        <w:tc>
          <w:tcPr>
            <w:tcW w:w="884" w:type="dxa"/>
            <w:tcBorders>
              <w:top w:val="nil"/>
              <w:bottom w:val="nil"/>
            </w:tcBorders>
          </w:tcPr>
          <w:p w:rsidR="00000000" w:rsidRDefault="00000000">
            <w:pPr>
              <w:pStyle w:val="a2"/>
              <w:tabs>
                <w:tab w:val="decimal" w:pos="674"/>
              </w:tabs>
            </w:pPr>
            <w:r>
              <w:t>2,295</w:t>
            </w:r>
          </w:p>
        </w:tc>
        <w:tc>
          <w:tcPr>
            <w:tcW w:w="884" w:type="dxa"/>
            <w:tcBorders>
              <w:top w:val="nil"/>
              <w:bottom w:val="nil"/>
            </w:tcBorders>
          </w:tcPr>
          <w:p w:rsidR="00000000" w:rsidRDefault="00000000">
            <w:pPr>
              <w:pStyle w:val="a2"/>
              <w:tabs>
                <w:tab w:val="decimal" w:pos="674"/>
              </w:tabs>
            </w:pPr>
            <w:r>
              <w:t>4,527</w:t>
            </w:r>
          </w:p>
        </w:tc>
        <w:tc>
          <w:tcPr>
            <w:tcW w:w="884" w:type="dxa"/>
            <w:tcBorders>
              <w:top w:val="nil"/>
              <w:bottom w:val="nil"/>
            </w:tcBorders>
          </w:tcPr>
          <w:p w:rsidR="00000000" w:rsidRDefault="00000000">
            <w:pPr>
              <w:pStyle w:val="a2"/>
              <w:tabs>
                <w:tab w:val="decimal" w:pos="674"/>
              </w:tabs>
            </w:pPr>
            <w:r>
              <w:t>1,406</w:t>
            </w:r>
          </w:p>
        </w:tc>
        <w:tc>
          <w:tcPr>
            <w:tcW w:w="884" w:type="dxa"/>
            <w:tcBorders>
              <w:top w:val="nil"/>
              <w:bottom w:val="nil"/>
            </w:tcBorders>
          </w:tcPr>
          <w:p w:rsidR="00000000" w:rsidRDefault="00000000">
            <w:pPr>
              <w:pStyle w:val="a2"/>
              <w:tabs>
                <w:tab w:val="decimal" w:pos="674"/>
              </w:tabs>
            </w:pPr>
            <w:r>
              <w:t>10,110</w:t>
            </w:r>
          </w:p>
        </w:tc>
        <w:tc>
          <w:tcPr>
            <w:tcW w:w="884" w:type="dxa"/>
            <w:tcBorders>
              <w:top w:val="nil"/>
              <w:bottom w:val="nil"/>
            </w:tcBorders>
          </w:tcPr>
          <w:p w:rsidR="00000000" w:rsidRDefault="00000000">
            <w:pPr>
              <w:pStyle w:val="a2"/>
              <w:tabs>
                <w:tab w:val="decimal" w:pos="674"/>
              </w:tabs>
            </w:pPr>
            <w:r>
              <w:t>14,263</w:t>
            </w:r>
          </w:p>
        </w:tc>
        <w:tc>
          <w:tcPr>
            <w:tcW w:w="884" w:type="dxa"/>
            <w:tcBorders>
              <w:top w:val="nil"/>
              <w:bottom w:val="nil"/>
            </w:tcBorders>
          </w:tcPr>
          <w:p w:rsidR="00000000" w:rsidRDefault="00000000">
            <w:pPr>
              <w:pStyle w:val="a2"/>
              <w:tabs>
                <w:tab w:val="decimal" w:pos="674"/>
              </w:tabs>
            </w:pPr>
            <w:r>
              <w:t>21,618</w:t>
            </w:r>
          </w:p>
        </w:tc>
        <w:tc>
          <w:tcPr>
            <w:tcW w:w="884" w:type="dxa"/>
            <w:tcBorders>
              <w:top w:val="nil"/>
              <w:bottom w:val="nil"/>
            </w:tcBorders>
          </w:tcPr>
          <w:p w:rsidR="00000000" w:rsidRDefault="00000000">
            <w:pPr>
              <w:pStyle w:val="a2"/>
              <w:tabs>
                <w:tab w:val="decimal" w:pos="674"/>
              </w:tabs>
            </w:pPr>
            <w:r>
              <w:t>32,560</w:t>
            </w:r>
          </w:p>
        </w:tc>
      </w:tr>
      <w:tr w:rsidR="00000000">
        <w:tblPrEx>
          <w:tblCellMar>
            <w:top w:w="0" w:type="dxa"/>
            <w:bottom w:w="0" w:type="dxa"/>
          </w:tblCellMar>
        </w:tblPrEx>
        <w:tc>
          <w:tcPr>
            <w:tcW w:w="1708" w:type="dxa"/>
            <w:tcBorders>
              <w:top w:val="nil"/>
              <w:bottom w:val="nil"/>
            </w:tcBorders>
          </w:tcPr>
          <w:p w:rsidR="00000000" w:rsidRDefault="00000000">
            <w:pPr>
              <w:pStyle w:val="a2"/>
              <w:ind w:left="57"/>
              <w:rPr>
                <w:rFonts w:hint="eastAsia"/>
              </w:rPr>
            </w:pPr>
            <w:r>
              <w:rPr>
                <w:rFonts w:hint="eastAsia"/>
              </w:rPr>
              <w:t>妇产科西医师</w:t>
            </w:r>
          </w:p>
        </w:tc>
        <w:tc>
          <w:tcPr>
            <w:tcW w:w="630" w:type="dxa"/>
            <w:tcBorders>
              <w:top w:val="nil"/>
              <w:bottom w:val="nil"/>
            </w:tcBorders>
          </w:tcPr>
          <w:p w:rsidR="00000000" w:rsidRDefault="00000000">
            <w:pPr>
              <w:pStyle w:val="a2"/>
              <w:jc w:val="center"/>
              <w:rPr>
                <w:rFonts w:hint="eastAsia"/>
              </w:rPr>
            </w:pPr>
            <w:r>
              <w:rPr>
                <w:rFonts w:hint="eastAsia"/>
              </w:rPr>
              <w:t>人</w:t>
            </w:r>
          </w:p>
        </w:tc>
        <w:tc>
          <w:tcPr>
            <w:tcW w:w="884" w:type="dxa"/>
            <w:tcBorders>
              <w:top w:val="nil"/>
              <w:bottom w:val="nil"/>
            </w:tcBorders>
          </w:tcPr>
          <w:p w:rsidR="00000000" w:rsidRDefault="00000000">
            <w:pPr>
              <w:pStyle w:val="a2"/>
              <w:tabs>
                <w:tab w:val="decimal" w:pos="674"/>
              </w:tabs>
            </w:pPr>
            <w:r>
              <w:rPr>
                <w:sz w:val="20"/>
              </w:rPr>
              <w:t>…</w:t>
            </w:r>
          </w:p>
        </w:tc>
        <w:tc>
          <w:tcPr>
            <w:tcW w:w="884" w:type="dxa"/>
            <w:tcBorders>
              <w:top w:val="nil"/>
              <w:bottom w:val="nil"/>
            </w:tcBorders>
          </w:tcPr>
          <w:p w:rsidR="00000000" w:rsidRDefault="00000000">
            <w:pPr>
              <w:pStyle w:val="a2"/>
              <w:tabs>
                <w:tab w:val="decimal" w:pos="674"/>
              </w:tabs>
            </w:pPr>
            <w:r>
              <w:t>4,194</w:t>
            </w:r>
          </w:p>
        </w:tc>
        <w:tc>
          <w:tcPr>
            <w:tcW w:w="884" w:type="dxa"/>
            <w:tcBorders>
              <w:top w:val="nil"/>
              <w:bottom w:val="nil"/>
            </w:tcBorders>
          </w:tcPr>
          <w:p w:rsidR="00000000" w:rsidRDefault="00000000">
            <w:pPr>
              <w:pStyle w:val="a2"/>
              <w:tabs>
                <w:tab w:val="decimal" w:pos="674"/>
              </w:tabs>
            </w:pPr>
            <w:r>
              <w:t>9,218</w:t>
            </w:r>
          </w:p>
        </w:tc>
        <w:tc>
          <w:tcPr>
            <w:tcW w:w="884" w:type="dxa"/>
            <w:tcBorders>
              <w:top w:val="nil"/>
              <w:bottom w:val="nil"/>
            </w:tcBorders>
          </w:tcPr>
          <w:p w:rsidR="00000000" w:rsidRDefault="00000000">
            <w:pPr>
              <w:pStyle w:val="a2"/>
              <w:tabs>
                <w:tab w:val="decimal" w:pos="674"/>
              </w:tabs>
            </w:pPr>
            <w:r>
              <w:rPr>
                <w:sz w:val="20"/>
              </w:rPr>
              <w:t>…</w:t>
            </w:r>
          </w:p>
        </w:tc>
        <w:tc>
          <w:tcPr>
            <w:tcW w:w="884" w:type="dxa"/>
            <w:tcBorders>
              <w:top w:val="nil"/>
              <w:bottom w:val="nil"/>
            </w:tcBorders>
          </w:tcPr>
          <w:p w:rsidR="00000000" w:rsidRDefault="00000000">
            <w:pPr>
              <w:pStyle w:val="a2"/>
              <w:tabs>
                <w:tab w:val="decimal" w:pos="674"/>
              </w:tabs>
            </w:pPr>
            <w:r>
              <w:t>44,680</w:t>
            </w:r>
          </w:p>
        </w:tc>
        <w:tc>
          <w:tcPr>
            <w:tcW w:w="884" w:type="dxa"/>
            <w:tcBorders>
              <w:top w:val="nil"/>
              <w:bottom w:val="nil"/>
            </w:tcBorders>
          </w:tcPr>
          <w:p w:rsidR="00000000" w:rsidRDefault="00000000">
            <w:pPr>
              <w:pStyle w:val="a2"/>
              <w:tabs>
                <w:tab w:val="decimal" w:pos="674"/>
              </w:tabs>
            </w:pPr>
            <w:r>
              <w:t>92,359</w:t>
            </w:r>
          </w:p>
        </w:tc>
        <w:tc>
          <w:tcPr>
            <w:tcW w:w="884" w:type="dxa"/>
            <w:tcBorders>
              <w:top w:val="nil"/>
              <w:bottom w:val="nil"/>
            </w:tcBorders>
          </w:tcPr>
          <w:p w:rsidR="00000000" w:rsidRDefault="00000000">
            <w:pPr>
              <w:pStyle w:val="a2"/>
              <w:tabs>
                <w:tab w:val="decimal" w:pos="674"/>
              </w:tabs>
            </w:pPr>
            <w:r>
              <w:rPr>
                <w:sz w:val="20"/>
              </w:rPr>
              <w:t>…</w:t>
            </w:r>
          </w:p>
        </w:tc>
        <w:tc>
          <w:tcPr>
            <w:tcW w:w="884" w:type="dxa"/>
            <w:tcBorders>
              <w:top w:val="nil"/>
              <w:bottom w:val="nil"/>
            </w:tcBorders>
          </w:tcPr>
          <w:p w:rsidR="00000000" w:rsidRDefault="00000000">
            <w:pPr>
              <w:pStyle w:val="a2"/>
              <w:tabs>
                <w:tab w:val="decimal" w:pos="674"/>
              </w:tabs>
            </w:pPr>
            <w:r>
              <w:t>127,864</w:t>
            </w:r>
          </w:p>
        </w:tc>
      </w:tr>
      <w:tr w:rsidR="00000000">
        <w:tblPrEx>
          <w:tblCellMar>
            <w:top w:w="0" w:type="dxa"/>
            <w:bottom w:w="0" w:type="dxa"/>
          </w:tblCellMar>
        </w:tblPrEx>
        <w:tc>
          <w:tcPr>
            <w:tcW w:w="1708" w:type="dxa"/>
            <w:tcBorders>
              <w:top w:val="nil"/>
              <w:bottom w:val="nil"/>
            </w:tcBorders>
          </w:tcPr>
          <w:p w:rsidR="00000000" w:rsidRDefault="00000000">
            <w:pPr>
              <w:pStyle w:val="a2"/>
              <w:ind w:left="57"/>
              <w:rPr>
                <w:rFonts w:hint="eastAsia"/>
              </w:rPr>
            </w:pPr>
            <w:r>
              <w:rPr>
                <w:rFonts w:hint="eastAsia"/>
              </w:rPr>
              <w:t>儿科西医师</w:t>
            </w:r>
          </w:p>
        </w:tc>
        <w:tc>
          <w:tcPr>
            <w:tcW w:w="630" w:type="dxa"/>
            <w:tcBorders>
              <w:top w:val="nil"/>
              <w:bottom w:val="nil"/>
            </w:tcBorders>
          </w:tcPr>
          <w:p w:rsidR="00000000" w:rsidRDefault="00000000">
            <w:pPr>
              <w:pStyle w:val="a2"/>
              <w:jc w:val="center"/>
              <w:rPr>
                <w:rFonts w:hint="eastAsia"/>
              </w:rPr>
            </w:pPr>
            <w:r>
              <w:rPr>
                <w:rFonts w:hint="eastAsia"/>
              </w:rPr>
              <w:t>人</w:t>
            </w:r>
          </w:p>
        </w:tc>
        <w:tc>
          <w:tcPr>
            <w:tcW w:w="884" w:type="dxa"/>
            <w:tcBorders>
              <w:top w:val="nil"/>
              <w:bottom w:val="nil"/>
            </w:tcBorders>
          </w:tcPr>
          <w:p w:rsidR="00000000" w:rsidRDefault="00000000">
            <w:pPr>
              <w:pStyle w:val="a2"/>
              <w:tabs>
                <w:tab w:val="decimal" w:pos="674"/>
              </w:tabs>
            </w:pPr>
            <w:r>
              <w:rPr>
                <w:sz w:val="20"/>
              </w:rPr>
              <w:t>…</w:t>
            </w:r>
          </w:p>
        </w:tc>
        <w:tc>
          <w:tcPr>
            <w:tcW w:w="884" w:type="dxa"/>
            <w:tcBorders>
              <w:top w:val="nil"/>
              <w:bottom w:val="nil"/>
            </w:tcBorders>
          </w:tcPr>
          <w:p w:rsidR="00000000" w:rsidRDefault="00000000">
            <w:pPr>
              <w:pStyle w:val="a2"/>
              <w:tabs>
                <w:tab w:val="decimal" w:pos="674"/>
              </w:tabs>
            </w:pPr>
            <w:r>
              <w:t>4,539</w:t>
            </w:r>
          </w:p>
        </w:tc>
        <w:tc>
          <w:tcPr>
            <w:tcW w:w="884" w:type="dxa"/>
            <w:tcBorders>
              <w:top w:val="nil"/>
              <w:bottom w:val="nil"/>
            </w:tcBorders>
          </w:tcPr>
          <w:p w:rsidR="00000000" w:rsidRDefault="00000000">
            <w:pPr>
              <w:pStyle w:val="a2"/>
              <w:tabs>
                <w:tab w:val="decimal" w:pos="674"/>
              </w:tabs>
            </w:pPr>
            <w:r>
              <w:t>10,281</w:t>
            </w:r>
          </w:p>
        </w:tc>
        <w:tc>
          <w:tcPr>
            <w:tcW w:w="884" w:type="dxa"/>
            <w:tcBorders>
              <w:top w:val="nil"/>
              <w:bottom w:val="nil"/>
            </w:tcBorders>
          </w:tcPr>
          <w:p w:rsidR="00000000" w:rsidRDefault="00000000">
            <w:pPr>
              <w:pStyle w:val="a2"/>
              <w:tabs>
                <w:tab w:val="decimal" w:pos="674"/>
              </w:tabs>
            </w:pPr>
            <w:r>
              <w:rPr>
                <w:sz w:val="20"/>
              </w:rPr>
              <w:t>…</w:t>
            </w:r>
          </w:p>
        </w:tc>
        <w:tc>
          <w:tcPr>
            <w:tcW w:w="884" w:type="dxa"/>
            <w:tcBorders>
              <w:top w:val="nil"/>
              <w:bottom w:val="nil"/>
            </w:tcBorders>
          </w:tcPr>
          <w:p w:rsidR="00000000" w:rsidRDefault="00000000">
            <w:pPr>
              <w:pStyle w:val="a2"/>
              <w:tabs>
                <w:tab w:val="decimal" w:pos="674"/>
              </w:tabs>
            </w:pPr>
            <w:r>
              <w:t>36,162</w:t>
            </w:r>
          </w:p>
        </w:tc>
        <w:tc>
          <w:tcPr>
            <w:tcW w:w="884" w:type="dxa"/>
            <w:tcBorders>
              <w:top w:val="nil"/>
              <w:bottom w:val="nil"/>
            </w:tcBorders>
          </w:tcPr>
          <w:p w:rsidR="00000000" w:rsidRDefault="00000000">
            <w:pPr>
              <w:pStyle w:val="a2"/>
              <w:tabs>
                <w:tab w:val="decimal" w:pos="674"/>
              </w:tabs>
            </w:pPr>
            <w:r>
              <w:t>56,661</w:t>
            </w:r>
          </w:p>
        </w:tc>
        <w:tc>
          <w:tcPr>
            <w:tcW w:w="884" w:type="dxa"/>
            <w:tcBorders>
              <w:top w:val="nil"/>
              <w:bottom w:val="nil"/>
            </w:tcBorders>
          </w:tcPr>
          <w:p w:rsidR="00000000" w:rsidRDefault="00000000">
            <w:pPr>
              <w:pStyle w:val="a2"/>
              <w:tabs>
                <w:tab w:val="decimal" w:pos="674"/>
              </w:tabs>
            </w:pPr>
            <w:r>
              <w:rPr>
                <w:sz w:val="20"/>
              </w:rPr>
              <w:t>…</w:t>
            </w:r>
          </w:p>
        </w:tc>
        <w:tc>
          <w:tcPr>
            <w:tcW w:w="884" w:type="dxa"/>
            <w:tcBorders>
              <w:top w:val="nil"/>
              <w:bottom w:val="nil"/>
            </w:tcBorders>
          </w:tcPr>
          <w:p w:rsidR="00000000" w:rsidRDefault="00000000">
            <w:pPr>
              <w:pStyle w:val="a2"/>
              <w:tabs>
                <w:tab w:val="decimal" w:pos="674"/>
              </w:tabs>
            </w:pPr>
            <w:r>
              <w:t>65,995</w:t>
            </w:r>
          </w:p>
        </w:tc>
      </w:tr>
      <w:tr w:rsidR="00000000">
        <w:tblPrEx>
          <w:tblCellMar>
            <w:top w:w="0" w:type="dxa"/>
            <w:bottom w:w="0" w:type="dxa"/>
          </w:tblCellMar>
        </w:tblPrEx>
        <w:tc>
          <w:tcPr>
            <w:tcW w:w="1708" w:type="dxa"/>
            <w:tcBorders>
              <w:top w:val="nil"/>
              <w:bottom w:val="nil"/>
            </w:tcBorders>
          </w:tcPr>
          <w:p w:rsidR="00000000" w:rsidRDefault="00000000">
            <w:pPr>
              <w:pStyle w:val="a2"/>
              <w:ind w:left="57"/>
              <w:rPr>
                <w:rFonts w:hint="eastAsia"/>
              </w:rPr>
            </w:pPr>
            <w:r>
              <w:rPr>
                <w:rFonts w:hint="eastAsia"/>
              </w:rPr>
              <w:t>助产士</w:t>
            </w:r>
          </w:p>
        </w:tc>
        <w:tc>
          <w:tcPr>
            <w:tcW w:w="630" w:type="dxa"/>
            <w:tcBorders>
              <w:top w:val="nil"/>
              <w:bottom w:val="nil"/>
            </w:tcBorders>
          </w:tcPr>
          <w:p w:rsidR="00000000" w:rsidRDefault="00000000">
            <w:pPr>
              <w:pStyle w:val="a2"/>
              <w:jc w:val="center"/>
              <w:rPr>
                <w:rFonts w:hint="eastAsia"/>
              </w:rPr>
            </w:pPr>
            <w:r>
              <w:rPr>
                <w:rFonts w:hint="eastAsia"/>
              </w:rPr>
              <w:t>人</w:t>
            </w:r>
          </w:p>
        </w:tc>
        <w:tc>
          <w:tcPr>
            <w:tcW w:w="884" w:type="dxa"/>
            <w:tcBorders>
              <w:top w:val="nil"/>
              <w:bottom w:val="nil"/>
            </w:tcBorders>
          </w:tcPr>
          <w:p w:rsidR="00000000" w:rsidRDefault="00000000">
            <w:pPr>
              <w:pStyle w:val="a2"/>
              <w:tabs>
                <w:tab w:val="decimal" w:pos="674"/>
              </w:tabs>
            </w:pPr>
            <w:r>
              <w:t>13,900</w:t>
            </w:r>
          </w:p>
        </w:tc>
        <w:tc>
          <w:tcPr>
            <w:tcW w:w="884" w:type="dxa"/>
            <w:tcBorders>
              <w:top w:val="nil"/>
              <w:bottom w:val="nil"/>
            </w:tcBorders>
          </w:tcPr>
          <w:p w:rsidR="00000000" w:rsidRDefault="00000000">
            <w:pPr>
              <w:pStyle w:val="a2"/>
              <w:tabs>
                <w:tab w:val="decimal" w:pos="674"/>
              </w:tabs>
            </w:pPr>
            <w:r>
              <w:t>35,774</w:t>
            </w:r>
          </w:p>
        </w:tc>
        <w:tc>
          <w:tcPr>
            <w:tcW w:w="884" w:type="dxa"/>
            <w:tcBorders>
              <w:top w:val="nil"/>
              <w:bottom w:val="nil"/>
            </w:tcBorders>
          </w:tcPr>
          <w:p w:rsidR="00000000" w:rsidRDefault="00000000">
            <w:pPr>
              <w:pStyle w:val="a2"/>
              <w:tabs>
                <w:tab w:val="decimal" w:pos="674"/>
              </w:tabs>
            </w:pPr>
            <w:r>
              <w:t>45,639</w:t>
            </w:r>
          </w:p>
        </w:tc>
        <w:tc>
          <w:tcPr>
            <w:tcW w:w="884" w:type="dxa"/>
            <w:tcBorders>
              <w:top w:val="nil"/>
              <w:bottom w:val="nil"/>
            </w:tcBorders>
          </w:tcPr>
          <w:p w:rsidR="00000000" w:rsidRDefault="00000000">
            <w:pPr>
              <w:pStyle w:val="a2"/>
              <w:tabs>
                <w:tab w:val="decimal" w:pos="674"/>
              </w:tabs>
            </w:pPr>
            <w:r>
              <w:t>64,875</w:t>
            </w:r>
          </w:p>
        </w:tc>
        <w:tc>
          <w:tcPr>
            <w:tcW w:w="884" w:type="dxa"/>
            <w:tcBorders>
              <w:top w:val="nil"/>
              <w:bottom w:val="nil"/>
            </w:tcBorders>
          </w:tcPr>
          <w:p w:rsidR="00000000" w:rsidRDefault="00000000">
            <w:pPr>
              <w:pStyle w:val="a2"/>
              <w:tabs>
                <w:tab w:val="decimal" w:pos="674"/>
              </w:tabs>
            </w:pPr>
            <w:r>
              <w:t>75,517</w:t>
            </w:r>
          </w:p>
        </w:tc>
        <w:tc>
          <w:tcPr>
            <w:tcW w:w="884" w:type="dxa"/>
            <w:tcBorders>
              <w:top w:val="nil"/>
              <w:bottom w:val="nil"/>
            </w:tcBorders>
          </w:tcPr>
          <w:p w:rsidR="00000000" w:rsidRDefault="00000000">
            <w:pPr>
              <w:pStyle w:val="a2"/>
              <w:tabs>
                <w:tab w:val="decimal" w:pos="674"/>
              </w:tabs>
            </w:pPr>
            <w:r>
              <w:t>58,397</w:t>
            </w:r>
          </w:p>
        </w:tc>
        <w:tc>
          <w:tcPr>
            <w:tcW w:w="884" w:type="dxa"/>
            <w:tcBorders>
              <w:top w:val="nil"/>
              <w:bottom w:val="nil"/>
            </w:tcBorders>
          </w:tcPr>
          <w:p w:rsidR="00000000" w:rsidRDefault="00000000">
            <w:pPr>
              <w:pStyle w:val="a2"/>
              <w:tabs>
                <w:tab w:val="decimal" w:pos="674"/>
              </w:tabs>
            </w:pPr>
            <w:r>
              <w:t>48,997</w:t>
            </w:r>
          </w:p>
        </w:tc>
        <w:tc>
          <w:tcPr>
            <w:tcW w:w="884" w:type="dxa"/>
            <w:tcBorders>
              <w:top w:val="nil"/>
              <w:bottom w:val="nil"/>
            </w:tcBorders>
          </w:tcPr>
          <w:p w:rsidR="00000000" w:rsidRDefault="00000000">
            <w:pPr>
              <w:pStyle w:val="a2"/>
              <w:tabs>
                <w:tab w:val="decimal" w:pos="674"/>
              </w:tabs>
            </w:pPr>
            <w:r>
              <w:t>42,140</w:t>
            </w:r>
          </w:p>
        </w:tc>
      </w:tr>
      <w:tr w:rsidR="00000000">
        <w:tblPrEx>
          <w:tblCellMar>
            <w:top w:w="0" w:type="dxa"/>
            <w:bottom w:w="0" w:type="dxa"/>
          </w:tblCellMar>
        </w:tblPrEx>
        <w:tc>
          <w:tcPr>
            <w:tcW w:w="1708" w:type="dxa"/>
            <w:tcBorders>
              <w:top w:val="nil"/>
            </w:tcBorders>
          </w:tcPr>
          <w:p w:rsidR="00000000" w:rsidRDefault="00000000">
            <w:pPr>
              <w:pStyle w:val="a2"/>
              <w:ind w:left="57"/>
              <w:rPr>
                <w:rFonts w:hint="eastAsia"/>
              </w:rPr>
            </w:pPr>
            <w:r>
              <w:rPr>
                <w:rFonts w:hint="eastAsia"/>
              </w:rPr>
              <w:t>农村接生员</w:t>
            </w:r>
          </w:p>
        </w:tc>
        <w:tc>
          <w:tcPr>
            <w:tcW w:w="630" w:type="dxa"/>
            <w:tcBorders>
              <w:top w:val="nil"/>
            </w:tcBorders>
          </w:tcPr>
          <w:p w:rsidR="00000000" w:rsidRDefault="00000000">
            <w:pPr>
              <w:pStyle w:val="a2"/>
              <w:jc w:val="center"/>
              <w:rPr>
                <w:rFonts w:hint="eastAsia"/>
              </w:rPr>
            </w:pPr>
            <w:r>
              <w:rPr>
                <w:rFonts w:hint="eastAsia"/>
              </w:rPr>
              <w:t>人</w:t>
            </w:r>
          </w:p>
        </w:tc>
        <w:tc>
          <w:tcPr>
            <w:tcW w:w="884" w:type="dxa"/>
            <w:tcBorders>
              <w:top w:val="nil"/>
            </w:tcBorders>
          </w:tcPr>
          <w:p w:rsidR="00000000" w:rsidRDefault="00000000">
            <w:pPr>
              <w:pStyle w:val="a2"/>
              <w:tabs>
                <w:tab w:val="decimal" w:pos="674"/>
              </w:tabs>
            </w:pPr>
            <w:r>
              <w:rPr>
                <w:sz w:val="20"/>
              </w:rPr>
              <w:t>…</w:t>
            </w:r>
          </w:p>
        </w:tc>
        <w:tc>
          <w:tcPr>
            <w:tcW w:w="884" w:type="dxa"/>
            <w:tcBorders>
              <w:top w:val="nil"/>
            </w:tcBorders>
          </w:tcPr>
          <w:p w:rsidR="00000000" w:rsidRDefault="00000000">
            <w:pPr>
              <w:pStyle w:val="a2"/>
              <w:tabs>
                <w:tab w:val="decimal" w:pos="674"/>
              </w:tabs>
              <w:rPr>
                <w:spacing w:val="-20"/>
              </w:rPr>
            </w:pPr>
            <w:r>
              <w:rPr>
                <w:spacing w:val="-20"/>
              </w:rPr>
              <w:t>657,335</w:t>
            </w:r>
          </w:p>
        </w:tc>
        <w:tc>
          <w:tcPr>
            <w:tcW w:w="884" w:type="dxa"/>
            <w:tcBorders>
              <w:top w:val="nil"/>
            </w:tcBorders>
          </w:tcPr>
          <w:p w:rsidR="00000000" w:rsidRDefault="00000000">
            <w:pPr>
              <w:pStyle w:val="a2"/>
              <w:tabs>
                <w:tab w:val="decimal" w:pos="674"/>
              </w:tabs>
              <w:rPr>
                <w:spacing w:val="-20"/>
              </w:rPr>
            </w:pPr>
            <w:r>
              <w:rPr>
                <w:spacing w:val="-20"/>
              </w:rPr>
              <w:t>685,740</w:t>
            </w:r>
          </w:p>
        </w:tc>
        <w:tc>
          <w:tcPr>
            <w:tcW w:w="884" w:type="dxa"/>
            <w:tcBorders>
              <w:top w:val="nil"/>
            </w:tcBorders>
          </w:tcPr>
          <w:p w:rsidR="00000000" w:rsidRDefault="00000000">
            <w:pPr>
              <w:pStyle w:val="a2"/>
              <w:tabs>
                <w:tab w:val="decimal" w:pos="674"/>
              </w:tabs>
              <w:rPr>
                <w:spacing w:val="-20"/>
              </w:rPr>
            </w:pPr>
            <w:r>
              <w:rPr>
                <w:spacing w:val="-20"/>
              </w:rPr>
              <w:t>615,184</w:t>
            </w:r>
          </w:p>
        </w:tc>
        <w:tc>
          <w:tcPr>
            <w:tcW w:w="884" w:type="dxa"/>
            <w:tcBorders>
              <w:top w:val="nil"/>
            </w:tcBorders>
          </w:tcPr>
          <w:p w:rsidR="00000000" w:rsidRDefault="00000000">
            <w:pPr>
              <w:pStyle w:val="a2"/>
              <w:tabs>
                <w:tab w:val="decimal" w:pos="674"/>
              </w:tabs>
              <w:rPr>
                <w:spacing w:val="-20"/>
              </w:rPr>
            </w:pPr>
            <w:r>
              <w:rPr>
                <w:spacing w:val="-20"/>
              </w:rPr>
              <w:t>513,977</w:t>
            </w:r>
          </w:p>
        </w:tc>
        <w:tc>
          <w:tcPr>
            <w:tcW w:w="884" w:type="dxa"/>
            <w:tcBorders>
              <w:top w:val="nil"/>
            </w:tcBorders>
          </w:tcPr>
          <w:p w:rsidR="00000000" w:rsidRDefault="00000000">
            <w:pPr>
              <w:pStyle w:val="a2"/>
              <w:tabs>
                <w:tab w:val="decimal" w:pos="674"/>
              </w:tabs>
              <w:rPr>
                <w:spacing w:val="-20"/>
              </w:rPr>
            </w:pPr>
            <w:r>
              <w:rPr>
                <w:spacing w:val="-20"/>
              </w:rPr>
              <w:t>470,982</w:t>
            </w:r>
          </w:p>
        </w:tc>
        <w:tc>
          <w:tcPr>
            <w:tcW w:w="884" w:type="dxa"/>
            <w:tcBorders>
              <w:top w:val="nil"/>
            </w:tcBorders>
          </w:tcPr>
          <w:p w:rsidR="00000000" w:rsidRDefault="00000000">
            <w:pPr>
              <w:pStyle w:val="a2"/>
              <w:tabs>
                <w:tab w:val="decimal" w:pos="674"/>
              </w:tabs>
              <w:rPr>
                <w:spacing w:val="-20"/>
              </w:rPr>
            </w:pPr>
            <w:r>
              <w:rPr>
                <w:spacing w:val="-20"/>
              </w:rPr>
              <w:t>359,052</w:t>
            </w:r>
          </w:p>
        </w:tc>
        <w:tc>
          <w:tcPr>
            <w:tcW w:w="884" w:type="dxa"/>
            <w:tcBorders>
              <w:top w:val="nil"/>
            </w:tcBorders>
          </w:tcPr>
          <w:p w:rsidR="00000000" w:rsidRDefault="00000000">
            <w:pPr>
              <w:pStyle w:val="a2"/>
              <w:tabs>
                <w:tab w:val="decimal" w:pos="674"/>
              </w:tabs>
            </w:pPr>
            <w:r>
              <w:t>226,934</w:t>
            </w:r>
          </w:p>
        </w:tc>
      </w:tr>
    </w:tbl>
    <w:p w:rsidR="00000000" w:rsidRDefault="00000000">
      <w:pPr>
        <w:tabs>
          <w:tab w:val="decimal" w:pos="1785"/>
        </w:tabs>
        <w:spacing w:before="180" w:line="288" w:lineRule="auto"/>
        <w:ind w:left="260" w:firstLine="510"/>
        <w:rPr>
          <w:rFonts w:eastAsia="KaiTi_GB2312" w:hint="eastAsia"/>
          <w:snapToGrid/>
          <w:spacing w:val="0"/>
        </w:rPr>
      </w:pPr>
      <w:r>
        <w:rPr>
          <w:rFonts w:eastAsia="KaiTi_GB2312" w:hint="eastAsia"/>
          <w:snapToGrid/>
          <w:spacing w:val="0"/>
          <w:u w:val="single"/>
        </w:rPr>
        <w:t>注</w:t>
      </w:r>
      <w:r>
        <w:rPr>
          <w:rFonts w:eastAsia="KaiTi_GB2312" w:hint="eastAsia"/>
          <w:snapToGrid/>
          <w:spacing w:val="0"/>
        </w:rPr>
        <w:t>：</w:t>
      </w:r>
      <w:r>
        <w:rPr>
          <w:rFonts w:eastAsia="KaiTi_GB2312" w:hint="eastAsia"/>
          <w:snapToGrid/>
          <w:spacing w:val="0"/>
        </w:rPr>
        <w:t>(</w:t>
      </w:r>
      <w:r>
        <w:rPr>
          <w:rFonts w:eastAsia="KaiTi_GB2312" w:hint="eastAsia"/>
          <w:snapToGrid/>
          <w:spacing w:val="-4"/>
        </w:rPr>
        <w:t>1)</w:t>
      </w:r>
      <w:r>
        <w:rPr>
          <w:rFonts w:eastAsia="KaiTi_GB2312"/>
          <w:snapToGrid/>
          <w:spacing w:val="-4"/>
        </w:rPr>
        <w:tab/>
      </w:r>
      <w:r>
        <w:rPr>
          <w:rFonts w:eastAsia="KaiTi_GB2312" w:hint="eastAsia"/>
          <w:snapToGrid/>
          <w:spacing w:val="-4"/>
        </w:rPr>
        <w:t xml:space="preserve"> </w:t>
      </w:r>
      <w:r>
        <w:rPr>
          <w:rFonts w:eastAsia="KaiTi_GB2312" w:hint="eastAsia"/>
          <w:snapToGrid/>
          <w:spacing w:val="-4"/>
        </w:rPr>
        <w:t>为了统一统计口径，</w:t>
      </w:r>
      <w:r>
        <w:rPr>
          <w:rFonts w:eastAsia="KaiTi_GB2312" w:hint="eastAsia"/>
          <w:snapToGrid/>
          <w:spacing w:val="-4"/>
        </w:rPr>
        <w:t>1995</w:t>
      </w:r>
      <w:r>
        <w:rPr>
          <w:rFonts w:eastAsia="KaiTi_GB2312" w:hint="eastAsia"/>
          <w:snapToGrid/>
          <w:spacing w:val="-4"/>
        </w:rPr>
        <w:t>、</w:t>
      </w:r>
      <w:r>
        <w:rPr>
          <w:rFonts w:eastAsia="KaiTi_GB2312" w:hint="eastAsia"/>
          <w:snapToGrid/>
          <w:spacing w:val="-4"/>
        </w:rPr>
        <w:t>2000</w:t>
      </w:r>
      <w:r>
        <w:rPr>
          <w:rFonts w:eastAsia="KaiTi_GB2312" w:hint="eastAsia"/>
          <w:snapToGrid/>
          <w:spacing w:val="-4"/>
        </w:rPr>
        <w:t>年妇产医院及其床位数均计入妇幼保健院中。</w:t>
      </w:r>
    </w:p>
    <w:p w:rsidR="00000000" w:rsidRDefault="00000000">
      <w:pPr>
        <w:tabs>
          <w:tab w:val="left" w:pos="945"/>
        </w:tabs>
        <w:spacing w:line="288" w:lineRule="auto"/>
        <w:ind w:left="1625" w:hanging="361"/>
        <w:rPr>
          <w:rFonts w:eastAsia="KaiTi_GB2312" w:hint="eastAsia"/>
          <w:snapToGrid/>
          <w:spacing w:val="0"/>
        </w:rPr>
      </w:pPr>
      <w:r>
        <w:rPr>
          <w:rFonts w:eastAsia="KaiTi_GB2312" w:hint="eastAsia"/>
          <w:snapToGrid/>
          <w:spacing w:val="0"/>
        </w:rPr>
        <w:t>(2)</w:t>
      </w:r>
      <w:r>
        <w:rPr>
          <w:rFonts w:eastAsia="KaiTi_GB2312"/>
          <w:snapToGrid/>
          <w:spacing w:val="0"/>
        </w:rPr>
        <w:t xml:space="preserve"> </w:t>
      </w:r>
      <w:r>
        <w:rPr>
          <w:rFonts w:eastAsia="KaiTi_GB2312" w:hint="eastAsia"/>
          <w:snapToGrid/>
          <w:spacing w:val="0"/>
        </w:rPr>
        <w:t>1965</w:t>
      </w:r>
      <w:r>
        <w:rPr>
          <w:rFonts w:eastAsia="KaiTi_GB2312" w:hint="eastAsia"/>
          <w:snapToGrid/>
          <w:spacing w:val="0"/>
        </w:rPr>
        <w:t>年妇产科、儿科西医师系</w:t>
      </w:r>
      <w:r>
        <w:rPr>
          <w:rFonts w:eastAsia="KaiTi_GB2312" w:hint="eastAsia"/>
          <w:snapToGrid/>
          <w:spacing w:val="0"/>
        </w:rPr>
        <w:t>1963</w:t>
      </w:r>
      <w:r>
        <w:rPr>
          <w:rFonts w:eastAsia="KaiTi_GB2312" w:hint="eastAsia"/>
          <w:snapToGrid/>
          <w:spacing w:val="0"/>
        </w:rPr>
        <w:t>年数字，</w:t>
      </w:r>
      <w:r>
        <w:rPr>
          <w:rFonts w:eastAsia="KaiTi_GB2312" w:hint="eastAsia"/>
          <w:snapToGrid/>
          <w:spacing w:val="0"/>
        </w:rPr>
        <w:t>2001</w:t>
      </w:r>
      <w:r>
        <w:rPr>
          <w:rFonts w:eastAsia="KaiTi_GB2312" w:hint="eastAsia"/>
          <w:snapToGrid/>
          <w:spacing w:val="0"/>
        </w:rPr>
        <w:t>年妇产科、儿科西医师系</w:t>
      </w:r>
      <w:r>
        <w:rPr>
          <w:rFonts w:eastAsia="KaiTi_GB2312" w:hint="eastAsia"/>
          <w:snapToGrid/>
          <w:spacing w:val="0"/>
        </w:rPr>
        <w:t>2000</w:t>
      </w:r>
      <w:r>
        <w:rPr>
          <w:rFonts w:eastAsia="KaiTi_GB2312" w:hint="eastAsia"/>
          <w:snapToGrid/>
          <w:spacing w:val="0"/>
        </w:rPr>
        <w:t>年数字。</w:t>
      </w:r>
    </w:p>
    <w:p w:rsidR="00000000" w:rsidRDefault="00000000">
      <w:pPr>
        <w:spacing w:line="288" w:lineRule="auto"/>
        <w:ind w:firstLine="13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：卫生部提供。</w:t>
      </w:r>
    </w:p>
    <w:p w:rsidR="00000000" w:rsidRDefault="00000000">
      <w:pPr>
        <w:rPr>
          <w:rFonts w:eastAsia="KaiTi_GB2312" w:hint="eastAsia"/>
          <w:snapToGrid/>
          <w:spacing w:val="0"/>
        </w:rPr>
      </w:pPr>
    </w:p>
    <w:p w:rsidR="00000000" w:rsidRDefault="00000000">
      <w:pPr>
        <w:spacing w:after="320"/>
        <w:jc w:val="center"/>
      </w:pPr>
      <w:r>
        <w:rPr>
          <w:rFonts w:eastAsia="KaiTi_GB2312"/>
          <w:spacing w:val="0"/>
        </w:rPr>
        <w:br w:type="page"/>
      </w:r>
      <w:r>
        <w:rPr>
          <w:rFonts w:hint="eastAsia"/>
          <w:u w:val="single"/>
        </w:rPr>
        <w:t>表</w:t>
      </w:r>
      <w:r>
        <w:rPr>
          <w:u w:val="single"/>
        </w:rPr>
        <w:t>23</w:t>
      </w:r>
      <w:r>
        <w:t>.</w:t>
      </w:r>
      <w:r>
        <w:rPr>
          <w:rFonts w:hint="eastAsia"/>
        </w:rPr>
        <w:t xml:space="preserve">  </w:t>
      </w:r>
      <w:r>
        <w:rPr>
          <w:rFonts w:hint="eastAsia"/>
          <w:u w:val="single"/>
        </w:rPr>
        <w:t>中国</w:t>
      </w:r>
      <w:r>
        <w:rPr>
          <w:u w:val="single"/>
        </w:rPr>
        <w:t>28</w:t>
      </w:r>
      <w:r>
        <w:rPr>
          <w:rFonts w:hint="eastAsia"/>
          <w:u w:val="single"/>
        </w:rPr>
        <w:t>个环境疾病监控点分布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352"/>
        <w:gridCol w:w="2353"/>
        <w:gridCol w:w="2353"/>
      </w:tblGrid>
      <w:tr w:rsidR="00000000">
        <w:tblPrEx>
          <w:tblCellMar>
            <w:top w:w="0" w:type="dxa"/>
            <w:bottom w:w="0" w:type="dxa"/>
          </w:tblCellMar>
        </w:tblPrEx>
        <w:tc>
          <w:tcPr>
            <w:tcW w:w="2352" w:type="dxa"/>
            <w:tcBorders>
              <w:bottom w:val="single" w:sz="4" w:space="0" w:color="auto"/>
            </w:tcBorders>
          </w:tcPr>
          <w:p w:rsidR="00000000" w:rsidRDefault="00000000">
            <w:pPr>
              <w:spacing w:before="120"/>
              <w:jc w:val="center"/>
              <w:rPr>
                <w:rFonts w:ascii="Time New Roman" w:eastAsia="SimHei" w:hAnsi="Time New Roman" w:hint="eastAsia"/>
                <w:sz w:val="22"/>
                <w:szCs w:val="30"/>
              </w:rPr>
            </w:pPr>
            <w:r>
              <w:rPr>
                <w:rFonts w:ascii="Time New Roman" w:eastAsia="SimHei" w:hAnsi="Time New Roman" w:hint="eastAsia"/>
                <w:sz w:val="22"/>
                <w:szCs w:val="30"/>
              </w:rPr>
              <w:t>环境监测点</w:t>
            </w:r>
          </w:p>
        </w:tc>
        <w:tc>
          <w:tcPr>
            <w:tcW w:w="2352" w:type="dxa"/>
            <w:tcBorders>
              <w:bottom w:val="single" w:sz="4" w:space="0" w:color="auto"/>
            </w:tcBorders>
          </w:tcPr>
          <w:p w:rsidR="00000000" w:rsidRDefault="00000000">
            <w:pPr>
              <w:spacing w:before="120"/>
              <w:jc w:val="center"/>
              <w:rPr>
                <w:rFonts w:ascii="Time New Roman" w:eastAsia="SimHei" w:hAnsi="Time New Roman" w:hint="eastAsia"/>
                <w:sz w:val="22"/>
                <w:szCs w:val="30"/>
              </w:rPr>
            </w:pPr>
            <w:r>
              <w:rPr>
                <w:rFonts w:ascii="Time New Roman" w:eastAsia="SimHei" w:hAnsi="Time New Roman"/>
                <w:b/>
                <w:sz w:val="22"/>
                <w:szCs w:val="30"/>
              </w:rPr>
              <w:t>D</w:t>
            </w:r>
            <w:r>
              <w:rPr>
                <w:rFonts w:ascii="Time New Roman" w:eastAsia="SimHei" w:hAnsi="Time New Roman" w:hint="eastAsia"/>
                <w:b/>
                <w:sz w:val="22"/>
                <w:szCs w:val="30"/>
              </w:rPr>
              <w:t>SP</w:t>
            </w:r>
            <w:r>
              <w:rPr>
                <w:rFonts w:ascii="Time New Roman" w:eastAsia="SimHei" w:hAnsi="Time New Roman" w:hint="eastAsia"/>
                <w:sz w:val="22"/>
                <w:szCs w:val="30"/>
              </w:rPr>
              <w:t>点</w:t>
            </w:r>
          </w:p>
        </w:tc>
        <w:tc>
          <w:tcPr>
            <w:tcW w:w="2353" w:type="dxa"/>
            <w:tcBorders>
              <w:bottom w:val="single" w:sz="4" w:space="0" w:color="auto"/>
            </w:tcBorders>
          </w:tcPr>
          <w:p w:rsidR="00000000" w:rsidRDefault="00000000">
            <w:pPr>
              <w:spacing w:before="120"/>
              <w:jc w:val="center"/>
              <w:rPr>
                <w:rFonts w:ascii="Time New Roman" w:eastAsia="SimHei" w:hAnsi="Time New Roman" w:hint="eastAsia"/>
                <w:sz w:val="22"/>
                <w:szCs w:val="30"/>
              </w:rPr>
            </w:pPr>
            <w:r>
              <w:rPr>
                <w:rFonts w:ascii="Time New Roman" w:eastAsia="SimHei" w:hAnsi="Time New Roman" w:hint="eastAsia"/>
                <w:sz w:val="22"/>
                <w:szCs w:val="30"/>
              </w:rPr>
              <w:t>环境监测点</w:t>
            </w:r>
          </w:p>
        </w:tc>
        <w:tc>
          <w:tcPr>
            <w:tcW w:w="2353" w:type="dxa"/>
            <w:tcBorders>
              <w:bottom w:val="single" w:sz="4" w:space="0" w:color="auto"/>
            </w:tcBorders>
          </w:tcPr>
          <w:p w:rsidR="00000000" w:rsidRDefault="00000000">
            <w:pPr>
              <w:spacing w:before="120"/>
              <w:jc w:val="center"/>
              <w:rPr>
                <w:rFonts w:ascii="Time New Roman" w:eastAsia="SimHei" w:hAnsi="Time New Roman"/>
                <w:sz w:val="22"/>
                <w:szCs w:val="30"/>
              </w:rPr>
            </w:pPr>
            <w:r>
              <w:rPr>
                <w:rFonts w:ascii="Time New Roman" w:eastAsia="SimHei" w:hAnsi="Time New Roman" w:hint="eastAsia"/>
                <w:b/>
                <w:sz w:val="22"/>
                <w:szCs w:val="30"/>
              </w:rPr>
              <w:t>DSP</w:t>
            </w:r>
            <w:r>
              <w:rPr>
                <w:rFonts w:ascii="Time New Roman" w:eastAsia="SimHei" w:hAnsi="Time New Roman" w:hint="eastAsia"/>
                <w:sz w:val="22"/>
                <w:szCs w:val="30"/>
              </w:rPr>
              <w:t>点</w:t>
            </w:r>
          </w:p>
        </w:tc>
      </w:tr>
      <w:tr w:rsidR="00000000">
        <w:tblPrEx>
          <w:tblCellMar>
            <w:top w:w="0" w:type="dxa"/>
            <w:bottom w:w="0" w:type="dxa"/>
          </w:tblCellMar>
        </w:tblPrEx>
        <w:tc>
          <w:tcPr>
            <w:tcW w:w="2352" w:type="dxa"/>
            <w:tcBorders>
              <w:bottom w:val="nil"/>
            </w:tcBorders>
          </w:tcPr>
          <w:p w:rsidR="00000000" w:rsidRDefault="00000000">
            <w:pPr>
              <w:spacing w:before="60"/>
              <w:ind w:left="113"/>
              <w:rPr>
                <w:rFonts w:hint="eastAsia"/>
                <w:sz w:val="22"/>
                <w:szCs w:val="30"/>
              </w:rPr>
            </w:pPr>
            <w:r>
              <w:rPr>
                <w:rFonts w:hint="eastAsia"/>
                <w:sz w:val="22"/>
                <w:szCs w:val="30"/>
              </w:rPr>
              <w:t>郑州</w:t>
            </w:r>
          </w:p>
        </w:tc>
        <w:tc>
          <w:tcPr>
            <w:tcW w:w="2352" w:type="dxa"/>
            <w:tcBorders>
              <w:bottom w:val="nil"/>
            </w:tcBorders>
          </w:tcPr>
          <w:p w:rsidR="00000000" w:rsidRDefault="00000000">
            <w:pPr>
              <w:spacing w:before="60"/>
              <w:ind w:left="113"/>
              <w:rPr>
                <w:rFonts w:hint="eastAsia"/>
                <w:sz w:val="22"/>
                <w:szCs w:val="30"/>
              </w:rPr>
            </w:pPr>
            <w:r>
              <w:rPr>
                <w:rFonts w:hint="eastAsia"/>
                <w:sz w:val="22"/>
                <w:szCs w:val="30"/>
              </w:rPr>
              <w:t>郑州市</w:t>
            </w:r>
          </w:p>
        </w:tc>
        <w:tc>
          <w:tcPr>
            <w:tcW w:w="2353" w:type="dxa"/>
            <w:tcBorders>
              <w:bottom w:val="nil"/>
            </w:tcBorders>
          </w:tcPr>
          <w:p w:rsidR="00000000" w:rsidRDefault="00000000">
            <w:pPr>
              <w:spacing w:before="60"/>
              <w:ind w:left="284"/>
              <w:rPr>
                <w:rFonts w:hint="eastAsia"/>
                <w:sz w:val="22"/>
                <w:szCs w:val="30"/>
              </w:rPr>
            </w:pPr>
            <w:r>
              <w:rPr>
                <w:rFonts w:hint="eastAsia"/>
                <w:sz w:val="22"/>
                <w:szCs w:val="30"/>
              </w:rPr>
              <w:t>拉萨</w:t>
            </w:r>
          </w:p>
        </w:tc>
        <w:tc>
          <w:tcPr>
            <w:tcW w:w="2353" w:type="dxa"/>
            <w:tcBorders>
              <w:bottom w:val="nil"/>
            </w:tcBorders>
          </w:tcPr>
          <w:p w:rsidR="00000000" w:rsidRDefault="00000000">
            <w:pPr>
              <w:spacing w:before="60"/>
              <w:ind w:left="113"/>
              <w:rPr>
                <w:rFonts w:hint="eastAsia"/>
                <w:sz w:val="22"/>
                <w:szCs w:val="30"/>
              </w:rPr>
            </w:pPr>
            <w:r>
              <w:rPr>
                <w:rFonts w:hint="eastAsia"/>
                <w:sz w:val="22"/>
                <w:szCs w:val="30"/>
              </w:rPr>
              <w:t>拉萨市</w:t>
            </w:r>
            <w:r>
              <w:rPr>
                <w:sz w:val="22"/>
                <w:szCs w:val="30"/>
              </w:rPr>
              <w:t>/</w:t>
            </w:r>
            <w:r>
              <w:rPr>
                <w:rFonts w:hint="eastAsia"/>
                <w:sz w:val="22"/>
                <w:szCs w:val="30"/>
              </w:rPr>
              <w:t>城关区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银川</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银川市</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兰州</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兰州市</w:t>
            </w:r>
            <w:r>
              <w:rPr>
                <w:sz w:val="22"/>
                <w:szCs w:val="30"/>
              </w:rPr>
              <w:t>/</w:t>
            </w:r>
            <w:r>
              <w:rPr>
                <w:rFonts w:hint="eastAsia"/>
                <w:sz w:val="22"/>
                <w:szCs w:val="30"/>
              </w:rPr>
              <w:t>城关区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西宁</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西宁市</w:t>
            </w:r>
            <w:r>
              <w:rPr>
                <w:sz w:val="22"/>
                <w:szCs w:val="30"/>
              </w:rPr>
              <w:t>/</w:t>
            </w:r>
            <w:r>
              <w:rPr>
                <w:rFonts w:hint="eastAsia"/>
                <w:sz w:val="22"/>
                <w:szCs w:val="30"/>
              </w:rPr>
              <w:t>城中区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昆明</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昆明市</w:t>
            </w:r>
            <w:r>
              <w:rPr>
                <w:sz w:val="22"/>
                <w:szCs w:val="30"/>
              </w:rPr>
              <w:t>/</w:t>
            </w:r>
            <w:r>
              <w:rPr>
                <w:rFonts w:hint="eastAsia"/>
                <w:sz w:val="22"/>
                <w:szCs w:val="30"/>
              </w:rPr>
              <w:t>盘龙区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西安</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西安市</w:t>
            </w:r>
            <w:r>
              <w:rPr>
                <w:sz w:val="22"/>
                <w:szCs w:val="30"/>
              </w:rPr>
              <w:t>/</w:t>
            </w:r>
            <w:r>
              <w:rPr>
                <w:rFonts w:hint="eastAsia"/>
                <w:sz w:val="22"/>
                <w:szCs w:val="30"/>
              </w:rPr>
              <w:t>碑林区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呼和浩特</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呼和浩特市</w:t>
            </w:r>
            <w:r>
              <w:rPr>
                <w:sz w:val="22"/>
                <w:szCs w:val="30"/>
              </w:rPr>
              <w:t>/</w:t>
            </w:r>
            <w:r>
              <w:rPr>
                <w:rFonts w:hint="eastAsia"/>
                <w:sz w:val="22"/>
                <w:szCs w:val="30"/>
              </w:rPr>
              <w:t>回民区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乌鲁木齐</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乌鲁木齐市</w:t>
            </w:r>
            <w:r>
              <w:rPr>
                <w:sz w:val="22"/>
                <w:szCs w:val="30"/>
              </w:rPr>
              <w:t>/</w:t>
            </w:r>
            <w:r>
              <w:rPr>
                <w:rFonts w:hint="eastAsia"/>
                <w:sz w:val="22"/>
                <w:szCs w:val="30"/>
              </w:rPr>
              <w:t>天山区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合肥</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合肥市</w:t>
            </w:r>
            <w:r>
              <w:rPr>
                <w:sz w:val="22"/>
                <w:szCs w:val="30"/>
              </w:rPr>
              <w:t>/</w:t>
            </w:r>
            <w:r>
              <w:rPr>
                <w:rFonts w:hint="eastAsia"/>
                <w:sz w:val="22"/>
                <w:szCs w:val="30"/>
              </w:rPr>
              <w:t>中市区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武汉</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武汉市</w:t>
            </w:r>
            <w:r>
              <w:rPr>
                <w:sz w:val="22"/>
                <w:szCs w:val="30"/>
              </w:rPr>
              <w:t>/</w:t>
            </w:r>
            <w:r>
              <w:rPr>
                <w:rFonts w:hint="eastAsia"/>
                <w:sz w:val="22"/>
                <w:szCs w:val="30"/>
              </w:rPr>
              <w:t>江岸区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杭州</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杭州市</w:t>
            </w:r>
            <w:r>
              <w:rPr>
                <w:sz w:val="22"/>
                <w:szCs w:val="30"/>
              </w:rPr>
              <w:t>/</w:t>
            </w:r>
            <w:r>
              <w:rPr>
                <w:rFonts w:hint="eastAsia"/>
                <w:sz w:val="22"/>
                <w:szCs w:val="30"/>
              </w:rPr>
              <w:t>下城区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天津</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和平区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海口</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海口市</w:t>
            </w:r>
            <w:r>
              <w:rPr>
                <w:sz w:val="22"/>
                <w:szCs w:val="30"/>
              </w:rPr>
              <w:t>/</w:t>
            </w:r>
            <w:r>
              <w:rPr>
                <w:rFonts w:hint="eastAsia"/>
                <w:sz w:val="22"/>
                <w:szCs w:val="30"/>
              </w:rPr>
              <w:t>博爱区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rPr>
            </w:pPr>
            <w:r>
              <w:rPr>
                <w:rFonts w:hint="eastAsia"/>
                <w:sz w:val="22"/>
              </w:rPr>
              <w:t>太原</w:t>
            </w:r>
          </w:p>
        </w:tc>
        <w:tc>
          <w:tcPr>
            <w:tcW w:w="2352" w:type="dxa"/>
            <w:tcBorders>
              <w:top w:val="nil"/>
              <w:bottom w:val="nil"/>
            </w:tcBorders>
          </w:tcPr>
          <w:p w:rsidR="00000000" w:rsidRDefault="00000000">
            <w:pPr>
              <w:spacing w:before="60"/>
              <w:ind w:left="113"/>
              <w:rPr>
                <w:rFonts w:hint="eastAsia"/>
                <w:sz w:val="22"/>
              </w:rPr>
            </w:pPr>
            <w:r>
              <w:rPr>
                <w:rFonts w:hint="eastAsia"/>
                <w:sz w:val="22"/>
              </w:rPr>
              <w:t>太原市</w:t>
            </w:r>
            <w:r>
              <w:rPr>
                <w:sz w:val="22"/>
              </w:rPr>
              <w:t>/</w:t>
            </w:r>
            <w:r>
              <w:rPr>
                <w:rFonts w:hint="eastAsia"/>
                <w:sz w:val="22"/>
              </w:rPr>
              <w:t>北城区</w:t>
            </w:r>
          </w:p>
        </w:tc>
        <w:tc>
          <w:tcPr>
            <w:tcW w:w="2353" w:type="dxa"/>
            <w:tcBorders>
              <w:top w:val="nil"/>
              <w:bottom w:val="nil"/>
            </w:tcBorders>
          </w:tcPr>
          <w:p w:rsidR="00000000" w:rsidRDefault="00000000">
            <w:pPr>
              <w:spacing w:before="60"/>
              <w:ind w:left="284"/>
              <w:rPr>
                <w:rFonts w:hint="eastAsia"/>
                <w:sz w:val="22"/>
              </w:rPr>
            </w:pPr>
            <w:r>
              <w:rPr>
                <w:rFonts w:hint="eastAsia"/>
                <w:sz w:val="22"/>
              </w:rPr>
              <w:t>哈尔滨</w:t>
            </w:r>
          </w:p>
        </w:tc>
        <w:tc>
          <w:tcPr>
            <w:tcW w:w="2353" w:type="dxa"/>
            <w:tcBorders>
              <w:top w:val="nil"/>
              <w:bottom w:val="nil"/>
            </w:tcBorders>
          </w:tcPr>
          <w:p w:rsidR="00000000" w:rsidRDefault="00000000">
            <w:pPr>
              <w:spacing w:before="60"/>
              <w:ind w:left="113"/>
              <w:rPr>
                <w:rFonts w:hint="eastAsia"/>
                <w:sz w:val="22"/>
              </w:rPr>
            </w:pPr>
            <w:r>
              <w:rPr>
                <w:rFonts w:hint="eastAsia"/>
                <w:sz w:val="22"/>
              </w:rPr>
              <w:t>哈尔滨市</w:t>
            </w:r>
            <w:r>
              <w:rPr>
                <w:sz w:val="22"/>
              </w:rPr>
              <w:t>/</w:t>
            </w:r>
            <w:r>
              <w:rPr>
                <w:rFonts w:hint="eastAsia"/>
                <w:sz w:val="22"/>
              </w:rPr>
              <w:t>南岗区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石家庄</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石家庄市</w:t>
            </w:r>
            <w:r>
              <w:rPr>
                <w:sz w:val="22"/>
                <w:szCs w:val="30"/>
              </w:rPr>
              <w:t>/</w:t>
            </w:r>
            <w:r>
              <w:rPr>
                <w:rFonts w:hint="eastAsia"/>
                <w:sz w:val="22"/>
                <w:szCs w:val="30"/>
              </w:rPr>
              <w:t>长安区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贵阳</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贵阳市</w:t>
            </w:r>
            <w:r>
              <w:rPr>
                <w:sz w:val="22"/>
                <w:szCs w:val="30"/>
              </w:rPr>
              <w:t>/</w:t>
            </w:r>
            <w:r>
              <w:rPr>
                <w:rFonts w:hint="eastAsia"/>
                <w:sz w:val="22"/>
                <w:szCs w:val="30"/>
              </w:rPr>
              <w:t>南明区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上海</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卢湾区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广州</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广州市</w:t>
            </w:r>
            <w:r>
              <w:rPr>
                <w:sz w:val="22"/>
                <w:szCs w:val="30"/>
              </w:rPr>
              <w:t>/</w:t>
            </w:r>
            <w:r>
              <w:rPr>
                <w:rFonts w:hint="eastAsia"/>
                <w:sz w:val="22"/>
                <w:szCs w:val="30"/>
              </w:rPr>
              <w:t>越秀区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南宁</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南宁市</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福州</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福州市</w:t>
            </w:r>
            <w:r>
              <w:rPr>
                <w:sz w:val="22"/>
                <w:szCs w:val="30"/>
              </w:rPr>
              <w:t>/</w:t>
            </w:r>
            <w:r>
              <w:rPr>
                <w:rFonts w:hint="eastAsia"/>
                <w:sz w:val="22"/>
                <w:szCs w:val="30"/>
              </w:rPr>
              <w:t>仓山区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南京</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南京市</w:t>
            </w:r>
            <w:r>
              <w:rPr>
                <w:sz w:val="22"/>
                <w:szCs w:val="30"/>
              </w:rPr>
              <w:t>/</w:t>
            </w:r>
            <w:r>
              <w:rPr>
                <w:rFonts w:hint="eastAsia"/>
                <w:sz w:val="22"/>
                <w:szCs w:val="30"/>
              </w:rPr>
              <w:t>玄武区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成都</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成都市</w:t>
            </w:r>
            <w:r>
              <w:rPr>
                <w:sz w:val="22"/>
                <w:szCs w:val="30"/>
              </w:rPr>
              <w:t>/</w:t>
            </w:r>
            <w:r>
              <w:rPr>
                <w:rFonts w:hint="eastAsia"/>
                <w:sz w:val="22"/>
                <w:szCs w:val="30"/>
              </w:rPr>
              <w:t>青羊区</w:t>
            </w:r>
          </w:p>
        </w:tc>
      </w:tr>
      <w:tr w:rsidR="00000000">
        <w:tblPrEx>
          <w:tblCellMar>
            <w:top w:w="0" w:type="dxa"/>
            <w:bottom w:w="0" w:type="dxa"/>
          </w:tblCellMar>
        </w:tblPrEx>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南昌</w:t>
            </w:r>
          </w:p>
        </w:tc>
        <w:tc>
          <w:tcPr>
            <w:tcW w:w="2352" w:type="dxa"/>
            <w:tcBorders>
              <w:top w:val="nil"/>
              <w:bottom w:val="nil"/>
            </w:tcBorders>
          </w:tcPr>
          <w:p w:rsidR="00000000" w:rsidRDefault="00000000">
            <w:pPr>
              <w:spacing w:before="60"/>
              <w:ind w:left="113"/>
              <w:rPr>
                <w:rFonts w:hint="eastAsia"/>
                <w:sz w:val="22"/>
                <w:szCs w:val="30"/>
              </w:rPr>
            </w:pPr>
            <w:r>
              <w:rPr>
                <w:rFonts w:hint="eastAsia"/>
                <w:sz w:val="22"/>
                <w:szCs w:val="30"/>
              </w:rPr>
              <w:t>南昌市</w:t>
            </w:r>
            <w:r>
              <w:rPr>
                <w:sz w:val="22"/>
                <w:szCs w:val="30"/>
              </w:rPr>
              <w:t>/</w:t>
            </w:r>
            <w:r>
              <w:rPr>
                <w:rFonts w:hint="eastAsia"/>
                <w:sz w:val="22"/>
                <w:szCs w:val="30"/>
              </w:rPr>
              <w:t>东湖区</w:t>
            </w:r>
          </w:p>
        </w:tc>
        <w:tc>
          <w:tcPr>
            <w:tcW w:w="2353" w:type="dxa"/>
            <w:tcBorders>
              <w:top w:val="nil"/>
              <w:bottom w:val="nil"/>
            </w:tcBorders>
          </w:tcPr>
          <w:p w:rsidR="00000000" w:rsidRDefault="00000000">
            <w:pPr>
              <w:spacing w:before="60"/>
              <w:ind w:left="284"/>
              <w:rPr>
                <w:rFonts w:hint="eastAsia"/>
                <w:sz w:val="22"/>
                <w:szCs w:val="30"/>
              </w:rPr>
            </w:pPr>
            <w:r>
              <w:rPr>
                <w:rFonts w:hint="eastAsia"/>
                <w:sz w:val="22"/>
                <w:szCs w:val="30"/>
              </w:rPr>
              <w:t>长沙</w:t>
            </w:r>
          </w:p>
        </w:tc>
        <w:tc>
          <w:tcPr>
            <w:tcW w:w="2353" w:type="dxa"/>
            <w:tcBorders>
              <w:top w:val="nil"/>
              <w:bottom w:val="nil"/>
            </w:tcBorders>
          </w:tcPr>
          <w:p w:rsidR="00000000" w:rsidRDefault="00000000">
            <w:pPr>
              <w:spacing w:before="60"/>
              <w:ind w:left="113"/>
              <w:rPr>
                <w:rFonts w:hint="eastAsia"/>
                <w:sz w:val="22"/>
                <w:szCs w:val="30"/>
              </w:rPr>
            </w:pPr>
            <w:r>
              <w:rPr>
                <w:rFonts w:hint="eastAsia"/>
                <w:sz w:val="22"/>
                <w:szCs w:val="30"/>
              </w:rPr>
              <w:t>长沙市</w:t>
            </w:r>
            <w:r>
              <w:rPr>
                <w:sz w:val="22"/>
                <w:szCs w:val="30"/>
              </w:rPr>
              <w:t>/</w:t>
            </w:r>
            <w:r>
              <w:rPr>
                <w:rFonts w:hint="eastAsia"/>
                <w:sz w:val="22"/>
                <w:szCs w:val="30"/>
              </w:rPr>
              <w:t>东区</w:t>
            </w:r>
          </w:p>
        </w:tc>
      </w:tr>
      <w:tr w:rsidR="00000000">
        <w:tblPrEx>
          <w:tblCellMar>
            <w:top w:w="0" w:type="dxa"/>
            <w:bottom w:w="0" w:type="dxa"/>
          </w:tblCellMar>
        </w:tblPrEx>
        <w:tc>
          <w:tcPr>
            <w:tcW w:w="2352" w:type="dxa"/>
            <w:tcBorders>
              <w:top w:val="nil"/>
            </w:tcBorders>
          </w:tcPr>
          <w:p w:rsidR="00000000" w:rsidRDefault="00000000">
            <w:pPr>
              <w:spacing w:before="60"/>
              <w:ind w:left="113"/>
              <w:rPr>
                <w:rFonts w:hint="eastAsia"/>
                <w:sz w:val="22"/>
                <w:szCs w:val="30"/>
              </w:rPr>
            </w:pPr>
            <w:r>
              <w:rPr>
                <w:rFonts w:hint="eastAsia"/>
                <w:sz w:val="22"/>
                <w:szCs w:val="30"/>
              </w:rPr>
              <w:t>北京</w:t>
            </w:r>
          </w:p>
        </w:tc>
        <w:tc>
          <w:tcPr>
            <w:tcW w:w="2352" w:type="dxa"/>
            <w:tcBorders>
              <w:top w:val="nil"/>
            </w:tcBorders>
          </w:tcPr>
          <w:p w:rsidR="00000000" w:rsidRDefault="00000000">
            <w:pPr>
              <w:spacing w:before="60"/>
              <w:ind w:left="113"/>
              <w:rPr>
                <w:rFonts w:hint="eastAsia"/>
                <w:sz w:val="22"/>
                <w:szCs w:val="30"/>
              </w:rPr>
            </w:pPr>
            <w:r>
              <w:rPr>
                <w:rFonts w:hint="eastAsia"/>
                <w:sz w:val="22"/>
                <w:szCs w:val="30"/>
              </w:rPr>
              <w:t>东城区</w:t>
            </w:r>
          </w:p>
        </w:tc>
        <w:tc>
          <w:tcPr>
            <w:tcW w:w="2353" w:type="dxa"/>
            <w:tcBorders>
              <w:top w:val="nil"/>
            </w:tcBorders>
          </w:tcPr>
          <w:p w:rsidR="00000000" w:rsidRDefault="00000000">
            <w:pPr>
              <w:spacing w:before="60"/>
              <w:ind w:left="284"/>
              <w:rPr>
                <w:rFonts w:hint="eastAsia"/>
                <w:sz w:val="22"/>
                <w:szCs w:val="30"/>
              </w:rPr>
            </w:pPr>
            <w:r>
              <w:rPr>
                <w:rFonts w:hint="eastAsia"/>
                <w:sz w:val="22"/>
                <w:szCs w:val="30"/>
              </w:rPr>
              <w:t>长春</w:t>
            </w:r>
          </w:p>
        </w:tc>
        <w:tc>
          <w:tcPr>
            <w:tcW w:w="2353" w:type="dxa"/>
            <w:tcBorders>
              <w:top w:val="nil"/>
            </w:tcBorders>
          </w:tcPr>
          <w:p w:rsidR="00000000" w:rsidRDefault="00000000">
            <w:pPr>
              <w:spacing w:before="60"/>
              <w:ind w:left="113"/>
              <w:rPr>
                <w:rFonts w:hint="eastAsia"/>
                <w:sz w:val="22"/>
                <w:szCs w:val="30"/>
              </w:rPr>
            </w:pPr>
            <w:r>
              <w:rPr>
                <w:rFonts w:hint="eastAsia"/>
                <w:sz w:val="22"/>
                <w:szCs w:val="30"/>
              </w:rPr>
              <w:t>长春市</w:t>
            </w:r>
            <w:r>
              <w:rPr>
                <w:sz w:val="22"/>
                <w:szCs w:val="30"/>
              </w:rPr>
              <w:t>/</w:t>
            </w:r>
            <w:r>
              <w:rPr>
                <w:rFonts w:hint="eastAsia"/>
                <w:sz w:val="22"/>
                <w:szCs w:val="30"/>
              </w:rPr>
              <w:t>南关区</w:t>
            </w:r>
          </w:p>
        </w:tc>
      </w:tr>
    </w:tbl>
    <w:p w:rsidR="00000000" w:rsidRDefault="00000000">
      <w:pPr>
        <w:spacing w:before="180"/>
        <w:rPr>
          <w:rFonts w:eastAsia="KaiTi_GB2312" w:hint="eastAsia"/>
          <w:snapToGrid/>
          <w:spacing w:val="0"/>
          <w:szCs w:val="30"/>
        </w:rPr>
      </w:pPr>
      <w:r>
        <w:rPr>
          <w:rFonts w:hint="eastAsia"/>
          <w:szCs w:val="30"/>
        </w:rPr>
        <w:tab/>
      </w:r>
      <w:r>
        <w:rPr>
          <w:rFonts w:eastAsia="KaiTi_GB2312" w:hint="eastAsia"/>
          <w:snapToGrid/>
          <w:spacing w:val="0"/>
          <w:szCs w:val="30"/>
          <w:u w:val="single"/>
        </w:rPr>
        <w:t>资料来源</w:t>
      </w:r>
      <w:r>
        <w:rPr>
          <w:rFonts w:eastAsia="KaiTi_GB2312"/>
          <w:snapToGrid/>
          <w:spacing w:val="0"/>
          <w:szCs w:val="30"/>
        </w:rPr>
        <w:t>：</w:t>
      </w:r>
      <w:r>
        <w:rPr>
          <w:rFonts w:eastAsia="KaiTi_GB2312" w:hint="eastAsia"/>
          <w:snapToGrid/>
          <w:spacing w:val="0"/>
          <w:szCs w:val="30"/>
        </w:rPr>
        <w:t>卫生部提供。</w:t>
      </w:r>
    </w:p>
    <w:p w:rsidR="00000000" w:rsidRDefault="00000000">
      <w:pPr>
        <w:rPr>
          <w:rFonts w:eastAsia="KaiTi_GB2312" w:hint="eastAsia"/>
          <w:snapToGrid/>
          <w:spacing w:val="0"/>
        </w:rPr>
      </w:pPr>
    </w:p>
    <w:p w:rsidR="00000000" w:rsidRDefault="00000000">
      <w:pPr>
        <w:jc w:val="center"/>
        <w:rPr>
          <w:rFonts w:hint="eastAsia"/>
        </w:rPr>
      </w:pPr>
    </w:p>
    <w:p w:rsidR="00000000" w:rsidRDefault="00000000">
      <w:pPr>
        <w:pStyle w:val="Heading1"/>
        <w:rPr>
          <w:rFonts w:hint="eastAsia"/>
          <w:b w:val="0"/>
          <w:bCs/>
        </w:rPr>
      </w:pPr>
      <w:bookmarkStart w:id="27" w:name="_Toc78623562"/>
      <w:bookmarkStart w:id="28" w:name="_Toc78772937"/>
      <w:r>
        <w:rPr>
          <w:rFonts w:hint="eastAsia"/>
          <w:b w:val="0"/>
          <w:bCs/>
        </w:rPr>
        <w:t>附</w:t>
      </w:r>
      <w:r>
        <w:rPr>
          <w:rFonts w:hint="eastAsia"/>
          <w:b w:val="0"/>
          <w:bCs/>
        </w:rPr>
        <w:t xml:space="preserve">  </w:t>
      </w:r>
      <w:r>
        <w:rPr>
          <w:rFonts w:hint="eastAsia"/>
          <w:b w:val="0"/>
          <w:bCs/>
        </w:rPr>
        <w:t>图</w:t>
      </w:r>
      <w:bookmarkEnd w:id="27"/>
      <w:bookmarkEnd w:id="28"/>
    </w:p>
    <w:p w:rsidR="00000000" w:rsidRDefault="00000000">
      <w:pPr>
        <w:jc w:val="center"/>
        <w:rPr>
          <w:rFonts w:hint="eastAsia"/>
        </w:rPr>
      </w:pPr>
      <w:r>
        <w:rPr>
          <w:noProof/>
          <w:snapToGrid/>
          <w:sz w:val="20"/>
          <w:lang w:eastAsia="zh-TW"/>
        </w:rPr>
        <w:pict>
          <v:group id="_x0000_s2050" style="position:absolute;left:0;text-align:left;margin-left:15.75pt;margin-top:16.75pt;width:388.5pt;height:187.2pt;z-index:1" coordorigin="2016,2297" coordsize="7140,3719">
            <v:shapetype id="_x0000_t202" coordsize="21600,21600" o:spt="202" path="m,l,21600r21600,l21600,xe">
              <v:stroke joinstyle="miter"/>
              <v:path gradientshapeok="t" o:connecttype="rect"/>
            </v:shapetype>
            <v:shape id="_x0000_s2051" type="#_x0000_t202" style="position:absolute;left:2226;top:5392;width:6930;height:624" strokecolor="white">
              <v:textbox style="mso-next-textbox:#_x0000_s2051">
                <w:txbxContent>
                  <w:p w:rsidR="00000000" w:rsidRDefault="00000000">
                    <w:pPr>
                      <w:jc w:val="center"/>
                      <w:rPr>
                        <w:rFonts w:hint="eastAsia"/>
                        <w:u w:val="single"/>
                      </w:rPr>
                    </w:pPr>
                    <w:r>
                      <w:rPr>
                        <w:rFonts w:hint="eastAsia"/>
                        <w:u w:val="single"/>
                      </w:rPr>
                      <w:t>图</w:t>
                    </w:r>
                    <w:r>
                      <w:rPr>
                        <w:rFonts w:hint="eastAsia"/>
                        <w:u w:val="single"/>
                      </w:rPr>
                      <w:t>1</w:t>
                    </w:r>
                    <w:r>
                      <w:rPr>
                        <w:rFonts w:hint="eastAsia"/>
                      </w:rPr>
                      <w:t>：</w:t>
                    </w:r>
                    <w:r>
                      <w:rPr>
                        <w:rFonts w:hint="eastAsia"/>
                        <w:u w:val="single"/>
                      </w:rPr>
                      <w:t>1990-2001</w:t>
                    </w:r>
                    <w:r>
                      <w:rPr>
                        <w:rFonts w:hint="eastAsia"/>
                        <w:u w:val="single"/>
                      </w:rPr>
                      <w:t>年中国城镇住宅竣工情况</w:t>
                    </w:r>
                    <w:r>
                      <w:rPr>
                        <w:rFonts w:hint="eastAsia"/>
                        <w:u w:val="single"/>
                      </w:rPr>
                      <w:t>(</w:t>
                    </w:r>
                    <w:r>
                      <w:rPr>
                        <w:rFonts w:hint="eastAsia"/>
                        <w:u w:val="single"/>
                      </w:rPr>
                      <w:t>万平方米</w:t>
                    </w:r>
                    <w:r>
                      <w:rPr>
                        <w:rFonts w:hint="eastAsia"/>
                      </w:rPr>
                      <w:t>)</w:t>
                    </w:r>
                  </w:p>
                </w:txbxContent>
              </v:textbox>
            </v:shape>
            <v:shape id="_x0000_s2052" type="#_x0000_t202" style="position:absolute;left:2016;top:2297;width:630;height:1716" strokecolor="white">
              <v:textbox style="layout-flow:vertical;mso-layout-flow-alt:bottom-to-top;mso-next-textbox:#_x0000_s2052">
                <w:txbxContent>
                  <w:p w:rsidR="00000000" w:rsidRDefault="00000000">
                    <w:pPr>
                      <w:jc w:val="center"/>
                      <w:rPr>
                        <w:rFonts w:hint="eastAsia"/>
                      </w:rPr>
                    </w:pPr>
                    <w:r>
                      <w:rPr>
                        <w:rFonts w:hint="eastAsia"/>
                      </w:rPr>
                      <w:t>(</w:t>
                    </w:r>
                    <w:r>
                      <w:rPr>
                        <w:rFonts w:hint="eastAsia"/>
                      </w:rPr>
                      <w:t>万平方米</w:t>
                    </w:r>
                    <w:r>
                      <w:rPr>
                        <w:rFonts w:hint="eastAsia"/>
                      </w:rPr>
                      <w:t>)</w:t>
                    </w:r>
                  </w:p>
                  <w:p w:rsidR="00000000" w:rsidRDefault="00000000">
                    <w:pPr>
                      <w:jc w:val="center"/>
                    </w:pPr>
                    <w:r>
                      <w:object w:dxaOrig="4320" w:dyaOrig="2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2in" o:ole="">
                          <v:imagedata r:id="rId7" o:title=""/>
                        </v:shape>
                        <o:OLEObject Type="Embed" ProgID="MSGraph.Chart.8" ShapeID="_x0000_i1028" DrawAspect="Content" ObjectID="_1394880503" r:id="rId8">
                          <o:FieldCodes>\s</o:FieldCodes>
                        </o:OLEObject>
                      </w:object>
                    </w:r>
                  </w:p>
                </w:txbxContent>
              </v:textbox>
            </v:shape>
          </v:group>
        </w:pict>
      </w:r>
      <w:r>
        <w:object w:dxaOrig="7800" w:dyaOrig="3285">
          <v:shape id="_x0000_i1025" type="#_x0000_t75" style="width:390pt;height:164.25pt" o:ole="">
            <v:imagedata r:id="rId9" o:title=""/>
          </v:shape>
          <o:OLEObject Type="Embed" ProgID="MSGraph.Chart.8" ShapeID="_x0000_i1025" DrawAspect="Content" ObjectID="_1394880500" r:id="rId10">
            <o:FieldCodes>\s</o:FieldCodes>
          </o:OLEObject>
        </w:objec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pStyle w:val="FootnoteText"/>
        <w:rPr>
          <w:rFonts w:hint="eastAsia"/>
        </w:rPr>
      </w:pPr>
      <w:r>
        <w:object w:dxaOrig="8294" w:dyaOrig="3300">
          <v:shape id="_x0000_i1026" type="#_x0000_t75" style="width:414.75pt;height:165pt" o:ole="">
            <v:imagedata r:id="rId11" o:title=""/>
          </v:shape>
          <o:OLEObject Type="Embed" ProgID="MSGraph.Chart.8" ShapeID="_x0000_i1026" DrawAspect="Content" ObjectID="_1394880501" r:id="rId12">
            <o:FieldCodes>\s</o:FieldCodes>
          </o:OLEObject>
        </w:object>
      </w:r>
    </w:p>
    <w:p w:rsidR="00000000" w:rsidRDefault="00000000">
      <w:pPr>
        <w:rPr>
          <w:rFonts w:hint="eastAsia"/>
        </w:rPr>
      </w:pPr>
      <w:r>
        <w:rPr>
          <w:noProof/>
          <w:snapToGrid/>
          <w:sz w:val="20"/>
          <w:lang w:eastAsia="zh-TW"/>
        </w:rPr>
        <w:pict>
          <v:shape id="_x0000_s2053" type="#_x0000_t202" style="position:absolute;left:0;text-align:left;margin-left:68.25pt;margin-top:7.95pt;width:325.5pt;height:23.4pt;z-index:2" strokecolor="white">
            <v:textbox style="mso-next-textbox:#_x0000_s2053">
              <w:txbxContent>
                <w:p w:rsidR="00000000" w:rsidRDefault="00000000">
                  <w:pPr>
                    <w:rPr>
                      <w:rFonts w:hint="eastAsia"/>
                    </w:rPr>
                  </w:pPr>
                  <w:r>
                    <w:rPr>
                      <w:rFonts w:hint="eastAsia"/>
                      <w:u w:val="single"/>
                    </w:rPr>
                    <w:t>图</w:t>
                  </w:r>
                  <w:r>
                    <w:rPr>
                      <w:rFonts w:hint="eastAsia"/>
                      <w:u w:val="single"/>
                    </w:rPr>
                    <w:t>2</w:t>
                  </w:r>
                  <w:r>
                    <w:rPr>
                      <w:rFonts w:hint="eastAsia"/>
                    </w:rPr>
                    <w:t>：</w:t>
                  </w:r>
                  <w:r>
                    <w:rPr>
                      <w:rFonts w:hint="eastAsia"/>
                      <w:u w:val="single"/>
                    </w:rPr>
                    <w:t>1990-2001</w:t>
                  </w:r>
                  <w:r>
                    <w:rPr>
                      <w:rFonts w:hint="eastAsia"/>
                      <w:u w:val="single"/>
                    </w:rPr>
                    <w:t>年中国城镇投资情况</w:t>
                  </w:r>
                  <w:r>
                    <w:rPr>
                      <w:rFonts w:hint="eastAsia"/>
                      <w:u w:val="single"/>
                    </w:rPr>
                    <w:t>(</w:t>
                  </w:r>
                  <w:r>
                    <w:rPr>
                      <w:rFonts w:hint="eastAsia"/>
                      <w:u w:val="single"/>
                    </w:rPr>
                    <w:t>亿元</w:t>
                  </w:r>
                  <w:r>
                    <w:rPr>
                      <w:rFonts w:hint="eastAsia"/>
                    </w:rPr>
                    <w:t>)</w:t>
                  </w:r>
                </w:p>
              </w:txbxContent>
            </v:textbox>
          </v:shape>
        </w:pict>
      </w:r>
    </w:p>
    <w:p w:rsidR="00000000" w:rsidRDefault="00000000">
      <w:pPr>
        <w:rPr>
          <w:rFonts w:hint="eastAsia"/>
        </w:rPr>
      </w:pPr>
    </w:p>
    <w:p w:rsidR="00000000" w:rsidRDefault="00000000"/>
    <w:p w:rsidR="00000000" w:rsidRDefault="00000000">
      <w:pPr>
        <w:jc w:val="center"/>
      </w:pPr>
      <w:r>
        <w:br w:type="page"/>
      </w:r>
      <w:r>
        <w:object w:dxaOrig="8266" w:dyaOrig="4980">
          <v:shape id="_x0000_i1027" type="#_x0000_t75" style="width:413.25pt;height:249pt" o:ole="">
            <v:imagedata r:id="rId13" o:title=""/>
          </v:shape>
          <o:OLEObject Type="Embed" ProgID="MSGraph.Chart.8" ShapeID="_x0000_i1027" DrawAspect="Content" ObjectID="_1394880502" r:id="rId14">
            <o:FieldCodes>\s</o:FieldCodes>
          </o:OLEObject>
        </w:object>
      </w:r>
    </w:p>
    <w:p w:rsidR="00000000" w:rsidRDefault="00000000">
      <w:pPr>
        <w:ind w:left="629"/>
        <w:rPr>
          <w:rFonts w:hint="eastAsia"/>
        </w:rPr>
      </w:pPr>
      <w:r>
        <w:rPr>
          <w:noProof/>
          <w:snapToGrid/>
          <w:sz w:val="20"/>
          <w:lang w:eastAsia="zh-TW"/>
        </w:rPr>
        <w:pict>
          <v:shape id="_x0000_s2055" type="#_x0000_t202" style="position:absolute;left:0;text-align:left;margin-left:57.75pt;margin-top:-8.15pt;width:341.25pt;height:31.2pt;z-index:4" strokecolor="white">
            <v:textbox style="mso-next-textbox:#_x0000_s2055">
              <w:txbxContent>
                <w:p w:rsidR="00000000" w:rsidRDefault="00000000">
                  <w:pPr>
                    <w:rPr>
                      <w:rFonts w:hint="eastAsia"/>
                      <w:u w:val="single"/>
                    </w:rPr>
                  </w:pPr>
                  <w:r>
                    <w:rPr>
                      <w:rFonts w:hint="eastAsia"/>
                      <w:u w:val="single"/>
                    </w:rPr>
                    <w:t>图</w:t>
                  </w:r>
                  <w:r>
                    <w:rPr>
                      <w:rFonts w:hint="eastAsia"/>
                      <w:u w:val="single"/>
                    </w:rPr>
                    <w:t>3</w:t>
                  </w:r>
                  <w:r>
                    <w:rPr>
                      <w:rFonts w:hint="eastAsia"/>
                    </w:rPr>
                    <w:t>：</w:t>
                  </w:r>
                  <w:r>
                    <w:rPr>
                      <w:rFonts w:hint="eastAsia"/>
                      <w:u w:val="single"/>
                    </w:rPr>
                    <w:t>1990-2001</w:t>
                  </w:r>
                  <w:r>
                    <w:rPr>
                      <w:rFonts w:hint="eastAsia"/>
                      <w:u w:val="single"/>
                    </w:rPr>
                    <w:t>年中国城镇居民人均住房建筑面积情况</w:t>
                  </w:r>
                </w:p>
              </w:txbxContent>
            </v:textbox>
          </v:shape>
        </w:pict>
      </w:r>
      <w:r>
        <w:rPr>
          <w:noProof/>
          <w:snapToGrid/>
          <w:sz w:val="20"/>
          <w:lang w:eastAsia="zh-TW"/>
        </w:rPr>
        <w:pict>
          <v:shape id="_x0000_s2054" type="#_x0000_t202" style="position:absolute;left:0;text-align:left;margin-left:36.75pt;margin-top:-203.15pt;width:26.25pt;height:85.8pt;z-index:3" strokecolor="white">
            <v:textbox style="layout-flow:vertical;mso-layout-flow-alt:bottom-to-top;mso-next-textbox:#_x0000_s2054">
              <w:txbxContent>
                <w:p w:rsidR="00000000" w:rsidRDefault="00000000">
                  <w:pPr>
                    <w:jc w:val="center"/>
                    <w:rPr>
                      <w:rFonts w:hint="eastAsia"/>
                      <w:sz w:val="20"/>
                    </w:rPr>
                  </w:pPr>
                  <w:r>
                    <w:rPr>
                      <w:rFonts w:hint="eastAsia"/>
                      <w:sz w:val="20"/>
                    </w:rPr>
                    <w:t>(</w:t>
                  </w:r>
                  <w:r>
                    <w:rPr>
                      <w:rFonts w:hint="eastAsia"/>
                      <w:sz w:val="20"/>
                    </w:rPr>
                    <w:t>平方米</w:t>
                  </w:r>
                  <w:r>
                    <w:rPr>
                      <w:rFonts w:hint="eastAsia"/>
                      <w:sz w:val="20"/>
                    </w:rPr>
                    <w:t>)</w:t>
                  </w:r>
                </w:p>
              </w:txbxContent>
            </v:textbox>
          </v:shape>
        </w:pict>
      </w:r>
    </w:p>
    <w:p w:rsidR="00000000" w:rsidRDefault="00000000">
      <w:pPr>
        <w:ind w:firstLine="630"/>
      </w:pPr>
    </w:p>
    <w:p w:rsidR="00000000" w:rsidRDefault="00000000">
      <w:pPr>
        <w:ind w:firstLine="630"/>
      </w:pPr>
    </w:p>
    <w:p w:rsidR="00000000" w:rsidRDefault="00000000">
      <w:pPr>
        <w:ind w:firstLine="630"/>
      </w:pPr>
      <w:r>
        <w:rPr>
          <w:noProof/>
          <w:snapToGrid/>
          <w:sz w:val="20"/>
          <w:lang w:eastAsia="zh-TW"/>
        </w:rPr>
        <w:pict>
          <v:group id="_x0000_s2056" style="position:absolute;left:0;text-align:left;margin-left:73.5pt;margin-top:8.2pt;width:351.25pt;height:126.45pt;z-index:5" coordorigin="3171,8693" coordsize="7025,2529">
            <v:shape id="_x0000_s2057" type="#_x0000_t75" style="position:absolute;left:3171;top:8693;width:7025;height:2529;visibility:visible;mso-wrap-edited:f">
              <v:imagedata r:id="rId15" o:title=""/>
            </v:shape>
            <v:shape id="_x0000_s2058" type="#_x0000_t202" style="position:absolute;left:4746;top:9473;width:1785;height:312" strokecolor="#333">
              <v:textbox style="mso-next-textbox:#_x0000_s2058" inset=",.5mm,,0">
                <w:txbxContent>
                  <w:p w:rsidR="00000000" w:rsidRDefault="00000000">
                    <w:pPr>
                      <w:ind w:left="-105" w:firstLine="105"/>
                      <w:jc w:val="left"/>
                      <w:rPr>
                        <w:rFonts w:hint="eastAsia"/>
                        <w:spacing w:val="0"/>
                        <w:sz w:val="16"/>
                      </w:rPr>
                    </w:pPr>
                    <w:r>
                      <w:rPr>
                        <w:rFonts w:hint="eastAsia"/>
                        <w:spacing w:val="0"/>
                        <w:sz w:val="16"/>
                      </w:rPr>
                      <w:t>住房公积金累计金额</w:t>
                    </w:r>
                  </w:p>
                </w:txbxContent>
              </v:textbox>
            </v:shape>
            <v:shape id="_x0000_s2059" type="#_x0000_t202" style="position:absolute;left:3276;top:9005;width:630;height:1872" filled="f" strokecolor="white">
              <v:textbox style="layout-flow:vertical;mso-layout-flow-alt:bottom-to-top;mso-next-textbox:#_x0000_s2059">
                <w:txbxContent>
                  <w:p w:rsidR="00000000" w:rsidRDefault="00000000">
                    <w:pPr>
                      <w:jc w:val="center"/>
                      <w:rPr>
                        <w:rFonts w:hint="eastAsia"/>
                        <w:spacing w:val="0"/>
                        <w:sz w:val="16"/>
                      </w:rPr>
                    </w:pPr>
                    <w:r>
                      <w:rPr>
                        <w:rFonts w:hint="eastAsia"/>
                        <w:spacing w:val="0"/>
                        <w:sz w:val="16"/>
                      </w:rPr>
                      <w:t>累计金额</w:t>
                    </w:r>
                    <w:r>
                      <w:rPr>
                        <w:rFonts w:hint="eastAsia"/>
                        <w:spacing w:val="0"/>
                        <w:sz w:val="16"/>
                      </w:rPr>
                      <w:t>(</w:t>
                    </w:r>
                    <w:r>
                      <w:rPr>
                        <w:rFonts w:hint="eastAsia"/>
                        <w:spacing w:val="0"/>
                        <w:sz w:val="16"/>
                      </w:rPr>
                      <w:t>亿元</w:t>
                    </w:r>
                    <w:r>
                      <w:rPr>
                        <w:rFonts w:hint="eastAsia"/>
                        <w:spacing w:val="0"/>
                        <w:sz w:val="16"/>
                      </w:rPr>
                      <w:t>)</w:t>
                    </w:r>
                  </w:p>
                </w:txbxContent>
              </v:textbox>
            </v:shape>
          </v:group>
          <o:OLEObject Type="Embed" ProgID="Word.Picture.8" ShapeID="_x0000_s2057" DrawAspect="Content" ObjectID="_1394880504" r:id="rId16"/>
        </w:pict>
      </w:r>
    </w:p>
    <w:p w:rsidR="00000000" w:rsidRDefault="00000000">
      <w:pPr>
        <w:ind w:firstLine="630"/>
      </w:pPr>
    </w:p>
    <w:p w:rsidR="00000000" w:rsidRDefault="00000000">
      <w:pPr>
        <w:ind w:firstLine="630"/>
      </w:pPr>
    </w:p>
    <w:p w:rsidR="00000000" w:rsidRDefault="00000000">
      <w:pPr>
        <w:pStyle w:val="FootnoteText"/>
      </w:pPr>
    </w:p>
    <w:p w:rsidR="00000000" w:rsidRDefault="00000000"/>
    <w:p w:rsidR="00000000" w:rsidRDefault="00000000"/>
    <w:p w:rsidR="00000000" w:rsidRDefault="00000000"/>
    <w:p w:rsidR="00000000" w:rsidRDefault="00000000">
      <w:r>
        <w:rPr>
          <w:noProof/>
          <w:snapToGrid/>
          <w:sz w:val="20"/>
          <w:lang w:eastAsia="zh-TW"/>
        </w:rPr>
        <w:pict>
          <v:shape id="_x0000_s2060" type="#_x0000_t202" style="position:absolute;left:0;text-align:left;margin-left:84pt;margin-top:16.25pt;width:283.5pt;height:31.2pt;z-index:6" strokecolor="white">
            <v:textbox style="mso-next-textbox:#_x0000_s2060">
              <w:txbxContent>
                <w:p w:rsidR="00000000" w:rsidRDefault="00000000">
                  <w:pPr>
                    <w:jc w:val="right"/>
                    <w:rPr>
                      <w:rFonts w:hint="eastAsia"/>
                      <w:u w:val="single"/>
                    </w:rPr>
                  </w:pPr>
                  <w:r>
                    <w:rPr>
                      <w:rFonts w:hint="eastAsia"/>
                      <w:u w:val="single"/>
                    </w:rPr>
                    <w:t>图</w:t>
                  </w:r>
                  <w:r>
                    <w:rPr>
                      <w:rFonts w:hint="eastAsia"/>
                      <w:u w:val="single"/>
                    </w:rPr>
                    <w:t>4</w:t>
                  </w:r>
                  <w:r>
                    <w:rPr>
                      <w:rFonts w:hint="eastAsia"/>
                    </w:rPr>
                    <w:t>：</w:t>
                  </w:r>
                  <w:r>
                    <w:rPr>
                      <w:rFonts w:hint="eastAsia"/>
                      <w:u w:val="single"/>
                    </w:rPr>
                    <w:t>1995</w:t>
                  </w:r>
                  <w:r>
                    <w:rPr>
                      <w:rFonts w:hint="eastAsia"/>
                      <w:u w:val="single"/>
                    </w:rPr>
                    <w:t>年至</w:t>
                  </w:r>
                  <w:r>
                    <w:rPr>
                      <w:rFonts w:hint="eastAsia"/>
                      <w:u w:val="single"/>
                    </w:rPr>
                    <w:t>2001</w:t>
                  </w:r>
                  <w:r>
                    <w:rPr>
                      <w:rFonts w:hint="eastAsia"/>
                      <w:u w:val="single"/>
                    </w:rPr>
                    <w:t>年公积金累计金额</w:t>
                  </w:r>
                </w:p>
              </w:txbxContent>
            </v:textbox>
          </v:shape>
        </w:pict>
      </w:r>
    </w:p>
    <w:p w:rsidR="00000000" w:rsidRDefault="00000000"/>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r>
        <w:br w:type="page"/>
      </w:r>
    </w:p>
    <w:p w:rsidR="00000000" w:rsidRDefault="00000000">
      <w:pPr>
        <w:rPr>
          <w:rFonts w:hint="eastAsia"/>
        </w:rPr>
      </w:pPr>
    </w:p>
    <w:p w:rsidR="00000000" w:rsidRDefault="00000000">
      <w:pPr>
        <w:rPr>
          <w:rFonts w:hint="eastAsia"/>
        </w:rPr>
      </w:pPr>
      <w:r>
        <w:rPr>
          <w:noProof/>
          <w:snapToGrid/>
          <w:sz w:val="20"/>
          <w:lang w:eastAsia="zh-TW"/>
        </w:rPr>
        <w:pict>
          <v:group id="_x0000_s2156" style="position:absolute;left:0;text-align:left;margin-left:10.5pt;margin-top:12.3pt;width:446.3pt;height:229.9pt;z-index:9" coordorigin="1911,3003" coordsize="8926,4598">
            <v:shape id="_x0000_s2157" type="#_x0000_t75" style="position:absolute;left:1911;top:3003;width:8926;height:3766">
              <v:imagedata r:id="rId17" o:title=""/>
            </v:shape>
            <v:shape id="_x0000_s2158" type="#_x0000_t202" style="position:absolute;left:2856;top:6977;width:5775;height:624" strokecolor="white">
              <v:textbox style="mso-next-textbox:#_x0000_s2158">
                <w:txbxContent>
                  <w:p w:rsidR="00000000" w:rsidRDefault="00000000">
                    <w:pPr>
                      <w:jc w:val="right"/>
                      <w:rPr>
                        <w:rFonts w:hint="eastAsia"/>
                      </w:rPr>
                    </w:pPr>
                    <w:r>
                      <w:rPr>
                        <w:rFonts w:hint="eastAsia"/>
                        <w:u w:val="single"/>
                      </w:rPr>
                      <w:t>图</w:t>
                    </w:r>
                    <w:r>
                      <w:rPr>
                        <w:rFonts w:hint="eastAsia"/>
                        <w:u w:val="single"/>
                      </w:rPr>
                      <w:t>5</w:t>
                    </w:r>
                    <w:r>
                      <w:rPr>
                        <w:rFonts w:hint="eastAsia"/>
                      </w:rPr>
                      <w:t>：</w:t>
                    </w:r>
                    <w:r>
                      <w:rPr>
                        <w:rFonts w:hint="eastAsia"/>
                        <w:u w:val="single"/>
                      </w:rPr>
                      <w:t>中国粮食总产量的变化</w:t>
                    </w:r>
                    <w:r>
                      <w:rPr>
                        <w:rFonts w:hint="eastAsia"/>
                        <w:u w:val="single"/>
                      </w:rPr>
                      <w:t>(</w:t>
                    </w:r>
                    <w:r>
                      <w:rPr>
                        <w:rFonts w:hint="eastAsia"/>
                        <w:u w:val="single"/>
                      </w:rPr>
                      <w:t>单位，万吨</w:t>
                    </w:r>
                    <w:r>
                      <w:rPr>
                        <w:rFonts w:hint="eastAsia"/>
                      </w:rPr>
                      <w:t>)</w:t>
                    </w:r>
                  </w:p>
                </w:txbxContent>
              </v:textbox>
            </v:shape>
          </v:group>
          <o:OLEObject Type="Embed" ProgID="Excel.Sheet.8" ShapeID="_x0000_s2157" DrawAspect="Content" ObjectID="_1394880505" r:id="rId18"/>
        </w:pic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r>
        <w:rPr>
          <w:noProof/>
          <w:snapToGrid/>
          <w:sz w:val="20"/>
          <w:lang w:eastAsia="zh-TW"/>
        </w:rPr>
        <w:pict>
          <v:group id="_x0000_s2061" style="position:absolute;left:0;text-align:left;margin-left:3.75pt;margin-top:49.6pt;width:430.45pt;height:164.95pt;z-index:7" coordorigin="1776,8768" coordsize="8609,3299">
            <v:rect id="_x0000_s2062" style="position:absolute;left:1776;top:8768;width:8504;height:3299" strokecolor="white"/>
            <v:rect id="_x0000_s2063" style="position:absolute;left:2826;top:9068;width:6884;height:2114" stroked="f"/>
            <v:rect id="_x0000_s2064" style="position:absolute;left:2826;top:9068;width:6884;height:2114" filled="f" strokecolor="white"/>
            <v:rect id="_x0000_s2065" style="position:absolute;left:3036;top:10403;width:285;height:779" fillcolor="#ff8080"/>
            <v:rect id="_x0000_s2066" style="position:absolute;left:4026;top:9428;width:285;height:1754" fillcolor="#ff8080"/>
            <v:rect id="_x0000_s2067" style="position:absolute;left:5001;top:10163;width:285;height:1019" fillcolor="#ff8080"/>
            <v:rect id="_x0000_s2068" style="position:absolute;left:5991;top:10582;width:284;height:600" fillcolor="#ff8080"/>
            <v:rect id="_x0000_s2069" style="position:absolute;left:6965;top:10582;width:285;height:600" fillcolor="#ff8080"/>
            <v:rect id="_x0000_s2070" style="position:absolute;left:7955;top:10537;width:285;height:645" fillcolor="#ff8080"/>
            <v:rect id="_x0000_s2071" style="position:absolute;left:8930;top:10028;width:285;height:1154" fillcolor="#ff8080"/>
            <v:rect id="_x0000_s2072" style="position:absolute;left:3321;top:10043;width:285;height:1139" fillcolor="#ccf"/>
            <v:rect id="_x0000_s2073" style="position:absolute;left:4311;top:11002;width:270;height:180" fillcolor="#ccf"/>
            <v:rect id="_x0000_s2074" style="position:absolute;left:5286;top:11062;width:285;height:120" fillcolor="#ccf"/>
            <v:rect id="_x0000_s2075" style="position:absolute;left:6275;top:10462;width:270;height:720" fillcolor="#ccf"/>
            <v:rect id="_x0000_s2076" style="position:absolute;left:7250;top:10417;width:285;height:765" fillcolor="#ccf"/>
            <v:rect id="_x0000_s2077" style="position:absolute;left:8240;top:10537;width:270;height:645" fillcolor="#ccf"/>
            <v:rect id="_x0000_s2078" style="position:absolute;left:9215;top:9998;width:285;height:1184" fillcolor="#ccf"/>
            <v:line id="_x0000_s2079" style="position:absolute" from="2826,9068" to="2827,11182" strokeweight="0"/>
            <v:line id="_x0000_s2080" style="position:absolute" from="2826,11182" to="2871,11183" strokeweight="0"/>
            <v:line id="_x0000_s2081" style="position:absolute" from="2826,10762" to="2871,10763" strokeweight="0"/>
            <v:line id="_x0000_s2082" style="position:absolute" from="2826,10343" to="2871,10344" strokeweight="0"/>
            <v:line id="_x0000_s2083" style="position:absolute" from="2826,9908" to="2871,9909" strokeweight="0"/>
            <v:line id="_x0000_s2084" style="position:absolute" from="2826,9488" to="2871,9489" strokeweight="0"/>
            <v:line id="_x0000_s2085" style="position:absolute" from="2826,9068" to="2871,9069" strokeweight="0"/>
            <v:line id="_x0000_s2086" style="position:absolute" from="2826,11182" to="9710,11183" strokeweight="0"/>
            <v:line id="_x0000_s2087" style="position:absolute;flip:y" from="2826,11137" to="2827,11182" strokeweight="0"/>
            <v:line id="_x0000_s2088" style="position:absolute;flip:y" from="3816,11137" to="3817,11182" strokeweight="0"/>
            <v:line id="_x0000_s2089" style="position:absolute;flip:y" from="4791,11137" to="4792,11182" strokeweight="0"/>
            <v:line id="_x0000_s2090" style="position:absolute;flip:y" from="5781,11137" to="5782,11182" strokeweight="0"/>
            <v:line id="_x0000_s2091" style="position:absolute;flip:y" from="6755,11137" to="6756,11182" strokeweight="0"/>
            <v:line id="_x0000_s2092" style="position:absolute;flip:y" from="7745,11137" to="7746,11182" strokeweight="0"/>
            <v:line id="_x0000_s2093" style="position:absolute;flip:y" from="8720,11137" to="8721,11182" strokeweight="0"/>
            <v:line id="_x0000_s2094" style="position:absolute;flip:y" from="9710,11137" to="9711,11182" strokeweight="0"/>
            <v:line id="_x0000_s2095" style="position:absolute" from="9710,9068" to="9711,11182" strokeweight="0"/>
            <v:line id="_x0000_s2096" style="position:absolute" from="9665,11182" to="9710,11183" strokeweight="0"/>
            <v:line id="_x0000_s2097" style="position:absolute" from="9665,10837" to="9710,10838" strokeweight="0"/>
            <v:line id="_x0000_s2098" style="position:absolute" from="9665,10477" to="9710,10478" strokeweight="0"/>
            <v:line id="_x0000_s2099" style="position:absolute" from="9665,10133" to="9710,10134" strokeweight="0"/>
            <v:line id="_x0000_s2100" style="position:absolute" from="9665,9773" to="9710,9774" strokeweight="0"/>
            <v:line id="_x0000_s2101" style="position:absolute" from="9665,9428" to="9710,9429" strokeweight="0"/>
            <v:line id="_x0000_s2102" style="position:absolute" from="9665,9068" to="9710,9069" strokeweight="0"/>
            <v:line id="_x0000_s2103" style="position:absolute;flip:y" from="3321,9158" to="4296,10777" strokecolor="#333"/>
            <v:line id="_x0000_s2104" style="position:absolute" from="4296,9158" to="5286,9728" strokecolor="#333"/>
            <v:line id="_x0000_s2105" style="position:absolute" from="5286,9728" to="6275,10582" strokecolor="#333"/>
            <v:line id="_x0000_s2106" style="position:absolute" from="6275,10582" to="7250,10612" strokecolor="#333"/>
            <v:line id="_x0000_s2107" style="position:absolute;flip:y" from="7250,10462" to="8240,10612" strokecolor="#333"/>
            <v:line id="_x0000_s2108" style="position:absolute" from="8240,10462" to="9215,10507" strokecolor="#333"/>
            <v:shape id="_x0000_s2109" style="position:absolute;left:3276;top:10732;width:90;height:90" coordsize="90,90" path="m45,l90,45,45,90,,45,45,xe" fillcolor="black">
              <v:path arrowok="t"/>
            </v:shape>
            <v:shape id="_x0000_s2110" style="position:absolute;left:4251;top:9113;width:90;height:90" coordsize="90,90" path="m45,l90,45,45,90,,45,45,xe" fillcolor="black">
              <v:path arrowok="t"/>
            </v:shape>
            <v:shape id="_x0000_s2111" style="position:absolute;left:5241;top:9683;width:90;height:90" coordsize="90,90" path="m45,l90,45,45,90,,45,45,xe" fillcolor="black">
              <v:path arrowok="t"/>
            </v:shape>
            <v:shape id="_x0000_s2112" style="position:absolute;left:6230;top:10537;width:90;height:90" coordsize="90,90" path="m45,l90,45,45,90,,45,45,xe" fillcolor="black">
              <v:path arrowok="t"/>
            </v:shape>
            <v:shape id="_x0000_s2113" style="position:absolute;left:7205;top:10567;width:90;height:90" coordsize="90,90" path="m45,l90,45,45,90,,45,45,xe" fillcolor="black">
              <v:path arrowok="t"/>
            </v:shape>
            <v:shape id="_x0000_s2114" style="position:absolute;left:8195;top:10417;width:90;height:90" coordsize="90,90" path="m45,l90,45,45,90,,45,45,xe" fillcolor="black">
              <v:path arrowok="t"/>
            </v:shape>
            <v:shape id="_x0000_s2115" style="position:absolute;left:9170;top:10462;width:90;height:90" coordsize="90,90" path="m45,l90,45,45,90,,45,45,xe" fillcolor="black">
              <v:path arrowok="t"/>
            </v:shape>
            <v:rect id="_x0000_s2116" style="position:absolute;left:3036;top:10103;width:450;height:270;mso-wrap-style:none" filled="f" stroked="f">
              <v:textbox style="mso-next-textbox:#_x0000_s2116" inset="0,0,0,0">
                <w:txbxContent>
                  <w:p w:rsidR="00000000" w:rsidRDefault="00000000">
                    <w:r>
                      <w:rPr>
                        <w:rFonts w:ascii="Arial" w:hAnsi="Arial" w:cs="Arial"/>
                        <w:color w:val="000000"/>
                        <w:sz w:val="16"/>
                        <w:szCs w:val="16"/>
                      </w:rPr>
                      <w:t>-426</w:t>
                    </w:r>
                  </w:p>
                </w:txbxContent>
              </v:textbox>
            </v:rect>
            <v:rect id="_x0000_s2117" style="position:absolute;left:4131;top:8843;width:495;height:270;mso-wrap-style:none" filled="f" stroked="f">
              <v:textbox style="mso-next-textbox:#_x0000_s2117" inset="0,0,0,0">
                <w:txbxContent>
                  <w:p w:rsidR="00000000" w:rsidRDefault="00000000">
                    <w:r>
                      <w:rPr>
                        <w:rFonts w:ascii="Arial" w:hAnsi="Arial" w:cs="Arial"/>
                        <w:color w:val="000000"/>
                        <w:sz w:val="16"/>
                        <w:szCs w:val="16"/>
                      </w:rPr>
                      <w:t>1867</w:t>
                    </w:r>
                  </w:p>
                </w:txbxContent>
              </v:textbox>
            </v:rect>
            <v:rect id="_x0000_s2118" style="position:absolute;left:5301;top:9368;width:495;height:270;mso-wrap-style:none" filled="f" stroked="f">
              <v:textbox style="mso-next-textbox:#_x0000_s2118" inset="0,0,0,0">
                <w:txbxContent>
                  <w:p w:rsidR="00000000" w:rsidRDefault="00000000">
                    <w:r>
                      <w:rPr>
                        <w:rFonts w:ascii="Arial" w:hAnsi="Arial" w:cs="Arial"/>
                        <w:color w:val="000000"/>
                        <w:sz w:val="16"/>
                        <w:szCs w:val="16"/>
                      </w:rPr>
                      <w:t>1056</w:t>
                    </w:r>
                  </w:p>
                </w:txbxContent>
              </v:textbox>
            </v:rect>
            <v:rect id="_x0000_s2119" style="position:absolute;left:6260;top:10103;width:450;height:270;mso-wrap-style:none" filled="f" stroked="f">
              <v:textbox style="mso-next-textbox:#_x0000_s2119" inset="0,0,0,0">
                <w:txbxContent>
                  <w:p w:rsidR="00000000" w:rsidRDefault="00000000">
                    <w:r>
                      <w:rPr>
                        <w:rFonts w:ascii="Arial" w:hAnsi="Arial" w:cs="Arial"/>
                        <w:color w:val="000000"/>
                        <w:sz w:val="16"/>
                        <w:szCs w:val="16"/>
                      </w:rPr>
                      <w:t>-154</w:t>
                    </w:r>
                  </w:p>
                </w:txbxContent>
              </v:textbox>
            </v:rect>
            <v:rect id="_x0000_s2120" style="position:absolute;left:7040;top:10223;width:450;height:270;mso-wrap-style:none" filled="f" stroked="f">
              <v:textbox style="mso-next-textbox:#_x0000_s2120" inset="0,0,0,0">
                <w:txbxContent>
                  <w:p w:rsidR="00000000" w:rsidRDefault="00000000">
                    <w:r>
                      <w:rPr>
                        <w:rFonts w:ascii="Arial" w:hAnsi="Arial" w:cs="Arial"/>
                        <w:color w:val="000000"/>
                        <w:sz w:val="16"/>
                        <w:szCs w:val="16"/>
                      </w:rPr>
                      <w:t>-198</w:t>
                    </w:r>
                  </w:p>
                </w:txbxContent>
              </v:textbox>
            </v:rect>
            <v:rect id="_x0000_s2121" style="position:absolute;left:8150;top:10043;width:285;height:270;mso-wrap-style:none" filled="f" stroked="f">
              <v:textbox style="mso-next-textbox:#_x0000_s2121" inset="0,0,0,0">
                <w:txbxContent>
                  <w:p w:rsidR="00000000" w:rsidRDefault="00000000">
                    <w:r>
                      <w:rPr>
                        <w:rFonts w:ascii="Arial" w:hAnsi="Arial" w:cs="Arial"/>
                        <w:color w:val="000000"/>
                        <w:sz w:val="16"/>
                        <w:szCs w:val="16"/>
                      </w:rPr>
                      <w:t>13</w:t>
                    </w:r>
                  </w:p>
                </w:txbxContent>
              </v:textbox>
            </v:rect>
            <v:rect id="_x0000_s2122" style="position:absolute;left:9140;top:9653;width:345;height:270;mso-wrap-style:none" filled="f" stroked="f">
              <v:textbox style="mso-next-textbox:#_x0000_s2122" inset="0,0,0,0">
                <w:txbxContent>
                  <w:p w:rsidR="00000000" w:rsidRDefault="00000000">
                    <w:r>
                      <w:rPr>
                        <w:rFonts w:ascii="Arial" w:hAnsi="Arial" w:cs="Arial"/>
                        <w:color w:val="000000"/>
                        <w:sz w:val="16"/>
                        <w:szCs w:val="16"/>
                      </w:rPr>
                      <w:t>-43</w:t>
                    </w:r>
                  </w:p>
                </w:txbxContent>
              </v:textbox>
            </v:rect>
            <v:rect id="_x0000_s2123" style="position:absolute;left:2616;top:11077;width:180;height:270;mso-wrap-style:none" filled="f" stroked="f">
              <v:textbox style="mso-next-textbox:#_x0000_s2123" inset="0,0,0,0">
                <w:txbxContent>
                  <w:p w:rsidR="00000000" w:rsidRDefault="00000000">
                    <w:r>
                      <w:rPr>
                        <w:rFonts w:ascii="Arial" w:hAnsi="Arial" w:cs="Arial"/>
                        <w:color w:val="000000"/>
                        <w:sz w:val="16"/>
                        <w:szCs w:val="16"/>
                      </w:rPr>
                      <w:t>0</w:t>
                    </w:r>
                  </w:p>
                </w:txbxContent>
              </v:textbox>
            </v:rect>
            <v:rect id="_x0000_s2124" style="position:absolute;left:2436;top:10657;width:390;height:270;mso-wrap-style:none" filled="f" stroked="f">
              <v:textbox style="mso-next-textbox:#_x0000_s2124" inset="0,0,0,0">
                <w:txbxContent>
                  <w:p w:rsidR="00000000" w:rsidRDefault="00000000">
                    <w:r>
                      <w:rPr>
                        <w:rFonts w:ascii="Arial" w:hAnsi="Arial" w:cs="Arial"/>
                        <w:color w:val="000000"/>
                        <w:sz w:val="16"/>
                        <w:szCs w:val="16"/>
                      </w:rPr>
                      <w:t>500</w:t>
                    </w:r>
                  </w:p>
                </w:txbxContent>
              </v:textbox>
            </v:rect>
            <v:rect id="_x0000_s2125" style="position:absolute;left:2346;top:10238;width:495;height:270;mso-wrap-style:none" filled="f" stroked="f">
              <v:textbox style="mso-next-textbox:#_x0000_s2125" inset="0,0,0,0">
                <w:txbxContent>
                  <w:p w:rsidR="00000000" w:rsidRDefault="00000000">
                    <w:r>
                      <w:rPr>
                        <w:rFonts w:ascii="Arial" w:hAnsi="Arial" w:cs="Arial"/>
                        <w:color w:val="000000"/>
                        <w:sz w:val="16"/>
                        <w:szCs w:val="16"/>
                      </w:rPr>
                      <w:t>1000</w:t>
                    </w:r>
                  </w:p>
                </w:txbxContent>
              </v:textbox>
            </v:rect>
            <v:rect id="_x0000_s2126" style="position:absolute;left:2346;top:9803;width:495;height:270;mso-wrap-style:none" filled="f" stroked="f">
              <v:textbox style="mso-next-textbox:#_x0000_s2126" inset="0,0,0,0">
                <w:txbxContent>
                  <w:p w:rsidR="00000000" w:rsidRDefault="00000000">
                    <w:r>
                      <w:rPr>
                        <w:rFonts w:ascii="Arial" w:hAnsi="Arial" w:cs="Arial"/>
                        <w:color w:val="000000"/>
                        <w:sz w:val="16"/>
                        <w:szCs w:val="16"/>
                      </w:rPr>
                      <w:t>1500</w:t>
                    </w:r>
                  </w:p>
                </w:txbxContent>
              </v:textbox>
            </v:rect>
            <v:rect id="_x0000_s2127" style="position:absolute;left:2346;top:9383;width:495;height:270;mso-wrap-style:none" filled="f" stroked="f">
              <v:textbox style="mso-next-textbox:#_x0000_s2127" inset="0,0,0,0">
                <w:txbxContent>
                  <w:p w:rsidR="00000000" w:rsidRDefault="00000000">
                    <w:r>
                      <w:rPr>
                        <w:rFonts w:ascii="Arial" w:hAnsi="Arial" w:cs="Arial"/>
                        <w:color w:val="000000"/>
                        <w:sz w:val="16"/>
                        <w:szCs w:val="16"/>
                      </w:rPr>
                      <w:t>2000</w:t>
                    </w:r>
                  </w:p>
                </w:txbxContent>
              </v:textbox>
            </v:rect>
            <v:rect id="_x0000_s2128" style="position:absolute;left:2346;top:8963;width:495;height:270;mso-wrap-style:none" filled="f" stroked="f">
              <v:textbox style="mso-next-textbox:#_x0000_s2128" inset="0,0,0,0">
                <w:txbxContent>
                  <w:p w:rsidR="00000000" w:rsidRDefault="00000000">
                    <w:r>
                      <w:rPr>
                        <w:rFonts w:ascii="Arial" w:hAnsi="Arial" w:cs="Arial"/>
                        <w:color w:val="000000"/>
                        <w:sz w:val="16"/>
                        <w:szCs w:val="16"/>
                      </w:rPr>
                      <w:t>2500</w:t>
                    </w:r>
                  </w:p>
                </w:txbxContent>
              </v:textbox>
            </v:rect>
            <v:rect id="_x0000_s2129" style="position:absolute;left:3141;top:11332;width:450;height:210;mso-wrap-style:none" filled="f" stroked="f">
              <v:textbox style="mso-next-textbox:#_x0000_s2129" inset="0,0,0,0">
                <w:txbxContent>
                  <w:p w:rsidR="00000000" w:rsidRDefault="00000000">
                    <w:r>
                      <w:rPr>
                        <w:rFonts w:ascii="SimSun"/>
                        <w:color w:val="000000"/>
                        <w:sz w:val="16"/>
                        <w:szCs w:val="16"/>
                      </w:rPr>
                      <w:t>1994</w:t>
                    </w:r>
                  </w:p>
                </w:txbxContent>
              </v:textbox>
            </v:rect>
            <v:rect id="_x0000_s2130" style="position:absolute;left:4116;top:11332;width:450;height:210;mso-wrap-style:none" filled="f" stroked="f">
              <v:textbox style="mso-next-textbox:#_x0000_s2130" inset="0,0,0,0">
                <w:txbxContent>
                  <w:p w:rsidR="00000000" w:rsidRDefault="00000000">
                    <w:r>
                      <w:rPr>
                        <w:rFonts w:ascii="SimSun"/>
                        <w:color w:val="000000"/>
                        <w:sz w:val="16"/>
                        <w:szCs w:val="16"/>
                      </w:rPr>
                      <w:t>1995</w:t>
                    </w:r>
                  </w:p>
                </w:txbxContent>
              </v:textbox>
            </v:rect>
            <v:rect id="_x0000_s2131" style="position:absolute;left:5106;top:11332;width:450;height:210;mso-wrap-style:none" filled="f" stroked="f">
              <v:textbox style="mso-next-textbox:#_x0000_s2131" inset="0,0,0,0">
                <w:txbxContent>
                  <w:p w:rsidR="00000000" w:rsidRDefault="00000000">
                    <w:r>
                      <w:rPr>
                        <w:rFonts w:ascii="SimSun"/>
                        <w:color w:val="000000"/>
                        <w:sz w:val="16"/>
                        <w:szCs w:val="16"/>
                      </w:rPr>
                      <w:t>1996</w:t>
                    </w:r>
                  </w:p>
                </w:txbxContent>
              </v:textbox>
            </v:rect>
            <v:rect id="_x0000_s2132" style="position:absolute;left:6095;top:11332;width:450;height:210;mso-wrap-style:none" filled="f" stroked="f">
              <v:textbox style="mso-next-textbox:#_x0000_s2132" inset="0,0,0,0">
                <w:txbxContent>
                  <w:p w:rsidR="00000000" w:rsidRDefault="00000000">
                    <w:r>
                      <w:rPr>
                        <w:rFonts w:ascii="SimSun"/>
                        <w:color w:val="000000"/>
                        <w:sz w:val="16"/>
                        <w:szCs w:val="16"/>
                      </w:rPr>
                      <w:t>1997</w:t>
                    </w:r>
                  </w:p>
                </w:txbxContent>
              </v:textbox>
            </v:rect>
            <v:rect id="_x0000_s2133" style="position:absolute;left:7070;top:11332;width:450;height:210;mso-wrap-style:none" filled="f" stroked="f">
              <v:textbox style="mso-next-textbox:#_x0000_s2133" inset="0,0,0,0">
                <w:txbxContent>
                  <w:p w:rsidR="00000000" w:rsidRDefault="00000000">
                    <w:r>
                      <w:rPr>
                        <w:rFonts w:ascii="SimSun"/>
                        <w:color w:val="000000"/>
                        <w:sz w:val="16"/>
                        <w:szCs w:val="16"/>
                      </w:rPr>
                      <w:t>1998</w:t>
                    </w:r>
                  </w:p>
                </w:txbxContent>
              </v:textbox>
            </v:rect>
            <v:rect id="_x0000_s2134" style="position:absolute;left:8060;top:11332;width:450;height:210;mso-wrap-style:none" filled="f" stroked="f">
              <v:textbox style="mso-next-textbox:#_x0000_s2134" inset="0,0,0,0">
                <w:txbxContent>
                  <w:p w:rsidR="00000000" w:rsidRDefault="00000000">
                    <w:r>
                      <w:rPr>
                        <w:rFonts w:ascii="SimSun"/>
                        <w:color w:val="000000"/>
                        <w:sz w:val="16"/>
                        <w:szCs w:val="16"/>
                      </w:rPr>
                      <w:t>1999</w:t>
                    </w:r>
                  </w:p>
                </w:txbxContent>
              </v:textbox>
            </v:rect>
            <v:rect id="_x0000_s2135" style="position:absolute;left:9035;top:11332;width:856;height:325;mso-wrap-style:none" filled="f" stroked="f">
              <v:textbox style="mso-next-textbox:#_x0000_s2135" inset="0,0,0,0">
                <w:txbxContent>
                  <w:p w:rsidR="00000000" w:rsidRDefault="00000000">
                    <w:pPr>
                      <w:jc w:val="right"/>
                      <w:rPr>
                        <w:rFonts w:hint="eastAsia"/>
                      </w:rPr>
                    </w:pPr>
                    <w:r>
                      <w:rPr>
                        <w:rFonts w:ascii="SimSun"/>
                        <w:color w:val="000000"/>
                        <w:spacing w:val="0"/>
                        <w:sz w:val="16"/>
                        <w:szCs w:val="16"/>
                      </w:rPr>
                      <w:t>2000</w:t>
                    </w:r>
                    <w:r>
                      <w:rPr>
                        <w:rFonts w:ascii="SimSun" w:hint="eastAsia"/>
                        <w:color w:val="000000"/>
                        <w:spacing w:val="0"/>
                        <w:sz w:val="16"/>
                        <w:szCs w:val="16"/>
                      </w:rPr>
                      <w:t xml:space="preserve">  年份</w:t>
                    </w:r>
                    <w:r>
                      <w:rPr>
                        <w:rFonts w:ascii="SimSun" w:hint="eastAsia"/>
                        <w:color w:val="000000"/>
                        <w:sz w:val="16"/>
                        <w:szCs w:val="16"/>
                      </w:rPr>
                      <w:t>年</w:t>
                    </w:r>
                  </w:p>
                </w:txbxContent>
              </v:textbox>
            </v:rect>
            <v:rect id="_x0000_s2136" style="position:absolute;left:9830;top:11077;width:555;height:270;mso-wrap-style:none" filled="f" stroked="f">
              <v:textbox style="mso-next-textbox:#_x0000_s2136" inset="0,0,0,0">
                <w:txbxContent>
                  <w:p w:rsidR="00000000" w:rsidRDefault="00000000">
                    <w:r>
                      <w:rPr>
                        <w:rFonts w:ascii="Arial" w:hAnsi="Arial" w:cs="Arial"/>
                        <w:color w:val="000000"/>
                        <w:sz w:val="16"/>
                        <w:szCs w:val="16"/>
                      </w:rPr>
                      <w:t>-1000</w:t>
                    </w:r>
                  </w:p>
                </w:txbxContent>
              </v:textbox>
            </v:rect>
            <v:rect id="_x0000_s2137" style="position:absolute;left:9830;top:10732;width:450;height:270;mso-wrap-style:none" filled="f" stroked="f">
              <v:textbox style="mso-next-textbox:#_x0000_s2137" inset="0,0,0,0">
                <w:txbxContent>
                  <w:p w:rsidR="00000000" w:rsidRDefault="00000000">
                    <w:r>
                      <w:rPr>
                        <w:rFonts w:ascii="Arial" w:hAnsi="Arial" w:cs="Arial"/>
                        <w:color w:val="000000"/>
                        <w:sz w:val="16"/>
                        <w:szCs w:val="16"/>
                      </w:rPr>
                      <w:t>-500</w:t>
                    </w:r>
                  </w:p>
                </w:txbxContent>
              </v:textbox>
            </v:rect>
            <v:rect id="_x0000_s2138" style="position:absolute;left:9830;top:10373;width:180;height:270;mso-wrap-style:none" filled="f" stroked="f">
              <v:textbox style="mso-next-textbox:#_x0000_s2138" inset="0,0,0,0">
                <w:txbxContent>
                  <w:p w:rsidR="00000000" w:rsidRDefault="00000000">
                    <w:r>
                      <w:rPr>
                        <w:rFonts w:ascii="Arial" w:hAnsi="Arial" w:cs="Arial"/>
                        <w:color w:val="000000"/>
                        <w:sz w:val="16"/>
                        <w:szCs w:val="16"/>
                      </w:rPr>
                      <w:t>0</w:t>
                    </w:r>
                  </w:p>
                </w:txbxContent>
              </v:textbox>
            </v:rect>
            <v:rect id="_x0000_s2139" style="position:absolute;left:9830;top:10028;width:390;height:270;mso-wrap-style:none" filled="f" stroked="f">
              <v:textbox style="mso-next-textbox:#_x0000_s2139" inset="0,0,0,0">
                <w:txbxContent>
                  <w:p w:rsidR="00000000" w:rsidRDefault="00000000">
                    <w:r>
                      <w:rPr>
                        <w:rFonts w:ascii="Arial" w:hAnsi="Arial" w:cs="Arial"/>
                        <w:color w:val="000000"/>
                        <w:sz w:val="16"/>
                        <w:szCs w:val="16"/>
                      </w:rPr>
                      <w:t>500</w:t>
                    </w:r>
                  </w:p>
                </w:txbxContent>
              </v:textbox>
            </v:rect>
            <v:rect id="_x0000_s2140" style="position:absolute;left:9830;top:9668;width:495;height:270;mso-wrap-style:none" filled="f" stroked="f">
              <v:textbox style="mso-next-textbox:#_x0000_s2140" inset="0,0,0,0">
                <w:txbxContent>
                  <w:p w:rsidR="00000000" w:rsidRDefault="00000000">
                    <w:r>
                      <w:rPr>
                        <w:rFonts w:ascii="Arial" w:hAnsi="Arial" w:cs="Arial"/>
                        <w:color w:val="000000"/>
                        <w:sz w:val="16"/>
                        <w:szCs w:val="16"/>
                      </w:rPr>
                      <w:t>1000</w:t>
                    </w:r>
                  </w:p>
                </w:txbxContent>
              </v:textbox>
            </v:rect>
            <v:rect id="_x0000_s2141" style="position:absolute;left:9830;top:9323;width:495;height:270;mso-wrap-style:none" filled="f" stroked="f">
              <v:textbox style="mso-next-textbox:#_x0000_s2141" inset="0,0,0,0">
                <w:txbxContent>
                  <w:p w:rsidR="00000000" w:rsidRDefault="00000000">
                    <w:r>
                      <w:rPr>
                        <w:rFonts w:ascii="Arial" w:hAnsi="Arial" w:cs="Arial"/>
                        <w:color w:val="000000"/>
                        <w:sz w:val="16"/>
                        <w:szCs w:val="16"/>
                      </w:rPr>
                      <w:t>1500</w:t>
                    </w:r>
                  </w:p>
                </w:txbxContent>
              </v:textbox>
            </v:rect>
            <v:rect id="_x0000_s2142" style="position:absolute;left:9830;top:8963;width:495;height:270;mso-wrap-style:none" filled="f" stroked="f">
              <v:textbox style="mso-next-textbox:#_x0000_s2142" inset="0,0,0,0">
                <w:txbxContent>
                  <w:p w:rsidR="00000000" w:rsidRDefault="00000000">
                    <w:r>
                      <w:rPr>
                        <w:rFonts w:ascii="Arial" w:hAnsi="Arial" w:cs="Arial"/>
                        <w:color w:val="000000"/>
                        <w:sz w:val="16"/>
                        <w:szCs w:val="16"/>
                      </w:rPr>
                      <w:t>2000</w:t>
                    </w:r>
                  </w:p>
                </w:txbxContent>
              </v:textbox>
            </v:rect>
            <v:rect id="_x0000_s2143" style="position:absolute;left:3051;top:11662;width:6284;height:315" strokeweight="0"/>
            <v:rect id="_x0000_s2144" style="position:absolute;left:3666;top:11767;width:405;height:120" fillcolor="#ff8080"/>
            <v:rect id="_x0000_s2145" style="position:absolute;left:4116;top:11722;width:495;height:225;mso-wrap-style:none" filled="f" stroked="f">
              <v:textbox style="mso-next-textbox:#_x0000_s2145" inset="0,0,0,0">
                <w:txbxContent>
                  <w:p w:rsidR="00000000" w:rsidRDefault="00000000">
                    <w:r>
                      <w:rPr>
                        <w:rFonts w:ascii="SimSun" w:hint="eastAsia"/>
                        <w:color w:val="000000"/>
                        <w:sz w:val="18"/>
                      </w:rPr>
                      <w:t>进口</w:t>
                    </w:r>
                  </w:p>
                </w:txbxContent>
              </v:textbox>
            </v:rect>
            <v:rect id="_x0000_s2146" style="position:absolute;left:5691;top:11767;width:404;height:120" fillcolor="#ccf"/>
            <v:rect id="_x0000_s2147" style="position:absolute;left:6140;top:11722;width:495;height:225;mso-wrap-style:none" filled="f" stroked="f">
              <v:textbox style="mso-next-textbox:#_x0000_s2147" inset="0,0,0,0">
                <w:txbxContent>
                  <w:p w:rsidR="00000000" w:rsidRDefault="00000000">
                    <w:r>
                      <w:rPr>
                        <w:rFonts w:ascii="SimSun" w:hint="eastAsia"/>
                        <w:color w:val="000000"/>
                        <w:sz w:val="18"/>
                      </w:rPr>
                      <w:t>出口</w:t>
                    </w:r>
                  </w:p>
                </w:txbxContent>
              </v:textbox>
            </v:rect>
            <v:line id="_x0000_s2148" style="position:absolute" from="7715,11827" to="8120,11828" strokecolor="#333"/>
            <v:shape id="_x0000_s2149" style="position:absolute;left:7865;top:11782;width:90;height:90" coordsize="90,90" path="m45,l90,45,45,90,,45,45,xe" fillcolor="black">
              <v:path arrowok="t"/>
            </v:shape>
            <v:rect id="_x0000_s2150" style="position:absolute;left:8165;top:11722;width:690;height:225;mso-wrap-style:none" filled="f" stroked="f">
              <v:textbox style="mso-next-textbox:#_x0000_s2150" inset="0,0,0,0">
                <w:txbxContent>
                  <w:p w:rsidR="00000000" w:rsidRDefault="00000000">
                    <w:pPr>
                      <w:rPr>
                        <w:sz w:val="18"/>
                      </w:rPr>
                    </w:pPr>
                    <w:r>
                      <w:rPr>
                        <w:rFonts w:ascii="SimSun" w:hint="eastAsia"/>
                        <w:color w:val="000000"/>
                        <w:sz w:val="18"/>
                      </w:rPr>
                      <w:t>净进口</w:t>
                    </w:r>
                  </w:p>
                </w:txbxContent>
              </v:textbox>
            </v:rect>
            <v:rect id="_x0000_s2151" style="position:absolute;left:1776;top:8768;width:8504;height:3299" filled="f" strokecolor="white"/>
          </v:group>
        </w:pict>
      </w:r>
      <w:r>
        <w:rPr>
          <w:noProof/>
          <w:snapToGrid/>
          <w:sz w:val="20"/>
          <w:lang w:eastAsia="zh-TW"/>
        </w:rPr>
        <w:pict>
          <v:group id="_x0000_s2152" style="position:absolute;left:0;text-align:left;margin-left:63pt;margin-top:53.65pt;width:357pt;height:241.8pt;z-index:8" coordorigin="2961,8859" coordsize="7140,4836">
            <v:shape id="_x0000_s2153" type="#_x0000_t202" style="position:absolute;left:3276;top:8859;width:630;height:458" strokecolor="white">
              <v:textbox style="mso-next-textbox:#_x0000_s2153" inset=",1.1mm,,1.5mm">
                <w:txbxContent>
                  <w:p w:rsidR="00000000" w:rsidRDefault="00000000">
                    <w:pPr>
                      <w:rPr>
                        <w:rFonts w:hint="eastAsia"/>
                        <w:spacing w:val="0"/>
                        <w:sz w:val="16"/>
                      </w:rPr>
                    </w:pPr>
                    <w:r>
                      <w:rPr>
                        <w:rFonts w:hint="eastAsia"/>
                        <w:spacing w:val="0"/>
                        <w:sz w:val="16"/>
                      </w:rPr>
                      <w:t>万吨</w:t>
                    </w:r>
                  </w:p>
                </w:txbxContent>
              </v:textbox>
            </v:shape>
            <v:shape id="_x0000_s2154" type="#_x0000_t202" style="position:absolute;left:2961;top:12447;width:5985;height:624" strokecolor="white">
              <v:textbox style="mso-next-textbox:#_x0000_s2154" inset=",1.1mm,,1.5mm">
                <w:txbxContent>
                  <w:p w:rsidR="00000000" w:rsidRDefault="00000000">
                    <w:pPr>
                      <w:jc w:val="center"/>
                      <w:rPr>
                        <w:rFonts w:hint="eastAsia"/>
                        <w:u w:val="single"/>
                      </w:rPr>
                    </w:pPr>
                    <w:r>
                      <w:rPr>
                        <w:rFonts w:hint="eastAsia"/>
                        <w:u w:val="single"/>
                      </w:rPr>
                      <w:t>图</w:t>
                    </w:r>
                    <w:r>
                      <w:rPr>
                        <w:rFonts w:hint="eastAsia"/>
                        <w:u w:val="single"/>
                      </w:rPr>
                      <w:t>6</w:t>
                    </w:r>
                    <w:r>
                      <w:rPr>
                        <w:rFonts w:hint="eastAsia"/>
                      </w:rPr>
                      <w:t>：</w:t>
                    </w:r>
                    <w:r>
                      <w:rPr>
                        <w:rFonts w:hint="eastAsia"/>
                        <w:u w:val="single"/>
                      </w:rPr>
                      <w:t>中国粮食进出口的变化</w:t>
                    </w:r>
                  </w:p>
                </w:txbxContent>
              </v:textbox>
            </v:shape>
            <v:shape id="_x0000_s2155" type="#_x0000_t202" style="position:absolute;left:2961;top:13071;width:7140;height:624" strokecolor="white">
              <v:textbox style="mso-next-textbox:#_x0000_s2155" inset=",1.1mm,,1.5mm">
                <w:txbxContent>
                  <w:p w:rsidR="00000000" w:rsidRDefault="00000000">
                    <w:pPr>
                      <w:rPr>
                        <w:rFonts w:eastAsia="KaiTi_GB2312" w:hint="eastAsia"/>
                        <w:snapToGrid/>
                        <w:spacing w:val="0"/>
                      </w:rPr>
                    </w:pPr>
                    <w:r>
                      <w:rPr>
                        <w:rFonts w:eastAsia="KaiTi_GB2312" w:hint="eastAsia"/>
                        <w:snapToGrid/>
                        <w:spacing w:val="-6"/>
                        <w:sz w:val="22"/>
                        <w:u w:val="single"/>
                      </w:rPr>
                      <w:t>资料来源</w:t>
                    </w:r>
                    <w:r>
                      <w:rPr>
                        <w:rFonts w:eastAsia="KaiTi_GB2312" w:hint="eastAsia"/>
                        <w:snapToGrid/>
                        <w:spacing w:val="-6"/>
                        <w:sz w:val="22"/>
                      </w:rPr>
                      <w:t>：图</w:t>
                    </w:r>
                    <w:r>
                      <w:rPr>
                        <w:rFonts w:eastAsia="KaiTi_GB2312" w:hint="eastAsia"/>
                        <w:snapToGrid/>
                        <w:spacing w:val="-6"/>
                        <w:sz w:val="22"/>
                      </w:rPr>
                      <w:t>1</w:t>
                    </w:r>
                    <w:r>
                      <w:rPr>
                        <w:rFonts w:eastAsia="KaiTi_GB2312" w:hint="eastAsia"/>
                        <w:snapToGrid/>
                        <w:spacing w:val="-6"/>
                        <w:sz w:val="22"/>
                      </w:rPr>
                      <w:t>至图</w:t>
                    </w:r>
                    <w:r>
                      <w:rPr>
                        <w:rFonts w:eastAsia="KaiTi_GB2312" w:hint="eastAsia"/>
                        <w:snapToGrid/>
                        <w:spacing w:val="-6"/>
                        <w:sz w:val="22"/>
                      </w:rPr>
                      <w:t>4</w:t>
                    </w:r>
                    <w:r>
                      <w:rPr>
                        <w:rFonts w:eastAsia="KaiTi_GB2312" w:hint="eastAsia"/>
                        <w:snapToGrid/>
                        <w:spacing w:val="-6"/>
                        <w:sz w:val="22"/>
                      </w:rPr>
                      <w:t>由建设部提供；图</w:t>
                    </w:r>
                    <w:r>
                      <w:rPr>
                        <w:rFonts w:eastAsia="KaiTi_GB2312" w:hint="eastAsia"/>
                        <w:snapToGrid/>
                        <w:spacing w:val="-6"/>
                        <w:sz w:val="22"/>
                      </w:rPr>
                      <w:t>5</w:t>
                    </w:r>
                    <w:r>
                      <w:rPr>
                        <w:rFonts w:eastAsia="KaiTi_GB2312" w:hint="eastAsia"/>
                        <w:snapToGrid/>
                        <w:spacing w:val="-6"/>
                        <w:sz w:val="22"/>
                      </w:rPr>
                      <w:t>、图</w:t>
                    </w:r>
                    <w:r>
                      <w:rPr>
                        <w:rFonts w:eastAsia="KaiTi_GB2312" w:hint="eastAsia"/>
                        <w:snapToGrid/>
                        <w:spacing w:val="-6"/>
                        <w:sz w:val="22"/>
                      </w:rPr>
                      <w:t>6</w:t>
                    </w:r>
                    <w:r>
                      <w:rPr>
                        <w:rFonts w:eastAsia="KaiTi_GB2312" w:hint="eastAsia"/>
                        <w:snapToGrid/>
                        <w:spacing w:val="-6"/>
                        <w:sz w:val="22"/>
                      </w:rPr>
                      <w:t>由农业部提</w:t>
                    </w:r>
                    <w:r>
                      <w:rPr>
                        <w:rFonts w:eastAsia="KaiTi_GB2312" w:hint="eastAsia"/>
                        <w:snapToGrid/>
                        <w:spacing w:val="0"/>
                      </w:rPr>
                      <w:t>供。</w:t>
                    </w:r>
                  </w:p>
                </w:txbxContent>
              </v:textbox>
            </v:shape>
          </v:group>
        </w:pict>
      </w:r>
    </w:p>
    <w:p w:rsidR="00000000" w:rsidRDefault="00000000">
      <w:pPr>
        <w:pStyle w:val="Heading1"/>
        <w:rPr>
          <w:rFonts w:ascii="Time New Roman" w:eastAsia="SimHei" w:hAnsi="Time New Roman" w:hint="eastAsia"/>
          <w:b w:val="0"/>
          <w:bCs/>
        </w:rPr>
      </w:pPr>
      <w:r>
        <w:br w:type="page"/>
      </w:r>
      <w:bookmarkStart w:id="29" w:name="_Toc78772938"/>
      <w:r>
        <w:rPr>
          <w:rFonts w:ascii="Time New Roman" w:eastAsia="SimHei" w:hAnsi="Time New Roman" w:hint="eastAsia"/>
          <w:b w:val="0"/>
          <w:bCs/>
        </w:rPr>
        <w:t>第</w:t>
      </w:r>
      <w:r>
        <w:rPr>
          <w:rFonts w:ascii="Time New Roman" w:eastAsia="SimHei" w:hAnsi="Time New Roman"/>
          <w:b w:val="0"/>
          <w:bCs/>
        </w:rPr>
        <w:t xml:space="preserve"> </w:t>
      </w:r>
      <w:r>
        <w:rPr>
          <w:rFonts w:ascii="Time New Roman" w:eastAsia="SimHei" w:hAnsi="Time New Roman" w:hint="eastAsia"/>
          <w:b w:val="0"/>
          <w:bCs/>
        </w:rPr>
        <w:t>二</w:t>
      </w:r>
      <w:r>
        <w:rPr>
          <w:rFonts w:ascii="Time New Roman" w:eastAsia="SimHei" w:hAnsi="Time New Roman"/>
          <w:b w:val="0"/>
          <w:bCs/>
        </w:rPr>
        <w:t xml:space="preserve"> </w:t>
      </w:r>
      <w:r>
        <w:rPr>
          <w:rFonts w:ascii="Time New Roman" w:eastAsia="SimHei" w:hAnsi="Time New Roman" w:hint="eastAsia"/>
          <w:b w:val="0"/>
          <w:bCs/>
        </w:rPr>
        <w:t>部</w:t>
      </w:r>
      <w:r>
        <w:rPr>
          <w:rFonts w:ascii="Time New Roman" w:eastAsia="SimHei" w:hAnsi="Time New Roman"/>
          <w:b w:val="0"/>
          <w:bCs/>
        </w:rPr>
        <w:t xml:space="preserve"> </w:t>
      </w:r>
      <w:r>
        <w:rPr>
          <w:rFonts w:ascii="Time New Roman" w:eastAsia="SimHei" w:hAnsi="Time New Roman" w:hint="eastAsia"/>
          <w:b w:val="0"/>
          <w:bCs/>
        </w:rPr>
        <w:t>分</w:t>
      </w:r>
      <w:bookmarkEnd w:id="29"/>
    </w:p>
    <w:p w:rsidR="00000000" w:rsidRDefault="00000000">
      <w:pPr>
        <w:pStyle w:val="Heading1"/>
        <w:rPr>
          <w:rFonts w:ascii="Time New Roman" w:eastAsia="SimHei" w:hAnsi="Time New Roman" w:hint="eastAsia"/>
          <w:b w:val="0"/>
          <w:bCs/>
        </w:rPr>
      </w:pPr>
      <w:bookmarkStart w:id="30" w:name="_Toc78772939"/>
      <w:r>
        <w:rPr>
          <w:rFonts w:ascii="Time New Roman" w:eastAsia="SimHei" w:hAnsi="Time New Roman" w:hint="eastAsia"/>
          <w:b w:val="0"/>
          <w:bCs/>
        </w:rPr>
        <w:t>香港特别行政区</w:t>
      </w:r>
      <w:bookmarkEnd w:id="30"/>
    </w:p>
    <w:p w:rsidR="00000000" w:rsidRDefault="00000000">
      <w:pPr>
        <w:pStyle w:val="Heading2"/>
        <w:rPr>
          <w:snapToGrid/>
          <w:kern w:val="0"/>
        </w:rPr>
      </w:pPr>
      <w:bookmarkStart w:id="31" w:name="_Toc78772940"/>
      <w:r>
        <w:rPr>
          <w:rFonts w:hint="eastAsia"/>
          <w:snapToGrid/>
          <w:kern w:val="0"/>
        </w:rPr>
        <w:t>序</w:t>
      </w:r>
      <w:r>
        <w:rPr>
          <w:snapToGrid/>
          <w:kern w:val="0"/>
        </w:rPr>
        <w:t xml:space="preserve">  </w:t>
      </w:r>
      <w:r>
        <w:rPr>
          <w:rFonts w:hint="eastAsia"/>
          <w:snapToGrid/>
          <w:kern w:val="0"/>
        </w:rPr>
        <w:t>言</w:t>
      </w:r>
      <w:bookmarkEnd w:id="31"/>
    </w:p>
    <w:p w:rsidR="00000000" w:rsidRDefault="00000000">
      <w:pPr>
        <w:spacing w:line="324" w:lineRule="auto"/>
        <w:rPr>
          <w:rFonts w:hint="eastAsia"/>
          <w:snapToGrid/>
        </w:rPr>
      </w:pPr>
      <w:r>
        <w:rPr>
          <w:snapToGrid/>
        </w:rPr>
        <w:tab/>
        <w:t xml:space="preserve">284.  </w:t>
      </w:r>
      <w:r>
        <w:rPr>
          <w:rFonts w:hint="eastAsia"/>
          <w:snapToGrid/>
        </w:rPr>
        <w:t>在二零零一年五月二十一日，经济、社会及文化权利委员会</w:t>
      </w:r>
      <w:r>
        <w:rPr>
          <w:snapToGrid/>
        </w:rPr>
        <w:t>(</w:t>
      </w:r>
      <w:r>
        <w:rPr>
          <w:rFonts w:hint="eastAsia"/>
          <w:snapToGrid/>
        </w:rPr>
        <w:t>委员会</w:t>
      </w:r>
      <w:r>
        <w:rPr>
          <w:snapToGrid/>
        </w:rPr>
        <w:t>)</w:t>
      </w:r>
      <w:r>
        <w:rPr>
          <w:rFonts w:hint="eastAsia"/>
          <w:snapToGrid/>
        </w:rPr>
        <w:t>就香港特别行政区</w:t>
      </w:r>
      <w:r>
        <w:rPr>
          <w:snapToGrid/>
        </w:rPr>
        <w:t>(</w:t>
      </w:r>
      <w:r>
        <w:rPr>
          <w:rFonts w:hint="eastAsia"/>
          <w:snapToGrid/>
        </w:rPr>
        <w:t>香港特区</w:t>
      </w:r>
      <w:r>
        <w:rPr>
          <w:snapToGrid/>
        </w:rPr>
        <w:t>)</w:t>
      </w:r>
      <w:r>
        <w:rPr>
          <w:rFonts w:hint="eastAsia"/>
          <w:snapToGrid/>
        </w:rPr>
        <w:t>根据《经济、社会与文化权利的国际公约》</w:t>
      </w:r>
      <w:r>
        <w:rPr>
          <w:snapToGrid/>
        </w:rPr>
        <w:t>(</w:t>
      </w:r>
      <w:r>
        <w:rPr>
          <w:rFonts w:hint="eastAsia"/>
          <w:snapToGrid/>
        </w:rPr>
        <w:t>公约</w:t>
      </w:r>
      <w:r>
        <w:rPr>
          <w:snapToGrid/>
        </w:rPr>
        <w:t>)</w:t>
      </w:r>
      <w:r>
        <w:rPr>
          <w:rFonts w:hint="eastAsia"/>
          <w:snapToGrid/>
        </w:rPr>
        <w:t>提交的首份报告</w:t>
      </w:r>
      <w:r>
        <w:rPr>
          <w:rStyle w:val="FootnoteReference"/>
          <w:b w:val="0"/>
          <w:bCs/>
          <w:snapToGrid/>
        </w:rPr>
        <w:t>7,</w:t>
      </w:r>
      <w:r>
        <w:rPr>
          <w:snapToGrid/>
        </w:rPr>
        <w:t xml:space="preserve"> </w:t>
      </w:r>
      <w:r>
        <w:rPr>
          <w:rFonts w:hint="eastAsia"/>
          <w:snapToGrid/>
        </w:rPr>
        <w:t>公布了有关的审议结论。在审议结论第</w:t>
      </w:r>
      <w:r>
        <w:rPr>
          <w:snapToGrid/>
        </w:rPr>
        <w:t>48</w:t>
      </w:r>
      <w:r>
        <w:rPr>
          <w:rFonts w:hint="eastAsia"/>
          <w:snapToGrid/>
        </w:rPr>
        <w:t>段，委员会要求香港特区于二零零三年六月三十日之前提交资料，说明香港特区在落实委员会在第</w:t>
      </w:r>
      <w:r>
        <w:rPr>
          <w:snapToGrid/>
        </w:rPr>
        <w:t>30</w:t>
      </w:r>
      <w:r>
        <w:rPr>
          <w:rFonts w:hint="eastAsia"/>
          <w:snapToGrid/>
        </w:rPr>
        <w:t>段所载建议</w:t>
      </w:r>
      <w:r>
        <w:rPr>
          <w:snapToGrid/>
        </w:rPr>
        <w:t>(</w:t>
      </w:r>
      <w:r>
        <w:rPr>
          <w:rFonts w:hint="eastAsia"/>
          <w:snapToGrid/>
        </w:rPr>
        <w:t>关于种族歧视</w:t>
      </w:r>
      <w:r>
        <w:rPr>
          <w:snapToGrid/>
        </w:rPr>
        <w:t>)</w:t>
      </w:r>
      <w:r>
        <w:rPr>
          <w:rFonts w:hint="eastAsia"/>
          <w:snapToGrid/>
        </w:rPr>
        <w:t>的进展情况。委员会并要求香港特区“按原定日期”提交第二份定期报告全文。</w:t>
      </w:r>
    </w:p>
    <w:p w:rsidR="00000000" w:rsidRDefault="00000000">
      <w:pPr>
        <w:spacing w:line="324" w:lineRule="auto"/>
        <w:rPr>
          <w:rFonts w:hint="eastAsia"/>
          <w:snapToGrid/>
        </w:rPr>
      </w:pPr>
      <w:r>
        <w:rPr>
          <w:snapToGrid/>
        </w:rPr>
        <w:tab/>
        <w:t xml:space="preserve">285.  </w:t>
      </w:r>
      <w:r>
        <w:rPr>
          <w:rFonts w:hint="eastAsia"/>
          <w:snapToGrid/>
        </w:rPr>
        <w:t>但由于情况有改变，委员会所定的日期已不适用。中华人民共和国在二零零一年三月二十七日向联合国秘书长交存了公约批准书，三个月后</w:t>
      </w:r>
      <w:r>
        <w:rPr>
          <w:snapToGrid/>
        </w:rPr>
        <w:t>(</w:t>
      </w:r>
      <w:r>
        <w:rPr>
          <w:rFonts w:hint="eastAsia"/>
          <w:snapToGrid/>
        </w:rPr>
        <w:t>二零零一年六月二十七日</w:t>
      </w:r>
      <w:r>
        <w:rPr>
          <w:snapToGrid/>
        </w:rPr>
        <w:t xml:space="preserve">) </w:t>
      </w:r>
      <w:r>
        <w:rPr>
          <w:rFonts w:hint="eastAsia"/>
          <w:snapToGrid/>
        </w:rPr>
        <w:t>公约对中国生效。根据联合国经济及社会理事会的</w:t>
      </w:r>
      <w:r>
        <w:rPr>
          <w:snapToGrid/>
        </w:rPr>
        <w:t>198</w:t>
      </w:r>
      <w:r>
        <w:rPr>
          <w:rFonts w:hint="eastAsia"/>
          <w:snapToGrid/>
        </w:rPr>
        <w:t>8</w:t>
      </w:r>
      <w:r>
        <w:rPr>
          <w:snapToGrid/>
        </w:rPr>
        <w:t>/</w:t>
      </w:r>
      <w:r>
        <w:rPr>
          <w:rFonts w:hint="eastAsia"/>
          <w:snapToGrid/>
        </w:rPr>
        <w:t>4</w:t>
      </w:r>
      <w:r>
        <w:rPr>
          <w:rFonts w:hint="eastAsia"/>
          <w:snapToGrid/>
        </w:rPr>
        <w:t>决议案</w:t>
      </w:r>
      <w:r>
        <w:rPr>
          <w:snapToGrid/>
        </w:rPr>
        <w:t>(</w:t>
      </w:r>
      <w:r>
        <w:rPr>
          <w:rFonts w:hint="eastAsia"/>
          <w:snapToGrid/>
        </w:rPr>
        <w:t>决议案修订了公约第十六条</w:t>
      </w:r>
      <w:r>
        <w:rPr>
          <w:snapToGrid/>
        </w:rPr>
        <w:t>)</w:t>
      </w:r>
      <w:r>
        <w:rPr>
          <w:rFonts w:hint="eastAsia"/>
          <w:snapToGrid/>
        </w:rPr>
        <w:t>，中国必须在公约生效当日起计两年内提交首份报告。基于上述原因，香港特区这份报告将会纳入中国的首份报告之内。</w:t>
      </w:r>
    </w:p>
    <w:p w:rsidR="00000000" w:rsidRDefault="00000000">
      <w:pPr>
        <w:spacing w:line="324" w:lineRule="auto"/>
        <w:rPr>
          <w:rFonts w:hint="eastAsia"/>
          <w:snapToGrid/>
        </w:rPr>
      </w:pPr>
      <w:r>
        <w:rPr>
          <w:rFonts w:hint="eastAsia"/>
          <w:snapToGrid/>
        </w:rPr>
        <w:tab/>
        <w:t>286.</w:t>
      </w:r>
      <w:r>
        <w:rPr>
          <w:snapToGrid/>
        </w:rPr>
        <w:t xml:space="preserve">  </w:t>
      </w:r>
      <w:r>
        <w:rPr>
          <w:rFonts w:hint="eastAsia"/>
          <w:snapToGrid/>
        </w:rPr>
        <w:t>为确保本港遵从公约的规定而实施的各项法律条文、政策和措施，已于首份报告内详细胪列。它们大部分均实施了很长时间，而且一直以来改动不大，因此我们并不打算在今次报告内再次讲述</w:t>
      </w:r>
      <w:r>
        <w:rPr>
          <w:rFonts w:hint="eastAsia"/>
          <w:snapToGrid/>
        </w:rPr>
        <w:t>/</w:t>
      </w:r>
      <w:r>
        <w:rPr>
          <w:rFonts w:hint="eastAsia"/>
          <w:snapToGrid/>
        </w:rPr>
        <w:t>解释，只会在文中说明：“有关</w:t>
      </w:r>
      <w:r>
        <w:rPr>
          <w:snapToGrid/>
        </w:rPr>
        <w:t>[</w:t>
      </w:r>
      <w:r>
        <w:rPr>
          <w:rFonts w:hint="eastAsia"/>
          <w:snapToGrid/>
        </w:rPr>
        <w:t>所讨论项目</w:t>
      </w:r>
      <w:r>
        <w:rPr>
          <w:snapToGrid/>
        </w:rPr>
        <w:t>]</w:t>
      </w:r>
      <w:r>
        <w:rPr>
          <w:rFonts w:hint="eastAsia"/>
          <w:snapToGrid/>
        </w:rPr>
        <w:t>并无重大改变，其情况大致上与首份报告第</w:t>
      </w:r>
      <w:r>
        <w:rPr>
          <w:snapToGrid/>
        </w:rPr>
        <w:t>[X</w:t>
      </w:r>
      <w:r>
        <w:rPr>
          <w:rFonts w:hint="eastAsia"/>
          <w:snapToGrid/>
        </w:rPr>
        <w:t>至</w:t>
      </w:r>
      <w:r>
        <w:rPr>
          <w:snapToGrid/>
        </w:rPr>
        <w:t>Y]</w:t>
      </w:r>
      <w:r>
        <w:rPr>
          <w:rFonts w:hint="eastAsia"/>
          <w:snapToGrid/>
        </w:rPr>
        <w:t>段所述的相同”。根据联合国《人权报告手册》的指引规定</w:t>
      </w:r>
      <w:r>
        <w:rPr>
          <w:snapToGrid/>
        </w:rPr>
        <w:t>(</w:t>
      </w:r>
      <w:r>
        <w:rPr>
          <w:rFonts w:hint="eastAsia"/>
          <w:snapToGrid/>
        </w:rPr>
        <w:t>第</w:t>
      </w:r>
      <w:r>
        <w:rPr>
          <w:snapToGrid/>
        </w:rPr>
        <w:t>67</w:t>
      </w:r>
      <w:r>
        <w:rPr>
          <w:rFonts w:hint="eastAsia"/>
          <w:snapToGrid/>
        </w:rPr>
        <w:t>页末段</w:t>
      </w:r>
      <w:r>
        <w:rPr>
          <w:snapToGrid/>
        </w:rPr>
        <w:t>)</w:t>
      </w:r>
      <w:r>
        <w:rPr>
          <w:rFonts w:hint="eastAsia"/>
          <w:snapToGrid/>
        </w:rPr>
        <w:t>，报告应避免重复冗赘的陈述，因此我们采用上述报告方式。</w:t>
      </w:r>
    </w:p>
    <w:p w:rsidR="00000000" w:rsidRDefault="00000000">
      <w:pPr>
        <w:tabs>
          <w:tab w:val="left" w:pos="567"/>
          <w:tab w:val="left" w:pos="1134"/>
          <w:tab w:val="left" w:pos="1701"/>
        </w:tabs>
        <w:spacing w:line="324" w:lineRule="auto"/>
        <w:rPr>
          <w:rFonts w:hint="eastAsia"/>
          <w:snapToGrid/>
          <w:spacing w:val="0"/>
        </w:rPr>
      </w:pPr>
      <w:r>
        <w:rPr>
          <w:rFonts w:hint="eastAsia"/>
          <w:snapToGrid/>
        </w:rPr>
        <w:tab/>
        <w:t>287.</w:t>
      </w:r>
      <w:r>
        <w:rPr>
          <w:snapToGrid/>
        </w:rPr>
        <w:t xml:space="preserve">  </w:t>
      </w:r>
      <w:r>
        <w:rPr>
          <w:rFonts w:hint="eastAsia"/>
          <w:snapToGrid/>
          <w:spacing w:val="0"/>
        </w:rPr>
        <w:t>基于上述原因，这份</w:t>
      </w:r>
      <w:r>
        <w:rPr>
          <w:snapToGrid/>
          <w:spacing w:val="0"/>
        </w:rPr>
        <w:t>(</w:t>
      </w:r>
      <w:r>
        <w:rPr>
          <w:rFonts w:hint="eastAsia"/>
          <w:snapToGrid/>
          <w:spacing w:val="0"/>
        </w:rPr>
        <w:t>第二次</w:t>
      </w:r>
      <w:r>
        <w:rPr>
          <w:snapToGrid/>
          <w:spacing w:val="0"/>
        </w:rPr>
        <w:t>)</w:t>
      </w:r>
      <w:r>
        <w:rPr>
          <w:rFonts w:hint="eastAsia"/>
          <w:snapToGrid/>
          <w:spacing w:val="0"/>
        </w:rPr>
        <w:t>报告比首份报告精简，主要论述以下事项：</w:t>
      </w:r>
    </w:p>
    <w:p w:rsidR="00000000" w:rsidRDefault="00000000">
      <w:pPr>
        <w:numPr>
          <w:ilvl w:val="0"/>
          <w:numId w:val="84"/>
        </w:numPr>
        <w:spacing w:line="324" w:lineRule="auto"/>
        <w:rPr>
          <w:rFonts w:hint="eastAsia"/>
          <w:snapToGrid/>
        </w:rPr>
      </w:pPr>
      <w:r>
        <w:rPr>
          <w:rFonts w:hint="eastAsia"/>
          <w:snapToGrid/>
        </w:rPr>
        <w:t>自举行首份报告的审议会后，有关重要进展的资料</w:t>
      </w:r>
      <w:r>
        <w:rPr>
          <w:snapToGrid/>
        </w:rPr>
        <w:t>/</w:t>
      </w:r>
      <w:r>
        <w:rPr>
          <w:rFonts w:hint="eastAsia"/>
          <w:snapToGrid/>
        </w:rPr>
        <w:t>解释；</w:t>
      </w:r>
    </w:p>
    <w:p w:rsidR="00000000" w:rsidRDefault="00000000">
      <w:pPr>
        <w:numPr>
          <w:ilvl w:val="0"/>
          <w:numId w:val="84"/>
        </w:numPr>
        <w:spacing w:line="324" w:lineRule="auto"/>
        <w:rPr>
          <w:rFonts w:hint="eastAsia"/>
          <w:snapToGrid/>
        </w:rPr>
      </w:pPr>
      <w:r>
        <w:rPr>
          <w:rFonts w:hint="eastAsia"/>
          <w:snapToGrid/>
        </w:rPr>
        <w:t>在二零零一年审议会期间仍在发展的情况，而我们亦承诺会把日后的进展</w:t>
      </w:r>
      <w:r>
        <w:rPr>
          <w:rFonts w:hint="eastAsia"/>
          <w:snapToGrid/>
        </w:rPr>
        <w:t>/</w:t>
      </w:r>
      <w:r>
        <w:rPr>
          <w:rFonts w:hint="eastAsia"/>
          <w:snapToGrid/>
        </w:rPr>
        <w:t>结果告知委员会；</w:t>
      </w:r>
    </w:p>
    <w:p w:rsidR="00000000" w:rsidRDefault="00000000">
      <w:pPr>
        <w:numPr>
          <w:ilvl w:val="0"/>
          <w:numId w:val="84"/>
        </w:numPr>
        <w:spacing w:after="240" w:line="324" w:lineRule="auto"/>
        <w:rPr>
          <w:rFonts w:hint="eastAsia"/>
          <w:snapToGrid/>
        </w:rPr>
      </w:pPr>
      <w:r>
        <w:rPr>
          <w:rFonts w:hint="eastAsia"/>
          <w:snapToGrid/>
        </w:rPr>
        <w:t>此外，更重要的是我们会就委员会在二零零一年五月十一日发表审议结论时关注的事项和建议作出的回应。</w:t>
      </w:r>
    </w:p>
    <w:p w:rsidR="00000000" w:rsidRDefault="00000000">
      <w:pPr>
        <w:pStyle w:val="Heading2"/>
        <w:rPr>
          <w:lang w:eastAsia="zh-TW"/>
        </w:rPr>
      </w:pPr>
      <w:bookmarkStart w:id="32" w:name="_Toc78772941"/>
      <w:r>
        <w:rPr>
          <w:rFonts w:hint="eastAsia"/>
        </w:rPr>
        <w:t>一、土地和人口</w:t>
      </w:r>
      <w:bookmarkEnd w:id="32"/>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320"/>
        <w:rPr>
          <w:rFonts w:hint="eastAsia"/>
          <w:snapToGrid/>
        </w:rPr>
      </w:pPr>
      <w:r>
        <w:rPr>
          <w:rFonts w:hint="eastAsia"/>
          <w:snapToGrid/>
        </w:rPr>
        <w:tab/>
        <w:t xml:space="preserve">288.  </w:t>
      </w:r>
      <w:r>
        <w:rPr>
          <w:rFonts w:hint="eastAsia"/>
        </w:rPr>
        <w:t>香港特别行政区的人口统计资料和部分社会、经济指数如下：</w:t>
      </w:r>
    </w:p>
    <w:p w:rsidR="00000000" w:rsidRDefault="00000000">
      <w:pPr>
        <w:pStyle w:val="Heading4"/>
      </w:pPr>
      <w:r>
        <w:rPr>
          <w:rFonts w:hint="eastAsia"/>
        </w:rPr>
        <w:t>按性别划分的人口</w:t>
      </w:r>
    </w:p>
    <w:tbl>
      <w:tblPr>
        <w:tblW w:w="5000" w:type="pct"/>
        <w:jc w:val="center"/>
        <w:tblCellMar>
          <w:left w:w="28" w:type="dxa"/>
          <w:right w:w="28" w:type="dxa"/>
        </w:tblCellMar>
        <w:tblLook w:val="0000" w:firstRow="0" w:lastRow="0" w:firstColumn="0" w:lastColumn="0" w:noHBand="0" w:noVBand="0"/>
      </w:tblPr>
      <w:tblGrid>
        <w:gridCol w:w="711"/>
        <w:gridCol w:w="968"/>
        <w:gridCol w:w="967"/>
        <w:gridCol w:w="967"/>
        <w:gridCol w:w="967"/>
        <w:gridCol w:w="967"/>
        <w:gridCol w:w="967"/>
        <w:gridCol w:w="967"/>
        <w:gridCol w:w="967"/>
        <w:gridCol w:w="962"/>
      </w:tblGrid>
      <w:tr w:rsidR="00000000">
        <w:tblPrEx>
          <w:tblCellMar>
            <w:top w:w="0" w:type="dxa"/>
            <w:bottom w:w="0" w:type="dxa"/>
          </w:tblCellMar>
        </w:tblPrEx>
        <w:trPr>
          <w:jc w:val="center"/>
        </w:trPr>
        <w:tc>
          <w:tcPr>
            <w:tcW w:w="377"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rPr>
            </w:pPr>
            <w:r>
              <w:rPr>
                <w:rFonts w:ascii="Time New Roman" w:eastAsia="SimHei" w:hAnsi="Time New Roman"/>
                <w:snapToGrid/>
                <w:sz w:val="20"/>
              </w:rPr>
              <w:br/>
            </w:r>
            <w:r>
              <w:rPr>
                <w:rFonts w:ascii="Time New Roman" w:eastAsia="SimHei" w:hAnsi="Time New Roman" w:hint="eastAsia"/>
                <w:snapToGrid/>
                <w:sz w:val="20"/>
              </w:rPr>
              <w:t>性</w:t>
            </w:r>
            <w:r>
              <w:rPr>
                <w:rFonts w:ascii="Time New Roman" w:eastAsia="SimHei" w:hAnsi="Time New Roman"/>
                <w:snapToGrid/>
                <w:sz w:val="20"/>
              </w:rPr>
              <w:t xml:space="preserve"> </w:t>
            </w:r>
            <w:r>
              <w:rPr>
                <w:rFonts w:ascii="Time New Roman" w:eastAsia="SimHei" w:hAnsi="Time New Roman" w:hint="eastAsia"/>
                <w:snapToGrid/>
                <w:sz w:val="20"/>
              </w:rPr>
              <w:t>别</w:t>
            </w:r>
          </w:p>
        </w:tc>
        <w:tc>
          <w:tcPr>
            <w:tcW w:w="514"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rPr>
            </w:pPr>
            <w:r>
              <w:rPr>
                <w:rFonts w:ascii="Time New Roman" w:eastAsia="SimHei" w:hAnsi="Time New Roman"/>
                <w:b/>
                <w:snapToGrid/>
                <w:sz w:val="20"/>
              </w:rPr>
              <w:t>1987</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年中</w:t>
            </w:r>
          </w:p>
          <w:p w:rsidR="00000000" w:rsidRDefault="00000000">
            <w:pPr>
              <w:pStyle w:val="a2"/>
              <w:spacing w:before="60" w:after="20" w:line="240" w:lineRule="auto"/>
              <w:jc w:val="center"/>
              <w:rPr>
                <w:rFonts w:ascii="Time New Roman" w:eastAsia="SimHei" w:hAnsi="Time New Roman"/>
                <w:snapToGrid/>
                <w:sz w:val="20"/>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c>
          <w:tcPr>
            <w:tcW w:w="514"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b/>
                <w:snapToGrid/>
                <w:sz w:val="20"/>
              </w:rPr>
              <w:t>1992</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年中</w:t>
            </w:r>
          </w:p>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c>
          <w:tcPr>
            <w:tcW w:w="514"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b/>
                <w:snapToGrid/>
                <w:sz w:val="20"/>
              </w:rPr>
              <w:t>1999</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年中</w:t>
            </w:r>
          </w:p>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c>
          <w:tcPr>
            <w:tcW w:w="514"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b/>
                <w:snapToGrid/>
                <w:sz w:val="20"/>
              </w:rPr>
              <w:t>2000</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年中</w:t>
            </w:r>
          </w:p>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c>
          <w:tcPr>
            <w:tcW w:w="514"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b/>
                <w:snapToGrid/>
                <w:sz w:val="20"/>
              </w:rPr>
              <w:t>2000</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年底</w:t>
            </w:r>
          </w:p>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c>
          <w:tcPr>
            <w:tcW w:w="514"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b/>
                <w:snapToGrid/>
                <w:sz w:val="20"/>
              </w:rPr>
              <w:t>2001</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年中</w:t>
            </w:r>
          </w:p>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c>
          <w:tcPr>
            <w:tcW w:w="514"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b/>
                <w:snapToGrid/>
                <w:sz w:val="20"/>
              </w:rPr>
              <w:t>2001</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年底</w:t>
            </w:r>
          </w:p>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c>
          <w:tcPr>
            <w:tcW w:w="514"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b/>
                <w:snapToGrid/>
                <w:sz w:val="20"/>
              </w:rPr>
              <w:t>2002</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年中</w:t>
            </w:r>
          </w:p>
          <w:p w:rsidR="00000000" w:rsidRDefault="00000000">
            <w:pPr>
              <w:pStyle w:val="a2"/>
              <w:spacing w:before="60" w:after="20" w:line="240" w:lineRule="auto"/>
              <w:jc w:val="center"/>
              <w:rPr>
                <w:rFonts w:ascii="Time New Roman" w:eastAsia="SimHei" w:hAnsi="Time New Roman" w:hint="eastAsia"/>
                <w:snapToGrid/>
                <w:sz w:val="20"/>
                <w:lang w:eastAsia="zh-TW"/>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c>
          <w:tcPr>
            <w:tcW w:w="512" w:type="pct"/>
            <w:tcBorders>
              <w:bottom w:val="single" w:sz="4" w:space="0" w:color="auto"/>
            </w:tcBorders>
          </w:tcPr>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b/>
                <w:snapToGrid/>
                <w:sz w:val="20"/>
              </w:rPr>
              <w:t>2002</w:t>
            </w:r>
            <w:r>
              <w:rPr>
                <w:rFonts w:ascii="Time New Roman" w:eastAsia="SimHei" w:hAnsi="Time New Roman" w:hint="eastAsia"/>
                <w:snapToGrid/>
                <w:sz w:val="20"/>
              </w:rPr>
              <w:t>年</w:t>
            </w:r>
            <w:r>
              <w:rPr>
                <w:rFonts w:ascii="Time New Roman" w:eastAsia="SimHei" w:hAnsi="Time New Roman"/>
                <w:snapToGrid/>
                <w:sz w:val="20"/>
              </w:rPr>
              <w:br/>
            </w:r>
            <w:r>
              <w:rPr>
                <w:rFonts w:ascii="Time New Roman" w:eastAsia="SimHei" w:hAnsi="Time New Roman" w:hint="eastAsia"/>
                <w:snapToGrid/>
                <w:sz w:val="20"/>
              </w:rPr>
              <w:t>年底</w:t>
            </w:r>
            <w:r>
              <w:rPr>
                <w:rFonts w:ascii="Time New Roman" w:eastAsia="SimHei" w:hAnsi="Time New Roman"/>
                <w:snapToGrid/>
                <w:sz w:val="20"/>
                <w:vertAlign w:val="superscript"/>
              </w:rPr>
              <w:t>#</w:t>
            </w:r>
          </w:p>
          <w:p w:rsidR="00000000" w:rsidRDefault="00000000">
            <w:pPr>
              <w:pStyle w:val="a2"/>
              <w:spacing w:before="60" w:after="20" w:line="240" w:lineRule="auto"/>
              <w:jc w:val="center"/>
              <w:rPr>
                <w:rFonts w:ascii="Time New Roman" w:eastAsia="SimHei" w:hAnsi="Time New Roman"/>
                <w:snapToGrid/>
                <w:sz w:val="20"/>
                <w:lang w:eastAsia="zh-TW"/>
              </w:rPr>
            </w:pPr>
            <w:r>
              <w:rPr>
                <w:rFonts w:ascii="Time New Roman" w:eastAsia="SimHei" w:hAnsi="Time New Roman"/>
                <w:snapToGrid/>
                <w:sz w:val="20"/>
              </w:rPr>
              <w:t>(</w:t>
            </w:r>
            <w:r>
              <w:rPr>
                <w:rFonts w:ascii="Time New Roman" w:eastAsia="SimHei" w:hAnsi="Time New Roman" w:hint="eastAsia"/>
                <w:snapToGrid/>
                <w:sz w:val="20"/>
              </w:rPr>
              <w:t>百万</w:t>
            </w:r>
            <w:r>
              <w:rPr>
                <w:rFonts w:ascii="Time New Roman" w:eastAsia="SimHei" w:hAnsi="Time New Roman"/>
                <w:snapToGrid/>
                <w:sz w:val="20"/>
              </w:rPr>
              <w:t>)</w:t>
            </w:r>
          </w:p>
        </w:tc>
      </w:tr>
      <w:tr w:rsidR="00000000">
        <w:tblPrEx>
          <w:tblCellMar>
            <w:top w:w="0" w:type="dxa"/>
            <w:bottom w:w="0" w:type="dxa"/>
          </w:tblCellMar>
        </w:tblPrEx>
        <w:trPr>
          <w:jc w:val="center"/>
        </w:trPr>
        <w:tc>
          <w:tcPr>
            <w:tcW w:w="377" w:type="pct"/>
            <w:tcBorders>
              <w:top w:val="single" w:sz="4" w:space="0" w:color="auto"/>
            </w:tcBorders>
          </w:tcPr>
          <w:p w:rsidR="00000000" w:rsidRDefault="00000000">
            <w:pPr>
              <w:pStyle w:val="a2"/>
              <w:jc w:val="center"/>
              <w:rPr>
                <w:snapToGrid/>
                <w:sz w:val="20"/>
              </w:rPr>
            </w:pPr>
            <w:r>
              <w:rPr>
                <w:rFonts w:hint="eastAsia"/>
                <w:snapToGrid/>
                <w:sz w:val="20"/>
              </w:rPr>
              <w:t>男</w:t>
            </w:r>
          </w:p>
        </w:tc>
        <w:tc>
          <w:tcPr>
            <w:tcW w:w="514" w:type="pct"/>
            <w:tcBorders>
              <w:top w:val="single" w:sz="4" w:space="0" w:color="auto"/>
            </w:tcBorders>
          </w:tcPr>
          <w:p w:rsidR="00000000" w:rsidRDefault="00000000">
            <w:pPr>
              <w:pStyle w:val="a2"/>
              <w:tabs>
                <w:tab w:val="decimal" w:pos="446"/>
              </w:tabs>
              <w:rPr>
                <w:snapToGrid/>
                <w:sz w:val="20"/>
              </w:rPr>
            </w:pPr>
            <w:r>
              <w:rPr>
                <w:snapToGrid/>
                <w:sz w:val="20"/>
              </w:rPr>
              <w:t>2.9</w:t>
            </w:r>
          </w:p>
        </w:tc>
        <w:tc>
          <w:tcPr>
            <w:tcW w:w="514" w:type="pct"/>
            <w:tcBorders>
              <w:top w:val="single" w:sz="4" w:space="0" w:color="auto"/>
            </w:tcBorders>
          </w:tcPr>
          <w:p w:rsidR="00000000" w:rsidRDefault="00000000">
            <w:pPr>
              <w:pStyle w:val="a2"/>
              <w:tabs>
                <w:tab w:val="decimal" w:pos="446"/>
              </w:tabs>
              <w:rPr>
                <w:snapToGrid/>
                <w:sz w:val="20"/>
              </w:rPr>
            </w:pPr>
            <w:r>
              <w:rPr>
                <w:snapToGrid/>
                <w:sz w:val="20"/>
              </w:rPr>
              <w:t>2.9</w:t>
            </w:r>
          </w:p>
        </w:tc>
        <w:tc>
          <w:tcPr>
            <w:tcW w:w="514" w:type="pct"/>
            <w:tcBorders>
              <w:top w:val="single" w:sz="4" w:space="0" w:color="auto"/>
            </w:tcBorders>
          </w:tcPr>
          <w:p w:rsidR="00000000" w:rsidRDefault="00000000">
            <w:pPr>
              <w:pStyle w:val="a2"/>
              <w:tabs>
                <w:tab w:val="decimal" w:pos="446"/>
              </w:tabs>
              <w:rPr>
                <w:snapToGrid/>
                <w:sz w:val="20"/>
              </w:rPr>
            </w:pPr>
            <w:r>
              <w:rPr>
                <w:snapToGrid/>
                <w:sz w:val="20"/>
              </w:rPr>
              <w:t>3.3</w:t>
            </w:r>
          </w:p>
        </w:tc>
        <w:tc>
          <w:tcPr>
            <w:tcW w:w="514" w:type="pct"/>
            <w:tcBorders>
              <w:top w:val="single" w:sz="4" w:space="0" w:color="auto"/>
            </w:tcBorders>
          </w:tcPr>
          <w:p w:rsidR="00000000" w:rsidRDefault="00000000">
            <w:pPr>
              <w:pStyle w:val="a2"/>
              <w:tabs>
                <w:tab w:val="decimal" w:pos="446"/>
              </w:tabs>
              <w:rPr>
                <w:rFonts w:hint="eastAsia"/>
                <w:snapToGrid/>
                <w:sz w:val="20"/>
              </w:rPr>
            </w:pPr>
            <w:r>
              <w:rPr>
                <w:snapToGrid/>
                <w:sz w:val="20"/>
              </w:rPr>
              <w:t>3.3</w:t>
            </w:r>
          </w:p>
        </w:tc>
        <w:tc>
          <w:tcPr>
            <w:tcW w:w="514" w:type="pct"/>
            <w:tcBorders>
              <w:top w:val="single" w:sz="4" w:space="0" w:color="auto"/>
            </w:tcBorders>
          </w:tcPr>
          <w:p w:rsidR="00000000" w:rsidRDefault="00000000">
            <w:pPr>
              <w:pStyle w:val="a2"/>
              <w:tabs>
                <w:tab w:val="decimal" w:pos="446"/>
              </w:tabs>
              <w:rPr>
                <w:rFonts w:hint="eastAsia"/>
                <w:snapToGrid/>
                <w:sz w:val="20"/>
              </w:rPr>
            </w:pPr>
            <w:r>
              <w:rPr>
                <w:snapToGrid/>
                <w:sz w:val="20"/>
              </w:rPr>
              <w:t>3.3</w:t>
            </w:r>
          </w:p>
        </w:tc>
        <w:tc>
          <w:tcPr>
            <w:tcW w:w="514" w:type="pct"/>
            <w:tcBorders>
              <w:top w:val="single" w:sz="4" w:space="0" w:color="auto"/>
            </w:tcBorders>
          </w:tcPr>
          <w:p w:rsidR="00000000" w:rsidRDefault="00000000">
            <w:pPr>
              <w:pStyle w:val="a2"/>
              <w:tabs>
                <w:tab w:val="decimal" w:pos="446"/>
              </w:tabs>
              <w:rPr>
                <w:rFonts w:hint="eastAsia"/>
                <w:snapToGrid/>
                <w:sz w:val="20"/>
              </w:rPr>
            </w:pPr>
            <w:r>
              <w:rPr>
                <w:snapToGrid/>
                <w:sz w:val="20"/>
              </w:rPr>
              <w:t>3.3</w:t>
            </w:r>
          </w:p>
        </w:tc>
        <w:tc>
          <w:tcPr>
            <w:tcW w:w="514" w:type="pct"/>
            <w:tcBorders>
              <w:top w:val="single" w:sz="4" w:space="0" w:color="auto"/>
            </w:tcBorders>
          </w:tcPr>
          <w:p w:rsidR="00000000" w:rsidRDefault="00000000">
            <w:pPr>
              <w:pStyle w:val="a2"/>
              <w:tabs>
                <w:tab w:val="decimal" w:pos="446"/>
              </w:tabs>
              <w:rPr>
                <w:rFonts w:hint="eastAsia"/>
                <w:snapToGrid/>
                <w:sz w:val="20"/>
              </w:rPr>
            </w:pPr>
            <w:r>
              <w:rPr>
                <w:snapToGrid/>
                <w:sz w:val="20"/>
              </w:rPr>
              <w:t>3.3</w:t>
            </w:r>
          </w:p>
        </w:tc>
        <w:tc>
          <w:tcPr>
            <w:tcW w:w="514" w:type="pct"/>
            <w:tcBorders>
              <w:top w:val="single" w:sz="4" w:space="0" w:color="auto"/>
            </w:tcBorders>
          </w:tcPr>
          <w:p w:rsidR="00000000" w:rsidRDefault="00000000">
            <w:pPr>
              <w:pStyle w:val="a2"/>
              <w:tabs>
                <w:tab w:val="decimal" w:pos="446"/>
              </w:tabs>
              <w:rPr>
                <w:snapToGrid/>
                <w:sz w:val="20"/>
              </w:rPr>
            </w:pPr>
            <w:r>
              <w:rPr>
                <w:snapToGrid/>
                <w:sz w:val="20"/>
              </w:rPr>
              <w:t>3.3</w:t>
            </w:r>
          </w:p>
        </w:tc>
        <w:tc>
          <w:tcPr>
            <w:tcW w:w="512" w:type="pct"/>
            <w:tcBorders>
              <w:top w:val="single" w:sz="4" w:space="0" w:color="auto"/>
            </w:tcBorders>
          </w:tcPr>
          <w:p w:rsidR="00000000" w:rsidRDefault="00000000">
            <w:pPr>
              <w:pStyle w:val="a2"/>
              <w:tabs>
                <w:tab w:val="decimal" w:pos="446"/>
              </w:tabs>
              <w:rPr>
                <w:snapToGrid/>
                <w:sz w:val="20"/>
              </w:rPr>
            </w:pPr>
            <w:r>
              <w:rPr>
                <w:snapToGrid/>
                <w:sz w:val="20"/>
              </w:rPr>
              <w:t>3.3</w:t>
            </w:r>
          </w:p>
        </w:tc>
      </w:tr>
      <w:tr w:rsidR="00000000">
        <w:tblPrEx>
          <w:tblCellMar>
            <w:top w:w="0" w:type="dxa"/>
            <w:bottom w:w="0" w:type="dxa"/>
          </w:tblCellMar>
        </w:tblPrEx>
        <w:trPr>
          <w:jc w:val="center"/>
        </w:trPr>
        <w:tc>
          <w:tcPr>
            <w:tcW w:w="377" w:type="pct"/>
          </w:tcPr>
          <w:p w:rsidR="00000000" w:rsidRDefault="00000000">
            <w:pPr>
              <w:pStyle w:val="a2"/>
              <w:jc w:val="center"/>
              <w:rPr>
                <w:snapToGrid/>
                <w:sz w:val="20"/>
              </w:rPr>
            </w:pPr>
            <w:r>
              <w:rPr>
                <w:rFonts w:hint="eastAsia"/>
                <w:snapToGrid/>
                <w:sz w:val="20"/>
              </w:rPr>
              <w:t>女</w:t>
            </w:r>
          </w:p>
        </w:tc>
        <w:tc>
          <w:tcPr>
            <w:tcW w:w="514" w:type="pct"/>
          </w:tcPr>
          <w:p w:rsidR="00000000" w:rsidRDefault="00000000">
            <w:pPr>
              <w:pStyle w:val="a2"/>
              <w:tabs>
                <w:tab w:val="decimal" w:pos="446"/>
              </w:tabs>
              <w:rPr>
                <w:snapToGrid/>
                <w:sz w:val="20"/>
              </w:rPr>
            </w:pPr>
            <w:r>
              <w:rPr>
                <w:snapToGrid/>
                <w:sz w:val="20"/>
              </w:rPr>
              <w:t>2.7</w:t>
            </w:r>
          </w:p>
        </w:tc>
        <w:tc>
          <w:tcPr>
            <w:tcW w:w="514" w:type="pct"/>
          </w:tcPr>
          <w:p w:rsidR="00000000" w:rsidRDefault="00000000">
            <w:pPr>
              <w:pStyle w:val="a2"/>
              <w:tabs>
                <w:tab w:val="decimal" w:pos="446"/>
              </w:tabs>
              <w:rPr>
                <w:snapToGrid/>
                <w:sz w:val="20"/>
              </w:rPr>
            </w:pPr>
            <w:r>
              <w:rPr>
                <w:snapToGrid/>
                <w:sz w:val="20"/>
              </w:rPr>
              <w:t>2.9</w:t>
            </w:r>
          </w:p>
        </w:tc>
        <w:tc>
          <w:tcPr>
            <w:tcW w:w="514" w:type="pct"/>
          </w:tcPr>
          <w:p w:rsidR="00000000" w:rsidRDefault="00000000">
            <w:pPr>
              <w:pStyle w:val="a2"/>
              <w:tabs>
                <w:tab w:val="decimal" w:pos="446"/>
              </w:tabs>
              <w:rPr>
                <w:snapToGrid/>
                <w:sz w:val="20"/>
              </w:rPr>
            </w:pPr>
            <w:r>
              <w:rPr>
                <w:snapToGrid/>
                <w:sz w:val="20"/>
              </w:rPr>
              <w:t>3.3</w:t>
            </w:r>
          </w:p>
        </w:tc>
        <w:tc>
          <w:tcPr>
            <w:tcW w:w="514" w:type="pct"/>
          </w:tcPr>
          <w:p w:rsidR="00000000" w:rsidRDefault="00000000">
            <w:pPr>
              <w:pStyle w:val="a2"/>
              <w:tabs>
                <w:tab w:val="decimal" w:pos="446"/>
              </w:tabs>
              <w:rPr>
                <w:snapToGrid/>
                <w:sz w:val="20"/>
              </w:rPr>
            </w:pPr>
            <w:r>
              <w:rPr>
                <w:snapToGrid/>
                <w:sz w:val="20"/>
              </w:rPr>
              <w:t>3.4</w:t>
            </w:r>
          </w:p>
        </w:tc>
        <w:tc>
          <w:tcPr>
            <w:tcW w:w="514" w:type="pct"/>
          </w:tcPr>
          <w:p w:rsidR="00000000" w:rsidRDefault="00000000">
            <w:pPr>
              <w:pStyle w:val="a2"/>
              <w:tabs>
                <w:tab w:val="decimal" w:pos="446"/>
              </w:tabs>
              <w:rPr>
                <w:snapToGrid/>
                <w:sz w:val="20"/>
              </w:rPr>
            </w:pPr>
            <w:r>
              <w:rPr>
                <w:snapToGrid/>
                <w:sz w:val="20"/>
              </w:rPr>
              <w:t>3.4</w:t>
            </w:r>
          </w:p>
        </w:tc>
        <w:tc>
          <w:tcPr>
            <w:tcW w:w="514" w:type="pct"/>
          </w:tcPr>
          <w:p w:rsidR="00000000" w:rsidRDefault="00000000">
            <w:pPr>
              <w:pStyle w:val="a2"/>
              <w:tabs>
                <w:tab w:val="decimal" w:pos="446"/>
              </w:tabs>
              <w:rPr>
                <w:snapToGrid/>
                <w:sz w:val="20"/>
              </w:rPr>
            </w:pPr>
            <w:r>
              <w:rPr>
                <w:snapToGrid/>
                <w:sz w:val="20"/>
              </w:rPr>
              <w:t>3.4</w:t>
            </w:r>
          </w:p>
        </w:tc>
        <w:tc>
          <w:tcPr>
            <w:tcW w:w="514" w:type="pct"/>
          </w:tcPr>
          <w:p w:rsidR="00000000" w:rsidRDefault="00000000">
            <w:pPr>
              <w:pStyle w:val="a2"/>
              <w:tabs>
                <w:tab w:val="decimal" w:pos="446"/>
              </w:tabs>
              <w:rPr>
                <w:snapToGrid/>
                <w:sz w:val="20"/>
              </w:rPr>
            </w:pPr>
            <w:r>
              <w:rPr>
                <w:snapToGrid/>
                <w:sz w:val="20"/>
              </w:rPr>
              <w:t>3.5</w:t>
            </w:r>
          </w:p>
        </w:tc>
        <w:tc>
          <w:tcPr>
            <w:tcW w:w="514" w:type="pct"/>
          </w:tcPr>
          <w:p w:rsidR="00000000" w:rsidRDefault="00000000">
            <w:pPr>
              <w:pStyle w:val="a2"/>
              <w:tabs>
                <w:tab w:val="decimal" w:pos="446"/>
              </w:tabs>
              <w:rPr>
                <w:snapToGrid/>
                <w:sz w:val="20"/>
              </w:rPr>
            </w:pPr>
            <w:r>
              <w:rPr>
                <w:snapToGrid/>
                <w:sz w:val="20"/>
              </w:rPr>
              <w:t>3.5</w:t>
            </w:r>
          </w:p>
        </w:tc>
        <w:tc>
          <w:tcPr>
            <w:tcW w:w="512" w:type="pct"/>
          </w:tcPr>
          <w:p w:rsidR="00000000" w:rsidRDefault="00000000">
            <w:pPr>
              <w:pStyle w:val="a2"/>
              <w:tabs>
                <w:tab w:val="decimal" w:pos="446"/>
              </w:tabs>
              <w:rPr>
                <w:snapToGrid/>
                <w:sz w:val="20"/>
              </w:rPr>
            </w:pPr>
            <w:r>
              <w:rPr>
                <w:snapToGrid/>
                <w:sz w:val="20"/>
              </w:rPr>
              <w:t>3.5</w:t>
            </w:r>
          </w:p>
        </w:tc>
      </w:tr>
      <w:tr w:rsidR="00000000">
        <w:tblPrEx>
          <w:tblCellMar>
            <w:top w:w="0" w:type="dxa"/>
            <w:bottom w:w="0" w:type="dxa"/>
          </w:tblCellMar>
        </w:tblPrEx>
        <w:trPr>
          <w:jc w:val="center"/>
        </w:trPr>
        <w:tc>
          <w:tcPr>
            <w:tcW w:w="377" w:type="pct"/>
          </w:tcPr>
          <w:p w:rsidR="00000000" w:rsidRDefault="00000000">
            <w:pPr>
              <w:pStyle w:val="a2"/>
              <w:jc w:val="center"/>
              <w:rPr>
                <w:snapToGrid/>
                <w:sz w:val="20"/>
              </w:rPr>
            </w:pPr>
            <w:r>
              <w:rPr>
                <w:rFonts w:hint="eastAsia"/>
                <w:snapToGrid/>
                <w:sz w:val="20"/>
              </w:rPr>
              <w:t>总计</w:t>
            </w:r>
          </w:p>
        </w:tc>
        <w:tc>
          <w:tcPr>
            <w:tcW w:w="514" w:type="pct"/>
          </w:tcPr>
          <w:p w:rsidR="00000000" w:rsidRDefault="00000000">
            <w:pPr>
              <w:pStyle w:val="a2"/>
              <w:tabs>
                <w:tab w:val="decimal" w:pos="446"/>
              </w:tabs>
              <w:rPr>
                <w:snapToGrid/>
                <w:sz w:val="20"/>
              </w:rPr>
            </w:pPr>
            <w:r>
              <w:rPr>
                <w:snapToGrid/>
                <w:sz w:val="20"/>
              </w:rPr>
              <w:t>5.6</w:t>
            </w:r>
          </w:p>
        </w:tc>
        <w:tc>
          <w:tcPr>
            <w:tcW w:w="514" w:type="pct"/>
          </w:tcPr>
          <w:p w:rsidR="00000000" w:rsidRDefault="00000000">
            <w:pPr>
              <w:pStyle w:val="a2"/>
              <w:tabs>
                <w:tab w:val="decimal" w:pos="446"/>
              </w:tabs>
              <w:rPr>
                <w:snapToGrid/>
                <w:sz w:val="20"/>
              </w:rPr>
            </w:pPr>
            <w:r>
              <w:rPr>
                <w:snapToGrid/>
                <w:sz w:val="20"/>
              </w:rPr>
              <w:t>5.8</w:t>
            </w:r>
          </w:p>
        </w:tc>
        <w:tc>
          <w:tcPr>
            <w:tcW w:w="514" w:type="pct"/>
          </w:tcPr>
          <w:p w:rsidR="00000000" w:rsidRDefault="00000000">
            <w:pPr>
              <w:pStyle w:val="a2"/>
              <w:tabs>
                <w:tab w:val="decimal" w:pos="446"/>
              </w:tabs>
              <w:rPr>
                <w:snapToGrid/>
                <w:sz w:val="20"/>
              </w:rPr>
            </w:pPr>
            <w:r>
              <w:rPr>
                <w:snapToGrid/>
                <w:sz w:val="20"/>
              </w:rPr>
              <w:t>6.6</w:t>
            </w:r>
          </w:p>
        </w:tc>
        <w:tc>
          <w:tcPr>
            <w:tcW w:w="514" w:type="pct"/>
          </w:tcPr>
          <w:p w:rsidR="00000000" w:rsidRDefault="00000000">
            <w:pPr>
              <w:pStyle w:val="a2"/>
              <w:tabs>
                <w:tab w:val="decimal" w:pos="446"/>
              </w:tabs>
              <w:rPr>
                <w:snapToGrid/>
                <w:sz w:val="20"/>
              </w:rPr>
            </w:pPr>
            <w:r>
              <w:rPr>
                <w:snapToGrid/>
                <w:sz w:val="20"/>
              </w:rPr>
              <w:t>6.7</w:t>
            </w:r>
          </w:p>
        </w:tc>
        <w:tc>
          <w:tcPr>
            <w:tcW w:w="514" w:type="pct"/>
          </w:tcPr>
          <w:p w:rsidR="00000000" w:rsidRDefault="00000000">
            <w:pPr>
              <w:pStyle w:val="a2"/>
              <w:tabs>
                <w:tab w:val="decimal" w:pos="446"/>
              </w:tabs>
              <w:rPr>
                <w:snapToGrid/>
                <w:sz w:val="20"/>
              </w:rPr>
            </w:pPr>
            <w:r>
              <w:rPr>
                <w:snapToGrid/>
                <w:sz w:val="20"/>
              </w:rPr>
              <w:t>6.7</w:t>
            </w:r>
          </w:p>
        </w:tc>
        <w:tc>
          <w:tcPr>
            <w:tcW w:w="514" w:type="pct"/>
          </w:tcPr>
          <w:p w:rsidR="00000000" w:rsidRDefault="00000000">
            <w:pPr>
              <w:pStyle w:val="a2"/>
              <w:tabs>
                <w:tab w:val="decimal" w:pos="446"/>
              </w:tabs>
              <w:rPr>
                <w:snapToGrid/>
                <w:sz w:val="20"/>
              </w:rPr>
            </w:pPr>
            <w:r>
              <w:rPr>
                <w:snapToGrid/>
                <w:sz w:val="20"/>
              </w:rPr>
              <w:t>6.7</w:t>
            </w:r>
          </w:p>
        </w:tc>
        <w:tc>
          <w:tcPr>
            <w:tcW w:w="514" w:type="pct"/>
          </w:tcPr>
          <w:p w:rsidR="00000000" w:rsidRDefault="00000000">
            <w:pPr>
              <w:pStyle w:val="a2"/>
              <w:tabs>
                <w:tab w:val="decimal" w:pos="446"/>
              </w:tabs>
              <w:rPr>
                <w:snapToGrid/>
                <w:sz w:val="20"/>
              </w:rPr>
            </w:pPr>
            <w:r>
              <w:rPr>
                <w:snapToGrid/>
                <w:sz w:val="20"/>
              </w:rPr>
              <w:t>6.8</w:t>
            </w:r>
          </w:p>
        </w:tc>
        <w:tc>
          <w:tcPr>
            <w:tcW w:w="514" w:type="pct"/>
          </w:tcPr>
          <w:p w:rsidR="00000000" w:rsidRDefault="00000000">
            <w:pPr>
              <w:pStyle w:val="a2"/>
              <w:tabs>
                <w:tab w:val="decimal" w:pos="446"/>
              </w:tabs>
              <w:rPr>
                <w:snapToGrid/>
                <w:sz w:val="20"/>
              </w:rPr>
            </w:pPr>
            <w:r>
              <w:rPr>
                <w:snapToGrid/>
                <w:sz w:val="20"/>
              </w:rPr>
              <w:t>6.8</w:t>
            </w:r>
          </w:p>
        </w:tc>
        <w:tc>
          <w:tcPr>
            <w:tcW w:w="512" w:type="pct"/>
          </w:tcPr>
          <w:p w:rsidR="00000000" w:rsidRDefault="00000000">
            <w:pPr>
              <w:pStyle w:val="a2"/>
              <w:tabs>
                <w:tab w:val="decimal" w:pos="446"/>
              </w:tabs>
              <w:rPr>
                <w:snapToGrid/>
                <w:sz w:val="20"/>
              </w:rPr>
            </w:pPr>
            <w:r>
              <w:rPr>
                <w:snapToGrid/>
                <w:sz w:val="20"/>
              </w:rPr>
              <w:t>6.8</w:t>
            </w: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after="200"/>
        <w:ind w:left="539"/>
        <w:rPr>
          <w:rFonts w:eastAsia="KaiTi_GB2312"/>
          <w:snapToGrid/>
          <w:spacing w:val="0"/>
          <w:sz w:val="22"/>
        </w:rPr>
      </w:pPr>
      <w:r>
        <w:rPr>
          <w:rFonts w:eastAsia="KaiTi_GB2312"/>
          <w:snapToGrid/>
          <w:spacing w:val="0"/>
          <w:sz w:val="22"/>
        </w:rPr>
        <w:t xml:space="preserve">#   </w:t>
      </w:r>
      <w:r>
        <w:rPr>
          <w:rFonts w:eastAsia="KaiTi_GB2312" w:hint="eastAsia"/>
          <w:snapToGrid/>
          <w:spacing w:val="0"/>
          <w:sz w:val="22"/>
        </w:rPr>
        <w:t>临时数字</w:t>
      </w:r>
    </w:p>
    <w:p w:rsidR="00000000" w:rsidRDefault="00000000">
      <w:pPr>
        <w:pStyle w:val="Heading4"/>
        <w:spacing w:after="120"/>
      </w:pPr>
      <w:r>
        <w:rPr>
          <w:rFonts w:hint="eastAsia"/>
        </w:rPr>
        <w:t>按年龄组别及性别划分的人口</w:t>
      </w:r>
    </w:p>
    <w:tbl>
      <w:tblPr>
        <w:tblW w:w="5000" w:type="pct"/>
        <w:tblCellMar>
          <w:left w:w="28" w:type="dxa"/>
          <w:right w:w="28" w:type="dxa"/>
        </w:tblCellMar>
        <w:tblLook w:val="0000" w:firstRow="0" w:lastRow="0" w:firstColumn="0" w:lastColumn="0" w:noHBand="0" w:noVBand="0"/>
      </w:tblPr>
      <w:tblGrid>
        <w:gridCol w:w="870"/>
        <w:gridCol w:w="552"/>
        <w:gridCol w:w="889"/>
        <w:gridCol w:w="888"/>
        <w:gridCol w:w="888"/>
        <w:gridCol w:w="888"/>
        <w:gridCol w:w="888"/>
        <w:gridCol w:w="888"/>
        <w:gridCol w:w="888"/>
        <w:gridCol w:w="888"/>
        <w:gridCol w:w="883"/>
      </w:tblGrid>
      <w:tr w:rsidR="00000000">
        <w:tblPrEx>
          <w:tblCellMar>
            <w:top w:w="0" w:type="dxa"/>
            <w:bottom w:w="0" w:type="dxa"/>
          </w:tblCellMar>
        </w:tblPrEx>
        <w:trPr>
          <w:cantSplit/>
        </w:trPr>
        <w:tc>
          <w:tcPr>
            <w:tcW w:w="462" w:type="pct"/>
            <w:vMerge w:val="restar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center"/>
              <w:rPr>
                <w:rFonts w:ascii="Time New Roman" w:eastAsia="SimHei" w:hAnsi="Time New Roman"/>
                <w:snapToGrid/>
                <w:sz w:val="20"/>
              </w:rPr>
            </w:pPr>
            <w:r>
              <w:rPr>
                <w:rFonts w:ascii="Time New Roman" w:eastAsia="SimHei" w:hAnsi="Time New Roman"/>
                <w:snapToGrid/>
                <w:sz w:val="20"/>
              </w:rPr>
              <w:br/>
            </w:r>
            <w:r>
              <w:rPr>
                <w:rFonts w:ascii="Time New Roman" w:eastAsia="SimHei" w:hAnsi="Time New Roman" w:hint="eastAsia"/>
                <w:snapToGrid/>
                <w:sz w:val="20"/>
              </w:rPr>
              <w:t>年龄</w:t>
            </w:r>
          </w:p>
        </w:tc>
        <w:tc>
          <w:tcPr>
            <w:tcW w:w="293" w:type="pct"/>
            <w:vMerge w:val="restar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rFonts w:ascii="Time New Roman" w:eastAsia="SimHei" w:hAnsi="Time New Roman"/>
                <w:snapToGrid/>
                <w:sz w:val="20"/>
              </w:rPr>
            </w:pPr>
            <w:r>
              <w:rPr>
                <w:rFonts w:ascii="Time New Roman" w:eastAsia="SimHei" w:hAnsi="Time New Roman"/>
                <w:snapToGrid/>
                <w:sz w:val="20"/>
              </w:rPr>
              <w:br/>
            </w:r>
            <w:r>
              <w:rPr>
                <w:rFonts w:ascii="Time New Roman" w:eastAsia="SimHei" w:hAnsi="Time New Roman" w:hint="eastAsia"/>
                <w:snapToGrid/>
                <w:sz w:val="20"/>
              </w:rPr>
              <w:t>性别</w:t>
            </w:r>
          </w:p>
        </w:tc>
        <w:tc>
          <w:tcPr>
            <w:tcW w:w="4244" w:type="pct"/>
            <w:gridSpan w:val="9"/>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rFonts w:ascii="Time New Roman" w:eastAsia="SimHei" w:hAnsi="Time New Roman"/>
                <w:snapToGrid/>
                <w:sz w:val="20"/>
              </w:rPr>
            </w:pPr>
            <w:r>
              <w:rPr>
                <w:rFonts w:ascii="Time New Roman" w:eastAsia="SimHei" w:hAnsi="Time New Roman" w:hint="eastAsia"/>
                <w:snapToGrid/>
                <w:sz w:val="20"/>
              </w:rPr>
              <w:t>在总人口中所占的百分率</w:t>
            </w:r>
          </w:p>
        </w:tc>
      </w:tr>
      <w:tr w:rsidR="00000000">
        <w:tblPrEx>
          <w:tblCellMar>
            <w:top w:w="0" w:type="dxa"/>
            <w:bottom w:w="0" w:type="dxa"/>
          </w:tblCellMar>
        </w:tblPrEx>
        <w:trPr>
          <w:cantSplit/>
        </w:trPr>
        <w:tc>
          <w:tcPr>
            <w:tcW w:w="462" w:type="pct"/>
            <w:vMerge/>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ind w:left="57" w:right="57"/>
              <w:jc w:val="left"/>
              <w:rPr>
                <w:snapToGrid/>
                <w:sz w:val="20"/>
              </w:rPr>
            </w:pPr>
          </w:p>
        </w:tc>
        <w:tc>
          <w:tcPr>
            <w:tcW w:w="293" w:type="pct"/>
            <w:vMerge/>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u w:val="single"/>
              </w:rPr>
            </w:pPr>
          </w:p>
        </w:tc>
        <w:tc>
          <w:tcPr>
            <w:tcW w:w="472"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1987</w:t>
            </w:r>
            <w:r>
              <w:rPr>
                <w:rFonts w:hint="eastAsia"/>
                <w:snapToGrid/>
                <w:sz w:val="20"/>
                <w:u w:val="single"/>
              </w:rPr>
              <w:t>年年中</w:t>
            </w:r>
          </w:p>
        </w:tc>
        <w:tc>
          <w:tcPr>
            <w:tcW w:w="472"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1992</w:t>
            </w:r>
            <w:r>
              <w:rPr>
                <w:rFonts w:hint="eastAsia"/>
                <w:snapToGrid/>
                <w:sz w:val="20"/>
                <w:u w:val="single"/>
              </w:rPr>
              <w:t>年年中</w:t>
            </w:r>
          </w:p>
        </w:tc>
        <w:tc>
          <w:tcPr>
            <w:tcW w:w="472"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1999</w:t>
            </w:r>
            <w:r>
              <w:rPr>
                <w:rFonts w:hint="eastAsia"/>
                <w:snapToGrid/>
                <w:sz w:val="20"/>
                <w:u w:val="single"/>
              </w:rPr>
              <w:t>年年中</w:t>
            </w:r>
          </w:p>
        </w:tc>
        <w:tc>
          <w:tcPr>
            <w:tcW w:w="472"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2000</w:t>
            </w:r>
            <w:r>
              <w:rPr>
                <w:rFonts w:hint="eastAsia"/>
                <w:snapToGrid/>
                <w:sz w:val="20"/>
                <w:u w:val="single"/>
              </w:rPr>
              <w:t>年年中</w:t>
            </w:r>
          </w:p>
        </w:tc>
        <w:tc>
          <w:tcPr>
            <w:tcW w:w="472"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2000</w:t>
            </w:r>
            <w:r>
              <w:rPr>
                <w:rFonts w:hint="eastAsia"/>
                <w:snapToGrid/>
                <w:sz w:val="20"/>
                <w:u w:val="single"/>
              </w:rPr>
              <w:t>年年底</w:t>
            </w:r>
          </w:p>
        </w:tc>
        <w:tc>
          <w:tcPr>
            <w:tcW w:w="472"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2001</w:t>
            </w:r>
            <w:r>
              <w:rPr>
                <w:rFonts w:hint="eastAsia"/>
                <w:snapToGrid/>
                <w:sz w:val="20"/>
                <w:u w:val="single"/>
              </w:rPr>
              <w:t>年年中</w:t>
            </w:r>
          </w:p>
        </w:tc>
        <w:tc>
          <w:tcPr>
            <w:tcW w:w="472"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2001</w:t>
            </w:r>
            <w:r>
              <w:rPr>
                <w:rFonts w:hint="eastAsia"/>
                <w:snapToGrid/>
                <w:sz w:val="20"/>
                <w:u w:val="single"/>
              </w:rPr>
              <w:t>年年底</w:t>
            </w:r>
          </w:p>
        </w:tc>
        <w:tc>
          <w:tcPr>
            <w:tcW w:w="472"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2002</w:t>
            </w:r>
            <w:r>
              <w:rPr>
                <w:rFonts w:hint="eastAsia"/>
                <w:snapToGrid/>
                <w:sz w:val="20"/>
                <w:u w:val="single"/>
              </w:rPr>
              <w:t>年年中</w:t>
            </w:r>
          </w:p>
        </w:tc>
        <w:tc>
          <w:tcPr>
            <w:tcW w:w="469"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320" w:lineRule="atLeast"/>
              <w:jc w:val="center"/>
              <w:rPr>
                <w:snapToGrid/>
                <w:sz w:val="20"/>
              </w:rPr>
            </w:pPr>
            <w:r>
              <w:rPr>
                <w:snapToGrid/>
                <w:sz w:val="20"/>
                <w:u w:val="single"/>
              </w:rPr>
              <w:t>2002</w:t>
            </w:r>
            <w:r>
              <w:rPr>
                <w:rFonts w:hint="eastAsia"/>
                <w:snapToGrid/>
                <w:sz w:val="20"/>
                <w:u w:val="single"/>
              </w:rPr>
              <w:t>年年底</w:t>
            </w:r>
            <w:r>
              <w:rPr>
                <w:snapToGrid/>
                <w:sz w:val="20"/>
                <w:u w:val="single"/>
                <w:vertAlign w:val="superscript"/>
              </w:rPr>
              <w:t>#</w:t>
            </w:r>
          </w:p>
        </w:tc>
      </w:tr>
      <w:tr w:rsidR="00000000">
        <w:tblPrEx>
          <w:tblCellMar>
            <w:top w:w="0" w:type="dxa"/>
            <w:bottom w:w="0" w:type="dxa"/>
          </w:tblCellMar>
        </w:tblPrEx>
        <w:trPr>
          <w:cantSplit/>
        </w:trPr>
        <w:tc>
          <w:tcPr>
            <w:tcW w:w="462" w:type="pct"/>
            <w:vMerge w:val="restar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40" w:lineRule="auto"/>
              <w:ind w:left="57" w:right="57"/>
              <w:jc w:val="left"/>
              <w:rPr>
                <w:snapToGrid/>
                <w:spacing w:val="0"/>
                <w:sz w:val="20"/>
              </w:rPr>
            </w:pPr>
            <w:r>
              <w:rPr>
                <w:snapToGrid/>
                <w:spacing w:val="0"/>
                <w:sz w:val="20"/>
              </w:rPr>
              <w:t>15</w:t>
            </w:r>
            <w:r>
              <w:rPr>
                <w:rFonts w:hint="eastAsia"/>
                <w:snapToGrid/>
                <w:spacing w:val="0"/>
                <w:sz w:val="20"/>
              </w:rPr>
              <w:t>岁</w:t>
            </w:r>
            <w:r>
              <w:rPr>
                <w:snapToGrid/>
                <w:spacing w:val="0"/>
                <w:sz w:val="20"/>
              </w:rPr>
              <w:br/>
            </w:r>
            <w:r>
              <w:rPr>
                <w:rFonts w:hint="eastAsia"/>
                <w:snapToGrid/>
                <w:spacing w:val="0"/>
                <w:sz w:val="20"/>
              </w:rPr>
              <w:t>以下</w:t>
            </w: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40" w:lineRule="auto"/>
              <w:jc w:val="center"/>
              <w:rPr>
                <w:snapToGrid/>
                <w:sz w:val="20"/>
              </w:rPr>
            </w:pPr>
            <w:r>
              <w:rPr>
                <w:rFonts w:hint="eastAsia"/>
                <w:snapToGrid/>
                <w:sz w:val="20"/>
              </w:rPr>
              <w:t>男</w:t>
            </w:r>
          </w:p>
        </w:tc>
        <w:tc>
          <w:tcPr>
            <w:tcW w:w="472" w:type="pct"/>
          </w:tcPr>
          <w:p w:rsidR="00000000" w:rsidRDefault="00000000">
            <w:pPr>
              <w:tabs>
                <w:tab w:val="decimal" w:pos="468"/>
              </w:tabs>
              <w:spacing w:before="80" w:line="240" w:lineRule="auto"/>
              <w:rPr>
                <w:snapToGrid/>
                <w:sz w:val="20"/>
              </w:rPr>
            </w:pPr>
            <w:r>
              <w:rPr>
                <w:snapToGrid/>
                <w:sz w:val="20"/>
              </w:rPr>
              <w:t>11.7</w:t>
            </w:r>
          </w:p>
        </w:tc>
        <w:tc>
          <w:tcPr>
            <w:tcW w:w="472" w:type="pct"/>
          </w:tcPr>
          <w:p w:rsidR="00000000" w:rsidRDefault="00000000">
            <w:pPr>
              <w:tabs>
                <w:tab w:val="decimal" w:pos="468"/>
              </w:tabs>
              <w:spacing w:before="80" w:line="240" w:lineRule="auto"/>
              <w:rPr>
                <w:snapToGrid/>
                <w:sz w:val="20"/>
              </w:rPr>
            </w:pPr>
            <w:r>
              <w:rPr>
                <w:snapToGrid/>
                <w:sz w:val="20"/>
              </w:rPr>
              <w:t>10.6</w:t>
            </w:r>
          </w:p>
        </w:tc>
        <w:tc>
          <w:tcPr>
            <w:tcW w:w="472" w:type="pct"/>
          </w:tcPr>
          <w:p w:rsidR="00000000" w:rsidRDefault="00000000">
            <w:pPr>
              <w:tabs>
                <w:tab w:val="decimal" w:pos="468"/>
              </w:tabs>
              <w:spacing w:before="80" w:line="240" w:lineRule="auto"/>
              <w:rPr>
                <w:snapToGrid/>
                <w:sz w:val="20"/>
              </w:rPr>
            </w:pPr>
            <w:r>
              <w:rPr>
                <w:snapToGrid/>
                <w:sz w:val="20"/>
              </w:rPr>
              <w:t>9.1</w:t>
            </w:r>
          </w:p>
        </w:tc>
        <w:tc>
          <w:tcPr>
            <w:tcW w:w="472" w:type="pct"/>
          </w:tcPr>
          <w:p w:rsidR="00000000" w:rsidRDefault="00000000">
            <w:pPr>
              <w:tabs>
                <w:tab w:val="decimal" w:pos="468"/>
              </w:tabs>
              <w:spacing w:before="80" w:line="240" w:lineRule="auto"/>
              <w:rPr>
                <w:snapToGrid/>
                <w:sz w:val="20"/>
              </w:rPr>
            </w:pPr>
            <w:r>
              <w:rPr>
                <w:snapToGrid/>
                <w:sz w:val="20"/>
              </w:rPr>
              <w:t>8.8</w:t>
            </w:r>
          </w:p>
        </w:tc>
        <w:tc>
          <w:tcPr>
            <w:tcW w:w="472" w:type="pct"/>
          </w:tcPr>
          <w:p w:rsidR="00000000" w:rsidRDefault="00000000">
            <w:pPr>
              <w:tabs>
                <w:tab w:val="decimal" w:pos="468"/>
              </w:tabs>
              <w:spacing w:before="80" w:line="240" w:lineRule="auto"/>
              <w:rPr>
                <w:snapToGrid/>
                <w:sz w:val="20"/>
              </w:rPr>
            </w:pPr>
            <w:r>
              <w:rPr>
                <w:snapToGrid/>
                <w:sz w:val="20"/>
              </w:rPr>
              <w:t>8.6</w:t>
            </w:r>
          </w:p>
        </w:tc>
        <w:tc>
          <w:tcPr>
            <w:tcW w:w="472" w:type="pct"/>
          </w:tcPr>
          <w:p w:rsidR="00000000" w:rsidRDefault="00000000">
            <w:pPr>
              <w:tabs>
                <w:tab w:val="decimal" w:pos="468"/>
              </w:tabs>
              <w:spacing w:before="80" w:line="240" w:lineRule="auto"/>
              <w:rPr>
                <w:rFonts w:hint="eastAsia"/>
                <w:snapToGrid/>
                <w:sz w:val="20"/>
              </w:rPr>
            </w:pPr>
            <w:r>
              <w:rPr>
                <w:snapToGrid/>
                <w:sz w:val="20"/>
              </w:rPr>
              <w:t>8.5</w:t>
            </w:r>
          </w:p>
        </w:tc>
        <w:tc>
          <w:tcPr>
            <w:tcW w:w="472" w:type="pct"/>
          </w:tcPr>
          <w:p w:rsidR="00000000" w:rsidRDefault="00000000">
            <w:pPr>
              <w:tabs>
                <w:tab w:val="decimal" w:pos="468"/>
              </w:tabs>
              <w:spacing w:before="80" w:line="240" w:lineRule="auto"/>
              <w:rPr>
                <w:rFonts w:hint="eastAsia"/>
                <w:snapToGrid/>
                <w:sz w:val="20"/>
              </w:rPr>
            </w:pPr>
            <w:r>
              <w:rPr>
                <w:snapToGrid/>
                <w:sz w:val="20"/>
              </w:rPr>
              <w:t>8.4</w:t>
            </w:r>
          </w:p>
        </w:tc>
        <w:tc>
          <w:tcPr>
            <w:tcW w:w="472" w:type="pct"/>
          </w:tcPr>
          <w:p w:rsidR="00000000" w:rsidRDefault="00000000">
            <w:pPr>
              <w:tabs>
                <w:tab w:val="decimal" w:pos="468"/>
              </w:tabs>
              <w:spacing w:before="80" w:line="240" w:lineRule="auto"/>
              <w:rPr>
                <w:rFonts w:hint="eastAsia"/>
                <w:snapToGrid/>
                <w:sz w:val="20"/>
              </w:rPr>
            </w:pPr>
            <w:r>
              <w:rPr>
                <w:snapToGrid/>
                <w:sz w:val="20"/>
              </w:rPr>
              <w:t>8.3</w:t>
            </w:r>
          </w:p>
        </w:tc>
        <w:tc>
          <w:tcPr>
            <w:tcW w:w="469" w:type="pct"/>
          </w:tcPr>
          <w:p w:rsidR="00000000" w:rsidRDefault="00000000">
            <w:pPr>
              <w:tabs>
                <w:tab w:val="decimal" w:pos="468"/>
              </w:tabs>
              <w:spacing w:before="80" w:line="240" w:lineRule="auto"/>
              <w:rPr>
                <w:rFonts w:hint="eastAsia"/>
                <w:snapToGrid/>
                <w:sz w:val="20"/>
              </w:rPr>
            </w:pPr>
            <w:r>
              <w:rPr>
                <w:snapToGrid/>
                <w:sz w:val="20"/>
              </w:rPr>
              <w:t>8.2</w:t>
            </w:r>
          </w:p>
        </w:tc>
      </w:tr>
      <w:tr w:rsidR="00000000">
        <w:tblPrEx>
          <w:tblCellMar>
            <w:top w:w="0" w:type="dxa"/>
            <w:bottom w:w="0" w:type="dxa"/>
          </w:tblCellMar>
        </w:tblPrEx>
        <w:trPr>
          <w:cantSplit/>
        </w:trPr>
        <w:tc>
          <w:tcPr>
            <w:tcW w:w="462" w:type="pct"/>
            <w:vMerge/>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snapToGrid/>
                <w:sz w:val="20"/>
              </w:rPr>
            </w:pP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snapToGrid/>
                <w:sz w:val="20"/>
              </w:rPr>
            </w:pPr>
            <w:r>
              <w:rPr>
                <w:rFonts w:hint="eastAsia"/>
                <w:snapToGrid/>
                <w:sz w:val="20"/>
              </w:rPr>
              <w:t>女</w:t>
            </w:r>
          </w:p>
        </w:tc>
        <w:tc>
          <w:tcPr>
            <w:tcW w:w="472" w:type="pct"/>
          </w:tcPr>
          <w:p w:rsidR="00000000" w:rsidRDefault="00000000">
            <w:pPr>
              <w:tabs>
                <w:tab w:val="decimal" w:pos="468"/>
              </w:tabs>
              <w:spacing w:before="40" w:line="240" w:lineRule="auto"/>
              <w:rPr>
                <w:snapToGrid/>
                <w:sz w:val="20"/>
              </w:rPr>
            </w:pPr>
            <w:r>
              <w:rPr>
                <w:snapToGrid/>
                <w:sz w:val="20"/>
              </w:rPr>
              <w:t>10.8</w:t>
            </w:r>
          </w:p>
        </w:tc>
        <w:tc>
          <w:tcPr>
            <w:tcW w:w="472" w:type="pct"/>
          </w:tcPr>
          <w:p w:rsidR="00000000" w:rsidRDefault="00000000">
            <w:pPr>
              <w:tabs>
                <w:tab w:val="decimal" w:pos="468"/>
              </w:tabs>
              <w:spacing w:before="40" w:line="240" w:lineRule="auto"/>
              <w:rPr>
                <w:snapToGrid/>
                <w:sz w:val="20"/>
              </w:rPr>
            </w:pPr>
            <w:r>
              <w:rPr>
                <w:snapToGrid/>
                <w:sz w:val="20"/>
              </w:rPr>
              <w:t>9.9</w:t>
            </w:r>
          </w:p>
        </w:tc>
        <w:tc>
          <w:tcPr>
            <w:tcW w:w="472" w:type="pct"/>
          </w:tcPr>
          <w:p w:rsidR="00000000" w:rsidRDefault="00000000">
            <w:pPr>
              <w:tabs>
                <w:tab w:val="decimal" w:pos="468"/>
              </w:tabs>
              <w:spacing w:before="40" w:line="240" w:lineRule="auto"/>
              <w:rPr>
                <w:rFonts w:hint="eastAsia"/>
                <w:snapToGrid/>
                <w:sz w:val="20"/>
              </w:rPr>
            </w:pPr>
            <w:r>
              <w:rPr>
                <w:snapToGrid/>
                <w:sz w:val="20"/>
              </w:rPr>
              <w:t>8.4</w:t>
            </w:r>
          </w:p>
        </w:tc>
        <w:tc>
          <w:tcPr>
            <w:tcW w:w="472" w:type="pct"/>
          </w:tcPr>
          <w:p w:rsidR="00000000" w:rsidRDefault="00000000">
            <w:pPr>
              <w:tabs>
                <w:tab w:val="decimal" w:pos="468"/>
              </w:tabs>
              <w:spacing w:before="40" w:line="240" w:lineRule="auto"/>
              <w:rPr>
                <w:rFonts w:hint="eastAsia"/>
                <w:snapToGrid/>
                <w:sz w:val="20"/>
              </w:rPr>
            </w:pPr>
            <w:r>
              <w:rPr>
                <w:snapToGrid/>
                <w:sz w:val="20"/>
              </w:rPr>
              <w:t>8.2</w:t>
            </w:r>
          </w:p>
        </w:tc>
        <w:tc>
          <w:tcPr>
            <w:tcW w:w="472" w:type="pct"/>
          </w:tcPr>
          <w:p w:rsidR="00000000" w:rsidRDefault="00000000">
            <w:pPr>
              <w:tabs>
                <w:tab w:val="decimal" w:pos="468"/>
              </w:tabs>
              <w:spacing w:before="40" w:line="240" w:lineRule="auto"/>
              <w:rPr>
                <w:rFonts w:hint="eastAsia"/>
                <w:snapToGrid/>
                <w:sz w:val="20"/>
              </w:rPr>
            </w:pPr>
            <w:r>
              <w:rPr>
                <w:snapToGrid/>
                <w:sz w:val="20"/>
              </w:rPr>
              <w:t>8.0</w:t>
            </w:r>
          </w:p>
        </w:tc>
        <w:tc>
          <w:tcPr>
            <w:tcW w:w="472" w:type="pct"/>
          </w:tcPr>
          <w:p w:rsidR="00000000" w:rsidRDefault="00000000">
            <w:pPr>
              <w:tabs>
                <w:tab w:val="decimal" w:pos="468"/>
              </w:tabs>
              <w:spacing w:before="40" w:line="240" w:lineRule="auto"/>
              <w:rPr>
                <w:rFonts w:hint="eastAsia"/>
                <w:snapToGrid/>
                <w:sz w:val="20"/>
              </w:rPr>
            </w:pPr>
            <w:r>
              <w:rPr>
                <w:snapToGrid/>
                <w:sz w:val="20"/>
              </w:rPr>
              <w:t>7.9</w:t>
            </w:r>
          </w:p>
        </w:tc>
        <w:tc>
          <w:tcPr>
            <w:tcW w:w="472" w:type="pct"/>
          </w:tcPr>
          <w:p w:rsidR="00000000" w:rsidRDefault="00000000">
            <w:pPr>
              <w:tabs>
                <w:tab w:val="decimal" w:pos="468"/>
              </w:tabs>
              <w:spacing w:before="40" w:line="240" w:lineRule="auto"/>
              <w:rPr>
                <w:rFonts w:hint="eastAsia"/>
                <w:snapToGrid/>
                <w:sz w:val="20"/>
              </w:rPr>
            </w:pPr>
            <w:r>
              <w:rPr>
                <w:snapToGrid/>
                <w:sz w:val="20"/>
              </w:rPr>
              <w:t>7.9</w:t>
            </w:r>
          </w:p>
        </w:tc>
        <w:tc>
          <w:tcPr>
            <w:tcW w:w="472" w:type="pct"/>
          </w:tcPr>
          <w:p w:rsidR="00000000" w:rsidRDefault="00000000">
            <w:pPr>
              <w:tabs>
                <w:tab w:val="decimal" w:pos="468"/>
              </w:tabs>
              <w:spacing w:before="40" w:line="240" w:lineRule="auto"/>
              <w:rPr>
                <w:rFonts w:hint="eastAsia"/>
                <w:snapToGrid/>
                <w:sz w:val="20"/>
              </w:rPr>
            </w:pPr>
            <w:r>
              <w:rPr>
                <w:snapToGrid/>
                <w:sz w:val="20"/>
              </w:rPr>
              <w:t>7.8</w:t>
            </w:r>
          </w:p>
        </w:tc>
        <w:tc>
          <w:tcPr>
            <w:tcW w:w="469" w:type="pct"/>
          </w:tcPr>
          <w:p w:rsidR="00000000" w:rsidRDefault="00000000">
            <w:pPr>
              <w:tabs>
                <w:tab w:val="decimal" w:pos="468"/>
              </w:tabs>
              <w:spacing w:before="40" w:line="240" w:lineRule="auto"/>
              <w:rPr>
                <w:rFonts w:hint="eastAsia"/>
                <w:snapToGrid/>
                <w:sz w:val="20"/>
              </w:rPr>
            </w:pPr>
            <w:r>
              <w:rPr>
                <w:snapToGrid/>
                <w:sz w:val="20"/>
              </w:rPr>
              <w:t>7.7</w:t>
            </w:r>
          </w:p>
        </w:tc>
      </w:tr>
      <w:tr w:rsidR="00000000">
        <w:tblPrEx>
          <w:tblCellMar>
            <w:top w:w="0" w:type="dxa"/>
            <w:bottom w:w="0" w:type="dxa"/>
          </w:tblCellMar>
        </w:tblPrEx>
        <w:trPr>
          <w:cantSplit/>
        </w:trPr>
        <w:tc>
          <w:tcPr>
            <w:tcW w:w="462" w:type="pct"/>
            <w:vMerge w:val="restar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rFonts w:hint="eastAsia"/>
                <w:snapToGrid/>
                <w:sz w:val="20"/>
              </w:rPr>
            </w:pPr>
            <w:r>
              <w:rPr>
                <w:snapToGrid/>
                <w:sz w:val="20"/>
              </w:rPr>
              <w:t>15</w:t>
            </w:r>
            <w:r>
              <w:rPr>
                <w:rFonts w:hint="eastAsia"/>
                <w:snapToGrid/>
                <w:sz w:val="20"/>
              </w:rPr>
              <w:t>至</w:t>
            </w:r>
            <w:r>
              <w:rPr>
                <w:snapToGrid/>
                <w:sz w:val="20"/>
              </w:rPr>
              <w:t>18</w:t>
            </w:r>
            <w:r>
              <w:rPr>
                <w:rFonts w:hint="eastAsia"/>
                <w:snapToGrid/>
                <w:sz w:val="20"/>
              </w:rPr>
              <w:t>岁</w:t>
            </w: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rFonts w:hint="eastAsia"/>
                <w:snapToGrid/>
                <w:sz w:val="20"/>
              </w:rPr>
            </w:pPr>
            <w:r>
              <w:rPr>
                <w:rFonts w:hint="eastAsia"/>
                <w:snapToGrid/>
                <w:sz w:val="20"/>
              </w:rPr>
              <w:t>男</w:t>
            </w:r>
          </w:p>
        </w:tc>
        <w:tc>
          <w:tcPr>
            <w:tcW w:w="472" w:type="pct"/>
          </w:tcPr>
          <w:p w:rsidR="00000000" w:rsidRDefault="00000000">
            <w:pPr>
              <w:tabs>
                <w:tab w:val="decimal" w:pos="468"/>
              </w:tabs>
              <w:spacing w:before="40" w:line="240" w:lineRule="auto"/>
              <w:rPr>
                <w:rFonts w:hint="eastAsia"/>
                <w:snapToGrid/>
                <w:sz w:val="20"/>
              </w:rPr>
            </w:pPr>
            <w:r>
              <w:rPr>
                <w:snapToGrid/>
                <w:sz w:val="20"/>
              </w:rPr>
              <w:t>3.3</w:t>
            </w:r>
          </w:p>
        </w:tc>
        <w:tc>
          <w:tcPr>
            <w:tcW w:w="472" w:type="pct"/>
          </w:tcPr>
          <w:p w:rsidR="00000000" w:rsidRDefault="00000000">
            <w:pPr>
              <w:tabs>
                <w:tab w:val="decimal" w:pos="468"/>
              </w:tabs>
              <w:spacing w:before="40" w:line="240" w:lineRule="auto"/>
              <w:rPr>
                <w:rFonts w:hint="eastAsia"/>
                <w:snapToGrid/>
                <w:sz w:val="20"/>
              </w:rPr>
            </w:pPr>
            <w:r>
              <w:rPr>
                <w:snapToGrid/>
                <w:sz w:val="20"/>
              </w:rPr>
              <w:t>2.9</w:t>
            </w:r>
          </w:p>
        </w:tc>
        <w:tc>
          <w:tcPr>
            <w:tcW w:w="472" w:type="pct"/>
          </w:tcPr>
          <w:p w:rsidR="00000000" w:rsidRDefault="00000000">
            <w:pPr>
              <w:tabs>
                <w:tab w:val="decimal" w:pos="468"/>
              </w:tabs>
              <w:spacing w:before="40" w:line="240" w:lineRule="auto"/>
              <w:rPr>
                <w:rFonts w:hint="eastAsia"/>
                <w:snapToGrid/>
                <w:sz w:val="20"/>
              </w:rPr>
            </w:pPr>
            <w:r>
              <w:rPr>
                <w:snapToGrid/>
                <w:sz w:val="20"/>
              </w:rPr>
              <w:t>2.9</w:t>
            </w:r>
          </w:p>
        </w:tc>
        <w:tc>
          <w:tcPr>
            <w:tcW w:w="472" w:type="pct"/>
          </w:tcPr>
          <w:p w:rsidR="00000000" w:rsidRDefault="00000000">
            <w:pPr>
              <w:tabs>
                <w:tab w:val="decimal" w:pos="468"/>
              </w:tabs>
              <w:spacing w:before="40" w:line="240" w:lineRule="auto"/>
              <w:rPr>
                <w:rFonts w:hint="eastAsia"/>
                <w:snapToGrid/>
                <w:sz w:val="20"/>
              </w:rPr>
            </w:pPr>
            <w:r>
              <w:rPr>
                <w:snapToGrid/>
                <w:sz w:val="20"/>
              </w:rPr>
              <w:t>2.9</w:t>
            </w:r>
          </w:p>
        </w:tc>
        <w:tc>
          <w:tcPr>
            <w:tcW w:w="472" w:type="pct"/>
          </w:tcPr>
          <w:p w:rsidR="00000000" w:rsidRDefault="00000000">
            <w:pPr>
              <w:tabs>
                <w:tab w:val="decimal" w:pos="468"/>
              </w:tabs>
              <w:spacing w:before="40" w:line="240" w:lineRule="auto"/>
              <w:rPr>
                <w:rFonts w:hint="eastAsia"/>
                <w:snapToGrid/>
                <w:sz w:val="20"/>
              </w:rPr>
            </w:pPr>
            <w:r>
              <w:rPr>
                <w:snapToGrid/>
                <w:sz w:val="20"/>
              </w:rPr>
              <w:t>2.8</w:t>
            </w:r>
          </w:p>
        </w:tc>
        <w:tc>
          <w:tcPr>
            <w:tcW w:w="472" w:type="pct"/>
          </w:tcPr>
          <w:p w:rsidR="00000000" w:rsidRDefault="00000000">
            <w:pPr>
              <w:tabs>
                <w:tab w:val="decimal" w:pos="468"/>
              </w:tabs>
              <w:spacing w:before="40" w:line="240" w:lineRule="auto"/>
              <w:rPr>
                <w:rFonts w:hint="eastAsia"/>
                <w:snapToGrid/>
                <w:sz w:val="20"/>
              </w:rPr>
            </w:pPr>
            <w:r>
              <w:rPr>
                <w:snapToGrid/>
                <w:sz w:val="20"/>
              </w:rPr>
              <w:t>2.7</w:t>
            </w:r>
          </w:p>
        </w:tc>
        <w:tc>
          <w:tcPr>
            <w:tcW w:w="472" w:type="pct"/>
          </w:tcPr>
          <w:p w:rsidR="00000000" w:rsidRDefault="00000000">
            <w:pPr>
              <w:tabs>
                <w:tab w:val="decimal" w:pos="468"/>
              </w:tabs>
              <w:spacing w:before="40" w:line="240" w:lineRule="auto"/>
              <w:rPr>
                <w:rFonts w:hint="eastAsia"/>
                <w:snapToGrid/>
                <w:sz w:val="20"/>
              </w:rPr>
            </w:pPr>
            <w:r>
              <w:rPr>
                <w:snapToGrid/>
                <w:sz w:val="20"/>
              </w:rPr>
              <w:t>2.7</w:t>
            </w:r>
          </w:p>
        </w:tc>
        <w:tc>
          <w:tcPr>
            <w:tcW w:w="472" w:type="pct"/>
          </w:tcPr>
          <w:p w:rsidR="00000000" w:rsidRDefault="00000000">
            <w:pPr>
              <w:tabs>
                <w:tab w:val="decimal" w:pos="468"/>
              </w:tabs>
              <w:spacing w:before="40" w:line="240" w:lineRule="auto"/>
              <w:rPr>
                <w:rFonts w:hint="eastAsia"/>
                <w:snapToGrid/>
                <w:sz w:val="20"/>
              </w:rPr>
            </w:pPr>
            <w:r>
              <w:rPr>
                <w:snapToGrid/>
                <w:sz w:val="20"/>
              </w:rPr>
              <w:t>2.6</w:t>
            </w:r>
          </w:p>
        </w:tc>
        <w:tc>
          <w:tcPr>
            <w:tcW w:w="469" w:type="pct"/>
          </w:tcPr>
          <w:p w:rsidR="00000000" w:rsidRDefault="00000000">
            <w:pPr>
              <w:tabs>
                <w:tab w:val="decimal" w:pos="468"/>
              </w:tabs>
              <w:spacing w:before="40" w:line="240" w:lineRule="auto"/>
              <w:rPr>
                <w:rFonts w:hint="eastAsia"/>
                <w:snapToGrid/>
                <w:sz w:val="20"/>
              </w:rPr>
            </w:pPr>
            <w:r>
              <w:rPr>
                <w:snapToGrid/>
                <w:sz w:val="20"/>
              </w:rPr>
              <w:t>2.6</w:t>
            </w:r>
          </w:p>
        </w:tc>
      </w:tr>
      <w:tr w:rsidR="00000000">
        <w:tblPrEx>
          <w:tblCellMar>
            <w:top w:w="0" w:type="dxa"/>
            <w:bottom w:w="0" w:type="dxa"/>
          </w:tblCellMar>
        </w:tblPrEx>
        <w:trPr>
          <w:cantSplit/>
        </w:trPr>
        <w:tc>
          <w:tcPr>
            <w:tcW w:w="462" w:type="pct"/>
            <w:vMerge/>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snapToGrid/>
                <w:sz w:val="20"/>
              </w:rPr>
            </w:pP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rFonts w:hint="eastAsia"/>
                <w:snapToGrid/>
                <w:sz w:val="20"/>
              </w:rPr>
            </w:pPr>
            <w:r>
              <w:rPr>
                <w:rFonts w:hint="eastAsia"/>
                <w:snapToGrid/>
                <w:sz w:val="20"/>
              </w:rPr>
              <w:t>女</w:t>
            </w:r>
          </w:p>
        </w:tc>
        <w:tc>
          <w:tcPr>
            <w:tcW w:w="472" w:type="pct"/>
          </w:tcPr>
          <w:p w:rsidR="00000000" w:rsidRDefault="00000000">
            <w:pPr>
              <w:tabs>
                <w:tab w:val="decimal" w:pos="468"/>
              </w:tabs>
              <w:spacing w:before="40" w:line="240" w:lineRule="auto"/>
              <w:rPr>
                <w:rFonts w:hint="eastAsia"/>
                <w:snapToGrid/>
                <w:sz w:val="20"/>
              </w:rPr>
            </w:pPr>
            <w:r>
              <w:rPr>
                <w:snapToGrid/>
                <w:sz w:val="20"/>
              </w:rPr>
              <w:t>3.0</w:t>
            </w:r>
          </w:p>
        </w:tc>
        <w:tc>
          <w:tcPr>
            <w:tcW w:w="472" w:type="pct"/>
          </w:tcPr>
          <w:p w:rsidR="00000000" w:rsidRDefault="00000000">
            <w:pPr>
              <w:tabs>
                <w:tab w:val="decimal" w:pos="468"/>
              </w:tabs>
              <w:spacing w:before="40" w:line="240" w:lineRule="auto"/>
              <w:rPr>
                <w:rFonts w:hint="eastAsia"/>
                <w:snapToGrid/>
                <w:sz w:val="20"/>
              </w:rPr>
            </w:pPr>
            <w:r>
              <w:rPr>
                <w:snapToGrid/>
                <w:sz w:val="20"/>
              </w:rPr>
              <w:t>2.7</w:t>
            </w:r>
          </w:p>
        </w:tc>
        <w:tc>
          <w:tcPr>
            <w:tcW w:w="472" w:type="pct"/>
          </w:tcPr>
          <w:p w:rsidR="00000000" w:rsidRDefault="00000000">
            <w:pPr>
              <w:tabs>
                <w:tab w:val="decimal" w:pos="468"/>
              </w:tabs>
              <w:spacing w:before="40" w:line="240" w:lineRule="auto"/>
              <w:rPr>
                <w:rFonts w:hint="eastAsia"/>
                <w:snapToGrid/>
                <w:sz w:val="20"/>
              </w:rPr>
            </w:pPr>
            <w:r>
              <w:rPr>
                <w:snapToGrid/>
                <w:sz w:val="20"/>
              </w:rPr>
              <w:t>2.7</w:t>
            </w:r>
          </w:p>
        </w:tc>
        <w:tc>
          <w:tcPr>
            <w:tcW w:w="472" w:type="pct"/>
          </w:tcPr>
          <w:p w:rsidR="00000000" w:rsidRDefault="00000000">
            <w:pPr>
              <w:tabs>
                <w:tab w:val="decimal" w:pos="468"/>
              </w:tabs>
              <w:spacing w:before="40" w:line="240" w:lineRule="auto"/>
              <w:rPr>
                <w:rFonts w:hint="eastAsia"/>
                <w:snapToGrid/>
                <w:sz w:val="20"/>
              </w:rPr>
            </w:pPr>
            <w:r>
              <w:rPr>
                <w:snapToGrid/>
                <w:sz w:val="20"/>
              </w:rPr>
              <w:t>2.7</w:t>
            </w:r>
          </w:p>
        </w:tc>
        <w:tc>
          <w:tcPr>
            <w:tcW w:w="472" w:type="pct"/>
          </w:tcPr>
          <w:p w:rsidR="00000000" w:rsidRDefault="00000000">
            <w:pPr>
              <w:tabs>
                <w:tab w:val="decimal" w:pos="468"/>
              </w:tabs>
              <w:spacing w:before="40" w:line="240" w:lineRule="auto"/>
              <w:rPr>
                <w:rFonts w:hint="eastAsia"/>
                <w:snapToGrid/>
                <w:sz w:val="20"/>
              </w:rPr>
            </w:pPr>
            <w:r>
              <w:rPr>
                <w:snapToGrid/>
                <w:sz w:val="20"/>
              </w:rPr>
              <w:t>2.6</w:t>
            </w:r>
          </w:p>
        </w:tc>
        <w:tc>
          <w:tcPr>
            <w:tcW w:w="472" w:type="pct"/>
          </w:tcPr>
          <w:p w:rsidR="00000000" w:rsidRDefault="00000000">
            <w:pPr>
              <w:tabs>
                <w:tab w:val="decimal" w:pos="468"/>
              </w:tabs>
              <w:spacing w:before="40" w:line="240" w:lineRule="auto"/>
              <w:rPr>
                <w:rFonts w:hint="eastAsia"/>
                <w:snapToGrid/>
                <w:sz w:val="20"/>
              </w:rPr>
            </w:pPr>
            <w:r>
              <w:rPr>
                <w:snapToGrid/>
                <w:sz w:val="20"/>
              </w:rPr>
              <w:t>2.6</w:t>
            </w:r>
          </w:p>
        </w:tc>
        <w:tc>
          <w:tcPr>
            <w:tcW w:w="472" w:type="pct"/>
          </w:tcPr>
          <w:p w:rsidR="00000000" w:rsidRDefault="00000000">
            <w:pPr>
              <w:tabs>
                <w:tab w:val="decimal" w:pos="468"/>
              </w:tabs>
              <w:spacing w:before="40" w:line="240" w:lineRule="auto"/>
              <w:rPr>
                <w:rFonts w:hint="eastAsia"/>
                <w:snapToGrid/>
                <w:sz w:val="20"/>
              </w:rPr>
            </w:pPr>
            <w:r>
              <w:rPr>
                <w:snapToGrid/>
                <w:sz w:val="20"/>
              </w:rPr>
              <w:t>2.5</w:t>
            </w:r>
          </w:p>
        </w:tc>
        <w:tc>
          <w:tcPr>
            <w:tcW w:w="472" w:type="pct"/>
          </w:tcPr>
          <w:p w:rsidR="00000000" w:rsidRDefault="00000000">
            <w:pPr>
              <w:tabs>
                <w:tab w:val="decimal" w:pos="468"/>
              </w:tabs>
              <w:spacing w:before="40" w:line="240" w:lineRule="auto"/>
              <w:rPr>
                <w:rFonts w:hint="eastAsia"/>
                <w:snapToGrid/>
                <w:sz w:val="20"/>
              </w:rPr>
            </w:pPr>
            <w:r>
              <w:rPr>
                <w:snapToGrid/>
                <w:sz w:val="20"/>
              </w:rPr>
              <w:t>2.5</w:t>
            </w:r>
          </w:p>
        </w:tc>
        <w:tc>
          <w:tcPr>
            <w:tcW w:w="469" w:type="pct"/>
          </w:tcPr>
          <w:p w:rsidR="00000000" w:rsidRDefault="00000000">
            <w:pPr>
              <w:tabs>
                <w:tab w:val="decimal" w:pos="468"/>
              </w:tabs>
              <w:spacing w:before="40" w:line="240" w:lineRule="auto"/>
              <w:rPr>
                <w:rFonts w:hint="eastAsia"/>
                <w:snapToGrid/>
                <w:sz w:val="20"/>
              </w:rPr>
            </w:pPr>
            <w:r>
              <w:rPr>
                <w:snapToGrid/>
                <w:sz w:val="20"/>
              </w:rPr>
              <w:t>2.5</w:t>
            </w:r>
          </w:p>
        </w:tc>
      </w:tr>
      <w:tr w:rsidR="00000000">
        <w:tblPrEx>
          <w:tblCellMar>
            <w:top w:w="0" w:type="dxa"/>
            <w:bottom w:w="0" w:type="dxa"/>
          </w:tblCellMar>
        </w:tblPrEx>
        <w:trPr>
          <w:cantSplit/>
        </w:trPr>
        <w:tc>
          <w:tcPr>
            <w:tcW w:w="462" w:type="pct"/>
            <w:vMerge w:val="restart"/>
            <w:tcMar>
              <w:left w:w="0" w:type="dxa"/>
              <w:right w:w="0" w:type="dxa"/>
            </w:tcMar>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left"/>
              <w:rPr>
                <w:rFonts w:hint="eastAsia"/>
                <w:snapToGrid/>
                <w:spacing w:val="0"/>
                <w:sz w:val="20"/>
              </w:rPr>
            </w:pPr>
            <w:r>
              <w:rPr>
                <w:snapToGrid/>
                <w:spacing w:val="0"/>
                <w:sz w:val="20"/>
              </w:rPr>
              <w:t xml:space="preserve"> (0-18</w:t>
            </w:r>
            <w:r>
              <w:rPr>
                <w:rFonts w:hint="eastAsia"/>
                <w:snapToGrid/>
                <w:spacing w:val="0"/>
                <w:sz w:val="20"/>
              </w:rPr>
              <w:t>岁</w:t>
            </w:r>
            <w:r>
              <w:rPr>
                <w:snapToGrid/>
                <w:spacing w:val="0"/>
                <w:sz w:val="20"/>
              </w:rPr>
              <w:t>)</w:t>
            </w: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i/>
                <w:snapToGrid/>
                <w:sz w:val="20"/>
              </w:rPr>
            </w:pPr>
            <w:r>
              <w:rPr>
                <w:rFonts w:hint="eastAsia"/>
                <w:i/>
                <w:snapToGrid/>
                <w:sz w:val="20"/>
              </w:rPr>
              <w:t>男</w:t>
            </w:r>
          </w:p>
        </w:tc>
        <w:tc>
          <w:tcPr>
            <w:tcW w:w="472" w:type="pct"/>
          </w:tcPr>
          <w:p w:rsidR="00000000" w:rsidRDefault="00000000">
            <w:pPr>
              <w:tabs>
                <w:tab w:val="decimal" w:pos="468"/>
              </w:tabs>
              <w:spacing w:before="40" w:line="240" w:lineRule="auto"/>
              <w:rPr>
                <w:rFonts w:hint="eastAsia"/>
                <w:i/>
                <w:snapToGrid/>
                <w:sz w:val="20"/>
              </w:rPr>
            </w:pPr>
            <w:r>
              <w:rPr>
                <w:i/>
                <w:snapToGrid/>
                <w:sz w:val="20"/>
              </w:rPr>
              <w:t>15.0</w:t>
            </w:r>
          </w:p>
        </w:tc>
        <w:tc>
          <w:tcPr>
            <w:tcW w:w="472" w:type="pct"/>
          </w:tcPr>
          <w:p w:rsidR="00000000" w:rsidRDefault="00000000">
            <w:pPr>
              <w:tabs>
                <w:tab w:val="decimal" w:pos="468"/>
              </w:tabs>
              <w:spacing w:before="40" w:line="240" w:lineRule="auto"/>
              <w:rPr>
                <w:rFonts w:hint="eastAsia"/>
                <w:i/>
                <w:snapToGrid/>
                <w:sz w:val="20"/>
              </w:rPr>
            </w:pPr>
            <w:r>
              <w:rPr>
                <w:i/>
                <w:snapToGrid/>
                <w:sz w:val="20"/>
              </w:rPr>
              <w:t>13.5</w:t>
            </w:r>
          </w:p>
        </w:tc>
        <w:tc>
          <w:tcPr>
            <w:tcW w:w="472" w:type="pct"/>
          </w:tcPr>
          <w:p w:rsidR="00000000" w:rsidRDefault="00000000">
            <w:pPr>
              <w:tabs>
                <w:tab w:val="decimal" w:pos="468"/>
              </w:tabs>
              <w:spacing w:before="40" w:line="240" w:lineRule="auto"/>
              <w:rPr>
                <w:rFonts w:hint="eastAsia"/>
                <w:i/>
                <w:snapToGrid/>
                <w:sz w:val="20"/>
              </w:rPr>
            </w:pPr>
            <w:r>
              <w:rPr>
                <w:i/>
                <w:snapToGrid/>
                <w:sz w:val="20"/>
              </w:rPr>
              <w:t>11.9</w:t>
            </w:r>
          </w:p>
        </w:tc>
        <w:tc>
          <w:tcPr>
            <w:tcW w:w="472" w:type="pct"/>
          </w:tcPr>
          <w:p w:rsidR="00000000" w:rsidRDefault="00000000">
            <w:pPr>
              <w:tabs>
                <w:tab w:val="decimal" w:pos="468"/>
              </w:tabs>
              <w:spacing w:before="40" w:line="240" w:lineRule="auto"/>
              <w:rPr>
                <w:rFonts w:hint="eastAsia"/>
                <w:i/>
                <w:snapToGrid/>
                <w:sz w:val="20"/>
              </w:rPr>
            </w:pPr>
            <w:r>
              <w:rPr>
                <w:i/>
                <w:snapToGrid/>
                <w:sz w:val="20"/>
              </w:rPr>
              <w:t>11.6</w:t>
            </w:r>
          </w:p>
        </w:tc>
        <w:tc>
          <w:tcPr>
            <w:tcW w:w="472" w:type="pct"/>
          </w:tcPr>
          <w:p w:rsidR="00000000" w:rsidRDefault="00000000">
            <w:pPr>
              <w:tabs>
                <w:tab w:val="decimal" w:pos="468"/>
              </w:tabs>
              <w:spacing w:before="40" w:line="240" w:lineRule="auto"/>
              <w:rPr>
                <w:rFonts w:hint="eastAsia"/>
                <w:i/>
                <w:snapToGrid/>
                <w:sz w:val="20"/>
              </w:rPr>
            </w:pPr>
            <w:r>
              <w:rPr>
                <w:i/>
                <w:snapToGrid/>
                <w:sz w:val="20"/>
              </w:rPr>
              <w:t>11.4</w:t>
            </w:r>
          </w:p>
        </w:tc>
        <w:tc>
          <w:tcPr>
            <w:tcW w:w="472" w:type="pct"/>
          </w:tcPr>
          <w:p w:rsidR="00000000" w:rsidRDefault="00000000">
            <w:pPr>
              <w:tabs>
                <w:tab w:val="decimal" w:pos="468"/>
              </w:tabs>
              <w:spacing w:before="40" w:line="240" w:lineRule="auto"/>
              <w:rPr>
                <w:rFonts w:hint="eastAsia"/>
                <w:i/>
                <w:snapToGrid/>
                <w:sz w:val="20"/>
              </w:rPr>
            </w:pPr>
            <w:r>
              <w:rPr>
                <w:i/>
                <w:snapToGrid/>
                <w:sz w:val="20"/>
              </w:rPr>
              <w:t>11.2</w:t>
            </w:r>
          </w:p>
        </w:tc>
        <w:tc>
          <w:tcPr>
            <w:tcW w:w="472" w:type="pct"/>
          </w:tcPr>
          <w:p w:rsidR="00000000" w:rsidRDefault="00000000">
            <w:pPr>
              <w:tabs>
                <w:tab w:val="decimal" w:pos="468"/>
              </w:tabs>
              <w:spacing w:before="40" w:line="240" w:lineRule="auto"/>
              <w:rPr>
                <w:i/>
                <w:snapToGrid/>
                <w:sz w:val="20"/>
              </w:rPr>
            </w:pPr>
            <w:r>
              <w:rPr>
                <w:i/>
                <w:snapToGrid/>
                <w:sz w:val="20"/>
              </w:rPr>
              <w:t>11.1</w:t>
            </w:r>
          </w:p>
        </w:tc>
        <w:tc>
          <w:tcPr>
            <w:tcW w:w="472" w:type="pct"/>
          </w:tcPr>
          <w:p w:rsidR="00000000" w:rsidRDefault="00000000">
            <w:pPr>
              <w:tabs>
                <w:tab w:val="decimal" w:pos="468"/>
              </w:tabs>
              <w:spacing w:before="40" w:line="240" w:lineRule="auto"/>
              <w:rPr>
                <w:rFonts w:hint="eastAsia"/>
                <w:i/>
                <w:snapToGrid/>
                <w:sz w:val="20"/>
              </w:rPr>
            </w:pPr>
            <w:r>
              <w:rPr>
                <w:i/>
                <w:snapToGrid/>
                <w:sz w:val="20"/>
              </w:rPr>
              <w:t>11.0</w:t>
            </w:r>
          </w:p>
        </w:tc>
        <w:tc>
          <w:tcPr>
            <w:tcW w:w="469" w:type="pct"/>
          </w:tcPr>
          <w:p w:rsidR="00000000" w:rsidRDefault="00000000">
            <w:pPr>
              <w:tabs>
                <w:tab w:val="decimal" w:pos="468"/>
              </w:tabs>
              <w:spacing w:before="40" w:line="240" w:lineRule="auto"/>
              <w:rPr>
                <w:rFonts w:hint="eastAsia"/>
                <w:i/>
                <w:snapToGrid/>
                <w:sz w:val="20"/>
              </w:rPr>
            </w:pPr>
            <w:r>
              <w:rPr>
                <w:i/>
                <w:snapToGrid/>
                <w:sz w:val="20"/>
              </w:rPr>
              <w:t>10.8</w:t>
            </w:r>
          </w:p>
        </w:tc>
      </w:tr>
      <w:tr w:rsidR="00000000">
        <w:tblPrEx>
          <w:tblCellMar>
            <w:top w:w="0" w:type="dxa"/>
            <w:bottom w:w="0" w:type="dxa"/>
          </w:tblCellMar>
        </w:tblPrEx>
        <w:trPr>
          <w:cantSplit/>
        </w:trPr>
        <w:tc>
          <w:tcPr>
            <w:tcW w:w="462" w:type="pct"/>
            <w:vMerge/>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snapToGrid/>
                <w:sz w:val="20"/>
              </w:rPr>
            </w:pP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rFonts w:hint="eastAsia"/>
                <w:i/>
                <w:snapToGrid/>
                <w:sz w:val="20"/>
              </w:rPr>
            </w:pPr>
            <w:r>
              <w:rPr>
                <w:rFonts w:hint="eastAsia"/>
                <w:i/>
                <w:snapToGrid/>
                <w:sz w:val="20"/>
              </w:rPr>
              <w:t>女</w:t>
            </w:r>
          </w:p>
        </w:tc>
        <w:tc>
          <w:tcPr>
            <w:tcW w:w="472" w:type="pct"/>
          </w:tcPr>
          <w:p w:rsidR="00000000" w:rsidRDefault="00000000">
            <w:pPr>
              <w:tabs>
                <w:tab w:val="decimal" w:pos="468"/>
              </w:tabs>
              <w:spacing w:before="40" w:line="240" w:lineRule="auto"/>
              <w:rPr>
                <w:rFonts w:hint="eastAsia"/>
                <w:i/>
                <w:snapToGrid/>
                <w:sz w:val="20"/>
              </w:rPr>
            </w:pPr>
            <w:r>
              <w:rPr>
                <w:i/>
                <w:snapToGrid/>
                <w:sz w:val="20"/>
              </w:rPr>
              <w:t>13.8</w:t>
            </w:r>
          </w:p>
        </w:tc>
        <w:tc>
          <w:tcPr>
            <w:tcW w:w="472" w:type="pct"/>
          </w:tcPr>
          <w:p w:rsidR="00000000" w:rsidRDefault="00000000">
            <w:pPr>
              <w:tabs>
                <w:tab w:val="decimal" w:pos="468"/>
              </w:tabs>
              <w:spacing w:before="40" w:line="240" w:lineRule="auto"/>
              <w:rPr>
                <w:rFonts w:hint="eastAsia"/>
                <w:i/>
                <w:snapToGrid/>
                <w:sz w:val="20"/>
              </w:rPr>
            </w:pPr>
            <w:r>
              <w:rPr>
                <w:i/>
                <w:snapToGrid/>
                <w:sz w:val="20"/>
              </w:rPr>
              <w:t>12.6</w:t>
            </w:r>
          </w:p>
        </w:tc>
        <w:tc>
          <w:tcPr>
            <w:tcW w:w="472" w:type="pct"/>
          </w:tcPr>
          <w:p w:rsidR="00000000" w:rsidRDefault="00000000">
            <w:pPr>
              <w:tabs>
                <w:tab w:val="decimal" w:pos="468"/>
              </w:tabs>
              <w:spacing w:before="40" w:line="240" w:lineRule="auto"/>
              <w:rPr>
                <w:rFonts w:hint="eastAsia"/>
                <w:i/>
                <w:snapToGrid/>
                <w:sz w:val="20"/>
              </w:rPr>
            </w:pPr>
            <w:r>
              <w:rPr>
                <w:i/>
                <w:snapToGrid/>
                <w:sz w:val="20"/>
              </w:rPr>
              <w:t>11.1</w:t>
            </w:r>
          </w:p>
        </w:tc>
        <w:tc>
          <w:tcPr>
            <w:tcW w:w="472" w:type="pct"/>
          </w:tcPr>
          <w:p w:rsidR="00000000" w:rsidRDefault="00000000">
            <w:pPr>
              <w:tabs>
                <w:tab w:val="decimal" w:pos="468"/>
              </w:tabs>
              <w:spacing w:before="40" w:line="240" w:lineRule="auto"/>
              <w:rPr>
                <w:rFonts w:hint="eastAsia"/>
                <w:i/>
                <w:snapToGrid/>
                <w:sz w:val="20"/>
              </w:rPr>
            </w:pPr>
            <w:r>
              <w:rPr>
                <w:i/>
                <w:snapToGrid/>
                <w:sz w:val="20"/>
              </w:rPr>
              <w:t>10.8</w:t>
            </w:r>
          </w:p>
        </w:tc>
        <w:tc>
          <w:tcPr>
            <w:tcW w:w="472" w:type="pct"/>
          </w:tcPr>
          <w:p w:rsidR="00000000" w:rsidRDefault="00000000">
            <w:pPr>
              <w:tabs>
                <w:tab w:val="decimal" w:pos="468"/>
              </w:tabs>
              <w:spacing w:before="40" w:line="240" w:lineRule="auto"/>
              <w:rPr>
                <w:rFonts w:hint="eastAsia"/>
                <w:i/>
                <w:snapToGrid/>
                <w:sz w:val="20"/>
              </w:rPr>
            </w:pPr>
            <w:r>
              <w:rPr>
                <w:i/>
                <w:snapToGrid/>
                <w:sz w:val="20"/>
              </w:rPr>
              <w:t>10.6</w:t>
            </w:r>
          </w:p>
        </w:tc>
        <w:tc>
          <w:tcPr>
            <w:tcW w:w="472" w:type="pct"/>
          </w:tcPr>
          <w:p w:rsidR="00000000" w:rsidRDefault="00000000">
            <w:pPr>
              <w:tabs>
                <w:tab w:val="decimal" w:pos="468"/>
              </w:tabs>
              <w:spacing w:before="40" w:line="240" w:lineRule="auto"/>
              <w:rPr>
                <w:rFonts w:hint="eastAsia"/>
                <w:i/>
                <w:snapToGrid/>
                <w:sz w:val="20"/>
              </w:rPr>
            </w:pPr>
            <w:r>
              <w:rPr>
                <w:i/>
                <w:snapToGrid/>
                <w:sz w:val="20"/>
              </w:rPr>
              <w:t>10.5</w:t>
            </w:r>
          </w:p>
        </w:tc>
        <w:tc>
          <w:tcPr>
            <w:tcW w:w="472" w:type="pct"/>
          </w:tcPr>
          <w:p w:rsidR="00000000" w:rsidRDefault="00000000">
            <w:pPr>
              <w:tabs>
                <w:tab w:val="decimal" w:pos="468"/>
              </w:tabs>
              <w:spacing w:before="40" w:line="240" w:lineRule="auto"/>
              <w:rPr>
                <w:rFonts w:hint="eastAsia"/>
                <w:i/>
                <w:snapToGrid/>
                <w:sz w:val="20"/>
              </w:rPr>
            </w:pPr>
            <w:r>
              <w:rPr>
                <w:i/>
                <w:snapToGrid/>
                <w:sz w:val="20"/>
              </w:rPr>
              <w:t>10.4</w:t>
            </w:r>
          </w:p>
        </w:tc>
        <w:tc>
          <w:tcPr>
            <w:tcW w:w="472" w:type="pct"/>
          </w:tcPr>
          <w:p w:rsidR="00000000" w:rsidRDefault="00000000">
            <w:pPr>
              <w:tabs>
                <w:tab w:val="decimal" w:pos="468"/>
              </w:tabs>
              <w:spacing w:before="40" w:line="240" w:lineRule="auto"/>
              <w:rPr>
                <w:rFonts w:hint="eastAsia"/>
                <w:i/>
                <w:snapToGrid/>
                <w:sz w:val="20"/>
              </w:rPr>
            </w:pPr>
            <w:r>
              <w:rPr>
                <w:i/>
                <w:snapToGrid/>
                <w:sz w:val="20"/>
              </w:rPr>
              <w:t>10.3</w:t>
            </w:r>
          </w:p>
        </w:tc>
        <w:tc>
          <w:tcPr>
            <w:tcW w:w="469" w:type="pct"/>
          </w:tcPr>
          <w:p w:rsidR="00000000" w:rsidRDefault="00000000">
            <w:pPr>
              <w:tabs>
                <w:tab w:val="decimal" w:pos="468"/>
              </w:tabs>
              <w:spacing w:before="40" w:line="240" w:lineRule="auto"/>
              <w:rPr>
                <w:rFonts w:hint="eastAsia"/>
                <w:i/>
                <w:snapToGrid/>
                <w:sz w:val="20"/>
              </w:rPr>
            </w:pPr>
            <w:r>
              <w:rPr>
                <w:i/>
                <w:snapToGrid/>
                <w:sz w:val="20"/>
              </w:rPr>
              <w:t>10.2</w:t>
            </w:r>
          </w:p>
        </w:tc>
      </w:tr>
      <w:tr w:rsidR="00000000">
        <w:tblPrEx>
          <w:tblCellMar>
            <w:top w:w="0" w:type="dxa"/>
            <w:bottom w:w="0" w:type="dxa"/>
          </w:tblCellMar>
        </w:tblPrEx>
        <w:trPr>
          <w:cantSplit/>
        </w:trPr>
        <w:tc>
          <w:tcPr>
            <w:tcW w:w="462" w:type="pct"/>
            <w:vMerge w:val="restar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snapToGrid/>
                <w:sz w:val="20"/>
              </w:rPr>
            </w:pPr>
            <w:r>
              <w:rPr>
                <w:snapToGrid/>
                <w:sz w:val="20"/>
              </w:rPr>
              <w:t>19</w:t>
            </w:r>
            <w:r>
              <w:rPr>
                <w:rFonts w:hint="eastAsia"/>
                <w:snapToGrid/>
                <w:sz w:val="20"/>
              </w:rPr>
              <w:t>至</w:t>
            </w:r>
            <w:r>
              <w:rPr>
                <w:snapToGrid/>
                <w:sz w:val="20"/>
              </w:rPr>
              <w:t>64</w:t>
            </w:r>
            <w:r>
              <w:rPr>
                <w:rFonts w:hint="eastAsia"/>
                <w:snapToGrid/>
                <w:sz w:val="20"/>
              </w:rPr>
              <w:t>岁</w:t>
            </w: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snapToGrid/>
                <w:sz w:val="20"/>
              </w:rPr>
            </w:pPr>
            <w:r>
              <w:rPr>
                <w:rFonts w:hint="eastAsia"/>
                <w:snapToGrid/>
                <w:sz w:val="20"/>
              </w:rPr>
              <w:t>男</w:t>
            </w:r>
          </w:p>
        </w:tc>
        <w:tc>
          <w:tcPr>
            <w:tcW w:w="472" w:type="pct"/>
          </w:tcPr>
          <w:p w:rsidR="00000000" w:rsidRDefault="00000000">
            <w:pPr>
              <w:tabs>
                <w:tab w:val="decimal" w:pos="468"/>
              </w:tabs>
              <w:spacing w:before="40" w:line="240" w:lineRule="auto"/>
              <w:rPr>
                <w:rFonts w:hint="eastAsia"/>
                <w:snapToGrid/>
                <w:sz w:val="20"/>
              </w:rPr>
            </w:pPr>
            <w:r>
              <w:rPr>
                <w:snapToGrid/>
                <w:sz w:val="20"/>
              </w:rPr>
              <w:t>33.1</w:t>
            </w:r>
          </w:p>
        </w:tc>
        <w:tc>
          <w:tcPr>
            <w:tcW w:w="472" w:type="pct"/>
          </w:tcPr>
          <w:p w:rsidR="00000000" w:rsidRDefault="00000000">
            <w:pPr>
              <w:tabs>
                <w:tab w:val="decimal" w:pos="468"/>
              </w:tabs>
              <w:spacing w:before="40" w:line="240" w:lineRule="auto"/>
              <w:rPr>
                <w:rFonts w:hint="eastAsia"/>
                <w:snapToGrid/>
                <w:sz w:val="20"/>
              </w:rPr>
            </w:pPr>
            <w:r>
              <w:rPr>
                <w:snapToGrid/>
                <w:sz w:val="20"/>
              </w:rPr>
              <w:t>33.3</w:t>
            </w:r>
          </w:p>
        </w:tc>
        <w:tc>
          <w:tcPr>
            <w:tcW w:w="472" w:type="pct"/>
          </w:tcPr>
          <w:p w:rsidR="00000000" w:rsidRDefault="00000000">
            <w:pPr>
              <w:tabs>
                <w:tab w:val="decimal" w:pos="468"/>
              </w:tabs>
              <w:spacing w:before="40" w:line="240" w:lineRule="auto"/>
              <w:rPr>
                <w:rFonts w:hint="eastAsia"/>
                <w:snapToGrid/>
                <w:sz w:val="20"/>
              </w:rPr>
            </w:pPr>
            <w:r>
              <w:rPr>
                <w:snapToGrid/>
                <w:sz w:val="20"/>
              </w:rPr>
              <w:t>32.5</w:t>
            </w:r>
          </w:p>
        </w:tc>
        <w:tc>
          <w:tcPr>
            <w:tcW w:w="472" w:type="pct"/>
          </w:tcPr>
          <w:p w:rsidR="00000000" w:rsidRDefault="00000000">
            <w:pPr>
              <w:tabs>
                <w:tab w:val="decimal" w:pos="468"/>
              </w:tabs>
              <w:spacing w:before="40" w:line="240" w:lineRule="auto"/>
              <w:rPr>
                <w:rFonts w:hint="eastAsia"/>
                <w:snapToGrid/>
                <w:sz w:val="20"/>
              </w:rPr>
            </w:pPr>
            <w:r>
              <w:rPr>
                <w:snapToGrid/>
                <w:sz w:val="20"/>
              </w:rPr>
              <w:t>32.5</w:t>
            </w:r>
          </w:p>
        </w:tc>
        <w:tc>
          <w:tcPr>
            <w:tcW w:w="472" w:type="pct"/>
          </w:tcPr>
          <w:p w:rsidR="00000000" w:rsidRDefault="00000000">
            <w:pPr>
              <w:tabs>
                <w:tab w:val="decimal" w:pos="468"/>
              </w:tabs>
              <w:spacing w:before="40" w:line="240" w:lineRule="auto"/>
              <w:rPr>
                <w:rFonts w:hint="eastAsia"/>
                <w:snapToGrid/>
                <w:sz w:val="20"/>
              </w:rPr>
            </w:pPr>
            <w:r>
              <w:rPr>
                <w:snapToGrid/>
                <w:sz w:val="20"/>
              </w:rPr>
              <w:t>32.5</w:t>
            </w:r>
          </w:p>
        </w:tc>
        <w:tc>
          <w:tcPr>
            <w:tcW w:w="472" w:type="pct"/>
          </w:tcPr>
          <w:p w:rsidR="00000000" w:rsidRDefault="00000000">
            <w:pPr>
              <w:tabs>
                <w:tab w:val="decimal" w:pos="468"/>
              </w:tabs>
              <w:spacing w:before="40" w:line="240" w:lineRule="auto"/>
              <w:rPr>
                <w:rFonts w:hint="eastAsia"/>
                <w:snapToGrid/>
                <w:sz w:val="20"/>
              </w:rPr>
            </w:pPr>
            <w:r>
              <w:rPr>
                <w:snapToGrid/>
                <w:sz w:val="20"/>
              </w:rPr>
              <w:t>32.5</w:t>
            </w:r>
          </w:p>
        </w:tc>
        <w:tc>
          <w:tcPr>
            <w:tcW w:w="472" w:type="pct"/>
          </w:tcPr>
          <w:p w:rsidR="00000000" w:rsidRDefault="00000000">
            <w:pPr>
              <w:tabs>
                <w:tab w:val="decimal" w:pos="468"/>
              </w:tabs>
              <w:spacing w:before="40" w:line="240" w:lineRule="auto"/>
              <w:rPr>
                <w:snapToGrid/>
                <w:sz w:val="20"/>
              </w:rPr>
            </w:pPr>
            <w:r>
              <w:rPr>
                <w:snapToGrid/>
                <w:sz w:val="20"/>
              </w:rPr>
              <w:t>32.5</w:t>
            </w:r>
          </w:p>
        </w:tc>
        <w:tc>
          <w:tcPr>
            <w:tcW w:w="472" w:type="pct"/>
          </w:tcPr>
          <w:p w:rsidR="00000000" w:rsidRDefault="00000000">
            <w:pPr>
              <w:tabs>
                <w:tab w:val="decimal" w:pos="468"/>
              </w:tabs>
              <w:spacing w:before="40" w:line="240" w:lineRule="auto"/>
              <w:rPr>
                <w:rFonts w:hint="eastAsia"/>
                <w:snapToGrid/>
                <w:sz w:val="20"/>
              </w:rPr>
            </w:pPr>
            <w:r>
              <w:rPr>
                <w:snapToGrid/>
                <w:sz w:val="20"/>
              </w:rPr>
              <w:t>32.4</w:t>
            </w:r>
          </w:p>
        </w:tc>
        <w:tc>
          <w:tcPr>
            <w:tcW w:w="469" w:type="pct"/>
          </w:tcPr>
          <w:p w:rsidR="00000000" w:rsidRDefault="00000000">
            <w:pPr>
              <w:tabs>
                <w:tab w:val="decimal" w:pos="468"/>
              </w:tabs>
              <w:spacing w:before="40" w:line="240" w:lineRule="auto"/>
              <w:rPr>
                <w:rFonts w:hint="eastAsia"/>
                <w:snapToGrid/>
                <w:sz w:val="20"/>
              </w:rPr>
            </w:pPr>
            <w:r>
              <w:rPr>
                <w:snapToGrid/>
                <w:sz w:val="20"/>
              </w:rPr>
              <w:t>32.3</w:t>
            </w:r>
          </w:p>
        </w:tc>
      </w:tr>
      <w:tr w:rsidR="00000000">
        <w:tblPrEx>
          <w:tblCellMar>
            <w:top w:w="0" w:type="dxa"/>
            <w:bottom w:w="0" w:type="dxa"/>
          </w:tblCellMar>
        </w:tblPrEx>
        <w:trPr>
          <w:cantSplit/>
        </w:trPr>
        <w:tc>
          <w:tcPr>
            <w:tcW w:w="462" w:type="pct"/>
            <w:vMerge/>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snapToGrid/>
                <w:sz w:val="20"/>
              </w:rPr>
            </w:pP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snapToGrid/>
                <w:sz w:val="20"/>
              </w:rPr>
            </w:pPr>
            <w:r>
              <w:rPr>
                <w:rFonts w:hint="eastAsia"/>
                <w:snapToGrid/>
                <w:sz w:val="20"/>
              </w:rPr>
              <w:t>女</w:t>
            </w:r>
          </w:p>
        </w:tc>
        <w:tc>
          <w:tcPr>
            <w:tcW w:w="472" w:type="pct"/>
          </w:tcPr>
          <w:p w:rsidR="00000000" w:rsidRDefault="00000000">
            <w:pPr>
              <w:tabs>
                <w:tab w:val="decimal" w:pos="468"/>
              </w:tabs>
              <w:spacing w:before="40" w:line="240" w:lineRule="auto"/>
              <w:rPr>
                <w:rFonts w:hint="eastAsia"/>
                <w:snapToGrid/>
                <w:sz w:val="20"/>
              </w:rPr>
            </w:pPr>
            <w:r>
              <w:rPr>
                <w:snapToGrid/>
                <w:sz w:val="20"/>
              </w:rPr>
              <w:t>30.2</w:t>
            </w:r>
          </w:p>
        </w:tc>
        <w:tc>
          <w:tcPr>
            <w:tcW w:w="472" w:type="pct"/>
          </w:tcPr>
          <w:p w:rsidR="00000000" w:rsidRDefault="00000000">
            <w:pPr>
              <w:tabs>
                <w:tab w:val="decimal" w:pos="468"/>
              </w:tabs>
              <w:spacing w:before="40" w:line="240" w:lineRule="auto"/>
              <w:rPr>
                <w:rFonts w:hint="eastAsia"/>
                <w:snapToGrid/>
                <w:sz w:val="20"/>
              </w:rPr>
            </w:pPr>
            <w:r>
              <w:rPr>
                <w:snapToGrid/>
                <w:sz w:val="20"/>
              </w:rPr>
              <w:t>31.6</w:t>
            </w:r>
          </w:p>
        </w:tc>
        <w:tc>
          <w:tcPr>
            <w:tcW w:w="472" w:type="pct"/>
          </w:tcPr>
          <w:p w:rsidR="00000000" w:rsidRDefault="00000000">
            <w:pPr>
              <w:tabs>
                <w:tab w:val="decimal" w:pos="468"/>
              </w:tabs>
              <w:spacing w:before="40" w:line="240" w:lineRule="auto"/>
              <w:rPr>
                <w:rFonts w:hint="eastAsia"/>
                <w:snapToGrid/>
                <w:sz w:val="20"/>
              </w:rPr>
            </w:pPr>
            <w:r>
              <w:rPr>
                <w:snapToGrid/>
                <w:sz w:val="20"/>
              </w:rPr>
              <w:t>33.6</w:t>
            </w:r>
          </w:p>
        </w:tc>
        <w:tc>
          <w:tcPr>
            <w:tcW w:w="472" w:type="pct"/>
          </w:tcPr>
          <w:p w:rsidR="00000000" w:rsidRDefault="00000000">
            <w:pPr>
              <w:tabs>
                <w:tab w:val="decimal" w:pos="468"/>
              </w:tabs>
              <w:spacing w:before="40" w:line="240" w:lineRule="auto"/>
              <w:rPr>
                <w:rFonts w:hint="eastAsia"/>
                <w:snapToGrid/>
                <w:sz w:val="20"/>
              </w:rPr>
            </w:pPr>
            <w:r>
              <w:rPr>
                <w:snapToGrid/>
                <w:sz w:val="20"/>
              </w:rPr>
              <w:t>34.1</w:t>
            </w:r>
          </w:p>
        </w:tc>
        <w:tc>
          <w:tcPr>
            <w:tcW w:w="472" w:type="pct"/>
          </w:tcPr>
          <w:p w:rsidR="00000000" w:rsidRDefault="00000000">
            <w:pPr>
              <w:tabs>
                <w:tab w:val="decimal" w:pos="468"/>
              </w:tabs>
              <w:spacing w:before="40" w:line="240" w:lineRule="auto"/>
              <w:rPr>
                <w:rFonts w:hint="eastAsia"/>
                <w:snapToGrid/>
                <w:sz w:val="20"/>
              </w:rPr>
            </w:pPr>
            <w:r>
              <w:rPr>
                <w:snapToGrid/>
                <w:sz w:val="20"/>
              </w:rPr>
              <w:t>34.4</w:t>
            </w:r>
          </w:p>
        </w:tc>
        <w:tc>
          <w:tcPr>
            <w:tcW w:w="472" w:type="pct"/>
          </w:tcPr>
          <w:p w:rsidR="00000000" w:rsidRDefault="00000000">
            <w:pPr>
              <w:tabs>
                <w:tab w:val="decimal" w:pos="468"/>
              </w:tabs>
              <w:spacing w:before="40" w:line="240" w:lineRule="auto"/>
              <w:rPr>
                <w:rFonts w:hint="eastAsia"/>
                <w:snapToGrid/>
                <w:sz w:val="20"/>
              </w:rPr>
            </w:pPr>
            <w:r>
              <w:rPr>
                <w:snapToGrid/>
                <w:sz w:val="20"/>
              </w:rPr>
              <w:t>34.6</w:t>
            </w:r>
          </w:p>
        </w:tc>
        <w:tc>
          <w:tcPr>
            <w:tcW w:w="472" w:type="pct"/>
          </w:tcPr>
          <w:p w:rsidR="00000000" w:rsidRDefault="00000000">
            <w:pPr>
              <w:tabs>
                <w:tab w:val="decimal" w:pos="468"/>
              </w:tabs>
              <w:spacing w:before="40" w:line="240" w:lineRule="auto"/>
              <w:rPr>
                <w:rFonts w:hint="eastAsia"/>
                <w:snapToGrid/>
                <w:sz w:val="20"/>
              </w:rPr>
            </w:pPr>
            <w:r>
              <w:rPr>
                <w:snapToGrid/>
                <w:sz w:val="20"/>
              </w:rPr>
              <w:t>34.8</w:t>
            </w:r>
          </w:p>
        </w:tc>
        <w:tc>
          <w:tcPr>
            <w:tcW w:w="472" w:type="pct"/>
          </w:tcPr>
          <w:p w:rsidR="00000000" w:rsidRDefault="00000000">
            <w:pPr>
              <w:tabs>
                <w:tab w:val="decimal" w:pos="468"/>
              </w:tabs>
              <w:spacing w:before="40" w:line="240" w:lineRule="auto"/>
              <w:rPr>
                <w:rFonts w:hint="eastAsia"/>
                <w:snapToGrid/>
                <w:sz w:val="20"/>
              </w:rPr>
            </w:pPr>
            <w:r>
              <w:rPr>
                <w:snapToGrid/>
                <w:sz w:val="20"/>
              </w:rPr>
              <w:t>34.9</w:t>
            </w:r>
          </w:p>
        </w:tc>
        <w:tc>
          <w:tcPr>
            <w:tcW w:w="469" w:type="pct"/>
          </w:tcPr>
          <w:p w:rsidR="00000000" w:rsidRDefault="00000000">
            <w:pPr>
              <w:tabs>
                <w:tab w:val="decimal" w:pos="468"/>
              </w:tabs>
              <w:spacing w:before="40" w:line="240" w:lineRule="auto"/>
              <w:rPr>
                <w:rFonts w:hint="eastAsia"/>
                <w:snapToGrid/>
                <w:sz w:val="20"/>
              </w:rPr>
            </w:pPr>
            <w:r>
              <w:rPr>
                <w:snapToGrid/>
                <w:sz w:val="20"/>
              </w:rPr>
              <w:t>35.0</w:t>
            </w:r>
          </w:p>
        </w:tc>
      </w:tr>
      <w:tr w:rsidR="00000000">
        <w:tblPrEx>
          <w:tblCellMar>
            <w:top w:w="0" w:type="dxa"/>
            <w:bottom w:w="0" w:type="dxa"/>
          </w:tblCellMar>
        </w:tblPrEx>
        <w:trPr>
          <w:cantSplit/>
        </w:trPr>
        <w:tc>
          <w:tcPr>
            <w:tcW w:w="462" w:type="pct"/>
            <w:vMerge w:val="restar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snapToGrid/>
                <w:sz w:val="20"/>
              </w:rPr>
            </w:pPr>
            <w:r>
              <w:rPr>
                <w:snapToGrid/>
                <w:sz w:val="20"/>
              </w:rPr>
              <w:t>65</w:t>
            </w:r>
            <w:r>
              <w:rPr>
                <w:rFonts w:hint="eastAsia"/>
                <w:snapToGrid/>
                <w:sz w:val="20"/>
              </w:rPr>
              <w:t>岁及以上</w:t>
            </w: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snapToGrid/>
                <w:sz w:val="20"/>
              </w:rPr>
            </w:pPr>
            <w:r>
              <w:rPr>
                <w:rFonts w:hint="eastAsia"/>
                <w:snapToGrid/>
                <w:sz w:val="20"/>
              </w:rPr>
              <w:t>男</w:t>
            </w:r>
          </w:p>
        </w:tc>
        <w:tc>
          <w:tcPr>
            <w:tcW w:w="472" w:type="pct"/>
          </w:tcPr>
          <w:p w:rsidR="00000000" w:rsidRDefault="00000000">
            <w:pPr>
              <w:tabs>
                <w:tab w:val="decimal" w:pos="468"/>
              </w:tabs>
              <w:spacing w:before="40" w:line="240" w:lineRule="auto"/>
              <w:rPr>
                <w:snapToGrid/>
                <w:sz w:val="20"/>
              </w:rPr>
            </w:pPr>
            <w:r>
              <w:rPr>
                <w:snapToGrid/>
                <w:sz w:val="20"/>
              </w:rPr>
              <w:t>3.4</w:t>
            </w:r>
          </w:p>
        </w:tc>
        <w:tc>
          <w:tcPr>
            <w:tcW w:w="472" w:type="pct"/>
          </w:tcPr>
          <w:p w:rsidR="00000000" w:rsidRDefault="00000000">
            <w:pPr>
              <w:tabs>
                <w:tab w:val="decimal" w:pos="468"/>
              </w:tabs>
              <w:spacing w:before="40" w:line="240" w:lineRule="auto"/>
              <w:rPr>
                <w:snapToGrid/>
                <w:sz w:val="20"/>
              </w:rPr>
            </w:pPr>
            <w:r>
              <w:rPr>
                <w:snapToGrid/>
                <w:sz w:val="20"/>
              </w:rPr>
              <w:t>4.0</w:t>
            </w:r>
          </w:p>
        </w:tc>
        <w:tc>
          <w:tcPr>
            <w:tcW w:w="472" w:type="pct"/>
          </w:tcPr>
          <w:p w:rsidR="00000000" w:rsidRDefault="00000000">
            <w:pPr>
              <w:tabs>
                <w:tab w:val="decimal" w:pos="468"/>
              </w:tabs>
              <w:spacing w:before="40" w:line="240" w:lineRule="auto"/>
              <w:rPr>
                <w:rFonts w:hint="eastAsia"/>
                <w:snapToGrid/>
                <w:sz w:val="20"/>
              </w:rPr>
            </w:pPr>
            <w:r>
              <w:rPr>
                <w:snapToGrid/>
                <w:sz w:val="20"/>
              </w:rPr>
              <w:t>4.9</w:t>
            </w:r>
          </w:p>
        </w:tc>
        <w:tc>
          <w:tcPr>
            <w:tcW w:w="472" w:type="pct"/>
          </w:tcPr>
          <w:p w:rsidR="00000000" w:rsidRDefault="00000000">
            <w:pPr>
              <w:tabs>
                <w:tab w:val="decimal" w:pos="468"/>
              </w:tabs>
              <w:spacing w:before="40" w:line="240" w:lineRule="auto"/>
              <w:rPr>
                <w:rFonts w:hint="eastAsia"/>
                <w:snapToGrid/>
                <w:sz w:val="20"/>
              </w:rPr>
            </w:pPr>
            <w:r>
              <w:rPr>
                <w:snapToGrid/>
                <w:sz w:val="20"/>
              </w:rPr>
              <w:t>5.0</w:t>
            </w:r>
          </w:p>
        </w:tc>
        <w:tc>
          <w:tcPr>
            <w:tcW w:w="472" w:type="pct"/>
          </w:tcPr>
          <w:p w:rsidR="00000000" w:rsidRDefault="00000000">
            <w:pPr>
              <w:tabs>
                <w:tab w:val="decimal" w:pos="468"/>
              </w:tabs>
              <w:spacing w:before="40" w:line="240" w:lineRule="auto"/>
              <w:rPr>
                <w:rFonts w:hint="eastAsia"/>
                <w:snapToGrid/>
                <w:sz w:val="20"/>
              </w:rPr>
            </w:pPr>
            <w:r>
              <w:rPr>
                <w:snapToGrid/>
                <w:sz w:val="20"/>
              </w:rPr>
              <w:t>5.1</w:t>
            </w:r>
          </w:p>
        </w:tc>
        <w:tc>
          <w:tcPr>
            <w:tcW w:w="472" w:type="pct"/>
          </w:tcPr>
          <w:p w:rsidR="00000000" w:rsidRDefault="00000000">
            <w:pPr>
              <w:tabs>
                <w:tab w:val="decimal" w:pos="468"/>
              </w:tabs>
              <w:spacing w:before="40" w:line="240" w:lineRule="auto"/>
              <w:rPr>
                <w:rFonts w:hint="eastAsia"/>
                <w:snapToGrid/>
                <w:sz w:val="20"/>
              </w:rPr>
            </w:pPr>
            <w:r>
              <w:rPr>
                <w:snapToGrid/>
                <w:sz w:val="20"/>
              </w:rPr>
              <w:t>5.2</w:t>
            </w:r>
          </w:p>
        </w:tc>
        <w:tc>
          <w:tcPr>
            <w:tcW w:w="472" w:type="pct"/>
          </w:tcPr>
          <w:p w:rsidR="00000000" w:rsidRDefault="00000000">
            <w:pPr>
              <w:tabs>
                <w:tab w:val="decimal" w:pos="468"/>
              </w:tabs>
              <w:spacing w:before="40" w:line="240" w:lineRule="auto"/>
              <w:rPr>
                <w:snapToGrid/>
                <w:sz w:val="20"/>
              </w:rPr>
            </w:pPr>
            <w:r>
              <w:rPr>
                <w:snapToGrid/>
                <w:sz w:val="20"/>
              </w:rPr>
              <w:t>5.2</w:t>
            </w:r>
          </w:p>
        </w:tc>
        <w:tc>
          <w:tcPr>
            <w:tcW w:w="472" w:type="pct"/>
          </w:tcPr>
          <w:p w:rsidR="00000000" w:rsidRDefault="00000000">
            <w:pPr>
              <w:tabs>
                <w:tab w:val="decimal" w:pos="468"/>
              </w:tabs>
              <w:spacing w:before="40" w:line="240" w:lineRule="auto"/>
              <w:rPr>
                <w:rFonts w:hint="eastAsia"/>
                <w:snapToGrid/>
                <w:sz w:val="20"/>
              </w:rPr>
            </w:pPr>
            <w:r>
              <w:rPr>
                <w:snapToGrid/>
                <w:sz w:val="20"/>
              </w:rPr>
              <w:t>5.3</w:t>
            </w:r>
          </w:p>
        </w:tc>
        <w:tc>
          <w:tcPr>
            <w:tcW w:w="469" w:type="pct"/>
          </w:tcPr>
          <w:p w:rsidR="00000000" w:rsidRDefault="00000000">
            <w:pPr>
              <w:tabs>
                <w:tab w:val="decimal" w:pos="468"/>
              </w:tabs>
              <w:spacing w:before="40" w:line="240" w:lineRule="auto"/>
              <w:rPr>
                <w:rFonts w:hint="eastAsia"/>
                <w:snapToGrid/>
                <w:sz w:val="20"/>
              </w:rPr>
            </w:pPr>
            <w:r>
              <w:rPr>
                <w:snapToGrid/>
                <w:sz w:val="20"/>
              </w:rPr>
              <w:t>5.4</w:t>
            </w:r>
          </w:p>
        </w:tc>
      </w:tr>
      <w:tr w:rsidR="00000000">
        <w:tblPrEx>
          <w:tblCellMar>
            <w:top w:w="0" w:type="dxa"/>
            <w:bottom w:w="0" w:type="dxa"/>
          </w:tblCellMar>
        </w:tblPrEx>
        <w:trPr>
          <w:cantSplit/>
        </w:trPr>
        <w:tc>
          <w:tcPr>
            <w:tcW w:w="462" w:type="pct"/>
            <w:vMerge/>
            <w:tcBorders>
              <w:bottom w:val="single" w:sz="6" w:space="0" w:color="auto"/>
            </w:tcBorders>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rFonts w:hint="eastAsia"/>
                <w:snapToGrid/>
                <w:sz w:val="20"/>
              </w:rPr>
            </w:pPr>
          </w:p>
        </w:tc>
        <w:tc>
          <w:tcPr>
            <w:tcW w:w="293" w:type="pct"/>
            <w:tcBorders>
              <w:bottom w:val="single" w:sz="6" w:space="0" w:color="auto"/>
            </w:tcBorders>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snapToGrid/>
                <w:sz w:val="20"/>
              </w:rPr>
            </w:pPr>
            <w:r>
              <w:rPr>
                <w:rFonts w:hint="eastAsia"/>
                <w:snapToGrid/>
                <w:sz w:val="20"/>
              </w:rPr>
              <w:t>女</w:t>
            </w:r>
          </w:p>
        </w:tc>
        <w:tc>
          <w:tcPr>
            <w:tcW w:w="472" w:type="pct"/>
            <w:tcBorders>
              <w:bottom w:val="single" w:sz="6" w:space="0" w:color="auto"/>
            </w:tcBorders>
          </w:tcPr>
          <w:p w:rsidR="00000000" w:rsidRDefault="00000000">
            <w:pPr>
              <w:tabs>
                <w:tab w:val="decimal" w:pos="468"/>
              </w:tabs>
              <w:spacing w:before="40" w:line="240" w:lineRule="auto"/>
              <w:rPr>
                <w:rFonts w:hint="eastAsia"/>
                <w:snapToGrid/>
                <w:sz w:val="20"/>
              </w:rPr>
            </w:pPr>
            <w:r>
              <w:rPr>
                <w:snapToGrid/>
                <w:sz w:val="20"/>
              </w:rPr>
              <w:t>4.5</w:t>
            </w:r>
          </w:p>
        </w:tc>
        <w:tc>
          <w:tcPr>
            <w:tcW w:w="472" w:type="pct"/>
            <w:tcBorders>
              <w:bottom w:val="single" w:sz="6" w:space="0" w:color="auto"/>
            </w:tcBorders>
          </w:tcPr>
          <w:p w:rsidR="00000000" w:rsidRDefault="00000000">
            <w:pPr>
              <w:tabs>
                <w:tab w:val="decimal" w:pos="468"/>
              </w:tabs>
              <w:spacing w:before="40" w:line="240" w:lineRule="auto"/>
              <w:rPr>
                <w:snapToGrid/>
                <w:sz w:val="20"/>
              </w:rPr>
            </w:pPr>
            <w:r>
              <w:rPr>
                <w:snapToGrid/>
                <w:sz w:val="20"/>
              </w:rPr>
              <w:t>5.0</w:t>
            </w:r>
          </w:p>
        </w:tc>
        <w:tc>
          <w:tcPr>
            <w:tcW w:w="472" w:type="pct"/>
            <w:tcBorders>
              <w:bottom w:val="single" w:sz="6" w:space="0" w:color="auto"/>
            </w:tcBorders>
          </w:tcPr>
          <w:p w:rsidR="00000000" w:rsidRDefault="00000000">
            <w:pPr>
              <w:tabs>
                <w:tab w:val="decimal" w:pos="468"/>
              </w:tabs>
              <w:spacing w:before="40" w:line="240" w:lineRule="auto"/>
              <w:rPr>
                <w:rFonts w:hint="eastAsia"/>
                <w:snapToGrid/>
                <w:sz w:val="20"/>
              </w:rPr>
            </w:pPr>
            <w:r>
              <w:rPr>
                <w:snapToGrid/>
                <w:sz w:val="20"/>
              </w:rPr>
              <w:t>5.8</w:t>
            </w:r>
          </w:p>
        </w:tc>
        <w:tc>
          <w:tcPr>
            <w:tcW w:w="472" w:type="pct"/>
            <w:tcBorders>
              <w:bottom w:val="single" w:sz="6" w:space="0" w:color="auto"/>
            </w:tcBorders>
          </w:tcPr>
          <w:p w:rsidR="00000000" w:rsidRDefault="00000000">
            <w:pPr>
              <w:tabs>
                <w:tab w:val="decimal" w:pos="468"/>
              </w:tabs>
              <w:spacing w:before="40" w:line="240" w:lineRule="auto"/>
              <w:rPr>
                <w:rFonts w:hint="eastAsia"/>
                <w:snapToGrid/>
                <w:sz w:val="20"/>
              </w:rPr>
            </w:pPr>
            <w:r>
              <w:rPr>
                <w:snapToGrid/>
                <w:sz w:val="20"/>
              </w:rPr>
              <w:t>5.9</w:t>
            </w:r>
          </w:p>
        </w:tc>
        <w:tc>
          <w:tcPr>
            <w:tcW w:w="472" w:type="pct"/>
            <w:tcBorders>
              <w:bottom w:val="single" w:sz="6" w:space="0" w:color="auto"/>
            </w:tcBorders>
          </w:tcPr>
          <w:p w:rsidR="00000000" w:rsidRDefault="00000000">
            <w:pPr>
              <w:tabs>
                <w:tab w:val="decimal" w:pos="468"/>
              </w:tabs>
              <w:spacing w:before="40" w:line="240" w:lineRule="auto"/>
              <w:rPr>
                <w:rFonts w:hint="eastAsia"/>
                <w:snapToGrid/>
                <w:sz w:val="20"/>
              </w:rPr>
            </w:pPr>
            <w:r>
              <w:rPr>
                <w:snapToGrid/>
                <w:sz w:val="20"/>
              </w:rPr>
              <w:t>6.0</w:t>
            </w:r>
          </w:p>
        </w:tc>
        <w:tc>
          <w:tcPr>
            <w:tcW w:w="472" w:type="pct"/>
            <w:tcBorders>
              <w:bottom w:val="single" w:sz="6" w:space="0" w:color="auto"/>
            </w:tcBorders>
          </w:tcPr>
          <w:p w:rsidR="00000000" w:rsidRDefault="00000000">
            <w:pPr>
              <w:tabs>
                <w:tab w:val="decimal" w:pos="468"/>
              </w:tabs>
              <w:spacing w:before="40" w:line="240" w:lineRule="auto"/>
              <w:rPr>
                <w:rFonts w:hint="eastAsia"/>
                <w:snapToGrid/>
                <w:sz w:val="20"/>
              </w:rPr>
            </w:pPr>
            <w:r>
              <w:rPr>
                <w:snapToGrid/>
                <w:sz w:val="20"/>
              </w:rPr>
              <w:t>6.0</w:t>
            </w:r>
          </w:p>
        </w:tc>
        <w:tc>
          <w:tcPr>
            <w:tcW w:w="472" w:type="pct"/>
            <w:tcBorders>
              <w:bottom w:val="single" w:sz="6" w:space="0" w:color="auto"/>
            </w:tcBorders>
          </w:tcPr>
          <w:p w:rsidR="00000000" w:rsidRDefault="00000000">
            <w:pPr>
              <w:tabs>
                <w:tab w:val="decimal" w:pos="468"/>
              </w:tabs>
              <w:spacing w:before="40" w:line="240" w:lineRule="auto"/>
              <w:rPr>
                <w:rFonts w:hint="eastAsia"/>
                <w:snapToGrid/>
                <w:sz w:val="20"/>
              </w:rPr>
            </w:pPr>
            <w:r>
              <w:rPr>
                <w:snapToGrid/>
                <w:sz w:val="20"/>
              </w:rPr>
              <w:t>6.1</w:t>
            </w:r>
          </w:p>
        </w:tc>
        <w:tc>
          <w:tcPr>
            <w:tcW w:w="472" w:type="pct"/>
            <w:tcBorders>
              <w:bottom w:val="single" w:sz="4" w:space="0" w:color="auto"/>
            </w:tcBorders>
          </w:tcPr>
          <w:p w:rsidR="00000000" w:rsidRDefault="00000000">
            <w:pPr>
              <w:tabs>
                <w:tab w:val="decimal" w:pos="468"/>
              </w:tabs>
              <w:spacing w:before="40" w:line="240" w:lineRule="auto"/>
              <w:rPr>
                <w:rFonts w:hint="eastAsia"/>
                <w:snapToGrid/>
                <w:sz w:val="20"/>
              </w:rPr>
            </w:pPr>
            <w:r>
              <w:rPr>
                <w:snapToGrid/>
                <w:sz w:val="20"/>
              </w:rPr>
              <w:t>6.2</w:t>
            </w:r>
          </w:p>
        </w:tc>
        <w:tc>
          <w:tcPr>
            <w:tcW w:w="469" w:type="pct"/>
            <w:tcBorders>
              <w:bottom w:val="single" w:sz="4" w:space="0" w:color="auto"/>
            </w:tcBorders>
          </w:tcPr>
          <w:p w:rsidR="00000000" w:rsidRDefault="00000000">
            <w:pPr>
              <w:tabs>
                <w:tab w:val="decimal" w:pos="468"/>
              </w:tabs>
              <w:spacing w:before="40" w:line="240" w:lineRule="auto"/>
              <w:rPr>
                <w:rFonts w:hint="eastAsia"/>
                <w:snapToGrid/>
                <w:sz w:val="20"/>
              </w:rPr>
            </w:pPr>
            <w:r>
              <w:rPr>
                <w:snapToGrid/>
                <w:sz w:val="20"/>
              </w:rPr>
              <w:t>6.3</w:t>
            </w:r>
          </w:p>
        </w:tc>
      </w:tr>
      <w:tr w:rsidR="00000000">
        <w:tblPrEx>
          <w:tblCellMar>
            <w:top w:w="0" w:type="dxa"/>
            <w:bottom w:w="0" w:type="dxa"/>
          </w:tblCellMar>
        </w:tblPrEx>
        <w:trPr>
          <w:cantSplit/>
        </w:trPr>
        <w:tc>
          <w:tcPr>
            <w:tcW w:w="462" w:type="pct"/>
            <w:vMerge w:val="restar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snapToGrid/>
                <w:sz w:val="20"/>
              </w:rPr>
            </w:pPr>
            <w:r>
              <w:rPr>
                <w:rFonts w:hint="eastAsia"/>
                <w:snapToGrid/>
                <w:sz w:val="20"/>
              </w:rPr>
              <w:t>所有年龄组别</w:t>
            </w: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snapToGrid/>
                <w:sz w:val="20"/>
              </w:rPr>
            </w:pPr>
            <w:r>
              <w:rPr>
                <w:rFonts w:hint="eastAsia"/>
                <w:snapToGrid/>
                <w:sz w:val="20"/>
              </w:rPr>
              <w:t>男</w:t>
            </w:r>
          </w:p>
        </w:tc>
        <w:tc>
          <w:tcPr>
            <w:tcW w:w="472" w:type="pct"/>
          </w:tcPr>
          <w:p w:rsidR="00000000" w:rsidRDefault="00000000">
            <w:pPr>
              <w:tabs>
                <w:tab w:val="decimal" w:pos="468"/>
              </w:tabs>
              <w:spacing w:before="40" w:line="240" w:lineRule="auto"/>
              <w:rPr>
                <w:snapToGrid/>
                <w:sz w:val="20"/>
              </w:rPr>
            </w:pPr>
            <w:r>
              <w:rPr>
                <w:snapToGrid/>
                <w:sz w:val="20"/>
              </w:rPr>
              <w:t>51.4</w:t>
            </w:r>
          </w:p>
        </w:tc>
        <w:tc>
          <w:tcPr>
            <w:tcW w:w="472" w:type="pct"/>
          </w:tcPr>
          <w:p w:rsidR="00000000" w:rsidRDefault="00000000">
            <w:pPr>
              <w:tabs>
                <w:tab w:val="decimal" w:pos="468"/>
              </w:tabs>
              <w:spacing w:before="40" w:line="240" w:lineRule="auto"/>
              <w:rPr>
                <w:snapToGrid/>
                <w:sz w:val="20"/>
              </w:rPr>
            </w:pPr>
            <w:r>
              <w:rPr>
                <w:snapToGrid/>
                <w:sz w:val="20"/>
              </w:rPr>
              <w:t>50.8</w:t>
            </w:r>
          </w:p>
        </w:tc>
        <w:tc>
          <w:tcPr>
            <w:tcW w:w="472" w:type="pct"/>
          </w:tcPr>
          <w:p w:rsidR="00000000" w:rsidRDefault="00000000">
            <w:pPr>
              <w:tabs>
                <w:tab w:val="decimal" w:pos="468"/>
              </w:tabs>
              <w:spacing w:before="40" w:line="240" w:lineRule="auto"/>
              <w:rPr>
                <w:rFonts w:hint="eastAsia"/>
                <w:snapToGrid/>
                <w:sz w:val="20"/>
              </w:rPr>
            </w:pPr>
            <w:r>
              <w:rPr>
                <w:snapToGrid/>
                <w:sz w:val="20"/>
              </w:rPr>
              <w:t>49.4</w:t>
            </w:r>
          </w:p>
        </w:tc>
        <w:tc>
          <w:tcPr>
            <w:tcW w:w="472" w:type="pct"/>
          </w:tcPr>
          <w:p w:rsidR="00000000" w:rsidRDefault="00000000">
            <w:pPr>
              <w:tabs>
                <w:tab w:val="decimal" w:pos="468"/>
              </w:tabs>
              <w:spacing w:before="40" w:line="240" w:lineRule="auto"/>
              <w:rPr>
                <w:rFonts w:hint="eastAsia"/>
                <w:snapToGrid/>
                <w:sz w:val="20"/>
              </w:rPr>
            </w:pPr>
            <w:r>
              <w:rPr>
                <w:snapToGrid/>
                <w:sz w:val="20"/>
              </w:rPr>
              <w:t>49.2</w:t>
            </w:r>
          </w:p>
        </w:tc>
        <w:tc>
          <w:tcPr>
            <w:tcW w:w="472" w:type="pct"/>
          </w:tcPr>
          <w:p w:rsidR="00000000" w:rsidRDefault="00000000">
            <w:pPr>
              <w:tabs>
                <w:tab w:val="decimal" w:pos="468"/>
              </w:tabs>
              <w:spacing w:before="40" w:line="240" w:lineRule="auto"/>
              <w:rPr>
                <w:rFonts w:hint="eastAsia"/>
                <w:snapToGrid/>
                <w:sz w:val="20"/>
              </w:rPr>
            </w:pPr>
            <w:r>
              <w:rPr>
                <w:snapToGrid/>
                <w:sz w:val="20"/>
              </w:rPr>
              <w:t>49.0</w:t>
            </w:r>
          </w:p>
        </w:tc>
        <w:tc>
          <w:tcPr>
            <w:tcW w:w="472" w:type="pct"/>
          </w:tcPr>
          <w:p w:rsidR="00000000" w:rsidRDefault="00000000">
            <w:pPr>
              <w:tabs>
                <w:tab w:val="decimal" w:pos="468"/>
              </w:tabs>
              <w:spacing w:before="40" w:line="240" w:lineRule="auto"/>
              <w:rPr>
                <w:rFonts w:hint="eastAsia"/>
                <w:snapToGrid/>
                <w:sz w:val="20"/>
              </w:rPr>
            </w:pPr>
            <w:r>
              <w:rPr>
                <w:snapToGrid/>
                <w:sz w:val="20"/>
              </w:rPr>
              <w:t>48.9</w:t>
            </w:r>
          </w:p>
        </w:tc>
        <w:tc>
          <w:tcPr>
            <w:tcW w:w="472" w:type="pct"/>
          </w:tcPr>
          <w:p w:rsidR="00000000" w:rsidRDefault="00000000">
            <w:pPr>
              <w:tabs>
                <w:tab w:val="decimal" w:pos="468"/>
              </w:tabs>
              <w:spacing w:before="40" w:line="240" w:lineRule="auto"/>
              <w:rPr>
                <w:rFonts w:hint="eastAsia"/>
                <w:snapToGrid/>
                <w:sz w:val="20"/>
              </w:rPr>
            </w:pPr>
            <w:r>
              <w:rPr>
                <w:snapToGrid/>
                <w:sz w:val="20"/>
              </w:rPr>
              <w:t>48.8</w:t>
            </w:r>
          </w:p>
        </w:tc>
        <w:tc>
          <w:tcPr>
            <w:tcW w:w="472" w:type="pct"/>
            <w:tcBorders>
              <w:top w:val="single" w:sz="4" w:space="0" w:color="auto"/>
            </w:tcBorders>
          </w:tcPr>
          <w:p w:rsidR="00000000" w:rsidRDefault="00000000">
            <w:pPr>
              <w:tabs>
                <w:tab w:val="decimal" w:pos="468"/>
              </w:tabs>
              <w:spacing w:before="40" w:line="240" w:lineRule="auto"/>
              <w:rPr>
                <w:rFonts w:hint="eastAsia"/>
                <w:snapToGrid/>
                <w:sz w:val="20"/>
              </w:rPr>
            </w:pPr>
            <w:r>
              <w:rPr>
                <w:snapToGrid/>
                <w:sz w:val="20"/>
              </w:rPr>
              <w:t>48.6</w:t>
            </w:r>
          </w:p>
        </w:tc>
        <w:tc>
          <w:tcPr>
            <w:tcW w:w="469" w:type="pct"/>
            <w:tcBorders>
              <w:top w:val="single" w:sz="4" w:space="0" w:color="auto"/>
            </w:tcBorders>
          </w:tcPr>
          <w:p w:rsidR="00000000" w:rsidRDefault="00000000">
            <w:pPr>
              <w:tabs>
                <w:tab w:val="decimal" w:pos="468"/>
              </w:tabs>
              <w:spacing w:before="40" w:line="240" w:lineRule="auto"/>
              <w:rPr>
                <w:rFonts w:hint="eastAsia"/>
                <w:snapToGrid/>
                <w:sz w:val="20"/>
              </w:rPr>
            </w:pPr>
            <w:r>
              <w:rPr>
                <w:snapToGrid/>
                <w:sz w:val="20"/>
              </w:rPr>
              <w:t>48.5</w:t>
            </w:r>
            <w:r>
              <w:rPr>
                <w:rStyle w:val="FootnoteReference"/>
                <w:b w:val="0"/>
                <w:bCs/>
                <w:snapToGrid/>
                <w:vertAlign w:val="baseline"/>
              </w:rPr>
              <w:footnoteReference w:customMarkFollows="1" w:id="10"/>
              <w:t>*</w:t>
            </w:r>
          </w:p>
        </w:tc>
      </w:tr>
      <w:tr w:rsidR="00000000">
        <w:tblPrEx>
          <w:tblCellMar>
            <w:top w:w="0" w:type="dxa"/>
            <w:bottom w:w="0" w:type="dxa"/>
          </w:tblCellMar>
        </w:tblPrEx>
        <w:trPr>
          <w:cantSplit/>
        </w:trPr>
        <w:tc>
          <w:tcPr>
            <w:tcW w:w="462" w:type="pct"/>
            <w:vMerge/>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ind w:left="57" w:right="57"/>
              <w:jc w:val="left"/>
              <w:rPr>
                <w:rFonts w:hint="eastAsia"/>
                <w:snapToGrid/>
                <w:sz w:val="20"/>
              </w:rPr>
            </w:pPr>
          </w:p>
        </w:tc>
        <w:tc>
          <w:tcPr>
            <w:tcW w:w="293"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40" w:lineRule="auto"/>
              <w:jc w:val="center"/>
              <w:rPr>
                <w:snapToGrid/>
                <w:sz w:val="20"/>
              </w:rPr>
            </w:pPr>
            <w:r>
              <w:rPr>
                <w:rFonts w:hint="eastAsia"/>
                <w:snapToGrid/>
                <w:sz w:val="20"/>
              </w:rPr>
              <w:t>女</w:t>
            </w:r>
          </w:p>
        </w:tc>
        <w:tc>
          <w:tcPr>
            <w:tcW w:w="472" w:type="pct"/>
          </w:tcPr>
          <w:p w:rsidR="00000000" w:rsidRDefault="00000000">
            <w:pPr>
              <w:tabs>
                <w:tab w:val="decimal" w:pos="468"/>
              </w:tabs>
              <w:spacing w:before="40" w:line="240" w:lineRule="auto"/>
              <w:rPr>
                <w:snapToGrid/>
                <w:sz w:val="20"/>
              </w:rPr>
            </w:pPr>
            <w:r>
              <w:rPr>
                <w:snapToGrid/>
                <w:sz w:val="20"/>
              </w:rPr>
              <w:t>48.6</w:t>
            </w:r>
          </w:p>
        </w:tc>
        <w:tc>
          <w:tcPr>
            <w:tcW w:w="472" w:type="pct"/>
          </w:tcPr>
          <w:p w:rsidR="00000000" w:rsidRDefault="00000000">
            <w:pPr>
              <w:tabs>
                <w:tab w:val="decimal" w:pos="468"/>
              </w:tabs>
              <w:spacing w:before="40" w:line="240" w:lineRule="auto"/>
              <w:rPr>
                <w:snapToGrid/>
                <w:sz w:val="20"/>
              </w:rPr>
            </w:pPr>
            <w:r>
              <w:rPr>
                <w:snapToGrid/>
                <w:sz w:val="20"/>
              </w:rPr>
              <w:t>49.2</w:t>
            </w:r>
          </w:p>
        </w:tc>
        <w:tc>
          <w:tcPr>
            <w:tcW w:w="472" w:type="pct"/>
          </w:tcPr>
          <w:p w:rsidR="00000000" w:rsidRDefault="00000000">
            <w:pPr>
              <w:tabs>
                <w:tab w:val="decimal" w:pos="468"/>
              </w:tabs>
              <w:spacing w:before="40" w:line="240" w:lineRule="auto"/>
              <w:rPr>
                <w:rFonts w:hint="eastAsia"/>
                <w:snapToGrid/>
                <w:sz w:val="20"/>
              </w:rPr>
            </w:pPr>
            <w:r>
              <w:rPr>
                <w:snapToGrid/>
                <w:sz w:val="20"/>
              </w:rPr>
              <w:t>50.6</w:t>
            </w:r>
          </w:p>
        </w:tc>
        <w:tc>
          <w:tcPr>
            <w:tcW w:w="472" w:type="pct"/>
          </w:tcPr>
          <w:p w:rsidR="00000000" w:rsidRDefault="00000000">
            <w:pPr>
              <w:tabs>
                <w:tab w:val="decimal" w:pos="468"/>
              </w:tabs>
              <w:spacing w:before="40" w:line="240" w:lineRule="auto"/>
              <w:rPr>
                <w:rFonts w:hint="eastAsia"/>
                <w:snapToGrid/>
                <w:sz w:val="20"/>
              </w:rPr>
            </w:pPr>
            <w:r>
              <w:rPr>
                <w:snapToGrid/>
                <w:sz w:val="20"/>
              </w:rPr>
              <w:t>50.8</w:t>
            </w:r>
          </w:p>
        </w:tc>
        <w:tc>
          <w:tcPr>
            <w:tcW w:w="472" w:type="pct"/>
          </w:tcPr>
          <w:p w:rsidR="00000000" w:rsidRDefault="00000000">
            <w:pPr>
              <w:tabs>
                <w:tab w:val="decimal" w:pos="468"/>
              </w:tabs>
              <w:spacing w:before="40" w:line="240" w:lineRule="auto"/>
              <w:rPr>
                <w:rFonts w:hint="eastAsia"/>
                <w:snapToGrid/>
                <w:sz w:val="20"/>
              </w:rPr>
            </w:pPr>
            <w:r>
              <w:rPr>
                <w:snapToGrid/>
                <w:sz w:val="20"/>
              </w:rPr>
              <w:t>51.0</w:t>
            </w:r>
          </w:p>
        </w:tc>
        <w:tc>
          <w:tcPr>
            <w:tcW w:w="472" w:type="pct"/>
          </w:tcPr>
          <w:p w:rsidR="00000000" w:rsidRDefault="00000000">
            <w:pPr>
              <w:tabs>
                <w:tab w:val="decimal" w:pos="468"/>
              </w:tabs>
              <w:spacing w:before="40" w:line="240" w:lineRule="auto"/>
              <w:rPr>
                <w:rFonts w:hint="eastAsia"/>
                <w:snapToGrid/>
                <w:sz w:val="20"/>
              </w:rPr>
            </w:pPr>
            <w:r>
              <w:rPr>
                <w:snapToGrid/>
                <w:sz w:val="20"/>
              </w:rPr>
              <w:t>51.1</w:t>
            </w:r>
          </w:p>
        </w:tc>
        <w:tc>
          <w:tcPr>
            <w:tcW w:w="472" w:type="pct"/>
          </w:tcPr>
          <w:p w:rsidR="00000000" w:rsidRDefault="00000000">
            <w:pPr>
              <w:tabs>
                <w:tab w:val="decimal" w:pos="468"/>
              </w:tabs>
              <w:spacing w:before="40" w:line="240" w:lineRule="auto"/>
              <w:rPr>
                <w:rFonts w:hint="eastAsia"/>
                <w:snapToGrid/>
                <w:sz w:val="20"/>
              </w:rPr>
            </w:pPr>
            <w:r>
              <w:rPr>
                <w:snapToGrid/>
                <w:sz w:val="20"/>
              </w:rPr>
              <w:t>51.2</w:t>
            </w:r>
          </w:p>
        </w:tc>
        <w:tc>
          <w:tcPr>
            <w:tcW w:w="472" w:type="pct"/>
          </w:tcPr>
          <w:p w:rsidR="00000000" w:rsidRDefault="00000000">
            <w:pPr>
              <w:tabs>
                <w:tab w:val="decimal" w:pos="468"/>
              </w:tabs>
              <w:spacing w:before="40" w:line="240" w:lineRule="auto"/>
              <w:rPr>
                <w:rFonts w:hint="eastAsia"/>
                <w:snapToGrid/>
                <w:sz w:val="20"/>
              </w:rPr>
            </w:pPr>
            <w:r>
              <w:rPr>
                <w:snapToGrid/>
                <w:sz w:val="20"/>
              </w:rPr>
              <w:t>51.4</w:t>
            </w:r>
          </w:p>
        </w:tc>
        <w:tc>
          <w:tcPr>
            <w:tcW w:w="469" w:type="pct"/>
          </w:tcPr>
          <w:p w:rsidR="00000000" w:rsidRDefault="00000000">
            <w:pPr>
              <w:tabs>
                <w:tab w:val="decimal" w:pos="468"/>
              </w:tabs>
              <w:spacing w:before="40" w:line="240" w:lineRule="auto"/>
              <w:rPr>
                <w:rFonts w:hint="eastAsia"/>
                <w:snapToGrid/>
                <w:sz w:val="20"/>
              </w:rPr>
            </w:pPr>
            <w:r>
              <w:rPr>
                <w:snapToGrid/>
                <w:sz w:val="20"/>
              </w:rPr>
              <w:t>51.5</w:t>
            </w:r>
          </w:p>
        </w:tc>
      </w:tr>
      <w:tr w:rsidR="00000000">
        <w:tblPrEx>
          <w:tblCellMar>
            <w:top w:w="0" w:type="dxa"/>
            <w:bottom w:w="0" w:type="dxa"/>
          </w:tblCellMar>
        </w:tblPrEx>
        <w:trPr>
          <w:cantSplit/>
        </w:trPr>
        <w:tc>
          <w:tcPr>
            <w:tcW w:w="5000" w:type="pct"/>
            <w:gridSpan w:val="11"/>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240" w:line="240" w:lineRule="auto"/>
              <w:ind w:left="57" w:right="57"/>
              <w:jc w:val="left"/>
              <w:rPr>
                <w:rFonts w:eastAsia="KaiTi_GB2312"/>
                <w:snapToGrid/>
                <w:spacing w:val="0"/>
                <w:sz w:val="20"/>
              </w:rPr>
            </w:pPr>
            <w:r>
              <w:rPr>
                <w:rFonts w:eastAsia="KaiTi_GB2312"/>
                <w:snapToGrid/>
                <w:spacing w:val="0"/>
                <w:sz w:val="20"/>
              </w:rPr>
              <w:t xml:space="preserve">#   </w:t>
            </w:r>
            <w:r>
              <w:rPr>
                <w:rFonts w:eastAsia="KaiTi_GB2312" w:hint="eastAsia"/>
                <w:snapToGrid/>
                <w:spacing w:val="0"/>
                <w:sz w:val="22"/>
              </w:rPr>
              <w:t>临时数字</w:t>
            </w:r>
          </w:p>
        </w:tc>
      </w:tr>
    </w:tbl>
    <w:p w:rsidR="00000000" w:rsidRDefault="00000000">
      <w:pPr>
        <w:pStyle w:val="Heading4"/>
      </w:pPr>
    </w:p>
    <w:p w:rsidR="00000000" w:rsidRDefault="00000000">
      <w:pPr>
        <w:pStyle w:val="Heading4"/>
      </w:pPr>
      <w:r>
        <w:br w:type="page"/>
      </w:r>
      <w:r>
        <w:rPr>
          <w:rFonts w:hint="eastAsia"/>
        </w:rPr>
        <w:t>教育程度</w:t>
      </w:r>
      <w:r>
        <w:t>(15</w:t>
      </w:r>
      <w:r>
        <w:rPr>
          <w:rFonts w:hint="eastAsia"/>
        </w:rPr>
        <w:t>岁及以上的人口</w:t>
      </w:r>
      <w:r>
        <w:t>)</w:t>
      </w:r>
      <w:r>
        <w:rPr>
          <w:rFonts w:hint="eastAsia"/>
          <w:u w:val="none"/>
        </w:rPr>
        <w:t xml:space="preserve"> </w:t>
      </w:r>
      <w:r>
        <w:rPr>
          <w:rStyle w:val="FootnoteReference"/>
          <w:b w:val="0"/>
          <w:bCs/>
          <w:u w:val="none"/>
          <w:vertAlign w:val="baseline"/>
        </w:rPr>
        <w:footnoteReference w:customMarkFollows="1" w:id="11"/>
        <w:t>*</w:t>
      </w:r>
    </w:p>
    <w:tbl>
      <w:tblPr>
        <w:tblW w:w="5000" w:type="pct"/>
        <w:tblCellMar>
          <w:left w:w="28" w:type="dxa"/>
          <w:right w:w="28" w:type="dxa"/>
        </w:tblCellMar>
        <w:tblLook w:val="0000" w:firstRow="0" w:lastRow="0" w:firstColumn="0" w:lastColumn="0" w:noHBand="0" w:noVBand="0"/>
      </w:tblPr>
      <w:tblGrid>
        <w:gridCol w:w="1226"/>
        <w:gridCol w:w="818"/>
        <w:gridCol w:w="818"/>
        <w:gridCol w:w="819"/>
        <w:gridCol w:w="819"/>
        <w:gridCol w:w="819"/>
        <w:gridCol w:w="819"/>
        <w:gridCol w:w="819"/>
        <w:gridCol w:w="819"/>
        <w:gridCol w:w="819"/>
        <w:gridCol w:w="815"/>
      </w:tblGrid>
      <w:tr w:rsidR="00000000">
        <w:tblPrEx>
          <w:tblCellMar>
            <w:top w:w="0" w:type="dxa"/>
            <w:bottom w:w="0" w:type="dxa"/>
          </w:tblCellMar>
        </w:tblPrEx>
        <w:trPr>
          <w:cantSplit/>
        </w:trPr>
        <w:tc>
          <w:tcPr>
            <w:tcW w:w="652" w:type="pct"/>
          </w:tcPr>
          <w:p w:rsidR="00000000" w:rsidRDefault="00000000">
            <w:pPr>
              <w:pStyle w:val="a2"/>
              <w:spacing w:line="336" w:lineRule="auto"/>
              <w:jc w:val="center"/>
              <w:rPr>
                <w:rFonts w:ascii="Time New Roman" w:eastAsia="SimHei" w:hAnsi="Time New Roman"/>
                <w:snapToGrid/>
                <w:sz w:val="22"/>
              </w:rPr>
            </w:pPr>
            <w:r>
              <w:rPr>
                <w:rFonts w:ascii="Time New Roman" w:eastAsia="SimHei" w:hAnsi="Time New Roman" w:hint="eastAsia"/>
                <w:snapToGrid/>
                <w:sz w:val="22"/>
              </w:rPr>
              <w:t>教育程度</w:t>
            </w:r>
          </w:p>
        </w:tc>
        <w:tc>
          <w:tcPr>
            <w:tcW w:w="4348" w:type="pct"/>
            <w:gridSpan w:val="10"/>
          </w:tcPr>
          <w:p w:rsidR="00000000" w:rsidRDefault="00000000">
            <w:pPr>
              <w:pStyle w:val="a2"/>
              <w:spacing w:line="336" w:lineRule="auto"/>
              <w:jc w:val="center"/>
              <w:rPr>
                <w:rFonts w:ascii="Time New Roman" w:eastAsia="SimHei" w:hAnsi="Time New Roman"/>
                <w:snapToGrid/>
                <w:sz w:val="22"/>
              </w:rPr>
            </w:pPr>
            <w:r>
              <w:rPr>
                <w:rFonts w:ascii="Time New Roman" w:eastAsia="SimHei" w:hAnsi="Time New Roman" w:hint="eastAsia"/>
                <w:snapToGrid/>
                <w:sz w:val="22"/>
              </w:rPr>
              <w:t>百</w:t>
            </w:r>
            <w:r>
              <w:rPr>
                <w:rFonts w:ascii="Time New Roman" w:eastAsia="SimHei" w:hAnsi="Time New Roman"/>
                <w:snapToGrid/>
                <w:sz w:val="22"/>
              </w:rPr>
              <w:t xml:space="preserve">  </w:t>
            </w:r>
            <w:r>
              <w:rPr>
                <w:rFonts w:ascii="Time New Roman" w:eastAsia="SimHei" w:hAnsi="Time New Roman" w:hint="eastAsia"/>
                <w:snapToGrid/>
                <w:sz w:val="22"/>
              </w:rPr>
              <w:t>分</w:t>
            </w:r>
            <w:r>
              <w:rPr>
                <w:rFonts w:ascii="Time New Roman" w:eastAsia="SimHei" w:hAnsi="Time New Roman"/>
                <w:snapToGrid/>
                <w:sz w:val="22"/>
              </w:rPr>
              <w:t xml:space="preserve">  </w:t>
            </w:r>
            <w:r>
              <w:rPr>
                <w:rFonts w:ascii="Time New Roman" w:eastAsia="SimHei" w:hAnsi="Time New Roman" w:hint="eastAsia"/>
                <w:snapToGrid/>
                <w:sz w:val="22"/>
              </w:rPr>
              <w:t>率</w:t>
            </w:r>
          </w:p>
        </w:tc>
      </w:tr>
      <w:tr w:rsidR="00000000">
        <w:tblPrEx>
          <w:tblCellMar>
            <w:top w:w="0" w:type="dxa"/>
            <w:bottom w:w="0" w:type="dxa"/>
          </w:tblCellMar>
        </w:tblPrEx>
        <w:trPr>
          <w:cantSplit/>
        </w:trPr>
        <w:tc>
          <w:tcPr>
            <w:tcW w:w="652" w:type="pct"/>
          </w:tcPr>
          <w:p w:rsidR="00000000" w:rsidRDefault="00000000">
            <w:pPr>
              <w:pStyle w:val="a2"/>
              <w:spacing w:line="336" w:lineRule="auto"/>
              <w:jc w:val="center"/>
              <w:rPr>
                <w:snapToGrid/>
                <w:u w:val="single"/>
              </w:rPr>
            </w:pPr>
          </w:p>
        </w:tc>
        <w:tc>
          <w:tcPr>
            <w:tcW w:w="870" w:type="pct"/>
            <w:gridSpan w:val="2"/>
          </w:tcPr>
          <w:p w:rsidR="00000000" w:rsidRDefault="00000000">
            <w:pPr>
              <w:pStyle w:val="a2"/>
              <w:spacing w:line="336" w:lineRule="auto"/>
              <w:jc w:val="center"/>
              <w:rPr>
                <w:snapToGrid/>
                <w:u w:val="single"/>
              </w:rPr>
            </w:pPr>
            <w:r>
              <w:rPr>
                <w:snapToGrid/>
                <w:u w:val="single"/>
              </w:rPr>
              <w:t>1986</w:t>
            </w:r>
            <w:r>
              <w:rPr>
                <w:rFonts w:hint="eastAsia"/>
                <w:snapToGrid/>
                <w:u w:val="single"/>
              </w:rPr>
              <w:t>年</w:t>
            </w:r>
          </w:p>
        </w:tc>
        <w:tc>
          <w:tcPr>
            <w:tcW w:w="870" w:type="pct"/>
            <w:gridSpan w:val="2"/>
          </w:tcPr>
          <w:p w:rsidR="00000000" w:rsidRDefault="00000000">
            <w:pPr>
              <w:pStyle w:val="a2"/>
              <w:spacing w:line="336" w:lineRule="auto"/>
              <w:jc w:val="center"/>
              <w:rPr>
                <w:snapToGrid/>
                <w:u w:val="single"/>
              </w:rPr>
            </w:pPr>
            <w:r>
              <w:rPr>
                <w:snapToGrid/>
                <w:u w:val="single"/>
              </w:rPr>
              <w:t>1991</w:t>
            </w:r>
            <w:r>
              <w:rPr>
                <w:rFonts w:hint="eastAsia"/>
                <w:snapToGrid/>
                <w:u w:val="single"/>
              </w:rPr>
              <w:t>年</w:t>
            </w:r>
          </w:p>
        </w:tc>
        <w:tc>
          <w:tcPr>
            <w:tcW w:w="870" w:type="pct"/>
            <w:gridSpan w:val="2"/>
          </w:tcPr>
          <w:p w:rsidR="00000000" w:rsidRDefault="00000000">
            <w:pPr>
              <w:pStyle w:val="a2"/>
              <w:spacing w:line="336" w:lineRule="auto"/>
              <w:jc w:val="center"/>
              <w:rPr>
                <w:snapToGrid/>
                <w:u w:val="single"/>
              </w:rPr>
            </w:pPr>
            <w:r>
              <w:rPr>
                <w:snapToGrid/>
                <w:u w:val="single"/>
              </w:rPr>
              <w:t>1996</w:t>
            </w:r>
            <w:r>
              <w:rPr>
                <w:rFonts w:hint="eastAsia"/>
                <w:snapToGrid/>
                <w:u w:val="single"/>
              </w:rPr>
              <w:t>年</w:t>
            </w:r>
          </w:p>
        </w:tc>
        <w:tc>
          <w:tcPr>
            <w:tcW w:w="870" w:type="pct"/>
            <w:gridSpan w:val="2"/>
          </w:tcPr>
          <w:p w:rsidR="00000000" w:rsidRDefault="00000000">
            <w:pPr>
              <w:pStyle w:val="a2"/>
              <w:spacing w:line="336" w:lineRule="auto"/>
              <w:jc w:val="center"/>
              <w:rPr>
                <w:snapToGrid/>
                <w:u w:val="single"/>
              </w:rPr>
            </w:pPr>
            <w:r>
              <w:rPr>
                <w:snapToGrid/>
                <w:u w:val="single"/>
              </w:rPr>
              <w:t>2001</w:t>
            </w:r>
            <w:r>
              <w:rPr>
                <w:rFonts w:hint="eastAsia"/>
                <w:snapToGrid/>
                <w:u w:val="single"/>
              </w:rPr>
              <w:t>年</w:t>
            </w:r>
          </w:p>
        </w:tc>
        <w:tc>
          <w:tcPr>
            <w:tcW w:w="870" w:type="pct"/>
            <w:gridSpan w:val="2"/>
          </w:tcPr>
          <w:p w:rsidR="00000000" w:rsidRDefault="00000000">
            <w:pPr>
              <w:pStyle w:val="a2"/>
              <w:spacing w:line="336" w:lineRule="auto"/>
              <w:jc w:val="center"/>
              <w:rPr>
                <w:snapToGrid/>
                <w:u w:val="single"/>
              </w:rPr>
            </w:pPr>
            <w:r>
              <w:rPr>
                <w:snapToGrid/>
                <w:u w:val="single"/>
              </w:rPr>
              <w:t>2002</w:t>
            </w:r>
            <w:r>
              <w:rPr>
                <w:rFonts w:hint="eastAsia"/>
                <w:snapToGrid/>
                <w:u w:val="single"/>
              </w:rPr>
              <w:t>年</w:t>
            </w:r>
          </w:p>
        </w:tc>
      </w:tr>
      <w:tr w:rsidR="00000000">
        <w:tblPrEx>
          <w:tblCellMar>
            <w:top w:w="0" w:type="dxa"/>
            <w:bottom w:w="0" w:type="dxa"/>
          </w:tblCellMar>
        </w:tblPrEx>
        <w:trPr>
          <w:cantSplit/>
        </w:trPr>
        <w:tc>
          <w:tcPr>
            <w:tcW w:w="652" w:type="pct"/>
          </w:tcPr>
          <w:p w:rsidR="00000000" w:rsidRDefault="00000000">
            <w:pPr>
              <w:pStyle w:val="a2"/>
              <w:spacing w:line="336" w:lineRule="auto"/>
              <w:jc w:val="center"/>
              <w:rPr>
                <w:snapToGrid/>
              </w:rPr>
            </w:pPr>
          </w:p>
        </w:tc>
        <w:tc>
          <w:tcPr>
            <w:tcW w:w="435" w:type="pct"/>
          </w:tcPr>
          <w:p w:rsidR="00000000" w:rsidRDefault="00000000">
            <w:pPr>
              <w:pStyle w:val="a2"/>
              <w:spacing w:line="336" w:lineRule="auto"/>
              <w:jc w:val="center"/>
              <w:rPr>
                <w:snapToGrid/>
              </w:rPr>
            </w:pPr>
            <w:r>
              <w:rPr>
                <w:rFonts w:hint="eastAsia"/>
                <w:snapToGrid/>
              </w:rPr>
              <w:t>男</w:t>
            </w:r>
          </w:p>
        </w:tc>
        <w:tc>
          <w:tcPr>
            <w:tcW w:w="435" w:type="pct"/>
          </w:tcPr>
          <w:p w:rsidR="00000000" w:rsidRDefault="00000000">
            <w:pPr>
              <w:pStyle w:val="a2"/>
              <w:spacing w:line="336" w:lineRule="auto"/>
              <w:jc w:val="center"/>
              <w:rPr>
                <w:snapToGrid/>
              </w:rPr>
            </w:pPr>
            <w:r>
              <w:rPr>
                <w:rFonts w:hint="eastAsia"/>
                <w:snapToGrid/>
              </w:rPr>
              <w:t>女</w:t>
            </w:r>
          </w:p>
        </w:tc>
        <w:tc>
          <w:tcPr>
            <w:tcW w:w="435" w:type="pct"/>
          </w:tcPr>
          <w:p w:rsidR="00000000" w:rsidRDefault="00000000">
            <w:pPr>
              <w:pStyle w:val="a2"/>
              <w:spacing w:line="336" w:lineRule="auto"/>
              <w:jc w:val="center"/>
              <w:rPr>
                <w:snapToGrid/>
              </w:rPr>
            </w:pPr>
            <w:r>
              <w:rPr>
                <w:rFonts w:hint="eastAsia"/>
                <w:snapToGrid/>
              </w:rPr>
              <w:t>男</w:t>
            </w:r>
          </w:p>
        </w:tc>
        <w:tc>
          <w:tcPr>
            <w:tcW w:w="435" w:type="pct"/>
          </w:tcPr>
          <w:p w:rsidR="00000000" w:rsidRDefault="00000000">
            <w:pPr>
              <w:pStyle w:val="a2"/>
              <w:spacing w:line="336" w:lineRule="auto"/>
              <w:jc w:val="center"/>
              <w:rPr>
                <w:snapToGrid/>
              </w:rPr>
            </w:pPr>
            <w:r>
              <w:rPr>
                <w:rFonts w:hint="eastAsia"/>
                <w:snapToGrid/>
              </w:rPr>
              <w:t>女</w:t>
            </w:r>
          </w:p>
        </w:tc>
        <w:tc>
          <w:tcPr>
            <w:tcW w:w="435" w:type="pct"/>
          </w:tcPr>
          <w:p w:rsidR="00000000" w:rsidRDefault="00000000">
            <w:pPr>
              <w:pStyle w:val="a2"/>
              <w:spacing w:line="336" w:lineRule="auto"/>
              <w:jc w:val="center"/>
              <w:rPr>
                <w:snapToGrid/>
              </w:rPr>
            </w:pPr>
            <w:r>
              <w:rPr>
                <w:rFonts w:hint="eastAsia"/>
                <w:snapToGrid/>
              </w:rPr>
              <w:t>男</w:t>
            </w:r>
          </w:p>
        </w:tc>
        <w:tc>
          <w:tcPr>
            <w:tcW w:w="435" w:type="pct"/>
          </w:tcPr>
          <w:p w:rsidR="00000000" w:rsidRDefault="00000000">
            <w:pPr>
              <w:pStyle w:val="a2"/>
              <w:spacing w:line="336" w:lineRule="auto"/>
              <w:jc w:val="center"/>
              <w:rPr>
                <w:snapToGrid/>
              </w:rPr>
            </w:pPr>
            <w:r>
              <w:rPr>
                <w:rFonts w:hint="eastAsia"/>
                <w:snapToGrid/>
              </w:rPr>
              <w:t>女</w:t>
            </w:r>
          </w:p>
        </w:tc>
        <w:tc>
          <w:tcPr>
            <w:tcW w:w="435" w:type="pct"/>
          </w:tcPr>
          <w:p w:rsidR="00000000" w:rsidRDefault="00000000">
            <w:pPr>
              <w:pStyle w:val="a2"/>
              <w:spacing w:line="336" w:lineRule="auto"/>
              <w:jc w:val="center"/>
              <w:rPr>
                <w:snapToGrid/>
              </w:rPr>
            </w:pPr>
            <w:r>
              <w:rPr>
                <w:rFonts w:hint="eastAsia"/>
                <w:snapToGrid/>
              </w:rPr>
              <w:t>男</w:t>
            </w:r>
          </w:p>
        </w:tc>
        <w:tc>
          <w:tcPr>
            <w:tcW w:w="435" w:type="pct"/>
          </w:tcPr>
          <w:p w:rsidR="00000000" w:rsidRDefault="00000000">
            <w:pPr>
              <w:pStyle w:val="a2"/>
              <w:spacing w:line="336" w:lineRule="auto"/>
              <w:jc w:val="center"/>
              <w:rPr>
                <w:snapToGrid/>
              </w:rPr>
            </w:pPr>
            <w:r>
              <w:rPr>
                <w:rFonts w:hint="eastAsia"/>
                <w:snapToGrid/>
              </w:rPr>
              <w:t>女</w:t>
            </w:r>
          </w:p>
        </w:tc>
        <w:tc>
          <w:tcPr>
            <w:tcW w:w="435" w:type="pct"/>
          </w:tcPr>
          <w:p w:rsidR="00000000" w:rsidRDefault="00000000">
            <w:pPr>
              <w:pStyle w:val="a2"/>
              <w:spacing w:line="336" w:lineRule="auto"/>
              <w:jc w:val="center"/>
              <w:rPr>
                <w:rFonts w:hint="eastAsia"/>
                <w:snapToGrid/>
              </w:rPr>
            </w:pPr>
            <w:r>
              <w:rPr>
                <w:rFonts w:hint="eastAsia"/>
                <w:snapToGrid/>
              </w:rPr>
              <w:t>男</w:t>
            </w:r>
          </w:p>
        </w:tc>
        <w:tc>
          <w:tcPr>
            <w:tcW w:w="435" w:type="pct"/>
          </w:tcPr>
          <w:p w:rsidR="00000000" w:rsidRDefault="00000000">
            <w:pPr>
              <w:pStyle w:val="a2"/>
              <w:spacing w:line="336" w:lineRule="auto"/>
              <w:jc w:val="center"/>
              <w:rPr>
                <w:rFonts w:hint="eastAsia"/>
                <w:snapToGrid/>
              </w:rPr>
            </w:pPr>
            <w:r>
              <w:rPr>
                <w:rFonts w:hint="eastAsia"/>
                <w:snapToGrid/>
              </w:rPr>
              <w:t>女</w:t>
            </w:r>
          </w:p>
        </w:tc>
      </w:tr>
      <w:tr w:rsidR="00000000">
        <w:tblPrEx>
          <w:tblCellMar>
            <w:top w:w="0" w:type="dxa"/>
            <w:bottom w:w="0" w:type="dxa"/>
          </w:tblCellMar>
        </w:tblPrEx>
        <w:tc>
          <w:tcPr>
            <w:tcW w:w="652" w:type="pct"/>
          </w:tcPr>
          <w:p w:rsidR="00000000" w:rsidRDefault="00000000">
            <w:pPr>
              <w:pStyle w:val="a2"/>
              <w:spacing w:before="120" w:after="80" w:line="240" w:lineRule="auto"/>
              <w:rPr>
                <w:snapToGrid/>
              </w:rPr>
            </w:pPr>
            <w:r>
              <w:rPr>
                <w:rFonts w:hint="eastAsia"/>
                <w:snapToGrid/>
              </w:rPr>
              <w:t>从未入学</w:t>
            </w:r>
            <w:r>
              <w:rPr>
                <w:snapToGrid/>
              </w:rPr>
              <w:t>/</w:t>
            </w:r>
            <w:r>
              <w:rPr>
                <w:snapToGrid/>
              </w:rPr>
              <w:br/>
            </w:r>
            <w:r>
              <w:rPr>
                <w:rFonts w:hint="eastAsia"/>
                <w:snapToGrid/>
              </w:rPr>
              <w:t>幼稚园</w:t>
            </w:r>
          </w:p>
        </w:tc>
        <w:tc>
          <w:tcPr>
            <w:tcW w:w="435" w:type="pct"/>
          </w:tcPr>
          <w:p w:rsidR="00000000" w:rsidRDefault="00000000">
            <w:pPr>
              <w:pStyle w:val="a2"/>
              <w:tabs>
                <w:tab w:val="decimal" w:pos="454"/>
              </w:tabs>
              <w:spacing w:before="120" w:line="336" w:lineRule="auto"/>
              <w:rPr>
                <w:snapToGrid/>
              </w:rPr>
            </w:pPr>
            <w:r>
              <w:rPr>
                <w:snapToGrid/>
              </w:rPr>
              <w:t>7.0</w:t>
            </w:r>
          </w:p>
        </w:tc>
        <w:tc>
          <w:tcPr>
            <w:tcW w:w="435" w:type="pct"/>
          </w:tcPr>
          <w:p w:rsidR="00000000" w:rsidRDefault="00000000">
            <w:pPr>
              <w:pStyle w:val="a2"/>
              <w:tabs>
                <w:tab w:val="decimal" w:pos="454"/>
              </w:tabs>
              <w:spacing w:before="120" w:line="336" w:lineRule="auto"/>
              <w:rPr>
                <w:snapToGrid/>
              </w:rPr>
            </w:pPr>
            <w:r>
              <w:rPr>
                <w:snapToGrid/>
              </w:rPr>
              <w:t>21.6</w:t>
            </w:r>
          </w:p>
        </w:tc>
        <w:tc>
          <w:tcPr>
            <w:tcW w:w="435" w:type="pct"/>
          </w:tcPr>
          <w:p w:rsidR="00000000" w:rsidRDefault="00000000">
            <w:pPr>
              <w:pStyle w:val="a2"/>
              <w:tabs>
                <w:tab w:val="decimal" w:pos="454"/>
              </w:tabs>
              <w:spacing w:before="120" w:line="336" w:lineRule="auto"/>
              <w:rPr>
                <w:snapToGrid/>
              </w:rPr>
            </w:pPr>
            <w:r>
              <w:rPr>
                <w:snapToGrid/>
              </w:rPr>
              <w:t>7.1</w:t>
            </w:r>
          </w:p>
        </w:tc>
        <w:tc>
          <w:tcPr>
            <w:tcW w:w="435" w:type="pct"/>
          </w:tcPr>
          <w:p w:rsidR="00000000" w:rsidRDefault="00000000">
            <w:pPr>
              <w:pStyle w:val="a2"/>
              <w:tabs>
                <w:tab w:val="decimal" w:pos="454"/>
              </w:tabs>
              <w:spacing w:before="120" w:line="336" w:lineRule="auto"/>
              <w:rPr>
                <w:snapToGrid/>
              </w:rPr>
            </w:pPr>
            <w:r>
              <w:rPr>
                <w:snapToGrid/>
              </w:rPr>
              <w:t>18.5</w:t>
            </w:r>
          </w:p>
        </w:tc>
        <w:tc>
          <w:tcPr>
            <w:tcW w:w="435" w:type="pct"/>
          </w:tcPr>
          <w:p w:rsidR="00000000" w:rsidRDefault="00000000">
            <w:pPr>
              <w:pStyle w:val="a2"/>
              <w:tabs>
                <w:tab w:val="decimal" w:pos="454"/>
              </w:tabs>
              <w:spacing w:before="120" w:line="336" w:lineRule="auto"/>
              <w:rPr>
                <w:snapToGrid/>
              </w:rPr>
            </w:pPr>
            <w:r>
              <w:rPr>
                <w:snapToGrid/>
              </w:rPr>
              <w:t>5.1</w:t>
            </w:r>
          </w:p>
        </w:tc>
        <w:tc>
          <w:tcPr>
            <w:tcW w:w="435" w:type="pct"/>
          </w:tcPr>
          <w:p w:rsidR="00000000" w:rsidRDefault="00000000">
            <w:pPr>
              <w:pStyle w:val="a2"/>
              <w:tabs>
                <w:tab w:val="decimal" w:pos="454"/>
              </w:tabs>
              <w:spacing w:before="120" w:line="336" w:lineRule="auto"/>
              <w:rPr>
                <w:rFonts w:hint="eastAsia"/>
                <w:snapToGrid/>
              </w:rPr>
            </w:pPr>
            <w:r>
              <w:rPr>
                <w:snapToGrid/>
              </w:rPr>
              <w:t>13.8</w:t>
            </w:r>
          </w:p>
        </w:tc>
        <w:tc>
          <w:tcPr>
            <w:tcW w:w="435" w:type="pct"/>
          </w:tcPr>
          <w:p w:rsidR="00000000" w:rsidRDefault="00000000">
            <w:pPr>
              <w:pStyle w:val="a2"/>
              <w:tabs>
                <w:tab w:val="decimal" w:pos="454"/>
              </w:tabs>
              <w:spacing w:before="120" w:line="336" w:lineRule="auto"/>
              <w:rPr>
                <w:rFonts w:hint="eastAsia"/>
                <w:snapToGrid/>
              </w:rPr>
            </w:pPr>
            <w:r>
              <w:rPr>
                <w:snapToGrid/>
              </w:rPr>
              <w:t>4.6</w:t>
            </w:r>
          </w:p>
        </w:tc>
        <w:tc>
          <w:tcPr>
            <w:tcW w:w="435" w:type="pct"/>
          </w:tcPr>
          <w:p w:rsidR="00000000" w:rsidRDefault="00000000">
            <w:pPr>
              <w:pStyle w:val="a2"/>
              <w:tabs>
                <w:tab w:val="decimal" w:pos="454"/>
              </w:tabs>
              <w:spacing w:before="120" w:line="336" w:lineRule="auto"/>
              <w:rPr>
                <w:rFonts w:hint="eastAsia"/>
                <w:snapToGrid/>
              </w:rPr>
            </w:pPr>
            <w:r>
              <w:rPr>
                <w:snapToGrid/>
              </w:rPr>
              <w:t>12.0</w:t>
            </w:r>
          </w:p>
        </w:tc>
        <w:tc>
          <w:tcPr>
            <w:tcW w:w="435" w:type="pct"/>
          </w:tcPr>
          <w:p w:rsidR="00000000" w:rsidRDefault="00000000">
            <w:pPr>
              <w:pStyle w:val="a2"/>
              <w:tabs>
                <w:tab w:val="decimal" w:pos="454"/>
              </w:tabs>
              <w:spacing w:before="120" w:line="336" w:lineRule="auto"/>
              <w:rPr>
                <w:rFonts w:hint="eastAsia"/>
                <w:snapToGrid/>
              </w:rPr>
            </w:pPr>
            <w:r>
              <w:rPr>
                <w:snapToGrid/>
              </w:rPr>
              <w:t>3.4</w:t>
            </w:r>
          </w:p>
        </w:tc>
        <w:tc>
          <w:tcPr>
            <w:tcW w:w="435" w:type="pct"/>
          </w:tcPr>
          <w:p w:rsidR="00000000" w:rsidRDefault="00000000">
            <w:pPr>
              <w:pStyle w:val="a2"/>
              <w:tabs>
                <w:tab w:val="decimal" w:pos="454"/>
              </w:tabs>
              <w:spacing w:before="120" w:line="336" w:lineRule="auto"/>
              <w:rPr>
                <w:rFonts w:hint="eastAsia"/>
                <w:snapToGrid/>
              </w:rPr>
            </w:pPr>
            <w:r>
              <w:rPr>
                <w:snapToGrid/>
              </w:rPr>
              <w:t>10.2</w:t>
            </w:r>
          </w:p>
        </w:tc>
      </w:tr>
      <w:tr w:rsidR="00000000">
        <w:tblPrEx>
          <w:tblCellMar>
            <w:top w:w="0" w:type="dxa"/>
            <w:bottom w:w="0" w:type="dxa"/>
          </w:tblCellMar>
        </w:tblPrEx>
        <w:tc>
          <w:tcPr>
            <w:tcW w:w="652" w:type="pct"/>
          </w:tcPr>
          <w:p w:rsidR="00000000" w:rsidRDefault="00000000">
            <w:pPr>
              <w:pStyle w:val="a2"/>
              <w:spacing w:line="336" w:lineRule="auto"/>
              <w:rPr>
                <w:snapToGrid/>
              </w:rPr>
            </w:pPr>
            <w:r>
              <w:rPr>
                <w:rFonts w:hint="eastAsia"/>
                <w:snapToGrid/>
              </w:rPr>
              <w:t>小学</w:t>
            </w:r>
          </w:p>
        </w:tc>
        <w:tc>
          <w:tcPr>
            <w:tcW w:w="435" w:type="pct"/>
          </w:tcPr>
          <w:p w:rsidR="00000000" w:rsidRDefault="00000000">
            <w:pPr>
              <w:pStyle w:val="a2"/>
              <w:tabs>
                <w:tab w:val="decimal" w:pos="454"/>
              </w:tabs>
              <w:spacing w:line="336" w:lineRule="auto"/>
              <w:rPr>
                <w:snapToGrid/>
              </w:rPr>
            </w:pPr>
            <w:r>
              <w:rPr>
                <w:snapToGrid/>
              </w:rPr>
              <w:t>30.8</w:t>
            </w:r>
          </w:p>
        </w:tc>
        <w:tc>
          <w:tcPr>
            <w:tcW w:w="435" w:type="pct"/>
          </w:tcPr>
          <w:p w:rsidR="00000000" w:rsidRDefault="00000000">
            <w:pPr>
              <w:pStyle w:val="a2"/>
              <w:tabs>
                <w:tab w:val="decimal" w:pos="454"/>
              </w:tabs>
              <w:spacing w:line="336" w:lineRule="auto"/>
              <w:rPr>
                <w:snapToGrid/>
              </w:rPr>
            </w:pPr>
            <w:r>
              <w:rPr>
                <w:snapToGrid/>
              </w:rPr>
              <w:t>27.7</w:t>
            </w:r>
          </w:p>
        </w:tc>
        <w:tc>
          <w:tcPr>
            <w:tcW w:w="435" w:type="pct"/>
          </w:tcPr>
          <w:p w:rsidR="00000000" w:rsidRDefault="00000000">
            <w:pPr>
              <w:pStyle w:val="a2"/>
              <w:tabs>
                <w:tab w:val="decimal" w:pos="454"/>
              </w:tabs>
              <w:spacing w:line="336" w:lineRule="auto"/>
              <w:rPr>
                <w:rFonts w:hint="eastAsia"/>
                <w:snapToGrid/>
              </w:rPr>
            </w:pPr>
            <w:r>
              <w:rPr>
                <w:snapToGrid/>
              </w:rPr>
              <w:t>26.1</w:t>
            </w:r>
          </w:p>
        </w:tc>
        <w:tc>
          <w:tcPr>
            <w:tcW w:w="435" w:type="pct"/>
          </w:tcPr>
          <w:p w:rsidR="00000000" w:rsidRDefault="00000000">
            <w:pPr>
              <w:pStyle w:val="a2"/>
              <w:tabs>
                <w:tab w:val="decimal" w:pos="454"/>
              </w:tabs>
              <w:spacing w:line="336" w:lineRule="auto"/>
              <w:rPr>
                <w:rFonts w:hint="eastAsia"/>
                <w:snapToGrid/>
              </w:rPr>
            </w:pPr>
            <w:r>
              <w:rPr>
                <w:snapToGrid/>
              </w:rPr>
              <w:t>24.3</w:t>
            </w:r>
          </w:p>
        </w:tc>
        <w:tc>
          <w:tcPr>
            <w:tcW w:w="435" w:type="pct"/>
          </w:tcPr>
          <w:p w:rsidR="00000000" w:rsidRDefault="00000000">
            <w:pPr>
              <w:pStyle w:val="a2"/>
              <w:tabs>
                <w:tab w:val="decimal" w:pos="454"/>
              </w:tabs>
              <w:spacing w:line="336" w:lineRule="auto"/>
              <w:rPr>
                <w:rFonts w:hint="eastAsia"/>
                <w:snapToGrid/>
              </w:rPr>
            </w:pPr>
            <w:r>
              <w:rPr>
                <w:snapToGrid/>
              </w:rPr>
              <w:t>22.7</w:t>
            </w:r>
          </w:p>
        </w:tc>
        <w:tc>
          <w:tcPr>
            <w:tcW w:w="435" w:type="pct"/>
          </w:tcPr>
          <w:p w:rsidR="00000000" w:rsidRDefault="00000000">
            <w:pPr>
              <w:pStyle w:val="a2"/>
              <w:tabs>
                <w:tab w:val="decimal" w:pos="454"/>
              </w:tabs>
              <w:spacing w:line="336" w:lineRule="auto"/>
              <w:rPr>
                <w:rFonts w:hint="eastAsia"/>
                <w:snapToGrid/>
              </w:rPr>
            </w:pPr>
            <w:r>
              <w:rPr>
                <w:snapToGrid/>
              </w:rPr>
              <w:t>22.6</w:t>
            </w:r>
          </w:p>
        </w:tc>
        <w:tc>
          <w:tcPr>
            <w:tcW w:w="435" w:type="pct"/>
          </w:tcPr>
          <w:p w:rsidR="00000000" w:rsidRDefault="00000000">
            <w:pPr>
              <w:pStyle w:val="a2"/>
              <w:tabs>
                <w:tab w:val="decimal" w:pos="454"/>
              </w:tabs>
              <w:spacing w:line="336" w:lineRule="auto"/>
              <w:rPr>
                <w:rFonts w:hint="eastAsia"/>
                <w:snapToGrid/>
              </w:rPr>
            </w:pPr>
            <w:r>
              <w:rPr>
                <w:snapToGrid/>
              </w:rPr>
              <w:t>20.4</w:t>
            </w:r>
          </w:p>
        </w:tc>
        <w:tc>
          <w:tcPr>
            <w:tcW w:w="435" w:type="pct"/>
          </w:tcPr>
          <w:p w:rsidR="00000000" w:rsidRDefault="00000000">
            <w:pPr>
              <w:pStyle w:val="a2"/>
              <w:tabs>
                <w:tab w:val="decimal" w:pos="454"/>
              </w:tabs>
              <w:spacing w:line="336" w:lineRule="auto"/>
              <w:rPr>
                <w:rFonts w:hint="eastAsia"/>
                <w:snapToGrid/>
              </w:rPr>
            </w:pPr>
            <w:r>
              <w:rPr>
                <w:snapToGrid/>
              </w:rPr>
              <w:t>20.6</w:t>
            </w:r>
          </w:p>
        </w:tc>
        <w:tc>
          <w:tcPr>
            <w:tcW w:w="435" w:type="pct"/>
          </w:tcPr>
          <w:p w:rsidR="00000000" w:rsidRDefault="00000000">
            <w:pPr>
              <w:pStyle w:val="a2"/>
              <w:tabs>
                <w:tab w:val="decimal" w:pos="454"/>
              </w:tabs>
              <w:spacing w:line="336" w:lineRule="auto"/>
              <w:rPr>
                <w:rFonts w:hint="eastAsia"/>
                <w:snapToGrid/>
              </w:rPr>
            </w:pPr>
            <w:r>
              <w:rPr>
                <w:snapToGrid/>
              </w:rPr>
              <w:t>20.7</w:t>
            </w:r>
          </w:p>
        </w:tc>
        <w:tc>
          <w:tcPr>
            <w:tcW w:w="435" w:type="pct"/>
          </w:tcPr>
          <w:p w:rsidR="00000000" w:rsidRDefault="00000000">
            <w:pPr>
              <w:pStyle w:val="a2"/>
              <w:tabs>
                <w:tab w:val="decimal" w:pos="454"/>
              </w:tabs>
              <w:spacing w:line="336" w:lineRule="auto"/>
              <w:rPr>
                <w:rFonts w:hint="eastAsia"/>
                <w:snapToGrid/>
              </w:rPr>
            </w:pPr>
            <w:r>
              <w:rPr>
                <w:snapToGrid/>
              </w:rPr>
              <w:t>21.3</w:t>
            </w:r>
          </w:p>
        </w:tc>
      </w:tr>
      <w:tr w:rsidR="00000000">
        <w:tblPrEx>
          <w:tblCellMar>
            <w:top w:w="0" w:type="dxa"/>
            <w:bottom w:w="0" w:type="dxa"/>
          </w:tblCellMar>
        </w:tblPrEx>
        <w:tc>
          <w:tcPr>
            <w:tcW w:w="652" w:type="pct"/>
          </w:tcPr>
          <w:p w:rsidR="00000000" w:rsidRDefault="00000000">
            <w:pPr>
              <w:pStyle w:val="a2"/>
              <w:spacing w:line="336" w:lineRule="auto"/>
              <w:rPr>
                <w:snapToGrid/>
              </w:rPr>
            </w:pPr>
            <w:r>
              <w:rPr>
                <w:rFonts w:hint="eastAsia"/>
                <w:snapToGrid/>
              </w:rPr>
              <w:t>中学或以上</w:t>
            </w:r>
          </w:p>
        </w:tc>
        <w:tc>
          <w:tcPr>
            <w:tcW w:w="435" w:type="pct"/>
          </w:tcPr>
          <w:p w:rsidR="00000000" w:rsidRDefault="00000000">
            <w:pPr>
              <w:pStyle w:val="a2"/>
              <w:tabs>
                <w:tab w:val="decimal" w:pos="454"/>
              </w:tabs>
              <w:spacing w:line="336" w:lineRule="auto"/>
              <w:rPr>
                <w:snapToGrid/>
              </w:rPr>
            </w:pPr>
            <w:r>
              <w:rPr>
                <w:snapToGrid/>
              </w:rPr>
              <w:t>62.2</w:t>
            </w:r>
          </w:p>
        </w:tc>
        <w:tc>
          <w:tcPr>
            <w:tcW w:w="435" w:type="pct"/>
          </w:tcPr>
          <w:p w:rsidR="00000000" w:rsidRDefault="00000000">
            <w:pPr>
              <w:pStyle w:val="a2"/>
              <w:tabs>
                <w:tab w:val="decimal" w:pos="454"/>
              </w:tabs>
              <w:spacing w:line="336" w:lineRule="auto"/>
              <w:rPr>
                <w:snapToGrid/>
              </w:rPr>
            </w:pPr>
            <w:r>
              <w:rPr>
                <w:snapToGrid/>
              </w:rPr>
              <w:t>50.7</w:t>
            </w:r>
          </w:p>
        </w:tc>
        <w:tc>
          <w:tcPr>
            <w:tcW w:w="435" w:type="pct"/>
          </w:tcPr>
          <w:p w:rsidR="00000000" w:rsidRDefault="00000000">
            <w:pPr>
              <w:pStyle w:val="a2"/>
              <w:tabs>
                <w:tab w:val="decimal" w:pos="454"/>
              </w:tabs>
              <w:spacing w:line="336" w:lineRule="auto"/>
              <w:rPr>
                <w:rFonts w:hint="eastAsia"/>
                <w:snapToGrid/>
              </w:rPr>
            </w:pPr>
            <w:r>
              <w:rPr>
                <w:snapToGrid/>
              </w:rPr>
              <w:t>66.8</w:t>
            </w:r>
          </w:p>
        </w:tc>
        <w:tc>
          <w:tcPr>
            <w:tcW w:w="435" w:type="pct"/>
          </w:tcPr>
          <w:p w:rsidR="00000000" w:rsidRDefault="00000000">
            <w:pPr>
              <w:pStyle w:val="a2"/>
              <w:tabs>
                <w:tab w:val="decimal" w:pos="454"/>
              </w:tabs>
              <w:spacing w:line="336" w:lineRule="auto"/>
              <w:rPr>
                <w:rFonts w:hint="eastAsia"/>
                <w:snapToGrid/>
              </w:rPr>
            </w:pPr>
            <w:r>
              <w:rPr>
                <w:snapToGrid/>
              </w:rPr>
              <w:t>57.2</w:t>
            </w:r>
          </w:p>
        </w:tc>
        <w:tc>
          <w:tcPr>
            <w:tcW w:w="435" w:type="pct"/>
          </w:tcPr>
          <w:p w:rsidR="00000000" w:rsidRDefault="00000000">
            <w:pPr>
              <w:pStyle w:val="a2"/>
              <w:tabs>
                <w:tab w:val="decimal" w:pos="454"/>
              </w:tabs>
              <w:spacing w:line="336" w:lineRule="auto"/>
              <w:rPr>
                <w:rFonts w:hint="eastAsia"/>
                <w:snapToGrid/>
              </w:rPr>
            </w:pPr>
            <w:r>
              <w:rPr>
                <w:snapToGrid/>
              </w:rPr>
              <w:t>72.2</w:t>
            </w:r>
          </w:p>
        </w:tc>
        <w:tc>
          <w:tcPr>
            <w:tcW w:w="435" w:type="pct"/>
          </w:tcPr>
          <w:p w:rsidR="00000000" w:rsidRDefault="00000000">
            <w:pPr>
              <w:pStyle w:val="a2"/>
              <w:tabs>
                <w:tab w:val="decimal" w:pos="454"/>
              </w:tabs>
              <w:spacing w:line="336" w:lineRule="auto"/>
              <w:rPr>
                <w:rFonts w:hint="eastAsia"/>
                <w:snapToGrid/>
              </w:rPr>
            </w:pPr>
            <w:r>
              <w:rPr>
                <w:snapToGrid/>
              </w:rPr>
              <w:t>63.6</w:t>
            </w:r>
          </w:p>
        </w:tc>
        <w:tc>
          <w:tcPr>
            <w:tcW w:w="435" w:type="pct"/>
          </w:tcPr>
          <w:p w:rsidR="00000000" w:rsidRDefault="00000000">
            <w:pPr>
              <w:pStyle w:val="a2"/>
              <w:tabs>
                <w:tab w:val="decimal" w:pos="454"/>
              </w:tabs>
              <w:spacing w:line="336" w:lineRule="auto"/>
              <w:rPr>
                <w:snapToGrid/>
              </w:rPr>
            </w:pPr>
            <w:r>
              <w:rPr>
                <w:snapToGrid/>
              </w:rPr>
              <w:t>75.0</w:t>
            </w:r>
          </w:p>
        </w:tc>
        <w:tc>
          <w:tcPr>
            <w:tcW w:w="435" w:type="pct"/>
          </w:tcPr>
          <w:p w:rsidR="00000000" w:rsidRDefault="00000000">
            <w:pPr>
              <w:pStyle w:val="a2"/>
              <w:tabs>
                <w:tab w:val="decimal" w:pos="454"/>
              </w:tabs>
              <w:spacing w:line="336" w:lineRule="auto"/>
              <w:rPr>
                <w:rFonts w:hint="eastAsia"/>
                <w:snapToGrid/>
              </w:rPr>
            </w:pPr>
            <w:r>
              <w:rPr>
                <w:snapToGrid/>
              </w:rPr>
              <w:t>67.4</w:t>
            </w:r>
          </w:p>
        </w:tc>
        <w:tc>
          <w:tcPr>
            <w:tcW w:w="435" w:type="pct"/>
          </w:tcPr>
          <w:p w:rsidR="00000000" w:rsidRDefault="00000000">
            <w:pPr>
              <w:pStyle w:val="a2"/>
              <w:tabs>
                <w:tab w:val="decimal" w:pos="454"/>
              </w:tabs>
              <w:spacing w:line="336" w:lineRule="auto"/>
              <w:rPr>
                <w:rFonts w:hint="eastAsia"/>
                <w:snapToGrid/>
              </w:rPr>
            </w:pPr>
            <w:r>
              <w:rPr>
                <w:snapToGrid/>
              </w:rPr>
              <w:t>75.9</w:t>
            </w:r>
          </w:p>
        </w:tc>
        <w:tc>
          <w:tcPr>
            <w:tcW w:w="435" w:type="pct"/>
          </w:tcPr>
          <w:p w:rsidR="00000000" w:rsidRDefault="00000000">
            <w:pPr>
              <w:pStyle w:val="a2"/>
              <w:tabs>
                <w:tab w:val="decimal" w:pos="454"/>
              </w:tabs>
              <w:spacing w:line="336" w:lineRule="auto"/>
              <w:rPr>
                <w:rFonts w:hint="eastAsia"/>
                <w:snapToGrid/>
              </w:rPr>
            </w:pPr>
            <w:r>
              <w:rPr>
                <w:snapToGrid/>
              </w:rPr>
              <w:t>68.5</w:t>
            </w:r>
          </w:p>
        </w:tc>
      </w:tr>
      <w:tr w:rsidR="00000000">
        <w:tblPrEx>
          <w:tblCellMar>
            <w:top w:w="0" w:type="dxa"/>
            <w:bottom w:w="0" w:type="dxa"/>
          </w:tblCellMar>
        </w:tblPrEx>
        <w:tc>
          <w:tcPr>
            <w:tcW w:w="652" w:type="pct"/>
          </w:tcPr>
          <w:p w:rsidR="00000000" w:rsidRDefault="00000000">
            <w:pPr>
              <w:pStyle w:val="a2"/>
              <w:spacing w:before="60" w:line="336" w:lineRule="auto"/>
              <w:rPr>
                <w:snapToGrid/>
              </w:rPr>
            </w:pPr>
          </w:p>
        </w:tc>
        <w:tc>
          <w:tcPr>
            <w:tcW w:w="435" w:type="pct"/>
            <w:tcBorders>
              <w:top w:val="single" w:sz="6" w:space="0" w:color="auto"/>
            </w:tcBorders>
          </w:tcPr>
          <w:p w:rsidR="00000000" w:rsidRDefault="00000000">
            <w:pPr>
              <w:pStyle w:val="a2"/>
              <w:tabs>
                <w:tab w:val="decimal" w:pos="454"/>
              </w:tabs>
              <w:spacing w:before="60" w:line="336" w:lineRule="auto"/>
              <w:rPr>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rFonts w:hint="eastAsia"/>
                <w:snapToGrid/>
              </w:rPr>
            </w:pPr>
            <w:r>
              <w:rPr>
                <w:snapToGrid/>
              </w:rPr>
              <w:t>100.0</w:t>
            </w:r>
          </w:p>
        </w:tc>
        <w:tc>
          <w:tcPr>
            <w:tcW w:w="435" w:type="pct"/>
            <w:tcBorders>
              <w:top w:val="single" w:sz="6" w:space="0" w:color="auto"/>
            </w:tcBorders>
          </w:tcPr>
          <w:p w:rsidR="00000000" w:rsidRDefault="00000000">
            <w:pPr>
              <w:pStyle w:val="a2"/>
              <w:tabs>
                <w:tab w:val="decimal" w:pos="454"/>
              </w:tabs>
              <w:spacing w:before="60" w:line="336" w:lineRule="auto"/>
              <w:rPr>
                <w:rFonts w:hint="eastAsia"/>
                <w:snapToGrid/>
              </w:rPr>
            </w:pPr>
            <w:r>
              <w:rPr>
                <w:snapToGrid/>
              </w:rPr>
              <w:t>100.0</w:t>
            </w:r>
          </w:p>
        </w:tc>
      </w:tr>
    </w:tbl>
    <w:p w:rsidR="00000000" w:rsidRDefault="00000000">
      <w:pPr>
        <w:tabs>
          <w:tab w:val="left" w:pos="540"/>
          <w:tab w:val="left" w:pos="3060"/>
          <w:tab w:val="left" w:pos="3240"/>
        </w:tabs>
        <w:rPr>
          <w:rFonts w:hint="eastAsia"/>
          <w:snapToGrid/>
        </w:rPr>
      </w:pPr>
    </w:p>
    <w:p w:rsidR="00000000" w:rsidRDefault="00000000">
      <w:pPr>
        <w:pStyle w:val="Heading4"/>
        <w:tabs>
          <w:tab w:val="left" w:pos="3255"/>
        </w:tabs>
        <w:spacing w:after="0"/>
        <w:rPr>
          <w:rFonts w:hint="eastAsia"/>
        </w:rPr>
      </w:pPr>
      <w:r>
        <w:rPr>
          <w:rFonts w:hint="eastAsia"/>
        </w:rPr>
        <w:t>有读写能力的人口比率</w:t>
      </w:r>
      <w:r>
        <w:rPr>
          <w:rStyle w:val="FootnoteReference"/>
          <w:b w:val="0"/>
          <w:bCs/>
          <w:u w:val="none"/>
        </w:rPr>
        <w:footnoteReference w:customMarkFollows="1" w:id="12"/>
        <w:t>**</w:t>
      </w:r>
      <w:r>
        <w:rPr>
          <w:rFonts w:hint="eastAsia"/>
          <w:u w:val="none"/>
        </w:rPr>
        <w:t>：</w:t>
      </w:r>
      <w:r>
        <w:rPr>
          <w:u w:val="none"/>
        </w:rPr>
        <w:tab/>
        <w:t>1984</w:t>
      </w:r>
      <w:r>
        <w:rPr>
          <w:rFonts w:hint="eastAsia"/>
          <w:u w:val="none"/>
        </w:rPr>
        <w:t>年：</w:t>
      </w:r>
      <w:r>
        <w:rPr>
          <w:u w:val="none"/>
        </w:rPr>
        <w:t>85.7%</w:t>
      </w:r>
      <w:r>
        <w:rPr>
          <w:rFonts w:hint="eastAsia"/>
          <w:u w:val="none"/>
        </w:rPr>
        <w:t>；</w:t>
      </w:r>
      <w:r>
        <w:rPr>
          <w:u w:val="none"/>
        </w:rPr>
        <w:t>1996</w:t>
      </w:r>
      <w:r>
        <w:rPr>
          <w:rFonts w:hint="eastAsia"/>
          <w:u w:val="none"/>
        </w:rPr>
        <w:t>年：</w:t>
      </w:r>
      <w:r>
        <w:rPr>
          <w:u w:val="none"/>
        </w:rPr>
        <w:t>90.4%</w:t>
      </w:r>
      <w:r>
        <w:rPr>
          <w:rFonts w:hint="eastAsia"/>
          <w:u w:val="none"/>
        </w:rPr>
        <w:t>；</w:t>
      </w:r>
    </w:p>
    <w:p w:rsidR="00000000" w:rsidRDefault="00000000">
      <w:pPr>
        <w:tabs>
          <w:tab w:val="left" w:pos="540"/>
          <w:tab w:val="left" w:pos="3255"/>
        </w:tabs>
        <w:rPr>
          <w:rFonts w:hint="eastAsia"/>
          <w:snapToGrid/>
        </w:rPr>
      </w:pPr>
      <w:r>
        <w:rPr>
          <w:snapToGrid/>
        </w:rPr>
        <w:tab/>
      </w:r>
      <w:r>
        <w:rPr>
          <w:snapToGrid/>
        </w:rPr>
        <w:tab/>
        <w:t>2000</w:t>
      </w:r>
      <w:r>
        <w:rPr>
          <w:rFonts w:hint="eastAsia"/>
          <w:snapToGrid/>
        </w:rPr>
        <w:t>年：</w:t>
      </w:r>
      <w:r>
        <w:rPr>
          <w:snapToGrid/>
        </w:rPr>
        <w:t>92.4%</w:t>
      </w:r>
      <w:r>
        <w:rPr>
          <w:rFonts w:hint="eastAsia"/>
          <w:snapToGrid/>
        </w:rPr>
        <w:t>；</w:t>
      </w:r>
      <w:r>
        <w:rPr>
          <w:snapToGrid/>
        </w:rPr>
        <w:t>2001</w:t>
      </w:r>
      <w:r>
        <w:rPr>
          <w:rFonts w:hint="eastAsia"/>
          <w:snapToGrid/>
        </w:rPr>
        <w:t>年：</w:t>
      </w:r>
      <w:r>
        <w:rPr>
          <w:snapToGrid/>
        </w:rPr>
        <w:t>92.7%</w:t>
      </w:r>
      <w:r>
        <w:rPr>
          <w:rFonts w:hint="eastAsia"/>
          <w:snapToGrid/>
        </w:rPr>
        <w:t>；</w:t>
      </w:r>
    </w:p>
    <w:p w:rsidR="00000000" w:rsidRDefault="00000000">
      <w:pPr>
        <w:tabs>
          <w:tab w:val="left" w:pos="540"/>
          <w:tab w:val="left" w:pos="3255"/>
        </w:tabs>
        <w:rPr>
          <w:snapToGrid/>
        </w:rPr>
      </w:pPr>
      <w:r>
        <w:rPr>
          <w:snapToGrid/>
        </w:rPr>
        <w:tab/>
      </w:r>
      <w:r>
        <w:rPr>
          <w:snapToGrid/>
        </w:rPr>
        <w:tab/>
        <w:t>2002</w:t>
      </w:r>
      <w:r>
        <w:rPr>
          <w:rFonts w:hint="eastAsia"/>
          <w:snapToGrid/>
        </w:rPr>
        <w:t>年：</w:t>
      </w:r>
      <w:r>
        <w:rPr>
          <w:snapToGrid/>
        </w:rPr>
        <w:t>93.0%</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napToGrid/>
        </w:rPr>
      </w:pPr>
    </w:p>
    <w:p w:rsidR="00000000" w:rsidRDefault="00000000">
      <w:pPr>
        <w:pStyle w:val="Heading4"/>
      </w:pPr>
      <w:r>
        <w:rPr>
          <w:rFonts w:hint="eastAsia"/>
        </w:rPr>
        <w:t>按常用语言</w:t>
      </w:r>
      <w:r>
        <w:rPr>
          <w:rFonts w:hint="eastAsia"/>
        </w:rPr>
        <w:t>/</w:t>
      </w:r>
      <w:r>
        <w:rPr>
          <w:rFonts w:hint="eastAsia"/>
        </w:rPr>
        <w:t>方言划分的</w:t>
      </w:r>
      <w:r>
        <w:t>5</w:t>
      </w:r>
      <w:r>
        <w:rPr>
          <w:rFonts w:hint="eastAsia"/>
        </w:rPr>
        <w:t>岁及以上人口</w:t>
      </w:r>
      <w:r>
        <w:t>(</w:t>
      </w:r>
      <w:r>
        <w:rPr>
          <w:rFonts w:hint="eastAsia"/>
        </w:rPr>
        <w:t>不包括喑哑人士</w:t>
      </w:r>
      <w:r>
        <w:t>)</w:t>
      </w:r>
      <w:r>
        <w:rPr>
          <w:rFonts w:hint="eastAsia"/>
        </w:rPr>
        <w:t>百分率</w:t>
      </w:r>
    </w:p>
    <w:tbl>
      <w:tblPr>
        <w:tblW w:w="5000" w:type="pct"/>
        <w:tblCellMar>
          <w:left w:w="56" w:type="dxa"/>
          <w:right w:w="56" w:type="dxa"/>
        </w:tblCellMar>
        <w:tblLook w:val="0000" w:firstRow="0" w:lastRow="0" w:firstColumn="0" w:lastColumn="0" w:noHBand="0" w:noVBand="0"/>
      </w:tblPr>
      <w:tblGrid>
        <w:gridCol w:w="3004"/>
        <w:gridCol w:w="1675"/>
        <w:gridCol w:w="634"/>
        <w:gridCol w:w="1465"/>
        <w:gridCol w:w="613"/>
        <w:gridCol w:w="1382"/>
        <w:gridCol w:w="693"/>
      </w:tblGrid>
      <w:tr w:rsidR="00000000">
        <w:tblPrEx>
          <w:tblCellMar>
            <w:top w:w="0" w:type="dxa"/>
            <w:bottom w:w="0" w:type="dxa"/>
          </w:tblCellMar>
        </w:tblPrEx>
        <w:trPr>
          <w:cantSplit/>
        </w:trPr>
        <w:tc>
          <w:tcPr>
            <w:tcW w:w="1586" w:type="pct"/>
          </w:tcPr>
          <w:p w:rsidR="00000000" w:rsidRDefault="00000000">
            <w:pPr>
              <w:pStyle w:val="a2"/>
              <w:spacing w:line="336" w:lineRule="exact"/>
              <w:jc w:val="center"/>
              <w:rPr>
                <w:snapToGrid/>
                <w:sz w:val="24"/>
              </w:rPr>
            </w:pPr>
          </w:p>
        </w:tc>
        <w:tc>
          <w:tcPr>
            <w:tcW w:w="3414" w:type="pct"/>
            <w:gridSpan w:val="6"/>
          </w:tcPr>
          <w:p w:rsidR="00000000" w:rsidRDefault="00000000">
            <w:pPr>
              <w:pStyle w:val="a2"/>
              <w:spacing w:line="336" w:lineRule="exact"/>
              <w:jc w:val="center"/>
              <w:rPr>
                <w:snapToGrid/>
                <w:sz w:val="24"/>
                <w:u w:val="single"/>
              </w:rPr>
            </w:pPr>
            <w:r>
              <w:rPr>
                <w:rFonts w:hint="eastAsia"/>
                <w:snapToGrid/>
                <w:sz w:val="24"/>
                <w:u w:val="single"/>
              </w:rPr>
              <w:t>百</w:t>
            </w:r>
            <w:r>
              <w:rPr>
                <w:snapToGrid/>
                <w:sz w:val="24"/>
                <w:u w:val="single"/>
              </w:rPr>
              <w:t xml:space="preserve"> </w:t>
            </w:r>
            <w:r>
              <w:rPr>
                <w:rFonts w:hint="eastAsia"/>
                <w:snapToGrid/>
                <w:sz w:val="24"/>
                <w:u w:val="single"/>
              </w:rPr>
              <w:t>分</w:t>
            </w:r>
            <w:r>
              <w:rPr>
                <w:snapToGrid/>
                <w:sz w:val="24"/>
                <w:u w:val="single"/>
              </w:rPr>
              <w:t xml:space="preserve"> </w:t>
            </w:r>
            <w:r>
              <w:rPr>
                <w:rFonts w:hint="eastAsia"/>
                <w:snapToGrid/>
                <w:sz w:val="24"/>
                <w:u w:val="single"/>
              </w:rPr>
              <w:t>率</w:t>
            </w:r>
          </w:p>
        </w:tc>
      </w:tr>
      <w:tr w:rsidR="00000000">
        <w:tblPrEx>
          <w:tblCellMar>
            <w:top w:w="0" w:type="dxa"/>
            <w:bottom w:w="0" w:type="dxa"/>
          </w:tblCellMar>
        </w:tblPrEx>
        <w:trPr>
          <w:cantSplit/>
        </w:trPr>
        <w:tc>
          <w:tcPr>
            <w:tcW w:w="1586" w:type="pct"/>
          </w:tcPr>
          <w:p w:rsidR="00000000" w:rsidRDefault="00000000">
            <w:pPr>
              <w:pStyle w:val="a2"/>
              <w:spacing w:line="336" w:lineRule="exact"/>
              <w:rPr>
                <w:snapToGrid/>
                <w:sz w:val="24"/>
              </w:rPr>
            </w:pPr>
            <w:r>
              <w:rPr>
                <w:rFonts w:hint="eastAsia"/>
                <w:snapToGrid/>
                <w:sz w:val="24"/>
                <w:u w:val="single"/>
              </w:rPr>
              <w:t>常用语言</w:t>
            </w:r>
            <w:r>
              <w:rPr>
                <w:snapToGrid/>
                <w:sz w:val="24"/>
                <w:u w:val="single"/>
              </w:rPr>
              <w:t>/</w:t>
            </w:r>
            <w:r>
              <w:rPr>
                <w:rFonts w:hint="eastAsia"/>
                <w:snapToGrid/>
                <w:sz w:val="24"/>
                <w:u w:val="single"/>
              </w:rPr>
              <w:t>方言</w:t>
            </w:r>
          </w:p>
        </w:tc>
        <w:tc>
          <w:tcPr>
            <w:tcW w:w="1220" w:type="pct"/>
            <w:gridSpan w:val="2"/>
          </w:tcPr>
          <w:p w:rsidR="00000000" w:rsidRDefault="00000000">
            <w:pPr>
              <w:pStyle w:val="a2"/>
              <w:spacing w:line="336" w:lineRule="exact"/>
              <w:jc w:val="center"/>
              <w:rPr>
                <w:snapToGrid/>
                <w:sz w:val="24"/>
                <w:u w:val="single"/>
              </w:rPr>
            </w:pPr>
            <w:r>
              <w:rPr>
                <w:snapToGrid/>
                <w:sz w:val="24"/>
                <w:u w:val="single"/>
              </w:rPr>
              <w:t>1991</w:t>
            </w:r>
            <w:r>
              <w:rPr>
                <w:rFonts w:hint="eastAsia"/>
                <w:snapToGrid/>
                <w:sz w:val="24"/>
                <w:u w:val="single"/>
              </w:rPr>
              <w:t>年</w:t>
            </w:r>
          </w:p>
        </w:tc>
        <w:tc>
          <w:tcPr>
            <w:tcW w:w="1098" w:type="pct"/>
            <w:gridSpan w:val="2"/>
          </w:tcPr>
          <w:p w:rsidR="00000000" w:rsidRDefault="00000000">
            <w:pPr>
              <w:pStyle w:val="a2"/>
              <w:spacing w:line="336" w:lineRule="exact"/>
              <w:jc w:val="center"/>
              <w:rPr>
                <w:snapToGrid/>
                <w:sz w:val="24"/>
                <w:u w:val="single"/>
              </w:rPr>
            </w:pPr>
            <w:r>
              <w:rPr>
                <w:snapToGrid/>
                <w:sz w:val="24"/>
                <w:u w:val="single"/>
              </w:rPr>
              <w:t>1996</w:t>
            </w:r>
            <w:r>
              <w:rPr>
                <w:rFonts w:hint="eastAsia"/>
                <w:snapToGrid/>
                <w:sz w:val="24"/>
                <w:u w:val="single"/>
              </w:rPr>
              <w:t>年</w:t>
            </w:r>
          </w:p>
        </w:tc>
        <w:tc>
          <w:tcPr>
            <w:tcW w:w="1097" w:type="pct"/>
            <w:gridSpan w:val="2"/>
          </w:tcPr>
          <w:p w:rsidR="00000000" w:rsidRDefault="00000000">
            <w:pPr>
              <w:pStyle w:val="a2"/>
              <w:spacing w:line="336" w:lineRule="exact"/>
              <w:jc w:val="center"/>
              <w:rPr>
                <w:snapToGrid/>
                <w:sz w:val="24"/>
                <w:u w:val="single"/>
              </w:rPr>
            </w:pPr>
            <w:r>
              <w:rPr>
                <w:snapToGrid/>
                <w:sz w:val="24"/>
                <w:u w:val="single"/>
              </w:rPr>
              <w:t>2001</w:t>
            </w:r>
            <w:r>
              <w:rPr>
                <w:rFonts w:hint="eastAsia"/>
                <w:snapToGrid/>
                <w:sz w:val="24"/>
                <w:u w:val="single"/>
              </w:rPr>
              <w:t>年</w:t>
            </w:r>
            <w:r>
              <w:rPr>
                <w:rStyle w:val="FootnoteReference"/>
                <w:b w:val="0"/>
                <w:bCs/>
                <w:snapToGrid/>
                <w:vertAlign w:val="baseline"/>
              </w:rPr>
              <w:footnoteReference w:customMarkFollows="1" w:id="13"/>
              <w:t>***</w:t>
            </w:r>
          </w:p>
        </w:tc>
      </w:tr>
      <w:tr w:rsidR="00000000">
        <w:tblPrEx>
          <w:tblCellMar>
            <w:top w:w="0" w:type="dxa"/>
            <w:bottom w:w="0" w:type="dxa"/>
          </w:tblCellMar>
        </w:tblPrEx>
        <w:trPr>
          <w:cantSplit/>
        </w:trPr>
        <w:tc>
          <w:tcPr>
            <w:tcW w:w="1586" w:type="pct"/>
          </w:tcPr>
          <w:p w:rsidR="00000000" w:rsidRDefault="00000000">
            <w:pPr>
              <w:pStyle w:val="a2"/>
              <w:spacing w:before="120" w:line="336" w:lineRule="exact"/>
              <w:rPr>
                <w:snapToGrid/>
                <w:sz w:val="24"/>
              </w:rPr>
            </w:pPr>
            <w:r>
              <w:rPr>
                <w:rFonts w:hint="eastAsia"/>
                <w:snapToGrid/>
                <w:sz w:val="24"/>
              </w:rPr>
              <w:t>广东话</w:t>
            </w:r>
          </w:p>
        </w:tc>
        <w:tc>
          <w:tcPr>
            <w:tcW w:w="885" w:type="pct"/>
          </w:tcPr>
          <w:p w:rsidR="00000000" w:rsidRDefault="00000000">
            <w:pPr>
              <w:pStyle w:val="a2"/>
              <w:tabs>
                <w:tab w:val="decimal" w:pos="1094"/>
              </w:tabs>
              <w:spacing w:before="120" w:line="336" w:lineRule="exact"/>
              <w:rPr>
                <w:snapToGrid/>
                <w:sz w:val="24"/>
              </w:rPr>
            </w:pPr>
            <w:r>
              <w:rPr>
                <w:snapToGrid/>
                <w:sz w:val="24"/>
              </w:rPr>
              <w:t>88.7</w:t>
            </w:r>
          </w:p>
        </w:tc>
        <w:tc>
          <w:tcPr>
            <w:tcW w:w="335" w:type="pct"/>
          </w:tcPr>
          <w:p w:rsidR="00000000" w:rsidRDefault="00000000">
            <w:pPr>
              <w:pStyle w:val="a2"/>
              <w:tabs>
                <w:tab w:val="decimal" w:pos="885"/>
              </w:tabs>
              <w:spacing w:before="120" w:line="336" w:lineRule="exact"/>
              <w:rPr>
                <w:snapToGrid/>
                <w:sz w:val="24"/>
              </w:rPr>
            </w:pPr>
          </w:p>
        </w:tc>
        <w:tc>
          <w:tcPr>
            <w:tcW w:w="774" w:type="pct"/>
          </w:tcPr>
          <w:p w:rsidR="00000000" w:rsidRDefault="00000000">
            <w:pPr>
              <w:pStyle w:val="a2"/>
              <w:tabs>
                <w:tab w:val="decimal" w:pos="989"/>
              </w:tabs>
              <w:spacing w:before="120" w:line="336" w:lineRule="exact"/>
              <w:rPr>
                <w:snapToGrid/>
                <w:sz w:val="24"/>
              </w:rPr>
            </w:pPr>
            <w:r>
              <w:rPr>
                <w:snapToGrid/>
                <w:sz w:val="24"/>
              </w:rPr>
              <w:t>88.7</w:t>
            </w:r>
          </w:p>
        </w:tc>
        <w:tc>
          <w:tcPr>
            <w:tcW w:w="324" w:type="pct"/>
          </w:tcPr>
          <w:p w:rsidR="00000000" w:rsidRDefault="00000000">
            <w:pPr>
              <w:pStyle w:val="a2"/>
              <w:tabs>
                <w:tab w:val="decimal" w:pos="885"/>
              </w:tabs>
              <w:spacing w:before="120" w:line="336" w:lineRule="exact"/>
              <w:rPr>
                <w:snapToGrid/>
                <w:sz w:val="24"/>
              </w:rPr>
            </w:pPr>
          </w:p>
        </w:tc>
        <w:tc>
          <w:tcPr>
            <w:tcW w:w="730" w:type="pct"/>
          </w:tcPr>
          <w:p w:rsidR="00000000" w:rsidRDefault="00000000">
            <w:pPr>
              <w:pStyle w:val="a2"/>
              <w:tabs>
                <w:tab w:val="decimal" w:pos="885"/>
              </w:tabs>
              <w:spacing w:before="120" w:line="336" w:lineRule="exact"/>
              <w:rPr>
                <w:rFonts w:hint="eastAsia"/>
                <w:snapToGrid/>
                <w:sz w:val="24"/>
              </w:rPr>
            </w:pPr>
            <w:r>
              <w:rPr>
                <w:snapToGrid/>
                <w:sz w:val="24"/>
              </w:rPr>
              <w:t>89.2</w:t>
            </w:r>
          </w:p>
        </w:tc>
        <w:tc>
          <w:tcPr>
            <w:tcW w:w="367" w:type="pct"/>
          </w:tcPr>
          <w:p w:rsidR="00000000" w:rsidRDefault="00000000">
            <w:pPr>
              <w:pStyle w:val="a2"/>
              <w:tabs>
                <w:tab w:val="decimal" w:pos="885"/>
              </w:tabs>
              <w:spacing w:before="120" w:line="336" w:lineRule="exact"/>
              <w:rPr>
                <w:snapToGrid/>
                <w:sz w:val="24"/>
              </w:rPr>
            </w:pPr>
          </w:p>
        </w:tc>
      </w:tr>
      <w:tr w:rsidR="00000000">
        <w:tblPrEx>
          <w:tblCellMar>
            <w:top w:w="0" w:type="dxa"/>
            <w:bottom w:w="0" w:type="dxa"/>
          </w:tblCellMar>
        </w:tblPrEx>
        <w:trPr>
          <w:cantSplit/>
        </w:trPr>
        <w:tc>
          <w:tcPr>
            <w:tcW w:w="1586" w:type="pct"/>
          </w:tcPr>
          <w:p w:rsidR="00000000" w:rsidRDefault="00000000">
            <w:pPr>
              <w:pStyle w:val="a2"/>
              <w:spacing w:line="336" w:lineRule="exact"/>
              <w:rPr>
                <w:snapToGrid/>
                <w:sz w:val="24"/>
              </w:rPr>
            </w:pPr>
            <w:r>
              <w:rPr>
                <w:rFonts w:hint="eastAsia"/>
                <w:snapToGrid/>
                <w:sz w:val="24"/>
              </w:rPr>
              <w:t>普通话</w:t>
            </w:r>
          </w:p>
        </w:tc>
        <w:tc>
          <w:tcPr>
            <w:tcW w:w="885" w:type="pct"/>
          </w:tcPr>
          <w:p w:rsidR="00000000" w:rsidRDefault="00000000">
            <w:pPr>
              <w:pStyle w:val="a2"/>
              <w:tabs>
                <w:tab w:val="decimal" w:pos="1094"/>
              </w:tabs>
              <w:spacing w:line="336" w:lineRule="exact"/>
              <w:rPr>
                <w:snapToGrid/>
                <w:sz w:val="24"/>
              </w:rPr>
            </w:pPr>
            <w:r>
              <w:rPr>
                <w:snapToGrid/>
                <w:sz w:val="24"/>
              </w:rPr>
              <w:t>1.1</w:t>
            </w:r>
          </w:p>
        </w:tc>
        <w:tc>
          <w:tcPr>
            <w:tcW w:w="335" w:type="pct"/>
          </w:tcPr>
          <w:p w:rsidR="00000000" w:rsidRDefault="00000000">
            <w:pPr>
              <w:pStyle w:val="a2"/>
              <w:tabs>
                <w:tab w:val="decimal" w:pos="885"/>
              </w:tabs>
              <w:spacing w:line="336" w:lineRule="exact"/>
              <w:rPr>
                <w:snapToGrid/>
                <w:sz w:val="24"/>
              </w:rPr>
            </w:pPr>
          </w:p>
        </w:tc>
        <w:tc>
          <w:tcPr>
            <w:tcW w:w="774" w:type="pct"/>
          </w:tcPr>
          <w:p w:rsidR="00000000" w:rsidRDefault="00000000">
            <w:pPr>
              <w:pStyle w:val="a2"/>
              <w:tabs>
                <w:tab w:val="decimal" w:pos="989"/>
              </w:tabs>
              <w:spacing w:line="336" w:lineRule="exact"/>
              <w:rPr>
                <w:snapToGrid/>
                <w:sz w:val="24"/>
              </w:rPr>
            </w:pPr>
            <w:r>
              <w:rPr>
                <w:snapToGrid/>
                <w:sz w:val="24"/>
              </w:rPr>
              <w:t>1.1</w:t>
            </w:r>
          </w:p>
        </w:tc>
        <w:tc>
          <w:tcPr>
            <w:tcW w:w="324" w:type="pct"/>
          </w:tcPr>
          <w:p w:rsidR="00000000" w:rsidRDefault="00000000">
            <w:pPr>
              <w:pStyle w:val="a2"/>
              <w:tabs>
                <w:tab w:val="decimal" w:pos="885"/>
              </w:tabs>
              <w:spacing w:line="336" w:lineRule="exact"/>
              <w:rPr>
                <w:snapToGrid/>
                <w:sz w:val="24"/>
              </w:rPr>
            </w:pPr>
          </w:p>
        </w:tc>
        <w:tc>
          <w:tcPr>
            <w:tcW w:w="730" w:type="pct"/>
          </w:tcPr>
          <w:p w:rsidR="00000000" w:rsidRDefault="00000000">
            <w:pPr>
              <w:pStyle w:val="a2"/>
              <w:tabs>
                <w:tab w:val="decimal" w:pos="885"/>
              </w:tabs>
              <w:spacing w:line="336" w:lineRule="exact"/>
              <w:rPr>
                <w:rFonts w:hint="eastAsia"/>
                <w:snapToGrid/>
                <w:sz w:val="24"/>
              </w:rPr>
            </w:pPr>
            <w:r>
              <w:rPr>
                <w:snapToGrid/>
                <w:sz w:val="24"/>
              </w:rPr>
              <w:t>0.9</w:t>
            </w:r>
          </w:p>
        </w:tc>
        <w:tc>
          <w:tcPr>
            <w:tcW w:w="367" w:type="pct"/>
          </w:tcPr>
          <w:p w:rsidR="00000000" w:rsidRDefault="00000000">
            <w:pPr>
              <w:pStyle w:val="a2"/>
              <w:tabs>
                <w:tab w:val="decimal" w:pos="885"/>
              </w:tabs>
              <w:spacing w:line="336" w:lineRule="exact"/>
              <w:rPr>
                <w:snapToGrid/>
                <w:sz w:val="24"/>
              </w:rPr>
            </w:pPr>
          </w:p>
        </w:tc>
      </w:tr>
      <w:tr w:rsidR="00000000">
        <w:tblPrEx>
          <w:tblCellMar>
            <w:top w:w="0" w:type="dxa"/>
            <w:bottom w:w="0" w:type="dxa"/>
          </w:tblCellMar>
        </w:tblPrEx>
        <w:trPr>
          <w:cantSplit/>
        </w:trPr>
        <w:tc>
          <w:tcPr>
            <w:tcW w:w="1586" w:type="pct"/>
          </w:tcPr>
          <w:p w:rsidR="00000000" w:rsidRDefault="00000000">
            <w:pPr>
              <w:pStyle w:val="a2"/>
              <w:spacing w:line="336" w:lineRule="exact"/>
              <w:rPr>
                <w:snapToGrid/>
                <w:sz w:val="24"/>
              </w:rPr>
            </w:pPr>
            <w:r>
              <w:rPr>
                <w:rFonts w:hint="eastAsia"/>
                <w:snapToGrid/>
                <w:sz w:val="24"/>
              </w:rPr>
              <w:t>其他中国方言</w:t>
            </w:r>
          </w:p>
        </w:tc>
        <w:tc>
          <w:tcPr>
            <w:tcW w:w="885" w:type="pct"/>
          </w:tcPr>
          <w:p w:rsidR="00000000" w:rsidRDefault="00000000">
            <w:pPr>
              <w:pStyle w:val="a2"/>
              <w:tabs>
                <w:tab w:val="decimal" w:pos="1094"/>
              </w:tabs>
              <w:spacing w:line="336" w:lineRule="exact"/>
              <w:rPr>
                <w:snapToGrid/>
                <w:sz w:val="24"/>
              </w:rPr>
            </w:pPr>
            <w:r>
              <w:rPr>
                <w:snapToGrid/>
                <w:sz w:val="24"/>
              </w:rPr>
              <w:t>7.1</w:t>
            </w:r>
          </w:p>
        </w:tc>
        <w:tc>
          <w:tcPr>
            <w:tcW w:w="335" w:type="pct"/>
          </w:tcPr>
          <w:p w:rsidR="00000000" w:rsidRDefault="00000000">
            <w:pPr>
              <w:pStyle w:val="a2"/>
              <w:tabs>
                <w:tab w:val="decimal" w:pos="885"/>
              </w:tabs>
              <w:spacing w:line="336" w:lineRule="exact"/>
              <w:rPr>
                <w:snapToGrid/>
                <w:sz w:val="24"/>
              </w:rPr>
            </w:pPr>
          </w:p>
        </w:tc>
        <w:tc>
          <w:tcPr>
            <w:tcW w:w="774" w:type="pct"/>
          </w:tcPr>
          <w:p w:rsidR="00000000" w:rsidRDefault="00000000">
            <w:pPr>
              <w:pStyle w:val="a2"/>
              <w:tabs>
                <w:tab w:val="decimal" w:pos="989"/>
              </w:tabs>
              <w:spacing w:line="336" w:lineRule="exact"/>
              <w:rPr>
                <w:snapToGrid/>
                <w:sz w:val="24"/>
              </w:rPr>
            </w:pPr>
            <w:r>
              <w:rPr>
                <w:snapToGrid/>
                <w:sz w:val="24"/>
              </w:rPr>
              <w:t>5.8</w:t>
            </w:r>
          </w:p>
        </w:tc>
        <w:tc>
          <w:tcPr>
            <w:tcW w:w="324" w:type="pct"/>
          </w:tcPr>
          <w:p w:rsidR="00000000" w:rsidRDefault="00000000">
            <w:pPr>
              <w:pStyle w:val="a2"/>
              <w:tabs>
                <w:tab w:val="decimal" w:pos="885"/>
              </w:tabs>
              <w:spacing w:line="336" w:lineRule="exact"/>
              <w:rPr>
                <w:snapToGrid/>
                <w:sz w:val="24"/>
              </w:rPr>
            </w:pPr>
          </w:p>
        </w:tc>
        <w:tc>
          <w:tcPr>
            <w:tcW w:w="730" w:type="pct"/>
          </w:tcPr>
          <w:p w:rsidR="00000000" w:rsidRDefault="00000000">
            <w:pPr>
              <w:pStyle w:val="a2"/>
              <w:tabs>
                <w:tab w:val="decimal" w:pos="885"/>
              </w:tabs>
              <w:spacing w:line="336" w:lineRule="exact"/>
              <w:rPr>
                <w:rFonts w:hint="eastAsia"/>
                <w:snapToGrid/>
                <w:sz w:val="24"/>
              </w:rPr>
            </w:pPr>
            <w:r>
              <w:rPr>
                <w:snapToGrid/>
                <w:sz w:val="24"/>
              </w:rPr>
              <w:t>5.5</w:t>
            </w:r>
          </w:p>
        </w:tc>
        <w:tc>
          <w:tcPr>
            <w:tcW w:w="367" w:type="pct"/>
          </w:tcPr>
          <w:p w:rsidR="00000000" w:rsidRDefault="00000000">
            <w:pPr>
              <w:pStyle w:val="a2"/>
              <w:tabs>
                <w:tab w:val="decimal" w:pos="885"/>
              </w:tabs>
              <w:spacing w:line="336" w:lineRule="exact"/>
              <w:rPr>
                <w:rFonts w:hint="eastAsia"/>
                <w:snapToGrid/>
                <w:sz w:val="24"/>
              </w:rPr>
            </w:pPr>
          </w:p>
        </w:tc>
      </w:tr>
      <w:tr w:rsidR="00000000">
        <w:tblPrEx>
          <w:tblCellMar>
            <w:top w:w="0" w:type="dxa"/>
            <w:bottom w:w="0" w:type="dxa"/>
          </w:tblCellMar>
        </w:tblPrEx>
        <w:trPr>
          <w:cantSplit/>
        </w:trPr>
        <w:tc>
          <w:tcPr>
            <w:tcW w:w="1586" w:type="pct"/>
          </w:tcPr>
          <w:p w:rsidR="00000000" w:rsidRDefault="00000000">
            <w:pPr>
              <w:pStyle w:val="a2"/>
              <w:spacing w:line="336" w:lineRule="exact"/>
              <w:rPr>
                <w:snapToGrid/>
                <w:sz w:val="24"/>
              </w:rPr>
            </w:pPr>
            <w:r>
              <w:rPr>
                <w:rFonts w:hint="eastAsia"/>
                <w:snapToGrid/>
                <w:sz w:val="24"/>
              </w:rPr>
              <w:t>英语</w:t>
            </w:r>
          </w:p>
        </w:tc>
        <w:tc>
          <w:tcPr>
            <w:tcW w:w="885" w:type="pct"/>
          </w:tcPr>
          <w:p w:rsidR="00000000" w:rsidRDefault="00000000">
            <w:pPr>
              <w:pStyle w:val="a2"/>
              <w:tabs>
                <w:tab w:val="decimal" w:pos="1094"/>
              </w:tabs>
              <w:spacing w:line="336" w:lineRule="exact"/>
              <w:rPr>
                <w:snapToGrid/>
                <w:sz w:val="24"/>
              </w:rPr>
            </w:pPr>
            <w:r>
              <w:rPr>
                <w:snapToGrid/>
                <w:sz w:val="24"/>
              </w:rPr>
              <w:t>2.2</w:t>
            </w:r>
          </w:p>
        </w:tc>
        <w:tc>
          <w:tcPr>
            <w:tcW w:w="335" w:type="pct"/>
          </w:tcPr>
          <w:p w:rsidR="00000000" w:rsidRDefault="00000000">
            <w:pPr>
              <w:pStyle w:val="a2"/>
              <w:tabs>
                <w:tab w:val="decimal" w:pos="885"/>
              </w:tabs>
              <w:spacing w:line="336" w:lineRule="exact"/>
              <w:rPr>
                <w:snapToGrid/>
                <w:sz w:val="24"/>
              </w:rPr>
            </w:pPr>
          </w:p>
        </w:tc>
        <w:tc>
          <w:tcPr>
            <w:tcW w:w="774" w:type="pct"/>
          </w:tcPr>
          <w:p w:rsidR="00000000" w:rsidRDefault="00000000">
            <w:pPr>
              <w:pStyle w:val="a2"/>
              <w:tabs>
                <w:tab w:val="decimal" w:pos="989"/>
              </w:tabs>
              <w:spacing w:line="336" w:lineRule="exact"/>
              <w:rPr>
                <w:snapToGrid/>
                <w:sz w:val="24"/>
              </w:rPr>
            </w:pPr>
            <w:r>
              <w:rPr>
                <w:snapToGrid/>
                <w:sz w:val="24"/>
              </w:rPr>
              <w:t>3.1</w:t>
            </w:r>
          </w:p>
        </w:tc>
        <w:tc>
          <w:tcPr>
            <w:tcW w:w="324" w:type="pct"/>
          </w:tcPr>
          <w:p w:rsidR="00000000" w:rsidRDefault="00000000">
            <w:pPr>
              <w:pStyle w:val="a2"/>
              <w:tabs>
                <w:tab w:val="decimal" w:pos="885"/>
              </w:tabs>
              <w:spacing w:line="336" w:lineRule="exact"/>
              <w:rPr>
                <w:snapToGrid/>
                <w:sz w:val="24"/>
              </w:rPr>
            </w:pPr>
          </w:p>
        </w:tc>
        <w:tc>
          <w:tcPr>
            <w:tcW w:w="730" w:type="pct"/>
          </w:tcPr>
          <w:p w:rsidR="00000000" w:rsidRDefault="00000000">
            <w:pPr>
              <w:pStyle w:val="a2"/>
              <w:tabs>
                <w:tab w:val="decimal" w:pos="885"/>
              </w:tabs>
              <w:spacing w:line="336" w:lineRule="exact"/>
              <w:rPr>
                <w:rFonts w:hint="eastAsia"/>
                <w:snapToGrid/>
                <w:sz w:val="24"/>
              </w:rPr>
            </w:pPr>
            <w:r>
              <w:rPr>
                <w:snapToGrid/>
                <w:sz w:val="24"/>
              </w:rPr>
              <w:t>3.2</w:t>
            </w:r>
          </w:p>
        </w:tc>
        <w:tc>
          <w:tcPr>
            <w:tcW w:w="367" w:type="pct"/>
          </w:tcPr>
          <w:p w:rsidR="00000000" w:rsidRDefault="00000000">
            <w:pPr>
              <w:pStyle w:val="a2"/>
              <w:tabs>
                <w:tab w:val="decimal" w:pos="885"/>
              </w:tabs>
              <w:spacing w:line="336" w:lineRule="exact"/>
              <w:rPr>
                <w:snapToGrid/>
                <w:sz w:val="24"/>
              </w:rPr>
            </w:pPr>
          </w:p>
        </w:tc>
      </w:tr>
      <w:tr w:rsidR="00000000">
        <w:tblPrEx>
          <w:tblCellMar>
            <w:top w:w="0" w:type="dxa"/>
            <w:bottom w:w="0" w:type="dxa"/>
          </w:tblCellMar>
        </w:tblPrEx>
        <w:trPr>
          <w:cantSplit/>
        </w:trPr>
        <w:tc>
          <w:tcPr>
            <w:tcW w:w="1586" w:type="pct"/>
          </w:tcPr>
          <w:p w:rsidR="00000000" w:rsidRDefault="00000000">
            <w:pPr>
              <w:pStyle w:val="a2"/>
              <w:spacing w:after="120" w:line="336" w:lineRule="exact"/>
              <w:rPr>
                <w:snapToGrid/>
                <w:sz w:val="24"/>
              </w:rPr>
            </w:pPr>
            <w:r>
              <w:rPr>
                <w:rFonts w:hint="eastAsia"/>
                <w:snapToGrid/>
                <w:sz w:val="24"/>
              </w:rPr>
              <w:t>其他</w:t>
            </w:r>
          </w:p>
        </w:tc>
        <w:tc>
          <w:tcPr>
            <w:tcW w:w="885" w:type="pct"/>
            <w:tcBorders>
              <w:bottom w:val="single" w:sz="6" w:space="0" w:color="auto"/>
            </w:tcBorders>
          </w:tcPr>
          <w:p w:rsidR="00000000" w:rsidRDefault="00000000">
            <w:pPr>
              <w:pStyle w:val="a2"/>
              <w:tabs>
                <w:tab w:val="decimal" w:pos="1094"/>
              </w:tabs>
              <w:spacing w:after="120" w:line="336" w:lineRule="exact"/>
              <w:rPr>
                <w:snapToGrid/>
                <w:sz w:val="24"/>
              </w:rPr>
            </w:pPr>
            <w:r>
              <w:rPr>
                <w:snapToGrid/>
                <w:sz w:val="24"/>
              </w:rPr>
              <w:t>1.0</w:t>
            </w:r>
          </w:p>
        </w:tc>
        <w:tc>
          <w:tcPr>
            <w:tcW w:w="335" w:type="pct"/>
            <w:tcBorders>
              <w:bottom w:val="single" w:sz="6" w:space="0" w:color="auto"/>
            </w:tcBorders>
          </w:tcPr>
          <w:p w:rsidR="00000000" w:rsidRDefault="00000000">
            <w:pPr>
              <w:pStyle w:val="a2"/>
              <w:tabs>
                <w:tab w:val="decimal" w:pos="885"/>
              </w:tabs>
              <w:spacing w:after="120" w:line="336" w:lineRule="exact"/>
              <w:rPr>
                <w:snapToGrid/>
                <w:sz w:val="24"/>
              </w:rPr>
            </w:pPr>
          </w:p>
        </w:tc>
        <w:tc>
          <w:tcPr>
            <w:tcW w:w="774" w:type="pct"/>
            <w:tcBorders>
              <w:bottom w:val="single" w:sz="6" w:space="0" w:color="auto"/>
            </w:tcBorders>
          </w:tcPr>
          <w:p w:rsidR="00000000" w:rsidRDefault="00000000">
            <w:pPr>
              <w:pStyle w:val="a2"/>
              <w:tabs>
                <w:tab w:val="decimal" w:pos="989"/>
              </w:tabs>
              <w:spacing w:after="120" w:line="336" w:lineRule="exact"/>
              <w:rPr>
                <w:snapToGrid/>
                <w:sz w:val="24"/>
              </w:rPr>
            </w:pPr>
            <w:r>
              <w:rPr>
                <w:snapToGrid/>
                <w:sz w:val="24"/>
              </w:rPr>
              <w:t>1.3</w:t>
            </w:r>
          </w:p>
        </w:tc>
        <w:tc>
          <w:tcPr>
            <w:tcW w:w="324" w:type="pct"/>
            <w:tcBorders>
              <w:bottom w:val="single" w:sz="6" w:space="0" w:color="auto"/>
            </w:tcBorders>
          </w:tcPr>
          <w:p w:rsidR="00000000" w:rsidRDefault="00000000">
            <w:pPr>
              <w:pStyle w:val="a2"/>
              <w:tabs>
                <w:tab w:val="decimal" w:pos="885"/>
              </w:tabs>
              <w:spacing w:after="120" w:line="336" w:lineRule="exact"/>
              <w:rPr>
                <w:snapToGrid/>
                <w:sz w:val="24"/>
              </w:rPr>
            </w:pPr>
          </w:p>
        </w:tc>
        <w:tc>
          <w:tcPr>
            <w:tcW w:w="730" w:type="pct"/>
            <w:tcBorders>
              <w:bottom w:val="single" w:sz="4" w:space="0" w:color="auto"/>
            </w:tcBorders>
          </w:tcPr>
          <w:p w:rsidR="00000000" w:rsidRDefault="00000000">
            <w:pPr>
              <w:pStyle w:val="a2"/>
              <w:tabs>
                <w:tab w:val="decimal" w:pos="885"/>
              </w:tabs>
              <w:spacing w:after="120" w:line="336" w:lineRule="exact"/>
              <w:rPr>
                <w:rFonts w:hint="eastAsia"/>
                <w:snapToGrid/>
                <w:sz w:val="24"/>
              </w:rPr>
            </w:pPr>
            <w:r>
              <w:rPr>
                <w:snapToGrid/>
                <w:sz w:val="24"/>
              </w:rPr>
              <w:t>1.2</w:t>
            </w:r>
          </w:p>
        </w:tc>
        <w:tc>
          <w:tcPr>
            <w:tcW w:w="367" w:type="pct"/>
          </w:tcPr>
          <w:p w:rsidR="00000000" w:rsidRDefault="00000000">
            <w:pPr>
              <w:pStyle w:val="a2"/>
              <w:tabs>
                <w:tab w:val="decimal" w:pos="885"/>
              </w:tabs>
              <w:spacing w:after="120" w:line="336" w:lineRule="exact"/>
              <w:rPr>
                <w:snapToGrid/>
                <w:sz w:val="24"/>
              </w:rPr>
            </w:pPr>
          </w:p>
        </w:tc>
      </w:tr>
      <w:tr w:rsidR="00000000">
        <w:tblPrEx>
          <w:tblCellMar>
            <w:top w:w="0" w:type="dxa"/>
            <w:bottom w:w="0" w:type="dxa"/>
          </w:tblCellMar>
        </w:tblPrEx>
        <w:trPr>
          <w:cantSplit/>
        </w:trPr>
        <w:tc>
          <w:tcPr>
            <w:tcW w:w="1586" w:type="pct"/>
          </w:tcPr>
          <w:p w:rsidR="00000000" w:rsidRDefault="00000000">
            <w:pPr>
              <w:pStyle w:val="a2"/>
              <w:spacing w:line="336" w:lineRule="exact"/>
              <w:rPr>
                <w:snapToGrid/>
                <w:sz w:val="24"/>
              </w:rPr>
            </w:pPr>
          </w:p>
        </w:tc>
        <w:tc>
          <w:tcPr>
            <w:tcW w:w="885" w:type="pct"/>
          </w:tcPr>
          <w:p w:rsidR="00000000" w:rsidRDefault="00000000">
            <w:pPr>
              <w:pStyle w:val="a2"/>
              <w:tabs>
                <w:tab w:val="decimal" w:pos="1094"/>
              </w:tabs>
              <w:spacing w:line="336" w:lineRule="exact"/>
              <w:rPr>
                <w:snapToGrid/>
                <w:sz w:val="24"/>
              </w:rPr>
            </w:pPr>
            <w:r>
              <w:rPr>
                <w:snapToGrid/>
                <w:sz w:val="24"/>
              </w:rPr>
              <w:t>100.0</w:t>
            </w:r>
          </w:p>
        </w:tc>
        <w:tc>
          <w:tcPr>
            <w:tcW w:w="335" w:type="pct"/>
          </w:tcPr>
          <w:p w:rsidR="00000000" w:rsidRDefault="00000000">
            <w:pPr>
              <w:pStyle w:val="a2"/>
              <w:tabs>
                <w:tab w:val="decimal" w:pos="885"/>
              </w:tabs>
              <w:spacing w:line="336" w:lineRule="exact"/>
              <w:rPr>
                <w:snapToGrid/>
                <w:sz w:val="24"/>
              </w:rPr>
            </w:pPr>
          </w:p>
        </w:tc>
        <w:tc>
          <w:tcPr>
            <w:tcW w:w="774" w:type="pct"/>
          </w:tcPr>
          <w:p w:rsidR="00000000" w:rsidRDefault="00000000">
            <w:pPr>
              <w:pStyle w:val="a2"/>
              <w:tabs>
                <w:tab w:val="decimal" w:pos="989"/>
              </w:tabs>
              <w:spacing w:line="336" w:lineRule="exact"/>
              <w:rPr>
                <w:snapToGrid/>
                <w:sz w:val="24"/>
              </w:rPr>
            </w:pPr>
            <w:r>
              <w:rPr>
                <w:snapToGrid/>
                <w:sz w:val="24"/>
              </w:rPr>
              <w:t>100.0</w:t>
            </w:r>
          </w:p>
        </w:tc>
        <w:tc>
          <w:tcPr>
            <w:tcW w:w="324" w:type="pct"/>
          </w:tcPr>
          <w:p w:rsidR="00000000" w:rsidRDefault="00000000">
            <w:pPr>
              <w:pStyle w:val="a2"/>
              <w:tabs>
                <w:tab w:val="decimal" w:pos="885"/>
              </w:tabs>
              <w:spacing w:line="336" w:lineRule="exact"/>
              <w:rPr>
                <w:snapToGrid/>
                <w:sz w:val="24"/>
              </w:rPr>
            </w:pPr>
          </w:p>
        </w:tc>
        <w:tc>
          <w:tcPr>
            <w:tcW w:w="730" w:type="pct"/>
          </w:tcPr>
          <w:p w:rsidR="00000000" w:rsidRDefault="00000000">
            <w:pPr>
              <w:pStyle w:val="a2"/>
              <w:tabs>
                <w:tab w:val="decimal" w:pos="885"/>
              </w:tabs>
              <w:spacing w:line="336" w:lineRule="exact"/>
              <w:rPr>
                <w:snapToGrid/>
                <w:sz w:val="24"/>
              </w:rPr>
            </w:pPr>
            <w:r>
              <w:rPr>
                <w:snapToGrid/>
                <w:sz w:val="24"/>
              </w:rPr>
              <w:t>100.0</w:t>
            </w:r>
          </w:p>
        </w:tc>
        <w:tc>
          <w:tcPr>
            <w:tcW w:w="367" w:type="pct"/>
          </w:tcPr>
          <w:p w:rsidR="00000000" w:rsidRDefault="00000000">
            <w:pPr>
              <w:pStyle w:val="a2"/>
              <w:tabs>
                <w:tab w:val="decimal" w:pos="885"/>
              </w:tabs>
              <w:spacing w:line="336" w:lineRule="exact"/>
              <w:rPr>
                <w:snapToGrid/>
                <w:sz w:val="24"/>
              </w:rPr>
            </w:pP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napToGrid/>
        </w:rPr>
      </w:pPr>
    </w:p>
    <w:p w:rsidR="00000000" w:rsidRDefault="00000000">
      <w:pPr>
        <w:pStyle w:val="Heading4"/>
      </w:pPr>
      <w:r>
        <w:br w:type="page"/>
      </w:r>
      <w:r>
        <w:rPr>
          <w:rFonts w:hint="eastAsia"/>
        </w:rPr>
        <w:t>粗略出生及死亡率</w:t>
      </w:r>
    </w:p>
    <w:tbl>
      <w:tblPr>
        <w:tblW w:w="5000" w:type="pct"/>
        <w:tblCellMar>
          <w:left w:w="56" w:type="dxa"/>
          <w:right w:w="56" w:type="dxa"/>
        </w:tblCellMar>
        <w:tblLook w:val="0000" w:firstRow="0" w:lastRow="0" w:firstColumn="0" w:lastColumn="0" w:noHBand="0" w:noVBand="0"/>
      </w:tblPr>
      <w:tblGrid>
        <w:gridCol w:w="1525"/>
        <w:gridCol w:w="1134"/>
        <w:gridCol w:w="1134"/>
        <w:gridCol w:w="1136"/>
        <w:gridCol w:w="1134"/>
        <w:gridCol w:w="1136"/>
        <w:gridCol w:w="1134"/>
        <w:gridCol w:w="381"/>
        <w:gridCol w:w="752"/>
      </w:tblGrid>
      <w:tr w:rsidR="00000000">
        <w:tblPrEx>
          <w:tblCellMar>
            <w:top w:w="0" w:type="dxa"/>
            <w:bottom w:w="0" w:type="dxa"/>
          </w:tblCellMar>
        </w:tblPrEx>
        <w:tc>
          <w:tcPr>
            <w:tcW w:w="806" w:type="pct"/>
          </w:tcPr>
          <w:p w:rsidR="00000000" w:rsidRDefault="00000000">
            <w:pPr>
              <w:pStyle w:val="a2"/>
              <w:spacing w:before="120" w:after="120"/>
              <w:jc w:val="center"/>
              <w:rPr>
                <w:snapToGrid/>
              </w:rPr>
            </w:pPr>
          </w:p>
        </w:tc>
        <w:tc>
          <w:tcPr>
            <w:tcW w:w="599" w:type="pct"/>
          </w:tcPr>
          <w:p w:rsidR="00000000" w:rsidRDefault="00000000">
            <w:pPr>
              <w:pStyle w:val="a2"/>
              <w:spacing w:before="120" w:after="120"/>
              <w:jc w:val="center"/>
              <w:rPr>
                <w:snapToGrid/>
              </w:rPr>
            </w:pPr>
            <w:r>
              <w:rPr>
                <w:snapToGrid/>
                <w:u w:val="single"/>
              </w:rPr>
              <w:t>1987</w:t>
            </w:r>
            <w:r>
              <w:rPr>
                <w:rFonts w:hint="eastAsia"/>
                <w:snapToGrid/>
                <w:u w:val="single"/>
              </w:rPr>
              <w:t>年</w:t>
            </w:r>
          </w:p>
        </w:tc>
        <w:tc>
          <w:tcPr>
            <w:tcW w:w="599" w:type="pct"/>
          </w:tcPr>
          <w:p w:rsidR="00000000" w:rsidRDefault="00000000">
            <w:pPr>
              <w:pStyle w:val="a2"/>
              <w:spacing w:before="120" w:after="120"/>
              <w:jc w:val="center"/>
              <w:rPr>
                <w:snapToGrid/>
              </w:rPr>
            </w:pPr>
            <w:r>
              <w:rPr>
                <w:snapToGrid/>
                <w:u w:val="single"/>
              </w:rPr>
              <w:t>1992</w:t>
            </w:r>
            <w:r>
              <w:rPr>
                <w:rFonts w:hint="eastAsia"/>
                <w:snapToGrid/>
                <w:u w:val="single"/>
              </w:rPr>
              <w:t>年</w:t>
            </w:r>
          </w:p>
        </w:tc>
        <w:tc>
          <w:tcPr>
            <w:tcW w:w="600" w:type="pct"/>
          </w:tcPr>
          <w:p w:rsidR="00000000" w:rsidRDefault="00000000">
            <w:pPr>
              <w:pStyle w:val="a2"/>
              <w:spacing w:before="120" w:after="120"/>
              <w:jc w:val="center"/>
              <w:rPr>
                <w:snapToGrid/>
              </w:rPr>
            </w:pPr>
            <w:r>
              <w:rPr>
                <w:snapToGrid/>
                <w:u w:val="single"/>
              </w:rPr>
              <w:t>1998</w:t>
            </w:r>
            <w:r>
              <w:rPr>
                <w:rFonts w:hint="eastAsia"/>
                <w:snapToGrid/>
                <w:u w:val="single"/>
              </w:rPr>
              <w:t>年</w:t>
            </w:r>
          </w:p>
        </w:tc>
        <w:tc>
          <w:tcPr>
            <w:tcW w:w="599" w:type="pct"/>
          </w:tcPr>
          <w:p w:rsidR="00000000" w:rsidRDefault="00000000">
            <w:pPr>
              <w:pStyle w:val="a2"/>
              <w:spacing w:before="120" w:after="120"/>
              <w:jc w:val="center"/>
              <w:rPr>
                <w:snapToGrid/>
              </w:rPr>
            </w:pPr>
            <w:r>
              <w:rPr>
                <w:snapToGrid/>
                <w:u w:val="single"/>
              </w:rPr>
              <w:t>1999</w:t>
            </w:r>
            <w:r>
              <w:rPr>
                <w:rFonts w:hint="eastAsia"/>
                <w:snapToGrid/>
                <w:u w:val="single"/>
              </w:rPr>
              <w:t>年</w:t>
            </w:r>
          </w:p>
        </w:tc>
        <w:tc>
          <w:tcPr>
            <w:tcW w:w="600" w:type="pct"/>
          </w:tcPr>
          <w:p w:rsidR="00000000" w:rsidRDefault="00000000">
            <w:pPr>
              <w:pStyle w:val="a2"/>
              <w:spacing w:before="120" w:after="120"/>
              <w:jc w:val="center"/>
              <w:rPr>
                <w:snapToGrid/>
              </w:rPr>
            </w:pPr>
            <w:r>
              <w:rPr>
                <w:snapToGrid/>
                <w:u w:val="single"/>
              </w:rPr>
              <w:t>2000</w:t>
            </w:r>
            <w:r>
              <w:rPr>
                <w:rFonts w:hint="eastAsia"/>
                <w:snapToGrid/>
                <w:u w:val="single"/>
              </w:rPr>
              <w:t>年</w:t>
            </w:r>
          </w:p>
        </w:tc>
        <w:tc>
          <w:tcPr>
            <w:tcW w:w="599" w:type="pct"/>
          </w:tcPr>
          <w:p w:rsidR="00000000" w:rsidRDefault="00000000">
            <w:pPr>
              <w:pStyle w:val="a2"/>
              <w:spacing w:before="120" w:after="120"/>
              <w:jc w:val="center"/>
              <w:rPr>
                <w:snapToGrid/>
              </w:rPr>
            </w:pPr>
            <w:r>
              <w:rPr>
                <w:snapToGrid/>
                <w:u w:val="single"/>
              </w:rPr>
              <w:t>2001</w:t>
            </w:r>
            <w:r>
              <w:rPr>
                <w:rFonts w:hint="eastAsia"/>
                <w:snapToGrid/>
                <w:u w:val="single"/>
              </w:rPr>
              <w:t>年</w:t>
            </w:r>
          </w:p>
        </w:tc>
        <w:tc>
          <w:tcPr>
            <w:tcW w:w="598" w:type="pct"/>
            <w:gridSpan w:val="2"/>
          </w:tcPr>
          <w:p w:rsidR="00000000" w:rsidRDefault="00000000">
            <w:pPr>
              <w:pStyle w:val="a2"/>
              <w:spacing w:before="120" w:after="120"/>
              <w:jc w:val="center"/>
              <w:rPr>
                <w:rFonts w:hint="eastAsia"/>
                <w:snapToGrid/>
              </w:rPr>
            </w:pPr>
            <w:r>
              <w:rPr>
                <w:snapToGrid/>
                <w:u w:val="single"/>
              </w:rPr>
              <w:t>2002</w:t>
            </w:r>
            <w:r>
              <w:rPr>
                <w:rFonts w:hint="eastAsia"/>
                <w:snapToGrid/>
                <w:u w:val="single"/>
              </w:rPr>
              <w:t>年</w:t>
            </w:r>
            <w:r>
              <w:rPr>
                <w:snapToGrid/>
                <w:u w:val="single"/>
                <w:vertAlign w:val="superscript"/>
              </w:rPr>
              <w:t>#</w:t>
            </w:r>
          </w:p>
        </w:tc>
      </w:tr>
      <w:tr w:rsidR="00000000">
        <w:tblPrEx>
          <w:tblCellMar>
            <w:top w:w="0" w:type="dxa"/>
            <w:bottom w:w="0" w:type="dxa"/>
          </w:tblCellMar>
        </w:tblPrEx>
        <w:tc>
          <w:tcPr>
            <w:tcW w:w="806" w:type="pct"/>
            <w:vAlign w:val="center"/>
          </w:tcPr>
          <w:p w:rsidR="00000000" w:rsidRDefault="00000000">
            <w:pPr>
              <w:pStyle w:val="a2"/>
              <w:spacing w:before="120" w:after="80" w:line="240" w:lineRule="auto"/>
              <w:rPr>
                <w:rFonts w:hint="eastAsia"/>
                <w:snapToGrid/>
              </w:rPr>
            </w:pPr>
            <w:r>
              <w:rPr>
                <w:rFonts w:hint="eastAsia"/>
                <w:snapToGrid/>
              </w:rPr>
              <w:t>粗略出生率</w:t>
            </w:r>
            <w:r>
              <w:rPr>
                <w:snapToGrid/>
              </w:rPr>
              <w:br/>
              <w:t>(</w:t>
            </w:r>
            <w:r>
              <w:rPr>
                <w:rFonts w:hint="eastAsia"/>
                <w:snapToGrid/>
              </w:rPr>
              <w:t>每千人口</w:t>
            </w:r>
            <w:r>
              <w:rPr>
                <w:snapToGrid/>
              </w:rPr>
              <w:t>)</w:t>
            </w:r>
          </w:p>
        </w:tc>
        <w:tc>
          <w:tcPr>
            <w:tcW w:w="599" w:type="pct"/>
            <w:vAlign w:val="center"/>
          </w:tcPr>
          <w:p w:rsidR="00000000" w:rsidRDefault="00000000">
            <w:pPr>
              <w:pStyle w:val="a2"/>
              <w:tabs>
                <w:tab w:val="decimal" w:pos="575"/>
              </w:tabs>
              <w:spacing w:before="120" w:after="80" w:line="240" w:lineRule="auto"/>
              <w:rPr>
                <w:snapToGrid/>
              </w:rPr>
            </w:pPr>
            <w:r>
              <w:rPr>
                <w:snapToGrid/>
              </w:rPr>
              <w:t>12.6</w:t>
            </w:r>
          </w:p>
        </w:tc>
        <w:tc>
          <w:tcPr>
            <w:tcW w:w="599" w:type="pct"/>
            <w:vAlign w:val="center"/>
          </w:tcPr>
          <w:p w:rsidR="00000000" w:rsidRDefault="00000000">
            <w:pPr>
              <w:pStyle w:val="a2"/>
              <w:tabs>
                <w:tab w:val="decimal" w:pos="575"/>
              </w:tabs>
              <w:spacing w:before="120" w:after="80" w:line="240" w:lineRule="auto"/>
              <w:rPr>
                <w:snapToGrid/>
              </w:rPr>
            </w:pPr>
            <w:r>
              <w:rPr>
                <w:snapToGrid/>
              </w:rPr>
              <w:t>12.3</w:t>
            </w:r>
          </w:p>
        </w:tc>
        <w:tc>
          <w:tcPr>
            <w:tcW w:w="600" w:type="pct"/>
            <w:vAlign w:val="center"/>
          </w:tcPr>
          <w:p w:rsidR="00000000" w:rsidRDefault="00000000">
            <w:pPr>
              <w:pStyle w:val="a2"/>
              <w:tabs>
                <w:tab w:val="decimal" w:pos="575"/>
              </w:tabs>
              <w:spacing w:before="120" w:after="80" w:line="240" w:lineRule="auto"/>
              <w:rPr>
                <w:rFonts w:hint="eastAsia"/>
                <w:snapToGrid/>
              </w:rPr>
            </w:pPr>
            <w:r>
              <w:rPr>
                <w:snapToGrid/>
              </w:rPr>
              <w:t>8.1</w:t>
            </w:r>
          </w:p>
        </w:tc>
        <w:tc>
          <w:tcPr>
            <w:tcW w:w="599" w:type="pct"/>
            <w:vAlign w:val="center"/>
          </w:tcPr>
          <w:p w:rsidR="00000000" w:rsidRDefault="00000000">
            <w:pPr>
              <w:pStyle w:val="a2"/>
              <w:tabs>
                <w:tab w:val="decimal" w:pos="575"/>
              </w:tabs>
              <w:spacing w:before="120" w:after="80" w:line="240" w:lineRule="auto"/>
              <w:rPr>
                <w:rFonts w:hint="eastAsia"/>
                <w:snapToGrid/>
              </w:rPr>
            </w:pPr>
            <w:r>
              <w:rPr>
                <w:snapToGrid/>
              </w:rPr>
              <w:t>7.8</w:t>
            </w:r>
          </w:p>
        </w:tc>
        <w:tc>
          <w:tcPr>
            <w:tcW w:w="600" w:type="pct"/>
            <w:vAlign w:val="center"/>
          </w:tcPr>
          <w:p w:rsidR="00000000" w:rsidRDefault="00000000">
            <w:pPr>
              <w:pStyle w:val="a2"/>
              <w:tabs>
                <w:tab w:val="decimal" w:pos="575"/>
              </w:tabs>
              <w:spacing w:before="120" w:after="80" w:line="240" w:lineRule="auto"/>
              <w:rPr>
                <w:rFonts w:hint="eastAsia"/>
                <w:snapToGrid/>
              </w:rPr>
            </w:pPr>
            <w:r>
              <w:rPr>
                <w:snapToGrid/>
              </w:rPr>
              <w:t>8.1</w:t>
            </w:r>
          </w:p>
        </w:tc>
        <w:tc>
          <w:tcPr>
            <w:tcW w:w="599" w:type="pct"/>
            <w:vAlign w:val="center"/>
          </w:tcPr>
          <w:p w:rsidR="00000000" w:rsidRDefault="00000000">
            <w:pPr>
              <w:pStyle w:val="a2"/>
              <w:tabs>
                <w:tab w:val="decimal" w:pos="575"/>
              </w:tabs>
              <w:spacing w:before="120" w:after="80" w:line="240" w:lineRule="auto"/>
              <w:rPr>
                <w:rFonts w:hint="eastAsia"/>
                <w:snapToGrid/>
              </w:rPr>
            </w:pPr>
            <w:r>
              <w:rPr>
                <w:snapToGrid/>
              </w:rPr>
              <w:t>7.2</w:t>
            </w:r>
          </w:p>
        </w:tc>
        <w:tc>
          <w:tcPr>
            <w:tcW w:w="598" w:type="pct"/>
            <w:gridSpan w:val="2"/>
            <w:vAlign w:val="center"/>
          </w:tcPr>
          <w:p w:rsidR="00000000" w:rsidRDefault="00000000">
            <w:pPr>
              <w:pStyle w:val="a2"/>
              <w:tabs>
                <w:tab w:val="decimal" w:pos="575"/>
              </w:tabs>
              <w:spacing w:before="120" w:after="80" w:line="240" w:lineRule="auto"/>
              <w:rPr>
                <w:rFonts w:hint="eastAsia"/>
                <w:snapToGrid/>
              </w:rPr>
            </w:pPr>
            <w:r>
              <w:rPr>
                <w:snapToGrid/>
              </w:rPr>
              <w:t>7.1</w:t>
            </w:r>
          </w:p>
        </w:tc>
      </w:tr>
      <w:tr w:rsidR="00000000">
        <w:tblPrEx>
          <w:tblCellMar>
            <w:top w:w="0" w:type="dxa"/>
            <w:bottom w:w="0" w:type="dxa"/>
          </w:tblCellMar>
        </w:tblPrEx>
        <w:tc>
          <w:tcPr>
            <w:tcW w:w="806" w:type="pct"/>
            <w:vAlign w:val="center"/>
          </w:tcPr>
          <w:p w:rsidR="00000000" w:rsidRDefault="00000000">
            <w:pPr>
              <w:pStyle w:val="a2"/>
              <w:spacing w:after="80" w:line="240" w:lineRule="auto"/>
              <w:rPr>
                <w:snapToGrid/>
              </w:rPr>
            </w:pPr>
            <w:r>
              <w:rPr>
                <w:rFonts w:hint="eastAsia"/>
                <w:snapToGrid/>
              </w:rPr>
              <w:t>粗略死亡率</w:t>
            </w:r>
            <w:r>
              <w:rPr>
                <w:snapToGrid/>
              </w:rPr>
              <w:br/>
              <w:t>(</w:t>
            </w:r>
            <w:r>
              <w:rPr>
                <w:rFonts w:hint="eastAsia"/>
                <w:snapToGrid/>
              </w:rPr>
              <w:t>每千人口</w:t>
            </w:r>
            <w:r>
              <w:rPr>
                <w:snapToGrid/>
              </w:rPr>
              <w:t>)</w:t>
            </w:r>
          </w:p>
        </w:tc>
        <w:tc>
          <w:tcPr>
            <w:tcW w:w="599" w:type="pct"/>
            <w:vAlign w:val="center"/>
          </w:tcPr>
          <w:p w:rsidR="00000000" w:rsidRDefault="00000000">
            <w:pPr>
              <w:pStyle w:val="a2"/>
              <w:tabs>
                <w:tab w:val="decimal" w:pos="575"/>
              </w:tabs>
              <w:spacing w:after="80" w:line="240" w:lineRule="auto"/>
              <w:rPr>
                <w:snapToGrid/>
              </w:rPr>
            </w:pPr>
            <w:r>
              <w:rPr>
                <w:snapToGrid/>
              </w:rPr>
              <w:t>4.8</w:t>
            </w:r>
          </w:p>
        </w:tc>
        <w:tc>
          <w:tcPr>
            <w:tcW w:w="599" w:type="pct"/>
            <w:vAlign w:val="center"/>
          </w:tcPr>
          <w:p w:rsidR="00000000" w:rsidRDefault="00000000">
            <w:pPr>
              <w:pStyle w:val="a2"/>
              <w:tabs>
                <w:tab w:val="decimal" w:pos="575"/>
              </w:tabs>
              <w:spacing w:after="80" w:line="240" w:lineRule="auto"/>
              <w:rPr>
                <w:snapToGrid/>
              </w:rPr>
            </w:pPr>
            <w:r>
              <w:rPr>
                <w:snapToGrid/>
              </w:rPr>
              <w:t>5.3</w:t>
            </w:r>
          </w:p>
        </w:tc>
        <w:tc>
          <w:tcPr>
            <w:tcW w:w="600" w:type="pct"/>
            <w:vAlign w:val="center"/>
          </w:tcPr>
          <w:p w:rsidR="00000000" w:rsidRDefault="00000000">
            <w:pPr>
              <w:pStyle w:val="a2"/>
              <w:tabs>
                <w:tab w:val="decimal" w:pos="575"/>
              </w:tabs>
              <w:spacing w:after="80" w:line="240" w:lineRule="auto"/>
              <w:rPr>
                <w:rFonts w:hint="eastAsia"/>
                <w:snapToGrid/>
              </w:rPr>
            </w:pPr>
            <w:r>
              <w:rPr>
                <w:snapToGrid/>
              </w:rPr>
              <w:t>5.0</w:t>
            </w:r>
          </w:p>
        </w:tc>
        <w:tc>
          <w:tcPr>
            <w:tcW w:w="599" w:type="pct"/>
            <w:vAlign w:val="center"/>
          </w:tcPr>
          <w:p w:rsidR="00000000" w:rsidRDefault="00000000">
            <w:pPr>
              <w:pStyle w:val="a2"/>
              <w:tabs>
                <w:tab w:val="decimal" w:pos="575"/>
              </w:tabs>
              <w:spacing w:after="80" w:line="240" w:lineRule="auto"/>
              <w:rPr>
                <w:rFonts w:hint="eastAsia"/>
                <w:snapToGrid/>
              </w:rPr>
            </w:pPr>
            <w:r>
              <w:rPr>
                <w:snapToGrid/>
              </w:rPr>
              <w:t>5.0</w:t>
            </w:r>
          </w:p>
        </w:tc>
        <w:tc>
          <w:tcPr>
            <w:tcW w:w="600" w:type="pct"/>
            <w:vAlign w:val="center"/>
          </w:tcPr>
          <w:p w:rsidR="00000000" w:rsidRDefault="00000000">
            <w:pPr>
              <w:pStyle w:val="a2"/>
              <w:tabs>
                <w:tab w:val="decimal" w:pos="575"/>
              </w:tabs>
              <w:spacing w:after="80" w:line="240" w:lineRule="auto"/>
              <w:rPr>
                <w:rFonts w:hint="eastAsia"/>
                <w:snapToGrid/>
              </w:rPr>
            </w:pPr>
            <w:r>
              <w:rPr>
                <w:snapToGrid/>
              </w:rPr>
              <w:t>5.1</w:t>
            </w:r>
          </w:p>
        </w:tc>
        <w:tc>
          <w:tcPr>
            <w:tcW w:w="599" w:type="pct"/>
            <w:vAlign w:val="center"/>
          </w:tcPr>
          <w:p w:rsidR="00000000" w:rsidRDefault="00000000">
            <w:pPr>
              <w:pStyle w:val="a2"/>
              <w:tabs>
                <w:tab w:val="decimal" w:pos="575"/>
              </w:tabs>
              <w:spacing w:after="80" w:line="240" w:lineRule="auto"/>
              <w:rPr>
                <w:rFonts w:hint="eastAsia"/>
                <w:snapToGrid/>
              </w:rPr>
            </w:pPr>
            <w:r>
              <w:rPr>
                <w:snapToGrid/>
              </w:rPr>
              <w:t>5.0</w:t>
            </w:r>
          </w:p>
        </w:tc>
        <w:tc>
          <w:tcPr>
            <w:tcW w:w="598" w:type="pct"/>
            <w:gridSpan w:val="2"/>
            <w:vAlign w:val="center"/>
          </w:tcPr>
          <w:p w:rsidR="00000000" w:rsidRDefault="00000000">
            <w:pPr>
              <w:pStyle w:val="a2"/>
              <w:tabs>
                <w:tab w:val="decimal" w:pos="575"/>
              </w:tabs>
              <w:spacing w:after="80" w:line="240" w:lineRule="auto"/>
              <w:rPr>
                <w:rFonts w:hint="eastAsia"/>
                <w:snapToGrid/>
              </w:rPr>
            </w:pPr>
            <w:r>
              <w:rPr>
                <w:snapToGrid/>
              </w:rPr>
              <w:t>5.0</w:t>
            </w:r>
          </w:p>
        </w:tc>
      </w:tr>
      <w:tr w:rsidR="00000000">
        <w:tblPrEx>
          <w:tblCellMar>
            <w:top w:w="0" w:type="dxa"/>
            <w:bottom w:w="0" w:type="dxa"/>
          </w:tblCellMar>
        </w:tblPrEx>
        <w:trPr>
          <w:gridAfter w:val="1"/>
          <w:wAfter w:w="397" w:type="pct"/>
          <w:cantSplit/>
        </w:trPr>
        <w:tc>
          <w:tcPr>
            <w:tcW w:w="4603" w:type="pct"/>
            <w:gridSpan w:val="8"/>
          </w:tcPr>
          <w:p w:rsidR="00000000" w:rsidRDefault="00000000">
            <w:pPr>
              <w:pStyle w:val="a2"/>
              <w:rPr>
                <w:rFonts w:hint="eastAsia"/>
                <w:snapToGrid/>
              </w:rPr>
            </w:pPr>
            <w:r>
              <w:rPr>
                <w:snapToGrid/>
              </w:rPr>
              <w:tab/>
              <w:t xml:space="preserve">#  </w:t>
            </w:r>
            <w:r>
              <w:rPr>
                <w:rFonts w:hint="eastAsia"/>
                <w:snapToGrid/>
              </w:rPr>
              <w:t>临时数字</w:t>
            </w: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b/>
          <w:snapToGrid/>
        </w:rPr>
      </w:pPr>
    </w:p>
    <w:p w:rsidR="00000000" w:rsidRDefault="00000000">
      <w:pPr>
        <w:pStyle w:val="Heading4"/>
      </w:pPr>
      <w:r>
        <w:rPr>
          <w:rFonts w:hint="eastAsia"/>
        </w:rPr>
        <w:t>出生时平均预期寿命</w:t>
      </w:r>
      <w:r>
        <w:t>(</w:t>
      </w:r>
      <w:r>
        <w:rPr>
          <w:rFonts w:hint="eastAsia"/>
        </w:rPr>
        <w:t>岁数</w:t>
      </w:r>
      <w:r>
        <w:t>)</w:t>
      </w:r>
    </w:p>
    <w:tbl>
      <w:tblPr>
        <w:tblW w:w="5000" w:type="pct"/>
        <w:tblCellMar>
          <w:left w:w="56" w:type="dxa"/>
          <w:right w:w="56" w:type="dxa"/>
        </w:tblCellMar>
        <w:tblLook w:val="0000" w:firstRow="0" w:lastRow="0" w:firstColumn="0" w:lastColumn="0" w:noHBand="0" w:noVBand="0"/>
      </w:tblPr>
      <w:tblGrid>
        <w:gridCol w:w="808"/>
        <w:gridCol w:w="1208"/>
        <w:gridCol w:w="1208"/>
        <w:gridCol w:w="1208"/>
        <w:gridCol w:w="1208"/>
        <w:gridCol w:w="1208"/>
        <w:gridCol w:w="1208"/>
        <w:gridCol w:w="1410"/>
      </w:tblGrid>
      <w:tr w:rsidR="00000000">
        <w:tblPrEx>
          <w:tblCellMar>
            <w:top w:w="0" w:type="dxa"/>
            <w:bottom w:w="0" w:type="dxa"/>
          </w:tblCellMar>
        </w:tblPrEx>
        <w:tc>
          <w:tcPr>
            <w:tcW w:w="426" w:type="pct"/>
          </w:tcPr>
          <w:p w:rsidR="00000000" w:rsidRDefault="00000000">
            <w:pPr>
              <w:pStyle w:val="a2"/>
              <w:spacing w:before="120" w:after="80"/>
              <w:jc w:val="center"/>
              <w:rPr>
                <w:snapToGrid/>
                <w:u w:val="single"/>
              </w:rPr>
            </w:pPr>
            <w:r>
              <w:rPr>
                <w:rFonts w:hint="eastAsia"/>
                <w:snapToGrid/>
                <w:u w:val="single"/>
              </w:rPr>
              <w:t>性别</w:t>
            </w:r>
          </w:p>
        </w:tc>
        <w:tc>
          <w:tcPr>
            <w:tcW w:w="638" w:type="pct"/>
          </w:tcPr>
          <w:p w:rsidR="00000000" w:rsidRDefault="00000000">
            <w:pPr>
              <w:pStyle w:val="a2"/>
              <w:spacing w:before="120" w:after="80"/>
              <w:jc w:val="center"/>
              <w:rPr>
                <w:snapToGrid/>
                <w:u w:val="single"/>
              </w:rPr>
            </w:pPr>
            <w:r>
              <w:rPr>
                <w:snapToGrid/>
                <w:u w:val="single"/>
              </w:rPr>
              <w:t>1987</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1992</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1998</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1999</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2000</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2001</w:t>
            </w:r>
            <w:r>
              <w:rPr>
                <w:rFonts w:hint="eastAsia"/>
                <w:snapToGrid/>
                <w:u w:val="single"/>
              </w:rPr>
              <w:t>年</w:t>
            </w:r>
          </w:p>
        </w:tc>
        <w:tc>
          <w:tcPr>
            <w:tcW w:w="745" w:type="pct"/>
          </w:tcPr>
          <w:p w:rsidR="00000000" w:rsidRDefault="00000000">
            <w:pPr>
              <w:pStyle w:val="a2"/>
              <w:spacing w:before="120" w:after="80"/>
              <w:jc w:val="center"/>
              <w:rPr>
                <w:rFonts w:hint="eastAsia"/>
                <w:snapToGrid/>
                <w:u w:val="single"/>
              </w:rPr>
            </w:pPr>
            <w:r>
              <w:rPr>
                <w:snapToGrid/>
                <w:u w:val="single"/>
              </w:rPr>
              <w:t>2002</w:t>
            </w:r>
            <w:r>
              <w:rPr>
                <w:rFonts w:hint="eastAsia"/>
                <w:snapToGrid/>
                <w:u w:val="single"/>
              </w:rPr>
              <w:t>年</w:t>
            </w:r>
            <w:r>
              <w:rPr>
                <w:snapToGrid/>
                <w:vertAlign w:val="superscript"/>
              </w:rPr>
              <w:t>#</w:t>
            </w:r>
          </w:p>
        </w:tc>
      </w:tr>
      <w:tr w:rsidR="00000000">
        <w:tblPrEx>
          <w:tblCellMar>
            <w:top w:w="0" w:type="dxa"/>
            <w:bottom w:w="0" w:type="dxa"/>
          </w:tblCellMar>
        </w:tblPrEx>
        <w:tc>
          <w:tcPr>
            <w:tcW w:w="426" w:type="pct"/>
          </w:tcPr>
          <w:p w:rsidR="00000000" w:rsidRDefault="00000000">
            <w:pPr>
              <w:pStyle w:val="a2"/>
              <w:spacing w:before="80"/>
              <w:rPr>
                <w:snapToGrid/>
              </w:rPr>
            </w:pPr>
            <w:r>
              <w:rPr>
                <w:rFonts w:hint="eastAsia"/>
                <w:snapToGrid/>
              </w:rPr>
              <w:t>男</w:t>
            </w:r>
          </w:p>
        </w:tc>
        <w:tc>
          <w:tcPr>
            <w:tcW w:w="638" w:type="pct"/>
          </w:tcPr>
          <w:p w:rsidR="00000000" w:rsidRDefault="00000000">
            <w:pPr>
              <w:pStyle w:val="a2"/>
              <w:tabs>
                <w:tab w:val="decimal" w:pos="662"/>
              </w:tabs>
              <w:spacing w:before="80"/>
              <w:rPr>
                <w:snapToGrid/>
              </w:rPr>
            </w:pPr>
            <w:r>
              <w:rPr>
                <w:snapToGrid/>
              </w:rPr>
              <w:t>74.2</w:t>
            </w:r>
          </w:p>
        </w:tc>
        <w:tc>
          <w:tcPr>
            <w:tcW w:w="638" w:type="pct"/>
          </w:tcPr>
          <w:p w:rsidR="00000000" w:rsidRDefault="00000000">
            <w:pPr>
              <w:pStyle w:val="a2"/>
              <w:tabs>
                <w:tab w:val="decimal" w:pos="662"/>
              </w:tabs>
              <w:spacing w:before="80"/>
              <w:rPr>
                <w:snapToGrid/>
              </w:rPr>
            </w:pPr>
            <w:r>
              <w:rPr>
                <w:snapToGrid/>
              </w:rPr>
              <w:t>74.8</w:t>
            </w:r>
          </w:p>
        </w:tc>
        <w:tc>
          <w:tcPr>
            <w:tcW w:w="638" w:type="pct"/>
          </w:tcPr>
          <w:p w:rsidR="00000000" w:rsidRDefault="00000000">
            <w:pPr>
              <w:pStyle w:val="a2"/>
              <w:tabs>
                <w:tab w:val="decimal" w:pos="662"/>
              </w:tabs>
              <w:spacing w:before="80"/>
              <w:rPr>
                <w:rFonts w:hint="eastAsia"/>
                <w:snapToGrid/>
              </w:rPr>
            </w:pPr>
            <w:r>
              <w:rPr>
                <w:snapToGrid/>
              </w:rPr>
              <w:t>77.4</w:t>
            </w:r>
          </w:p>
        </w:tc>
        <w:tc>
          <w:tcPr>
            <w:tcW w:w="638" w:type="pct"/>
          </w:tcPr>
          <w:p w:rsidR="00000000" w:rsidRDefault="00000000">
            <w:pPr>
              <w:pStyle w:val="a2"/>
              <w:tabs>
                <w:tab w:val="decimal" w:pos="662"/>
              </w:tabs>
              <w:spacing w:before="80"/>
              <w:rPr>
                <w:rFonts w:hint="eastAsia"/>
                <w:snapToGrid/>
              </w:rPr>
            </w:pPr>
            <w:r>
              <w:rPr>
                <w:snapToGrid/>
              </w:rPr>
              <w:t>77.7</w:t>
            </w:r>
          </w:p>
        </w:tc>
        <w:tc>
          <w:tcPr>
            <w:tcW w:w="638" w:type="pct"/>
          </w:tcPr>
          <w:p w:rsidR="00000000" w:rsidRDefault="00000000">
            <w:pPr>
              <w:pStyle w:val="a2"/>
              <w:tabs>
                <w:tab w:val="decimal" w:pos="662"/>
              </w:tabs>
              <w:spacing w:before="80"/>
              <w:rPr>
                <w:rFonts w:hint="eastAsia"/>
                <w:snapToGrid/>
              </w:rPr>
            </w:pPr>
            <w:r>
              <w:rPr>
                <w:snapToGrid/>
              </w:rPr>
              <w:t>78.0</w:t>
            </w:r>
          </w:p>
        </w:tc>
        <w:tc>
          <w:tcPr>
            <w:tcW w:w="638" w:type="pct"/>
          </w:tcPr>
          <w:p w:rsidR="00000000" w:rsidRDefault="00000000">
            <w:pPr>
              <w:pStyle w:val="a2"/>
              <w:tabs>
                <w:tab w:val="decimal" w:pos="662"/>
              </w:tabs>
              <w:spacing w:before="80"/>
              <w:rPr>
                <w:rFonts w:hint="eastAsia"/>
                <w:snapToGrid/>
              </w:rPr>
            </w:pPr>
            <w:r>
              <w:rPr>
                <w:snapToGrid/>
              </w:rPr>
              <w:t>78.4</w:t>
            </w:r>
          </w:p>
        </w:tc>
        <w:tc>
          <w:tcPr>
            <w:tcW w:w="745" w:type="pct"/>
          </w:tcPr>
          <w:p w:rsidR="00000000" w:rsidRDefault="00000000">
            <w:pPr>
              <w:pStyle w:val="a2"/>
              <w:tabs>
                <w:tab w:val="decimal" w:pos="662"/>
              </w:tabs>
              <w:spacing w:before="80"/>
              <w:rPr>
                <w:rFonts w:hint="eastAsia"/>
                <w:snapToGrid/>
              </w:rPr>
            </w:pPr>
            <w:r>
              <w:rPr>
                <w:snapToGrid/>
              </w:rPr>
              <w:t>78.7</w:t>
            </w:r>
          </w:p>
        </w:tc>
      </w:tr>
      <w:tr w:rsidR="00000000">
        <w:tblPrEx>
          <w:tblCellMar>
            <w:top w:w="0" w:type="dxa"/>
            <w:bottom w:w="0" w:type="dxa"/>
          </w:tblCellMar>
        </w:tblPrEx>
        <w:tc>
          <w:tcPr>
            <w:tcW w:w="426" w:type="pct"/>
          </w:tcPr>
          <w:p w:rsidR="00000000" w:rsidRDefault="00000000">
            <w:pPr>
              <w:pStyle w:val="a2"/>
              <w:rPr>
                <w:snapToGrid/>
              </w:rPr>
            </w:pPr>
            <w:r>
              <w:rPr>
                <w:rFonts w:hint="eastAsia"/>
                <w:snapToGrid/>
              </w:rPr>
              <w:t>女</w:t>
            </w:r>
          </w:p>
        </w:tc>
        <w:tc>
          <w:tcPr>
            <w:tcW w:w="638" w:type="pct"/>
          </w:tcPr>
          <w:p w:rsidR="00000000" w:rsidRDefault="00000000">
            <w:pPr>
              <w:pStyle w:val="a2"/>
              <w:tabs>
                <w:tab w:val="decimal" w:pos="662"/>
              </w:tabs>
              <w:rPr>
                <w:snapToGrid/>
              </w:rPr>
            </w:pPr>
            <w:r>
              <w:rPr>
                <w:snapToGrid/>
              </w:rPr>
              <w:t>79.7</w:t>
            </w:r>
          </w:p>
        </w:tc>
        <w:tc>
          <w:tcPr>
            <w:tcW w:w="638" w:type="pct"/>
          </w:tcPr>
          <w:p w:rsidR="00000000" w:rsidRDefault="00000000">
            <w:pPr>
              <w:pStyle w:val="a2"/>
              <w:tabs>
                <w:tab w:val="decimal" w:pos="662"/>
              </w:tabs>
              <w:rPr>
                <w:snapToGrid/>
              </w:rPr>
            </w:pPr>
            <w:r>
              <w:rPr>
                <w:snapToGrid/>
              </w:rPr>
              <w:t>80.7</w:t>
            </w:r>
          </w:p>
        </w:tc>
        <w:tc>
          <w:tcPr>
            <w:tcW w:w="638" w:type="pct"/>
          </w:tcPr>
          <w:p w:rsidR="00000000" w:rsidRDefault="00000000">
            <w:pPr>
              <w:pStyle w:val="a2"/>
              <w:tabs>
                <w:tab w:val="decimal" w:pos="662"/>
              </w:tabs>
              <w:rPr>
                <w:rFonts w:hint="eastAsia"/>
                <w:snapToGrid/>
              </w:rPr>
            </w:pPr>
            <w:r>
              <w:rPr>
                <w:snapToGrid/>
              </w:rPr>
              <w:t>83.0</w:t>
            </w:r>
          </w:p>
        </w:tc>
        <w:tc>
          <w:tcPr>
            <w:tcW w:w="638" w:type="pct"/>
          </w:tcPr>
          <w:p w:rsidR="00000000" w:rsidRDefault="00000000">
            <w:pPr>
              <w:pStyle w:val="a2"/>
              <w:tabs>
                <w:tab w:val="decimal" w:pos="662"/>
              </w:tabs>
              <w:rPr>
                <w:rFonts w:hint="eastAsia"/>
                <w:snapToGrid/>
              </w:rPr>
            </w:pPr>
            <w:r>
              <w:rPr>
                <w:snapToGrid/>
              </w:rPr>
              <w:t>83.2</w:t>
            </w:r>
          </w:p>
        </w:tc>
        <w:tc>
          <w:tcPr>
            <w:tcW w:w="638" w:type="pct"/>
          </w:tcPr>
          <w:p w:rsidR="00000000" w:rsidRDefault="00000000">
            <w:pPr>
              <w:pStyle w:val="a2"/>
              <w:tabs>
                <w:tab w:val="decimal" w:pos="662"/>
              </w:tabs>
              <w:rPr>
                <w:rFonts w:hint="eastAsia"/>
                <w:snapToGrid/>
              </w:rPr>
            </w:pPr>
            <w:r>
              <w:rPr>
                <w:snapToGrid/>
              </w:rPr>
              <w:t>83.9</w:t>
            </w:r>
          </w:p>
        </w:tc>
        <w:tc>
          <w:tcPr>
            <w:tcW w:w="638" w:type="pct"/>
          </w:tcPr>
          <w:p w:rsidR="00000000" w:rsidRDefault="00000000">
            <w:pPr>
              <w:pStyle w:val="a2"/>
              <w:tabs>
                <w:tab w:val="decimal" w:pos="662"/>
              </w:tabs>
              <w:rPr>
                <w:rFonts w:hint="eastAsia"/>
                <w:snapToGrid/>
              </w:rPr>
            </w:pPr>
            <w:r>
              <w:rPr>
                <w:snapToGrid/>
              </w:rPr>
              <w:t>84.6</w:t>
            </w:r>
          </w:p>
        </w:tc>
        <w:tc>
          <w:tcPr>
            <w:tcW w:w="745" w:type="pct"/>
          </w:tcPr>
          <w:p w:rsidR="00000000" w:rsidRDefault="00000000">
            <w:pPr>
              <w:pStyle w:val="a2"/>
              <w:tabs>
                <w:tab w:val="decimal" w:pos="662"/>
              </w:tabs>
              <w:spacing w:after="160"/>
              <w:rPr>
                <w:rFonts w:hint="eastAsia"/>
                <w:snapToGrid/>
              </w:rPr>
            </w:pPr>
            <w:r>
              <w:rPr>
                <w:snapToGrid/>
              </w:rPr>
              <w:t>84.7</w:t>
            </w:r>
          </w:p>
        </w:tc>
      </w:tr>
    </w:tbl>
    <w:p w:rsidR="00000000" w:rsidRDefault="00000000">
      <w:pPr>
        <w:pStyle w:val="a2"/>
        <w:spacing w:before="160"/>
        <w:rPr>
          <w:snapToGrid/>
        </w:rPr>
      </w:pPr>
      <w:r>
        <w:rPr>
          <w:snapToGrid/>
        </w:rPr>
        <w:tab/>
        <w:t xml:space="preserve">#  </w:t>
      </w:r>
      <w:r>
        <w:rPr>
          <w:rFonts w:hint="eastAsia"/>
          <w:snapToGrid/>
        </w:rPr>
        <w:t>临时数字</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napToGrid/>
        </w:rPr>
      </w:pPr>
    </w:p>
    <w:p w:rsidR="00000000" w:rsidRDefault="00000000">
      <w:pPr>
        <w:pStyle w:val="Heading4"/>
      </w:pPr>
      <w:r>
        <w:rPr>
          <w:rFonts w:hint="eastAsia"/>
        </w:rPr>
        <w:t>婴儿夭折率</w:t>
      </w:r>
      <w:r>
        <w:t>(</w:t>
      </w:r>
      <w:r>
        <w:rPr>
          <w:rFonts w:hint="eastAsia"/>
        </w:rPr>
        <w:t>每千名活产婴儿计</w:t>
      </w:r>
      <w:r>
        <w:t>)</w:t>
      </w:r>
    </w:p>
    <w:tbl>
      <w:tblPr>
        <w:tblW w:w="5000" w:type="pct"/>
        <w:tblCellMar>
          <w:left w:w="56" w:type="dxa"/>
          <w:right w:w="56" w:type="dxa"/>
        </w:tblCellMar>
        <w:tblLook w:val="0000" w:firstRow="0" w:lastRow="0" w:firstColumn="0" w:lastColumn="0" w:noHBand="0" w:noVBand="0"/>
      </w:tblPr>
      <w:tblGrid>
        <w:gridCol w:w="806"/>
        <w:gridCol w:w="1208"/>
        <w:gridCol w:w="1208"/>
        <w:gridCol w:w="1208"/>
        <w:gridCol w:w="1208"/>
        <w:gridCol w:w="1208"/>
        <w:gridCol w:w="1208"/>
        <w:gridCol w:w="1412"/>
      </w:tblGrid>
      <w:tr w:rsidR="00000000">
        <w:tblPrEx>
          <w:tblCellMar>
            <w:top w:w="0" w:type="dxa"/>
            <w:bottom w:w="0" w:type="dxa"/>
          </w:tblCellMar>
        </w:tblPrEx>
        <w:tc>
          <w:tcPr>
            <w:tcW w:w="426" w:type="pct"/>
          </w:tcPr>
          <w:p w:rsidR="00000000" w:rsidRDefault="00000000">
            <w:pPr>
              <w:pStyle w:val="a2"/>
              <w:spacing w:before="120" w:after="80"/>
              <w:jc w:val="center"/>
              <w:rPr>
                <w:snapToGrid/>
                <w:u w:val="single"/>
              </w:rPr>
            </w:pPr>
          </w:p>
        </w:tc>
        <w:tc>
          <w:tcPr>
            <w:tcW w:w="638" w:type="pct"/>
          </w:tcPr>
          <w:p w:rsidR="00000000" w:rsidRDefault="00000000">
            <w:pPr>
              <w:pStyle w:val="a2"/>
              <w:spacing w:before="120" w:after="80"/>
              <w:jc w:val="center"/>
              <w:rPr>
                <w:snapToGrid/>
                <w:u w:val="single"/>
              </w:rPr>
            </w:pPr>
            <w:r>
              <w:rPr>
                <w:snapToGrid/>
                <w:u w:val="single"/>
              </w:rPr>
              <w:t>1987</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1992</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1998</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1999</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2000</w:t>
            </w:r>
            <w:r>
              <w:rPr>
                <w:rFonts w:hint="eastAsia"/>
                <w:snapToGrid/>
                <w:u w:val="single"/>
              </w:rPr>
              <w:t>年</w:t>
            </w:r>
          </w:p>
        </w:tc>
        <w:tc>
          <w:tcPr>
            <w:tcW w:w="638" w:type="pct"/>
          </w:tcPr>
          <w:p w:rsidR="00000000" w:rsidRDefault="00000000">
            <w:pPr>
              <w:pStyle w:val="a2"/>
              <w:spacing w:before="120" w:after="80"/>
              <w:jc w:val="center"/>
              <w:rPr>
                <w:snapToGrid/>
                <w:u w:val="single"/>
              </w:rPr>
            </w:pPr>
            <w:r>
              <w:rPr>
                <w:snapToGrid/>
                <w:u w:val="single"/>
              </w:rPr>
              <w:t>2001</w:t>
            </w:r>
            <w:r>
              <w:rPr>
                <w:rFonts w:hint="eastAsia"/>
                <w:snapToGrid/>
                <w:u w:val="single"/>
              </w:rPr>
              <w:t>年</w:t>
            </w:r>
          </w:p>
        </w:tc>
        <w:tc>
          <w:tcPr>
            <w:tcW w:w="745" w:type="pct"/>
          </w:tcPr>
          <w:p w:rsidR="00000000" w:rsidRDefault="00000000">
            <w:pPr>
              <w:pStyle w:val="a2"/>
              <w:spacing w:before="120" w:after="80"/>
              <w:jc w:val="center"/>
              <w:rPr>
                <w:rFonts w:hint="eastAsia"/>
                <w:snapToGrid/>
                <w:u w:val="single"/>
              </w:rPr>
            </w:pPr>
            <w:r>
              <w:rPr>
                <w:snapToGrid/>
                <w:u w:val="single"/>
              </w:rPr>
              <w:t>2002</w:t>
            </w:r>
            <w:r>
              <w:rPr>
                <w:rFonts w:hint="eastAsia"/>
                <w:snapToGrid/>
                <w:u w:val="single"/>
              </w:rPr>
              <w:t>年</w:t>
            </w:r>
            <w:r>
              <w:rPr>
                <w:snapToGrid/>
                <w:vertAlign w:val="superscript"/>
              </w:rPr>
              <w:t>#</w:t>
            </w:r>
          </w:p>
        </w:tc>
      </w:tr>
      <w:tr w:rsidR="00000000">
        <w:tblPrEx>
          <w:tblCellMar>
            <w:top w:w="0" w:type="dxa"/>
            <w:bottom w:w="0" w:type="dxa"/>
          </w:tblCellMar>
        </w:tblPrEx>
        <w:tc>
          <w:tcPr>
            <w:tcW w:w="426" w:type="pct"/>
          </w:tcPr>
          <w:p w:rsidR="00000000" w:rsidRDefault="00000000">
            <w:pPr>
              <w:pStyle w:val="a2"/>
              <w:spacing w:before="80"/>
              <w:rPr>
                <w:snapToGrid/>
              </w:rPr>
            </w:pPr>
          </w:p>
        </w:tc>
        <w:tc>
          <w:tcPr>
            <w:tcW w:w="638" w:type="pct"/>
          </w:tcPr>
          <w:p w:rsidR="00000000" w:rsidRDefault="00000000">
            <w:pPr>
              <w:pStyle w:val="a2"/>
              <w:tabs>
                <w:tab w:val="decimal" w:pos="664"/>
              </w:tabs>
              <w:spacing w:before="80"/>
              <w:rPr>
                <w:snapToGrid/>
              </w:rPr>
            </w:pPr>
            <w:r>
              <w:rPr>
                <w:snapToGrid/>
              </w:rPr>
              <w:t>7.4</w:t>
            </w:r>
          </w:p>
        </w:tc>
        <w:tc>
          <w:tcPr>
            <w:tcW w:w="638" w:type="pct"/>
          </w:tcPr>
          <w:p w:rsidR="00000000" w:rsidRDefault="00000000">
            <w:pPr>
              <w:pStyle w:val="a2"/>
              <w:tabs>
                <w:tab w:val="decimal" w:pos="664"/>
              </w:tabs>
              <w:spacing w:before="80"/>
              <w:rPr>
                <w:snapToGrid/>
              </w:rPr>
            </w:pPr>
            <w:r>
              <w:rPr>
                <w:snapToGrid/>
              </w:rPr>
              <w:t>4.8</w:t>
            </w:r>
          </w:p>
        </w:tc>
        <w:tc>
          <w:tcPr>
            <w:tcW w:w="638" w:type="pct"/>
          </w:tcPr>
          <w:p w:rsidR="00000000" w:rsidRDefault="00000000">
            <w:pPr>
              <w:pStyle w:val="a2"/>
              <w:tabs>
                <w:tab w:val="decimal" w:pos="664"/>
              </w:tabs>
              <w:spacing w:before="80"/>
              <w:rPr>
                <w:snapToGrid/>
              </w:rPr>
            </w:pPr>
            <w:r>
              <w:rPr>
                <w:snapToGrid/>
              </w:rPr>
              <w:t>3.2</w:t>
            </w:r>
          </w:p>
        </w:tc>
        <w:tc>
          <w:tcPr>
            <w:tcW w:w="638" w:type="pct"/>
          </w:tcPr>
          <w:p w:rsidR="00000000" w:rsidRDefault="00000000">
            <w:pPr>
              <w:pStyle w:val="a2"/>
              <w:tabs>
                <w:tab w:val="decimal" w:pos="664"/>
              </w:tabs>
              <w:spacing w:before="80"/>
              <w:rPr>
                <w:rFonts w:hint="eastAsia"/>
                <w:snapToGrid/>
              </w:rPr>
            </w:pPr>
            <w:r>
              <w:rPr>
                <w:snapToGrid/>
              </w:rPr>
              <w:t>3.1</w:t>
            </w:r>
          </w:p>
        </w:tc>
        <w:tc>
          <w:tcPr>
            <w:tcW w:w="638" w:type="pct"/>
          </w:tcPr>
          <w:p w:rsidR="00000000" w:rsidRDefault="00000000">
            <w:pPr>
              <w:pStyle w:val="a2"/>
              <w:tabs>
                <w:tab w:val="decimal" w:pos="664"/>
              </w:tabs>
              <w:spacing w:before="80"/>
              <w:rPr>
                <w:rFonts w:hint="eastAsia"/>
                <w:snapToGrid/>
              </w:rPr>
            </w:pPr>
            <w:r>
              <w:rPr>
                <w:snapToGrid/>
              </w:rPr>
              <w:t>3.0</w:t>
            </w:r>
          </w:p>
        </w:tc>
        <w:tc>
          <w:tcPr>
            <w:tcW w:w="638" w:type="pct"/>
          </w:tcPr>
          <w:p w:rsidR="00000000" w:rsidRDefault="00000000">
            <w:pPr>
              <w:pStyle w:val="a2"/>
              <w:tabs>
                <w:tab w:val="decimal" w:pos="664"/>
              </w:tabs>
              <w:spacing w:before="80"/>
              <w:rPr>
                <w:rFonts w:hint="eastAsia"/>
                <w:snapToGrid/>
              </w:rPr>
            </w:pPr>
            <w:r>
              <w:rPr>
                <w:snapToGrid/>
              </w:rPr>
              <w:t>2.6</w:t>
            </w:r>
          </w:p>
        </w:tc>
        <w:tc>
          <w:tcPr>
            <w:tcW w:w="745" w:type="pct"/>
          </w:tcPr>
          <w:p w:rsidR="00000000" w:rsidRDefault="00000000">
            <w:pPr>
              <w:pStyle w:val="a2"/>
              <w:tabs>
                <w:tab w:val="decimal" w:pos="664"/>
              </w:tabs>
              <w:spacing w:before="80" w:after="160" w:line="320" w:lineRule="auto"/>
              <w:rPr>
                <w:rFonts w:hint="eastAsia"/>
                <w:snapToGrid/>
              </w:rPr>
            </w:pPr>
            <w:r>
              <w:rPr>
                <w:snapToGrid/>
              </w:rPr>
              <w:t>2.4</w:t>
            </w:r>
          </w:p>
        </w:tc>
      </w:tr>
      <w:tr w:rsidR="00000000">
        <w:tblPrEx>
          <w:tblCellMar>
            <w:top w:w="0" w:type="dxa"/>
            <w:bottom w:w="0" w:type="dxa"/>
          </w:tblCellMar>
        </w:tblPrEx>
        <w:trPr>
          <w:cantSplit/>
        </w:trPr>
        <w:tc>
          <w:tcPr>
            <w:tcW w:w="5000" w:type="pct"/>
            <w:gridSpan w:val="8"/>
          </w:tcPr>
          <w:p w:rsidR="00000000" w:rsidRDefault="00000000">
            <w:pPr>
              <w:pStyle w:val="a2"/>
              <w:ind w:left="510"/>
              <w:rPr>
                <w:rFonts w:hint="eastAsia"/>
                <w:snapToGrid/>
              </w:rPr>
            </w:pPr>
            <w:r>
              <w:rPr>
                <w:snapToGrid/>
              </w:rPr>
              <w:t xml:space="preserve">#  </w:t>
            </w:r>
            <w:r>
              <w:rPr>
                <w:rFonts w:hint="eastAsia"/>
                <w:snapToGrid/>
              </w:rPr>
              <w:t>临时数字</w:t>
            </w: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napToGrid/>
        </w:rPr>
      </w:pPr>
    </w:p>
    <w:p w:rsidR="00000000" w:rsidRDefault="00000000">
      <w:pPr>
        <w:pStyle w:val="Heading4"/>
        <w:spacing w:after="120"/>
      </w:pPr>
      <w:r>
        <w:rPr>
          <w:rFonts w:hint="eastAsia"/>
        </w:rPr>
        <w:t>产妇死亡率</w:t>
      </w:r>
      <w:r>
        <w:t>(</w:t>
      </w:r>
      <w:r>
        <w:rPr>
          <w:rFonts w:hint="eastAsia"/>
        </w:rPr>
        <w:t>按每十万次分娩计算的死亡数目</w:t>
      </w:r>
      <w:r>
        <w:t>)</w:t>
      </w:r>
    </w:p>
    <w:tbl>
      <w:tblPr>
        <w:tblW w:w="5000" w:type="pct"/>
        <w:tblCellMar>
          <w:left w:w="56" w:type="dxa"/>
          <w:right w:w="56" w:type="dxa"/>
        </w:tblCellMar>
        <w:tblLook w:val="0000" w:firstRow="0" w:lastRow="0" w:firstColumn="0" w:lastColumn="0" w:noHBand="0" w:noVBand="0"/>
      </w:tblPr>
      <w:tblGrid>
        <w:gridCol w:w="790"/>
        <w:gridCol w:w="1184"/>
        <w:gridCol w:w="1183"/>
        <w:gridCol w:w="1183"/>
        <w:gridCol w:w="1183"/>
        <w:gridCol w:w="1380"/>
        <w:gridCol w:w="1183"/>
        <w:gridCol w:w="1380"/>
      </w:tblGrid>
      <w:tr w:rsidR="00000000">
        <w:tblPrEx>
          <w:tblCellMar>
            <w:top w:w="0" w:type="dxa"/>
            <w:bottom w:w="0" w:type="dxa"/>
          </w:tblCellMar>
        </w:tblPrEx>
        <w:tc>
          <w:tcPr>
            <w:tcW w:w="417" w:type="pct"/>
          </w:tcPr>
          <w:p w:rsidR="00000000" w:rsidRDefault="00000000">
            <w:pPr>
              <w:pStyle w:val="a2"/>
              <w:spacing w:before="120" w:after="80"/>
              <w:jc w:val="center"/>
              <w:rPr>
                <w:snapToGrid/>
                <w:u w:val="single"/>
              </w:rPr>
            </w:pPr>
          </w:p>
        </w:tc>
        <w:tc>
          <w:tcPr>
            <w:tcW w:w="625" w:type="pct"/>
          </w:tcPr>
          <w:p w:rsidR="00000000" w:rsidRDefault="00000000">
            <w:pPr>
              <w:pStyle w:val="a2"/>
              <w:spacing w:before="120" w:after="80"/>
              <w:jc w:val="center"/>
              <w:rPr>
                <w:snapToGrid/>
                <w:u w:val="single"/>
              </w:rPr>
            </w:pPr>
            <w:r>
              <w:rPr>
                <w:snapToGrid/>
                <w:u w:val="single"/>
              </w:rPr>
              <w:t>1987</w:t>
            </w:r>
            <w:r>
              <w:rPr>
                <w:rFonts w:hint="eastAsia"/>
                <w:snapToGrid/>
                <w:u w:val="single"/>
              </w:rPr>
              <w:t>年</w:t>
            </w:r>
          </w:p>
        </w:tc>
        <w:tc>
          <w:tcPr>
            <w:tcW w:w="625" w:type="pct"/>
          </w:tcPr>
          <w:p w:rsidR="00000000" w:rsidRDefault="00000000">
            <w:pPr>
              <w:pStyle w:val="a2"/>
              <w:spacing w:before="120" w:after="80"/>
              <w:jc w:val="center"/>
              <w:rPr>
                <w:snapToGrid/>
                <w:u w:val="single"/>
              </w:rPr>
            </w:pPr>
            <w:r>
              <w:rPr>
                <w:snapToGrid/>
                <w:u w:val="single"/>
              </w:rPr>
              <w:t>1992</w:t>
            </w:r>
            <w:r>
              <w:rPr>
                <w:rFonts w:hint="eastAsia"/>
                <w:snapToGrid/>
                <w:u w:val="single"/>
              </w:rPr>
              <w:t>年</w:t>
            </w:r>
          </w:p>
        </w:tc>
        <w:tc>
          <w:tcPr>
            <w:tcW w:w="625" w:type="pct"/>
          </w:tcPr>
          <w:p w:rsidR="00000000" w:rsidRDefault="00000000">
            <w:pPr>
              <w:pStyle w:val="a2"/>
              <w:spacing w:before="120" w:after="80"/>
              <w:jc w:val="center"/>
              <w:rPr>
                <w:snapToGrid/>
                <w:u w:val="single"/>
              </w:rPr>
            </w:pPr>
            <w:r>
              <w:rPr>
                <w:snapToGrid/>
                <w:u w:val="single"/>
              </w:rPr>
              <w:t>1998</w:t>
            </w:r>
            <w:r>
              <w:rPr>
                <w:rFonts w:hint="eastAsia"/>
                <w:snapToGrid/>
                <w:u w:val="single"/>
              </w:rPr>
              <w:t>年</w:t>
            </w:r>
          </w:p>
        </w:tc>
        <w:tc>
          <w:tcPr>
            <w:tcW w:w="625" w:type="pct"/>
          </w:tcPr>
          <w:p w:rsidR="00000000" w:rsidRDefault="00000000">
            <w:pPr>
              <w:pStyle w:val="a2"/>
              <w:spacing w:before="120" w:after="80"/>
              <w:jc w:val="center"/>
              <w:rPr>
                <w:snapToGrid/>
                <w:u w:val="single"/>
              </w:rPr>
            </w:pPr>
            <w:r>
              <w:rPr>
                <w:snapToGrid/>
                <w:u w:val="single"/>
              </w:rPr>
              <w:t>1999</w:t>
            </w:r>
            <w:r>
              <w:rPr>
                <w:rFonts w:hint="eastAsia"/>
                <w:snapToGrid/>
                <w:u w:val="single"/>
              </w:rPr>
              <w:t>年</w:t>
            </w:r>
          </w:p>
        </w:tc>
        <w:tc>
          <w:tcPr>
            <w:tcW w:w="729" w:type="pct"/>
          </w:tcPr>
          <w:p w:rsidR="00000000" w:rsidRDefault="00000000">
            <w:pPr>
              <w:pStyle w:val="a2"/>
              <w:spacing w:before="120" w:after="80"/>
              <w:jc w:val="center"/>
              <w:rPr>
                <w:snapToGrid/>
                <w:u w:val="single"/>
              </w:rPr>
            </w:pPr>
            <w:r>
              <w:rPr>
                <w:snapToGrid/>
                <w:u w:val="single"/>
              </w:rPr>
              <w:t>2000</w:t>
            </w:r>
            <w:r>
              <w:rPr>
                <w:rFonts w:hint="eastAsia"/>
                <w:snapToGrid/>
                <w:u w:val="single"/>
              </w:rPr>
              <w:t>年</w:t>
            </w:r>
            <w:r>
              <w:rPr>
                <w:bCs/>
              </w:rPr>
              <w:footnoteReference w:customMarkFollows="1" w:id="14"/>
              <w:t>*</w:t>
            </w:r>
          </w:p>
        </w:tc>
        <w:tc>
          <w:tcPr>
            <w:tcW w:w="625" w:type="pct"/>
          </w:tcPr>
          <w:p w:rsidR="00000000" w:rsidRDefault="00000000">
            <w:pPr>
              <w:pStyle w:val="a2"/>
              <w:spacing w:before="120" w:after="80"/>
              <w:jc w:val="center"/>
              <w:rPr>
                <w:snapToGrid/>
                <w:u w:val="single"/>
              </w:rPr>
            </w:pPr>
            <w:r>
              <w:rPr>
                <w:snapToGrid/>
                <w:u w:val="single"/>
              </w:rPr>
              <w:t>2001</w:t>
            </w:r>
            <w:r>
              <w:rPr>
                <w:rFonts w:hint="eastAsia"/>
                <w:snapToGrid/>
                <w:u w:val="single"/>
              </w:rPr>
              <w:t>年</w:t>
            </w:r>
          </w:p>
        </w:tc>
        <w:tc>
          <w:tcPr>
            <w:tcW w:w="729" w:type="pct"/>
          </w:tcPr>
          <w:p w:rsidR="00000000" w:rsidRDefault="00000000">
            <w:pPr>
              <w:pStyle w:val="a2"/>
              <w:spacing w:before="120" w:after="80"/>
              <w:jc w:val="center"/>
              <w:rPr>
                <w:rFonts w:hint="eastAsia"/>
                <w:snapToGrid/>
                <w:u w:val="single"/>
              </w:rPr>
            </w:pPr>
            <w:r>
              <w:rPr>
                <w:snapToGrid/>
                <w:u w:val="single"/>
              </w:rPr>
              <w:t>2002</w:t>
            </w:r>
            <w:r>
              <w:rPr>
                <w:rFonts w:hint="eastAsia"/>
                <w:snapToGrid/>
                <w:u w:val="single"/>
              </w:rPr>
              <w:t>年</w:t>
            </w:r>
            <w:r>
              <w:rPr>
                <w:snapToGrid/>
                <w:vertAlign w:val="superscript"/>
              </w:rPr>
              <w:t>#</w:t>
            </w:r>
          </w:p>
        </w:tc>
      </w:tr>
      <w:tr w:rsidR="00000000">
        <w:tblPrEx>
          <w:tblCellMar>
            <w:top w:w="0" w:type="dxa"/>
            <w:bottom w:w="0" w:type="dxa"/>
          </w:tblCellMar>
        </w:tblPrEx>
        <w:tc>
          <w:tcPr>
            <w:tcW w:w="417" w:type="pct"/>
          </w:tcPr>
          <w:p w:rsidR="00000000" w:rsidRDefault="00000000">
            <w:pPr>
              <w:pStyle w:val="a2"/>
              <w:spacing w:before="80" w:after="120"/>
              <w:rPr>
                <w:snapToGrid/>
              </w:rPr>
            </w:pPr>
          </w:p>
        </w:tc>
        <w:tc>
          <w:tcPr>
            <w:tcW w:w="625" w:type="pct"/>
          </w:tcPr>
          <w:p w:rsidR="00000000" w:rsidRDefault="00000000">
            <w:pPr>
              <w:pStyle w:val="a2"/>
              <w:tabs>
                <w:tab w:val="decimal" w:pos="575"/>
              </w:tabs>
              <w:spacing w:before="80" w:after="120"/>
              <w:rPr>
                <w:snapToGrid/>
              </w:rPr>
            </w:pPr>
            <w:r>
              <w:rPr>
                <w:snapToGrid/>
              </w:rPr>
              <w:t>4.3</w:t>
            </w:r>
          </w:p>
        </w:tc>
        <w:tc>
          <w:tcPr>
            <w:tcW w:w="625" w:type="pct"/>
          </w:tcPr>
          <w:p w:rsidR="00000000" w:rsidRDefault="00000000">
            <w:pPr>
              <w:pStyle w:val="a2"/>
              <w:tabs>
                <w:tab w:val="decimal" w:pos="575"/>
              </w:tabs>
              <w:spacing w:before="80" w:after="120"/>
              <w:rPr>
                <w:snapToGrid/>
              </w:rPr>
            </w:pPr>
            <w:r>
              <w:rPr>
                <w:snapToGrid/>
              </w:rPr>
              <w:t>5.5</w:t>
            </w:r>
          </w:p>
        </w:tc>
        <w:tc>
          <w:tcPr>
            <w:tcW w:w="625" w:type="pct"/>
          </w:tcPr>
          <w:p w:rsidR="00000000" w:rsidRDefault="00000000">
            <w:pPr>
              <w:pStyle w:val="a2"/>
              <w:tabs>
                <w:tab w:val="decimal" w:pos="575"/>
              </w:tabs>
              <w:spacing w:before="80" w:after="120"/>
              <w:rPr>
                <w:snapToGrid/>
              </w:rPr>
            </w:pPr>
            <w:r>
              <w:rPr>
                <w:snapToGrid/>
              </w:rPr>
              <w:t>1.9</w:t>
            </w:r>
          </w:p>
        </w:tc>
        <w:tc>
          <w:tcPr>
            <w:tcW w:w="625" w:type="pct"/>
          </w:tcPr>
          <w:p w:rsidR="00000000" w:rsidRDefault="00000000">
            <w:pPr>
              <w:pStyle w:val="a2"/>
              <w:tabs>
                <w:tab w:val="decimal" w:pos="575"/>
              </w:tabs>
              <w:spacing w:before="80" w:after="120"/>
              <w:rPr>
                <w:rFonts w:hint="eastAsia"/>
                <w:snapToGrid/>
              </w:rPr>
            </w:pPr>
            <w:r>
              <w:rPr>
                <w:snapToGrid/>
              </w:rPr>
              <w:t>2.0</w:t>
            </w:r>
          </w:p>
        </w:tc>
        <w:tc>
          <w:tcPr>
            <w:tcW w:w="729" w:type="pct"/>
          </w:tcPr>
          <w:p w:rsidR="00000000" w:rsidRDefault="00000000">
            <w:pPr>
              <w:pStyle w:val="a2"/>
              <w:tabs>
                <w:tab w:val="decimal" w:pos="575"/>
              </w:tabs>
              <w:spacing w:before="80" w:after="120"/>
              <w:rPr>
                <w:rFonts w:hint="eastAsia"/>
                <w:snapToGrid/>
              </w:rPr>
            </w:pPr>
            <w:r>
              <w:rPr>
                <w:snapToGrid/>
              </w:rPr>
              <w:t>5.6</w:t>
            </w:r>
          </w:p>
        </w:tc>
        <w:tc>
          <w:tcPr>
            <w:tcW w:w="625" w:type="pct"/>
          </w:tcPr>
          <w:p w:rsidR="00000000" w:rsidRDefault="00000000">
            <w:pPr>
              <w:pStyle w:val="a2"/>
              <w:tabs>
                <w:tab w:val="decimal" w:pos="575"/>
              </w:tabs>
              <w:spacing w:before="80" w:after="120"/>
              <w:rPr>
                <w:rFonts w:hint="eastAsia"/>
                <w:snapToGrid/>
              </w:rPr>
            </w:pPr>
            <w:r>
              <w:rPr>
                <w:snapToGrid/>
              </w:rPr>
              <w:t>2.0</w:t>
            </w:r>
          </w:p>
        </w:tc>
        <w:tc>
          <w:tcPr>
            <w:tcW w:w="729" w:type="pct"/>
          </w:tcPr>
          <w:p w:rsidR="00000000" w:rsidRDefault="00000000">
            <w:pPr>
              <w:pStyle w:val="a2"/>
              <w:tabs>
                <w:tab w:val="decimal" w:pos="575"/>
              </w:tabs>
              <w:spacing w:before="80" w:after="120" w:line="320" w:lineRule="auto"/>
              <w:rPr>
                <w:rFonts w:hint="eastAsia"/>
                <w:snapToGrid/>
              </w:rPr>
            </w:pPr>
            <w:r>
              <w:rPr>
                <w:snapToGrid/>
              </w:rPr>
              <w:t>4.2</w:t>
            </w:r>
          </w:p>
        </w:tc>
      </w:tr>
      <w:tr w:rsidR="00000000">
        <w:tblPrEx>
          <w:tblCellMar>
            <w:top w:w="0" w:type="dxa"/>
            <w:bottom w:w="0" w:type="dxa"/>
          </w:tblCellMar>
        </w:tblPrEx>
        <w:trPr>
          <w:cantSplit/>
        </w:trPr>
        <w:tc>
          <w:tcPr>
            <w:tcW w:w="5000" w:type="pct"/>
            <w:gridSpan w:val="8"/>
          </w:tcPr>
          <w:p w:rsidR="00000000" w:rsidRDefault="00000000">
            <w:pPr>
              <w:pStyle w:val="a2"/>
              <w:ind w:left="510"/>
              <w:rPr>
                <w:rFonts w:hint="eastAsia"/>
                <w:snapToGrid/>
              </w:rPr>
            </w:pPr>
            <w:r>
              <w:rPr>
                <w:snapToGrid/>
              </w:rPr>
              <w:t xml:space="preserve">#  </w:t>
            </w:r>
            <w:r>
              <w:rPr>
                <w:rFonts w:hint="eastAsia"/>
                <w:snapToGrid/>
              </w:rPr>
              <w:t>临时数字</w:t>
            </w: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napToGrid/>
        </w:rPr>
      </w:pPr>
    </w:p>
    <w:p w:rsidR="00000000" w:rsidRDefault="00000000">
      <w:pPr>
        <w:pStyle w:val="Heading4"/>
      </w:pPr>
      <w:r>
        <w:rPr>
          <w:rFonts w:hint="eastAsia"/>
        </w:rPr>
        <w:t>生</w:t>
      </w:r>
      <w:r>
        <w:t xml:space="preserve"> </w:t>
      </w:r>
      <w:r>
        <w:rPr>
          <w:rFonts w:hint="eastAsia"/>
        </w:rPr>
        <w:t>育</w:t>
      </w:r>
      <w:r>
        <w:t xml:space="preserve"> </w:t>
      </w:r>
      <w:r>
        <w:rPr>
          <w:rFonts w:hint="eastAsia"/>
        </w:rPr>
        <w:t>率</w:t>
      </w:r>
    </w:p>
    <w:tbl>
      <w:tblPr>
        <w:tblW w:w="5000" w:type="pct"/>
        <w:tblCellMar>
          <w:left w:w="56" w:type="dxa"/>
          <w:right w:w="56" w:type="dxa"/>
        </w:tblCellMar>
        <w:tblLook w:val="0000" w:firstRow="0" w:lastRow="0" w:firstColumn="0" w:lastColumn="0" w:noHBand="0" w:noVBand="0"/>
      </w:tblPr>
      <w:tblGrid>
        <w:gridCol w:w="1945"/>
        <w:gridCol w:w="1254"/>
        <w:gridCol w:w="1254"/>
        <w:gridCol w:w="1254"/>
        <w:gridCol w:w="1253"/>
        <w:gridCol w:w="1253"/>
        <w:gridCol w:w="1253"/>
      </w:tblGrid>
      <w:tr w:rsidR="00000000">
        <w:tblPrEx>
          <w:tblCellMar>
            <w:top w:w="0" w:type="dxa"/>
            <w:bottom w:w="0" w:type="dxa"/>
          </w:tblCellMar>
        </w:tblPrEx>
        <w:tc>
          <w:tcPr>
            <w:tcW w:w="1027" w:type="pct"/>
          </w:tcPr>
          <w:p w:rsidR="00000000" w:rsidRDefault="00000000">
            <w:pPr>
              <w:pStyle w:val="a2"/>
              <w:spacing w:after="200" w:line="336" w:lineRule="exact"/>
              <w:jc w:val="center"/>
              <w:rPr>
                <w:snapToGrid/>
              </w:rPr>
            </w:pPr>
          </w:p>
        </w:tc>
        <w:tc>
          <w:tcPr>
            <w:tcW w:w="662" w:type="pct"/>
          </w:tcPr>
          <w:p w:rsidR="00000000" w:rsidRDefault="00000000">
            <w:pPr>
              <w:pStyle w:val="a2"/>
              <w:spacing w:after="200" w:line="336" w:lineRule="exact"/>
              <w:jc w:val="center"/>
              <w:rPr>
                <w:snapToGrid/>
                <w:sz w:val="24"/>
              </w:rPr>
            </w:pPr>
            <w:r>
              <w:rPr>
                <w:snapToGrid/>
                <w:sz w:val="24"/>
                <w:u w:val="single"/>
              </w:rPr>
              <w:t>1987</w:t>
            </w:r>
            <w:r>
              <w:rPr>
                <w:rFonts w:hint="eastAsia"/>
                <w:snapToGrid/>
                <w:sz w:val="24"/>
                <w:u w:val="single"/>
              </w:rPr>
              <w:t>年</w:t>
            </w:r>
          </w:p>
        </w:tc>
        <w:tc>
          <w:tcPr>
            <w:tcW w:w="662" w:type="pct"/>
          </w:tcPr>
          <w:p w:rsidR="00000000" w:rsidRDefault="00000000">
            <w:pPr>
              <w:pStyle w:val="a2"/>
              <w:spacing w:after="200" w:line="336" w:lineRule="exact"/>
              <w:jc w:val="center"/>
              <w:rPr>
                <w:snapToGrid/>
                <w:sz w:val="24"/>
              </w:rPr>
            </w:pPr>
            <w:r>
              <w:rPr>
                <w:snapToGrid/>
                <w:sz w:val="24"/>
                <w:u w:val="single"/>
              </w:rPr>
              <w:t>1992</w:t>
            </w:r>
            <w:r>
              <w:rPr>
                <w:rFonts w:hint="eastAsia"/>
                <w:snapToGrid/>
                <w:sz w:val="24"/>
                <w:u w:val="single"/>
              </w:rPr>
              <w:t>年</w:t>
            </w:r>
          </w:p>
        </w:tc>
        <w:tc>
          <w:tcPr>
            <w:tcW w:w="662" w:type="pct"/>
          </w:tcPr>
          <w:p w:rsidR="00000000" w:rsidRDefault="00000000">
            <w:pPr>
              <w:pStyle w:val="a2"/>
              <w:spacing w:after="200" w:line="336" w:lineRule="exact"/>
              <w:jc w:val="center"/>
              <w:rPr>
                <w:snapToGrid/>
                <w:sz w:val="24"/>
              </w:rPr>
            </w:pPr>
            <w:r>
              <w:rPr>
                <w:snapToGrid/>
                <w:sz w:val="24"/>
                <w:u w:val="single"/>
              </w:rPr>
              <w:t>1998</w:t>
            </w:r>
            <w:r>
              <w:rPr>
                <w:rFonts w:hint="eastAsia"/>
                <w:snapToGrid/>
                <w:sz w:val="24"/>
                <w:u w:val="single"/>
              </w:rPr>
              <w:t>年</w:t>
            </w:r>
          </w:p>
        </w:tc>
        <w:tc>
          <w:tcPr>
            <w:tcW w:w="662" w:type="pct"/>
          </w:tcPr>
          <w:p w:rsidR="00000000" w:rsidRDefault="00000000">
            <w:pPr>
              <w:pStyle w:val="a2"/>
              <w:spacing w:after="200" w:line="336" w:lineRule="exact"/>
              <w:jc w:val="center"/>
              <w:rPr>
                <w:snapToGrid/>
                <w:sz w:val="24"/>
              </w:rPr>
            </w:pPr>
            <w:r>
              <w:rPr>
                <w:snapToGrid/>
                <w:sz w:val="24"/>
                <w:u w:val="single"/>
              </w:rPr>
              <w:t>1999</w:t>
            </w:r>
            <w:r>
              <w:rPr>
                <w:rFonts w:hint="eastAsia"/>
                <w:snapToGrid/>
                <w:sz w:val="24"/>
                <w:u w:val="single"/>
              </w:rPr>
              <w:t>年</w:t>
            </w:r>
          </w:p>
        </w:tc>
        <w:tc>
          <w:tcPr>
            <w:tcW w:w="662" w:type="pct"/>
          </w:tcPr>
          <w:p w:rsidR="00000000" w:rsidRDefault="00000000">
            <w:pPr>
              <w:pStyle w:val="a2"/>
              <w:spacing w:after="200" w:line="336" w:lineRule="exact"/>
              <w:jc w:val="center"/>
              <w:rPr>
                <w:snapToGrid/>
                <w:sz w:val="24"/>
              </w:rPr>
            </w:pPr>
            <w:r>
              <w:rPr>
                <w:snapToGrid/>
                <w:sz w:val="24"/>
                <w:u w:val="single"/>
              </w:rPr>
              <w:t>2000</w:t>
            </w:r>
            <w:r>
              <w:rPr>
                <w:rFonts w:hint="eastAsia"/>
                <w:snapToGrid/>
                <w:sz w:val="24"/>
                <w:u w:val="single"/>
              </w:rPr>
              <w:t>年</w:t>
            </w:r>
          </w:p>
        </w:tc>
        <w:tc>
          <w:tcPr>
            <w:tcW w:w="662" w:type="pct"/>
          </w:tcPr>
          <w:p w:rsidR="00000000" w:rsidRDefault="00000000">
            <w:pPr>
              <w:pStyle w:val="a2"/>
              <w:spacing w:after="200" w:line="336" w:lineRule="exact"/>
              <w:jc w:val="center"/>
              <w:rPr>
                <w:snapToGrid/>
                <w:sz w:val="24"/>
              </w:rPr>
            </w:pPr>
            <w:r>
              <w:rPr>
                <w:snapToGrid/>
                <w:sz w:val="24"/>
                <w:u w:val="single"/>
              </w:rPr>
              <w:t>2001</w:t>
            </w:r>
            <w:r>
              <w:rPr>
                <w:rFonts w:hint="eastAsia"/>
                <w:snapToGrid/>
                <w:sz w:val="24"/>
                <w:u w:val="single"/>
              </w:rPr>
              <w:t>年</w:t>
            </w:r>
            <w:r>
              <w:rPr>
                <w:rStyle w:val="FootnoteReference"/>
                <w:b w:val="0"/>
                <w:bCs/>
                <w:snapToGrid/>
              </w:rPr>
              <w:footnoteReference w:customMarkFollows="1" w:id="15"/>
              <w:t>*</w:t>
            </w:r>
          </w:p>
        </w:tc>
      </w:tr>
      <w:tr w:rsidR="00000000">
        <w:tblPrEx>
          <w:tblCellMar>
            <w:top w:w="0" w:type="dxa"/>
            <w:bottom w:w="0" w:type="dxa"/>
          </w:tblCellMar>
        </w:tblPrEx>
        <w:tc>
          <w:tcPr>
            <w:tcW w:w="1027" w:type="pct"/>
          </w:tcPr>
          <w:p w:rsidR="00000000" w:rsidRDefault="00000000">
            <w:pPr>
              <w:pStyle w:val="a2"/>
              <w:spacing w:before="80" w:after="80" w:line="240" w:lineRule="auto"/>
              <w:rPr>
                <w:snapToGrid/>
              </w:rPr>
            </w:pPr>
            <w:r>
              <w:rPr>
                <w:rFonts w:hint="eastAsia"/>
                <w:snapToGrid/>
              </w:rPr>
              <w:t>一般生育率</w:t>
            </w:r>
            <w:r>
              <w:rPr>
                <w:snapToGrid/>
              </w:rPr>
              <w:t>(</w:t>
            </w:r>
            <w:r>
              <w:rPr>
                <w:rFonts w:hint="eastAsia"/>
                <w:snapToGrid/>
              </w:rPr>
              <w:t>每千名</w:t>
            </w:r>
            <w:r>
              <w:rPr>
                <w:snapToGrid/>
              </w:rPr>
              <w:t>15</w:t>
            </w:r>
            <w:r>
              <w:rPr>
                <w:rFonts w:hint="eastAsia"/>
                <w:snapToGrid/>
              </w:rPr>
              <w:t>至</w:t>
            </w:r>
            <w:r>
              <w:rPr>
                <w:snapToGrid/>
              </w:rPr>
              <w:t>49</w:t>
            </w:r>
            <w:r>
              <w:rPr>
                <w:rFonts w:hint="eastAsia"/>
                <w:snapToGrid/>
              </w:rPr>
              <w:t>岁妇女计，不包括外籍家庭佣工</w:t>
            </w:r>
            <w:r>
              <w:rPr>
                <w:snapToGrid/>
              </w:rPr>
              <w:t>)</w:t>
            </w:r>
          </w:p>
        </w:tc>
        <w:tc>
          <w:tcPr>
            <w:tcW w:w="662" w:type="pct"/>
          </w:tcPr>
          <w:p w:rsidR="00000000" w:rsidRDefault="00000000">
            <w:pPr>
              <w:pStyle w:val="a2"/>
              <w:tabs>
                <w:tab w:val="decimal" w:pos="680"/>
              </w:tabs>
              <w:spacing w:before="80" w:after="80" w:line="240" w:lineRule="auto"/>
              <w:rPr>
                <w:snapToGrid/>
                <w:sz w:val="24"/>
              </w:rPr>
            </w:pPr>
            <w:r>
              <w:rPr>
                <w:snapToGrid/>
                <w:sz w:val="24"/>
              </w:rPr>
              <w:t>47.9</w:t>
            </w:r>
          </w:p>
        </w:tc>
        <w:tc>
          <w:tcPr>
            <w:tcW w:w="662" w:type="pct"/>
          </w:tcPr>
          <w:p w:rsidR="00000000" w:rsidRDefault="00000000">
            <w:pPr>
              <w:pStyle w:val="a2"/>
              <w:tabs>
                <w:tab w:val="decimal" w:pos="680"/>
              </w:tabs>
              <w:spacing w:before="80" w:after="80" w:line="240" w:lineRule="auto"/>
              <w:rPr>
                <w:snapToGrid/>
                <w:sz w:val="24"/>
              </w:rPr>
            </w:pPr>
            <w:r>
              <w:rPr>
                <w:snapToGrid/>
                <w:sz w:val="24"/>
              </w:rPr>
              <w:t>46.3</w:t>
            </w:r>
          </w:p>
        </w:tc>
        <w:tc>
          <w:tcPr>
            <w:tcW w:w="662" w:type="pct"/>
          </w:tcPr>
          <w:p w:rsidR="00000000" w:rsidRDefault="00000000">
            <w:pPr>
              <w:pStyle w:val="a2"/>
              <w:tabs>
                <w:tab w:val="decimal" w:pos="680"/>
              </w:tabs>
              <w:spacing w:before="80" w:after="80" w:line="240" w:lineRule="auto"/>
              <w:rPr>
                <w:rFonts w:hint="eastAsia"/>
                <w:snapToGrid/>
                <w:sz w:val="24"/>
              </w:rPr>
            </w:pPr>
            <w:r>
              <w:rPr>
                <w:snapToGrid/>
                <w:sz w:val="24"/>
              </w:rPr>
              <w:t>29.3</w:t>
            </w:r>
          </w:p>
        </w:tc>
        <w:tc>
          <w:tcPr>
            <w:tcW w:w="662" w:type="pct"/>
          </w:tcPr>
          <w:p w:rsidR="00000000" w:rsidRDefault="00000000">
            <w:pPr>
              <w:pStyle w:val="a2"/>
              <w:tabs>
                <w:tab w:val="decimal" w:pos="680"/>
              </w:tabs>
              <w:spacing w:before="80" w:after="80" w:line="240" w:lineRule="auto"/>
              <w:rPr>
                <w:rFonts w:hint="eastAsia"/>
                <w:snapToGrid/>
                <w:sz w:val="24"/>
              </w:rPr>
            </w:pPr>
            <w:r>
              <w:rPr>
                <w:snapToGrid/>
                <w:sz w:val="24"/>
              </w:rPr>
              <w:t>28.1</w:t>
            </w:r>
          </w:p>
        </w:tc>
        <w:tc>
          <w:tcPr>
            <w:tcW w:w="662" w:type="pct"/>
          </w:tcPr>
          <w:p w:rsidR="00000000" w:rsidRDefault="00000000">
            <w:pPr>
              <w:pStyle w:val="a2"/>
              <w:tabs>
                <w:tab w:val="decimal" w:pos="680"/>
              </w:tabs>
              <w:spacing w:before="80" w:after="80" w:line="240" w:lineRule="auto"/>
              <w:rPr>
                <w:rFonts w:hint="eastAsia"/>
                <w:snapToGrid/>
                <w:sz w:val="24"/>
              </w:rPr>
            </w:pPr>
            <w:r>
              <w:rPr>
                <w:snapToGrid/>
                <w:sz w:val="24"/>
              </w:rPr>
              <w:t>29.5</w:t>
            </w:r>
          </w:p>
        </w:tc>
        <w:tc>
          <w:tcPr>
            <w:tcW w:w="662" w:type="pct"/>
          </w:tcPr>
          <w:p w:rsidR="00000000" w:rsidRDefault="00000000">
            <w:pPr>
              <w:pStyle w:val="a2"/>
              <w:tabs>
                <w:tab w:val="decimal" w:pos="680"/>
              </w:tabs>
              <w:spacing w:before="80" w:after="80" w:line="240" w:lineRule="auto"/>
              <w:rPr>
                <w:rFonts w:hint="eastAsia"/>
                <w:snapToGrid/>
                <w:sz w:val="24"/>
              </w:rPr>
            </w:pPr>
            <w:r>
              <w:rPr>
                <w:snapToGrid/>
                <w:sz w:val="24"/>
              </w:rPr>
              <w:t>26.2</w:t>
            </w: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napToGrid/>
        </w:rPr>
      </w:pPr>
    </w:p>
    <w:p w:rsidR="00000000" w:rsidRDefault="00000000">
      <w:pPr>
        <w:pStyle w:val="Heading4"/>
      </w:pPr>
      <w:r>
        <w:rPr>
          <w:rFonts w:hint="eastAsia"/>
        </w:rPr>
        <w:t>按性别划分的家庭户主百分率</w:t>
      </w:r>
    </w:p>
    <w:tbl>
      <w:tblPr>
        <w:tblW w:w="5000" w:type="pct"/>
        <w:tblCellMar>
          <w:left w:w="56" w:type="dxa"/>
          <w:right w:w="56" w:type="dxa"/>
        </w:tblCellMar>
        <w:tblLook w:val="0000" w:firstRow="0" w:lastRow="0" w:firstColumn="0" w:lastColumn="0" w:noHBand="0" w:noVBand="0"/>
      </w:tblPr>
      <w:tblGrid>
        <w:gridCol w:w="2366"/>
        <w:gridCol w:w="1776"/>
        <w:gridCol w:w="1776"/>
        <w:gridCol w:w="1776"/>
        <w:gridCol w:w="1772"/>
      </w:tblGrid>
      <w:tr w:rsidR="00000000">
        <w:tblPrEx>
          <w:tblCellMar>
            <w:top w:w="0" w:type="dxa"/>
            <w:bottom w:w="0" w:type="dxa"/>
          </w:tblCellMar>
        </w:tblPrEx>
        <w:tc>
          <w:tcPr>
            <w:tcW w:w="1250"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u w:val="single"/>
              </w:rPr>
            </w:pPr>
            <w:r>
              <w:rPr>
                <w:rFonts w:hint="eastAsia"/>
                <w:snapToGrid/>
                <w:u w:val="single"/>
              </w:rPr>
              <w:t>性</w:t>
            </w:r>
            <w:r>
              <w:rPr>
                <w:snapToGrid/>
                <w:u w:val="single"/>
              </w:rPr>
              <w:t xml:space="preserve">  </w:t>
            </w:r>
            <w:r>
              <w:rPr>
                <w:rFonts w:hint="eastAsia"/>
                <w:snapToGrid/>
                <w:u w:val="single"/>
              </w:rPr>
              <w:t>别</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u w:val="single"/>
              </w:rPr>
            </w:pPr>
            <w:r>
              <w:rPr>
                <w:snapToGrid/>
                <w:u w:val="single"/>
              </w:rPr>
              <w:t>1986</w:t>
            </w:r>
            <w:r>
              <w:rPr>
                <w:rFonts w:hint="eastAsia"/>
                <w:snapToGrid/>
                <w:u w:val="single"/>
              </w:rPr>
              <w:t>年</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u w:val="single"/>
              </w:rPr>
            </w:pPr>
            <w:r>
              <w:rPr>
                <w:snapToGrid/>
                <w:u w:val="single"/>
              </w:rPr>
              <w:t>1991</w:t>
            </w:r>
            <w:r>
              <w:rPr>
                <w:rFonts w:hint="eastAsia"/>
                <w:snapToGrid/>
                <w:u w:val="single"/>
              </w:rPr>
              <w:t>年</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u w:val="single"/>
              </w:rPr>
            </w:pPr>
            <w:r>
              <w:rPr>
                <w:snapToGrid/>
                <w:u w:val="single"/>
              </w:rPr>
              <w:t>1996</w:t>
            </w:r>
            <w:r>
              <w:rPr>
                <w:rFonts w:hint="eastAsia"/>
                <w:snapToGrid/>
                <w:u w:val="single"/>
              </w:rPr>
              <w:t>年</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u w:val="single"/>
              </w:rPr>
            </w:pPr>
            <w:r>
              <w:rPr>
                <w:snapToGrid/>
                <w:u w:val="single"/>
              </w:rPr>
              <w:t>2001</w:t>
            </w:r>
            <w:r>
              <w:rPr>
                <w:rFonts w:hint="eastAsia"/>
                <w:snapToGrid/>
                <w:u w:val="single"/>
              </w:rPr>
              <w:t>年</w:t>
            </w:r>
            <w:r>
              <w:rPr>
                <w:rStyle w:val="FootnoteReference"/>
                <w:b w:val="0"/>
                <w:bCs/>
                <w:snapToGrid/>
              </w:rPr>
              <w:footnoteReference w:customMarkFollows="1" w:id="16"/>
              <w:t>**</w:t>
            </w:r>
          </w:p>
        </w:tc>
      </w:tr>
      <w:tr w:rsidR="00000000">
        <w:tblPrEx>
          <w:tblCellMar>
            <w:top w:w="0" w:type="dxa"/>
            <w:bottom w:w="0" w:type="dxa"/>
          </w:tblCellMar>
        </w:tblPrEx>
        <w:trPr>
          <w:cantSplit/>
        </w:trPr>
        <w:tc>
          <w:tcPr>
            <w:tcW w:w="1250"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88" w:lineRule="auto"/>
              <w:jc w:val="center"/>
              <w:rPr>
                <w:snapToGrid/>
              </w:rPr>
            </w:pPr>
            <w:r>
              <w:rPr>
                <w:rFonts w:hint="eastAsia"/>
                <w:snapToGrid/>
              </w:rPr>
              <w:t>男</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88" w:lineRule="auto"/>
              <w:jc w:val="center"/>
              <w:rPr>
                <w:snapToGrid/>
              </w:rPr>
            </w:pPr>
            <w:r>
              <w:rPr>
                <w:snapToGrid/>
              </w:rPr>
              <w:t>73.0</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88" w:lineRule="auto"/>
              <w:jc w:val="center"/>
              <w:rPr>
                <w:snapToGrid/>
              </w:rPr>
            </w:pPr>
            <w:r>
              <w:rPr>
                <w:snapToGrid/>
              </w:rPr>
              <w:t>74.3</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88" w:lineRule="auto"/>
              <w:jc w:val="center"/>
              <w:rPr>
                <w:snapToGrid/>
              </w:rPr>
            </w:pPr>
            <w:r>
              <w:rPr>
                <w:snapToGrid/>
              </w:rPr>
              <w:t>72.8</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88" w:lineRule="auto"/>
              <w:jc w:val="center"/>
              <w:rPr>
                <w:snapToGrid/>
              </w:rPr>
            </w:pPr>
            <w:r>
              <w:rPr>
                <w:snapToGrid/>
              </w:rPr>
              <w:t>71.2</w:t>
            </w:r>
          </w:p>
        </w:tc>
      </w:tr>
      <w:tr w:rsidR="00000000">
        <w:tblPrEx>
          <w:tblCellMar>
            <w:top w:w="0" w:type="dxa"/>
            <w:bottom w:w="0" w:type="dxa"/>
          </w:tblCellMar>
        </w:tblPrEx>
        <w:trPr>
          <w:cantSplit/>
        </w:trPr>
        <w:tc>
          <w:tcPr>
            <w:tcW w:w="1250"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napToGrid/>
              </w:rPr>
            </w:pPr>
            <w:r>
              <w:rPr>
                <w:rFonts w:hint="eastAsia"/>
                <w:snapToGrid/>
              </w:rPr>
              <w:t>女</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napToGrid/>
              </w:rPr>
            </w:pPr>
            <w:r>
              <w:rPr>
                <w:snapToGrid/>
              </w:rPr>
              <w:t>27.0</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napToGrid/>
              </w:rPr>
            </w:pPr>
            <w:r>
              <w:rPr>
                <w:snapToGrid/>
              </w:rPr>
              <w:t>25.7</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napToGrid/>
              </w:rPr>
            </w:pPr>
            <w:r>
              <w:rPr>
                <w:snapToGrid/>
              </w:rPr>
              <w:t>27.2</w:t>
            </w:r>
          </w:p>
        </w:tc>
        <w:tc>
          <w:tcPr>
            <w:tcW w:w="938" w:type="pct"/>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napToGrid/>
              </w:rPr>
            </w:pPr>
            <w:r>
              <w:rPr>
                <w:snapToGrid/>
              </w:rPr>
              <w:t>28.8</w:t>
            </w: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ind w:left="540"/>
        <w:rPr>
          <w:snapToGrid/>
          <w:sz w:val="18"/>
        </w:rPr>
      </w:pPr>
    </w:p>
    <w:p w:rsidR="00000000" w:rsidRDefault="00000000"/>
    <w:p w:rsidR="00000000" w:rsidRDefault="00000000">
      <w:pPr>
        <w:pStyle w:val="Heading4"/>
      </w:pPr>
      <w:r>
        <w:rPr>
          <w:rFonts w:hint="eastAsia"/>
        </w:rPr>
        <w:t>失业率</w:t>
      </w:r>
      <w:r>
        <w:t>(%)</w:t>
      </w:r>
      <w:r>
        <w:rPr>
          <w:rStyle w:val="FootnoteReference"/>
          <w:b w:val="0"/>
          <w:bCs/>
          <w:u w:val="none"/>
        </w:rPr>
        <w:footnoteReference w:customMarkFollows="1" w:id="17"/>
        <w:t>***</w:t>
      </w:r>
    </w:p>
    <w:tbl>
      <w:tblPr>
        <w:tblW w:w="9000" w:type="dxa"/>
        <w:tblInd w:w="596" w:type="dxa"/>
        <w:tblLayout w:type="fixed"/>
        <w:tblCellMar>
          <w:left w:w="56" w:type="dxa"/>
          <w:right w:w="56" w:type="dxa"/>
        </w:tblCellMar>
        <w:tblLook w:val="0000" w:firstRow="0" w:lastRow="0" w:firstColumn="0" w:lastColumn="0" w:noHBand="0" w:noVBand="0"/>
      </w:tblPr>
      <w:tblGrid>
        <w:gridCol w:w="540"/>
        <w:gridCol w:w="1260"/>
        <w:gridCol w:w="1260"/>
        <w:gridCol w:w="1260"/>
        <w:gridCol w:w="1260"/>
        <w:gridCol w:w="1260"/>
        <w:gridCol w:w="1080"/>
        <w:gridCol w:w="1080"/>
      </w:tblGrid>
      <w:tr w:rsidR="00000000">
        <w:tblPrEx>
          <w:tblCellMar>
            <w:top w:w="0" w:type="dxa"/>
            <w:bottom w:w="0" w:type="dxa"/>
          </w:tblCellMar>
        </w:tblPrEx>
        <w:tc>
          <w:tcPr>
            <w:tcW w:w="5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rPr>
                <w:snapToGrid/>
              </w:rPr>
            </w:pPr>
            <w:r>
              <w:rPr>
                <w:snapToGrid/>
              </w:rPr>
              <w:tab/>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rPr>
            </w:pPr>
            <w:r>
              <w:rPr>
                <w:snapToGrid/>
                <w:u w:val="single"/>
              </w:rPr>
              <w:t>1987</w:t>
            </w:r>
            <w:r>
              <w:rPr>
                <w:rFonts w:hint="eastAsia"/>
                <w:snapToGrid/>
                <w:u w:val="single"/>
              </w:rPr>
              <w:t>年</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rPr>
            </w:pPr>
            <w:r>
              <w:rPr>
                <w:snapToGrid/>
                <w:u w:val="single"/>
              </w:rPr>
              <w:t>1992</w:t>
            </w:r>
            <w:r>
              <w:rPr>
                <w:rFonts w:hint="eastAsia"/>
                <w:snapToGrid/>
                <w:u w:val="single"/>
              </w:rPr>
              <w:t>年</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rPr>
            </w:pPr>
            <w:r>
              <w:rPr>
                <w:snapToGrid/>
                <w:u w:val="single"/>
              </w:rPr>
              <w:t>1998</w:t>
            </w:r>
            <w:r>
              <w:rPr>
                <w:rFonts w:hint="eastAsia"/>
                <w:snapToGrid/>
                <w:u w:val="single"/>
              </w:rPr>
              <w:t>年</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rPr>
            </w:pPr>
            <w:r>
              <w:rPr>
                <w:snapToGrid/>
                <w:u w:val="single"/>
              </w:rPr>
              <w:t>1999</w:t>
            </w:r>
            <w:r>
              <w:rPr>
                <w:rFonts w:hint="eastAsia"/>
                <w:snapToGrid/>
                <w:u w:val="single"/>
              </w:rPr>
              <w:t>年</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rPr>
            </w:pPr>
            <w:r>
              <w:rPr>
                <w:snapToGrid/>
                <w:u w:val="single"/>
              </w:rPr>
              <w:t>2000</w:t>
            </w:r>
            <w:r>
              <w:rPr>
                <w:rFonts w:hint="eastAsia"/>
                <w:snapToGrid/>
                <w:u w:val="single"/>
              </w:rPr>
              <w:t>年</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napToGrid/>
              </w:rPr>
            </w:pPr>
            <w:r>
              <w:rPr>
                <w:snapToGrid/>
                <w:u w:val="single"/>
              </w:rPr>
              <w:t>2001</w:t>
            </w:r>
            <w:r>
              <w:rPr>
                <w:rFonts w:hint="eastAsia"/>
                <w:snapToGrid/>
                <w:u w:val="single"/>
              </w:rPr>
              <w:t>年</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napToGrid/>
                <w:u w:val="single"/>
              </w:rPr>
            </w:pPr>
            <w:r>
              <w:rPr>
                <w:snapToGrid/>
                <w:u w:val="single"/>
              </w:rPr>
              <w:t>2002</w:t>
            </w:r>
            <w:r>
              <w:rPr>
                <w:rFonts w:hint="eastAsia"/>
                <w:snapToGrid/>
                <w:u w:val="single"/>
              </w:rPr>
              <w:t>年</w:t>
            </w:r>
          </w:p>
        </w:tc>
      </w:tr>
      <w:tr w:rsidR="00000000">
        <w:tblPrEx>
          <w:tblCellMar>
            <w:top w:w="0" w:type="dxa"/>
            <w:bottom w:w="0" w:type="dxa"/>
          </w:tblCellMar>
        </w:tblPrEx>
        <w:tc>
          <w:tcPr>
            <w:tcW w:w="5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360" w:lineRule="auto"/>
              <w:rPr>
                <w:snapToGrid/>
              </w:rPr>
            </w:pP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360" w:lineRule="auto"/>
              <w:jc w:val="center"/>
              <w:rPr>
                <w:snapToGrid/>
              </w:rPr>
            </w:pPr>
            <w:r>
              <w:rPr>
                <w:snapToGrid/>
              </w:rPr>
              <w:t>1.7</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360" w:lineRule="auto"/>
              <w:jc w:val="center"/>
              <w:rPr>
                <w:snapToGrid/>
              </w:rPr>
            </w:pPr>
            <w:r>
              <w:rPr>
                <w:snapToGrid/>
              </w:rPr>
              <w:t>2.0</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360" w:lineRule="auto"/>
              <w:jc w:val="center"/>
              <w:rPr>
                <w:snapToGrid/>
              </w:rPr>
            </w:pPr>
            <w:r>
              <w:rPr>
                <w:snapToGrid/>
              </w:rPr>
              <w:t>4.7</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360" w:lineRule="auto"/>
              <w:jc w:val="center"/>
              <w:rPr>
                <w:rFonts w:hint="eastAsia"/>
                <w:snapToGrid/>
              </w:rPr>
            </w:pPr>
            <w:r>
              <w:rPr>
                <w:snapToGrid/>
              </w:rPr>
              <w:t>6.2</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360" w:lineRule="auto"/>
              <w:jc w:val="center"/>
              <w:rPr>
                <w:rFonts w:hint="eastAsia"/>
                <w:snapToGrid/>
              </w:rPr>
            </w:pPr>
            <w:r>
              <w:rPr>
                <w:snapToGrid/>
              </w:rPr>
              <w:t>4.9</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360" w:lineRule="auto"/>
              <w:jc w:val="center"/>
              <w:rPr>
                <w:rFonts w:hint="eastAsia"/>
                <w:snapToGrid/>
              </w:rPr>
            </w:pPr>
            <w:r>
              <w:rPr>
                <w:snapToGrid/>
              </w:rPr>
              <w:t>5.1</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360" w:lineRule="auto"/>
              <w:jc w:val="center"/>
              <w:rPr>
                <w:rFonts w:hint="eastAsia"/>
                <w:snapToGrid/>
              </w:rPr>
            </w:pPr>
            <w:r>
              <w:rPr>
                <w:snapToGrid/>
              </w:rPr>
              <w:t>7.3</w:t>
            </w: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napToGrid/>
        </w:rPr>
      </w:pPr>
    </w:p>
    <w:p w:rsidR="00000000" w:rsidRDefault="00000000">
      <w:pPr>
        <w:pStyle w:val="Heading4"/>
      </w:pPr>
      <w:r>
        <w:br w:type="page"/>
      </w:r>
      <w:r>
        <w:rPr>
          <w:rFonts w:hint="eastAsia"/>
        </w:rPr>
        <w:t>通</w:t>
      </w:r>
      <w:r>
        <w:t xml:space="preserve"> </w:t>
      </w:r>
      <w:r>
        <w:rPr>
          <w:rFonts w:hint="eastAsia"/>
        </w:rPr>
        <w:t>胀</w:t>
      </w:r>
      <w:r>
        <w:t xml:space="preserve"> </w:t>
      </w:r>
      <w:r>
        <w:rPr>
          <w:rFonts w:hint="eastAsia"/>
        </w:rPr>
        <w:t>率</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341" w:lineRule="auto"/>
        <w:rPr>
          <w:snapToGrid/>
        </w:rPr>
      </w:pPr>
      <w:r>
        <w:rPr>
          <w:snapToGrid/>
        </w:rPr>
        <w:tab/>
      </w:r>
      <w:r>
        <w:rPr>
          <w:rFonts w:hint="eastAsia"/>
          <w:snapToGrid/>
        </w:rPr>
        <w:t>综合消费物价指数</w:t>
      </w:r>
      <w:r>
        <w:rPr>
          <w:rStyle w:val="FootnoteReference"/>
          <w:b w:val="0"/>
          <w:bCs/>
          <w:snapToGrid/>
        </w:rPr>
        <w:footnoteReference w:customMarkFollows="1" w:id="18"/>
        <w:t>*</w:t>
      </w:r>
    </w:p>
    <w:tbl>
      <w:tblPr>
        <w:tblW w:w="0" w:type="auto"/>
        <w:tblInd w:w="956" w:type="dxa"/>
        <w:tblLayout w:type="fixed"/>
        <w:tblCellMar>
          <w:left w:w="56" w:type="dxa"/>
          <w:right w:w="56" w:type="dxa"/>
        </w:tblCellMar>
        <w:tblLook w:val="0000" w:firstRow="0" w:lastRow="0" w:firstColumn="0" w:lastColumn="0" w:noHBand="0" w:noVBand="0"/>
      </w:tblPr>
      <w:tblGrid>
        <w:gridCol w:w="1800"/>
        <w:gridCol w:w="646"/>
        <w:gridCol w:w="1134"/>
        <w:gridCol w:w="2870"/>
        <w:gridCol w:w="520"/>
        <w:gridCol w:w="50"/>
      </w:tblGrid>
      <w:tr w:rsidR="00000000">
        <w:tblPrEx>
          <w:tblCellMar>
            <w:top w:w="0" w:type="dxa"/>
            <w:bottom w:w="0" w:type="dxa"/>
          </w:tblCellMar>
        </w:tblPrEx>
        <w:trPr>
          <w:cantSplit/>
        </w:trPr>
        <w:tc>
          <w:tcPr>
            <w:tcW w:w="180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360" w:lineRule="atLeast"/>
              <w:rPr>
                <w:snapToGrid/>
              </w:rPr>
            </w:pPr>
            <w:r>
              <w:rPr>
                <w:snapToGrid/>
              </w:rPr>
              <w:tab/>
            </w:r>
            <w:r>
              <w:rPr>
                <w:rFonts w:hint="eastAsia"/>
                <w:snapToGrid/>
                <w:u w:val="single"/>
              </w:rPr>
              <w:t>年</w:t>
            </w:r>
            <w:r>
              <w:rPr>
                <w:snapToGrid/>
                <w:u w:val="single"/>
              </w:rPr>
              <w:t xml:space="preserve"> </w:t>
            </w:r>
            <w:r>
              <w:rPr>
                <w:rFonts w:hint="eastAsia"/>
                <w:snapToGrid/>
                <w:u w:val="single"/>
              </w:rPr>
              <w:t>份</w:t>
            </w:r>
          </w:p>
        </w:tc>
        <w:tc>
          <w:tcPr>
            <w:tcW w:w="646"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360" w:lineRule="atLeast"/>
              <w:rPr>
                <w:snapToGrid/>
              </w:rPr>
            </w:pPr>
          </w:p>
        </w:tc>
        <w:tc>
          <w:tcPr>
            <w:tcW w:w="4574" w:type="dxa"/>
            <w:gridSpan w:val="4"/>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360" w:lineRule="atLeast"/>
              <w:jc w:val="right"/>
              <w:rPr>
                <w:snapToGrid/>
              </w:rPr>
            </w:pPr>
            <w:r>
              <w:rPr>
                <w:rFonts w:hint="eastAsia"/>
                <w:snapToGrid/>
                <w:u w:val="single"/>
              </w:rPr>
              <w:t>综合消费物价指数的按年升幅</w:t>
            </w:r>
            <w:r>
              <w:rPr>
                <w:snapToGrid/>
                <w:u w:val="single"/>
              </w:rPr>
              <w:t>(%)</w:t>
            </w: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1990</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10.2</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1991</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11.6</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1992</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9.6</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1993</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8.8</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1994</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8.8</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1995</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9.1</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1996</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6.3</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1997</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5.8</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snapToGrid/>
              </w:rPr>
            </w:pPr>
            <w:r>
              <w:rPr>
                <w:snapToGrid/>
              </w:rPr>
              <w:t>1998</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snapToGrid/>
              </w:rPr>
            </w:pPr>
            <w:r>
              <w:rPr>
                <w:snapToGrid/>
              </w:rPr>
              <w:t>2.8</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rFonts w:hint="eastAsia"/>
                <w:snapToGrid/>
              </w:rPr>
            </w:pPr>
            <w:r>
              <w:rPr>
                <w:snapToGrid/>
              </w:rPr>
              <w:t>1999</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rFonts w:hint="eastAsia"/>
                <w:snapToGrid/>
              </w:rPr>
            </w:pPr>
            <w:r>
              <w:rPr>
                <w:snapToGrid/>
              </w:rPr>
              <w:t>-4.0</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rFonts w:hint="eastAsia"/>
                <w:snapToGrid/>
              </w:rPr>
            </w:pPr>
            <w:r>
              <w:rPr>
                <w:snapToGrid/>
              </w:rPr>
              <w:t>2000</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rFonts w:hint="eastAsia"/>
                <w:snapToGrid/>
              </w:rPr>
            </w:pPr>
            <w:r>
              <w:rPr>
                <w:snapToGrid/>
              </w:rPr>
              <w:t>-3.8</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rFonts w:hint="eastAsia"/>
                <w:snapToGrid/>
              </w:rPr>
            </w:pPr>
            <w:r>
              <w:rPr>
                <w:snapToGrid/>
              </w:rPr>
              <w:t>2001</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rFonts w:hint="eastAsia"/>
                <w:snapToGrid/>
              </w:rPr>
            </w:pPr>
            <w:r>
              <w:rPr>
                <w:snapToGrid/>
              </w:rPr>
              <w:t>-1.6</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r w:rsidR="00000000">
        <w:tblPrEx>
          <w:tblCellMar>
            <w:top w:w="0" w:type="dxa"/>
            <w:bottom w:w="0" w:type="dxa"/>
          </w:tblCellMar>
        </w:tblPrEx>
        <w:trPr>
          <w:gridAfter w:val="1"/>
          <w:wAfter w:w="50" w:type="dxa"/>
        </w:trPr>
        <w:tc>
          <w:tcPr>
            <w:tcW w:w="3580" w:type="dxa"/>
            <w:gridSpan w:val="3"/>
          </w:tcPr>
          <w:p w:rsidR="00000000" w:rsidRDefault="00000000">
            <w:pPr>
              <w:tabs>
                <w:tab w:val="left" w:pos="47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ind w:left="-46" w:firstLine="344"/>
              <w:rPr>
                <w:rFonts w:hint="eastAsia"/>
                <w:snapToGrid/>
              </w:rPr>
            </w:pPr>
            <w:r>
              <w:rPr>
                <w:snapToGrid/>
              </w:rPr>
              <w:t>2002</w:t>
            </w:r>
          </w:p>
        </w:tc>
        <w:tc>
          <w:tcPr>
            <w:tcW w:w="28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right"/>
              <w:rPr>
                <w:rFonts w:hint="eastAsia"/>
                <w:snapToGrid/>
              </w:rPr>
            </w:pPr>
            <w:r>
              <w:rPr>
                <w:snapToGrid/>
              </w:rPr>
              <w:t>-3.0</w:t>
            </w:r>
          </w:p>
        </w:tc>
        <w:tc>
          <w:tcPr>
            <w:tcW w:w="5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snapToGrid/>
                <w:u w:val="single"/>
              </w:rPr>
            </w:pPr>
          </w:p>
        </w:tc>
      </w:tr>
    </w:tbl>
    <w:p w:rsidR="00000000" w:rsidRDefault="00000000">
      <w:pPr>
        <w:tabs>
          <w:tab w:val="left" w:pos="567"/>
          <w:tab w:val="left" w:pos="1134"/>
          <w:tab w:val="left" w:pos="1701"/>
          <w:tab w:val="left" w:pos="2268"/>
          <w:tab w:val="left" w:pos="2835"/>
        </w:tabs>
        <w:spacing w:line="264" w:lineRule="auto"/>
        <w:ind w:left="1701" w:hanging="1701"/>
        <w:rPr>
          <w:rFonts w:hint="eastAsia"/>
          <w:snapToGrid/>
        </w:rPr>
      </w:pP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240" w:after="120"/>
        <w:rPr>
          <w:snapToGrid/>
        </w:rPr>
      </w:pPr>
      <w:r>
        <w:rPr>
          <w:snapToGrid/>
        </w:rPr>
        <w:tab/>
      </w:r>
      <w:r>
        <w:rPr>
          <w:rFonts w:hint="eastAsia"/>
          <w:snapToGrid/>
        </w:rPr>
        <w:t>本地生产总值的内在平减物价指数</w:t>
      </w:r>
    </w:p>
    <w:tbl>
      <w:tblPr>
        <w:tblW w:w="0" w:type="auto"/>
        <w:tblInd w:w="1108" w:type="dxa"/>
        <w:tblLayout w:type="fixed"/>
        <w:tblCellMar>
          <w:left w:w="28" w:type="dxa"/>
          <w:right w:w="28" w:type="dxa"/>
        </w:tblCellMar>
        <w:tblLook w:val="0000" w:firstRow="0" w:lastRow="0" w:firstColumn="0" w:lastColumn="0" w:noHBand="0" w:noVBand="0"/>
      </w:tblPr>
      <w:tblGrid>
        <w:gridCol w:w="1681"/>
        <w:gridCol w:w="929"/>
        <w:gridCol w:w="929"/>
        <w:gridCol w:w="931"/>
        <w:gridCol w:w="929"/>
        <w:gridCol w:w="929"/>
        <w:gridCol w:w="933"/>
      </w:tblGrid>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264" w:lineRule="atLeast"/>
              <w:ind w:left="322"/>
              <w:jc w:val="left"/>
              <w:rPr>
                <w:snapToGrid/>
              </w:rPr>
            </w:pPr>
            <w:r>
              <w:rPr>
                <w:rFonts w:hint="eastAsia"/>
                <w:snapToGrid/>
                <w:u w:val="single"/>
              </w:rPr>
              <w:t>年</w:t>
            </w:r>
            <w:r>
              <w:rPr>
                <w:snapToGrid/>
                <w:u w:val="single"/>
              </w:rPr>
              <w:t xml:space="preserve"> </w:t>
            </w:r>
            <w:r>
              <w:rPr>
                <w:rFonts w:hint="eastAsia"/>
                <w:snapToGrid/>
                <w:u w:val="single"/>
              </w:rPr>
              <w:t>份</w:t>
            </w:r>
          </w:p>
        </w:tc>
        <w:tc>
          <w:tcPr>
            <w:tcW w:w="2789"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264" w:lineRule="atLeast"/>
              <w:jc w:val="center"/>
              <w:rPr>
                <w:snapToGrid/>
              </w:rPr>
            </w:pPr>
            <w:r>
              <w:rPr>
                <w:snapToGrid/>
                <w:u w:val="single"/>
              </w:rPr>
              <w:t>(2000</w:t>
            </w:r>
            <w:r>
              <w:rPr>
                <w:rFonts w:hint="eastAsia"/>
                <w:snapToGrid/>
                <w:u w:val="single"/>
              </w:rPr>
              <w:t>年</w:t>
            </w:r>
            <w:r>
              <w:rPr>
                <w:snapToGrid/>
                <w:u w:val="single"/>
              </w:rPr>
              <w:t xml:space="preserve"> = 100)</w:t>
            </w:r>
          </w:p>
        </w:tc>
        <w:tc>
          <w:tcPr>
            <w:tcW w:w="279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264" w:lineRule="atLeast"/>
              <w:jc w:val="center"/>
              <w:rPr>
                <w:snapToGrid/>
              </w:rPr>
            </w:pPr>
            <w:r>
              <w:rPr>
                <w:rFonts w:hint="eastAsia"/>
                <w:snapToGrid/>
                <w:u w:val="single"/>
              </w:rPr>
              <w:t>每年变动率</w:t>
            </w:r>
            <w:r>
              <w:rPr>
                <w:snapToGrid/>
                <w:u w:val="single"/>
              </w:rPr>
              <w:t>(%)</w:t>
            </w: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snapToGrid/>
              </w:rPr>
            </w:pPr>
            <w:r>
              <w:rPr>
                <w:snapToGrid/>
              </w:rPr>
              <w:t>1990</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71.0</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7.4</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snapToGrid/>
              </w:rPr>
            </w:pPr>
            <w:r>
              <w:rPr>
                <w:snapToGrid/>
              </w:rPr>
              <w:t>1991</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77.5</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9.2</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snapToGrid/>
              </w:rPr>
            </w:pPr>
            <w:r>
              <w:rPr>
                <w:snapToGrid/>
              </w:rPr>
              <w:t>1992</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84.9</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9.5</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snapToGrid/>
              </w:rPr>
            </w:pPr>
            <w:r>
              <w:rPr>
                <w:snapToGrid/>
              </w:rPr>
              <w:t>1993</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92.1</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8.5</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snapToGrid/>
              </w:rPr>
            </w:pPr>
            <w:r>
              <w:rPr>
                <w:snapToGrid/>
              </w:rPr>
              <w:t>1994</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98.5</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6.9</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snapToGrid/>
              </w:rPr>
            </w:pPr>
            <w:r>
              <w:rPr>
                <w:snapToGrid/>
              </w:rPr>
              <w:t>1995</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101.0</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2.5</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snapToGrid/>
              </w:rPr>
            </w:pPr>
            <w:r>
              <w:rPr>
                <w:snapToGrid/>
              </w:rPr>
              <w:t>1996</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106.9</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5.8</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rFonts w:hint="eastAsia"/>
                <w:snapToGrid/>
              </w:rPr>
            </w:pPr>
            <w:r>
              <w:rPr>
                <w:snapToGrid/>
              </w:rPr>
              <w:t>1997</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113.0</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5.7</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rFonts w:hint="eastAsia"/>
                <w:snapToGrid/>
              </w:rPr>
            </w:pPr>
            <w:r>
              <w:rPr>
                <w:snapToGrid/>
              </w:rPr>
              <w:t>1998</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113.2</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0.2</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rFonts w:hint="eastAsia"/>
                <w:snapToGrid/>
              </w:rPr>
            </w:pPr>
            <w:r>
              <w:rPr>
                <w:snapToGrid/>
              </w:rPr>
              <w:t>1999</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106.6</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-5.8</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rFonts w:hint="eastAsia"/>
                <w:snapToGrid/>
              </w:rPr>
            </w:pPr>
            <w:r>
              <w:rPr>
                <w:snapToGrid/>
              </w:rPr>
              <w:t>2000</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100.0</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rFonts w:hint="eastAsia"/>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-6.2</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rFonts w:hint="eastAsia"/>
                <w:snapToGrid/>
              </w:rPr>
            </w:pPr>
            <w:r>
              <w:rPr>
                <w:snapToGrid/>
              </w:rPr>
              <w:t>2001</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98.6</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rFonts w:hint="eastAsia"/>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-1.4</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r w:rsidR="00000000">
        <w:tblPrEx>
          <w:tblCellMar>
            <w:top w:w="0" w:type="dxa"/>
            <w:bottom w:w="0" w:type="dxa"/>
          </w:tblCellMar>
        </w:tblPrEx>
        <w:tc>
          <w:tcPr>
            <w:tcW w:w="168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ind w:left="113"/>
              <w:rPr>
                <w:rFonts w:hint="eastAsia"/>
                <w:snapToGrid/>
              </w:rPr>
            </w:pPr>
            <w:r>
              <w:rPr>
                <w:snapToGrid/>
              </w:rPr>
              <w:t>2002</w:t>
            </w: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95.9</w:t>
            </w:r>
          </w:p>
        </w:tc>
        <w:tc>
          <w:tcPr>
            <w:tcW w:w="93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rFonts w:hint="eastAsia"/>
                <w:snapToGrid/>
                <w:u w:val="single"/>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right"/>
              <w:rPr>
                <w:rFonts w:hint="eastAsia"/>
                <w:snapToGrid/>
              </w:rPr>
            </w:pPr>
            <w:r>
              <w:rPr>
                <w:snapToGrid/>
              </w:rPr>
              <w:t>-2.7</w:t>
            </w:r>
          </w:p>
        </w:tc>
        <w:tc>
          <w:tcPr>
            <w:tcW w:w="933"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tLeast"/>
              <w:jc w:val="center"/>
              <w:rPr>
                <w:snapToGrid/>
                <w:u w:val="single"/>
              </w:rPr>
            </w:pP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rPr>
          <w:rFonts w:hint="eastAsia"/>
          <w:snapToGrid/>
        </w:rPr>
      </w:pPr>
    </w:p>
    <w:p w:rsidR="00000000" w:rsidRDefault="00000000">
      <w:pPr>
        <w:pStyle w:val="Heading4"/>
      </w:pPr>
      <w:r>
        <w:t>1990</w:t>
      </w:r>
      <w:r>
        <w:rPr>
          <w:rFonts w:hint="eastAsia"/>
        </w:rPr>
        <w:t>至</w:t>
      </w:r>
      <w:r>
        <w:t>2002</w:t>
      </w:r>
      <w:r>
        <w:rPr>
          <w:rFonts w:hint="eastAsia"/>
        </w:rPr>
        <w:t>年的本地生产总值</w:t>
      </w:r>
    </w:p>
    <w:tbl>
      <w:tblPr>
        <w:tblW w:w="0" w:type="auto"/>
        <w:tblInd w:w="568" w:type="dxa"/>
        <w:tblLayout w:type="fixed"/>
        <w:tblCellMar>
          <w:left w:w="28" w:type="dxa"/>
          <w:right w:w="28" w:type="dxa"/>
        </w:tblCellMar>
        <w:tblLook w:val="0000" w:firstRow="0" w:lastRow="0" w:firstColumn="0" w:lastColumn="0" w:noHBand="0" w:noVBand="0"/>
      </w:tblPr>
      <w:tblGrid>
        <w:gridCol w:w="720"/>
        <w:gridCol w:w="1425"/>
        <w:gridCol w:w="76"/>
        <w:gridCol w:w="359"/>
        <w:gridCol w:w="1499"/>
        <w:gridCol w:w="541"/>
        <w:gridCol w:w="390"/>
        <w:gridCol w:w="812"/>
        <w:gridCol w:w="1380"/>
        <w:gridCol w:w="1080"/>
      </w:tblGrid>
      <w:tr w:rsidR="00000000">
        <w:tblPrEx>
          <w:tblCellMar>
            <w:top w:w="0" w:type="dxa"/>
            <w:bottom w:w="0" w:type="dxa"/>
          </w:tblCellMar>
        </w:tblPrEx>
        <w:tc>
          <w:tcPr>
            <w:tcW w:w="7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snapToGrid/>
              </w:rPr>
            </w:pPr>
          </w:p>
        </w:tc>
        <w:tc>
          <w:tcPr>
            <w:tcW w:w="1425" w:type="dxa"/>
            <w:tcBorders>
              <w:bottom w:val="single" w:sz="6" w:space="0" w:color="auto"/>
            </w:tcBorders>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80" w:line="240" w:lineRule="auto"/>
              <w:jc w:val="center"/>
              <w:rPr>
                <w:snapToGrid/>
              </w:rPr>
            </w:pPr>
            <w:r>
              <w:rPr>
                <w:snapToGrid/>
              </w:rPr>
              <w:t xml:space="preserve">  </w:t>
            </w:r>
            <w:r>
              <w:rPr>
                <w:rFonts w:hint="eastAsia"/>
                <w:snapToGrid/>
              </w:rPr>
              <w:t>年</w:t>
            </w:r>
            <w:r>
              <w:rPr>
                <w:snapToGrid/>
              </w:rPr>
              <w:t xml:space="preserve"> </w:t>
            </w:r>
            <w:r>
              <w:rPr>
                <w:rFonts w:hint="eastAsia"/>
                <w:snapToGrid/>
              </w:rPr>
              <w:t>份</w:t>
            </w:r>
          </w:p>
        </w:tc>
        <w:tc>
          <w:tcPr>
            <w:tcW w:w="76"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snapToGrid/>
              </w:rPr>
            </w:pPr>
          </w:p>
        </w:tc>
        <w:tc>
          <w:tcPr>
            <w:tcW w:w="35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2040" w:type="dxa"/>
            <w:gridSpan w:val="2"/>
            <w:tcBorders>
              <w:bottom w:val="single" w:sz="6" w:space="0" w:color="auto"/>
            </w:tcBorders>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rFonts w:hint="eastAsia"/>
                <w:snapToGrid/>
              </w:rPr>
              <w:t>按当时市价计算</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w:t>
            </w:r>
            <w:r>
              <w:rPr>
                <w:rFonts w:hint="eastAsia"/>
                <w:snapToGrid/>
              </w:rPr>
              <w:t>百万美元</w:t>
            </w:r>
            <w:r>
              <w:rPr>
                <w:snapToGrid/>
              </w:rPr>
              <w:t>)</w:t>
            </w:r>
            <w:r>
              <w:rPr>
                <w:rStyle w:val="FootnoteReference"/>
                <w:b w:val="0"/>
                <w:bCs/>
                <w:snapToGrid/>
              </w:rPr>
              <w:footnoteReference w:customMarkFollows="1" w:id="19"/>
              <w:t>*</w:t>
            </w:r>
          </w:p>
        </w:tc>
        <w:tc>
          <w:tcPr>
            <w:tcW w:w="39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3272" w:type="dxa"/>
            <w:gridSpan w:val="3"/>
            <w:tcBorders>
              <w:bottom w:val="single" w:sz="6" w:space="0" w:color="auto"/>
            </w:tcBorders>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rFonts w:hint="eastAsia"/>
                <w:snapToGrid/>
              </w:rPr>
              <w:t>按</w:t>
            </w:r>
            <w:r>
              <w:rPr>
                <w:snapToGrid/>
              </w:rPr>
              <w:t>2000</w:t>
            </w:r>
            <w:r>
              <w:rPr>
                <w:rFonts w:hint="eastAsia"/>
                <w:snapToGrid/>
              </w:rPr>
              <w:t>年的固定市价计算</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lang w:eastAsia="zh-TW"/>
              </w:rPr>
            </w:pPr>
            <w:r>
              <w:rPr>
                <w:snapToGrid/>
              </w:rPr>
              <w:t>(</w:t>
            </w:r>
            <w:r>
              <w:rPr>
                <w:rFonts w:hint="eastAsia"/>
                <w:snapToGrid/>
              </w:rPr>
              <w:t>百万美元</w:t>
            </w:r>
            <w:r>
              <w:rPr>
                <w:snapToGrid/>
              </w:rPr>
              <w:t>)</w:t>
            </w:r>
            <w:r>
              <w:rPr>
                <w:rStyle w:val="FootnoteReference"/>
                <w:b w:val="0"/>
                <w:bCs/>
                <w:snapToGrid/>
                <w:lang w:eastAsia="zh-TW"/>
              </w:rPr>
              <w:footnoteReference w:customMarkFollows="1" w:id="20"/>
              <w:t>**</w:t>
            </w: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240" w:lineRule="auto"/>
              <w:ind w:left="212" w:firstLine="650"/>
              <w:jc w:val="center"/>
              <w:rPr>
                <w:snapToGrid/>
                <w:lang w:eastAsia="zh-TW"/>
              </w:rPr>
            </w:pPr>
            <w:r>
              <w:rPr>
                <w:snapToGrid/>
              </w:rPr>
              <w:t>1990</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240" w:lineRule="auto"/>
              <w:jc w:val="right"/>
              <w:rPr>
                <w:snapToGrid/>
                <w:lang w:eastAsia="zh-TW"/>
              </w:rPr>
            </w:pPr>
            <w:r>
              <w:rPr>
                <w:snapToGrid/>
              </w:rPr>
              <w:t>75,442</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240" w:lineRule="auto"/>
              <w:jc w:val="right"/>
              <w:rPr>
                <w:snapToGrid/>
                <w:lang w:eastAsia="zh-TW"/>
              </w:rPr>
            </w:pPr>
            <w:r>
              <w:rPr>
                <w:snapToGrid/>
              </w:rPr>
              <w:t>106,236</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snapToGrid/>
                <w:lang w:eastAsia="zh-TW"/>
              </w:rPr>
            </w:pPr>
            <w:r>
              <w:rPr>
                <w:snapToGrid/>
              </w:rPr>
              <w:t>1991</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87,151</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112,486</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snapToGrid/>
                <w:lang w:eastAsia="zh-TW"/>
              </w:rPr>
            </w:pPr>
            <w:r>
              <w:rPr>
                <w:snapToGrid/>
              </w:rPr>
              <w:t>1992</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102,224</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120,358</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snapToGrid/>
                <w:lang w:eastAsia="zh-TW"/>
              </w:rPr>
            </w:pPr>
            <w:r>
              <w:rPr>
                <w:snapToGrid/>
              </w:rPr>
              <w:t>1993</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117,995</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128,081</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snapToGrid/>
                <w:lang w:eastAsia="zh-TW"/>
              </w:rPr>
            </w:pPr>
            <w:r>
              <w:rPr>
                <w:snapToGrid/>
              </w:rPr>
              <w:t>1994</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133,252</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135,242</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snapToGrid/>
                <w:lang w:eastAsia="zh-TW"/>
              </w:rPr>
            </w:pPr>
            <w:r>
              <w:rPr>
                <w:snapToGrid/>
              </w:rPr>
              <w:t>1995</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141,709</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140,352</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snapToGrid/>
                <w:lang w:eastAsia="zh-TW"/>
              </w:rPr>
            </w:pPr>
            <w:r>
              <w:rPr>
                <w:snapToGrid/>
              </w:rPr>
              <w:t>1996</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156,572</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146,434</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rFonts w:hint="eastAsia"/>
                <w:snapToGrid/>
                <w:lang w:eastAsia="zh-TW"/>
              </w:rPr>
            </w:pPr>
            <w:r>
              <w:rPr>
                <w:snapToGrid/>
              </w:rPr>
              <w:t>1997</w:t>
            </w:r>
            <w:r>
              <w:rPr>
                <w:snapToGrid/>
                <w:vertAlign w:val="superscript"/>
                <w:lang w:eastAsia="zh-TW"/>
              </w:rPr>
              <w:br w:type="page"/>
            </w:r>
            <w:r>
              <w:rPr>
                <w:snapToGrid/>
                <w:vertAlign w:val="superscript"/>
                <w:lang w:eastAsia="zh-TW"/>
              </w:rPr>
              <w:br w:type="page"/>
            </w:r>
            <w:r>
              <w:rPr>
                <w:snapToGrid/>
                <w:vertAlign w:val="superscript"/>
                <w:lang w:eastAsia="zh-TW"/>
              </w:rPr>
              <w:br w:type="page"/>
            </w:r>
            <w:r>
              <w:rPr>
                <w:snapToGrid/>
                <w:vertAlign w:val="superscript"/>
                <w:lang w:eastAsia="zh-TW"/>
              </w:rPr>
              <w:br w:type="page"/>
            </w:r>
            <w:r>
              <w:rPr>
                <w:snapToGrid/>
                <w:vertAlign w:val="superscript"/>
                <w:lang w:eastAsia="zh-TW"/>
              </w:rPr>
              <w:br w:type="page"/>
            </w:r>
            <w:r>
              <w:rPr>
                <w:snapToGrid/>
                <w:vertAlign w:val="superscript"/>
                <w:lang w:eastAsia="zh-TW"/>
              </w:rPr>
              <w:br w:type="page"/>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173,669</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153,703</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rFonts w:hint="eastAsia"/>
                <w:snapToGrid/>
                <w:lang w:eastAsia="zh-TW"/>
              </w:rPr>
            </w:pPr>
            <w:r>
              <w:rPr>
                <w:snapToGrid/>
              </w:rPr>
              <w:t>1998</w:t>
            </w:r>
            <w:r>
              <w:rPr>
                <w:snapToGrid/>
                <w:vertAlign w:val="superscript"/>
                <w:lang w:eastAsia="zh-TW"/>
              </w:rPr>
              <w:br w:type="page"/>
            </w:r>
            <w:r>
              <w:rPr>
                <w:snapToGrid/>
                <w:vertAlign w:val="superscript"/>
                <w:lang w:eastAsia="zh-TW"/>
              </w:rPr>
              <w:br w:type="page"/>
            </w:r>
            <w:r>
              <w:rPr>
                <w:snapToGrid/>
                <w:vertAlign w:val="superscript"/>
                <w:lang w:eastAsia="zh-TW"/>
              </w:rPr>
              <w:br w:type="page"/>
            </w:r>
            <w:r>
              <w:rPr>
                <w:snapToGrid/>
                <w:vertAlign w:val="superscript"/>
                <w:lang w:eastAsia="zh-TW"/>
              </w:rPr>
              <w:br w:type="page"/>
            </w:r>
            <w:r>
              <w:rPr>
                <w:snapToGrid/>
                <w:vertAlign w:val="superscript"/>
                <w:lang w:eastAsia="zh-TW"/>
              </w:rPr>
              <w:br w:type="page"/>
            </w:r>
            <w:r>
              <w:rPr>
                <w:snapToGrid/>
                <w:vertAlign w:val="superscript"/>
                <w:lang w:eastAsia="zh-TW"/>
              </w:rPr>
              <w:br w:type="page"/>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165,249</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146,009</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rFonts w:hint="eastAsia"/>
                <w:snapToGrid/>
                <w:lang w:eastAsia="zh-TW"/>
              </w:rPr>
            </w:pPr>
            <w:r>
              <w:rPr>
                <w:snapToGrid/>
              </w:rPr>
              <w:t>1999</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160,626</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150,744</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rFonts w:hint="eastAsia"/>
                <w:snapToGrid/>
                <w:lang w:eastAsia="zh-TW"/>
              </w:rPr>
            </w:pPr>
            <w:r>
              <w:rPr>
                <w:snapToGrid/>
              </w:rPr>
              <w:t>2000</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165,362</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165,362</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snapToGrid/>
                <w:lang w:eastAsia="zh-TW"/>
              </w:rPr>
            </w:pPr>
            <w:r>
              <w:rPr>
                <w:snapToGrid/>
              </w:rPr>
              <w:t>2001</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163,995</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166,241</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r w:rsidR="00000000">
        <w:tblPrEx>
          <w:tblCellMar>
            <w:top w:w="0" w:type="dxa"/>
            <w:bottom w:w="0" w:type="dxa"/>
          </w:tblCellMar>
        </w:tblPrEx>
        <w:tc>
          <w:tcPr>
            <w:tcW w:w="2221" w:type="dxa"/>
            <w:gridSpan w:val="3"/>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212" w:firstLine="650"/>
              <w:jc w:val="center"/>
              <w:rPr>
                <w:snapToGrid/>
                <w:lang w:eastAsia="zh-TW"/>
              </w:rPr>
            </w:pPr>
            <w:r>
              <w:rPr>
                <w:snapToGrid/>
              </w:rPr>
              <w:t>2002</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162,980</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lang w:eastAsia="zh-TW"/>
              </w:rPr>
            </w:pP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c>
          <w:tcPr>
            <w:tcW w:w="13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lang w:eastAsia="zh-TW"/>
              </w:rPr>
            </w:pPr>
            <w:r>
              <w:rPr>
                <w:snapToGrid/>
              </w:rPr>
              <w:t>169,982</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u w:val="single"/>
                <w:lang w:eastAsia="zh-TW"/>
              </w:rPr>
            </w:pP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b/>
          <w:snapToGrid/>
          <w:lang w:eastAsia="zh-TW"/>
        </w:rPr>
      </w:pPr>
    </w:p>
    <w:p w:rsidR="00000000" w:rsidRDefault="00000000">
      <w:pPr>
        <w:pStyle w:val="Heading4"/>
        <w:spacing w:after="160"/>
        <w:rPr>
          <w:lang w:eastAsia="zh-TW"/>
        </w:rPr>
      </w:pPr>
      <w:r>
        <w:rPr>
          <w:rFonts w:hint="eastAsia"/>
        </w:rPr>
        <w:t>人口平均收入</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60"/>
        <w:rPr>
          <w:snapToGrid/>
        </w:rPr>
      </w:pPr>
      <w:r>
        <w:rPr>
          <w:snapToGrid/>
        </w:rPr>
        <w:tab/>
        <w:t>(1990</w:t>
      </w:r>
      <w:r>
        <w:rPr>
          <w:rFonts w:hint="eastAsia"/>
          <w:snapToGrid/>
        </w:rPr>
        <w:t>至</w:t>
      </w:r>
      <w:r>
        <w:rPr>
          <w:snapToGrid/>
        </w:rPr>
        <w:t>2002</w:t>
      </w:r>
      <w:r>
        <w:rPr>
          <w:rFonts w:hint="eastAsia"/>
          <w:snapToGrid/>
        </w:rPr>
        <w:t>年按人口平均计算的本地生产总值</w:t>
      </w:r>
      <w:r>
        <w:rPr>
          <w:snapToGrid/>
        </w:rPr>
        <w:t>)</w:t>
      </w:r>
    </w:p>
    <w:tbl>
      <w:tblPr>
        <w:tblW w:w="0" w:type="auto"/>
        <w:tblInd w:w="1288" w:type="dxa"/>
        <w:tblLayout w:type="fixed"/>
        <w:tblCellMar>
          <w:left w:w="28" w:type="dxa"/>
          <w:right w:w="28" w:type="dxa"/>
        </w:tblCellMar>
        <w:tblLook w:val="0000" w:firstRow="0" w:lastRow="0" w:firstColumn="0" w:lastColumn="0" w:noHBand="0" w:noVBand="0"/>
      </w:tblPr>
      <w:tblGrid>
        <w:gridCol w:w="1501"/>
        <w:gridCol w:w="479"/>
        <w:gridCol w:w="1379"/>
        <w:gridCol w:w="661"/>
        <w:gridCol w:w="270"/>
        <w:gridCol w:w="929"/>
        <w:gridCol w:w="1711"/>
        <w:gridCol w:w="812"/>
      </w:tblGrid>
      <w:tr w:rsidR="00000000">
        <w:tblPrEx>
          <w:tblCellMar>
            <w:top w:w="0" w:type="dxa"/>
            <w:bottom w:w="0" w:type="dxa"/>
          </w:tblCellMar>
        </w:tblPrEx>
        <w:trPr>
          <w:cantSplit/>
        </w:trPr>
        <w:tc>
          <w:tcPr>
            <w:tcW w:w="1501" w:type="dxa"/>
            <w:tcBorders>
              <w:bottom w:val="single" w:sz="4" w:space="0" w:color="auto"/>
            </w:tcBorders>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80" w:line="240" w:lineRule="auto"/>
              <w:ind w:left="113"/>
              <w:jc w:val="center"/>
              <w:rPr>
                <w:snapToGrid/>
              </w:rPr>
            </w:pPr>
            <w:r>
              <w:rPr>
                <w:rFonts w:hint="eastAsia"/>
                <w:snapToGrid/>
              </w:rPr>
              <w:t>年</w:t>
            </w:r>
            <w:r>
              <w:rPr>
                <w:snapToGrid/>
              </w:rPr>
              <w:t xml:space="preserve"> </w:t>
            </w:r>
            <w:r>
              <w:rPr>
                <w:rFonts w:hint="eastAsia"/>
                <w:snapToGrid/>
              </w:rPr>
              <w:t>份</w:t>
            </w:r>
          </w:p>
        </w:tc>
        <w:tc>
          <w:tcPr>
            <w:tcW w:w="47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2040" w:type="dxa"/>
            <w:gridSpan w:val="2"/>
            <w:tcBorders>
              <w:bottom w:val="single" w:sz="6" w:space="0" w:color="auto"/>
            </w:tcBorders>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rFonts w:hint="eastAsia"/>
                <w:snapToGrid/>
              </w:rPr>
              <w:t>按当时市价计算</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rFonts w:hint="eastAsia"/>
                <w:snapToGrid/>
              </w:rPr>
              <w:t>(</w:t>
            </w:r>
            <w:r>
              <w:rPr>
                <w:rFonts w:hint="eastAsia"/>
                <w:snapToGrid/>
              </w:rPr>
              <w:t>美元</w:t>
            </w:r>
            <w:r>
              <w:rPr>
                <w:rFonts w:hint="eastAsia"/>
                <w:snapToGrid/>
              </w:rPr>
              <w:t>)</w:t>
            </w:r>
          </w:p>
        </w:tc>
        <w:tc>
          <w:tcPr>
            <w:tcW w:w="27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3452" w:type="dxa"/>
            <w:gridSpan w:val="3"/>
            <w:tcBorders>
              <w:bottom w:val="single" w:sz="6" w:space="0" w:color="auto"/>
            </w:tcBorders>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rFonts w:hint="eastAsia"/>
                <w:snapToGrid/>
              </w:rPr>
              <w:t>按</w:t>
            </w:r>
            <w:r>
              <w:rPr>
                <w:snapToGrid/>
              </w:rPr>
              <w:t>2000</w:t>
            </w:r>
            <w:r>
              <w:rPr>
                <w:rFonts w:hint="eastAsia"/>
                <w:snapToGrid/>
              </w:rPr>
              <w:t>年的固定市价计算</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rPr>
            </w:pPr>
            <w:r>
              <w:rPr>
                <w:snapToGrid/>
              </w:rPr>
              <w:t xml:space="preserve"> (</w:t>
            </w:r>
            <w:r>
              <w:rPr>
                <w:rFonts w:hint="eastAsia"/>
                <w:snapToGrid/>
              </w:rPr>
              <w:t>美元</w:t>
            </w:r>
            <w:r>
              <w:rPr>
                <w:snapToGrid/>
              </w:rPr>
              <w:t>)</w:t>
            </w: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40" w:lineRule="auto"/>
              <w:ind w:left="113"/>
              <w:jc w:val="center"/>
              <w:rPr>
                <w:snapToGrid/>
              </w:rPr>
            </w:pPr>
            <w:r>
              <w:rPr>
                <w:snapToGrid/>
              </w:rPr>
              <w:t>1990</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40" w:lineRule="auto"/>
              <w:jc w:val="right"/>
              <w:rPr>
                <w:snapToGrid/>
              </w:rPr>
            </w:pPr>
            <w:r>
              <w:rPr>
                <w:snapToGrid/>
              </w:rPr>
              <w:t>13,225</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40" w:lineRule="auto"/>
              <w:jc w:val="center"/>
              <w:rPr>
                <w:snapToGrid/>
              </w:rPr>
            </w:pPr>
            <w:r>
              <w:rPr>
                <w:snapToGrid/>
              </w:rPr>
              <w:t>18,623</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1991</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15,151</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19,556</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1992</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17,623</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20,750</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1993</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19,996</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21,705</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1994</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22,078</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22,408</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1995</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23,019</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22,799</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1996</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24,329</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22,754</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1997</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26,762</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23,686</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rFonts w:hint="eastAsia"/>
                <w:snapToGrid/>
              </w:rPr>
            </w:pPr>
            <w:r>
              <w:rPr>
                <w:snapToGrid/>
              </w:rPr>
              <w:t>1998</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25,253</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22,313</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rFonts w:hint="eastAsia"/>
                <w:snapToGrid/>
              </w:rPr>
            </w:pPr>
            <w:r>
              <w:rPr>
                <w:snapToGrid/>
              </w:rPr>
              <w:t>1999</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24,313</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22,818</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rFonts w:hint="eastAsia"/>
                <w:snapToGrid/>
              </w:rPr>
            </w:pPr>
            <w:r>
              <w:rPr>
                <w:snapToGrid/>
              </w:rPr>
              <w:t>2000</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24,811</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24,811</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2001</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24,386</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24,720</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r w:rsidR="00000000">
        <w:tblPrEx>
          <w:tblCellMar>
            <w:top w:w="0" w:type="dxa"/>
            <w:bottom w:w="0" w:type="dxa"/>
          </w:tblCellMar>
        </w:tblPrEx>
        <w:tc>
          <w:tcPr>
            <w:tcW w:w="150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ind w:left="113"/>
              <w:jc w:val="center"/>
              <w:rPr>
                <w:snapToGrid/>
              </w:rPr>
            </w:pPr>
            <w:r>
              <w:rPr>
                <w:snapToGrid/>
              </w:rPr>
              <w:t>2002</w:t>
            </w:r>
          </w:p>
        </w:tc>
        <w:tc>
          <w:tcPr>
            <w:tcW w:w="1858"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right"/>
              <w:rPr>
                <w:snapToGrid/>
              </w:rPr>
            </w:pPr>
            <w:r>
              <w:rPr>
                <w:snapToGrid/>
              </w:rPr>
              <w:t>24,014</w:t>
            </w:r>
          </w:p>
        </w:tc>
        <w:tc>
          <w:tcPr>
            <w:tcW w:w="931" w:type="dxa"/>
            <w:gridSpan w:val="2"/>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929"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c>
          <w:tcPr>
            <w:tcW w:w="1711"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r>
              <w:rPr>
                <w:snapToGrid/>
              </w:rPr>
              <w:t>25,045</w:t>
            </w:r>
          </w:p>
        </w:tc>
        <w:tc>
          <w:tcPr>
            <w:tcW w:w="812"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napToGrid/>
              </w:rPr>
            </w:pPr>
          </w:p>
        </w:tc>
      </w:tr>
    </w:tbl>
    <w:p w:rsidR="00000000" w:rsidRDefault="00000000">
      <w:pPr>
        <w:pStyle w:val="Heading4"/>
        <w:rPr>
          <w:bCs/>
        </w:rPr>
      </w:pPr>
      <w:r>
        <w:rPr>
          <w:rFonts w:hint="eastAsia"/>
          <w:bCs/>
        </w:rPr>
        <w:t>外债</w:t>
      </w:r>
      <w:r>
        <w:rPr>
          <w:rFonts w:hint="eastAsia"/>
          <w:bCs/>
          <w:u w:val="none"/>
        </w:rPr>
        <w:t>：香港特区政府并无任何外债。</w:t>
      </w:r>
    </w:p>
    <w:p w:rsidR="00000000" w:rsidRDefault="00000000">
      <w:pPr>
        <w:pStyle w:val="Heading4"/>
        <w:rPr>
          <w:rFonts w:hint="eastAsia"/>
        </w:rPr>
      </w:pPr>
      <w:r>
        <w:rPr>
          <w:rFonts w:hint="eastAsia"/>
        </w:rPr>
        <w:t>香港人口的种族结构</w:t>
      </w:r>
    </w:p>
    <w:tbl>
      <w:tblPr>
        <w:tblW w:w="0" w:type="auto"/>
        <w:tblInd w:w="1108" w:type="dxa"/>
        <w:tblLayout w:type="fixed"/>
        <w:tblCellMar>
          <w:left w:w="28" w:type="dxa"/>
          <w:right w:w="28" w:type="dxa"/>
        </w:tblCellMar>
        <w:tblLook w:val="0000" w:firstRow="0" w:lastRow="0" w:firstColumn="0" w:lastColumn="0" w:noHBand="0" w:noVBand="0"/>
      </w:tblPr>
      <w:tblGrid>
        <w:gridCol w:w="1440"/>
        <w:gridCol w:w="1080"/>
        <w:gridCol w:w="1260"/>
        <w:gridCol w:w="1620"/>
        <w:gridCol w:w="2160"/>
      </w:tblGrid>
      <w:tr w:rsidR="00000000">
        <w:tblPrEx>
          <w:tblCellMar>
            <w:top w:w="0" w:type="dxa"/>
            <w:bottom w:w="0" w:type="dxa"/>
          </w:tblCellMar>
        </w:tblPrEx>
        <w:trPr>
          <w:cantSplit/>
        </w:trPr>
        <w:tc>
          <w:tcPr>
            <w:tcW w:w="7560" w:type="dxa"/>
            <w:gridSpan w:val="5"/>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ascii="Time New Roman" w:eastAsia="SimHei" w:hAnsi="Time New Roman" w:hint="eastAsia"/>
                <w:bCs/>
                <w:snapToGrid/>
                <w:lang w:eastAsia="zh-TW"/>
              </w:rPr>
            </w:pPr>
            <w:r>
              <w:rPr>
                <w:rFonts w:ascii="Time New Roman" w:eastAsia="SimHei" w:hAnsi="Time New Roman"/>
                <w:b/>
                <w:bCs/>
                <w:snapToGrid/>
              </w:rPr>
              <w:t>2001</w:t>
            </w:r>
            <w:r>
              <w:rPr>
                <w:rFonts w:ascii="Time New Roman" w:eastAsia="SimHei" w:hAnsi="Time New Roman" w:hint="eastAsia"/>
                <w:bCs/>
                <w:snapToGrid/>
              </w:rPr>
              <w:t>年按种族划分的人口</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lang w:eastAsia="zh-TW"/>
              </w:rPr>
            </w:pP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lang w:eastAsia="zh-TW"/>
              </w:rPr>
            </w:pP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lang w:eastAsia="zh-TW"/>
              </w:rPr>
            </w:pPr>
          </w:p>
        </w:tc>
        <w:tc>
          <w:tcPr>
            <w:tcW w:w="16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lang w:eastAsia="zh-TW"/>
              </w:rPr>
            </w:pPr>
          </w:p>
        </w:tc>
        <w:tc>
          <w:tcPr>
            <w:tcW w:w="21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lang w:eastAsia="zh-TW"/>
              </w:rPr>
            </w:pP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u w:val="single"/>
                <w:lang w:eastAsia="zh-TW"/>
              </w:rPr>
            </w:pPr>
            <w:r>
              <w:rPr>
                <w:rFonts w:hint="eastAsia"/>
                <w:snapToGrid/>
                <w:sz w:val="22"/>
                <w:u w:val="single"/>
              </w:rPr>
              <w:t>种</w:t>
            </w:r>
            <w:r>
              <w:rPr>
                <w:snapToGrid/>
                <w:sz w:val="22"/>
                <w:u w:val="single"/>
              </w:rPr>
              <w:t xml:space="preserve">  </w:t>
            </w:r>
            <w:r>
              <w:rPr>
                <w:rFonts w:hint="eastAsia"/>
                <w:snapToGrid/>
                <w:sz w:val="22"/>
                <w:u w:val="single"/>
              </w:rPr>
              <w:t>族</w:t>
            </w: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u w:val="single"/>
                <w:lang w:eastAsia="zh-TW"/>
              </w:rPr>
            </w:pPr>
            <w:r>
              <w:rPr>
                <w:rFonts w:hint="eastAsia"/>
                <w:snapToGrid/>
                <w:sz w:val="22"/>
                <w:u w:val="single"/>
              </w:rPr>
              <w:t>男性</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u w:val="single"/>
                <w:lang w:eastAsia="zh-TW"/>
              </w:rPr>
            </w:pPr>
            <w:r>
              <w:rPr>
                <w:rFonts w:hint="eastAsia"/>
                <w:snapToGrid/>
                <w:sz w:val="22"/>
                <w:u w:val="single"/>
              </w:rPr>
              <w:t>女性</w:t>
            </w:r>
          </w:p>
        </w:tc>
        <w:tc>
          <w:tcPr>
            <w:tcW w:w="16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u w:val="single"/>
              </w:rPr>
            </w:pPr>
            <w:r>
              <w:rPr>
                <w:rFonts w:hint="eastAsia"/>
                <w:snapToGrid/>
                <w:sz w:val="22"/>
                <w:u w:val="single"/>
              </w:rPr>
              <w:t>男性和女性</w:t>
            </w:r>
          </w:p>
        </w:tc>
        <w:tc>
          <w:tcPr>
            <w:tcW w:w="21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u w:val="single"/>
              </w:rPr>
            </w:pPr>
            <w:r>
              <w:rPr>
                <w:rFonts w:hint="eastAsia"/>
                <w:snapToGrid/>
                <w:sz w:val="22"/>
                <w:u w:val="single"/>
              </w:rPr>
              <w:t>占总人口的百分比</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rPr>
            </w:pP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lang w:eastAsia="zh-TW"/>
              </w:rPr>
            </w:pPr>
            <w:r>
              <w:rPr>
                <w:snapToGrid/>
                <w:sz w:val="22"/>
              </w:rPr>
              <w:t>(</w:t>
            </w:r>
            <w:r>
              <w:rPr>
                <w:rFonts w:hint="eastAsia"/>
                <w:snapToGrid/>
                <w:sz w:val="22"/>
              </w:rPr>
              <w:t>万</w:t>
            </w:r>
            <w:r>
              <w:rPr>
                <w:snapToGrid/>
                <w:sz w:val="22"/>
              </w:rPr>
              <w:t>)</w:t>
            </w: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lang w:eastAsia="zh-TW"/>
              </w:rPr>
            </w:pPr>
            <w:r>
              <w:rPr>
                <w:snapToGrid/>
                <w:sz w:val="22"/>
              </w:rPr>
              <w:t>(</w:t>
            </w:r>
            <w:r>
              <w:rPr>
                <w:rFonts w:hint="eastAsia"/>
                <w:snapToGrid/>
                <w:sz w:val="22"/>
              </w:rPr>
              <w:t>万</w:t>
            </w:r>
            <w:r>
              <w:rPr>
                <w:snapToGrid/>
                <w:sz w:val="22"/>
              </w:rPr>
              <w:t>)</w:t>
            </w:r>
          </w:p>
        </w:tc>
        <w:tc>
          <w:tcPr>
            <w:tcW w:w="16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lang w:eastAsia="zh-TW"/>
              </w:rPr>
            </w:pPr>
            <w:r>
              <w:rPr>
                <w:snapToGrid/>
                <w:sz w:val="22"/>
              </w:rPr>
              <w:t>(</w:t>
            </w:r>
            <w:r>
              <w:rPr>
                <w:rFonts w:hint="eastAsia"/>
                <w:snapToGrid/>
                <w:sz w:val="22"/>
              </w:rPr>
              <w:t>万</w:t>
            </w:r>
            <w:r>
              <w:rPr>
                <w:snapToGrid/>
                <w:sz w:val="22"/>
              </w:rPr>
              <w:t>)</w:t>
            </w:r>
          </w:p>
        </w:tc>
        <w:tc>
          <w:tcPr>
            <w:tcW w:w="21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rPr>
            </w:pPr>
            <w:r>
              <w:rPr>
                <w:snapToGrid/>
                <w:sz w:val="22"/>
              </w:rPr>
              <w:t>(%)</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p>
        </w:tc>
        <w:tc>
          <w:tcPr>
            <w:tcW w:w="108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rPr>
            </w:pPr>
          </w:p>
        </w:tc>
        <w:tc>
          <w:tcPr>
            <w:tcW w:w="12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rPr>
            </w:pPr>
          </w:p>
        </w:tc>
        <w:tc>
          <w:tcPr>
            <w:tcW w:w="162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rPr>
            </w:pPr>
          </w:p>
        </w:tc>
        <w:tc>
          <w:tcPr>
            <w:tcW w:w="216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napToGrid/>
                <w:sz w:val="22"/>
              </w:rPr>
            </w:pP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华</w:t>
            </w:r>
            <w:r>
              <w:rPr>
                <w:snapToGrid/>
                <w:sz w:val="22"/>
              </w:rPr>
              <w:t xml:space="preserve">  </w:t>
            </w:r>
            <w:r>
              <w:rPr>
                <w:rFonts w:hint="eastAsia"/>
                <w:snapToGrid/>
                <w:sz w:val="22"/>
              </w:rPr>
              <w:t>人</w:t>
            </w:r>
          </w:p>
        </w:tc>
        <w:tc>
          <w:tcPr>
            <w:tcW w:w="1080" w:type="dxa"/>
          </w:tcPr>
          <w:p w:rsidR="00000000" w:rsidRDefault="00000000">
            <w:pPr>
              <w:tabs>
                <w:tab w:val="decimal" w:pos="602"/>
              </w:tabs>
              <w:spacing w:line="240" w:lineRule="auto"/>
              <w:rPr>
                <w:rFonts w:hint="eastAsia"/>
                <w:snapToGrid/>
                <w:sz w:val="22"/>
              </w:rPr>
            </w:pPr>
            <w:r>
              <w:rPr>
                <w:snapToGrid/>
                <w:sz w:val="22"/>
              </w:rPr>
              <w:t>320.2</w:t>
            </w:r>
          </w:p>
        </w:tc>
        <w:tc>
          <w:tcPr>
            <w:tcW w:w="1260" w:type="dxa"/>
          </w:tcPr>
          <w:p w:rsidR="00000000" w:rsidRDefault="00000000">
            <w:pPr>
              <w:tabs>
                <w:tab w:val="decimal" w:pos="602"/>
              </w:tabs>
              <w:spacing w:line="240" w:lineRule="auto"/>
              <w:rPr>
                <w:rFonts w:hint="eastAsia"/>
                <w:snapToGrid/>
                <w:sz w:val="22"/>
              </w:rPr>
            </w:pPr>
            <w:r>
              <w:rPr>
                <w:snapToGrid/>
                <w:sz w:val="22"/>
              </w:rPr>
              <w:t>316.3</w:t>
            </w:r>
          </w:p>
        </w:tc>
        <w:tc>
          <w:tcPr>
            <w:tcW w:w="1620" w:type="dxa"/>
          </w:tcPr>
          <w:p w:rsidR="00000000" w:rsidRDefault="00000000">
            <w:pPr>
              <w:tabs>
                <w:tab w:val="decimal" w:pos="887"/>
              </w:tabs>
              <w:spacing w:line="240" w:lineRule="auto"/>
              <w:rPr>
                <w:rFonts w:hint="eastAsia"/>
                <w:snapToGrid/>
                <w:sz w:val="22"/>
              </w:rPr>
            </w:pPr>
            <w:r>
              <w:rPr>
                <w:snapToGrid/>
                <w:sz w:val="22"/>
              </w:rPr>
              <w:t>636.4</w:t>
            </w:r>
          </w:p>
        </w:tc>
        <w:tc>
          <w:tcPr>
            <w:tcW w:w="2160" w:type="dxa"/>
          </w:tcPr>
          <w:p w:rsidR="00000000" w:rsidRDefault="00000000">
            <w:pPr>
              <w:tabs>
                <w:tab w:val="decimal" w:pos="1157"/>
              </w:tabs>
              <w:spacing w:line="240" w:lineRule="auto"/>
              <w:rPr>
                <w:rFonts w:hint="eastAsia"/>
                <w:snapToGrid/>
                <w:sz w:val="22"/>
              </w:rPr>
            </w:pPr>
            <w:r>
              <w:rPr>
                <w:snapToGrid/>
                <w:sz w:val="22"/>
              </w:rPr>
              <w:t>94.9</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p>
        </w:tc>
        <w:tc>
          <w:tcPr>
            <w:tcW w:w="1080" w:type="dxa"/>
          </w:tcPr>
          <w:p w:rsidR="00000000" w:rsidRDefault="00000000">
            <w:pPr>
              <w:tabs>
                <w:tab w:val="decimal" w:pos="602"/>
              </w:tabs>
              <w:spacing w:line="240" w:lineRule="auto"/>
              <w:rPr>
                <w:rFonts w:hint="eastAsia"/>
                <w:snapToGrid/>
                <w:sz w:val="22"/>
              </w:rPr>
            </w:pPr>
          </w:p>
        </w:tc>
        <w:tc>
          <w:tcPr>
            <w:tcW w:w="1260" w:type="dxa"/>
          </w:tcPr>
          <w:p w:rsidR="00000000" w:rsidRDefault="00000000">
            <w:pPr>
              <w:tabs>
                <w:tab w:val="decimal" w:pos="602"/>
              </w:tabs>
              <w:spacing w:line="240" w:lineRule="auto"/>
              <w:rPr>
                <w:rFonts w:hint="eastAsia"/>
                <w:snapToGrid/>
                <w:sz w:val="22"/>
              </w:rPr>
            </w:pPr>
          </w:p>
        </w:tc>
        <w:tc>
          <w:tcPr>
            <w:tcW w:w="1620" w:type="dxa"/>
          </w:tcPr>
          <w:p w:rsidR="00000000" w:rsidRDefault="00000000">
            <w:pPr>
              <w:tabs>
                <w:tab w:val="decimal" w:pos="887"/>
              </w:tabs>
              <w:spacing w:line="240" w:lineRule="auto"/>
              <w:rPr>
                <w:rFonts w:hint="eastAsia"/>
                <w:snapToGrid/>
                <w:sz w:val="22"/>
              </w:rPr>
            </w:pPr>
          </w:p>
        </w:tc>
        <w:tc>
          <w:tcPr>
            <w:tcW w:w="2160" w:type="dxa"/>
          </w:tcPr>
          <w:p w:rsidR="00000000" w:rsidRDefault="00000000">
            <w:pPr>
              <w:tabs>
                <w:tab w:val="decimal" w:pos="1157"/>
              </w:tabs>
              <w:spacing w:line="240" w:lineRule="auto"/>
              <w:rPr>
                <w:rFonts w:hint="eastAsia"/>
                <w:snapToGrid/>
                <w:sz w:val="22"/>
              </w:rPr>
            </w:pP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非华人</w:t>
            </w:r>
          </w:p>
        </w:tc>
        <w:tc>
          <w:tcPr>
            <w:tcW w:w="1080" w:type="dxa"/>
          </w:tcPr>
          <w:p w:rsidR="00000000" w:rsidRDefault="00000000">
            <w:pPr>
              <w:tabs>
                <w:tab w:val="decimal" w:pos="602"/>
              </w:tabs>
              <w:spacing w:line="240" w:lineRule="auto"/>
              <w:rPr>
                <w:rFonts w:hint="eastAsia"/>
                <w:snapToGrid/>
                <w:sz w:val="22"/>
                <w:lang w:eastAsia="zh-TW"/>
              </w:rPr>
            </w:pPr>
            <w:r>
              <w:rPr>
                <w:snapToGrid/>
                <w:sz w:val="22"/>
              </w:rPr>
              <w:t>8.3</w:t>
            </w:r>
          </w:p>
        </w:tc>
        <w:tc>
          <w:tcPr>
            <w:tcW w:w="1260" w:type="dxa"/>
          </w:tcPr>
          <w:p w:rsidR="00000000" w:rsidRDefault="00000000">
            <w:pPr>
              <w:tabs>
                <w:tab w:val="decimal" w:pos="602"/>
              </w:tabs>
              <w:spacing w:line="240" w:lineRule="auto"/>
              <w:rPr>
                <w:rFonts w:hint="eastAsia"/>
                <w:snapToGrid/>
                <w:sz w:val="22"/>
                <w:lang w:eastAsia="zh-TW"/>
              </w:rPr>
            </w:pPr>
            <w:r>
              <w:rPr>
                <w:snapToGrid/>
                <w:sz w:val="22"/>
              </w:rPr>
              <w:t>26.1</w:t>
            </w:r>
          </w:p>
        </w:tc>
        <w:tc>
          <w:tcPr>
            <w:tcW w:w="1620" w:type="dxa"/>
          </w:tcPr>
          <w:p w:rsidR="00000000" w:rsidRDefault="00000000">
            <w:pPr>
              <w:tabs>
                <w:tab w:val="decimal" w:pos="887"/>
              </w:tabs>
              <w:spacing w:line="240" w:lineRule="auto"/>
              <w:rPr>
                <w:rFonts w:hint="eastAsia"/>
                <w:snapToGrid/>
                <w:sz w:val="22"/>
                <w:lang w:eastAsia="zh-TW"/>
              </w:rPr>
            </w:pPr>
            <w:r>
              <w:rPr>
                <w:snapToGrid/>
                <w:sz w:val="22"/>
              </w:rPr>
              <w:t>34.4</w:t>
            </w:r>
          </w:p>
        </w:tc>
        <w:tc>
          <w:tcPr>
            <w:tcW w:w="2160" w:type="dxa"/>
          </w:tcPr>
          <w:p w:rsidR="00000000" w:rsidRDefault="00000000">
            <w:pPr>
              <w:tabs>
                <w:tab w:val="decimal" w:pos="1157"/>
              </w:tabs>
              <w:spacing w:line="240" w:lineRule="auto"/>
              <w:rPr>
                <w:rFonts w:hint="eastAsia"/>
                <w:snapToGrid/>
                <w:sz w:val="22"/>
                <w:lang w:eastAsia="zh-TW"/>
              </w:rPr>
            </w:pPr>
            <w:r>
              <w:rPr>
                <w:snapToGrid/>
                <w:sz w:val="22"/>
              </w:rPr>
              <w:t>5.1</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lang w:eastAsia="zh-TW"/>
              </w:rPr>
            </w:pPr>
          </w:p>
        </w:tc>
        <w:tc>
          <w:tcPr>
            <w:tcW w:w="1080" w:type="dxa"/>
          </w:tcPr>
          <w:p w:rsidR="00000000" w:rsidRDefault="00000000">
            <w:pPr>
              <w:tabs>
                <w:tab w:val="decimal" w:pos="602"/>
              </w:tabs>
              <w:spacing w:line="240" w:lineRule="auto"/>
              <w:rPr>
                <w:rFonts w:hint="eastAsia"/>
                <w:snapToGrid/>
                <w:sz w:val="22"/>
                <w:lang w:eastAsia="zh-TW"/>
              </w:rPr>
            </w:pPr>
          </w:p>
        </w:tc>
        <w:tc>
          <w:tcPr>
            <w:tcW w:w="1260" w:type="dxa"/>
          </w:tcPr>
          <w:p w:rsidR="00000000" w:rsidRDefault="00000000">
            <w:pPr>
              <w:tabs>
                <w:tab w:val="decimal" w:pos="602"/>
              </w:tabs>
              <w:spacing w:line="240" w:lineRule="auto"/>
              <w:rPr>
                <w:rFonts w:hint="eastAsia"/>
                <w:snapToGrid/>
                <w:sz w:val="22"/>
                <w:lang w:eastAsia="zh-TW"/>
              </w:rPr>
            </w:pPr>
          </w:p>
        </w:tc>
        <w:tc>
          <w:tcPr>
            <w:tcW w:w="1620" w:type="dxa"/>
          </w:tcPr>
          <w:p w:rsidR="00000000" w:rsidRDefault="00000000">
            <w:pPr>
              <w:tabs>
                <w:tab w:val="decimal" w:pos="887"/>
              </w:tabs>
              <w:spacing w:line="240" w:lineRule="auto"/>
              <w:rPr>
                <w:rFonts w:hint="eastAsia"/>
                <w:snapToGrid/>
                <w:sz w:val="22"/>
                <w:lang w:eastAsia="zh-TW"/>
              </w:rPr>
            </w:pPr>
          </w:p>
        </w:tc>
        <w:tc>
          <w:tcPr>
            <w:tcW w:w="2160" w:type="dxa"/>
          </w:tcPr>
          <w:p w:rsidR="00000000" w:rsidRDefault="00000000">
            <w:pPr>
              <w:tabs>
                <w:tab w:val="decimal" w:pos="1157"/>
              </w:tabs>
              <w:spacing w:line="240" w:lineRule="auto"/>
              <w:rPr>
                <w:rFonts w:hint="eastAsia"/>
                <w:snapToGrid/>
                <w:sz w:val="22"/>
                <w:lang w:eastAsia="zh-TW"/>
              </w:rPr>
            </w:pP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eastAsia="KaiTi_GB2312" w:hint="eastAsia"/>
                <w:iCs/>
                <w:snapToGrid/>
                <w:spacing w:val="0"/>
                <w:sz w:val="22"/>
                <w:lang w:eastAsia="zh-TW"/>
              </w:rPr>
            </w:pPr>
            <w:r>
              <w:rPr>
                <w:rFonts w:eastAsia="KaiTi_GB2312" w:hint="eastAsia"/>
                <w:iCs/>
                <w:snapToGrid/>
                <w:spacing w:val="0"/>
                <w:sz w:val="22"/>
              </w:rPr>
              <w:t>其中包括：</w:t>
            </w:r>
          </w:p>
        </w:tc>
        <w:tc>
          <w:tcPr>
            <w:tcW w:w="1080" w:type="dxa"/>
          </w:tcPr>
          <w:p w:rsidR="00000000" w:rsidRDefault="00000000">
            <w:pPr>
              <w:tabs>
                <w:tab w:val="decimal" w:pos="602"/>
              </w:tabs>
              <w:spacing w:line="240" w:lineRule="auto"/>
              <w:rPr>
                <w:rFonts w:eastAsia="KaiTi_GB2312" w:hint="eastAsia"/>
                <w:iCs/>
                <w:snapToGrid/>
                <w:spacing w:val="0"/>
                <w:sz w:val="22"/>
                <w:lang w:eastAsia="zh-TW"/>
              </w:rPr>
            </w:pPr>
          </w:p>
        </w:tc>
        <w:tc>
          <w:tcPr>
            <w:tcW w:w="1260" w:type="dxa"/>
          </w:tcPr>
          <w:p w:rsidR="00000000" w:rsidRDefault="00000000">
            <w:pPr>
              <w:tabs>
                <w:tab w:val="decimal" w:pos="602"/>
              </w:tabs>
              <w:spacing w:line="240" w:lineRule="auto"/>
              <w:rPr>
                <w:rFonts w:eastAsia="KaiTi_GB2312" w:hint="eastAsia"/>
                <w:iCs/>
                <w:snapToGrid/>
                <w:spacing w:val="0"/>
                <w:sz w:val="22"/>
                <w:lang w:eastAsia="zh-TW"/>
              </w:rPr>
            </w:pPr>
          </w:p>
        </w:tc>
        <w:tc>
          <w:tcPr>
            <w:tcW w:w="1620" w:type="dxa"/>
          </w:tcPr>
          <w:p w:rsidR="00000000" w:rsidRDefault="00000000">
            <w:pPr>
              <w:tabs>
                <w:tab w:val="decimal" w:pos="887"/>
              </w:tabs>
              <w:spacing w:line="240" w:lineRule="auto"/>
              <w:rPr>
                <w:rFonts w:eastAsia="KaiTi_GB2312" w:hint="eastAsia"/>
                <w:iCs/>
                <w:snapToGrid/>
                <w:spacing w:val="0"/>
                <w:sz w:val="22"/>
                <w:lang w:eastAsia="zh-TW"/>
              </w:rPr>
            </w:pPr>
          </w:p>
        </w:tc>
        <w:tc>
          <w:tcPr>
            <w:tcW w:w="2160" w:type="dxa"/>
          </w:tcPr>
          <w:p w:rsidR="00000000" w:rsidRDefault="00000000">
            <w:pPr>
              <w:tabs>
                <w:tab w:val="decimal" w:pos="1157"/>
              </w:tabs>
              <w:spacing w:line="240" w:lineRule="auto"/>
              <w:rPr>
                <w:rFonts w:eastAsia="KaiTi_GB2312" w:hint="eastAsia"/>
                <w:iCs/>
                <w:snapToGrid/>
                <w:spacing w:val="0"/>
                <w:sz w:val="22"/>
                <w:lang w:eastAsia="zh-TW"/>
              </w:rPr>
            </w:pP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lang w:eastAsia="zh-TW"/>
              </w:rPr>
            </w:pPr>
          </w:p>
        </w:tc>
        <w:tc>
          <w:tcPr>
            <w:tcW w:w="1080" w:type="dxa"/>
          </w:tcPr>
          <w:p w:rsidR="00000000" w:rsidRDefault="00000000">
            <w:pPr>
              <w:tabs>
                <w:tab w:val="decimal" w:pos="602"/>
              </w:tabs>
              <w:spacing w:line="240" w:lineRule="auto"/>
              <w:rPr>
                <w:rFonts w:hint="eastAsia"/>
                <w:snapToGrid/>
                <w:sz w:val="22"/>
                <w:lang w:eastAsia="zh-TW"/>
              </w:rPr>
            </w:pPr>
          </w:p>
        </w:tc>
        <w:tc>
          <w:tcPr>
            <w:tcW w:w="1260" w:type="dxa"/>
          </w:tcPr>
          <w:p w:rsidR="00000000" w:rsidRDefault="00000000">
            <w:pPr>
              <w:tabs>
                <w:tab w:val="decimal" w:pos="602"/>
              </w:tabs>
              <w:spacing w:line="240" w:lineRule="auto"/>
              <w:rPr>
                <w:rFonts w:hint="eastAsia"/>
                <w:snapToGrid/>
                <w:sz w:val="22"/>
                <w:lang w:eastAsia="zh-TW"/>
              </w:rPr>
            </w:pPr>
          </w:p>
        </w:tc>
        <w:tc>
          <w:tcPr>
            <w:tcW w:w="1620" w:type="dxa"/>
          </w:tcPr>
          <w:p w:rsidR="00000000" w:rsidRDefault="00000000">
            <w:pPr>
              <w:tabs>
                <w:tab w:val="decimal" w:pos="887"/>
              </w:tabs>
              <w:spacing w:line="240" w:lineRule="auto"/>
              <w:rPr>
                <w:rFonts w:hint="eastAsia"/>
                <w:snapToGrid/>
                <w:sz w:val="22"/>
                <w:lang w:eastAsia="zh-TW"/>
              </w:rPr>
            </w:pPr>
          </w:p>
        </w:tc>
        <w:tc>
          <w:tcPr>
            <w:tcW w:w="2160" w:type="dxa"/>
          </w:tcPr>
          <w:p w:rsidR="00000000" w:rsidRDefault="00000000">
            <w:pPr>
              <w:tabs>
                <w:tab w:val="decimal" w:pos="1157"/>
              </w:tabs>
              <w:spacing w:line="240" w:lineRule="auto"/>
              <w:rPr>
                <w:rFonts w:hint="eastAsia"/>
                <w:snapToGrid/>
                <w:sz w:val="22"/>
                <w:lang w:eastAsia="zh-TW"/>
              </w:rPr>
            </w:pP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菲律宾人</w:t>
            </w:r>
          </w:p>
        </w:tc>
        <w:tc>
          <w:tcPr>
            <w:tcW w:w="1080" w:type="dxa"/>
          </w:tcPr>
          <w:p w:rsidR="00000000" w:rsidRDefault="00000000">
            <w:pPr>
              <w:tabs>
                <w:tab w:val="decimal" w:pos="602"/>
              </w:tabs>
              <w:spacing w:line="240" w:lineRule="auto"/>
              <w:rPr>
                <w:rFonts w:hint="eastAsia"/>
                <w:snapToGrid/>
                <w:sz w:val="22"/>
              </w:rPr>
            </w:pPr>
            <w:r>
              <w:rPr>
                <w:snapToGrid/>
                <w:sz w:val="22"/>
              </w:rPr>
              <w:t>0.7</w:t>
            </w:r>
          </w:p>
        </w:tc>
        <w:tc>
          <w:tcPr>
            <w:tcW w:w="1260" w:type="dxa"/>
          </w:tcPr>
          <w:p w:rsidR="00000000" w:rsidRDefault="00000000">
            <w:pPr>
              <w:tabs>
                <w:tab w:val="decimal" w:pos="602"/>
              </w:tabs>
              <w:spacing w:line="240" w:lineRule="auto"/>
              <w:rPr>
                <w:rFonts w:hint="eastAsia"/>
                <w:snapToGrid/>
                <w:sz w:val="22"/>
              </w:rPr>
            </w:pPr>
            <w:r>
              <w:rPr>
                <w:snapToGrid/>
                <w:sz w:val="22"/>
              </w:rPr>
              <w:t>13.5</w:t>
            </w:r>
          </w:p>
        </w:tc>
        <w:tc>
          <w:tcPr>
            <w:tcW w:w="1620" w:type="dxa"/>
          </w:tcPr>
          <w:p w:rsidR="00000000" w:rsidRDefault="00000000">
            <w:pPr>
              <w:tabs>
                <w:tab w:val="decimal" w:pos="887"/>
              </w:tabs>
              <w:spacing w:line="240" w:lineRule="auto"/>
              <w:rPr>
                <w:rFonts w:hint="eastAsia"/>
                <w:snapToGrid/>
                <w:sz w:val="22"/>
              </w:rPr>
            </w:pPr>
            <w:r>
              <w:rPr>
                <w:snapToGrid/>
                <w:sz w:val="22"/>
              </w:rPr>
              <w:t>14.3</w:t>
            </w:r>
          </w:p>
        </w:tc>
        <w:tc>
          <w:tcPr>
            <w:tcW w:w="2160" w:type="dxa"/>
          </w:tcPr>
          <w:p w:rsidR="00000000" w:rsidRDefault="00000000">
            <w:pPr>
              <w:tabs>
                <w:tab w:val="decimal" w:pos="1157"/>
              </w:tabs>
              <w:spacing w:line="240" w:lineRule="auto"/>
              <w:rPr>
                <w:rFonts w:hint="eastAsia"/>
                <w:snapToGrid/>
                <w:sz w:val="22"/>
              </w:rPr>
            </w:pPr>
            <w:r>
              <w:rPr>
                <w:snapToGrid/>
                <w:sz w:val="22"/>
              </w:rPr>
              <w:t>2.1</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印尼人</w:t>
            </w:r>
          </w:p>
        </w:tc>
        <w:tc>
          <w:tcPr>
            <w:tcW w:w="1080" w:type="dxa"/>
          </w:tcPr>
          <w:p w:rsidR="00000000" w:rsidRDefault="00000000">
            <w:pPr>
              <w:tabs>
                <w:tab w:val="decimal" w:pos="602"/>
              </w:tabs>
              <w:spacing w:line="240" w:lineRule="auto"/>
              <w:rPr>
                <w:rFonts w:hint="eastAsia"/>
                <w:snapToGrid/>
                <w:sz w:val="22"/>
              </w:rPr>
            </w:pPr>
            <w:r>
              <w:rPr>
                <w:snapToGrid/>
                <w:sz w:val="22"/>
              </w:rPr>
              <w:t>0.1</w:t>
            </w:r>
          </w:p>
        </w:tc>
        <w:tc>
          <w:tcPr>
            <w:tcW w:w="1260" w:type="dxa"/>
          </w:tcPr>
          <w:p w:rsidR="00000000" w:rsidRDefault="00000000">
            <w:pPr>
              <w:tabs>
                <w:tab w:val="decimal" w:pos="602"/>
              </w:tabs>
              <w:spacing w:line="240" w:lineRule="auto"/>
              <w:rPr>
                <w:rFonts w:hint="eastAsia"/>
                <w:snapToGrid/>
                <w:sz w:val="22"/>
              </w:rPr>
            </w:pPr>
            <w:r>
              <w:rPr>
                <w:snapToGrid/>
                <w:sz w:val="22"/>
              </w:rPr>
              <w:t>4.9</w:t>
            </w:r>
          </w:p>
        </w:tc>
        <w:tc>
          <w:tcPr>
            <w:tcW w:w="1620" w:type="dxa"/>
          </w:tcPr>
          <w:p w:rsidR="00000000" w:rsidRDefault="00000000">
            <w:pPr>
              <w:tabs>
                <w:tab w:val="decimal" w:pos="887"/>
              </w:tabs>
              <w:spacing w:line="240" w:lineRule="auto"/>
              <w:rPr>
                <w:rFonts w:hint="eastAsia"/>
                <w:snapToGrid/>
                <w:sz w:val="22"/>
              </w:rPr>
            </w:pPr>
            <w:r>
              <w:rPr>
                <w:snapToGrid/>
                <w:sz w:val="22"/>
              </w:rPr>
              <w:t>5.0</w:t>
            </w:r>
          </w:p>
        </w:tc>
        <w:tc>
          <w:tcPr>
            <w:tcW w:w="2160" w:type="dxa"/>
          </w:tcPr>
          <w:p w:rsidR="00000000" w:rsidRDefault="00000000">
            <w:pPr>
              <w:tabs>
                <w:tab w:val="decimal" w:pos="1157"/>
              </w:tabs>
              <w:spacing w:line="240" w:lineRule="auto"/>
              <w:rPr>
                <w:rFonts w:hint="eastAsia"/>
                <w:snapToGrid/>
                <w:sz w:val="22"/>
              </w:rPr>
            </w:pPr>
            <w:r>
              <w:rPr>
                <w:snapToGrid/>
                <w:sz w:val="22"/>
              </w:rPr>
              <w:t>0.8</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英国人</w:t>
            </w:r>
          </w:p>
        </w:tc>
        <w:tc>
          <w:tcPr>
            <w:tcW w:w="1080" w:type="dxa"/>
          </w:tcPr>
          <w:p w:rsidR="00000000" w:rsidRDefault="00000000">
            <w:pPr>
              <w:tabs>
                <w:tab w:val="decimal" w:pos="602"/>
              </w:tabs>
              <w:spacing w:line="240" w:lineRule="auto"/>
              <w:rPr>
                <w:rFonts w:hint="eastAsia"/>
                <w:snapToGrid/>
                <w:sz w:val="22"/>
              </w:rPr>
            </w:pPr>
            <w:r>
              <w:rPr>
                <w:snapToGrid/>
                <w:sz w:val="22"/>
              </w:rPr>
              <w:t>1.2</w:t>
            </w:r>
          </w:p>
        </w:tc>
        <w:tc>
          <w:tcPr>
            <w:tcW w:w="1260" w:type="dxa"/>
          </w:tcPr>
          <w:p w:rsidR="00000000" w:rsidRDefault="00000000">
            <w:pPr>
              <w:tabs>
                <w:tab w:val="decimal" w:pos="602"/>
              </w:tabs>
              <w:spacing w:line="240" w:lineRule="auto"/>
              <w:rPr>
                <w:rFonts w:hint="eastAsia"/>
                <w:snapToGrid/>
                <w:sz w:val="22"/>
              </w:rPr>
            </w:pPr>
            <w:r>
              <w:rPr>
                <w:snapToGrid/>
                <w:sz w:val="22"/>
              </w:rPr>
              <w:t>0.7</w:t>
            </w:r>
          </w:p>
        </w:tc>
        <w:tc>
          <w:tcPr>
            <w:tcW w:w="1620" w:type="dxa"/>
          </w:tcPr>
          <w:p w:rsidR="00000000" w:rsidRDefault="00000000">
            <w:pPr>
              <w:tabs>
                <w:tab w:val="decimal" w:pos="887"/>
              </w:tabs>
              <w:spacing w:line="240" w:lineRule="auto"/>
              <w:rPr>
                <w:rFonts w:hint="eastAsia"/>
                <w:snapToGrid/>
                <w:sz w:val="22"/>
              </w:rPr>
            </w:pPr>
            <w:r>
              <w:rPr>
                <w:snapToGrid/>
                <w:sz w:val="22"/>
              </w:rPr>
              <w:t>1.9</w:t>
            </w:r>
          </w:p>
        </w:tc>
        <w:tc>
          <w:tcPr>
            <w:tcW w:w="2160" w:type="dxa"/>
          </w:tcPr>
          <w:p w:rsidR="00000000" w:rsidRDefault="00000000">
            <w:pPr>
              <w:tabs>
                <w:tab w:val="decimal" w:pos="1157"/>
              </w:tabs>
              <w:spacing w:line="240" w:lineRule="auto"/>
              <w:rPr>
                <w:rFonts w:hint="eastAsia"/>
                <w:snapToGrid/>
                <w:sz w:val="22"/>
              </w:rPr>
            </w:pPr>
            <w:r>
              <w:rPr>
                <w:snapToGrid/>
                <w:sz w:val="22"/>
              </w:rPr>
              <w:t>0.3</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印度人</w:t>
            </w:r>
          </w:p>
        </w:tc>
        <w:tc>
          <w:tcPr>
            <w:tcW w:w="1080" w:type="dxa"/>
          </w:tcPr>
          <w:p w:rsidR="00000000" w:rsidRDefault="00000000">
            <w:pPr>
              <w:tabs>
                <w:tab w:val="decimal" w:pos="602"/>
              </w:tabs>
              <w:spacing w:line="240" w:lineRule="auto"/>
              <w:rPr>
                <w:rFonts w:hint="eastAsia"/>
                <w:snapToGrid/>
                <w:sz w:val="22"/>
              </w:rPr>
            </w:pPr>
            <w:r>
              <w:rPr>
                <w:snapToGrid/>
                <w:sz w:val="22"/>
              </w:rPr>
              <w:t>0.9</w:t>
            </w:r>
          </w:p>
        </w:tc>
        <w:tc>
          <w:tcPr>
            <w:tcW w:w="1260" w:type="dxa"/>
          </w:tcPr>
          <w:p w:rsidR="00000000" w:rsidRDefault="00000000">
            <w:pPr>
              <w:tabs>
                <w:tab w:val="decimal" w:pos="602"/>
              </w:tabs>
              <w:spacing w:line="240" w:lineRule="auto"/>
              <w:rPr>
                <w:rFonts w:hint="eastAsia"/>
                <w:snapToGrid/>
                <w:sz w:val="22"/>
              </w:rPr>
            </w:pPr>
            <w:r>
              <w:rPr>
                <w:snapToGrid/>
                <w:sz w:val="22"/>
              </w:rPr>
              <w:t>0.9</w:t>
            </w:r>
          </w:p>
        </w:tc>
        <w:tc>
          <w:tcPr>
            <w:tcW w:w="1620" w:type="dxa"/>
          </w:tcPr>
          <w:p w:rsidR="00000000" w:rsidRDefault="00000000">
            <w:pPr>
              <w:tabs>
                <w:tab w:val="decimal" w:pos="887"/>
              </w:tabs>
              <w:spacing w:line="240" w:lineRule="auto"/>
              <w:rPr>
                <w:rFonts w:hint="eastAsia"/>
                <w:snapToGrid/>
                <w:sz w:val="22"/>
              </w:rPr>
            </w:pPr>
            <w:r>
              <w:rPr>
                <w:snapToGrid/>
                <w:sz w:val="22"/>
              </w:rPr>
              <w:t>1.9</w:t>
            </w:r>
          </w:p>
        </w:tc>
        <w:tc>
          <w:tcPr>
            <w:tcW w:w="2160" w:type="dxa"/>
          </w:tcPr>
          <w:p w:rsidR="00000000" w:rsidRDefault="00000000">
            <w:pPr>
              <w:tabs>
                <w:tab w:val="decimal" w:pos="1157"/>
              </w:tabs>
              <w:spacing w:line="240" w:lineRule="auto"/>
              <w:rPr>
                <w:rFonts w:hint="eastAsia"/>
                <w:snapToGrid/>
                <w:sz w:val="22"/>
              </w:rPr>
            </w:pPr>
            <w:r>
              <w:rPr>
                <w:snapToGrid/>
                <w:sz w:val="22"/>
              </w:rPr>
              <w:t>0.3</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泰国人</w:t>
            </w:r>
          </w:p>
        </w:tc>
        <w:tc>
          <w:tcPr>
            <w:tcW w:w="1080" w:type="dxa"/>
          </w:tcPr>
          <w:p w:rsidR="00000000" w:rsidRDefault="00000000">
            <w:pPr>
              <w:tabs>
                <w:tab w:val="decimal" w:pos="602"/>
              </w:tabs>
              <w:spacing w:line="240" w:lineRule="auto"/>
              <w:rPr>
                <w:rFonts w:hint="eastAsia"/>
                <w:snapToGrid/>
                <w:sz w:val="22"/>
              </w:rPr>
            </w:pPr>
            <w:r>
              <w:rPr>
                <w:snapToGrid/>
                <w:sz w:val="22"/>
              </w:rPr>
              <w:t>0.1</w:t>
            </w:r>
          </w:p>
        </w:tc>
        <w:tc>
          <w:tcPr>
            <w:tcW w:w="1260" w:type="dxa"/>
          </w:tcPr>
          <w:p w:rsidR="00000000" w:rsidRDefault="00000000">
            <w:pPr>
              <w:tabs>
                <w:tab w:val="decimal" w:pos="602"/>
              </w:tabs>
              <w:spacing w:line="240" w:lineRule="auto"/>
              <w:rPr>
                <w:rFonts w:hint="eastAsia"/>
                <w:snapToGrid/>
                <w:sz w:val="22"/>
              </w:rPr>
            </w:pPr>
            <w:r>
              <w:rPr>
                <w:snapToGrid/>
                <w:sz w:val="22"/>
              </w:rPr>
              <w:t>1.3</w:t>
            </w:r>
          </w:p>
        </w:tc>
        <w:tc>
          <w:tcPr>
            <w:tcW w:w="1620" w:type="dxa"/>
          </w:tcPr>
          <w:p w:rsidR="00000000" w:rsidRDefault="00000000">
            <w:pPr>
              <w:tabs>
                <w:tab w:val="decimal" w:pos="887"/>
              </w:tabs>
              <w:spacing w:line="240" w:lineRule="auto"/>
              <w:rPr>
                <w:rFonts w:hint="eastAsia"/>
                <w:snapToGrid/>
                <w:sz w:val="22"/>
              </w:rPr>
            </w:pPr>
            <w:r>
              <w:rPr>
                <w:snapToGrid/>
                <w:sz w:val="22"/>
              </w:rPr>
              <w:t>1.4</w:t>
            </w:r>
          </w:p>
        </w:tc>
        <w:tc>
          <w:tcPr>
            <w:tcW w:w="2160" w:type="dxa"/>
          </w:tcPr>
          <w:p w:rsidR="00000000" w:rsidRDefault="00000000">
            <w:pPr>
              <w:tabs>
                <w:tab w:val="decimal" w:pos="1157"/>
              </w:tabs>
              <w:spacing w:line="240" w:lineRule="auto"/>
              <w:rPr>
                <w:rFonts w:hint="eastAsia"/>
                <w:snapToGrid/>
                <w:sz w:val="22"/>
              </w:rPr>
            </w:pPr>
            <w:r>
              <w:rPr>
                <w:snapToGrid/>
                <w:sz w:val="22"/>
              </w:rPr>
              <w:t>0.2</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日本人</w:t>
            </w:r>
          </w:p>
        </w:tc>
        <w:tc>
          <w:tcPr>
            <w:tcW w:w="1080" w:type="dxa"/>
          </w:tcPr>
          <w:p w:rsidR="00000000" w:rsidRDefault="00000000">
            <w:pPr>
              <w:tabs>
                <w:tab w:val="decimal" w:pos="602"/>
              </w:tabs>
              <w:spacing w:line="240" w:lineRule="auto"/>
              <w:rPr>
                <w:rFonts w:hint="eastAsia"/>
                <w:snapToGrid/>
                <w:sz w:val="22"/>
              </w:rPr>
            </w:pPr>
            <w:r>
              <w:rPr>
                <w:snapToGrid/>
                <w:sz w:val="22"/>
              </w:rPr>
              <w:t>0.8</w:t>
            </w:r>
          </w:p>
        </w:tc>
        <w:tc>
          <w:tcPr>
            <w:tcW w:w="1260" w:type="dxa"/>
          </w:tcPr>
          <w:p w:rsidR="00000000" w:rsidRDefault="00000000">
            <w:pPr>
              <w:tabs>
                <w:tab w:val="decimal" w:pos="602"/>
              </w:tabs>
              <w:spacing w:line="240" w:lineRule="auto"/>
              <w:rPr>
                <w:rFonts w:hint="eastAsia"/>
                <w:snapToGrid/>
                <w:sz w:val="22"/>
              </w:rPr>
            </w:pPr>
            <w:r>
              <w:rPr>
                <w:snapToGrid/>
                <w:sz w:val="22"/>
              </w:rPr>
              <w:t>0.7</w:t>
            </w:r>
          </w:p>
        </w:tc>
        <w:tc>
          <w:tcPr>
            <w:tcW w:w="1620" w:type="dxa"/>
          </w:tcPr>
          <w:p w:rsidR="00000000" w:rsidRDefault="00000000">
            <w:pPr>
              <w:tabs>
                <w:tab w:val="decimal" w:pos="887"/>
              </w:tabs>
              <w:spacing w:line="240" w:lineRule="auto"/>
              <w:rPr>
                <w:rFonts w:hint="eastAsia"/>
                <w:snapToGrid/>
                <w:sz w:val="22"/>
              </w:rPr>
            </w:pPr>
            <w:r>
              <w:rPr>
                <w:snapToGrid/>
                <w:sz w:val="22"/>
              </w:rPr>
              <w:t>1.4</w:t>
            </w:r>
          </w:p>
        </w:tc>
        <w:tc>
          <w:tcPr>
            <w:tcW w:w="2160" w:type="dxa"/>
          </w:tcPr>
          <w:p w:rsidR="00000000" w:rsidRDefault="00000000">
            <w:pPr>
              <w:tabs>
                <w:tab w:val="decimal" w:pos="1157"/>
              </w:tabs>
              <w:spacing w:line="240" w:lineRule="auto"/>
              <w:rPr>
                <w:rFonts w:hint="eastAsia"/>
                <w:snapToGrid/>
                <w:sz w:val="22"/>
              </w:rPr>
            </w:pPr>
            <w:r>
              <w:rPr>
                <w:snapToGrid/>
                <w:sz w:val="22"/>
              </w:rPr>
              <w:t>0.2</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尼泊尔人</w:t>
            </w:r>
          </w:p>
        </w:tc>
        <w:tc>
          <w:tcPr>
            <w:tcW w:w="1080" w:type="dxa"/>
          </w:tcPr>
          <w:p w:rsidR="00000000" w:rsidRDefault="00000000">
            <w:pPr>
              <w:tabs>
                <w:tab w:val="decimal" w:pos="602"/>
              </w:tabs>
              <w:spacing w:line="240" w:lineRule="auto"/>
              <w:rPr>
                <w:rFonts w:hint="eastAsia"/>
                <w:snapToGrid/>
                <w:sz w:val="22"/>
              </w:rPr>
            </w:pPr>
            <w:r>
              <w:rPr>
                <w:snapToGrid/>
                <w:sz w:val="22"/>
              </w:rPr>
              <w:t>0.7</w:t>
            </w:r>
          </w:p>
        </w:tc>
        <w:tc>
          <w:tcPr>
            <w:tcW w:w="1260" w:type="dxa"/>
          </w:tcPr>
          <w:p w:rsidR="00000000" w:rsidRDefault="00000000">
            <w:pPr>
              <w:tabs>
                <w:tab w:val="decimal" w:pos="602"/>
              </w:tabs>
              <w:spacing w:line="240" w:lineRule="auto"/>
              <w:rPr>
                <w:rFonts w:hint="eastAsia"/>
                <w:snapToGrid/>
                <w:sz w:val="22"/>
              </w:rPr>
            </w:pPr>
            <w:r>
              <w:rPr>
                <w:snapToGrid/>
                <w:sz w:val="22"/>
              </w:rPr>
              <w:t>0.5</w:t>
            </w:r>
          </w:p>
        </w:tc>
        <w:tc>
          <w:tcPr>
            <w:tcW w:w="1620" w:type="dxa"/>
          </w:tcPr>
          <w:p w:rsidR="00000000" w:rsidRDefault="00000000">
            <w:pPr>
              <w:tabs>
                <w:tab w:val="decimal" w:pos="887"/>
              </w:tabs>
              <w:spacing w:line="240" w:lineRule="auto"/>
              <w:rPr>
                <w:rFonts w:hint="eastAsia"/>
                <w:snapToGrid/>
                <w:sz w:val="22"/>
              </w:rPr>
            </w:pPr>
            <w:r>
              <w:rPr>
                <w:snapToGrid/>
                <w:sz w:val="22"/>
              </w:rPr>
              <w:t>1.3</w:t>
            </w:r>
          </w:p>
        </w:tc>
        <w:tc>
          <w:tcPr>
            <w:tcW w:w="2160" w:type="dxa"/>
          </w:tcPr>
          <w:p w:rsidR="00000000" w:rsidRDefault="00000000">
            <w:pPr>
              <w:tabs>
                <w:tab w:val="decimal" w:pos="1157"/>
              </w:tabs>
              <w:spacing w:line="240" w:lineRule="auto"/>
              <w:rPr>
                <w:rFonts w:hint="eastAsia"/>
                <w:snapToGrid/>
                <w:sz w:val="22"/>
              </w:rPr>
            </w:pPr>
            <w:r>
              <w:rPr>
                <w:snapToGrid/>
                <w:sz w:val="22"/>
              </w:rPr>
              <w:t>0.2</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巴基斯坦人</w:t>
            </w:r>
          </w:p>
        </w:tc>
        <w:tc>
          <w:tcPr>
            <w:tcW w:w="1080" w:type="dxa"/>
          </w:tcPr>
          <w:p w:rsidR="00000000" w:rsidRDefault="00000000">
            <w:pPr>
              <w:tabs>
                <w:tab w:val="decimal" w:pos="602"/>
              </w:tabs>
              <w:spacing w:line="240" w:lineRule="auto"/>
              <w:rPr>
                <w:rFonts w:hint="eastAsia"/>
                <w:snapToGrid/>
                <w:sz w:val="22"/>
              </w:rPr>
            </w:pPr>
            <w:r>
              <w:rPr>
                <w:snapToGrid/>
                <w:sz w:val="22"/>
              </w:rPr>
              <w:t>0.7</w:t>
            </w:r>
          </w:p>
        </w:tc>
        <w:tc>
          <w:tcPr>
            <w:tcW w:w="1260" w:type="dxa"/>
          </w:tcPr>
          <w:p w:rsidR="00000000" w:rsidRDefault="00000000">
            <w:pPr>
              <w:tabs>
                <w:tab w:val="decimal" w:pos="602"/>
              </w:tabs>
              <w:spacing w:line="240" w:lineRule="auto"/>
              <w:rPr>
                <w:rFonts w:hint="eastAsia"/>
                <w:snapToGrid/>
                <w:sz w:val="22"/>
              </w:rPr>
            </w:pPr>
            <w:r>
              <w:rPr>
                <w:snapToGrid/>
                <w:sz w:val="22"/>
              </w:rPr>
              <w:t>0.4</w:t>
            </w:r>
          </w:p>
        </w:tc>
        <w:tc>
          <w:tcPr>
            <w:tcW w:w="1620" w:type="dxa"/>
          </w:tcPr>
          <w:p w:rsidR="00000000" w:rsidRDefault="00000000">
            <w:pPr>
              <w:tabs>
                <w:tab w:val="decimal" w:pos="887"/>
              </w:tabs>
              <w:spacing w:line="240" w:lineRule="auto"/>
              <w:rPr>
                <w:rFonts w:hint="eastAsia"/>
                <w:snapToGrid/>
                <w:sz w:val="22"/>
              </w:rPr>
            </w:pPr>
            <w:r>
              <w:rPr>
                <w:snapToGrid/>
                <w:sz w:val="22"/>
              </w:rPr>
              <w:t>1.1</w:t>
            </w:r>
          </w:p>
        </w:tc>
        <w:tc>
          <w:tcPr>
            <w:tcW w:w="2160" w:type="dxa"/>
          </w:tcPr>
          <w:p w:rsidR="00000000" w:rsidRDefault="00000000">
            <w:pPr>
              <w:tabs>
                <w:tab w:val="decimal" w:pos="1157"/>
              </w:tabs>
              <w:spacing w:line="240" w:lineRule="auto"/>
              <w:rPr>
                <w:rFonts w:hint="eastAsia"/>
                <w:snapToGrid/>
                <w:sz w:val="22"/>
              </w:rPr>
            </w:pPr>
            <w:r>
              <w:rPr>
                <w:snapToGrid/>
                <w:sz w:val="22"/>
              </w:rPr>
              <w:t>0.2</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其</w:t>
            </w:r>
            <w:r>
              <w:rPr>
                <w:snapToGrid/>
                <w:sz w:val="22"/>
              </w:rPr>
              <w:t xml:space="preserve">  </w:t>
            </w:r>
            <w:r>
              <w:rPr>
                <w:rFonts w:hint="eastAsia"/>
                <w:snapToGrid/>
                <w:sz w:val="22"/>
              </w:rPr>
              <w:t>他</w:t>
            </w:r>
          </w:p>
        </w:tc>
        <w:tc>
          <w:tcPr>
            <w:tcW w:w="1080" w:type="dxa"/>
          </w:tcPr>
          <w:p w:rsidR="00000000" w:rsidRDefault="00000000">
            <w:pPr>
              <w:tabs>
                <w:tab w:val="decimal" w:pos="602"/>
              </w:tabs>
              <w:spacing w:line="240" w:lineRule="auto"/>
              <w:rPr>
                <w:rFonts w:hint="eastAsia"/>
                <w:snapToGrid/>
                <w:sz w:val="22"/>
              </w:rPr>
            </w:pPr>
            <w:r>
              <w:rPr>
                <w:snapToGrid/>
                <w:sz w:val="22"/>
              </w:rPr>
              <w:t>3.1</w:t>
            </w:r>
          </w:p>
        </w:tc>
        <w:tc>
          <w:tcPr>
            <w:tcW w:w="1260" w:type="dxa"/>
          </w:tcPr>
          <w:p w:rsidR="00000000" w:rsidRDefault="00000000">
            <w:pPr>
              <w:tabs>
                <w:tab w:val="decimal" w:pos="602"/>
              </w:tabs>
              <w:spacing w:line="240" w:lineRule="auto"/>
              <w:rPr>
                <w:rFonts w:hint="eastAsia"/>
                <w:snapToGrid/>
                <w:sz w:val="22"/>
              </w:rPr>
            </w:pPr>
            <w:r>
              <w:rPr>
                <w:snapToGrid/>
                <w:sz w:val="22"/>
              </w:rPr>
              <w:t>3.1</w:t>
            </w:r>
          </w:p>
        </w:tc>
        <w:tc>
          <w:tcPr>
            <w:tcW w:w="1620" w:type="dxa"/>
          </w:tcPr>
          <w:p w:rsidR="00000000" w:rsidRDefault="00000000">
            <w:pPr>
              <w:tabs>
                <w:tab w:val="decimal" w:pos="887"/>
              </w:tabs>
              <w:spacing w:line="240" w:lineRule="auto"/>
              <w:rPr>
                <w:rFonts w:hint="eastAsia"/>
                <w:snapToGrid/>
                <w:sz w:val="22"/>
              </w:rPr>
            </w:pPr>
            <w:r>
              <w:rPr>
                <w:snapToGrid/>
                <w:sz w:val="22"/>
              </w:rPr>
              <w:t>6.1</w:t>
            </w:r>
          </w:p>
        </w:tc>
        <w:tc>
          <w:tcPr>
            <w:tcW w:w="2160" w:type="dxa"/>
          </w:tcPr>
          <w:p w:rsidR="00000000" w:rsidRDefault="00000000">
            <w:pPr>
              <w:tabs>
                <w:tab w:val="decimal" w:pos="1157"/>
              </w:tabs>
              <w:spacing w:line="240" w:lineRule="auto"/>
              <w:rPr>
                <w:rFonts w:hint="eastAsia"/>
                <w:snapToGrid/>
                <w:sz w:val="22"/>
              </w:rPr>
            </w:pPr>
            <w:r>
              <w:rPr>
                <w:snapToGrid/>
                <w:sz w:val="22"/>
              </w:rPr>
              <w:t>0.9</w:t>
            </w: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p>
        </w:tc>
        <w:tc>
          <w:tcPr>
            <w:tcW w:w="1080" w:type="dxa"/>
          </w:tcPr>
          <w:p w:rsidR="00000000" w:rsidRDefault="00000000">
            <w:pPr>
              <w:tabs>
                <w:tab w:val="decimal" w:pos="602"/>
              </w:tabs>
              <w:spacing w:line="240" w:lineRule="auto"/>
              <w:rPr>
                <w:rFonts w:hint="eastAsia"/>
                <w:snapToGrid/>
                <w:sz w:val="22"/>
              </w:rPr>
            </w:pPr>
          </w:p>
        </w:tc>
        <w:tc>
          <w:tcPr>
            <w:tcW w:w="1260" w:type="dxa"/>
          </w:tcPr>
          <w:p w:rsidR="00000000" w:rsidRDefault="00000000">
            <w:pPr>
              <w:tabs>
                <w:tab w:val="decimal" w:pos="602"/>
              </w:tabs>
              <w:spacing w:line="240" w:lineRule="auto"/>
              <w:rPr>
                <w:rFonts w:hint="eastAsia"/>
                <w:snapToGrid/>
                <w:sz w:val="22"/>
              </w:rPr>
            </w:pPr>
          </w:p>
        </w:tc>
        <w:tc>
          <w:tcPr>
            <w:tcW w:w="1620" w:type="dxa"/>
          </w:tcPr>
          <w:p w:rsidR="00000000" w:rsidRDefault="00000000">
            <w:pPr>
              <w:tabs>
                <w:tab w:val="decimal" w:pos="887"/>
              </w:tabs>
              <w:spacing w:line="240" w:lineRule="auto"/>
              <w:rPr>
                <w:rFonts w:hint="eastAsia"/>
                <w:snapToGrid/>
                <w:sz w:val="22"/>
              </w:rPr>
            </w:pPr>
          </w:p>
        </w:tc>
        <w:tc>
          <w:tcPr>
            <w:tcW w:w="2160" w:type="dxa"/>
          </w:tcPr>
          <w:p w:rsidR="00000000" w:rsidRDefault="00000000">
            <w:pPr>
              <w:tabs>
                <w:tab w:val="decimal" w:pos="1157"/>
              </w:tabs>
              <w:spacing w:line="240" w:lineRule="auto"/>
              <w:rPr>
                <w:rFonts w:hint="eastAsia"/>
                <w:snapToGrid/>
                <w:sz w:val="22"/>
              </w:rPr>
            </w:pPr>
          </w:p>
        </w:tc>
      </w:tr>
      <w:tr w:rsidR="00000000">
        <w:tblPrEx>
          <w:tblCellMar>
            <w:top w:w="0" w:type="dxa"/>
            <w:bottom w:w="0" w:type="dxa"/>
          </w:tblCellMar>
        </w:tblPrEx>
        <w:tc>
          <w:tcPr>
            <w:tcW w:w="1440" w:type="dxa"/>
          </w:tcPr>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napToGrid/>
                <w:sz w:val="22"/>
              </w:rPr>
            </w:pPr>
            <w:r>
              <w:rPr>
                <w:rFonts w:hint="eastAsia"/>
                <w:snapToGrid/>
                <w:sz w:val="22"/>
              </w:rPr>
              <w:t>总</w:t>
            </w:r>
            <w:r>
              <w:rPr>
                <w:snapToGrid/>
                <w:sz w:val="22"/>
              </w:rPr>
              <w:t xml:space="preserve">  </w:t>
            </w:r>
            <w:r>
              <w:rPr>
                <w:rFonts w:hint="eastAsia"/>
                <w:snapToGrid/>
                <w:sz w:val="22"/>
              </w:rPr>
              <w:t>计</w:t>
            </w:r>
          </w:p>
        </w:tc>
        <w:tc>
          <w:tcPr>
            <w:tcW w:w="1080" w:type="dxa"/>
          </w:tcPr>
          <w:p w:rsidR="00000000" w:rsidRDefault="00000000">
            <w:pPr>
              <w:tabs>
                <w:tab w:val="decimal" w:pos="602"/>
              </w:tabs>
              <w:spacing w:line="240" w:lineRule="auto"/>
              <w:rPr>
                <w:rFonts w:hint="eastAsia"/>
                <w:snapToGrid/>
                <w:sz w:val="22"/>
              </w:rPr>
            </w:pPr>
            <w:r>
              <w:rPr>
                <w:snapToGrid/>
                <w:sz w:val="22"/>
              </w:rPr>
              <w:t>328.5</w:t>
            </w:r>
          </w:p>
        </w:tc>
        <w:tc>
          <w:tcPr>
            <w:tcW w:w="1260" w:type="dxa"/>
          </w:tcPr>
          <w:p w:rsidR="00000000" w:rsidRDefault="00000000">
            <w:pPr>
              <w:tabs>
                <w:tab w:val="decimal" w:pos="602"/>
              </w:tabs>
              <w:spacing w:line="240" w:lineRule="auto"/>
              <w:rPr>
                <w:rFonts w:hint="eastAsia"/>
                <w:snapToGrid/>
                <w:sz w:val="22"/>
              </w:rPr>
            </w:pPr>
            <w:r>
              <w:rPr>
                <w:snapToGrid/>
                <w:sz w:val="22"/>
              </w:rPr>
              <w:t>342.3</w:t>
            </w:r>
          </w:p>
        </w:tc>
        <w:tc>
          <w:tcPr>
            <w:tcW w:w="1620" w:type="dxa"/>
          </w:tcPr>
          <w:p w:rsidR="00000000" w:rsidRDefault="00000000">
            <w:pPr>
              <w:tabs>
                <w:tab w:val="decimal" w:pos="887"/>
              </w:tabs>
              <w:spacing w:line="240" w:lineRule="auto"/>
              <w:rPr>
                <w:rFonts w:hint="eastAsia"/>
                <w:snapToGrid/>
                <w:sz w:val="22"/>
              </w:rPr>
            </w:pPr>
            <w:r>
              <w:rPr>
                <w:snapToGrid/>
                <w:sz w:val="22"/>
              </w:rPr>
              <w:t>670.8</w:t>
            </w:r>
          </w:p>
        </w:tc>
        <w:tc>
          <w:tcPr>
            <w:tcW w:w="2160" w:type="dxa"/>
          </w:tcPr>
          <w:p w:rsidR="00000000" w:rsidRDefault="00000000">
            <w:pPr>
              <w:tabs>
                <w:tab w:val="decimal" w:pos="1157"/>
              </w:tabs>
              <w:spacing w:line="240" w:lineRule="auto"/>
              <w:rPr>
                <w:rFonts w:hint="eastAsia"/>
                <w:snapToGrid/>
                <w:sz w:val="22"/>
              </w:rPr>
            </w:pPr>
            <w:r>
              <w:rPr>
                <w:snapToGrid/>
                <w:sz w:val="22"/>
              </w:rPr>
              <w:t>100.0</w:t>
            </w:r>
          </w:p>
        </w:tc>
      </w:tr>
    </w:tbl>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napToGrid/>
        </w:rPr>
      </w:pP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napToGrid/>
        </w:rPr>
      </w:pPr>
    </w:p>
    <w:p w:rsidR="00000000" w:rsidRDefault="00000000">
      <w:pPr>
        <w:pStyle w:val="Heading2"/>
      </w:pPr>
      <w:r>
        <w:br w:type="page"/>
      </w:r>
      <w:bookmarkStart w:id="33" w:name="_Toc78772942"/>
      <w:r>
        <w:rPr>
          <w:rFonts w:hint="eastAsia"/>
        </w:rPr>
        <w:t>二、政</w:t>
      </w:r>
      <w:r>
        <w:t xml:space="preserve"> </w:t>
      </w:r>
      <w:r>
        <w:rPr>
          <w:rFonts w:hint="eastAsia"/>
        </w:rPr>
        <w:t>制</w:t>
      </w:r>
      <w:r>
        <w:t xml:space="preserve"> </w:t>
      </w:r>
      <w:r>
        <w:rPr>
          <w:rFonts w:hint="eastAsia"/>
        </w:rPr>
        <w:t>概</w:t>
      </w:r>
      <w:r>
        <w:t xml:space="preserve"> </w:t>
      </w:r>
      <w:r>
        <w:rPr>
          <w:rFonts w:hint="eastAsia"/>
        </w:rPr>
        <w:t>况</w:t>
      </w:r>
      <w:bookmarkEnd w:id="33"/>
    </w:p>
    <w:p w:rsidR="00000000" w:rsidRDefault="00000000">
      <w:pPr>
        <w:pStyle w:val="a3"/>
      </w:pPr>
      <w:r>
        <w:rPr>
          <w:rFonts w:hint="eastAsia"/>
        </w:rPr>
        <w:t>宪制性文件</w:t>
      </w:r>
    </w:p>
    <w:p w:rsidR="00000000" w:rsidRDefault="00000000">
      <w:pPr>
        <w:rPr>
          <w:snapToGrid/>
        </w:rPr>
      </w:pPr>
      <w:r>
        <w:rPr>
          <w:rFonts w:hint="eastAsia"/>
          <w:snapToGrid/>
        </w:rPr>
        <w:tab/>
      </w:r>
      <w:r>
        <w:rPr>
          <w:snapToGrid/>
        </w:rPr>
        <w:t xml:space="preserve">289.  </w:t>
      </w:r>
      <w:r>
        <w:rPr>
          <w:rFonts w:hint="eastAsia"/>
          <w:snapToGrid/>
        </w:rPr>
        <w:t>根据《中华人民共和国宪法》第三十一条和第六十二条第十三项的规定，以及一九九零年四月四日第七届全国人民代表大会第三次会议通过的有关决定，中华人民共和国香港特别行政区</w:t>
      </w:r>
      <w:r>
        <w:rPr>
          <w:snapToGrid/>
        </w:rPr>
        <w:t>(</w:t>
      </w:r>
      <w:r>
        <w:rPr>
          <w:rFonts w:hint="eastAsia"/>
          <w:snapToGrid/>
        </w:rPr>
        <w:t>香港特区</w:t>
      </w:r>
      <w:r>
        <w:rPr>
          <w:snapToGrid/>
        </w:rPr>
        <w:t>)</w:t>
      </w:r>
      <w:r>
        <w:rPr>
          <w:rFonts w:hint="eastAsia"/>
          <w:snapToGrid/>
        </w:rPr>
        <w:t>于一九九七年七月一日成立，而香港特区基本法也由一九九七年七月一日开始实施。按照“一国两制”的方针，香港特区不实行社会主义制度和政策，保持原有的资本主义制度和生活方式，五十年不变。《基本法》的文本载于附件</w:t>
      </w:r>
      <w:r>
        <w:rPr>
          <w:snapToGrid/>
        </w:rPr>
        <w:t>1</w:t>
      </w:r>
      <w:r>
        <w:rPr>
          <w:rFonts w:hint="eastAsia"/>
          <w:snapToGrid/>
        </w:rPr>
        <w:t>。</w:t>
      </w:r>
    </w:p>
    <w:p w:rsidR="00000000" w:rsidRDefault="00000000">
      <w:pPr>
        <w:rPr>
          <w:snapToGrid/>
        </w:rPr>
      </w:pPr>
      <w:r>
        <w:rPr>
          <w:snapToGrid/>
        </w:rPr>
        <w:tab/>
        <w:t xml:space="preserve">290.  </w:t>
      </w:r>
      <w:r>
        <w:rPr>
          <w:rFonts w:hint="eastAsia"/>
          <w:snapToGrid/>
        </w:rPr>
        <w:t>为全面落实“一国两制”的方针，《基本法》阐明中央和香港特区的关系﹙第二章﹚；香港居民的基本权利和义务﹙第三章﹚；香港特区的政治体制﹙第四章﹚；经济、金融和社会制度﹙第五和第六章﹚；对外事务﹙第七章﹚；以及对《基本法》的解释和修改﹙第八章﹚。</w:t>
      </w:r>
    </w:p>
    <w:p w:rsidR="00000000" w:rsidRDefault="00000000">
      <w:pPr>
        <w:rPr>
          <w:snapToGrid/>
        </w:rPr>
      </w:pPr>
      <w:r>
        <w:rPr>
          <w:snapToGrid/>
        </w:rPr>
        <w:tab/>
        <w:t xml:space="preserve">291.  </w:t>
      </w:r>
      <w:r>
        <w:rPr>
          <w:rFonts w:hint="eastAsia"/>
          <w:snapToGrid/>
        </w:rPr>
        <w:t>《基本法》所涉及的事项很多，其中包括：</w:t>
      </w:r>
    </w:p>
    <w:p w:rsidR="00000000" w:rsidRDefault="00000000">
      <w:pPr>
        <w:numPr>
          <w:ilvl w:val="0"/>
          <w:numId w:val="86"/>
        </w:numPr>
        <w:rPr>
          <w:snapToGrid/>
        </w:rPr>
      </w:pPr>
      <w:r>
        <w:rPr>
          <w:rFonts w:hint="eastAsia"/>
          <w:snapToGrid/>
        </w:rPr>
        <w:t>除国防和外交事务外，香港特区实行高度自治，享有行政管理权、立法权、独立的司法权和终审权。香港特区的终审权属于香港特区终审法院；</w:t>
      </w:r>
    </w:p>
    <w:p w:rsidR="00000000" w:rsidRDefault="00000000">
      <w:pPr>
        <w:numPr>
          <w:ilvl w:val="0"/>
          <w:numId w:val="86"/>
        </w:numPr>
        <w:rPr>
          <w:snapToGrid/>
        </w:rPr>
      </w:pPr>
      <w:r>
        <w:rPr>
          <w:rFonts w:hint="eastAsia"/>
          <w:snapToGrid/>
        </w:rPr>
        <w:t>香港特区的行政和立法机关成员由香港永久居民组成；</w:t>
      </w:r>
    </w:p>
    <w:p w:rsidR="00000000" w:rsidRDefault="00000000">
      <w:pPr>
        <w:numPr>
          <w:ilvl w:val="0"/>
          <w:numId w:val="86"/>
        </w:numPr>
        <w:rPr>
          <w:rFonts w:hint="eastAsia"/>
          <w:snapToGrid/>
        </w:rPr>
      </w:pPr>
      <w:r>
        <w:rPr>
          <w:rFonts w:hint="eastAsia"/>
          <w:snapToGrid/>
        </w:rPr>
        <w:t>香港原有法律，即普通法、衡平法、条例、附属立法和习惯法，除与《基本法》相抵触或经香港特区的立法机关修改者外，予以保留；</w:t>
      </w:r>
    </w:p>
    <w:p w:rsidR="00000000" w:rsidRDefault="00000000">
      <w:pPr>
        <w:numPr>
          <w:ilvl w:val="0"/>
          <w:numId w:val="86"/>
        </w:numPr>
        <w:rPr>
          <w:snapToGrid/>
        </w:rPr>
      </w:pPr>
      <w:r>
        <w:rPr>
          <w:rFonts w:hint="eastAsia"/>
          <w:snapToGrid/>
        </w:rPr>
        <w:t>全国性法律除《基本法》附件三所列者外，不在香港特区实施。凡列于《基本法》附件三的法律，由香港特区在当地公布或立法实施。全国人民代表大会常务委员会在征询香港特区基本法委员会和香港特区政府的意见后，可增减《基本法》附件三所列的法律；</w:t>
      </w:r>
    </w:p>
    <w:p w:rsidR="00000000" w:rsidRDefault="00000000">
      <w:pPr>
        <w:numPr>
          <w:ilvl w:val="0"/>
          <w:numId w:val="86"/>
        </w:numPr>
        <w:rPr>
          <w:snapToGrid/>
        </w:rPr>
      </w:pPr>
      <w:r>
        <w:rPr>
          <w:rFonts w:hint="eastAsia"/>
          <w:snapToGrid/>
        </w:rPr>
        <w:t>香港特区获授权自行处理有关的对外事务。香港特区可在经济、贸易、金融、航运、通讯、旅游、文化、体育等领域，以“中国香港”的名义，单独地与世界各国、各地区及有关国际组织保持和发展关系，签订和履行有关协议；</w:t>
      </w:r>
    </w:p>
    <w:p w:rsidR="00000000" w:rsidRDefault="00000000">
      <w:pPr>
        <w:numPr>
          <w:ilvl w:val="0"/>
          <w:numId w:val="86"/>
        </w:numPr>
        <w:rPr>
          <w:snapToGrid/>
        </w:rPr>
      </w:pPr>
      <w:r>
        <w:rPr>
          <w:rFonts w:hint="eastAsia"/>
          <w:snapToGrid/>
        </w:rPr>
        <w:t>香港特区保持自由港、独立关税地区和国际金融中心的地位，资金可自由流动。香港特区负责发行和管理港币；</w:t>
      </w:r>
    </w:p>
    <w:p w:rsidR="00000000" w:rsidRDefault="00000000">
      <w:pPr>
        <w:numPr>
          <w:ilvl w:val="0"/>
          <w:numId w:val="86"/>
        </w:numPr>
        <w:rPr>
          <w:snapToGrid/>
        </w:rPr>
      </w:pPr>
      <w:r>
        <w:rPr>
          <w:rFonts w:hint="eastAsia"/>
          <w:snapToGrid/>
        </w:rPr>
        <w:t>香港特区自行制定教育、科学、文化、体育、劳工和社会服务的发展政策，香港居民享有宗教信仰的自由；</w:t>
      </w:r>
    </w:p>
    <w:p w:rsidR="00000000" w:rsidRDefault="00000000">
      <w:pPr>
        <w:numPr>
          <w:ilvl w:val="0"/>
          <w:numId w:val="86"/>
        </w:numPr>
        <w:rPr>
          <w:snapToGrid/>
        </w:rPr>
      </w:pPr>
      <w:r>
        <w:rPr>
          <w:rFonts w:hint="eastAsia"/>
          <w:snapToGrid/>
        </w:rPr>
        <w:t>香港居民享有多项自由和权利</w:t>
      </w:r>
      <w:r>
        <w:rPr>
          <w:snapToGrid/>
        </w:rPr>
        <w:t>(</w:t>
      </w:r>
      <w:r>
        <w:rPr>
          <w:rFonts w:hint="eastAsia"/>
          <w:snapToGrid/>
        </w:rPr>
        <w:t>这将在下文“保障人权的法律架构概况”一节详述</w:t>
      </w:r>
      <w:r>
        <w:rPr>
          <w:rFonts w:hint="eastAsia"/>
          <w:snapToGrid/>
        </w:rPr>
        <w:t>)</w:t>
      </w:r>
      <w:r>
        <w:rPr>
          <w:rFonts w:hint="eastAsia"/>
          <w:snapToGrid/>
        </w:rPr>
        <w:t>；和</w:t>
      </w:r>
    </w:p>
    <w:p w:rsidR="00000000" w:rsidRDefault="00000000">
      <w:pPr>
        <w:numPr>
          <w:ilvl w:val="0"/>
          <w:numId w:val="86"/>
        </w:numPr>
        <w:spacing w:after="320"/>
        <w:rPr>
          <w:snapToGrid/>
        </w:rPr>
      </w:pPr>
      <w:r>
        <w:rPr>
          <w:rFonts w:hint="eastAsia"/>
          <w:snapToGrid/>
        </w:rPr>
        <w:t>《公民权利和政治权利国际公约》、《经济、社会与文化权利的国际公约》和国际劳工公约适用于香港的有关规定将继续有效，通过香港特区的法律予以实施。</w:t>
      </w:r>
    </w:p>
    <w:p w:rsidR="00000000" w:rsidRDefault="00000000">
      <w:pPr>
        <w:pStyle w:val="a3"/>
      </w:pPr>
      <w:r>
        <w:rPr>
          <w:rFonts w:hint="eastAsia"/>
        </w:rPr>
        <w:t>政府体制</w:t>
      </w:r>
    </w:p>
    <w:p w:rsidR="00000000" w:rsidRDefault="00000000">
      <w:pPr>
        <w:pStyle w:val="Heading4"/>
      </w:pPr>
      <w:r>
        <w:rPr>
          <w:rFonts w:hint="eastAsia"/>
        </w:rPr>
        <w:t>政制发展</w:t>
      </w:r>
    </w:p>
    <w:p w:rsidR="00000000" w:rsidRDefault="00000000">
      <w:pPr>
        <w:rPr>
          <w:rFonts w:hint="eastAsia"/>
          <w:snapToGrid/>
        </w:rPr>
      </w:pPr>
      <w:r>
        <w:rPr>
          <w:snapToGrid/>
        </w:rPr>
        <w:tab/>
      </w:r>
      <w:r>
        <w:rPr>
          <w:rFonts w:hint="eastAsia"/>
          <w:snapToGrid/>
        </w:rPr>
        <w:t>292.</w:t>
      </w:r>
      <w:r>
        <w:rPr>
          <w:snapToGrid/>
        </w:rPr>
        <w:t xml:space="preserve">  </w:t>
      </w:r>
      <w:r>
        <w:rPr>
          <w:rFonts w:hint="eastAsia"/>
          <w:snapToGrid/>
        </w:rPr>
        <w:t>《基本法》为香港特区的政制发展制定了由一九九七年至二零零七年的十年蓝图。《基本法》亦订明，最终目标是要令行政长官和立法会议员由普选产生。</w:t>
      </w:r>
    </w:p>
    <w:p w:rsidR="00000000" w:rsidRDefault="00000000">
      <w:pPr>
        <w:spacing w:after="320"/>
        <w:rPr>
          <w:snapToGrid/>
        </w:rPr>
      </w:pPr>
      <w:r>
        <w:rPr>
          <w:snapToGrid/>
        </w:rPr>
        <w:tab/>
      </w:r>
      <w:r>
        <w:rPr>
          <w:rFonts w:hint="eastAsia"/>
          <w:snapToGrid/>
        </w:rPr>
        <w:t>293.</w:t>
      </w:r>
      <w:r>
        <w:rPr>
          <w:snapToGrid/>
        </w:rPr>
        <w:t xml:space="preserve">  </w:t>
      </w:r>
      <w:r>
        <w:rPr>
          <w:rFonts w:hint="eastAsia"/>
          <w:snapToGrid/>
        </w:rPr>
        <w:t>香港特区行政长官是香港特区的首长，他由行政会议协助决策。香港特区立法会是香港特区的立法机关，负责制定、修改和废除法例，批准税收和公共开支，并对政府的工作提出质询。香港特区根据《基本法》第九十七和第九十八条设立区议会，并就地方管理和其他事务咨询区议会。此外，香港特区有独立的司法机关。</w:t>
      </w:r>
    </w:p>
    <w:p w:rsidR="00000000" w:rsidRDefault="00000000">
      <w:pPr>
        <w:pStyle w:val="Heading4"/>
      </w:pPr>
      <w:r>
        <w:rPr>
          <w:rFonts w:hint="eastAsia"/>
        </w:rPr>
        <w:t>行政长官</w:t>
      </w:r>
    </w:p>
    <w:p w:rsidR="00000000" w:rsidRDefault="00000000">
      <w:pPr>
        <w:rPr>
          <w:snapToGrid/>
        </w:rPr>
      </w:pPr>
      <w:r>
        <w:rPr>
          <w:snapToGrid/>
        </w:rPr>
        <w:tab/>
      </w:r>
      <w:r>
        <w:rPr>
          <w:rFonts w:hint="eastAsia"/>
          <w:snapToGrid/>
        </w:rPr>
        <w:t>294.</w:t>
      </w:r>
      <w:r>
        <w:rPr>
          <w:snapToGrid/>
        </w:rPr>
        <w:t xml:space="preserve">  </w:t>
      </w:r>
      <w:r>
        <w:rPr>
          <w:rFonts w:hint="eastAsia"/>
          <w:snapToGrid/>
        </w:rPr>
        <w:t>《基本法》订明，香港特区行政长官在当地通过选举或协商产生，由中央人民政府任命。行政长官的产生办法根据香港特区的实际情况和循序渐进的原则而规定，最终达至由一个有广泛代表性的提名委员会按民主程序提名后普选产生的目标。</w:t>
      </w:r>
    </w:p>
    <w:p w:rsidR="00000000" w:rsidRDefault="00000000">
      <w:pPr>
        <w:rPr>
          <w:rFonts w:hint="eastAsia"/>
          <w:snapToGrid/>
        </w:rPr>
      </w:pPr>
      <w:r>
        <w:rPr>
          <w:snapToGrid/>
        </w:rPr>
        <w:tab/>
      </w:r>
      <w:r>
        <w:rPr>
          <w:rFonts w:hint="eastAsia"/>
          <w:snapToGrid/>
        </w:rPr>
        <w:t>295.</w:t>
      </w:r>
      <w:r>
        <w:rPr>
          <w:snapToGrid/>
        </w:rPr>
        <w:t xml:space="preserve">  </w:t>
      </w:r>
      <w:r>
        <w:rPr>
          <w:rFonts w:hint="eastAsia"/>
          <w:snapToGrid/>
        </w:rPr>
        <w:t>根据《基本法》和《行政长官选举条例》</w:t>
      </w:r>
      <w:r>
        <w:rPr>
          <w:snapToGrid/>
        </w:rPr>
        <w:t>(</w:t>
      </w:r>
      <w:r>
        <w:rPr>
          <w:rFonts w:hint="eastAsia"/>
          <w:snapToGrid/>
        </w:rPr>
        <w:t>由香港特区立法机关于二零零一年七月通过</w:t>
      </w:r>
      <w:r>
        <w:rPr>
          <w:snapToGrid/>
        </w:rPr>
        <w:t>)</w:t>
      </w:r>
      <w:r>
        <w:rPr>
          <w:rFonts w:hint="eastAsia"/>
          <w:snapToGrid/>
        </w:rPr>
        <w:t>，第二任行政长官由共有</w:t>
      </w:r>
      <w:r>
        <w:rPr>
          <w:snapToGrid/>
        </w:rPr>
        <w:t>800</w:t>
      </w:r>
      <w:r>
        <w:rPr>
          <w:rFonts w:hint="eastAsia"/>
          <w:snapToGrid/>
        </w:rPr>
        <w:t>名成员的选举委员会选出，这些委员大部分由不同社区及功能界别选出，代表劳工界、社会服务界、基层界别、宗教界、专业界、商界和政界等，令委员会具有广泛代表性。</w:t>
      </w:r>
    </w:p>
    <w:p w:rsidR="00000000" w:rsidRDefault="00000000">
      <w:pPr>
        <w:spacing w:after="320"/>
        <w:rPr>
          <w:snapToGrid/>
        </w:rPr>
      </w:pPr>
      <w:r>
        <w:rPr>
          <w:snapToGrid/>
        </w:rPr>
        <w:tab/>
      </w:r>
      <w:r>
        <w:rPr>
          <w:rFonts w:hint="eastAsia"/>
          <w:snapToGrid/>
        </w:rPr>
        <w:t>296.</w:t>
      </w:r>
      <w:r>
        <w:rPr>
          <w:snapToGrid/>
        </w:rPr>
        <w:t xml:space="preserve">  </w:t>
      </w:r>
      <w:r>
        <w:rPr>
          <w:rFonts w:hint="eastAsia"/>
          <w:snapToGrid/>
        </w:rPr>
        <w:t>《基本法》附件一规定，二零零七年以后各任行政长官的产生办法如需修改，须由立法会全体议员三分之二多数通过，经行政长官同意，报全国人民代表大会常务委员会批准。</w:t>
      </w:r>
    </w:p>
    <w:p w:rsidR="00000000" w:rsidRDefault="00000000">
      <w:pPr>
        <w:pStyle w:val="Heading4"/>
      </w:pPr>
      <w:r>
        <w:rPr>
          <w:rFonts w:hint="eastAsia"/>
        </w:rPr>
        <w:t>行政会议</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rPr>
          <w:rFonts w:hint="eastAsia"/>
          <w:snapToGrid/>
        </w:rPr>
      </w:pPr>
      <w:r>
        <w:rPr>
          <w:rFonts w:hint="eastAsia"/>
          <w:snapToGrid/>
        </w:rPr>
        <w:tab/>
        <w:t>297.</w:t>
      </w:r>
      <w:r>
        <w:rPr>
          <w:snapToGrid/>
        </w:rPr>
        <w:t xml:space="preserve">  </w:t>
      </w:r>
      <w:r>
        <w:rPr>
          <w:rFonts w:hint="eastAsia"/>
          <w:snapToGrid/>
        </w:rPr>
        <w:t>行政会议是协助行政长官决策的机构。《基本法》第五十六条订明，行政长官在作出重要决策、向立法会提交法案、制定附属法规和解散立法会前，须征询行政会议的意见，但人事任免、纪律制裁和紧急情况下采取的措施则属例外。行政长官会同行政会议也对根据法例赋予的法定上诉权而提出的上诉、呈请或反对作出裁决。行政长官如不采纳行政会议多数成员的意见，应将具体理由记录在案。</w:t>
      </w:r>
    </w:p>
    <w:p w:rsidR="00000000" w:rsidRDefault="00000000">
      <w:pPr>
        <w:spacing w:after="200"/>
        <w:rPr>
          <w:rFonts w:hint="eastAsia"/>
          <w:snapToGrid/>
        </w:rPr>
      </w:pPr>
      <w:r>
        <w:rPr>
          <w:rFonts w:hint="eastAsia"/>
          <w:snapToGrid/>
        </w:rPr>
        <w:tab/>
        <w:t>298.</w:t>
      </w:r>
      <w:r>
        <w:rPr>
          <w:snapToGrid/>
        </w:rPr>
        <w:t xml:space="preserve">  </w:t>
      </w:r>
      <w:r>
        <w:rPr>
          <w:rFonts w:hint="eastAsia"/>
          <w:snapToGrid/>
        </w:rPr>
        <w:t>行政会议通常每周举行会议一次，由行政长官主持。会议事项虽然保密，但很多决定都向外界公布。行政会议有成员</w:t>
      </w:r>
      <w:r>
        <w:rPr>
          <w:snapToGrid/>
        </w:rPr>
        <w:t>19</w:t>
      </w:r>
      <w:r>
        <w:rPr>
          <w:rFonts w:hint="eastAsia"/>
          <w:snapToGrid/>
        </w:rPr>
        <w:t>名。《基本法》第五十五条规定，行政会议的成员由行政长官从行政机关的主要官员、立法会议员和社会人士中委任。他们须是香港特区永久居民中的中国公民，在外国并无居留权。行政会议成员的任免由行政长官决定，任期应不超过委任他的行政长官的任期。</w:t>
      </w:r>
    </w:p>
    <w:p w:rsidR="00000000" w:rsidRDefault="00000000">
      <w:pPr>
        <w:pStyle w:val="Heading4"/>
        <w:spacing w:after="200"/>
      </w:pPr>
      <w:r>
        <w:rPr>
          <w:rFonts w:hint="eastAsia"/>
        </w:rPr>
        <w:t>立</w:t>
      </w:r>
      <w:r>
        <w:t xml:space="preserve"> </w:t>
      </w:r>
      <w:r>
        <w:rPr>
          <w:rFonts w:hint="eastAsia"/>
        </w:rPr>
        <w:t>法</w:t>
      </w:r>
      <w:r>
        <w:t xml:space="preserve"> </w:t>
      </w:r>
      <w:r>
        <w:rPr>
          <w:rFonts w:hint="eastAsia"/>
        </w:rPr>
        <w:t>会</w:t>
      </w:r>
    </w:p>
    <w:p w:rsidR="00000000" w:rsidRDefault="00000000">
      <w:pPr>
        <w:spacing w:after="120"/>
        <w:rPr>
          <w:snapToGrid/>
        </w:rPr>
      </w:pPr>
      <w:r>
        <w:rPr>
          <w:snapToGrid/>
        </w:rPr>
        <w:tab/>
      </w:r>
      <w:r>
        <w:rPr>
          <w:rFonts w:hint="eastAsia"/>
          <w:snapToGrid/>
        </w:rPr>
        <w:t>299.</w:t>
      </w:r>
      <w:r>
        <w:rPr>
          <w:snapToGrid/>
        </w:rPr>
        <w:t xml:space="preserve">  </w:t>
      </w:r>
      <w:r>
        <w:rPr>
          <w:rFonts w:hint="eastAsia"/>
          <w:snapToGrid/>
        </w:rPr>
        <w:t>《基本法》第六十八条订明，香港特区立法会须由选举产生，产生办法根据香港特区的实际情况和循序渐进的原则而规定，最终达至全部议员由普选产生的目标。《基本法》附件二规定，首三届立法会的组成如下：</w:t>
      </w:r>
    </w:p>
    <w:tbl>
      <w:tblPr>
        <w:tblW w:w="5000" w:type="pct"/>
        <w:tblCellMar>
          <w:left w:w="28" w:type="dxa"/>
          <w:right w:w="28" w:type="dxa"/>
        </w:tblCellMar>
        <w:tblLook w:val="0000" w:firstRow="0" w:lastRow="0" w:firstColumn="0" w:lastColumn="0" w:noHBand="0" w:noVBand="0"/>
      </w:tblPr>
      <w:tblGrid>
        <w:gridCol w:w="640"/>
        <w:gridCol w:w="3239"/>
        <w:gridCol w:w="2025"/>
        <w:gridCol w:w="1822"/>
        <w:gridCol w:w="1684"/>
      </w:tblGrid>
      <w:tr w:rsidR="00000000">
        <w:tblPrEx>
          <w:tblCellMar>
            <w:top w:w="0" w:type="dxa"/>
            <w:bottom w:w="0" w:type="dxa"/>
          </w:tblCellMar>
        </w:tblPrEx>
        <w:tc>
          <w:tcPr>
            <w:tcW w:w="340" w:type="pct"/>
          </w:tcPr>
          <w:p w:rsidR="00000000" w:rsidRDefault="00000000">
            <w:pPr>
              <w:pStyle w:val="a2"/>
              <w:spacing w:line="240" w:lineRule="auto"/>
              <w:jc w:val="center"/>
              <w:rPr>
                <w:snapToGrid/>
              </w:rPr>
            </w:pPr>
          </w:p>
        </w:tc>
        <w:tc>
          <w:tcPr>
            <w:tcW w:w="1721" w:type="pct"/>
          </w:tcPr>
          <w:p w:rsidR="00000000" w:rsidRDefault="00000000">
            <w:pPr>
              <w:pStyle w:val="a2"/>
              <w:spacing w:line="240" w:lineRule="auto"/>
              <w:jc w:val="center"/>
              <w:rPr>
                <w:rFonts w:ascii="Time New Roman" w:eastAsia="SimHei" w:hAnsi="Time New Roman"/>
                <w:bCs/>
                <w:snapToGrid/>
              </w:rPr>
            </w:pPr>
            <w:r>
              <w:rPr>
                <w:b/>
                <w:snapToGrid/>
              </w:rPr>
              <w:br/>
            </w:r>
            <w:r>
              <w:rPr>
                <w:rFonts w:ascii="Time New Roman" w:eastAsia="SimHei" w:hAnsi="Time New Roman" w:hint="eastAsia"/>
                <w:bCs/>
                <w:snapToGrid/>
              </w:rPr>
              <w:t>成</w:t>
            </w:r>
            <w:r>
              <w:rPr>
                <w:rFonts w:ascii="Time New Roman" w:eastAsia="SimHei" w:hAnsi="Time New Roman"/>
                <w:bCs/>
                <w:snapToGrid/>
              </w:rPr>
              <w:t xml:space="preserve">  </w:t>
            </w:r>
            <w:r>
              <w:rPr>
                <w:rFonts w:ascii="Time New Roman" w:eastAsia="SimHei" w:hAnsi="Time New Roman" w:hint="eastAsia"/>
                <w:bCs/>
                <w:snapToGrid/>
              </w:rPr>
              <w:t>员</w:t>
            </w:r>
          </w:p>
        </w:tc>
        <w:tc>
          <w:tcPr>
            <w:tcW w:w="1076" w:type="pct"/>
          </w:tcPr>
          <w:p w:rsidR="00000000" w:rsidRDefault="00000000">
            <w:pPr>
              <w:pStyle w:val="a2"/>
              <w:spacing w:line="240" w:lineRule="auto"/>
              <w:jc w:val="center"/>
              <w:rPr>
                <w:rFonts w:ascii="Time New Roman" w:eastAsia="SimHei" w:hAnsi="Time New Roman"/>
                <w:bCs/>
                <w:snapToGrid/>
              </w:rPr>
            </w:pPr>
            <w:r>
              <w:rPr>
                <w:rFonts w:ascii="Time New Roman" w:eastAsia="SimHei" w:hAnsi="Time New Roman" w:hint="eastAsia"/>
                <w:bCs/>
                <w:snapToGrid/>
              </w:rPr>
              <w:t>第一届</w:t>
            </w:r>
          </w:p>
          <w:p w:rsidR="00000000" w:rsidRDefault="00000000">
            <w:pPr>
              <w:pStyle w:val="a2"/>
              <w:spacing w:line="240" w:lineRule="auto"/>
              <w:jc w:val="center"/>
              <w:rPr>
                <w:snapToGrid/>
              </w:rPr>
            </w:pPr>
            <w:r>
              <w:rPr>
                <w:snapToGrid/>
              </w:rPr>
              <w:t>1998-2000</w:t>
            </w:r>
            <w:r>
              <w:rPr>
                <w:rFonts w:hint="eastAsia"/>
                <w:snapToGrid/>
              </w:rPr>
              <w:t>年</w:t>
            </w:r>
          </w:p>
          <w:p w:rsidR="00000000" w:rsidRDefault="00000000">
            <w:pPr>
              <w:pStyle w:val="a2"/>
              <w:spacing w:line="240" w:lineRule="auto"/>
              <w:jc w:val="center"/>
              <w:rPr>
                <w:snapToGrid/>
              </w:rPr>
            </w:pPr>
            <w:r>
              <w:rPr>
                <w:snapToGrid/>
              </w:rPr>
              <w:t>(</w:t>
            </w:r>
            <w:r>
              <w:rPr>
                <w:rFonts w:hint="eastAsia"/>
                <w:snapToGrid/>
              </w:rPr>
              <w:t>任期两年</w:t>
            </w:r>
            <w:r>
              <w:rPr>
                <w:snapToGrid/>
              </w:rPr>
              <w:t>)</w:t>
            </w:r>
          </w:p>
        </w:tc>
        <w:tc>
          <w:tcPr>
            <w:tcW w:w="968" w:type="pct"/>
          </w:tcPr>
          <w:p w:rsidR="00000000" w:rsidRDefault="00000000">
            <w:pPr>
              <w:pStyle w:val="a2"/>
              <w:spacing w:line="240" w:lineRule="auto"/>
              <w:jc w:val="center"/>
              <w:rPr>
                <w:rFonts w:ascii="Time New Roman" w:eastAsia="SimHei" w:hAnsi="Time New Roman"/>
                <w:bCs/>
                <w:snapToGrid/>
              </w:rPr>
            </w:pPr>
            <w:r>
              <w:rPr>
                <w:rFonts w:ascii="Time New Roman" w:eastAsia="SimHei" w:hAnsi="Time New Roman" w:hint="eastAsia"/>
                <w:bCs/>
                <w:snapToGrid/>
              </w:rPr>
              <w:t>第二届</w:t>
            </w:r>
          </w:p>
          <w:p w:rsidR="00000000" w:rsidRDefault="00000000">
            <w:pPr>
              <w:pStyle w:val="a2"/>
              <w:spacing w:line="240" w:lineRule="auto"/>
              <w:jc w:val="center"/>
              <w:rPr>
                <w:snapToGrid/>
              </w:rPr>
            </w:pPr>
            <w:r>
              <w:rPr>
                <w:snapToGrid/>
              </w:rPr>
              <w:t>2000-2004</w:t>
            </w:r>
            <w:r>
              <w:rPr>
                <w:rFonts w:hint="eastAsia"/>
                <w:snapToGrid/>
              </w:rPr>
              <w:t>年</w:t>
            </w:r>
          </w:p>
          <w:p w:rsidR="00000000" w:rsidRDefault="00000000">
            <w:pPr>
              <w:pStyle w:val="a2"/>
              <w:spacing w:line="240" w:lineRule="auto"/>
              <w:jc w:val="center"/>
              <w:rPr>
                <w:snapToGrid/>
              </w:rPr>
            </w:pPr>
            <w:r>
              <w:rPr>
                <w:snapToGrid/>
              </w:rPr>
              <w:t>(</w:t>
            </w:r>
            <w:r>
              <w:rPr>
                <w:rFonts w:hint="eastAsia"/>
                <w:snapToGrid/>
              </w:rPr>
              <w:t>任期四年</w:t>
            </w:r>
            <w:r>
              <w:rPr>
                <w:snapToGrid/>
              </w:rPr>
              <w:t>)</w:t>
            </w:r>
          </w:p>
        </w:tc>
        <w:tc>
          <w:tcPr>
            <w:tcW w:w="895" w:type="pct"/>
          </w:tcPr>
          <w:p w:rsidR="00000000" w:rsidRDefault="00000000">
            <w:pPr>
              <w:pStyle w:val="a2"/>
              <w:spacing w:line="240" w:lineRule="auto"/>
              <w:jc w:val="center"/>
              <w:rPr>
                <w:rFonts w:ascii="Time New Roman" w:eastAsia="SimHei" w:hAnsi="Time New Roman"/>
                <w:bCs/>
                <w:snapToGrid/>
              </w:rPr>
            </w:pPr>
            <w:r>
              <w:rPr>
                <w:rFonts w:ascii="Time New Roman" w:eastAsia="SimHei" w:hAnsi="Time New Roman" w:hint="eastAsia"/>
                <w:bCs/>
                <w:snapToGrid/>
              </w:rPr>
              <w:t>第三届</w:t>
            </w:r>
          </w:p>
          <w:p w:rsidR="00000000" w:rsidRDefault="00000000">
            <w:pPr>
              <w:pStyle w:val="a2"/>
              <w:spacing w:line="240" w:lineRule="auto"/>
              <w:jc w:val="center"/>
              <w:rPr>
                <w:snapToGrid/>
              </w:rPr>
            </w:pPr>
            <w:r>
              <w:rPr>
                <w:snapToGrid/>
              </w:rPr>
              <w:t>2004-2008</w:t>
            </w:r>
            <w:r>
              <w:rPr>
                <w:rFonts w:hint="eastAsia"/>
                <w:snapToGrid/>
              </w:rPr>
              <w:t>年</w:t>
            </w:r>
          </w:p>
          <w:p w:rsidR="00000000" w:rsidRDefault="00000000">
            <w:pPr>
              <w:pStyle w:val="a2"/>
              <w:spacing w:line="240" w:lineRule="auto"/>
              <w:jc w:val="center"/>
              <w:rPr>
                <w:snapToGrid/>
              </w:rPr>
            </w:pPr>
            <w:r>
              <w:rPr>
                <w:snapToGrid/>
              </w:rPr>
              <w:t>(</w:t>
            </w:r>
            <w:r>
              <w:rPr>
                <w:rFonts w:hint="eastAsia"/>
                <w:snapToGrid/>
              </w:rPr>
              <w:t>任期四年</w:t>
            </w:r>
            <w:r>
              <w:rPr>
                <w:snapToGrid/>
              </w:rPr>
              <w:t>)</w:t>
            </w:r>
          </w:p>
        </w:tc>
      </w:tr>
      <w:tr w:rsidR="00000000">
        <w:tblPrEx>
          <w:tblCellMar>
            <w:top w:w="0" w:type="dxa"/>
            <w:bottom w:w="0" w:type="dxa"/>
          </w:tblCellMar>
        </w:tblPrEx>
        <w:tc>
          <w:tcPr>
            <w:tcW w:w="340" w:type="pct"/>
          </w:tcPr>
          <w:p w:rsidR="00000000" w:rsidRDefault="00000000">
            <w:pPr>
              <w:pStyle w:val="a2"/>
              <w:spacing w:before="80" w:after="60"/>
              <w:rPr>
                <w:rFonts w:hint="eastAsia"/>
                <w:snapToGrid/>
              </w:rPr>
            </w:pPr>
          </w:p>
        </w:tc>
        <w:tc>
          <w:tcPr>
            <w:tcW w:w="1721" w:type="pct"/>
          </w:tcPr>
          <w:p w:rsidR="00000000" w:rsidRDefault="00000000">
            <w:pPr>
              <w:pStyle w:val="a2"/>
              <w:spacing w:before="80" w:after="60"/>
              <w:rPr>
                <w:snapToGrid/>
              </w:rPr>
            </w:pPr>
            <w:r>
              <w:rPr>
                <w:rFonts w:hint="eastAsia"/>
                <w:snapToGrid/>
              </w:rPr>
              <w:t>由分区直接选举产生</w:t>
            </w:r>
          </w:p>
        </w:tc>
        <w:tc>
          <w:tcPr>
            <w:tcW w:w="1076" w:type="pct"/>
          </w:tcPr>
          <w:p w:rsidR="00000000" w:rsidRDefault="00000000">
            <w:pPr>
              <w:pStyle w:val="a2"/>
              <w:spacing w:before="80" w:after="60"/>
              <w:jc w:val="center"/>
              <w:rPr>
                <w:snapToGrid/>
              </w:rPr>
            </w:pPr>
            <w:r>
              <w:rPr>
                <w:snapToGrid/>
              </w:rPr>
              <w:t>20</w:t>
            </w:r>
            <w:r>
              <w:rPr>
                <w:rFonts w:hint="eastAsia"/>
                <w:snapToGrid/>
              </w:rPr>
              <w:t>人</w:t>
            </w:r>
          </w:p>
        </w:tc>
        <w:tc>
          <w:tcPr>
            <w:tcW w:w="968" w:type="pct"/>
          </w:tcPr>
          <w:p w:rsidR="00000000" w:rsidRDefault="00000000">
            <w:pPr>
              <w:pStyle w:val="a2"/>
              <w:spacing w:before="80" w:after="60"/>
              <w:jc w:val="center"/>
              <w:rPr>
                <w:snapToGrid/>
              </w:rPr>
            </w:pPr>
            <w:r>
              <w:rPr>
                <w:snapToGrid/>
              </w:rPr>
              <w:t>24</w:t>
            </w:r>
            <w:r>
              <w:rPr>
                <w:rFonts w:hint="eastAsia"/>
                <w:snapToGrid/>
              </w:rPr>
              <w:t>人</w:t>
            </w:r>
          </w:p>
        </w:tc>
        <w:tc>
          <w:tcPr>
            <w:tcW w:w="895" w:type="pct"/>
          </w:tcPr>
          <w:p w:rsidR="00000000" w:rsidRDefault="00000000">
            <w:pPr>
              <w:pStyle w:val="a2"/>
              <w:spacing w:before="80" w:after="60"/>
              <w:jc w:val="center"/>
              <w:rPr>
                <w:snapToGrid/>
              </w:rPr>
            </w:pPr>
            <w:r>
              <w:rPr>
                <w:snapToGrid/>
              </w:rPr>
              <w:t>30</w:t>
            </w:r>
            <w:r>
              <w:rPr>
                <w:rFonts w:hint="eastAsia"/>
                <w:snapToGrid/>
              </w:rPr>
              <w:t>人</w:t>
            </w:r>
          </w:p>
        </w:tc>
      </w:tr>
      <w:tr w:rsidR="00000000">
        <w:tblPrEx>
          <w:tblCellMar>
            <w:top w:w="0" w:type="dxa"/>
            <w:bottom w:w="0" w:type="dxa"/>
          </w:tblCellMar>
        </w:tblPrEx>
        <w:tc>
          <w:tcPr>
            <w:tcW w:w="340" w:type="pct"/>
          </w:tcPr>
          <w:p w:rsidR="00000000" w:rsidRDefault="00000000">
            <w:pPr>
              <w:pStyle w:val="a2"/>
              <w:rPr>
                <w:snapToGrid/>
              </w:rPr>
            </w:pPr>
          </w:p>
        </w:tc>
        <w:tc>
          <w:tcPr>
            <w:tcW w:w="1721" w:type="pct"/>
          </w:tcPr>
          <w:p w:rsidR="00000000" w:rsidRDefault="00000000">
            <w:pPr>
              <w:pStyle w:val="a2"/>
              <w:rPr>
                <w:snapToGrid/>
              </w:rPr>
            </w:pPr>
            <w:r>
              <w:rPr>
                <w:rFonts w:hint="eastAsia"/>
                <w:snapToGrid/>
              </w:rPr>
              <w:t>由功能团体选举产生</w:t>
            </w:r>
          </w:p>
        </w:tc>
        <w:tc>
          <w:tcPr>
            <w:tcW w:w="1076" w:type="pct"/>
          </w:tcPr>
          <w:p w:rsidR="00000000" w:rsidRDefault="00000000">
            <w:pPr>
              <w:pStyle w:val="a2"/>
              <w:jc w:val="center"/>
              <w:rPr>
                <w:snapToGrid/>
              </w:rPr>
            </w:pPr>
            <w:r>
              <w:rPr>
                <w:snapToGrid/>
              </w:rPr>
              <w:t>30</w:t>
            </w:r>
            <w:r>
              <w:rPr>
                <w:rFonts w:hint="eastAsia"/>
                <w:snapToGrid/>
              </w:rPr>
              <w:t>人</w:t>
            </w:r>
          </w:p>
        </w:tc>
        <w:tc>
          <w:tcPr>
            <w:tcW w:w="968" w:type="pct"/>
          </w:tcPr>
          <w:p w:rsidR="00000000" w:rsidRDefault="00000000">
            <w:pPr>
              <w:pStyle w:val="a2"/>
              <w:jc w:val="center"/>
              <w:rPr>
                <w:snapToGrid/>
              </w:rPr>
            </w:pPr>
            <w:r>
              <w:rPr>
                <w:snapToGrid/>
              </w:rPr>
              <w:t>30</w:t>
            </w:r>
            <w:r>
              <w:rPr>
                <w:rFonts w:hint="eastAsia"/>
                <w:snapToGrid/>
              </w:rPr>
              <w:t>人</w:t>
            </w:r>
          </w:p>
        </w:tc>
        <w:tc>
          <w:tcPr>
            <w:tcW w:w="895" w:type="pct"/>
          </w:tcPr>
          <w:p w:rsidR="00000000" w:rsidRDefault="00000000">
            <w:pPr>
              <w:pStyle w:val="a2"/>
              <w:jc w:val="center"/>
              <w:rPr>
                <w:snapToGrid/>
              </w:rPr>
            </w:pPr>
            <w:r>
              <w:rPr>
                <w:snapToGrid/>
              </w:rPr>
              <w:t>30</w:t>
            </w:r>
            <w:r>
              <w:rPr>
                <w:rFonts w:hint="eastAsia"/>
                <w:snapToGrid/>
              </w:rPr>
              <w:t>人</w:t>
            </w:r>
          </w:p>
        </w:tc>
      </w:tr>
      <w:tr w:rsidR="00000000">
        <w:tblPrEx>
          <w:tblCellMar>
            <w:top w:w="0" w:type="dxa"/>
            <w:bottom w:w="0" w:type="dxa"/>
          </w:tblCellMar>
        </w:tblPrEx>
        <w:tc>
          <w:tcPr>
            <w:tcW w:w="340" w:type="pct"/>
            <w:tcBorders>
              <w:bottom w:val="single" w:sz="6" w:space="0" w:color="auto"/>
            </w:tcBorders>
          </w:tcPr>
          <w:p w:rsidR="00000000" w:rsidRDefault="00000000">
            <w:pPr>
              <w:pStyle w:val="a2"/>
              <w:spacing w:after="60"/>
              <w:rPr>
                <w:snapToGrid/>
              </w:rPr>
            </w:pPr>
          </w:p>
        </w:tc>
        <w:tc>
          <w:tcPr>
            <w:tcW w:w="1721" w:type="pct"/>
            <w:tcBorders>
              <w:bottom w:val="single" w:sz="6" w:space="0" w:color="auto"/>
            </w:tcBorders>
          </w:tcPr>
          <w:p w:rsidR="00000000" w:rsidRDefault="00000000">
            <w:pPr>
              <w:pStyle w:val="a2"/>
              <w:spacing w:after="60"/>
              <w:rPr>
                <w:snapToGrid/>
              </w:rPr>
            </w:pPr>
            <w:r>
              <w:rPr>
                <w:rFonts w:hint="eastAsia"/>
                <w:snapToGrid/>
              </w:rPr>
              <w:t>由选举委员会选举产生</w:t>
            </w:r>
          </w:p>
        </w:tc>
        <w:tc>
          <w:tcPr>
            <w:tcW w:w="1076" w:type="pct"/>
            <w:tcBorders>
              <w:bottom w:val="single" w:sz="6" w:space="0" w:color="auto"/>
            </w:tcBorders>
          </w:tcPr>
          <w:p w:rsidR="00000000" w:rsidRDefault="00000000">
            <w:pPr>
              <w:pStyle w:val="a2"/>
              <w:spacing w:after="60"/>
              <w:jc w:val="center"/>
              <w:rPr>
                <w:snapToGrid/>
              </w:rPr>
            </w:pPr>
            <w:r>
              <w:rPr>
                <w:snapToGrid/>
              </w:rPr>
              <w:t>10</w:t>
            </w:r>
            <w:r>
              <w:rPr>
                <w:rFonts w:hint="eastAsia"/>
                <w:snapToGrid/>
              </w:rPr>
              <w:t>人</w:t>
            </w:r>
          </w:p>
        </w:tc>
        <w:tc>
          <w:tcPr>
            <w:tcW w:w="968" w:type="pct"/>
            <w:tcBorders>
              <w:bottom w:val="single" w:sz="6" w:space="0" w:color="auto"/>
            </w:tcBorders>
          </w:tcPr>
          <w:p w:rsidR="00000000" w:rsidRDefault="00000000">
            <w:pPr>
              <w:pStyle w:val="a2"/>
              <w:spacing w:after="60"/>
              <w:jc w:val="center"/>
              <w:rPr>
                <w:snapToGrid/>
              </w:rPr>
            </w:pPr>
            <w:r>
              <w:rPr>
                <w:snapToGrid/>
              </w:rPr>
              <w:t>6</w:t>
            </w:r>
            <w:r>
              <w:rPr>
                <w:rFonts w:hint="eastAsia"/>
                <w:snapToGrid/>
              </w:rPr>
              <w:t>人</w:t>
            </w:r>
          </w:p>
        </w:tc>
        <w:tc>
          <w:tcPr>
            <w:tcW w:w="895" w:type="pct"/>
            <w:tcBorders>
              <w:bottom w:val="single" w:sz="6" w:space="0" w:color="auto"/>
            </w:tcBorders>
          </w:tcPr>
          <w:p w:rsidR="00000000" w:rsidRDefault="00000000">
            <w:pPr>
              <w:pStyle w:val="a2"/>
              <w:spacing w:after="60"/>
              <w:jc w:val="center"/>
              <w:rPr>
                <w:snapToGrid/>
              </w:rPr>
            </w:pPr>
            <w:r>
              <w:rPr>
                <w:rFonts w:hint="eastAsia"/>
                <w:snapToGrid/>
              </w:rPr>
              <w:t>－</w:t>
            </w:r>
          </w:p>
        </w:tc>
      </w:tr>
      <w:tr w:rsidR="00000000">
        <w:tblPrEx>
          <w:tblCellMar>
            <w:top w:w="0" w:type="dxa"/>
            <w:bottom w:w="0" w:type="dxa"/>
          </w:tblCellMar>
        </w:tblPrEx>
        <w:tc>
          <w:tcPr>
            <w:tcW w:w="340" w:type="pct"/>
          </w:tcPr>
          <w:p w:rsidR="00000000" w:rsidRDefault="00000000">
            <w:pPr>
              <w:pStyle w:val="a2"/>
              <w:spacing w:before="120"/>
              <w:rPr>
                <w:snapToGrid/>
              </w:rPr>
            </w:pPr>
          </w:p>
        </w:tc>
        <w:tc>
          <w:tcPr>
            <w:tcW w:w="1721" w:type="pct"/>
          </w:tcPr>
          <w:p w:rsidR="00000000" w:rsidRDefault="00000000">
            <w:pPr>
              <w:pStyle w:val="a2"/>
              <w:spacing w:before="120"/>
              <w:rPr>
                <w:snapToGrid/>
              </w:rPr>
            </w:pPr>
            <w:r>
              <w:rPr>
                <w:snapToGrid/>
              </w:rPr>
              <w:t xml:space="preserve">   </w:t>
            </w:r>
            <w:r>
              <w:rPr>
                <w:rFonts w:hint="eastAsia"/>
                <w:snapToGrid/>
              </w:rPr>
              <w:t>总</w:t>
            </w:r>
            <w:r>
              <w:rPr>
                <w:snapToGrid/>
              </w:rPr>
              <w:t xml:space="preserve">  </w:t>
            </w:r>
            <w:r>
              <w:rPr>
                <w:rFonts w:hint="eastAsia"/>
                <w:snapToGrid/>
              </w:rPr>
              <w:t>数</w:t>
            </w:r>
          </w:p>
        </w:tc>
        <w:tc>
          <w:tcPr>
            <w:tcW w:w="1076" w:type="pct"/>
          </w:tcPr>
          <w:p w:rsidR="00000000" w:rsidRDefault="00000000">
            <w:pPr>
              <w:pStyle w:val="a2"/>
              <w:spacing w:before="120"/>
              <w:jc w:val="center"/>
              <w:rPr>
                <w:snapToGrid/>
              </w:rPr>
            </w:pPr>
            <w:r>
              <w:rPr>
                <w:snapToGrid/>
              </w:rPr>
              <w:t>60</w:t>
            </w:r>
            <w:r>
              <w:rPr>
                <w:rFonts w:hint="eastAsia"/>
                <w:snapToGrid/>
              </w:rPr>
              <w:t>人</w:t>
            </w:r>
          </w:p>
        </w:tc>
        <w:tc>
          <w:tcPr>
            <w:tcW w:w="968" w:type="pct"/>
          </w:tcPr>
          <w:p w:rsidR="00000000" w:rsidRDefault="00000000">
            <w:pPr>
              <w:pStyle w:val="a2"/>
              <w:spacing w:before="120"/>
              <w:jc w:val="center"/>
              <w:rPr>
                <w:snapToGrid/>
              </w:rPr>
            </w:pPr>
            <w:r>
              <w:rPr>
                <w:snapToGrid/>
              </w:rPr>
              <w:t>60</w:t>
            </w:r>
            <w:r>
              <w:rPr>
                <w:rFonts w:hint="eastAsia"/>
                <w:snapToGrid/>
              </w:rPr>
              <w:t>人</w:t>
            </w:r>
          </w:p>
        </w:tc>
        <w:tc>
          <w:tcPr>
            <w:tcW w:w="895" w:type="pct"/>
          </w:tcPr>
          <w:p w:rsidR="00000000" w:rsidRDefault="00000000">
            <w:pPr>
              <w:pStyle w:val="a2"/>
              <w:spacing w:before="120"/>
              <w:jc w:val="center"/>
              <w:rPr>
                <w:snapToGrid/>
              </w:rPr>
            </w:pPr>
            <w:r>
              <w:rPr>
                <w:snapToGrid/>
              </w:rPr>
              <w:t>60</w:t>
            </w:r>
            <w:r>
              <w:rPr>
                <w:rFonts w:hint="eastAsia"/>
                <w:snapToGrid/>
              </w:rPr>
              <w:t>人</w:t>
            </w:r>
          </w:p>
        </w:tc>
      </w:tr>
    </w:tbl>
    <w:p w:rsidR="00000000" w:rsidRDefault="00000000">
      <w:pPr>
        <w:rPr>
          <w:snapToGrid/>
        </w:rPr>
      </w:pPr>
    </w:p>
    <w:p w:rsidR="00000000" w:rsidRDefault="00000000">
      <w:pPr>
        <w:rPr>
          <w:rFonts w:hint="eastAsia"/>
          <w:snapToGrid/>
        </w:rPr>
      </w:pPr>
      <w:r>
        <w:rPr>
          <w:snapToGrid/>
        </w:rPr>
        <w:tab/>
      </w:r>
      <w:r>
        <w:rPr>
          <w:rFonts w:hint="eastAsia"/>
          <w:snapToGrid/>
        </w:rPr>
        <w:t>300.</w:t>
      </w:r>
      <w:r>
        <w:rPr>
          <w:snapToGrid/>
        </w:rPr>
        <w:t xml:space="preserve">  </w:t>
      </w:r>
      <w:r>
        <w:rPr>
          <w:rFonts w:hint="eastAsia"/>
          <w:snapToGrid/>
        </w:rPr>
        <w:t>第二届立法会选举已于二零零零年九月十日举行。地方选区、功能界别和选举委员会的选举投票率分别为</w:t>
      </w:r>
      <w:r>
        <w:rPr>
          <w:snapToGrid/>
        </w:rPr>
        <w:t>43.57%</w:t>
      </w:r>
      <w:r>
        <w:rPr>
          <w:rFonts w:hint="eastAsia"/>
          <w:snapToGrid/>
        </w:rPr>
        <w:t>、</w:t>
      </w:r>
      <w:r>
        <w:rPr>
          <w:snapToGrid/>
        </w:rPr>
        <w:t>56.5%</w:t>
      </w:r>
      <w:r>
        <w:rPr>
          <w:rFonts w:hint="eastAsia"/>
          <w:snapToGrid/>
        </w:rPr>
        <w:t>和</w:t>
      </w:r>
      <w:r>
        <w:rPr>
          <w:snapToGrid/>
        </w:rPr>
        <w:t>95.53%</w:t>
      </w:r>
      <w:r>
        <w:rPr>
          <w:rFonts w:hint="eastAsia"/>
          <w:snapToGrid/>
        </w:rPr>
        <w:t>。现届</w:t>
      </w:r>
      <w:r>
        <w:rPr>
          <w:snapToGrid/>
        </w:rPr>
        <w:t>(</w:t>
      </w:r>
      <w:r>
        <w:rPr>
          <w:rFonts w:hint="eastAsia"/>
          <w:snapToGrid/>
        </w:rPr>
        <w:t>第二届</w:t>
      </w:r>
      <w:r>
        <w:rPr>
          <w:snapToGrid/>
        </w:rPr>
        <w:t>)</w:t>
      </w:r>
      <w:r>
        <w:rPr>
          <w:rFonts w:hint="eastAsia"/>
          <w:snapToGrid/>
        </w:rPr>
        <w:t>立法会于二零零零年十月一日正式就任。</w:t>
      </w:r>
    </w:p>
    <w:p w:rsidR="00000000" w:rsidRDefault="00000000">
      <w:pPr>
        <w:rPr>
          <w:snapToGrid/>
        </w:rPr>
      </w:pPr>
      <w:r>
        <w:rPr>
          <w:snapToGrid/>
        </w:rPr>
        <w:tab/>
      </w:r>
      <w:r>
        <w:rPr>
          <w:rFonts w:hint="eastAsia"/>
          <w:snapToGrid/>
        </w:rPr>
        <w:t>301.</w:t>
      </w:r>
      <w:r>
        <w:rPr>
          <w:snapToGrid/>
        </w:rPr>
        <w:t xml:space="preserve">  </w:t>
      </w:r>
      <w:r>
        <w:rPr>
          <w:rFonts w:hint="eastAsia"/>
          <w:snapToGrid/>
        </w:rPr>
        <w:t>《基本法》附件二规定，二零零七年以后立法会的产生办法如需修改，须由立法会全体议员三分之二多数通过，经行政长官同意，报全国人民代表大会常务委员会备案。</w:t>
      </w:r>
    </w:p>
    <w:p w:rsidR="00000000" w:rsidRDefault="00000000">
      <w:pPr>
        <w:spacing w:after="320"/>
        <w:rPr>
          <w:rFonts w:hint="eastAsia"/>
          <w:snapToGrid/>
        </w:rPr>
      </w:pPr>
      <w:r>
        <w:rPr>
          <w:snapToGrid/>
        </w:rPr>
        <w:tab/>
      </w:r>
      <w:r>
        <w:rPr>
          <w:rFonts w:hint="eastAsia"/>
          <w:snapToGrid/>
        </w:rPr>
        <w:t>302.</w:t>
      </w:r>
      <w:r>
        <w:rPr>
          <w:snapToGrid/>
        </w:rPr>
        <w:t xml:space="preserve">  </w:t>
      </w:r>
      <w:r>
        <w:rPr>
          <w:rFonts w:hint="eastAsia"/>
          <w:snapToGrid/>
        </w:rPr>
        <w:t>根据《基本法》第七十三条，立法会的职权包括：根据《基本法》规定并依照法定程序制定、修改和废除法律；根据政府的提案，审核、通过财政预算案；批准税收和公共开支；听取行政长官的施政报告并进行辩论；对政府的工作提出质询；就任何有关公共利益问题进行辩论；同意终审法院法官和高等法院首席法官的任免；以及接受香港居民申诉并作出处理。</w:t>
      </w:r>
    </w:p>
    <w:p w:rsidR="00000000" w:rsidRDefault="00000000">
      <w:pPr>
        <w:pStyle w:val="Heading4"/>
      </w:pPr>
      <w:r>
        <w:rPr>
          <w:rFonts w:hint="eastAsia"/>
        </w:rPr>
        <w:t>区</w:t>
      </w:r>
      <w:r>
        <w:t xml:space="preserve"> </w:t>
      </w:r>
      <w:r>
        <w:rPr>
          <w:rFonts w:hint="eastAsia"/>
        </w:rPr>
        <w:t>议</w:t>
      </w:r>
      <w:r>
        <w:t xml:space="preserve"> </w:t>
      </w:r>
      <w:r>
        <w:rPr>
          <w:rFonts w:hint="eastAsia"/>
        </w:rPr>
        <w:t>会</w:t>
      </w:r>
    </w:p>
    <w:p w:rsidR="00000000" w:rsidRDefault="00000000">
      <w:pPr>
        <w:rPr>
          <w:b/>
          <w:snapToGrid/>
        </w:rPr>
      </w:pPr>
      <w:r>
        <w:rPr>
          <w:snapToGrid/>
        </w:rPr>
        <w:tab/>
      </w:r>
      <w:r>
        <w:rPr>
          <w:rFonts w:hint="eastAsia"/>
          <w:snapToGrid/>
        </w:rPr>
        <w:t>303.</w:t>
      </w:r>
      <w:r>
        <w:rPr>
          <w:snapToGrid/>
        </w:rPr>
        <w:t xml:space="preserve">  </w:t>
      </w:r>
      <w:r>
        <w:rPr>
          <w:rFonts w:hint="eastAsia"/>
          <w:snapToGrid/>
        </w:rPr>
        <w:t>第一届区议会选举已于一九九九年十一月二十八日举行，整体投票率为</w:t>
      </w:r>
      <w:r>
        <w:rPr>
          <w:snapToGrid/>
        </w:rPr>
        <w:t>35.82%</w:t>
      </w:r>
      <w:r>
        <w:rPr>
          <w:rFonts w:hint="eastAsia"/>
          <w:snapToGrid/>
        </w:rPr>
        <w:t>。现有的</w:t>
      </w:r>
      <w:r>
        <w:rPr>
          <w:snapToGrid/>
        </w:rPr>
        <w:t>18</w:t>
      </w:r>
      <w:r>
        <w:rPr>
          <w:rFonts w:hint="eastAsia"/>
          <w:snapToGrid/>
        </w:rPr>
        <w:t>个区议会于二零零零年一月一日根据《区议会条例》成立。区议会就地区事务向香港特区政府提供意见，并在属区内推广康乐文化活动，以及推行环境改善计划。区议会议员包括民选议员和委任议员，而新界区议会除有民选议员和委任议员外，更有由乡事委员会主席兼任的当然议员。香港特区划分为</w:t>
      </w:r>
      <w:r>
        <w:rPr>
          <w:snapToGrid/>
        </w:rPr>
        <w:t>390</w:t>
      </w:r>
      <w:r>
        <w:rPr>
          <w:rFonts w:hint="eastAsia"/>
          <w:snapToGrid/>
        </w:rPr>
        <w:t>个选区，每区选出一位民选议员。目前区议会共有</w:t>
      </w:r>
      <w:r>
        <w:rPr>
          <w:snapToGrid/>
        </w:rPr>
        <w:t>102</w:t>
      </w:r>
      <w:r>
        <w:rPr>
          <w:rFonts w:hint="eastAsia"/>
          <w:snapToGrid/>
        </w:rPr>
        <w:t>位委任议员和</w:t>
      </w:r>
      <w:r>
        <w:rPr>
          <w:snapToGrid/>
        </w:rPr>
        <w:t>27</w:t>
      </w:r>
      <w:r>
        <w:rPr>
          <w:rFonts w:hint="eastAsia"/>
          <w:snapToGrid/>
        </w:rPr>
        <w:t>位当然议员。</w:t>
      </w:r>
    </w:p>
    <w:p w:rsidR="00000000" w:rsidRDefault="00000000">
      <w:pPr>
        <w:spacing w:after="320"/>
        <w:rPr>
          <w:snapToGrid/>
        </w:rPr>
      </w:pPr>
      <w:r>
        <w:rPr>
          <w:snapToGrid/>
        </w:rPr>
        <w:tab/>
      </w:r>
      <w:r>
        <w:rPr>
          <w:rFonts w:hint="eastAsia"/>
          <w:snapToGrid/>
        </w:rPr>
        <w:t>304.</w:t>
      </w:r>
      <w:r>
        <w:rPr>
          <w:snapToGrid/>
        </w:rPr>
        <w:t xml:space="preserve">  </w:t>
      </w:r>
      <w:r>
        <w:rPr>
          <w:rFonts w:hint="eastAsia"/>
          <w:snapToGrid/>
        </w:rPr>
        <w:t>当局在二零零一年进行区议会检讨后，实施了一系列措施，以强化区议会作为政府在地区事务上的主要顾问的角色和职能，并加强区议会在提供和管理地区服务和设施的事务上的影响力，确保政府能继续因时制宜，并对市民负责。</w:t>
      </w:r>
    </w:p>
    <w:p w:rsidR="00000000" w:rsidRDefault="00000000">
      <w:pPr>
        <w:pStyle w:val="Heading4"/>
      </w:pPr>
      <w:r>
        <w:rPr>
          <w:rFonts w:hint="eastAsia"/>
        </w:rPr>
        <w:t>取消市政局和区域市政局</w:t>
      </w:r>
    </w:p>
    <w:p w:rsidR="00000000" w:rsidRDefault="00000000">
      <w:pPr>
        <w:rPr>
          <w:snapToGrid/>
        </w:rPr>
      </w:pPr>
      <w:r>
        <w:rPr>
          <w:snapToGrid/>
        </w:rPr>
        <w:tab/>
      </w:r>
      <w:r>
        <w:rPr>
          <w:rFonts w:hint="eastAsia"/>
          <w:snapToGrid/>
        </w:rPr>
        <w:t>305.</w:t>
      </w:r>
      <w:r>
        <w:rPr>
          <w:snapToGrid/>
        </w:rPr>
        <w:t xml:space="preserve">  </w:t>
      </w:r>
      <w:r>
        <w:rPr>
          <w:rFonts w:hint="eastAsia"/>
          <w:snapToGrid/>
        </w:rPr>
        <w:t>根据立法会于一九九九年十二月通过的《提供市政服务</w:t>
      </w:r>
      <w:r>
        <w:rPr>
          <w:snapToGrid/>
        </w:rPr>
        <w:t>(</w:t>
      </w:r>
      <w:r>
        <w:rPr>
          <w:rFonts w:hint="eastAsia"/>
          <w:snapToGrid/>
        </w:rPr>
        <w:t>重组</w:t>
      </w:r>
      <w:r>
        <w:rPr>
          <w:snapToGrid/>
        </w:rPr>
        <w:t>)</w:t>
      </w:r>
      <w:r>
        <w:rPr>
          <w:rFonts w:hint="eastAsia"/>
          <w:snapToGrid/>
        </w:rPr>
        <w:t>条例》，两个临时市政局于议员任期届满之日</w:t>
      </w:r>
      <w:r>
        <w:rPr>
          <w:rFonts w:hint="eastAsia"/>
          <w:snapToGrid/>
        </w:rPr>
        <w:t>(</w:t>
      </w:r>
      <w:r>
        <w:rPr>
          <w:rFonts w:hint="eastAsia"/>
          <w:snapToGrid/>
        </w:rPr>
        <w:t>一九九九年十二月三十一日</w:t>
      </w:r>
      <w:r>
        <w:rPr>
          <w:rFonts w:hint="eastAsia"/>
          <w:snapToGrid/>
        </w:rPr>
        <w:t>)</w:t>
      </w:r>
      <w:r>
        <w:rPr>
          <w:rFonts w:hint="eastAsia"/>
          <w:snapToGrid/>
        </w:rPr>
        <w:t>后解散。为加强协调和提高效率，由二零零零年一月起，食物安全、环境卫生和康乐文化事务方面的工作，改由政府新成立的专责机构负责。</w:t>
      </w:r>
    </w:p>
    <w:p w:rsidR="00000000" w:rsidRDefault="00000000">
      <w:pPr>
        <w:spacing w:after="320"/>
        <w:rPr>
          <w:rFonts w:hint="eastAsia"/>
          <w:snapToGrid/>
        </w:rPr>
      </w:pPr>
      <w:r>
        <w:rPr>
          <w:snapToGrid/>
        </w:rPr>
        <w:tab/>
      </w:r>
      <w:r>
        <w:rPr>
          <w:rFonts w:hint="eastAsia"/>
          <w:snapToGrid/>
        </w:rPr>
        <w:t>306.</w:t>
      </w:r>
      <w:r>
        <w:rPr>
          <w:snapToGrid/>
        </w:rPr>
        <w:t xml:space="preserve">  </w:t>
      </w:r>
      <w:r>
        <w:rPr>
          <w:rFonts w:hint="eastAsia"/>
          <w:snapToGrid/>
        </w:rPr>
        <w:t>高等法院就《提供市政服务</w:t>
      </w:r>
      <w:r>
        <w:rPr>
          <w:snapToGrid/>
        </w:rPr>
        <w:t>(</w:t>
      </w:r>
      <w:r>
        <w:rPr>
          <w:rFonts w:hint="eastAsia"/>
          <w:snapToGrid/>
        </w:rPr>
        <w:t>重组</w:t>
      </w:r>
      <w:r>
        <w:rPr>
          <w:snapToGrid/>
        </w:rPr>
        <w:t>)</w:t>
      </w:r>
      <w:r>
        <w:rPr>
          <w:rFonts w:hint="eastAsia"/>
          <w:snapToGrid/>
        </w:rPr>
        <w:t>条例》是否合法的问题进行了司法复核，裁定该条例并无抵触《基本法》及适用于香港特区的《公民权利和政治权利国际公约》。</w:t>
      </w:r>
    </w:p>
    <w:p w:rsidR="00000000" w:rsidRDefault="00000000">
      <w:pPr>
        <w:pStyle w:val="Heading4"/>
        <w:rPr>
          <w:lang w:eastAsia="zh-TW"/>
        </w:rPr>
      </w:pPr>
      <w:r>
        <w:rPr>
          <w:rFonts w:hint="eastAsia"/>
        </w:rPr>
        <w:t>行政架构</w:t>
      </w:r>
    </w:p>
    <w:p w:rsidR="00000000" w:rsidRDefault="00000000">
      <w:pPr>
        <w:rPr>
          <w:snapToGrid/>
        </w:rPr>
      </w:pPr>
      <w:r>
        <w:rPr>
          <w:snapToGrid/>
        </w:rPr>
        <w:tab/>
      </w:r>
      <w:r>
        <w:rPr>
          <w:rFonts w:hint="eastAsia"/>
          <w:snapToGrid/>
        </w:rPr>
        <w:t>307.</w:t>
      </w:r>
      <w:r>
        <w:rPr>
          <w:snapToGrid/>
        </w:rPr>
        <w:t xml:space="preserve">  </w:t>
      </w:r>
      <w:r>
        <w:rPr>
          <w:rFonts w:hint="eastAsia"/>
          <w:snapToGrid/>
        </w:rPr>
        <w:t>香港特区政府的首长是行政长官。如行政长官短期不能履行职务，其职务会依次由三位司长，</w:t>
      </w:r>
      <w:r>
        <w:rPr>
          <w:snapToGrid/>
        </w:rPr>
        <w:t>(</w:t>
      </w:r>
      <w:r>
        <w:rPr>
          <w:rFonts w:hint="eastAsia"/>
          <w:snapToGrid/>
        </w:rPr>
        <w:t>即政务司司长、财政司司长、律政司司长</w:t>
      </w:r>
      <w:r>
        <w:rPr>
          <w:snapToGrid/>
        </w:rPr>
        <w:t>)</w:t>
      </w:r>
      <w:r>
        <w:rPr>
          <w:rFonts w:hint="eastAsia"/>
          <w:snapToGrid/>
        </w:rPr>
        <w:t>暂时代理。香港特区政府设政务司、财政司、律政司和各局、处、署。</w:t>
      </w:r>
    </w:p>
    <w:p w:rsidR="00000000" w:rsidRDefault="00000000">
      <w:pPr>
        <w:rPr>
          <w:rFonts w:hint="eastAsia"/>
          <w:snapToGrid/>
        </w:rPr>
      </w:pPr>
      <w:r>
        <w:rPr>
          <w:snapToGrid/>
        </w:rPr>
        <w:tab/>
      </w:r>
      <w:r>
        <w:rPr>
          <w:rFonts w:hint="eastAsia"/>
          <w:snapToGrid/>
        </w:rPr>
        <w:t>308.</w:t>
      </w:r>
      <w:r>
        <w:rPr>
          <w:snapToGrid/>
        </w:rPr>
        <w:t xml:space="preserve">  </w:t>
      </w:r>
      <w:r>
        <w:rPr>
          <w:rFonts w:hint="eastAsia"/>
          <w:snapToGrid/>
        </w:rPr>
        <w:t>目前政府总部共有</w:t>
      </w:r>
      <w:r>
        <w:rPr>
          <w:snapToGrid/>
        </w:rPr>
        <w:t>11</w:t>
      </w:r>
      <w:r>
        <w:rPr>
          <w:rFonts w:hint="eastAsia"/>
          <w:snapToGrid/>
        </w:rPr>
        <w:t>个决策局，每一个局由一名局长掌管。除廉政专员和审计署署长外，所有部门首长均须向所属的司长及局长负责。廉政公署和审计署独立运作，只向行政长官负责。</w:t>
      </w:r>
    </w:p>
    <w:p w:rsidR="00000000" w:rsidRDefault="00000000">
      <w:pPr>
        <w:spacing w:after="320"/>
        <w:rPr>
          <w:rFonts w:hint="eastAsia"/>
          <w:snapToGrid/>
        </w:rPr>
      </w:pPr>
      <w:r>
        <w:rPr>
          <w:snapToGrid/>
        </w:rPr>
        <w:tab/>
      </w:r>
      <w:r>
        <w:rPr>
          <w:rFonts w:hint="eastAsia"/>
          <w:snapToGrid/>
        </w:rPr>
        <w:t>309.</w:t>
      </w:r>
      <w:r>
        <w:rPr>
          <w:snapToGrid/>
        </w:rPr>
        <w:t xml:space="preserve">  </w:t>
      </w:r>
      <w:r>
        <w:rPr>
          <w:rFonts w:hint="eastAsia"/>
          <w:snapToGrid/>
        </w:rPr>
        <w:t>随着政府推行一套新的主要官员问责制度，政务司司长、财政司司长、律政司司长和</w:t>
      </w:r>
      <w:r>
        <w:rPr>
          <w:snapToGrid/>
        </w:rPr>
        <w:t>11</w:t>
      </w:r>
      <w:r>
        <w:rPr>
          <w:rFonts w:hint="eastAsia"/>
          <w:snapToGrid/>
        </w:rPr>
        <w:t>位决策局局长都不再是公务员。他们负责指定的政策范畴，并为有关政策的成败直接向行政长官负责。他们会获委任为行政会议成员，与另外五位非官方行政会议成员一起协助行政长官制定政策。在新的问责制度下，公务员仍会维持常任、优秀、专业和政治中立。</w:t>
      </w:r>
    </w:p>
    <w:p w:rsidR="00000000" w:rsidRDefault="00000000">
      <w:pPr>
        <w:pStyle w:val="Heading4"/>
      </w:pPr>
      <w:r>
        <w:rPr>
          <w:rFonts w:hint="eastAsia"/>
        </w:rPr>
        <w:t>香港特区的司法体制</w:t>
      </w:r>
    </w:p>
    <w:p w:rsidR="00000000" w:rsidRDefault="00000000">
      <w:pPr>
        <w:rPr>
          <w:snapToGrid/>
        </w:rPr>
      </w:pPr>
      <w:r>
        <w:rPr>
          <w:snapToGrid/>
        </w:rPr>
        <w:tab/>
      </w:r>
      <w:r>
        <w:rPr>
          <w:rFonts w:hint="eastAsia"/>
          <w:snapToGrid/>
        </w:rPr>
        <w:t>310.</w:t>
      </w:r>
      <w:r>
        <w:rPr>
          <w:snapToGrid/>
        </w:rPr>
        <w:t xml:space="preserve">  </w:t>
      </w:r>
      <w:r>
        <w:rPr>
          <w:rFonts w:hint="eastAsia"/>
          <w:snapToGrid/>
        </w:rPr>
        <w:t>香港特区的法律制度建基于法治和司法独立。司法机关独立于行政机关和立法机关。</w:t>
      </w:r>
    </w:p>
    <w:p w:rsidR="00000000" w:rsidRDefault="00000000">
      <w:pPr>
        <w:rPr>
          <w:snapToGrid/>
        </w:rPr>
      </w:pPr>
      <w:r>
        <w:rPr>
          <w:snapToGrid/>
        </w:rPr>
        <w:tab/>
      </w:r>
      <w:r>
        <w:rPr>
          <w:rFonts w:hint="eastAsia"/>
          <w:snapToGrid/>
        </w:rPr>
        <w:t>311.</w:t>
      </w:r>
      <w:r>
        <w:rPr>
          <w:snapToGrid/>
        </w:rPr>
        <w:t xml:space="preserve">  </w:t>
      </w:r>
      <w:r>
        <w:rPr>
          <w:rFonts w:hint="eastAsia"/>
          <w:snapToGrid/>
        </w:rPr>
        <w:t>《基本法》第十九条规定，香港特别行政区享有独立的司法权和终审权。香港特别行政区法院除继续保持香港原有法律制度和原则对法院审判权所作的限制外，对香港特别行政区所有的案件均有审判权。香港特别行政区法院对国防、外交等国家行为无管辖权。香港特别行政区法院在审理案件中遇有涉及国防、外交等国家行为的事实问题，应取得行政长官就该等问题发出的证明文件，上述文件对法院有约束力。行政长官在发出证明文件前，须取得中央人民政府的证明书。</w:t>
      </w:r>
    </w:p>
    <w:p w:rsidR="00000000" w:rsidRDefault="00000000">
      <w:pPr>
        <w:rPr>
          <w:snapToGrid/>
        </w:rPr>
      </w:pPr>
      <w:r>
        <w:rPr>
          <w:snapToGrid/>
        </w:rPr>
        <w:tab/>
      </w:r>
      <w:r>
        <w:rPr>
          <w:rFonts w:hint="eastAsia"/>
          <w:snapToGrid/>
        </w:rPr>
        <w:t>312.</w:t>
      </w:r>
      <w:r>
        <w:rPr>
          <w:snapToGrid/>
        </w:rPr>
        <w:t xml:space="preserve">  </w:t>
      </w:r>
      <w:r>
        <w:rPr>
          <w:rFonts w:hint="eastAsia"/>
          <w:snapToGrid/>
        </w:rPr>
        <w:t>香港特区设终审法院、高等法院</w:t>
      </w:r>
      <w:r>
        <w:rPr>
          <w:snapToGrid/>
        </w:rPr>
        <w:t>(</w:t>
      </w:r>
      <w:r>
        <w:rPr>
          <w:rFonts w:hint="eastAsia"/>
          <w:snapToGrid/>
        </w:rPr>
        <w:t>包括上诉法庭和原讼法庭</w:t>
      </w:r>
      <w:r>
        <w:rPr>
          <w:snapToGrid/>
        </w:rPr>
        <w:t>)</w:t>
      </w:r>
      <w:r>
        <w:rPr>
          <w:rFonts w:hint="eastAsia"/>
          <w:snapToGrid/>
        </w:rPr>
        <w:t>、区域法院、裁判法院、土地审裁处、劳资审裁处、小额钱债审裁处、淫亵物品审裁处、死因裁判法庭。上述法院审理所有刑事案件和民事纠纷，包括市民之间以及政府与市民之间的诉讼。</w:t>
      </w:r>
    </w:p>
    <w:p w:rsidR="00000000" w:rsidRDefault="00000000">
      <w:pPr>
        <w:rPr>
          <w:snapToGrid/>
        </w:rPr>
      </w:pPr>
      <w:r>
        <w:rPr>
          <w:snapToGrid/>
        </w:rPr>
        <w:tab/>
      </w:r>
      <w:r>
        <w:rPr>
          <w:rFonts w:hint="eastAsia"/>
          <w:snapToGrid/>
        </w:rPr>
        <w:t>313.</w:t>
      </w:r>
      <w:r>
        <w:rPr>
          <w:snapToGrid/>
        </w:rPr>
        <w:t xml:space="preserve">  </w:t>
      </w:r>
      <w:r>
        <w:rPr>
          <w:rFonts w:hint="eastAsia"/>
          <w:snapToGrid/>
        </w:rPr>
        <w:t>《基本法》第八十二条订明，香港特区的终审权属于香港特区终审法院。终审法院可根据需要，邀请其他普通法适用地区的法官参加审判。此外，第八十三条订明，香港特区各级法院的组织和职权由法律规定。</w:t>
      </w:r>
    </w:p>
    <w:p w:rsidR="00000000" w:rsidRDefault="00000000">
      <w:pPr>
        <w:rPr>
          <w:snapToGrid/>
        </w:rPr>
      </w:pPr>
      <w:r>
        <w:rPr>
          <w:snapToGrid/>
        </w:rPr>
        <w:tab/>
      </w:r>
      <w:r>
        <w:rPr>
          <w:rFonts w:hint="eastAsia"/>
          <w:snapToGrid/>
        </w:rPr>
        <w:t>314.</w:t>
      </w:r>
      <w:r>
        <w:rPr>
          <w:snapToGrid/>
        </w:rPr>
        <w:t xml:space="preserve">  </w:t>
      </w:r>
      <w:r>
        <w:rPr>
          <w:rFonts w:hint="eastAsia"/>
          <w:snapToGrid/>
        </w:rPr>
        <w:t>所有法官和司法人员均须在香港或其他普通法适用地区取得执业律师的资格，并须具备丰富的专业经验。《基本法》第八十八条订明：“香港特别行政区法院的法官，根据当地法官和法律界及其他方面知名人士组成的独立委员会推荐，由行政长官任命。”</w:t>
      </w:r>
    </w:p>
    <w:p w:rsidR="00000000" w:rsidRDefault="00000000">
      <w:pPr>
        <w:rPr>
          <w:snapToGrid/>
        </w:rPr>
      </w:pPr>
      <w:r>
        <w:rPr>
          <w:snapToGrid/>
        </w:rPr>
        <w:tab/>
      </w:r>
      <w:r>
        <w:rPr>
          <w:rFonts w:hint="eastAsia"/>
          <w:snapToGrid/>
        </w:rPr>
        <w:t>315.</w:t>
      </w:r>
      <w:r>
        <w:rPr>
          <w:snapToGrid/>
        </w:rPr>
        <w:t xml:space="preserve">  </w:t>
      </w:r>
      <w:r>
        <w:rPr>
          <w:rFonts w:hint="eastAsia"/>
          <w:snapToGrid/>
        </w:rPr>
        <w:t>法官的任期受到保障。《基本法》第八十九条订明：“香港特别行政区法院的法官只有在无力履行职责或行为不检的情况下，行政长官才可根据终审法院首席法官任命的不少于三名当地法官组成的审议庭的建议，予以免职。香港特别行政区终审法院的首席法官只有在无力履行职责或行为不检的情况下，行政长官才可任命不少于五名当地法官组成的审议庭进行审议，并可根据其建议，依照本法规定的程序，予以免职。”</w:t>
      </w:r>
    </w:p>
    <w:p w:rsidR="00000000" w:rsidRDefault="00000000">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rPr>
          <w:rFonts w:hint="eastAsia"/>
          <w:b/>
          <w:snapToGrid/>
          <w:sz w:val="28"/>
        </w:rPr>
      </w:pPr>
    </w:p>
    <w:p w:rsidR="00000000" w:rsidRDefault="00000000">
      <w:pPr>
        <w:pStyle w:val="Heading2"/>
      </w:pPr>
      <w:bookmarkStart w:id="34" w:name="_Toc78772943"/>
      <w:r>
        <w:rPr>
          <w:rFonts w:hint="eastAsia"/>
        </w:rPr>
        <w:t>三、保障人权的法律架构概况</w:t>
      </w:r>
      <w:bookmarkEnd w:id="34"/>
    </w:p>
    <w:p w:rsidR="00000000" w:rsidRDefault="00000000">
      <w:pPr>
        <w:pStyle w:val="a3"/>
      </w:pPr>
      <w:r>
        <w:rPr>
          <w:rFonts w:hint="eastAsia"/>
        </w:rPr>
        <w:t>法　治</w:t>
      </w:r>
    </w:p>
    <w:p w:rsidR="00000000" w:rsidRDefault="00000000">
      <w:pPr>
        <w:rPr>
          <w:rFonts w:hint="eastAsia"/>
          <w:snapToGrid/>
        </w:rPr>
      </w:pPr>
      <w:r>
        <w:rPr>
          <w:snapToGrid/>
        </w:rPr>
        <w:tab/>
      </w:r>
      <w:r>
        <w:rPr>
          <w:rFonts w:hint="eastAsia"/>
          <w:snapToGrid/>
        </w:rPr>
        <w:t>316.</w:t>
      </w:r>
      <w:r>
        <w:rPr>
          <w:snapToGrid/>
        </w:rPr>
        <w:t xml:space="preserve">  </w:t>
      </w:r>
      <w:r>
        <w:rPr>
          <w:rFonts w:hint="eastAsia"/>
          <w:snapToGrid/>
        </w:rPr>
        <w:t>法治和司法独立是保障人权的重要基础</w:t>
      </w:r>
      <w:r>
        <w:rPr>
          <w:snapToGrid/>
        </w:rPr>
        <w:t>(</w:t>
      </w:r>
      <w:r>
        <w:rPr>
          <w:rFonts w:hint="eastAsia"/>
          <w:snapToGrid/>
        </w:rPr>
        <w:t>见上文第</w:t>
      </w:r>
      <w:r>
        <w:rPr>
          <w:rFonts w:hint="eastAsia"/>
          <w:snapToGrid/>
        </w:rPr>
        <w:t>311</w:t>
      </w:r>
      <w:r>
        <w:rPr>
          <w:rFonts w:hint="eastAsia"/>
          <w:snapToGrid/>
        </w:rPr>
        <w:t>至</w:t>
      </w:r>
      <w:r>
        <w:rPr>
          <w:rFonts w:hint="eastAsia"/>
          <w:snapToGrid/>
        </w:rPr>
        <w:t>315</w:t>
      </w:r>
      <w:r>
        <w:rPr>
          <w:rFonts w:hint="eastAsia"/>
          <w:snapToGrid/>
        </w:rPr>
        <w:t>段</w:t>
      </w:r>
      <w:r>
        <w:rPr>
          <w:snapToGrid/>
        </w:rPr>
        <w:t>)</w:t>
      </w:r>
      <w:r>
        <w:rPr>
          <w:rFonts w:hint="eastAsia"/>
          <w:snapToGrid/>
        </w:rPr>
        <w:t>。法治的原则包括：</w:t>
      </w:r>
    </w:p>
    <w:p w:rsidR="00000000" w:rsidRDefault="00000000">
      <w:pPr>
        <w:numPr>
          <w:ilvl w:val="0"/>
          <w:numId w:val="88"/>
        </w:numPr>
        <w:rPr>
          <w:snapToGrid/>
        </w:rPr>
      </w:pPr>
      <w:r>
        <w:rPr>
          <w:rFonts w:ascii="Time New Roman" w:eastAsia="SimHei" w:hAnsi="Time New Roman" w:hint="eastAsia"/>
          <w:bCs/>
          <w:snapToGrid/>
        </w:rPr>
        <w:t>法律凌驾一切的地位</w:t>
      </w:r>
      <w:r>
        <w:rPr>
          <w:rFonts w:hint="eastAsia"/>
          <w:b/>
          <w:snapToGrid/>
        </w:rPr>
        <w:t>：</w:t>
      </w:r>
      <w:r>
        <w:rPr>
          <w:rFonts w:hint="eastAsia"/>
          <w:snapToGrid/>
        </w:rPr>
        <w:t>不论何人，除经独立的法院裁定违法，否则不可受到任何处罚，或在人身或金钱上受到损失。任何政府人员或主管当局如获法律赋予酌情决定权，必须以合法、公平、合理的方式运用这项权力，否则所作决定可在法院被质疑和推翻。此外，《基本法》也保证香港居民有权对行政机关及其人员的行为向法院提出诉讼；</w:t>
      </w:r>
    </w:p>
    <w:p w:rsidR="00000000" w:rsidRDefault="00000000">
      <w:pPr>
        <w:numPr>
          <w:ilvl w:val="0"/>
          <w:numId w:val="88"/>
        </w:numPr>
        <w:rPr>
          <w:rFonts w:hint="eastAsia"/>
          <w:snapToGrid/>
        </w:rPr>
      </w:pPr>
      <w:r>
        <w:rPr>
          <w:rFonts w:ascii="Time New Roman" w:eastAsia="SimHei" w:hAnsi="Time New Roman" w:hint="eastAsia"/>
          <w:bCs/>
          <w:snapToGrid/>
        </w:rPr>
        <w:t>法律面前人人平等</w:t>
      </w:r>
      <w:r>
        <w:rPr>
          <w:rFonts w:hint="eastAsia"/>
          <w:b/>
          <w:snapToGrid/>
        </w:rPr>
        <w:t>：</w:t>
      </w:r>
      <w:r>
        <w:rPr>
          <w:rFonts w:hint="eastAsia"/>
          <w:snapToGrid/>
        </w:rPr>
        <w:t>《基本法》第二十五条订明，香港居民在法律面前一律平等。第二十二条订明，中央各部门、各省、自治区、直辖市在香港特区设立的一切机构及其人员均须遵守香港特区的法律。第十四条订明，驻军人员除须遵守全国性的法律外，还须遵守香港特区的法律。此外，第三十五条也订明，香港居民有权对行政机关及其人员的行为向法院提出诉讼。因此，香港特区任何政府当局、政府人员或个别人士都不能凌驾于法律之上。法律之前人人平等，无分种族、阶级、政见、宗教或性别，所有人均须遵守同一套法律。个人和香港特区政府都可以入禀法院，要求行使合法权利或就某宗诉讼作出申辩。</w:t>
      </w:r>
    </w:p>
    <w:p w:rsidR="00000000" w:rsidRDefault="00000000">
      <w:pPr>
        <w:spacing w:after="320"/>
        <w:rPr>
          <w:snapToGrid/>
        </w:rPr>
      </w:pPr>
      <w:r>
        <w:rPr>
          <w:snapToGrid/>
        </w:rPr>
        <w:tab/>
      </w:r>
      <w:r>
        <w:rPr>
          <w:rFonts w:hint="eastAsia"/>
          <w:snapToGrid/>
        </w:rPr>
        <w:t>317.</w:t>
      </w:r>
      <w:r>
        <w:rPr>
          <w:snapToGrid/>
        </w:rPr>
        <w:t xml:space="preserve">  </w:t>
      </w:r>
      <w:r>
        <w:rPr>
          <w:rFonts w:hint="eastAsia"/>
          <w:snapToGrid/>
        </w:rPr>
        <w:t>有论者认为，《释义及通则条例》</w:t>
      </w:r>
      <w:r>
        <w:rPr>
          <w:snapToGrid/>
        </w:rPr>
        <w:t>(</w:t>
      </w:r>
      <w:r>
        <w:rPr>
          <w:rFonts w:hint="eastAsia"/>
          <w:snapToGrid/>
        </w:rPr>
        <w:t>香港特区法例第</w:t>
      </w:r>
      <w:r>
        <w:rPr>
          <w:snapToGrid/>
        </w:rPr>
        <w:t>1</w:t>
      </w:r>
      <w:r>
        <w:rPr>
          <w:rFonts w:hint="eastAsia"/>
          <w:snapToGrid/>
        </w:rPr>
        <w:t>章</w:t>
      </w:r>
      <w:r>
        <w:rPr>
          <w:snapToGrid/>
        </w:rPr>
        <w:t>)(</w:t>
      </w:r>
      <w:r>
        <w:rPr>
          <w:rFonts w:hint="eastAsia"/>
          <w:snapToGrid/>
        </w:rPr>
        <w:t>在一九九七年</w:t>
      </w:r>
      <w:r>
        <w:rPr>
          <w:snapToGrid/>
        </w:rPr>
        <w:t>)</w:t>
      </w:r>
      <w:r>
        <w:rPr>
          <w:rFonts w:hint="eastAsia"/>
          <w:snapToGrid/>
        </w:rPr>
        <w:t>的一次修订，有损法律面前人人平等的原则。这项修订是把该条例第</w:t>
      </w:r>
      <w:r>
        <w:rPr>
          <w:snapToGrid/>
        </w:rPr>
        <w:t>66</w:t>
      </w:r>
      <w:r>
        <w:rPr>
          <w:rFonts w:hint="eastAsia"/>
          <w:snapToGrid/>
        </w:rPr>
        <w:t>条中对“官方”的提述，一律以“国家”一词取代。在一九九七年七月一日之前，原有的第</w:t>
      </w:r>
      <w:r>
        <w:rPr>
          <w:snapToGrid/>
        </w:rPr>
        <w:t>66</w:t>
      </w:r>
      <w:r>
        <w:rPr>
          <w:rFonts w:hint="eastAsia"/>
          <w:snapToGrid/>
        </w:rPr>
        <w:t>条订明，除非有明文规定或条文有必然含意，显示官方须受约束，否则任何条例对官方都不具约束力。在一九九七年七月一日后，第</w:t>
      </w:r>
      <w:r>
        <w:rPr>
          <w:snapToGrid/>
        </w:rPr>
        <w:t>66</w:t>
      </w:r>
      <w:r>
        <w:rPr>
          <w:rFonts w:hint="eastAsia"/>
          <w:snapToGrid/>
        </w:rPr>
        <w:t>条对“官方”的提述须予修订，有关修订纯粹是为了保留一九九七年七月一日以前的法律内容，以及反映主权的变更。</w:t>
      </w:r>
    </w:p>
    <w:p w:rsidR="00000000" w:rsidRDefault="00000000">
      <w:pPr>
        <w:pStyle w:val="Heading4"/>
      </w:pPr>
      <w:r>
        <w:rPr>
          <w:rFonts w:hint="eastAsia"/>
          <w:u w:val="none"/>
        </w:rPr>
        <w:t>《</w:t>
      </w:r>
      <w:r>
        <w:rPr>
          <w:rFonts w:hint="eastAsia"/>
        </w:rPr>
        <w:t>基本法》对人权的保证</w:t>
      </w:r>
    </w:p>
    <w:p w:rsidR="00000000" w:rsidRDefault="00000000">
      <w:pPr>
        <w:rPr>
          <w:snapToGrid/>
        </w:rPr>
      </w:pPr>
      <w:r>
        <w:rPr>
          <w:snapToGrid/>
        </w:rPr>
        <w:tab/>
      </w:r>
      <w:r>
        <w:rPr>
          <w:rFonts w:hint="eastAsia"/>
          <w:snapToGrid/>
        </w:rPr>
        <w:t>318.</w:t>
      </w:r>
      <w:r>
        <w:rPr>
          <w:snapToGrid/>
        </w:rPr>
        <w:t xml:space="preserve">  </w:t>
      </w:r>
      <w:r>
        <w:rPr>
          <w:rFonts w:hint="eastAsia"/>
          <w:snapToGrid/>
        </w:rPr>
        <w:t>《基本法》第四条规定，香港特区须依法保障香港居民和其他人的权利和自由。《基本法》所保证的各种自由和权利包括：</w:t>
      </w:r>
    </w:p>
    <w:p w:rsidR="00000000" w:rsidRDefault="00000000">
      <w:pPr>
        <w:numPr>
          <w:ilvl w:val="0"/>
          <w:numId w:val="90"/>
        </w:numPr>
        <w:rPr>
          <w:snapToGrid/>
        </w:rPr>
      </w:pPr>
      <w:r>
        <w:rPr>
          <w:rFonts w:hint="eastAsia"/>
          <w:snapToGrid/>
        </w:rPr>
        <w:t>法律面前人人平等；</w:t>
      </w:r>
    </w:p>
    <w:p w:rsidR="00000000" w:rsidRDefault="00000000">
      <w:pPr>
        <w:numPr>
          <w:ilvl w:val="0"/>
          <w:numId w:val="90"/>
        </w:numPr>
        <w:rPr>
          <w:snapToGrid/>
        </w:rPr>
      </w:pPr>
      <w:r>
        <w:rPr>
          <w:rFonts w:hint="eastAsia"/>
          <w:snapToGrid/>
        </w:rPr>
        <w:t>言论、新闻、出版的自由，结社、集会、游行、示威的自由，组织和参加工会、罢工的权利和自由；</w:t>
      </w:r>
    </w:p>
    <w:p w:rsidR="00000000" w:rsidRDefault="00000000">
      <w:pPr>
        <w:numPr>
          <w:ilvl w:val="0"/>
          <w:numId w:val="90"/>
        </w:numPr>
        <w:rPr>
          <w:snapToGrid/>
        </w:rPr>
      </w:pPr>
      <w:r>
        <w:rPr>
          <w:rFonts w:hint="eastAsia"/>
          <w:snapToGrid/>
        </w:rPr>
        <w:t>人身自由、免遭酷刑的自由，不受任意或非法逮捕、拘留、监禁的自由，身体不受任意或非法搜查的自由，以及生命不受任意或非法剥夺的权利；</w:t>
      </w:r>
    </w:p>
    <w:p w:rsidR="00000000" w:rsidRDefault="00000000">
      <w:pPr>
        <w:numPr>
          <w:ilvl w:val="0"/>
          <w:numId w:val="90"/>
        </w:numPr>
        <w:rPr>
          <w:snapToGrid/>
        </w:rPr>
      </w:pPr>
      <w:r>
        <w:rPr>
          <w:rFonts w:hint="eastAsia"/>
          <w:snapToGrid/>
        </w:rPr>
        <w:t>任何人的住宅和其他房屋不受任意或非法搜查、侵入的自由；</w:t>
      </w:r>
    </w:p>
    <w:p w:rsidR="00000000" w:rsidRDefault="00000000">
      <w:pPr>
        <w:numPr>
          <w:ilvl w:val="0"/>
          <w:numId w:val="90"/>
        </w:numPr>
        <w:rPr>
          <w:snapToGrid/>
        </w:rPr>
      </w:pPr>
      <w:r>
        <w:rPr>
          <w:rFonts w:hint="eastAsia"/>
          <w:snapToGrid/>
        </w:rPr>
        <w:t>通讯自由和通讯私隐；</w:t>
      </w:r>
    </w:p>
    <w:p w:rsidR="00000000" w:rsidRDefault="00000000">
      <w:pPr>
        <w:numPr>
          <w:ilvl w:val="0"/>
          <w:numId w:val="90"/>
        </w:numPr>
        <w:rPr>
          <w:snapToGrid/>
        </w:rPr>
      </w:pPr>
      <w:r>
        <w:rPr>
          <w:rFonts w:hint="eastAsia"/>
          <w:snapToGrid/>
        </w:rPr>
        <w:t>在香港特区境内迁徙的自由、移居其他国家和地区的自由，以及旅行和出入境的自由；</w:t>
      </w:r>
    </w:p>
    <w:p w:rsidR="00000000" w:rsidRDefault="00000000">
      <w:pPr>
        <w:numPr>
          <w:ilvl w:val="0"/>
          <w:numId w:val="90"/>
        </w:numPr>
        <w:rPr>
          <w:snapToGrid/>
        </w:rPr>
      </w:pPr>
      <w:r>
        <w:rPr>
          <w:rFonts w:hint="eastAsia"/>
          <w:snapToGrid/>
        </w:rPr>
        <w:t>信仰自由、宗教信仰自由，以及公开传教和举行、参加宗教活动的自由；</w:t>
      </w:r>
    </w:p>
    <w:p w:rsidR="00000000" w:rsidRDefault="00000000">
      <w:pPr>
        <w:numPr>
          <w:ilvl w:val="0"/>
          <w:numId w:val="90"/>
        </w:numPr>
        <w:rPr>
          <w:snapToGrid/>
        </w:rPr>
      </w:pPr>
      <w:r>
        <w:rPr>
          <w:rFonts w:hint="eastAsia"/>
          <w:snapToGrid/>
        </w:rPr>
        <w:t>选择职业的自由；</w:t>
      </w:r>
    </w:p>
    <w:p w:rsidR="00000000" w:rsidRDefault="00000000">
      <w:pPr>
        <w:numPr>
          <w:ilvl w:val="0"/>
          <w:numId w:val="90"/>
        </w:numPr>
        <w:rPr>
          <w:rFonts w:hint="eastAsia"/>
          <w:snapToGrid/>
        </w:rPr>
      </w:pPr>
      <w:r>
        <w:rPr>
          <w:rFonts w:hint="eastAsia"/>
          <w:snapToGrid/>
        </w:rPr>
        <w:t>进行学术研究、文学艺术创作和其他文化活动的自由；</w:t>
      </w:r>
    </w:p>
    <w:p w:rsidR="00000000" w:rsidRDefault="00000000">
      <w:pPr>
        <w:numPr>
          <w:ilvl w:val="0"/>
          <w:numId w:val="90"/>
        </w:numPr>
        <w:rPr>
          <w:snapToGrid/>
        </w:rPr>
      </w:pPr>
      <w:r>
        <w:rPr>
          <w:rFonts w:hint="eastAsia"/>
          <w:snapToGrid/>
        </w:rPr>
        <w:t>得到保密法律咨询、向法院提出诉讼、选择律师及时保护自己的合法权益或在法庭上为其代表、获得司法补救的权利，以及对行政机关及其人员的行为向法院提出诉讼的权利；</w:t>
      </w:r>
    </w:p>
    <w:p w:rsidR="00000000" w:rsidRDefault="00000000">
      <w:pPr>
        <w:numPr>
          <w:ilvl w:val="0"/>
          <w:numId w:val="90"/>
        </w:numPr>
        <w:rPr>
          <w:snapToGrid/>
        </w:rPr>
      </w:pPr>
      <w:r>
        <w:rPr>
          <w:rFonts w:hint="eastAsia"/>
          <w:snapToGrid/>
        </w:rPr>
        <w:t>依法享受社会福利的权利；和</w:t>
      </w:r>
    </w:p>
    <w:p w:rsidR="00000000" w:rsidRDefault="00000000">
      <w:pPr>
        <w:numPr>
          <w:ilvl w:val="0"/>
          <w:numId w:val="90"/>
        </w:numPr>
        <w:rPr>
          <w:snapToGrid/>
        </w:rPr>
      </w:pPr>
      <w:r>
        <w:rPr>
          <w:rFonts w:hint="eastAsia"/>
          <w:snapToGrid/>
        </w:rPr>
        <w:t>婚姻自由和自愿生育的权利。</w:t>
      </w:r>
    </w:p>
    <w:p w:rsidR="00000000" w:rsidRDefault="00000000">
      <w:pPr>
        <w:spacing w:after="320"/>
        <w:rPr>
          <w:snapToGrid/>
        </w:rPr>
      </w:pPr>
      <w:r>
        <w:rPr>
          <w:rFonts w:hint="eastAsia"/>
          <w:snapToGrid/>
        </w:rPr>
        <w:t>在香港特区境内的非香港居民，依法享有</w:t>
      </w:r>
      <w:r>
        <w:rPr>
          <w:rFonts w:hint="eastAsia"/>
          <w:snapToGrid/>
          <w:spacing w:val="-40"/>
        </w:rPr>
        <w:t>――</w:t>
      </w:r>
      <w:r>
        <w:rPr>
          <w:rFonts w:hint="eastAsia"/>
          <w:snapToGrid/>
          <w:spacing w:val="-40"/>
        </w:rPr>
        <w:t xml:space="preserve"> </w:t>
      </w:r>
      <w:r>
        <w:rPr>
          <w:rFonts w:hint="eastAsia"/>
          <w:snapToGrid/>
        </w:rPr>
        <w:t>如香港居民按《基本法》第三章规定可享有的权利和自由。此外，香港特区永久居民依法享有选举权和被选举权。</w:t>
      </w:r>
    </w:p>
    <w:p w:rsidR="00000000" w:rsidRDefault="00000000">
      <w:pPr>
        <w:pStyle w:val="Heading4"/>
      </w:pPr>
      <w:r>
        <w:rPr>
          <w:rFonts w:hint="eastAsia"/>
        </w:rPr>
        <w:t>其他人权条约在香港特区的法律效力</w:t>
      </w:r>
    </w:p>
    <w:p w:rsidR="00000000" w:rsidRDefault="00000000">
      <w:pPr>
        <w:rPr>
          <w:snapToGrid/>
        </w:rPr>
      </w:pPr>
      <w:r>
        <w:rPr>
          <w:snapToGrid/>
        </w:rPr>
        <w:tab/>
      </w:r>
      <w:r>
        <w:rPr>
          <w:rFonts w:hint="eastAsia"/>
          <w:snapToGrid/>
        </w:rPr>
        <w:t>319.</w:t>
      </w:r>
      <w:r>
        <w:rPr>
          <w:snapToGrid/>
        </w:rPr>
        <w:t xml:space="preserve">  </w:t>
      </w:r>
      <w:r>
        <w:rPr>
          <w:rFonts w:hint="eastAsia"/>
          <w:snapToGrid/>
        </w:rPr>
        <w:t>《基本法》第三十九条订明：</w:t>
      </w:r>
    </w:p>
    <w:p w:rsidR="00000000" w:rsidRDefault="00000000">
      <w:pPr>
        <w:pStyle w:val="ae"/>
        <w:rPr>
          <w:snapToGrid/>
        </w:rPr>
      </w:pPr>
      <w:r>
        <w:rPr>
          <w:rFonts w:hint="eastAsia"/>
          <w:snapToGrid/>
        </w:rPr>
        <w:t>“《公民权利和政治权利国际公约》、《经济、社会与文化权利的国际公约》和国际劳工公约适用于香港的有关规定继续有效，通过香港特别行政区的法律予以实施。</w:t>
      </w:r>
    </w:p>
    <w:p w:rsidR="00000000" w:rsidRDefault="00000000">
      <w:pPr>
        <w:pStyle w:val="ae"/>
        <w:rPr>
          <w:snapToGrid/>
        </w:rPr>
      </w:pPr>
      <w:r>
        <w:rPr>
          <w:rFonts w:hint="eastAsia"/>
          <w:snapToGrid/>
        </w:rPr>
        <w:t>香港居民享有的权利和自由，除依法规定外不得限制，此种限制不得与本条第一款规定抵触。”</w:t>
      </w:r>
    </w:p>
    <w:p w:rsidR="00000000" w:rsidRDefault="00000000">
      <w:pPr>
        <w:spacing w:after="240"/>
        <w:rPr>
          <w:snapToGrid/>
        </w:rPr>
      </w:pPr>
      <w:r>
        <w:rPr>
          <w:snapToGrid/>
        </w:rPr>
        <w:tab/>
      </w:r>
      <w:r>
        <w:rPr>
          <w:rFonts w:hint="eastAsia"/>
          <w:snapToGrid/>
        </w:rPr>
        <w:t>320.</w:t>
      </w:r>
      <w:r>
        <w:rPr>
          <w:snapToGrid/>
        </w:rPr>
        <w:t xml:space="preserve">  </w:t>
      </w:r>
      <w:r>
        <w:rPr>
          <w:rFonts w:hint="eastAsia"/>
          <w:snapToGrid/>
        </w:rPr>
        <w:t>一般来说，根据普通法制度的惯例，适用于香港的条约</w:t>
      </w:r>
      <w:r>
        <w:rPr>
          <w:snapToGrid/>
        </w:rPr>
        <w:t>(</w:t>
      </w:r>
      <w:r>
        <w:rPr>
          <w:rFonts w:hint="eastAsia"/>
          <w:snapToGrid/>
        </w:rPr>
        <w:t>包括有关人权的条约</w:t>
      </w:r>
      <w:r>
        <w:rPr>
          <w:snapToGrid/>
        </w:rPr>
        <w:t>)</w:t>
      </w:r>
      <w:r>
        <w:rPr>
          <w:rFonts w:hint="eastAsia"/>
          <w:snapToGrid/>
        </w:rPr>
        <w:t>，本身并无法律效力，不可以在香港的法律制度内施行，也不可在法院直接援引作为个人权利的依据。不过，特区法院在诠释本地法例时，会尽可能避免与适用于香港的国际条约有所抵触。为使条约所订明的各项义务在本地具有法律效力</w:t>
      </w:r>
      <w:r>
        <w:rPr>
          <w:snapToGrid/>
        </w:rPr>
        <w:t>(</w:t>
      </w:r>
      <w:r>
        <w:rPr>
          <w:rFonts w:hint="eastAsia"/>
          <w:snapToGrid/>
        </w:rPr>
        <w:t>遇有须修改现行法例或措施的情况时</w:t>
      </w:r>
      <w:r>
        <w:rPr>
          <w:snapToGrid/>
        </w:rPr>
        <w:t>)</w:t>
      </w:r>
      <w:r>
        <w:rPr>
          <w:rFonts w:hint="eastAsia"/>
          <w:snapToGrid/>
        </w:rPr>
        <w:t>，一般做法是制定具体的新法例</w:t>
      </w:r>
      <w:r>
        <w:rPr>
          <w:rStyle w:val="FootnoteReference"/>
          <w:snapToGrid/>
        </w:rPr>
        <w:footnoteReference w:customMarkFollows="1" w:id="21"/>
        <w:t>8</w:t>
      </w:r>
      <w:r>
        <w:rPr>
          <w:rFonts w:hint="eastAsia"/>
          <w:snapToGrid/>
        </w:rPr>
        <w:t>。如新制定的法例导致具体的法律权利产生，或导致要为具体的法律权利作出界定，而该等权利受到剥夺或干预</w:t>
      </w:r>
      <w:r>
        <w:rPr>
          <w:snapToGrid/>
        </w:rPr>
        <w:t>(</w:t>
      </w:r>
      <w:r>
        <w:rPr>
          <w:rFonts w:hint="eastAsia"/>
          <w:snapToGrid/>
        </w:rPr>
        <w:t>或有可能受到剥夺或干预</w:t>
      </w:r>
      <w:r>
        <w:rPr>
          <w:snapToGrid/>
        </w:rPr>
        <w:t>)</w:t>
      </w:r>
      <w:r>
        <w:rPr>
          <w:rFonts w:hint="eastAsia"/>
          <w:snapToGrid/>
        </w:rPr>
        <w:t>时，当事人可循一般民事诉讼程序向法院寻求补救，或由法律订明刑事制裁办法。</w:t>
      </w:r>
    </w:p>
    <w:p w:rsidR="00000000" w:rsidRDefault="00000000">
      <w:pPr>
        <w:pStyle w:val="Heading4"/>
        <w:spacing w:after="160"/>
      </w:pPr>
      <w:r>
        <w:rPr>
          <w:rFonts w:hint="eastAsia"/>
          <w:u w:val="none"/>
        </w:rPr>
        <w:t>《</w:t>
      </w:r>
      <w:r>
        <w:rPr>
          <w:rFonts w:hint="eastAsia"/>
        </w:rPr>
        <w:t>香港人权法案条例</w:t>
      </w:r>
      <w:r>
        <w:rPr>
          <w:rFonts w:hint="eastAsia"/>
          <w:u w:val="none"/>
        </w:rPr>
        <w:t>》</w:t>
      </w:r>
    </w:p>
    <w:p w:rsidR="00000000" w:rsidRDefault="00000000">
      <w:pPr>
        <w:spacing w:after="240"/>
        <w:rPr>
          <w:snapToGrid/>
        </w:rPr>
      </w:pPr>
      <w:r>
        <w:rPr>
          <w:snapToGrid/>
        </w:rPr>
        <w:tab/>
      </w:r>
      <w:r>
        <w:rPr>
          <w:rFonts w:hint="eastAsia"/>
          <w:snapToGrid/>
        </w:rPr>
        <w:t>321.</w:t>
      </w:r>
      <w:r>
        <w:rPr>
          <w:snapToGrid/>
        </w:rPr>
        <w:t xml:space="preserve">  </w:t>
      </w:r>
      <w:r>
        <w:rPr>
          <w:rFonts w:hint="eastAsia"/>
          <w:snapToGrid/>
        </w:rPr>
        <w:t>在一九九一年六月制定的《香港人权法案条例》</w:t>
      </w:r>
      <w:r>
        <w:rPr>
          <w:snapToGrid/>
        </w:rPr>
        <w:t>(</w:t>
      </w:r>
      <w:r>
        <w:rPr>
          <w:rFonts w:hint="eastAsia"/>
          <w:snapToGrid/>
        </w:rPr>
        <w:t>香港特区法例第</w:t>
      </w:r>
      <w:r>
        <w:rPr>
          <w:snapToGrid/>
        </w:rPr>
        <w:t>383</w:t>
      </w:r>
      <w:r>
        <w:rPr>
          <w:rFonts w:hint="eastAsia"/>
          <w:snapToGrid/>
        </w:rPr>
        <w:t>章</w:t>
      </w:r>
      <w:r>
        <w:rPr>
          <w:snapToGrid/>
        </w:rPr>
        <w:t>)</w:t>
      </w:r>
      <w:r>
        <w:rPr>
          <w:rFonts w:hint="eastAsia"/>
          <w:snapToGrid/>
        </w:rPr>
        <w:t>，旨在使《公民权利和政治权利国际公约》中适用于香港的条文在本地的法律中生效。为达到这个目的，《香港人权法案条例》详载了人权法案的内容，其条文与《公民权利和政治权利国际公约》的条文大致相同。</w:t>
      </w:r>
    </w:p>
    <w:p w:rsidR="00000000" w:rsidRDefault="00000000">
      <w:pPr>
        <w:pStyle w:val="Heading4"/>
        <w:spacing w:after="160"/>
      </w:pPr>
      <w:r>
        <w:rPr>
          <w:rFonts w:hint="eastAsia"/>
        </w:rPr>
        <w:t>所采用的法律对《香港人权法案条例》的影响</w:t>
      </w:r>
    </w:p>
    <w:p w:rsidR="00000000" w:rsidRDefault="00000000">
      <w:pPr>
        <w:rPr>
          <w:snapToGrid/>
        </w:rPr>
      </w:pPr>
      <w:r>
        <w:rPr>
          <w:snapToGrid/>
        </w:rPr>
        <w:tab/>
      </w:r>
      <w:r>
        <w:rPr>
          <w:rFonts w:hint="eastAsia"/>
          <w:snapToGrid/>
        </w:rPr>
        <w:t>322.</w:t>
      </w:r>
      <w:r>
        <w:rPr>
          <w:snapToGrid/>
        </w:rPr>
        <w:t xml:space="preserve">  </w:t>
      </w:r>
      <w:r>
        <w:rPr>
          <w:rFonts w:hint="eastAsia"/>
          <w:snapToGrid/>
        </w:rPr>
        <w:t>《基本法》第一百六十条规定，香港原有法律除由全国人民代表大会常务委员会宣布为同《基本法》抵触者外，均获采用为香港特区法律。一九九七年二月，人大常委会认为《香港人权法案条例》其中三项条文</w:t>
      </w:r>
      <w:r>
        <w:rPr>
          <w:snapToGrid/>
        </w:rPr>
        <w:t>(</w:t>
      </w:r>
      <w:r>
        <w:rPr>
          <w:rFonts w:hint="eastAsia"/>
          <w:snapToGrid/>
        </w:rPr>
        <w:t>有关条例的释义和适用范围部分</w:t>
      </w:r>
      <w:r>
        <w:rPr>
          <w:rStyle w:val="FootnoteReference"/>
          <w:snapToGrid/>
        </w:rPr>
        <w:footnoteReference w:customMarkFollows="1" w:id="22"/>
        <w:t>9</w:t>
      </w:r>
      <w:r>
        <w:rPr>
          <w:snapToGrid/>
        </w:rPr>
        <w:t xml:space="preserve"> ) </w:t>
      </w:r>
      <w:r>
        <w:rPr>
          <w:rFonts w:hint="eastAsia"/>
          <w:snapToGrid/>
        </w:rPr>
        <w:t>有凌驾于其他法例</w:t>
      </w:r>
      <w:r>
        <w:rPr>
          <w:snapToGrid/>
        </w:rPr>
        <w:t>(</w:t>
      </w:r>
      <w:r>
        <w:rPr>
          <w:rFonts w:hint="eastAsia"/>
          <w:snapToGrid/>
        </w:rPr>
        <w:t>包括《基本法》在内</w:t>
      </w:r>
      <w:r>
        <w:rPr>
          <w:snapToGrid/>
        </w:rPr>
        <w:t>)</w:t>
      </w:r>
      <w:r>
        <w:rPr>
          <w:rFonts w:hint="eastAsia"/>
          <w:snapToGrid/>
        </w:rPr>
        <w:t>的效力，因此，这些条文与《基本法》有所抵触，不获采用。</w:t>
      </w:r>
    </w:p>
    <w:p w:rsidR="00000000" w:rsidRDefault="00000000">
      <w:pPr>
        <w:spacing w:after="240"/>
        <w:rPr>
          <w:snapToGrid/>
        </w:rPr>
      </w:pPr>
      <w:r>
        <w:rPr>
          <w:snapToGrid/>
        </w:rPr>
        <w:tab/>
      </w:r>
      <w:r>
        <w:rPr>
          <w:rFonts w:hint="eastAsia"/>
          <w:snapToGrid/>
        </w:rPr>
        <w:t>323.</w:t>
      </w:r>
      <w:r>
        <w:rPr>
          <w:snapToGrid/>
        </w:rPr>
        <w:t xml:space="preserve">  </w:t>
      </w:r>
      <w:r>
        <w:rPr>
          <w:rFonts w:hint="eastAsia"/>
          <w:snapToGrid/>
        </w:rPr>
        <w:t>鉴于《基本法》第三十九条已对人权作出宪制性文件上的保证，因此尽管上述条文不获采用为香港法律，也不影响香港特区对人权的保障。条例中第</w:t>
      </w:r>
      <w:r>
        <w:rPr>
          <w:snapToGrid/>
        </w:rPr>
        <w:t>II</w:t>
      </w:r>
      <w:r>
        <w:rPr>
          <w:rFonts w:hint="eastAsia"/>
          <w:snapToGrid/>
        </w:rPr>
        <w:t>部的具体保障</w:t>
      </w:r>
      <w:r>
        <w:rPr>
          <w:snapToGrid/>
        </w:rPr>
        <w:t>(</w:t>
      </w:r>
      <w:r>
        <w:rPr>
          <w:rFonts w:hint="eastAsia"/>
          <w:snapToGrid/>
        </w:rPr>
        <w:t>与《公民权利和政治权利国际公约》的条文大致相同</w:t>
      </w:r>
      <w:r>
        <w:rPr>
          <w:snapToGrid/>
        </w:rPr>
        <w:t>)</w:t>
      </w:r>
      <w:r>
        <w:rPr>
          <w:rFonts w:hint="eastAsia"/>
          <w:snapToGrid/>
        </w:rPr>
        <w:t>并没有改变。而且，第</w:t>
      </w:r>
      <w:r>
        <w:rPr>
          <w:snapToGrid/>
        </w:rPr>
        <w:t>6</w:t>
      </w:r>
      <w:r>
        <w:rPr>
          <w:rFonts w:hint="eastAsia"/>
          <w:snapToGrid/>
        </w:rPr>
        <w:t>条有关违反条例时的补救措施，以及第</w:t>
      </w:r>
      <w:r>
        <w:rPr>
          <w:snapToGrid/>
        </w:rPr>
        <w:t>7</w:t>
      </w:r>
      <w:r>
        <w:rPr>
          <w:rFonts w:hint="eastAsia"/>
          <w:snapToGrid/>
        </w:rPr>
        <w:t>条有关条例对政府及所有公共主管当局的约束力，也同样没有改变。</w:t>
      </w:r>
      <w:r>
        <w:rPr>
          <w:rFonts w:hint="eastAsia"/>
          <w:snapToGrid/>
        </w:rPr>
        <w:t>(</w:t>
      </w:r>
      <w:r>
        <w:rPr>
          <w:rFonts w:hint="eastAsia"/>
          <w:snapToGrid/>
        </w:rPr>
        <w:t>现行的《香港人权法案条例》全文载于附件</w:t>
      </w:r>
      <w:r>
        <w:rPr>
          <w:snapToGrid/>
        </w:rPr>
        <w:t>2</w:t>
      </w:r>
      <w:r>
        <w:rPr>
          <w:rFonts w:hint="eastAsia"/>
          <w:snapToGrid/>
        </w:rPr>
        <w:t>)</w:t>
      </w:r>
      <w:r>
        <w:rPr>
          <w:rFonts w:hint="eastAsia"/>
          <w:snapToGrid/>
        </w:rPr>
        <w:t>。</w:t>
      </w:r>
    </w:p>
    <w:p w:rsidR="00000000" w:rsidRDefault="00000000">
      <w:pPr>
        <w:pStyle w:val="Heading4"/>
      </w:pPr>
      <w:r>
        <w:rPr>
          <w:rFonts w:hint="eastAsia"/>
        </w:rPr>
        <w:t>法律援助</w:t>
      </w:r>
    </w:p>
    <w:p w:rsidR="00000000" w:rsidRDefault="00000000">
      <w:pPr>
        <w:spacing w:after="240"/>
        <w:rPr>
          <w:snapToGrid/>
        </w:rPr>
      </w:pPr>
      <w:r>
        <w:rPr>
          <w:snapToGrid/>
        </w:rPr>
        <w:tab/>
      </w:r>
      <w:r>
        <w:rPr>
          <w:rFonts w:hint="eastAsia"/>
          <w:snapToGrid/>
        </w:rPr>
        <w:t>324.</w:t>
      </w:r>
      <w:r>
        <w:rPr>
          <w:snapToGrid/>
        </w:rPr>
        <w:t xml:space="preserve">  </w:t>
      </w:r>
      <w:r>
        <w:rPr>
          <w:rFonts w:hint="eastAsia"/>
          <w:snapToGrid/>
        </w:rPr>
        <w:t>政府为符合资格的人士提供法律援助，为他们在诉讼中按需要委聘代表律师或大律师。这确保任何有充分理据提出诉讼或抗辩的人不会因为经济能力不足而不能采取法律行动。</w:t>
      </w:r>
      <w:r>
        <w:rPr>
          <w:rFonts w:hint="eastAsia"/>
          <w:snapToGrid/>
          <w:lang w:val="en-GB"/>
        </w:rPr>
        <w:t>由</w:t>
      </w:r>
      <w:r>
        <w:rPr>
          <w:rFonts w:hint="eastAsia"/>
          <w:snapToGrid/>
        </w:rPr>
        <w:t>公帑资助的法律援助是透过法律援助署和当值律师服务提供。</w:t>
      </w:r>
    </w:p>
    <w:p w:rsidR="00000000" w:rsidRDefault="00000000">
      <w:pPr>
        <w:pStyle w:val="Heading4"/>
      </w:pPr>
      <w:r>
        <w:rPr>
          <w:rFonts w:hint="eastAsia"/>
        </w:rPr>
        <w:t>法律援助署</w:t>
      </w:r>
    </w:p>
    <w:p w:rsidR="00000000" w:rsidRDefault="00000000">
      <w:pPr>
        <w:spacing w:after="240"/>
        <w:rPr>
          <w:rFonts w:hint="eastAsia"/>
          <w:snapToGrid/>
        </w:rPr>
      </w:pPr>
      <w:r>
        <w:rPr>
          <w:snapToGrid/>
        </w:rPr>
        <w:tab/>
      </w:r>
      <w:r>
        <w:rPr>
          <w:rFonts w:hint="eastAsia"/>
          <w:snapToGrid/>
        </w:rPr>
        <w:t>325.</w:t>
      </w:r>
      <w:r>
        <w:rPr>
          <w:snapToGrid/>
        </w:rPr>
        <w:t xml:space="preserve">  </w:t>
      </w:r>
      <w:r>
        <w:rPr>
          <w:rFonts w:hint="eastAsia"/>
          <w:snapToGrid/>
        </w:rPr>
        <w:t>法律援助署就终审法院、上诉法庭、原讼法庭、区域法院和裁判法院</w:t>
      </w:r>
      <w:r>
        <w:rPr>
          <w:snapToGrid/>
        </w:rPr>
        <w:t>(</w:t>
      </w:r>
      <w:r>
        <w:rPr>
          <w:rFonts w:hint="eastAsia"/>
          <w:snapToGrid/>
        </w:rPr>
        <w:t>交付审判程序</w:t>
      </w:r>
      <w:r>
        <w:rPr>
          <w:snapToGrid/>
        </w:rPr>
        <w:t>)</w:t>
      </w:r>
      <w:r>
        <w:rPr>
          <w:rFonts w:hint="eastAsia"/>
          <w:snapToGrid/>
        </w:rPr>
        <w:t>审理的民事和刑事案件，为合资格的人士委派法律代表。民事方面的法律援助，适用于家庭纠纷、入境事务以至死因研讯等涉及市民日常生活主要范畴的诉讼。申请法律援助的人士，必须在经济条件</w:t>
      </w:r>
      <w:r>
        <w:rPr>
          <w:snapToGrid/>
        </w:rPr>
        <w:t>(</w:t>
      </w:r>
      <w:r>
        <w:rPr>
          <w:rFonts w:hint="eastAsia"/>
          <w:snapToGrid/>
        </w:rPr>
        <w:t>经济审查</w:t>
      </w:r>
      <w:r>
        <w:rPr>
          <w:snapToGrid/>
        </w:rPr>
        <w:t>)</w:t>
      </w:r>
      <w:r>
        <w:rPr>
          <w:rFonts w:hint="eastAsia"/>
          <w:snapToGrid/>
        </w:rPr>
        <w:t>和诉讼理由</w:t>
      </w:r>
      <w:r>
        <w:rPr>
          <w:snapToGrid/>
        </w:rPr>
        <w:t>(</w:t>
      </w:r>
      <w:r>
        <w:rPr>
          <w:rFonts w:hint="eastAsia"/>
          <w:snapToGrid/>
        </w:rPr>
        <w:t>案情审查</w:t>
      </w:r>
      <w:r>
        <w:rPr>
          <w:snapToGrid/>
        </w:rPr>
        <w:t>)</w:t>
      </w:r>
      <w:r>
        <w:rPr>
          <w:rFonts w:hint="eastAsia"/>
          <w:snapToGrid/>
        </w:rPr>
        <w:t>方面，符合法律援助署署长的要求。此外，非香港居民也可申请法律援助。在刑事案件方面，如法律援助署署长认为提供法律援助有利于司法公正，则可运用酌情权，豁免经济审查方面的上限。如申请个案涉及违反《香港人权法案条例》或违反适用于香港的《公民权利和政治权利国际公约》的情况，法律援助署署长也可行使同样的酌情权。至于被控谋杀、叛国或暴力海盗行为的人如提出申请并通过经济审查，法律援助署署长必须给予法律援助。</w:t>
      </w:r>
    </w:p>
    <w:p w:rsidR="00000000" w:rsidRDefault="00000000">
      <w:pPr>
        <w:pStyle w:val="Heading4"/>
      </w:pPr>
      <w:r>
        <w:rPr>
          <w:rFonts w:hint="eastAsia"/>
        </w:rPr>
        <w:t>当值律师服务</w:t>
      </w:r>
    </w:p>
    <w:p w:rsidR="00000000" w:rsidRDefault="00000000">
      <w:pPr>
        <w:spacing w:after="240"/>
        <w:rPr>
          <w:snapToGrid/>
        </w:rPr>
      </w:pPr>
      <w:r>
        <w:rPr>
          <w:snapToGrid/>
        </w:rPr>
        <w:tab/>
      </w:r>
      <w:r>
        <w:rPr>
          <w:rFonts w:hint="eastAsia"/>
          <w:snapToGrid/>
        </w:rPr>
        <w:t>326.</w:t>
      </w:r>
      <w:r>
        <w:rPr>
          <w:snapToGrid/>
        </w:rPr>
        <w:t xml:space="preserve">  </w:t>
      </w:r>
      <w:r>
        <w:rPr>
          <w:rFonts w:hint="eastAsia"/>
          <w:snapToGrid/>
        </w:rPr>
        <w:t>当值律师服务与法律援助署所提供的服务相辅相成。当值律师服务提供以下三方面的服务：代表律师</w:t>
      </w:r>
      <w:r>
        <w:rPr>
          <w:snapToGrid/>
        </w:rPr>
        <w:t>(</w:t>
      </w:r>
      <w:r>
        <w:rPr>
          <w:rFonts w:hint="eastAsia"/>
          <w:snapToGrid/>
        </w:rPr>
        <w:t>当值律师计划</w:t>
      </w:r>
      <w:r>
        <w:rPr>
          <w:snapToGrid/>
        </w:rPr>
        <w:t>)</w:t>
      </w:r>
      <w:r>
        <w:rPr>
          <w:rFonts w:hint="eastAsia"/>
          <w:snapToGrid/>
        </w:rPr>
        <w:t>、法律辅导</w:t>
      </w:r>
      <w:r>
        <w:rPr>
          <w:snapToGrid/>
        </w:rPr>
        <w:t>(</w:t>
      </w:r>
      <w:r>
        <w:rPr>
          <w:rFonts w:hint="eastAsia"/>
          <w:snapToGrid/>
        </w:rPr>
        <w:t>法律辅导计划</w:t>
      </w:r>
      <w:r>
        <w:rPr>
          <w:snapToGrid/>
        </w:rPr>
        <w:t>)</w:t>
      </w:r>
      <w:r>
        <w:rPr>
          <w:rFonts w:hint="eastAsia"/>
          <w:snapToGrid/>
        </w:rPr>
        <w:t>及法律资料</w:t>
      </w:r>
      <w:r>
        <w:rPr>
          <w:snapToGrid/>
        </w:rPr>
        <w:t>(</w:t>
      </w:r>
      <w:r>
        <w:rPr>
          <w:rFonts w:hint="eastAsia"/>
          <w:snapToGrid/>
        </w:rPr>
        <w:t>电话法律咨询计划</w:t>
      </w:r>
      <w:r>
        <w:rPr>
          <w:snapToGrid/>
        </w:rPr>
        <w:t>)</w:t>
      </w:r>
      <w:r>
        <w:rPr>
          <w:rFonts w:hint="eastAsia"/>
          <w:snapToGrid/>
        </w:rPr>
        <w:t>。裁判法院聆讯案件的所有被告人</w:t>
      </w:r>
      <w:r>
        <w:rPr>
          <w:snapToGrid/>
        </w:rPr>
        <w:t>(</w:t>
      </w:r>
      <w:r>
        <w:rPr>
          <w:rFonts w:hint="eastAsia"/>
          <w:snapToGrid/>
        </w:rPr>
        <w:t>少年及成年人</w:t>
      </w:r>
      <w:r>
        <w:rPr>
          <w:snapToGrid/>
        </w:rPr>
        <w:t>)</w:t>
      </w:r>
      <w:r>
        <w:rPr>
          <w:rFonts w:hint="eastAsia"/>
          <w:snapToGrid/>
        </w:rPr>
        <w:t>，如无力负担聘用私人代表律师的费用，可通过当值律师计划获委派律师代表辩护。该计划亦可为在死因研讯中作证而可能导致被刑事检控的人士，提供法律代表。根据《公民权利和政治权利国际公约》第十四条和《香港人权法案条例》第十一条所载的“司法公正”原则，申请者须通过经济审查和案情审查。法律辅导计划和电话法律咨询计划则分别通过个别预约，为市民提供免费法律意见，并以电话录音方式提供有关日常法律问题的资料。</w:t>
      </w:r>
    </w:p>
    <w:p w:rsidR="00000000" w:rsidRDefault="00000000">
      <w:pPr>
        <w:pStyle w:val="Heading4"/>
        <w:rPr>
          <w:rFonts w:hint="eastAsia"/>
        </w:rPr>
      </w:pPr>
      <w:r>
        <w:rPr>
          <w:rFonts w:hint="eastAsia"/>
        </w:rPr>
        <w:t>法律援助服务局</w:t>
      </w:r>
    </w:p>
    <w:p w:rsidR="00000000" w:rsidRDefault="00000000">
      <w:pPr>
        <w:spacing w:after="240"/>
        <w:rPr>
          <w:snapToGrid/>
        </w:rPr>
      </w:pPr>
      <w:r>
        <w:rPr>
          <w:snapToGrid/>
        </w:rPr>
        <w:tab/>
      </w:r>
      <w:r>
        <w:rPr>
          <w:rFonts w:hint="eastAsia"/>
          <w:snapToGrid/>
        </w:rPr>
        <w:t>327.</w:t>
      </w:r>
      <w:r>
        <w:rPr>
          <w:snapToGrid/>
        </w:rPr>
        <w:t xml:space="preserve">  </w:t>
      </w:r>
      <w:r>
        <w:rPr>
          <w:rFonts w:hint="eastAsia"/>
          <w:snapToGrid/>
        </w:rPr>
        <w:t>法律援助服务局于一九九六年成立，是个独立的法定组织。该局负责监督法律援助署所提供的法律援助服务，并就法律援助政策向行政长官提出建议。</w:t>
      </w:r>
    </w:p>
    <w:p w:rsidR="00000000" w:rsidRDefault="00000000">
      <w:pPr>
        <w:pStyle w:val="Heading4"/>
      </w:pPr>
      <w:r>
        <w:rPr>
          <w:rFonts w:hint="eastAsia"/>
        </w:rPr>
        <w:t>申诉专员公署</w:t>
      </w:r>
    </w:p>
    <w:p w:rsidR="00000000" w:rsidRDefault="00000000">
      <w:pPr>
        <w:rPr>
          <w:snapToGrid/>
        </w:rPr>
      </w:pPr>
      <w:r>
        <w:rPr>
          <w:snapToGrid/>
        </w:rPr>
        <w:tab/>
      </w:r>
      <w:r>
        <w:rPr>
          <w:rFonts w:hint="eastAsia"/>
          <w:snapToGrid/>
        </w:rPr>
        <w:t>328.</w:t>
      </w:r>
      <w:r>
        <w:rPr>
          <w:snapToGrid/>
        </w:rPr>
        <w:t xml:space="preserve">  </w:t>
      </w:r>
      <w:r>
        <w:rPr>
          <w:rFonts w:hint="eastAsia"/>
          <w:snapToGrid/>
        </w:rPr>
        <w:t>根据《申诉专员条例》</w:t>
      </w:r>
      <w:r>
        <w:rPr>
          <w:snapToGrid/>
        </w:rPr>
        <w:t>(</w:t>
      </w:r>
      <w:r>
        <w:rPr>
          <w:rFonts w:hint="eastAsia"/>
          <w:snapToGrid/>
        </w:rPr>
        <w:t>第</w:t>
      </w:r>
      <w:r>
        <w:rPr>
          <w:snapToGrid/>
        </w:rPr>
        <w:t>397</w:t>
      </w:r>
      <w:r>
        <w:rPr>
          <w:rFonts w:hint="eastAsia"/>
          <w:snapToGrid/>
        </w:rPr>
        <w:t>章</w:t>
      </w:r>
      <w:r>
        <w:rPr>
          <w:rStyle w:val="FootnoteReference"/>
          <w:snapToGrid/>
        </w:rPr>
        <w:footnoteReference w:customMarkFollows="1" w:id="23"/>
        <w:t>10</w:t>
      </w:r>
      <w:r>
        <w:rPr>
          <w:snapToGrid/>
        </w:rPr>
        <w:t xml:space="preserve"> ) </w:t>
      </w:r>
      <w:r>
        <w:rPr>
          <w:rFonts w:hint="eastAsia"/>
          <w:snapToGrid/>
        </w:rPr>
        <w:t>成立的申诉专员公署</w:t>
      </w:r>
      <w:r>
        <w:rPr>
          <w:snapToGrid/>
        </w:rPr>
        <w:t>(</w:t>
      </w:r>
      <w:r>
        <w:rPr>
          <w:rFonts w:hint="eastAsia"/>
          <w:snapToGrid/>
        </w:rPr>
        <w:t>前称行政事务申诉专员公署</w:t>
      </w:r>
      <w:r>
        <w:rPr>
          <w:snapToGrid/>
        </w:rPr>
        <w:t>)</w:t>
      </w:r>
      <w:r>
        <w:rPr>
          <w:rFonts w:hint="eastAsia"/>
          <w:snapToGrid/>
        </w:rPr>
        <w:t>，是一个独立机构，负责就有关行政失当的投诉进行调查，并作出报告。“行政失当”包括欠缺效率、拙劣或不妥善的行政决定、行为、建议或失误。市民可直接向申诉专员提出申诉；而申诉专员也有权主动展开调查，并可发表关乎公众利益事项的调查报告。此外，申诉专员也有权就涉嫌违反《公开资料守则》的投诉展开调查。</w:t>
      </w:r>
    </w:p>
    <w:p w:rsidR="00000000" w:rsidRDefault="00000000">
      <w:pPr>
        <w:rPr>
          <w:rFonts w:hint="eastAsia"/>
          <w:snapToGrid/>
        </w:rPr>
      </w:pPr>
      <w:r>
        <w:rPr>
          <w:snapToGrid/>
        </w:rPr>
        <w:tab/>
      </w:r>
      <w:r>
        <w:rPr>
          <w:rFonts w:hint="eastAsia"/>
          <w:snapToGrid/>
        </w:rPr>
        <w:t>329.</w:t>
      </w:r>
      <w:r>
        <w:rPr>
          <w:snapToGrid/>
        </w:rPr>
        <w:t xml:space="preserve">  </w:t>
      </w:r>
      <w:r>
        <w:rPr>
          <w:rFonts w:hint="eastAsia"/>
          <w:snapToGrid/>
        </w:rPr>
        <w:t>自《</w:t>
      </w:r>
      <w:r>
        <w:rPr>
          <w:snapToGrid/>
        </w:rPr>
        <w:t>2001</w:t>
      </w:r>
      <w:r>
        <w:rPr>
          <w:rFonts w:hint="eastAsia"/>
          <w:snapToGrid/>
        </w:rPr>
        <w:t>年申诉专员</w:t>
      </w:r>
      <w:r>
        <w:rPr>
          <w:snapToGrid/>
        </w:rPr>
        <w:t>(</w:t>
      </w:r>
      <w:r>
        <w:rPr>
          <w:rFonts w:hint="eastAsia"/>
          <w:snapToGrid/>
        </w:rPr>
        <w:t>修订</w:t>
      </w:r>
      <w:r>
        <w:rPr>
          <w:snapToGrid/>
        </w:rPr>
        <w:t>)</w:t>
      </w:r>
      <w:r>
        <w:rPr>
          <w:rFonts w:hint="eastAsia"/>
          <w:snapToGrid/>
        </w:rPr>
        <w:t>条例》通过成为法例后，申诉专员更能有效地履行职务。上述条例使申诉专员成为一个单一法团，具有法定权力处理本身的行政和财政事务，并有权委聘人员及技术或专业顾问，以协助她履行职务。而上述条例的修订部分订明申诉专员不是政府雇员或代理人，以阐明其独立身分。</w:t>
      </w:r>
    </w:p>
    <w:p w:rsidR="00000000" w:rsidRDefault="00000000">
      <w:pPr>
        <w:rPr>
          <w:snapToGrid/>
        </w:rPr>
      </w:pPr>
      <w:r>
        <w:rPr>
          <w:snapToGrid/>
        </w:rPr>
        <w:tab/>
      </w:r>
      <w:r>
        <w:rPr>
          <w:rFonts w:hint="eastAsia"/>
          <w:snapToGrid/>
        </w:rPr>
        <w:t>330.</w:t>
      </w:r>
      <w:r>
        <w:rPr>
          <w:snapToGrid/>
        </w:rPr>
        <w:t xml:space="preserve">  </w:t>
      </w:r>
      <w:r>
        <w:rPr>
          <w:rFonts w:hint="eastAsia"/>
          <w:snapToGrid/>
        </w:rPr>
        <w:t>申诉专员可按照《申诉专员条例》的规定，向有关人士索取她认为是调查所需的资料和文件，并就调查事项传召任何人士作供。此外，她可进入在其权限以内的机构辖下任何地方进行调查，也有足够能力确保各有关方面听取其建议，并就其建议采取所需行动。</w:t>
      </w:r>
    </w:p>
    <w:p w:rsidR="00000000" w:rsidRDefault="00000000">
      <w:pPr>
        <w:rPr>
          <w:snapToGrid/>
        </w:rPr>
      </w:pPr>
      <w:r>
        <w:rPr>
          <w:snapToGrid/>
        </w:rPr>
        <w:tab/>
      </w:r>
      <w:r>
        <w:rPr>
          <w:rFonts w:hint="eastAsia"/>
          <w:snapToGrid/>
        </w:rPr>
        <w:t>331.</w:t>
      </w:r>
      <w:r>
        <w:rPr>
          <w:snapToGrid/>
        </w:rPr>
        <w:t xml:space="preserve">  </w:t>
      </w:r>
      <w:r>
        <w:rPr>
          <w:rFonts w:hint="eastAsia"/>
          <w:snapToGrid/>
        </w:rPr>
        <w:t>在调查每宗投诉后，申诉专员有权向有关机构的主管提交其意见和理由，以及提出其认为需要采取的补救办法和建议。如申诉专员相信有关个案未能于合理时间内处理或涉及严重不当或不公平的行为，她可向香港特区行政长官呈交报告。而且，根据法例规定，该报告亦须提交立法会省览。</w:t>
      </w:r>
    </w:p>
    <w:p w:rsidR="00000000" w:rsidRDefault="00000000">
      <w:pPr>
        <w:spacing w:after="240"/>
        <w:rPr>
          <w:snapToGrid/>
          <w:lang w:val="en-GB"/>
        </w:rPr>
      </w:pPr>
      <w:r>
        <w:rPr>
          <w:snapToGrid/>
        </w:rPr>
        <w:tab/>
      </w:r>
      <w:r>
        <w:rPr>
          <w:rFonts w:hint="eastAsia"/>
          <w:snapToGrid/>
        </w:rPr>
        <w:t>332.</w:t>
      </w:r>
      <w:r>
        <w:rPr>
          <w:snapToGrid/>
        </w:rPr>
        <w:t xml:space="preserve">  </w:t>
      </w:r>
      <w:r>
        <w:rPr>
          <w:rFonts w:hint="eastAsia"/>
          <w:snapToGrid/>
        </w:rPr>
        <w:t>香港特区所有政府部门和主要法定机构，都在申诉专员的调查权限以内，但警队和廉政公署则属例外。由于这两个部门另有独立机构专责处理有关的投诉，所以不在专员的权限以内</w:t>
      </w:r>
      <w:r>
        <w:rPr>
          <w:snapToGrid/>
        </w:rPr>
        <w:t>(</w:t>
      </w:r>
      <w:r>
        <w:rPr>
          <w:rFonts w:hint="eastAsia"/>
          <w:snapToGrid/>
        </w:rPr>
        <w:t>请参阅下文第</w:t>
      </w:r>
      <w:r>
        <w:rPr>
          <w:rFonts w:hint="eastAsia"/>
          <w:snapToGrid/>
        </w:rPr>
        <w:t>336</w:t>
      </w:r>
      <w:r>
        <w:rPr>
          <w:rFonts w:hint="eastAsia"/>
          <w:snapToGrid/>
        </w:rPr>
        <w:t>和第</w:t>
      </w:r>
      <w:r>
        <w:rPr>
          <w:rFonts w:hint="eastAsia"/>
          <w:snapToGrid/>
        </w:rPr>
        <w:t>337</w:t>
      </w:r>
      <w:r>
        <w:rPr>
          <w:rFonts w:hint="eastAsia"/>
          <w:snapToGrid/>
        </w:rPr>
        <w:t>段</w:t>
      </w:r>
      <w:r>
        <w:rPr>
          <w:snapToGrid/>
        </w:rPr>
        <w:t>)</w:t>
      </w:r>
      <w:r>
        <w:rPr>
          <w:rFonts w:hint="eastAsia"/>
          <w:snapToGrid/>
        </w:rPr>
        <w:t>。</w:t>
      </w:r>
    </w:p>
    <w:p w:rsidR="00000000" w:rsidRDefault="00000000">
      <w:pPr>
        <w:pStyle w:val="Heading4"/>
      </w:pPr>
      <w:r>
        <w:rPr>
          <w:rFonts w:hint="eastAsia"/>
        </w:rPr>
        <w:t>平等机会委员会</w:t>
      </w:r>
    </w:p>
    <w:p w:rsidR="00000000" w:rsidRDefault="00000000">
      <w:pPr>
        <w:spacing w:after="240"/>
        <w:rPr>
          <w:snapToGrid/>
          <w:lang w:val="en-GB"/>
        </w:rPr>
      </w:pPr>
      <w:r>
        <w:rPr>
          <w:snapToGrid/>
        </w:rPr>
        <w:tab/>
      </w:r>
      <w:r>
        <w:rPr>
          <w:rFonts w:hint="eastAsia"/>
          <w:snapToGrid/>
        </w:rPr>
        <w:t>333.</w:t>
      </w:r>
      <w:r>
        <w:rPr>
          <w:snapToGrid/>
        </w:rPr>
        <w:t xml:space="preserve">  </w:t>
      </w:r>
      <w:r>
        <w:rPr>
          <w:rFonts w:hint="eastAsia"/>
          <w:snapToGrid/>
        </w:rPr>
        <w:t>平等机会委员会</w:t>
      </w:r>
      <w:r>
        <w:rPr>
          <w:rFonts w:hint="eastAsia"/>
          <w:snapToGrid/>
        </w:rPr>
        <w:t>(</w:t>
      </w:r>
      <w:r>
        <w:rPr>
          <w:rFonts w:hint="eastAsia"/>
          <w:snapToGrid/>
          <w:lang w:val="en-GB"/>
        </w:rPr>
        <w:t>平机会</w:t>
      </w:r>
      <w:r>
        <w:rPr>
          <w:rFonts w:hint="eastAsia"/>
          <w:snapToGrid/>
        </w:rPr>
        <w:t>)</w:t>
      </w:r>
      <w:r>
        <w:rPr>
          <w:rFonts w:hint="eastAsia"/>
          <w:snapToGrid/>
        </w:rPr>
        <w:t>于一九九六年五月根据《性别歧视条例》成立，并于同年九月开始全面运作。</w:t>
      </w:r>
      <w:r>
        <w:rPr>
          <w:rFonts w:hint="eastAsia"/>
          <w:snapToGrid/>
          <w:lang w:val="en-GB"/>
        </w:rPr>
        <w:t>平机会根据</w:t>
      </w:r>
      <w:r>
        <w:rPr>
          <w:rFonts w:hint="eastAsia"/>
          <w:snapToGrid/>
        </w:rPr>
        <w:t>《性别歧视条例》、《残疾歧视条例》和《家庭岗位歧视条例》，负责进行正式的调查、处理投诉、居中调停，以及向受屈人士提供援助。此外，平机会亦推行研究计划和公众教育，以促进平等机会。另外，该委员会获授权发出各类实务守则，为市民提供实际指引，协助他们遵守有关平等机会的法例。平机会已于一九九六年十二月发出有关《性别歧视条例》和《残疾歧视条例》的雇佣实务守则，并于一九九八年三月发出有关《家庭岗位歧视条例》的雇佣实务守则。此外，平机会于二零零一年七月发出“残疾歧视条例教育实务守则”，以协助教育机构遵守《残疾歧视条例》的规定。</w:t>
      </w:r>
    </w:p>
    <w:p w:rsidR="00000000" w:rsidRDefault="00000000">
      <w:pPr>
        <w:pStyle w:val="Heading4"/>
      </w:pPr>
      <w:r>
        <w:rPr>
          <w:rFonts w:hint="eastAsia"/>
        </w:rPr>
        <w:t>个人资料私隐专员</w:t>
      </w:r>
    </w:p>
    <w:p w:rsidR="00000000" w:rsidRDefault="00000000">
      <w:pPr>
        <w:spacing w:after="320"/>
        <w:rPr>
          <w:snapToGrid/>
        </w:rPr>
      </w:pPr>
      <w:r>
        <w:rPr>
          <w:snapToGrid/>
        </w:rPr>
        <w:tab/>
      </w:r>
      <w:r>
        <w:rPr>
          <w:rFonts w:hint="eastAsia"/>
          <w:snapToGrid/>
        </w:rPr>
        <w:t>334.</w:t>
      </w:r>
      <w:r>
        <w:rPr>
          <w:snapToGrid/>
        </w:rPr>
        <w:t xml:space="preserve">  </w:t>
      </w:r>
      <w:r>
        <w:rPr>
          <w:rFonts w:hint="eastAsia"/>
          <w:snapToGrid/>
        </w:rPr>
        <w:t>《个人资料</w:t>
      </w:r>
      <w:r>
        <w:rPr>
          <w:snapToGrid/>
        </w:rPr>
        <w:t>(</w:t>
      </w:r>
      <w:r>
        <w:rPr>
          <w:rFonts w:hint="eastAsia"/>
          <w:snapToGrid/>
        </w:rPr>
        <w:t>私隐</w:t>
      </w:r>
      <w:r>
        <w:rPr>
          <w:snapToGrid/>
        </w:rPr>
        <w:t>)</w:t>
      </w:r>
      <w:r>
        <w:rPr>
          <w:rFonts w:hint="eastAsia"/>
          <w:snapToGrid/>
        </w:rPr>
        <w:t>条例》就政府和私营机构收集、持有和使用个人资料的事宜作出规管，有关条文是根据国际通用的保护资料原则而制定的，并且适用于一切在合理可行的范围内查阅个人资料的情况，而不论该等资料是以电脑、人手</w:t>
      </w:r>
      <w:r>
        <w:rPr>
          <w:snapToGrid/>
        </w:rPr>
        <w:t>(</w:t>
      </w:r>
      <w:r>
        <w:rPr>
          <w:rFonts w:hint="eastAsia"/>
          <w:snapToGrid/>
        </w:rPr>
        <w:t>例如：档案文件</w:t>
      </w:r>
      <w:r>
        <w:rPr>
          <w:snapToGrid/>
        </w:rPr>
        <w:t>)</w:t>
      </w:r>
      <w:r>
        <w:rPr>
          <w:rFonts w:hint="eastAsia"/>
          <w:snapToGrid/>
        </w:rPr>
        <w:t>或录像</w:t>
      </w:r>
      <w:r>
        <w:rPr>
          <w:rFonts w:hint="eastAsia"/>
          <w:snapToGrid/>
        </w:rPr>
        <w:t>/</w:t>
      </w:r>
      <w:r>
        <w:rPr>
          <w:rFonts w:hint="eastAsia"/>
          <w:snapToGrid/>
        </w:rPr>
        <w:t>录音带的形式贮存。为了宣传和执行规定，条例订明政府须设独立的法定主管当局，即个人资料私隐专员</w:t>
      </w:r>
      <w:r>
        <w:rPr>
          <w:snapToGrid/>
        </w:rPr>
        <w:t>(</w:t>
      </w:r>
      <w:r>
        <w:rPr>
          <w:rFonts w:hint="eastAsia"/>
          <w:snapToGrid/>
        </w:rPr>
        <w:t>私隐专员</w:t>
      </w:r>
      <w:r>
        <w:rPr>
          <w:snapToGrid/>
        </w:rPr>
        <w:t>)</w:t>
      </w:r>
      <w:r>
        <w:rPr>
          <w:rFonts w:hint="eastAsia"/>
          <w:snapToGrid/>
        </w:rPr>
        <w:t>，并赋予其适当的调查和执法权力。私隐专员的职责也包括促进公众对条例的认识和理解、就如何遵守条例的规定发出实务守则，以及研究与个人资料私隐有关的建议法例。</w:t>
      </w:r>
    </w:p>
    <w:p w:rsidR="00000000" w:rsidRDefault="00000000">
      <w:pPr>
        <w:pStyle w:val="a3"/>
      </w:pPr>
      <w:r>
        <w:rPr>
          <w:rFonts w:hint="eastAsia"/>
        </w:rPr>
        <w:t>投诉及调查</w:t>
      </w:r>
    </w:p>
    <w:p w:rsidR="00000000" w:rsidRDefault="00000000">
      <w:pPr>
        <w:pStyle w:val="Heading4"/>
      </w:pPr>
      <w:r>
        <w:rPr>
          <w:rFonts w:hint="eastAsia"/>
        </w:rPr>
        <w:t>警　察</w:t>
      </w:r>
    </w:p>
    <w:p w:rsidR="00000000" w:rsidRDefault="00000000">
      <w:pPr>
        <w:spacing w:after="240"/>
        <w:rPr>
          <w:snapToGrid/>
        </w:rPr>
      </w:pPr>
      <w:r>
        <w:rPr>
          <w:snapToGrid/>
        </w:rPr>
        <w:tab/>
      </w:r>
      <w:r>
        <w:rPr>
          <w:rFonts w:hint="eastAsia"/>
          <w:snapToGrid/>
        </w:rPr>
        <w:t>335.</w:t>
      </w:r>
      <w:r>
        <w:rPr>
          <w:snapToGrid/>
        </w:rPr>
        <w:t xml:space="preserve">  </w:t>
      </w:r>
      <w:r>
        <w:rPr>
          <w:rFonts w:hint="eastAsia"/>
          <w:snapToGrid/>
        </w:rPr>
        <w:t>投诉警察课负责调查所有涉及警务人员行为和态度不当的投诉。投诉警察课的调查工作，由投诉警方独立监察委员会</w:t>
      </w:r>
      <w:r>
        <w:rPr>
          <w:snapToGrid/>
        </w:rPr>
        <w:t>(</w:t>
      </w:r>
      <w:r>
        <w:rPr>
          <w:rFonts w:hint="eastAsia"/>
          <w:snapToGrid/>
        </w:rPr>
        <w:t>警监会</w:t>
      </w:r>
      <w:r>
        <w:rPr>
          <w:snapToGrid/>
        </w:rPr>
        <w:t>)</w:t>
      </w:r>
      <w:r>
        <w:rPr>
          <w:rFonts w:hint="eastAsia"/>
          <w:snapToGrid/>
        </w:rPr>
        <w:t>监察及复核。警监会是一个独立组织，由行政长官委任社会各阶层的非官方人士组成，其他成员包括立法会议员以及申诉专员或其代表。</w:t>
      </w:r>
    </w:p>
    <w:p w:rsidR="00000000" w:rsidRDefault="00000000">
      <w:pPr>
        <w:pStyle w:val="Heading4"/>
      </w:pPr>
      <w:r>
        <w:rPr>
          <w:rFonts w:hint="eastAsia"/>
        </w:rPr>
        <w:t>廉政公署</w:t>
      </w:r>
    </w:p>
    <w:p w:rsidR="00000000" w:rsidRDefault="00000000">
      <w:pPr>
        <w:spacing w:after="240"/>
        <w:rPr>
          <w:snapToGrid/>
        </w:rPr>
      </w:pPr>
      <w:r>
        <w:rPr>
          <w:snapToGrid/>
        </w:rPr>
        <w:tab/>
      </w:r>
      <w:r>
        <w:rPr>
          <w:rFonts w:hint="eastAsia"/>
          <w:snapToGrid/>
        </w:rPr>
        <w:t>336.</w:t>
      </w:r>
      <w:r>
        <w:rPr>
          <w:snapToGrid/>
        </w:rPr>
        <w:t xml:space="preserve">  </w:t>
      </w:r>
      <w:r>
        <w:rPr>
          <w:rFonts w:hint="eastAsia"/>
          <w:snapToGrid/>
        </w:rPr>
        <w:t>廉政公署事宜投诉委员会于一九七七年成立，负责监察和检讨廉政公署处理对该署和该署人员的非刑事投诉。该委员会也是一个由行政长官委任的独立组织，其成员主要包括行政会议成员和立法会议员，另加申诉专员的代表。任何人如要投诉廉政公署或该署人员，均可直接向该委员会或廉政公署辖下办事处提出。这些投诉会由廉政公署执行处一个特别小组负责调查。小组完成调查工作后，便会把调查结果和建议提交委员会审议。</w:t>
      </w:r>
    </w:p>
    <w:p w:rsidR="00000000" w:rsidRDefault="00000000">
      <w:pPr>
        <w:pStyle w:val="Heading4"/>
      </w:pPr>
      <w:r>
        <w:rPr>
          <w:rFonts w:hint="eastAsia"/>
        </w:rPr>
        <w:t>其他纪律部门</w:t>
      </w:r>
    </w:p>
    <w:p w:rsidR="00000000" w:rsidRDefault="00000000">
      <w:pPr>
        <w:rPr>
          <w:snapToGrid/>
        </w:rPr>
      </w:pPr>
      <w:r>
        <w:rPr>
          <w:snapToGrid/>
        </w:rPr>
        <w:tab/>
      </w:r>
      <w:r>
        <w:rPr>
          <w:rFonts w:hint="eastAsia"/>
          <w:snapToGrid/>
        </w:rPr>
        <w:t>337.</w:t>
      </w:r>
      <w:r>
        <w:rPr>
          <w:snapToGrid/>
        </w:rPr>
        <w:t xml:space="preserve">  </w:t>
      </w:r>
      <w:r>
        <w:rPr>
          <w:rFonts w:hint="eastAsia"/>
          <w:snapToGrid/>
        </w:rPr>
        <w:t>其他纪律部门在处理投诉方面也备有清晰的指引和程序。举例来说，负责管理香港特区各个监狱的惩教署，亦设有投诉调查组，为职员和囚犯提供内部申诉机制。此外，惩教署职员和囚犯也可直接向申诉专员投诉。从所处理投诉个案的数目和性质来看，现有的投诉途径可说是行之有效。</w:t>
      </w:r>
    </w:p>
    <w:p w:rsidR="00000000" w:rsidRDefault="00000000">
      <w:pPr>
        <w:spacing w:after="320"/>
        <w:rPr>
          <w:snapToGrid/>
        </w:rPr>
      </w:pPr>
      <w:r>
        <w:rPr>
          <w:snapToGrid/>
        </w:rPr>
        <w:tab/>
      </w:r>
      <w:r>
        <w:rPr>
          <w:rFonts w:hint="eastAsia"/>
          <w:snapToGrid/>
        </w:rPr>
        <w:t>338.</w:t>
      </w:r>
      <w:r>
        <w:rPr>
          <w:snapToGrid/>
        </w:rPr>
        <w:t xml:space="preserve">  </w:t>
      </w:r>
      <w:r>
        <w:rPr>
          <w:rFonts w:hint="eastAsia"/>
          <w:snapToGrid/>
        </w:rPr>
        <w:t>入境事务处在处理投诉时所依循的程序，是由入境事务处处长根据《入境事务队条例》所赋予的权力而订立的，这些程序已于《入境事务队常规命令》中列明。市民如认为入境事务队人员滥用职权或处事不当，可向入境事务处处长投诉。该处接获投诉后，会按照常规命令所列明的程序，从速进行调查。为确保所有投诉均获妥善处理，入境事务处设有投诉检讨工作小组，负责审核调查结果、进行覆检，并于必要时建议所须的跟进行动。市民如认为自己受到不当对待或其个案未获适当处理，亦可向申诉专员投诉。如有表面证据显示入境事务队人员触犯刑事罪行，入境事务处会立即把个案转介警方，以作进一步调查。《入境事务队条例》和《入境事务队常规命令》已订明入境事务队人员的纪律处分程序。《入境事务队条例》</w:t>
      </w:r>
      <w:r>
        <w:rPr>
          <w:snapToGrid/>
        </w:rPr>
        <w:t>(</w:t>
      </w:r>
      <w:r>
        <w:rPr>
          <w:rFonts w:hint="eastAsia"/>
          <w:snapToGrid/>
        </w:rPr>
        <w:t>第</w:t>
      </w:r>
      <w:r>
        <w:rPr>
          <w:snapToGrid/>
        </w:rPr>
        <w:t>115</w:t>
      </w:r>
      <w:r>
        <w:rPr>
          <w:rFonts w:hint="eastAsia"/>
          <w:snapToGrid/>
        </w:rPr>
        <w:t>章</w:t>
      </w:r>
      <w:r>
        <w:rPr>
          <w:snapToGrid/>
        </w:rPr>
        <w:t>)</w:t>
      </w:r>
      <w:r>
        <w:rPr>
          <w:rFonts w:hint="eastAsia"/>
          <w:snapToGrid/>
        </w:rPr>
        <w:t>第</w:t>
      </w:r>
      <w:r>
        <w:rPr>
          <w:snapToGrid/>
        </w:rPr>
        <w:t>8</w:t>
      </w:r>
      <w:r>
        <w:rPr>
          <w:rFonts w:hint="eastAsia"/>
          <w:snapToGrid/>
        </w:rPr>
        <w:t>条订明，入境事务队人员如非法或不必要地行使权力，以致他人蒙受损失或损害，均属违纪行为。</w:t>
      </w:r>
    </w:p>
    <w:p w:rsidR="00000000" w:rsidRDefault="00000000">
      <w:pPr>
        <w:pStyle w:val="Heading2"/>
      </w:pPr>
      <w:bookmarkStart w:id="35" w:name="_Toc78772944"/>
      <w:r>
        <w:rPr>
          <w:rFonts w:hint="eastAsia"/>
        </w:rPr>
        <w:t>四、资讯及宣传</w:t>
      </w:r>
      <w:bookmarkEnd w:id="35"/>
    </w:p>
    <w:p w:rsidR="00000000" w:rsidRDefault="00000000">
      <w:pPr>
        <w:pStyle w:val="a3"/>
      </w:pPr>
      <w:r>
        <w:rPr>
          <w:rFonts w:hint="eastAsia"/>
        </w:rPr>
        <w:t>加深市民对人权条约的认识</w:t>
      </w:r>
    </w:p>
    <w:p w:rsidR="00000000" w:rsidRDefault="00000000">
      <w:pPr>
        <w:rPr>
          <w:snapToGrid/>
        </w:rPr>
      </w:pPr>
      <w:r>
        <w:rPr>
          <w:snapToGrid/>
        </w:rPr>
        <w:tab/>
      </w:r>
      <w:r>
        <w:rPr>
          <w:rFonts w:hint="eastAsia"/>
          <w:snapToGrid/>
        </w:rPr>
        <w:t>339.</w:t>
      </w:r>
      <w:r>
        <w:rPr>
          <w:snapToGrid/>
        </w:rPr>
        <w:t xml:space="preserve">  </w:t>
      </w:r>
      <w:r>
        <w:rPr>
          <w:rFonts w:hint="eastAsia"/>
          <w:snapToGrid/>
        </w:rPr>
        <w:t>香港特区政府民政事务局负责推广适用于香港的各项人权条约，加深市民对条约所订权利和义务的认识。《香港人权法案条例》于一九九一年制定后，民政事务局辖下公民教育委员会成立了人权教育工作小组，致力加深市民对该条例的认识，并促使他们尊重各项受人权条约保障的人权。人权一直是公民教育委员会的重点工作；最近，该委员会更加强推广工作，力求加深市民对《基本法》的认识。《基本法》对保障特区的人权，提供了宪制性文件上的保证。为了进一步推广《基本法》，香港特区政府于一九九八年一月成立《基本法》推广督导委员会，该委员会由政务司司长担任主席，负责就《基本法》的宣传策略制定方针。</w:t>
      </w:r>
    </w:p>
    <w:p w:rsidR="00000000" w:rsidRDefault="00000000">
      <w:pPr>
        <w:spacing w:after="240"/>
        <w:rPr>
          <w:rFonts w:hint="eastAsia"/>
          <w:snapToGrid/>
        </w:rPr>
      </w:pPr>
      <w:r>
        <w:rPr>
          <w:snapToGrid/>
        </w:rPr>
        <w:tab/>
      </w:r>
      <w:r>
        <w:rPr>
          <w:rFonts w:hint="eastAsia"/>
          <w:snapToGrid/>
        </w:rPr>
        <w:t>340.</w:t>
      </w:r>
      <w:r>
        <w:rPr>
          <w:snapToGrid/>
        </w:rPr>
        <w:t xml:space="preserve">  </w:t>
      </w:r>
      <w:r>
        <w:rPr>
          <w:rFonts w:hint="eastAsia"/>
          <w:snapToGrid/>
        </w:rPr>
        <w:t>当局于二零零二年成立一个由非政府机构与政府部门组成的促进种族和谐委员会，负责就促进种族和谐和有关《消除一切形式种族歧视国际公约》事宜向政府提供意见。上述委员会是由民政事务局辖下的种族关系组提供支援服务，该组亦于二零零二年成立。</w:t>
      </w:r>
    </w:p>
    <w:p w:rsidR="00000000" w:rsidRDefault="00000000">
      <w:pPr>
        <w:pStyle w:val="Heading4"/>
      </w:pPr>
      <w:r>
        <w:rPr>
          <w:rFonts w:hint="eastAsia"/>
        </w:rPr>
        <w:t>政府刊物</w:t>
      </w:r>
    </w:p>
    <w:p w:rsidR="00000000" w:rsidRDefault="00000000">
      <w:pPr>
        <w:spacing w:after="240"/>
        <w:rPr>
          <w:snapToGrid/>
        </w:rPr>
      </w:pPr>
      <w:r>
        <w:rPr>
          <w:snapToGrid/>
        </w:rPr>
        <w:tab/>
      </w:r>
      <w:r>
        <w:rPr>
          <w:rFonts w:hint="eastAsia"/>
          <w:snapToGrid/>
        </w:rPr>
        <w:t>341.</w:t>
      </w:r>
      <w:r>
        <w:rPr>
          <w:snapToGrid/>
        </w:rPr>
        <w:t xml:space="preserve">  </w:t>
      </w:r>
      <w:r>
        <w:rPr>
          <w:rFonts w:hint="eastAsia"/>
          <w:snapToGrid/>
        </w:rPr>
        <w:t>中华人民共和国中央人民政府负责根据各项人权条约，提交有关香港特区的报告</w:t>
      </w:r>
      <w:r>
        <w:rPr>
          <w:snapToGrid/>
        </w:rPr>
        <w:t>(</w:t>
      </w:r>
      <w:r>
        <w:rPr>
          <w:rFonts w:hint="eastAsia"/>
          <w:snapToGrid/>
        </w:rPr>
        <w:t>请参阅下文第</w:t>
      </w:r>
      <w:r>
        <w:rPr>
          <w:snapToGrid/>
        </w:rPr>
        <w:t>56</w:t>
      </w:r>
      <w:r>
        <w:rPr>
          <w:rFonts w:hint="eastAsia"/>
          <w:snapToGrid/>
        </w:rPr>
        <w:t>段关于《公民权利和政治权利国际公约》的部分</w:t>
      </w:r>
      <w:r>
        <w:rPr>
          <w:snapToGrid/>
        </w:rPr>
        <w:t>)</w:t>
      </w:r>
      <w:r>
        <w:rPr>
          <w:rFonts w:hint="eastAsia"/>
          <w:snapToGrid/>
        </w:rPr>
        <w:t>。报告的初稿，由香港特区政府民政事务局和</w:t>
      </w:r>
      <w:r>
        <w:rPr>
          <w:rFonts w:hint="eastAsia"/>
          <w:snapToGrid/>
          <w:color w:val="000000"/>
        </w:rPr>
        <w:t>卫生福利及食物局</w:t>
      </w:r>
      <w:r>
        <w:rPr>
          <w:rFonts w:hint="eastAsia"/>
          <w:snapToGrid/>
        </w:rPr>
        <w:t>草拟。两局会就这些条约在香港实施的情况，征询立法会和非政府机构的意见，并会在报告中加以论述。有关报告在中央人民政府提交联合国后，会提交香港特区立法会省览，并以双语钉装本的形式发表。此外，报告的文本会存放在公共图书馆以及上载互联网，供市民参阅。</w:t>
      </w:r>
    </w:p>
    <w:p w:rsidR="00000000" w:rsidRDefault="00000000">
      <w:pPr>
        <w:pStyle w:val="Heading4"/>
      </w:pPr>
      <w:r>
        <w:rPr>
          <w:rFonts w:hint="eastAsia"/>
        </w:rPr>
        <w:t>香港特区就《公民权利和政治权利国际公约》所提交的报告</w:t>
      </w:r>
    </w:p>
    <w:p w:rsidR="00000000" w:rsidRDefault="00000000">
      <w:pPr>
        <w:spacing w:after="320"/>
        <w:rPr>
          <w:rFonts w:hint="eastAsia"/>
          <w:snapToGrid/>
        </w:rPr>
      </w:pPr>
      <w:r>
        <w:rPr>
          <w:snapToGrid/>
        </w:rPr>
        <w:tab/>
      </w:r>
      <w:r>
        <w:rPr>
          <w:rFonts w:hint="eastAsia"/>
          <w:snapToGrid/>
        </w:rPr>
        <w:t>342.</w:t>
      </w:r>
      <w:r>
        <w:rPr>
          <w:snapToGrid/>
        </w:rPr>
        <w:t xml:space="preserve">  </w:t>
      </w:r>
      <w:r>
        <w:rPr>
          <w:rFonts w:hint="eastAsia"/>
          <w:snapToGrid/>
        </w:rPr>
        <w:t>中国政府在一九九七年十一月宣布，为了落实《联合声明》和《基本法》的规定，并考虑到中国尚未签署《公民权利和政治权利国际公约》和《经济、社会与文化权利的国际公约》，中国政府会参照该两条公约适用于香港的有关规定，向联合国转交有关香港特区的报告。中国在二零零一年批准《经济、社会与文化权利的国际公约》，香港特区的报告现会包括在中国所提交的报告内。香港特区政府须负责参照《公民权利和政治权利国际公约》拟备有关香港特区的报告，以供中央政府转交联合国。</w:t>
      </w:r>
    </w:p>
    <w:p w:rsidR="00000000" w:rsidRDefault="00000000">
      <w:pPr>
        <w:pStyle w:val="Heading2"/>
        <w:rPr>
          <w:rFonts w:hint="eastAsia"/>
        </w:rPr>
      </w:pPr>
      <w:bookmarkStart w:id="36" w:name="_Toc78772945"/>
      <w:r>
        <w:rPr>
          <w:rFonts w:hint="eastAsia"/>
        </w:rPr>
        <w:t>五、《公约》第一至第十六条的实施情况</w:t>
      </w:r>
      <w:bookmarkEnd w:id="36"/>
    </w:p>
    <w:p w:rsidR="00000000" w:rsidRDefault="00000000">
      <w:pPr>
        <w:pStyle w:val="Heading3"/>
        <w:rPr>
          <w:rFonts w:ascii="Time New Roman" w:eastAsia="SimHei" w:hAnsi="Time New Roman"/>
          <w:u w:val="none"/>
        </w:rPr>
      </w:pPr>
      <w:bookmarkStart w:id="37" w:name="_Toc78772946"/>
      <w:r>
        <w:rPr>
          <w:rFonts w:ascii="Time New Roman" w:eastAsia="SimHei" w:hAnsi="Time New Roman" w:hint="eastAsia"/>
          <w:b/>
          <w:u w:val="none"/>
        </w:rPr>
        <w:t>A</w:t>
      </w:r>
      <w:r>
        <w:rPr>
          <w:rFonts w:ascii="Time New Roman" w:eastAsia="SimHei" w:hAnsi="Time New Roman"/>
          <w:u w:val="none"/>
        </w:rPr>
        <w:t>.</w:t>
      </w:r>
      <w:r>
        <w:rPr>
          <w:rFonts w:ascii="Time New Roman" w:eastAsia="SimHei" w:hAnsi="Time New Roman" w:hint="eastAsia"/>
          <w:u w:val="none"/>
        </w:rPr>
        <w:t xml:space="preserve">　第</w:t>
      </w:r>
      <w:r>
        <w:rPr>
          <w:rFonts w:ascii="Time New Roman" w:eastAsia="SimHei" w:hAnsi="Time New Roman"/>
          <w:u w:val="none"/>
        </w:rPr>
        <w:t xml:space="preserve"> </w:t>
      </w:r>
      <w:r>
        <w:rPr>
          <w:rFonts w:ascii="Time New Roman" w:eastAsia="SimHei" w:hAnsi="Time New Roman" w:hint="eastAsia"/>
          <w:u w:val="none"/>
        </w:rPr>
        <w:t>一</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 xml:space="preserve">　</w:t>
      </w:r>
      <w:r>
        <w:rPr>
          <w:rFonts w:ascii="Time New Roman" w:eastAsia="SimHei" w:hAnsi="Time New Roman"/>
          <w:u w:val="none"/>
        </w:rPr>
        <w:t xml:space="preserve">  </w:t>
      </w:r>
      <w:r>
        <w:rPr>
          <w:rFonts w:ascii="Time New Roman" w:eastAsia="SimHei" w:hAnsi="Time New Roman" w:hint="eastAsia"/>
          <w:u w:val="none"/>
        </w:rPr>
        <w:t>民主发展进程</w:t>
      </w:r>
      <w:bookmarkEnd w:id="37"/>
    </w:p>
    <w:p w:rsidR="00000000" w:rsidRDefault="00000000">
      <w:pPr>
        <w:rPr>
          <w:rFonts w:hint="eastAsia"/>
          <w:snapToGrid/>
        </w:rPr>
      </w:pPr>
      <w:r>
        <w:rPr>
          <w:snapToGrid/>
        </w:rPr>
        <w:tab/>
      </w:r>
      <w:r>
        <w:rPr>
          <w:rFonts w:hint="eastAsia"/>
          <w:snapToGrid/>
        </w:rPr>
        <w:t>343.</w:t>
      </w:r>
      <w:r>
        <w:rPr>
          <w:snapToGrid/>
        </w:rPr>
        <w:t xml:space="preserve">  </w:t>
      </w:r>
      <w:r>
        <w:rPr>
          <w:rFonts w:hint="eastAsia"/>
          <w:snapToGrid/>
        </w:rPr>
        <w:t>在二零零一年五月的审议结论第</w:t>
      </w:r>
      <w:r>
        <w:rPr>
          <w:snapToGrid/>
        </w:rPr>
        <w:t>13</w:t>
      </w:r>
      <w:r>
        <w:rPr>
          <w:rFonts w:hint="eastAsia"/>
          <w:snapToGrid/>
        </w:rPr>
        <w:t>段中，委员会指出，“虽然《基本法》第六十八条订明立法会将‘最终达至全部议员由普选产生的目标’，但现行的立法会选举有部分安排并不民主，妨碍香港特区市民充分享有经济、社会及文化权利”。</w:t>
      </w:r>
    </w:p>
    <w:p w:rsidR="00000000" w:rsidRDefault="00000000">
      <w:pPr>
        <w:rPr>
          <w:rFonts w:hint="eastAsia"/>
          <w:snapToGrid/>
        </w:rPr>
      </w:pPr>
      <w:r>
        <w:rPr>
          <w:rFonts w:hint="eastAsia"/>
          <w:snapToGrid/>
        </w:rPr>
        <w:tab/>
      </w:r>
      <w:r>
        <w:rPr>
          <w:snapToGrid/>
        </w:rPr>
        <w:t xml:space="preserve">344.  </w:t>
      </w:r>
      <w:r>
        <w:rPr>
          <w:rFonts w:hint="eastAsia"/>
          <w:snapToGrid/>
        </w:rPr>
        <w:t>我们知悉委员会所关注的问题，并会继续按照《基本法》所提供的蓝本，发展香港的民主政制。《基本法》订明，立法会直选议席的比例须渐次增加：由首届占三分之一，增至第二届的百分之四十，而到二零零四年第三届立法会，这个比例将会增至百分之五十。</w:t>
      </w:r>
    </w:p>
    <w:p w:rsidR="00000000" w:rsidRDefault="00000000">
      <w:pPr>
        <w:rPr>
          <w:rFonts w:hint="eastAsia"/>
          <w:snapToGrid/>
        </w:rPr>
      </w:pPr>
      <w:r>
        <w:rPr>
          <w:snapToGrid/>
        </w:rPr>
        <w:tab/>
        <w:t xml:space="preserve">345.  </w:t>
      </w:r>
      <w:r>
        <w:rPr>
          <w:rFonts w:hint="eastAsia"/>
          <w:snapToGrid/>
        </w:rPr>
        <w:t>由选举委员会推选部分立法会议员，只是香港代议政制发展的过渡措施。在第二届立法会议员的任期届满后，选举委员会便不再负责选出立法会议员。</w:t>
      </w:r>
    </w:p>
    <w:p w:rsidR="00000000" w:rsidRDefault="00000000">
      <w:pPr>
        <w:spacing w:after="320"/>
        <w:rPr>
          <w:rFonts w:hint="eastAsia"/>
          <w:snapToGrid/>
        </w:rPr>
      </w:pPr>
      <w:r>
        <w:rPr>
          <w:snapToGrid/>
        </w:rPr>
        <w:tab/>
        <w:t xml:space="preserve">346.  </w:t>
      </w:r>
      <w:r>
        <w:rPr>
          <w:rFonts w:hint="eastAsia"/>
          <w:snapToGrid/>
        </w:rPr>
        <w:t>有论者建议我们在本条项下加入一段，介绍我们在本报告第二部第</w:t>
      </w:r>
      <w:r>
        <w:rPr>
          <w:rFonts w:hint="eastAsia"/>
          <w:snapToGrid/>
        </w:rPr>
        <w:t>309</w:t>
      </w:r>
      <w:r>
        <w:rPr>
          <w:rFonts w:hint="eastAsia"/>
          <w:snapToGrid/>
        </w:rPr>
        <w:t>段所阐述的主要官员问责制的实施情况。关于此项目，我们会在根据《公民权利和政治权利国际公约》所提交的第二份定期报告中，详述有关情况。该份报告须于二零零三年十月三十一日或之前提交。不过，我们基本上已在二零零三年一月，就上述新制度向立法会提交报告，阐述新制度实施了六个月后的情况。该制度旨在确保政府的运作更加切合社会的需要，并巩固公务员队伍一贯专业、量材录用、诚实可靠和政治中立的文化基础。新制度推行以来，主要官员一直与公务员有效地紧密合作，由公务员协助他们制定和阐释政策，并为政策进行辩解。至于实施政策和为市民提供服务，则仍然由公务员负责。我们将于二零零三年七月再向立法会提交进一步的报告。</w:t>
      </w:r>
    </w:p>
    <w:p w:rsidR="00000000" w:rsidRDefault="00000000">
      <w:pPr>
        <w:pStyle w:val="Heading3"/>
        <w:spacing w:after="160"/>
        <w:rPr>
          <w:rFonts w:ascii="Time New Roman" w:eastAsia="SimHei" w:hAnsi="Time New Roman"/>
          <w:bCs/>
          <w:u w:val="none"/>
        </w:rPr>
      </w:pPr>
      <w:bookmarkStart w:id="38" w:name="_Toc78772947"/>
      <w:r>
        <w:rPr>
          <w:rFonts w:ascii="Time New Roman" w:eastAsia="SimHei" w:hAnsi="Time New Roman" w:hint="eastAsia"/>
          <w:bCs/>
          <w:u w:val="none"/>
        </w:rPr>
        <w:t>B</w:t>
      </w:r>
      <w:r>
        <w:rPr>
          <w:rFonts w:ascii="Time New Roman" w:eastAsia="SimHei" w:hAnsi="Time New Roman"/>
          <w:bCs/>
          <w:u w:val="none"/>
        </w:rPr>
        <w:t xml:space="preserve">.  </w:t>
      </w:r>
      <w:r>
        <w:rPr>
          <w:rFonts w:ascii="Time New Roman" w:eastAsia="SimHei" w:hAnsi="Time New Roman" w:hint="eastAsia"/>
          <w:bCs/>
          <w:u w:val="none"/>
        </w:rPr>
        <w:t>第</w:t>
      </w:r>
      <w:r>
        <w:rPr>
          <w:rFonts w:ascii="Time New Roman" w:eastAsia="SimHei" w:hAnsi="Time New Roman"/>
          <w:bCs/>
          <w:u w:val="none"/>
        </w:rPr>
        <w:t xml:space="preserve"> </w:t>
      </w:r>
      <w:r>
        <w:rPr>
          <w:rFonts w:ascii="Time New Roman" w:eastAsia="SimHei" w:hAnsi="Time New Roman" w:hint="eastAsia"/>
          <w:bCs/>
          <w:u w:val="none"/>
        </w:rPr>
        <w:t>二</w:t>
      </w:r>
      <w:r>
        <w:rPr>
          <w:rFonts w:ascii="Time New Roman" w:eastAsia="SimHei" w:hAnsi="Time New Roman"/>
          <w:bCs/>
          <w:u w:val="none"/>
        </w:rPr>
        <w:t xml:space="preserve"> </w:t>
      </w:r>
      <w:r>
        <w:rPr>
          <w:rFonts w:ascii="Time New Roman" w:eastAsia="SimHei" w:hAnsi="Time New Roman" w:hint="eastAsia"/>
          <w:bCs/>
          <w:u w:val="none"/>
        </w:rPr>
        <w:t>条</w:t>
      </w:r>
    </w:p>
    <w:p w:rsidR="00000000" w:rsidRDefault="00000000">
      <w:pPr>
        <w:pStyle w:val="Heading3"/>
        <w:spacing w:after="240"/>
        <w:rPr>
          <w:rFonts w:hint="eastAsia"/>
          <w:bCs/>
        </w:rPr>
      </w:pPr>
      <w:r>
        <w:rPr>
          <w:rFonts w:ascii="Time New Roman" w:eastAsia="SimHei" w:hAnsi="Time New Roman" w:hint="eastAsia"/>
          <w:bCs/>
          <w:u w:val="none"/>
        </w:rPr>
        <w:t>逐步实现公约所承认的权利及</w:t>
      </w:r>
      <w:r>
        <w:rPr>
          <w:rFonts w:ascii="Time New Roman" w:eastAsia="SimHei" w:hAnsi="Time New Roman"/>
          <w:bCs/>
          <w:u w:val="none"/>
        </w:rPr>
        <w:br/>
      </w:r>
      <w:r>
        <w:rPr>
          <w:rFonts w:ascii="Time New Roman" w:eastAsia="SimHei" w:hAnsi="Time New Roman" w:hint="eastAsia"/>
          <w:bCs/>
          <w:u w:val="none"/>
        </w:rPr>
        <w:t>行使有关权利时不会受到歧视</w:t>
      </w:r>
      <w:bookmarkEnd w:id="38"/>
    </w:p>
    <w:p w:rsidR="00000000" w:rsidRDefault="00000000">
      <w:pPr>
        <w:pStyle w:val="Heading4"/>
      </w:pPr>
      <w:r>
        <w:rPr>
          <w:rFonts w:hint="eastAsia"/>
          <w:u w:val="none"/>
        </w:rPr>
        <w:t>《</w:t>
      </w:r>
      <w:r>
        <w:rPr>
          <w:rFonts w:hint="eastAsia"/>
        </w:rPr>
        <w:t>基本法》和《香港人权法案条例》中有关人权的条文</w:t>
      </w:r>
    </w:p>
    <w:p w:rsidR="00000000" w:rsidRDefault="00000000">
      <w:pPr>
        <w:spacing w:after="240"/>
        <w:rPr>
          <w:rFonts w:hint="eastAsia"/>
          <w:snapToGrid/>
        </w:rPr>
      </w:pPr>
      <w:r>
        <w:rPr>
          <w:snapToGrid/>
        </w:rPr>
        <w:tab/>
        <w:t xml:space="preserve">347.  </w:t>
      </w:r>
      <w:r>
        <w:rPr>
          <w:rFonts w:hint="eastAsia"/>
          <w:snapToGrid/>
        </w:rPr>
        <w:t>委员会在二零零一年五月的审议结论第</w:t>
      </w:r>
      <w:r>
        <w:rPr>
          <w:snapToGrid/>
        </w:rPr>
        <w:t>15</w:t>
      </w:r>
      <w:r>
        <w:rPr>
          <w:rFonts w:hint="eastAsia"/>
          <w:snapToGrid/>
        </w:rPr>
        <w:t>段中指出，“虽然代表团曾保证香港特区会落实委员会在一九九六年的审议结论中所提出的建议，但有若干建议至今仍未实行”。为此，委员会表示遗憾，并在第</w:t>
      </w:r>
      <w:r>
        <w:rPr>
          <w:snapToGrid/>
        </w:rPr>
        <w:t>28</w:t>
      </w:r>
      <w:r>
        <w:rPr>
          <w:rFonts w:hint="eastAsia"/>
          <w:snapToGrid/>
        </w:rPr>
        <w:t>段再次促请香港特区“落实一九九六年的审议结论和是次结论所载的意见和建议，并采取各项所需的具体落实措施”。此外，委员会亦在审议结论第</w:t>
      </w:r>
      <w:r>
        <w:rPr>
          <w:snapToGrid/>
        </w:rPr>
        <w:t>15(a)</w:t>
      </w:r>
      <w:r>
        <w:rPr>
          <w:rFonts w:hint="eastAsia"/>
          <w:snapToGrid/>
        </w:rPr>
        <w:t>至</w:t>
      </w:r>
      <w:r>
        <w:rPr>
          <w:snapToGrid/>
        </w:rPr>
        <w:t>(g)</w:t>
      </w:r>
      <w:r>
        <w:rPr>
          <w:rFonts w:hint="eastAsia"/>
          <w:snapToGrid/>
        </w:rPr>
        <w:t>段列出其特别关注的事项，其中第</w:t>
      </w:r>
      <w:r>
        <w:rPr>
          <w:snapToGrid/>
        </w:rPr>
        <w:t>15(a)</w:t>
      </w:r>
      <w:r>
        <w:rPr>
          <w:rFonts w:hint="eastAsia"/>
          <w:snapToGrid/>
        </w:rPr>
        <w:t>至</w:t>
      </w:r>
      <w:r>
        <w:rPr>
          <w:snapToGrid/>
        </w:rPr>
        <w:t>(d)</w:t>
      </w:r>
      <w:r>
        <w:rPr>
          <w:rFonts w:hint="eastAsia"/>
          <w:snapToGrid/>
        </w:rPr>
        <w:t>段所载的关注事项属于公约第二条的范畴；因此，我们会依次在下文各段逐一阐述。至于第</w:t>
      </w:r>
      <w:r>
        <w:rPr>
          <w:snapToGrid/>
        </w:rPr>
        <w:t>15(e)</w:t>
      </w:r>
      <w:r>
        <w:rPr>
          <w:rFonts w:hint="eastAsia"/>
          <w:snapToGrid/>
        </w:rPr>
        <w:t>及</w:t>
      </w:r>
      <w:r>
        <w:rPr>
          <w:snapToGrid/>
        </w:rPr>
        <w:t>(f)</w:t>
      </w:r>
      <w:r>
        <w:rPr>
          <w:rFonts w:hint="eastAsia"/>
          <w:snapToGrid/>
        </w:rPr>
        <w:t>段所提及的劳工问题，则与第七条有关，因此会在第七条项下论述，而第</w:t>
      </w:r>
      <w:r>
        <w:rPr>
          <w:snapToGrid/>
        </w:rPr>
        <w:t>15(g)</w:t>
      </w:r>
      <w:r>
        <w:rPr>
          <w:rFonts w:hint="eastAsia"/>
          <w:snapToGrid/>
        </w:rPr>
        <w:t>段所述的保护儿童问题，亦会在述及第十条时阐述。</w:t>
      </w:r>
    </w:p>
    <w:p w:rsidR="00000000" w:rsidRDefault="00000000">
      <w:pPr>
        <w:pStyle w:val="Heading4"/>
        <w:rPr>
          <w:rFonts w:hint="eastAsia"/>
        </w:rPr>
      </w:pPr>
      <w:r>
        <w:rPr>
          <w:rFonts w:hint="eastAsia"/>
        </w:rPr>
        <w:t>审议结论：公约的法律地位</w:t>
      </w:r>
    </w:p>
    <w:p w:rsidR="00000000" w:rsidRDefault="00000000">
      <w:pPr>
        <w:rPr>
          <w:rFonts w:hint="eastAsia"/>
          <w:snapToGrid/>
        </w:rPr>
      </w:pPr>
      <w:r>
        <w:rPr>
          <w:snapToGrid/>
        </w:rPr>
        <w:tab/>
        <w:t xml:space="preserve">348.  </w:t>
      </w:r>
      <w:r>
        <w:rPr>
          <w:rFonts w:hint="eastAsia"/>
          <w:snapToGrid/>
        </w:rPr>
        <w:t>委员会在审议结论第</w:t>
      </w:r>
      <w:r>
        <w:rPr>
          <w:snapToGrid/>
        </w:rPr>
        <w:t>15(a)</w:t>
      </w:r>
      <w:r>
        <w:rPr>
          <w:rFonts w:hint="eastAsia"/>
          <w:snapToGrid/>
        </w:rPr>
        <w:t>段中指出，公约的条文未能像《公民权利和政治权利国际公约》的条文一样，给纳入香港特区法律，这使两条公约在香港特区的法律地位仍然有所不同，而委员会亦特别重申对此感到关注。</w:t>
      </w:r>
    </w:p>
    <w:p w:rsidR="00000000" w:rsidRDefault="00000000">
      <w:pPr>
        <w:spacing w:after="240"/>
        <w:rPr>
          <w:rFonts w:hint="eastAsia"/>
          <w:snapToGrid/>
        </w:rPr>
      </w:pPr>
      <w:r>
        <w:rPr>
          <w:snapToGrid/>
        </w:rPr>
        <w:tab/>
        <w:t xml:space="preserve">349.  </w:t>
      </w:r>
      <w:r>
        <w:rPr>
          <w:rFonts w:hint="eastAsia"/>
          <w:snapToGrid/>
        </w:rPr>
        <w:t>就《经济、社会与文化权利的国际公约》的条文而言，香港法例中确实没有另一条条例像《香港人权法案条例》般，把《公民权利和政治权利国际公约》的条文纳入其中，使之成本地法律一部分。不过，公约的条文已通过《基本法》多项条文</w:t>
      </w:r>
      <w:r>
        <w:rPr>
          <w:snapToGrid/>
        </w:rPr>
        <w:t>(</w:t>
      </w:r>
      <w:r>
        <w:rPr>
          <w:rFonts w:hint="eastAsia"/>
          <w:snapToGrid/>
        </w:rPr>
        <w:t>例如第二十七、第三十六、第三十七、第一百三十七、第一百四十四和第一百四十九条</w:t>
      </w:r>
      <w:r>
        <w:rPr>
          <w:snapToGrid/>
        </w:rPr>
        <w:t>)</w:t>
      </w:r>
      <w:r>
        <w:rPr>
          <w:rFonts w:hint="eastAsia"/>
          <w:snapToGrid/>
        </w:rPr>
        <w:t>，以及超过</w:t>
      </w:r>
      <w:r>
        <w:rPr>
          <w:snapToGrid/>
        </w:rPr>
        <w:t>50</w:t>
      </w:r>
      <w:r>
        <w:rPr>
          <w:rFonts w:hint="eastAsia"/>
          <w:snapToGrid/>
        </w:rPr>
        <w:t>条香港法例的条文，纳入本地法律。这些法例原载于首份报告附件</w:t>
      </w:r>
      <w:r>
        <w:rPr>
          <w:snapToGrid/>
        </w:rPr>
        <w:t>3,</w:t>
      </w:r>
      <w:r>
        <w:rPr>
          <w:rFonts w:hint="eastAsia"/>
          <w:snapToGrid/>
        </w:rPr>
        <w:t xml:space="preserve"> </w:t>
      </w:r>
      <w:r>
        <w:rPr>
          <w:rFonts w:hint="eastAsia"/>
          <w:snapToGrid/>
        </w:rPr>
        <w:t>有关资料现已更新，载列于本报告附件</w:t>
      </w:r>
      <w:r>
        <w:rPr>
          <w:snapToGrid/>
        </w:rPr>
        <w:t>2A</w:t>
      </w:r>
      <w:r>
        <w:rPr>
          <w:rFonts w:hint="eastAsia"/>
          <w:snapToGrid/>
        </w:rPr>
        <w:t>。我们认为，在保障公约所载的权利方面，这类具体措施较在本地法律中重申公约条文的做法，更为有效。</w:t>
      </w:r>
    </w:p>
    <w:p w:rsidR="00000000" w:rsidRDefault="00000000">
      <w:pPr>
        <w:pStyle w:val="Heading4"/>
        <w:rPr>
          <w:rFonts w:hint="eastAsia"/>
        </w:rPr>
      </w:pPr>
      <w:r>
        <w:rPr>
          <w:rFonts w:hint="eastAsia"/>
        </w:rPr>
        <w:t>针对种族歧视而立法</w:t>
      </w:r>
    </w:p>
    <w:p w:rsidR="00000000" w:rsidRDefault="00000000">
      <w:pPr>
        <w:rPr>
          <w:rFonts w:hint="eastAsia"/>
          <w:snapToGrid/>
        </w:rPr>
      </w:pPr>
      <w:r>
        <w:rPr>
          <w:snapToGrid/>
        </w:rPr>
        <w:tab/>
        <w:t xml:space="preserve">350.  </w:t>
      </w:r>
      <w:r>
        <w:rPr>
          <w:rFonts w:hint="eastAsia"/>
          <w:snapToGrid/>
        </w:rPr>
        <w:t>委员会在二零零一年的审议结论第</w:t>
      </w:r>
      <w:r>
        <w:rPr>
          <w:snapToGrid/>
        </w:rPr>
        <w:t>15(b)</w:t>
      </w:r>
      <w:r>
        <w:rPr>
          <w:rFonts w:hint="eastAsia"/>
          <w:snapToGrid/>
        </w:rPr>
        <w:t>段中，表示特别关注“香港特区未能使禁止种族歧视的规定适用于私营机构”。此外，委员会亦在第</w:t>
      </w:r>
      <w:r>
        <w:rPr>
          <w:snapToGrid/>
        </w:rPr>
        <w:t>30</w:t>
      </w:r>
      <w:r>
        <w:rPr>
          <w:rFonts w:hint="eastAsia"/>
          <w:snapToGrid/>
        </w:rPr>
        <w:t>段表示，“香港特区未能禁止私营机构的种族歧视问题，是违反了公约第二条所订明的责任”。委员会并促请“香港特区把禁止种族歧视的规管范围扩大，使之适用于私营机构”。</w:t>
      </w:r>
    </w:p>
    <w:p w:rsidR="00000000" w:rsidRDefault="00000000">
      <w:pPr>
        <w:rPr>
          <w:rFonts w:hint="eastAsia"/>
          <w:snapToGrid/>
        </w:rPr>
      </w:pPr>
      <w:r>
        <w:rPr>
          <w:snapToGrid/>
        </w:rPr>
        <w:tab/>
        <w:t xml:space="preserve">351.  </w:t>
      </w:r>
      <w:r>
        <w:rPr>
          <w:rFonts w:hint="eastAsia"/>
          <w:snapToGrid/>
        </w:rPr>
        <w:t>在草拟这份报告时，我们正再次研究应否就私营机构和私人之间的种族歧视行为立法，以确定未来路向。在二零零零年及二零零一年年初，我们曾向各关注团体征询意见，以了解他们是否原则上同意政府就私营机构和私人之间的种族歧视行为立法，以及假如当局就有关行为立法，他们会关注哪些事项。在这份报告定稿时，我们已完成分析所收集的意见，并正权衡各项考虑因素。如有需要，我们会在委员会审议这份报告时，再行提交最新的资料。</w:t>
      </w:r>
    </w:p>
    <w:p w:rsidR="00000000" w:rsidRDefault="00000000">
      <w:pPr>
        <w:spacing w:after="240"/>
        <w:rPr>
          <w:rFonts w:hint="eastAsia"/>
          <w:snapToGrid/>
        </w:rPr>
      </w:pPr>
      <w:r>
        <w:rPr>
          <w:snapToGrid/>
        </w:rPr>
        <w:tab/>
        <w:t xml:space="preserve">352.  </w:t>
      </w:r>
      <w:r>
        <w:rPr>
          <w:rFonts w:hint="eastAsia"/>
          <w:snapToGrid/>
        </w:rPr>
        <w:t>与此同时，我们继续就首份报告第</w:t>
      </w:r>
      <w:r>
        <w:rPr>
          <w:snapToGrid/>
        </w:rPr>
        <w:t>13</w:t>
      </w:r>
      <w:r>
        <w:rPr>
          <w:rFonts w:hint="eastAsia"/>
          <w:snapToGrid/>
        </w:rPr>
        <w:t>至</w:t>
      </w:r>
      <w:r>
        <w:rPr>
          <w:snapToGrid/>
        </w:rPr>
        <w:t>17</w:t>
      </w:r>
      <w:r>
        <w:rPr>
          <w:rFonts w:hint="eastAsia"/>
          <w:snapToGrid/>
        </w:rPr>
        <w:t>段所述的措施进行研究，以改变市民歧视的态度，并向少数族裔人士提供实际援助。这些措施包括开办语文课程，以及在机场提供特别的资讯服务，以协助初次到港的非华籍入境人士。至于在二零零二年开始推行的措施，则包括成立“促进种族和谐委员会”。这是由非政府机构与政府部门组成的联合委员会，负责就有关种族事宜的教育和外展策略，向政府提供意见。此外，民政事务局辖下亦设有专责种族事宜的种族关系组，为上述委员会提供秘书处服务，并推行委员会订定的工作计划</w:t>
      </w:r>
      <w:r>
        <w:rPr>
          <w:snapToGrid/>
        </w:rPr>
        <w:t>(</w:t>
      </w:r>
      <w:r>
        <w:rPr>
          <w:rFonts w:hint="eastAsia"/>
          <w:snapToGrid/>
        </w:rPr>
        <w:t>见附件</w:t>
      </w:r>
      <w:r>
        <w:rPr>
          <w:snapToGrid/>
        </w:rPr>
        <w:t>2B)</w:t>
      </w:r>
      <w:r>
        <w:rPr>
          <w:rFonts w:hint="eastAsia"/>
          <w:snapToGrid/>
        </w:rPr>
        <w:t>。该组亦设立了热线，以接受、监察和回应有关种族歧视的投诉</w:t>
      </w:r>
      <w:r>
        <w:rPr>
          <w:snapToGrid/>
        </w:rPr>
        <w:t>(</w:t>
      </w:r>
      <w:r>
        <w:rPr>
          <w:rFonts w:hint="eastAsia"/>
          <w:snapToGrid/>
        </w:rPr>
        <w:t>见附件</w:t>
      </w:r>
      <w:r>
        <w:rPr>
          <w:snapToGrid/>
        </w:rPr>
        <w:t>2C)</w:t>
      </w:r>
      <w:r>
        <w:rPr>
          <w:rFonts w:hint="eastAsia"/>
          <w:snapToGrid/>
        </w:rPr>
        <w:t>。</w:t>
      </w:r>
    </w:p>
    <w:p w:rsidR="00000000" w:rsidRDefault="00000000">
      <w:pPr>
        <w:pStyle w:val="Heading4"/>
        <w:rPr>
          <w:rFonts w:hint="eastAsia"/>
        </w:rPr>
      </w:pPr>
      <w:r>
        <w:rPr>
          <w:rFonts w:hint="eastAsia"/>
        </w:rPr>
        <w:t>性倾向歧视和年龄歧视</w:t>
      </w:r>
    </w:p>
    <w:p w:rsidR="00000000" w:rsidRDefault="00000000">
      <w:pPr>
        <w:rPr>
          <w:rFonts w:hint="eastAsia"/>
          <w:snapToGrid/>
        </w:rPr>
      </w:pPr>
      <w:r>
        <w:rPr>
          <w:snapToGrid/>
        </w:rPr>
        <w:tab/>
        <w:t xml:space="preserve">353.  </w:t>
      </w:r>
      <w:r>
        <w:rPr>
          <w:rFonts w:hint="eastAsia"/>
          <w:snapToGrid/>
        </w:rPr>
        <w:t>在二零零一年的审议结论第</w:t>
      </w:r>
      <w:r>
        <w:rPr>
          <w:snapToGrid/>
        </w:rPr>
        <w:t>15(c)</w:t>
      </w:r>
      <w:r>
        <w:rPr>
          <w:rFonts w:hint="eastAsia"/>
          <w:snapToGrid/>
        </w:rPr>
        <w:t>段中，委员会特别表达了对“香港特区未能禁止性倾向歧视和年龄歧视”的关注，并在第</w:t>
      </w:r>
      <w:r>
        <w:rPr>
          <w:snapToGrid/>
        </w:rPr>
        <w:t>31</w:t>
      </w:r>
      <w:r>
        <w:rPr>
          <w:rFonts w:hint="eastAsia"/>
          <w:snapToGrid/>
        </w:rPr>
        <w:t>段促请香港特区“禁止有关性倾向歧视和年龄歧视的行为。”</w:t>
      </w:r>
    </w:p>
    <w:p w:rsidR="00000000" w:rsidRDefault="00000000">
      <w:pPr>
        <w:rPr>
          <w:rFonts w:hint="eastAsia"/>
          <w:snapToGrid/>
        </w:rPr>
      </w:pPr>
      <w:r>
        <w:rPr>
          <w:snapToGrid/>
        </w:rPr>
        <w:tab/>
        <w:t xml:space="preserve">354.  </w:t>
      </w:r>
      <w:r>
        <w:rPr>
          <w:rFonts w:hint="eastAsia"/>
          <w:snapToGrid/>
        </w:rPr>
        <w:t>我们在这方面的立场如下：</w:t>
      </w:r>
    </w:p>
    <w:p w:rsidR="00000000" w:rsidRDefault="00000000">
      <w:pPr>
        <w:numPr>
          <w:ilvl w:val="0"/>
          <w:numId w:val="92"/>
        </w:numPr>
        <w:rPr>
          <w:rFonts w:hint="eastAsia"/>
          <w:snapToGrid/>
        </w:rPr>
      </w:pPr>
      <w:r>
        <w:rPr>
          <w:rFonts w:ascii="Time New Roman" w:eastAsia="SimHei" w:hAnsi="Time New Roman" w:hint="eastAsia"/>
          <w:bCs/>
          <w:snapToGrid/>
        </w:rPr>
        <w:t>年龄</w:t>
      </w:r>
      <w:r>
        <w:rPr>
          <w:rFonts w:hint="eastAsia"/>
          <w:b/>
          <w:snapToGrid/>
        </w:rPr>
        <w:t>：</w:t>
      </w:r>
      <w:r>
        <w:rPr>
          <w:rFonts w:hint="eastAsia"/>
          <w:snapToGrid/>
        </w:rPr>
        <w:t>政府如就这个范畴立法，对私营及公营机构均可能造成深远影响。我们曾于一九九六年研究这个问题，并征询公众意见。调查结果显示，市民对立法的意见分歧。其后，我们便一直采用教育市民的方式，处理年龄歧视的问题。我们曾于二零零一年十二月委聘顾问，就职位招聘方面的年龄歧视行为，进行民意调查。大多数雇主和受访的家庭均认为，政府通过教育已能有效地处理这个问题。对于立法的成效或需要，他们的意见并不一致。我们会继续推行各项公众教育计划，以推广平等就业机会，并致力培训和再培训不同年龄的工人，以增加他们的谋生能力；</w:t>
      </w:r>
    </w:p>
    <w:p w:rsidR="00000000" w:rsidRDefault="00000000">
      <w:pPr>
        <w:numPr>
          <w:ilvl w:val="0"/>
          <w:numId w:val="92"/>
        </w:numPr>
        <w:rPr>
          <w:rFonts w:hint="eastAsia"/>
          <w:snapToGrid/>
        </w:rPr>
      </w:pPr>
      <w:r>
        <w:rPr>
          <w:rFonts w:ascii="Time New Roman" w:eastAsia="SimHei" w:hAnsi="Time New Roman" w:hint="eastAsia"/>
          <w:bCs/>
          <w:snapToGrid/>
        </w:rPr>
        <w:t>性倾向</w:t>
      </w:r>
      <w:r>
        <w:rPr>
          <w:rFonts w:hint="eastAsia"/>
          <w:b/>
          <w:snapToGrid/>
        </w:rPr>
        <w:t>：</w:t>
      </w:r>
      <w:r>
        <w:rPr>
          <w:rFonts w:hint="eastAsia"/>
          <w:snapToGrid/>
        </w:rPr>
        <w:t>这是个敏感问题，会对根深蒂固的道德标准和观念造成冲击。我们认为在现阶段，自我规管和教育的措施，是处理性倾向歧视行为的最适当方法，而立法并不能解决问题。为此，我们不断通过公众教育和行政措施改变市民的歧视态度，以期在社会上提倡处事客观、互谅互让、互相尊重的文化。这些措施的成效需要时间印证，因为我们不能期望市民的态度，会在一夜之间改变过来。</w:t>
      </w:r>
    </w:p>
    <w:p w:rsidR="00000000" w:rsidRDefault="00000000">
      <w:pPr>
        <w:rPr>
          <w:rFonts w:hint="eastAsia"/>
          <w:snapToGrid/>
        </w:rPr>
      </w:pPr>
      <w:r>
        <w:rPr>
          <w:snapToGrid/>
        </w:rPr>
        <w:tab/>
        <w:t xml:space="preserve">355.  </w:t>
      </w:r>
      <w:r>
        <w:rPr>
          <w:rFonts w:hint="eastAsia"/>
          <w:snapToGrid/>
        </w:rPr>
        <w:t>委员会在二零零一年的审议结论第</w:t>
      </w:r>
      <w:r>
        <w:rPr>
          <w:snapToGrid/>
        </w:rPr>
        <w:t>15(d)</w:t>
      </w:r>
      <w:r>
        <w:rPr>
          <w:rFonts w:hint="eastAsia"/>
          <w:snapToGrid/>
        </w:rPr>
        <w:t>段中，表示特别关注“香港特区未能成立具广泛权力的人权机构，亦未有制定其他措施，以促进经济、社会和文化权利”。委员会亦在第</w:t>
      </w:r>
      <w:r>
        <w:rPr>
          <w:snapToGrid/>
        </w:rPr>
        <w:t>32</w:t>
      </w:r>
      <w:r>
        <w:rPr>
          <w:rFonts w:hint="eastAsia"/>
          <w:snapToGrid/>
        </w:rPr>
        <w:t>段促请香港特区“配合《一九九一年巴黎原则》和《委员会一般评论第</w:t>
      </w:r>
      <w:r>
        <w:rPr>
          <w:snapToGrid/>
        </w:rPr>
        <w:t>10</w:t>
      </w:r>
      <w:r>
        <w:rPr>
          <w:rFonts w:hint="eastAsia"/>
          <w:snapToGrid/>
        </w:rPr>
        <w:t>号》的规定，成立人权机构”，并敦促“香港特区在这机构成立前加紧推行措施，以促进经济、社会及文化权利”。</w:t>
      </w:r>
    </w:p>
    <w:p w:rsidR="00000000" w:rsidRDefault="00000000">
      <w:pPr>
        <w:spacing w:after="240"/>
        <w:rPr>
          <w:rFonts w:hint="eastAsia"/>
          <w:snapToGrid/>
        </w:rPr>
      </w:pPr>
      <w:r>
        <w:rPr>
          <w:rFonts w:hint="eastAsia"/>
          <w:snapToGrid/>
        </w:rPr>
        <w:tab/>
      </w:r>
      <w:r>
        <w:rPr>
          <w:snapToGrid/>
        </w:rPr>
        <w:t xml:space="preserve">356.  </w:t>
      </w:r>
      <w:r>
        <w:rPr>
          <w:rFonts w:hint="eastAsia"/>
          <w:snapToGrid/>
        </w:rPr>
        <w:t>我们十分重视委员会所关注的问题，并正密切留意情况的发展。到目前为止，香港特区的情况基本上并无改变，与首份报告第</w:t>
      </w:r>
      <w:r>
        <w:rPr>
          <w:snapToGrid/>
        </w:rPr>
        <w:t>33</w:t>
      </w:r>
      <w:r>
        <w:rPr>
          <w:rFonts w:hint="eastAsia"/>
          <w:snapToGrid/>
        </w:rPr>
        <w:t>及</w:t>
      </w:r>
      <w:r>
        <w:rPr>
          <w:snapToGrid/>
        </w:rPr>
        <w:t>34</w:t>
      </w:r>
      <w:r>
        <w:rPr>
          <w:rFonts w:hint="eastAsia"/>
          <w:snapToGrid/>
        </w:rPr>
        <w:t>段所述的相同；也就是说，香港有多项有效保障人权的措施，对于是否需要另行设立机构来监察人权，我们仍不肯定。不过，我们抱持开放的态度，并会就委员会所关注的问题，留意情况的转变，看看是否有需要重新考虑我们的立场。</w:t>
      </w:r>
    </w:p>
    <w:p w:rsidR="00000000" w:rsidRDefault="00000000">
      <w:pPr>
        <w:pStyle w:val="Heading4"/>
        <w:rPr>
          <w:rFonts w:hint="eastAsia"/>
        </w:rPr>
      </w:pPr>
      <w:r>
        <w:rPr>
          <w:rFonts w:hint="eastAsia"/>
        </w:rPr>
        <w:t>公约的法律地位</w:t>
      </w:r>
    </w:p>
    <w:p w:rsidR="00000000" w:rsidRDefault="00000000">
      <w:pPr>
        <w:rPr>
          <w:rFonts w:hint="eastAsia"/>
          <w:snapToGrid/>
        </w:rPr>
      </w:pPr>
      <w:r>
        <w:rPr>
          <w:snapToGrid/>
        </w:rPr>
        <w:tab/>
        <w:t xml:space="preserve">357.  </w:t>
      </w:r>
      <w:r>
        <w:rPr>
          <w:rFonts w:hint="eastAsia"/>
          <w:snapToGrid/>
        </w:rPr>
        <w:t>在二零零一年五月的审议结论第</w:t>
      </w:r>
      <w:r>
        <w:rPr>
          <w:snapToGrid/>
        </w:rPr>
        <w:t>16</w:t>
      </w:r>
      <w:r>
        <w:rPr>
          <w:rFonts w:hint="eastAsia"/>
          <w:snapToGrid/>
        </w:rPr>
        <w:t>段中，委员会对于“在香港特区高等法院一些案件的判词中，曾有语句指公约仅具‘推广’</w:t>
      </w:r>
      <w:r>
        <w:rPr>
          <w:snapToGrid/>
        </w:rPr>
        <w:t>(</w:t>
      </w:r>
      <w:r>
        <w:rPr>
          <w:rFonts w:hint="eastAsia"/>
          <w:i/>
          <w:snapToGrid/>
        </w:rPr>
        <w:t>莫智鸿诉入境事务处处长</w:t>
      </w:r>
      <w:r>
        <w:rPr>
          <w:rFonts w:hint="eastAsia"/>
          <w:snapToGrid/>
        </w:rPr>
        <w:t>一案，二零零一年一月五日的判词</w:t>
      </w:r>
      <w:r>
        <w:rPr>
          <w:snapToGrid/>
        </w:rPr>
        <w:t>)</w:t>
      </w:r>
      <w:r>
        <w:rPr>
          <w:rFonts w:hint="eastAsia"/>
          <w:snapToGrid/>
        </w:rPr>
        <w:t>或‘</w:t>
      </w:r>
      <w:r>
        <w:rPr>
          <w:snapToGrid/>
        </w:rPr>
        <w:t> </w:t>
      </w:r>
      <w:r>
        <w:rPr>
          <w:rFonts w:hint="eastAsia"/>
          <w:snapToGrid/>
        </w:rPr>
        <w:t>启导’作用</w:t>
      </w:r>
      <w:r>
        <w:rPr>
          <w:snapToGrid/>
        </w:rPr>
        <w:t>(</w:t>
      </w:r>
      <w:r>
        <w:rPr>
          <w:rFonts w:hint="eastAsia"/>
          <w:i/>
          <w:snapToGrid/>
        </w:rPr>
        <w:t>陈吐欢诉入境事务处处长</w:t>
      </w:r>
      <w:r>
        <w:rPr>
          <w:rFonts w:hint="eastAsia"/>
          <w:snapToGrid/>
        </w:rPr>
        <w:t>一案，二零零一年四月十一日的判词</w:t>
      </w:r>
      <w:r>
        <w:rPr>
          <w:snapToGrid/>
        </w:rPr>
        <w:t>)</w:t>
      </w:r>
      <w:r>
        <w:rPr>
          <w:rFonts w:hint="eastAsia"/>
          <w:snapToGrid/>
        </w:rPr>
        <w:t>”，表示非常遗憾，并指出委员会“已多次表明，这种看法是误解了公约订明的法律责任”。在第</w:t>
      </w:r>
      <w:r>
        <w:rPr>
          <w:snapToGrid/>
        </w:rPr>
        <w:t>27</w:t>
      </w:r>
      <w:r>
        <w:rPr>
          <w:rFonts w:hint="eastAsia"/>
          <w:snapToGrid/>
        </w:rPr>
        <w:t>段，委员会提醒香港特区，“公约条文对缔约各国均构成法律责任，并促请香港特区在法院审理程序中，不要辩称公约仅具‘</w:t>
      </w:r>
      <w:r>
        <w:rPr>
          <w:snapToGrid/>
        </w:rPr>
        <w:t> </w:t>
      </w:r>
      <w:r>
        <w:rPr>
          <w:rFonts w:hint="eastAsia"/>
          <w:snapToGrid/>
        </w:rPr>
        <w:t>推广’或‘</w:t>
      </w:r>
      <w:r>
        <w:rPr>
          <w:snapToGrid/>
        </w:rPr>
        <w:t> </w:t>
      </w:r>
      <w:r>
        <w:rPr>
          <w:rFonts w:hint="eastAsia"/>
          <w:snapToGrid/>
        </w:rPr>
        <w:t>启导’作用。”</w:t>
      </w:r>
    </w:p>
    <w:p w:rsidR="00000000" w:rsidRDefault="00000000">
      <w:pPr>
        <w:spacing w:after="320"/>
        <w:rPr>
          <w:rFonts w:hint="eastAsia"/>
          <w:snapToGrid/>
        </w:rPr>
      </w:pPr>
      <w:r>
        <w:rPr>
          <w:snapToGrid/>
        </w:rPr>
        <w:tab/>
        <w:t xml:space="preserve">358.  </w:t>
      </w:r>
      <w:r>
        <w:rPr>
          <w:rFonts w:hint="eastAsia"/>
          <w:snapToGrid/>
        </w:rPr>
        <w:t>我们知悉委员会的结论，明白公约并非仅具‘</w:t>
      </w:r>
      <w:r>
        <w:rPr>
          <w:snapToGrid/>
        </w:rPr>
        <w:t> </w:t>
      </w:r>
      <w:r>
        <w:rPr>
          <w:rFonts w:hint="eastAsia"/>
          <w:snapToGrid/>
        </w:rPr>
        <w:t>推广’或‘</w:t>
      </w:r>
      <w:r>
        <w:rPr>
          <w:snapToGrid/>
        </w:rPr>
        <w:t> </w:t>
      </w:r>
      <w:r>
        <w:rPr>
          <w:rFonts w:hint="eastAsia"/>
          <w:snapToGrid/>
        </w:rPr>
        <w:t>启导’作用，并赞同公约在国际间具有约束力。</w:t>
      </w:r>
    </w:p>
    <w:p w:rsidR="00000000" w:rsidRDefault="00000000">
      <w:pPr>
        <w:pStyle w:val="a3"/>
        <w:rPr>
          <w:rFonts w:hint="eastAsia"/>
        </w:rPr>
      </w:pPr>
      <w:r>
        <w:rPr>
          <w:rFonts w:hint="eastAsia"/>
        </w:rPr>
        <w:t>保护残疾人士</w:t>
      </w:r>
    </w:p>
    <w:p w:rsidR="00000000" w:rsidRDefault="00000000">
      <w:pPr>
        <w:pStyle w:val="Heading4"/>
        <w:rPr>
          <w:rFonts w:hint="eastAsia"/>
        </w:rPr>
      </w:pPr>
      <w:r>
        <w:rPr>
          <w:rFonts w:hint="eastAsia"/>
        </w:rPr>
        <w:t>教育及就业</w:t>
      </w:r>
    </w:p>
    <w:p w:rsidR="00000000" w:rsidRDefault="00000000">
      <w:pPr>
        <w:spacing w:after="240"/>
        <w:rPr>
          <w:rFonts w:hint="eastAsia"/>
          <w:snapToGrid/>
        </w:rPr>
      </w:pPr>
      <w:r>
        <w:rPr>
          <w:snapToGrid/>
        </w:rPr>
        <w:tab/>
        <w:t xml:space="preserve">359.  </w:t>
      </w:r>
      <w:r>
        <w:rPr>
          <w:rFonts w:hint="eastAsia"/>
          <w:snapToGrid/>
        </w:rPr>
        <w:t>残疾人士接受教育的机会</w:t>
      </w:r>
      <w:r>
        <w:rPr>
          <w:snapToGrid/>
        </w:rPr>
        <w:t>(</w:t>
      </w:r>
      <w:r>
        <w:rPr>
          <w:rFonts w:hint="eastAsia"/>
          <w:snapToGrid/>
        </w:rPr>
        <w:t>即首份报告第</w:t>
      </w:r>
      <w:r>
        <w:rPr>
          <w:snapToGrid/>
        </w:rPr>
        <w:t>19</w:t>
      </w:r>
      <w:r>
        <w:rPr>
          <w:rFonts w:hint="eastAsia"/>
          <w:snapToGrid/>
        </w:rPr>
        <w:t>段论及的事项</w:t>
      </w:r>
      <w:r>
        <w:rPr>
          <w:snapToGrid/>
        </w:rPr>
        <w:t>)</w:t>
      </w:r>
      <w:r>
        <w:rPr>
          <w:rFonts w:hint="eastAsia"/>
          <w:snapToGrid/>
        </w:rPr>
        <w:t>与第十三条有关，因此在该节第</w:t>
      </w:r>
      <w:r>
        <w:rPr>
          <w:snapToGrid/>
        </w:rPr>
        <w:t>728</w:t>
      </w:r>
      <w:r>
        <w:rPr>
          <w:rFonts w:hint="eastAsia"/>
          <w:snapToGrid/>
        </w:rPr>
        <w:t>至</w:t>
      </w:r>
      <w:r>
        <w:rPr>
          <w:snapToGrid/>
        </w:rPr>
        <w:t>734</w:t>
      </w:r>
      <w:r>
        <w:rPr>
          <w:rFonts w:hint="eastAsia"/>
          <w:snapToGrid/>
        </w:rPr>
        <w:t>段论述。至于残疾人士享有就业机会的情况，则与首份报告第</w:t>
      </w:r>
      <w:r>
        <w:rPr>
          <w:snapToGrid/>
        </w:rPr>
        <w:t>20</w:t>
      </w:r>
      <w:r>
        <w:rPr>
          <w:rFonts w:hint="eastAsia"/>
          <w:snapToGrid/>
        </w:rPr>
        <w:t>和</w:t>
      </w:r>
      <w:r>
        <w:rPr>
          <w:snapToGrid/>
        </w:rPr>
        <w:t>22</w:t>
      </w:r>
      <w:r>
        <w:rPr>
          <w:rFonts w:hint="eastAsia"/>
          <w:snapToGrid/>
        </w:rPr>
        <w:t>段所述的相同。</w:t>
      </w:r>
    </w:p>
    <w:p w:rsidR="00000000" w:rsidRDefault="00000000">
      <w:pPr>
        <w:pStyle w:val="Heading4"/>
        <w:rPr>
          <w:rFonts w:hint="eastAsia"/>
        </w:rPr>
      </w:pPr>
      <w:r>
        <w:rPr>
          <w:rFonts w:hint="eastAsia"/>
        </w:rPr>
        <w:t>进入处所：检讨《设计手册：畅通无阻的通道</w:t>
      </w:r>
      <w:r>
        <w:t>1997</w:t>
      </w:r>
      <w:r>
        <w:rPr>
          <w:rFonts w:hint="eastAsia"/>
          <w:u w:val="none"/>
        </w:rPr>
        <w:t>》</w:t>
      </w:r>
    </w:p>
    <w:p w:rsidR="00000000" w:rsidRDefault="00000000">
      <w:pPr>
        <w:spacing w:after="240"/>
        <w:rPr>
          <w:snapToGrid/>
        </w:rPr>
      </w:pPr>
      <w:r>
        <w:rPr>
          <w:snapToGrid/>
        </w:rPr>
        <w:tab/>
        <w:t xml:space="preserve">360.  </w:t>
      </w:r>
      <w:r>
        <w:rPr>
          <w:rFonts w:hint="eastAsia"/>
          <w:snapToGrid/>
        </w:rPr>
        <w:t>有关情况并无改变，与首份报告第</w:t>
      </w:r>
      <w:r>
        <w:rPr>
          <w:snapToGrid/>
        </w:rPr>
        <w:t>22</w:t>
      </w:r>
      <w:r>
        <w:rPr>
          <w:rFonts w:hint="eastAsia"/>
          <w:snapToGrid/>
        </w:rPr>
        <w:t>至</w:t>
      </w:r>
      <w:r>
        <w:rPr>
          <w:snapToGrid/>
        </w:rPr>
        <w:t>24</w:t>
      </w:r>
      <w:r>
        <w:rPr>
          <w:rFonts w:hint="eastAsia"/>
          <w:snapToGrid/>
        </w:rPr>
        <w:t>段所述的相同。然而，鉴于世界各地的设计技术日新月异，而残疾人士的需要又不断改变，屋宇署现正检讨有关的建筑物规例和《设计手册：畅通无阻的通道</w:t>
      </w:r>
      <w:r>
        <w:rPr>
          <w:snapToGrid/>
        </w:rPr>
        <w:t>1997</w:t>
      </w:r>
      <w:r>
        <w:rPr>
          <w:rFonts w:hint="eastAsia"/>
          <w:snapToGrid/>
        </w:rPr>
        <w:t>》，并预计于二零零四年完成。</w:t>
      </w:r>
    </w:p>
    <w:p w:rsidR="00000000" w:rsidRDefault="00000000">
      <w:pPr>
        <w:pStyle w:val="Heading4"/>
        <w:rPr>
          <w:rFonts w:hint="eastAsia"/>
        </w:rPr>
      </w:pPr>
      <w:r>
        <w:rPr>
          <w:rFonts w:hint="eastAsia"/>
        </w:rPr>
        <w:t>对精神病患者的歧视</w:t>
      </w:r>
    </w:p>
    <w:p w:rsidR="00000000" w:rsidRDefault="00000000">
      <w:pPr>
        <w:rPr>
          <w:rFonts w:hint="eastAsia"/>
          <w:snapToGrid/>
        </w:rPr>
      </w:pPr>
      <w:r>
        <w:rPr>
          <w:i/>
          <w:snapToGrid/>
        </w:rPr>
        <w:tab/>
      </w:r>
      <w:r>
        <w:rPr>
          <w:iCs/>
          <w:snapToGrid/>
        </w:rPr>
        <w:t>361.</w:t>
      </w:r>
      <w:r>
        <w:rPr>
          <w:i/>
          <w:snapToGrid/>
        </w:rPr>
        <w:t xml:space="preserve">  K</w:t>
      </w:r>
      <w:r>
        <w:rPr>
          <w:rFonts w:hint="eastAsia"/>
          <w:i/>
          <w:snapToGrid/>
        </w:rPr>
        <w:t>及其他人士诉律政司司长</w:t>
      </w:r>
      <w:r>
        <w:rPr>
          <w:rFonts w:hint="eastAsia"/>
          <w:snapToGrid/>
        </w:rPr>
        <w:t>一案，说明了任何人如声称基于精神病的理由而在聘用期间遭受政府歧视，他们是受到保护的。在该案件中，多名原告人由于父母其中一人患上精神分裂症而不获政府聘用。该案件的详情载列于附件</w:t>
      </w:r>
      <w:r>
        <w:rPr>
          <w:snapToGrid/>
        </w:rPr>
        <w:t>2D</w:t>
      </w:r>
      <w:r>
        <w:rPr>
          <w:rFonts w:hint="eastAsia"/>
          <w:snapToGrid/>
        </w:rPr>
        <w:t>。</w:t>
      </w:r>
    </w:p>
    <w:p w:rsidR="00000000" w:rsidRDefault="00000000">
      <w:pPr>
        <w:spacing w:after="320"/>
        <w:rPr>
          <w:rFonts w:hint="eastAsia"/>
          <w:snapToGrid/>
        </w:rPr>
      </w:pPr>
      <w:r>
        <w:rPr>
          <w:i/>
          <w:snapToGrid/>
        </w:rPr>
        <w:tab/>
      </w:r>
      <w:r>
        <w:rPr>
          <w:iCs/>
          <w:snapToGrid/>
        </w:rPr>
        <w:t>362.</w:t>
      </w:r>
      <w:r>
        <w:rPr>
          <w:i/>
          <w:snapToGrid/>
        </w:rPr>
        <w:t xml:space="preserve">  </w:t>
      </w:r>
      <w:r>
        <w:rPr>
          <w:rFonts w:hint="eastAsia"/>
          <w:i/>
          <w:snapToGrid/>
        </w:rPr>
        <w:t>马碧容诉高泉</w:t>
      </w:r>
      <w:r>
        <w:rPr>
          <w:rFonts w:hint="eastAsia"/>
          <w:snapToGrid/>
        </w:rPr>
        <w:t>是一宗歧视案件，当中涉及两名人士。有关判词裁定，法院有权命令被告人作出道歉。在该案件中，涉案的计程车司机不愿接载一名残疾人士，并在行车期间辱骂该名乘客。该案件的详情载列于附件</w:t>
      </w:r>
      <w:r>
        <w:rPr>
          <w:snapToGrid/>
        </w:rPr>
        <w:t>2E</w:t>
      </w:r>
      <w:r>
        <w:rPr>
          <w:rFonts w:hint="eastAsia"/>
          <w:snapToGrid/>
        </w:rPr>
        <w:t>。</w:t>
      </w:r>
    </w:p>
    <w:p w:rsidR="00000000" w:rsidRDefault="00000000">
      <w:pPr>
        <w:pStyle w:val="Heading4"/>
        <w:rPr>
          <w:rFonts w:hint="eastAsia"/>
        </w:rPr>
      </w:pPr>
      <w:r>
        <w:rPr>
          <w:rFonts w:hint="eastAsia"/>
        </w:rPr>
        <w:t>根据《精神健康条例》</w:t>
      </w:r>
      <w:r>
        <w:t>(</w:t>
      </w:r>
      <w:r>
        <w:rPr>
          <w:rFonts w:hint="eastAsia"/>
        </w:rPr>
        <w:t>第</w:t>
      </w:r>
      <w:r>
        <w:t>136</w:t>
      </w:r>
      <w:r>
        <w:rPr>
          <w:rFonts w:hint="eastAsia"/>
        </w:rPr>
        <w:t>章</w:t>
      </w:r>
      <w:r>
        <w:t>)</w:t>
      </w:r>
      <w:r>
        <w:rPr>
          <w:rFonts w:hint="eastAsia"/>
        </w:rPr>
        <w:t>成立监护委员会</w:t>
      </w:r>
    </w:p>
    <w:p w:rsidR="00000000" w:rsidRDefault="00000000">
      <w:pPr>
        <w:rPr>
          <w:rFonts w:hint="eastAsia"/>
          <w:snapToGrid/>
        </w:rPr>
      </w:pPr>
      <w:r>
        <w:rPr>
          <w:snapToGrid/>
        </w:rPr>
        <w:tab/>
        <w:t xml:space="preserve">363.  </w:t>
      </w:r>
      <w:r>
        <w:rPr>
          <w:rFonts w:hint="eastAsia"/>
          <w:snapToGrid/>
        </w:rPr>
        <w:t>监护委员会于一九九九年二月一日根据《精神健康条例》</w:t>
      </w:r>
      <w:r>
        <w:rPr>
          <w:snapToGrid/>
        </w:rPr>
        <w:t xml:space="preserve"> (</w:t>
      </w:r>
      <w:r>
        <w:rPr>
          <w:rFonts w:hint="eastAsia"/>
          <w:snapToGrid/>
        </w:rPr>
        <w:t>第</w:t>
      </w:r>
      <w:r>
        <w:rPr>
          <w:snapToGrid/>
        </w:rPr>
        <w:t>136</w:t>
      </w:r>
      <w:r>
        <w:rPr>
          <w:rFonts w:hint="eastAsia"/>
          <w:snapToGrid/>
        </w:rPr>
        <w:t>章</w:t>
      </w:r>
      <w:r>
        <w:rPr>
          <w:snapToGrid/>
        </w:rPr>
        <w:t xml:space="preserve">) </w:t>
      </w:r>
      <w:r>
        <w:rPr>
          <w:rFonts w:hint="eastAsia"/>
          <w:snapToGrid/>
        </w:rPr>
        <w:t>第</w:t>
      </w:r>
      <w:r>
        <w:rPr>
          <w:snapToGrid/>
        </w:rPr>
        <w:t>IVB</w:t>
      </w:r>
      <w:r>
        <w:rPr>
          <w:rFonts w:hint="eastAsia"/>
          <w:snapToGrid/>
        </w:rPr>
        <w:t>部成立，旨在为</w:t>
      </w:r>
      <w:r>
        <w:rPr>
          <w:snapToGrid/>
        </w:rPr>
        <w:t>18</w:t>
      </w:r>
      <w:r>
        <w:rPr>
          <w:rFonts w:hint="eastAsia"/>
          <w:snapToGrid/>
        </w:rPr>
        <w:t>岁或以上的精神紊乱者和弱智人士</w:t>
      </w:r>
      <w:r>
        <w:rPr>
          <w:snapToGrid/>
        </w:rPr>
        <w:t>(</w:t>
      </w:r>
      <w:r>
        <w:rPr>
          <w:rFonts w:hint="eastAsia"/>
          <w:snapToGrid/>
        </w:rPr>
        <w:t>统称为“精神上无行为能力的人”</w:t>
      </w:r>
      <w:r>
        <w:rPr>
          <w:snapToGrid/>
        </w:rPr>
        <w:t>)</w:t>
      </w:r>
      <w:r>
        <w:rPr>
          <w:rFonts w:hint="eastAsia"/>
          <w:snapToGrid/>
        </w:rPr>
        <w:t>提供更佳的法律保障。该委员会的主要职责及职权如下：</w:t>
      </w:r>
    </w:p>
    <w:p w:rsidR="00000000" w:rsidRDefault="00000000">
      <w:pPr>
        <w:numPr>
          <w:ilvl w:val="0"/>
          <w:numId w:val="94"/>
        </w:numPr>
        <w:rPr>
          <w:rFonts w:hint="eastAsia"/>
          <w:snapToGrid/>
        </w:rPr>
      </w:pPr>
      <w:r>
        <w:rPr>
          <w:rFonts w:hint="eastAsia"/>
          <w:snapToGrid/>
        </w:rPr>
        <w:t>考虑指定监护人的申请，并作出裁决；</w:t>
      </w:r>
    </w:p>
    <w:p w:rsidR="00000000" w:rsidRDefault="00000000">
      <w:pPr>
        <w:numPr>
          <w:ilvl w:val="0"/>
          <w:numId w:val="94"/>
        </w:numPr>
        <w:rPr>
          <w:rFonts w:hint="eastAsia"/>
          <w:snapToGrid/>
        </w:rPr>
      </w:pPr>
      <w:r>
        <w:rPr>
          <w:rFonts w:hint="eastAsia"/>
          <w:snapToGrid/>
        </w:rPr>
        <w:t>作出监护令；</w:t>
      </w:r>
    </w:p>
    <w:p w:rsidR="00000000" w:rsidRDefault="00000000">
      <w:pPr>
        <w:numPr>
          <w:ilvl w:val="0"/>
          <w:numId w:val="94"/>
        </w:numPr>
        <w:rPr>
          <w:rFonts w:hint="eastAsia"/>
          <w:snapToGrid/>
        </w:rPr>
      </w:pPr>
      <w:r>
        <w:rPr>
          <w:rFonts w:hint="eastAsia"/>
          <w:snapToGrid/>
        </w:rPr>
        <w:t>复核监护令；</w:t>
      </w:r>
    </w:p>
    <w:p w:rsidR="00000000" w:rsidRDefault="00000000">
      <w:pPr>
        <w:numPr>
          <w:ilvl w:val="0"/>
          <w:numId w:val="94"/>
        </w:numPr>
        <w:rPr>
          <w:snapToGrid/>
        </w:rPr>
      </w:pPr>
      <w:r>
        <w:rPr>
          <w:rFonts w:hint="eastAsia"/>
          <w:snapToGrid/>
        </w:rPr>
        <w:t>就监护令的监护性质和范围，给予监护人指示。</w:t>
      </w:r>
    </w:p>
    <w:p w:rsidR="00000000" w:rsidRDefault="00000000">
      <w:pPr>
        <w:spacing w:after="320"/>
        <w:rPr>
          <w:rFonts w:hint="eastAsia"/>
          <w:snapToGrid/>
        </w:rPr>
      </w:pPr>
      <w:r>
        <w:rPr>
          <w:snapToGrid/>
        </w:rPr>
        <w:tab/>
        <w:t xml:space="preserve">364.  </w:t>
      </w:r>
      <w:r>
        <w:rPr>
          <w:rFonts w:hint="eastAsia"/>
          <w:snapToGrid/>
        </w:rPr>
        <w:t>监护委员会对精神上无行为能力而无法自理个人、医疗或财政事务的成年人，具有法定裁判权。该委员会由一名全职主席和超过</w:t>
      </w:r>
      <w:r>
        <w:rPr>
          <w:snapToGrid/>
        </w:rPr>
        <w:t>50</w:t>
      </w:r>
      <w:r>
        <w:rPr>
          <w:rFonts w:hint="eastAsia"/>
          <w:snapToGrid/>
        </w:rPr>
        <w:t>名非公职人士组成，当中包括律师、执业医生、社会工作者和曾经照顾精神上无行为能力人士的人，他们全都由行政长官委任。截至二零零二年十二月三十一日，该委员会共收到超过</w:t>
      </w:r>
      <w:r>
        <w:rPr>
          <w:snapToGrid/>
        </w:rPr>
        <w:t>450</w:t>
      </w:r>
      <w:r>
        <w:rPr>
          <w:rFonts w:hint="eastAsia"/>
          <w:snapToGrid/>
        </w:rPr>
        <w:t>个作为监护人的申请，并已发出超过</w:t>
      </w:r>
      <w:r>
        <w:rPr>
          <w:snapToGrid/>
        </w:rPr>
        <w:t>400</w:t>
      </w:r>
      <w:r>
        <w:rPr>
          <w:rFonts w:hint="eastAsia"/>
          <w:snapToGrid/>
        </w:rPr>
        <w:t>项监护令。</w:t>
      </w:r>
    </w:p>
    <w:p w:rsidR="00000000" w:rsidRDefault="00000000">
      <w:pPr>
        <w:pStyle w:val="Heading4"/>
        <w:rPr>
          <w:rFonts w:hint="eastAsia"/>
        </w:rPr>
      </w:pPr>
      <w:r>
        <w:rPr>
          <w:rFonts w:hint="eastAsia"/>
        </w:rPr>
        <w:t>就平等机会委员会进行检讨</w:t>
      </w:r>
    </w:p>
    <w:p w:rsidR="00000000" w:rsidRDefault="00000000">
      <w:pPr>
        <w:spacing w:after="320"/>
        <w:rPr>
          <w:rFonts w:hint="eastAsia"/>
          <w:snapToGrid/>
        </w:rPr>
      </w:pPr>
      <w:r>
        <w:rPr>
          <w:snapToGrid/>
        </w:rPr>
        <w:tab/>
        <w:t xml:space="preserve">365.  </w:t>
      </w:r>
      <w:r>
        <w:rPr>
          <w:rFonts w:hint="eastAsia"/>
          <w:snapToGrid/>
        </w:rPr>
        <w:t>平等机会委员会的职责并无改变，与首份报告第</w:t>
      </w:r>
      <w:r>
        <w:rPr>
          <w:snapToGrid/>
        </w:rPr>
        <w:t>4</w:t>
      </w:r>
      <w:r>
        <w:rPr>
          <w:rFonts w:hint="eastAsia"/>
          <w:snapToGrid/>
        </w:rPr>
        <w:t>段所述的相同。在二零零二年，我们检讨了</w:t>
      </w:r>
      <w:r>
        <w:rPr>
          <w:snapToGrid/>
        </w:rPr>
        <w:t>22</w:t>
      </w:r>
      <w:r>
        <w:rPr>
          <w:rFonts w:hint="eastAsia"/>
          <w:snapToGrid/>
        </w:rPr>
        <w:t>个政府资助机构</w:t>
      </w:r>
      <w:r>
        <w:rPr>
          <w:snapToGrid/>
        </w:rPr>
        <w:t>(</w:t>
      </w:r>
      <w:r>
        <w:rPr>
          <w:rFonts w:hint="eastAsia"/>
          <w:snapToGrid/>
        </w:rPr>
        <w:t>包括平等机会委员会</w:t>
      </w:r>
      <w:r>
        <w:rPr>
          <w:snapToGrid/>
        </w:rPr>
        <w:t>)</w:t>
      </w:r>
      <w:r>
        <w:rPr>
          <w:rFonts w:hint="eastAsia"/>
          <w:snapToGrid/>
        </w:rPr>
        <w:t>高级行政人员的薪酬及福利条件，以确定这些条件在现今情况下仍然适用。我们认为该委员会第二及第三层职位人员的薪酬及福利安排是适当的，但主席的薪津安排，则须视乎我们建议就种族歧视行为立法</w:t>
      </w:r>
      <w:r>
        <w:rPr>
          <w:snapToGrid/>
        </w:rPr>
        <w:t>(</w:t>
      </w:r>
      <w:r>
        <w:rPr>
          <w:rFonts w:hint="eastAsia"/>
          <w:snapToGrid/>
        </w:rPr>
        <w:t>见上文第</w:t>
      </w:r>
      <w:r>
        <w:rPr>
          <w:snapToGrid/>
        </w:rPr>
        <w:t>351</w:t>
      </w:r>
      <w:r>
        <w:rPr>
          <w:rFonts w:hint="eastAsia"/>
          <w:snapToGrid/>
        </w:rPr>
        <w:t>段</w:t>
      </w:r>
      <w:r>
        <w:rPr>
          <w:snapToGrid/>
        </w:rPr>
        <w:t>)</w:t>
      </w:r>
      <w:r>
        <w:rPr>
          <w:rFonts w:hint="eastAsia"/>
          <w:snapToGrid/>
        </w:rPr>
        <w:t>的结果，予以进一步检讨，因为有关结果可能对该委员会的工作有重大影响。</w:t>
      </w:r>
    </w:p>
    <w:p w:rsidR="00000000" w:rsidRDefault="00000000">
      <w:pPr>
        <w:pStyle w:val="Heading4"/>
        <w:rPr>
          <w:rFonts w:hint="eastAsia"/>
        </w:rPr>
      </w:pPr>
      <w:r>
        <w:rPr>
          <w:rFonts w:hint="eastAsia"/>
        </w:rPr>
        <w:t>有关免除对法律援助申请者施加的财务资源限制的酌情权</w:t>
      </w:r>
    </w:p>
    <w:p w:rsidR="00000000" w:rsidRDefault="00000000">
      <w:pPr>
        <w:rPr>
          <w:rFonts w:hint="eastAsia"/>
          <w:snapToGrid/>
        </w:rPr>
      </w:pPr>
      <w:r>
        <w:rPr>
          <w:snapToGrid/>
        </w:rPr>
        <w:tab/>
        <w:t xml:space="preserve">366.  </w:t>
      </w:r>
      <w:r>
        <w:rPr>
          <w:rFonts w:hint="eastAsia"/>
          <w:snapToGrid/>
        </w:rPr>
        <w:t>根据禁止歧视法例而进行诉讼的人士，可申请法律援助。一如本报告第三部</w:t>
      </w:r>
      <w:r>
        <w:rPr>
          <w:snapToGrid/>
        </w:rPr>
        <w:t>(</w:t>
      </w:r>
      <w:r>
        <w:rPr>
          <w:rFonts w:hint="eastAsia"/>
          <w:snapToGrid/>
        </w:rPr>
        <w:t>第</w:t>
      </w:r>
      <w:r>
        <w:rPr>
          <w:rFonts w:hint="eastAsia"/>
          <w:snapToGrid/>
        </w:rPr>
        <w:t>324</w:t>
      </w:r>
      <w:r>
        <w:rPr>
          <w:rFonts w:hint="eastAsia"/>
          <w:snapToGrid/>
        </w:rPr>
        <w:t>至</w:t>
      </w:r>
      <w:r>
        <w:rPr>
          <w:rFonts w:hint="eastAsia"/>
          <w:snapToGrid/>
        </w:rPr>
        <w:t>327</w:t>
      </w:r>
      <w:r>
        <w:rPr>
          <w:rFonts w:hint="eastAsia"/>
          <w:snapToGrid/>
        </w:rPr>
        <w:t>段</w:t>
      </w:r>
      <w:r>
        <w:rPr>
          <w:snapToGrid/>
        </w:rPr>
        <w:t>)</w:t>
      </w:r>
      <w:r>
        <w:rPr>
          <w:rFonts w:hint="eastAsia"/>
          <w:snapToGrid/>
        </w:rPr>
        <w:t>所述，假如案件涉及违反《香港人权法案条例》或抵触《公民权利和政治权利国际公约》中适用于香港的规定，虽然法律援助署署长无权豁免进行经济状况审查</w:t>
      </w:r>
      <w:r>
        <w:rPr>
          <w:rStyle w:val="FootnoteReference"/>
          <w:snapToGrid/>
        </w:rPr>
        <w:footnoteReference w:customMarkFollows="1" w:id="24"/>
        <w:t>11,</w:t>
      </w:r>
      <w:r>
        <w:rPr>
          <w:snapToGrid/>
        </w:rPr>
        <w:t xml:space="preserve"> </w:t>
      </w:r>
      <w:r>
        <w:rPr>
          <w:rFonts w:hint="eastAsia"/>
          <w:snapToGrid/>
        </w:rPr>
        <w:t>但可在进行该项审查时，免除对申请人所施加的财务资源上限。有论者要求政府考虑扩大豁免上述限制的适用范围，以包括根据禁止歧视法例而进行的诉讼，以及涉及违反公约规定的案件。</w:t>
      </w:r>
    </w:p>
    <w:p w:rsidR="00000000" w:rsidRDefault="00000000">
      <w:pPr>
        <w:rPr>
          <w:rFonts w:hint="eastAsia"/>
          <w:snapToGrid/>
        </w:rPr>
      </w:pPr>
      <w:r>
        <w:rPr>
          <w:snapToGrid/>
        </w:rPr>
        <w:tab/>
        <w:t xml:space="preserve">367.  </w:t>
      </w:r>
      <w:r>
        <w:rPr>
          <w:rFonts w:hint="eastAsia"/>
          <w:snapToGrid/>
        </w:rPr>
        <w:t>我们的法律援助政策，旨在确保所有持合理理据的人士，都不会因经济困难而无法在香港法院提出法律诉讼。然而，法律援助来自公帑，而公帑并非无穷无尽的，因此，在运用公帑提供法律援助时，我们必须优先协助无法自行负担诉讼费用的人士。扩大现行豁免的适用范围，可能会纯粹基于法律诉讼的类别，而导致原可用于协助无法负担诉讼费用的人士的公帑，流入有能力的人手中。</w:t>
      </w:r>
    </w:p>
    <w:p w:rsidR="00000000" w:rsidRDefault="00000000">
      <w:pPr>
        <w:spacing w:after="320"/>
        <w:rPr>
          <w:rFonts w:hint="eastAsia"/>
          <w:snapToGrid/>
        </w:rPr>
      </w:pPr>
      <w:r>
        <w:rPr>
          <w:snapToGrid/>
        </w:rPr>
        <w:tab/>
        <w:t xml:space="preserve">368.  </w:t>
      </w:r>
      <w:r>
        <w:rPr>
          <w:rFonts w:hint="eastAsia"/>
          <w:snapToGrid/>
        </w:rPr>
        <w:t>在这份报告定稿时，我们就上述财务资源上限，以及申请法律援助的财务资源评审准则而进行的一连串检讨，快将完成。我们拟咨询法律援助服务局对检讨结果的意见，并正就立法会司法及法律事务委员会所提出多项与法律援助相关的事项，进行研究，当中亦包括各界人士在公众咨询期间所提出的项目。我们拟在本年稍后时间，征询上述委员会对这些检讨结果的意见。</w:t>
      </w:r>
    </w:p>
    <w:p w:rsidR="00000000" w:rsidRDefault="00000000">
      <w:pPr>
        <w:pStyle w:val="Heading3"/>
        <w:rPr>
          <w:rFonts w:hint="eastAsia"/>
        </w:rPr>
      </w:pPr>
      <w:bookmarkStart w:id="39" w:name="_Toc78772948"/>
      <w:r>
        <w:rPr>
          <w:rFonts w:ascii="Time New Roman" w:eastAsia="SimHei" w:hAnsi="Time New Roman"/>
          <w:bCs/>
          <w:u w:val="none"/>
        </w:rPr>
        <w:t xml:space="preserve">C.  </w:t>
      </w:r>
      <w:r>
        <w:rPr>
          <w:rFonts w:ascii="Time New Roman" w:eastAsia="SimHei" w:hAnsi="Time New Roman" w:hint="eastAsia"/>
          <w:bCs/>
          <w:u w:val="none"/>
        </w:rPr>
        <w:t>第</w:t>
      </w:r>
      <w:r>
        <w:rPr>
          <w:rFonts w:ascii="Time New Roman" w:eastAsia="SimHei" w:hAnsi="Time New Roman"/>
          <w:bCs/>
          <w:u w:val="none"/>
        </w:rPr>
        <w:t xml:space="preserve"> </w:t>
      </w:r>
      <w:r>
        <w:rPr>
          <w:rFonts w:ascii="Time New Roman" w:eastAsia="SimHei" w:hAnsi="Time New Roman" w:hint="eastAsia"/>
          <w:bCs/>
          <w:u w:val="none"/>
        </w:rPr>
        <w:t>三</w:t>
      </w:r>
      <w:r>
        <w:rPr>
          <w:rFonts w:ascii="Time New Roman" w:eastAsia="SimHei" w:hAnsi="Time New Roman"/>
          <w:bCs/>
          <w:u w:val="none"/>
        </w:rPr>
        <w:t xml:space="preserve"> </w:t>
      </w:r>
      <w:r>
        <w:rPr>
          <w:rFonts w:ascii="Time New Roman" w:eastAsia="SimHei" w:hAnsi="Time New Roman" w:hint="eastAsia"/>
          <w:bCs/>
          <w:u w:val="none"/>
        </w:rPr>
        <w:t>条</w:t>
      </w:r>
      <w:r>
        <w:rPr>
          <w:rFonts w:ascii="Time New Roman" w:eastAsia="SimHei" w:hAnsi="Time New Roman"/>
          <w:bCs/>
          <w:u w:val="none"/>
        </w:rPr>
        <w:br/>
      </w:r>
      <w:r>
        <w:rPr>
          <w:rFonts w:ascii="Time New Roman" w:eastAsia="SimHei" w:hAnsi="Time New Roman" w:hint="eastAsia"/>
          <w:bCs/>
          <w:u w:val="none"/>
        </w:rPr>
        <w:t xml:space="preserve">　</w:t>
      </w:r>
      <w:r>
        <w:rPr>
          <w:rFonts w:ascii="Time New Roman" w:eastAsia="SimHei" w:hAnsi="Time New Roman"/>
          <w:bCs/>
          <w:u w:val="none"/>
        </w:rPr>
        <w:t xml:space="preserve">      </w:t>
      </w:r>
      <w:r>
        <w:rPr>
          <w:rFonts w:ascii="Time New Roman" w:eastAsia="SimHei" w:hAnsi="Time New Roman" w:hint="eastAsia"/>
          <w:bCs/>
          <w:u w:val="none"/>
        </w:rPr>
        <w:t>男女享有平等权利</w:t>
      </w:r>
      <w:bookmarkEnd w:id="39"/>
    </w:p>
    <w:p w:rsidR="00000000" w:rsidRDefault="00000000">
      <w:pPr>
        <w:pStyle w:val="Heading4"/>
      </w:pPr>
      <w:r>
        <w:rPr>
          <w:rFonts w:hint="eastAsia"/>
          <w:bCs/>
          <w:snapToGrid/>
          <w:u w:val="none"/>
        </w:rPr>
        <w:t>《</w:t>
      </w:r>
      <w:r>
        <w:rPr>
          <w:rFonts w:hint="eastAsia"/>
        </w:rPr>
        <w:t>消除对妇女一切形式歧视公约》及妇女事务委员会</w:t>
      </w:r>
    </w:p>
    <w:p w:rsidR="00000000" w:rsidRDefault="00000000">
      <w:pPr>
        <w:spacing w:after="240"/>
        <w:rPr>
          <w:rFonts w:hint="eastAsia"/>
          <w:snapToGrid/>
        </w:rPr>
      </w:pPr>
      <w:r>
        <w:rPr>
          <w:snapToGrid/>
        </w:rPr>
        <w:tab/>
        <w:t xml:space="preserve">369.  </w:t>
      </w:r>
      <w:r>
        <w:rPr>
          <w:rFonts w:hint="eastAsia"/>
          <w:snapToGrid/>
        </w:rPr>
        <w:t>我们为本报告定稿时，也正在拟备根据《消除对妇女一切形式歧视公约》提交的第二份报告。这份报告将收纳在中国根据该公约提交的最新报告内。该报告的副本，将会在经社文报告的审议会举行之前，提交委员会。</w:t>
      </w:r>
    </w:p>
    <w:p w:rsidR="00000000" w:rsidRDefault="00000000">
      <w:pPr>
        <w:pStyle w:val="Heading4"/>
        <w:rPr>
          <w:rFonts w:hint="eastAsia"/>
        </w:rPr>
      </w:pPr>
      <w:r>
        <w:rPr>
          <w:rFonts w:hint="eastAsia"/>
        </w:rPr>
        <w:t>妇女事务委员会</w:t>
      </w:r>
    </w:p>
    <w:p w:rsidR="00000000" w:rsidRDefault="00000000">
      <w:pPr>
        <w:rPr>
          <w:rFonts w:hint="eastAsia"/>
          <w:snapToGrid/>
        </w:rPr>
      </w:pPr>
      <w:r>
        <w:rPr>
          <w:snapToGrid/>
        </w:rPr>
        <w:tab/>
        <w:t xml:space="preserve">370.  </w:t>
      </w:r>
      <w:r>
        <w:rPr>
          <w:rFonts w:hint="eastAsia"/>
          <w:snapToGrid/>
        </w:rPr>
        <w:t>二零零一年一月，我们成立了妇女事务委员会。这是一个高层次的中央机制，专责促进本港妇女的福祉和权益。委员会每年获得经费约</w:t>
      </w:r>
      <w:r>
        <w:rPr>
          <w:snapToGrid/>
        </w:rPr>
        <w:t>2,000</w:t>
      </w:r>
      <w:r>
        <w:rPr>
          <w:rFonts w:hint="eastAsia"/>
          <w:snapToGrid/>
        </w:rPr>
        <w:t>万港元</w:t>
      </w:r>
      <w:r>
        <w:rPr>
          <w:snapToGrid/>
        </w:rPr>
        <w:t>(</w:t>
      </w:r>
      <w:r>
        <w:rPr>
          <w:rFonts w:hint="eastAsia"/>
          <w:snapToGrid/>
        </w:rPr>
        <w:t>约</w:t>
      </w:r>
      <w:r>
        <w:rPr>
          <w:snapToGrid/>
        </w:rPr>
        <w:t>256</w:t>
      </w:r>
      <w:r>
        <w:rPr>
          <w:rFonts w:hint="eastAsia"/>
          <w:snapToGrid/>
        </w:rPr>
        <w:t>万美元</w:t>
      </w:r>
      <w:r>
        <w:rPr>
          <w:snapToGrid/>
        </w:rPr>
        <w:t>)</w:t>
      </w:r>
      <w:r>
        <w:rPr>
          <w:rFonts w:hint="eastAsia"/>
          <w:snapToGrid/>
        </w:rPr>
        <w:t>，并由卫生福利及食物局辖下的妇女事务组提供支援。</w:t>
      </w:r>
    </w:p>
    <w:p w:rsidR="00000000" w:rsidRDefault="00000000">
      <w:pPr>
        <w:spacing w:after="320"/>
        <w:rPr>
          <w:rFonts w:hint="eastAsia"/>
          <w:snapToGrid/>
        </w:rPr>
      </w:pPr>
      <w:r>
        <w:rPr>
          <w:snapToGrid/>
        </w:rPr>
        <w:tab/>
        <w:t xml:space="preserve">371.  </w:t>
      </w:r>
      <w:r>
        <w:rPr>
          <w:rFonts w:hint="eastAsia"/>
          <w:snapToGrid/>
        </w:rPr>
        <w:t>委员会的使命为“促使女性在生活各方面充分获得应有的地位、权利及机会”。委员会负责全面而有系统地了解妇女的需要，并处理她们关注的事项。为此，委员会制定长远目标和策略，务使本港的妇女在各方面都得到发展和提升。此外，委员会亦会优先处理以下三项工作：性别观点主流化、增强妇女能力和公众教育，并已经为此而成立了专责小组，推展这三个范畴的工作。</w:t>
      </w:r>
    </w:p>
    <w:p w:rsidR="00000000" w:rsidRDefault="00000000">
      <w:pPr>
        <w:pStyle w:val="Heading4"/>
      </w:pPr>
      <w:r>
        <w:rPr>
          <w:rFonts w:hint="eastAsia"/>
        </w:rPr>
        <w:t>性别观点主流化</w:t>
      </w:r>
    </w:p>
    <w:p w:rsidR="00000000" w:rsidRDefault="00000000">
      <w:pPr>
        <w:spacing w:after="320"/>
        <w:rPr>
          <w:snapToGrid/>
        </w:rPr>
      </w:pPr>
      <w:r>
        <w:rPr>
          <w:snapToGrid/>
        </w:rPr>
        <w:tab/>
        <w:t xml:space="preserve">372.  </w:t>
      </w:r>
      <w:r>
        <w:rPr>
          <w:rFonts w:hint="eastAsia"/>
          <w:snapToGrid/>
        </w:rPr>
        <w:t>目标在于确保政府在制定法例、政策或计划的过程中，充分考虑妇女的需要和观点，从而使女性与男性可以共享社会的资源和机会。为达到这个目标，委员会在参考外国的经验后，设计了一份检视清单，用以分析关乎性别的课题，以及评估政府政策和计划在性别问题方面可能造成的影响。此外，委员会还制备了一套资料，帮助政府人员更深入认识性别主流化的概念。使用上述检视清单的试验计划，已在五个公共政策范畴推行，清单的细节亦正在修订。在二零零三年，该试验计划会在另一些政策范畴推行，并会逐步推展至不同的政策范畴。不同职系的政府人员都会接受关乎性别课题的训练，这些训练有助他们在制定政策过程中考虑妇女的观点。</w:t>
      </w:r>
    </w:p>
    <w:p w:rsidR="00000000" w:rsidRDefault="00000000">
      <w:pPr>
        <w:pStyle w:val="Heading4"/>
        <w:rPr>
          <w:rFonts w:hint="eastAsia"/>
        </w:rPr>
      </w:pPr>
      <w:r>
        <w:rPr>
          <w:rFonts w:hint="eastAsia"/>
        </w:rPr>
        <w:t>增强妇女能力</w:t>
      </w:r>
    </w:p>
    <w:p w:rsidR="00000000" w:rsidRDefault="00000000">
      <w:pPr>
        <w:spacing w:after="240"/>
        <w:rPr>
          <w:snapToGrid/>
        </w:rPr>
      </w:pPr>
      <w:r>
        <w:rPr>
          <w:rFonts w:hint="eastAsia"/>
          <w:snapToGrid/>
        </w:rPr>
        <w:tab/>
        <w:t>373.</w:t>
      </w:r>
      <w:r>
        <w:rPr>
          <w:snapToGrid/>
        </w:rPr>
        <w:t xml:space="preserve">  </w:t>
      </w:r>
      <w:r>
        <w:rPr>
          <w:rFonts w:hint="eastAsia"/>
          <w:snapToGrid/>
        </w:rPr>
        <w:t>增强妇女能力的一个重要方法，就是让妇女参与社会事务的决策过程。妇女事务委员会相信，妇女有需要亦有潜质积极参与政府的咨询及法定组织，这些组织是本港决策架构的重要部分。目前，本港有超过</w:t>
      </w:r>
      <w:r>
        <w:rPr>
          <w:snapToGrid/>
        </w:rPr>
        <w:t>600</w:t>
      </w:r>
      <w:r>
        <w:rPr>
          <w:rFonts w:hint="eastAsia"/>
          <w:snapToGrid/>
        </w:rPr>
        <w:t>个这类组织，就各项与民生息息相关的事务向政府提出意见。一直以来，参与这些组织的妇女数目都相对较低。因此，委员会已促请政府采取更积极措施，以培养有潜质的女性人选。政府亦积极回应，正式邀请非政府机构、商会和专业团体的女性会员参与各个委员会的工作，借此增加有潜质的女性人选。政府现时委任有关委员会的成员时，必须考虑成员性别的比例。此外，委员会参考过非政府机构的经验后，现正编制一本小册子，汇集非政府界别构思的增强妇女能力良方，以便促进和宣传一些新的服务模式和良好措施，并方便其他机构套用有关模式，或按本身所需加以修改。</w:t>
      </w:r>
    </w:p>
    <w:p w:rsidR="00000000" w:rsidRDefault="00000000">
      <w:pPr>
        <w:pStyle w:val="Heading4"/>
      </w:pPr>
      <w:r>
        <w:rPr>
          <w:rFonts w:hint="eastAsia"/>
        </w:rPr>
        <w:t>公众教育</w:t>
      </w:r>
    </w:p>
    <w:p w:rsidR="00000000" w:rsidRDefault="00000000">
      <w:pPr>
        <w:spacing w:after="240"/>
        <w:rPr>
          <w:rFonts w:hint="eastAsia"/>
          <w:snapToGrid/>
        </w:rPr>
      </w:pPr>
      <w:r>
        <w:rPr>
          <w:snapToGrid/>
        </w:rPr>
        <w:tab/>
        <w:t xml:space="preserve">374.  </w:t>
      </w:r>
      <w:r>
        <w:rPr>
          <w:rFonts w:hint="eastAsia"/>
          <w:snapToGrid/>
        </w:rPr>
        <w:t>委员会努力提高公众对性别问题的关注和消除有关两性角色的定型观念。为此，委员会举办了大型的公众教育运动，当中的活动包括以增强和提升妇女能力为题材的电台节目和电视单元剧、研讨会、会议、公开论坛等等。</w:t>
      </w:r>
    </w:p>
    <w:p w:rsidR="00000000" w:rsidRDefault="00000000">
      <w:pPr>
        <w:pStyle w:val="Heading4"/>
        <w:rPr>
          <w:rFonts w:hint="eastAsia"/>
        </w:rPr>
      </w:pPr>
      <w:r>
        <w:rPr>
          <w:rFonts w:hint="eastAsia"/>
        </w:rPr>
        <w:t>提升能力</w:t>
      </w:r>
    </w:p>
    <w:p w:rsidR="00000000" w:rsidRDefault="00000000">
      <w:pPr>
        <w:rPr>
          <w:rFonts w:hint="eastAsia"/>
          <w:snapToGrid/>
        </w:rPr>
      </w:pPr>
      <w:r>
        <w:rPr>
          <w:snapToGrid/>
        </w:rPr>
        <w:tab/>
        <w:t xml:space="preserve">375.  </w:t>
      </w:r>
      <w:r>
        <w:rPr>
          <w:rFonts w:hint="eastAsia"/>
          <w:snapToGrid/>
        </w:rPr>
        <w:t>二零零三年，委员会的工作将以提升妇女能力为主题。因此，委员会将致力设立一个架构，让不同界别的妇女，包括家庭主妇和在职妇女，可以学习不同技能，而且所修读的课程又获得认同。在根据《消除对妇女一切形式歧视公约》提交的第二份报告中，我们将更详尽地论述这个课题和妇女事务委员会其他方面的工作。</w:t>
      </w:r>
    </w:p>
    <w:p w:rsidR="00000000" w:rsidRDefault="00000000">
      <w:pPr>
        <w:rPr>
          <w:rFonts w:hint="eastAsia"/>
          <w:snapToGrid/>
        </w:rPr>
      </w:pPr>
      <w:r>
        <w:rPr>
          <w:snapToGrid/>
        </w:rPr>
        <w:tab/>
        <w:t xml:space="preserve">376.  </w:t>
      </w:r>
      <w:r>
        <w:rPr>
          <w:rFonts w:hint="eastAsia"/>
          <w:snapToGrid/>
        </w:rPr>
        <w:t>在二零零一年的审议结论第</w:t>
      </w:r>
      <w:r>
        <w:rPr>
          <w:snapToGrid/>
        </w:rPr>
        <w:t>17</w:t>
      </w:r>
      <w:r>
        <w:rPr>
          <w:rFonts w:hint="eastAsia"/>
          <w:snapToGrid/>
        </w:rPr>
        <w:t>段，委员会关注到，妇女事务委员会未必有足够资源和权力，以确保政府在制定政策的过程中考虑性别的观点。此外，委员会在审议结论第</w:t>
      </w:r>
      <w:r>
        <w:rPr>
          <w:snapToGrid/>
        </w:rPr>
        <w:t>33</w:t>
      </w:r>
      <w:r>
        <w:rPr>
          <w:rFonts w:hint="eastAsia"/>
          <w:snapToGrid/>
        </w:rPr>
        <w:t>段促请香港特区“授予妇女事务委员会足够的权力和充裕的资源，以提高香港妇女的地位，同时应在制定政策时考虑性别的观点，并确保妇女能够广泛参与各方面的公共事务”。</w:t>
      </w:r>
    </w:p>
    <w:p w:rsidR="00000000" w:rsidRDefault="00000000">
      <w:pPr>
        <w:spacing w:after="240"/>
        <w:rPr>
          <w:rFonts w:hint="eastAsia"/>
          <w:snapToGrid/>
        </w:rPr>
      </w:pPr>
      <w:r>
        <w:rPr>
          <w:snapToGrid/>
        </w:rPr>
        <w:tab/>
        <w:t xml:space="preserve">377.  </w:t>
      </w:r>
      <w:r>
        <w:rPr>
          <w:snapToGrid/>
        </w:rPr>
        <w:t>我们</w:t>
      </w:r>
      <w:r>
        <w:rPr>
          <w:rFonts w:hint="eastAsia"/>
          <w:snapToGrid/>
        </w:rPr>
        <w:t>相信，妇女事务委员会一直以来的工作完全符合委员会在第</w:t>
      </w:r>
      <w:r>
        <w:rPr>
          <w:snapToGrid/>
        </w:rPr>
        <w:t>33</w:t>
      </w:r>
      <w:r>
        <w:rPr>
          <w:rFonts w:hint="eastAsia"/>
          <w:snapToGrid/>
        </w:rPr>
        <w:t>段的建议中所提出的目标。妇女事务委员会所制定的策略性目标，以及为实现目标所作的努力，充分显示委员会有足够资源和准备去达到所定的目标。</w:t>
      </w:r>
    </w:p>
    <w:p w:rsidR="00000000" w:rsidRDefault="00000000">
      <w:pPr>
        <w:pStyle w:val="Heading4"/>
        <w:rPr>
          <w:rFonts w:hint="eastAsia"/>
        </w:rPr>
      </w:pPr>
      <w:r>
        <w:rPr>
          <w:rFonts w:hint="eastAsia"/>
        </w:rPr>
        <w:t>检讨《性别歧视条例》</w:t>
      </w:r>
      <w:r>
        <w:t>(</w:t>
      </w:r>
      <w:r>
        <w:rPr>
          <w:rFonts w:hint="eastAsia"/>
        </w:rPr>
        <w:t>第</w:t>
      </w:r>
      <w:r>
        <w:t>480</w:t>
      </w:r>
      <w:r>
        <w:rPr>
          <w:rFonts w:hint="eastAsia"/>
        </w:rPr>
        <w:t>章</w:t>
      </w:r>
      <w:r>
        <w:t>)(</w:t>
      </w:r>
      <w:r>
        <w:rPr>
          <w:rFonts w:hint="eastAsia"/>
        </w:rPr>
        <w:t>新项目</w:t>
      </w:r>
      <w:r>
        <w:t>)</w:t>
      </w:r>
    </w:p>
    <w:p w:rsidR="00000000" w:rsidRDefault="00000000">
      <w:pPr>
        <w:rPr>
          <w:rFonts w:hint="eastAsia"/>
          <w:snapToGrid/>
        </w:rPr>
      </w:pPr>
      <w:r>
        <w:rPr>
          <w:snapToGrid/>
        </w:rPr>
        <w:tab/>
        <w:t xml:space="preserve">378.  </w:t>
      </w:r>
      <w:r>
        <w:rPr>
          <w:snapToGrid/>
        </w:rPr>
        <w:t>我们</w:t>
      </w:r>
      <w:r>
        <w:rPr>
          <w:rFonts w:hint="eastAsia"/>
          <w:snapToGrid/>
        </w:rPr>
        <w:t>已在二零零一年一月通知委员会，指平等机会委员会已在一九九九年完成对《性别歧视条例》的检讨工作，并向政府提交了一份报告</w:t>
      </w:r>
      <w:r>
        <w:rPr>
          <w:rStyle w:val="FootnoteReference"/>
          <w:snapToGrid/>
        </w:rPr>
        <w:footnoteReference w:customMarkFollows="1" w:id="25"/>
        <w:t>12</w:t>
      </w:r>
      <w:r>
        <w:rPr>
          <w:rFonts w:hint="eastAsia"/>
          <w:snapToGrid/>
        </w:rPr>
        <w:t>。报告提出的</w:t>
      </w:r>
      <w:r>
        <w:rPr>
          <w:snapToGrid/>
        </w:rPr>
        <w:t>14</w:t>
      </w:r>
      <w:r>
        <w:rPr>
          <w:rFonts w:hint="eastAsia"/>
          <w:snapToGrid/>
        </w:rPr>
        <w:t>项建议旨在：</w:t>
      </w:r>
    </w:p>
    <w:p w:rsidR="00000000" w:rsidRDefault="00000000">
      <w:pPr>
        <w:numPr>
          <w:ilvl w:val="0"/>
          <w:numId w:val="96"/>
        </w:numPr>
        <w:rPr>
          <w:rFonts w:hint="eastAsia"/>
          <w:snapToGrid/>
        </w:rPr>
      </w:pPr>
      <w:r>
        <w:rPr>
          <w:rFonts w:hint="eastAsia"/>
          <w:snapToGrid/>
        </w:rPr>
        <w:t>澄清某些规定的适用范围；</w:t>
      </w:r>
    </w:p>
    <w:p w:rsidR="00000000" w:rsidRDefault="00000000">
      <w:pPr>
        <w:numPr>
          <w:ilvl w:val="0"/>
          <w:numId w:val="96"/>
        </w:numPr>
        <w:rPr>
          <w:rFonts w:hint="eastAsia"/>
          <w:snapToGrid/>
        </w:rPr>
      </w:pPr>
      <w:r>
        <w:rPr>
          <w:rFonts w:hint="eastAsia"/>
          <w:snapToGrid/>
        </w:rPr>
        <w:t>把针对性骚扰的条文的适用范围扩阔，例如包括租客</w:t>
      </w:r>
      <w:r>
        <w:rPr>
          <w:rFonts w:hint="eastAsia"/>
          <w:snapToGrid/>
        </w:rPr>
        <w:t>/</w:t>
      </w:r>
      <w:r>
        <w:rPr>
          <w:rFonts w:hint="eastAsia"/>
          <w:snapToGrid/>
        </w:rPr>
        <w:t>分租客性骚扰其他租客</w:t>
      </w:r>
      <w:r>
        <w:rPr>
          <w:snapToGrid/>
        </w:rPr>
        <w:t>/</w:t>
      </w:r>
      <w:r>
        <w:rPr>
          <w:rFonts w:hint="eastAsia"/>
          <w:snapToGrid/>
        </w:rPr>
        <w:t>分租客，以及顾客骚扰向其提供货品、服务和设施的人；</w:t>
      </w:r>
    </w:p>
    <w:p w:rsidR="00000000" w:rsidRDefault="00000000">
      <w:pPr>
        <w:numPr>
          <w:ilvl w:val="0"/>
          <w:numId w:val="96"/>
        </w:numPr>
        <w:rPr>
          <w:rFonts w:hint="eastAsia"/>
          <w:snapToGrid/>
        </w:rPr>
      </w:pPr>
      <w:r>
        <w:rPr>
          <w:rFonts w:hint="eastAsia"/>
          <w:snapToGrid/>
        </w:rPr>
        <w:t>删除某些例外情况；</w:t>
      </w:r>
    </w:p>
    <w:p w:rsidR="00000000" w:rsidRDefault="00000000">
      <w:pPr>
        <w:numPr>
          <w:ilvl w:val="0"/>
          <w:numId w:val="96"/>
        </w:numPr>
        <w:rPr>
          <w:rFonts w:hint="eastAsia"/>
          <w:snapToGrid/>
        </w:rPr>
      </w:pPr>
      <w:r>
        <w:rPr>
          <w:rFonts w:hint="eastAsia"/>
          <w:snapToGrid/>
        </w:rPr>
        <w:t>赋与平等机会委员会更大权力，并让其可采用更多方法，以处理歧视个案；</w:t>
      </w:r>
    </w:p>
    <w:p w:rsidR="00000000" w:rsidRDefault="00000000">
      <w:pPr>
        <w:numPr>
          <w:ilvl w:val="0"/>
          <w:numId w:val="96"/>
        </w:numPr>
        <w:rPr>
          <w:rFonts w:hint="eastAsia"/>
          <w:snapToGrid/>
        </w:rPr>
      </w:pPr>
      <w:r>
        <w:rPr>
          <w:rFonts w:hint="eastAsia"/>
          <w:snapToGrid/>
        </w:rPr>
        <w:t>修订条例中文本某些标题和内容。</w:t>
      </w:r>
    </w:p>
    <w:p w:rsidR="00000000" w:rsidRDefault="00000000">
      <w:pPr>
        <w:spacing w:after="240"/>
        <w:rPr>
          <w:rFonts w:hint="eastAsia"/>
          <w:snapToGrid/>
        </w:rPr>
      </w:pPr>
      <w:r>
        <w:rPr>
          <w:rFonts w:hint="eastAsia"/>
          <w:snapToGrid/>
        </w:rPr>
        <w:t>我们接纳了很多委员会就修改该条条例而作出的建议，现正积极地考虑如何落实这些建议。如有需要，我们会在本报告的审议会上向委员会提交最新的资料。</w:t>
      </w:r>
    </w:p>
    <w:p w:rsidR="00000000" w:rsidRDefault="00000000">
      <w:pPr>
        <w:pStyle w:val="Heading4"/>
        <w:rPr>
          <w:rFonts w:hint="eastAsia"/>
        </w:rPr>
      </w:pPr>
      <w:r>
        <w:rPr>
          <w:rFonts w:hint="eastAsia"/>
          <w:u w:val="none"/>
        </w:rPr>
        <w:t>“</w:t>
      </w:r>
      <w:r>
        <w:rPr>
          <w:rFonts w:hint="eastAsia"/>
        </w:rPr>
        <w:t>小型屋宇政策</w:t>
      </w:r>
      <w:r>
        <w:rPr>
          <w:rFonts w:hint="eastAsia"/>
          <w:u w:val="none"/>
        </w:rPr>
        <w:t>”</w:t>
      </w:r>
    </w:p>
    <w:p w:rsidR="00000000" w:rsidRDefault="00000000">
      <w:pPr>
        <w:spacing w:after="320"/>
        <w:rPr>
          <w:rFonts w:hint="eastAsia"/>
          <w:snapToGrid/>
        </w:rPr>
      </w:pPr>
      <w:r>
        <w:rPr>
          <w:snapToGrid/>
        </w:rPr>
        <w:tab/>
        <w:t xml:space="preserve">379.  </w:t>
      </w:r>
      <w:r>
        <w:rPr>
          <w:snapToGrid/>
        </w:rPr>
        <w:t>有关</w:t>
      </w:r>
      <w:r>
        <w:rPr>
          <w:rFonts w:hint="eastAsia"/>
          <w:snapToGrid/>
        </w:rPr>
        <w:t>情况并无改变，与我们于二零零一年一月对委员会在有关审议会召开前提出的“事项一览表”第</w:t>
      </w:r>
      <w:r>
        <w:rPr>
          <w:snapToGrid/>
        </w:rPr>
        <w:t>6</w:t>
      </w:r>
      <w:r>
        <w:rPr>
          <w:rFonts w:hint="eastAsia"/>
          <w:snapToGrid/>
        </w:rPr>
        <w:t>条问题作出回应时所述的情况相同，即首份报告提及的检讨仍在进行。</w:t>
      </w:r>
    </w:p>
    <w:p w:rsidR="00000000" w:rsidRDefault="00000000">
      <w:pPr>
        <w:pStyle w:val="Heading3"/>
        <w:rPr>
          <w:rFonts w:ascii="Time New Roman" w:eastAsia="SimHei" w:hAnsi="Time New Roman"/>
          <w:u w:val="none"/>
        </w:rPr>
      </w:pPr>
      <w:bookmarkStart w:id="40" w:name="_Toc78772949"/>
      <w:r>
        <w:rPr>
          <w:rFonts w:ascii="Time New Roman" w:eastAsia="SimHei" w:hAnsi="Time New Roman"/>
          <w:b/>
          <w:u w:val="none"/>
        </w:rPr>
        <w:t>D</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四</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t xml:space="preserve">     </w:t>
      </w:r>
      <w:r>
        <w:rPr>
          <w:rFonts w:ascii="Time New Roman" w:eastAsia="SimHei" w:hAnsi="Time New Roman" w:hint="eastAsia"/>
          <w:u w:val="none"/>
        </w:rPr>
        <w:t>可对本公约所载权利施加的限制</w:t>
      </w:r>
      <w:bookmarkEnd w:id="40"/>
    </w:p>
    <w:p w:rsidR="00000000" w:rsidRDefault="00000000">
      <w:pPr>
        <w:spacing w:after="320"/>
        <w:rPr>
          <w:snapToGrid/>
        </w:rPr>
      </w:pPr>
      <w:r>
        <w:rPr>
          <w:snapToGrid/>
        </w:rPr>
        <w:tab/>
        <w:t xml:space="preserve">380.  </w:t>
      </w:r>
      <w:r>
        <w:rPr>
          <w:snapToGrid/>
        </w:rPr>
        <w:t>有关</w:t>
      </w:r>
      <w:r>
        <w:rPr>
          <w:rFonts w:hint="eastAsia"/>
          <w:snapToGrid/>
        </w:rPr>
        <w:t>情况并无改变，与首份报告第</w:t>
      </w:r>
      <w:r>
        <w:rPr>
          <w:snapToGrid/>
        </w:rPr>
        <w:t>39</w:t>
      </w:r>
      <w:r>
        <w:rPr>
          <w:rFonts w:hint="eastAsia"/>
          <w:snapToGrid/>
        </w:rPr>
        <w:t>段所述的相同。那就是说，除了法律所订明的限制外，香港特区政府并没有对本公约所载的权利施加任何规限。而且，凡法例所订明的限制，概与本公约所载权利的性质并无抵触，其作用纯粹在于促进自由社会的大众福利。</w:t>
      </w:r>
    </w:p>
    <w:p w:rsidR="00000000" w:rsidRDefault="00000000">
      <w:pPr>
        <w:pStyle w:val="Heading3"/>
        <w:rPr>
          <w:rFonts w:ascii="Time New Roman" w:eastAsia="SimHei" w:hAnsi="Time New Roman"/>
          <w:u w:val="none"/>
        </w:rPr>
      </w:pPr>
      <w:bookmarkStart w:id="41" w:name="_Toc78772950"/>
      <w:r>
        <w:rPr>
          <w:rFonts w:ascii="Time New Roman" w:eastAsia="SimHei" w:hAnsi="Time New Roman"/>
          <w:b/>
          <w:u w:val="none"/>
        </w:rPr>
        <w:t>E</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五</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t xml:space="preserve">     </w:t>
      </w:r>
      <w:r>
        <w:rPr>
          <w:rFonts w:ascii="Time New Roman" w:eastAsia="SimHei" w:hAnsi="Time New Roman" w:hint="eastAsia"/>
          <w:u w:val="none"/>
        </w:rPr>
        <w:t>禁止破坏公约确认的任何权利和自由</w:t>
      </w:r>
      <w:bookmarkEnd w:id="41"/>
    </w:p>
    <w:p w:rsidR="00000000" w:rsidRDefault="00000000">
      <w:pPr>
        <w:spacing w:after="320"/>
        <w:rPr>
          <w:rFonts w:hint="eastAsia"/>
          <w:b/>
          <w:snapToGrid/>
        </w:rPr>
      </w:pPr>
      <w:r>
        <w:rPr>
          <w:snapToGrid/>
        </w:rPr>
        <w:tab/>
        <w:t xml:space="preserve">381.  </w:t>
      </w:r>
      <w:r>
        <w:rPr>
          <w:snapToGrid/>
        </w:rPr>
        <w:t>我们</w:t>
      </w:r>
      <w:r>
        <w:rPr>
          <w:rFonts w:hint="eastAsia"/>
          <w:snapToGrid/>
        </w:rPr>
        <w:t>会向委员会报告，现时的情况与首份报告第</w:t>
      </w:r>
      <w:r>
        <w:rPr>
          <w:snapToGrid/>
        </w:rPr>
        <w:t>40</w:t>
      </w:r>
      <w:r>
        <w:rPr>
          <w:rFonts w:hint="eastAsia"/>
          <w:snapToGrid/>
        </w:rPr>
        <w:t>段所述的相同。那就是说，香港特区政府没有对任何基本人权施加限制，也没有以该等权利未获公约确认或只是部分获确认为借口，而减免履行有关该等权利的义务。</w:t>
      </w:r>
    </w:p>
    <w:p w:rsidR="00000000" w:rsidRDefault="00000000">
      <w:pPr>
        <w:pStyle w:val="Heading3"/>
        <w:rPr>
          <w:rFonts w:ascii="Time New Roman" w:eastAsia="SimHei" w:hAnsi="Time New Roman" w:hint="eastAsia"/>
          <w:u w:val="none"/>
        </w:rPr>
      </w:pPr>
      <w:bookmarkStart w:id="42" w:name="_Toc78772951"/>
      <w:r>
        <w:rPr>
          <w:rFonts w:ascii="Time New Roman" w:eastAsia="SimHei" w:hAnsi="Time New Roman"/>
          <w:b/>
          <w:u w:val="none"/>
        </w:rPr>
        <w:t>F</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六</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t xml:space="preserve">   </w:t>
      </w:r>
      <w:r>
        <w:rPr>
          <w:rFonts w:ascii="Time New Roman" w:eastAsia="SimHei" w:hAnsi="Time New Roman" w:hint="eastAsia"/>
          <w:u w:val="none"/>
        </w:rPr>
        <w:t>选择职业和劳工权利</w:t>
      </w:r>
      <w:bookmarkEnd w:id="42"/>
    </w:p>
    <w:p w:rsidR="00000000" w:rsidRDefault="00000000">
      <w:pPr>
        <w:spacing w:after="240"/>
        <w:rPr>
          <w:rFonts w:hint="eastAsia"/>
          <w:snapToGrid/>
        </w:rPr>
      </w:pPr>
      <w:r>
        <w:rPr>
          <w:snapToGrid/>
        </w:rPr>
        <w:tab/>
        <w:t xml:space="preserve">382.  </w:t>
      </w:r>
      <w:r>
        <w:rPr>
          <w:rFonts w:hint="eastAsia"/>
          <w:snapToGrid/>
        </w:rPr>
        <w:t>在宪制保障、法规及政策方面的情况并无改变，与首份报告第</w:t>
      </w:r>
      <w:r>
        <w:rPr>
          <w:snapToGrid/>
        </w:rPr>
        <w:t>41</w:t>
      </w:r>
      <w:r>
        <w:rPr>
          <w:rFonts w:hint="eastAsia"/>
          <w:snapToGrid/>
        </w:rPr>
        <w:t>及</w:t>
      </w:r>
      <w:r>
        <w:rPr>
          <w:snapToGrid/>
        </w:rPr>
        <w:t>42</w:t>
      </w:r>
      <w:r>
        <w:rPr>
          <w:rFonts w:hint="eastAsia"/>
          <w:snapToGrid/>
        </w:rPr>
        <w:t>段所述的相同。</w:t>
      </w:r>
    </w:p>
    <w:p w:rsidR="00000000" w:rsidRDefault="00000000">
      <w:pPr>
        <w:pStyle w:val="Heading4"/>
        <w:rPr>
          <w:rFonts w:hint="eastAsia"/>
        </w:rPr>
      </w:pPr>
      <w:r>
        <w:rPr>
          <w:rFonts w:hint="eastAsia"/>
        </w:rPr>
        <w:t>国际劳工公约</w:t>
      </w:r>
    </w:p>
    <w:p w:rsidR="00000000" w:rsidRDefault="00000000">
      <w:pPr>
        <w:rPr>
          <w:rFonts w:hint="eastAsia"/>
          <w:snapToGrid/>
        </w:rPr>
      </w:pPr>
      <w:r>
        <w:rPr>
          <w:snapToGrid/>
        </w:rPr>
        <w:tab/>
        <w:t xml:space="preserve">383.  </w:t>
      </w:r>
      <w:r>
        <w:rPr>
          <w:rFonts w:hint="eastAsia"/>
          <w:snapToGrid/>
        </w:rPr>
        <w:t>下列向国际劳工组织提交的报告，已提供与本条有关的各项资料：</w:t>
      </w:r>
    </w:p>
    <w:p w:rsidR="00000000" w:rsidRDefault="00000000">
      <w:pPr>
        <w:numPr>
          <w:ilvl w:val="0"/>
          <w:numId w:val="98"/>
        </w:numPr>
        <w:rPr>
          <w:rFonts w:hint="eastAsia"/>
          <w:snapToGrid/>
        </w:rPr>
      </w:pPr>
      <w:r>
        <w:rPr>
          <w:rFonts w:hint="eastAsia"/>
          <w:snapToGrid/>
        </w:rPr>
        <w:t>就《人力资源开发公约》</w:t>
      </w:r>
      <w:r>
        <w:rPr>
          <w:snapToGrid/>
        </w:rPr>
        <w:t>(</w:t>
      </w:r>
      <w:r>
        <w:rPr>
          <w:rFonts w:hint="eastAsia"/>
          <w:snapToGrid/>
        </w:rPr>
        <w:t>第</w:t>
      </w:r>
      <w:r>
        <w:rPr>
          <w:snapToGrid/>
        </w:rPr>
        <w:t>142</w:t>
      </w:r>
      <w:r>
        <w:rPr>
          <w:rFonts w:hint="eastAsia"/>
          <w:snapToGrid/>
        </w:rPr>
        <w:t>号公约</w:t>
      </w:r>
      <w:r>
        <w:rPr>
          <w:snapToGrid/>
        </w:rPr>
        <w:t>)</w:t>
      </w:r>
      <w:r>
        <w:rPr>
          <w:rFonts w:hint="eastAsia"/>
          <w:snapToGrid/>
        </w:rPr>
        <w:t>提交有关一九九八年六月一日至二零零一年五月三十一日期间的第</w:t>
      </w:r>
      <w:r>
        <w:rPr>
          <w:snapToGrid/>
        </w:rPr>
        <w:t>22</w:t>
      </w:r>
      <w:r>
        <w:rPr>
          <w:rFonts w:hint="eastAsia"/>
          <w:snapToGrid/>
        </w:rPr>
        <w:t>条报告</w:t>
      </w:r>
      <w:r>
        <w:rPr>
          <w:rStyle w:val="FootnoteReference"/>
          <w:snapToGrid/>
        </w:rPr>
        <w:footnoteReference w:customMarkFollows="1" w:id="26"/>
        <w:t>13</w:t>
      </w:r>
      <w:r>
        <w:rPr>
          <w:rFonts w:hint="eastAsia"/>
          <w:snapToGrid/>
        </w:rPr>
        <w:t>；</w:t>
      </w:r>
    </w:p>
    <w:p w:rsidR="00000000" w:rsidRDefault="00000000">
      <w:pPr>
        <w:numPr>
          <w:ilvl w:val="0"/>
          <w:numId w:val="98"/>
        </w:numPr>
        <w:rPr>
          <w:rFonts w:hint="eastAsia"/>
          <w:snapToGrid/>
        </w:rPr>
      </w:pPr>
      <w:r>
        <w:rPr>
          <w:rFonts w:hint="eastAsia"/>
          <w:snapToGrid/>
        </w:rPr>
        <w:t>就《失业公约》</w:t>
      </w:r>
      <w:r>
        <w:rPr>
          <w:snapToGrid/>
        </w:rPr>
        <w:t>(</w:t>
      </w:r>
      <w:r>
        <w:rPr>
          <w:rFonts w:hint="eastAsia"/>
          <w:snapToGrid/>
        </w:rPr>
        <w:t>第</w:t>
      </w:r>
      <w:r>
        <w:rPr>
          <w:snapToGrid/>
        </w:rPr>
        <w:t>2</w:t>
      </w:r>
      <w:r>
        <w:rPr>
          <w:rFonts w:hint="eastAsia"/>
          <w:snapToGrid/>
        </w:rPr>
        <w:t>号公约</w:t>
      </w:r>
      <w:r>
        <w:rPr>
          <w:snapToGrid/>
        </w:rPr>
        <w:t>)</w:t>
      </w:r>
      <w:r>
        <w:rPr>
          <w:rFonts w:hint="eastAsia"/>
          <w:snapToGrid/>
        </w:rPr>
        <w:t>提交有关一九九八年六月一日至二零零一年五月三十一日期间的第</w:t>
      </w:r>
      <w:r>
        <w:rPr>
          <w:snapToGrid/>
        </w:rPr>
        <w:t>22</w:t>
      </w:r>
      <w:r>
        <w:rPr>
          <w:rFonts w:hint="eastAsia"/>
          <w:snapToGrid/>
        </w:rPr>
        <w:t>条报告；</w:t>
      </w:r>
    </w:p>
    <w:p w:rsidR="00000000" w:rsidRDefault="00000000">
      <w:pPr>
        <w:numPr>
          <w:ilvl w:val="0"/>
          <w:numId w:val="98"/>
        </w:numPr>
        <w:rPr>
          <w:rFonts w:hint="eastAsia"/>
          <w:snapToGrid/>
        </w:rPr>
      </w:pPr>
      <w:r>
        <w:rPr>
          <w:rFonts w:hint="eastAsia"/>
          <w:snapToGrid/>
        </w:rPr>
        <w:t>就《强迫劳动公约》</w:t>
      </w:r>
      <w:r>
        <w:rPr>
          <w:snapToGrid/>
        </w:rPr>
        <w:t>(</w:t>
      </w:r>
      <w:r>
        <w:rPr>
          <w:rFonts w:hint="eastAsia"/>
          <w:snapToGrid/>
        </w:rPr>
        <w:t>第</w:t>
      </w:r>
      <w:r>
        <w:rPr>
          <w:snapToGrid/>
        </w:rPr>
        <w:t>29</w:t>
      </w:r>
      <w:r>
        <w:rPr>
          <w:rFonts w:hint="eastAsia"/>
          <w:snapToGrid/>
        </w:rPr>
        <w:t>号公约</w:t>
      </w:r>
      <w:r>
        <w:rPr>
          <w:snapToGrid/>
        </w:rPr>
        <w:t>)</w:t>
      </w:r>
      <w:r>
        <w:rPr>
          <w:rFonts w:hint="eastAsia"/>
          <w:snapToGrid/>
        </w:rPr>
        <w:t>提交有关一九九八年六月一日至二零零零年五月三十一日，以及二零零零年六月一日至二零零二年五月三十一日期间的第</w:t>
      </w:r>
      <w:r>
        <w:rPr>
          <w:snapToGrid/>
        </w:rPr>
        <w:t>22</w:t>
      </w:r>
      <w:r>
        <w:rPr>
          <w:rFonts w:hint="eastAsia"/>
          <w:snapToGrid/>
        </w:rPr>
        <w:t>条报告；</w:t>
      </w:r>
    </w:p>
    <w:p w:rsidR="00000000" w:rsidRDefault="00000000">
      <w:pPr>
        <w:numPr>
          <w:ilvl w:val="0"/>
          <w:numId w:val="98"/>
        </w:numPr>
        <w:rPr>
          <w:rFonts w:hint="eastAsia"/>
          <w:snapToGrid/>
        </w:rPr>
      </w:pPr>
      <w:r>
        <w:rPr>
          <w:rFonts w:hint="eastAsia"/>
          <w:snapToGrid/>
        </w:rPr>
        <w:t>就《就业政策公约》</w:t>
      </w:r>
      <w:r>
        <w:rPr>
          <w:snapToGrid/>
        </w:rPr>
        <w:t>(</w:t>
      </w:r>
      <w:r>
        <w:rPr>
          <w:rFonts w:hint="eastAsia"/>
          <w:snapToGrid/>
        </w:rPr>
        <w:t>第</w:t>
      </w:r>
      <w:r>
        <w:rPr>
          <w:snapToGrid/>
        </w:rPr>
        <w:t>122</w:t>
      </w:r>
      <w:r>
        <w:rPr>
          <w:rFonts w:hint="eastAsia"/>
          <w:snapToGrid/>
        </w:rPr>
        <w:t>号公约</w:t>
      </w:r>
      <w:r>
        <w:rPr>
          <w:snapToGrid/>
        </w:rPr>
        <w:t>)</w:t>
      </w:r>
      <w:r>
        <w:rPr>
          <w:rFonts w:hint="eastAsia"/>
          <w:snapToGrid/>
        </w:rPr>
        <w:t>提交有关一九九八年六月一日至二零零零年五月三十一日，以及二零零零年六月一日至二零零二年五月三十一日期间的第</w:t>
      </w:r>
      <w:r>
        <w:rPr>
          <w:snapToGrid/>
        </w:rPr>
        <w:t>22</w:t>
      </w:r>
      <w:r>
        <w:rPr>
          <w:rFonts w:hint="eastAsia"/>
          <w:snapToGrid/>
        </w:rPr>
        <w:t>条报告；</w:t>
      </w:r>
    </w:p>
    <w:p w:rsidR="00000000" w:rsidRDefault="00000000">
      <w:pPr>
        <w:numPr>
          <w:ilvl w:val="0"/>
          <w:numId w:val="98"/>
        </w:numPr>
        <w:spacing w:after="320"/>
        <w:rPr>
          <w:rFonts w:hint="eastAsia"/>
          <w:snapToGrid/>
        </w:rPr>
      </w:pPr>
      <w:r>
        <w:rPr>
          <w:rFonts w:hint="eastAsia"/>
          <w:snapToGrid/>
        </w:rPr>
        <w:t>就《废除强迫劳动公约》</w:t>
      </w:r>
      <w:r>
        <w:rPr>
          <w:snapToGrid/>
        </w:rPr>
        <w:t>(</w:t>
      </w:r>
      <w:r>
        <w:rPr>
          <w:rFonts w:hint="eastAsia"/>
          <w:snapToGrid/>
        </w:rPr>
        <w:t>第</w:t>
      </w:r>
      <w:r>
        <w:rPr>
          <w:snapToGrid/>
        </w:rPr>
        <w:t>105</w:t>
      </w:r>
      <w:r>
        <w:rPr>
          <w:rFonts w:hint="eastAsia"/>
          <w:snapToGrid/>
        </w:rPr>
        <w:t>号公约</w:t>
      </w:r>
      <w:r>
        <w:rPr>
          <w:snapToGrid/>
        </w:rPr>
        <w:t>)</w:t>
      </w:r>
      <w:r>
        <w:rPr>
          <w:rFonts w:hint="eastAsia"/>
          <w:snapToGrid/>
        </w:rPr>
        <w:t>提交有关一九九七年一月一日至一九九九年五月三十一日，以及一九九九年六月一日至二零零一年五月三十一日期间的第</w:t>
      </w:r>
      <w:r>
        <w:rPr>
          <w:snapToGrid/>
        </w:rPr>
        <w:t>22</w:t>
      </w:r>
      <w:r>
        <w:rPr>
          <w:rFonts w:hint="eastAsia"/>
          <w:snapToGrid/>
        </w:rPr>
        <w:t>条报告。</w:t>
      </w:r>
    </w:p>
    <w:p w:rsidR="00000000" w:rsidRDefault="00000000">
      <w:pPr>
        <w:pStyle w:val="Heading4"/>
      </w:pPr>
      <w:r>
        <w:rPr>
          <w:rFonts w:hint="eastAsia"/>
        </w:rPr>
        <w:t>就业统计数字</w:t>
      </w:r>
    </w:p>
    <w:p w:rsidR="00000000" w:rsidRDefault="00000000">
      <w:pPr>
        <w:spacing w:after="240"/>
        <w:rPr>
          <w:rFonts w:hint="eastAsia"/>
          <w:snapToGrid/>
        </w:rPr>
      </w:pPr>
      <w:r>
        <w:rPr>
          <w:snapToGrid/>
        </w:rPr>
        <w:tab/>
        <w:t xml:space="preserve">384.  </w:t>
      </w:r>
      <w:r>
        <w:rPr>
          <w:rFonts w:hint="eastAsia"/>
          <w:snapToGrid/>
        </w:rPr>
        <w:t>一九八七年、一九九二年、一九九七年和二零零二年有关就业、失业和就业不足的统计数字，载于附件</w:t>
      </w:r>
      <w:r>
        <w:rPr>
          <w:snapToGrid/>
        </w:rPr>
        <w:t>6</w:t>
      </w:r>
      <w:r>
        <w:rPr>
          <w:b/>
          <w:snapToGrid/>
        </w:rPr>
        <w:t>A</w:t>
      </w:r>
      <w:r>
        <w:rPr>
          <w:rFonts w:hint="eastAsia"/>
          <w:snapToGrid/>
        </w:rPr>
        <w:t>。</w:t>
      </w:r>
    </w:p>
    <w:p w:rsidR="00000000" w:rsidRDefault="00000000">
      <w:pPr>
        <w:pStyle w:val="Heading4"/>
        <w:rPr>
          <w:rFonts w:hint="eastAsia"/>
        </w:rPr>
      </w:pPr>
      <w:r>
        <w:rPr>
          <w:rFonts w:hint="eastAsia"/>
        </w:rPr>
        <w:t>就业辅导服务</w:t>
      </w:r>
    </w:p>
    <w:p w:rsidR="00000000" w:rsidRDefault="00000000">
      <w:pPr>
        <w:rPr>
          <w:rFonts w:hint="eastAsia"/>
          <w:snapToGrid/>
        </w:rPr>
      </w:pPr>
      <w:r>
        <w:rPr>
          <w:snapToGrid/>
        </w:rPr>
        <w:tab/>
        <w:t xml:space="preserve">385.  </w:t>
      </w:r>
      <w:r>
        <w:rPr>
          <w:rFonts w:hint="eastAsia"/>
          <w:snapToGrid/>
        </w:rPr>
        <w:t>劳工处免费提供不同类别的就业辅导服务，满足各阶层市民的需要。目前，该处通过辖下的电话就业服务中心，以及设于全港</w:t>
      </w:r>
      <w:r>
        <w:rPr>
          <w:snapToGrid/>
        </w:rPr>
        <w:t>11</w:t>
      </w:r>
      <w:r>
        <w:rPr>
          <w:rFonts w:hint="eastAsia"/>
          <w:snapToGrid/>
        </w:rPr>
        <w:t>个地区的就业中心</w:t>
      </w:r>
      <w:r>
        <w:rPr>
          <w:snapToGrid/>
        </w:rPr>
        <w:t>(</w:t>
      </w:r>
      <w:r>
        <w:rPr>
          <w:rFonts w:hint="eastAsia"/>
          <w:snapToGrid/>
        </w:rPr>
        <w:t>包括两个新来港定居人士就业辅导中心</w:t>
      </w:r>
      <w:r>
        <w:rPr>
          <w:rStyle w:val="FootnoteReference"/>
          <w:snapToGrid/>
        </w:rPr>
        <w:footnoteReference w:customMarkFollows="1" w:id="27"/>
        <w:t>14</w:t>
      </w:r>
      <w:r>
        <w:rPr>
          <w:snapToGrid/>
        </w:rPr>
        <w:t xml:space="preserve"> )</w:t>
      </w:r>
      <w:r>
        <w:rPr>
          <w:rFonts w:hint="eastAsia"/>
          <w:snapToGrid/>
        </w:rPr>
        <w:t>，提供就业辅导服务。其中的三项服务，包括就业转介服务</w:t>
      </w:r>
      <w:r>
        <w:rPr>
          <w:snapToGrid/>
        </w:rPr>
        <w:t>(</w:t>
      </w:r>
      <w:r>
        <w:rPr>
          <w:rFonts w:hint="eastAsia"/>
          <w:snapToGrid/>
        </w:rPr>
        <w:t>前称“半自助就业服务”</w:t>
      </w:r>
      <w:r>
        <w:rPr>
          <w:snapToGrid/>
        </w:rPr>
        <w:t>)</w:t>
      </w:r>
      <w:r>
        <w:rPr>
          <w:rFonts w:hint="eastAsia"/>
          <w:snapToGrid/>
        </w:rPr>
        <w:t>、就业选配计划及就业外展组的情况并无改变，与首份报告第</w:t>
      </w:r>
      <w:r>
        <w:rPr>
          <w:snapToGrid/>
        </w:rPr>
        <w:t>50(</w:t>
      </w:r>
      <w:r>
        <w:rPr>
          <w:b/>
          <w:snapToGrid/>
        </w:rPr>
        <w:t>a</w:t>
      </w:r>
      <w:r>
        <w:rPr>
          <w:snapToGrid/>
        </w:rPr>
        <w:t>)</w:t>
      </w:r>
      <w:r>
        <w:rPr>
          <w:rFonts w:hint="eastAsia"/>
          <w:snapToGrid/>
        </w:rPr>
        <w:t>及</w:t>
      </w:r>
      <w:r>
        <w:rPr>
          <w:snapToGrid/>
        </w:rPr>
        <w:t>(</w:t>
      </w:r>
      <w:r>
        <w:rPr>
          <w:b/>
          <w:snapToGrid/>
        </w:rPr>
        <w:t>c</w:t>
      </w:r>
      <w:r>
        <w:rPr>
          <w:snapToGrid/>
        </w:rPr>
        <w:t>)</w:t>
      </w:r>
      <w:r>
        <w:rPr>
          <w:rFonts w:hint="eastAsia"/>
          <w:snapToGrid/>
        </w:rPr>
        <w:t>段所述的相同。其他服务包括：</w:t>
      </w:r>
    </w:p>
    <w:p w:rsidR="00000000" w:rsidRDefault="00000000">
      <w:pPr>
        <w:numPr>
          <w:ilvl w:val="0"/>
          <w:numId w:val="100"/>
        </w:numPr>
        <w:rPr>
          <w:rFonts w:hint="eastAsia"/>
          <w:snapToGrid/>
        </w:rPr>
      </w:pPr>
      <w:r>
        <w:rPr>
          <w:rFonts w:hint="eastAsia"/>
          <w:snapToGrid/>
        </w:rPr>
        <w:t>电话就业服务中心：求职人士可透过电话享用就业转介服务，而无需亲自前往就业中心；以及</w:t>
      </w:r>
    </w:p>
    <w:p w:rsidR="00000000" w:rsidRDefault="00000000">
      <w:pPr>
        <w:numPr>
          <w:ilvl w:val="0"/>
          <w:numId w:val="100"/>
        </w:numPr>
        <w:rPr>
          <w:rFonts w:hint="eastAsia"/>
          <w:snapToGrid/>
        </w:rPr>
      </w:pPr>
      <w:r>
        <w:rPr>
          <w:rFonts w:hint="eastAsia"/>
          <w:snapToGrid/>
        </w:rPr>
        <w:t>互动就业服务：这是</w:t>
      </w:r>
      <w:r>
        <w:rPr>
          <w:snapToGrid/>
        </w:rPr>
        <w:t>24</w:t>
      </w:r>
      <w:r>
        <w:rPr>
          <w:rFonts w:hint="eastAsia"/>
          <w:snapToGrid/>
        </w:rPr>
        <w:t>小时运作的网上服务，让求职人士浏览劳工处的职位空缺数据库，以及让雇主选择合适的人选。求职人士只需登记成为用户，便可定期收到符合他们要求的职位空缺资料。此外，求职人士可透过互动就业服务网站，浏览本港其他求职网站。</w:t>
      </w:r>
    </w:p>
    <w:p w:rsidR="00000000" w:rsidRDefault="00000000">
      <w:pPr>
        <w:rPr>
          <w:rFonts w:hint="eastAsia"/>
          <w:snapToGrid/>
        </w:rPr>
      </w:pPr>
      <w:r>
        <w:rPr>
          <w:rFonts w:hint="eastAsia"/>
          <w:snapToGrid/>
        </w:rPr>
        <w:t>劳工处会审核所有在该处登记的职位空缺招聘要求，确保它们不会含有任何歧视的条件。</w:t>
      </w:r>
    </w:p>
    <w:p w:rsidR="00000000" w:rsidRDefault="00000000">
      <w:pPr>
        <w:rPr>
          <w:rFonts w:hint="eastAsia"/>
          <w:snapToGrid/>
        </w:rPr>
      </w:pPr>
      <w:r>
        <w:rPr>
          <w:snapToGrid/>
        </w:rPr>
        <w:tab/>
        <w:t xml:space="preserve">386.  </w:t>
      </w:r>
      <w:r>
        <w:rPr>
          <w:rFonts w:hint="eastAsia"/>
          <w:snapToGrid/>
        </w:rPr>
        <w:t>其他新措施包括：</w:t>
      </w:r>
    </w:p>
    <w:p w:rsidR="00000000" w:rsidRDefault="00000000">
      <w:pPr>
        <w:numPr>
          <w:ilvl w:val="0"/>
          <w:numId w:val="102"/>
        </w:numPr>
        <w:rPr>
          <w:rFonts w:hint="eastAsia"/>
          <w:snapToGrid/>
        </w:rPr>
      </w:pPr>
      <w:r>
        <w:rPr>
          <w:rFonts w:hint="eastAsia"/>
          <w:snapToGrid/>
        </w:rPr>
        <w:t>就业资讯及推广计划；</w:t>
      </w:r>
    </w:p>
    <w:p w:rsidR="00000000" w:rsidRDefault="00000000">
      <w:pPr>
        <w:numPr>
          <w:ilvl w:val="0"/>
          <w:numId w:val="102"/>
        </w:numPr>
        <w:rPr>
          <w:rFonts w:hint="eastAsia"/>
          <w:snapToGrid/>
        </w:rPr>
      </w:pPr>
      <w:r>
        <w:rPr>
          <w:rFonts w:hint="eastAsia"/>
          <w:snapToGrid/>
        </w:rPr>
        <w:t>小组辅导会和工作坊。这与目前就业选配计划所提供的个别辅导服务相辅相成；</w:t>
      </w:r>
    </w:p>
    <w:p w:rsidR="00000000" w:rsidRDefault="00000000">
      <w:pPr>
        <w:numPr>
          <w:ilvl w:val="0"/>
          <w:numId w:val="102"/>
        </w:numPr>
        <w:rPr>
          <w:rFonts w:hint="eastAsia"/>
          <w:snapToGrid/>
        </w:rPr>
      </w:pPr>
      <w:r>
        <w:rPr>
          <w:rFonts w:hint="eastAsia"/>
          <w:snapToGrid/>
        </w:rPr>
        <w:t>方便传递有关就业和职位空缺的资料；</w:t>
      </w:r>
    </w:p>
    <w:p w:rsidR="00000000" w:rsidRDefault="00000000">
      <w:pPr>
        <w:numPr>
          <w:ilvl w:val="0"/>
          <w:numId w:val="102"/>
        </w:numPr>
        <w:spacing w:after="240"/>
        <w:rPr>
          <w:rFonts w:hint="eastAsia"/>
          <w:snapToGrid/>
        </w:rPr>
      </w:pPr>
      <w:r>
        <w:rPr>
          <w:rFonts w:hint="eastAsia"/>
          <w:snapToGrid/>
        </w:rPr>
        <w:t>加强某些工作的就业机会，好象为本地家庭佣工寻找就业机会。</w:t>
      </w:r>
    </w:p>
    <w:p w:rsidR="00000000" w:rsidRDefault="00000000">
      <w:pPr>
        <w:pStyle w:val="Heading4"/>
        <w:rPr>
          <w:rFonts w:hint="eastAsia"/>
        </w:rPr>
      </w:pPr>
      <w:r>
        <w:rPr>
          <w:rFonts w:hint="eastAsia"/>
        </w:rPr>
        <w:t>保障雇员免受无理解雇</w:t>
      </w:r>
    </w:p>
    <w:p w:rsidR="00000000" w:rsidRDefault="00000000">
      <w:pPr>
        <w:spacing w:after="240"/>
        <w:rPr>
          <w:rFonts w:hint="eastAsia"/>
          <w:snapToGrid/>
        </w:rPr>
      </w:pPr>
      <w:r>
        <w:rPr>
          <w:snapToGrid/>
        </w:rPr>
        <w:tab/>
        <w:t xml:space="preserve">387.  </w:t>
      </w:r>
      <w:r>
        <w:rPr>
          <w:rFonts w:hint="eastAsia"/>
          <w:snapToGrid/>
        </w:rPr>
        <w:t>《雇佣条例》</w:t>
      </w:r>
      <w:r>
        <w:rPr>
          <w:snapToGrid/>
        </w:rPr>
        <w:t>(</w:t>
      </w:r>
      <w:r>
        <w:rPr>
          <w:rFonts w:hint="eastAsia"/>
          <w:snapToGrid/>
        </w:rPr>
        <w:t>第</w:t>
      </w:r>
      <w:r>
        <w:rPr>
          <w:snapToGrid/>
        </w:rPr>
        <w:t>57</w:t>
      </w:r>
      <w:r>
        <w:rPr>
          <w:rFonts w:hint="eastAsia"/>
          <w:snapToGrid/>
        </w:rPr>
        <w:t>章</w:t>
      </w:r>
      <w:r>
        <w:rPr>
          <w:snapToGrid/>
        </w:rPr>
        <w:t>)</w:t>
      </w:r>
      <w:r>
        <w:rPr>
          <w:rFonts w:hint="eastAsia"/>
          <w:snapToGrid/>
        </w:rPr>
        <w:t>在二零零零年修订。条例第</w:t>
      </w:r>
      <w:r>
        <w:rPr>
          <w:snapToGrid/>
        </w:rPr>
        <w:t>9</w:t>
      </w:r>
      <w:r>
        <w:rPr>
          <w:rFonts w:hint="eastAsia"/>
          <w:snapToGrid/>
        </w:rPr>
        <w:t>条清楚订明，雇员参加罢工并不构成雇主可将其解雇的合法理由。至于其他措施的情况，则并无改变，与首份报告第</w:t>
      </w:r>
      <w:r>
        <w:rPr>
          <w:snapToGrid/>
        </w:rPr>
        <w:t>53</w:t>
      </w:r>
      <w:r>
        <w:rPr>
          <w:rFonts w:hint="eastAsia"/>
          <w:snapToGrid/>
        </w:rPr>
        <w:t>至</w:t>
      </w:r>
      <w:r>
        <w:rPr>
          <w:snapToGrid/>
        </w:rPr>
        <w:t>55</w:t>
      </w:r>
      <w:r>
        <w:rPr>
          <w:rFonts w:hint="eastAsia"/>
          <w:snapToGrid/>
        </w:rPr>
        <w:t>段所述的相同。</w:t>
      </w:r>
    </w:p>
    <w:p w:rsidR="00000000" w:rsidRDefault="00000000">
      <w:pPr>
        <w:pStyle w:val="Heading4"/>
        <w:rPr>
          <w:rFonts w:hint="eastAsia"/>
        </w:rPr>
      </w:pPr>
      <w:r>
        <w:rPr>
          <w:rFonts w:hint="eastAsia"/>
        </w:rPr>
        <w:t>雇员再培训</w:t>
      </w:r>
    </w:p>
    <w:p w:rsidR="00000000" w:rsidRDefault="00000000">
      <w:pPr>
        <w:spacing w:after="240"/>
        <w:rPr>
          <w:rFonts w:hint="eastAsia"/>
          <w:snapToGrid/>
        </w:rPr>
      </w:pPr>
      <w:r>
        <w:rPr>
          <w:snapToGrid/>
        </w:rPr>
        <w:tab/>
        <w:t xml:space="preserve">388.  </w:t>
      </w:r>
      <w:r>
        <w:rPr>
          <w:rFonts w:hint="eastAsia"/>
          <w:snapToGrid/>
        </w:rPr>
        <w:t>首份报告第</w:t>
      </w:r>
      <w:r>
        <w:rPr>
          <w:snapToGrid/>
        </w:rPr>
        <w:t>58</w:t>
      </w:r>
      <w:r>
        <w:rPr>
          <w:rFonts w:hint="eastAsia"/>
          <w:snapToGrid/>
        </w:rPr>
        <w:t>段阐释了雇员再培训局如何再培训失业工人，协助他们学习新技能，以另觅新职。在一九九二年年底</w:t>
      </w:r>
      <w:r>
        <w:rPr>
          <w:snapToGrid/>
        </w:rPr>
        <w:t>(</w:t>
      </w:r>
      <w:r>
        <w:rPr>
          <w:rFonts w:hint="eastAsia"/>
          <w:snapToGrid/>
        </w:rPr>
        <w:t>雇员再培训局成立时</w:t>
      </w:r>
      <w:r>
        <w:rPr>
          <w:snapToGrid/>
        </w:rPr>
        <w:t>)</w:t>
      </w:r>
      <w:r>
        <w:rPr>
          <w:rFonts w:hint="eastAsia"/>
          <w:snapToGrid/>
        </w:rPr>
        <w:t>至</w:t>
      </w:r>
      <w:r>
        <w:rPr>
          <w:rFonts w:hint="eastAsia"/>
          <w:i/>
          <w:snapToGrid/>
        </w:rPr>
        <w:t>二零零二年年底</w:t>
      </w:r>
      <w:r>
        <w:rPr>
          <w:rFonts w:hint="eastAsia"/>
          <w:snapToGrid/>
        </w:rPr>
        <w:t>期间，雇员再培训局为大约</w:t>
      </w:r>
      <w:r>
        <w:rPr>
          <w:i/>
          <w:snapToGrid/>
        </w:rPr>
        <w:t>623,000</w:t>
      </w:r>
      <w:r>
        <w:rPr>
          <w:rFonts w:hint="eastAsia"/>
          <w:i/>
          <w:snapToGrid/>
        </w:rPr>
        <w:t>名学员</w:t>
      </w:r>
      <w:r>
        <w:rPr>
          <w:rFonts w:hint="eastAsia"/>
          <w:snapToGrid/>
        </w:rPr>
        <w:t>提供再培训课程，他们完成课程后，平均就业率</w:t>
      </w:r>
      <w:r>
        <w:rPr>
          <w:rFonts w:hint="eastAsia"/>
          <w:i/>
          <w:snapToGrid/>
        </w:rPr>
        <w:t>约是</w:t>
      </w:r>
      <w:r>
        <w:rPr>
          <w:i/>
          <w:snapToGrid/>
        </w:rPr>
        <w:t>79%</w:t>
      </w:r>
      <w:r>
        <w:rPr>
          <w:rFonts w:hint="eastAsia"/>
          <w:snapToGrid/>
        </w:rPr>
        <w:t>。</w:t>
      </w:r>
    </w:p>
    <w:p w:rsidR="00000000" w:rsidRDefault="00000000">
      <w:pPr>
        <w:pStyle w:val="Heading4"/>
        <w:rPr>
          <w:rFonts w:hint="eastAsia"/>
        </w:rPr>
      </w:pPr>
      <w:r>
        <w:rPr>
          <w:rFonts w:hint="eastAsia"/>
        </w:rPr>
        <w:t>中国内地新来港定居人士</w:t>
      </w:r>
    </w:p>
    <w:p w:rsidR="00000000" w:rsidRDefault="00000000">
      <w:pPr>
        <w:spacing w:after="240"/>
        <w:rPr>
          <w:rFonts w:hint="eastAsia"/>
          <w:snapToGrid/>
        </w:rPr>
      </w:pPr>
      <w:r>
        <w:rPr>
          <w:snapToGrid/>
        </w:rPr>
        <w:tab/>
        <w:t xml:space="preserve">389.  </w:t>
      </w:r>
      <w:r>
        <w:rPr>
          <w:snapToGrid/>
        </w:rPr>
        <w:t>有关</w:t>
      </w:r>
      <w:r>
        <w:rPr>
          <w:rFonts w:hint="eastAsia"/>
          <w:snapToGrid/>
        </w:rPr>
        <w:t>情况基本上并无改变，与首份报告第</w:t>
      </w:r>
      <w:r>
        <w:rPr>
          <w:snapToGrid/>
        </w:rPr>
        <w:t>56</w:t>
      </w:r>
      <w:r>
        <w:rPr>
          <w:rFonts w:hint="eastAsia"/>
          <w:snapToGrid/>
        </w:rPr>
        <w:t>段所述的相同。在一九九九年，劳工处设立第二个新来港定居人士就业和指导中心。过往从内地来港人士亦可向九间设于各区的职业中心寻求协助。在二零零二年，有约</w:t>
      </w:r>
      <w:r>
        <w:rPr>
          <w:snapToGrid/>
        </w:rPr>
        <w:t>11,117</w:t>
      </w:r>
      <w:r>
        <w:rPr>
          <w:rFonts w:hint="eastAsia"/>
          <w:snapToGrid/>
        </w:rPr>
        <w:t>名内地来港人士向劳工处登记，要求协助寻找工作。有</w:t>
      </w:r>
      <w:r>
        <w:rPr>
          <w:snapToGrid/>
        </w:rPr>
        <w:t>1,936</w:t>
      </w:r>
      <w:r>
        <w:rPr>
          <w:rFonts w:hint="eastAsia"/>
          <w:snapToGrid/>
        </w:rPr>
        <w:t>名人士获得就业。雇员再培训局的“新来港定居人士求职锦囊”课程的学员的平均就业率已达约</w:t>
      </w:r>
      <w:r>
        <w:rPr>
          <w:snapToGrid/>
        </w:rPr>
        <w:t>79%</w:t>
      </w:r>
      <w:r>
        <w:rPr>
          <w:rFonts w:hint="eastAsia"/>
          <w:snapToGrid/>
        </w:rPr>
        <w:t>。我们在首份报告第</w:t>
      </w:r>
      <w:r>
        <w:rPr>
          <w:snapToGrid/>
        </w:rPr>
        <w:t>59</w:t>
      </w:r>
      <w:r>
        <w:rPr>
          <w:rFonts w:hint="eastAsia"/>
          <w:snapToGrid/>
        </w:rPr>
        <w:t>段解释过这课程的作用。截至二零零二年十一月三十日为止，约有</w:t>
      </w:r>
      <w:r>
        <w:rPr>
          <w:snapToGrid/>
        </w:rPr>
        <w:t>33,120</w:t>
      </w:r>
      <w:r>
        <w:rPr>
          <w:rFonts w:hint="eastAsia"/>
          <w:snapToGrid/>
        </w:rPr>
        <w:t>名新来港定居人士完成再培训课程。</w:t>
      </w:r>
    </w:p>
    <w:p w:rsidR="00000000" w:rsidRDefault="00000000">
      <w:pPr>
        <w:pStyle w:val="Heading4"/>
        <w:rPr>
          <w:rFonts w:hint="eastAsia"/>
        </w:rPr>
      </w:pPr>
      <w:r>
        <w:rPr>
          <w:rFonts w:hint="eastAsia"/>
        </w:rPr>
        <w:t>少数族裔人士</w:t>
      </w:r>
      <w:r>
        <w:t>(</w:t>
      </w:r>
      <w:r>
        <w:rPr>
          <w:rFonts w:hint="eastAsia"/>
        </w:rPr>
        <w:t>包括非华籍新来港定居人士</w:t>
      </w:r>
      <w:r>
        <w:t>)</w:t>
      </w:r>
    </w:p>
    <w:p w:rsidR="00000000" w:rsidRDefault="00000000">
      <w:pPr>
        <w:rPr>
          <w:rFonts w:hint="eastAsia"/>
          <w:snapToGrid/>
        </w:rPr>
      </w:pPr>
      <w:r>
        <w:rPr>
          <w:snapToGrid/>
        </w:rPr>
        <w:tab/>
        <w:t xml:space="preserve">390.  </w:t>
      </w:r>
      <w:r>
        <w:rPr>
          <w:rFonts w:hint="eastAsia"/>
          <w:snapToGrid/>
        </w:rPr>
        <w:t>本港的少数族裔人士很多都从事技工行业，尤以建造业为主。虽然他们部分已在海外学懂所需技术，但这些技术通常不获本港认可，又或是有关人士未经有系统的训练而学懂的。另有一些则完全没有所需资格。不过，他们都必须取得本地雇主认可的资格。他们在这方面遇到的障碍，是有关行业</w:t>
      </w:r>
      <w:r>
        <w:rPr>
          <w:rFonts w:hint="eastAsia"/>
          <w:snapToGrid/>
        </w:rPr>
        <w:t>/</w:t>
      </w:r>
      <w:r>
        <w:rPr>
          <w:rFonts w:hint="eastAsia"/>
          <w:snapToGrid/>
        </w:rPr>
        <w:t>手艺的训练全部以中文讲授，而中文是</w:t>
      </w:r>
      <w:r>
        <w:rPr>
          <w:snapToGrid/>
        </w:rPr>
        <w:t>95%</w:t>
      </w:r>
      <w:r>
        <w:rPr>
          <w:rFonts w:hint="eastAsia"/>
          <w:snapToGrid/>
        </w:rPr>
        <w:t>本地人口的主要语言，至于传统上从事该等行业的人，更百分百以中文为主要语言。尽管部分少数族裔学徒能说广东话，但他们都不懂得阅读中文，令他们无法接受所需的训练。</w:t>
      </w:r>
    </w:p>
    <w:p w:rsidR="00000000" w:rsidRDefault="00000000">
      <w:pPr>
        <w:spacing w:after="240"/>
        <w:rPr>
          <w:rFonts w:hint="eastAsia"/>
          <w:snapToGrid/>
        </w:rPr>
      </w:pPr>
      <w:r>
        <w:rPr>
          <w:snapToGrid/>
        </w:rPr>
        <w:tab/>
        <w:t xml:space="preserve">391.  </w:t>
      </w:r>
      <w:r>
        <w:rPr>
          <w:rFonts w:hint="eastAsia"/>
          <w:snapToGrid/>
        </w:rPr>
        <w:t>由于我们定期与本港的尼泊尔裔人士</w:t>
      </w:r>
      <w:r>
        <w:rPr>
          <w:rStyle w:val="FootnoteReference"/>
          <w:snapToGrid/>
        </w:rPr>
        <w:footnoteReference w:customMarkFollows="1" w:id="28"/>
        <w:t>15</w:t>
      </w:r>
      <w:r>
        <w:rPr>
          <w:rFonts w:hint="eastAsia"/>
          <w:snapToGrid/>
        </w:rPr>
        <w:t>举行会议，并设立了新来港定居人士政策督导委员会，因此留意到上述问题。有见及此，本港最具规模的工艺及技术训练机构</w:t>
      </w:r>
      <w:r>
        <w:rPr>
          <w:rFonts w:hint="eastAsia"/>
          <w:snapToGrid/>
          <w:spacing w:val="-40"/>
        </w:rPr>
        <w:t>――</w:t>
      </w:r>
      <w:r>
        <w:rPr>
          <w:rFonts w:hint="eastAsia"/>
          <w:snapToGrid/>
          <w:spacing w:val="-40"/>
        </w:rPr>
        <w:t xml:space="preserve"> </w:t>
      </w:r>
      <w:r>
        <w:rPr>
          <w:rFonts w:hint="eastAsia"/>
          <w:snapToGrid/>
        </w:rPr>
        <w:t>职业训练局</w:t>
      </w:r>
      <w:r>
        <w:rPr>
          <w:snapToGrid/>
        </w:rPr>
        <w:t>(</w:t>
      </w:r>
      <w:r>
        <w:rPr>
          <w:rFonts w:hint="eastAsia"/>
          <w:snapToGrid/>
        </w:rPr>
        <w:t>职训局</w:t>
      </w:r>
      <w:r>
        <w:rPr>
          <w:snapToGrid/>
        </w:rPr>
        <w:t>)</w:t>
      </w:r>
      <w:r>
        <w:rPr>
          <w:rFonts w:hint="eastAsia"/>
          <w:snapToGrid/>
        </w:rPr>
        <w:t>在二零零二年九月特别为尼泊尔的社群提供了一些职业训练课程。这些课程以英语教授。如有需求，职训局会继续开办这些课程。不过，我们必须明白，这样提供课程是个资源密集式的安排，假如没有一定的需求</w:t>
      </w:r>
      <w:r>
        <w:rPr>
          <w:snapToGrid/>
        </w:rPr>
        <w:t>(</w:t>
      </w:r>
      <w:r>
        <w:rPr>
          <w:rFonts w:hint="eastAsia"/>
          <w:snapToGrid/>
        </w:rPr>
        <w:t>一般为每个课程</w:t>
      </w:r>
      <w:r>
        <w:rPr>
          <w:snapToGrid/>
        </w:rPr>
        <w:t>20</w:t>
      </w:r>
      <w:r>
        <w:rPr>
          <w:rFonts w:hint="eastAsia"/>
          <w:snapToGrid/>
        </w:rPr>
        <w:t>名学员</w:t>
      </w:r>
      <w:r>
        <w:rPr>
          <w:snapToGrid/>
        </w:rPr>
        <w:t>)</w:t>
      </w:r>
      <w:r>
        <w:rPr>
          <w:rFonts w:hint="eastAsia"/>
          <w:snapToGrid/>
        </w:rPr>
        <w:t>，以这形式提供多种课程是不切实际的。</w:t>
      </w:r>
    </w:p>
    <w:p w:rsidR="00000000" w:rsidRDefault="00000000">
      <w:pPr>
        <w:pStyle w:val="Heading4"/>
        <w:rPr>
          <w:rFonts w:hint="eastAsia"/>
        </w:rPr>
      </w:pPr>
      <w:r>
        <w:rPr>
          <w:rFonts w:hint="eastAsia"/>
        </w:rPr>
        <w:t>青少年失业问题</w:t>
      </w:r>
    </w:p>
    <w:p w:rsidR="00000000" w:rsidRDefault="00000000">
      <w:pPr>
        <w:rPr>
          <w:rFonts w:hint="eastAsia"/>
          <w:snapToGrid/>
        </w:rPr>
      </w:pPr>
      <w:r>
        <w:rPr>
          <w:snapToGrid/>
        </w:rPr>
        <w:tab/>
        <w:t xml:space="preserve">392.  </w:t>
      </w:r>
      <w:r>
        <w:rPr>
          <w:rFonts w:hint="eastAsia"/>
          <w:snapToGrid/>
        </w:rPr>
        <w:t>与很多其他国家的青少年一样，本港的青少年</w:t>
      </w:r>
      <w:r>
        <w:rPr>
          <w:snapToGrid/>
        </w:rPr>
        <w:t>(</w:t>
      </w:r>
      <w:r>
        <w:rPr>
          <w:rFonts w:hint="eastAsia"/>
          <w:snapToGrid/>
        </w:rPr>
        <w:t>特别是已经离校但没有资历者</w:t>
      </w:r>
      <w:r>
        <w:rPr>
          <w:snapToGrid/>
        </w:rPr>
        <w:t>)</w:t>
      </w:r>
      <w:r>
        <w:rPr>
          <w:rFonts w:hint="eastAsia"/>
          <w:snapToGrid/>
        </w:rPr>
        <w:t>在目前经济不景的情况下，并不容易找到工作。一九九九年九月，我们推行名为“青年职前培训</w:t>
      </w:r>
      <w:r>
        <w:rPr>
          <w:rFonts w:hint="eastAsia"/>
          <w:snapToGrid/>
          <w:spacing w:val="-40"/>
        </w:rPr>
        <w:t>――</w:t>
      </w:r>
      <w:r>
        <w:rPr>
          <w:rFonts w:hint="eastAsia"/>
          <w:snapToGrid/>
          <w:spacing w:val="-40"/>
        </w:rPr>
        <w:t xml:space="preserve"> </w:t>
      </w:r>
      <w:r>
        <w:rPr>
          <w:rFonts w:hint="eastAsia"/>
          <w:snapToGrid/>
        </w:rPr>
        <w:t>展翅计划”</w:t>
      </w:r>
      <w:r>
        <w:rPr>
          <w:snapToGrid/>
        </w:rPr>
        <w:t>(</w:t>
      </w:r>
      <w:r>
        <w:rPr>
          <w:rFonts w:hint="eastAsia"/>
          <w:snapToGrid/>
        </w:rPr>
        <w:t>展翅计划</w:t>
      </w:r>
      <w:r>
        <w:rPr>
          <w:snapToGrid/>
        </w:rPr>
        <w:t>)</w:t>
      </w:r>
      <w:r>
        <w:rPr>
          <w:rFonts w:hint="eastAsia"/>
          <w:snapToGrid/>
        </w:rPr>
        <w:t>的新措施，以解决上述问题。展翅计划为</w:t>
      </w:r>
      <w:r>
        <w:rPr>
          <w:snapToGrid/>
        </w:rPr>
        <w:t>15</w:t>
      </w:r>
      <w:r>
        <w:rPr>
          <w:rFonts w:hint="eastAsia"/>
          <w:snapToGrid/>
        </w:rPr>
        <w:t>至</w:t>
      </w:r>
      <w:r>
        <w:rPr>
          <w:snapToGrid/>
        </w:rPr>
        <w:t>19</w:t>
      </w:r>
      <w:r>
        <w:rPr>
          <w:rFonts w:hint="eastAsia"/>
          <w:snapToGrid/>
        </w:rPr>
        <w:t>岁离校青少年提供就业培训。计划的培训时间合共最多约</w:t>
      </w:r>
      <w:r>
        <w:rPr>
          <w:snapToGrid/>
        </w:rPr>
        <w:t>300</w:t>
      </w:r>
      <w:r>
        <w:rPr>
          <w:rFonts w:hint="eastAsia"/>
          <w:snapToGrid/>
        </w:rPr>
        <w:t>小时，内容分为四个单元：</w:t>
      </w:r>
    </w:p>
    <w:p w:rsidR="00000000" w:rsidRDefault="00000000">
      <w:pPr>
        <w:numPr>
          <w:ilvl w:val="0"/>
          <w:numId w:val="104"/>
        </w:numPr>
        <w:rPr>
          <w:rFonts w:hint="eastAsia"/>
          <w:snapToGrid/>
        </w:rPr>
      </w:pPr>
      <w:r>
        <w:rPr>
          <w:rFonts w:hint="eastAsia"/>
          <w:snapToGrid/>
        </w:rPr>
        <w:t>“领袖才能、纪律及团队精神训练”；</w:t>
      </w:r>
    </w:p>
    <w:p w:rsidR="00000000" w:rsidRDefault="00000000">
      <w:pPr>
        <w:numPr>
          <w:ilvl w:val="0"/>
          <w:numId w:val="104"/>
        </w:numPr>
        <w:rPr>
          <w:snapToGrid/>
        </w:rPr>
      </w:pPr>
      <w:r>
        <w:rPr>
          <w:rFonts w:hint="eastAsia"/>
          <w:snapToGrid/>
        </w:rPr>
        <w:t>“求职及人际技巧训练”；</w:t>
      </w:r>
    </w:p>
    <w:p w:rsidR="00000000" w:rsidRDefault="00000000">
      <w:pPr>
        <w:numPr>
          <w:ilvl w:val="0"/>
          <w:numId w:val="104"/>
        </w:numPr>
        <w:rPr>
          <w:snapToGrid/>
        </w:rPr>
      </w:pPr>
      <w:r>
        <w:rPr>
          <w:rFonts w:hint="eastAsia"/>
          <w:snapToGrid/>
        </w:rPr>
        <w:t>“电脑应用技能训练”；</w:t>
      </w:r>
    </w:p>
    <w:p w:rsidR="00000000" w:rsidRDefault="00000000">
      <w:pPr>
        <w:numPr>
          <w:ilvl w:val="0"/>
          <w:numId w:val="104"/>
        </w:numPr>
        <w:rPr>
          <w:rFonts w:hint="eastAsia"/>
          <w:snapToGrid/>
        </w:rPr>
      </w:pPr>
      <w:r>
        <w:rPr>
          <w:rFonts w:hint="eastAsia"/>
          <w:snapToGrid/>
        </w:rPr>
        <w:t>“职业技能训练”。</w:t>
      </w:r>
    </w:p>
    <w:p w:rsidR="00000000" w:rsidRDefault="00000000">
      <w:pPr>
        <w:rPr>
          <w:snapToGrid/>
        </w:rPr>
      </w:pPr>
      <w:r>
        <w:rPr>
          <w:rFonts w:hint="eastAsia"/>
          <w:snapToGrid/>
        </w:rPr>
        <w:t>自一九九九年该计划开展以来，已有超过</w:t>
      </w:r>
      <w:r>
        <w:rPr>
          <w:snapToGrid/>
        </w:rPr>
        <w:t>35,000</w:t>
      </w:r>
      <w:r>
        <w:rPr>
          <w:rFonts w:hint="eastAsia"/>
          <w:snapToGrid/>
        </w:rPr>
        <w:t>名年青人完成计划下的训练课程。</w:t>
      </w:r>
    </w:p>
    <w:p w:rsidR="00000000" w:rsidRDefault="00000000">
      <w:pPr>
        <w:spacing w:after="320"/>
        <w:rPr>
          <w:rFonts w:hint="eastAsia"/>
          <w:snapToGrid/>
        </w:rPr>
      </w:pPr>
      <w:r>
        <w:rPr>
          <w:snapToGrid/>
        </w:rPr>
        <w:tab/>
        <w:t xml:space="preserve">393.  </w:t>
      </w:r>
      <w:r>
        <w:rPr>
          <w:rFonts w:hint="eastAsia"/>
          <w:snapToGrid/>
        </w:rPr>
        <w:t>二零零二年七月，我们推出“青少年见习就业计划”，为年龄介乎</w:t>
      </w:r>
      <w:r>
        <w:rPr>
          <w:snapToGrid/>
        </w:rPr>
        <w:t>15</w:t>
      </w:r>
      <w:r>
        <w:rPr>
          <w:rFonts w:hint="eastAsia"/>
          <w:snapToGrid/>
        </w:rPr>
        <w:t>和</w:t>
      </w:r>
      <w:r>
        <w:rPr>
          <w:snapToGrid/>
        </w:rPr>
        <w:t>24</w:t>
      </w:r>
      <w:r>
        <w:rPr>
          <w:rFonts w:hint="eastAsia"/>
          <w:snapToGrid/>
        </w:rPr>
        <w:t>岁之间，而学业低于大学程度的年青人提供工作经验和有关的训练。非政府机构向受训人士提供</w:t>
      </w:r>
      <w:r>
        <w:rPr>
          <w:snapToGrid/>
        </w:rPr>
        <w:t>40</w:t>
      </w:r>
      <w:r>
        <w:rPr>
          <w:rFonts w:hint="eastAsia"/>
          <w:snapToGrid/>
        </w:rPr>
        <w:t>小时的沟通和人与人之间相处技巧的课程。他们亦得到由注册社工提供的</w:t>
      </w:r>
      <w:r>
        <w:rPr>
          <w:snapToGrid/>
        </w:rPr>
        <w:t>50</w:t>
      </w:r>
      <w:r>
        <w:rPr>
          <w:rFonts w:hint="eastAsia"/>
          <w:snapToGrid/>
        </w:rPr>
        <w:t>小时辅导和个案处理服务，以及由雇主安排的</w:t>
      </w:r>
      <w:r>
        <w:rPr>
          <w:snapToGrid/>
        </w:rPr>
        <w:t>6</w:t>
      </w:r>
      <w:r>
        <w:rPr>
          <w:rFonts w:hint="eastAsia"/>
          <w:snapToGrid/>
        </w:rPr>
        <w:t>至</w:t>
      </w:r>
      <w:r>
        <w:rPr>
          <w:snapToGrid/>
        </w:rPr>
        <w:t>12</w:t>
      </w:r>
      <w:r>
        <w:rPr>
          <w:rFonts w:hint="eastAsia"/>
          <w:snapToGrid/>
        </w:rPr>
        <w:t>个月的工作训练</w:t>
      </w:r>
      <w:r>
        <w:rPr>
          <w:rFonts w:hint="eastAsia"/>
          <w:snapToGrid/>
        </w:rPr>
        <w:t xml:space="preserve"> </w:t>
      </w:r>
      <w:r>
        <w:rPr>
          <w:rStyle w:val="FootnoteReference"/>
          <w:snapToGrid/>
        </w:rPr>
        <w:footnoteReference w:customMarkFollows="1" w:id="29"/>
        <w:t>16</w:t>
      </w:r>
      <w:r>
        <w:rPr>
          <w:rFonts w:hint="eastAsia"/>
          <w:snapToGrid/>
        </w:rPr>
        <w:t>。在二零零二年年底，已有超过</w:t>
      </w:r>
      <w:r>
        <w:rPr>
          <w:snapToGrid/>
        </w:rPr>
        <w:t>6,000</w:t>
      </w:r>
      <w:r>
        <w:rPr>
          <w:rFonts w:hint="eastAsia"/>
          <w:snapToGrid/>
        </w:rPr>
        <w:t>名受训人士成功就业。</w:t>
      </w:r>
    </w:p>
    <w:p w:rsidR="00000000" w:rsidRDefault="00000000">
      <w:pPr>
        <w:pStyle w:val="Heading4"/>
        <w:rPr>
          <w:rFonts w:hint="eastAsia"/>
        </w:rPr>
      </w:pPr>
      <w:r>
        <w:rPr>
          <w:rFonts w:hint="eastAsia"/>
        </w:rPr>
        <w:t>少数族裔青年</w:t>
      </w:r>
    </w:p>
    <w:p w:rsidR="00000000" w:rsidRDefault="00000000">
      <w:pPr>
        <w:rPr>
          <w:rFonts w:hint="eastAsia"/>
          <w:snapToGrid/>
        </w:rPr>
      </w:pPr>
      <w:r>
        <w:rPr>
          <w:snapToGrid/>
        </w:rPr>
        <w:tab/>
        <w:t xml:space="preserve">394.  </w:t>
      </w:r>
      <w:r>
        <w:rPr>
          <w:rFonts w:hint="eastAsia"/>
          <w:snapToGrid/>
        </w:rPr>
        <w:t>展翅计划的主要对象，是以广东话为母语的本地人士，因此有关课程均以广东话教授。不过，劳工处有见这类培训对于不懂中文的离校青年亦有益处，于是委托循道卫理杨震社会服务处</w:t>
      </w:r>
      <w:r>
        <w:rPr>
          <w:snapToGrid/>
        </w:rPr>
        <w:t>(</w:t>
      </w:r>
      <w:r>
        <w:rPr>
          <w:rFonts w:hint="eastAsia"/>
          <w:snapToGrid/>
        </w:rPr>
        <w:t>非政府机构</w:t>
      </w:r>
      <w:r>
        <w:rPr>
          <w:snapToGrid/>
        </w:rPr>
        <w:t>)</w:t>
      </w:r>
      <w:r>
        <w:rPr>
          <w:rFonts w:hint="eastAsia"/>
          <w:snapToGrid/>
        </w:rPr>
        <w:t>于二零零一至零二年度展翅计划进行期间，专为少数族裔青年开办试验性质的训练课程。该课程共有四个单元，内容与向母语是中文的人士所提供的课程相若；训练名额有</w:t>
      </w:r>
      <w:r>
        <w:rPr>
          <w:snapToGrid/>
        </w:rPr>
        <w:t>20</w:t>
      </w:r>
      <w:r>
        <w:rPr>
          <w:rFonts w:hint="eastAsia"/>
          <w:snapToGrid/>
        </w:rPr>
        <w:t>个，但只有九名申请人报读。他们大部分表现理想，其中七人的出席率达</w:t>
      </w:r>
      <w:r>
        <w:rPr>
          <w:snapToGrid/>
        </w:rPr>
        <w:t>80%</w:t>
      </w:r>
      <w:r>
        <w:rPr>
          <w:rFonts w:hint="eastAsia"/>
          <w:snapToGrid/>
        </w:rPr>
        <w:t>或以上。所有学员均认为课程令他们更有自信，并提高他们的就业机会。</w:t>
      </w:r>
    </w:p>
    <w:p w:rsidR="00000000" w:rsidRDefault="00000000">
      <w:pPr>
        <w:spacing w:after="320"/>
        <w:rPr>
          <w:rFonts w:hint="eastAsia"/>
          <w:snapToGrid/>
        </w:rPr>
      </w:pPr>
      <w:r>
        <w:rPr>
          <w:snapToGrid/>
        </w:rPr>
        <w:tab/>
        <w:t xml:space="preserve">395.  </w:t>
      </w:r>
      <w:r>
        <w:rPr>
          <w:rFonts w:hint="eastAsia"/>
          <w:snapToGrid/>
        </w:rPr>
        <w:t>劳工处明白少数族裔人士非常重视培训机会，因此会根据在上述试验计划中取得的经验，计划于二零零二至零三年度展翅计划进行期间，举办同类训练课程。课程的确实数目会视乎拨款是否足够、需求程度和导师人手是否足够而定。</w:t>
      </w:r>
    </w:p>
    <w:p w:rsidR="00000000" w:rsidRDefault="00000000">
      <w:pPr>
        <w:pStyle w:val="Heading4"/>
        <w:rPr>
          <w:rFonts w:hint="eastAsia"/>
        </w:rPr>
      </w:pPr>
      <w:r>
        <w:rPr>
          <w:rFonts w:hint="eastAsia"/>
        </w:rPr>
        <w:t>未来路向</w:t>
      </w:r>
    </w:p>
    <w:p w:rsidR="00000000" w:rsidRDefault="00000000">
      <w:pPr>
        <w:spacing w:after="320"/>
        <w:rPr>
          <w:rFonts w:hint="eastAsia"/>
          <w:snapToGrid/>
        </w:rPr>
      </w:pPr>
      <w:r>
        <w:rPr>
          <w:snapToGrid/>
        </w:rPr>
        <w:tab/>
        <w:t xml:space="preserve">396.  </w:t>
      </w:r>
      <w:r>
        <w:rPr>
          <w:rFonts w:hint="eastAsia"/>
          <w:snapToGrid/>
        </w:rPr>
        <w:t>我们成立了人力发展委员会，负责就提供、统筹和规管职业教育和训练的工作提供意见，以便因时制宜。该委员会亦负责覆检雇员再培训计划的范围、拨款安排和运作模式。</w:t>
      </w:r>
    </w:p>
    <w:p w:rsidR="00000000" w:rsidRDefault="00000000">
      <w:pPr>
        <w:pStyle w:val="Heading4"/>
        <w:rPr>
          <w:rFonts w:hint="eastAsia"/>
        </w:rPr>
      </w:pPr>
      <w:r>
        <w:rPr>
          <w:rFonts w:hint="eastAsia"/>
        </w:rPr>
        <w:t>取缔非法劳工</w:t>
      </w:r>
    </w:p>
    <w:p w:rsidR="00000000" w:rsidRDefault="00000000">
      <w:pPr>
        <w:spacing w:after="160"/>
        <w:rPr>
          <w:snapToGrid/>
        </w:rPr>
      </w:pPr>
      <w:r>
        <w:rPr>
          <w:snapToGrid/>
        </w:rPr>
        <w:tab/>
        <w:t xml:space="preserve">397.  </w:t>
      </w:r>
      <w:r>
        <w:rPr>
          <w:rFonts w:hint="eastAsia"/>
          <w:snapToGrid/>
        </w:rPr>
        <w:t>为保障本地工人的就业机会，香港特区政府已采取更严厉的执法行动，增加打击非法的雇用行为。这些行动包括全港性巡查工作场所、以行业为目标的行动、以及广泛的公众教育计划。劳工处、入境处和警方亦时常作出联合行动。这些措施令被捕非法劳工的人数有所增加。统计数字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32"/>
        <w:gridCol w:w="1250"/>
        <w:gridCol w:w="1408"/>
        <w:gridCol w:w="1408"/>
        <w:gridCol w:w="1408"/>
        <w:gridCol w:w="1404"/>
      </w:tblGrid>
      <w:tr w:rsidR="00000000">
        <w:tblPrEx>
          <w:tblCellMar>
            <w:top w:w="0" w:type="dxa"/>
            <w:bottom w:w="0" w:type="dxa"/>
          </w:tblCellMar>
        </w:tblPrEx>
        <w:tc>
          <w:tcPr>
            <w:tcW w:w="1346" w:type="pct"/>
          </w:tcPr>
          <w:p w:rsidR="00000000" w:rsidRDefault="00000000">
            <w:pPr>
              <w:pStyle w:val="a2"/>
              <w:jc w:val="center"/>
              <w:rPr>
                <w:rFonts w:ascii="Time New Roman" w:eastAsia="SimHei" w:hAnsi="Time New Roman" w:hint="eastAsia"/>
                <w:snapToGrid/>
              </w:rPr>
            </w:pPr>
          </w:p>
        </w:tc>
        <w:tc>
          <w:tcPr>
            <w:tcW w:w="664" w:type="pct"/>
          </w:tcPr>
          <w:p w:rsidR="00000000" w:rsidRDefault="00000000">
            <w:pPr>
              <w:pStyle w:val="a2"/>
              <w:jc w:val="center"/>
              <w:rPr>
                <w:rFonts w:ascii="Time New Roman" w:eastAsia="SimHei" w:hAnsi="Time New Roman" w:hint="eastAsia"/>
                <w:snapToGrid/>
              </w:rPr>
            </w:pPr>
            <w:r>
              <w:rPr>
                <w:rFonts w:ascii="Time New Roman" w:eastAsia="SimHei" w:hAnsi="Time New Roman"/>
                <w:b/>
                <w:snapToGrid/>
              </w:rPr>
              <w:t>1998</w:t>
            </w:r>
            <w:r>
              <w:rPr>
                <w:rFonts w:ascii="Time New Roman" w:eastAsia="SimHei" w:hAnsi="Time New Roman" w:hint="eastAsia"/>
                <w:snapToGrid/>
              </w:rPr>
              <w:t>年</w:t>
            </w:r>
          </w:p>
        </w:tc>
        <w:tc>
          <w:tcPr>
            <w:tcW w:w="748" w:type="pct"/>
          </w:tcPr>
          <w:p w:rsidR="00000000" w:rsidRDefault="00000000">
            <w:pPr>
              <w:pStyle w:val="a2"/>
              <w:jc w:val="center"/>
              <w:rPr>
                <w:rFonts w:ascii="Time New Roman" w:eastAsia="SimHei" w:hAnsi="Time New Roman" w:hint="eastAsia"/>
                <w:snapToGrid/>
              </w:rPr>
            </w:pPr>
            <w:r>
              <w:rPr>
                <w:rFonts w:ascii="Time New Roman" w:eastAsia="SimHei" w:hAnsi="Time New Roman"/>
                <w:b/>
                <w:snapToGrid/>
              </w:rPr>
              <w:t>1999</w:t>
            </w:r>
            <w:r>
              <w:rPr>
                <w:rFonts w:ascii="Time New Roman" w:eastAsia="SimHei" w:hAnsi="Time New Roman" w:hint="eastAsia"/>
                <w:snapToGrid/>
              </w:rPr>
              <w:t>年</w:t>
            </w:r>
          </w:p>
        </w:tc>
        <w:tc>
          <w:tcPr>
            <w:tcW w:w="748" w:type="pct"/>
          </w:tcPr>
          <w:p w:rsidR="00000000" w:rsidRDefault="00000000">
            <w:pPr>
              <w:pStyle w:val="a2"/>
              <w:jc w:val="center"/>
              <w:rPr>
                <w:rFonts w:ascii="Time New Roman" w:eastAsia="SimHei" w:hAnsi="Time New Roman" w:hint="eastAsia"/>
                <w:snapToGrid/>
              </w:rPr>
            </w:pPr>
            <w:r>
              <w:rPr>
                <w:rFonts w:ascii="Time New Roman" w:eastAsia="SimHei" w:hAnsi="Time New Roman"/>
                <w:b/>
                <w:snapToGrid/>
              </w:rPr>
              <w:t>2000</w:t>
            </w:r>
            <w:r>
              <w:rPr>
                <w:rFonts w:ascii="Time New Roman" w:eastAsia="SimHei" w:hAnsi="Time New Roman" w:hint="eastAsia"/>
                <w:snapToGrid/>
              </w:rPr>
              <w:t>年</w:t>
            </w:r>
          </w:p>
        </w:tc>
        <w:tc>
          <w:tcPr>
            <w:tcW w:w="748" w:type="pct"/>
          </w:tcPr>
          <w:p w:rsidR="00000000" w:rsidRDefault="00000000">
            <w:pPr>
              <w:pStyle w:val="a2"/>
              <w:jc w:val="center"/>
              <w:rPr>
                <w:rFonts w:ascii="Time New Roman" w:eastAsia="SimHei" w:hAnsi="Time New Roman" w:hint="eastAsia"/>
                <w:snapToGrid/>
              </w:rPr>
            </w:pPr>
            <w:r>
              <w:rPr>
                <w:rFonts w:ascii="Time New Roman" w:eastAsia="SimHei" w:hAnsi="Time New Roman"/>
                <w:b/>
                <w:snapToGrid/>
              </w:rPr>
              <w:t>2001</w:t>
            </w:r>
            <w:r>
              <w:rPr>
                <w:rFonts w:ascii="Time New Roman" w:eastAsia="SimHei" w:hAnsi="Time New Roman" w:hint="eastAsia"/>
                <w:snapToGrid/>
              </w:rPr>
              <w:t>年</w:t>
            </w:r>
          </w:p>
        </w:tc>
        <w:tc>
          <w:tcPr>
            <w:tcW w:w="748" w:type="pct"/>
          </w:tcPr>
          <w:p w:rsidR="00000000" w:rsidRDefault="00000000">
            <w:pPr>
              <w:pStyle w:val="a2"/>
              <w:jc w:val="center"/>
              <w:rPr>
                <w:rFonts w:ascii="Time New Roman" w:eastAsia="SimHei" w:hAnsi="Time New Roman"/>
                <w:snapToGrid/>
              </w:rPr>
            </w:pPr>
            <w:r>
              <w:rPr>
                <w:rFonts w:ascii="Time New Roman" w:eastAsia="SimHei" w:hAnsi="Time New Roman"/>
                <w:b/>
                <w:snapToGrid/>
              </w:rPr>
              <w:t>2002</w:t>
            </w:r>
            <w:r>
              <w:rPr>
                <w:rFonts w:ascii="Time New Roman" w:eastAsia="SimHei" w:hAnsi="Time New Roman" w:hint="eastAsia"/>
                <w:snapToGrid/>
              </w:rPr>
              <w:t>年</w:t>
            </w:r>
          </w:p>
        </w:tc>
      </w:tr>
      <w:tr w:rsidR="00000000">
        <w:tblPrEx>
          <w:tblCellMar>
            <w:top w:w="0" w:type="dxa"/>
            <w:bottom w:w="0" w:type="dxa"/>
          </w:tblCellMar>
        </w:tblPrEx>
        <w:tc>
          <w:tcPr>
            <w:tcW w:w="1346" w:type="pct"/>
          </w:tcPr>
          <w:p w:rsidR="00000000" w:rsidRDefault="00000000">
            <w:pPr>
              <w:pStyle w:val="a2"/>
              <w:spacing w:before="40"/>
              <w:rPr>
                <w:rFonts w:hint="eastAsia"/>
                <w:snapToGrid/>
              </w:rPr>
            </w:pPr>
            <w:r>
              <w:rPr>
                <w:rFonts w:hint="eastAsia"/>
                <w:snapToGrid/>
              </w:rPr>
              <w:t>行动次数</w:t>
            </w:r>
          </w:p>
        </w:tc>
        <w:tc>
          <w:tcPr>
            <w:tcW w:w="664" w:type="pct"/>
          </w:tcPr>
          <w:p w:rsidR="00000000" w:rsidRDefault="00000000">
            <w:pPr>
              <w:pStyle w:val="a2"/>
              <w:tabs>
                <w:tab w:val="decimal" w:pos="828"/>
              </w:tabs>
              <w:spacing w:before="40"/>
              <w:jc w:val="center"/>
              <w:rPr>
                <w:snapToGrid/>
              </w:rPr>
            </w:pPr>
            <w:r>
              <w:rPr>
                <w:snapToGrid/>
              </w:rPr>
              <w:t>2,178</w:t>
            </w:r>
          </w:p>
        </w:tc>
        <w:tc>
          <w:tcPr>
            <w:tcW w:w="748" w:type="pct"/>
          </w:tcPr>
          <w:p w:rsidR="00000000" w:rsidRDefault="00000000">
            <w:pPr>
              <w:pStyle w:val="a2"/>
              <w:tabs>
                <w:tab w:val="decimal" w:pos="828"/>
              </w:tabs>
              <w:spacing w:before="40"/>
              <w:jc w:val="center"/>
              <w:rPr>
                <w:snapToGrid/>
              </w:rPr>
            </w:pPr>
            <w:r>
              <w:rPr>
                <w:snapToGrid/>
              </w:rPr>
              <w:t>1,377</w:t>
            </w:r>
          </w:p>
        </w:tc>
        <w:tc>
          <w:tcPr>
            <w:tcW w:w="748" w:type="pct"/>
          </w:tcPr>
          <w:p w:rsidR="00000000" w:rsidRDefault="00000000">
            <w:pPr>
              <w:pStyle w:val="a2"/>
              <w:tabs>
                <w:tab w:val="decimal" w:pos="828"/>
              </w:tabs>
              <w:spacing w:before="40"/>
              <w:jc w:val="center"/>
              <w:rPr>
                <w:snapToGrid/>
              </w:rPr>
            </w:pPr>
            <w:r>
              <w:rPr>
                <w:snapToGrid/>
              </w:rPr>
              <w:t>2,080</w:t>
            </w:r>
          </w:p>
        </w:tc>
        <w:tc>
          <w:tcPr>
            <w:tcW w:w="748" w:type="pct"/>
          </w:tcPr>
          <w:p w:rsidR="00000000" w:rsidRDefault="00000000">
            <w:pPr>
              <w:pStyle w:val="a2"/>
              <w:tabs>
                <w:tab w:val="decimal" w:pos="828"/>
              </w:tabs>
              <w:spacing w:before="40"/>
              <w:jc w:val="center"/>
              <w:rPr>
                <w:snapToGrid/>
              </w:rPr>
            </w:pPr>
            <w:r>
              <w:rPr>
                <w:snapToGrid/>
              </w:rPr>
              <w:t>2,896</w:t>
            </w:r>
          </w:p>
        </w:tc>
        <w:tc>
          <w:tcPr>
            <w:tcW w:w="748" w:type="pct"/>
          </w:tcPr>
          <w:p w:rsidR="00000000" w:rsidRDefault="00000000">
            <w:pPr>
              <w:pStyle w:val="a2"/>
              <w:tabs>
                <w:tab w:val="decimal" w:pos="828"/>
              </w:tabs>
              <w:spacing w:before="40"/>
              <w:jc w:val="center"/>
              <w:rPr>
                <w:snapToGrid/>
              </w:rPr>
            </w:pPr>
            <w:r>
              <w:rPr>
                <w:snapToGrid/>
              </w:rPr>
              <w:t>3,580</w:t>
            </w:r>
          </w:p>
        </w:tc>
      </w:tr>
      <w:tr w:rsidR="00000000">
        <w:tblPrEx>
          <w:tblCellMar>
            <w:top w:w="0" w:type="dxa"/>
            <w:bottom w:w="0" w:type="dxa"/>
          </w:tblCellMar>
        </w:tblPrEx>
        <w:tc>
          <w:tcPr>
            <w:tcW w:w="1346" w:type="pct"/>
          </w:tcPr>
          <w:p w:rsidR="00000000" w:rsidRDefault="00000000">
            <w:pPr>
              <w:pStyle w:val="a2"/>
              <w:spacing w:before="40" w:line="240" w:lineRule="exact"/>
              <w:rPr>
                <w:rFonts w:hint="eastAsia"/>
                <w:snapToGrid/>
              </w:rPr>
            </w:pPr>
            <w:r>
              <w:rPr>
                <w:rFonts w:hint="eastAsia"/>
                <w:snapToGrid/>
              </w:rPr>
              <w:t>被捕非法劳工人数</w:t>
            </w:r>
          </w:p>
        </w:tc>
        <w:tc>
          <w:tcPr>
            <w:tcW w:w="664" w:type="pct"/>
          </w:tcPr>
          <w:p w:rsidR="00000000" w:rsidRDefault="00000000">
            <w:pPr>
              <w:pStyle w:val="a2"/>
              <w:tabs>
                <w:tab w:val="decimal" w:pos="828"/>
              </w:tabs>
              <w:spacing w:before="40" w:line="240" w:lineRule="exact"/>
              <w:jc w:val="center"/>
              <w:rPr>
                <w:snapToGrid/>
              </w:rPr>
            </w:pPr>
            <w:r>
              <w:rPr>
                <w:snapToGrid/>
              </w:rPr>
              <w:t>5,949</w:t>
            </w:r>
          </w:p>
        </w:tc>
        <w:tc>
          <w:tcPr>
            <w:tcW w:w="748" w:type="pct"/>
          </w:tcPr>
          <w:p w:rsidR="00000000" w:rsidRDefault="00000000">
            <w:pPr>
              <w:pStyle w:val="a2"/>
              <w:tabs>
                <w:tab w:val="decimal" w:pos="828"/>
              </w:tabs>
              <w:spacing w:before="40" w:line="240" w:lineRule="exact"/>
              <w:jc w:val="center"/>
              <w:rPr>
                <w:snapToGrid/>
              </w:rPr>
            </w:pPr>
            <w:r>
              <w:rPr>
                <w:snapToGrid/>
              </w:rPr>
              <w:t>4,314</w:t>
            </w:r>
            <w:r>
              <w:rPr>
                <w:snapToGrid/>
              </w:rPr>
              <w:br/>
              <w:t>(-27.5%)</w:t>
            </w:r>
          </w:p>
        </w:tc>
        <w:tc>
          <w:tcPr>
            <w:tcW w:w="748" w:type="pct"/>
          </w:tcPr>
          <w:p w:rsidR="00000000" w:rsidRDefault="00000000">
            <w:pPr>
              <w:pStyle w:val="a2"/>
              <w:tabs>
                <w:tab w:val="decimal" w:pos="828"/>
              </w:tabs>
              <w:spacing w:before="40" w:line="240" w:lineRule="exact"/>
              <w:jc w:val="center"/>
              <w:rPr>
                <w:snapToGrid/>
              </w:rPr>
            </w:pPr>
            <w:r>
              <w:rPr>
                <w:snapToGrid/>
              </w:rPr>
              <w:t>5,715</w:t>
            </w:r>
            <w:r>
              <w:rPr>
                <w:snapToGrid/>
              </w:rPr>
              <w:br/>
              <w:t>(+32.5%)</w:t>
            </w:r>
          </w:p>
        </w:tc>
        <w:tc>
          <w:tcPr>
            <w:tcW w:w="748" w:type="pct"/>
          </w:tcPr>
          <w:p w:rsidR="00000000" w:rsidRDefault="00000000">
            <w:pPr>
              <w:pStyle w:val="a2"/>
              <w:tabs>
                <w:tab w:val="decimal" w:pos="828"/>
              </w:tabs>
              <w:spacing w:before="40" w:line="240" w:lineRule="exact"/>
              <w:jc w:val="center"/>
              <w:rPr>
                <w:snapToGrid/>
              </w:rPr>
            </w:pPr>
            <w:r>
              <w:rPr>
                <w:snapToGrid/>
              </w:rPr>
              <w:t>7,841</w:t>
            </w:r>
            <w:r>
              <w:rPr>
                <w:snapToGrid/>
              </w:rPr>
              <w:br/>
              <w:t>(+37.2%)</w:t>
            </w:r>
          </w:p>
        </w:tc>
        <w:tc>
          <w:tcPr>
            <w:tcW w:w="748" w:type="pct"/>
          </w:tcPr>
          <w:p w:rsidR="00000000" w:rsidRDefault="00000000">
            <w:pPr>
              <w:pStyle w:val="a2"/>
              <w:tabs>
                <w:tab w:val="decimal" w:pos="828"/>
              </w:tabs>
              <w:spacing w:before="40" w:line="240" w:lineRule="exact"/>
              <w:jc w:val="center"/>
              <w:rPr>
                <w:snapToGrid/>
              </w:rPr>
            </w:pPr>
            <w:r>
              <w:rPr>
                <w:snapToGrid/>
              </w:rPr>
              <w:t>11,990</w:t>
            </w:r>
            <w:r>
              <w:rPr>
                <w:snapToGrid/>
              </w:rPr>
              <w:br/>
              <w:t>(+52.9%)</w:t>
            </w:r>
          </w:p>
        </w:tc>
      </w:tr>
      <w:tr w:rsidR="00000000">
        <w:tblPrEx>
          <w:tblCellMar>
            <w:top w:w="0" w:type="dxa"/>
            <w:bottom w:w="0" w:type="dxa"/>
          </w:tblCellMar>
        </w:tblPrEx>
        <w:tc>
          <w:tcPr>
            <w:tcW w:w="1346" w:type="pct"/>
          </w:tcPr>
          <w:p w:rsidR="00000000" w:rsidRDefault="00000000">
            <w:pPr>
              <w:pStyle w:val="a2"/>
              <w:spacing w:before="40" w:line="240" w:lineRule="exact"/>
              <w:rPr>
                <w:rFonts w:hint="eastAsia"/>
                <w:snapToGrid/>
              </w:rPr>
            </w:pPr>
            <w:r>
              <w:rPr>
                <w:rFonts w:hint="eastAsia"/>
                <w:snapToGrid/>
              </w:rPr>
              <w:t>被捕雇主人数</w:t>
            </w:r>
          </w:p>
        </w:tc>
        <w:tc>
          <w:tcPr>
            <w:tcW w:w="664" w:type="pct"/>
          </w:tcPr>
          <w:p w:rsidR="00000000" w:rsidRDefault="00000000">
            <w:pPr>
              <w:pStyle w:val="a2"/>
              <w:tabs>
                <w:tab w:val="decimal" w:pos="828"/>
              </w:tabs>
              <w:spacing w:before="40" w:line="240" w:lineRule="exact"/>
              <w:jc w:val="center"/>
              <w:rPr>
                <w:snapToGrid/>
              </w:rPr>
            </w:pPr>
            <w:r>
              <w:rPr>
                <w:snapToGrid/>
              </w:rPr>
              <w:t>1,139</w:t>
            </w:r>
          </w:p>
        </w:tc>
        <w:tc>
          <w:tcPr>
            <w:tcW w:w="748" w:type="pct"/>
          </w:tcPr>
          <w:p w:rsidR="00000000" w:rsidRDefault="00000000">
            <w:pPr>
              <w:pStyle w:val="a2"/>
              <w:tabs>
                <w:tab w:val="decimal" w:pos="828"/>
              </w:tabs>
              <w:spacing w:before="40" w:line="240" w:lineRule="exact"/>
              <w:jc w:val="center"/>
              <w:rPr>
                <w:snapToGrid/>
              </w:rPr>
            </w:pPr>
            <w:r>
              <w:rPr>
                <w:snapToGrid/>
              </w:rPr>
              <w:t>758</w:t>
            </w:r>
            <w:r>
              <w:rPr>
                <w:snapToGrid/>
              </w:rPr>
              <w:br/>
              <w:t>(-33.5%)</w:t>
            </w:r>
          </w:p>
        </w:tc>
        <w:tc>
          <w:tcPr>
            <w:tcW w:w="748" w:type="pct"/>
          </w:tcPr>
          <w:p w:rsidR="00000000" w:rsidRDefault="00000000">
            <w:pPr>
              <w:pStyle w:val="a2"/>
              <w:tabs>
                <w:tab w:val="decimal" w:pos="828"/>
              </w:tabs>
              <w:spacing w:before="40" w:line="240" w:lineRule="exact"/>
              <w:jc w:val="center"/>
              <w:rPr>
                <w:snapToGrid/>
              </w:rPr>
            </w:pPr>
            <w:r>
              <w:rPr>
                <w:snapToGrid/>
              </w:rPr>
              <w:t>712</w:t>
            </w:r>
            <w:r>
              <w:rPr>
                <w:snapToGrid/>
              </w:rPr>
              <w:br/>
              <w:t>(-6.1%)</w:t>
            </w:r>
          </w:p>
        </w:tc>
        <w:tc>
          <w:tcPr>
            <w:tcW w:w="748" w:type="pct"/>
          </w:tcPr>
          <w:p w:rsidR="00000000" w:rsidRDefault="00000000">
            <w:pPr>
              <w:pStyle w:val="a2"/>
              <w:tabs>
                <w:tab w:val="decimal" w:pos="828"/>
              </w:tabs>
              <w:spacing w:before="40" w:line="240" w:lineRule="exact"/>
              <w:jc w:val="center"/>
              <w:rPr>
                <w:snapToGrid/>
              </w:rPr>
            </w:pPr>
            <w:r>
              <w:rPr>
                <w:snapToGrid/>
              </w:rPr>
              <w:t>968</w:t>
            </w:r>
            <w:r>
              <w:rPr>
                <w:snapToGrid/>
              </w:rPr>
              <w:br/>
              <w:t>(+36.0%)</w:t>
            </w:r>
          </w:p>
        </w:tc>
        <w:tc>
          <w:tcPr>
            <w:tcW w:w="748" w:type="pct"/>
          </w:tcPr>
          <w:p w:rsidR="00000000" w:rsidRDefault="00000000">
            <w:pPr>
              <w:pStyle w:val="a2"/>
              <w:tabs>
                <w:tab w:val="decimal" w:pos="828"/>
              </w:tabs>
              <w:spacing w:before="40" w:line="240" w:lineRule="exact"/>
              <w:jc w:val="center"/>
              <w:rPr>
                <w:rFonts w:hint="eastAsia"/>
                <w:snapToGrid/>
              </w:rPr>
            </w:pPr>
            <w:r>
              <w:rPr>
                <w:snapToGrid/>
              </w:rPr>
              <w:t>918</w:t>
            </w:r>
            <w:r>
              <w:rPr>
                <w:snapToGrid/>
              </w:rPr>
              <w:br/>
              <w:t>(-5.2%)</w:t>
            </w:r>
          </w:p>
        </w:tc>
      </w:tr>
    </w:tbl>
    <w:p w:rsidR="00000000" w:rsidRDefault="00000000">
      <w:pPr>
        <w:tabs>
          <w:tab w:val="left" w:pos="567"/>
          <w:tab w:val="left" w:pos="1134"/>
          <w:tab w:val="left" w:pos="1701"/>
        </w:tabs>
        <w:spacing w:after="320" w:line="360" w:lineRule="auto"/>
        <w:rPr>
          <w:rFonts w:hint="eastAsia"/>
          <w:snapToGrid/>
        </w:rPr>
      </w:pPr>
    </w:p>
    <w:p w:rsidR="00000000" w:rsidRDefault="00000000">
      <w:pPr>
        <w:pStyle w:val="Heading4"/>
        <w:rPr>
          <w:rFonts w:hint="eastAsia"/>
        </w:rPr>
      </w:pPr>
      <w:r>
        <w:rPr>
          <w:rFonts w:hint="eastAsia"/>
        </w:rPr>
        <w:t>禁止雇用儿童</w:t>
      </w:r>
    </w:p>
    <w:p w:rsidR="00000000" w:rsidRDefault="00000000">
      <w:pPr>
        <w:spacing w:after="320"/>
        <w:rPr>
          <w:rFonts w:hint="eastAsia"/>
          <w:snapToGrid/>
        </w:rPr>
      </w:pPr>
      <w:r>
        <w:rPr>
          <w:snapToGrid/>
        </w:rPr>
        <w:tab/>
        <w:t xml:space="preserve">398.  </w:t>
      </w:r>
      <w:r>
        <w:rPr>
          <w:rFonts w:hint="eastAsia"/>
          <w:snapToGrid/>
        </w:rPr>
        <w:t>有关情况并无改变，与首份报告第</w:t>
      </w:r>
      <w:r>
        <w:rPr>
          <w:snapToGrid/>
        </w:rPr>
        <w:t>64</w:t>
      </w:r>
      <w:r>
        <w:rPr>
          <w:rFonts w:hint="eastAsia"/>
          <w:snapToGrid/>
        </w:rPr>
        <w:t>段所述的相同。</w:t>
      </w:r>
    </w:p>
    <w:p w:rsidR="00000000" w:rsidRDefault="00000000">
      <w:pPr>
        <w:pStyle w:val="Heading4"/>
        <w:rPr>
          <w:rFonts w:hint="eastAsia"/>
        </w:rPr>
      </w:pPr>
      <w:r>
        <w:rPr>
          <w:rFonts w:hint="eastAsia"/>
        </w:rPr>
        <w:t>输入劳工</w:t>
      </w:r>
    </w:p>
    <w:p w:rsidR="00000000" w:rsidRDefault="00000000">
      <w:pPr>
        <w:rPr>
          <w:rFonts w:hint="eastAsia"/>
          <w:snapToGrid/>
        </w:rPr>
      </w:pPr>
      <w:r>
        <w:rPr>
          <w:snapToGrid/>
        </w:rPr>
        <w:tab/>
        <w:t xml:space="preserve">399.  </w:t>
      </w:r>
      <w:r>
        <w:rPr>
          <w:rFonts w:hint="eastAsia"/>
          <w:snapToGrid/>
        </w:rPr>
        <w:t>我们曾在首份报告第</w:t>
      </w:r>
      <w:r>
        <w:rPr>
          <w:snapToGrid/>
        </w:rPr>
        <w:t>65</w:t>
      </w:r>
      <w:r>
        <w:rPr>
          <w:rFonts w:hint="eastAsia"/>
          <w:snapToGrid/>
        </w:rPr>
        <w:t>段指出，政府为输入外地劳工推行了两项计划。政府其后结束了其中一项计划。截至二零零二年十二月三十一日，有关计划的情况如下：</w:t>
      </w:r>
    </w:p>
    <w:p w:rsidR="00000000" w:rsidRDefault="00000000">
      <w:pPr>
        <w:numPr>
          <w:ilvl w:val="0"/>
          <w:numId w:val="106"/>
        </w:numPr>
        <w:rPr>
          <w:rFonts w:hint="eastAsia"/>
          <w:snapToGrid/>
        </w:rPr>
      </w:pPr>
      <w:r>
        <w:rPr>
          <w:rFonts w:hint="eastAsia"/>
          <w:snapToGrid/>
        </w:rPr>
        <w:t>为新机场及有关工程而设的特别输入劳工计划：随着新机场落成和有关工程相继竣工，这个计划已于一九九九年三月结束；</w:t>
      </w:r>
    </w:p>
    <w:p w:rsidR="00000000" w:rsidRDefault="00000000">
      <w:pPr>
        <w:numPr>
          <w:ilvl w:val="0"/>
          <w:numId w:val="106"/>
        </w:numPr>
        <w:rPr>
          <w:rFonts w:hint="eastAsia"/>
          <w:snapToGrid/>
        </w:rPr>
      </w:pPr>
      <w:r>
        <w:rPr>
          <w:rFonts w:hint="eastAsia"/>
          <w:snapToGrid/>
        </w:rPr>
        <w:t>补充劳工计划：计划的情况并无改变，与首份报告第</w:t>
      </w:r>
      <w:r>
        <w:rPr>
          <w:snapToGrid/>
        </w:rPr>
        <w:t>65(</w:t>
      </w:r>
      <w:r>
        <w:rPr>
          <w:b/>
          <w:snapToGrid/>
        </w:rPr>
        <w:t>a</w:t>
      </w:r>
      <w:r>
        <w:rPr>
          <w:snapToGrid/>
        </w:rPr>
        <w:t>)</w:t>
      </w:r>
      <w:r>
        <w:rPr>
          <w:rFonts w:hint="eastAsia"/>
          <w:snapToGrid/>
        </w:rPr>
        <w:t>段所述的相同；</w:t>
      </w:r>
    </w:p>
    <w:p w:rsidR="00000000" w:rsidRDefault="00000000">
      <w:pPr>
        <w:numPr>
          <w:ilvl w:val="0"/>
          <w:numId w:val="106"/>
        </w:numPr>
        <w:rPr>
          <w:rFonts w:hint="eastAsia"/>
          <w:snapToGrid/>
        </w:rPr>
      </w:pPr>
      <w:r>
        <w:rPr>
          <w:rFonts w:hint="eastAsia"/>
          <w:snapToGrid/>
        </w:rPr>
        <w:t>输入优秀人才：我们接纳外地优秀人才来港工作，以提高本港的竞争力。截至二零零二年年底，当局已批准了</w:t>
      </w:r>
      <w:r>
        <w:rPr>
          <w:snapToGrid/>
        </w:rPr>
        <w:t>256</w:t>
      </w:r>
      <w:r>
        <w:rPr>
          <w:rFonts w:hint="eastAsia"/>
          <w:snapToGrid/>
        </w:rPr>
        <w:t>份申请；以及</w:t>
      </w:r>
    </w:p>
    <w:p w:rsidR="00000000" w:rsidRDefault="00000000">
      <w:pPr>
        <w:numPr>
          <w:ilvl w:val="0"/>
          <w:numId w:val="106"/>
        </w:numPr>
        <w:spacing w:after="320"/>
        <w:rPr>
          <w:rFonts w:hint="eastAsia"/>
          <w:snapToGrid/>
        </w:rPr>
      </w:pPr>
      <w:r>
        <w:rPr>
          <w:rFonts w:hint="eastAsia"/>
          <w:snapToGrid/>
        </w:rPr>
        <w:t>输入内地专业人才：我们旨在吸引一些具有认可资格的内地专业人士来港工作，以满足本港对人才的需求，并提高香港在国际市场的竞争力。这些内地专业人才所拥有的专业知识和技能，必须是本港人才所缺乏或无法即时提供的。输入的专业人士必须能为本地机构的运作及有关的行业作出贡献。截至二零零二年十二月三十一日，当局已批准了</w:t>
      </w:r>
      <w:r>
        <w:rPr>
          <w:snapToGrid/>
        </w:rPr>
        <w:t>141</w:t>
      </w:r>
      <w:r>
        <w:rPr>
          <w:rFonts w:hint="eastAsia"/>
          <w:snapToGrid/>
        </w:rPr>
        <w:t>份申请。</w:t>
      </w:r>
    </w:p>
    <w:p w:rsidR="00000000" w:rsidRDefault="00000000">
      <w:pPr>
        <w:pStyle w:val="Heading4"/>
        <w:rPr>
          <w:rFonts w:hint="eastAsia"/>
        </w:rPr>
      </w:pPr>
      <w:r>
        <w:rPr>
          <w:rFonts w:hint="eastAsia"/>
        </w:rPr>
        <w:t>就业专责小组</w:t>
      </w:r>
    </w:p>
    <w:p w:rsidR="00000000" w:rsidRDefault="00000000">
      <w:pPr>
        <w:spacing w:after="320"/>
        <w:rPr>
          <w:rFonts w:hint="eastAsia"/>
          <w:snapToGrid/>
        </w:rPr>
      </w:pPr>
      <w:r>
        <w:rPr>
          <w:snapToGrid/>
        </w:rPr>
        <w:tab/>
        <w:t xml:space="preserve">400.  </w:t>
      </w:r>
      <w:r>
        <w:rPr>
          <w:rFonts w:hint="eastAsia"/>
          <w:snapToGrid/>
        </w:rPr>
        <w:t>我们在首份报告第</w:t>
      </w:r>
      <w:r>
        <w:rPr>
          <w:snapToGrid/>
        </w:rPr>
        <w:t>67</w:t>
      </w:r>
      <w:r>
        <w:rPr>
          <w:rFonts w:hint="eastAsia"/>
          <w:snapToGrid/>
        </w:rPr>
        <w:t>段阐释了就业专责小组的角色。在二零零二年十月，我们扩大了它的成员，加入了政党和立法会议员。小组会继续寻找方法，以方便私人机构创造工作职位。</w:t>
      </w:r>
    </w:p>
    <w:p w:rsidR="00000000" w:rsidRDefault="00000000">
      <w:pPr>
        <w:pStyle w:val="Heading4"/>
        <w:rPr>
          <w:rFonts w:hint="eastAsia"/>
        </w:rPr>
      </w:pPr>
      <w:r>
        <w:rPr>
          <w:rFonts w:hint="eastAsia"/>
        </w:rPr>
        <w:t>工作权利：有关歧视的问题</w:t>
      </w:r>
    </w:p>
    <w:p w:rsidR="00000000" w:rsidRDefault="00000000">
      <w:pPr>
        <w:rPr>
          <w:rFonts w:hint="eastAsia"/>
          <w:snapToGrid/>
        </w:rPr>
      </w:pPr>
      <w:r>
        <w:rPr>
          <w:snapToGrid/>
        </w:rPr>
        <w:tab/>
        <w:t xml:space="preserve">401.  </w:t>
      </w:r>
      <w:r>
        <w:rPr>
          <w:rFonts w:hint="eastAsia"/>
          <w:snapToGrid/>
        </w:rPr>
        <w:t>关于种族和性取向歧视问题的情况，已在上文第</w:t>
      </w:r>
      <w:r>
        <w:rPr>
          <w:snapToGrid/>
        </w:rPr>
        <w:t>350</w:t>
      </w:r>
      <w:r>
        <w:rPr>
          <w:rFonts w:hint="eastAsia"/>
          <w:snapToGrid/>
        </w:rPr>
        <w:t>、</w:t>
      </w:r>
      <w:r>
        <w:rPr>
          <w:snapToGrid/>
        </w:rPr>
        <w:t>351</w:t>
      </w:r>
      <w:r>
        <w:rPr>
          <w:rFonts w:hint="eastAsia"/>
          <w:snapToGrid/>
        </w:rPr>
        <w:t>和</w:t>
      </w:r>
      <w:r>
        <w:rPr>
          <w:snapToGrid/>
        </w:rPr>
        <w:t>353</w:t>
      </w:r>
      <w:r>
        <w:rPr>
          <w:rFonts w:hint="eastAsia"/>
          <w:snapToGrid/>
        </w:rPr>
        <w:t>段论述。</w:t>
      </w:r>
    </w:p>
    <w:p w:rsidR="00000000" w:rsidRDefault="00000000">
      <w:pPr>
        <w:spacing w:after="320"/>
        <w:rPr>
          <w:rFonts w:hint="eastAsia"/>
          <w:snapToGrid/>
        </w:rPr>
      </w:pPr>
      <w:r>
        <w:rPr>
          <w:snapToGrid/>
        </w:rPr>
        <w:tab/>
        <w:t xml:space="preserve">402.  </w:t>
      </w:r>
      <w:r>
        <w:rPr>
          <w:rFonts w:hint="eastAsia"/>
          <w:snapToGrid/>
        </w:rPr>
        <w:t>在首份报告第</w:t>
      </w:r>
      <w:r>
        <w:rPr>
          <w:snapToGrid/>
        </w:rPr>
        <w:t>68</w:t>
      </w:r>
      <w:r>
        <w:rPr>
          <w:rFonts w:hint="eastAsia"/>
          <w:snapToGrid/>
        </w:rPr>
        <w:t>至</w:t>
      </w:r>
      <w:r>
        <w:rPr>
          <w:snapToGrid/>
        </w:rPr>
        <w:t>77</w:t>
      </w:r>
      <w:r>
        <w:rPr>
          <w:rFonts w:hint="eastAsia"/>
          <w:snapToGrid/>
        </w:rPr>
        <w:t>段，我们讨论了一些对</w:t>
      </w:r>
      <w:r>
        <w:rPr>
          <w:snapToGrid/>
        </w:rPr>
        <w:t>30</w:t>
      </w:r>
      <w:r>
        <w:rPr>
          <w:rFonts w:hint="eastAsia"/>
          <w:snapToGrid/>
        </w:rPr>
        <w:t>岁以上的妇女，在就业上所受到的歧视所表示的关注</w:t>
      </w:r>
      <w:r>
        <w:rPr>
          <w:rStyle w:val="FootnoteReference"/>
          <w:snapToGrid/>
        </w:rPr>
        <w:footnoteReference w:customMarkFollows="1" w:id="30"/>
        <w:t>17</w:t>
      </w:r>
      <w:r>
        <w:rPr>
          <w:rFonts w:hint="eastAsia"/>
          <w:snapToGrid/>
        </w:rPr>
        <w:t>。我们解释这些关注是没有统计数据支持的。现时的情况仍然一样。在二零零二年，劳工处的就业服务组共登记了</w:t>
      </w:r>
      <w:r>
        <w:rPr>
          <w:snapToGrid/>
        </w:rPr>
        <w:t>208,895</w:t>
      </w:r>
      <w:r>
        <w:rPr>
          <w:rFonts w:hint="eastAsia"/>
          <w:snapToGrid/>
        </w:rPr>
        <w:t>名求职人士，其中</w:t>
      </w:r>
      <w:r>
        <w:rPr>
          <w:snapToGrid/>
        </w:rPr>
        <w:t>109,030</w:t>
      </w:r>
      <w:r>
        <w:rPr>
          <w:rFonts w:hint="eastAsia"/>
          <w:snapToGrid/>
        </w:rPr>
        <w:t>名</w:t>
      </w:r>
      <w:r>
        <w:rPr>
          <w:snapToGrid/>
        </w:rPr>
        <w:t>(52.2%)</w:t>
      </w:r>
      <w:r>
        <w:rPr>
          <w:rFonts w:hint="eastAsia"/>
          <w:snapToGrid/>
        </w:rPr>
        <w:t>为女性，她们之中</w:t>
      </w:r>
      <w:r>
        <w:rPr>
          <w:snapToGrid/>
        </w:rPr>
        <w:t>47.2%</w:t>
      </w:r>
      <w:r>
        <w:rPr>
          <w:rFonts w:hint="eastAsia"/>
          <w:snapToGrid/>
        </w:rPr>
        <w:t>的年龄是</w:t>
      </w:r>
      <w:r>
        <w:rPr>
          <w:snapToGrid/>
        </w:rPr>
        <w:t>30</w:t>
      </w:r>
      <w:r>
        <w:rPr>
          <w:rFonts w:hint="eastAsia"/>
          <w:snapToGrid/>
        </w:rPr>
        <w:t>岁或以上。在同一时期，就业服务组为</w:t>
      </w:r>
      <w:r>
        <w:rPr>
          <w:snapToGrid/>
        </w:rPr>
        <w:t>28,734</w:t>
      </w:r>
      <w:r>
        <w:rPr>
          <w:rFonts w:hint="eastAsia"/>
          <w:snapToGrid/>
        </w:rPr>
        <w:t>名人士安排就业，他们当中包括</w:t>
      </w:r>
      <w:r>
        <w:rPr>
          <w:snapToGrid/>
        </w:rPr>
        <w:t>16,188</w:t>
      </w:r>
      <w:r>
        <w:rPr>
          <w:rFonts w:hint="eastAsia"/>
          <w:snapToGrid/>
        </w:rPr>
        <w:t>名女性求职人士和</w:t>
      </w:r>
      <w:r>
        <w:rPr>
          <w:snapToGrid/>
        </w:rPr>
        <w:t>10,589</w:t>
      </w:r>
      <w:r>
        <w:rPr>
          <w:rFonts w:hint="eastAsia"/>
          <w:snapToGrid/>
        </w:rPr>
        <w:t>名年龄</w:t>
      </w:r>
      <w:r>
        <w:rPr>
          <w:snapToGrid/>
        </w:rPr>
        <w:t>30</w:t>
      </w:r>
      <w:r>
        <w:rPr>
          <w:rFonts w:hint="eastAsia"/>
          <w:snapToGrid/>
        </w:rPr>
        <w:t>岁或以上的女士。女性求职人士和年龄在</w:t>
      </w:r>
      <w:r>
        <w:rPr>
          <w:snapToGrid/>
        </w:rPr>
        <w:t>30</w:t>
      </w:r>
      <w:r>
        <w:rPr>
          <w:rFonts w:hint="eastAsia"/>
          <w:snapToGrid/>
        </w:rPr>
        <w:t>岁或以上的女性求职人士的就业率分别是</w:t>
      </w:r>
      <w:r>
        <w:rPr>
          <w:snapToGrid/>
        </w:rPr>
        <w:t>14.8%</w:t>
      </w:r>
      <w:r>
        <w:rPr>
          <w:rFonts w:hint="eastAsia"/>
          <w:snapToGrid/>
        </w:rPr>
        <w:t>和</w:t>
      </w:r>
      <w:r>
        <w:rPr>
          <w:snapToGrid/>
        </w:rPr>
        <w:t>20.6%</w:t>
      </w:r>
      <w:r>
        <w:rPr>
          <w:rFonts w:hint="eastAsia"/>
          <w:snapToGrid/>
        </w:rPr>
        <w:t>。同样组别的男性求职人士的有关比率则分别是</w:t>
      </w:r>
      <w:r>
        <w:rPr>
          <w:snapToGrid/>
        </w:rPr>
        <w:t>12.6%</w:t>
      </w:r>
      <w:r>
        <w:rPr>
          <w:rFonts w:hint="eastAsia"/>
          <w:snapToGrid/>
        </w:rPr>
        <w:t>和</w:t>
      </w:r>
      <w:r>
        <w:rPr>
          <w:snapToGrid/>
        </w:rPr>
        <w:t>14.6%</w:t>
      </w:r>
      <w:r>
        <w:rPr>
          <w:rFonts w:hint="eastAsia"/>
          <w:snapToGrid/>
        </w:rPr>
        <w:t>。</w:t>
      </w:r>
    </w:p>
    <w:p w:rsidR="00000000" w:rsidRDefault="00000000">
      <w:pPr>
        <w:pStyle w:val="Heading4"/>
        <w:rPr>
          <w:rFonts w:hint="eastAsia"/>
        </w:rPr>
      </w:pPr>
      <w:r>
        <w:rPr>
          <w:rFonts w:hint="eastAsia"/>
        </w:rPr>
        <w:t>就公约第六条所订的保留条文</w:t>
      </w:r>
    </w:p>
    <w:p w:rsidR="00000000" w:rsidRDefault="00000000">
      <w:pPr>
        <w:rPr>
          <w:snapToGrid/>
        </w:rPr>
      </w:pPr>
      <w:r>
        <w:rPr>
          <w:snapToGrid/>
        </w:rPr>
        <w:tab/>
        <w:t xml:space="preserve">403.  </w:t>
      </w:r>
      <w:r>
        <w:rPr>
          <w:rFonts w:hint="eastAsia"/>
          <w:snapToGrid/>
        </w:rPr>
        <w:t>在二零零一年五月的审议结论第</w:t>
      </w:r>
      <w:r>
        <w:rPr>
          <w:snapToGrid/>
        </w:rPr>
        <w:t>29</w:t>
      </w:r>
      <w:r>
        <w:rPr>
          <w:rFonts w:hint="eastAsia"/>
          <w:snapToGrid/>
        </w:rPr>
        <w:t>段中，委员会建议“香港特区撤销其就公约第六条所订的保留条文，以及第八条的解释性声明</w:t>
      </w:r>
      <w:r>
        <w:rPr>
          <w:snapToGrid/>
        </w:rPr>
        <w:t>(</w:t>
      </w:r>
      <w:r>
        <w:rPr>
          <w:rFonts w:hint="eastAsia"/>
          <w:snapToGrid/>
        </w:rPr>
        <w:t>该声明用以取代旧有的保留条文</w:t>
      </w:r>
      <w:r>
        <w:rPr>
          <w:snapToGrid/>
        </w:rPr>
        <w:t>)</w:t>
      </w:r>
      <w:r>
        <w:rPr>
          <w:rFonts w:hint="eastAsia"/>
          <w:snapToGrid/>
        </w:rPr>
        <w:t>”。</w:t>
      </w:r>
      <w:r>
        <w:rPr>
          <w:snapToGrid/>
        </w:rPr>
        <w:tab/>
      </w:r>
    </w:p>
    <w:p w:rsidR="00000000" w:rsidRDefault="00000000">
      <w:pPr>
        <w:spacing w:after="320"/>
        <w:rPr>
          <w:rFonts w:hint="eastAsia"/>
          <w:snapToGrid/>
        </w:rPr>
      </w:pPr>
      <w:r>
        <w:rPr>
          <w:snapToGrid/>
        </w:rPr>
        <w:tab/>
        <w:t xml:space="preserve">404.  </w:t>
      </w:r>
      <w:r>
        <w:rPr>
          <w:rFonts w:hint="eastAsia"/>
          <w:snapToGrid/>
        </w:rPr>
        <w:t>上述声明用以保留我们诠释第六条的权利，即是说对于前来香港特区工作的人，我们不排除会根据其出生地或居留资格施加限制，以保障本地工人的就业机会。我们详细研究委员会的建议后，仍然认为必须保留该项声明，以便我们可灵活制定措施，保障本地工人的利益和就业机会。因此，我们谨建议保留该项声明。</w:t>
      </w:r>
    </w:p>
    <w:p w:rsidR="00000000" w:rsidRDefault="00000000">
      <w:pPr>
        <w:pStyle w:val="Heading3"/>
        <w:rPr>
          <w:rFonts w:hint="eastAsia"/>
        </w:rPr>
      </w:pPr>
      <w:bookmarkStart w:id="43" w:name="_Toc78772952"/>
      <w:r>
        <w:rPr>
          <w:rFonts w:ascii="Time New Roman" w:eastAsia="SimHei" w:hAnsi="Time New Roman"/>
          <w:b/>
          <w:u w:val="none"/>
        </w:rPr>
        <w:t xml:space="preserve">G.  </w:t>
      </w:r>
      <w:r>
        <w:rPr>
          <w:rFonts w:ascii="Time New Roman" w:eastAsia="SimHei" w:hAnsi="Time New Roman" w:hint="eastAsia"/>
          <w:b/>
          <w:u w:val="none"/>
        </w:rPr>
        <w:t>第</w:t>
      </w:r>
      <w:r>
        <w:rPr>
          <w:rFonts w:ascii="Time New Roman" w:eastAsia="SimHei" w:hAnsi="Time New Roman"/>
          <w:b/>
          <w:u w:val="none"/>
        </w:rPr>
        <w:t xml:space="preserve"> </w:t>
      </w:r>
      <w:r>
        <w:rPr>
          <w:rFonts w:ascii="Time New Roman" w:eastAsia="SimHei" w:hAnsi="Time New Roman" w:hint="eastAsia"/>
          <w:b/>
          <w:u w:val="none"/>
        </w:rPr>
        <w:t>七</w:t>
      </w:r>
      <w:r>
        <w:rPr>
          <w:rFonts w:ascii="Time New Roman" w:eastAsia="SimHei" w:hAnsi="Time New Roman"/>
          <w:b/>
          <w:u w:val="none"/>
        </w:rPr>
        <w:t xml:space="preserve"> </w:t>
      </w:r>
      <w:r>
        <w:rPr>
          <w:rFonts w:ascii="Time New Roman" w:eastAsia="SimHei" w:hAnsi="Time New Roman" w:hint="eastAsia"/>
          <w:b/>
          <w:u w:val="none"/>
        </w:rPr>
        <w:t>条</w:t>
      </w:r>
      <w:r>
        <w:rPr>
          <w:rFonts w:ascii="Time New Roman" w:eastAsia="SimHei" w:hAnsi="Time New Roman"/>
          <w:b/>
          <w:u w:val="none"/>
        </w:rPr>
        <w:br/>
        <w:t xml:space="preserve">    </w:t>
      </w:r>
      <w:r>
        <w:rPr>
          <w:rFonts w:ascii="Time New Roman" w:eastAsia="SimHei" w:hAnsi="Time New Roman" w:hint="eastAsia"/>
          <w:b/>
          <w:u w:val="none"/>
        </w:rPr>
        <w:t>享受公平与良好工作条件的权利</w:t>
      </w:r>
      <w:bookmarkEnd w:id="43"/>
    </w:p>
    <w:p w:rsidR="00000000" w:rsidRDefault="00000000">
      <w:pPr>
        <w:pStyle w:val="Heading4"/>
        <w:rPr>
          <w:rFonts w:hint="eastAsia"/>
        </w:rPr>
      </w:pPr>
      <w:r>
        <w:rPr>
          <w:rFonts w:hint="eastAsia"/>
        </w:rPr>
        <w:t>根据有关的国际劳工公约提交的报告</w:t>
      </w:r>
    </w:p>
    <w:p w:rsidR="00000000" w:rsidRDefault="00000000">
      <w:pPr>
        <w:rPr>
          <w:rFonts w:hint="eastAsia"/>
          <w:snapToGrid/>
        </w:rPr>
      </w:pPr>
      <w:r>
        <w:rPr>
          <w:snapToGrid/>
        </w:rPr>
        <w:tab/>
        <w:t xml:space="preserve">405.  </w:t>
      </w:r>
      <w:r>
        <w:rPr>
          <w:rFonts w:hint="eastAsia"/>
          <w:snapToGrid/>
        </w:rPr>
        <w:t>下列向国际劳工组织所提交的报告，已提供与本条有关的各项资料：</w:t>
      </w:r>
    </w:p>
    <w:p w:rsidR="00000000" w:rsidRDefault="00000000">
      <w:pPr>
        <w:numPr>
          <w:ilvl w:val="0"/>
          <w:numId w:val="108"/>
        </w:numPr>
        <w:rPr>
          <w:rFonts w:hint="eastAsia"/>
          <w:snapToGrid/>
        </w:rPr>
      </w:pPr>
      <w:r>
        <w:rPr>
          <w:rFonts w:hint="eastAsia"/>
          <w:snapToGrid/>
        </w:rPr>
        <w:t>就《工作环境</w:t>
      </w:r>
      <w:r>
        <w:rPr>
          <w:snapToGrid/>
        </w:rPr>
        <w:t>(</w:t>
      </w:r>
      <w:r>
        <w:rPr>
          <w:rFonts w:hint="eastAsia"/>
          <w:snapToGrid/>
        </w:rPr>
        <w:t>空气污染、噪音和震动</w:t>
      </w:r>
      <w:r>
        <w:rPr>
          <w:snapToGrid/>
        </w:rPr>
        <w:t>)</w:t>
      </w:r>
      <w:r>
        <w:rPr>
          <w:rFonts w:hint="eastAsia"/>
          <w:snapToGrid/>
        </w:rPr>
        <w:t>公约》</w:t>
      </w:r>
      <w:r>
        <w:rPr>
          <w:snapToGrid/>
        </w:rPr>
        <w:t>(</w:t>
      </w:r>
      <w:r>
        <w:rPr>
          <w:rFonts w:hint="eastAsia"/>
          <w:snapToGrid/>
        </w:rPr>
        <w:t>第</w:t>
      </w:r>
      <w:r>
        <w:rPr>
          <w:snapToGrid/>
        </w:rPr>
        <w:t>148</w:t>
      </w:r>
      <w:r>
        <w:rPr>
          <w:rFonts w:hint="eastAsia"/>
          <w:snapToGrid/>
        </w:rPr>
        <w:t>号公约</w:t>
      </w:r>
      <w:r>
        <w:rPr>
          <w:snapToGrid/>
        </w:rPr>
        <w:t>)</w:t>
      </w:r>
      <w:r>
        <w:rPr>
          <w:rFonts w:hint="eastAsia"/>
          <w:snapToGrid/>
        </w:rPr>
        <w:t>有关一九九三年七月一日至一九九九年五月三十一日，以及一九九九年六月一日至二零零一年五月三十一日期间的第</w:t>
      </w:r>
      <w:r>
        <w:rPr>
          <w:snapToGrid/>
        </w:rPr>
        <w:t>22</w:t>
      </w:r>
      <w:r>
        <w:rPr>
          <w:rFonts w:hint="eastAsia"/>
          <w:snapToGrid/>
        </w:rPr>
        <w:t>条报告；</w:t>
      </w:r>
    </w:p>
    <w:p w:rsidR="00000000" w:rsidRDefault="00000000">
      <w:pPr>
        <w:numPr>
          <w:ilvl w:val="0"/>
          <w:numId w:val="108"/>
        </w:numPr>
        <w:rPr>
          <w:rFonts w:hint="eastAsia"/>
          <w:snapToGrid/>
        </w:rPr>
      </w:pPr>
      <w:r>
        <w:rPr>
          <w:rFonts w:hint="eastAsia"/>
          <w:snapToGrid/>
        </w:rPr>
        <w:t>就《</w:t>
      </w:r>
      <w:r>
        <w:rPr>
          <w:snapToGrid/>
        </w:rPr>
        <w:t>(</w:t>
      </w:r>
      <w:r>
        <w:rPr>
          <w:rFonts w:hint="eastAsia"/>
          <w:snapToGrid/>
        </w:rPr>
        <w:t>工业</w:t>
      </w:r>
      <w:r>
        <w:rPr>
          <w:snapToGrid/>
        </w:rPr>
        <w:t>)</w:t>
      </w:r>
      <w:r>
        <w:rPr>
          <w:rFonts w:hint="eastAsia"/>
          <w:snapToGrid/>
        </w:rPr>
        <w:t>每周休息公约》</w:t>
      </w:r>
      <w:r>
        <w:rPr>
          <w:snapToGrid/>
        </w:rPr>
        <w:t>(</w:t>
      </w:r>
      <w:r>
        <w:rPr>
          <w:rFonts w:hint="eastAsia"/>
          <w:snapToGrid/>
        </w:rPr>
        <w:t>第</w:t>
      </w:r>
      <w:r>
        <w:rPr>
          <w:snapToGrid/>
        </w:rPr>
        <w:t>14</w:t>
      </w:r>
      <w:r>
        <w:rPr>
          <w:rFonts w:hint="eastAsia"/>
          <w:snapToGrid/>
        </w:rPr>
        <w:t>号公约</w:t>
      </w:r>
      <w:r>
        <w:rPr>
          <w:snapToGrid/>
        </w:rPr>
        <w:t>)</w:t>
      </w:r>
      <w:r>
        <w:rPr>
          <w:rFonts w:hint="eastAsia"/>
          <w:snapToGrid/>
        </w:rPr>
        <w:t>有关一九九四年七月一日至二零零零年五月三十一日，以及二零零零年六月一日至二零零二年五月三十一日期间的第</w:t>
      </w:r>
      <w:r>
        <w:rPr>
          <w:snapToGrid/>
        </w:rPr>
        <w:t>22</w:t>
      </w:r>
      <w:r>
        <w:rPr>
          <w:rFonts w:hint="eastAsia"/>
          <w:snapToGrid/>
        </w:rPr>
        <w:t>条报告；</w:t>
      </w:r>
    </w:p>
    <w:p w:rsidR="00000000" w:rsidRDefault="00000000">
      <w:pPr>
        <w:numPr>
          <w:ilvl w:val="0"/>
          <w:numId w:val="108"/>
        </w:numPr>
        <w:rPr>
          <w:rFonts w:hint="eastAsia"/>
          <w:snapToGrid/>
        </w:rPr>
      </w:pPr>
      <w:r>
        <w:rPr>
          <w:rFonts w:hint="eastAsia"/>
          <w:snapToGrid/>
        </w:rPr>
        <w:t>就《辐射防护公约》</w:t>
      </w:r>
      <w:r>
        <w:rPr>
          <w:snapToGrid/>
        </w:rPr>
        <w:t>(</w:t>
      </w:r>
      <w:r>
        <w:rPr>
          <w:rFonts w:hint="eastAsia"/>
          <w:snapToGrid/>
        </w:rPr>
        <w:t>第</w:t>
      </w:r>
      <w:r>
        <w:rPr>
          <w:snapToGrid/>
        </w:rPr>
        <w:t>115</w:t>
      </w:r>
      <w:r>
        <w:rPr>
          <w:rFonts w:hint="eastAsia"/>
          <w:snapToGrid/>
        </w:rPr>
        <w:t>号公约</w:t>
      </w:r>
      <w:r>
        <w:rPr>
          <w:snapToGrid/>
        </w:rPr>
        <w:t>)</w:t>
      </w:r>
      <w:r>
        <w:rPr>
          <w:rFonts w:hint="eastAsia"/>
          <w:snapToGrid/>
        </w:rPr>
        <w:t>有关一九九四年七月一日至二零零零年五月三十一日，以及二零零零年六月一日至二零零二年五月三十一日期间的第</w:t>
      </w:r>
      <w:r>
        <w:rPr>
          <w:snapToGrid/>
        </w:rPr>
        <w:t>22</w:t>
      </w:r>
      <w:r>
        <w:rPr>
          <w:rFonts w:hint="eastAsia"/>
          <w:snapToGrid/>
        </w:rPr>
        <w:t>条报告；</w:t>
      </w:r>
    </w:p>
    <w:p w:rsidR="00000000" w:rsidRDefault="00000000">
      <w:pPr>
        <w:numPr>
          <w:ilvl w:val="0"/>
          <w:numId w:val="108"/>
        </w:numPr>
        <w:rPr>
          <w:rFonts w:hint="eastAsia"/>
          <w:snapToGrid/>
        </w:rPr>
      </w:pPr>
      <w:r>
        <w:rPr>
          <w:rFonts w:hint="eastAsia"/>
          <w:snapToGrid/>
        </w:rPr>
        <w:t>就《</w:t>
      </w:r>
      <w:r>
        <w:rPr>
          <w:snapToGrid/>
        </w:rPr>
        <w:t>(</w:t>
      </w:r>
      <w:r>
        <w:rPr>
          <w:rFonts w:hint="eastAsia"/>
          <w:snapToGrid/>
        </w:rPr>
        <w:t>农业</w:t>
      </w:r>
      <w:r>
        <w:rPr>
          <w:snapToGrid/>
        </w:rPr>
        <w:t>)</w:t>
      </w:r>
      <w:r>
        <w:rPr>
          <w:rFonts w:hint="eastAsia"/>
          <w:snapToGrid/>
        </w:rPr>
        <w:t>带酬休假公约》</w:t>
      </w:r>
      <w:r>
        <w:rPr>
          <w:snapToGrid/>
        </w:rPr>
        <w:t>(</w:t>
      </w:r>
      <w:r>
        <w:rPr>
          <w:rFonts w:hint="eastAsia"/>
          <w:snapToGrid/>
        </w:rPr>
        <w:t>第</w:t>
      </w:r>
      <w:r>
        <w:rPr>
          <w:snapToGrid/>
        </w:rPr>
        <w:t>101</w:t>
      </w:r>
      <w:r>
        <w:rPr>
          <w:rFonts w:hint="eastAsia"/>
          <w:snapToGrid/>
        </w:rPr>
        <w:t>号公约</w:t>
      </w:r>
      <w:r>
        <w:rPr>
          <w:snapToGrid/>
        </w:rPr>
        <w:t>)</w:t>
      </w:r>
      <w:r>
        <w:rPr>
          <w:rFonts w:hint="eastAsia"/>
          <w:snapToGrid/>
        </w:rPr>
        <w:t>有关一九九六年一月一日至二零零零年五月三十一日，以及二零零零年六月一日至二零零二年五月三十一日期间的第</w:t>
      </w:r>
      <w:r>
        <w:rPr>
          <w:snapToGrid/>
        </w:rPr>
        <w:t>22</w:t>
      </w:r>
      <w:r>
        <w:rPr>
          <w:rFonts w:hint="eastAsia"/>
          <w:snapToGrid/>
        </w:rPr>
        <w:t>条报告；</w:t>
      </w:r>
    </w:p>
    <w:p w:rsidR="00000000" w:rsidRDefault="00000000">
      <w:pPr>
        <w:numPr>
          <w:ilvl w:val="0"/>
          <w:numId w:val="108"/>
        </w:numPr>
        <w:spacing w:after="320"/>
        <w:rPr>
          <w:rFonts w:hint="eastAsia"/>
          <w:snapToGrid/>
        </w:rPr>
      </w:pPr>
      <w:r>
        <w:rPr>
          <w:rFonts w:hint="eastAsia"/>
          <w:snapToGrid/>
        </w:rPr>
        <w:t>就《劳动监察公约》</w:t>
      </w:r>
      <w:r>
        <w:rPr>
          <w:snapToGrid/>
        </w:rPr>
        <w:t>(</w:t>
      </w:r>
      <w:r>
        <w:rPr>
          <w:rFonts w:hint="eastAsia"/>
          <w:snapToGrid/>
        </w:rPr>
        <w:t>第</w:t>
      </w:r>
      <w:r>
        <w:rPr>
          <w:snapToGrid/>
        </w:rPr>
        <w:t>81</w:t>
      </w:r>
      <w:r>
        <w:rPr>
          <w:rFonts w:hint="eastAsia"/>
          <w:snapToGrid/>
        </w:rPr>
        <w:t>号公约</w:t>
      </w:r>
      <w:r>
        <w:rPr>
          <w:snapToGrid/>
        </w:rPr>
        <w:t>)</w:t>
      </w:r>
      <w:r>
        <w:rPr>
          <w:rFonts w:hint="eastAsia"/>
          <w:snapToGrid/>
        </w:rPr>
        <w:t>有关一九九七年一月一日至一九九九年五月三十一日，以及一九九九年六月一日至二零零一年五月三十一日期间的第</w:t>
      </w:r>
      <w:r>
        <w:rPr>
          <w:snapToGrid/>
        </w:rPr>
        <w:t>22</w:t>
      </w:r>
      <w:r>
        <w:rPr>
          <w:rFonts w:hint="eastAsia"/>
          <w:snapToGrid/>
        </w:rPr>
        <w:t>条报告。</w:t>
      </w:r>
    </w:p>
    <w:p w:rsidR="00000000" w:rsidRDefault="00000000">
      <w:pPr>
        <w:pStyle w:val="Heading4"/>
        <w:rPr>
          <w:rFonts w:hint="eastAsia"/>
        </w:rPr>
      </w:pPr>
      <w:r>
        <w:rPr>
          <w:rFonts w:hint="eastAsia"/>
        </w:rPr>
        <w:t>安全和健康的工作环境</w:t>
      </w:r>
    </w:p>
    <w:p w:rsidR="00000000" w:rsidRDefault="00000000">
      <w:pPr>
        <w:spacing w:after="320"/>
        <w:rPr>
          <w:rFonts w:hint="eastAsia"/>
          <w:snapToGrid/>
        </w:rPr>
      </w:pPr>
      <w:r>
        <w:rPr>
          <w:snapToGrid/>
        </w:rPr>
        <w:tab/>
        <w:t xml:space="preserve">406.  </w:t>
      </w:r>
      <w:r>
        <w:rPr>
          <w:snapToGrid/>
        </w:rPr>
        <w:t>有关</w:t>
      </w:r>
      <w:r>
        <w:rPr>
          <w:rFonts w:hint="eastAsia"/>
          <w:snapToGrid/>
        </w:rPr>
        <w:t>情况并无改变，与首份报告第</w:t>
      </w:r>
      <w:r>
        <w:rPr>
          <w:snapToGrid/>
        </w:rPr>
        <w:t>98</w:t>
      </w:r>
      <w:r>
        <w:rPr>
          <w:rFonts w:hint="eastAsia"/>
          <w:snapToGrid/>
        </w:rPr>
        <w:t>至</w:t>
      </w:r>
      <w:r>
        <w:rPr>
          <w:snapToGrid/>
        </w:rPr>
        <w:t>101</w:t>
      </w:r>
      <w:r>
        <w:rPr>
          <w:rFonts w:hint="eastAsia"/>
          <w:snapToGrid/>
        </w:rPr>
        <w:t>段所述的相同。</w:t>
      </w:r>
    </w:p>
    <w:p w:rsidR="00000000" w:rsidRDefault="00000000">
      <w:pPr>
        <w:pStyle w:val="Heading4"/>
        <w:rPr>
          <w:rFonts w:hint="eastAsia"/>
        </w:rPr>
      </w:pPr>
      <w:r>
        <w:rPr>
          <w:rFonts w:hint="eastAsia"/>
        </w:rPr>
        <w:t>预防工业意外和职业病：法律保障</w:t>
      </w:r>
    </w:p>
    <w:p w:rsidR="00000000" w:rsidRDefault="00000000">
      <w:pPr>
        <w:rPr>
          <w:rFonts w:hint="eastAsia"/>
          <w:snapToGrid/>
        </w:rPr>
      </w:pPr>
      <w:r>
        <w:rPr>
          <w:snapToGrid/>
        </w:rPr>
        <w:tab/>
        <w:t xml:space="preserve">407.  </w:t>
      </w:r>
      <w:r>
        <w:rPr>
          <w:rFonts w:hint="eastAsia"/>
          <w:snapToGrid/>
        </w:rPr>
        <w:t>《工厂及工业经营条例》</w:t>
      </w:r>
      <w:r>
        <w:rPr>
          <w:snapToGrid/>
        </w:rPr>
        <w:t>(</w:t>
      </w:r>
      <w:r>
        <w:rPr>
          <w:rFonts w:hint="eastAsia"/>
          <w:snapToGrid/>
        </w:rPr>
        <w:t>第</w:t>
      </w:r>
      <w:r>
        <w:rPr>
          <w:snapToGrid/>
        </w:rPr>
        <w:t>59</w:t>
      </w:r>
      <w:r>
        <w:rPr>
          <w:rFonts w:hint="eastAsia"/>
          <w:snapToGrid/>
        </w:rPr>
        <w:t>章</w:t>
      </w:r>
      <w:r>
        <w:rPr>
          <w:snapToGrid/>
        </w:rPr>
        <w:t>)</w:t>
      </w:r>
      <w:r>
        <w:rPr>
          <w:rFonts w:hint="eastAsia"/>
          <w:snapToGrid/>
        </w:rPr>
        <w:t>已于一九九九年修订。修订后的条例订明受雇于建造业和货柜处理行业的人员，必须参加安全训练课程。修订条文亦扩大了劳工处处长订立规例的权力，以规定工厂东主或承建商须订立管理制度，确保在工业经营工作的人员的安全。</w:t>
      </w:r>
    </w:p>
    <w:p w:rsidR="00000000" w:rsidRDefault="00000000">
      <w:pPr>
        <w:spacing w:after="320"/>
        <w:rPr>
          <w:rFonts w:hint="eastAsia"/>
          <w:snapToGrid/>
        </w:rPr>
      </w:pPr>
      <w:r>
        <w:rPr>
          <w:snapToGrid/>
        </w:rPr>
        <w:tab/>
        <w:t xml:space="preserve">408.  </w:t>
      </w:r>
      <w:r>
        <w:rPr>
          <w:rFonts w:hint="eastAsia"/>
          <w:snapToGrid/>
        </w:rPr>
        <w:t>至于其他事项，有关情况并无改变，与首份报告第</w:t>
      </w:r>
      <w:r>
        <w:rPr>
          <w:snapToGrid/>
        </w:rPr>
        <w:t>104</w:t>
      </w:r>
      <w:r>
        <w:rPr>
          <w:rFonts w:hint="eastAsia"/>
          <w:snapToGrid/>
        </w:rPr>
        <w:t>至</w:t>
      </w:r>
      <w:r>
        <w:rPr>
          <w:snapToGrid/>
        </w:rPr>
        <w:t>111</w:t>
      </w:r>
      <w:r>
        <w:rPr>
          <w:rFonts w:hint="eastAsia"/>
          <w:snapToGrid/>
        </w:rPr>
        <w:t>段所述的相同。</w:t>
      </w:r>
    </w:p>
    <w:p w:rsidR="00000000" w:rsidRDefault="00000000">
      <w:pPr>
        <w:pStyle w:val="Heading4"/>
        <w:rPr>
          <w:rFonts w:hint="eastAsia"/>
        </w:rPr>
      </w:pPr>
      <w:r>
        <w:rPr>
          <w:rFonts w:hint="eastAsia"/>
        </w:rPr>
        <w:t>雇佣保障：雇员权益和福利</w:t>
      </w:r>
    </w:p>
    <w:p w:rsidR="00000000" w:rsidRDefault="00000000">
      <w:pPr>
        <w:rPr>
          <w:rFonts w:hint="eastAsia"/>
          <w:snapToGrid/>
        </w:rPr>
      </w:pPr>
      <w:r>
        <w:rPr>
          <w:snapToGrid/>
        </w:rPr>
        <w:tab/>
        <w:t xml:space="preserve">409.  </w:t>
      </w:r>
      <w:r>
        <w:rPr>
          <w:rFonts w:hint="eastAsia"/>
          <w:snapToGrid/>
        </w:rPr>
        <w:t>在二零零一年五月的审议结论第</w:t>
      </w:r>
      <w:r>
        <w:rPr>
          <w:snapToGrid/>
        </w:rPr>
        <w:t>15(</w:t>
      </w:r>
      <w:r>
        <w:rPr>
          <w:b/>
          <w:snapToGrid/>
        </w:rPr>
        <w:t>e</w:t>
      </w:r>
      <w:r>
        <w:rPr>
          <w:snapToGrid/>
        </w:rPr>
        <w:t>)</w:t>
      </w:r>
      <w:r>
        <w:rPr>
          <w:rFonts w:hint="eastAsia"/>
          <w:snapToGrid/>
        </w:rPr>
        <w:t>段中，委员会指出，香港特区“没有保障雇员免受不公平解雇，亦没有就法定最低工资、工作时数、每周有薪假期、休息时间和强制超时工资作出规定”。为此，委员会特别表示关注，并在第</w:t>
      </w:r>
      <w:r>
        <w:rPr>
          <w:snapToGrid/>
        </w:rPr>
        <w:t>34</w:t>
      </w:r>
      <w:r>
        <w:rPr>
          <w:rFonts w:hint="eastAsia"/>
          <w:snapToGrid/>
        </w:rPr>
        <w:t>段重申其建议，“要求香港特区检讨雇佣政策，包括不公平解雇、最低工资、每周有薪假期、休息时间、最高工作时数和超时工资事宜，务使这些政策符合香港特区在公约下须履行的责任”。委员会又在第</w:t>
      </w:r>
      <w:r>
        <w:rPr>
          <w:snapToGrid/>
        </w:rPr>
        <w:t>35</w:t>
      </w:r>
      <w:r>
        <w:rPr>
          <w:rFonts w:hint="eastAsia"/>
          <w:snapToGrid/>
        </w:rPr>
        <w:t>段促请香港特区“立例实施公约所订有关工作同值同酬的规定”。香港亦有论者促请当局为政府承办商的雇员提供有关保障。</w:t>
      </w:r>
    </w:p>
    <w:p w:rsidR="00000000" w:rsidRDefault="00000000">
      <w:pPr>
        <w:rPr>
          <w:rFonts w:hint="eastAsia"/>
          <w:snapToGrid/>
        </w:rPr>
      </w:pPr>
      <w:r>
        <w:rPr>
          <w:snapToGrid/>
        </w:rPr>
        <w:tab/>
        <w:t xml:space="preserve">410.  </w:t>
      </w:r>
      <w:r>
        <w:rPr>
          <w:rFonts w:hint="eastAsia"/>
          <w:snapToGrid/>
        </w:rPr>
        <w:t>就审议结论第</w:t>
      </w:r>
      <w:r>
        <w:rPr>
          <w:snapToGrid/>
        </w:rPr>
        <w:t>15(</w:t>
      </w:r>
      <w:r>
        <w:rPr>
          <w:b/>
          <w:snapToGrid/>
        </w:rPr>
        <w:t>e</w:t>
      </w:r>
      <w:r>
        <w:rPr>
          <w:snapToGrid/>
        </w:rPr>
        <w:t>)</w:t>
      </w:r>
      <w:r>
        <w:rPr>
          <w:rFonts w:hint="eastAsia"/>
          <w:snapToGrid/>
        </w:rPr>
        <w:t>及</w:t>
      </w:r>
      <w:r>
        <w:rPr>
          <w:snapToGrid/>
        </w:rPr>
        <w:t>34</w:t>
      </w:r>
      <w:r>
        <w:rPr>
          <w:rFonts w:hint="eastAsia"/>
          <w:snapToGrid/>
        </w:rPr>
        <w:t>段所述的事项，我们谨向委员会指出，《雇佣条例》已能保障雇员免受无理解雇，而有关的保障措施包括：在劳资双方同意下判令雇员复职</w:t>
      </w:r>
      <w:r>
        <w:rPr>
          <w:rFonts w:hint="eastAsia"/>
          <w:snapToGrid/>
        </w:rPr>
        <w:t>/</w:t>
      </w:r>
      <w:r>
        <w:rPr>
          <w:rFonts w:hint="eastAsia"/>
          <w:snapToGrid/>
        </w:rPr>
        <w:t>再次聘用、判给雇员终止雇佣金等。至于最低工资、每周有薪假期、休息时间、工作时数、超时工资的规定，都是雇佣条款和条件范畴的事宜，应由劳资双方根据市场情况议定。由于香港的经济本体细小开放，属于由市场主导的外向型体系，甚受外围因素影响；因此，须就经济环境的转变而灵活变通。如果我们对劳工市场施以过多掣肘</w:t>
      </w:r>
      <w:r>
        <w:rPr>
          <w:snapToGrid/>
        </w:rPr>
        <w:t>(</w:t>
      </w:r>
      <w:r>
        <w:rPr>
          <w:rFonts w:hint="eastAsia"/>
          <w:snapToGrid/>
        </w:rPr>
        <w:t>例如：限制工作时数和订明超时工资</w:t>
      </w:r>
      <w:r>
        <w:rPr>
          <w:snapToGrid/>
        </w:rPr>
        <w:t>)</w:t>
      </w:r>
      <w:r>
        <w:rPr>
          <w:rFonts w:hint="eastAsia"/>
          <w:snapToGrid/>
        </w:rPr>
        <w:t>，便会令市场的灵活性降低，增加劳工成本。基于上述理由，我们不拟就这些范畴立法；但我们会循序渐进，配合香港的经济和社会发展步伐，改善雇员的权益和福利，并务使劳资双方的利益取得合理平衡。现时香港的雇员免受无理解雇的保障，以及政府承办商的雇员所得的保障，撮录于附件</w:t>
      </w:r>
      <w:r>
        <w:rPr>
          <w:snapToGrid/>
        </w:rPr>
        <w:t>7A</w:t>
      </w:r>
      <w:r>
        <w:rPr>
          <w:rFonts w:hint="eastAsia"/>
          <w:snapToGrid/>
        </w:rPr>
        <w:t>。</w:t>
      </w:r>
    </w:p>
    <w:p w:rsidR="00000000" w:rsidRDefault="00000000">
      <w:pPr>
        <w:rPr>
          <w:rFonts w:hint="eastAsia"/>
          <w:snapToGrid/>
        </w:rPr>
      </w:pPr>
      <w:r>
        <w:rPr>
          <w:snapToGrid/>
        </w:rPr>
        <w:tab/>
        <w:t xml:space="preserve">411.  </w:t>
      </w:r>
      <w:r>
        <w:rPr>
          <w:rFonts w:hint="eastAsia"/>
          <w:snapToGrid/>
        </w:rPr>
        <w:t>对于审议结论第</w:t>
      </w:r>
      <w:r>
        <w:rPr>
          <w:snapToGrid/>
        </w:rPr>
        <w:t>35</w:t>
      </w:r>
      <w:r>
        <w:rPr>
          <w:rFonts w:hint="eastAsia"/>
          <w:snapToGrid/>
        </w:rPr>
        <w:t>段所述的事项，我们认为，《性别歧视条例》的条文已就工作同值同酬的事宜作出规定，尽管个别案件仍须由法院裁决。平等机会委员会</w:t>
      </w:r>
      <w:r>
        <w:rPr>
          <w:snapToGrid/>
        </w:rPr>
        <w:t>(</w:t>
      </w:r>
      <w:r>
        <w:rPr>
          <w:rFonts w:hint="eastAsia"/>
          <w:snapToGrid/>
        </w:rPr>
        <w:t>平机会</w:t>
      </w:r>
      <w:r>
        <w:rPr>
          <w:snapToGrid/>
        </w:rPr>
        <w:t>)</w:t>
      </w:r>
      <w:r>
        <w:rPr>
          <w:rFonts w:hint="eastAsia"/>
          <w:snapToGrid/>
        </w:rPr>
        <w:t>已着手向雇主宣传，鼓励他们采用工作同值同酬的制度。为此，平机会在二零零一年十月召开研讨会，邀请来自澳洲、加拿大和英国的专家，共同探讨工作同值同酬的课题。会上，专家小组与本地雇主、人力资源从业员、决策人员，以及推动劳工权利</w:t>
      </w:r>
      <w:r>
        <w:rPr>
          <w:rFonts w:hint="eastAsia"/>
          <w:snapToGrid/>
        </w:rPr>
        <w:t>/</w:t>
      </w:r>
      <w:r>
        <w:rPr>
          <w:rFonts w:hint="eastAsia"/>
          <w:snapToGrid/>
        </w:rPr>
        <w:t>人权的人士交换意见，并阐释其他国家在这方面的经验。在二零零一年，平机会亦进行一项研究，分析本港是否有男女薪酬不平等的问题，并提出解决方法，确保从事同值工作的雇员获得同等报酬。</w:t>
      </w:r>
    </w:p>
    <w:p w:rsidR="00000000" w:rsidRDefault="00000000">
      <w:pPr>
        <w:rPr>
          <w:rFonts w:hint="eastAsia"/>
          <w:snapToGrid/>
        </w:rPr>
      </w:pPr>
      <w:r>
        <w:rPr>
          <w:snapToGrid/>
        </w:rPr>
        <w:tab/>
        <w:t xml:space="preserve">412.  </w:t>
      </w:r>
      <w:r>
        <w:rPr>
          <w:rFonts w:hint="eastAsia"/>
          <w:snapToGrid/>
        </w:rPr>
        <w:t>在香港推广同值同酬的概念，会有实际困难。本港大多数的雇主属中小型企业，雇主会因此需要制定客观的工作分类制度和厘定薪酬制度，以及雇用合资格的人员予以执行。因此，我们必须谨慎研究这个概念对雇主</w:t>
      </w:r>
      <w:r>
        <w:rPr>
          <w:snapToGrid/>
        </w:rPr>
        <w:t>(</w:t>
      </w:r>
      <w:r>
        <w:rPr>
          <w:rFonts w:hint="eastAsia"/>
          <w:snapToGrid/>
        </w:rPr>
        <w:t>尤其是中小型企业的雇主</w:t>
      </w:r>
      <w:r>
        <w:rPr>
          <w:snapToGrid/>
        </w:rPr>
        <w:t>)</w:t>
      </w:r>
      <w:r>
        <w:rPr>
          <w:rFonts w:hint="eastAsia"/>
          <w:snapToGrid/>
        </w:rPr>
        <w:t>的影响，以及其他可能衍生的问题。</w:t>
      </w:r>
    </w:p>
    <w:p w:rsidR="00000000" w:rsidRDefault="00000000">
      <w:pPr>
        <w:rPr>
          <w:rFonts w:hint="eastAsia"/>
          <w:snapToGrid/>
        </w:rPr>
      </w:pPr>
      <w:r>
        <w:rPr>
          <w:snapToGrid/>
        </w:rPr>
        <w:tab/>
        <w:t xml:space="preserve">413.  </w:t>
      </w:r>
      <w:r>
        <w:rPr>
          <w:rFonts w:hint="eastAsia"/>
          <w:snapToGrid/>
        </w:rPr>
        <w:t>有论者提出，有些雇主强迫其雇员转为自雇人士，以逃避支付强制性公积金付款</w:t>
      </w:r>
      <w:r>
        <w:rPr>
          <w:rFonts w:hint="eastAsia"/>
          <w:snapToGrid/>
        </w:rPr>
        <w:t xml:space="preserve"> </w:t>
      </w:r>
      <w:r>
        <w:rPr>
          <w:rStyle w:val="FootnoteReference"/>
          <w:snapToGrid/>
        </w:rPr>
        <w:footnoteReference w:customMarkFollows="1" w:id="31"/>
        <w:t>18</w:t>
      </w:r>
      <w:r>
        <w:rPr>
          <w:rFonts w:hint="eastAsia"/>
          <w:snapToGrid/>
        </w:rPr>
        <w:t xml:space="preserve"> </w:t>
      </w:r>
      <w:r>
        <w:rPr>
          <w:rFonts w:hint="eastAsia"/>
          <w:snapToGrid/>
        </w:rPr>
        <w:t>和提供其他雇佣福利的责任。然而，雇主不可未征得雇员同意而单方面改变雇佣条款。关于职业保障的《雇佣条例》第</w:t>
      </w:r>
      <w:r>
        <w:rPr>
          <w:bCs/>
          <w:snapToGrid/>
        </w:rPr>
        <w:t>VIA</w:t>
      </w:r>
      <w:r>
        <w:rPr>
          <w:rFonts w:hint="eastAsia"/>
          <w:snapToGrid/>
        </w:rPr>
        <w:t>部规定，雇员如果根据连续性合约受雇，而遭雇主单方面不合理地更改雇佣合约条款，雇员可提出补救申索。有关的补救措施包括：在劳资双方同意下判令复职</w:t>
      </w:r>
      <w:r>
        <w:rPr>
          <w:rFonts w:hint="eastAsia"/>
          <w:snapToGrid/>
        </w:rPr>
        <w:t>/</w:t>
      </w:r>
      <w:r>
        <w:rPr>
          <w:rFonts w:hint="eastAsia"/>
          <w:snapToGrid/>
        </w:rPr>
        <w:t>再次聘用、判给雇员终止雇佣金等。</w:t>
      </w:r>
    </w:p>
    <w:p w:rsidR="00000000" w:rsidRDefault="00000000">
      <w:pPr>
        <w:rPr>
          <w:rFonts w:hint="eastAsia"/>
          <w:snapToGrid/>
        </w:rPr>
      </w:pPr>
      <w:r>
        <w:rPr>
          <w:snapToGrid/>
        </w:rPr>
        <w:tab/>
        <w:t xml:space="preserve">414.  </w:t>
      </w:r>
      <w:r>
        <w:rPr>
          <w:rFonts w:hint="eastAsia"/>
          <w:snapToGrid/>
        </w:rPr>
        <w:t>根据普通法，未征得雇员事先同意而强迫他们转为自雇身分，而转变又令服务条件完全违反雇佣合约，对有关雇员不利，则可视为构定解雇。在这情况下，有关雇员可根据《雇佣条例》和本身的雇佣合约，申索终止合约赔偿。</w:t>
      </w:r>
    </w:p>
    <w:p w:rsidR="00000000" w:rsidRDefault="00000000">
      <w:pPr>
        <w:rPr>
          <w:rFonts w:hint="eastAsia"/>
          <w:snapToGrid/>
        </w:rPr>
      </w:pPr>
      <w:r>
        <w:rPr>
          <w:snapToGrid/>
        </w:rPr>
        <w:tab/>
        <w:t xml:space="preserve">415.  </w:t>
      </w:r>
      <w:r>
        <w:rPr>
          <w:rFonts w:hint="eastAsia"/>
          <w:snapToGrid/>
        </w:rPr>
        <w:t>法庭在研究这类申索时，会按照原则确定有关雇佣关系的真正性质。如果有关雇员</w:t>
      </w:r>
      <w:r>
        <w:rPr>
          <w:snapToGrid/>
        </w:rPr>
        <w:t>(</w:t>
      </w:r>
      <w:r>
        <w:rPr>
          <w:rFonts w:hint="eastAsia"/>
          <w:snapToGrid/>
        </w:rPr>
        <w:t>被迫</w:t>
      </w:r>
      <w:r>
        <w:rPr>
          <w:snapToGrid/>
        </w:rPr>
        <w:t>)</w:t>
      </w:r>
      <w:r>
        <w:rPr>
          <w:rFonts w:hint="eastAsia"/>
          <w:snapToGrid/>
        </w:rPr>
        <w:t>转为自雇后，与雇主的关系基本上没有改变，其雇主仍须根据《雇佣条例》和其他劳工法例，履行雇主的责任。</w:t>
      </w:r>
    </w:p>
    <w:p w:rsidR="00000000" w:rsidRDefault="00000000">
      <w:pPr>
        <w:rPr>
          <w:rFonts w:hint="eastAsia"/>
          <w:snapToGrid/>
        </w:rPr>
      </w:pPr>
      <w:r>
        <w:rPr>
          <w:snapToGrid/>
        </w:rPr>
        <w:tab/>
        <w:t xml:space="preserve">416.  </w:t>
      </w:r>
      <w:r>
        <w:rPr>
          <w:rFonts w:hint="eastAsia"/>
          <w:snapToGrid/>
        </w:rPr>
        <w:t>劳工处会积极调查有关强迫雇员改为自雇身分的投诉，并提供调解服务，协助解决由此而起的纠纷。经调解后仍有索偿问题尚待解决，则会视乎索偿金额多寡，交由劳资审裁处或小额薪酬索偿仲裁处作出裁决。劳工处如发现雇主违反《雇佣条例》，只要证据充足和受屈的雇员愿意作证，便会提出检控。</w:t>
      </w:r>
    </w:p>
    <w:p w:rsidR="00000000" w:rsidRDefault="00000000">
      <w:pPr>
        <w:rPr>
          <w:rFonts w:hint="eastAsia"/>
          <w:snapToGrid/>
        </w:rPr>
      </w:pPr>
      <w:r>
        <w:rPr>
          <w:snapToGrid/>
        </w:rPr>
        <w:tab/>
        <w:t xml:space="preserve">417.  </w:t>
      </w:r>
      <w:r>
        <w:rPr>
          <w:rFonts w:hint="eastAsia"/>
          <w:snapToGrid/>
        </w:rPr>
        <w:t>有论者认为《雇佣条例》对兼职雇员保障不足。然而，根据该条例，不论雇员的工作时数和受雇模式为何，他们均可享有所订明的基本保障和权利。这些保障措施包括：雇员获取工资的权利、扣减工资的限制、法定假日、保障职工会不受歧视、保障雇员不受无理及不合法解雇，以及禁止向怀孕雇员指派粗重、危险或有害的工作。</w:t>
      </w:r>
    </w:p>
    <w:p w:rsidR="00000000" w:rsidRDefault="00000000">
      <w:pPr>
        <w:spacing w:after="320"/>
        <w:rPr>
          <w:rFonts w:hint="eastAsia"/>
          <w:snapToGrid/>
        </w:rPr>
      </w:pPr>
      <w:r>
        <w:rPr>
          <w:snapToGrid/>
        </w:rPr>
        <w:tab/>
        <w:t xml:space="preserve">418.  </w:t>
      </w:r>
      <w:r>
        <w:rPr>
          <w:rFonts w:hint="eastAsia"/>
          <w:snapToGrid/>
        </w:rPr>
        <w:t>根据《雇佣条例》，以连续性合约</w:t>
      </w:r>
      <w:r>
        <w:rPr>
          <w:rFonts w:hint="eastAsia"/>
          <w:snapToGrid/>
        </w:rPr>
        <w:t xml:space="preserve"> </w:t>
      </w:r>
      <w:r>
        <w:rPr>
          <w:rStyle w:val="FootnoteReference"/>
          <w:snapToGrid/>
        </w:rPr>
        <w:footnoteReference w:customMarkFollows="1" w:id="32"/>
        <w:t>19</w:t>
      </w:r>
      <w:r>
        <w:rPr>
          <w:snapToGrid/>
        </w:rPr>
        <w:t xml:space="preserve"> </w:t>
      </w:r>
      <w:r>
        <w:rPr>
          <w:rFonts w:hint="eastAsia"/>
          <w:snapToGrid/>
        </w:rPr>
        <w:t>受雇的人士，如符合服务时期和其他准则的规定，便可享有所订明的其他法定福利。我们知道，有论者认为以这个方式区分雇员身分并不公平，但我们认为这样区分可使劳资双方的利益取得合理平衡。在二零零一年第三季，我们进行了一项调查，搜集更多关于并非根据连续性合约受雇的雇员的资料。调查发现没有证据显示工作时数少于</w:t>
      </w:r>
      <w:r>
        <w:rPr>
          <w:snapToGrid/>
        </w:rPr>
        <w:t>18</w:t>
      </w:r>
      <w:r>
        <w:rPr>
          <w:rFonts w:hint="eastAsia"/>
          <w:snapToGrid/>
        </w:rPr>
        <w:t>小时的雇员的人数有所增加，亦无证据显示条例对并非根据连续性合约受雇的雇员的保障不足。</w:t>
      </w:r>
    </w:p>
    <w:p w:rsidR="00000000" w:rsidRDefault="00000000">
      <w:pPr>
        <w:pStyle w:val="Heading4"/>
        <w:rPr>
          <w:rFonts w:hint="eastAsia"/>
        </w:rPr>
      </w:pPr>
      <w:r>
        <w:rPr>
          <w:rFonts w:hint="eastAsia"/>
        </w:rPr>
        <w:t>外地劳工和外籍家庭佣工</w:t>
      </w:r>
    </w:p>
    <w:p w:rsidR="00000000" w:rsidRDefault="00000000">
      <w:pPr>
        <w:rPr>
          <w:rFonts w:hint="eastAsia"/>
          <w:snapToGrid/>
        </w:rPr>
      </w:pPr>
      <w:r>
        <w:rPr>
          <w:snapToGrid/>
        </w:rPr>
        <w:tab/>
        <w:t xml:space="preserve">419.  </w:t>
      </w:r>
      <w:r>
        <w:rPr>
          <w:rFonts w:hint="eastAsia"/>
          <w:snapToGrid/>
        </w:rPr>
        <w:t>在审议结论第</w:t>
      </w:r>
      <w:r>
        <w:rPr>
          <w:snapToGrid/>
        </w:rPr>
        <w:t>15(</w:t>
      </w:r>
      <w:r>
        <w:rPr>
          <w:bCs/>
          <w:snapToGrid/>
        </w:rPr>
        <w:t>f)</w:t>
      </w:r>
      <w:r>
        <w:rPr>
          <w:rFonts w:hint="eastAsia"/>
          <w:snapToGrid/>
        </w:rPr>
        <w:t>段中，委员会认为，“实施外籍家庭佣工约满后须两周内返国的规定，剥削他们自由求职和免遭歧视的权利”，并对此特别表示关注。</w:t>
      </w:r>
    </w:p>
    <w:p w:rsidR="00000000" w:rsidRDefault="00000000">
      <w:pPr>
        <w:rPr>
          <w:rFonts w:hint="eastAsia"/>
          <w:snapToGrid/>
        </w:rPr>
      </w:pPr>
      <w:r>
        <w:rPr>
          <w:snapToGrid/>
        </w:rPr>
        <w:tab/>
        <w:t xml:space="preserve">420.  </w:t>
      </w:r>
      <w:r>
        <w:rPr>
          <w:rFonts w:hint="eastAsia"/>
          <w:snapToGrid/>
        </w:rPr>
        <w:t>我们认为外佣约满后须两周内返国的规定，并不影响他们根据法例行使的权利。外佣可获得劳工处提供免费调解服务、向雇主索取欠薪，以及享有其他与雇佣有关的权益。他们也可向本港的司法机构</w:t>
      </w:r>
      <w:r>
        <w:rPr>
          <w:snapToGrid/>
        </w:rPr>
        <w:t>(</w:t>
      </w:r>
      <w:r>
        <w:rPr>
          <w:rFonts w:hint="eastAsia"/>
          <w:snapToGrid/>
        </w:rPr>
        <w:t>例如：劳资审裁处、小额薪酬索偿仲裁处</w:t>
      </w:r>
      <w:r>
        <w:rPr>
          <w:snapToGrid/>
        </w:rPr>
        <w:t>)</w:t>
      </w:r>
      <w:r>
        <w:rPr>
          <w:rFonts w:hint="eastAsia"/>
          <w:snapToGrid/>
        </w:rPr>
        <w:t>申诉和提出索偿。劳工处亦会调查有关违反劳工法例的个案，如发现雇主不依法行事，劳工处会提出检控。此外，提出申索的外佣可申请延期居留。根据这项政策，外佣如在雇佣合约届满前遭终止合约，可在返回原居地后再来港工作，而视乎个别情况，当局更会容许外佣无须返回原居地而另觅新职。</w:t>
      </w:r>
    </w:p>
    <w:p w:rsidR="00000000" w:rsidRDefault="00000000">
      <w:pPr>
        <w:rPr>
          <w:rFonts w:hint="eastAsia"/>
          <w:snapToGrid/>
        </w:rPr>
      </w:pPr>
      <w:r>
        <w:rPr>
          <w:snapToGrid/>
        </w:rPr>
        <w:tab/>
        <w:t xml:space="preserve">421.  </w:t>
      </w:r>
      <w:r>
        <w:rPr>
          <w:rFonts w:hint="eastAsia"/>
          <w:snapToGrid/>
        </w:rPr>
        <w:t>有</w:t>
      </w:r>
      <w:r>
        <w:rPr>
          <w:rFonts w:hint="eastAsia"/>
          <w:snapToGrid/>
          <w:spacing w:val="8"/>
        </w:rPr>
        <w:t>论者对于拒付和少付工资的问题表示关注。目前本港法例规定，雇主如在到期支付工资时故意和无合理辩解而拖欠雇员薪金，可被检控，一经定罪，可</w:t>
      </w:r>
      <w:r>
        <w:rPr>
          <w:rFonts w:hint="eastAsia"/>
          <w:snapToGrid/>
          <w:spacing w:val="6"/>
        </w:rPr>
        <w:t>处罚款</w:t>
      </w:r>
      <w:r>
        <w:rPr>
          <w:snapToGrid/>
          <w:spacing w:val="6"/>
        </w:rPr>
        <w:t>200,000</w:t>
      </w:r>
      <w:r>
        <w:rPr>
          <w:rFonts w:hint="eastAsia"/>
          <w:snapToGrid/>
          <w:spacing w:val="6"/>
        </w:rPr>
        <w:t>港元及监禁一年。有关雇主还须就拖欠雇员的工资数目支付利息</w:t>
      </w:r>
      <w:r>
        <w:rPr>
          <w:rStyle w:val="FootnoteReference"/>
          <w:snapToGrid/>
          <w:spacing w:val="6"/>
        </w:rPr>
        <w:footnoteReference w:customMarkFollows="1" w:id="33"/>
        <w:t>20</w:t>
      </w:r>
      <w:r>
        <w:rPr>
          <w:rFonts w:hint="eastAsia"/>
          <w:snapToGrid/>
          <w:spacing w:val="6"/>
        </w:rPr>
        <w:t>。</w:t>
      </w:r>
      <w:r>
        <w:rPr>
          <w:rFonts w:hint="eastAsia"/>
          <w:snapToGrid/>
          <w:spacing w:val="8"/>
        </w:rPr>
        <w:t>政府非常重视有关问题。劳工处会经常派员巡查工作场所，例如地盘和膳食服务公司，以侦察有关罪行；假如该处人员怀疑有人违反法例，会即时展开调查，并在取得足够证据时提出检控。</w:t>
      </w:r>
    </w:p>
    <w:p w:rsidR="00000000" w:rsidRDefault="00000000">
      <w:pPr>
        <w:rPr>
          <w:rFonts w:hint="eastAsia"/>
          <w:snapToGrid/>
        </w:rPr>
      </w:pPr>
      <w:r>
        <w:rPr>
          <w:snapToGrid/>
        </w:rPr>
        <w:tab/>
        <w:t xml:space="preserve">422.  </w:t>
      </w:r>
      <w:r>
        <w:rPr>
          <w:rFonts w:hint="eastAsia"/>
          <w:snapToGrid/>
        </w:rPr>
        <w:t>尽管如此，最重要的还是遭雇主拖欠工资的雇员，必须向劳工处提出投诉和准备担任控方证人。因此，劳工处进行宣传时，一向都是一方面提醒雇主有责任准时发放工资，另一方面则促请雇员要尽快提出申索，并挺身作证。这些雇员的权益受《雇佣条例》第</w:t>
      </w:r>
      <w:r>
        <w:rPr>
          <w:snapToGrid/>
        </w:rPr>
        <w:t>72</w:t>
      </w:r>
      <w:r>
        <w:rPr>
          <w:bCs/>
          <w:snapToGrid/>
        </w:rPr>
        <w:t>B</w:t>
      </w:r>
      <w:r>
        <w:rPr>
          <w:rFonts w:hint="eastAsia"/>
          <w:snapToGrid/>
        </w:rPr>
        <w:t>条保障，因为该条文禁止雇主辞退或歧视在与执行条例有关的任何法律程序或研讯中提供证据或资料的雇员。</w:t>
      </w:r>
    </w:p>
    <w:p w:rsidR="00000000" w:rsidRDefault="00000000">
      <w:pPr>
        <w:rPr>
          <w:rFonts w:hint="eastAsia"/>
          <w:snapToGrid/>
        </w:rPr>
      </w:pPr>
      <w:r>
        <w:rPr>
          <w:snapToGrid/>
        </w:rPr>
        <w:tab/>
        <w:t xml:space="preserve">423.  </w:t>
      </w:r>
      <w:r>
        <w:rPr>
          <w:rFonts w:hint="eastAsia"/>
          <w:snapToGrid/>
        </w:rPr>
        <w:t>二零零二年，劳工处加强执法行动，向违反工资规例人士发出的传票增至</w:t>
      </w:r>
      <w:r>
        <w:rPr>
          <w:snapToGrid/>
        </w:rPr>
        <w:t>198</w:t>
      </w:r>
      <w:r>
        <w:rPr>
          <w:rFonts w:hint="eastAsia"/>
          <w:snapToGrid/>
        </w:rPr>
        <w:t>张，比二零零一年的</w:t>
      </w:r>
      <w:r>
        <w:rPr>
          <w:snapToGrid/>
        </w:rPr>
        <w:t>95</w:t>
      </w:r>
      <w:r>
        <w:rPr>
          <w:rFonts w:hint="eastAsia"/>
          <w:snapToGrid/>
        </w:rPr>
        <w:t>张增加了</w:t>
      </w:r>
      <w:r>
        <w:rPr>
          <w:snapToGrid/>
        </w:rPr>
        <w:t>108%</w:t>
      </w:r>
      <w:r>
        <w:rPr>
          <w:rFonts w:hint="eastAsia"/>
          <w:snapToGrid/>
        </w:rPr>
        <w:t>。在二零零二年经定罪的个案有</w:t>
      </w:r>
      <w:r>
        <w:rPr>
          <w:snapToGrid/>
        </w:rPr>
        <w:t>139</w:t>
      </w:r>
      <w:r>
        <w:rPr>
          <w:rFonts w:hint="eastAsia"/>
          <w:snapToGrid/>
        </w:rPr>
        <w:t>宗，比二零零一年的</w:t>
      </w:r>
      <w:r>
        <w:rPr>
          <w:snapToGrid/>
        </w:rPr>
        <w:t>75</w:t>
      </w:r>
      <w:r>
        <w:rPr>
          <w:rFonts w:hint="eastAsia"/>
          <w:snapToGrid/>
        </w:rPr>
        <w:t>宗增加了</w:t>
      </w:r>
      <w:r>
        <w:rPr>
          <w:snapToGrid/>
        </w:rPr>
        <w:t>85%</w:t>
      </w:r>
      <w:r>
        <w:rPr>
          <w:rFonts w:hint="eastAsia"/>
          <w:snapToGrid/>
        </w:rPr>
        <w:t>。此外，劳工处在二零零二年九月设立“雇佣申索调查组”，尽快深入调查涉嫌违反《雇佣条例》的个案，以期及早提出检控。</w:t>
      </w:r>
    </w:p>
    <w:p w:rsidR="00000000" w:rsidRDefault="00000000">
      <w:pPr>
        <w:rPr>
          <w:rFonts w:hint="eastAsia"/>
          <w:snapToGrid/>
        </w:rPr>
      </w:pPr>
      <w:r>
        <w:rPr>
          <w:snapToGrid/>
        </w:rPr>
        <w:tab/>
        <w:t xml:space="preserve">424.  </w:t>
      </w:r>
      <w:r>
        <w:rPr>
          <w:rFonts w:hint="eastAsia"/>
          <w:snapToGrid/>
        </w:rPr>
        <w:t>有论者关注“破产欠薪保障基金”可能被滥用的问题。这个基金根据《破产欠薪保障条例》</w:t>
      </w:r>
      <w:r>
        <w:rPr>
          <w:snapToGrid/>
        </w:rPr>
        <w:t>(</w:t>
      </w:r>
      <w:r>
        <w:rPr>
          <w:rFonts w:hint="eastAsia"/>
          <w:snapToGrid/>
        </w:rPr>
        <w:t>第</w:t>
      </w:r>
      <w:r>
        <w:rPr>
          <w:snapToGrid/>
        </w:rPr>
        <w:t>380</w:t>
      </w:r>
      <w:r>
        <w:rPr>
          <w:rFonts w:hint="eastAsia"/>
          <w:snapToGrid/>
        </w:rPr>
        <w:t>章</w:t>
      </w:r>
      <w:r>
        <w:rPr>
          <w:snapToGrid/>
        </w:rPr>
        <w:t>)</w:t>
      </w:r>
      <w:r>
        <w:rPr>
          <w:rFonts w:hint="eastAsia"/>
          <w:snapToGrid/>
        </w:rPr>
        <w:t>设立；我们亦曾在首份报告第</w:t>
      </w:r>
      <w:r>
        <w:rPr>
          <w:snapToGrid/>
        </w:rPr>
        <w:t>115</w:t>
      </w:r>
      <w:r>
        <w:rPr>
          <w:rFonts w:hint="eastAsia"/>
          <w:snapToGrid/>
        </w:rPr>
        <w:t>段论述有关基金的安排。</w:t>
      </w:r>
    </w:p>
    <w:p w:rsidR="00000000" w:rsidRDefault="00000000">
      <w:pPr>
        <w:rPr>
          <w:rFonts w:hint="eastAsia"/>
          <w:snapToGrid/>
        </w:rPr>
      </w:pPr>
      <w:r>
        <w:rPr>
          <w:snapToGrid/>
        </w:rPr>
        <w:tab/>
        <w:t xml:space="preserve">425.  </w:t>
      </w:r>
      <w:r>
        <w:rPr>
          <w:rFonts w:hint="eastAsia"/>
          <w:snapToGrid/>
        </w:rPr>
        <w:t>在二零零二年，向基金申请特惠款项的个案大幅上升，总数达</w:t>
      </w:r>
      <w:r>
        <w:rPr>
          <w:snapToGrid/>
        </w:rPr>
        <w:t>23,023</w:t>
      </w:r>
      <w:r>
        <w:rPr>
          <w:rFonts w:hint="eastAsia"/>
          <w:snapToGrid/>
        </w:rPr>
        <w:t>宗，较二零零一年增加</w:t>
      </w:r>
      <w:r>
        <w:rPr>
          <w:snapToGrid/>
        </w:rPr>
        <w:t>27.6%</w:t>
      </w:r>
      <w:r>
        <w:rPr>
          <w:rFonts w:hint="eastAsia"/>
          <w:snapToGrid/>
        </w:rPr>
        <w:t>，因此引起关注。申请个案大幅增加，主要是由于在二零零二年七月有一个大型饮食集团申请破产，单就这宗个案所接获的申请，已占约</w:t>
      </w:r>
      <w:r>
        <w:rPr>
          <w:snapToGrid/>
        </w:rPr>
        <w:t>2,100</w:t>
      </w:r>
      <w:r>
        <w:rPr>
          <w:rFonts w:hint="eastAsia"/>
          <w:snapToGrid/>
        </w:rPr>
        <w:t>宗。如果扣除这宗个案，增幅大约是</w:t>
      </w:r>
      <w:r>
        <w:rPr>
          <w:snapToGrid/>
        </w:rPr>
        <w:t>16%</w:t>
      </w:r>
      <w:r>
        <w:rPr>
          <w:rFonts w:hint="eastAsia"/>
          <w:snapToGrid/>
        </w:rPr>
        <w:t>。向基金申请特惠款项的数目与经济状况关系密切，二零零二年的增幅其实反映了营商环境困难，而不是基金遭滥用的情况有所增加。虽则如此，劳工处非常重视这类滥用的情况，并已制定严格步骤，审核所有申请。此外，政府近期亦成立了一个特别工作小组，成员包括警务处商业罪案调查科、破产管理署、法律援助署及劳工处等，以防止任何人滥用基金。</w:t>
      </w:r>
    </w:p>
    <w:p w:rsidR="00000000" w:rsidRDefault="00000000">
      <w:pPr>
        <w:spacing w:after="320"/>
        <w:rPr>
          <w:rFonts w:hint="eastAsia"/>
          <w:snapToGrid/>
        </w:rPr>
      </w:pPr>
      <w:r>
        <w:rPr>
          <w:snapToGrid/>
        </w:rPr>
        <w:tab/>
        <w:t xml:space="preserve">426.  </w:t>
      </w:r>
      <w:r>
        <w:rPr>
          <w:rFonts w:hint="eastAsia"/>
          <w:snapToGrid/>
        </w:rPr>
        <w:t>有论者要求当局为受伤雇员及其家属提供心理辅导，其实公立医院的医务社会服务部及各家庭服务中心均有提供这类辅导服务。有关人士固然可以直接自行寻求辅导，不过，劳工处人员亦会与受伤雇员及已故雇员的家属保持密切联络，如果他们有需要，会转介他们接受辅导。</w:t>
      </w:r>
    </w:p>
    <w:p w:rsidR="00000000" w:rsidRDefault="00000000">
      <w:pPr>
        <w:pStyle w:val="Heading3"/>
        <w:rPr>
          <w:rFonts w:ascii="Time New Roman" w:eastAsia="SimHei" w:hAnsi="Time New Roman" w:hint="eastAsia"/>
          <w:u w:val="none"/>
        </w:rPr>
      </w:pPr>
      <w:bookmarkStart w:id="44" w:name="_Toc78772953"/>
      <w:r>
        <w:rPr>
          <w:rFonts w:ascii="Time New Roman" w:eastAsia="SimHei" w:hAnsi="Time New Roman"/>
          <w:b/>
          <w:u w:val="none"/>
        </w:rPr>
        <w:t>H</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八</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t xml:space="preserve">     </w:t>
      </w:r>
      <w:r>
        <w:rPr>
          <w:rFonts w:ascii="Time New Roman" w:eastAsia="SimHei" w:hAnsi="Time New Roman" w:hint="eastAsia"/>
          <w:u w:val="none"/>
        </w:rPr>
        <w:t>成为职工会会员的权利</w:t>
      </w:r>
      <w:bookmarkEnd w:id="44"/>
    </w:p>
    <w:p w:rsidR="00000000" w:rsidRDefault="00000000">
      <w:pPr>
        <w:pStyle w:val="Heading4"/>
        <w:rPr>
          <w:rFonts w:hint="eastAsia"/>
        </w:rPr>
      </w:pPr>
      <w:r>
        <w:rPr>
          <w:rFonts w:hint="eastAsia"/>
        </w:rPr>
        <w:t>国际劳工公约</w:t>
      </w:r>
    </w:p>
    <w:p w:rsidR="00000000" w:rsidRDefault="00000000">
      <w:pPr>
        <w:tabs>
          <w:tab w:val="left" w:pos="567"/>
          <w:tab w:val="left" w:pos="1134"/>
          <w:tab w:val="left" w:pos="1701"/>
        </w:tabs>
        <w:rPr>
          <w:rFonts w:hint="eastAsia"/>
          <w:snapToGrid/>
        </w:rPr>
      </w:pPr>
      <w:r>
        <w:rPr>
          <w:snapToGrid/>
        </w:rPr>
        <w:tab/>
        <w:t xml:space="preserve">427.  </w:t>
      </w:r>
      <w:r>
        <w:rPr>
          <w:rFonts w:hint="eastAsia"/>
          <w:snapToGrid/>
        </w:rPr>
        <w:t>下列向国际劳工组织提交的报告，已提供与本条有关的各项资料：</w:t>
      </w:r>
    </w:p>
    <w:p w:rsidR="00000000" w:rsidRDefault="00000000">
      <w:pPr>
        <w:numPr>
          <w:ilvl w:val="0"/>
          <w:numId w:val="132"/>
        </w:numPr>
        <w:rPr>
          <w:snapToGrid/>
        </w:rPr>
      </w:pPr>
      <w:r>
        <w:rPr>
          <w:rFonts w:hint="eastAsia"/>
          <w:snapToGrid/>
        </w:rPr>
        <w:t>就《</w:t>
      </w:r>
      <w:r>
        <w:rPr>
          <w:snapToGrid/>
        </w:rPr>
        <w:t>(</w:t>
      </w:r>
      <w:r>
        <w:rPr>
          <w:rFonts w:hint="eastAsia"/>
          <w:snapToGrid/>
        </w:rPr>
        <w:t>农业</w:t>
      </w:r>
      <w:r>
        <w:rPr>
          <w:snapToGrid/>
        </w:rPr>
        <w:t>)</w:t>
      </w:r>
      <w:r>
        <w:rPr>
          <w:rFonts w:hint="eastAsia"/>
          <w:snapToGrid/>
        </w:rPr>
        <w:t>结社权利公约》</w:t>
      </w:r>
      <w:r>
        <w:rPr>
          <w:snapToGrid/>
        </w:rPr>
        <w:t>(</w:t>
      </w:r>
      <w:r>
        <w:rPr>
          <w:rFonts w:hint="eastAsia"/>
          <w:snapToGrid/>
        </w:rPr>
        <w:t>第</w:t>
      </w:r>
      <w:r>
        <w:rPr>
          <w:snapToGrid/>
        </w:rPr>
        <w:t>11</w:t>
      </w:r>
      <w:r>
        <w:rPr>
          <w:rFonts w:hint="eastAsia"/>
          <w:snapToGrid/>
        </w:rPr>
        <w:t>号公约</w:t>
      </w:r>
      <w:r>
        <w:rPr>
          <w:snapToGrid/>
        </w:rPr>
        <w:t>)</w:t>
      </w:r>
      <w:r>
        <w:rPr>
          <w:rFonts w:hint="eastAsia"/>
          <w:snapToGrid/>
        </w:rPr>
        <w:t>提交有关一九九四年七月一日至一九九九年五月三十一日，以及一九九九年六月一日至二零零一年五月三十一日期间的第</w:t>
      </w:r>
      <w:r>
        <w:rPr>
          <w:snapToGrid/>
        </w:rPr>
        <w:t>22</w:t>
      </w:r>
      <w:r>
        <w:rPr>
          <w:rFonts w:hint="eastAsia"/>
          <w:snapToGrid/>
        </w:rPr>
        <w:t>条报告；</w:t>
      </w:r>
    </w:p>
    <w:p w:rsidR="00000000" w:rsidRDefault="00000000">
      <w:pPr>
        <w:numPr>
          <w:ilvl w:val="0"/>
          <w:numId w:val="132"/>
        </w:numPr>
        <w:tabs>
          <w:tab w:val="left" w:pos="567"/>
          <w:tab w:val="left" w:pos="1134"/>
          <w:tab w:val="left" w:pos="1701"/>
        </w:tabs>
        <w:rPr>
          <w:snapToGrid/>
        </w:rPr>
      </w:pPr>
      <w:r>
        <w:rPr>
          <w:rFonts w:hint="eastAsia"/>
          <w:snapToGrid/>
        </w:rPr>
        <w:t>就《组织权利和集体谈判权利公约》</w:t>
      </w:r>
      <w:r>
        <w:rPr>
          <w:snapToGrid/>
        </w:rPr>
        <w:t>(</w:t>
      </w:r>
      <w:r>
        <w:rPr>
          <w:rFonts w:hint="eastAsia"/>
          <w:snapToGrid/>
        </w:rPr>
        <w:t>第</w:t>
      </w:r>
      <w:r>
        <w:rPr>
          <w:snapToGrid/>
        </w:rPr>
        <w:t>98</w:t>
      </w:r>
      <w:r>
        <w:rPr>
          <w:rFonts w:hint="eastAsia"/>
          <w:snapToGrid/>
        </w:rPr>
        <w:t>号公约</w:t>
      </w:r>
      <w:r>
        <w:rPr>
          <w:snapToGrid/>
        </w:rPr>
        <w:t>)</w:t>
      </w:r>
      <w:r>
        <w:rPr>
          <w:rFonts w:hint="eastAsia"/>
          <w:snapToGrid/>
        </w:rPr>
        <w:t>提交有关一九九七年一月一日至一九九九年五月三十一日，以及一九九九年六月一日至二零零一年五月三十一日期间的第</w:t>
      </w:r>
      <w:r>
        <w:rPr>
          <w:snapToGrid/>
        </w:rPr>
        <w:t>22</w:t>
      </w:r>
      <w:r>
        <w:rPr>
          <w:rFonts w:hint="eastAsia"/>
          <w:snapToGrid/>
        </w:rPr>
        <w:t>条报告；</w:t>
      </w:r>
    </w:p>
    <w:p w:rsidR="00000000" w:rsidRDefault="00000000">
      <w:pPr>
        <w:numPr>
          <w:ilvl w:val="0"/>
          <w:numId w:val="132"/>
        </w:numPr>
        <w:tabs>
          <w:tab w:val="left" w:pos="567"/>
          <w:tab w:val="left" w:pos="1134"/>
          <w:tab w:val="left" w:pos="1701"/>
        </w:tabs>
        <w:rPr>
          <w:snapToGrid/>
        </w:rPr>
      </w:pPr>
      <w:r>
        <w:rPr>
          <w:rFonts w:hint="eastAsia"/>
          <w:snapToGrid/>
        </w:rPr>
        <w:t>就《农村工人组织公约》</w:t>
      </w:r>
      <w:r>
        <w:rPr>
          <w:snapToGrid/>
        </w:rPr>
        <w:t>(</w:t>
      </w:r>
      <w:r>
        <w:rPr>
          <w:rFonts w:hint="eastAsia"/>
          <w:snapToGrid/>
        </w:rPr>
        <w:t>第</w:t>
      </w:r>
      <w:r>
        <w:rPr>
          <w:snapToGrid/>
        </w:rPr>
        <w:t>141</w:t>
      </w:r>
      <w:r>
        <w:rPr>
          <w:rFonts w:hint="eastAsia"/>
          <w:snapToGrid/>
        </w:rPr>
        <w:t>号公约</w:t>
      </w:r>
      <w:r>
        <w:rPr>
          <w:snapToGrid/>
        </w:rPr>
        <w:t>)</w:t>
      </w:r>
      <w:r>
        <w:rPr>
          <w:rFonts w:hint="eastAsia"/>
          <w:snapToGrid/>
        </w:rPr>
        <w:t>提交有关一九九七年一月一日至二零零二年五月三十一日期间的第</w:t>
      </w:r>
      <w:r>
        <w:rPr>
          <w:snapToGrid/>
        </w:rPr>
        <w:t>22</w:t>
      </w:r>
      <w:r>
        <w:rPr>
          <w:rFonts w:hint="eastAsia"/>
          <w:snapToGrid/>
        </w:rPr>
        <w:t>条报告；</w:t>
      </w:r>
    </w:p>
    <w:p w:rsidR="00000000" w:rsidRDefault="00000000">
      <w:pPr>
        <w:numPr>
          <w:ilvl w:val="0"/>
          <w:numId w:val="132"/>
        </w:numPr>
        <w:tabs>
          <w:tab w:val="left" w:pos="567"/>
          <w:tab w:val="left" w:pos="1134"/>
          <w:tab w:val="left" w:pos="1701"/>
        </w:tabs>
        <w:rPr>
          <w:snapToGrid/>
        </w:rPr>
      </w:pPr>
      <w:r>
        <w:rPr>
          <w:rFonts w:hint="eastAsia"/>
          <w:snapToGrid/>
        </w:rPr>
        <w:t>就《</w:t>
      </w:r>
      <w:r>
        <w:rPr>
          <w:snapToGrid/>
        </w:rPr>
        <w:t>(</w:t>
      </w:r>
      <w:r>
        <w:rPr>
          <w:rFonts w:hint="eastAsia"/>
          <w:snapToGrid/>
        </w:rPr>
        <w:t>公共部门</w:t>
      </w:r>
      <w:r>
        <w:rPr>
          <w:snapToGrid/>
        </w:rPr>
        <w:t>)</w:t>
      </w:r>
      <w:r>
        <w:rPr>
          <w:rFonts w:hint="eastAsia"/>
          <w:snapToGrid/>
        </w:rPr>
        <w:t>劳资关系公约》</w:t>
      </w:r>
      <w:r>
        <w:rPr>
          <w:snapToGrid/>
        </w:rPr>
        <w:t>(</w:t>
      </w:r>
      <w:r>
        <w:rPr>
          <w:rFonts w:hint="eastAsia"/>
          <w:snapToGrid/>
        </w:rPr>
        <w:t>第</w:t>
      </w:r>
      <w:r>
        <w:rPr>
          <w:snapToGrid/>
        </w:rPr>
        <w:t>151</w:t>
      </w:r>
      <w:r>
        <w:rPr>
          <w:rFonts w:hint="eastAsia"/>
          <w:snapToGrid/>
        </w:rPr>
        <w:t>号公约</w:t>
      </w:r>
      <w:r>
        <w:rPr>
          <w:snapToGrid/>
        </w:rPr>
        <w:t>)</w:t>
      </w:r>
      <w:r>
        <w:rPr>
          <w:rFonts w:hint="eastAsia"/>
          <w:snapToGrid/>
        </w:rPr>
        <w:t>提交一九九六年一月一日至一九九九年五月三十一日，以及一九九九年六月一日至二零零一年五月三十一日期间的第</w:t>
      </w:r>
      <w:r>
        <w:rPr>
          <w:snapToGrid/>
        </w:rPr>
        <w:t>22</w:t>
      </w:r>
      <w:r>
        <w:rPr>
          <w:rFonts w:hint="eastAsia"/>
          <w:snapToGrid/>
        </w:rPr>
        <w:t>条报告；</w:t>
      </w:r>
    </w:p>
    <w:p w:rsidR="00000000" w:rsidRDefault="00000000">
      <w:pPr>
        <w:numPr>
          <w:ilvl w:val="0"/>
          <w:numId w:val="132"/>
        </w:numPr>
        <w:tabs>
          <w:tab w:val="left" w:pos="567"/>
          <w:tab w:val="left" w:pos="1134"/>
          <w:tab w:val="left" w:pos="1701"/>
        </w:tabs>
        <w:spacing w:after="120"/>
        <w:rPr>
          <w:rFonts w:hint="eastAsia"/>
          <w:snapToGrid/>
        </w:rPr>
      </w:pPr>
      <w:r>
        <w:rPr>
          <w:rFonts w:hint="eastAsia"/>
          <w:snapToGrid/>
        </w:rPr>
        <w:t>就《结社自由和保护组织权利公约》</w:t>
      </w:r>
      <w:r>
        <w:rPr>
          <w:snapToGrid/>
        </w:rPr>
        <w:t>(</w:t>
      </w:r>
      <w:r>
        <w:rPr>
          <w:rFonts w:hint="eastAsia"/>
          <w:snapToGrid/>
        </w:rPr>
        <w:t>第</w:t>
      </w:r>
      <w:r>
        <w:rPr>
          <w:snapToGrid/>
        </w:rPr>
        <w:t>87</w:t>
      </w:r>
      <w:r>
        <w:rPr>
          <w:rFonts w:hint="eastAsia"/>
          <w:snapToGrid/>
        </w:rPr>
        <w:t>号公约</w:t>
      </w:r>
      <w:r>
        <w:rPr>
          <w:snapToGrid/>
        </w:rPr>
        <w:t>)</w:t>
      </w:r>
      <w:r>
        <w:rPr>
          <w:rFonts w:hint="eastAsia"/>
          <w:snapToGrid/>
        </w:rPr>
        <w:t>提交一九九八年六月一日至二零零零年五月三十一日，以及二零零零年六月一日至二零零二年五月三十一日期间的第</w:t>
      </w:r>
      <w:r>
        <w:rPr>
          <w:snapToGrid/>
        </w:rPr>
        <w:t>22</w:t>
      </w:r>
      <w:r>
        <w:rPr>
          <w:rFonts w:hint="eastAsia"/>
          <w:snapToGrid/>
        </w:rPr>
        <w:t>条报告。</w:t>
      </w:r>
    </w:p>
    <w:p w:rsidR="00000000" w:rsidRDefault="00000000">
      <w:pPr>
        <w:pStyle w:val="Heading4"/>
        <w:spacing w:after="120"/>
      </w:pPr>
      <w:r>
        <w:rPr>
          <w:rFonts w:hint="eastAsia"/>
          <w:u w:val="none"/>
        </w:rPr>
        <w:t>《</w:t>
      </w:r>
      <w:r>
        <w:rPr>
          <w:rFonts w:hint="eastAsia"/>
        </w:rPr>
        <w:t>职工会条例</w:t>
      </w:r>
      <w:r>
        <w:rPr>
          <w:rFonts w:hint="eastAsia"/>
          <w:u w:val="none"/>
        </w:rPr>
        <w:t>》</w:t>
      </w:r>
    </w:p>
    <w:p w:rsidR="00000000" w:rsidRDefault="00000000">
      <w:pPr>
        <w:tabs>
          <w:tab w:val="left" w:pos="567"/>
          <w:tab w:val="left" w:pos="1134"/>
          <w:tab w:val="left" w:pos="1701"/>
        </w:tabs>
        <w:spacing w:after="120"/>
        <w:rPr>
          <w:rFonts w:hint="eastAsia"/>
          <w:snapToGrid/>
        </w:rPr>
      </w:pPr>
      <w:r>
        <w:rPr>
          <w:snapToGrid/>
        </w:rPr>
        <w:tab/>
        <w:t xml:space="preserve">428.  </w:t>
      </w:r>
      <w:r>
        <w:rPr>
          <w:rFonts w:hint="eastAsia"/>
          <w:snapToGrid/>
        </w:rPr>
        <w:t>情况并无改变，与首份报告第</w:t>
      </w:r>
      <w:r>
        <w:rPr>
          <w:snapToGrid/>
        </w:rPr>
        <w:t>120</w:t>
      </w:r>
      <w:r>
        <w:rPr>
          <w:rFonts w:hint="eastAsia"/>
          <w:snapToGrid/>
        </w:rPr>
        <w:t>至第</w:t>
      </w:r>
      <w:r>
        <w:rPr>
          <w:snapToGrid/>
        </w:rPr>
        <w:t>126</w:t>
      </w:r>
      <w:r>
        <w:rPr>
          <w:rFonts w:hint="eastAsia"/>
          <w:snapToGrid/>
        </w:rPr>
        <w:t>段所阐释的相同。</w:t>
      </w:r>
    </w:p>
    <w:p w:rsidR="00000000" w:rsidRDefault="00000000">
      <w:pPr>
        <w:pStyle w:val="Heading4"/>
        <w:spacing w:after="120"/>
        <w:rPr>
          <w:i/>
        </w:rPr>
      </w:pPr>
      <w:r>
        <w:rPr>
          <w:rFonts w:hint="eastAsia"/>
        </w:rPr>
        <w:t>职工会数目与会员人数</w:t>
      </w:r>
    </w:p>
    <w:p w:rsidR="00000000" w:rsidRDefault="00000000">
      <w:pPr>
        <w:tabs>
          <w:tab w:val="left" w:pos="567"/>
          <w:tab w:val="left" w:pos="1134"/>
          <w:tab w:val="left" w:pos="1701"/>
        </w:tabs>
        <w:spacing w:after="160"/>
        <w:rPr>
          <w:snapToGrid/>
        </w:rPr>
      </w:pPr>
      <w:r>
        <w:rPr>
          <w:snapToGrid/>
        </w:rPr>
        <w:tab/>
        <w:t xml:space="preserve">429.  </w:t>
      </w:r>
      <w:r>
        <w:rPr>
          <w:rFonts w:hint="eastAsia"/>
          <w:snapToGrid/>
        </w:rPr>
        <w:t>截至二零零一年十二月三十一日为止，香港工会的数目和公布的会员人数分列如下：</w:t>
      </w:r>
    </w:p>
    <w:tbl>
      <w:tblPr>
        <w:tblW w:w="5000" w:type="pct"/>
        <w:tblBorders>
          <w:top w:val="single" w:sz="6" w:space="0" w:color="auto"/>
          <w:left w:val="single" w:sz="6" w:space="0" w:color="auto"/>
          <w:bottom w:val="single" w:sz="6" w:space="0" w:color="auto"/>
          <w:right w:val="single" w:sz="6" w:space="0" w:color="auto"/>
        </w:tblBorders>
        <w:tblCellMar>
          <w:left w:w="28" w:type="dxa"/>
          <w:right w:w="28" w:type="dxa"/>
        </w:tblCellMar>
        <w:tblLook w:val="0000" w:firstRow="0" w:lastRow="0" w:firstColumn="0" w:lastColumn="0" w:noHBand="0" w:noVBand="0"/>
      </w:tblPr>
      <w:tblGrid>
        <w:gridCol w:w="4551"/>
        <w:gridCol w:w="358"/>
        <w:gridCol w:w="2260"/>
        <w:gridCol w:w="2241"/>
      </w:tblGrid>
      <w:tr w:rsidR="00000000">
        <w:tblPrEx>
          <w:tblCellMar>
            <w:top w:w="0" w:type="dxa"/>
            <w:bottom w:w="0" w:type="dxa"/>
          </w:tblCellMar>
        </w:tblPrEx>
        <w:trPr>
          <w:cantSplit/>
          <w:tblHeader/>
        </w:trPr>
        <w:tc>
          <w:tcPr>
            <w:tcW w:w="2418"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80" w:line="336" w:lineRule="auto"/>
              <w:jc w:val="center"/>
              <w:rPr>
                <w:rFonts w:ascii="Time New Roman" w:eastAsia="SimHei" w:hAnsi="Time New Roman"/>
                <w:snapToGrid/>
              </w:rPr>
            </w:pPr>
            <w:r>
              <w:rPr>
                <w:rFonts w:ascii="Time New Roman" w:eastAsia="SimHei" w:hAnsi="Time New Roman" w:hint="eastAsia"/>
                <w:snapToGrid/>
              </w:rPr>
              <w:t>经</w:t>
            </w:r>
            <w:r>
              <w:rPr>
                <w:rFonts w:ascii="Time New Roman" w:eastAsia="SimHei" w:hAnsi="Time New Roman"/>
                <w:snapToGrid/>
              </w:rPr>
              <w:t xml:space="preserve"> </w:t>
            </w:r>
            <w:r>
              <w:rPr>
                <w:rFonts w:ascii="Time New Roman" w:eastAsia="SimHei" w:hAnsi="Time New Roman" w:hint="eastAsia"/>
                <w:snapToGrid/>
              </w:rPr>
              <w:t>济</w:t>
            </w:r>
            <w:r>
              <w:rPr>
                <w:rFonts w:ascii="Time New Roman" w:eastAsia="SimHei" w:hAnsi="Time New Roman"/>
                <w:snapToGrid/>
              </w:rPr>
              <w:t xml:space="preserve"> </w:t>
            </w:r>
            <w:r>
              <w:rPr>
                <w:rFonts w:ascii="Time New Roman" w:eastAsia="SimHei" w:hAnsi="Time New Roman" w:hint="eastAsia"/>
                <w:snapToGrid/>
              </w:rPr>
              <w:t>环</w:t>
            </w:r>
            <w:r>
              <w:rPr>
                <w:rFonts w:ascii="Time New Roman" w:eastAsia="SimHei" w:hAnsi="Time New Roman"/>
                <w:snapToGrid/>
              </w:rPr>
              <w:t xml:space="preserve"> </w:t>
            </w:r>
            <w:r>
              <w:rPr>
                <w:rFonts w:ascii="Time New Roman" w:eastAsia="SimHei" w:hAnsi="Time New Roman" w:hint="eastAsia"/>
                <w:snapToGrid/>
              </w:rPr>
              <w:t>节</w:t>
            </w:r>
          </w:p>
        </w:tc>
        <w:tc>
          <w:tcPr>
            <w:tcW w:w="190" w:type="pct"/>
            <w:tcBorders>
              <w:top w:val="single" w:sz="4" w:space="0" w:color="auto"/>
              <w:left w:val="single" w:sz="4" w:space="0" w:color="auto"/>
              <w:bottom w:val="single" w:sz="4" w:space="0" w:color="auto"/>
              <w:right w:val="nil"/>
            </w:tcBorders>
          </w:tcPr>
          <w:p w:rsidR="00000000" w:rsidRDefault="00000000">
            <w:pPr>
              <w:pStyle w:val="a2"/>
              <w:spacing w:before="80" w:line="336" w:lineRule="auto"/>
              <w:jc w:val="center"/>
              <w:rPr>
                <w:rFonts w:ascii="Time New Roman" w:eastAsia="SimHei" w:hAnsi="Time New Roman"/>
                <w:i/>
                <w:iCs/>
                <w:snapToGrid/>
              </w:rPr>
            </w:pPr>
          </w:p>
        </w:tc>
        <w:tc>
          <w:tcPr>
            <w:tcW w:w="1201" w:type="pct"/>
            <w:tcBorders>
              <w:top w:val="single" w:sz="4" w:space="0" w:color="auto"/>
              <w:left w:val="nil"/>
              <w:bottom w:val="single" w:sz="4" w:space="0" w:color="auto"/>
              <w:right w:val="single" w:sz="4" w:space="0" w:color="auto"/>
            </w:tcBorders>
          </w:tcPr>
          <w:p w:rsidR="00000000" w:rsidRDefault="00000000">
            <w:pPr>
              <w:pStyle w:val="a2"/>
              <w:spacing w:before="80" w:line="336" w:lineRule="auto"/>
              <w:jc w:val="center"/>
              <w:rPr>
                <w:rFonts w:ascii="Time New Roman" w:eastAsia="SimHei" w:hAnsi="Time New Roman"/>
                <w:snapToGrid/>
              </w:rPr>
            </w:pPr>
            <w:r>
              <w:rPr>
                <w:rFonts w:ascii="Time New Roman" w:eastAsia="SimHei" w:hAnsi="Time New Roman"/>
                <w:b/>
                <w:snapToGrid/>
              </w:rPr>
              <w:t>2001</w:t>
            </w:r>
          </w:p>
        </w:tc>
        <w:tc>
          <w:tcPr>
            <w:tcW w:w="1191"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80" w:line="336" w:lineRule="auto"/>
              <w:jc w:val="center"/>
              <w:rPr>
                <w:rFonts w:ascii="Time New Roman" w:eastAsia="SimHei" w:hAnsi="Time New Roman"/>
                <w:snapToGrid/>
              </w:rPr>
            </w:pPr>
          </w:p>
        </w:tc>
      </w:tr>
      <w:tr w:rsidR="00000000">
        <w:tblPrEx>
          <w:tblCellMar>
            <w:top w:w="0" w:type="dxa"/>
            <w:bottom w:w="0" w:type="dxa"/>
          </w:tblCellMar>
        </w:tblPrEx>
        <w:tc>
          <w:tcPr>
            <w:tcW w:w="2418" w:type="pct"/>
            <w:tcBorders>
              <w:top w:val="single" w:sz="4" w:space="0" w:color="auto"/>
              <w:left w:val="single" w:sz="4" w:space="0" w:color="auto"/>
              <w:bottom w:val="nil"/>
              <w:right w:val="single" w:sz="4" w:space="0" w:color="auto"/>
            </w:tcBorders>
          </w:tcPr>
          <w:p w:rsidR="00000000" w:rsidRDefault="00000000">
            <w:pPr>
              <w:pStyle w:val="a2"/>
              <w:spacing w:before="60" w:line="336" w:lineRule="auto"/>
              <w:ind w:left="170"/>
              <w:rPr>
                <w:rFonts w:hint="eastAsia"/>
                <w:snapToGrid/>
              </w:rPr>
            </w:pPr>
          </w:p>
        </w:tc>
        <w:tc>
          <w:tcPr>
            <w:tcW w:w="190" w:type="pct"/>
            <w:tcBorders>
              <w:top w:val="single" w:sz="4" w:space="0" w:color="auto"/>
              <w:left w:val="single" w:sz="4" w:space="0" w:color="auto"/>
              <w:bottom w:val="nil"/>
              <w:right w:val="nil"/>
            </w:tcBorders>
          </w:tcPr>
          <w:p w:rsidR="00000000" w:rsidRDefault="00000000">
            <w:pPr>
              <w:pStyle w:val="a2"/>
              <w:spacing w:before="60" w:line="336" w:lineRule="auto"/>
              <w:rPr>
                <w:snapToGrid/>
              </w:rPr>
            </w:pPr>
          </w:p>
        </w:tc>
        <w:tc>
          <w:tcPr>
            <w:tcW w:w="1201" w:type="pct"/>
            <w:tcBorders>
              <w:top w:val="single" w:sz="4" w:space="0" w:color="auto"/>
              <w:left w:val="nil"/>
              <w:bottom w:val="nil"/>
              <w:right w:val="single" w:sz="4" w:space="0" w:color="auto"/>
            </w:tcBorders>
          </w:tcPr>
          <w:p w:rsidR="00000000" w:rsidRDefault="00000000">
            <w:pPr>
              <w:pStyle w:val="a2"/>
              <w:spacing w:before="60" w:line="336" w:lineRule="auto"/>
              <w:jc w:val="center"/>
              <w:rPr>
                <w:rFonts w:ascii="Time New Roman" w:eastAsia="SimHei" w:hAnsi="Time New Roman"/>
                <w:snapToGrid/>
              </w:rPr>
            </w:pPr>
            <w:r>
              <w:rPr>
                <w:rFonts w:ascii="Time New Roman" w:eastAsia="SimHei" w:hAnsi="Time New Roman" w:hint="eastAsia"/>
                <w:snapToGrid/>
              </w:rPr>
              <w:t>工会数目</w:t>
            </w:r>
          </w:p>
        </w:tc>
        <w:tc>
          <w:tcPr>
            <w:tcW w:w="1191" w:type="pct"/>
            <w:tcBorders>
              <w:top w:val="single" w:sz="4" w:space="0" w:color="auto"/>
              <w:left w:val="single" w:sz="4" w:space="0" w:color="auto"/>
              <w:bottom w:val="nil"/>
              <w:right w:val="single" w:sz="4" w:space="0" w:color="auto"/>
            </w:tcBorders>
          </w:tcPr>
          <w:p w:rsidR="00000000" w:rsidRDefault="00000000">
            <w:pPr>
              <w:pStyle w:val="a2"/>
              <w:tabs>
                <w:tab w:val="decimal" w:pos="1457"/>
              </w:tabs>
              <w:spacing w:before="60" w:line="336" w:lineRule="auto"/>
              <w:jc w:val="center"/>
              <w:rPr>
                <w:rFonts w:ascii="Time New Roman" w:eastAsia="SimHei" w:hAnsi="Time New Roman"/>
                <w:snapToGrid/>
              </w:rPr>
            </w:pPr>
            <w:r>
              <w:rPr>
                <w:rFonts w:ascii="Time New Roman" w:eastAsia="SimHei" w:hAnsi="Time New Roman" w:hint="eastAsia"/>
                <w:snapToGrid/>
              </w:rPr>
              <w:t>公布的会员人数</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农业及渔业</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0</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567"/>
              <w:jc w:val="left"/>
              <w:rPr>
                <w:snapToGrid/>
              </w:rPr>
            </w:pPr>
            <w:r>
              <w:rPr>
                <w:snapToGrid/>
              </w:rPr>
              <w:t>0</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采矿及采石</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0</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567"/>
              <w:jc w:val="left"/>
              <w:rPr>
                <w:snapToGrid/>
              </w:rPr>
            </w:pPr>
            <w:r>
              <w:rPr>
                <w:snapToGrid/>
              </w:rPr>
              <w:t>0</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制</w:t>
            </w:r>
            <w:r>
              <w:rPr>
                <w:snapToGrid/>
              </w:rPr>
              <w:t xml:space="preserve">  </w:t>
            </w:r>
            <w:r>
              <w:rPr>
                <w:rFonts w:hint="eastAsia"/>
                <w:snapToGrid/>
              </w:rPr>
              <w:t>造</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90</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454"/>
              <w:jc w:val="left"/>
              <w:rPr>
                <w:snapToGrid/>
              </w:rPr>
            </w:pPr>
            <w:r>
              <w:rPr>
                <w:snapToGrid/>
              </w:rPr>
              <w:t>66,559</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电力、气体及水务</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4</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454"/>
              <w:jc w:val="left"/>
              <w:rPr>
                <w:snapToGrid/>
              </w:rPr>
            </w:pPr>
            <w:r>
              <w:rPr>
                <w:snapToGrid/>
              </w:rPr>
              <w:t>2,353</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建</w:t>
            </w:r>
            <w:r>
              <w:rPr>
                <w:snapToGrid/>
              </w:rPr>
              <w:t xml:space="preserve">  </w:t>
            </w:r>
            <w:r>
              <w:rPr>
                <w:rFonts w:hint="eastAsia"/>
                <w:snapToGrid/>
              </w:rPr>
              <w:t>造</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27</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454"/>
              <w:jc w:val="left"/>
              <w:rPr>
                <w:snapToGrid/>
              </w:rPr>
            </w:pPr>
            <w:r>
              <w:rPr>
                <w:snapToGrid/>
              </w:rPr>
              <w:t>33,013</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批发及零售、出入口贸易、食肆及酒店</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45</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454"/>
              <w:jc w:val="left"/>
              <w:rPr>
                <w:snapToGrid/>
              </w:rPr>
            </w:pPr>
            <w:r>
              <w:rPr>
                <w:snapToGrid/>
              </w:rPr>
              <w:t>53,168</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运输、仓务及通讯</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99</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454"/>
              <w:jc w:val="left"/>
              <w:rPr>
                <w:snapToGrid/>
              </w:rPr>
            </w:pPr>
            <w:r>
              <w:rPr>
                <w:snapToGrid/>
              </w:rPr>
              <w:t>102,360</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金融、保险、地产及商业服务</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23</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454"/>
              <w:jc w:val="left"/>
              <w:rPr>
                <w:snapToGrid/>
              </w:rPr>
            </w:pPr>
            <w:r>
              <w:rPr>
                <w:snapToGrid/>
              </w:rPr>
              <w:t>48,853</w:t>
            </w:r>
          </w:p>
        </w:tc>
      </w:tr>
      <w:tr w:rsidR="00000000">
        <w:tblPrEx>
          <w:tblCellMar>
            <w:top w:w="0" w:type="dxa"/>
            <w:bottom w:w="0" w:type="dxa"/>
          </w:tblCellMar>
        </w:tblPrEx>
        <w:tc>
          <w:tcPr>
            <w:tcW w:w="2418" w:type="pct"/>
            <w:tcBorders>
              <w:top w:val="nil"/>
              <w:left w:val="single" w:sz="4" w:space="0" w:color="auto"/>
              <w:bottom w:val="nil"/>
              <w:right w:val="single" w:sz="4" w:space="0" w:color="auto"/>
            </w:tcBorders>
          </w:tcPr>
          <w:p w:rsidR="00000000" w:rsidRDefault="00000000">
            <w:pPr>
              <w:pStyle w:val="a2"/>
              <w:spacing w:line="336" w:lineRule="auto"/>
              <w:ind w:left="170"/>
              <w:rPr>
                <w:snapToGrid/>
              </w:rPr>
            </w:pPr>
            <w:r>
              <w:rPr>
                <w:rFonts w:hint="eastAsia"/>
                <w:snapToGrid/>
              </w:rPr>
              <w:t>公共、社会及个人服务</w:t>
            </w:r>
          </w:p>
        </w:tc>
        <w:tc>
          <w:tcPr>
            <w:tcW w:w="190" w:type="pct"/>
            <w:tcBorders>
              <w:top w:val="nil"/>
              <w:left w:val="single" w:sz="4" w:space="0" w:color="auto"/>
              <w:bottom w:val="nil"/>
              <w:right w:val="nil"/>
            </w:tcBorders>
          </w:tcPr>
          <w:p w:rsidR="00000000" w:rsidRDefault="00000000">
            <w:pPr>
              <w:pStyle w:val="a2"/>
              <w:spacing w:line="336" w:lineRule="auto"/>
              <w:rPr>
                <w:snapToGrid/>
              </w:rPr>
            </w:pPr>
          </w:p>
        </w:tc>
        <w:tc>
          <w:tcPr>
            <w:tcW w:w="1201" w:type="pct"/>
            <w:tcBorders>
              <w:top w:val="nil"/>
              <w:left w:val="nil"/>
              <w:bottom w:val="nil"/>
              <w:right w:val="single" w:sz="4" w:space="0" w:color="auto"/>
            </w:tcBorders>
          </w:tcPr>
          <w:p w:rsidR="00000000" w:rsidRDefault="00000000">
            <w:pPr>
              <w:pStyle w:val="a2"/>
              <w:spacing w:line="336" w:lineRule="auto"/>
              <w:jc w:val="center"/>
              <w:rPr>
                <w:snapToGrid/>
              </w:rPr>
            </w:pPr>
            <w:r>
              <w:rPr>
                <w:snapToGrid/>
              </w:rPr>
              <w:t>322</w:t>
            </w:r>
          </w:p>
        </w:tc>
        <w:tc>
          <w:tcPr>
            <w:tcW w:w="1191" w:type="pct"/>
            <w:tcBorders>
              <w:top w:val="nil"/>
              <w:left w:val="single" w:sz="4" w:space="0" w:color="auto"/>
              <w:bottom w:val="nil"/>
              <w:right w:val="single" w:sz="4" w:space="0" w:color="auto"/>
            </w:tcBorders>
          </w:tcPr>
          <w:p w:rsidR="00000000" w:rsidRDefault="00000000">
            <w:pPr>
              <w:pStyle w:val="a2"/>
              <w:tabs>
                <w:tab w:val="decimal" w:pos="1457"/>
              </w:tabs>
              <w:spacing w:line="336" w:lineRule="auto"/>
              <w:ind w:right="454"/>
              <w:jc w:val="left"/>
              <w:rPr>
                <w:snapToGrid/>
              </w:rPr>
            </w:pPr>
            <w:r>
              <w:rPr>
                <w:snapToGrid/>
              </w:rPr>
              <w:t>364,770</w:t>
            </w:r>
          </w:p>
        </w:tc>
      </w:tr>
      <w:tr w:rsidR="00000000">
        <w:tblPrEx>
          <w:tblCellMar>
            <w:top w:w="0" w:type="dxa"/>
            <w:bottom w:w="0" w:type="dxa"/>
          </w:tblCellMar>
        </w:tblPrEx>
        <w:tc>
          <w:tcPr>
            <w:tcW w:w="2418" w:type="pct"/>
            <w:tcBorders>
              <w:top w:val="nil"/>
              <w:left w:val="single" w:sz="4" w:space="0" w:color="auto"/>
              <w:bottom w:val="single" w:sz="4" w:space="0" w:color="auto"/>
              <w:right w:val="single" w:sz="4" w:space="0" w:color="auto"/>
            </w:tcBorders>
          </w:tcPr>
          <w:p w:rsidR="00000000" w:rsidRDefault="00000000">
            <w:pPr>
              <w:pStyle w:val="a2"/>
              <w:spacing w:line="336" w:lineRule="auto"/>
              <w:ind w:left="170"/>
              <w:rPr>
                <w:snapToGrid/>
              </w:rPr>
            </w:pPr>
            <w:r>
              <w:rPr>
                <w:rFonts w:hint="eastAsia"/>
                <w:snapToGrid/>
              </w:rPr>
              <w:t>总</w:t>
            </w:r>
            <w:r>
              <w:rPr>
                <w:snapToGrid/>
              </w:rPr>
              <w:t xml:space="preserve">  </w:t>
            </w:r>
            <w:r>
              <w:rPr>
                <w:rFonts w:hint="eastAsia"/>
                <w:snapToGrid/>
              </w:rPr>
              <w:t>计</w:t>
            </w:r>
          </w:p>
        </w:tc>
        <w:tc>
          <w:tcPr>
            <w:tcW w:w="190" w:type="pct"/>
            <w:tcBorders>
              <w:top w:val="nil"/>
              <w:left w:val="single" w:sz="4" w:space="0" w:color="auto"/>
              <w:bottom w:val="single" w:sz="4" w:space="0" w:color="auto"/>
              <w:right w:val="nil"/>
            </w:tcBorders>
          </w:tcPr>
          <w:p w:rsidR="00000000" w:rsidRDefault="00000000">
            <w:pPr>
              <w:pStyle w:val="a2"/>
              <w:spacing w:line="336" w:lineRule="auto"/>
              <w:rPr>
                <w:snapToGrid/>
              </w:rPr>
            </w:pPr>
          </w:p>
        </w:tc>
        <w:tc>
          <w:tcPr>
            <w:tcW w:w="1201" w:type="pct"/>
            <w:tcBorders>
              <w:top w:val="nil"/>
              <w:left w:val="nil"/>
              <w:bottom w:val="single" w:sz="4" w:space="0" w:color="auto"/>
              <w:right w:val="single" w:sz="4" w:space="0" w:color="auto"/>
            </w:tcBorders>
          </w:tcPr>
          <w:p w:rsidR="00000000" w:rsidRDefault="00000000">
            <w:pPr>
              <w:pStyle w:val="a2"/>
              <w:spacing w:line="336" w:lineRule="auto"/>
              <w:jc w:val="center"/>
              <w:rPr>
                <w:snapToGrid/>
              </w:rPr>
            </w:pPr>
            <w:r>
              <w:rPr>
                <w:snapToGrid/>
              </w:rPr>
              <w:t>610</w:t>
            </w:r>
          </w:p>
        </w:tc>
        <w:tc>
          <w:tcPr>
            <w:tcW w:w="1191" w:type="pct"/>
            <w:tcBorders>
              <w:top w:val="nil"/>
              <w:left w:val="single" w:sz="4" w:space="0" w:color="auto"/>
              <w:bottom w:val="single" w:sz="4" w:space="0" w:color="auto"/>
              <w:right w:val="single" w:sz="4" w:space="0" w:color="auto"/>
            </w:tcBorders>
          </w:tcPr>
          <w:p w:rsidR="00000000" w:rsidRDefault="00000000">
            <w:pPr>
              <w:pStyle w:val="a2"/>
              <w:tabs>
                <w:tab w:val="decimal" w:pos="1457"/>
              </w:tabs>
              <w:spacing w:line="336" w:lineRule="auto"/>
              <w:ind w:right="454"/>
              <w:jc w:val="left"/>
              <w:rPr>
                <w:snapToGrid/>
              </w:rPr>
            </w:pPr>
            <w:r>
              <w:rPr>
                <w:snapToGrid/>
              </w:rPr>
              <w:t>671,076</w:t>
            </w:r>
          </w:p>
        </w:tc>
      </w:tr>
      <w:tr w:rsidR="00000000">
        <w:tblPrEx>
          <w:tblCellMar>
            <w:top w:w="0" w:type="dxa"/>
            <w:bottom w:w="0" w:type="dxa"/>
          </w:tblCellMar>
        </w:tblPrEx>
        <w:trPr>
          <w:cantSplit/>
        </w:trPr>
        <w:tc>
          <w:tcPr>
            <w:tcW w:w="2418"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line="336" w:lineRule="auto"/>
              <w:ind w:left="170"/>
              <w:rPr>
                <w:snapToGrid/>
              </w:rPr>
            </w:pPr>
            <w:r>
              <w:rPr>
                <w:rFonts w:hint="eastAsia"/>
                <w:snapToGrid/>
              </w:rPr>
              <w:t>受薪雇员及工人参加工会的比率</w:t>
            </w:r>
          </w:p>
        </w:tc>
        <w:tc>
          <w:tcPr>
            <w:tcW w:w="1391" w:type="pct"/>
            <w:gridSpan w:val="2"/>
            <w:tcBorders>
              <w:top w:val="single" w:sz="4" w:space="0" w:color="auto"/>
              <w:left w:val="single" w:sz="4" w:space="0" w:color="auto"/>
              <w:bottom w:val="single" w:sz="4" w:space="0" w:color="auto"/>
              <w:right w:val="single" w:sz="4" w:space="0" w:color="auto"/>
            </w:tcBorders>
          </w:tcPr>
          <w:p w:rsidR="00000000" w:rsidRDefault="00000000">
            <w:pPr>
              <w:pStyle w:val="a2"/>
              <w:spacing w:before="60" w:line="336" w:lineRule="auto"/>
              <w:ind w:left="170"/>
              <w:rPr>
                <w:snapToGrid/>
              </w:rPr>
            </w:pPr>
          </w:p>
        </w:tc>
        <w:tc>
          <w:tcPr>
            <w:tcW w:w="1191"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line="336" w:lineRule="auto"/>
              <w:jc w:val="center"/>
              <w:rPr>
                <w:snapToGrid/>
              </w:rPr>
            </w:pPr>
            <w:r>
              <w:rPr>
                <w:snapToGrid/>
              </w:rPr>
              <w:t>22.10% *</w:t>
            </w:r>
          </w:p>
        </w:tc>
      </w:tr>
    </w:tbl>
    <w:p w:rsidR="00000000" w:rsidRDefault="00000000">
      <w:pPr>
        <w:pStyle w:val="EndnoteText"/>
        <w:spacing w:before="120" w:after="240"/>
        <w:rPr>
          <w:snapToGrid/>
        </w:rPr>
      </w:pPr>
      <w:r>
        <w:rPr>
          <w:rStyle w:val="FootnoteReference"/>
          <w:b w:val="0"/>
          <w:bCs/>
          <w:vertAlign w:val="baseline"/>
        </w:rPr>
        <w:t>*</w:t>
      </w:r>
      <w:r>
        <w:rPr>
          <w:bCs/>
        </w:rPr>
        <w:t xml:space="preserve"> </w:t>
      </w:r>
      <w:r>
        <w:rPr>
          <w:bCs/>
        </w:rPr>
        <w:tab/>
      </w:r>
      <w:r>
        <w:rPr>
          <w:rFonts w:hint="eastAsia"/>
        </w:rPr>
        <w:t>在二零零零年，政府统计处采用了一套新方法计算统计数字，使到受薪雇员及工人的人数略为减少。因此，二零零零及二零零一年的参加工会比率，不能跟过往年份的比率作实际比较。</w:t>
      </w:r>
    </w:p>
    <w:p w:rsidR="00000000" w:rsidRDefault="00000000">
      <w:pPr>
        <w:pStyle w:val="Heading4"/>
      </w:pPr>
      <w:r>
        <w:rPr>
          <w:rFonts w:hint="eastAsia"/>
          <w:u w:val="none"/>
        </w:rPr>
        <w:t>《</w:t>
      </w:r>
      <w:r>
        <w:rPr>
          <w:rFonts w:hint="eastAsia"/>
        </w:rPr>
        <w:t>雇佣条例》</w:t>
      </w:r>
      <w:r>
        <w:t>(</w:t>
      </w:r>
      <w:r>
        <w:rPr>
          <w:rFonts w:hint="eastAsia"/>
        </w:rPr>
        <w:t>第</w:t>
      </w:r>
      <w:r>
        <w:t>57</w:t>
      </w:r>
      <w:r>
        <w:rPr>
          <w:rFonts w:hint="eastAsia"/>
        </w:rPr>
        <w:t>章</w:t>
      </w:r>
      <w:r>
        <w:t>)</w:t>
      </w:r>
      <w:r>
        <w:rPr>
          <w:rFonts w:hint="eastAsia"/>
        </w:rPr>
        <w:t>有关职工会不受歧视的法律保障</w:t>
      </w:r>
    </w:p>
    <w:p w:rsidR="00000000" w:rsidRDefault="00000000">
      <w:pPr>
        <w:tabs>
          <w:tab w:val="left" w:pos="567"/>
          <w:tab w:val="left" w:pos="1134"/>
          <w:tab w:val="left" w:pos="1701"/>
        </w:tabs>
        <w:spacing w:after="320"/>
        <w:rPr>
          <w:rFonts w:hint="eastAsia"/>
          <w:snapToGrid/>
        </w:rPr>
      </w:pPr>
      <w:r>
        <w:rPr>
          <w:snapToGrid/>
        </w:rPr>
        <w:tab/>
        <w:t xml:space="preserve">430.  </w:t>
      </w:r>
      <w:r>
        <w:rPr>
          <w:rFonts w:hint="eastAsia"/>
          <w:snapToGrid/>
        </w:rPr>
        <w:t>情况并无改变，与首份报告第</w:t>
      </w:r>
      <w:r>
        <w:rPr>
          <w:snapToGrid/>
        </w:rPr>
        <w:t>128</w:t>
      </w:r>
      <w:r>
        <w:rPr>
          <w:rFonts w:hint="eastAsia"/>
          <w:snapToGrid/>
        </w:rPr>
        <w:t>至第</w:t>
      </w:r>
      <w:r>
        <w:rPr>
          <w:snapToGrid/>
        </w:rPr>
        <w:t>130</w:t>
      </w:r>
      <w:r>
        <w:rPr>
          <w:rFonts w:hint="eastAsia"/>
          <w:snapToGrid/>
        </w:rPr>
        <w:t>段所阐释的相同。</w:t>
      </w:r>
    </w:p>
    <w:p w:rsidR="00000000" w:rsidRDefault="00000000">
      <w:pPr>
        <w:pStyle w:val="Heading4"/>
        <w:rPr>
          <w:rFonts w:hint="eastAsia"/>
        </w:rPr>
      </w:pPr>
      <w:r>
        <w:rPr>
          <w:rFonts w:hint="eastAsia"/>
        </w:rPr>
        <w:t>罢工的权利</w:t>
      </w:r>
    </w:p>
    <w:p w:rsidR="00000000" w:rsidRDefault="00000000">
      <w:pPr>
        <w:tabs>
          <w:tab w:val="left" w:pos="700"/>
          <w:tab w:val="left" w:pos="1134"/>
          <w:tab w:val="left" w:pos="1701"/>
        </w:tabs>
        <w:rPr>
          <w:rFonts w:hint="eastAsia"/>
          <w:snapToGrid/>
        </w:rPr>
      </w:pPr>
      <w:r>
        <w:rPr>
          <w:snapToGrid/>
        </w:rPr>
        <w:tab/>
        <w:t xml:space="preserve">431.  </w:t>
      </w:r>
      <w:r>
        <w:rPr>
          <w:rFonts w:hint="eastAsia"/>
          <w:snapToGrid/>
        </w:rPr>
        <w:t>《基本法》第二十七条除订明其他权利外，还保证香港居民享有罢工的权利</w:t>
      </w:r>
      <w:r>
        <w:rPr>
          <w:rStyle w:val="FootnoteReference"/>
          <w:snapToGrid/>
        </w:rPr>
        <w:footnoteReference w:customMarkFollows="1" w:id="34"/>
        <w:t>21</w:t>
      </w:r>
      <w:r>
        <w:rPr>
          <w:rFonts w:hint="eastAsia"/>
          <w:snapToGrid/>
        </w:rPr>
        <w:t>。《基本法》自一九九七年七月一日实施后，《雇佣条例》参照普通法的原则而订明罢工构成违约并可遭即时解雇的条文，已不合时宜。因此，我们于二零零零年七月在《雇佣条例》</w:t>
      </w:r>
      <w:r>
        <w:rPr>
          <w:snapToGrid/>
        </w:rPr>
        <w:t>(</w:t>
      </w:r>
      <w:r>
        <w:rPr>
          <w:rFonts w:hint="eastAsia"/>
          <w:snapToGrid/>
        </w:rPr>
        <w:t>第</w:t>
      </w:r>
      <w:r>
        <w:rPr>
          <w:snapToGrid/>
        </w:rPr>
        <w:t>57</w:t>
      </w:r>
      <w:r>
        <w:rPr>
          <w:rFonts w:hint="eastAsia"/>
          <w:snapToGrid/>
        </w:rPr>
        <w:t>章</w:t>
      </w:r>
      <w:r>
        <w:rPr>
          <w:snapToGrid/>
        </w:rPr>
        <w:t>)</w:t>
      </w:r>
      <w:r>
        <w:rPr>
          <w:rFonts w:hint="eastAsia"/>
          <w:snapToGrid/>
        </w:rPr>
        <w:t>中新增了第</w:t>
      </w:r>
      <w:r>
        <w:rPr>
          <w:snapToGrid/>
        </w:rPr>
        <w:t>9(2)</w:t>
      </w:r>
      <w:r>
        <w:rPr>
          <w:rFonts w:hint="eastAsia"/>
          <w:snapToGrid/>
        </w:rPr>
        <w:t>条，清楚订明雇主再也不能以雇员参加罢工作为合法理由，即时解雇有关雇员而不给予通知或代通知金。作出这项修订后，部分关于雇员权益的条文因而变得多余，所以废除</w:t>
      </w:r>
      <w:r>
        <w:rPr>
          <w:rStyle w:val="FootnoteReference"/>
          <w:snapToGrid/>
        </w:rPr>
        <w:footnoteReference w:customMarkFollows="1" w:id="35"/>
        <w:t>22</w:t>
      </w:r>
      <w:r>
        <w:rPr>
          <w:rFonts w:hint="eastAsia"/>
          <w:snapToGrid/>
        </w:rPr>
        <w:t>。</w:t>
      </w:r>
    </w:p>
    <w:p w:rsidR="00000000" w:rsidRDefault="00000000">
      <w:pPr>
        <w:pStyle w:val="Heading4"/>
        <w:spacing w:before="320"/>
        <w:rPr>
          <w:rFonts w:hint="eastAsia"/>
        </w:rPr>
      </w:pPr>
      <w:r>
        <w:rPr>
          <w:rFonts w:hint="eastAsia"/>
          <w:u w:val="none"/>
        </w:rPr>
        <w:t>《</w:t>
      </w:r>
      <w:r>
        <w:rPr>
          <w:rFonts w:hint="eastAsia"/>
        </w:rPr>
        <w:t>公安条例》</w:t>
      </w:r>
      <w:r>
        <w:t>(</w:t>
      </w:r>
      <w:r>
        <w:rPr>
          <w:rFonts w:hint="eastAsia"/>
        </w:rPr>
        <w:t>第</w:t>
      </w:r>
      <w:r>
        <w:t>245</w:t>
      </w:r>
      <w:r>
        <w:rPr>
          <w:rFonts w:hint="eastAsia"/>
        </w:rPr>
        <w:t>章</w:t>
      </w:r>
      <w:r>
        <w:t>)</w:t>
      </w:r>
    </w:p>
    <w:p w:rsidR="00000000" w:rsidRDefault="00000000">
      <w:pPr>
        <w:tabs>
          <w:tab w:val="left" w:pos="567"/>
          <w:tab w:val="left" w:pos="1134"/>
          <w:tab w:val="left" w:pos="1701"/>
        </w:tabs>
        <w:rPr>
          <w:rFonts w:hint="eastAsia"/>
          <w:snapToGrid/>
        </w:rPr>
      </w:pPr>
      <w:r>
        <w:rPr>
          <w:snapToGrid/>
        </w:rPr>
        <w:tab/>
        <w:t xml:space="preserve">432.  </w:t>
      </w:r>
      <w:r>
        <w:rPr>
          <w:rFonts w:hint="eastAsia"/>
          <w:snapToGrid/>
        </w:rPr>
        <w:t>委员会在审议结论第</w:t>
      </w:r>
      <w:r>
        <w:rPr>
          <w:snapToGrid/>
        </w:rPr>
        <w:t>26</w:t>
      </w:r>
      <w:r>
        <w:rPr>
          <w:rFonts w:hint="eastAsia"/>
          <w:snapToGrid/>
        </w:rPr>
        <w:t>段中指出，“香港特区的《公安条例》可以限制工会活动，例如争取劳工权利的和平行动等，而这些活动却是受到公约第八</w:t>
      </w:r>
      <w:r>
        <w:rPr>
          <w:snapToGrid/>
        </w:rPr>
        <w:t>(</w:t>
      </w:r>
      <w:r>
        <w:rPr>
          <w:rFonts w:hint="eastAsia"/>
          <w:snapToGrid/>
        </w:rPr>
        <w:t>一</w:t>
      </w:r>
      <w:r>
        <w:rPr>
          <w:snapToGrid/>
        </w:rPr>
        <w:t>)(</w:t>
      </w:r>
      <w:r>
        <w:rPr>
          <w:rFonts w:hint="eastAsia"/>
          <w:snapToGrid/>
        </w:rPr>
        <w:t>丙</w:t>
      </w:r>
      <w:r>
        <w:rPr>
          <w:snapToGrid/>
        </w:rPr>
        <w:t>)</w:t>
      </w:r>
      <w:r>
        <w:rPr>
          <w:rFonts w:hint="eastAsia"/>
          <w:snapToGrid/>
        </w:rPr>
        <w:t>条保障的”，并对此表示关注。在第</w:t>
      </w:r>
      <w:r>
        <w:rPr>
          <w:snapToGrid/>
        </w:rPr>
        <w:t>37</w:t>
      </w:r>
      <w:r>
        <w:rPr>
          <w:rFonts w:hint="eastAsia"/>
          <w:snapToGrid/>
        </w:rPr>
        <w:t>段，委员会建议“香港特区检讨《公安条例》，以修订当中的条文，确保公约第八</w:t>
      </w:r>
      <w:r>
        <w:rPr>
          <w:snapToGrid/>
        </w:rPr>
        <w:t>(</w:t>
      </w:r>
      <w:r>
        <w:rPr>
          <w:rFonts w:hint="eastAsia"/>
          <w:snapToGrid/>
        </w:rPr>
        <w:t>一</w:t>
      </w:r>
      <w:r>
        <w:rPr>
          <w:snapToGrid/>
        </w:rPr>
        <w:t>)(</w:t>
      </w:r>
      <w:r>
        <w:rPr>
          <w:rFonts w:hint="eastAsia"/>
          <w:snapToGrid/>
        </w:rPr>
        <w:t>丙</w:t>
      </w:r>
      <w:r>
        <w:rPr>
          <w:snapToGrid/>
        </w:rPr>
        <w:t>)</w:t>
      </w:r>
      <w:r>
        <w:rPr>
          <w:rFonts w:hint="eastAsia"/>
          <w:snapToGrid/>
        </w:rPr>
        <w:t>条所载有关参与工会活动的自由能够受到保障”。本地论者对这些关注亦有同感。</w:t>
      </w:r>
    </w:p>
    <w:p w:rsidR="00000000" w:rsidRDefault="00000000">
      <w:pPr>
        <w:tabs>
          <w:tab w:val="left" w:pos="567"/>
          <w:tab w:val="left" w:pos="1134"/>
          <w:tab w:val="left" w:pos="1701"/>
        </w:tabs>
        <w:rPr>
          <w:rFonts w:hint="eastAsia"/>
          <w:snapToGrid/>
        </w:rPr>
      </w:pPr>
      <w:r>
        <w:rPr>
          <w:snapToGrid/>
        </w:rPr>
        <w:tab/>
        <w:t xml:space="preserve">433.  </w:t>
      </w:r>
      <w:r>
        <w:rPr>
          <w:rFonts w:hint="eastAsia"/>
          <w:snapToGrid/>
        </w:rPr>
        <w:t>我们知悉委员会的关注，也尊重他们对《公安条例》</w:t>
      </w:r>
      <w:r>
        <w:rPr>
          <w:snapToGrid/>
        </w:rPr>
        <w:t>(</w:t>
      </w:r>
      <w:r>
        <w:rPr>
          <w:rFonts w:hint="eastAsia"/>
          <w:snapToGrid/>
        </w:rPr>
        <w:t>条例</w:t>
      </w:r>
      <w:r>
        <w:rPr>
          <w:snapToGrid/>
        </w:rPr>
        <w:t>)</w:t>
      </w:r>
      <w:r>
        <w:rPr>
          <w:rFonts w:hint="eastAsia"/>
          <w:snapToGrid/>
        </w:rPr>
        <w:t>的潜在影响所作的评估，但却不同意有关看法。条例已提供足够保障，以防止有人无理侵扰《基本法》第二十七条及《公民权利和政治权利国际公约》所保障的权利。条例条文适当地平衡了言论自由及和平集会的个人权利，以及整体社会利益。例如：警务处处长只可在认为有合理需要的情况下，以国家安全、公众安全及秩序和保障其他人的权利及自由为理由，而对公众集会及游行附加条件或不准许有关活动举行。活动筹办者如不满警方的决定，可向独立的上诉委员会提出上诉。委员会由一名退休法官担任主席，成员并非公职人员。</w:t>
      </w:r>
    </w:p>
    <w:p w:rsidR="00000000" w:rsidRDefault="00000000">
      <w:pPr>
        <w:tabs>
          <w:tab w:val="left" w:pos="567"/>
          <w:tab w:val="left" w:pos="1134"/>
          <w:tab w:val="left" w:pos="1701"/>
        </w:tabs>
        <w:rPr>
          <w:rFonts w:hint="eastAsia"/>
          <w:snapToGrid/>
        </w:rPr>
      </w:pPr>
      <w:r>
        <w:rPr>
          <w:snapToGrid/>
        </w:rPr>
        <w:tab/>
        <w:t xml:space="preserve">434.  </w:t>
      </w:r>
      <w:r>
        <w:rPr>
          <w:rFonts w:hint="eastAsia"/>
          <w:snapToGrid/>
        </w:rPr>
        <w:t>一九九七年七月一日至二零零二年九月三十日期间，约有</w:t>
      </w:r>
      <w:r>
        <w:rPr>
          <w:snapToGrid/>
        </w:rPr>
        <w:t>11,300</w:t>
      </w:r>
      <w:r>
        <w:rPr>
          <w:rFonts w:hint="eastAsia"/>
          <w:snapToGrid/>
        </w:rPr>
        <w:t>多项公众集会及游行在香港举行。只有</w:t>
      </w:r>
      <w:r>
        <w:rPr>
          <w:snapToGrid/>
        </w:rPr>
        <w:t>18</w:t>
      </w:r>
      <w:r>
        <w:rPr>
          <w:rFonts w:hint="eastAsia"/>
          <w:snapToGrid/>
        </w:rPr>
        <w:t>项活动是警方以公众安全及秩序和保障其他人的权利及自由为理由而不准举行的。在这</w:t>
      </w:r>
      <w:r>
        <w:rPr>
          <w:snapToGrid/>
        </w:rPr>
        <w:t>18</w:t>
      </w:r>
      <w:r>
        <w:rPr>
          <w:rFonts w:hint="eastAsia"/>
          <w:snapToGrid/>
        </w:rPr>
        <w:t>项活动中，有</w:t>
      </w:r>
      <w:r>
        <w:rPr>
          <w:snapToGrid/>
        </w:rPr>
        <w:t>7</w:t>
      </w:r>
      <w:r>
        <w:rPr>
          <w:rFonts w:hint="eastAsia"/>
          <w:snapToGrid/>
        </w:rPr>
        <w:t>项的筹办者其后因更改了活动路线、地点或规模，所以活动最终获准举行。由此可见，显然并无证据证明条例窒碍了合法工会的活动。</w:t>
      </w:r>
    </w:p>
    <w:p w:rsidR="00000000" w:rsidRDefault="00000000">
      <w:pPr>
        <w:tabs>
          <w:tab w:val="left" w:pos="567"/>
          <w:tab w:val="left" w:pos="1134"/>
          <w:tab w:val="left" w:pos="1701"/>
        </w:tabs>
        <w:rPr>
          <w:rFonts w:hint="eastAsia"/>
          <w:snapToGrid/>
        </w:rPr>
      </w:pPr>
      <w:r>
        <w:rPr>
          <w:snapToGrid/>
        </w:rPr>
        <w:tab/>
        <w:t xml:space="preserve">435.  </w:t>
      </w:r>
      <w:r>
        <w:rPr>
          <w:rFonts w:hint="eastAsia"/>
          <w:snapToGrid/>
        </w:rPr>
        <w:t>虽然我们很尊重委员会的建议，但基于上述理由，我们认为无须修订条例以达致审议结论第</w:t>
      </w:r>
      <w:r>
        <w:rPr>
          <w:snapToGrid/>
        </w:rPr>
        <w:t>37</w:t>
      </w:r>
      <w:r>
        <w:rPr>
          <w:rFonts w:hint="eastAsia"/>
          <w:snapToGrid/>
        </w:rPr>
        <w:t>段的目的。</w:t>
      </w:r>
    </w:p>
    <w:p w:rsidR="00000000" w:rsidRDefault="00000000">
      <w:pPr>
        <w:pStyle w:val="Heading4"/>
        <w:spacing w:before="320"/>
        <w:rPr>
          <w:rFonts w:hint="eastAsia"/>
        </w:rPr>
      </w:pPr>
      <w:r>
        <w:rPr>
          <w:rFonts w:hint="eastAsia"/>
        </w:rPr>
        <w:t>解释性声明</w:t>
      </w:r>
    </w:p>
    <w:p w:rsidR="00000000" w:rsidRDefault="00000000">
      <w:pPr>
        <w:tabs>
          <w:tab w:val="left" w:pos="567"/>
          <w:tab w:val="left" w:pos="1134"/>
          <w:tab w:val="left" w:pos="1701"/>
        </w:tabs>
        <w:spacing w:before="120"/>
        <w:rPr>
          <w:rFonts w:hint="eastAsia"/>
          <w:snapToGrid/>
        </w:rPr>
      </w:pPr>
      <w:r>
        <w:rPr>
          <w:snapToGrid/>
        </w:rPr>
        <w:tab/>
        <w:t xml:space="preserve">436.  </w:t>
      </w:r>
      <w:r>
        <w:rPr>
          <w:rFonts w:hint="eastAsia"/>
          <w:snapToGrid/>
        </w:rPr>
        <w:t>在二零零一年的审议结论第</w:t>
      </w:r>
      <w:r>
        <w:rPr>
          <w:snapToGrid/>
        </w:rPr>
        <w:t>29</w:t>
      </w:r>
      <w:r>
        <w:rPr>
          <w:rFonts w:hint="eastAsia"/>
          <w:snapToGrid/>
        </w:rPr>
        <w:t>段中，委员会建议“香港特区撤销其就公约第六条所订的保留条文，以及第八条的解释性声明</w:t>
      </w:r>
      <w:r>
        <w:rPr>
          <w:snapToGrid/>
        </w:rPr>
        <w:t>(</w:t>
      </w:r>
      <w:r>
        <w:rPr>
          <w:rFonts w:hint="eastAsia"/>
          <w:snapToGrid/>
        </w:rPr>
        <w:t>该声明用以取代旧有的保留条文</w:t>
      </w:r>
      <w:r>
        <w:rPr>
          <w:snapToGrid/>
        </w:rPr>
        <w:t>)</w:t>
      </w:r>
      <w:r>
        <w:rPr>
          <w:rFonts w:hint="eastAsia"/>
          <w:snapToGrid/>
        </w:rPr>
        <w:t>”。我们会在下文第</w:t>
      </w:r>
      <w:r>
        <w:rPr>
          <w:snapToGrid/>
        </w:rPr>
        <w:t>437</w:t>
      </w:r>
      <w:r>
        <w:rPr>
          <w:rFonts w:hint="eastAsia"/>
          <w:snapToGrid/>
        </w:rPr>
        <w:t>段回应委员会就解释性声明所提出的建议。关于委员会就第六条的保留条文所提出的建议，我们已于上文第</w:t>
      </w:r>
      <w:r>
        <w:rPr>
          <w:snapToGrid/>
        </w:rPr>
        <w:t>403</w:t>
      </w:r>
      <w:r>
        <w:rPr>
          <w:rFonts w:hint="eastAsia"/>
          <w:snapToGrid/>
        </w:rPr>
        <w:t>和</w:t>
      </w:r>
      <w:r>
        <w:rPr>
          <w:snapToGrid/>
        </w:rPr>
        <w:t>404</w:t>
      </w:r>
      <w:r>
        <w:rPr>
          <w:rFonts w:hint="eastAsia"/>
          <w:snapToGrid/>
        </w:rPr>
        <w:t>段</w:t>
      </w:r>
      <w:r>
        <w:rPr>
          <w:rFonts w:hint="eastAsia"/>
        </w:rPr>
        <w:t>回</w:t>
      </w:r>
      <w:r>
        <w:rPr>
          <w:rFonts w:hint="eastAsia"/>
          <w:snapToGrid/>
        </w:rPr>
        <w:t>应。</w:t>
      </w:r>
    </w:p>
    <w:p w:rsidR="00000000" w:rsidRDefault="00000000">
      <w:pPr>
        <w:tabs>
          <w:tab w:val="left" w:pos="567"/>
          <w:tab w:val="left" w:pos="1134"/>
          <w:tab w:val="left" w:pos="1701"/>
        </w:tabs>
        <w:rPr>
          <w:rFonts w:hint="eastAsia"/>
          <w:snapToGrid/>
        </w:rPr>
      </w:pPr>
      <w:r>
        <w:rPr>
          <w:snapToGrid/>
        </w:rPr>
        <w:tab/>
        <w:t xml:space="preserve">437.  </w:t>
      </w:r>
      <w:r>
        <w:rPr>
          <w:rFonts w:hint="eastAsia"/>
          <w:snapToGrid/>
        </w:rPr>
        <w:t>公约第八</w:t>
      </w:r>
      <w:r>
        <w:rPr>
          <w:snapToGrid/>
        </w:rPr>
        <w:t>(</w:t>
      </w:r>
      <w:r>
        <w:rPr>
          <w:rFonts w:hint="eastAsia"/>
          <w:snapToGrid/>
        </w:rPr>
        <w:t>一</w:t>
      </w:r>
      <w:r>
        <w:rPr>
          <w:snapToGrid/>
        </w:rPr>
        <w:t>)(</w:t>
      </w:r>
      <w:r>
        <w:rPr>
          <w:rFonts w:hint="eastAsia"/>
          <w:snapToGrid/>
        </w:rPr>
        <w:t>乙</w:t>
      </w:r>
      <w:r>
        <w:rPr>
          <w:snapToGrid/>
        </w:rPr>
        <w:t>)</w:t>
      </w:r>
      <w:r>
        <w:rPr>
          <w:rFonts w:hint="eastAsia"/>
          <w:snapToGrid/>
        </w:rPr>
        <w:t>条订明职工会有权成立全国性的协会或联合会，后者有权组织或参加国际职工会组织。有关声明清楚说明我们把“全国性的协会或联合会”理解为香港特区内的协会或联合会。同时，根据我们的理解，该条文并不含有职工会协会或联合会有权组织或参加在香港特区以外成立的政治</w:t>
      </w:r>
      <w:r>
        <w:rPr>
          <w:snapToGrid/>
        </w:rPr>
        <w:t>(</w:t>
      </w:r>
      <w:r>
        <w:rPr>
          <w:rFonts w:hint="eastAsia"/>
          <w:snapToGrid/>
        </w:rPr>
        <w:t>而不是职工会</w:t>
      </w:r>
      <w:r>
        <w:rPr>
          <w:snapToGrid/>
        </w:rPr>
        <w:t>)</w:t>
      </w:r>
      <w:r>
        <w:rPr>
          <w:rFonts w:hint="eastAsia"/>
          <w:snapToGrid/>
        </w:rPr>
        <w:t>组织或机构的意思。这项声明是必需的，以确保符合《基本法》第一百四十八条的规定，这条文反映出相对于中国内地而言，我们在宪制上的地位。基于上述理由，我们无意撤销这项声明。</w:t>
      </w:r>
    </w:p>
    <w:p w:rsidR="00000000" w:rsidRDefault="00000000">
      <w:pPr>
        <w:pStyle w:val="Heading4"/>
        <w:spacing w:before="320"/>
        <w:rPr>
          <w:rFonts w:hint="eastAsia"/>
        </w:rPr>
      </w:pPr>
      <w:r>
        <w:rPr>
          <w:rFonts w:hint="eastAsia"/>
        </w:rPr>
        <w:t>鼓励劳资双方进行有效沟通、咨询和自愿协商</w:t>
      </w:r>
    </w:p>
    <w:p w:rsidR="00000000" w:rsidRDefault="00000000">
      <w:pPr>
        <w:tabs>
          <w:tab w:val="left" w:pos="567"/>
          <w:tab w:val="left" w:pos="1134"/>
          <w:tab w:val="left" w:pos="1701"/>
        </w:tabs>
        <w:rPr>
          <w:rFonts w:hint="eastAsia"/>
          <w:snapToGrid/>
        </w:rPr>
      </w:pPr>
      <w:r>
        <w:rPr>
          <w:snapToGrid/>
        </w:rPr>
        <w:tab/>
        <w:t xml:space="preserve">438.  </w:t>
      </w:r>
      <w:r>
        <w:rPr>
          <w:rFonts w:hint="eastAsia"/>
          <w:snapToGrid/>
        </w:rPr>
        <w:t>我们提交首份报告后，香港特区的劳工处便成立了“劳资协商促进组”</w:t>
      </w:r>
      <w:r>
        <w:rPr>
          <w:snapToGrid/>
        </w:rPr>
        <w:t>(</w:t>
      </w:r>
      <w:r>
        <w:rPr>
          <w:rFonts w:hint="eastAsia"/>
          <w:snapToGrid/>
        </w:rPr>
        <w:t>促进组</w:t>
      </w:r>
      <w:r>
        <w:rPr>
          <w:snapToGrid/>
        </w:rPr>
        <w:t>)</w:t>
      </w:r>
      <w:r>
        <w:rPr>
          <w:rFonts w:hint="eastAsia"/>
          <w:snapToGrid/>
        </w:rPr>
        <w:t>，以便在企业及行业的层面鼓励劳资双方进行自愿及直接协商。为达致这些目标，促进组：</w:t>
      </w:r>
    </w:p>
    <w:p w:rsidR="00000000" w:rsidRDefault="00000000">
      <w:pPr>
        <w:numPr>
          <w:ilvl w:val="0"/>
          <w:numId w:val="136"/>
        </w:numPr>
        <w:rPr>
          <w:rFonts w:hint="eastAsia"/>
          <w:snapToGrid/>
        </w:rPr>
      </w:pPr>
      <w:r>
        <w:rPr>
          <w:rFonts w:hint="eastAsia"/>
          <w:snapToGrid/>
        </w:rPr>
        <w:t>为不同行业超过</w:t>
      </w:r>
      <w:r>
        <w:rPr>
          <w:snapToGrid/>
        </w:rPr>
        <w:t>1,800</w:t>
      </w:r>
      <w:r>
        <w:rPr>
          <w:rFonts w:hint="eastAsia"/>
          <w:snapToGrid/>
        </w:rPr>
        <w:t>名人力资源从业员成立了</w:t>
      </w:r>
      <w:r>
        <w:rPr>
          <w:snapToGrid/>
        </w:rPr>
        <w:t>18</w:t>
      </w:r>
      <w:r>
        <w:rPr>
          <w:rFonts w:hint="eastAsia"/>
          <w:snapToGrid/>
        </w:rPr>
        <w:t>个人力资源经理会，让他们分享经验，并藉此推广良好的人事管理措施；</w:t>
      </w:r>
    </w:p>
    <w:p w:rsidR="00000000" w:rsidRDefault="00000000">
      <w:pPr>
        <w:numPr>
          <w:ilvl w:val="0"/>
          <w:numId w:val="136"/>
        </w:numPr>
        <w:rPr>
          <w:rFonts w:hint="eastAsia"/>
          <w:snapToGrid/>
        </w:rPr>
      </w:pPr>
      <w:r>
        <w:rPr>
          <w:rFonts w:hint="eastAsia"/>
          <w:snapToGrid/>
        </w:rPr>
        <w:t>举办座谈会、训练课程、工作坊、展览会及讲座，以推广有效的沟通及良好的人力资源措施；和</w:t>
      </w:r>
    </w:p>
    <w:p w:rsidR="00000000" w:rsidRDefault="00000000">
      <w:pPr>
        <w:numPr>
          <w:ilvl w:val="0"/>
          <w:numId w:val="136"/>
        </w:numPr>
        <w:rPr>
          <w:rFonts w:hint="eastAsia"/>
          <w:snapToGrid/>
        </w:rPr>
      </w:pPr>
      <w:r>
        <w:rPr>
          <w:rFonts w:hint="eastAsia"/>
          <w:snapToGrid/>
        </w:rPr>
        <w:t>设立奖励计划，每年颁发奖项，以鼓励有关从业员采用这些措施。</w:t>
      </w:r>
    </w:p>
    <w:p w:rsidR="00000000" w:rsidRDefault="00000000">
      <w:pPr>
        <w:tabs>
          <w:tab w:val="left" w:pos="567"/>
          <w:tab w:val="left" w:pos="1134"/>
          <w:tab w:val="left" w:pos="1701"/>
        </w:tabs>
        <w:rPr>
          <w:rFonts w:hint="eastAsia"/>
          <w:snapToGrid/>
        </w:rPr>
      </w:pPr>
      <w:r>
        <w:rPr>
          <w:snapToGrid/>
        </w:rPr>
        <w:tab/>
        <w:t xml:space="preserve">439.  </w:t>
      </w:r>
      <w:r>
        <w:rPr>
          <w:rFonts w:hint="eastAsia"/>
          <w:snapToGrid/>
          <w:spacing w:val="8"/>
        </w:rPr>
        <w:t>此外，促进组亦通过在行业中成立的三方小组，推广雇主联会及职工会直接对话。到目前为止，九个这类小组已经成立。除上述工作外，这</w:t>
      </w:r>
      <w:r>
        <w:rPr>
          <w:rFonts w:hint="eastAsia"/>
          <w:snapToGrid/>
        </w:rPr>
        <w:t>些小组还：</w:t>
      </w:r>
    </w:p>
    <w:p w:rsidR="00000000" w:rsidRDefault="00000000">
      <w:pPr>
        <w:numPr>
          <w:ilvl w:val="0"/>
          <w:numId w:val="134"/>
        </w:numPr>
        <w:rPr>
          <w:rFonts w:hint="eastAsia"/>
          <w:snapToGrid/>
        </w:rPr>
      </w:pPr>
      <w:r>
        <w:rPr>
          <w:rFonts w:hint="eastAsia"/>
          <w:snapToGrid/>
        </w:rPr>
        <w:t>解决雇主及雇员都关注的问题；</w:t>
      </w:r>
    </w:p>
    <w:p w:rsidR="00000000" w:rsidRDefault="00000000">
      <w:pPr>
        <w:numPr>
          <w:ilvl w:val="0"/>
          <w:numId w:val="134"/>
        </w:numPr>
        <w:tabs>
          <w:tab w:val="left" w:pos="567"/>
          <w:tab w:val="left" w:pos="1134"/>
          <w:tab w:val="left" w:pos="1701"/>
        </w:tabs>
        <w:rPr>
          <w:rFonts w:hint="eastAsia"/>
          <w:snapToGrid/>
        </w:rPr>
      </w:pPr>
      <w:r>
        <w:rPr>
          <w:rFonts w:hint="eastAsia"/>
          <w:snapToGrid/>
        </w:rPr>
        <w:t>为饮食、货运及建造业编制雇佣合约范本；</w:t>
      </w:r>
    </w:p>
    <w:p w:rsidR="00000000" w:rsidRDefault="00000000">
      <w:pPr>
        <w:numPr>
          <w:ilvl w:val="0"/>
          <w:numId w:val="134"/>
        </w:numPr>
        <w:tabs>
          <w:tab w:val="left" w:pos="567"/>
          <w:tab w:val="left" w:pos="1134"/>
          <w:tab w:val="left" w:pos="1701"/>
        </w:tabs>
        <w:rPr>
          <w:rFonts w:hint="eastAsia"/>
          <w:snapToGrid/>
        </w:rPr>
      </w:pPr>
      <w:r>
        <w:rPr>
          <w:rFonts w:hint="eastAsia"/>
          <w:snapToGrid/>
        </w:rPr>
        <w:t>为酒店及旅游业编制雇佣问题指南；和</w:t>
      </w:r>
    </w:p>
    <w:p w:rsidR="00000000" w:rsidRDefault="00000000">
      <w:pPr>
        <w:numPr>
          <w:ilvl w:val="0"/>
          <w:numId w:val="134"/>
        </w:numPr>
        <w:tabs>
          <w:tab w:val="left" w:pos="567"/>
          <w:tab w:val="left" w:pos="1701"/>
        </w:tabs>
        <w:rPr>
          <w:rFonts w:hint="eastAsia"/>
          <w:snapToGrid/>
        </w:rPr>
      </w:pPr>
      <w:r>
        <w:rPr>
          <w:rFonts w:hint="eastAsia"/>
          <w:snapToGrid/>
        </w:rPr>
        <w:t>为印刷业雇员制定培训机会守则。</w:t>
      </w:r>
    </w:p>
    <w:p w:rsidR="00000000" w:rsidRDefault="00000000">
      <w:pPr>
        <w:tabs>
          <w:tab w:val="left" w:pos="567"/>
          <w:tab w:val="left" w:pos="1130"/>
        </w:tabs>
        <w:rPr>
          <w:rFonts w:hint="eastAsia"/>
          <w:snapToGrid/>
        </w:rPr>
      </w:pPr>
      <w:r>
        <w:rPr>
          <w:snapToGrid/>
        </w:rPr>
        <w:tab/>
        <w:t xml:space="preserve">440.  </w:t>
      </w:r>
      <w:r>
        <w:rPr>
          <w:rFonts w:hint="eastAsia"/>
          <w:snapToGrid/>
        </w:rPr>
        <w:t>虽然当局已采取上述措施，但论者仍然要求恢复执行《雇员代表权、咨询权及集体谈判权条例》。这条例已于一九九七年十月废除，而原因亦已在首份报告第</w:t>
      </w:r>
      <w:r>
        <w:rPr>
          <w:snapToGrid/>
        </w:rPr>
        <w:t>123(c)</w:t>
      </w:r>
      <w:r>
        <w:rPr>
          <w:rFonts w:hint="eastAsia"/>
          <w:snapToGrid/>
        </w:rPr>
        <w:t>段述明。我们在二零零一年一月已就委员会“提出讨论事项一览表”</w:t>
      </w:r>
      <w:r>
        <w:rPr>
          <w:snapToGrid/>
        </w:rPr>
        <w:t xml:space="preserve"> </w:t>
      </w:r>
      <w:r>
        <w:rPr>
          <w:rStyle w:val="FootnoteReference"/>
          <w:snapToGrid/>
        </w:rPr>
        <w:footnoteReference w:customMarkFollows="1" w:id="36"/>
        <w:t>23</w:t>
      </w:r>
      <w:r>
        <w:rPr>
          <w:snapToGrid/>
        </w:rPr>
        <w:t xml:space="preserve"> </w:t>
      </w:r>
      <w:r>
        <w:rPr>
          <w:rFonts w:hint="eastAsia"/>
          <w:snapToGrid/>
        </w:rPr>
        <w:t>第</w:t>
      </w:r>
      <w:r>
        <w:rPr>
          <w:snapToGrid/>
        </w:rPr>
        <w:t>15</w:t>
      </w:r>
      <w:r>
        <w:rPr>
          <w:rFonts w:hint="eastAsia"/>
          <w:snapToGrid/>
        </w:rPr>
        <w:t>题作出回应，进一步阐释了我们对集体谈判的立场。</w:t>
      </w:r>
    </w:p>
    <w:p w:rsidR="00000000" w:rsidRDefault="00000000">
      <w:pPr>
        <w:tabs>
          <w:tab w:val="left" w:pos="567"/>
          <w:tab w:val="left" w:pos="1130"/>
        </w:tabs>
        <w:rPr>
          <w:rFonts w:hint="eastAsia"/>
          <w:snapToGrid/>
        </w:rPr>
      </w:pPr>
      <w:r>
        <w:rPr>
          <w:snapToGrid/>
        </w:rPr>
        <w:tab/>
        <w:t xml:space="preserve">441.  </w:t>
      </w:r>
      <w:r>
        <w:rPr>
          <w:rFonts w:hint="eastAsia"/>
          <w:snapToGrid/>
        </w:rPr>
        <w:t>一如在回应中所述，我们向来致力促进劳资双方进行自愿性质的集体谈判，同时亦通过多种方法积极推动自愿协商。这些方法见于我们对第</w:t>
      </w:r>
      <w:r>
        <w:rPr>
          <w:snapToGrid/>
        </w:rPr>
        <w:t>15</w:t>
      </w:r>
      <w:r>
        <w:rPr>
          <w:rFonts w:hint="eastAsia"/>
          <w:snapToGrid/>
        </w:rPr>
        <w:t>题的回应，以及上文第</w:t>
      </w:r>
      <w:r>
        <w:rPr>
          <w:snapToGrid/>
        </w:rPr>
        <w:t>438</w:t>
      </w:r>
      <w:r>
        <w:rPr>
          <w:rFonts w:hint="eastAsia"/>
          <w:snapToGrid/>
        </w:rPr>
        <w:t>和</w:t>
      </w:r>
      <w:r>
        <w:rPr>
          <w:snapToGrid/>
        </w:rPr>
        <w:t>439</w:t>
      </w:r>
      <w:r>
        <w:rPr>
          <w:rFonts w:hint="eastAsia"/>
          <w:snapToGrid/>
        </w:rPr>
        <w:t>段。不过，我们依然认为现行制度行之有效；香港每</w:t>
      </w:r>
      <w:r>
        <w:rPr>
          <w:snapToGrid/>
        </w:rPr>
        <w:t>1,000</w:t>
      </w:r>
      <w:r>
        <w:rPr>
          <w:rFonts w:hint="eastAsia"/>
          <w:snapToGrid/>
        </w:rPr>
        <w:t>名受薪雇员因劳资纠纷而损失的平均工作日数，属于全世界最低水平，足可证明这点。法例确实可迫使劳资双方进行集体谈判，但并不保证双方最终会达成协议。此外，我们认为强迫性的集体谈判有以下缺点：</w:t>
      </w:r>
    </w:p>
    <w:p w:rsidR="00000000" w:rsidRDefault="00000000">
      <w:pPr>
        <w:numPr>
          <w:ilvl w:val="0"/>
          <w:numId w:val="138"/>
        </w:numPr>
      </w:pPr>
      <w:r>
        <w:rPr>
          <w:rFonts w:hint="eastAsia"/>
          <w:snapToGrid/>
        </w:rPr>
        <w:t>可能会产生一个更加容易造成对立和更僵化的劳资关系制度。劳工市场的僵化会削弱香港对海外投资者的吸引力；长远而言，更会减少就业机会，对雇员不利；以及</w:t>
      </w:r>
    </w:p>
    <w:p w:rsidR="00000000" w:rsidRDefault="00000000">
      <w:pPr>
        <w:numPr>
          <w:ilvl w:val="0"/>
          <w:numId w:val="138"/>
        </w:numPr>
        <w:rPr>
          <w:rFonts w:hint="eastAsia"/>
        </w:rPr>
      </w:pPr>
      <w:r>
        <w:rPr>
          <w:rFonts w:hint="eastAsia"/>
        </w:rPr>
        <w:t>将会削弱市场力量对解决工资争议所起的作用，令到劳工市场发展不正常，减慢经济体系对市场变动的反应。</w:t>
      </w:r>
    </w:p>
    <w:p w:rsidR="00000000" w:rsidRDefault="00000000">
      <w:pPr>
        <w:tabs>
          <w:tab w:val="left" w:pos="560"/>
          <w:tab w:val="left" w:pos="1130"/>
        </w:tabs>
        <w:spacing w:after="320"/>
        <w:rPr>
          <w:rFonts w:hint="eastAsia"/>
          <w:snapToGrid/>
        </w:rPr>
      </w:pPr>
      <w:r>
        <w:rPr>
          <w:rFonts w:hint="eastAsia"/>
          <w:snapToGrid/>
        </w:rPr>
        <w:t>基于这些原因，我们并无计划恢复执行《雇员代表权、咨询权及集体谈判权条例》。</w:t>
      </w:r>
    </w:p>
    <w:p w:rsidR="00000000" w:rsidRDefault="00000000">
      <w:pPr>
        <w:pStyle w:val="Heading3"/>
        <w:spacing w:after="240"/>
        <w:rPr>
          <w:rFonts w:ascii="Time New Roman" w:eastAsia="SimHei" w:hAnsi="Time New Roman" w:hint="eastAsia"/>
          <w:u w:val="none"/>
        </w:rPr>
      </w:pPr>
      <w:bookmarkStart w:id="45" w:name="_Toc78772954"/>
      <w:r>
        <w:rPr>
          <w:rFonts w:ascii="Time New Roman" w:eastAsia="SimHei" w:hAnsi="Time New Roman"/>
          <w:b/>
          <w:u w:val="none"/>
        </w:rPr>
        <w:t>I</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九</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hint="eastAsia"/>
          <w:u w:val="none"/>
        </w:rPr>
        <w:br/>
      </w:r>
      <w:r>
        <w:rPr>
          <w:rFonts w:ascii="Time New Roman" w:eastAsia="SimHei" w:hAnsi="Time New Roman"/>
          <w:u w:val="none"/>
        </w:rPr>
        <w:t xml:space="preserve">   </w:t>
      </w:r>
      <w:r>
        <w:rPr>
          <w:rFonts w:ascii="Time New Roman" w:eastAsia="SimHei" w:hAnsi="Time New Roman" w:hint="eastAsia"/>
          <w:u w:val="none"/>
        </w:rPr>
        <w:t>享有社会保障的权利</w:t>
      </w:r>
      <w:bookmarkEnd w:id="45"/>
    </w:p>
    <w:p w:rsidR="00000000" w:rsidRDefault="00000000">
      <w:pPr>
        <w:pStyle w:val="Heading4"/>
        <w:spacing w:after="200"/>
        <w:rPr>
          <w:rFonts w:hint="eastAsia"/>
        </w:rPr>
      </w:pPr>
      <w:r>
        <w:rPr>
          <w:rFonts w:hint="eastAsia"/>
        </w:rPr>
        <w:t>国际劳工公约</w:t>
      </w:r>
    </w:p>
    <w:p w:rsidR="00000000" w:rsidRDefault="00000000">
      <w:pPr>
        <w:rPr>
          <w:rFonts w:hint="eastAsia"/>
          <w:snapToGrid/>
        </w:rPr>
      </w:pPr>
      <w:r>
        <w:rPr>
          <w:snapToGrid/>
        </w:rPr>
        <w:tab/>
        <w:t xml:space="preserve">442.  </w:t>
      </w:r>
      <w:r>
        <w:rPr>
          <w:rFonts w:hint="eastAsia"/>
        </w:rPr>
        <w:t>分娩福利的资</w:t>
      </w:r>
      <w:r>
        <w:rPr>
          <w:rFonts w:hint="eastAsia"/>
          <w:snapToGrid/>
        </w:rPr>
        <w:t>料，载于就《保护生育公约》</w:t>
      </w:r>
      <w:r>
        <w:rPr>
          <w:snapToGrid/>
        </w:rPr>
        <w:t>(</w:t>
      </w:r>
      <w:r>
        <w:rPr>
          <w:rFonts w:hint="eastAsia"/>
          <w:snapToGrid/>
        </w:rPr>
        <w:t>第</w:t>
      </w:r>
      <w:r>
        <w:rPr>
          <w:snapToGrid/>
        </w:rPr>
        <w:t>3</w:t>
      </w:r>
      <w:r>
        <w:rPr>
          <w:rFonts w:hint="eastAsia"/>
          <w:snapToGrid/>
        </w:rPr>
        <w:t>号公约</w:t>
      </w:r>
      <w:r>
        <w:rPr>
          <w:snapToGrid/>
        </w:rPr>
        <w:t>)</w:t>
      </w:r>
      <w:r>
        <w:rPr>
          <w:rFonts w:hint="eastAsia"/>
          <w:snapToGrid/>
        </w:rPr>
        <w:t>提交有关一九九七年一月一日至二零零二年五月三十一日期间的第</w:t>
      </w:r>
      <w:r>
        <w:rPr>
          <w:snapToGrid/>
        </w:rPr>
        <w:t>22</w:t>
      </w:r>
      <w:r>
        <w:rPr>
          <w:rFonts w:hint="eastAsia"/>
          <w:snapToGrid/>
        </w:rPr>
        <w:t>条报告内。</w:t>
      </w:r>
    </w:p>
    <w:p w:rsidR="00000000" w:rsidRDefault="00000000">
      <w:pPr>
        <w:tabs>
          <w:tab w:val="left" w:pos="567"/>
          <w:tab w:val="left" w:pos="1134"/>
          <w:tab w:val="left" w:pos="1701"/>
        </w:tabs>
        <w:rPr>
          <w:rFonts w:hint="eastAsia"/>
          <w:snapToGrid/>
        </w:rPr>
      </w:pPr>
      <w:r>
        <w:rPr>
          <w:snapToGrid/>
        </w:rPr>
        <w:tab/>
        <w:t xml:space="preserve">443.  </w:t>
      </w:r>
      <w:r>
        <w:rPr>
          <w:rFonts w:hint="eastAsia"/>
        </w:rPr>
        <w:t>雇员工伤或职</w:t>
      </w:r>
      <w:r>
        <w:rPr>
          <w:rFonts w:hint="eastAsia"/>
          <w:snapToGrid/>
        </w:rPr>
        <w:t>业病补偿计划的资料，载于下述向国际劳工组织提交的报告内：</w:t>
      </w:r>
    </w:p>
    <w:p w:rsidR="00000000" w:rsidRDefault="00000000">
      <w:pPr>
        <w:numPr>
          <w:ilvl w:val="0"/>
          <w:numId w:val="139"/>
        </w:numPr>
        <w:rPr>
          <w:rFonts w:hint="eastAsia"/>
        </w:rPr>
      </w:pPr>
      <w:r>
        <w:rPr>
          <w:rFonts w:hint="eastAsia"/>
        </w:rPr>
        <w:t>就《</w:t>
      </w:r>
      <w:r>
        <w:t>(</w:t>
      </w:r>
      <w:r>
        <w:rPr>
          <w:rFonts w:hint="eastAsia"/>
        </w:rPr>
        <w:t>农业</w:t>
      </w:r>
      <w:r>
        <w:t>)</w:t>
      </w:r>
      <w:r>
        <w:rPr>
          <w:rFonts w:hint="eastAsia"/>
        </w:rPr>
        <w:t>工人赔偿公约》</w:t>
      </w:r>
      <w:r>
        <w:t>(</w:t>
      </w:r>
      <w:r>
        <w:rPr>
          <w:rFonts w:hint="eastAsia"/>
        </w:rPr>
        <w:t>第</w:t>
      </w:r>
      <w:r>
        <w:t>12</w:t>
      </w:r>
      <w:r>
        <w:rPr>
          <w:rFonts w:hint="eastAsia"/>
        </w:rPr>
        <w:t>号公约</w:t>
      </w:r>
      <w:r>
        <w:t>)</w:t>
      </w:r>
      <w:r>
        <w:rPr>
          <w:rFonts w:hint="eastAsia"/>
        </w:rPr>
        <w:t>在一九九三年七月一日至一九九九年五月三十一日，以及一九九九年六月一日至二零零一年五月三十一日期间的第</w:t>
      </w:r>
      <w:r>
        <w:t>22</w:t>
      </w:r>
      <w:r>
        <w:rPr>
          <w:rFonts w:hint="eastAsia"/>
        </w:rPr>
        <w:t>条报告；</w:t>
      </w:r>
    </w:p>
    <w:p w:rsidR="00000000" w:rsidRDefault="00000000">
      <w:pPr>
        <w:numPr>
          <w:ilvl w:val="0"/>
          <w:numId w:val="139"/>
        </w:numPr>
        <w:rPr>
          <w:rFonts w:hint="eastAsia"/>
        </w:rPr>
      </w:pPr>
      <w:r>
        <w:rPr>
          <w:rFonts w:hint="eastAsia"/>
        </w:rPr>
        <w:t>就《工人</w:t>
      </w:r>
      <w:r>
        <w:t>(</w:t>
      </w:r>
      <w:r>
        <w:rPr>
          <w:rFonts w:hint="eastAsia"/>
        </w:rPr>
        <w:t>事故</w:t>
      </w:r>
      <w:r>
        <w:t>)</w:t>
      </w:r>
      <w:r>
        <w:rPr>
          <w:rFonts w:hint="eastAsia"/>
        </w:rPr>
        <w:t>赔偿公约》</w:t>
      </w:r>
      <w:r>
        <w:t>(</w:t>
      </w:r>
      <w:r>
        <w:rPr>
          <w:rFonts w:hint="eastAsia"/>
        </w:rPr>
        <w:t>第</w:t>
      </w:r>
      <w:r>
        <w:t>17</w:t>
      </w:r>
      <w:r>
        <w:rPr>
          <w:rFonts w:hint="eastAsia"/>
        </w:rPr>
        <w:t>号公约</w:t>
      </w:r>
      <w:r>
        <w:t>)</w:t>
      </w:r>
      <w:r>
        <w:rPr>
          <w:rFonts w:hint="eastAsia"/>
        </w:rPr>
        <w:t>在一九九三年七月一日至一九九九年五月三十一日，以及一九九九年六月一日至二零零一年五月三十一日期间的第</w:t>
      </w:r>
      <w:r>
        <w:t>22</w:t>
      </w:r>
      <w:r>
        <w:rPr>
          <w:rFonts w:hint="eastAsia"/>
        </w:rPr>
        <w:t>条报告；</w:t>
      </w:r>
    </w:p>
    <w:p w:rsidR="00000000" w:rsidRDefault="00000000">
      <w:pPr>
        <w:numPr>
          <w:ilvl w:val="0"/>
          <w:numId w:val="139"/>
        </w:numPr>
        <w:spacing w:after="160"/>
        <w:rPr>
          <w:rFonts w:hint="eastAsia"/>
        </w:rPr>
      </w:pPr>
      <w:r>
        <w:rPr>
          <w:rFonts w:hint="eastAsia"/>
        </w:rPr>
        <w:t>就《工人</w:t>
      </w:r>
      <w:r>
        <w:t>(</w:t>
      </w:r>
      <w:r>
        <w:rPr>
          <w:rFonts w:hint="eastAsia"/>
        </w:rPr>
        <w:t>职业病</w:t>
      </w:r>
      <w:r>
        <w:t>)</w:t>
      </w:r>
      <w:r>
        <w:rPr>
          <w:rFonts w:hint="eastAsia"/>
        </w:rPr>
        <w:t>赔偿公约</w:t>
      </w:r>
      <w:r>
        <w:t>(</w:t>
      </w:r>
      <w:r>
        <w:rPr>
          <w:rFonts w:hint="eastAsia"/>
        </w:rPr>
        <w:t>修订本</w:t>
      </w:r>
      <w:r>
        <w:t>)</w:t>
      </w:r>
      <w:r>
        <w:rPr>
          <w:rFonts w:hint="eastAsia"/>
        </w:rPr>
        <w:t>》</w:t>
      </w:r>
      <w:r>
        <w:t>(</w:t>
      </w:r>
      <w:r>
        <w:rPr>
          <w:rFonts w:hint="eastAsia"/>
        </w:rPr>
        <w:t>第</w:t>
      </w:r>
      <w:r>
        <w:t>42</w:t>
      </w:r>
      <w:r>
        <w:rPr>
          <w:rFonts w:hint="eastAsia"/>
        </w:rPr>
        <w:t>号公约</w:t>
      </w:r>
      <w:r>
        <w:t>)</w:t>
      </w:r>
      <w:r>
        <w:rPr>
          <w:rFonts w:hint="eastAsia"/>
        </w:rPr>
        <w:t>在一九九三年七月一日至一九九九年五月三十一日，以及一九九九年六月一日至二零零一年五月三十一日期间的第</w:t>
      </w:r>
      <w:r>
        <w:t>22</w:t>
      </w:r>
      <w:r>
        <w:rPr>
          <w:rFonts w:hint="eastAsia"/>
        </w:rPr>
        <w:t>条报告。</w:t>
      </w:r>
    </w:p>
    <w:p w:rsidR="00000000" w:rsidRDefault="00000000">
      <w:pPr>
        <w:pStyle w:val="Heading4"/>
        <w:spacing w:after="160"/>
      </w:pPr>
      <w:r>
        <w:rPr>
          <w:rFonts w:hint="eastAsia"/>
        </w:rPr>
        <w:t>整体目标</w:t>
      </w:r>
    </w:p>
    <w:p w:rsidR="00000000" w:rsidRDefault="00000000">
      <w:pPr>
        <w:spacing w:after="160"/>
        <w:rPr>
          <w:rFonts w:hint="eastAsia"/>
          <w:snapToGrid/>
        </w:rPr>
      </w:pPr>
      <w:r>
        <w:tab/>
        <w:t xml:space="preserve">444.  </w:t>
      </w:r>
      <w:r>
        <w:rPr>
          <w:rFonts w:hint="eastAsia"/>
          <w:snapToGrid/>
        </w:rPr>
        <w:t>情况基本上与首份报告第</w:t>
      </w:r>
      <w:r>
        <w:rPr>
          <w:snapToGrid/>
        </w:rPr>
        <w:t>134</w:t>
      </w:r>
      <w:r>
        <w:rPr>
          <w:rFonts w:hint="eastAsia"/>
          <w:snapToGrid/>
        </w:rPr>
        <w:t>段所载的相同。</w:t>
      </w:r>
    </w:p>
    <w:p w:rsidR="00000000" w:rsidRDefault="00000000">
      <w:pPr>
        <w:pStyle w:val="Heading4"/>
        <w:spacing w:after="160"/>
        <w:rPr>
          <w:rFonts w:hint="eastAsia"/>
        </w:rPr>
      </w:pPr>
      <w:r>
        <w:rPr>
          <w:rFonts w:hint="eastAsia"/>
        </w:rPr>
        <w:t>政府在社会保障方面的开支</w:t>
      </w:r>
    </w:p>
    <w:p w:rsidR="00000000" w:rsidRDefault="00000000">
      <w:pPr>
        <w:tabs>
          <w:tab w:val="left" w:pos="567"/>
          <w:tab w:val="left" w:pos="1134"/>
          <w:tab w:val="left" w:pos="1701"/>
        </w:tabs>
        <w:rPr>
          <w:rFonts w:hint="eastAsia"/>
          <w:snapToGrid/>
        </w:rPr>
      </w:pPr>
      <w:r>
        <w:rPr>
          <w:snapToGrid/>
        </w:rPr>
        <w:tab/>
        <w:t xml:space="preserve">445.  </w:t>
      </w:r>
      <w:r>
        <w:rPr>
          <w:rFonts w:hint="eastAsia"/>
          <w:snapToGrid/>
        </w:rPr>
        <w:t>在二零零一至零二财政年度，政府在社会保障方面的开支总额达</w:t>
      </w:r>
      <w:r>
        <w:rPr>
          <w:snapToGrid/>
        </w:rPr>
        <w:t>198</w:t>
      </w:r>
      <w:r>
        <w:rPr>
          <w:rFonts w:hint="eastAsia"/>
          <w:snapToGrid/>
        </w:rPr>
        <w:t>亿港元，相等于该年度政府整体经常开支的</w:t>
      </w:r>
      <w:r>
        <w:rPr>
          <w:snapToGrid/>
        </w:rPr>
        <w:t>10%</w:t>
      </w:r>
      <w:r>
        <w:rPr>
          <w:rFonts w:hint="eastAsia"/>
          <w:snapToGrid/>
        </w:rPr>
        <w:t>或本地生产总值的</w:t>
      </w:r>
      <w:r>
        <w:rPr>
          <w:snapToGrid/>
        </w:rPr>
        <w:t>1.6%</w:t>
      </w:r>
      <w:r>
        <w:rPr>
          <w:rFonts w:hint="eastAsia"/>
          <w:snapToGrid/>
        </w:rPr>
        <w:t>；而一九九一至九二财政年度的相应数字为</w:t>
      </w:r>
      <w:r>
        <w:rPr>
          <w:snapToGrid/>
        </w:rPr>
        <w:t>37.46</w:t>
      </w:r>
      <w:r>
        <w:rPr>
          <w:rFonts w:hint="eastAsia"/>
          <w:snapToGrid/>
        </w:rPr>
        <w:t>亿港元，占当时政府整体经常开支的</w:t>
      </w:r>
      <w:r>
        <w:rPr>
          <w:snapToGrid/>
        </w:rPr>
        <w:t>5.3%</w:t>
      </w:r>
      <w:r>
        <w:rPr>
          <w:rFonts w:hint="eastAsia"/>
          <w:snapToGrid/>
        </w:rPr>
        <w:t>或本地生产总值的</w:t>
      </w:r>
      <w:r>
        <w:rPr>
          <w:snapToGrid/>
        </w:rPr>
        <w:t>0.5%</w:t>
      </w:r>
      <w:r>
        <w:rPr>
          <w:rFonts w:hint="eastAsia"/>
          <w:snapToGrid/>
        </w:rPr>
        <w:t>。</w:t>
      </w:r>
    </w:p>
    <w:p w:rsidR="00000000" w:rsidRDefault="00000000">
      <w:pPr>
        <w:spacing w:after="320"/>
        <w:rPr>
          <w:rFonts w:hint="eastAsia"/>
          <w:snapToGrid/>
        </w:rPr>
      </w:pPr>
      <w:r>
        <w:rPr>
          <w:snapToGrid/>
        </w:rPr>
        <w:tab/>
        <w:t xml:space="preserve">446.  </w:t>
      </w:r>
      <w:r>
        <w:rPr>
          <w:rFonts w:hint="eastAsia"/>
          <w:snapToGrid/>
        </w:rPr>
        <w:t>在二零零二至零三财政年度，政府在社会保障方面的预算开支总额为</w:t>
      </w:r>
      <w:r>
        <w:rPr>
          <w:snapToGrid/>
        </w:rPr>
        <w:t>218</w:t>
      </w:r>
      <w:r>
        <w:rPr>
          <w:rFonts w:hint="eastAsia"/>
          <w:snapToGrid/>
        </w:rPr>
        <w:t>亿港元，相等于该年度政府整体预算经常开支的</w:t>
      </w:r>
      <w:r>
        <w:rPr>
          <w:snapToGrid/>
        </w:rPr>
        <w:t>10.6%</w:t>
      </w:r>
      <w:r>
        <w:rPr>
          <w:rFonts w:hint="eastAsia"/>
          <w:snapToGrid/>
        </w:rPr>
        <w:t>或本地生产总值预测的</w:t>
      </w:r>
      <w:r>
        <w:rPr>
          <w:snapToGrid/>
        </w:rPr>
        <w:t>1.7%</w:t>
      </w:r>
      <w:r>
        <w:rPr>
          <w:rFonts w:hint="eastAsia"/>
          <w:snapToGrid/>
        </w:rPr>
        <w:t>；而一九九二至九三财政年度的相应数字为</w:t>
      </w:r>
      <w:r>
        <w:rPr>
          <w:snapToGrid/>
        </w:rPr>
        <w:t>44.63</w:t>
      </w:r>
      <w:r>
        <w:rPr>
          <w:rFonts w:hint="eastAsia"/>
          <w:snapToGrid/>
        </w:rPr>
        <w:t>亿港元，占当时政府整体经常开支的</w:t>
      </w:r>
      <w:r>
        <w:rPr>
          <w:snapToGrid/>
        </w:rPr>
        <w:t>5.5%</w:t>
      </w:r>
      <w:r>
        <w:rPr>
          <w:rFonts w:hint="eastAsia"/>
          <w:snapToGrid/>
        </w:rPr>
        <w:t>或本地生产总值的</w:t>
      </w:r>
      <w:r>
        <w:rPr>
          <w:snapToGrid/>
        </w:rPr>
        <w:t>0.5%</w:t>
      </w:r>
      <w:r>
        <w:rPr>
          <w:rFonts w:hint="eastAsia"/>
          <w:snapToGrid/>
        </w:rPr>
        <w:t>。</w:t>
      </w:r>
    </w:p>
    <w:p w:rsidR="00000000" w:rsidRDefault="00000000">
      <w:pPr>
        <w:pStyle w:val="Heading4"/>
        <w:rPr>
          <w:rFonts w:hint="eastAsia"/>
        </w:rPr>
      </w:pPr>
      <w:r>
        <w:rPr>
          <w:rFonts w:hint="eastAsia"/>
        </w:rPr>
        <w:t>综合社会保障援助</w:t>
      </w:r>
      <w:r>
        <w:t>(</w:t>
      </w:r>
      <w:r>
        <w:rPr>
          <w:rFonts w:hint="eastAsia"/>
        </w:rPr>
        <w:t>综援</w:t>
      </w:r>
      <w:r>
        <w:t>)</w:t>
      </w:r>
      <w:r>
        <w:rPr>
          <w:rFonts w:hint="eastAsia"/>
        </w:rPr>
        <w:t>计划</w:t>
      </w:r>
    </w:p>
    <w:p w:rsidR="00000000" w:rsidRDefault="00000000">
      <w:pPr>
        <w:tabs>
          <w:tab w:val="left" w:pos="567"/>
          <w:tab w:val="left" w:pos="1134"/>
          <w:tab w:val="left" w:pos="1701"/>
        </w:tabs>
        <w:spacing w:after="320"/>
        <w:rPr>
          <w:rFonts w:hint="eastAsia"/>
          <w:snapToGrid/>
        </w:rPr>
      </w:pPr>
      <w:r>
        <w:rPr>
          <w:snapToGrid/>
        </w:rPr>
        <w:tab/>
        <w:t xml:space="preserve">447.  </w:t>
      </w:r>
      <w:r>
        <w:rPr>
          <w:rFonts w:hint="eastAsia"/>
          <w:snapToGrid/>
        </w:rPr>
        <w:t>除下文第</w:t>
      </w:r>
      <w:r>
        <w:rPr>
          <w:snapToGrid/>
        </w:rPr>
        <w:t>448</w:t>
      </w:r>
      <w:r>
        <w:rPr>
          <w:rFonts w:hint="eastAsia"/>
          <w:snapToGrid/>
        </w:rPr>
        <w:t>至</w:t>
      </w:r>
      <w:r>
        <w:rPr>
          <w:snapToGrid/>
        </w:rPr>
        <w:t>451</w:t>
      </w:r>
      <w:r>
        <w:rPr>
          <w:rFonts w:hint="eastAsia"/>
          <w:snapToGrid/>
        </w:rPr>
        <w:t>段所述在政策检讨后推行的计划外，情况与首份报告第</w:t>
      </w:r>
      <w:r>
        <w:rPr>
          <w:snapToGrid/>
        </w:rPr>
        <w:t>134</w:t>
      </w:r>
      <w:r>
        <w:rPr>
          <w:rFonts w:hint="eastAsia"/>
          <w:snapToGrid/>
        </w:rPr>
        <w:t>至</w:t>
      </w:r>
      <w:r>
        <w:rPr>
          <w:snapToGrid/>
        </w:rPr>
        <w:t>155</w:t>
      </w:r>
      <w:r>
        <w:rPr>
          <w:rFonts w:hint="eastAsia"/>
          <w:snapToGrid/>
        </w:rPr>
        <w:t>段所载的相同。推行综援计划的目的，是为那些基于年老、疾病、残疾、单亲、失业和收入低微种种原因，而无法经济自立的人士提供一个安全网。截至二零零二年十二月底为止，约有</w:t>
      </w:r>
      <w:r>
        <w:rPr>
          <w:snapToGrid/>
        </w:rPr>
        <w:t>267,000</w:t>
      </w:r>
      <w:r>
        <w:rPr>
          <w:rFonts w:hint="eastAsia"/>
          <w:snapToGrid/>
        </w:rPr>
        <w:t>个家庭</w:t>
      </w:r>
      <w:r>
        <w:rPr>
          <w:snapToGrid/>
        </w:rPr>
        <w:t>(</w:t>
      </w:r>
      <w:r>
        <w:rPr>
          <w:rFonts w:hint="eastAsia"/>
          <w:snapToGrid/>
        </w:rPr>
        <w:t>即</w:t>
      </w:r>
      <w:r>
        <w:rPr>
          <w:snapToGrid/>
        </w:rPr>
        <w:t>467,000</w:t>
      </w:r>
      <w:r>
        <w:rPr>
          <w:rFonts w:hint="eastAsia"/>
          <w:snapToGrid/>
        </w:rPr>
        <w:t>人</w:t>
      </w:r>
      <w:r>
        <w:rPr>
          <w:snapToGrid/>
        </w:rPr>
        <w:t>)</w:t>
      </w:r>
      <w:r>
        <w:rPr>
          <w:rFonts w:hint="eastAsia"/>
          <w:snapToGrid/>
        </w:rPr>
        <w:t>通过综援计划得到援助。在二零零一至零二财政年度，单身人士平均每月可领取的综援金额为</w:t>
      </w:r>
      <w:r>
        <w:rPr>
          <w:snapToGrid/>
        </w:rPr>
        <w:t>3,778</w:t>
      </w:r>
      <w:r>
        <w:rPr>
          <w:rFonts w:hint="eastAsia"/>
          <w:snapToGrid/>
        </w:rPr>
        <w:t>元，四人家庭则为</w:t>
      </w:r>
      <w:r>
        <w:rPr>
          <w:snapToGrid/>
        </w:rPr>
        <w:t>10,015</w:t>
      </w:r>
      <w:r>
        <w:rPr>
          <w:rFonts w:hint="eastAsia"/>
          <w:snapToGrid/>
        </w:rPr>
        <w:t>元，分别相当于工资中位数的</w:t>
      </w:r>
      <w:r>
        <w:rPr>
          <w:snapToGrid/>
        </w:rPr>
        <w:t>36.4%</w:t>
      </w:r>
      <w:r>
        <w:rPr>
          <w:rFonts w:hint="eastAsia"/>
          <w:snapToGrid/>
        </w:rPr>
        <w:t>及</w:t>
      </w:r>
      <w:r>
        <w:rPr>
          <w:snapToGrid/>
        </w:rPr>
        <w:t>96.6%</w:t>
      </w:r>
      <w:r>
        <w:rPr>
          <w:rFonts w:hint="eastAsia"/>
          <w:snapToGrid/>
        </w:rPr>
        <w:t>。</w:t>
      </w:r>
    </w:p>
    <w:p w:rsidR="00000000" w:rsidRDefault="00000000">
      <w:pPr>
        <w:pStyle w:val="Heading4"/>
        <w:rPr>
          <w:rFonts w:hint="eastAsia"/>
        </w:rPr>
      </w:pPr>
      <w:r>
        <w:rPr>
          <w:rFonts w:hint="eastAsia"/>
        </w:rPr>
        <w:t>政策检讨</w:t>
      </w:r>
    </w:p>
    <w:p w:rsidR="00000000" w:rsidRDefault="00000000">
      <w:pPr>
        <w:tabs>
          <w:tab w:val="left" w:pos="567"/>
          <w:tab w:val="left" w:pos="1134"/>
          <w:tab w:val="left" w:pos="1701"/>
        </w:tabs>
        <w:spacing w:after="320"/>
        <w:rPr>
          <w:rFonts w:hint="eastAsia"/>
          <w:snapToGrid/>
        </w:rPr>
      </w:pPr>
      <w:r>
        <w:rPr>
          <w:snapToGrid/>
        </w:rPr>
        <w:tab/>
        <w:t xml:space="preserve">448.  </w:t>
      </w:r>
      <w:r>
        <w:rPr>
          <w:rFonts w:hint="eastAsia"/>
          <w:snapToGrid/>
        </w:rPr>
        <w:t>我们经广泛征询民意后，在一九九九年六月推出了一系列政策措施，而自力更生支援计划便是其中之一。这项计划旨在鼓励并协助失业的健全综援受助人重投工作行列。其他措施包括加强管制，杜绝骗取和滥取综援的情况，以及调整成员较多的受助家庭所获的福利，以反映人数较多的家庭每人平均的生活开支相应较低。推行这些措施是要回应市民对综援个案和有关开支激增的关注，以及遏止出现一个倚赖援助的文化。</w:t>
      </w:r>
    </w:p>
    <w:p w:rsidR="00000000" w:rsidRDefault="00000000">
      <w:pPr>
        <w:pStyle w:val="Heading4"/>
        <w:rPr>
          <w:rFonts w:hint="eastAsia"/>
        </w:rPr>
      </w:pPr>
      <w:r>
        <w:rPr>
          <w:rFonts w:hint="eastAsia"/>
        </w:rPr>
        <w:t>自力更生支援计划和领取综援资格</w:t>
      </w:r>
    </w:p>
    <w:p w:rsidR="00000000" w:rsidRDefault="00000000">
      <w:pPr>
        <w:tabs>
          <w:tab w:val="left" w:pos="567"/>
          <w:tab w:val="left" w:pos="1134"/>
          <w:tab w:val="left" w:pos="1701"/>
        </w:tabs>
        <w:rPr>
          <w:rFonts w:hint="eastAsia"/>
          <w:snapToGrid/>
        </w:rPr>
      </w:pPr>
      <w:r>
        <w:rPr>
          <w:snapToGrid/>
        </w:rPr>
        <w:tab/>
        <w:t xml:space="preserve">449.  </w:t>
      </w:r>
      <w:r>
        <w:rPr>
          <w:rFonts w:hint="eastAsia"/>
          <w:snapToGrid/>
        </w:rPr>
        <w:t>我们继续采用首份报告第</w:t>
      </w:r>
      <w:r>
        <w:rPr>
          <w:snapToGrid/>
        </w:rPr>
        <w:t>141</w:t>
      </w:r>
      <w:r>
        <w:rPr>
          <w:rFonts w:hint="eastAsia"/>
          <w:snapToGrid/>
        </w:rPr>
        <w:t>段所载的资格准则。不过，失业或没有全职工作的健全成年人必须积极寻找有薪工作，并须参加自力更生支援计划，作为领取综援的条件。</w:t>
      </w:r>
    </w:p>
    <w:p w:rsidR="00000000" w:rsidRDefault="00000000">
      <w:pPr>
        <w:tabs>
          <w:tab w:val="left" w:pos="567"/>
          <w:tab w:val="left" w:pos="1134"/>
          <w:tab w:val="left" w:pos="1701"/>
        </w:tabs>
        <w:rPr>
          <w:rFonts w:hint="eastAsia"/>
          <w:snapToGrid/>
        </w:rPr>
      </w:pPr>
      <w:r>
        <w:rPr>
          <w:snapToGrid/>
        </w:rPr>
        <w:tab/>
        <w:t xml:space="preserve">450.  </w:t>
      </w:r>
      <w:r>
        <w:rPr>
          <w:rFonts w:hint="eastAsia"/>
          <w:snapToGrid/>
        </w:rPr>
        <w:t>自力更生支援计划包括：</w:t>
      </w:r>
    </w:p>
    <w:p w:rsidR="00000000" w:rsidRDefault="00000000">
      <w:pPr>
        <w:numPr>
          <w:ilvl w:val="0"/>
          <w:numId w:val="141"/>
        </w:numPr>
        <w:rPr>
          <w:rFonts w:hint="eastAsia"/>
          <w:snapToGrid/>
        </w:rPr>
      </w:pPr>
      <w:r>
        <w:rPr>
          <w:rFonts w:ascii="Time New Roman" w:eastAsia="SimHei" w:hAnsi="Time New Roman" w:hint="eastAsia"/>
          <w:bCs/>
          <w:snapToGrid/>
        </w:rPr>
        <w:t>积极就业援助计划：</w:t>
      </w:r>
      <w:r>
        <w:rPr>
          <w:rFonts w:hint="eastAsia"/>
          <w:snapToGrid/>
        </w:rPr>
        <w:t>向参加者提供个人服务，使他们获得与就业有关的最新资料、培训</w:t>
      </w:r>
      <w:r>
        <w:rPr>
          <w:snapToGrid/>
        </w:rPr>
        <w:t>/</w:t>
      </w:r>
      <w:r>
        <w:rPr>
          <w:rFonts w:hint="eastAsia"/>
          <w:snapToGrid/>
        </w:rPr>
        <w:t>再培训机会和其他支援服务，或转介他们参加其他就业援助计划；</w:t>
      </w:r>
    </w:p>
    <w:p w:rsidR="00000000" w:rsidRDefault="00000000">
      <w:pPr>
        <w:numPr>
          <w:ilvl w:val="0"/>
          <w:numId w:val="141"/>
        </w:numPr>
        <w:rPr>
          <w:rFonts w:hint="eastAsia"/>
          <w:snapToGrid/>
        </w:rPr>
      </w:pPr>
      <w:r>
        <w:rPr>
          <w:rFonts w:ascii="Time New Roman" w:eastAsia="SimHei" w:hAnsi="Time New Roman" w:hint="eastAsia"/>
          <w:bCs/>
          <w:snapToGrid/>
        </w:rPr>
        <w:t>社区工作计划：</w:t>
      </w:r>
      <w:r>
        <w:rPr>
          <w:rFonts w:hint="eastAsia"/>
          <w:snapToGrid/>
        </w:rPr>
        <w:t>失业的综援受助人通过计划参与无薪的社区工作，以培养工作习惯、改善社交技巧，以及增强自尊和信心。</w:t>
      </w:r>
    </w:p>
    <w:p w:rsidR="00000000" w:rsidRDefault="00000000">
      <w:pPr>
        <w:pStyle w:val="BodyText"/>
        <w:spacing w:after="320"/>
        <w:rPr>
          <w:rFonts w:hint="eastAsia"/>
        </w:rPr>
      </w:pPr>
      <w:r>
        <w:rPr>
          <w:rFonts w:hint="eastAsia"/>
        </w:rPr>
        <w:t>此外，为鼓励综援受助人寻找工作和继续就业，在计算综援金额时，他们从工作所得的部分入息可获豁免计算。</w:t>
      </w:r>
    </w:p>
    <w:p w:rsidR="00000000" w:rsidRDefault="00000000">
      <w:pPr>
        <w:pStyle w:val="Heading4"/>
        <w:rPr>
          <w:rFonts w:hint="eastAsia"/>
        </w:rPr>
      </w:pPr>
      <w:r>
        <w:rPr>
          <w:rFonts w:hint="eastAsia"/>
        </w:rPr>
        <w:t>特别就业见习计划和深入就业援助基金</w:t>
      </w:r>
    </w:p>
    <w:p w:rsidR="00000000" w:rsidRDefault="00000000">
      <w:pPr>
        <w:tabs>
          <w:tab w:val="left" w:pos="567"/>
          <w:tab w:val="left" w:pos="1134"/>
          <w:tab w:val="left" w:pos="1701"/>
        </w:tabs>
        <w:spacing w:after="320"/>
        <w:rPr>
          <w:rFonts w:hint="eastAsia"/>
          <w:snapToGrid/>
        </w:rPr>
      </w:pPr>
      <w:r>
        <w:rPr>
          <w:snapToGrid/>
        </w:rPr>
        <w:tab/>
        <w:t xml:space="preserve">451.  </w:t>
      </w:r>
      <w:r>
        <w:rPr>
          <w:rFonts w:hint="eastAsia"/>
          <w:snapToGrid/>
        </w:rPr>
        <w:t>社会福利署于二零零一年年初推出了这两项计划，目的是为长期失业或对自力更生有特别困难的综援受助人，提供更具体的帮助。该署已委托非政府机构推行这些计划。</w:t>
      </w:r>
    </w:p>
    <w:p w:rsidR="00000000" w:rsidRDefault="00000000">
      <w:pPr>
        <w:pStyle w:val="Heading4"/>
        <w:rPr>
          <w:rFonts w:hint="eastAsia"/>
        </w:rPr>
      </w:pPr>
      <w:r>
        <w:rPr>
          <w:rFonts w:hint="eastAsia"/>
        </w:rPr>
        <w:t>欣葵计划</w:t>
      </w:r>
    </w:p>
    <w:p w:rsidR="00000000" w:rsidRDefault="00000000">
      <w:pPr>
        <w:tabs>
          <w:tab w:val="left" w:pos="567"/>
          <w:tab w:val="left" w:pos="1134"/>
          <w:tab w:val="left" w:pos="1701"/>
        </w:tabs>
        <w:spacing w:after="320"/>
        <w:rPr>
          <w:rFonts w:hint="eastAsia"/>
          <w:snapToGrid/>
        </w:rPr>
      </w:pPr>
      <w:r>
        <w:rPr>
          <w:snapToGrid/>
        </w:rPr>
        <w:tab/>
        <w:t xml:space="preserve">452.  </w:t>
      </w:r>
      <w:r>
        <w:rPr>
          <w:rFonts w:hint="eastAsia"/>
          <w:snapToGrid/>
        </w:rPr>
        <w:t>欣葵计划于二零零二年三月推行，旨在协助须照顾年幼子女的综援单亲家长自力更生和融入社会。这项计划包括一个属自愿性质的就业援助计划，以及多项更集中和协调得当的服务，包括幼儿照顾安排、家庭教育、辅助计划及外展服务。须照顾年幼子女的综援单亲家长如参加这计划，其每月的计算入息豁免额可获调高。正如自力更生支援计划</w:t>
      </w:r>
      <w:r>
        <w:rPr>
          <w:snapToGrid/>
        </w:rPr>
        <w:t>(</w:t>
      </w:r>
      <w:r>
        <w:rPr>
          <w:rFonts w:hint="eastAsia"/>
          <w:snapToGrid/>
        </w:rPr>
        <w:t>上文第</w:t>
      </w:r>
      <w:r>
        <w:rPr>
          <w:snapToGrid/>
        </w:rPr>
        <w:t>450</w:t>
      </w:r>
      <w:r>
        <w:rPr>
          <w:rFonts w:hint="eastAsia"/>
          <w:snapToGrid/>
        </w:rPr>
        <w:t>段所述</w:t>
      </w:r>
      <w:r>
        <w:rPr>
          <w:snapToGrid/>
        </w:rPr>
        <w:t>)</w:t>
      </w:r>
      <w:r>
        <w:rPr>
          <w:rFonts w:hint="eastAsia"/>
          <w:snapToGrid/>
        </w:rPr>
        <w:t>一样，这项措施旨在鼓励综援受助人寻找有薪工作。</w:t>
      </w:r>
    </w:p>
    <w:p w:rsidR="00000000" w:rsidRDefault="00000000">
      <w:pPr>
        <w:pStyle w:val="Heading4"/>
        <w:rPr>
          <w:rFonts w:hint="eastAsia"/>
        </w:rPr>
      </w:pPr>
      <w:r>
        <w:rPr>
          <w:rFonts w:hint="eastAsia"/>
        </w:rPr>
        <w:t>公共福利金计划</w:t>
      </w:r>
    </w:p>
    <w:p w:rsidR="00000000" w:rsidRDefault="00000000">
      <w:pPr>
        <w:tabs>
          <w:tab w:val="left" w:pos="567"/>
          <w:tab w:val="left" w:pos="1134"/>
          <w:tab w:val="left" w:pos="1701"/>
        </w:tabs>
        <w:spacing w:after="320"/>
        <w:rPr>
          <w:rFonts w:hint="eastAsia"/>
          <w:snapToGrid/>
        </w:rPr>
      </w:pPr>
      <w:r>
        <w:rPr>
          <w:snapToGrid/>
        </w:rPr>
        <w:tab/>
        <w:t xml:space="preserve">453.  </w:t>
      </w:r>
      <w:r>
        <w:rPr>
          <w:rFonts w:hint="eastAsia"/>
          <w:snapToGrid/>
        </w:rPr>
        <w:t>公共福利金计划的主要内容与首份报告第</w:t>
      </w:r>
      <w:r>
        <w:rPr>
          <w:snapToGrid/>
        </w:rPr>
        <w:t>156</w:t>
      </w:r>
      <w:r>
        <w:rPr>
          <w:rFonts w:hint="eastAsia"/>
          <w:snapToGrid/>
        </w:rPr>
        <w:t>至</w:t>
      </w:r>
      <w:r>
        <w:rPr>
          <w:snapToGrid/>
        </w:rPr>
        <w:t>160</w:t>
      </w:r>
      <w:r>
        <w:rPr>
          <w:rFonts w:hint="eastAsia"/>
          <w:snapToGrid/>
        </w:rPr>
        <w:t>段所述的大致相同。截至二零零二年十二月底，约有</w:t>
      </w:r>
      <w:r>
        <w:rPr>
          <w:snapToGrid/>
        </w:rPr>
        <w:t>561,000</w:t>
      </w:r>
      <w:r>
        <w:rPr>
          <w:rFonts w:hint="eastAsia"/>
          <w:snapToGrid/>
        </w:rPr>
        <w:t>人通过计划领取津贴，其中</w:t>
      </w:r>
      <w:r>
        <w:rPr>
          <w:snapToGrid/>
        </w:rPr>
        <w:t>456,000</w:t>
      </w:r>
      <w:r>
        <w:rPr>
          <w:rFonts w:hint="eastAsia"/>
          <w:snapToGrid/>
        </w:rPr>
        <w:t>人领取高龄津贴，</w:t>
      </w:r>
      <w:r>
        <w:rPr>
          <w:snapToGrid/>
        </w:rPr>
        <w:t>105,000</w:t>
      </w:r>
      <w:r>
        <w:rPr>
          <w:rFonts w:hint="eastAsia"/>
          <w:snapToGrid/>
        </w:rPr>
        <w:t>人领取伤残津贴。</w:t>
      </w:r>
    </w:p>
    <w:p w:rsidR="00000000" w:rsidRDefault="00000000">
      <w:pPr>
        <w:pStyle w:val="Heading4"/>
        <w:rPr>
          <w:rFonts w:hint="eastAsia"/>
        </w:rPr>
      </w:pPr>
      <w:r>
        <w:rPr>
          <w:rFonts w:hint="eastAsia"/>
        </w:rPr>
        <w:t>社会保障援助金额</w:t>
      </w:r>
    </w:p>
    <w:p w:rsidR="00000000" w:rsidRDefault="00000000">
      <w:pPr>
        <w:tabs>
          <w:tab w:val="left" w:pos="567"/>
          <w:tab w:val="left" w:pos="1134"/>
          <w:tab w:val="left" w:pos="1701"/>
        </w:tabs>
        <w:rPr>
          <w:rFonts w:hint="eastAsia"/>
          <w:snapToGrid/>
        </w:rPr>
      </w:pPr>
      <w:r>
        <w:rPr>
          <w:snapToGrid/>
        </w:rPr>
        <w:tab/>
        <w:t>454</w:t>
      </w:r>
      <w:r>
        <w:rPr>
          <w:rFonts w:hint="eastAsia"/>
          <w:snapToGrid/>
        </w:rPr>
        <w:t xml:space="preserve">  </w:t>
      </w:r>
      <w:r>
        <w:rPr>
          <w:rFonts w:hint="eastAsia"/>
          <w:snapToGrid/>
        </w:rPr>
        <w:t>综援和公共福利金</w:t>
      </w:r>
      <w:r>
        <w:rPr>
          <w:snapToGrid/>
        </w:rPr>
        <w:t>(</w:t>
      </w:r>
      <w:r>
        <w:rPr>
          <w:rFonts w:hint="eastAsia"/>
          <w:snapToGrid/>
        </w:rPr>
        <w:t>福利金</w:t>
      </w:r>
      <w:r>
        <w:rPr>
          <w:snapToGrid/>
        </w:rPr>
        <w:t>)</w:t>
      </w:r>
      <w:r>
        <w:rPr>
          <w:rFonts w:hint="eastAsia"/>
          <w:snapToGrid/>
        </w:rPr>
        <w:t>的标准金额，是按社会保障援助价格指数</w:t>
      </w:r>
      <w:r>
        <w:rPr>
          <w:rStyle w:val="FootnoteReference"/>
          <w:snapToGrid/>
        </w:rPr>
        <w:footnoteReference w:customMarkFollows="1" w:id="37"/>
        <w:t>24</w:t>
      </w:r>
      <w:r>
        <w:rPr>
          <w:rFonts w:hint="eastAsia"/>
          <w:snapToGrid/>
        </w:rPr>
        <w:t>的变动而调整。尽管自一九九九年以来经济持续通缩，但综援和福利金的标准金额仍维持不变。考虑到过去数年通胀放缓及随后的持续通缩，援助的标准金额实有下调</w:t>
      </w:r>
      <w:r>
        <w:rPr>
          <w:snapToGrid/>
        </w:rPr>
        <w:t>11.1%</w:t>
      </w:r>
      <w:r>
        <w:rPr>
          <w:rFonts w:hint="eastAsia"/>
          <w:snapToGrid/>
        </w:rPr>
        <w:t>的空间，而调整后的金额亦不会影响受助人原定的购买力水平，他们应可以应付生活上的基本需要。</w:t>
      </w:r>
    </w:p>
    <w:p w:rsidR="00000000" w:rsidRDefault="00000000">
      <w:pPr>
        <w:tabs>
          <w:tab w:val="left" w:pos="567"/>
          <w:tab w:val="left" w:pos="1134"/>
          <w:tab w:val="left" w:pos="1701"/>
        </w:tabs>
        <w:rPr>
          <w:rFonts w:hint="eastAsia"/>
          <w:snapToGrid/>
        </w:rPr>
      </w:pPr>
      <w:r>
        <w:rPr>
          <w:snapToGrid/>
        </w:rPr>
        <w:tab/>
        <w:t xml:space="preserve">455.  </w:t>
      </w:r>
      <w:r>
        <w:rPr>
          <w:rFonts w:hint="eastAsia"/>
          <w:snapToGrid/>
        </w:rPr>
        <w:t>有鉴于此，我们决定把综援计划下的综援金额及福利金计划下的伤残津贴金额，根据既定的机制同时调低</w:t>
      </w:r>
      <w:r>
        <w:rPr>
          <w:snapToGrid/>
        </w:rPr>
        <w:t>11.1%</w:t>
      </w:r>
      <w:r>
        <w:rPr>
          <w:rFonts w:hint="eastAsia"/>
          <w:snapToGrid/>
        </w:rPr>
        <w:t>。综援计划下其他标准援助金额亦会下调。不过，福利金计划下的高龄津贴会维持在现有水平，直至累积的上涨幅度为通胀所抵销。</w:t>
      </w:r>
    </w:p>
    <w:p w:rsidR="00000000" w:rsidRDefault="00000000">
      <w:pPr>
        <w:tabs>
          <w:tab w:val="left" w:pos="567"/>
          <w:tab w:val="left" w:pos="1134"/>
          <w:tab w:val="left" w:pos="1701"/>
        </w:tabs>
        <w:rPr>
          <w:rFonts w:hint="eastAsia"/>
          <w:snapToGrid/>
        </w:rPr>
      </w:pPr>
      <w:r>
        <w:rPr>
          <w:snapToGrid/>
        </w:rPr>
        <w:tab/>
        <w:t xml:space="preserve">456.  </w:t>
      </w:r>
      <w:r>
        <w:rPr>
          <w:rFonts w:hint="eastAsia"/>
          <w:snapToGrid/>
        </w:rPr>
        <w:t>我们给予受助人一段“缓冲期”，让他们调整其消费模式。健全的综援受助人和伤残津贴受助人的援助金额，会由二零零三年六月起调整。至于非健全综援受助人</w:t>
      </w:r>
      <w:r>
        <w:rPr>
          <w:snapToGrid/>
        </w:rPr>
        <w:t>(</w:t>
      </w:r>
      <w:r>
        <w:rPr>
          <w:rFonts w:hint="eastAsia"/>
          <w:snapToGrid/>
        </w:rPr>
        <w:t>包括长者、残疾人士及经医生证明健康欠佳的人士</w:t>
      </w:r>
      <w:r>
        <w:rPr>
          <w:snapToGrid/>
        </w:rPr>
        <w:t>)</w:t>
      </w:r>
      <w:r>
        <w:rPr>
          <w:rFonts w:hint="eastAsia"/>
          <w:snapToGrid/>
        </w:rPr>
        <w:t>的援助金额，则会在二零零三年十月及二零零四年十月分两期调整。</w:t>
      </w:r>
    </w:p>
    <w:p w:rsidR="00000000" w:rsidRDefault="00000000">
      <w:pPr>
        <w:tabs>
          <w:tab w:val="left" w:pos="567"/>
          <w:tab w:val="left" w:pos="1134"/>
          <w:tab w:val="left" w:pos="1701"/>
        </w:tabs>
        <w:spacing w:after="320"/>
        <w:rPr>
          <w:rFonts w:hint="eastAsia"/>
          <w:snapToGrid/>
        </w:rPr>
      </w:pPr>
      <w:r>
        <w:rPr>
          <w:snapToGrid/>
        </w:rPr>
        <w:tab/>
        <w:t xml:space="preserve">457.  </w:t>
      </w:r>
      <w:r>
        <w:rPr>
          <w:rFonts w:hint="eastAsia"/>
          <w:snapToGrid/>
        </w:rPr>
        <w:t>有鉴于现时经济下调和失业率高企，寻求公共财政援助的家庭及个别人士势必增加，因此实有需要调整援助金额，以确保现有的紧绌公共资源可应付社会保障援助方面不断增加的需求，从而继续为有需要的人提供安全网。这次调整并非和不应视作削减福利。我们仍不断致力提供一个可靠和在财政上可持续运作的安全网，以保障长者、残疾人士和弱势社群。</w:t>
      </w:r>
    </w:p>
    <w:p w:rsidR="00000000" w:rsidRDefault="00000000">
      <w:pPr>
        <w:pStyle w:val="Heading4"/>
        <w:rPr>
          <w:rFonts w:hint="eastAsia"/>
        </w:rPr>
      </w:pPr>
      <w:r>
        <w:rPr>
          <w:rFonts w:hint="eastAsia"/>
        </w:rPr>
        <w:t>享有病假及疾病津贴的权利</w:t>
      </w:r>
    </w:p>
    <w:p w:rsidR="00000000" w:rsidRDefault="00000000">
      <w:pPr>
        <w:tabs>
          <w:tab w:val="left" w:pos="567"/>
          <w:tab w:val="left" w:pos="1134"/>
          <w:tab w:val="left" w:pos="1701"/>
        </w:tabs>
        <w:spacing w:after="320"/>
        <w:rPr>
          <w:rFonts w:hint="eastAsia"/>
          <w:snapToGrid/>
        </w:rPr>
      </w:pPr>
      <w:r>
        <w:rPr>
          <w:snapToGrid/>
        </w:rPr>
        <w:tab/>
        <w:t xml:space="preserve">458.  </w:t>
      </w:r>
      <w:r>
        <w:rPr>
          <w:rFonts w:hint="eastAsia"/>
          <w:snapToGrid/>
        </w:rPr>
        <w:t>有关情况与首份报告第</w:t>
      </w:r>
      <w:r>
        <w:rPr>
          <w:snapToGrid/>
        </w:rPr>
        <w:t>162</w:t>
      </w:r>
      <w:r>
        <w:rPr>
          <w:rFonts w:hint="eastAsia"/>
          <w:snapToGrid/>
        </w:rPr>
        <w:t>至</w:t>
      </w:r>
      <w:r>
        <w:rPr>
          <w:snapToGrid/>
        </w:rPr>
        <w:t>164</w:t>
      </w:r>
      <w:r>
        <w:rPr>
          <w:rFonts w:hint="eastAsia"/>
          <w:snapToGrid/>
        </w:rPr>
        <w:t>段所述的相同。在二零零一年四月，我们修订了《雇佣条例》第</w:t>
      </w:r>
      <w:r>
        <w:rPr>
          <w:snapToGrid/>
        </w:rPr>
        <w:t>33</w:t>
      </w:r>
      <w:r>
        <w:rPr>
          <w:rFonts w:hint="eastAsia"/>
          <w:snapToGrid/>
        </w:rPr>
        <w:t>条，明确地表明雇主不得在雇员放取有薪病假期间终止雇用，除非在法例下有充分理据支持有关的即时解雇行动，否则违例的雇主将受检控。</w:t>
      </w:r>
    </w:p>
    <w:p w:rsidR="00000000" w:rsidRDefault="00000000">
      <w:pPr>
        <w:pStyle w:val="Heading4"/>
        <w:rPr>
          <w:rFonts w:hint="eastAsia"/>
        </w:rPr>
      </w:pPr>
      <w:r>
        <w:rPr>
          <w:rFonts w:hint="eastAsia"/>
        </w:rPr>
        <w:t>享有长期服务金的权利</w:t>
      </w:r>
    </w:p>
    <w:p w:rsidR="00000000" w:rsidRDefault="00000000">
      <w:pPr>
        <w:tabs>
          <w:tab w:val="left" w:pos="567"/>
          <w:tab w:val="left" w:pos="1134"/>
          <w:tab w:val="left" w:pos="1701"/>
        </w:tabs>
        <w:spacing w:after="320"/>
        <w:rPr>
          <w:rFonts w:hint="eastAsia"/>
          <w:snapToGrid/>
        </w:rPr>
      </w:pPr>
      <w:r>
        <w:rPr>
          <w:snapToGrid/>
        </w:rPr>
        <w:tab/>
        <w:t xml:space="preserve">459.  </w:t>
      </w:r>
      <w:r>
        <w:rPr>
          <w:rFonts w:hint="eastAsia"/>
          <w:snapToGrid/>
        </w:rPr>
        <w:t>有关情况并无改变，与首份报告第</w:t>
      </w:r>
      <w:r>
        <w:rPr>
          <w:snapToGrid/>
        </w:rPr>
        <w:t>165</w:t>
      </w:r>
      <w:r>
        <w:rPr>
          <w:rFonts w:hint="eastAsia"/>
          <w:snapToGrid/>
        </w:rPr>
        <w:t>至</w:t>
      </w:r>
      <w:r>
        <w:rPr>
          <w:snapToGrid/>
        </w:rPr>
        <w:t>167</w:t>
      </w:r>
      <w:r>
        <w:rPr>
          <w:rFonts w:hint="eastAsia"/>
          <w:snapToGrid/>
        </w:rPr>
        <w:t>段所述的相同。</w:t>
      </w:r>
    </w:p>
    <w:p w:rsidR="00000000" w:rsidRDefault="00000000">
      <w:pPr>
        <w:pStyle w:val="Heading4"/>
        <w:rPr>
          <w:rFonts w:hint="eastAsia"/>
        </w:rPr>
      </w:pPr>
      <w:r>
        <w:rPr>
          <w:rFonts w:hint="eastAsia"/>
        </w:rPr>
        <w:t>工资保障</w:t>
      </w:r>
    </w:p>
    <w:p w:rsidR="00000000" w:rsidRDefault="00000000">
      <w:pPr>
        <w:tabs>
          <w:tab w:val="left" w:pos="567"/>
          <w:tab w:val="left" w:pos="1134"/>
          <w:tab w:val="left" w:pos="1701"/>
        </w:tabs>
        <w:spacing w:after="320"/>
        <w:rPr>
          <w:rFonts w:hint="eastAsia"/>
          <w:snapToGrid/>
        </w:rPr>
      </w:pPr>
      <w:r>
        <w:rPr>
          <w:snapToGrid/>
        </w:rPr>
        <w:tab/>
        <w:t xml:space="preserve">460.  </w:t>
      </w:r>
      <w:r>
        <w:rPr>
          <w:rFonts w:hint="eastAsia"/>
          <w:snapToGrid/>
        </w:rPr>
        <w:t>有关情况并无改变，与首份报告第</w:t>
      </w:r>
      <w:r>
        <w:rPr>
          <w:snapToGrid/>
        </w:rPr>
        <w:t>168</w:t>
      </w:r>
      <w:r>
        <w:rPr>
          <w:rFonts w:hint="eastAsia"/>
          <w:snapToGrid/>
        </w:rPr>
        <w:t>及</w:t>
      </w:r>
      <w:r>
        <w:rPr>
          <w:snapToGrid/>
        </w:rPr>
        <w:t>169</w:t>
      </w:r>
      <w:r>
        <w:rPr>
          <w:rFonts w:hint="eastAsia"/>
          <w:snapToGrid/>
        </w:rPr>
        <w:t>段所述的相同。</w:t>
      </w:r>
    </w:p>
    <w:p w:rsidR="00000000" w:rsidRDefault="00000000">
      <w:pPr>
        <w:pStyle w:val="Heading4"/>
        <w:rPr>
          <w:rFonts w:hint="eastAsia"/>
        </w:rPr>
      </w:pPr>
      <w:r>
        <w:rPr>
          <w:rFonts w:hint="eastAsia"/>
        </w:rPr>
        <w:t>雇员补偿及肺尘埃沉着病补偿</w:t>
      </w:r>
    </w:p>
    <w:p w:rsidR="00000000" w:rsidRDefault="00000000">
      <w:pPr>
        <w:tabs>
          <w:tab w:val="left" w:pos="567"/>
          <w:tab w:val="left" w:pos="1134"/>
          <w:tab w:val="left" w:pos="1701"/>
        </w:tabs>
        <w:rPr>
          <w:rFonts w:hint="eastAsia"/>
          <w:snapToGrid/>
        </w:rPr>
      </w:pPr>
      <w:r>
        <w:rPr>
          <w:snapToGrid/>
        </w:rPr>
        <w:tab/>
        <w:t xml:space="preserve">461.  </w:t>
      </w:r>
      <w:r>
        <w:rPr>
          <w:rFonts w:hint="eastAsia"/>
          <w:snapToGrid/>
        </w:rPr>
        <w:t>一般情况并无改变，与首份报告第</w:t>
      </w:r>
      <w:r>
        <w:rPr>
          <w:snapToGrid/>
        </w:rPr>
        <w:t>172</w:t>
      </w:r>
      <w:r>
        <w:rPr>
          <w:rFonts w:hint="eastAsia"/>
          <w:snapToGrid/>
        </w:rPr>
        <w:t>及</w:t>
      </w:r>
      <w:r>
        <w:rPr>
          <w:snapToGrid/>
        </w:rPr>
        <w:t>173</w:t>
      </w:r>
      <w:r>
        <w:rPr>
          <w:rFonts w:hint="eastAsia"/>
          <w:snapToGrid/>
        </w:rPr>
        <w:t>段所述的相同。</w:t>
      </w:r>
    </w:p>
    <w:p w:rsidR="00000000" w:rsidRDefault="00000000">
      <w:pPr>
        <w:tabs>
          <w:tab w:val="left" w:pos="567"/>
          <w:tab w:val="left" w:pos="1134"/>
          <w:tab w:val="left" w:pos="1701"/>
        </w:tabs>
        <w:spacing w:after="320"/>
        <w:rPr>
          <w:rFonts w:hint="eastAsia"/>
          <w:snapToGrid/>
        </w:rPr>
      </w:pPr>
      <w:r>
        <w:rPr>
          <w:snapToGrid/>
        </w:rPr>
        <w:tab/>
        <w:t xml:space="preserve">462.  </w:t>
      </w:r>
      <w:r>
        <w:rPr>
          <w:rFonts w:hint="eastAsia"/>
          <w:snapToGrid/>
        </w:rPr>
        <w:t>《雇员补偿条例》</w:t>
      </w:r>
      <w:r>
        <w:rPr>
          <w:snapToGrid/>
        </w:rPr>
        <w:t>(</w:t>
      </w:r>
      <w:r>
        <w:rPr>
          <w:rFonts w:hint="eastAsia"/>
          <w:snapToGrid/>
        </w:rPr>
        <w:t>第</w:t>
      </w:r>
      <w:r>
        <w:rPr>
          <w:snapToGrid/>
        </w:rPr>
        <w:t>282</w:t>
      </w:r>
      <w:r>
        <w:rPr>
          <w:rFonts w:hint="eastAsia"/>
          <w:snapToGrid/>
        </w:rPr>
        <w:t>章</w:t>
      </w:r>
      <w:r>
        <w:rPr>
          <w:snapToGrid/>
        </w:rPr>
        <w:t>)</w:t>
      </w:r>
      <w:r>
        <w:rPr>
          <w:rFonts w:hint="eastAsia"/>
          <w:snapToGrid/>
        </w:rPr>
        <w:t>及《肺尘埃沉着病</w:t>
      </w:r>
      <w:r>
        <w:rPr>
          <w:snapToGrid/>
        </w:rPr>
        <w:t>(</w:t>
      </w:r>
      <w:r>
        <w:rPr>
          <w:rFonts w:hint="eastAsia"/>
          <w:snapToGrid/>
        </w:rPr>
        <w:t>补偿</w:t>
      </w:r>
      <w:r>
        <w:rPr>
          <w:snapToGrid/>
        </w:rPr>
        <w:t>)</w:t>
      </w:r>
      <w:r>
        <w:rPr>
          <w:rFonts w:hint="eastAsia"/>
          <w:snapToGrid/>
        </w:rPr>
        <w:t>条例》</w:t>
      </w:r>
      <w:r>
        <w:rPr>
          <w:snapToGrid/>
        </w:rPr>
        <w:t>(</w:t>
      </w:r>
      <w:r>
        <w:rPr>
          <w:rFonts w:hint="eastAsia"/>
          <w:snapToGrid/>
        </w:rPr>
        <w:t>第</w:t>
      </w:r>
      <w:r>
        <w:rPr>
          <w:snapToGrid/>
        </w:rPr>
        <w:t>360</w:t>
      </w:r>
      <w:r>
        <w:rPr>
          <w:rFonts w:hint="eastAsia"/>
          <w:snapToGrid/>
        </w:rPr>
        <w:t>章</w:t>
      </w:r>
      <w:r>
        <w:rPr>
          <w:snapToGrid/>
        </w:rPr>
        <w:t>)</w:t>
      </w:r>
      <w:r>
        <w:rPr>
          <w:rFonts w:hint="eastAsia"/>
          <w:snapToGrid/>
        </w:rPr>
        <w:t>所订明的补偿款额已予调整，详情分别载于附件</w:t>
      </w:r>
      <w:r>
        <w:rPr>
          <w:snapToGrid/>
        </w:rPr>
        <w:t>9A</w:t>
      </w:r>
      <w:r>
        <w:rPr>
          <w:rFonts w:hint="eastAsia"/>
          <w:snapToGrid/>
        </w:rPr>
        <w:t>及</w:t>
      </w:r>
      <w:r>
        <w:rPr>
          <w:snapToGrid/>
        </w:rPr>
        <w:t>9B</w:t>
      </w:r>
      <w:r>
        <w:rPr>
          <w:rFonts w:hint="eastAsia"/>
          <w:snapToGrid/>
        </w:rPr>
        <w:t>。</w:t>
      </w:r>
    </w:p>
    <w:p w:rsidR="00000000" w:rsidRDefault="00000000">
      <w:pPr>
        <w:pStyle w:val="Heading4"/>
        <w:rPr>
          <w:rFonts w:hint="eastAsia"/>
        </w:rPr>
      </w:pPr>
      <w:r>
        <w:rPr>
          <w:rFonts w:hint="eastAsia"/>
        </w:rPr>
        <w:t>职业性失聪补偿计划</w:t>
      </w:r>
    </w:p>
    <w:p w:rsidR="00000000" w:rsidRDefault="00000000">
      <w:pPr>
        <w:tabs>
          <w:tab w:val="left" w:pos="567"/>
          <w:tab w:val="left" w:pos="1134"/>
          <w:tab w:val="left" w:pos="1701"/>
        </w:tabs>
        <w:spacing w:after="320"/>
        <w:rPr>
          <w:rFonts w:hint="eastAsia"/>
          <w:snapToGrid/>
        </w:rPr>
      </w:pPr>
      <w:r>
        <w:rPr>
          <w:snapToGrid/>
        </w:rPr>
        <w:tab/>
        <w:t xml:space="preserve">463.  </w:t>
      </w:r>
      <w:r>
        <w:rPr>
          <w:rFonts w:hint="eastAsia"/>
          <w:snapToGrid/>
        </w:rPr>
        <w:t>《</w:t>
      </w:r>
      <w:r>
        <w:rPr>
          <w:snapToGrid/>
        </w:rPr>
        <w:t>2002</w:t>
      </w:r>
      <w:r>
        <w:rPr>
          <w:rFonts w:hint="eastAsia"/>
          <w:snapToGrid/>
        </w:rPr>
        <w:t>年职业性失聪</w:t>
      </w:r>
      <w:r>
        <w:rPr>
          <w:snapToGrid/>
        </w:rPr>
        <w:t>(</w:t>
      </w:r>
      <w:r>
        <w:rPr>
          <w:rFonts w:hint="eastAsia"/>
          <w:snapToGrid/>
        </w:rPr>
        <w:t>补偿</w:t>
      </w:r>
      <w:r>
        <w:rPr>
          <w:snapToGrid/>
        </w:rPr>
        <w:t>)(</w:t>
      </w:r>
      <w:r>
        <w:rPr>
          <w:rFonts w:hint="eastAsia"/>
          <w:snapToGrid/>
        </w:rPr>
        <w:t>修订</w:t>
      </w:r>
      <w:r>
        <w:rPr>
          <w:snapToGrid/>
        </w:rPr>
        <w:t>)</w:t>
      </w:r>
      <w:r>
        <w:rPr>
          <w:rFonts w:hint="eastAsia"/>
          <w:snapToGrid/>
        </w:rPr>
        <w:t>条例草案》已在二零零二年四月提交立法会。条例草案旨在改善雇员福利，现正由立法会议员审议。</w:t>
      </w:r>
    </w:p>
    <w:p w:rsidR="00000000" w:rsidRDefault="00000000">
      <w:pPr>
        <w:pStyle w:val="Heading4"/>
        <w:rPr>
          <w:rFonts w:hint="eastAsia"/>
        </w:rPr>
      </w:pPr>
      <w:r>
        <w:rPr>
          <w:rFonts w:hint="eastAsia"/>
        </w:rPr>
        <w:t>退休福利及保障</w:t>
      </w:r>
    </w:p>
    <w:p w:rsidR="00000000" w:rsidRDefault="00000000">
      <w:pPr>
        <w:tabs>
          <w:tab w:val="left" w:pos="567"/>
          <w:tab w:val="left" w:pos="1134"/>
          <w:tab w:val="left" w:pos="1701"/>
        </w:tabs>
        <w:rPr>
          <w:rFonts w:hint="eastAsia"/>
          <w:snapToGrid/>
        </w:rPr>
      </w:pPr>
      <w:r>
        <w:rPr>
          <w:snapToGrid/>
        </w:rPr>
        <w:tab/>
        <w:t xml:space="preserve">464.  </w:t>
      </w:r>
      <w:r>
        <w:rPr>
          <w:rFonts w:hint="eastAsia"/>
          <w:snapToGrid/>
        </w:rPr>
        <w:t>委员会在二零零一年五月发表的审议结论第</w:t>
      </w:r>
      <w:r>
        <w:rPr>
          <w:snapToGrid/>
        </w:rPr>
        <w:t>21</w:t>
      </w:r>
      <w:r>
        <w:rPr>
          <w:rFonts w:hint="eastAsia"/>
          <w:snapToGrid/>
        </w:rPr>
        <w:t>段指出，“不少人均未受强制性公积金</w:t>
      </w:r>
      <w:r>
        <w:rPr>
          <w:snapToGrid/>
        </w:rPr>
        <w:t>(</w:t>
      </w:r>
      <w:r>
        <w:rPr>
          <w:rFonts w:hint="eastAsia"/>
          <w:snapToGrid/>
        </w:rPr>
        <w:t>强积金</w:t>
      </w:r>
      <w:r>
        <w:rPr>
          <w:snapToGrid/>
        </w:rPr>
        <w:t>)</w:t>
      </w:r>
      <w:r>
        <w:rPr>
          <w:rFonts w:hint="eastAsia"/>
          <w:snapToGrid/>
        </w:rPr>
        <w:t>计划所保障，这些人包括家庭妇女、残疾人士和长者”，并对此表示关注。此外，在审议结论第</w:t>
      </w:r>
      <w:r>
        <w:rPr>
          <w:snapToGrid/>
        </w:rPr>
        <w:t>36</w:t>
      </w:r>
      <w:r>
        <w:rPr>
          <w:rFonts w:hint="eastAsia"/>
          <w:snapToGrid/>
        </w:rPr>
        <w:t>段，委员会促请香港特区政府“推行周全的退休金制度，以期为全港市民，特别是家庭主妇、自雇人士、年纪较大的人和残疾人士，提供足够的退休保障”。香港亦有人持相同看法，认为家庭佣工也应纳入计划之内。</w:t>
      </w:r>
    </w:p>
    <w:p w:rsidR="00000000" w:rsidRDefault="00000000">
      <w:pPr>
        <w:tabs>
          <w:tab w:val="left" w:pos="567"/>
          <w:tab w:val="left" w:pos="1134"/>
          <w:tab w:val="left" w:pos="1701"/>
        </w:tabs>
        <w:rPr>
          <w:rFonts w:hint="eastAsia"/>
          <w:snapToGrid/>
        </w:rPr>
      </w:pPr>
      <w:r>
        <w:rPr>
          <w:snapToGrid/>
        </w:rPr>
        <w:tab/>
        <w:t xml:space="preserve">465.  </w:t>
      </w:r>
      <w:r>
        <w:rPr>
          <w:rFonts w:hint="eastAsia"/>
          <w:snapToGrid/>
        </w:rPr>
        <w:t>在首份报告第</w:t>
      </w:r>
      <w:r>
        <w:rPr>
          <w:snapToGrid/>
        </w:rPr>
        <w:t>183</w:t>
      </w:r>
      <w:r>
        <w:rPr>
          <w:rFonts w:hint="eastAsia"/>
          <w:snapToGrid/>
        </w:rPr>
        <w:t>至</w:t>
      </w:r>
      <w:r>
        <w:rPr>
          <w:snapToGrid/>
        </w:rPr>
        <w:t>187</w:t>
      </w:r>
      <w:r>
        <w:rPr>
          <w:rFonts w:hint="eastAsia"/>
          <w:snapToGrid/>
        </w:rPr>
        <w:t>段，我们阐述了现行的强制性公积金的背景。促成公积金的最大动力源自国际复兴开发银行</w:t>
      </w:r>
      <w:r>
        <w:rPr>
          <w:snapToGrid/>
        </w:rPr>
        <w:t>(</w:t>
      </w:r>
      <w:r>
        <w:rPr>
          <w:rFonts w:hint="eastAsia"/>
          <w:snapToGrid/>
        </w:rPr>
        <w:t>即世界银行</w:t>
      </w:r>
      <w:r>
        <w:rPr>
          <w:snapToGrid/>
        </w:rPr>
        <w:t>)</w:t>
      </w:r>
      <w:r>
        <w:rPr>
          <w:rFonts w:hint="eastAsia"/>
          <w:snapToGrid/>
        </w:rPr>
        <w:t>在一九九四年度的报告：“摆脱以往的窘局：保障长者及促进增长政策”</w:t>
      </w:r>
      <w:r>
        <w:rPr>
          <w:rStyle w:val="FootnoteReference"/>
          <w:snapToGrid/>
        </w:rPr>
        <w:footnoteReference w:customMarkFollows="1" w:id="38"/>
        <w:t>25</w:t>
      </w:r>
      <w:r>
        <w:rPr>
          <w:rFonts w:hint="eastAsia"/>
          <w:snapToGrid/>
        </w:rPr>
        <w:t>。我们特别在第</w:t>
      </w:r>
      <w:r>
        <w:rPr>
          <w:snapToGrid/>
        </w:rPr>
        <w:t>187</w:t>
      </w:r>
      <w:r>
        <w:rPr>
          <w:rFonts w:hint="eastAsia"/>
          <w:snapToGrid/>
        </w:rPr>
        <w:t>段指出世界银行的意见，该银行认为真正妥善的退休保障必须建基于三条“支柱”，即：</w:t>
      </w:r>
    </w:p>
    <w:p w:rsidR="00000000" w:rsidRDefault="00000000">
      <w:pPr>
        <w:numPr>
          <w:ilvl w:val="0"/>
          <w:numId w:val="143"/>
        </w:numPr>
        <w:rPr>
          <w:rFonts w:hint="eastAsia"/>
          <w:snapToGrid/>
        </w:rPr>
      </w:pPr>
      <w:r>
        <w:rPr>
          <w:rFonts w:hint="eastAsia"/>
          <w:snapToGrid/>
        </w:rPr>
        <w:t>以税收提供一个安全网，它有限的目的会是用来纾缓老人困苦，并为各类人命伤亡提供保障。在香港，综援和高龄津贴为这方面提供保障；</w:t>
      </w:r>
    </w:p>
    <w:p w:rsidR="00000000" w:rsidRDefault="00000000">
      <w:pPr>
        <w:numPr>
          <w:ilvl w:val="0"/>
          <w:numId w:val="143"/>
        </w:numPr>
        <w:rPr>
          <w:rFonts w:hint="eastAsia"/>
          <w:snapToGrid/>
        </w:rPr>
      </w:pPr>
      <w:r>
        <w:rPr>
          <w:rFonts w:hint="eastAsia"/>
          <w:snapToGrid/>
        </w:rPr>
        <w:t>为希望在年老时获得更多收入和保障人士，设立自愿参与的职业或个人储蓄计划。这类计划在香港已发展得相当完善；以及</w:t>
      </w:r>
    </w:p>
    <w:p w:rsidR="00000000" w:rsidRDefault="00000000">
      <w:pPr>
        <w:numPr>
          <w:ilvl w:val="0"/>
          <w:numId w:val="143"/>
        </w:numPr>
        <w:rPr>
          <w:rFonts w:hint="eastAsia"/>
          <w:snapToGrid/>
        </w:rPr>
      </w:pPr>
      <w:r>
        <w:rPr>
          <w:rFonts w:hint="eastAsia"/>
          <w:snapToGrid/>
        </w:rPr>
        <w:t>为工作人口而设的一个私营及全面资助供款计划：这计划现以强制性公积金的形式出现。</w:t>
      </w:r>
    </w:p>
    <w:p w:rsidR="00000000" w:rsidRDefault="00000000">
      <w:pPr>
        <w:tabs>
          <w:tab w:val="left" w:pos="567"/>
          <w:tab w:val="left" w:pos="1134"/>
          <w:tab w:val="left" w:pos="1701"/>
        </w:tabs>
        <w:rPr>
          <w:rFonts w:hint="eastAsia"/>
          <w:snapToGrid/>
        </w:rPr>
      </w:pPr>
      <w:r>
        <w:rPr>
          <w:snapToGrid/>
        </w:rPr>
        <w:tab/>
        <w:t xml:space="preserve">466.  </w:t>
      </w:r>
      <w:r>
        <w:rPr>
          <w:rFonts w:hint="eastAsia"/>
          <w:snapToGrid/>
        </w:rPr>
        <w:t>因此，强制性公积金只是世界银行提及的其中一条支柱，而不受强制性公积金保障的市民，为着将来需要，可投资市场现已有的储蓄计划或类似形式的投资。综援和公共福利金将为那些无法作出选择的人士提供安全网。</w:t>
      </w:r>
    </w:p>
    <w:p w:rsidR="00000000" w:rsidRDefault="00000000">
      <w:pPr>
        <w:tabs>
          <w:tab w:val="left" w:pos="567"/>
          <w:tab w:val="left" w:pos="1134"/>
          <w:tab w:val="left" w:pos="1701"/>
        </w:tabs>
        <w:rPr>
          <w:rFonts w:hint="eastAsia"/>
          <w:snapToGrid/>
        </w:rPr>
      </w:pPr>
      <w:r>
        <w:rPr>
          <w:snapToGrid/>
        </w:rPr>
        <w:tab/>
        <w:t xml:space="preserve">467.  </w:t>
      </w:r>
      <w:r>
        <w:rPr>
          <w:rFonts w:hint="eastAsia"/>
          <w:snapToGrid/>
        </w:rPr>
        <w:t>豁免家庭佣工参加强制性公积金计划的原因是我们认为在跟从和执行方面将极为困难。我们不希望为家庭在家里带来不便，而我们亦需为怀疑的不跟从个案进行调查和搜集证据。此外，我们还考虑到雇主需为此而保管如供款等的记录。显而易见，这些都是为跟从计划而必须采取的措施。若将家庭佣工包括在计划之内，有关的家庭便须承担相当大的责任。基于以上原因，我们不建议把家庭佣工纳入计划内。</w:t>
      </w:r>
    </w:p>
    <w:p w:rsidR="00000000" w:rsidRDefault="00000000">
      <w:pPr>
        <w:tabs>
          <w:tab w:val="left" w:pos="567"/>
          <w:tab w:val="left" w:pos="1134"/>
          <w:tab w:val="left" w:pos="1701"/>
        </w:tabs>
        <w:spacing w:after="320"/>
        <w:rPr>
          <w:rFonts w:hint="eastAsia"/>
          <w:snapToGrid/>
        </w:rPr>
      </w:pPr>
      <w:r>
        <w:rPr>
          <w:snapToGrid/>
        </w:rPr>
        <w:tab/>
        <w:t xml:space="preserve">468.  </w:t>
      </w:r>
      <w:r>
        <w:rPr>
          <w:rFonts w:hint="eastAsia"/>
          <w:snapToGrid/>
        </w:rPr>
        <w:t>论者关注到有些雇主为逃避强制性公积金供款而强迫雇员以合约形式受雇，要求他们成为正式的自雇人士。关于这个问题，我们已在上文第七条有关的第</w:t>
      </w:r>
      <w:r>
        <w:rPr>
          <w:snapToGrid/>
        </w:rPr>
        <w:t>413</w:t>
      </w:r>
      <w:r>
        <w:rPr>
          <w:rFonts w:hint="eastAsia"/>
          <w:snapToGrid/>
        </w:rPr>
        <w:t>段阐述。</w:t>
      </w:r>
    </w:p>
    <w:p w:rsidR="00000000" w:rsidRDefault="00000000">
      <w:pPr>
        <w:pStyle w:val="Heading3"/>
        <w:rPr>
          <w:rFonts w:ascii="Time New Roman" w:eastAsia="SimHei" w:hAnsi="Time New Roman" w:hint="eastAsia"/>
          <w:u w:val="none"/>
        </w:rPr>
      </w:pPr>
      <w:bookmarkStart w:id="46" w:name="_Toc78772955"/>
      <w:r>
        <w:rPr>
          <w:rFonts w:ascii="Time New Roman" w:eastAsia="SimHei" w:hAnsi="Time New Roman"/>
          <w:b/>
          <w:u w:val="none"/>
        </w:rPr>
        <w:t>J</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hint="eastAsia"/>
          <w:u w:val="none"/>
        </w:rPr>
        <w:br/>
      </w:r>
      <w:r>
        <w:rPr>
          <w:rFonts w:ascii="Time New Roman" w:eastAsia="SimHei" w:hAnsi="Time New Roman"/>
          <w:u w:val="none"/>
        </w:rPr>
        <w:t xml:space="preserve">    </w:t>
      </w:r>
      <w:r>
        <w:rPr>
          <w:rFonts w:ascii="Time New Roman" w:eastAsia="SimHei" w:hAnsi="Time New Roman" w:hint="eastAsia"/>
          <w:u w:val="none"/>
        </w:rPr>
        <w:t>对家庭的保护</w:t>
      </w:r>
      <w:bookmarkEnd w:id="46"/>
    </w:p>
    <w:p w:rsidR="00000000" w:rsidRDefault="00000000">
      <w:pPr>
        <w:pStyle w:val="Heading4"/>
        <w:rPr>
          <w:rFonts w:hint="eastAsia"/>
        </w:rPr>
      </w:pPr>
      <w:r>
        <w:rPr>
          <w:rFonts w:hint="eastAsia"/>
        </w:rPr>
        <w:t>国际劳工公约</w:t>
      </w:r>
    </w:p>
    <w:p w:rsidR="00000000" w:rsidRDefault="00000000">
      <w:pPr>
        <w:spacing w:after="320"/>
        <w:rPr>
          <w:rFonts w:hint="eastAsia"/>
          <w:b/>
          <w:snapToGrid/>
        </w:rPr>
      </w:pPr>
      <w:r>
        <w:rPr>
          <w:rFonts w:hint="eastAsia"/>
          <w:snapToGrid/>
        </w:rPr>
        <w:tab/>
      </w:r>
      <w:r>
        <w:rPr>
          <w:snapToGrid/>
        </w:rPr>
        <w:t xml:space="preserve">469.  </w:t>
      </w:r>
      <w:r>
        <w:rPr>
          <w:rFonts w:hint="eastAsia"/>
          <w:snapToGrid/>
        </w:rPr>
        <w:t>中国在一九九九年四月已知会国际劳工组织，《最低年龄公约》</w:t>
      </w:r>
      <w:r>
        <w:rPr>
          <w:snapToGrid/>
        </w:rPr>
        <w:t>(</w:t>
      </w:r>
      <w:r>
        <w:rPr>
          <w:rFonts w:hint="eastAsia"/>
          <w:snapToGrid/>
        </w:rPr>
        <w:t>第</w:t>
      </w:r>
      <w:r>
        <w:rPr>
          <w:snapToGrid/>
        </w:rPr>
        <w:t>138</w:t>
      </w:r>
      <w:r>
        <w:rPr>
          <w:rFonts w:hint="eastAsia"/>
          <w:snapToGrid/>
        </w:rPr>
        <w:t>号公约</w:t>
      </w:r>
      <w:r>
        <w:rPr>
          <w:snapToGrid/>
        </w:rPr>
        <w:t>)</w:t>
      </w:r>
      <w:r>
        <w:rPr>
          <w:rFonts w:hint="eastAsia"/>
          <w:snapToGrid/>
        </w:rPr>
        <w:t>将适用于香港特区。该公约于二零零零年四月二十八日正式在香港生效。《最有害的童工形式公约》</w:t>
      </w:r>
      <w:r>
        <w:rPr>
          <w:snapToGrid/>
        </w:rPr>
        <w:t>(</w:t>
      </w:r>
      <w:r>
        <w:rPr>
          <w:rFonts w:hint="eastAsia"/>
          <w:snapToGrid/>
        </w:rPr>
        <w:t>第</w:t>
      </w:r>
      <w:r>
        <w:rPr>
          <w:snapToGrid/>
        </w:rPr>
        <w:t>182</w:t>
      </w:r>
      <w:r>
        <w:rPr>
          <w:rFonts w:hint="eastAsia"/>
          <w:snapToGrid/>
        </w:rPr>
        <w:t>号公约</w:t>
      </w:r>
      <w:r>
        <w:rPr>
          <w:snapToGrid/>
        </w:rPr>
        <w:t>)</w:t>
      </w:r>
      <w:r>
        <w:rPr>
          <w:rFonts w:hint="eastAsia"/>
          <w:snapToGrid/>
        </w:rPr>
        <w:t>由二零零二年八月八日起适用于香港特区。该公约将于二零零三年八月八日在香港特区生效。就《最低年龄公约》</w:t>
      </w:r>
      <w:r>
        <w:rPr>
          <w:snapToGrid/>
        </w:rPr>
        <w:t>(</w:t>
      </w:r>
      <w:r>
        <w:rPr>
          <w:rFonts w:hint="eastAsia"/>
          <w:snapToGrid/>
        </w:rPr>
        <w:t>第</w:t>
      </w:r>
      <w:r>
        <w:rPr>
          <w:snapToGrid/>
        </w:rPr>
        <w:t>138</w:t>
      </w:r>
      <w:r>
        <w:rPr>
          <w:rFonts w:hint="eastAsia"/>
          <w:snapToGrid/>
        </w:rPr>
        <w:t>号公约</w:t>
      </w:r>
      <w:r>
        <w:rPr>
          <w:snapToGrid/>
        </w:rPr>
        <w:t>)</w:t>
      </w:r>
      <w:r>
        <w:rPr>
          <w:rFonts w:hint="eastAsia"/>
          <w:snapToGrid/>
        </w:rPr>
        <w:t>提交有关二零零零年四月二十八日至二零零一年五月三十一日，以及二零零一年六月一日至二零零二年五月三十一日的第</w:t>
      </w:r>
      <w:r>
        <w:rPr>
          <w:snapToGrid/>
        </w:rPr>
        <w:t>22</w:t>
      </w:r>
      <w:r>
        <w:rPr>
          <w:rFonts w:hint="eastAsia"/>
          <w:snapToGrid/>
        </w:rPr>
        <w:t>条报告，已向国际劳工组织提供与最低雇用年龄有关的资料。</w:t>
      </w:r>
    </w:p>
    <w:p w:rsidR="00000000" w:rsidRDefault="00000000">
      <w:pPr>
        <w:pStyle w:val="Heading4"/>
        <w:rPr>
          <w:rFonts w:hint="eastAsia"/>
        </w:rPr>
      </w:pPr>
      <w:r>
        <w:rPr>
          <w:rFonts w:hint="eastAsia"/>
        </w:rPr>
        <w:t>家</w:t>
      </w:r>
      <w:r>
        <w:t xml:space="preserve">  </w:t>
      </w:r>
      <w:r>
        <w:rPr>
          <w:rFonts w:hint="eastAsia"/>
        </w:rPr>
        <w:t>庭</w:t>
      </w:r>
    </w:p>
    <w:p w:rsidR="00000000" w:rsidRDefault="00000000">
      <w:pPr>
        <w:tabs>
          <w:tab w:val="left" w:pos="567"/>
          <w:tab w:val="left" w:pos="1134"/>
          <w:tab w:val="left" w:pos="1701"/>
        </w:tabs>
        <w:spacing w:after="320"/>
        <w:rPr>
          <w:rFonts w:hint="eastAsia"/>
          <w:snapToGrid/>
        </w:rPr>
      </w:pPr>
      <w:r>
        <w:rPr>
          <w:snapToGrid/>
        </w:rPr>
        <w:tab/>
        <w:t xml:space="preserve">470.  </w:t>
      </w:r>
      <w:r>
        <w:rPr>
          <w:rFonts w:hint="eastAsia"/>
          <w:snapToGrid/>
        </w:rPr>
        <w:t>有关情况与首份报告第</w:t>
      </w:r>
      <w:r>
        <w:rPr>
          <w:snapToGrid/>
        </w:rPr>
        <w:t>198</w:t>
      </w:r>
      <w:r>
        <w:rPr>
          <w:rFonts w:hint="eastAsia"/>
          <w:snapToGrid/>
        </w:rPr>
        <w:t>段所述的相同。</w:t>
      </w:r>
    </w:p>
    <w:p w:rsidR="00000000" w:rsidRDefault="00000000">
      <w:pPr>
        <w:pStyle w:val="Heading4"/>
        <w:rPr>
          <w:rFonts w:hint="eastAsia"/>
        </w:rPr>
      </w:pPr>
      <w:r>
        <w:rPr>
          <w:rFonts w:hint="eastAsia"/>
          <w:u w:val="none"/>
        </w:rPr>
        <w:t>“</w:t>
      </w:r>
      <w:r>
        <w:rPr>
          <w:rFonts w:hint="eastAsia"/>
        </w:rPr>
        <w:t>家庭”的定义</w:t>
      </w:r>
    </w:p>
    <w:p w:rsidR="00000000" w:rsidRDefault="00000000">
      <w:pPr>
        <w:tabs>
          <w:tab w:val="left" w:pos="567"/>
          <w:tab w:val="left" w:pos="1134"/>
          <w:tab w:val="left" w:pos="1701"/>
        </w:tabs>
        <w:spacing w:after="160"/>
        <w:rPr>
          <w:rFonts w:hint="eastAsia"/>
          <w:snapToGrid/>
        </w:rPr>
      </w:pPr>
      <w:r>
        <w:rPr>
          <w:snapToGrid/>
        </w:rPr>
        <w:tab/>
        <w:t xml:space="preserve">471.  </w:t>
      </w:r>
      <w:r>
        <w:rPr>
          <w:rFonts w:hint="eastAsia"/>
          <w:snapToGrid/>
        </w:rPr>
        <w:t>我们继续沿用首份报告第</w:t>
      </w:r>
      <w:r>
        <w:rPr>
          <w:snapToGrid/>
        </w:rPr>
        <w:t>199</w:t>
      </w:r>
      <w:r>
        <w:rPr>
          <w:rFonts w:hint="eastAsia"/>
          <w:snapToGrid/>
        </w:rPr>
        <w:t>段所述有关“家庭”的定义。</w:t>
      </w:r>
    </w:p>
    <w:p w:rsidR="00000000" w:rsidRDefault="00000000">
      <w:pPr>
        <w:pStyle w:val="Heading4"/>
        <w:spacing w:after="160"/>
        <w:rPr>
          <w:rFonts w:hint="eastAsia"/>
        </w:rPr>
      </w:pPr>
      <w:r>
        <w:rPr>
          <w:rFonts w:hint="eastAsia"/>
        </w:rPr>
        <w:t>非扩展核心家庭住户</w:t>
      </w:r>
    </w:p>
    <w:p w:rsidR="00000000" w:rsidRDefault="00000000">
      <w:pPr>
        <w:widowControl w:val="0"/>
        <w:tabs>
          <w:tab w:val="left" w:pos="567"/>
          <w:tab w:val="left" w:pos="1134"/>
          <w:tab w:val="left" w:pos="1701"/>
        </w:tabs>
        <w:spacing w:after="120"/>
        <w:rPr>
          <w:rFonts w:hint="eastAsia"/>
          <w:snapToGrid/>
        </w:rPr>
      </w:pPr>
      <w:r>
        <w:rPr>
          <w:snapToGrid/>
        </w:rPr>
        <w:tab/>
        <w:t xml:space="preserve">472.  </w:t>
      </w:r>
      <w:r>
        <w:rPr>
          <w:rFonts w:hint="eastAsia"/>
          <w:snapToGrid/>
        </w:rPr>
        <w:t>根据二零零一年香港人口普查的统计数字显示，非扩展核心家庭住户由首份报告第</w:t>
      </w:r>
      <w:r>
        <w:rPr>
          <w:snapToGrid/>
        </w:rPr>
        <w:t>200</w:t>
      </w:r>
      <w:r>
        <w:rPr>
          <w:rFonts w:hint="eastAsia"/>
          <w:snapToGrid/>
        </w:rPr>
        <w:t>段所述的</w:t>
      </w:r>
      <w:r>
        <w:rPr>
          <w:snapToGrid/>
        </w:rPr>
        <w:t>63.6%</w:t>
      </w:r>
      <w:r>
        <w:rPr>
          <w:rFonts w:hint="eastAsia"/>
          <w:snapToGrid/>
        </w:rPr>
        <w:t>增至</w:t>
      </w:r>
      <w:r>
        <w:rPr>
          <w:snapToGrid/>
        </w:rPr>
        <w:t>66.2%</w:t>
      </w:r>
      <w:r>
        <w:rPr>
          <w:rFonts w:hint="eastAsia"/>
          <w:snapToGrid/>
        </w:rPr>
        <w:t>。但家庭成员的平均人数则由</w:t>
      </w:r>
      <w:r>
        <w:rPr>
          <w:snapToGrid/>
        </w:rPr>
        <w:t>3.5</w:t>
      </w:r>
      <w:r>
        <w:rPr>
          <w:rFonts w:hint="eastAsia"/>
          <w:snapToGrid/>
        </w:rPr>
        <w:t>人下降至</w:t>
      </w:r>
      <w:r>
        <w:rPr>
          <w:snapToGrid/>
        </w:rPr>
        <w:t>3.4</w:t>
      </w:r>
      <w:r>
        <w:rPr>
          <w:rFonts w:hint="eastAsia"/>
          <w:snapToGrid/>
        </w:rPr>
        <w:t>人。</w:t>
      </w:r>
    </w:p>
    <w:p w:rsidR="00000000" w:rsidRDefault="00000000">
      <w:pPr>
        <w:pStyle w:val="Heading4"/>
        <w:spacing w:after="120"/>
        <w:rPr>
          <w:rFonts w:hint="eastAsia"/>
        </w:rPr>
      </w:pPr>
      <w:r>
        <w:rPr>
          <w:rFonts w:hint="eastAsia"/>
        </w:rPr>
        <w:t>单亲家庭和分离家庭</w:t>
      </w:r>
    </w:p>
    <w:p w:rsidR="00000000" w:rsidRDefault="00000000">
      <w:pPr>
        <w:tabs>
          <w:tab w:val="left" w:pos="567"/>
          <w:tab w:val="left" w:pos="1134"/>
          <w:tab w:val="left" w:pos="1701"/>
        </w:tabs>
        <w:spacing w:after="160"/>
        <w:rPr>
          <w:rFonts w:hint="eastAsia"/>
          <w:snapToGrid/>
        </w:rPr>
      </w:pPr>
      <w:r>
        <w:rPr>
          <w:snapToGrid/>
        </w:rPr>
        <w:tab/>
        <w:t xml:space="preserve">473.  </w:t>
      </w:r>
      <w:r>
        <w:rPr>
          <w:rFonts w:hint="eastAsia"/>
          <w:snapToGrid/>
        </w:rPr>
        <w:t>有关情况如下：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5"/>
        <w:gridCol w:w="2554"/>
        <w:gridCol w:w="2554"/>
        <w:gridCol w:w="2477"/>
      </w:tblGrid>
      <w:tr w:rsidR="00000000">
        <w:tblPrEx>
          <w:tblCellMar>
            <w:top w:w="0" w:type="dxa"/>
            <w:bottom w:w="0" w:type="dxa"/>
          </w:tblCellMar>
        </w:tblPrEx>
        <w:tc>
          <w:tcPr>
            <w:tcW w:w="970" w:type="pct"/>
          </w:tcPr>
          <w:p w:rsidR="00000000" w:rsidRDefault="00000000">
            <w:pPr>
              <w:tabs>
                <w:tab w:val="left" w:pos="567"/>
                <w:tab w:val="left" w:pos="1134"/>
                <w:tab w:val="left" w:pos="1701"/>
              </w:tabs>
              <w:spacing w:before="40" w:after="20" w:line="288" w:lineRule="auto"/>
              <w:ind w:left="57" w:right="57"/>
              <w:jc w:val="center"/>
              <w:rPr>
                <w:rFonts w:ascii="Time New Roman" w:eastAsia="SimHei" w:hAnsi="Time New Roman" w:hint="eastAsia"/>
                <w:snapToGrid/>
                <w:sz w:val="21"/>
              </w:rPr>
            </w:pPr>
            <w:r>
              <w:rPr>
                <w:rFonts w:ascii="Time New Roman" w:eastAsia="SimHei" w:hAnsi="Time New Roman" w:hint="eastAsia"/>
                <w:snapToGrid/>
                <w:sz w:val="21"/>
              </w:rPr>
              <w:t>年</w:t>
            </w:r>
            <w:r>
              <w:rPr>
                <w:rFonts w:ascii="Time New Roman" w:eastAsia="SimHei" w:hAnsi="Time New Roman"/>
                <w:snapToGrid/>
                <w:sz w:val="21"/>
              </w:rPr>
              <w:t xml:space="preserve">  </w:t>
            </w:r>
            <w:r>
              <w:rPr>
                <w:rFonts w:ascii="Time New Roman" w:eastAsia="SimHei" w:hAnsi="Time New Roman" w:hint="eastAsia"/>
                <w:snapToGrid/>
                <w:sz w:val="21"/>
              </w:rPr>
              <w:t>份</w:t>
            </w:r>
          </w:p>
        </w:tc>
        <w:tc>
          <w:tcPr>
            <w:tcW w:w="1357" w:type="pct"/>
          </w:tcPr>
          <w:p w:rsidR="00000000" w:rsidRDefault="00000000">
            <w:pPr>
              <w:tabs>
                <w:tab w:val="left" w:pos="567"/>
                <w:tab w:val="left" w:pos="1134"/>
                <w:tab w:val="left" w:pos="1701"/>
              </w:tabs>
              <w:spacing w:before="40" w:after="20" w:line="288" w:lineRule="auto"/>
              <w:ind w:left="57" w:right="57"/>
              <w:jc w:val="center"/>
              <w:rPr>
                <w:rFonts w:ascii="Time New Roman" w:eastAsia="SimHei" w:hAnsi="Time New Roman" w:hint="eastAsia"/>
                <w:snapToGrid/>
                <w:sz w:val="21"/>
              </w:rPr>
            </w:pPr>
            <w:r>
              <w:rPr>
                <w:rFonts w:ascii="Time New Roman" w:eastAsia="SimHei" w:hAnsi="Time New Roman" w:hint="eastAsia"/>
                <w:snapToGrid/>
                <w:sz w:val="21"/>
              </w:rPr>
              <w:t>单身母亲</w:t>
            </w:r>
          </w:p>
        </w:tc>
        <w:tc>
          <w:tcPr>
            <w:tcW w:w="1357" w:type="pct"/>
          </w:tcPr>
          <w:p w:rsidR="00000000" w:rsidRDefault="00000000">
            <w:pPr>
              <w:tabs>
                <w:tab w:val="left" w:pos="567"/>
                <w:tab w:val="left" w:pos="1134"/>
                <w:tab w:val="left" w:pos="1701"/>
              </w:tabs>
              <w:spacing w:before="40" w:after="20" w:line="288" w:lineRule="auto"/>
              <w:ind w:left="57" w:right="57"/>
              <w:jc w:val="center"/>
              <w:rPr>
                <w:rFonts w:ascii="Time New Roman" w:eastAsia="SimHei" w:hAnsi="Time New Roman" w:hint="eastAsia"/>
                <w:snapToGrid/>
                <w:sz w:val="21"/>
              </w:rPr>
            </w:pPr>
            <w:r>
              <w:rPr>
                <w:rFonts w:ascii="Time New Roman" w:eastAsia="SimHei" w:hAnsi="Time New Roman" w:hint="eastAsia"/>
                <w:snapToGrid/>
                <w:sz w:val="21"/>
              </w:rPr>
              <w:t>单身父亲</w:t>
            </w:r>
          </w:p>
        </w:tc>
        <w:tc>
          <w:tcPr>
            <w:tcW w:w="1316" w:type="pct"/>
          </w:tcPr>
          <w:p w:rsidR="00000000" w:rsidRDefault="00000000">
            <w:pPr>
              <w:tabs>
                <w:tab w:val="left" w:pos="567"/>
                <w:tab w:val="left" w:pos="1134"/>
                <w:tab w:val="left" w:pos="1701"/>
              </w:tabs>
              <w:spacing w:before="40" w:after="20" w:line="288" w:lineRule="auto"/>
              <w:ind w:left="57" w:right="57"/>
              <w:jc w:val="center"/>
              <w:rPr>
                <w:rFonts w:ascii="Time New Roman" w:eastAsia="SimHei" w:hAnsi="Time New Roman" w:hint="eastAsia"/>
                <w:snapToGrid/>
                <w:sz w:val="21"/>
              </w:rPr>
            </w:pPr>
            <w:r>
              <w:rPr>
                <w:rFonts w:ascii="Time New Roman" w:eastAsia="SimHei" w:hAnsi="Time New Roman" w:hint="eastAsia"/>
                <w:snapToGrid/>
                <w:sz w:val="21"/>
              </w:rPr>
              <w:t>总</w:t>
            </w:r>
            <w:r>
              <w:rPr>
                <w:rFonts w:ascii="Time New Roman" w:eastAsia="SimHei" w:hAnsi="Time New Roman"/>
                <w:snapToGrid/>
                <w:sz w:val="21"/>
              </w:rPr>
              <w:t xml:space="preserve">  </w:t>
            </w:r>
            <w:r>
              <w:rPr>
                <w:rFonts w:ascii="Time New Roman" w:eastAsia="SimHei" w:hAnsi="Time New Roman" w:hint="eastAsia"/>
                <w:snapToGrid/>
                <w:sz w:val="21"/>
              </w:rPr>
              <w:t>数</w:t>
            </w:r>
          </w:p>
        </w:tc>
      </w:tr>
      <w:tr w:rsidR="00000000">
        <w:tblPrEx>
          <w:tblCellMar>
            <w:top w:w="0" w:type="dxa"/>
            <w:bottom w:w="0" w:type="dxa"/>
          </w:tblCellMar>
        </w:tblPrEx>
        <w:tc>
          <w:tcPr>
            <w:tcW w:w="970"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2001</w:t>
            </w:r>
          </w:p>
        </w:tc>
        <w:tc>
          <w:tcPr>
            <w:tcW w:w="1357"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45,072(77.1%)</w:t>
            </w:r>
          </w:p>
        </w:tc>
        <w:tc>
          <w:tcPr>
            <w:tcW w:w="1357"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13,388(22.9%)</w:t>
            </w:r>
          </w:p>
        </w:tc>
        <w:tc>
          <w:tcPr>
            <w:tcW w:w="1316"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58,460(100%)</w:t>
            </w:r>
          </w:p>
        </w:tc>
      </w:tr>
      <w:tr w:rsidR="00000000">
        <w:tblPrEx>
          <w:tblCellMar>
            <w:top w:w="0" w:type="dxa"/>
            <w:bottom w:w="0" w:type="dxa"/>
          </w:tblCellMar>
        </w:tblPrEx>
        <w:tc>
          <w:tcPr>
            <w:tcW w:w="970"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1996</w:t>
            </w:r>
          </w:p>
        </w:tc>
        <w:tc>
          <w:tcPr>
            <w:tcW w:w="1357"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30,402(71.9%)</w:t>
            </w:r>
          </w:p>
        </w:tc>
        <w:tc>
          <w:tcPr>
            <w:tcW w:w="1357"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11,907(28.1%)</w:t>
            </w:r>
          </w:p>
        </w:tc>
        <w:tc>
          <w:tcPr>
            <w:tcW w:w="1316"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42,309(100%)</w:t>
            </w:r>
          </w:p>
        </w:tc>
      </w:tr>
      <w:tr w:rsidR="00000000">
        <w:tblPrEx>
          <w:tblCellMar>
            <w:top w:w="0" w:type="dxa"/>
            <w:bottom w:w="0" w:type="dxa"/>
          </w:tblCellMar>
        </w:tblPrEx>
        <w:tc>
          <w:tcPr>
            <w:tcW w:w="970"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1991</w:t>
            </w:r>
          </w:p>
        </w:tc>
        <w:tc>
          <w:tcPr>
            <w:tcW w:w="1357"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23,059(66.8%)</w:t>
            </w:r>
          </w:p>
        </w:tc>
        <w:tc>
          <w:tcPr>
            <w:tcW w:w="1357"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11,479(33.2%)</w:t>
            </w:r>
          </w:p>
        </w:tc>
        <w:tc>
          <w:tcPr>
            <w:tcW w:w="1316" w:type="pct"/>
          </w:tcPr>
          <w:p w:rsidR="00000000" w:rsidRDefault="00000000">
            <w:pPr>
              <w:tabs>
                <w:tab w:val="left" w:pos="567"/>
                <w:tab w:val="left" w:pos="1134"/>
                <w:tab w:val="left" w:pos="1701"/>
              </w:tabs>
              <w:spacing w:before="40" w:after="20" w:line="288" w:lineRule="auto"/>
              <w:ind w:left="57" w:right="57"/>
              <w:jc w:val="center"/>
              <w:rPr>
                <w:rFonts w:hint="eastAsia"/>
                <w:snapToGrid/>
                <w:sz w:val="21"/>
              </w:rPr>
            </w:pPr>
            <w:r>
              <w:rPr>
                <w:snapToGrid/>
                <w:sz w:val="21"/>
              </w:rPr>
              <w:t>34,538(100%)</w:t>
            </w:r>
          </w:p>
        </w:tc>
      </w:tr>
    </w:tbl>
    <w:p w:rsidR="00000000" w:rsidRDefault="00000000">
      <w:pPr>
        <w:tabs>
          <w:tab w:val="left" w:pos="567"/>
          <w:tab w:val="left" w:pos="1134"/>
          <w:tab w:val="left" w:pos="1701"/>
        </w:tabs>
        <w:spacing w:before="200"/>
        <w:rPr>
          <w:rFonts w:hint="eastAsia"/>
          <w:snapToGrid/>
        </w:rPr>
      </w:pPr>
      <w:r>
        <w:rPr>
          <w:snapToGrid/>
        </w:rPr>
        <w:tab/>
        <w:t xml:space="preserve">474.  </w:t>
      </w:r>
      <w:r>
        <w:rPr>
          <w:rFonts w:hint="eastAsia"/>
          <w:snapToGrid/>
        </w:rPr>
        <w:t>身为受薪雇员的单身家长百分率，由首份报告第</w:t>
      </w:r>
      <w:r>
        <w:rPr>
          <w:snapToGrid/>
        </w:rPr>
        <w:t>202</w:t>
      </w:r>
      <w:r>
        <w:rPr>
          <w:rFonts w:hint="eastAsia"/>
          <w:snapToGrid/>
        </w:rPr>
        <w:t>段所述的</w:t>
      </w:r>
      <w:r>
        <w:rPr>
          <w:snapToGrid/>
        </w:rPr>
        <w:t>66.3%</w:t>
      </w:r>
      <w:r>
        <w:rPr>
          <w:rFonts w:hint="eastAsia"/>
          <w:snapToGrid/>
        </w:rPr>
        <w:t>下降至</w:t>
      </w:r>
      <w:r>
        <w:rPr>
          <w:snapToGrid/>
        </w:rPr>
        <w:t>57%</w:t>
      </w:r>
      <w:r>
        <w:rPr>
          <w:rFonts w:hint="eastAsia"/>
          <w:snapToGrid/>
        </w:rPr>
        <w:t>。与此有密切关系的是上升的离婚率，离婚申请宗数由首份报告第</w:t>
      </w:r>
      <w:r>
        <w:rPr>
          <w:snapToGrid/>
        </w:rPr>
        <w:t>203</w:t>
      </w:r>
      <w:r>
        <w:rPr>
          <w:rFonts w:hint="eastAsia"/>
          <w:snapToGrid/>
        </w:rPr>
        <w:t>段所述的</w:t>
      </w:r>
      <w:r>
        <w:rPr>
          <w:snapToGrid/>
        </w:rPr>
        <w:t>14,482</w:t>
      </w:r>
      <w:r>
        <w:rPr>
          <w:rFonts w:hint="eastAsia"/>
          <w:snapToGrid/>
        </w:rPr>
        <w:t>宗，增至二零零一年的</w:t>
      </w:r>
      <w:r>
        <w:rPr>
          <w:snapToGrid/>
        </w:rPr>
        <w:t>15,380</w:t>
      </w:r>
      <w:r>
        <w:rPr>
          <w:rFonts w:hint="eastAsia"/>
          <w:snapToGrid/>
        </w:rPr>
        <w:t>宗。离婚率持续上升的原因与首份报告第</w:t>
      </w:r>
      <w:r>
        <w:rPr>
          <w:snapToGrid/>
        </w:rPr>
        <w:t>203</w:t>
      </w:r>
      <w:r>
        <w:rPr>
          <w:rFonts w:hint="eastAsia"/>
          <w:snapToGrid/>
        </w:rPr>
        <w:t>段所述的相同。</w:t>
      </w:r>
    </w:p>
    <w:p w:rsidR="00000000" w:rsidRDefault="00000000">
      <w:pPr>
        <w:tabs>
          <w:tab w:val="left" w:pos="567"/>
          <w:tab w:val="left" w:pos="1134"/>
          <w:tab w:val="left" w:pos="1701"/>
        </w:tabs>
        <w:rPr>
          <w:rFonts w:hint="eastAsia"/>
          <w:snapToGrid/>
        </w:rPr>
      </w:pPr>
      <w:r>
        <w:rPr>
          <w:snapToGrid/>
        </w:rPr>
        <w:tab/>
        <w:t xml:space="preserve">475.  </w:t>
      </w:r>
      <w:r>
        <w:rPr>
          <w:rFonts w:hint="eastAsia"/>
          <w:snapToGrid/>
        </w:rPr>
        <w:t>由社会福利署和非政府机构运作的</w:t>
      </w:r>
      <w:r>
        <w:rPr>
          <w:snapToGrid/>
        </w:rPr>
        <w:t>66</w:t>
      </w:r>
      <w:r>
        <w:rPr>
          <w:rFonts w:hint="eastAsia"/>
          <w:snapToGrid/>
        </w:rPr>
        <w:t>间家庭服务中心</w:t>
      </w:r>
      <w:r>
        <w:rPr>
          <w:snapToGrid/>
        </w:rPr>
        <w:t>/</w:t>
      </w:r>
      <w:r>
        <w:rPr>
          <w:rFonts w:hint="eastAsia"/>
          <w:snapToGrid/>
        </w:rPr>
        <w:t>综合家庭服务中心，为单亲家庭和分离家庭提供服务。截至二零零二年十二月三十一日，全港共有</w:t>
      </w:r>
      <w:r>
        <w:rPr>
          <w:snapToGrid/>
        </w:rPr>
        <w:t>3,976</w:t>
      </w:r>
      <w:r>
        <w:rPr>
          <w:rFonts w:hint="eastAsia"/>
          <w:snapToGrid/>
        </w:rPr>
        <w:t>个单亲家庭，以及</w:t>
      </w:r>
      <w:r>
        <w:rPr>
          <w:snapToGrid/>
        </w:rPr>
        <w:t>375</w:t>
      </w:r>
      <w:r>
        <w:rPr>
          <w:rFonts w:hint="eastAsia"/>
          <w:snapToGrid/>
        </w:rPr>
        <w:t>个分离家庭正接受这些服务。单亲家庭可享用政府资助的幼儿服务设施和接受其他援助</w:t>
      </w:r>
      <w:r>
        <w:rPr>
          <w:snapToGrid/>
        </w:rPr>
        <w:t>(</w:t>
      </w:r>
      <w:r>
        <w:rPr>
          <w:rFonts w:hint="eastAsia"/>
          <w:snapToGrid/>
        </w:rPr>
        <w:t>例如：房屋和经济援助</w:t>
      </w:r>
      <w:r>
        <w:rPr>
          <w:snapToGrid/>
        </w:rPr>
        <w:t>)</w:t>
      </w:r>
      <w:r>
        <w:rPr>
          <w:rFonts w:hint="eastAsia"/>
          <w:snapToGrid/>
        </w:rPr>
        <w:t>。已离婚</w:t>
      </w:r>
      <w:r>
        <w:rPr>
          <w:snapToGrid/>
        </w:rPr>
        <w:t>/</w:t>
      </w:r>
      <w:r>
        <w:rPr>
          <w:rFonts w:hint="eastAsia"/>
          <w:snapToGrid/>
        </w:rPr>
        <w:t>正办理离婚手续的单身家长如在住屋方面遇到真正困难，可分别获荐体恤安置</w:t>
      </w:r>
      <w:r>
        <w:rPr>
          <w:snapToGrid/>
        </w:rPr>
        <w:t>/</w:t>
      </w:r>
      <w:r>
        <w:rPr>
          <w:rFonts w:hint="eastAsia"/>
          <w:snapToGrid/>
        </w:rPr>
        <w:t>有条件租约。他们也可以社会</w:t>
      </w:r>
      <w:r>
        <w:rPr>
          <w:snapToGrid/>
        </w:rPr>
        <w:t>/</w:t>
      </w:r>
      <w:r>
        <w:rPr>
          <w:rFonts w:hint="eastAsia"/>
          <w:snapToGrid/>
        </w:rPr>
        <w:t>健康问题的理由而获得居所。</w:t>
      </w:r>
    </w:p>
    <w:p w:rsidR="00000000" w:rsidRDefault="00000000">
      <w:pPr>
        <w:tabs>
          <w:tab w:val="left" w:pos="567"/>
          <w:tab w:val="left" w:pos="1134"/>
          <w:tab w:val="left" w:pos="1701"/>
        </w:tabs>
        <w:rPr>
          <w:rFonts w:hint="eastAsia"/>
          <w:snapToGrid/>
        </w:rPr>
      </w:pPr>
      <w:r>
        <w:rPr>
          <w:snapToGrid/>
        </w:rPr>
        <w:tab/>
        <w:t xml:space="preserve">476.  </w:t>
      </w:r>
      <w:r>
        <w:rPr>
          <w:rFonts w:hint="eastAsia"/>
          <w:snapToGrid/>
        </w:rPr>
        <w:t>二零零一年二月，我们开设了五间单亲中心，为单亲人士提供支援服务，以及协助单亲家庭自力更生。中心的服务包括辅导、家庭教育</w:t>
      </w:r>
      <w:r>
        <w:rPr>
          <w:snapToGrid/>
        </w:rPr>
        <w:t>/</w:t>
      </w:r>
      <w:r>
        <w:rPr>
          <w:rFonts w:hint="eastAsia"/>
          <w:snapToGrid/>
        </w:rPr>
        <w:t>家长教育计划、小组工作</w:t>
      </w:r>
      <w:r>
        <w:rPr>
          <w:snapToGrid/>
        </w:rPr>
        <w:t>/</w:t>
      </w:r>
      <w:r>
        <w:rPr>
          <w:rFonts w:hint="eastAsia"/>
          <w:snapToGrid/>
        </w:rPr>
        <w:t>联系网络计划、与就业有关训练、转介服务等。此外，在二零零二年年初，我们设立了</w:t>
      </w:r>
      <w:r>
        <w:rPr>
          <w:snapToGrid/>
        </w:rPr>
        <w:t>14</w:t>
      </w:r>
      <w:r>
        <w:rPr>
          <w:rFonts w:hint="eastAsia"/>
          <w:snapToGrid/>
        </w:rPr>
        <w:t>支家庭支援网络队，以便尽早识别极需协助的家庭，包括需要及早介入服务的单亲家庭。截至二零零二年十二月，该五个单亲家庭中心向一共</w:t>
      </w:r>
      <w:r>
        <w:rPr>
          <w:snapToGrid/>
        </w:rPr>
        <w:t>6,325</w:t>
      </w:r>
      <w:r>
        <w:rPr>
          <w:rFonts w:hint="eastAsia"/>
          <w:snapToGrid/>
        </w:rPr>
        <w:t>个单亲家庭提供服务。</w:t>
      </w:r>
    </w:p>
    <w:p w:rsidR="00000000" w:rsidRDefault="00000000">
      <w:pPr>
        <w:tabs>
          <w:tab w:val="left" w:pos="567"/>
          <w:tab w:val="left" w:pos="1134"/>
          <w:tab w:val="left" w:pos="1701"/>
        </w:tabs>
        <w:rPr>
          <w:rFonts w:hint="eastAsia"/>
          <w:snapToGrid/>
        </w:rPr>
      </w:pPr>
      <w:r>
        <w:rPr>
          <w:snapToGrid/>
        </w:rPr>
        <w:tab/>
        <w:t xml:space="preserve">477.  </w:t>
      </w:r>
      <w:r>
        <w:rPr>
          <w:rFonts w:hint="eastAsia"/>
          <w:snapToGrid/>
        </w:rPr>
        <w:t>委员会在二零零一年通过的审议结论第</w:t>
      </w:r>
      <w:r>
        <w:rPr>
          <w:snapToGrid/>
        </w:rPr>
        <w:t>12</w:t>
      </w:r>
      <w:r>
        <w:rPr>
          <w:rFonts w:hint="eastAsia"/>
          <w:snapToGrid/>
        </w:rPr>
        <w:t>段中指出，“全国人民代表大会常务委员会于一九九九年六月二十六日对《基本法》第二十四条所作的解释，令一些争取永久居留权的人士和分离家庭未能享有经济、社会及文化权利”。在第</w:t>
      </w:r>
      <w:r>
        <w:rPr>
          <w:snapToGrid/>
        </w:rPr>
        <w:t>22</w:t>
      </w:r>
      <w:r>
        <w:rPr>
          <w:rFonts w:hint="eastAsia"/>
          <w:snapToGrid/>
        </w:rPr>
        <w:t>段，委员会提及香港特区就永久居留和分离家庭个案实施的政策，引致不少人陷入困境，并对此深表关注。在第</w:t>
      </w:r>
      <w:r>
        <w:rPr>
          <w:snapToGrid/>
        </w:rPr>
        <w:t>40</w:t>
      </w:r>
      <w:r>
        <w:rPr>
          <w:rFonts w:hint="eastAsia"/>
          <w:snapToGrid/>
        </w:rPr>
        <w:t>段，委员会敦促香港特区在制定和推行有关永久居留和分离家庭的政策时，审慎留意所涉及的人权问题，并须符合公约第二</w:t>
      </w:r>
      <w:r>
        <w:rPr>
          <w:snapToGrid/>
        </w:rPr>
        <w:t>(</w:t>
      </w:r>
      <w:r>
        <w:rPr>
          <w:rFonts w:hint="eastAsia"/>
          <w:snapToGrid/>
        </w:rPr>
        <w:t>二</w:t>
      </w:r>
      <w:r>
        <w:rPr>
          <w:snapToGrid/>
        </w:rPr>
        <w:t>)</w:t>
      </w:r>
      <w:r>
        <w:rPr>
          <w:rFonts w:hint="eastAsia"/>
          <w:snapToGrid/>
        </w:rPr>
        <w:t>、第三和第十条的规定。委员会提醒香港特区，任何关乎第十条限制权利的情况，均须符合第四条所订的有关因素。尽管全国人民代表大会常务委员会已于一九九九年六月二十六日对《基本法》的有关条文作出解释，委员会仍促请香港特区重新考虑“宽大”处理有关人士。此外，在第</w:t>
      </w:r>
      <w:r>
        <w:rPr>
          <w:snapToGrid/>
        </w:rPr>
        <w:t>41</w:t>
      </w:r>
      <w:r>
        <w:rPr>
          <w:rFonts w:hint="eastAsia"/>
          <w:snapToGrid/>
        </w:rPr>
        <w:t>段，委员会亦促请香港特区“增加在永久居留和分离家庭个案工作程序方面的透明度。举例来说，委员会建议当局把所有数据适当分类</w:t>
      </w:r>
      <w:r>
        <w:rPr>
          <w:snapToGrid/>
        </w:rPr>
        <w:t>(</w:t>
      </w:r>
      <w:r>
        <w:rPr>
          <w:rFonts w:hint="eastAsia"/>
          <w:snapToGrid/>
        </w:rPr>
        <w:t>例如：按申请人的原居地划分</w:t>
      </w:r>
      <w:r>
        <w:rPr>
          <w:snapToGrid/>
        </w:rPr>
        <w:t>)</w:t>
      </w:r>
      <w:r>
        <w:rPr>
          <w:rFonts w:hint="eastAsia"/>
          <w:snapToGrid/>
        </w:rPr>
        <w:t>，并且每六个月一次向外公布，以及提交立法会”。</w:t>
      </w:r>
    </w:p>
    <w:p w:rsidR="00000000" w:rsidRDefault="00000000">
      <w:pPr>
        <w:tabs>
          <w:tab w:val="left" w:pos="567"/>
          <w:tab w:val="left" w:pos="1134"/>
          <w:tab w:val="left" w:pos="1701"/>
        </w:tabs>
        <w:rPr>
          <w:rFonts w:hint="eastAsia"/>
          <w:snapToGrid/>
        </w:rPr>
      </w:pPr>
      <w:r>
        <w:rPr>
          <w:snapToGrid/>
        </w:rPr>
        <w:tab/>
        <w:t xml:space="preserve">478.  </w:t>
      </w:r>
      <w:r>
        <w:rPr>
          <w:rFonts w:hint="eastAsia"/>
          <w:snapToGrid/>
        </w:rPr>
        <w:t>家庭分离的问题并非香港独有。没有政府会不用任何形式的规管毫无置疑地接纳所有自称是它们居民的家庭成员。由于希望来港定居的内地人士人数众多，为了确保对申请人公平起见，我们制定的政策，是安排他们依次轮候来港。本港面积只有</w:t>
      </w:r>
      <w:r>
        <w:rPr>
          <w:snapToGrid/>
        </w:rPr>
        <w:t>1,100</w:t>
      </w:r>
      <w:r>
        <w:rPr>
          <w:rFonts w:hint="eastAsia"/>
          <w:snapToGrid/>
        </w:rPr>
        <w:t>平方公里，而人口却接近</w:t>
      </w:r>
      <w:r>
        <w:rPr>
          <w:snapToGrid/>
        </w:rPr>
        <w:t>700</w:t>
      </w:r>
      <w:r>
        <w:rPr>
          <w:rFonts w:hint="eastAsia"/>
          <w:snapToGrid/>
        </w:rPr>
        <w:t>万，我们必须在社会经济基础建设的限制下令他们有秩序地来港与家庭团聚，这样方能符合全港居民</w:t>
      </w:r>
      <w:r>
        <w:rPr>
          <w:snapToGrid/>
        </w:rPr>
        <w:t>(</w:t>
      </w:r>
      <w:r>
        <w:rPr>
          <w:rFonts w:hint="eastAsia"/>
          <w:snapToGrid/>
        </w:rPr>
        <w:t>包括来港定居人士</w:t>
      </w:r>
      <w:r>
        <w:rPr>
          <w:snapToGrid/>
        </w:rPr>
        <w:t>)</w:t>
      </w:r>
      <w:r>
        <w:rPr>
          <w:rFonts w:hint="eastAsia"/>
          <w:snapToGrid/>
        </w:rPr>
        <w:t>的最佳利益。由一九九七年七月起，超过</w:t>
      </w:r>
      <w:r>
        <w:rPr>
          <w:snapToGrid/>
        </w:rPr>
        <w:t>296,000</w:t>
      </w:r>
      <w:r>
        <w:rPr>
          <w:rFonts w:hint="eastAsia"/>
          <w:snapToGrid/>
        </w:rPr>
        <w:t>名内地人士已藉着单程通行证计划来港定居。</w:t>
      </w:r>
    </w:p>
    <w:p w:rsidR="00000000" w:rsidRDefault="00000000">
      <w:pPr>
        <w:tabs>
          <w:tab w:val="left" w:pos="567"/>
          <w:tab w:val="left" w:pos="1134"/>
          <w:tab w:val="left" w:pos="1701"/>
        </w:tabs>
        <w:rPr>
          <w:rFonts w:hint="eastAsia"/>
          <w:snapToGrid/>
        </w:rPr>
      </w:pPr>
      <w:r>
        <w:rPr>
          <w:snapToGrid/>
        </w:rPr>
        <w:tab/>
        <w:t xml:space="preserve">479.  </w:t>
      </w:r>
      <w:r>
        <w:rPr>
          <w:rFonts w:hint="eastAsia"/>
          <w:snapToGrid/>
        </w:rPr>
        <w:t>内地人士在等候审批来港定居期间，可通过多种途径来港。他们可藉着这些途径来港旅游、经商、处理个人事务和探亲。有些来港探亲的人士甚至可在一年内以访客身分留港超过六个月。</w:t>
      </w:r>
    </w:p>
    <w:p w:rsidR="00000000" w:rsidRDefault="00000000">
      <w:pPr>
        <w:tabs>
          <w:tab w:val="left" w:pos="567"/>
          <w:tab w:val="left" w:pos="1134"/>
          <w:tab w:val="left" w:pos="1701"/>
        </w:tabs>
        <w:rPr>
          <w:rFonts w:hint="eastAsia"/>
          <w:snapToGrid/>
        </w:rPr>
      </w:pPr>
      <w:r>
        <w:rPr>
          <w:snapToGrid/>
        </w:rPr>
        <w:tab/>
        <w:t xml:space="preserve">480.  </w:t>
      </w:r>
      <w:r>
        <w:rPr>
          <w:rFonts w:hint="eastAsia"/>
          <w:snapToGrid/>
        </w:rPr>
        <w:t>我们在制定和推行有关居留权的政策时，会审慎留意所涉及的人权问题，并符合公约第二</w:t>
      </w:r>
      <w:r>
        <w:rPr>
          <w:snapToGrid/>
        </w:rPr>
        <w:t>(</w:t>
      </w:r>
      <w:r>
        <w:rPr>
          <w:rFonts w:hint="eastAsia"/>
          <w:snapToGrid/>
        </w:rPr>
        <w:t>二</w:t>
      </w:r>
      <w:r>
        <w:rPr>
          <w:snapToGrid/>
        </w:rPr>
        <w:t>)</w:t>
      </w:r>
      <w:r>
        <w:rPr>
          <w:rFonts w:hint="eastAsia"/>
          <w:snapToGrid/>
        </w:rPr>
        <w:t>、第三和第十条的规定。我们就入境、留港及获取居留权资格方面施加限制时，已力求确保所有限制第十条的实施的情况，完全符合第四条所订的每个因素。除非这种限制完全符合本港法律、不会与有关权利抵触，而且纯为按照条文规定促进香港社会的整体福祉，否则我们不会施加限制。</w:t>
      </w:r>
    </w:p>
    <w:p w:rsidR="00000000" w:rsidRDefault="00000000">
      <w:pPr>
        <w:tabs>
          <w:tab w:val="left" w:pos="567"/>
          <w:tab w:val="left" w:pos="1134"/>
          <w:tab w:val="left" w:pos="1701"/>
        </w:tabs>
        <w:spacing w:after="320"/>
        <w:rPr>
          <w:rFonts w:hint="eastAsia"/>
          <w:snapToGrid/>
        </w:rPr>
      </w:pPr>
      <w:r>
        <w:rPr>
          <w:snapToGrid/>
        </w:rPr>
        <w:tab/>
        <w:t xml:space="preserve">481.  </w:t>
      </w:r>
      <w:r>
        <w:rPr>
          <w:rFonts w:hint="eastAsia"/>
          <w:snapToGrid/>
        </w:rPr>
        <w:t>有关审议结论第</w:t>
      </w:r>
      <w:r>
        <w:rPr>
          <w:snapToGrid/>
        </w:rPr>
        <w:t>41</w:t>
      </w:r>
      <w:r>
        <w:rPr>
          <w:rFonts w:hint="eastAsia"/>
          <w:snapToGrid/>
        </w:rPr>
        <w:t>段的建议，单程通行证计划是由内地当局执行的。有关方面已采取措施以增加计划的透明度，包括在一九九七年设立一项计分制度以厘定申请人的轮候次序、在二零零零年推出投诉热线，以及定期发表获批准来港的申请人名单。这份名单的资料包括申请人姓名、在内地的申请地点、性别、出生日期、所得分数，以及视乎情况加上结婚日期、分居时期和父母姓名。这些资料是公开予任何有兴趣的人士参阅的。</w:t>
      </w:r>
    </w:p>
    <w:p w:rsidR="00000000" w:rsidRDefault="00000000">
      <w:pPr>
        <w:pStyle w:val="Heading4"/>
        <w:rPr>
          <w:rFonts w:hint="eastAsia"/>
        </w:rPr>
      </w:pPr>
      <w:r>
        <w:rPr>
          <w:rFonts w:hint="eastAsia"/>
        </w:rPr>
        <w:t>居留权证明书计划</w:t>
      </w:r>
    </w:p>
    <w:p w:rsidR="00000000" w:rsidRDefault="00000000">
      <w:pPr>
        <w:tabs>
          <w:tab w:val="left" w:pos="567"/>
          <w:tab w:val="left" w:pos="1134"/>
          <w:tab w:val="left" w:pos="1701"/>
        </w:tabs>
        <w:spacing w:after="320"/>
        <w:rPr>
          <w:rFonts w:hint="eastAsia"/>
          <w:snapToGrid/>
        </w:rPr>
      </w:pPr>
      <w:r>
        <w:rPr>
          <w:snapToGrid/>
        </w:rPr>
        <w:tab/>
        <w:t xml:space="preserve">482.  </w:t>
      </w:r>
      <w:r>
        <w:rPr>
          <w:rFonts w:hint="eastAsia"/>
          <w:snapToGrid/>
        </w:rPr>
        <w:t>我们在首份报告第</w:t>
      </w:r>
      <w:r>
        <w:rPr>
          <w:snapToGrid/>
        </w:rPr>
        <w:t>216</w:t>
      </w:r>
      <w:r>
        <w:rPr>
          <w:rFonts w:hint="eastAsia"/>
          <w:snapToGrid/>
        </w:rPr>
        <w:t>段曾说明上述计划的目的和运作模式。根据这项计划，那些声称拥有香港特区居留权的人士但仍身处香港境外的人士，会获有关当局核实身分。截至二零零二年十二月三十一日，这项计划让约</w:t>
      </w:r>
      <w:r>
        <w:rPr>
          <w:snapToGrid/>
        </w:rPr>
        <w:t>133,000</w:t>
      </w:r>
      <w:r>
        <w:rPr>
          <w:rFonts w:hint="eastAsia"/>
          <w:snapToGrid/>
        </w:rPr>
        <w:t>名经核实拥有香港居留权的儿童迅速而有秩序地来港定居。</w:t>
      </w:r>
    </w:p>
    <w:p w:rsidR="00000000" w:rsidRDefault="00000000">
      <w:pPr>
        <w:pStyle w:val="Heading4"/>
        <w:rPr>
          <w:rFonts w:hint="eastAsia"/>
        </w:rPr>
      </w:pPr>
      <w:r>
        <w:rPr>
          <w:rFonts w:hint="eastAsia"/>
        </w:rPr>
        <w:t>周全的保护儿童政策</w:t>
      </w:r>
    </w:p>
    <w:p w:rsidR="00000000" w:rsidRDefault="00000000">
      <w:pPr>
        <w:tabs>
          <w:tab w:val="left" w:pos="567"/>
          <w:tab w:val="left" w:pos="1134"/>
          <w:tab w:val="left" w:pos="1701"/>
        </w:tabs>
        <w:rPr>
          <w:rFonts w:hint="eastAsia"/>
          <w:snapToGrid/>
        </w:rPr>
      </w:pPr>
      <w:r>
        <w:rPr>
          <w:snapToGrid/>
        </w:rPr>
        <w:tab/>
        <w:t xml:space="preserve">483.  </w:t>
      </w:r>
      <w:r>
        <w:rPr>
          <w:rFonts w:hint="eastAsia"/>
          <w:snapToGrid/>
        </w:rPr>
        <w:t>在二零零一年通过的审议结论第</w:t>
      </w:r>
      <w:r>
        <w:rPr>
          <w:snapToGrid/>
        </w:rPr>
        <w:t>15(g)</w:t>
      </w:r>
      <w:r>
        <w:rPr>
          <w:rFonts w:hint="eastAsia"/>
          <w:snapToGrid/>
        </w:rPr>
        <w:t>段中，委员会指出，香港没有制定周全的政策，保障儿童免受各种形式的虐待，并对此特别表示关注。在第</w:t>
      </w:r>
      <w:r>
        <w:rPr>
          <w:snapToGrid/>
        </w:rPr>
        <w:t>42</w:t>
      </w:r>
      <w:r>
        <w:rPr>
          <w:rFonts w:hint="eastAsia"/>
          <w:snapToGrid/>
        </w:rPr>
        <w:t>段，委员会呼吁香港特区“采取紧急措施，以解决导致青少年自杀和虐儿的种种问题”。</w:t>
      </w:r>
    </w:p>
    <w:p w:rsidR="00000000" w:rsidRDefault="00000000">
      <w:pPr>
        <w:tabs>
          <w:tab w:val="left" w:pos="567"/>
          <w:tab w:val="left" w:pos="1134"/>
          <w:tab w:val="left" w:pos="1701"/>
        </w:tabs>
        <w:rPr>
          <w:rFonts w:hint="eastAsia"/>
          <w:snapToGrid/>
        </w:rPr>
      </w:pPr>
      <w:r>
        <w:rPr>
          <w:snapToGrid/>
        </w:rPr>
        <w:tab/>
        <w:t xml:space="preserve">484.  </w:t>
      </w:r>
      <w:r>
        <w:rPr>
          <w:rFonts w:hint="eastAsia"/>
          <w:snapToGrid/>
        </w:rPr>
        <w:t>我们致力推行周全的政策，保障儿童免受各种形式的虐待。一九九一年发表的《跨越九十年代香港社会福利白皮书》指出，我们的儿童福利纲领的主要目标，是“保障儿童免受任何形式的虐待，并且提供服务，防止和处理虐待儿童事件。”有鉴于此，政府成立防止虐待儿童委员会，成员包括来自有关政策局</w:t>
      </w:r>
      <w:r>
        <w:rPr>
          <w:snapToGrid/>
        </w:rPr>
        <w:t>/</w:t>
      </w:r>
      <w:r>
        <w:rPr>
          <w:rFonts w:hint="eastAsia"/>
          <w:snapToGrid/>
        </w:rPr>
        <w:t>政府部门、专业人士和非政府机构的代表，以集合各个专业力量，制定全面的策略和统筹各方的工作。</w:t>
      </w:r>
    </w:p>
    <w:p w:rsidR="00000000" w:rsidRDefault="00000000">
      <w:pPr>
        <w:tabs>
          <w:tab w:val="left" w:pos="567"/>
          <w:tab w:val="left" w:pos="1134"/>
          <w:tab w:val="left" w:pos="1701"/>
        </w:tabs>
        <w:spacing w:after="320"/>
        <w:rPr>
          <w:rFonts w:hint="eastAsia"/>
          <w:snapToGrid/>
        </w:rPr>
      </w:pPr>
      <w:r>
        <w:rPr>
          <w:snapToGrid/>
        </w:rPr>
        <w:tab/>
        <w:t xml:space="preserve">485.  </w:t>
      </w:r>
      <w:r>
        <w:rPr>
          <w:rFonts w:hint="eastAsia"/>
          <w:snapToGrid/>
        </w:rPr>
        <w:t>我们在三个不同程度的层面提供一系列的预防、支援及专门服务，以防止家庭问题</w:t>
      </w:r>
      <w:r>
        <w:rPr>
          <w:snapToGrid/>
        </w:rPr>
        <w:t>(</w:t>
      </w:r>
      <w:r>
        <w:rPr>
          <w:rFonts w:hint="eastAsia"/>
          <w:snapToGrid/>
        </w:rPr>
        <w:t>例如：虐儿</w:t>
      </w:r>
      <w:r>
        <w:rPr>
          <w:snapToGrid/>
        </w:rPr>
        <w:t>)</w:t>
      </w:r>
      <w:r>
        <w:rPr>
          <w:rFonts w:hint="eastAsia"/>
          <w:snapToGrid/>
        </w:rPr>
        <w:t>发生，以及在这些问题发生时及时处理。有关这个工作方式的详情载于下文第</w:t>
      </w:r>
      <w:r>
        <w:rPr>
          <w:snapToGrid/>
        </w:rPr>
        <w:t>508</w:t>
      </w:r>
      <w:r>
        <w:rPr>
          <w:rFonts w:hint="eastAsia"/>
          <w:snapToGrid/>
        </w:rPr>
        <w:t>至</w:t>
      </w:r>
      <w:r>
        <w:rPr>
          <w:snapToGrid/>
        </w:rPr>
        <w:t>514</w:t>
      </w:r>
      <w:r>
        <w:rPr>
          <w:rFonts w:hint="eastAsia"/>
          <w:snapToGrid/>
        </w:rPr>
        <w:t>段。</w:t>
      </w:r>
    </w:p>
    <w:p w:rsidR="00000000" w:rsidRDefault="00000000">
      <w:pPr>
        <w:pStyle w:val="Heading4"/>
        <w:rPr>
          <w:rFonts w:hint="eastAsia"/>
        </w:rPr>
      </w:pPr>
      <w:r>
        <w:rPr>
          <w:rFonts w:hint="eastAsia"/>
        </w:rPr>
        <w:t>青少年自杀</w:t>
      </w:r>
    </w:p>
    <w:p w:rsidR="00000000" w:rsidRDefault="00000000">
      <w:pPr>
        <w:tabs>
          <w:tab w:val="left" w:pos="567"/>
          <w:tab w:val="left" w:pos="1134"/>
          <w:tab w:val="left" w:pos="1701"/>
        </w:tabs>
        <w:spacing w:after="320"/>
        <w:rPr>
          <w:rFonts w:hint="eastAsia"/>
          <w:snapToGrid/>
        </w:rPr>
      </w:pPr>
      <w:r>
        <w:rPr>
          <w:snapToGrid/>
        </w:rPr>
        <w:tab/>
        <w:t xml:space="preserve">486.  </w:t>
      </w:r>
      <w:r>
        <w:rPr>
          <w:rFonts w:hint="eastAsia"/>
          <w:snapToGrid/>
        </w:rPr>
        <w:t>政府及许多本地论者均与委员会一样，对青少年自杀问题十分关注，亦决意彻底解决这个问题。为此，我们会采取下文第</w:t>
      </w:r>
      <w:r>
        <w:rPr>
          <w:snapToGrid/>
        </w:rPr>
        <w:t>487</w:t>
      </w:r>
      <w:r>
        <w:rPr>
          <w:rFonts w:hint="eastAsia"/>
          <w:snapToGrid/>
        </w:rPr>
        <w:t>至</w:t>
      </w:r>
      <w:r>
        <w:rPr>
          <w:snapToGrid/>
        </w:rPr>
        <w:t>495</w:t>
      </w:r>
      <w:r>
        <w:rPr>
          <w:rFonts w:hint="eastAsia"/>
          <w:snapToGrid/>
        </w:rPr>
        <w:t>段的跨部门和跨专业措施。</w:t>
      </w:r>
    </w:p>
    <w:p w:rsidR="00000000" w:rsidRDefault="00000000">
      <w:pPr>
        <w:pStyle w:val="Heading4"/>
        <w:spacing w:after="120"/>
        <w:rPr>
          <w:rFonts w:hint="eastAsia"/>
        </w:rPr>
      </w:pPr>
      <w:r>
        <w:rPr>
          <w:rFonts w:hint="eastAsia"/>
        </w:rPr>
        <w:t>青少年福利服务</w:t>
      </w:r>
    </w:p>
    <w:p w:rsidR="00000000" w:rsidRDefault="00000000">
      <w:pPr>
        <w:tabs>
          <w:tab w:val="left" w:pos="567"/>
          <w:tab w:val="left" w:pos="1134"/>
          <w:tab w:val="left" w:pos="1701"/>
        </w:tabs>
        <w:spacing w:after="160"/>
        <w:rPr>
          <w:rFonts w:hint="eastAsia"/>
          <w:snapToGrid/>
        </w:rPr>
      </w:pPr>
      <w:r>
        <w:rPr>
          <w:snapToGrid/>
        </w:rPr>
        <w:tab/>
        <w:t xml:space="preserve">487.  </w:t>
      </w:r>
      <w:r>
        <w:rPr>
          <w:rFonts w:hint="eastAsia"/>
          <w:snapToGrid/>
        </w:rPr>
        <w:t>为配合青少年不断转变和日益复杂的需要，福利服务单位通过数个途径提供发展、支援和转导服务，包括儿童及青年中心、学校社会工作服务、外展工作，以及综合青少年服务中心，主要目标之一是培养青少年的生活技能和抗逆能力，俾能应付问题和面对困难。</w:t>
      </w:r>
    </w:p>
    <w:p w:rsidR="00000000" w:rsidRDefault="00000000">
      <w:pPr>
        <w:pStyle w:val="Heading4"/>
        <w:spacing w:after="160"/>
        <w:rPr>
          <w:rFonts w:hint="eastAsia"/>
        </w:rPr>
      </w:pPr>
      <w:r>
        <w:rPr>
          <w:rFonts w:hint="eastAsia"/>
        </w:rPr>
        <w:t>成长的天空计划</w:t>
      </w:r>
    </w:p>
    <w:p w:rsidR="00000000" w:rsidRDefault="00000000">
      <w:pPr>
        <w:tabs>
          <w:tab w:val="left" w:pos="567"/>
          <w:tab w:val="left" w:pos="1134"/>
          <w:tab w:val="left" w:pos="1701"/>
        </w:tabs>
        <w:rPr>
          <w:rFonts w:hint="eastAsia"/>
          <w:snapToGrid/>
        </w:rPr>
      </w:pPr>
      <w:r>
        <w:rPr>
          <w:snapToGrid/>
        </w:rPr>
        <w:tab/>
        <w:t xml:space="preserve">488.  </w:t>
      </w:r>
      <w:r>
        <w:rPr>
          <w:rFonts w:hint="eastAsia"/>
          <w:snapToGrid/>
        </w:rPr>
        <w:t>因应青少年自杀数目增加，我们推出这项计划，以进行一系列的试验研究。我们根据研究结果，制定一套及早识别青年人发展需要的甄别方法和为及早介入而设的基本辅助活动。我们的目标与青年福利服务</w:t>
      </w:r>
      <w:r>
        <w:rPr>
          <w:snapToGrid/>
        </w:rPr>
        <w:t>(</w:t>
      </w:r>
      <w:r>
        <w:rPr>
          <w:rFonts w:hint="eastAsia"/>
          <w:snapToGrid/>
        </w:rPr>
        <w:t>上文第</w:t>
      </w:r>
      <w:r>
        <w:rPr>
          <w:snapToGrid/>
        </w:rPr>
        <w:t>487</w:t>
      </w:r>
      <w:r>
        <w:rPr>
          <w:rFonts w:hint="eastAsia"/>
          <w:snapToGrid/>
        </w:rPr>
        <w:t>段</w:t>
      </w:r>
      <w:r>
        <w:rPr>
          <w:snapToGrid/>
        </w:rPr>
        <w:t>)</w:t>
      </w:r>
      <w:r>
        <w:rPr>
          <w:rFonts w:hint="eastAsia"/>
          <w:snapToGrid/>
        </w:rPr>
        <w:t>一样，旨在提高青少年的能力、培养他们的归属感，使他们乐观面对逆境，从而面对生命中各项挑战。</w:t>
      </w:r>
    </w:p>
    <w:p w:rsidR="00000000" w:rsidRDefault="00000000">
      <w:pPr>
        <w:tabs>
          <w:tab w:val="left" w:pos="567"/>
          <w:tab w:val="left" w:pos="1134"/>
          <w:tab w:val="left" w:pos="1701"/>
        </w:tabs>
        <w:spacing w:after="160"/>
        <w:rPr>
          <w:rFonts w:hint="eastAsia"/>
          <w:snapToGrid/>
        </w:rPr>
      </w:pPr>
      <w:r>
        <w:rPr>
          <w:snapToGrid/>
        </w:rPr>
        <w:tab/>
        <w:t xml:space="preserve">489.  </w:t>
      </w:r>
      <w:r>
        <w:rPr>
          <w:rFonts w:hint="eastAsia"/>
          <w:snapToGrid/>
        </w:rPr>
        <w:t>在二零零一</w:t>
      </w:r>
      <w:r>
        <w:rPr>
          <w:snapToGrid/>
        </w:rPr>
        <w:t>/</w:t>
      </w:r>
      <w:r>
        <w:rPr>
          <w:rFonts w:hint="eastAsia"/>
          <w:snapToGrid/>
        </w:rPr>
        <w:t>零二学年，我们向全港中学推行这项为期三年的计划，并以试验性质把计划推广至小学</w:t>
      </w:r>
      <w:r>
        <w:rPr>
          <w:rStyle w:val="FootnoteReference"/>
          <w:snapToGrid/>
        </w:rPr>
        <w:footnoteReference w:customMarkFollows="1" w:id="39"/>
        <w:t>26</w:t>
      </w:r>
      <w:r>
        <w:rPr>
          <w:rFonts w:hint="eastAsia"/>
          <w:snapToGrid/>
        </w:rPr>
        <w:t>。在撰写这份报告时</w:t>
      </w:r>
      <w:r>
        <w:rPr>
          <w:snapToGrid/>
        </w:rPr>
        <w:t>(</w:t>
      </w:r>
      <w:r>
        <w:rPr>
          <w:rFonts w:hint="eastAsia"/>
          <w:snapToGrid/>
        </w:rPr>
        <w:t>二零零二</w:t>
      </w:r>
      <w:r>
        <w:rPr>
          <w:snapToGrid/>
        </w:rPr>
        <w:t>/</w:t>
      </w:r>
      <w:r>
        <w:rPr>
          <w:rFonts w:hint="eastAsia"/>
          <w:snapToGrid/>
        </w:rPr>
        <w:t>零三学年</w:t>
      </w:r>
      <w:r>
        <w:rPr>
          <w:snapToGrid/>
        </w:rPr>
        <w:t>)</w:t>
      </w:r>
      <w:r>
        <w:rPr>
          <w:rFonts w:hint="eastAsia"/>
          <w:snapToGrid/>
        </w:rPr>
        <w:t>，有约</w:t>
      </w:r>
      <w:r>
        <w:rPr>
          <w:snapToGrid/>
        </w:rPr>
        <w:t>255</w:t>
      </w:r>
      <w:r>
        <w:rPr>
          <w:rFonts w:hint="eastAsia"/>
          <w:snapToGrid/>
        </w:rPr>
        <w:t>间学校参与这项计划。有</w:t>
      </w:r>
      <w:r>
        <w:rPr>
          <w:snapToGrid/>
        </w:rPr>
        <w:t>18</w:t>
      </w:r>
      <w:r>
        <w:rPr>
          <w:rFonts w:hint="eastAsia"/>
          <w:snapToGrid/>
        </w:rPr>
        <w:t>间参与试验计划的学校已试行一系列的预防活动，以及就及早识别小学生发展需要</w:t>
      </w:r>
      <w:r>
        <w:rPr>
          <w:rStyle w:val="FootnoteReference"/>
          <w:snapToGrid/>
        </w:rPr>
        <w:footnoteReference w:customMarkFollows="1" w:id="40"/>
        <w:t>27</w:t>
      </w:r>
      <w:r>
        <w:rPr>
          <w:rFonts w:hint="eastAsia"/>
          <w:snapToGrid/>
        </w:rPr>
        <w:t xml:space="preserve"> </w:t>
      </w:r>
      <w:r>
        <w:rPr>
          <w:rFonts w:hint="eastAsia"/>
          <w:snapToGrid/>
        </w:rPr>
        <w:t>的甄别工具进行纵向评估。本港另有</w:t>
      </w:r>
      <w:r>
        <w:rPr>
          <w:snapToGrid/>
        </w:rPr>
        <w:t>54</w:t>
      </w:r>
      <w:r>
        <w:rPr>
          <w:rFonts w:hint="eastAsia"/>
          <w:snapToGrid/>
        </w:rPr>
        <w:t>间小学参与评估该个“工具”。我们预计，在二零零四至零五学年将有</w:t>
      </w:r>
      <w:r>
        <w:rPr>
          <w:snapToGrid/>
        </w:rPr>
        <w:t>300</w:t>
      </w:r>
      <w:r>
        <w:rPr>
          <w:rFonts w:hint="eastAsia"/>
          <w:snapToGrid/>
        </w:rPr>
        <w:t>间小学全面推行该计划，在二零零五至零六学年则达到</w:t>
      </w:r>
      <w:r>
        <w:rPr>
          <w:snapToGrid/>
        </w:rPr>
        <w:t>400</w:t>
      </w:r>
      <w:r>
        <w:rPr>
          <w:rFonts w:hint="eastAsia"/>
          <w:snapToGrid/>
        </w:rPr>
        <w:t>间。</w:t>
      </w:r>
    </w:p>
    <w:p w:rsidR="00000000" w:rsidRDefault="00000000">
      <w:pPr>
        <w:pStyle w:val="Heading4"/>
        <w:spacing w:after="160"/>
        <w:rPr>
          <w:rFonts w:hint="eastAsia"/>
          <w:i/>
        </w:rPr>
      </w:pPr>
      <w:r>
        <w:rPr>
          <w:rFonts w:hint="eastAsia"/>
        </w:rPr>
        <w:t>跨界别合作</w:t>
      </w:r>
    </w:p>
    <w:p w:rsidR="00000000" w:rsidRDefault="00000000">
      <w:pPr>
        <w:tabs>
          <w:tab w:val="left" w:pos="567"/>
          <w:tab w:val="left" w:pos="1134"/>
          <w:tab w:val="left" w:pos="1701"/>
        </w:tabs>
        <w:rPr>
          <w:rFonts w:hint="eastAsia"/>
          <w:snapToGrid/>
        </w:rPr>
      </w:pPr>
      <w:r>
        <w:rPr>
          <w:snapToGrid/>
        </w:rPr>
        <w:tab/>
        <w:t xml:space="preserve">490.  </w:t>
      </w:r>
      <w:r>
        <w:rPr>
          <w:rFonts w:hint="eastAsia"/>
          <w:snapToGrid/>
        </w:rPr>
        <w:t>社会各界均有责任对付自杀的问题，无论个人、非政府机构、专业团体、传媒、社区还是政府均须积极参与。政府现正着手通过跨专业和跨界别的方式，以及利用全港支援网络，务求减轻和预防自杀问题。具体来说，我们成立了一个跨部门工作小组，负责制定政策和统筹政府各部门的工作。工作小组成员包括主要部门的代表，而非政府机构和各间大学则获邀出席会议，以提供意见和促进各界合作。</w:t>
      </w:r>
    </w:p>
    <w:p w:rsidR="00000000" w:rsidRDefault="00000000">
      <w:pPr>
        <w:tabs>
          <w:tab w:val="left" w:pos="567"/>
          <w:tab w:val="left" w:pos="1134"/>
          <w:tab w:val="left" w:pos="1701"/>
        </w:tabs>
        <w:rPr>
          <w:rFonts w:hint="eastAsia"/>
          <w:snapToGrid/>
        </w:rPr>
      </w:pPr>
      <w:r>
        <w:rPr>
          <w:snapToGrid/>
        </w:rPr>
        <w:tab/>
        <w:t xml:space="preserve">491.  </w:t>
      </w:r>
      <w:r>
        <w:rPr>
          <w:rFonts w:hint="eastAsia"/>
          <w:snapToGrid/>
        </w:rPr>
        <w:t>我们与非政府机构和专业人士合作，以期：</w:t>
      </w:r>
    </w:p>
    <w:p w:rsidR="00000000" w:rsidRDefault="00000000">
      <w:pPr>
        <w:numPr>
          <w:ilvl w:val="0"/>
          <w:numId w:val="145"/>
        </w:numPr>
        <w:rPr>
          <w:rFonts w:hint="eastAsia"/>
          <w:snapToGrid/>
        </w:rPr>
      </w:pPr>
      <w:r>
        <w:rPr>
          <w:rFonts w:hint="eastAsia"/>
          <w:snapToGrid/>
        </w:rPr>
        <w:t>通过更有效地在本港和海外搜集数据和进行研究，提高我们对自杀问题的认识；</w:t>
      </w:r>
    </w:p>
    <w:p w:rsidR="00000000" w:rsidRDefault="00000000">
      <w:pPr>
        <w:numPr>
          <w:ilvl w:val="0"/>
          <w:numId w:val="145"/>
        </w:numPr>
        <w:rPr>
          <w:rFonts w:hint="eastAsia"/>
          <w:snapToGrid/>
        </w:rPr>
      </w:pPr>
      <w:r>
        <w:rPr>
          <w:rFonts w:hint="eastAsia"/>
          <w:snapToGrid/>
        </w:rPr>
        <w:t>提供预防、支援和辅导服务，以纾解引致自杀的因素、加强保护措施，以及提供适时介入和协助；</w:t>
      </w:r>
    </w:p>
    <w:p w:rsidR="00000000" w:rsidRDefault="00000000">
      <w:pPr>
        <w:numPr>
          <w:ilvl w:val="0"/>
          <w:numId w:val="145"/>
        </w:numPr>
        <w:rPr>
          <w:rFonts w:hint="eastAsia"/>
          <w:snapToGrid/>
        </w:rPr>
      </w:pPr>
      <w:r>
        <w:rPr>
          <w:rFonts w:hint="eastAsia"/>
          <w:snapToGrid/>
        </w:rPr>
        <w:t>通过加强公众教育，提高公众对自杀的认识；以及</w:t>
      </w:r>
    </w:p>
    <w:p w:rsidR="00000000" w:rsidRDefault="00000000">
      <w:pPr>
        <w:numPr>
          <w:ilvl w:val="0"/>
          <w:numId w:val="145"/>
        </w:numPr>
        <w:rPr>
          <w:snapToGrid/>
        </w:rPr>
      </w:pPr>
      <w:r>
        <w:rPr>
          <w:rFonts w:hint="eastAsia"/>
          <w:snapToGrid/>
        </w:rPr>
        <w:t>通过训练加强前线专业人员的知识和技能。</w:t>
      </w:r>
    </w:p>
    <w:p w:rsidR="00000000" w:rsidRDefault="00000000">
      <w:pPr>
        <w:tabs>
          <w:tab w:val="left" w:pos="567"/>
          <w:tab w:val="left" w:pos="1134"/>
          <w:tab w:val="left" w:pos="1701"/>
        </w:tabs>
        <w:rPr>
          <w:rFonts w:hint="eastAsia"/>
          <w:snapToGrid/>
        </w:rPr>
      </w:pPr>
      <w:r>
        <w:rPr>
          <w:snapToGrid/>
        </w:rPr>
        <w:tab/>
        <w:t xml:space="preserve">492.  </w:t>
      </w:r>
      <w:r>
        <w:rPr>
          <w:rFonts w:hint="eastAsia"/>
          <w:snapToGrid/>
        </w:rPr>
        <w:t>工作小组协助香港大学成立“自杀研究及预防中心”</w:t>
      </w:r>
      <w:r>
        <w:rPr>
          <w:rStyle w:val="FootnoteReference"/>
        </w:rPr>
        <w:footnoteReference w:customMarkFollows="1" w:id="41"/>
        <w:t>28</w:t>
      </w:r>
      <w:r>
        <w:rPr>
          <w:rFonts w:hint="eastAsia"/>
        </w:rPr>
        <w:t xml:space="preserve"> </w:t>
      </w:r>
      <w:r>
        <w:rPr>
          <w:rStyle w:val="FootnoteReference"/>
          <w:b w:val="0"/>
          <w:bCs/>
          <w:vertAlign w:val="baseline"/>
        </w:rPr>
        <w:t>，</w:t>
      </w:r>
      <w:r>
        <w:rPr>
          <w:rFonts w:hint="eastAsia"/>
          <w:snapToGrid/>
        </w:rPr>
        <w:t>中心的宗旨是通过训练、教育和研究，致力防止自杀问题。中心正在设立一个监测系统，以研究本港的自杀趋势，并训练专业人员处理自杀问题。中心亦计划评估现时的介入策略。</w:t>
      </w:r>
    </w:p>
    <w:p w:rsidR="00000000" w:rsidRDefault="00000000">
      <w:pPr>
        <w:tabs>
          <w:tab w:val="left" w:pos="567"/>
          <w:tab w:val="left" w:pos="1134"/>
          <w:tab w:val="left" w:pos="1701"/>
        </w:tabs>
        <w:rPr>
          <w:rFonts w:hint="eastAsia"/>
          <w:snapToGrid/>
        </w:rPr>
      </w:pPr>
      <w:r>
        <w:rPr>
          <w:snapToGrid/>
        </w:rPr>
        <w:tab/>
        <w:t xml:space="preserve">493.  </w:t>
      </w:r>
      <w:r>
        <w:rPr>
          <w:rFonts w:hint="eastAsia"/>
          <w:snapToGrid/>
          <w:spacing w:val="8"/>
        </w:rPr>
        <w:t>在二零零二年，工作小组推出了“中央统计自杀资料系统”，以搜集各政府部门、学校、医院和其他机构报告的自杀死亡和企图自杀个案资料。工作小组现正就各专业如何合作防止自杀和如何介入草拟指引，以供前线专业人员应</w:t>
      </w:r>
      <w:r>
        <w:rPr>
          <w:rFonts w:hint="eastAsia"/>
          <w:snapToGrid/>
        </w:rPr>
        <w:t>用。</w:t>
      </w:r>
    </w:p>
    <w:p w:rsidR="00000000" w:rsidRDefault="00000000">
      <w:pPr>
        <w:rPr>
          <w:rFonts w:hint="eastAsia"/>
          <w:snapToGrid/>
        </w:rPr>
      </w:pPr>
      <w:r>
        <w:rPr>
          <w:snapToGrid/>
        </w:rPr>
        <w:tab/>
        <w:t xml:space="preserve">494.  </w:t>
      </w:r>
      <w:r>
        <w:rPr>
          <w:rFonts w:hint="eastAsia"/>
          <w:snapToGrid/>
        </w:rPr>
        <w:t>至于中央政策方面，边缘青少年服务委员会负责研究青少年问题</w:t>
      </w:r>
      <w:r>
        <w:rPr>
          <w:snapToGrid/>
        </w:rPr>
        <w:t>(</w:t>
      </w:r>
      <w:r>
        <w:rPr>
          <w:rFonts w:hint="eastAsia"/>
          <w:snapToGrid/>
        </w:rPr>
        <w:t>包括青少年自杀</w:t>
      </w:r>
      <w:r>
        <w:rPr>
          <w:snapToGrid/>
        </w:rPr>
        <w:t>)</w:t>
      </w:r>
      <w:r>
        <w:rPr>
          <w:rFonts w:hint="eastAsia"/>
          <w:snapToGrid/>
        </w:rPr>
        <w:t>，并因应青少年不断转变的需要，建议有关策略和措施。社会福利署署长是该委员会的主席，成员来自各个专业，包括主要政府决策局和部门代表，以及福利、教育、医疗界别的专业人员。</w:t>
      </w:r>
    </w:p>
    <w:p w:rsidR="00000000" w:rsidRDefault="00000000">
      <w:pPr>
        <w:spacing w:after="160"/>
        <w:rPr>
          <w:snapToGrid/>
        </w:rPr>
      </w:pPr>
      <w:r>
        <w:rPr>
          <w:snapToGrid/>
        </w:rPr>
        <w:tab/>
        <w:t xml:space="preserve">495.  </w:t>
      </w:r>
      <w:r>
        <w:rPr>
          <w:rFonts w:hint="eastAsia"/>
          <w:snapToGrid/>
        </w:rPr>
        <w:t>在地区层面方面，跨专业的青少年服务地方委员会负责统筹地区工作，以配合地区青少年的需要。青少年自杀是委员会集中处理的问题之一。</w:t>
      </w:r>
    </w:p>
    <w:p w:rsidR="00000000" w:rsidRDefault="00000000">
      <w:pPr>
        <w:pStyle w:val="Heading4"/>
        <w:spacing w:after="160"/>
        <w:rPr>
          <w:rFonts w:hint="eastAsia"/>
        </w:rPr>
      </w:pPr>
      <w:r>
        <w:rPr>
          <w:rFonts w:hint="eastAsia"/>
        </w:rPr>
        <w:t>其他措施</w:t>
      </w:r>
    </w:p>
    <w:p w:rsidR="00000000" w:rsidRDefault="00000000">
      <w:pPr>
        <w:rPr>
          <w:rFonts w:hint="eastAsia"/>
          <w:snapToGrid/>
        </w:rPr>
      </w:pPr>
      <w:r>
        <w:rPr>
          <w:snapToGrid/>
        </w:rPr>
        <w:tab/>
        <w:t xml:space="preserve">496.  </w:t>
      </w:r>
      <w:r>
        <w:rPr>
          <w:rFonts w:hint="eastAsia"/>
          <w:snapToGrid/>
        </w:rPr>
        <w:t>我们资助香港撒玛利亚防止自杀会，以试验形式成立自杀危机处理中心。计划在二零零二年三月开始，为期三年。中心为面临危机和有强烈自杀倾向的人士提供</w:t>
      </w:r>
      <w:r>
        <w:rPr>
          <w:snapToGrid/>
        </w:rPr>
        <w:t>24</w:t>
      </w:r>
      <w:r>
        <w:rPr>
          <w:rFonts w:hint="eastAsia"/>
          <w:snapToGrid/>
        </w:rPr>
        <w:t>小时外展、危机介入和深入辅导服务。截至二零零二年十二月三十一日，中心已处理了</w:t>
      </w:r>
      <w:r>
        <w:rPr>
          <w:snapToGrid/>
        </w:rPr>
        <w:t>205</w:t>
      </w:r>
      <w:r>
        <w:rPr>
          <w:rFonts w:hint="eastAsia"/>
          <w:snapToGrid/>
        </w:rPr>
        <w:t>宗有强烈</w:t>
      </w:r>
      <w:r>
        <w:rPr>
          <w:snapToGrid/>
        </w:rPr>
        <w:t>/</w:t>
      </w:r>
      <w:r>
        <w:rPr>
          <w:rFonts w:hint="eastAsia"/>
          <w:snapToGrid/>
        </w:rPr>
        <w:t>中度自杀倾向的个案，并进行了</w:t>
      </w:r>
      <w:r>
        <w:rPr>
          <w:snapToGrid/>
        </w:rPr>
        <w:t>253</w:t>
      </w:r>
      <w:r>
        <w:rPr>
          <w:rFonts w:hint="eastAsia"/>
          <w:snapToGrid/>
        </w:rPr>
        <w:t>次外展或实地探访。此外，撒玛利亚防止自杀会在二零零二年五月试办生命教育中心，为期三年。中心向市民</w:t>
      </w:r>
      <w:r>
        <w:rPr>
          <w:snapToGrid/>
        </w:rPr>
        <w:t>(</w:t>
      </w:r>
      <w:r>
        <w:rPr>
          <w:rFonts w:hint="eastAsia"/>
          <w:snapToGrid/>
        </w:rPr>
        <w:t>尤其是在学青少年</w:t>
      </w:r>
      <w:r>
        <w:rPr>
          <w:snapToGrid/>
        </w:rPr>
        <w:t>)</w:t>
      </w:r>
      <w:r>
        <w:rPr>
          <w:rFonts w:hint="eastAsia"/>
          <w:snapToGrid/>
        </w:rPr>
        <w:t>推广生命教育，同时训练社会领袖密切注视自杀问题，以期有效防止自杀。</w:t>
      </w:r>
    </w:p>
    <w:p w:rsidR="00000000" w:rsidRDefault="00000000">
      <w:pPr>
        <w:pStyle w:val="Heading4"/>
        <w:spacing w:after="160"/>
        <w:rPr>
          <w:rFonts w:hint="eastAsia"/>
        </w:rPr>
      </w:pPr>
      <w:r>
        <w:rPr>
          <w:rFonts w:hint="eastAsia"/>
        </w:rPr>
        <w:t>内地新来港定居人士</w:t>
      </w:r>
    </w:p>
    <w:p w:rsidR="00000000" w:rsidRDefault="00000000">
      <w:pPr>
        <w:tabs>
          <w:tab w:val="left" w:pos="567"/>
          <w:tab w:val="left" w:pos="1134"/>
          <w:tab w:val="left" w:pos="1701"/>
        </w:tabs>
        <w:rPr>
          <w:rFonts w:hint="eastAsia"/>
          <w:snapToGrid/>
        </w:rPr>
      </w:pPr>
      <w:r>
        <w:rPr>
          <w:snapToGrid/>
        </w:rPr>
        <w:tab/>
        <w:t xml:space="preserve">497.  </w:t>
      </w:r>
      <w:r>
        <w:rPr>
          <w:rFonts w:hint="eastAsia"/>
          <w:snapToGrid/>
        </w:rPr>
        <w:t>由一九九八年七月一日</w:t>
      </w:r>
      <w:r>
        <w:rPr>
          <w:snapToGrid/>
        </w:rPr>
        <w:t>(</w:t>
      </w:r>
      <w:r>
        <w:rPr>
          <w:rFonts w:hint="eastAsia"/>
          <w:snapToGrid/>
        </w:rPr>
        <w:t>首份报告的分界日期</w:t>
      </w:r>
      <w:r>
        <w:rPr>
          <w:snapToGrid/>
        </w:rPr>
        <w:t>)</w:t>
      </w:r>
      <w:r>
        <w:rPr>
          <w:rFonts w:hint="eastAsia"/>
          <w:snapToGrid/>
        </w:rPr>
        <w:t>至二零零二年六月三十日期间，约有</w:t>
      </w:r>
      <w:r>
        <w:rPr>
          <w:snapToGrid/>
        </w:rPr>
        <w:t>226,000</w:t>
      </w:r>
      <w:r>
        <w:rPr>
          <w:rFonts w:hint="eastAsia"/>
          <w:snapToGrid/>
        </w:rPr>
        <w:t>人从内地来港定居。</w:t>
      </w:r>
    </w:p>
    <w:p w:rsidR="00000000" w:rsidRDefault="00000000">
      <w:pPr>
        <w:tabs>
          <w:tab w:val="left" w:pos="567"/>
          <w:tab w:val="left" w:pos="1134"/>
          <w:tab w:val="left" w:pos="1701"/>
        </w:tabs>
        <w:spacing w:after="120"/>
        <w:rPr>
          <w:rFonts w:hint="eastAsia"/>
          <w:snapToGrid/>
        </w:rPr>
      </w:pPr>
      <w:r>
        <w:rPr>
          <w:snapToGrid/>
        </w:rPr>
        <w:tab/>
        <w:t xml:space="preserve">498.  </w:t>
      </w:r>
      <w:r>
        <w:rPr>
          <w:rFonts w:hint="eastAsia"/>
          <w:snapToGrid/>
        </w:rPr>
        <w:t>政府仍然相信，让新来港定居人士尽快融入社会至为重要。新来港定居人士与本地居民一样，有权享用各项福利服务，例如：幼儿护理、社区支援、经济援助等。此外，本港有八间新来港定居人士中心，为他们提供预防和支援服务，特别是提供早介入服务和加强支援网络。有关服务包括适应课程、语言课程、家庭及家长教育、辅导及转介、就业辅导、与就业有关的训练课程等，以期纾缓适应问题，鼓励新来港定居人士自力更生。非政府机构除了提供上述资助计划外，更获香港赛马会慈善信托基金和公益金拨款进行辅助活动，包括公众教育、就业计划和义工服务。</w:t>
      </w:r>
    </w:p>
    <w:p w:rsidR="00000000" w:rsidRDefault="00000000">
      <w:pPr>
        <w:pStyle w:val="Heading4"/>
        <w:spacing w:after="120"/>
        <w:rPr>
          <w:rFonts w:hint="eastAsia"/>
        </w:rPr>
      </w:pPr>
      <w:r>
        <w:rPr>
          <w:rFonts w:hint="eastAsia"/>
        </w:rPr>
        <w:t>家庭福利服务</w:t>
      </w:r>
    </w:p>
    <w:p w:rsidR="00000000" w:rsidRDefault="00000000">
      <w:pPr>
        <w:tabs>
          <w:tab w:val="left" w:pos="567"/>
          <w:tab w:val="left" w:pos="1134"/>
          <w:tab w:val="left" w:pos="1701"/>
        </w:tabs>
        <w:rPr>
          <w:snapToGrid/>
        </w:rPr>
      </w:pPr>
      <w:r>
        <w:rPr>
          <w:snapToGrid/>
        </w:rPr>
        <w:tab/>
        <w:t xml:space="preserve">499.  </w:t>
      </w:r>
      <w:r>
        <w:rPr>
          <w:rFonts w:hint="eastAsia"/>
          <w:snapToGrid/>
        </w:rPr>
        <w:t>社会福利署资助各间机构</w:t>
      </w:r>
      <w:r>
        <w:rPr>
          <w:snapToGrid/>
        </w:rPr>
        <w:t>(</w:t>
      </w:r>
      <w:r>
        <w:rPr>
          <w:rFonts w:hint="eastAsia"/>
          <w:snapToGrid/>
        </w:rPr>
        <w:t>包括社会福利机构、教会、妇女团体等</w:t>
      </w:r>
      <w:r>
        <w:rPr>
          <w:snapToGrid/>
        </w:rPr>
        <w:t>)</w:t>
      </w:r>
      <w:r>
        <w:rPr>
          <w:rFonts w:hint="eastAsia"/>
          <w:snapToGrid/>
        </w:rPr>
        <w:t>，以自负盈亏和非牟利形式营办“互助幼儿中心”。每个中心除可提供暂托幼儿服务，亦可同时监管</w:t>
      </w:r>
      <w:r>
        <w:rPr>
          <w:snapToGrid/>
        </w:rPr>
        <w:t>14</w:t>
      </w:r>
      <w:r>
        <w:rPr>
          <w:rFonts w:hint="eastAsia"/>
          <w:snapToGrid/>
        </w:rPr>
        <w:t>名六岁以下儿童，而服务则由家长和志愿人士提供。截至二零零二年十二月，本港共有</w:t>
      </w:r>
      <w:r>
        <w:rPr>
          <w:snapToGrid/>
        </w:rPr>
        <w:t>24</w:t>
      </w:r>
      <w:r>
        <w:rPr>
          <w:rFonts w:hint="eastAsia"/>
          <w:snapToGrid/>
        </w:rPr>
        <w:t>间互助幼儿中心正在运作，其中九间由非政府机构营办，</w:t>
      </w:r>
      <w:r>
        <w:rPr>
          <w:snapToGrid/>
        </w:rPr>
        <w:t>15</w:t>
      </w:r>
      <w:r>
        <w:rPr>
          <w:rFonts w:hint="eastAsia"/>
          <w:snapToGrid/>
        </w:rPr>
        <w:t>间由社会福利署营办。未来会有</w:t>
      </w:r>
      <w:r>
        <w:rPr>
          <w:snapToGrid/>
        </w:rPr>
        <w:t>14</w:t>
      </w:r>
      <w:r>
        <w:rPr>
          <w:rFonts w:hint="eastAsia"/>
          <w:snapToGrid/>
        </w:rPr>
        <w:t>间中心陆续启用。</w:t>
      </w:r>
    </w:p>
    <w:p w:rsidR="00000000" w:rsidRDefault="00000000">
      <w:pPr>
        <w:tabs>
          <w:tab w:val="left" w:pos="567"/>
          <w:tab w:val="left" w:pos="1134"/>
          <w:tab w:val="left" w:pos="1701"/>
        </w:tabs>
        <w:spacing w:after="100"/>
        <w:rPr>
          <w:rFonts w:hint="eastAsia"/>
          <w:snapToGrid/>
        </w:rPr>
      </w:pPr>
      <w:r>
        <w:rPr>
          <w:snapToGrid/>
        </w:rPr>
        <w:tab/>
        <w:t xml:space="preserve">500.  </w:t>
      </w:r>
      <w:r>
        <w:rPr>
          <w:rFonts w:hint="eastAsia"/>
          <w:snapToGrid/>
        </w:rPr>
        <w:t>上次报告第</w:t>
      </w:r>
      <w:r>
        <w:rPr>
          <w:snapToGrid/>
        </w:rPr>
        <w:t>224</w:t>
      </w:r>
      <w:r>
        <w:rPr>
          <w:rFonts w:hint="eastAsia"/>
          <w:snapToGrid/>
        </w:rPr>
        <w:t>段所提及的各种支援服务和延长服务时间的幼儿中心列于下表：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93"/>
        <w:gridCol w:w="2940"/>
        <w:gridCol w:w="2977"/>
      </w:tblGrid>
      <w:tr w:rsidR="00000000">
        <w:tblPrEx>
          <w:tblCellMar>
            <w:top w:w="0" w:type="dxa"/>
            <w:bottom w:w="0" w:type="dxa"/>
          </w:tblCellMar>
        </w:tblPrEx>
        <w:tc>
          <w:tcPr>
            <w:tcW w:w="1856" w:type="pct"/>
          </w:tcPr>
          <w:p w:rsidR="00000000" w:rsidRDefault="00000000">
            <w:pPr>
              <w:pStyle w:val="a2"/>
              <w:spacing w:before="80" w:after="40" w:line="240" w:lineRule="auto"/>
              <w:jc w:val="center"/>
              <w:rPr>
                <w:rFonts w:ascii="Time New Roman" w:eastAsia="SimHei" w:hAnsi="Time New Roman" w:hint="eastAsia"/>
                <w:snapToGrid/>
                <w:sz w:val="20"/>
                <w:u w:val="single"/>
              </w:rPr>
            </w:pPr>
          </w:p>
        </w:tc>
        <w:tc>
          <w:tcPr>
            <w:tcW w:w="1562" w:type="pct"/>
          </w:tcPr>
          <w:p w:rsidR="00000000" w:rsidRDefault="00000000">
            <w:pPr>
              <w:pStyle w:val="a2"/>
              <w:spacing w:before="80" w:after="40" w:line="240" w:lineRule="auto"/>
              <w:jc w:val="center"/>
              <w:rPr>
                <w:rFonts w:ascii="Time New Roman" w:eastAsia="SimHei" w:hAnsi="Time New Roman" w:hint="eastAsia"/>
                <w:snapToGrid/>
                <w:sz w:val="20"/>
              </w:rPr>
            </w:pPr>
            <w:r>
              <w:rPr>
                <w:rFonts w:ascii="Time New Roman" w:eastAsia="SimHei" w:hAnsi="Time New Roman" w:hint="eastAsia"/>
                <w:snapToGrid/>
                <w:sz w:val="20"/>
              </w:rPr>
              <w:t>一九九七至九八年度的</w:t>
            </w:r>
            <w:r>
              <w:rPr>
                <w:rFonts w:ascii="Time New Roman" w:eastAsia="SimHei" w:hAnsi="Time New Roman"/>
                <w:snapToGrid/>
                <w:sz w:val="20"/>
              </w:rPr>
              <w:br/>
            </w:r>
            <w:r>
              <w:rPr>
                <w:rFonts w:ascii="Time New Roman" w:eastAsia="SimHei" w:hAnsi="Time New Roman" w:hint="eastAsia"/>
                <w:snapToGrid/>
                <w:sz w:val="20"/>
              </w:rPr>
              <w:t>提供情况</w:t>
            </w:r>
          </w:p>
        </w:tc>
        <w:tc>
          <w:tcPr>
            <w:tcW w:w="1582" w:type="pct"/>
          </w:tcPr>
          <w:p w:rsidR="00000000" w:rsidRDefault="00000000">
            <w:pPr>
              <w:pStyle w:val="a2"/>
              <w:spacing w:before="80" w:after="40" w:line="240" w:lineRule="auto"/>
              <w:jc w:val="center"/>
              <w:rPr>
                <w:rFonts w:ascii="Time New Roman" w:eastAsia="SimHei" w:hAnsi="Time New Roman" w:hint="eastAsia"/>
                <w:snapToGrid/>
                <w:sz w:val="20"/>
              </w:rPr>
            </w:pPr>
            <w:r>
              <w:rPr>
                <w:rFonts w:ascii="Time New Roman" w:eastAsia="SimHei" w:hAnsi="Time New Roman" w:hint="eastAsia"/>
                <w:snapToGrid/>
                <w:sz w:val="20"/>
              </w:rPr>
              <w:t>二零零二至零三年度的</w:t>
            </w:r>
            <w:r>
              <w:rPr>
                <w:rFonts w:ascii="Time New Roman" w:eastAsia="SimHei" w:hAnsi="Time New Roman"/>
                <w:snapToGrid/>
                <w:sz w:val="20"/>
              </w:rPr>
              <w:br/>
            </w:r>
            <w:r>
              <w:rPr>
                <w:rFonts w:ascii="Time New Roman" w:eastAsia="SimHei" w:hAnsi="Time New Roman" w:hint="eastAsia"/>
                <w:snapToGrid/>
                <w:sz w:val="20"/>
              </w:rPr>
              <w:t>提供情况</w:t>
            </w:r>
          </w:p>
        </w:tc>
      </w:tr>
      <w:tr w:rsidR="00000000">
        <w:tblPrEx>
          <w:tblCellMar>
            <w:top w:w="0" w:type="dxa"/>
            <w:bottom w:w="0" w:type="dxa"/>
          </w:tblCellMar>
        </w:tblPrEx>
        <w:tc>
          <w:tcPr>
            <w:tcW w:w="1856" w:type="pct"/>
          </w:tcPr>
          <w:p w:rsidR="00000000" w:rsidRDefault="00000000">
            <w:pPr>
              <w:pStyle w:val="a2"/>
              <w:spacing w:before="60" w:after="20" w:line="240" w:lineRule="auto"/>
              <w:ind w:left="113"/>
              <w:rPr>
                <w:rFonts w:hint="eastAsia"/>
                <w:snapToGrid/>
                <w:sz w:val="20"/>
              </w:rPr>
            </w:pPr>
            <w:r>
              <w:rPr>
                <w:rFonts w:hint="eastAsia"/>
                <w:snapToGrid/>
                <w:sz w:val="20"/>
              </w:rPr>
              <w:t>政府及资助日间托儿所名额</w:t>
            </w:r>
          </w:p>
        </w:tc>
        <w:tc>
          <w:tcPr>
            <w:tcW w:w="1562" w:type="pct"/>
            <w:vAlign w:val="center"/>
          </w:tcPr>
          <w:p w:rsidR="00000000" w:rsidRDefault="00000000">
            <w:pPr>
              <w:pStyle w:val="a2"/>
              <w:spacing w:before="60" w:after="20" w:line="240" w:lineRule="auto"/>
              <w:jc w:val="center"/>
              <w:rPr>
                <w:rFonts w:hint="eastAsia"/>
                <w:snapToGrid/>
                <w:sz w:val="20"/>
              </w:rPr>
            </w:pPr>
            <w:r>
              <w:rPr>
                <w:snapToGrid/>
                <w:sz w:val="20"/>
              </w:rPr>
              <w:t>25,941</w:t>
            </w:r>
            <w:r>
              <w:rPr>
                <w:rFonts w:hint="eastAsia"/>
                <w:snapToGrid/>
                <w:sz w:val="20"/>
              </w:rPr>
              <w:t>个</w:t>
            </w:r>
          </w:p>
        </w:tc>
        <w:tc>
          <w:tcPr>
            <w:tcW w:w="1582" w:type="pct"/>
            <w:vAlign w:val="center"/>
          </w:tcPr>
          <w:p w:rsidR="00000000" w:rsidRDefault="00000000">
            <w:pPr>
              <w:pStyle w:val="a2"/>
              <w:spacing w:before="60" w:after="20" w:line="240" w:lineRule="auto"/>
              <w:jc w:val="center"/>
              <w:rPr>
                <w:rFonts w:hint="eastAsia"/>
                <w:snapToGrid/>
                <w:sz w:val="20"/>
              </w:rPr>
            </w:pPr>
            <w:r>
              <w:rPr>
                <w:snapToGrid/>
                <w:sz w:val="20"/>
              </w:rPr>
              <w:t>29,314</w:t>
            </w:r>
            <w:r>
              <w:rPr>
                <w:rFonts w:hint="eastAsia"/>
                <w:snapToGrid/>
                <w:sz w:val="20"/>
              </w:rPr>
              <w:t>个</w:t>
            </w:r>
          </w:p>
        </w:tc>
      </w:tr>
      <w:tr w:rsidR="00000000">
        <w:tblPrEx>
          <w:tblCellMar>
            <w:top w:w="0" w:type="dxa"/>
            <w:bottom w:w="0" w:type="dxa"/>
          </w:tblCellMar>
        </w:tblPrEx>
        <w:trPr>
          <w:trHeight w:val="347"/>
        </w:trPr>
        <w:tc>
          <w:tcPr>
            <w:tcW w:w="1856" w:type="pct"/>
          </w:tcPr>
          <w:p w:rsidR="00000000" w:rsidRDefault="00000000">
            <w:pPr>
              <w:pStyle w:val="a2"/>
              <w:spacing w:before="60" w:after="20" w:line="240" w:lineRule="auto"/>
              <w:ind w:left="113"/>
              <w:rPr>
                <w:rFonts w:hint="eastAsia"/>
                <w:snapToGrid/>
                <w:sz w:val="20"/>
              </w:rPr>
            </w:pPr>
            <w:r>
              <w:rPr>
                <w:rFonts w:hint="eastAsia"/>
                <w:snapToGrid/>
                <w:sz w:val="20"/>
              </w:rPr>
              <w:t>资助日间育婴园名额</w:t>
            </w:r>
          </w:p>
        </w:tc>
        <w:tc>
          <w:tcPr>
            <w:tcW w:w="1562" w:type="pct"/>
            <w:vAlign w:val="center"/>
          </w:tcPr>
          <w:p w:rsidR="00000000" w:rsidRDefault="00000000">
            <w:pPr>
              <w:pStyle w:val="a2"/>
              <w:spacing w:before="60" w:after="20" w:line="240" w:lineRule="auto"/>
              <w:jc w:val="center"/>
              <w:rPr>
                <w:rFonts w:hint="eastAsia"/>
                <w:snapToGrid/>
                <w:sz w:val="20"/>
              </w:rPr>
            </w:pPr>
            <w:r>
              <w:rPr>
                <w:snapToGrid/>
                <w:sz w:val="20"/>
              </w:rPr>
              <w:t>1,479</w:t>
            </w:r>
            <w:r>
              <w:rPr>
                <w:rFonts w:hint="eastAsia"/>
                <w:snapToGrid/>
                <w:sz w:val="20"/>
              </w:rPr>
              <w:t>个</w:t>
            </w:r>
          </w:p>
        </w:tc>
        <w:tc>
          <w:tcPr>
            <w:tcW w:w="1582" w:type="pct"/>
            <w:vAlign w:val="center"/>
          </w:tcPr>
          <w:p w:rsidR="00000000" w:rsidRDefault="00000000">
            <w:pPr>
              <w:pStyle w:val="a2"/>
              <w:spacing w:before="60" w:after="20" w:line="240" w:lineRule="auto"/>
              <w:jc w:val="center"/>
              <w:rPr>
                <w:rFonts w:hint="eastAsia"/>
                <w:snapToGrid/>
                <w:sz w:val="20"/>
              </w:rPr>
            </w:pPr>
            <w:r>
              <w:rPr>
                <w:snapToGrid/>
                <w:sz w:val="20"/>
              </w:rPr>
              <w:t>1,113</w:t>
            </w:r>
            <w:r>
              <w:rPr>
                <w:rFonts w:hint="eastAsia"/>
                <w:snapToGrid/>
                <w:sz w:val="20"/>
              </w:rPr>
              <w:t>个</w:t>
            </w:r>
          </w:p>
        </w:tc>
      </w:tr>
      <w:tr w:rsidR="00000000">
        <w:tblPrEx>
          <w:tblCellMar>
            <w:top w:w="0" w:type="dxa"/>
            <w:bottom w:w="0" w:type="dxa"/>
          </w:tblCellMar>
        </w:tblPrEx>
        <w:tc>
          <w:tcPr>
            <w:tcW w:w="1856" w:type="pct"/>
          </w:tcPr>
          <w:p w:rsidR="00000000" w:rsidRDefault="00000000">
            <w:pPr>
              <w:pStyle w:val="a2"/>
              <w:spacing w:before="60" w:after="20" w:line="240" w:lineRule="auto"/>
              <w:ind w:left="113"/>
              <w:rPr>
                <w:rFonts w:hint="eastAsia"/>
                <w:snapToGrid/>
                <w:sz w:val="20"/>
              </w:rPr>
            </w:pPr>
            <w:r>
              <w:rPr>
                <w:rFonts w:hint="eastAsia"/>
                <w:snapToGrid/>
                <w:sz w:val="20"/>
              </w:rPr>
              <w:t>暂托幼儿服务单位</w:t>
            </w:r>
            <w:r>
              <w:rPr>
                <w:snapToGrid/>
                <w:sz w:val="20"/>
              </w:rPr>
              <w:t>(</w:t>
            </w:r>
            <w:r>
              <w:rPr>
                <w:rFonts w:hint="eastAsia"/>
                <w:snapToGrid/>
                <w:sz w:val="20"/>
              </w:rPr>
              <w:t>每单位三个名额</w:t>
            </w:r>
            <w:r>
              <w:rPr>
                <w:snapToGrid/>
                <w:sz w:val="20"/>
              </w:rPr>
              <w:t>)</w:t>
            </w:r>
          </w:p>
        </w:tc>
        <w:tc>
          <w:tcPr>
            <w:tcW w:w="1562" w:type="pct"/>
            <w:vAlign w:val="center"/>
          </w:tcPr>
          <w:p w:rsidR="00000000" w:rsidRDefault="00000000">
            <w:pPr>
              <w:pStyle w:val="a2"/>
              <w:spacing w:before="60" w:after="20" w:line="240" w:lineRule="auto"/>
              <w:jc w:val="center"/>
              <w:rPr>
                <w:rFonts w:hint="eastAsia"/>
                <w:snapToGrid/>
                <w:sz w:val="20"/>
              </w:rPr>
            </w:pPr>
            <w:r>
              <w:rPr>
                <w:snapToGrid/>
                <w:sz w:val="20"/>
              </w:rPr>
              <w:t>230</w:t>
            </w:r>
            <w:r>
              <w:rPr>
                <w:rFonts w:hint="eastAsia"/>
                <w:snapToGrid/>
                <w:sz w:val="20"/>
              </w:rPr>
              <w:t>个</w:t>
            </w:r>
            <w:r>
              <w:rPr>
                <w:snapToGrid/>
                <w:sz w:val="20"/>
              </w:rPr>
              <w:br/>
              <w:t>(690</w:t>
            </w:r>
            <w:r>
              <w:rPr>
                <w:rFonts w:hint="eastAsia"/>
                <w:snapToGrid/>
                <w:sz w:val="20"/>
              </w:rPr>
              <w:t>个名额</w:t>
            </w:r>
            <w:r>
              <w:rPr>
                <w:snapToGrid/>
                <w:sz w:val="20"/>
              </w:rPr>
              <w:t>)</w:t>
            </w:r>
          </w:p>
        </w:tc>
        <w:tc>
          <w:tcPr>
            <w:tcW w:w="1582" w:type="pct"/>
            <w:vAlign w:val="center"/>
          </w:tcPr>
          <w:p w:rsidR="00000000" w:rsidRDefault="00000000">
            <w:pPr>
              <w:pStyle w:val="a2"/>
              <w:spacing w:before="60" w:after="20" w:line="240" w:lineRule="auto"/>
              <w:jc w:val="center"/>
              <w:rPr>
                <w:rFonts w:hint="eastAsia"/>
                <w:snapToGrid/>
                <w:sz w:val="20"/>
              </w:rPr>
            </w:pPr>
            <w:r>
              <w:rPr>
                <w:snapToGrid/>
                <w:sz w:val="20"/>
              </w:rPr>
              <w:t>243</w:t>
            </w:r>
            <w:r>
              <w:rPr>
                <w:snapToGrid/>
                <w:sz w:val="20"/>
              </w:rPr>
              <w:br/>
              <w:t>(729</w:t>
            </w:r>
            <w:r>
              <w:rPr>
                <w:rFonts w:hint="eastAsia"/>
                <w:snapToGrid/>
                <w:sz w:val="20"/>
              </w:rPr>
              <w:t>个名额</w:t>
            </w:r>
            <w:r>
              <w:rPr>
                <w:snapToGrid/>
                <w:sz w:val="20"/>
              </w:rPr>
              <w:t>)</w:t>
            </w:r>
          </w:p>
        </w:tc>
      </w:tr>
      <w:tr w:rsidR="00000000">
        <w:tblPrEx>
          <w:tblCellMar>
            <w:top w:w="0" w:type="dxa"/>
            <w:bottom w:w="0" w:type="dxa"/>
          </w:tblCellMar>
        </w:tblPrEx>
        <w:tc>
          <w:tcPr>
            <w:tcW w:w="1856" w:type="pct"/>
          </w:tcPr>
          <w:p w:rsidR="00000000" w:rsidRDefault="00000000">
            <w:pPr>
              <w:pStyle w:val="a2"/>
              <w:spacing w:before="60" w:after="20" w:line="240" w:lineRule="auto"/>
              <w:ind w:left="113"/>
              <w:rPr>
                <w:snapToGrid/>
                <w:sz w:val="20"/>
              </w:rPr>
            </w:pPr>
            <w:r>
              <w:rPr>
                <w:rFonts w:hint="eastAsia"/>
                <w:snapToGrid/>
                <w:sz w:val="20"/>
              </w:rPr>
              <w:t>延长服务时间的</w:t>
            </w:r>
            <w:r>
              <w:rPr>
                <w:snapToGrid/>
                <w:sz w:val="20"/>
              </w:rPr>
              <w:br/>
            </w:r>
            <w:r>
              <w:rPr>
                <w:rFonts w:hint="eastAsia"/>
                <w:snapToGrid/>
                <w:sz w:val="20"/>
              </w:rPr>
              <w:t>幼儿中心</w:t>
            </w:r>
            <w:r>
              <w:rPr>
                <w:snapToGrid/>
                <w:sz w:val="20"/>
              </w:rPr>
              <w:t>(</w:t>
            </w:r>
            <w:r>
              <w:rPr>
                <w:rFonts w:hint="eastAsia"/>
                <w:snapToGrid/>
                <w:sz w:val="20"/>
              </w:rPr>
              <w:t>每单位</w:t>
            </w:r>
            <w:r>
              <w:rPr>
                <w:snapToGrid/>
                <w:sz w:val="20"/>
              </w:rPr>
              <w:t>14</w:t>
            </w:r>
            <w:r>
              <w:rPr>
                <w:rFonts w:hint="eastAsia"/>
                <w:snapToGrid/>
                <w:sz w:val="20"/>
              </w:rPr>
              <w:t>个名额</w:t>
            </w:r>
            <w:r>
              <w:rPr>
                <w:snapToGrid/>
                <w:sz w:val="20"/>
              </w:rPr>
              <w:t>)</w:t>
            </w:r>
          </w:p>
        </w:tc>
        <w:tc>
          <w:tcPr>
            <w:tcW w:w="1562" w:type="pct"/>
            <w:vAlign w:val="center"/>
          </w:tcPr>
          <w:p w:rsidR="00000000" w:rsidRDefault="00000000">
            <w:pPr>
              <w:pStyle w:val="a2"/>
              <w:spacing w:before="60" w:after="20" w:line="240" w:lineRule="auto"/>
              <w:jc w:val="center"/>
              <w:rPr>
                <w:rFonts w:hint="eastAsia"/>
                <w:snapToGrid/>
                <w:sz w:val="20"/>
              </w:rPr>
            </w:pPr>
            <w:r>
              <w:rPr>
                <w:snapToGrid/>
                <w:sz w:val="20"/>
              </w:rPr>
              <w:t>5</w:t>
            </w:r>
            <w:r>
              <w:rPr>
                <w:rFonts w:hint="eastAsia"/>
                <w:snapToGrid/>
                <w:sz w:val="20"/>
              </w:rPr>
              <w:t>间</w:t>
            </w:r>
            <w:r>
              <w:rPr>
                <w:snapToGrid/>
                <w:sz w:val="20"/>
              </w:rPr>
              <w:br/>
              <w:t>(70</w:t>
            </w:r>
            <w:r>
              <w:rPr>
                <w:rFonts w:hint="eastAsia"/>
                <w:snapToGrid/>
                <w:sz w:val="20"/>
              </w:rPr>
              <w:t>个名额</w:t>
            </w:r>
            <w:r>
              <w:rPr>
                <w:snapToGrid/>
                <w:sz w:val="20"/>
              </w:rPr>
              <w:t>)</w:t>
            </w:r>
          </w:p>
        </w:tc>
        <w:tc>
          <w:tcPr>
            <w:tcW w:w="1582" w:type="pct"/>
            <w:vAlign w:val="center"/>
          </w:tcPr>
          <w:p w:rsidR="00000000" w:rsidRDefault="00000000">
            <w:pPr>
              <w:pStyle w:val="a2"/>
              <w:spacing w:before="60" w:after="20" w:line="240" w:lineRule="auto"/>
              <w:jc w:val="center"/>
              <w:rPr>
                <w:rFonts w:hint="eastAsia"/>
                <w:snapToGrid/>
                <w:sz w:val="20"/>
              </w:rPr>
            </w:pPr>
            <w:r>
              <w:rPr>
                <w:snapToGrid/>
                <w:sz w:val="20"/>
              </w:rPr>
              <w:t>115</w:t>
            </w:r>
            <w:r>
              <w:rPr>
                <w:rFonts w:hint="eastAsia"/>
                <w:snapToGrid/>
                <w:sz w:val="20"/>
              </w:rPr>
              <w:t>间</w:t>
            </w:r>
            <w:r>
              <w:rPr>
                <w:snapToGrid/>
                <w:sz w:val="20"/>
              </w:rPr>
              <w:br/>
              <w:t>(1,610</w:t>
            </w:r>
            <w:r>
              <w:rPr>
                <w:rFonts w:hint="eastAsia"/>
                <w:snapToGrid/>
                <w:sz w:val="20"/>
              </w:rPr>
              <w:t>个名额</w:t>
            </w:r>
            <w:r>
              <w:rPr>
                <w:snapToGrid/>
                <w:sz w:val="20"/>
              </w:rPr>
              <w:t>)</w:t>
            </w:r>
          </w:p>
        </w:tc>
      </w:tr>
      <w:tr w:rsidR="00000000">
        <w:tblPrEx>
          <w:tblCellMar>
            <w:top w:w="0" w:type="dxa"/>
            <w:bottom w:w="0" w:type="dxa"/>
          </w:tblCellMar>
        </w:tblPrEx>
        <w:tc>
          <w:tcPr>
            <w:tcW w:w="1856" w:type="pct"/>
          </w:tcPr>
          <w:p w:rsidR="00000000" w:rsidRDefault="00000000">
            <w:pPr>
              <w:pStyle w:val="a2"/>
              <w:spacing w:before="60" w:after="20" w:line="240" w:lineRule="auto"/>
              <w:ind w:left="113"/>
              <w:rPr>
                <w:rFonts w:hint="eastAsia"/>
                <w:snapToGrid/>
                <w:sz w:val="20"/>
              </w:rPr>
            </w:pPr>
            <w:r>
              <w:rPr>
                <w:rFonts w:hint="eastAsia"/>
                <w:snapToGrid/>
                <w:sz w:val="20"/>
              </w:rPr>
              <w:t>家务助理队</w:t>
            </w:r>
          </w:p>
        </w:tc>
        <w:tc>
          <w:tcPr>
            <w:tcW w:w="1562" w:type="pct"/>
            <w:vAlign w:val="center"/>
          </w:tcPr>
          <w:p w:rsidR="00000000" w:rsidRDefault="00000000">
            <w:pPr>
              <w:pStyle w:val="a2"/>
              <w:spacing w:before="60" w:after="20" w:line="240" w:lineRule="auto"/>
              <w:jc w:val="center"/>
              <w:rPr>
                <w:rFonts w:hint="eastAsia"/>
                <w:snapToGrid/>
                <w:sz w:val="20"/>
              </w:rPr>
            </w:pPr>
            <w:r>
              <w:rPr>
                <w:snapToGrid/>
                <w:sz w:val="20"/>
              </w:rPr>
              <w:t>126</w:t>
            </w:r>
            <w:r>
              <w:rPr>
                <w:rFonts w:hint="eastAsia"/>
                <w:snapToGrid/>
                <w:sz w:val="20"/>
              </w:rPr>
              <w:t>队</w:t>
            </w:r>
          </w:p>
        </w:tc>
        <w:tc>
          <w:tcPr>
            <w:tcW w:w="1582" w:type="pct"/>
            <w:vAlign w:val="center"/>
          </w:tcPr>
          <w:p w:rsidR="00000000" w:rsidRDefault="00000000">
            <w:pPr>
              <w:pStyle w:val="a2"/>
              <w:spacing w:before="60" w:after="20" w:line="240" w:lineRule="auto"/>
              <w:jc w:val="center"/>
              <w:rPr>
                <w:rFonts w:hint="eastAsia"/>
                <w:snapToGrid/>
                <w:sz w:val="20"/>
              </w:rPr>
            </w:pPr>
            <w:r>
              <w:rPr>
                <w:snapToGrid/>
                <w:sz w:val="20"/>
              </w:rPr>
              <w:t>139</w:t>
            </w:r>
            <w:r>
              <w:rPr>
                <w:rFonts w:hint="eastAsia"/>
                <w:snapToGrid/>
                <w:sz w:val="20"/>
              </w:rPr>
              <w:t>队</w:t>
            </w:r>
            <w:r>
              <w:rPr>
                <w:snapToGrid/>
                <w:sz w:val="20"/>
              </w:rPr>
              <w:br/>
              <w:t>(</w:t>
            </w:r>
            <w:r>
              <w:rPr>
                <w:rFonts w:hint="eastAsia"/>
                <w:snapToGrid/>
                <w:sz w:val="20"/>
              </w:rPr>
              <w:t>新增</w:t>
            </w:r>
            <w:r>
              <w:rPr>
                <w:snapToGrid/>
                <w:sz w:val="20"/>
              </w:rPr>
              <w:t>25</w:t>
            </w:r>
            <w:r>
              <w:rPr>
                <w:rFonts w:hint="eastAsia"/>
                <w:snapToGrid/>
                <w:sz w:val="20"/>
              </w:rPr>
              <w:t>队家居照顾队</w:t>
            </w:r>
            <w:r>
              <w:rPr>
                <w:snapToGrid/>
                <w:sz w:val="20"/>
              </w:rPr>
              <w:t>)</w:t>
            </w:r>
          </w:p>
        </w:tc>
      </w:tr>
      <w:tr w:rsidR="00000000">
        <w:tblPrEx>
          <w:tblCellMar>
            <w:top w:w="0" w:type="dxa"/>
            <w:bottom w:w="0" w:type="dxa"/>
          </w:tblCellMar>
        </w:tblPrEx>
        <w:tc>
          <w:tcPr>
            <w:tcW w:w="1856" w:type="pct"/>
          </w:tcPr>
          <w:p w:rsidR="00000000" w:rsidRDefault="00000000">
            <w:pPr>
              <w:pStyle w:val="a2"/>
              <w:spacing w:before="60" w:after="20" w:line="240" w:lineRule="auto"/>
              <w:ind w:left="113"/>
              <w:rPr>
                <w:rFonts w:hint="eastAsia"/>
                <w:snapToGrid/>
                <w:sz w:val="20"/>
              </w:rPr>
            </w:pPr>
            <w:r>
              <w:rPr>
                <w:rFonts w:hint="eastAsia"/>
                <w:snapToGrid/>
                <w:sz w:val="20"/>
              </w:rPr>
              <w:t>家务指导员</w:t>
            </w:r>
          </w:p>
        </w:tc>
        <w:tc>
          <w:tcPr>
            <w:tcW w:w="1562" w:type="pct"/>
            <w:vAlign w:val="center"/>
          </w:tcPr>
          <w:p w:rsidR="00000000" w:rsidRDefault="00000000">
            <w:pPr>
              <w:pStyle w:val="a2"/>
              <w:spacing w:before="60" w:after="20" w:line="240" w:lineRule="auto"/>
              <w:jc w:val="center"/>
              <w:rPr>
                <w:rFonts w:hint="eastAsia"/>
                <w:snapToGrid/>
                <w:sz w:val="20"/>
              </w:rPr>
            </w:pPr>
            <w:r>
              <w:rPr>
                <w:snapToGrid/>
                <w:sz w:val="20"/>
              </w:rPr>
              <w:t>52</w:t>
            </w:r>
            <w:r>
              <w:rPr>
                <w:rFonts w:hint="eastAsia"/>
                <w:snapToGrid/>
                <w:sz w:val="20"/>
              </w:rPr>
              <w:t>名</w:t>
            </w:r>
          </w:p>
        </w:tc>
        <w:tc>
          <w:tcPr>
            <w:tcW w:w="1582" w:type="pct"/>
            <w:vAlign w:val="center"/>
          </w:tcPr>
          <w:p w:rsidR="00000000" w:rsidRDefault="00000000">
            <w:pPr>
              <w:pStyle w:val="a2"/>
              <w:spacing w:before="60" w:after="20" w:line="240" w:lineRule="auto"/>
              <w:jc w:val="center"/>
              <w:rPr>
                <w:rFonts w:hint="eastAsia"/>
                <w:snapToGrid/>
                <w:sz w:val="20"/>
              </w:rPr>
            </w:pPr>
            <w:r>
              <w:rPr>
                <w:snapToGrid/>
                <w:sz w:val="20"/>
              </w:rPr>
              <w:t>44</w:t>
            </w:r>
            <w:r>
              <w:rPr>
                <w:rFonts w:hint="eastAsia"/>
                <w:snapToGrid/>
                <w:sz w:val="20"/>
              </w:rPr>
              <w:t>名</w:t>
            </w:r>
          </w:p>
        </w:tc>
      </w:tr>
    </w:tbl>
    <w:p w:rsidR="00000000" w:rsidRDefault="00000000">
      <w:pPr>
        <w:tabs>
          <w:tab w:val="left" w:pos="567"/>
          <w:tab w:val="left" w:pos="1134"/>
          <w:tab w:val="left" w:pos="1701"/>
        </w:tabs>
        <w:spacing w:before="120" w:after="320"/>
        <w:rPr>
          <w:rFonts w:hint="eastAsia"/>
          <w:snapToGrid/>
        </w:rPr>
      </w:pPr>
      <w:r>
        <w:rPr>
          <w:rFonts w:hint="eastAsia"/>
          <w:snapToGrid/>
        </w:rPr>
        <w:t>日间育婴园名额下降反映了六岁以下儿童人口下降，由一九九六年的</w:t>
      </w:r>
      <w:r>
        <w:rPr>
          <w:snapToGrid/>
        </w:rPr>
        <w:t>412,180</w:t>
      </w:r>
      <w:r>
        <w:rPr>
          <w:rFonts w:hint="eastAsia"/>
          <w:snapToGrid/>
        </w:rPr>
        <w:t>人，下降至二零零一年的</w:t>
      </w:r>
      <w:r>
        <w:rPr>
          <w:snapToGrid/>
        </w:rPr>
        <w:t>355,197</w:t>
      </w:r>
      <w:r>
        <w:rPr>
          <w:rFonts w:hint="eastAsia"/>
          <w:snapToGrid/>
        </w:rPr>
        <w:t>人。因此，幼儿护理服务足可应付需求，而我们亦预计在二零零二至零三年度可完全满足市民对家务助理员的需求。</w:t>
      </w:r>
    </w:p>
    <w:p w:rsidR="00000000" w:rsidRDefault="00000000">
      <w:pPr>
        <w:pStyle w:val="Heading4"/>
        <w:rPr>
          <w:rFonts w:hint="eastAsia"/>
        </w:rPr>
      </w:pPr>
      <w:r>
        <w:rPr>
          <w:rFonts w:hint="eastAsia"/>
        </w:rPr>
        <w:t>向出现严重问题家庭提供的服务</w:t>
      </w:r>
    </w:p>
    <w:p w:rsidR="00000000" w:rsidRDefault="00000000">
      <w:pPr>
        <w:tabs>
          <w:tab w:val="left" w:pos="567"/>
          <w:tab w:val="left" w:pos="1134"/>
          <w:tab w:val="left" w:pos="1701"/>
        </w:tabs>
        <w:rPr>
          <w:rFonts w:hint="eastAsia"/>
          <w:snapToGrid/>
        </w:rPr>
      </w:pPr>
      <w:r>
        <w:rPr>
          <w:snapToGrid/>
        </w:rPr>
        <w:tab/>
        <w:t xml:space="preserve">501.  </w:t>
      </w:r>
      <w:r>
        <w:rPr>
          <w:rFonts w:hint="eastAsia"/>
          <w:snapToGrid/>
        </w:rPr>
        <w:t>在上次报告第</w:t>
      </w:r>
      <w:r>
        <w:rPr>
          <w:snapToGrid/>
        </w:rPr>
        <w:t>226</w:t>
      </w:r>
      <w:r>
        <w:rPr>
          <w:rFonts w:hint="eastAsia"/>
          <w:snapToGrid/>
        </w:rPr>
        <w:t>段，我们提及有关帮助出现严重问题家庭的服务。我们继续提供这些服务。二零零二年四月，我们在</w:t>
      </w:r>
      <w:r>
        <w:rPr>
          <w:snapToGrid/>
        </w:rPr>
        <w:t>66</w:t>
      </w:r>
      <w:r>
        <w:rPr>
          <w:rFonts w:hint="eastAsia"/>
          <w:snapToGrid/>
        </w:rPr>
        <w:t>个家庭服务中心试办</w:t>
      </w:r>
      <w:r>
        <w:rPr>
          <w:snapToGrid/>
        </w:rPr>
        <w:t>15</w:t>
      </w:r>
      <w:r>
        <w:rPr>
          <w:rFonts w:hint="eastAsia"/>
          <w:snapToGrid/>
        </w:rPr>
        <w:t>个综合家庭服务中心。这些中心是根据崭新的服务模式运作，方便市民使用这些服务，以及令有关方面及早识别有需要的家庭。每个中心内有家庭资源组、家庭支援组，以及家庭辅导组，目标是把家庭福利服务融入社区服务，为市民提供一系列的预防、支援及辅导服务，以全面配合本港家庭不断转变的需要。</w:t>
      </w:r>
    </w:p>
    <w:p w:rsidR="00000000" w:rsidRDefault="00000000">
      <w:pPr>
        <w:tabs>
          <w:tab w:val="left" w:pos="567"/>
          <w:tab w:val="left" w:pos="1134"/>
          <w:tab w:val="left" w:pos="1701"/>
        </w:tabs>
        <w:rPr>
          <w:snapToGrid/>
        </w:rPr>
      </w:pPr>
      <w:r>
        <w:rPr>
          <w:snapToGrid/>
        </w:rPr>
        <w:tab/>
        <w:t xml:space="preserve">502.  </w:t>
      </w:r>
      <w:r>
        <w:rPr>
          <w:rFonts w:hint="eastAsia"/>
          <w:snapToGrid/>
        </w:rPr>
        <w:t>社会福利署设立了热线服务，方便市民使用有关福利服务。在二零零零年四月，社会福利署设立了一条家庭求助热线，为有需要的家庭和人士提供辅导和协助。</w:t>
      </w:r>
    </w:p>
    <w:p w:rsidR="00000000" w:rsidRDefault="00000000">
      <w:pPr>
        <w:tabs>
          <w:tab w:val="left" w:pos="567"/>
          <w:tab w:val="left" w:pos="1134"/>
          <w:tab w:val="left" w:pos="1701"/>
        </w:tabs>
        <w:rPr>
          <w:rFonts w:hint="eastAsia"/>
          <w:snapToGrid/>
        </w:rPr>
      </w:pPr>
      <w:r>
        <w:rPr>
          <w:snapToGrid/>
        </w:rPr>
        <w:tab/>
        <w:t xml:space="preserve">503.  </w:t>
      </w:r>
      <w:r>
        <w:rPr>
          <w:rFonts w:hint="eastAsia"/>
          <w:snapToGrid/>
          <w:spacing w:val="8"/>
        </w:rPr>
        <w:t>因各种原因而无法与父母同住的儿童</w:t>
      </w:r>
      <w:r>
        <w:rPr>
          <w:snapToGrid/>
          <w:spacing w:val="8"/>
        </w:rPr>
        <w:t>(</w:t>
      </w:r>
      <w:r>
        <w:rPr>
          <w:rFonts w:hint="eastAsia"/>
          <w:snapToGrid/>
          <w:spacing w:val="8"/>
        </w:rPr>
        <w:t>包括受虐和目睹家庭暴力事件的儿童</w:t>
      </w:r>
      <w:r>
        <w:rPr>
          <w:snapToGrid/>
          <w:spacing w:val="8"/>
        </w:rPr>
        <w:t>)</w:t>
      </w:r>
      <w:r>
        <w:rPr>
          <w:rFonts w:hint="eastAsia"/>
          <w:snapToGrid/>
          <w:spacing w:val="8"/>
        </w:rPr>
        <w:t>，仍会获得住宿照顾</w:t>
      </w:r>
      <w:r>
        <w:rPr>
          <w:snapToGrid/>
          <w:spacing w:val="8"/>
        </w:rPr>
        <w:t>(</w:t>
      </w:r>
      <w:r>
        <w:rPr>
          <w:rFonts w:hint="eastAsia"/>
          <w:snapToGrid/>
          <w:spacing w:val="8"/>
        </w:rPr>
        <w:t>包括安排寄养、儿童之家、留宿托儿所</w:t>
      </w:r>
      <w:r>
        <w:rPr>
          <w:snapToGrid/>
          <w:spacing w:val="8"/>
        </w:rPr>
        <w:t>/</w:t>
      </w:r>
      <w:r>
        <w:rPr>
          <w:rFonts w:hint="eastAsia"/>
          <w:snapToGrid/>
          <w:spacing w:val="8"/>
        </w:rPr>
        <w:t>育婴园和住宿院舍</w:t>
      </w:r>
      <w:r>
        <w:rPr>
          <w:snapToGrid/>
          <w:spacing w:val="8"/>
        </w:rPr>
        <w:t>)</w:t>
      </w:r>
      <w:r>
        <w:rPr>
          <w:rFonts w:hint="eastAsia"/>
          <w:snapToGrid/>
          <w:spacing w:val="8"/>
        </w:rPr>
        <w:t>。在一九九七至九八年度，为有需要儿童提供的寄养服务名额为</w:t>
      </w:r>
      <w:r>
        <w:rPr>
          <w:snapToGrid/>
          <w:spacing w:val="8"/>
        </w:rPr>
        <w:t>600</w:t>
      </w:r>
      <w:r>
        <w:rPr>
          <w:rFonts w:hint="eastAsia"/>
          <w:snapToGrid/>
          <w:spacing w:val="8"/>
        </w:rPr>
        <w:t>个，至二零零二至零三年度，有关服务名额已增至</w:t>
      </w:r>
      <w:r>
        <w:rPr>
          <w:snapToGrid/>
          <w:spacing w:val="8"/>
        </w:rPr>
        <w:t>670</w:t>
      </w:r>
      <w:r>
        <w:rPr>
          <w:rFonts w:hint="eastAsia"/>
          <w:snapToGrid/>
          <w:spacing w:val="8"/>
        </w:rPr>
        <w:t>个，为不能与家人同住的儿童提供家居照顾。我们会在二零零三至零四年度增设</w:t>
      </w:r>
      <w:r>
        <w:rPr>
          <w:snapToGrid/>
          <w:spacing w:val="8"/>
        </w:rPr>
        <w:t>60</w:t>
      </w:r>
      <w:r>
        <w:rPr>
          <w:rFonts w:hint="eastAsia"/>
          <w:snapToGrid/>
          <w:spacing w:val="8"/>
        </w:rPr>
        <w:t>个名额，使总名额达</w:t>
      </w:r>
      <w:r>
        <w:rPr>
          <w:snapToGrid/>
          <w:spacing w:val="8"/>
        </w:rPr>
        <w:t>730</w:t>
      </w:r>
      <w:r>
        <w:rPr>
          <w:rFonts w:hint="eastAsia"/>
          <w:snapToGrid/>
          <w:spacing w:val="8"/>
        </w:rPr>
        <w:t>个。住宿服务名额则由一九</w:t>
      </w:r>
      <w:r>
        <w:rPr>
          <w:rFonts w:hint="eastAsia"/>
          <w:snapToGrid/>
        </w:rPr>
        <w:t>九七至九八年度的</w:t>
      </w:r>
      <w:r>
        <w:rPr>
          <w:snapToGrid/>
        </w:rPr>
        <w:t>3,309</w:t>
      </w:r>
      <w:r>
        <w:rPr>
          <w:rFonts w:hint="eastAsia"/>
          <w:snapToGrid/>
        </w:rPr>
        <w:t>个增至二零零三年四月的</w:t>
      </w:r>
      <w:r>
        <w:rPr>
          <w:snapToGrid/>
        </w:rPr>
        <w:t>3,355</w:t>
      </w:r>
      <w:r>
        <w:rPr>
          <w:rFonts w:hint="eastAsia"/>
          <w:snapToGrid/>
        </w:rPr>
        <w:t>个。</w:t>
      </w:r>
    </w:p>
    <w:p w:rsidR="00000000" w:rsidRDefault="00000000">
      <w:pPr>
        <w:tabs>
          <w:tab w:val="left" w:pos="567"/>
          <w:tab w:val="left" w:pos="1134"/>
          <w:tab w:val="left" w:pos="1701"/>
        </w:tabs>
        <w:spacing w:after="100"/>
        <w:rPr>
          <w:rFonts w:hint="eastAsia"/>
          <w:snapToGrid/>
        </w:rPr>
      </w:pPr>
      <w:r>
        <w:rPr>
          <w:snapToGrid/>
        </w:rPr>
        <w:tab/>
        <w:t xml:space="preserve">504.  </w:t>
      </w:r>
      <w:r>
        <w:rPr>
          <w:rFonts w:hint="eastAsia"/>
          <w:snapToGrid/>
        </w:rPr>
        <w:t>有关服务详情如下：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14"/>
        <w:gridCol w:w="2898"/>
        <w:gridCol w:w="2898"/>
      </w:tblGrid>
      <w:tr w:rsidR="00000000">
        <w:tblPrEx>
          <w:tblCellMar>
            <w:top w:w="0" w:type="dxa"/>
            <w:bottom w:w="0" w:type="dxa"/>
          </w:tblCellMar>
        </w:tblPrEx>
        <w:tc>
          <w:tcPr>
            <w:tcW w:w="1920" w:type="pct"/>
          </w:tcPr>
          <w:p w:rsidR="00000000" w:rsidRDefault="00000000">
            <w:pPr>
              <w:pStyle w:val="a2"/>
              <w:rPr>
                <w:rFonts w:hint="eastAsia"/>
                <w:snapToGrid/>
                <w:sz w:val="20"/>
              </w:rPr>
            </w:pPr>
          </w:p>
        </w:tc>
        <w:tc>
          <w:tcPr>
            <w:tcW w:w="1540" w:type="pct"/>
          </w:tcPr>
          <w:p w:rsidR="00000000" w:rsidRDefault="00000000">
            <w:pPr>
              <w:pStyle w:val="a2"/>
              <w:jc w:val="center"/>
              <w:rPr>
                <w:rFonts w:ascii="Time New Roman" w:eastAsia="SimHei" w:hAnsi="Time New Roman" w:hint="eastAsia"/>
                <w:snapToGrid/>
                <w:sz w:val="20"/>
              </w:rPr>
            </w:pPr>
            <w:r>
              <w:rPr>
                <w:rFonts w:ascii="Time New Roman" w:eastAsia="SimHei" w:hAnsi="Time New Roman" w:hint="eastAsia"/>
                <w:snapToGrid/>
                <w:sz w:val="20"/>
              </w:rPr>
              <w:t>一九九七至九八年度的</w:t>
            </w:r>
            <w:r>
              <w:rPr>
                <w:rFonts w:ascii="Time New Roman" w:eastAsia="SimHei" w:hAnsi="Time New Roman"/>
                <w:snapToGrid/>
                <w:sz w:val="20"/>
              </w:rPr>
              <w:br/>
            </w:r>
            <w:r>
              <w:rPr>
                <w:rFonts w:ascii="Time New Roman" w:eastAsia="SimHei" w:hAnsi="Time New Roman" w:hint="eastAsia"/>
                <w:snapToGrid/>
                <w:sz w:val="20"/>
              </w:rPr>
              <w:t>提供情况</w:t>
            </w:r>
          </w:p>
        </w:tc>
        <w:tc>
          <w:tcPr>
            <w:tcW w:w="1540" w:type="pct"/>
          </w:tcPr>
          <w:p w:rsidR="00000000" w:rsidRDefault="00000000">
            <w:pPr>
              <w:pStyle w:val="a2"/>
              <w:jc w:val="center"/>
              <w:rPr>
                <w:rFonts w:ascii="Time New Roman" w:eastAsia="SimHei" w:hAnsi="Time New Roman" w:hint="eastAsia"/>
                <w:snapToGrid/>
                <w:sz w:val="20"/>
              </w:rPr>
            </w:pPr>
            <w:r>
              <w:rPr>
                <w:rFonts w:ascii="Time New Roman" w:eastAsia="SimHei" w:hAnsi="Time New Roman" w:hint="eastAsia"/>
                <w:snapToGrid/>
                <w:sz w:val="20"/>
              </w:rPr>
              <w:t>二零零二至零三年度的</w:t>
            </w:r>
            <w:r>
              <w:rPr>
                <w:rFonts w:ascii="Time New Roman" w:eastAsia="SimHei" w:hAnsi="Time New Roman"/>
                <w:snapToGrid/>
                <w:sz w:val="20"/>
              </w:rPr>
              <w:br/>
            </w:r>
            <w:r>
              <w:rPr>
                <w:rFonts w:ascii="Time New Roman" w:eastAsia="SimHei" w:hAnsi="Time New Roman" w:hint="eastAsia"/>
                <w:snapToGrid/>
                <w:sz w:val="20"/>
              </w:rPr>
              <w:t>提供情况</w:t>
            </w:r>
          </w:p>
        </w:tc>
      </w:tr>
      <w:tr w:rsidR="00000000">
        <w:tblPrEx>
          <w:tblCellMar>
            <w:top w:w="0" w:type="dxa"/>
            <w:bottom w:w="0" w:type="dxa"/>
          </w:tblCellMar>
        </w:tblPrEx>
        <w:tc>
          <w:tcPr>
            <w:tcW w:w="1920" w:type="pct"/>
          </w:tcPr>
          <w:p w:rsidR="00000000" w:rsidRDefault="00000000">
            <w:pPr>
              <w:pStyle w:val="a2"/>
              <w:spacing w:before="40" w:after="20" w:line="288" w:lineRule="auto"/>
              <w:ind w:left="170"/>
              <w:rPr>
                <w:rFonts w:hint="eastAsia"/>
                <w:snapToGrid/>
                <w:sz w:val="20"/>
              </w:rPr>
            </w:pPr>
            <w:r>
              <w:rPr>
                <w:rFonts w:hint="eastAsia"/>
                <w:snapToGrid/>
                <w:sz w:val="20"/>
              </w:rPr>
              <w:t>家庭个案工作者</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706</w:t>
            </w:r>
            <w:r>
              <w:rPr>
                <w:rFonts w:hint="eastAsia"/>
                <w:snapToGrid/>
                <w:sz w:val="20"/>
              </w:rPr>
              <w:t>人</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744</w:t>
            </w:r>
            <w:r>
              <w:rPr>
                <w:rFonts w:hint="eastAsia"/>
                <w:snapToGrid/>
                <w:sz w:val="20"/>
              </w:rPr>
              <w:t>人</w:t>
            </w:r>
          </w:p>
        </w:tc>
      </w:tr>
      <w:tr w:rsidR="00000000">
        <w:tblPrEx>
          <w:tblCellMar>
            <w:top w:w="0" w:type="dxa"/>
            <w:bottom w:w="0" w:type="dxa"/>
          </w:tblCellMar>
        </w:tblPrEx>
        <w:tc>
          <w:tcPr>
            <w:tcW w:w="1920" w:type="pct"/>
          </w:tcPr>
          <w:p w:rsidR="00000000" w:rsidRDefault="00000000">
            <w:pPr>
              <w:pStyle w:val="a2"/>
              <w:spacing w:before="40" w:after="20" w:line="288" w:lineRule="auto"/>
              <w:ind w:left="170"/>
              <w:rPr>
                <w:rFonts w:hint="eastAsia"/>
                <w:snapToGrid/>
                <w:sz w:val="20"/>
              </w:rPr>
            </w:pPr>
            <w:r>
              <w:rPr>
                <w:rFonts w:hint="eastAsia"/>
                <w:snapToGrid/>
                <w:sz w:val="20"/>
              </w:rPr>
              <w:t>保护家庭及儿童工作者</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29</w:t>
            </w:r>
            <w:r>
              <w:rPr>
                <w:rFonts w:hint="eastAsia"/>
                <w:snapToGrid/>
                <w:sz w:val="20"/>
              </w:rPr>
              <w:t>人</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105</w:t>
            </w:r>
            <w:r>
              <w:rPr>
                <w:rFonts w:hint="eastAsia"/>
                <w:snapToGrid/>
                <w:sz w:val="20"/>
              </w:rPr>
              <w:t>人</w:t>
            </w:r>
          </w:p>
        </w:tc>
      </w:tr>
      <w:tr w:rsidR="00000000">
        <w:tblPrEx>
          <w:tblCellMar>
            <w:top w:w="0" w:type="dxa"/>
            <w:bottom w:w="0" w:type="dxa"/>
          </w:tblCellMar>
        </w:tblPrEx>
        <w:tc>
          <w:tcPr>
            <w:tcW w:w="1920" w:type="pct"/>
          </w:tcPr>
          <w:p w:rsidR="00000000" w:rsidRDefault="00000000">
            <w:pPr>
              <w:pStyle w:val="a2"/>
              <w:spacing w:before="40" w:after="20" w:line="288" w:lineRule="auto"/>
              <w:ind w:left="170"/>
              <w:rPr>
                <w:rFonts w:hint="eastAsia"/>
                <w:snapToGrid/>
                <w:sz w:val="20"/>
              </w:rPr>
            </w:pPr>
            <w:r>
              <w:rPr>
                <w:rFonts w:hint="eastAsia"/>
                <w:snapToGrid/>
                <w:sz w:val="20"/>
              </w:rPr>
              <w:t>临床心理学家</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59</w:t>
            </w:r>
            <w:r>
              <w:rPr>
                <w:rFonts w:hint="eastAsia"/>
                <w:snapToGrid/>
                <w:sz w:val="20"/>
              </w:rPr>
              <w:t>人</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69</w:t>
            </w:r>
            <w:r>
              <w:rPr>
                <w:rFonts w:hint="eastAsia"/>
                <w:snapToGrid/>
                <w:sz w:val="20"/>
              </w:rPr>
              <w:t>人</w:t>
            </w:r>
          </w:p>
        </w:tc>
      </w:tr>
      <w:tr w:rsidR="00000000">
        <w:tblPrEx>
          <w:tblCellMar>
            <w:top w:w="0" w:type="dxa"/>
            <w:bottom w:w="0" w:type="dxa"/>
          </w:tblCellMar>
        </w:tblPrEx>
        <w:tc>
          <w:tcPr>
            <w:tcW w:w="1920" w:type="pct"/>
          </w:tcPr>
          <w:p w:rsidR="00000000" w:rsidRDefault="00000000">
            <w:pPr>
              <w:pStyle w:val="a2"/>
              <w:spacing w:before="40" w:after="20" w:line="288" w:lineRule="auto"/>
              <w:ind w:left="170"/>
              <w:rPr>
                <w:rFonts w:hint="eastAsia"/>
                <w:snapToGrid/>
                <w:sz w:val="20"/>
              </w:rPr>
            </w:pPr>
            <w:r>
              <w:rPr>
                <w:rFonts w:hint="eastAsia"/>
                <w:snapToGrid/>
                <w:sz w:val="20"/>
              </w:rPr>
              <w:t>学校社会工作者</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286</w:t>
            </w:r>
            <w:r>
              <w:rPr>
                <w:rFonts w:hint="eastAsia"/>
                <w:snapToGrid/>
                <w:sz w:val="20"/>
              </w:rPr>
              <w:t>人</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466</w:t>
            </w:r>
            <w:r>
              <w:rPr>
                <w:rFonts w:hint="eastAsia"/>
                <w:snapToGrid/>
                <w:sz w:val="20"/>
              </w:rPr>
              <w:t>人</w:t>
            </w:r>
          </w:p>
        </w:tc>
      </w:tr>
      <w:tr w:rsidR="00000000">
        <w:tblPrEx>
          <w:tblCellMar>
            <w:top w:w="0" w:type="dxa"/>
            <w:bottom w:w="0" w:type="dxa"/>
          </w:tblCellMar>
        </w:tblPrEx>
        <w:tc>
          <w:tcPr>
            <w:tcW w:w="1920" w:type="pct"/>
          </w:tcPr>
          <w:p w:rsidR="00000000" w:rsidRDefault="00000000">
            <w:pPr>
              <w:pStyle w:val="a2"/>
              <w:spacing w:before="40" w:after="20" w:line="288" w:lineRule="auto"/>
              <w:ind w:left="170"/>
              <w:rPr>
                <w:rFonts w:hint="eastAsia"/>
                <w:snapToGrid/>
                <w:sz w:val="20"/>
              </w:rPr>
            </w:pPr>
            <w:r>
              <w:rPr>
                <w:rFonts w:hint="eastAsia"/>
                <w:snapToGrid/>
                <w:sz w:val="20"/>
              </w:rPr>
              <w:t>医务社会工作者</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372</w:t>
            </w:r>
            <w:r>
              <w:rPr>
                <w:rFonts w:hint="eastAsia"/>
                <w:snapToGrid/>
                <w:sz w:val="20"/>
              </w:rPr>
              <w:t>人</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361</w:t>
            </w:r>
            <w:r>
              <w:rPr>
                <w:rFonts w:hint="eastAsia"/>
                <w:snapToGrid/>
                <w:sz w:val="20"/>
              </w:rPr>
              <w:t>人</w:t>
            </w:r>
          </w:p>
        </w:tc>
      </w:tr>
      <w:tr w:rsidR="00000000">
        <w:tblPrEx>
          <w:tblCellMar>
            <w:top w:w="0" w:type="dxa"/>
            <w:bottom w:w="0" w:type="dxa"/>
          </w:tblCellMar>
        </w:tblPrEx>
        <w:tc>
          <w:tcPr>
            <w:tcW w:w="1920" w:type="pct"/>
          </w:tcPr>
          <w:p w:rsidR="00000000" w:rsidRDefault="00000000">
            <w:pPr>
              <w:pStyle w:val="a2"/>
              <w:spacing w:before="40" w:after="20" w:line="288" w:lineRule="auto"/>
              <w:ind w:left="170"/>
              <w:rPr>
                <w:rFonts w:hint="eastAsia"/>
                <w:snapToGrid/>
                <w:sz w:val="20"/>
              </w:rPr>
            </w:pPr>
            <w:r>
              <w:rPr>
                <w:rFonts w:hint="eastAsia"/>
                <w:snapToGrid/>
                <w:sz w:val="20"/>
              </w:rPr>
              <w:t>寄养名额</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600</w:t>
            </w:r>
            <w:r>
              <w:rPr>
                <w:rFonts w:hint="eastAsia"/>
                <w:snapToGrid/>
                <w:sz w:val="20"/>
              </w:rPr>
              <w:t>个</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670</w:t>
            </w:r>
            <w:r>
              <w:rPr>
                <w:rFonts w:hint="eastAsia"/>
                <w:snapToGrid/>
                <w:sz w:val="20"/>
              </w:rPr>
              <w:t>个</w:t>
            </w:r>
          </w:p>
        </w:tc>
      </w:tr>
      <w:tr w:rsidR="00000000">
        <w:tblPrEx>
          <w:tblCellMar>
            <w:top w:w="0" w:type="dxa"/>
            <w:bottom w:w="0" w:type="dxa"/>
          </w:tblCellMar>
        </w:tblPrEx>
        <w:tc>
          <w:tcPr>
            <w:tcW w:w="1920" w:type="pct"/>
          </w:tcPr>
          <w:p w:rsidR="00000000" w:rsidRDefault="00000000">
            <w:pPr>
              <w:pStyle w:val="a2"/>
              <w:spacing w:before="40" w:after="20" w:line="288" w:lineRule="auto"/>
              <w:ind w:left="170"/>
              <w:rPr>
                <w:rFonts w:hint="eastAsia"/>
                <w:snapToGrid/>
                <w:sz w:val="20"/>
              </w:rPr>
            </w:pPr>
            <w:r>
              <w:rPr>
                <w:rFonts w:hint="eastAsia"/>
                <w:snapToGrid/>
                <w:sz w:val="20"/>
              </w:rPr>
              <w:t>儿童之家</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113</w:t>
            </w:r>
            <w:r>
              <w:rPr>
                <w:rFonts w:hint="eastAsia"/>
                <w:snapToGrid/>
                <w:sz w:val="20"/>
              </w:rPr>
              <w:t>个</w:t>
            </w:r>
          </w:p>
        </w:tc>
        <w:tc>
          <w:tcPr>
            <w:tcW w:w="1540" w:type="pct"/>
            <w:vAlign w:val="center"/>
          </w:tcPr>
          <w:p w:rsidR="00000000" w:rsidRDefault="00000000">
            <w:pPr>
              <w:pStyle w:val="a2"/>
              <w:spacing w:before="40" w:after="20" w:line="288" w:lineRule="auto"/>
              <w:jc w:val="center"/>
              <w:rPr>
                <w:rFonts w:hint="eastAsia"/>
                <w:snapToGrid/>
                <w:sz w:val="20"/>
              </w:rPr>
            </w:pPr>
            <w:r>
              <w:rPr>
                <w:snapToGrid/>
                <w:sz w:val="20"/>
              </w:rPr>
              <w:t>119</w:t>
            </w:r>
            <w:r>
              <w:rPr>
                <w:rFonts w:hint="eastAsia"/>
                <w:snapToGrid/>
                <w:sz w:val="20"/>
              </w:rPr>
              <w:t>个</w:t>
            </w:r>
          </w:p>
        </w:tc>
      </w:tr>
    </w:tbl>
    <w:p w:rsidR="00000000" w:rsidRDefault="00000000">
      <w:pPr>
        <w:pStyle w:val="Heading4"/>
        <w:rPr>
          <w:rFonts w:hint="eastAsia"/>
        </w:rPr>
      </w:pPr>
      <w:r>
        <w:rPr>
          <w:rFonts w:hint="eastAsia"/>
        </w:rPr>
        <w:t>香港居民在内地领养的子女</w:t>
      </w:r>
    </w:p>
    <w:p w:rsidR="00000000" w:rsidRDefault="00000000">
      <w:pPr>
        <w:tabs>
          <w:tab w:val="left" w:pos="567"/>
          <w:tab w:val="left" w:pos="1134"/>
          <w:tab w:val="left" w:pos="1701"/>
        </w:tabs>
        <w:spacing w:after="320"/>
        <w:rPr>
          <w:rFonts w:hint="eastAsia"/>
          <w:snapToGrid/>
        </w:rPr>
      </w:pPr>
      <w:r>
        <w:rPr>
          <w:snapToGrid/>
        </w:rPr>
        <w:tab/>
        <w:t xml:space="preserve">505.  </w:t>
      </w:r>
      <w:r>
        <w:rPr>
          <w:rFonts w:hint="eastAsia"/>
          <w:snapToGrid/>
        </w:rPr>
        <w:t>我们曾在首份报告第</w:t>
      </w:r>
      <w:r>
        <w:rPr>
          <w:snapToGrid/>
        </w:rPr>
        <w:t>220</w:t>
      </w:r>
      <w:r>
        <w:rPr>
          <w:rFonts w:hint="eastAsia"/>
          <w:snapToGrid/>
        </w:rPr>
        <w:t>至</w:t>
      </w:r>
      <w:r>
        <w:rPr>
          <w:snapToGrid/>
        </w:rPr>
        <w:t>222</w:t>
      </w:r>
      <w:r>
        <w:rPr>
          <w:rFonts w:hint="eastAsia"/>
          <w:snapToGrid/>
        </w:rPr>
        <w:t>段，告知委员会当时正有香港家长申请司法复核，反对入境事务处处长向他们非法进入香港以及在香港居留的内地领养子女发出遣送离境令。有关申请人认为，根据《基本法》第二十四</w:t>
      </w:r>
      <w:r>
        <w:rPr>
          <w:snapToGrid/>
        </w:rPr>
        <w:t>(</w:t>
      </w:r>
      <w:r>
        <w:rPr>
          <w:rFonts w:hint="eastAsia"/>
          <w:snapToGrid/>
        </w:rPr>
        <w:t>二</w:t>
      </w:r>
      <w:r>
        <w:rPr>
          <w:snapToGrid/>
        </w:rPr>
        <w:t>)(</w:t>
      </w:r>
      <w:r>
        <w:rPr>
          <w:rFonts w:hint="eastAsia"/>
          <w:snapToGrid/>
        </w:rPr>
        <w:t>三</w:t>
      </w:r>
      <w:r>
        <w:rPr>
          <w:snapToGrid/>
        </w:rPr>
        <w:t>)</w:t>
      </w:r>
      <w:r>
        <w:rPr>
          <w:rFonts w:hint="eastAsia"/>
          <w:snapToGrid/>
        </w:rPr>
        <w:t>条，除了赋与居留权给亲生的子女外，亦足以涵盖那些由永久性居民领养的子女。不论他们在何处领养，亦应享有香港居留权。不过，上诉法庭和终审法院都判政府胜诉。终审法院裁定，“……所列居民在香港以外所生的……”明显只是指亲生子女，不能诠释为包括领养子女。</w:t>
      </w:r>
    </w:p>
    <w:p w:rsidR="00000000" w:rsidRDefault="00000000">
      <w:pPr>
        <w:pStyle w:val="Heading4"/>
        <w:rPr>
          <w:rFonts w:hint="eastAsia"/>
        </w:rPr>
      </w:pPr>
      <w:r>
        <w:rPr>
          <w:rFonts w:hint="eastAsia"/>
        </w:rPr>
        <w:t>须负刑事责任的年龄</w:t>
      </w:r>
    </w:p>
    <w:p w:rsidR="00000000" w:rsidRDefault="00000000">
      <w:pPr>
        <w:tabs>
          <w:tab w:val="left" w:pos="567"/>
          <w:tab w:val="left" w:pos="1134"/>
          <w:tab w:val="left" w:pos="1701"/>
        </w:tabs>
        <w:rPr>
          <w:rFonts w:hint="eastAsia"/>
          <w:snapToGrid/>
        </w:rPr>
      </w:pPr>
      <w:r>
        <w:rPr>
          <w:snapToGrid/>
        </w:rPr>
        <w:tab/>
        <w:t xml:space="preserve">506.  </w:t>
      </w:r>
      <w:r>
        <w:rPr>
          <w:rFonts w:hint="eastAsia"/>
          <w:snapToGrid/>
        </w:rPr>
        <w:t>在二零零一年的审议结论第</w:t>
      </w:r>
      <w:r>
        <w:rPr>
          <w:snapToGrid/>
        </w:rPr>
        <w:t>24</w:t>
      </w:r>
      <w:r>
        <w:rPr>
          <w:rFonts w:hint="eastAsia"/>
          <w:snapToGrid/>
        </w:rPr>
        <w:t>段，委员会表示关注“把须负刑事责任的最低年龄定为</w:t>
      </w:r>
      <w:r>
        <w:rPr>
          <w:snapToGrid/>
        </w:rPr>
        <w:t>7</w:t>
      </w:r>
      <w:r>
        <w:rPr>
          <w:rFonts w:hint="eastAsia"/>
          <w:snapToGrid/>
        </w:rPr>
        <w:t>岁”，并在第</w:t>
      </w:r>
      <w:r>
        <w:rPr>
          <w:snapToGrid/>
        </w:rPr>
        <w:t>43</w:t>
      </w:r>
      <w:r>
        <w:rPr>
          <w:rFonts w:hint="eastAsia"/>
          <w:snapToGrid/>
        </w:rPr>
        <w:t>段呼吁香港特区“修订法例，提高儿童须负刑事责任的年龄，以确保儿童得享公约第十条订明的权利”。</w:t>
      </w:r>
    </w:p>
    <w:p w:rsidR="00000000" w:rsidRDefault="00000000">
      <w:pPr>
        <w:tabs>
          <w:tab w:val="left" w:pos="567"/>
          <w:tab w:val="left" w:pos="1134"/>
          <w:tab w:val="left" w:pos="1701"/>
        </w:tabs>
        <w:spacing w:after="320"/>
        <w:rPr>
          <w:rFonts w:hint="eastAsia"/>
          <w:snapToGrid/>
        </w:rPr>
      </w:pPr>
      <w:r>
        <w:rPr>
          <w:snapToGrid/>
        </w:rPr>
        <w:tab/>
        <w:t xml:space="preserve">507.  </w:t>
      </w:r>
      <w:r>
        <w:rPr>
          <w:rFonts w:hint="eastAsia"/>
          <w:snapToGrid/>
        </w:rPr>
        <w:t>法律改革委员会在二零零零年五月发表的《香港的刑事责任年龄报告书》中，提出了多项建议，其中一项是把须负刑事责任的最低年龄由</w:t>
      </w:r>
      <w:r>
        <w:rPr>
          <w:snapToGrid/>
        </w:rPr>
        <w:t>7</w:t>
      </w:r>
      <w:r>
        <w:rPr>
          <w:rFonts w:hint="eastAsia"/>
          <w:snapToGrid/>
        </w:rPr>
        <w:t>岁提高至</w:t>
      </w:r>
      <w:r>
        <w:rPr>
          <w:snapToGrid/>
        </w:rPr>
        <w:t>10</w:t>
      </w:r>
      <w:r>
        <w:rPr>
          <w:rFonts w:hint="eastAsia"/>
          <w:snapToGrid/>
        </w:rPr>
        <w:t>岁。我们已采纳这项建议，并在二零零一年十一月向立法会提交《</w:t>
      </w:r>
      <w:r>
        <w:rPr>
          <w:snapToGrid/>
        </w:rPr>
        <w:t>2001</w:t>
      </w:r>
      <w:r>
        <w:rPr>
          <w:rFonts w:hint="eastAsia"/>
          <w:snapToGrid/>
        </w:rPr>
        <w:t>年少年犯</w:t>
      </w:r>
      <w:r>
        <w:rPr>
          <w:snapToGrid/>
        </w:rPr>
        <w:t>(</w:t>
      </w:r>
      <w:r>
        <w:rPr>
          <w:rFonts w:hint="eastAsia"/>
          <w:snapToGrid/>
        </w:rPr>
        <w:t>修订</w:t>
      </w:r>
      <w:r>
        <w:rPr>
          <w:snapToGrid/>
        </w:rPr>
        <w:t>)</w:t>
      </w:r>
      <w:r>
        <w:rPr>
          <w:rFonts w:hint="eastAsia"/>
          <w:snapToGrid/>
        </w:rPr>
        <w:t>条例草案》，以便落实有关建议。在草拟本报告时，立法会辖下其中一个法案委员会正审议该条例草案。如有需要，我们会在委员会审议这份报告时，提交最新的资料。</w:t>
      </w:r>
    </w:p>
    <w:p w:rsidR="00000000" w:rsidRDefault="00000000">
      <w:pPr>
        <w:pStyle w:val="Heading4"/>
        <w:rPr>
          <w:rFonts w:hint="eastAsia"/>
        </w:rPr>
      </w:pPr>
      <w:r>
        <w:rPr>
          <w:rFonts w:hint="eastAsia"/>
        </w:rPr>
        <w:t>课余托管计划</w:t>
      </w:r>
    </w:p>
    <w:p w:rsidR="00000000" w:rsidRDefault="00000000">
      <w:pPr>
        <w:tabs>
          <w:tab w:val="left" w:pos="567"/>
          <w:tab w:val="left" w:pos="1134"/>
          <w:tab w:val="left" w:pos="1701"/>
        </w:tabs>
        <w:rPr>
          <w:rFonts w:hint="eastAsia"/>
          <w:snapToGrid/>
        </w:rPr>
      </w:pPr>
      <w:r>
        <w:rPr>
          <w:snapToGrid/>
        </w:rPr>
        <w:tab/>
        <w:t xml:space="preserve">508.  </w:t>
      </w:r>
      <w:r>
        <w:rPr>
          <w:rFonts w:hint="eastAsia"/>
          <w:snapToGrid/>
        </w:rPr>
        <w:t>在这个计划下，共有</w:t>
      </w:r>
      <w:r>
        <w:rPr>
          <w:snapToGrid/>
        </w:rPr>
        <w:t>136</w:t>
      </w:r>
      <w:r>
        <w:rPr>
          <w:rFonts w:hint="eastAsia"/>
          <w:snapToGrid/>
        </w:rPr>
        <w:t>个“课余托管服务单位”提供托管服务，照顾下课后无法由父母照顾的</w:t>
      </w:r>
      <w:r>
        <w:rPr>
          <w:snapToGrid/>
        </w:rPr>
        <w:t>6</w:t>
      </w:r>
      <w:r>
        <w:rPr>
          <w:rFonts w:hint="eastAsia"/>
          <w:snapToGrid/>
        </w:rPr>
        <w:t>至</w:t>
      </w:r>
      <w:r>
        <w:rPr>
          <w:snapToGrid/>
        </w:rPr>
        <w:t>12</w:t>
      </w:r>
      <w:r>
        <w:rPr>
          <w:rFonts w:hint="eastAsia"/>
          <w:snapToGrid/>
        </w:rPr>
        <w:t>岁儿童。由二零零零年九月起，我们每年给予非政府机构</w:t>
      </w:r>
      <w:r>
        <w:rPr>
          <w:snapToGrid/>
        </w:rPr>
        <w:t>2,100</w:t>
      </w:r>
      <w:r>
        <w:rPr>
          <w:rFonts w:hint="eastAsia"/>
          <w:snapToGrid/>
        </w:rPr>
        <w:t>万港元资助，以改善服务质素。截至二零零二年十二月底，交托上述服务单位照顾的儿童合共超过</w:t>
      </w:r>
      <w:r>
        <w:rPr>
          <w:snapToGrid/>
        </w:rPr>
        <w:t>5,584</w:t>
      </w:r>
      <w:r>
        <w:rPr>
          <w:rFonts w:hint="eastAsia"/>
          <w:snapToGrid/>
        </w:rPr>
        <w:t>人。</w:t>
      </w:r>
    </w:p>
    <w:p w:rsidR="00000000" w:rsidRDefault="00000000">
      <w:pPr>
        <w:tabs>
          <w:tab w:val="left" w:pos="567"/>
          <w:tab w:val="left" w:pos="1134"/>
          <w:tab w:val="left" w:pos="1701"/>
        </w:tabs>
        <w:spacing w:after="320"/>
        <w:rPr>
          <w:rFonts w:hint="eastAsia"/>
          <w:snapToGrid/>
        </w:rPr>
      </w:pPr>
      <w:r>
        <w:rPr>
          <w:snapToGrid/>
        </w:rPr>
        <w:tab/>
        <w:t xml:space="preserve">509.  </w:t>
      </w:r>
      <w:r>
        <w:rPr>
          <w:rFonts w:hint="eastAsia"/>
          <w:snapToGrid/>
        </w:rPr>
        <w:t>课余托管服务单位以自负盈亏但非牟利的方式运作，提供收费服务。个别中心所收取的费用因应实际的营运开支</w:t>
      </w:r>
      <w:r>
        <w:rPr>
          <w:snapToGrid/>
        </w:rPr>
        <w:t>(</w:t>
      </w:r>
      <w:r>
        <w:rPr>
          <w:rFonts w:hint="eastAsia"/>
          <w:snapToGrid/>
        </w:rPr>
        <w:t>视乎中心的规模和地点而定</w:t>
      </w:r>
      <w:r>
        <w:rPr>
          <w:snapToGrid/>
        </w:rPr>
        <w:t>)</w:t>
      </w:r>
      <w:r>
        <w:rPr>
          <w:rFonts w:hint="eastAsia"/>
          <w:snapToGrid/>
        </w:rPr>
        <w:t>而有所不同。截至二零零二年十二月，这些中心的每月平均收费约为</w:t>
      </w:r>
      <w:r>
        <w:rPr>
          <w:snapToGrid/>
        </w:rPr>
        <w:t>917</w:t>
      </w:r>
      <w:r>
        <w:rPr>
          <w:rFonts w:hint="eastAsia"/>
          <w:snapToGrid/>
        </w:rPr>
        <w:t>港元。有特别需要的家庭或会获得全费或半费减免，获得减免与否以及豁免的金额须视乎其情况而定。截至二零零二年十二月三十一日，约有</w:t>
      </w:r>
      <w:r>
        <w:rPr>
          <w:snapToGrid/>
        </w:rPr>
        <w:t>1,064</w:t>
      </w:r>
      <w:r>
        <w:rPr>
          <w:rFonts w:hint="eastAsia"/>
          <w:snapToGrid/>
        </w:rPr>
        <w:t>名儿童因此而受惠。</w:t>
      </w:r>
    </w:p>
    <w:p w:rsidR="00000000" w:rsidRDefault="00000000">
      <w:pPr>
        <w:pStyle w:val="Heading4"/>
        <w:rPr>
          <w:rFonts w:hint="eastAsia"/>
        </w:rPr>
      </w:pPr>
      <w:r>
        <w:rPr>
          <w:rFonts w:hint="eastAsia"/>
        </w:rPr>
        <w:t>家庭暴力</w:t>
      </w:r>
    </w:p>
    <w:p w:rsidR="00000000" w:rsidRDefault="00000000">
      <w:pPr>
        <w:tabs>
          <w:tab w:val="left" w:pos="567"/>
          <w:tab w:val="left" w:pos="1134"/>
          <w:tab w:val="left" w:pos="1701"/>
        </w:tabs>
        <w:rPr>
          <w:rFonts w:hint="eastAsia"/>
          <w:snapToGrid/>
        </w:rPr>
      </w:pPr>
      <w:r>
        <w:rPr>
          <w:snapToGrid/>
        </w:rPr>
        <w:tab/>
        <w:t xml:space="preserve">510.  </w:t>
      </w:r>
      <w:r>
        <w:rPr>
          <w:rFonts w:hint="eastAsia"/>
          <w:snapToGrid/>
        </w:rPr>
        <w:t>我们在首份报告第</w:t>
      </w:r>
      <w:r>
        <w:rPr>
          <w:snapToGrid/>
        </w:rPr>
        <w:t>234</w:t>
      </w:r>
      <w:r>
        <w:rPr>
          <w:rFonts w:hint="eastAsia"/>
          <w:snapToGrid/>
        </w:rPr>
        <w:t>至</w:t>
      </w:r>
      <w:r>
        <w:rPr>
          <w:snapToGrid/>
        </w:rPr>
        <w:t>237</w:t>
      </w:r>
      <w:r>
        <w:rPr>
          <w:rFonts w:hint="eastAsia"/>
          <w:snapToGrid/>
        </w:rPr>
        <w:t>段，告知委员会我们应付家庭暴力问题的措施，以及有关结果。现时，我们仍在实施这些综合措施。至于架构方面，我们已有妥善的机制，包括成立防止虐待儿童委员会</w:t>
      </w:r>
      <w:r>
        <w:rPr>
          <w:snapToGrid/>
        </w:rPr>
        <w:t>(</w:t>
      </w:r>
      <w:r>
        <w:rPr>
          <w:rFonts w:hint="eastAsia"/>
          <w:snapToGrid/>
        </w:rPr>
        <w:t>前称“防止虐待儿童工作小组”</w:t>
      </w:r>
      <w:r>
        <w:rPr>
          <w:snapToGrid/>
        </w:rPr>
        <w:t>)</w:t>
      </w:r>
      <w:r>
        <w:rPr>
          <w:rFonts w:hint="eastAsia"/>
          <w:snapToGrid/>
        </w:rPr>
        <w:t>和关注暴力工作小组</w:t>
      </w:r>
      <w:r>
        <w:rPr>
          <w:snapToGrid/>
        </w:rPr>
        <w:t>(</w:t>
      </w:r>
      <w:r>
        <w:rPr>
          <w:rFonts w:hint="eastAsia"/>
          <w:snapToGrid/>
        </w:rPr>
        <w:t>由先前的防止虐待配偶工作小组和关注性暴力工作小组合并组成</w:t>
      </w:r>
      <w:r>
        <w:rPr>
          <w:snapToGrid/>
        </w:rPr>
        <w:t>)</w:t>
      </w:r>
      <w:r>
        <w:rPr>
          <w:rFonts w:hint="eastAsia"/>
          <w:snapToGrid/>
        </w:rPr>
        <w:t>。上述委员会和工作小组由社会福利署代表出任主席，成员包括政府和非政府机构的代表以及专业人士</w:t>
      </w:r>
      <w:r>
        <w:rPr>
          <w:snapToGrid/>
        </w:rPr>
        <w:t>(</w:t>
      </w:r>
      <w:r>
        <w:rPr>
          <w:rFonts w:hint="eastAsia"/>
          <w:snapToGrid/>
        </w:rPr>
        <w:t>例如临床心理学家</w:t>
      </w:r>
      <w:r>
        <w:rPr>
          <w:snapToGrid/>
        </w:rPr>
        <w:t>)</w:t>
      </w:r>
      <w:r>
        <w:rPr>
          <w:rFonts w:hint="eastAsia"/>
          <w:snapToGrid/>
        </w:rPr>
        <w:t>，负责制定策略和措施，以解决虐儿、虐待配偶及性暴力的问题。此外，</w:t>
      </w:r>
      <w:r>
        <w:rPr>
          <w:snapToGrid/>
        </w:rPr>
        <w:t>13</w:t>
      </w:r>
      <w:r>
        <w:rPr>
          <w:rFonts w:hint="eastAsia"/>
          <w:snapToGrid/>
        </w:rPr>
        <w:t>个家庭及儿童福利服务地区协调委员会负责统筹地区层面上与家庭暴力相关的服务。</w:t>
      </w:r>
    </w:p>
    <w:p w:rsidR="00000000" w:rsidRDefault="00000000">
      <w:pPr>
        <w:tabs>
          <w:tab w:val="left" w:pos="567"/>
          <w:tab w:val="left" w:pos="1134"/>
          <w:tab w:val="left" w:pos="1701"/>
        </w:tabs>
        <w:rPr>
          <w:rFonts w:hint="eastAsia"/>
          <w:snapToGrid/>
        </w:rPr>
      </w:pPr>
      <w:r>
        <w:rPr>
          <w:snapToGrid/>
        </w:rPr>
        <w:tab/>
        <w:t xml:space="preserve">511.  </w:t>
      </w:r>
      <w:r>
        <w:rPr>
          <w:rFonts w:hint="eastAsia"/>
          <w:snapToGrid/>
        </w:rPr>
        <w:t>社会福利署举办综合培训课程，让有关专业人士对家庭暴力问题有共同的认识。我们亦已发出处理虐儿、虐待配偶和性暴力个案的指引</w:t>
      </w:r>
      <w:r>
        <w:rPr>
          <w:rStyle w:val="FootnoteReference"/>
          <w:snapToGrid/>
        </w:rPr>
        <w:footnoteReference w:customMarkFollows="1" w:id="42"/>
        <w:t>29</w:t>
      </w:r>
      <w:r>
        <w:rPr>
          <w:rFonts w:hint="eastAsia"/>
          <w:snapToGrid/>
        </w:rPr>
        <w:t xml:space="preserve"> </w:t>
      </w:r>
      <w:r>
        <w:rPr>
          <w:rStyle w:val="FootnoteReference"/>
          <w:b w:val="0"/>
          <w:bCs/>
          <w:snapToGrid/>
        </w:rPr>
        <w:t>，</w:t>
      </w:r>
      <w:r>
        <w:rPr>
          <w:rFonts w:hint="eastAsia"/>
          <w:snapToGrid/>
        </w:rPr>
        <w:t>以加强这些专业人士之间的合作。</w:t>
      </w:r>
    </w:p>
    <w:p w:rsidR="00000000" w:rsidRDefault="00000000">
      <w:pPr>
        <w:tabs>
          <w:tab w:val="left" w:pos="567"/>
          <w:tab w:val="left" w:pos="1134"/>
          <w:tab w:val="left" w:pos="1701"/>
        </w:tabs>
        <w:spacing w:after="320"/>
        <w:rPr>
          <w:rFonts w:hint="eastAsia"/>
          <w:snapToGrid/>
        </w:rPr>
      </w:pPr>
      <w:r>
        <w:rPr>
          <w:snapToGrid/>
        </w:rPr>
        <w:tab/>
        <w:t xml:space="preserve">512.  </w:t>
      </w:r>
      <w:r>
        <w:rPr>
          <w:rFonts w:hint="eastAsia"/>
          <w:snapToGrid/>
        </w:rPr>
        <w:t>为了受害人及其家人的利益，社会福利署与警方在二零零三年一月开始实施新的转介机制，以加快专业人士介入家庭暴力个案。在新机制下，即使未得到受害人或涉嫌施暴者的同意，有关家庭暴力事件只要符合某些条件，便会转介社会福利署跟进。</w:t>
      </w:r>
    </w:p>
    <w:p w:rsidR="00000000" w:rsidRDefault="00000000">
      <w:pPr>
        <w:pStyle w:val="Heading4"/>
        <w:rPr>
          <w:rFonts w:hint="eastAsia"/>
        </w:rPr>
      </w:pPr>
      <w:r>
        <w:rPr>
          <w:rFonts w:hint="eastAsia"/>
        </w:rPr>
        <w:t>体恤安置计划下的有条件租约</w:t>
      </w:r>
    </w:p>
    <w:p w:rsidR="00000000" w:rsidRDefault="00000000">
      <w:pPr>
        <w:tabs>
          <w:tab w:val="left" w:pos="567"/>
          <w:tab w:val="left" w:pos="1134"/>
          <w:tab w:val="left" w:pos="1701"/>
        </w:tabs>
        <w:spacing w:after="320"/>
        <w:rPr>
          <w:rFonts w:hint="eastAsia"/>
          <w:snapToGrid/>
        </w:rPr>
      </w:pPr>
      <w:r>
        <w:rPr>
          <w:snapToGrid/>
        </w:rPr>
        <w:tab/>
        <w:t xml:space="preserve">513.  </w:t>
      </w:r>
      <w:r>
        <w:rPr>
          <w:rFonts w:hint="eastAsia"/>
          <w:snapToGrid/>
        </w:rPr>
        <w:t>我们实施这项安排，原先是为了协助育有受供养子女而正在进行离婚程序的受虐配偶。房屋署会为这类经由社会福利署转介的人士提供住屋。在二零零一年十一月，我们扩大上述计划的适用范围，以包括家庭暴力的受害人，或正办理离婚手续而没有子女或在离开其婚姻居所时没有带同受供养子女的人士。</w:t>
      </w:r>
    </w:p>
    <w:p w:rsidR="00000000" w:rsidRDefault="00000000">
      <w:pPr>
        <w:pStyle w:val="Heading4"/>
        <w:rPr>
          <w:rFonts w:hint="eastAsia"/>
        </w:rPr>
      </w:pPr>
      <w:r>
        <w:rPr>
          <w:rFonts w:hint="eastAsia"/>
        </w:rPr>
        <w:t>策</w:t>
      </w:r>
      <w:r>
        <w:t xml:space="preserve">  </w:t>
      </w:r>
      <w:r>
        <w:rPr>
          <w:rFonts w:hint="eastAsia"/>
        </w:rPr>
        <w:t>略</w:t>
      </w:r>
    </w:p>
    <w:p w:rsidR="00000000" w:rsidRDefault="00000000">
      <w:pPr>
        <w:tabs>
          <w:tab w:val="left" w:pos="567"/>
          <w:tab w:val="left" w:pos="1134"/>
          <w:tab w:val="left" w:pos="1701"/>
        </w:tabs>
        <w:rPr>
          <w:rFonts w:hint="eastAsia"/>
          <w:snapToGrid/>
        </w:rPr>
      </w:pPr>
      <w:r>
        <w:rPr>
          <w:snapToGrid/>
        </w:rPr>
        <w:tab/>
        <w:t xml:space="preserve">514.  </w:t>
      </w:r>
      <w:r>
        <w:rPr>
          <w:rFonts w:hint="eastAsia"/>
          <w:snapToGrid/>
        </w:rPr>
        <w:t>我们的策略，是在三个不同程度的层面提供一系列的预防、支援及专门服务，以防止家庭问题</w:t>
      </w:r>
      <w:r>
        <w:rPr>
          <w:snapToGrid/>
        </w:rPr>
        <w:t>(</w:t>
      </w:r>
      <w:r>
        <w:rPr>
          <w:rFonts w:hint="eastAsia"/>
          <w:snapToGrid/>
        </w:rPr>
        <w:t>包括虐儿和虐待配偶这些最常见的家庭暴力事件</w:t>
      </w:r>
      <w:r>
        <w:rPr>
          <w:snapToGrid/>
        </w:rPr>
        <w:t>)</w:t>
      </w:r>
      <w:r>
        <w:rPr>
          <w:rFonts w:hint="eastAsia"/>
          <w:snapToGrid/>
        </w:rPr>
        <w:t>发生，以及在这些问题发生时及时处理。具体的措施包括：</w:t>
      </w:r>
    </w:p>
    <w:p w:rsidR="00000000" w:rsidRDefault="00000000">
      <w:pPr>
        <w:pStyle w:val="a0"/>
        <w:ind w:left="1530"/>
        <w:rPr>
          <w:rFonts w:hint="eastAsia"/>
          <w:snapToGrid/>
        </w:rPr>
      </w:pPr>
      <w:r>
        <w:rPr>
          <w:rFonts w:ascii="Time New Roman" w:eastAsia="SimHei" w:hAnsi="Time New Roman" w:hint="eastAsia"/>
          <w:bCs/>
          <w:snapToGrid/>
        </w:rPr>
        <w:t>预防服务：</w:t>
      </w:r>
      <w:r>
        <w:rPr>
          <w:rFonts w:hint="eastAsia"/>
          <w:snapToGrid/>
        </w:rPr>
        <w:t>公众教育、宣传活动和尽早识别需要协助家庭的外展计划；</w:t>
      </w:r>
    </w:p>
    <w:p w:rsidR="00000000" w:rsidRDefault="00000000">
      <w:pPr>
        <w:pStyle w:val="a0"/>
        <w:ind w:left="1530"/>
        <w:rPr>
          <w:rFonts w:hint="eastAsia"/>
          <w:snapToGrid/>
        </w:rPr>
      </w:pPr>
      <w:r>
        <w:rPr>
          <w:rFonts w:ascii="Time New Roman" w:eastAsia="SimHei" w:hAnsi="Time New Roman" w:hint="eastAsia"/>
          <w:bCs/>
          <w:snapToGrid/>
        </w:rPr>
        <w:t>为有需要家庭提供资讯</w:t>
      </w:r>
      <w:r>
        <w:rPr>
          <w:rFonts w:ascii="Time New Roman" w:eastAsia="SimHei" w:hAnsi="Time New Roman"/>
          <w:bCs/>
          <w:snapToGrid/>
        </w:rPr>
        <w:t>/</w:t>
      </w:r>
      <w:r>
        <w:rPr>
          <w:rFonts w:ascii="Time New Roman" w:eastAsia="SimHei" w:hAnsi="Time New Roman" w:hint="eastAsia"/>
          <w:bCs/>
          <w:snapToGrid/>
        </w:rPr>
        <w:t>资源</w:t>
      </w:r>
      <w:r>
        <w:rPr>
          <w:rFonts w:ascii="Time New Roman" w:eastAsia="SimHei" w:hAnsi="Time New Roman"/>
          <w:bCs/>
          <w:snapToGrid/>
        </w:rPr>
        <w:t>/</w:t>
      </w:r>
      <w:r>
        <w:rPr>
          <w:rFonts w:ascii="Time New Roman" w:eastAsia="SimHei" w:hAnsi="Time New Roman" w:hint="eastAsia"/>
          <w:bCs/>
          <w:snapToGrid/>
        </w:rPr>
        <w:t>协助的支援服务：</w:t>
      </w:r>
      <w:r>
        <w:rPr>
          <w:rFonts w:hint="eastAsia"/>
          <w:snapToGrid/>
        </w:rPr>
        <w:t>家庭支援资源中心、家庭服务中心</w:t>
      </w:r>
      <w:r>
        <w:rPr>
          <w:snapToGrid/>
        </w:rPr>
        <w:t>/</w:t>
      </w:r>
      <w:r>
        <w:rPr>
          <w:rFonts w:hint="eastAsia"/>
          <w:snapToGrid/>
        </w:rPr>
        <w:t>综合家庭服务中心和儿童住宿照顾服务等；</w:t>
      </w:r>
    </w:p>
    <w:p w:rsidR="00000000" w:rsidRDefault="00000000">
      <w:pPr>
        <w:pStyle w:val="a0"/>
        <w:ind w:left="1530"/>
        <w:rPr>
          <w:rFonts w:hint="eastAsia"/>
          <w:snapToGrid/>
        </w:rPr>
      </w:pPr>
      <w:r>
        <w:rPr>
          <w:rFonts w:ascii="Time New Roman" w:eastAsia="SimHei" w:hAnsi="Time New Roman" w:hint="eastAsia"/>
          <w:bCs/>
          <w:snapToGrid/>
        </w:rPr>
        <w:t>危机介入专门服务</w:t>
      </w:r>
      <w:r>
        <w:rPr>
          <w:rFonts w:hint="eastAsia"/>
          <w:b/>
          <w:snapToGrid/>
        </w:rPr>
        <w:t>：</w:t>
      </w:r>
      <w:r>
        <w:rPr>
          <w:rFonts w:hint="eastAsia"/>
          <w:snapToGrid/>
        </w:rPr>
        <w:t>为受虐妇女和依赖其供养的子女提供的庇护中心、家庭危机支援中心、社会福利署的专门组别</w:t>
      </w:r>
      <w:r>
        <w:rPr>
          <w:snapToGrid/>
        </w:rPr>
        <w:t>(</w:t>
      </w:r>
      <w:r>
        <w:rPr>
          <w:rFonts w:hint="eastAsia"/>
          <w:snapToGrid/>
        </w:rPr>
        <w:t>保护家庭及儿童服务课</w:t>
      </w:r>
      <w:r>
        <w:rPr>
          <w:snapToGrid/>
        </w:rPr>
        <w:t>)</w:t>
      </w:r>
      <w:r>
        <w:rPr>
          <w:rFonts w:hint="eastAsia"/>
          <w:snapToGrid/>
        </w:rPr>
        <w:t>；</w:t>
      </w:r>
    </w:p>
    <w:p w:rsidR="00000000" w:rsidRDefault="00000000">
      <w:pPr>
        <w:pStyle w:val="a0"/>
        <w:spacing w:after="320"/>
        <w:ind w:left="1530"/>
        <w:rPr>
          <w:rFonts w:hint="eastAsia"/>
          <w:snapToGrid/>
        </w:rPr>
      </w:pPr>
      <w:r>
        <w:rPr>
          <w:rFonts w:ascii="Time New Roman" w:eastAsia="SimHei" w:hAnsi="Time New Roman" w:hint="eastAsia"/>
          <w:bCs/>
          <w:snapToGrid/>
        </w:rPr>
        <w:t>立法：</w:t>
      </w:r>
      <w:r>
        <w:rPr>
          <w:rFonts w:hint="eastAsia"/>
          <w:snapToGrid/>
        </w:rPr>
        <w:t>现有法律保护儿童免受虐待，以及对付相关罪行。我们会定期检讨有关法律，并在有需要时作出修订。</w:t>
      </w:r>
    </w:p>
    <w:p w:rsidR="00000000" w:rsidRDefault="00000000">
      <w:pPr>
        <w:pStyle w:val="Heading4"/>
        <w:rPr>
          <w:rFonts w:hint="eastAsia"/>
        </w:rPr>
      </w:pPr>
      <w:r>
        <w:rPr>
          <w:rFonts w:hint="eastAsia"/>
        </w:rPr>
        <w:t>虐儿罪行：法律体制</w:t>
      </w:r>
    </w:p>
    <w:p w:rsidR="00000000" w:rsidRDefault="00000000">
      <w:pPr>
        <w:tabs>
          <w:tab w:val="left" w:pos="567"/>
          <w:tab w:val="left" w:pos="1134"/>
          <w:tab w:val="left" w:pos="1701"/>
        </w:tabs>
        <w:rPr>
          <w:snapToGrid/>
        </w:rPr>
      </w:pPr>
      <w:r>
        <w:rPr>
          <w:snapToGrid/>
        </w:rPr>
        <w:tab/>
        <w:t xml:space="preserve">515.  </w:t>
      </w:r>
      <w:r>
        <w:rPr>
          <w:rFonts w:hint="eastAsia"/>
          <w:snapToGrid/>
        </w:rPr>
        <w:t>有关情况并无改变，大致上与首份报告第</w:t>
      </w:r>
      <w:r>
        <w:rPr>
          <w:snapToGrid/>
        </w:rPr>
        <w:t>259</w:t>
      </w:r>
      <w:r>
        <w:rPr>
          <w:rFonts w:hint="eastAsia"/>
          <w:snapToGrid/>
        </w:rPr>
        <w:t>至</w:t>
      </w:r>
      <w:r>
        <w:rPr>
          <w:snapToGrid/>
        </w:rPr>
        <w:t>260</w:t>
      </w:r>
      <w:r>
        <w:rPr>
          <w:rFonts w:hint="eastAsia"/>
          <w:snapToGrid/>
        </w:rPr>
        <w:t>段所述的相同。我们在最近五年录得的个案数字如下：</w:t>
      </w:r>
    </w:p>
    <w:p w:rsidR="00000000" w:rsidRDefault="00000000">
      <w:pPr>
        <w:tabs>
          <w:tab w:val="left" w:pos="567"/>
          <w:tab w:val="left" w:pos="1134"/>
          <w:tab w:val="left" w:pos="1701"/>
        </w:tabs>
        <w:rPr>
          <w:snapToGri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0" w:type="dxa"/>
        </w:tblCellMar>
        <w:tblLook w:val="0000" w:firstRow="0" w:lastRow="0" w:firstColumn="0" w:lastColumn="0" w:noHBand="0" w:noVBand="0"/>
      </w:tblPr>
      <w:tblGrid>
        <w:gridCol w:w="4220"/>
        <w:gridCol w:w="1033"/>
        <w:gridCol w:w="1033"/>
        <w:gridCol w:w="1034"/>
        <w:gridCol w:w="1033"/>
        <w:gridCol w:w="1034"/>
      </w:tblGrid>
      <w:tr w:rsidR="00000000">
        <w:tblPrEx>
          <w:tblCellMar>
            <w:top w:w="0" w:type="dxa"/>
            <w:bottom w:w="0" w:type="dxa"/>
          </w:tblCellMar>
        </w:tblPrEx>
        <w:tc>
          <w:tcPr>
            <w:tcW w:w="2248" w:type="pct"/>
            <w:tcBorders>
              <w:bottom w:val="double" w:sz="4" w:space="0" w:color="auto"/>
              <w:right w:val="double" w:sz="4" w:space="0" w:color="auto"/>
            </w:tcBorders>
          </w:tcPr>
          <w:p w:rsidR="00000000" w:rsidRDefault="00000000">
            <w:pPr>
              <w:pStyle w:val="a2"/>
              <w:spacing w:before="60" w:after="20" w:line="312" w:lineRule="auto"/>
              <w:rPr>
                <w:rFonts w:hint="eastAsia"/>
                <w:snapToGrid/>
                <w:sz w:val="20"/>
              </w:rPr>
            </w:pPr>
          </w:p>
        </w:tc>
        <w:tc>
          <w:tcPr>
            <w:tcW w:w="550" w:type="pct"/>
            <w:tcBorders>
              <w:left w:val="double" w:sz="4" w:space="0" w:color="auto"/>
              <w:bottom w:val="double" w:sz="4" w:space="0" w:color="auto"/>
            </w:tcBorders>
          </w:tcPr>
          <w:p w:rsidR="00000000" w:rsidRDefault="00000000">
            <w:pPr>
              <w:pStyle w:val="a2"/>
              <w:spacing w:before="60" w:after="20" w:line="312" w:lineRule="auto"/>
              <w:jc w:val="center"/>
              <w:rPr>
                <w:rFonts w:hint="eastAsia"/>
                <w:b/>
                <w:snapToGrid/>
                <w:sz w:val="20"/>
              </w:rPr>
            </w:pPr>
            <w:r>
              <w:rPr>
                <w:b/>
                <w:snapToGrid/>
                <w:sz w:val="20"/>
              </w:rPr>
              <w:t>1998</w:t>
            </w:r>
            <w:r>
              <w:rPr>
                <w:rFonts w:hint="eastAsia"/>
                <w:b/>
                <w:snapToGrid/>
                <w:sz w:val="20"/>
              </w:rPr>
              <w:t>年</w:t>
            </w:r>
          </w:p>
        </w:tc>
        <w:tc>
          <w:tcPr>
            <w:tcW w:w="550" w:type="pct"/>
            <w:tcBorders>
              <w:bottom w:val="double" w:sz="4" w:space="0" w:color="auto"/>
            </w:tcBorders>
          </w:tcPr>
          <w:p w:rsidR="00000000" w:rsidRDefault="00000000">
            <w:pPr>
              <w:pStyle w:val="a2"/>
              <w:spacing w:before="60" w:after="20" w:line="312" w:lineRule="auto"/>
              <w:jc w:val="center"/>
              <w:rPr>
                <w:rFonts w:hint="eastAsia"/>
                <w:b/>
                <w:snapToGrid/>
                <w:sz w:val="20"/>
              </w:rPr>
            </w:pPr>
            <w:r>
              <w:rPr>
                <w:b/>
                <w:snapToGrid/>
                <w:sz w:val="20"/>
              </w:rPr>
              <w:t>1999</w:t>
            </w:r>
            <w:r>
              <w:rPr>
                <w:rFonts w:hint="eastAsia"/>
                <w:b/>
                <w:snapToGrid/>
                <w:sz w:val="20"/>
              </w:rPr>
              <w:t>年</w:t>
            </w:r>
          </w:p>
        </w:tc>
        <w:tc>
          <w:tcPr>
            <w:tcW w:w="551" w:type="pct"/>
            <w:tcBorders>
              <w:bottom w:val="double" w:sz="4" w:space="0" w:color="auto"/>
            </w:tcBorders>
          </w:tcPr>
          <w:p w:rsidR="00000000" w:rsidRDefault="00000000">
            <w:pPr>
              <w:pStyle w:val="a2"/>
              <w:spacing w:before="60" w:after="20" w:line="312" w:lineRule="auto"/>
              <w:jc w:val="center"/>
              <w:rPr>
                <w:rFonts w:hint="eastAsia"/>
                <w:b/>
                <w:snapToGrid/>
                <w:sz w:val="20"/>
              </w:rPr>
            </w:pPr>
            <w:r>
              <w:rPr>
                <w:b/>
                <w:snapToGrid/>
                <w:sz w:val="20"/>
              </w:rPr>
              <w:t>2000</w:t>
            </w:r>
            <w:r>
              <w:rPr>
                <w:rFonts w:hint="eastAsia"/>
                <w:b/>
                <w:snapToGrid/>
                <w:sz w:val="20"/>
              </w:rPr>
              <w:t>年</w:t>
            </w:r>
          </w:p>
        </w:tc>
        <w:tc>
          <w:tcPr>
            <w:tcW w:w="550" w:type="pct"/>
            <w:tcBorders>
              <w:bottom w:val="double" w:sz="4" w:space="0" w:color="auto"/>
            </w:tcBorders>
          </w:tcPr>
          <w:p w:rsidR="00000000" w:rsidRDefault="00000000">
            <w:pPr>
              <w:pStyle w:val="a2"/>
              <w:spacing w:before="60" w:after="20" w:line="312" w:lineRule="auto"/>
              <w:jc w:val="center"/>
              <w:rPr>
                <w:rFonts w:hint="eastAsia"/>
                <w:b/>
                <w:snapToGrid/>
                <w:sz w:val="20"/>
              </w:rPr>
            </w:pPr>
            <w:r>
              <w:rPr>
                <w:b/>
                <w:snapToGrid/>
                <w:sz w:val="20"/>
              </w:rPr>
              <w:t>2001</w:t>
            </w:r>
            <w:r>
              <w:rPr>
                <w:rFonts w:hint="eastAsia"/>
                <w:b/>
                <w:snapToGrid/>
                <w:sz w:val="20"/>
              </w:rPr>
              <w:t>年</w:t>
            </w:r>
          </w:p>
        </w:tc>
        <w:tc>
          <w:tcPr>
            <w:tcW w:w="551" w:type="pct"/>
            <w:tcBorders>
              <w:bottom w:val="double" w:sz="4" w:space="0" w:color="auto"/>
            </w:tcBorders>
          </w:tcPr>
          <w:p w:rsidR="00000000" w:rsidRDefault="00000000">
            <w:pPr>
              <w:pStyle w:val="a2"/>
              <w:spacing w:before="60" w:after="20" w:line="312" w:lineRule="auto"/>
              <w:jc w:val="center"/>
              <w:rPr>
                <w:rFonts w:hint="eastAsia"/>
                <w:b/>
                <w:snapToGrid/>
                <w:sz w:val="20"/>
              </w:rPr>
            </w:pPr>
            <w:r>
              <w:rPr>
                <w:b/>
                <w:snapToGrid/>
                <w:sz w:val="20"/>
              </w:rPr>
              <w:t>2002</w:t>
            </w:r>
            <w:r>
              <w:rPr>
                <w:rFonts w:hint="eastAsia"/>
                <w:b/>
                <w:snapToGrid/>
                <w:sz w:val="20"/>
              </w:rPr>
              <w:t>年</w:t>
            </w:r>
          </w:p>
        </w:tc>
      </w:tr>
      <w:tr w:rsidR="00000000">
        <w:tblPrEx>
          <w:tblCellMar>
            <w:top w:w="0" w:type="dxa"/>
            <w:bottom w:w="0" w:type="dxa"/>
          </w:tblCellMar>
        </w:tblPrEx>
        <w:tc>
          <w:tcPr>
            <w:tcW w:w="2248" w:type="pct"/>
            <w:tcBorders>
              <w:top w:val="double" w:sz="4" w:space="0" w:color="auto"/>
              <w:right w:val="double" w:sz="4" w:space="0" w:color="auto"/>
            </w:tcBorders>
          </w:tcPr>
          <w:p w:rsidR="00000000" w:rsidRDefault="00000000">
            <w:pPr>
              <w:pStyle w:val="a2"/>
              <w:spacing w:before="60" w:after="20" w:line="312" w:lineRule="auto"/>
              <w:ind w:left="170"/>
              <w:rPr>
                <w:rFonts w:hint="eastAsia"/>
                <w:snapToGrid/>
                <w:sz w:val="20"/>
              </w:rPr>
            </w:pPr>
            <w:r>
              <w:rPr>
                <w:rFonts w:hint="eastAsia"/>
                <w:snapToGrid/>
                <w:sz w:val="20"/>
              </w:rPr>
              <w:t>警方接报儿童受到性侵犯</w:t>
            </w:r>
            <w:r>
              <w:rPr>
                <w:rFonts w:hint="eastAsia"/>
                <w:snapToGrid/>
                <w:sz w:val="20"/>
              </w:rPr>
              <w:t xml:space="preserve"> </w:t>
            </w:r>
            <w:r>
              <w:rPr>
                <w:rFonts w:hint="eastAsia"/>
                <w:snapToGrid/>
                <w:position w:val="6"/>
                <w:sz w:val="20"/>
              </w:rPr>
              <w:t xml:space="preserve">* </w:t>
            </w:r>
            <w:r>
              <w:rPr>
                <w:rFonts w:hint="eastAsia"/>
                <w:snapToGrid/>
                <w:sz w:val="20"/>
              </w:rPr>
              <w:t>的个案数字</w:t>
            </w:r>
          </w:p>
        </w:tc>
        <w:tc>
          <w:tcPr>
            <w:tcW w:w="550" w:type="pct"/>
            <w:tcBorders>
              <w:top w:val="double" w:sz="4" w:space="0" w:color="auto"/>
              <w:left w:val="double" w:sz="4" w:space="0" w:color="auto"/>
            </w:tcBorders>
          </w:tcPr>
          <w:p w:rsidR="00000000" w:rsidRDefault="00000000">
            <w:pPr>
              <w:pStyle w:val="a2"/>
              <w:spacing w:before="60" w:after="20" w:line="312" w:lineRule="auto"/>
              <w:jc w:val="center"/>
              <w:rPr>
                <w:rFonts w:hint="eastAsia"/>
                <w:snapToGrid/>
                <w:sz w:val="20"/>
              </w:rPr>
            </w:pPr>
            <w:r>
              <w:rPr>
                <w:snapToGrid/>
                <w:sz w:val="20"/>
              </w:rPr>
              <w:t>757</w:t>
            </w:r>
          </w:p>
        </w:tc>
        <w:tc>
          <w:tcPr>
            <w:tcW w:w="550" w:type="pct"/>
            <w:tcBorders>
              <w:top w:val="double" w:sz="4" w:space="0" w:color="auto"/>
            </w:tcBorders>
          </w:tcPr>
          <w:p w:rsidR="00000000" w:rsidRDefault="00000000">
            <w:pPr>
              <w:pStyle w:val="a2"/>
              <w:spacing w:before="60" w:after="20" w:line="312" w:lineRule="auto"/>
              <w:jc w:val="center"/>
              <w:rPr>
                <w:rFonts w:hint="eastAsia"/>
                <w:snapToGrid/>
                <w:sz w:val="20"/>
              </w:rPr>
            </w:pPr>
            <w:r>
              <w:rPr>
                <w:snapToGrid/>
                <w:sz w:val="20"/>
              </w:rPr>
              <w:t>696</w:t>
            </w:r>
          </w:p>
        </w:tc>
        <w:tc>
          <w:tcPr>
            <w:tcW w:w="551" w:type="pct"/>
            <w:tcBorders>
              <w:top w:val="double" w:sz="4" w:space="0" w:color="auto"/>
            </w:tcBorders>
          </w:tcPr>
          <w:p w:rsidR="00000000" w:rsidRDefault="00000000">
            <w:pPr>
              <w:pStyle w:val="a2"/>
              <w:spacing w:before="60" w:after="20" w:line="312" w:lineRule="auto"/>
              <w:jc w:val="center"/>
              <w:rPr>
                <w:rFonts w:hint="eastAsia"/>
                <w:snapToGrid/>
                <w:sz w:val="20"/>
              </w:rPr>
            </w:pPr>
            <w:r>
              <w:rPr>
                <w:snapToGrid/>
                <w:sz w:val="20"/>
              </w:rPr>
              <w:t>664</w:t>
            </w:r>
          </w:p>
        </w:tc>
        <w:tc>
          <w:tcPr>
            <w:tcW w:w="550" w:type="pct"/>
            <w:tcBorders>
              <w:top w:val="double" w:sz="4" w:space="0" w:color="auto"/>
            </w:tcBorders>
          </w:tcPr>
          <w:p w:rsidR="00000000" w:rsidRDefault="00000000">
            <w:pPr>
              <w:pStyle w:val="a2"/>
              <w:spacing w:before="60" w:after="20" w:line="312" w:lineRule="auto"/>
              <w:jc w:val="center"/>
              <w:rPr>
                <w:rFonts w:hint="eastAsia"/>
                <w:snapToGrid/>
                <w:sz w:val="20"/>
              </w:rPr>
            </w:pPr>
            <w:r>
              <w:rPr>
                <w:snapToGrid/>
                <w:sz w:val="20"/>
              </w:rPr>
              <w:t>576</w:t>
            </w:r>
          </w:p>
        </w:tc>
        <w:tc>
          <w:tcPr>
            <w:tcW w:w="551" w:type="pct"/>
            <w:tcBorders>
              <w:top w:val="double" w:sz="4" w:space="0" w:color="auto"/>
            </w:tcBorders>
          </w:tcPr>
          <w:p w:rsidR="00000000" w:rsidRDefault="00000000">
            <w:pPr>
              <w:pStyle w:val="a2"/>
              <w:spacing w:before="60" w:after="20" w:line="312" w:lineRule="auto"/>
              <w:jc w:val="center"/>
              <w:rPr>
                <w:snapToGrid/>
                <w:sz w:val="20"/>
              </w:rPr>
            </w:pPr>
            <w:r>
              <w:rPr>
                <w:snapToGrid/>
                <w:sz w:val="20"/>
              </w:rPr>
              <w:t>599</w:t>
            </w:r>
          </w:p>
        </w:tc>
      </w:tr>
      <w:tr w:rsidR="00000000">
        <w:tblPrEx>
          <w:tblCellMar>
            <w:top w:w="0" w:type="dxa"/>
            <w:bottom w:w="0" w:type="dxa"/>
          </w:tblCellMar>
        </w:tblPrEx>
        <w:tc>
          <w:tcPr>
            <w:tcW w:w="2248" w:type="pct"/>
            <w:tcBorders>
              <w:right w:val="double" w:sz="4" w:space="0" w:color="auto"/>
            </w:tcBorders>
            <w:tcMar>
              <w:right w:w="0" w:type="dxa"/>
            </w:tcMar>
          </w:tcPr>
          <w:p w:rsidR="00000000" w:rsidRDefault="00000000">
            <w:pPr>
              <w:pStyle w:val="a2"/>
              <w:spacing w:before="60" w:after="20" w:line="312" w:lineRule="auto"/>
              <w:ind w:left="170"/>
              <w:rPr>
                <w:rFonts w:hint="eastAsia"/>
                <w:snapToGrid/>
                <w:spacing w:val="0"/>
                <w:sz w:val="20"/>
              </w:rPr>
            </w:pPr>
            <w:r>
              <w:rPr>
                <w:rFonts w:hint="eastAsia"/>
                <w:snapToGrid/>
                <w:spacing w:val="0"/>
                <w:sz w:val="20"/>
              </w:rPr>
              <w:t>警方接报儿童受到身体虐待</w:t>
            </w:r>
            <w:r>
              <w:rPr>
                <w:rFonts w:hint="eastAsia"/>
                <w:snapToGrid/>
                <w:spacing w:val="0"/>
                <w:sz w:val="20"/>
              </w:rPr>
              <w:t xml:space="preserve"> </w:t>
            </w:r>
            <w:r>
              <w:rPr>
                <w:rFonts w:hint="eastAsia"/>
                <w:snapToGrid/>
                <w:spacing w:val="0"/>
                <w:position w:val="6"/>
                <w:sz w:val="20"/>
              </w:rPr>
              <w:t>**</w:t>
            </w:r>
            <w:r>
              <w:rPr>
                <w:rFonts w:hint="eastAsia"/>
                <w:snapToGrid/>
                <w:spacing w:val="0"/>
                <w:sz w:val="20"/>
              </w:rPr>
              <w:t xml:space="preserve"> </w:t>
            </w:r>
            <w:r>
              <w:rPr>
                <w:rFonts w:hint="eastAsia"/>
                <w:snapToGrid/>
                <w:spacing w:val="0"/>
                <w:sz w:val="20"/>
              </w:rPr>
              <w:t>的个案数字</w:t>
            </w:r>
          </w:p>
        </w:tc>
        <w:tc>
          <w:tcPr>
            <w:tcW w:w="550" w:type="pct"/>
            <w:tcBorders>
              <w:left w:val="double" w:sz="4" w:space="0" w:color="auto"/>
            </w:tcBorders>
          </w:tcPr>
          <w:p w:rsidR="00000000" w:rsidRDefault="00000000">
            <w:pPr>
              <w:pStyle w:val="a2"/>
              <w:spacing w:before="60" w:after="20" w:line="312" w:lineRule="auto"/>
              <w:jc w:val="center"/>
              <w:rPr>
                <w:rFonts w:hint="eastAsia"/>
                <w:snapToGrid/>
                <w:sz w:val="20"/>
              </w:rPr>
            </w:pPr>
            <w:r>
              <w:rPr>
                <w:snapToGrid/>
                <w:sz w:val="20"/>
              </w:rPr>
              <w:t>389</w:t>
            </w:r>
          </w:p>
        </w:tc>
        <w:tc>
          <w:tcPr>
            <w:tcW w:w="550" w:type="pct"/>
          </w:tcPr>
          <w:p w:rsidR="00000000" w:rsidRDefault="00000000">
            <w:pPr>
              <w:pStyle w:val="a2"/>
              <w:spacing w:before="60" w:after="20" w:line="312" w:lineRule="auto"/>
              <w:jc w:val="center"/>
              <w:rPr>
                <w:rFonts w:hint="eastAsia"/>
                <w:snapToGrid/>
                <w:sz w:val="20"/>
              </w:rPr>
            </w:pPr>
            <w:r>
              <w:rPr>
                <w:snapToGrid/>
                <w:sz w:val="20"/>
              </w:rPr>
              <w:t>473</w:t>
            </w:r>
          </w:p>
        </w:tc>
        <w:tc>
          <w:tcPr>
            <w:tcW w:w="551" w:type="pct"/>
          </w:tcPr>
          <w:p w:rsidR="00000000" w:rsidRDefault="00000000">
            <w:pPr>
              <w:pStyle w:val="a2"/>
              <w:spacing w:before="60" w:after="20" w:line="312" w:lineRule="auto"/>
              <w:jc w:val="center"/>
              <w:rPr>
                <w:rFonts w:hint="eastAsia"/>
                <w:snapToGrid/>
                <w:sz w:val="20"/>
              </w:rPr>
            </w:pPr>
            <w:r>
              <w:rPr>
                <w:snapToGrid/>
                <w:sz w:val="20"/>
              </w:rPr>
              <w:t>507</w:t>
            </w:r>
          </w:p>
        </w:tc>
        <w:tc>
          <w:tcPr>
            <w:tcW w:w="550" w:type="pct"/>
          </w:tcPr>
          <w:p w:rsidR="00000000" w:rsidRDefault="00000000">
            <w:pPr>
              <w:pStyle w:val="a2"/>
              <w:spacing w:before="60" w:after="20" w:line="312" w:lineRule="auto"/>
              <w:jc w:val="center"/>
              <w:rPr>
                <w:rFonts w:hint="eastAsia"/>
                <w:snapToGrid/>
                <w:sz w:val="20"/>
              </w:rPr>
            </w:pPr>
            <w:r>
              <w:rPr>
                <w:snapToGrid/>
                <w:sz w:val="20"/>
              </w:rPr>
              <w:t>502</w:t>
            </w:r>
          </w:p>
        </w:tc>
        <w:tc>
          <w:tcPr>
            <w:tcW w:w="551" w:type="pct"/>
          </w:tcPr>
          <w:p w:rsidR="00000000" w:rsidRDefault="00000000">
            <w:pPr>
              <w:pStyle w:val="a2"/>
              <w:spacing w:before="60" w:after="20" w:line="312" w:lineRule="auto"/>
              <w:jc w:val="center"/>
              <w:rPr>
                <w:rFonts w:hint="eastAsia"/>
                <w:snapToGrid/>
                <w:sz w:val="20"/>
              </w:rPr>
            </w:pPr>
            <w:r>
              <w:rPr>
                <w:snapToGrid/>
                <w:sz w:val="20"/>
              </w:rPr>
              <w:t>445</w:t>
            </w:r>
          </w:p>
        </w:tc>
      </w:tr>
    </w:tbl>
    <w:p w:rsidR="00000000" w:rsidRDefault="00000000">
      <w:pPr>
        <w:pStyle w:val="a6"/>
        <w:tabs>
          <w:tab w:val="left" w:pos="567"/>
          <w:tab w:val="left" w:pos="1134"/>
          <w:tab w:val="left" w:pos="1701"/>
        </w:tabs>
        <w:rPr>
          <w:rFonts w:eastAsia="SimSun" w:hint="eastAsia"/>
          <w:sz w:val="20"/>
        </w:rPr>
      </w:pPr>
    </w:p>
    <w:p w:rsidR="00000000" w:rsidRDefault="00000000">
      <w:pPr>
        <w:pStyle w:val="FootnoteText"/>
      </w:pPr>
      <w:r>
        <w:rPr>
          <w:rStyle w:val="FootnoteReference"/>
          <w:b w:val="0"/>
          <w:bCs/>
          <w:vertAlign w:val="baseline"/>
        </w:rPr>
        <w:t>*</w:t>
      </w:r>
      <w:r>
        <w:t xml:space="preserve"> </w:t>
      </w:r>
      <w:r>
        <w:tab/>
      </w:r>
      <w:r>
        <w:rPr>
          <w:rFonts w:hint="eastAsia"/>
        </w:rPr>
        <w:t>“儿童性侵犯”是指受害人年龄在</w:t>
      </w:r>
      <w:r>
        <w:t>17</w:t>
      </w:r>
      <w:r>
        <w:rPr>
          <w:rFonts w:hint="eastAsia"/>
        </w:rPr>
        <w:t>岁以下的性侵犯罪行。</w:t>
      </w:r>
    </w:p>
    <w:p w:rsidR="00000000" w:rsidRDefault="00000000">
      <w:pPr>
        <w:pStyle w:val="EndnoteText"/>
        <w:spacing w:after="320"/>
        <w:rPr>
          <w:rFonts w:hint="eastAsia"/>
          <w:snapToGrid/>
        </w:rPr>
      </w:pPr>
      <w:r>
        <w:rPr>
          <w:rStyle w:val="FootnoteReference"/>
          <w:b w:val="0"/>
          <w:bCs/>
          <w:vertAlign w:val="baseline"/>
        </w:rPr>
        <w:t>**</w:t>
      </w:r>
      <w:r>
        <w:t xml:space="preserve"> </w:t>
      </w:r>
      <w:r>
        <w:tab/>
      </w:r>
      <w:r>
        <w:rPr>
          <w:rFonts w:hint="eastAsia"/>
        </w:rPr>
        <w:t>“儿童身体虐待”是指虐待</w:t>
      </w:r>
      <w:r>
        <w:t>14</w:t>
      </w:r>
      <w:r>
        <w:rPr>
          <w:rFonts w:hint="eastAsia"/>
        </w:rPr>
        <w:t>岁以下儿童的罪行。</w:t>
      </w:r>
    </w:p>
    <w:p w:rsidR="00000000" w:rsidRDefault="00000000">
      <w:pPr>
        <w:pStyle w:val="Heading4"/>
        <w:rPr>
          <w:rFonts w:hint="eastAsia"/>
        </w:rPr>
      </w:pPr>
      <w:r>
        <w:rPr>
          <w:rFonts w:hint="eastAsia"/>
        </w:rPr>
        <w:t>分娩保障</w:t>
      </w:r>
    </w:p>
    <w:p w:rsidR="00000000" w:rsidRDefault="00000000">
      <w:pPr>
        <w:tabs>
          <w:tab w:val="left" w:pos="567"/>
          <w:tab w:val="left" w:pos="1134"/>
          <w:tab w:val="left" w:pos="1701"/>
        </w:tabs>
        <w:rPr>
          <w:rFonts w:hint="eastAsia"/>
          <w:snapToGrid/>
        </w:rPr>
      </w:pPr>
      <w:r>
        <w:rPr>
          <w:snapToGrid/>
        </w:rPr>
        <w:tab/>
        <w:t xml:space="preserve">516.  </w:t>
      </w:r>
      <w:r>
        <w:rPr>
          <w:rFonts w:hint="eastAsia"/>
          <w:snapToGrid/>
        </w:rPr>
        <w:t>有关情况并无改变，与首份报告第</w:t>
      </w:r>
      <w:r>
        <w:rPr>
          <w:snapToGrid/>
        </w:rPr>
        <w:t>239</w:t>
      </w:r>
      <w:r>
        <w:rPr>
          <w:rFonts w:hint="eastAsia"/>
          <w:snapToGrid/>
        </w:rPr>
        <w:t>至</w:t>
      </w:r>
      <w:r>
        <w:rPr>
          <w:snapToGrid/>
        </w:rPr>
        <w:t>247</w:t>
      </w:r>
      <w:r>
        <w:rPr>
          <w:rFonts w:hint="eastAsia"/>
          <w:snapToGrid/>
        </w:rPr>
        <w:t>段所述的相同。</w:t>
      </w:r>
    </w:p>
    <w:p w:rsidR="00000000" w:rsidRDefault="00000000">
      <w:pPr>
        <w:pStyle w:val="a3"/>
        <w:jc w:val="left"/>
        <w:rPr>
          <w:rFonts w:hint="eastAsia"/>
        </w:rPr>
      </w:pPr>
      <w:r>
        <w:rPr>
          <w:rFonts w:hint="eastAsia"/>
        </w:rPr>
        <w:t>对儿童和少年的保护</w:t>
      </w:r>
    </w:p>
    <w:p w:rsidR="00000000" w:rsidRDefault="00000000">
      <w:pPr>
        <w:pStyle w:val="Heading4"/>
        <w:rPr>
          <w:rFonts w:hint="eastAsia"/>
        </w:rPr>
      </w:pPr>
      <w:r>
        <w:rPr>
          <w:rFonts w:hint="eastAsia"/>
          <w:u w:val="none"/>
        </w:rPr>
        <w:t>《</w:t>
      </w:r>
      <w:r>
        <w:rPr>
          <w:rFonts w:hint="eastAsia"/>
        </w:rPr>
        <w:t>儿童权利公约</w:t>
      </w:r>
      <w:r>
        <w:rPr>
          <w:rFonts w:hint="eastAsia"/>
          <w:u w:val="none"/>
        </w:rPr>
        <w:t>》</w:t>
      </w:r>
    </w:p>
    <w:p w:rsidR="00000000" w:rsidRDefault="00000000">
      <w:pPr>
        <w:tabs>
          <w:tab w:val="left" w:pos="567"/>
          <w:tab w:val="left" w:pos="1134"/>
          <w:tab w:val="left" w:pos="1701"/>
        </w:tabs>
        <w:spacing w:after="320"/>
        <w:rPr>
          <w:rFonts w:hint="eastAsia"/>
          <w:snapToGrid/>
        </w:rPr>
      </w:pPr>
      <w:r>
        <w:rPr>
          <w:snapToGrid/>
        </w:rPr>
        <w:tab/>
        <w:t xml:space="preserve">517.  </w:t>
      </w:r>
      <w:r>
        <w:rPr>
          <w:rFonts w:hint="eastAsia"/>
          <w:snapToGrid/>
        </w:rPr>
        <w:t>香港特区根据《儿童权利公约》提交的首份报告，将会纳入中国根据该公约提交的第二份报告内，一并提交联合国儿童权利委员会。</w:t>
      </w:r>
    </w:p>
    <w:p w:rsidR="00000000" w:rsidRDefault="00000000">
      <w:pPr>
        <w:pStyle w:val="Heading4"/>
        <w:rPr>
          <w:rFonts w:hint="eastAsia"/>
        </w:rPr>
      </w:pPr>
      <w:r>
        <w:rPr>
          <w:rFonts w:hint="eastAsia"/>
        </w:rPr>
        <w:t>以儿童为题材的色情作品和涉及儿童卖淫的旅游活动</w:t>
      </w:r>
    </w:p>
    <w:p w:rsidR="00000000" w:rsidRDefault="00000000">
      <w:pPr>
        <w:tabs>
          <w:tab w:val="left" w:pos="567"/>
          <w:tab w:val="left" w:pos="1134"/>
          <w:tab w:val="left" w:pos="1701"/>
        </w:tabs>
        <w:spacing w:after="320"/>
        <w:rPr>
          <w:rFonts w:hint="eastAsia"/>
          <w:snapToGrid/>
        </w:rPr>
      </w:pPr>
      <w:r>
        <w:rPr>
          <w:snapToGrid/>
        </w:rPr>
        <w:tab/>
        <w:t xml:space="preserve">518.  </w:t>
      </w:r>
      <w:r>
        <w:rPr>
          <w:rFonts w:hint="eastAsia"/>
          <w:snapToGrid/>
        </w:rPr>
        <w:t>我们于二零零二年一月向立法会提交《防止儿童色情物品条例草案》，旨在加强保护儿童，让他们免受利用进行各类色情活动，包括儿童色情物品的制作、儿童色情表演和涉及儿童卖淫的旅游活动。该条例草案现正由立法会辖下其中一个法案委员会审议。藉着通过条例草案使之成为法律，以及在其他范畴实施一些次要法例，香港特区将能符合《关于贩卖儿童、儿童卖淫和儿童色情的儿童权利公约任择议定书》的规定。此外，上述条例草案亦将能确保香港符合《国际劳工公约》第</w:t>
      </w:r>
      <w:r>
        <w:rPr>
          <w:snapToGrid/>
        </w:rPr>
        <w:t>182</w:t>
      </w:r>
      <w:r>
        <w:rPr>
          <w:rFonts w:hint="eastAsia"/>
          <w:snapToGrid/>
        </w:rPr>
        <w:t>号</w:t>
      </w:r>
      <w:r>
        <w:rPr>
          <w:snapToGrid/>
        </w:rPr>
        <w:t>(</w:t>
      </w:r>
      <w:r>
        <w:rPr>
          <w:rFonts w:hint="eastAsia"/>
          <w:snapToGrid/>
        </w:rPr>
        <w:t>即有关消除最恶劣形式的童工劳动的公约</w:t>
      </w:r>
      <w:r>
        <w:rPr>
          <w:snapToGrid/>
        </w:rPr>
        <w:t>)</w:t>
      </w:r>
      <w:r>
        <w:rPr>
          <w:rFonts w:hint="eastAsia"/>
          <w:snapToGrid/>
        </w:rPr>
        <w:t>的规定。</w:t>
      </w:r>
    </w:p>
    <w:p w:rsidR="00000000" w:rsidRDefault="00000000">
      <w:pPr>
        <w:pStyle w:val="Heading4"/>
        <w:rPr>
          <w:rFonts w:hint="eastAsia"/>
        </w:rPr>
      </w:pPr>
      <w:r>
        <w:rPr>
          <w:rFonts w:hint="eastAsia"/>
          <w:u w:val="none"/>
        </w:rPr>
        <w:t>《</w:t>
      </w:r>
      <w:r>
        <w:rPr>
          <w:rFonts w:hint="eastAsia"/>
        </w:rPr>
        <w:t>保护儿童及少年条例》</w:t>
      </w:r>
      <w:r>
        <w:t>(</w:t>
      </w:r>
      <w:r>
        <w:rPr>
          <w:rFonts w:hint="eastAsia"/>
        </w:rPr>
        <w:t>第</w:t>
      </w:r>
      <w:r>
        <w:t>213</w:t>
      </w:r>
      <w:r>
        <w:rPr>
          <w:rFonts w:hint="eastAsia"/>
        </w:rPr>
        <w:t>章</w:t>
      </w:r>
      <w:r>
        <w:t>)</w:t>
      </w:r>
    </w:p>
    <w:p w:rsidR="00000000" w:rsidRDefault="00000000">
      <w:pPr>
        <w:tabs>
          <w:tab w:val="left" w:pos="567"/>
          <w:tab w:val="left" w:pos="1134"/>
          <w:tab w:val="left" w:pos="1701"/>
        </w:tabs>
        <w:spacing w:after="320"/>
        <w:rPr>
          <w:rFonts w:hint="eastAsia"/>
          <w:snapToGrid/>
        </w:rPr>
      </w:pPr>
      <w:r>
        <w:rPr>
          <w:snapToGrid/>
        </w:rPr>
        <w:tab/>
        <w:t xml:space="preserve">519.  </w:t>
      </w:r>
      <w:r>
        <w:rPr>
          <w:rFonts w:hint="eastAsia"/>
          <w:snapToGrid/>
        </w:rPr>
        <w:t>截至二零零二年十二月三十一日，共有</w:t>
      </w:r>
      <w:r>
        <w:rPr>
          <w:snapToGrid/>
        </w:rPr>
        <w:t>1,533</w:t>
      </w:r>
      <w:r>
        <w:rPr>
          <w:rFonts w:hint="eastAsia"/>
          <w:snapToGrid/>
        </w:rPr>
        <w:t>名儿童或少年受到法庭所发出的监管令的照顾或保护。</w:t>
      </w:r>
    </w:p>
    <w:p w:rsidR="00000000" w:rsidRDefault="00000000">
      <w:pPr>
        <w:pStyle w:val="Heading4"/>
        <w:rPr>
          <w:rFonts w:hint="eastAsia"/>
        </w:rPr>
      </w:pPr>
      <w:r>
        <w:rPr>
          <w:rFonts w:hint="eastAsia"/>
        </w:rPr>
        <w:t>在海牙签订的《国际性诱拐儿童民事方面公约</w:t>
      </w:r>
      <w:r>
        <w:rPr>
          <w:rFonts w:hint="eastAsia"/>
          <w:u w:val="none"/>
        </w:rPr>
        <w:t>》</w:t>
      </w:r>
    </w:p>
    <w:p w:rsidR="00000000" w:rsidRDefault="00000000">
      <w:pPr>
        <w:tabs>
          <w:tab w:val="left" w:pos="567"/>
          <w:tab w:val="left" w:pos="1134"/>
          <w:tab w:val="left" w:pos="1701"/>
        </w:tabs>
        <w:spacing w:after="320"/>
        <w:rPr>
          <w:rFonts w:hint="eastAsia"/>
          <w:snapToGrid/>
        </w:rPr>
      </w:pPr>
      <w:r>
        <w:rPr>
          <w:snapToGrid/>
        </w:rPr>
        <w:tab/>
        <w:t xml:space="preserve">520.  </w:t>
      </w:r>
      <w:r>
        <w:rPr>
          <w:rFonts w:hint="eastAsia"/>
          <w:snapToGrid/>
        </w:rPr>
        <w:t>有关情况与首份报告第</w:t>
      </w:r>
      <w:r>
        <w:rPr>
          <w:snapToGrid/>
        </w:rPr>
        <w:t>265</w:t>
      </w:r>
      <w:r>
        <w:rPr>
          <w:rFonts w:hint="eastAsia"/>
          <w:snapToGrid/>
        </w:rPr>
        <w:t>段所述的相同。</w:t>
      </w:r>
    </w:p>
    <w:p w:rsidR="00000000" w:rsidRDefault="00000000">
      <w:pPr>
        <w:pStyle w:val="Heading4"/>
        <w:rPr>
          <w:rFonts w:hint="eastAsia"/>
        </w:rPr>
      </w:pPr>
      <w:r>
        <w:rPr>
          <w:rFonts w:hint="eastAsia"/>
        </w:rPr>
        <w:t>法律代表计划</w:t>
      </w:r>
    </w:p>
    <w:p w:rsidR="00000000" w:rsidRDefault="00000000">
      <w:pPr>
        <w:tabs>
          <w:tab w:val="left" w:pos="567"/>
          <w:tab w:val="left" w:pos="1134"/>
          <w:tab w:val="left" w:pos="1701"/>
        </w:tabs>
        <w:spacing w:after="320"/>
        <w:rPr>
          <w:rFonts w:hint="eastAsia"/>
          <w:snapToGrid/>
        </w:rPr>
      </w:pPr>
      <w:r>
        <w:rPr>
          <w:snapToGrid/>
        </w:rPr>
        <w:tab/>
        <w:t xml:space="preserve">521.  </w:t>
      </w:r>
      <w:r>
        <w:rPr>
          <w:rFonts w:hint="eastAsia"/>
          <w:snapToGrid/>
        </w:rPr>
        <w:t>这是崭新的措施，旨在就根据《保护儿童及少年条例》而进行的照顾或保护诉讼，为牵涉其中的儿童和少年提供法律代表。我们正进行有关工作，以落实这项计划。</w:t>
      </w:r>
    </w:p>
    <w:p w:rsidR="00000000" w:rsidRDefault="00000000">
      <w:pPr>
        <w:pStyle w:val="Heading4"/>
        <w:rPr>
          <w:rFonts w:hint="eastAsia"/>
        </w:rPr>
      </w:pPr>
      <w:r>
        <w:rPr>
          <w:rFonts w:hint="eastAsia"/>
        </w:rPr>
        <w:t>青年事务委员会</w:t>
      </w:r>
    </w:p>
    <w:p w:rsidR="00000000" w:rsidRDefault="00000000">
      <w:pPr>
        <w:tabs>
          <w:tab w:val="left" w:pos="567"/>
          <w:tab w:val="left" w:pos="1134"/>
          <w:tab w:val="left" w:pos="1701"/>
        </w:tabs>
        <w:spacing w:after="320"/>
        <w:rPr>
          <w:rFonts w:hint="eastAsia"/>
          <w:snapToGrid/>
        </w:rPr>
      </w:pPr>
      <w:r>
        <w:rPr>
          <w:snapToGrid/>
        </w:rPr>
        <w:tab/>
        <w:t xml:space="preserve">522.  </w:t>
      </w:r>
      <w:r>
        <w:rPr>
          <w:rFonts w:hint="eastAsia"/>
          <w:snapToGrid/>
        </w:rPr>
        <w:t>有关情况并无改变，与首份报告第</w:t>
      </w:r>
      <w:r>
        <w:rPr>
          <w:snapToGrid/>
        </w:rPr>
        <w:t>271</w:t>
      </w:r>
      <w:r>
        <w:rPr>
          <w:rFonts w:hint="eastAsia"/>
          <w:snapToGrid/>
        </w:rPr>
        <w:t>至</w:t>
      </w:r>
      <w:r>
        <w:rPr>
          <w:snapToGrid/>
        </w:rPr>
        <w:t>272</w:t>
      </w:r>
      <w:r>
        <w:rPr>
          <w:rFonts w:hint="eastAsia"/>
          <w:snapToGrid/>
        </w:rPr>
        <w:t>段所述的相同。截至二零零三年二月，约有</w:t>
      </w:r>
      <w:r>
        <w:rPr>
          <w:snapToGrid/>
        </w:rPr>
        <w:t>430</w:t>
      </w:r>
      <w:r>
        <w:rPr>
          <w:rFonts w:hint="eastAsia"/>
          <w:snapToGrid/>
        </w:rPr>
        <w:t>个团体和</w:t>
      </w:r>
      <w:r>
        <w:rPr>
          <w:snapToGrid/>
        </w:rPr>
        <w:t>2,400</w:t>
      </w:r>
      <w:r>
        <w:rPr>
          <w:rFonts w:hint="eastAsia"/>
          <w:snapToGrid/>
        </w:rPr>
        <w:t>名个别人士签署了《青年约章》。青年事务委员会定期检讨约章的实践情况，而最近一次检讨于二零零二年十二月进行。</w:t>
      </w:r>
    </w:p>
    <w:p w:rsidR="00000000" w:rsidRDefault="00000000">
      <w:pPr>
        <w:pStyle w:val="Heading4"/>
        <w:rPr>
          <w:rFonts w:hint="eastAsia"/>
        </w:rPr>
      </w:pPr>
      <w:r>
        <w:rPr>
          <w:rFonts w:hint="eastAsia"/>
        </w:rPr>
        <w:t>雇用儿童及青少年</w:t>
      </w:r>
    </w:p>
    <w:p w:rsidR="00000000" w:rsidRDefault="00000000">
      <w:pPr>
        <w:tabs>
          <w:tab w:val="left" w:pos="567"/>
          <w:tab w:val="left" w:pos="1134"/>
          <w:tab w:val="left" w:pos="1701"/>
        </w:tabs>
        <w:spacing w:after="320"/>
        <w:rPr>
          <w:rFonts w:hint="eastAsia"/>
          <w:snapToGrid/>
        </w:rPr>
      </w:pPr>
      <w:r>
        <w:rPr>
          <w:snapToGrid/>
        </w:rPr>
        <w:tab/>
        <w:t xml:space="preserve">523.  </w:t>
      </w:r>
      <w:r>
        <w:rPr>
          <w:rFonts w:hint="eastAsia"/>
          <w:snapToGrid/>
        </w:rPr>
        <w:t>有关情况并无改变，与首份报告第</w:t>
      </w:r>
      <w:r>
        <w:rPr>
          <w:snapToGrid/>
        </w:rPr>
        <w:t>278</w:t>
      </w:r>
      <w:r>
        <w:rPr>
          <w:rFonts w:hint="eastAsia"/>
          <w:snapToGrid/>
        </w:rPr>
        <w:t>段所述的相同。首份报告附件</w:t>
      </w:r>
      <w:r>
        <w:rPr>
          <w:snapToGrid/>
        </w:rPr>
        <w:t>21</w:t>
      </w:r>
      <w:r>
        <w:rPr>
          <w:rFonts w:hint="eastAsia"/>
          <w:snapToGrid/>
        </w:rPr>
        <w:t>的资料现已更新，载于本报告附件</w:t>
      </w:r>
      <w:r>
        <w:rPr>
          <w:snapToGrid/>
        </w:rPr>
        <w:t>10A</w:t>
      </w:r>
      <w:r>
        <w:rPr>
          <w:rFonts w:hint="eastAsia"/>
          <w:snapToGrid/>
        </w:rPr>
        <w:t>。</w:t>
      </w:r>
    </w:p>
    <w:p w:rsidR="00000000" w:rsidRDefault="00000000">
      <w:pPr>
        <w:pStyle w:val="Heading4"/>
        <w:rPr>
          <w:rFonts w:hint="eastAsia"/>
        </w:rPr>
      </w:pPr>
      <w:r>
        <w:rPr>
          <w:rFonts w:hint="eastAsia"/>
        </w:rPr>
        <w:t>滥用药物</w:t>
      </w:r>
    </w:p>
    <w:p w:rsidR="00000000" w:rsidRDefault="00000000">
      <w:pPr>
        <w:tabs>
          <w:tab w:val="left" w:pos="567"/>
          <w:tab w:val="left" w:pos="1134"/>
          <w:tab w:val="left" w:pos="1701"/>
        </w:tabs>
        <w:spacing w:after="320"/>
        <w:rPr>
          <w:rFonts w:hint="eastAsia"/>
          <w:snapToGrid/>
        </w:rPr>
      </w:pPr>
      <w:r>
        <w:rPr>
          <w:snapToGrid/>
        </w:rPr>
        <w:tab/>
        <w:t xml:space="preserve">524.  </w:t>
      </w:r>
      <w:r>
        <w:rPr>
          <w:rFonts w:hint="eastAsia"/>
          <w:snapToGrid/>
        </w:rPr>
        <w:t>在首份报告第</w:t>
      </w:r>
      <w:r>
        <w:rPr>
          <w:snapToGrid/>
        </w:rPr>
        <w:t>279</w:t>
      </w:r>
      <w:r>
        <w:rPr>
          <w:rFonts w:hint="eastAsia"/>
          <w:snapToGrid/>
        </w:rPr>
        <w:t>段，我们指出，青少年滥用药物的个案有下降趋势。这个趋势一直持续到一九九九年：</w:t>
      </w:r>
      <w:r>
        <w:rPr>
          <w:snapToGrid/>
        </w:rPr>
        <w:t>11</w:t>
      </w:r>
      <w:r>
        <w:rPr>
          <w:rFonts w:hint="eastAsia"/>
          <w:snapToGrid/>
        </w:rPr>
        <w:t>至</w:t>
      </w:r>
      <w:r>
        <w:rPr>
          <w:snapToGrid/>
        </w:rPr>
        <w:t>17</w:t>
      </w:r>
      <w:r>
        <w:rPr>
          <w:rFonts w:hint="eastAsia"/>
          <w:snapToGrid/>
        </w:rPr>
        <w:t>岁滥用药物的青少年人数，由一九九五年的每</w:t>
      </w:r>
      <w:r>
        <w:rPr>
          <w:snapToGrid/>
        </w:rPr>
        <w:t>1,000</w:t>
      </w:r>
      <w:r>
        <w:rPr>
          <w:rFonts w:hint="eastAsia"/>
          <w:snapToGrid/>
        </w:rPr>
        <w:t>人有</w:t>
      </w:r>
      <w:r>
        <w:rPr>
          <w:snapToGrid/>
        </w:rPr>
        <w:t>3.02</w:t>
      </w:r>
      <w:r>
        <w:rPr>
          <w:rFonts w:hint="eastAsia"/>
          <w:snapToGrid/>
        </w:rPr>
        <w:t>人减至一九九九年的每</w:t>
      </w:r>
      <w:r>
        <w:rPr>
          <w:snapToGrid/>
        </w:rPr>
        <w:t>1,000</w:t>
      </w:r>
      <w:r>
        <w:rPr>
          <w:rFonts w:hint="eastAsia"/>
          <w:snapToGrid/>
        </w:rPr>
        <w:t>人有</w:t>
      </w:r>
      <w:r>
        <w:rPr>
          <w:snapToGrid/>
        </w:rPr>
        <w:t>1.54</w:t>
      </w:r>
      <w:r>
        <w:rPr>
          <w:rFonts w:hint="eastAsia"/>
          <w:snapToGrid/>
        </w:rPr>
        <w:t>人。新接报个案的数字由一九九五年的</w:t>
      </w:r>
      <w:r>
        <w:rPr>
          <w:snapToGrid/>
        </w:rPr>
        <w:t>1,151</w:t>
      </w:r>
      <w:r>
        <w:rPr>
          <w:rFonts w:hint="eastAsia"/>
          <w:snapToGrid/>
        </w:rPr>
        <w:t>宗减至一九九九年的</w:t>
      </w:r>
      <w:r>
        <w:rPr>
          <w:snapToGrid/>
        </w:rPr>
        <w:t>701</w:t>
      </w:r>
      <w:r>
        <w:rPr>
          <w:rFonts w:hint="eastAsia"/>
          <w:snapToGrid/>
        </w:rPr>
        <w:t>宗。不过，这个趋势在二零零零年出现逆转，而在二零零一及二零零二年，数字却又再度下降：二零零零年，每</w:t>
      </w:r>
      <w:r>
        <w:rPr>
          <w:snapToGrid/>
        </w:rPr>
        <w:t>1,000</w:t>
      </w:r>
      <w:r>
        <w:rPr>
          <w:rFonts w:hint="eastAsia"/>
          <w:snapToGrid/>
        </w:rPr>
        <w:t>名青少年有</w:t>
      </w:r>
      <w:r>
        <w:rPr>
          <w:snapToGrid/>
        </w:rPr>
        <w:t>3.33</w:t>
      </w:r>
      <w:r>
        <w:rPr>
          <w:rFonts w:hint="eastAsia"/>
          <w:snapToGrid/>
        </w:rPr>
        <w:t>名滥用药物；二零零一年有</w:t>
      </w:r>
      <w:r>
        <w:rPr>
          <w:snapToGrid/>
        </w:rPr>
        <w:t>3.18</w:t>
      </w:r>
      <w:r>
        <w:rPr>
          <w:rFonts w:hint="eastAsia"/>
          <w:snapToGrid/>
        </w:rPr>
        <w:t>名，二零零二年</w:t>
      </w:r>
      <w:r>
        <w:rPr>
          <w:rStyle w:val="FootnoteReference"/>
          <w:snapToGrid/>
        </w:rPr>
        <w:footnoteReference w:customMarkFollows="1" w:id="43"/>
        <w:t>30</w:t>
      </w:r>
      <w:r>
        <w:rPr>
          <w:rFonts w:hint="eastAsia"/>
          <w:snapToGrid/>
        </w:rPr>
        <w:t>则有</w:t>
      </w:r>
      <w:r>
        <w:rPr>
          <w:snapToGrid/>
        </w:rPr>
        <w:t>2.48</w:t>
      </w:r>
      <w:r>
        <w:rPr>
          <w:rFonts w:hint="eastAsia"/>
          <w:snapToGrid/>
        </w:rPr>
        <w:t>名。同样地，新接报个案的数字亦由一九九九年的</w:t>
      </w:r>
      <w:r>
        <w:rPr>
          <w:snapToGrid/>
        </w:rPr>
        <w:t>701</w:t>
      </w:r>
      <w:r>
        <w:rPr>
          <w:rFonts w:hint="eastAsia"/>
          <w:snapToGrid/>
        </w:rPr>
        <w:t>宗增至二零零零年的</w:t>
      </w:r>
      <w:r>
        <w:rPr>
          <w:snapToGrid/>
        </w:rPr>
        <w:t>1,580</w:t>
      </w:r>
      <w:r>
        <w:rPr>
          <w:rFonts w:hint="eastAsia"/>
          <w:snapToGrid/>
        </w:rPr>
        <w:t>宗，但在二零零一及二零零二年却分别减至</w:t>
      </w:r>
      <w:r>
        <w:rPr>
          <w:snapToGrid/>
        </w:rPr>
        <w:t>1,428</w:t>
      </w:r>
      <w:r>
        <w:rPr>
          <w:rFonts w:hint="eastAsia"/>
          <w:snapToGrid/>
        </w:rPr>
        <w:t>和</w:t>
      </w:r>
      <w:r>
        <w:rPr>
          <w:snapToGrid/>
        </w:rPr>
        <w:t>1,161</w:t>
      </w:r>
      <w:r>
        <w:rPr>
          <w:rFonts w:hint="eastAsia"/>
          <w:snapToGrid/>
        </w:rPr>
        <w:t>宗。</w:t>
      </w:r>
    </w:p>
    <w:p w:rsidR="00000000" w:rsidRDefault="00000000">
      <w:pPr>
        <w:pStyle w:val="Heading4"/>
        <w:rPr>
          <w:rFonts w:hint="eastAsia"/>
        </w:rPr>
      </w:pPr>
      <w:r>
        <w:rPr>
          <w:rFonts w:hint="eastAsia"/>
        </w:rPr>
        <w:t>滥用药物的青少年概况</w:t>
      </w:r>
    </w:p>
    <w:p w:rsidR="00000000" w:rsidRDefault="00000000">
      <w:pPr>
        <w:tabs>
          <w:tab w:val="left" w:pos="567"/>
          <w:tab w:val="left" w:pos="1134"/>
          <w:tab w:val="left" w:pos="1701"/>
        </w:tabs>
        <w:rPr>
          <w:rFonts w:hint="eastAsia"/>
          <w:snapToGrid/>
        </w:rPr>
      </w:pPr>
      <w:r>
        <w:rPr>
          <w:snapToGrid/>
        </w:rPr>
        <w:tab/>
        <w:t xml:space="preserve">525.  </w:t>
      </w:r>
      <w:r>
        <w:rPr>
          <w:rFonts w:hint="eastAsia"/>
          <w:snapToGrid/>
        </w:rPr>
        <w:t>二零零二年，被举报滥用药物的青少年约有</w:t>
      </w:r>
      <w:r>
        <w:rPr>
          <w:snapToGrid/>
        </w:rPr>
        <w:t>1,501</w:t>
      </w:r>
      <w:r>
        <w:rPr>
          <w:rFonts w:hint="eastAsia"/>
          <w:snapToGrid/>
        </w:rPr>
        <w:t>名，平均年龄</w:t>
      </w:r>
      <w:r>
        <w:rPr>
          <w:snapToGrid/>
        </w:rPr>
        <w:t>16</w:t>
      </w:r>
      <w:r>
        <w:rPr>
          <w:rFonts w:hint="eastAsia"/>
          <w:snapToGrid/>
        </w:rPr>
        <w:t>岁。他们大多数滥用精神科药物：当中约有</w:t>
      </w:r>
      <w:r>
        <w:rPr>
          <w:snapToGrid/>
        </w:rPr>
        <w:t>75.8%</w:t>
      </w:r>
      <w:r>
        <w:rPr>
          <w:rFonts w:hint="eastAsia"/>
          <w:snapToGrid/>
        </w:rPr>
        <w:t>服食氯胺酮，</w:t>
      </w:r>
      <w:r>
        <w:rPr>
          <w:snapToGrid/>
        </w:rPr>
        <w:t>40.7%</w:t>
      </w:r>
      <w:r>
        <w:rPr>
          <w:rFonts w:hint="eastAsia"/>
          <w:snapToGrid/>
        </w:rPr>
        <w:t>服用亚甲二氧甲基安非他明</w:t>
      </w:r>
      <w:r>
        <w:rPr>
          <w:snapToGrid/>
        </w:rPr>
        <w:t>(</w:t>
      </w:r>
      <w:r>
        <w:rPr>
          <w:rFonts w:hint="eastAsia"/>
          <w:snapToGrid/>
        </w:rPr>
        <w:t>“摇头丸”</w:t>
      </w:r>
      <w:r>
        <w:rPr>
          <w:snapToGrid/>
        </w:rPr>
        <w:t>)</w:t>
      </w:r>
      <w:r>
        <w:rPr>
          <w:rFonts w:hint="eastAsia"/>
          <w:snapToGrid/>
        </w:rPr>
        <w:t>，</w:t>
      </w:r>
      <w:r>
        <w:rPr>
          <w:snapToGrid/>
        </w:rPr>
        <w:t>26.8%</w:t>
      </w:r>
      <w:r>
        <w:rPr>
          <w:rFonts w:hint="eastAsia"/>
          <w:snapToGrid/>
        </w:rPr>
        <w:t>吸食大麻。他们当中约有</w:t>
      </w:r>
      <w:r>
        <w:rPr>
          <w:snapToGrid/>
        </w:rPr>
        <w:t>62.9%</w:t>
      </w:r>
      <w:r>
        <w:rPr>
          <w:rFonts w:hint="eastAsia"/>
          <w:snapToGrid/>
        </w:rPr>
        <w:t>属男性。此外，约</w:t>
      </w:r>
      <w:r>
        <w:rPr>
          <w:snapToGrid/>
        </w:rPr>
        <w:t>32.2%</w:t>
      </w:r>
      <w:r>
        <w:rPr>
          <w:rFonts w:hint="eastAsia"/>
          <w:snapToGrid/>
        </w:rPr>
        <w:t>有犯罪纪录；</w:t>
      </w:r>
      <w:r>
        <w:rPr>
          <w:snapToGrid/>
        </w:rPr>
        <w:t>21.7%</w:t>
      </w:r>
      <w:r>
        <w:rPr>
          <w:rFonts w:hint="eastAsia"/>
          <w:snapToGrid/>
        </w:rPr>
        <w:t>有工作；</w:t>
      </w:r>
      <w:r>
        <w:rPr>
          <w:snapToGrid/>
        </w:rPr>
        <w:t>39.9%</w:t>
      </w:r>
      <w:r>
        <w:rPr>
          <w:rFonts w:hint="eastAsia"/>
          <w:snapToGrid/>
        </w:rPr>
        <w:t>则仍在求学阶段。</w:t>
      </w:r>
    </w:p>
    <w:p w:rsidR="00000000" w:rsidRDefault="00000000">
      <w:pPr>
        <w:tabs>
          <w:tab w:val="left" w:pos="567"/>
          <w:tab w:val="left" w:pos="1134"/>
          <w:tab w:val="left" w:pos="1701"/>
        </w:tabs>
        <w:spacing w:after="320"/>
        <w:rPr>
          <w:rFonts w:hint="eastAsia"/>
          <w:snapToGrid/>
        </w:rPr>
      </w:pPr>
      <w:r>
        <w:rPr>
          <w:snapToGrid/>
        </w:rPr>
        <w:tab/>
        <w:t xml:space="preserve">526.  </w:t>
      </w:r>
      <w:r>
        <w:rPr>
          <w:rFonts w:hint="eastAsia"/>
          <w:snapToGrid/>
        </w:rPr>
        <w:t>新个案大致与一般趋势相符。在这些新个案中，滥用药物的青少年的平均年龄为</w:t>
      </w:r>
      <w:r>
        <w:rPr>
          <w:snapToGrid/>
        </w:rPr>
        <w:t>15.7</w:t>
      </w:r>
      <w:r>
        <w:rPr>
          <w:rFonts w:hint="eastAsia"/>
          <w:snapToGrid/>
        </w:rPr>
        <w:t>岁。氯胺酮是最普遍的毒品</w:t>
      </w:r>
      <w:r>
        <w:rPr>
          <w:snapToGrid/>
        </w:rPr>
        <w:t>(</w:t>
      </w:r>
      <w:r>
        <w:rPr>
          <w:rFonts w:hint="eastAsia"/>
          <w:snapToGrid/>
        </w:rPr>
        <w:t>占</w:t>
      </w:r>
      <w:r>
        <w:rPr>
          <w:snapToGrid/>
        </w:rPr>
        <w:t>76.5%)</w:t>
      </w:r>
      <w:r>
        <w:rPr>
          <w:rFonts w:hint="eastAsia"/>
          <w:snapToGrid/>
        </w:rPr>
        <w:t>，其次是亚甲二氧甲基安非他明</w:t>
      </w:r>
      <w:r>
        <w:rPr>
          <w:snapToGrid/>
        </w:rPr>
        <w:t>(</w:t>
      </w:r>
      <w:r>
        <w:rPr>
          <w:rFonts w:hint="eastAsia"/>
          <w:snapToGrid/>
        </w:rPr>
        <w:t>“摇头丸”</w:t>
      </w:r>
      <w:r>
        <w:rPr>
          <w:snapToGrid/>
        </w:rPr>
        <w:t>) (</w:t>
      </w:r>
      <w:r>
        <w:rPr>
          <w:rFonts w:hint="eastAsia"/>
          <w:snapToGrid/>
        </w:rPr>
        <w:t>占</w:t>
      </w:r>
      <w:r>
        <w:rPr>
          <w:snapToGrid/>
        </w:rPr>
        <w:t>39.6%)</w:t>
      </w:r>
      <w:r>
        <w:rPr>
          <w:rFonts w:hint="eastAsia"/>
          <w:snapToGrid/>
        </w:rPr>
        <w:t>和大麻</w:t>
      </w:r>
      <w:r>
        <w:rPr>
          <w:snapToGrid/>
        </w:rPr>
        <w:t>(</w:t>
      </w:r>
      <w:r>
        <w:rPr>
          <w:rFonts w:hint="eastAsia"/>
          <w:snapToGrid/>
        </w:rPr>
        <w:t>占</w:t>
      </w:r>
      <w:r>
        <w:rPr>
          <w:snapToGrid/>
        </w:rPr>
        <w:t>26.5%)</w:t>
      </w:r>
      <w:r>
        <w:rPr>
          <w:rFonts w:hint="eastAsia"/>
          <w:snapToGrid/>
        </w:rPr>
        <w:t>。他们当中约有</w:t>
      </w:r>
      <w:r>
        <w:rPr>
          <w:snapToGrid/>
        </w:rPr>
        <w:t>60.6%</w:t>
      </w:r>
      <w:r>
        <w:rPr>
          <w:rFonts w:hint="eastAsia"/>
          <w:snapToGrid/>
        </w:rPr>
        <w:t>属男性。约有</w:t>
      </w:r>
      <w:r>
        <w:rPr>
          <w:snapToGrid/>
        </w:rPr>
        <w:t>33.4%</w:t>
      </w:r>
      <w:r>
        <w:rPr>
          <w:rFonts w:hint="eastAsia"/>
          <w:snapToGrid/>
        </w:rPr>
        <w:t>的滥用药物者有犯罪纪录，</w:t>
      </w:r>
      <w:r>
        <w:rPr>
          <w:snapToGrid/>
        </w:rPr>
        <w:t>20.8%</w:t>
      </w:r>
      <w:r>
        <w:rPr>
          <w:rFonts w:hint="eastAsia"/>
          <w:snapToGrid/>
        </w:rPr>
        <w:t>有工作，超过</w:t>
      </w:r>
      <w:r>
        <w:rPr>
          <w:snapToGrid/>
        </w:rPr>
        <w:t>97%</w:t>
      </w:r>
      <w:r>
        <w:rPr>
          <w:rFonts w:hint="eastAsia"/>
          <w:snapToGrid/>
        </w:rPr>
        <w:t>最少曾接受中学教育。</w:t>
      </w:r>
    </w:p>
    <w:p w:rsidR="00000000" w:rsidRDefault="00000000">
      <w:pPr>
        <w:pStyle w:val="Heading4"/>
        <w:rPr>
          <w:rFonts w:hint="eastAsia"/>
        </w:rPr>
      </w:pPr>
      <w:r>
        <w:rPr>
          <w:rFonts w:hint="eastAsia"/>
        </w:rPr>
        <w:t>政府所采取的措施</w:t>
      </w:r>
    </w:p>
    <w:p w:rsidR="00000000" w:rsidRDefault="00000000">
      <w:pPr>
        <w:tabs>
          <w:tab w:val="left" w:pos="567"/>
          <w:tab w:val="left" w:pos="1134"/>
          <w:tab w:val="left" w:pos="1701"/>
        </w:tabs>
        <w:spacing w:after="320"/>
        <w:rPr>
          <w:rFonts w:hint="eastAsia"/>
          <w:snapToGrid/>
        </w:rPr>
      </w:pPr>
      <w:r>
        <w:rPr>
          <w:snapToGrid/>
        </w:rPr>
        <w:tab/>
        <w:t xml:space="preserve">527.  </w:t>
      </w:r>
      <w:r>
        <w:rPr>
          <w:rFonts w:hint="eastAsia"/>
          <w:snapToGrid/>
        </w:rPr>
        <w:t>我们继续从多方面着手，包括对外合作、立法和执法、戒毒治疗和康复服务、预防教育和宣传，以及研究工作，对付滥用药物的问题。为对付滥用精神科药物的问题，我们于二零零零年四月成立了由多个不同界别代表所组成的专责小组，负责制定全面的策略，以解决滥用精神科药物的问题，特别是青少年滥用药物问题。专责小组已于二零零二年七月公布一系列建议。在这份报告定稿时，我们正落实有关建议。</w:t>
      </w:r>
    </w:p>
    <w:p w:rsidR="00000000" w:rsidRDefault="00000000">
      <w:pPr>
        <w:pStyle w:val="Heading4"/>
        <w:rPr>
          <w:rFonts w:hint="eastAsia"/>
        </w:rPr>
      </w:pPr>
      <w:r>
        <w:rPr>
          <w:rFonts w:hint="eastAsia"/>
        </w:rPr>
        <w:t>禁毒法例和执法工作</w:t>
      </w:r>
    </w:p>
    <w:p w:rsidR="00000000" w:rsidRDefault="00000000">
      <w:pPr>
        <w:tabs>
          <w:tab w:val="left" w:pos="567"/>
          <w:tab w:val="left" w:pos="1134"/>
          <w:tab w:val="left" w:pos="1701"/>
        </w:tabs>
        <w:rPr>
          <w:rFonts w:hint="eastAsia"/>
          <w:snapToGrid/>
        </w:rPr>
      </w:pPr>
      <w:r>
        <w:rPr>
          <w:snapToGrid/>
        </w:rPr>
        <w:tab/>
        <w:t xml:space="preserve">528.  </w:t>
      </w:r>
      <w:r>
        <w:rPr>
          <w:rFonts w:hint="eastAsia"/>
          <w:snapToGrid/>
        </w:rPr>
        <w:t>当局在这方面采取的法定措施，大致上与首份报告第</w:t>
      </w:r>
      <w:r>
        <w:rPr>
          <w:snapToGrid/>
        </w:rPr>
        <w:t>283</w:t>
      </w:r>
      <w:r>
        <w:rPr>
          <w:rFonts w:hint="eastAsia"/>
          <w:snapToGrid/>
        </w:rPr>
        <w:t>段所述的相同。我们会继续定期检讨有关法例。在二零零零及二零零一年，我们修订了《危险药物条例》</w:t>
      </w:r>
      <w:r>
        <w:rPr>
          <w:snapToGrid/>
        </w:rPr>
        <w:t>(</w:t>
      </w:r>
      <w:r>
        <w:rPr>
          <w:rFonts w:hint="eastAsia"/>
          <w:snapToGrid/>
        </w:rPr>
        <w:t>第</w:t>
      </w:r>
      <w:r>
        <w:rPr>
          <w:snapToGrid/>
        </w:rPr>
        <w:t>134</w:t>
      </w:r>
      <w:r>
        <w:rPr>
          <w:rFonts w:hint="eastAsia"/>
          <w:snapToGrid/>
        </w:rPr>
        <w:t>章</w:t>
      </w:r>
      <w:r>
        <w:rPr>
          <w:snapToGrid/>
        </w:rPr>
        <w:t>)</w:t>
      </w:r>
      <w:r>
        <w:rPr>
          <w:rFonts w:hint="eastAsia"/>
          <w:snapToGrid/>
        </w:rPr>
        <w:t>，以加强管制氯胺酮、</w:t>
      </w:r>
      <w:r>
        <w:rPr>
          <w:snapToGrid/>
        </w:rPr>
        <w:t>r-</w:t>
      </w:r>
      <w:r>
        <w:rPr>
          <w:rFonts w:hint="eastAsia"/>
          <w:snapToGrid/>
        </w:rPr>
        <w:t>羟丁酸和</w:t>
      </w:r>
      <w:r>
        <w:rPr>
          <w:snapToGrid/>
        </w:rPr>
        <w:t>4-</w:t>
      </w:r>
      <w:r>
        <w:rPr>
          <w:rFonts w:hint="eastAsia"/>
          <w:snapToGrid/>
        </w:rPr>
        <w:t>甲硫苯丙胺。另外，警务处、海关和卫生署会继续全力打击那些供应违禁药物的不法之徒。</w:t>
      </w:r>
    </w:p>
    <w:p w:rsidR="00000000" w:rsidRDefault="00000000">
      <w:pPr>
        <w:tabs>
          <w:tab w:val="left" w:pos="567"/>
          <w:tab w:val="left" w:pos="1134"/>
        </w:tabs>
        <w:rPr>
          <w:rFonts w:hint="eastAsia"/>
          <w:snapToGrid/>
        </w:rPr>
      </w:pPr>
      <w:r>
        <w:rPr>
          <w:snapToGrid/>
        </w:rPr>
        <w:tab/>
        <w:t xml:space="preserve">529.  </w:t>
      </w:r>
      <w:r>
        <w:rPr>
          <w:rFonts w:hint="eastAsia"/>
          <w:snapToGrid/>
        </w:rPr>
        <w:t>《药物倚赖者治疗康复中心</w:t>
      </w:r>
      <w:r>
        <w:rPr>
          <w:snapToGrid/>
        </w:rPr>
        <w:t>(</w:t>
      </w:r>
      <w:r>
        <w:rPr>
          <w:rFonts w:hint="eastAsia"/>
          <w:snapToGrid/>
        </w:rPr>
        <w:t>发牌</w:t>
      </w:r>
      <w:r>
        <w:rPr>
          <w:snapToGrid/>
        </w:rPr>
        <w:t>)</w:t>
      </w:r>
      <w:r>
        <w:rPr>
          <w:rFonts w:hint="eastAsia"/>
          <w:snapToGrid/>
        </w:rPr>
        <w:t>条例》</w:t>
      </w:r>
      <w:r>
        <w:rPr>
          <w:snapToGrid/>
        </w:rPr>
        <w:t>(</w:t>
      </w:r>
      <w:r>
        <w:rPr>
          <w:rFonts w:hint="eastAsia"/>
          <w:snapToGrid/>
        </w:rPr>
        <w:t>第</w:t>
      </w:r>
      <w:r>
        <w:rPr>
          <w:snapToGrid/>
        </w:rPr>
        <w:t>566</w:t>
      </w:r>
      <w:r>
        <w:rPr>
          <w:rFonts w:hint="eastAsia"/>
          <w:snapToGrid/>
        </w:rPr>
        <w:t>章</w:t>
      </w:r>
      <w:r>
        <w:rPr>
          <w:snapToGrid/>
        </w:rPr>
        <w:t>)</w:t>
      </w:r>
      <w:r>
        <w:rPr>
          <w:rFonts w:hint="eastAsia"/>
          <w:snapToGrid/>
        </w:rPr>
        <w:t>已在二零零二年四月生效。该条例旨在确保药物倚赖者可在管理妥善及安全的环境下，接受药物治疗和康复服务。条例规定所有在二零零二年四月一日或之后开始运作的治疗康复中心，必须申领牌照。</w:t>
      </w:r>
    </w:p>
    <w:p w:rsidR="00000000" w:rsidRDefault="00000000">
      <w:pPr>
        <w:pStyle w:val="Heading4"/>
        <w:spacing w:before="320"/>
        <w:rPr>
          <w:rFonts w:hint="eastAsia"/>
        </w:rPr>
      </w:pPr>
      <w:r>
        <w:rPr>
          <w:rFonts w:hint="eastAsia"/>
        </w:rPr>
        <w:t>国际合作</w:t>
      </w:r>
    </w:p>
    <w:p w:rsidR="00000000" w:rsidRDefault="00000000">
      <w:pPr>
        <w:tabs>
          <w:tab w:val="left" w:pos="567"/>
          <w:tab w:val="left" w:pos="1134"/>
          <w:tab w:val="left" w:pos="1701"/>
        </w:tabs>
        <w:spacing w:after="320"/>
        <w:rPr>
          <w:rFonts w:hint="eastAsia"/>
          <w:snapToGrid/>
        </w:rPr>
      </w:pPr>
      <w:r>
        <w:rPr>
          <w:snapToGrid/>
        </w:rPr>
        <w:tab/>
        <w:t xml:space="preserve">530.  </w:t>
      </w:r>
      <w:r>
        <w:rPr>
          <w:rFonts w:hint="eastAsia"/>
          <w:snapToGrid/>
        </w:rPr>
        <w:t>我们参与从事禁毒工作的国际组织的情况，大致上与首份报告第</w:t>
      </w:r>
      <w:r>
        <w:rPr>
          <w:snapToGrid/>
        </w:rPr>
        <w:t>285</w:t>
      </w:r>
      <w:r>
        <w:rPr>
          <w:rFonts w:hint="eastAsia"/>
          <w:snapToGrid/>
        </w:rPr>
        <w:t>段所述的相同。二零零零年十一月，美利坚合众国政府不再把香港列入主要毒品转运中心</w:t>
      </w:r>
      <w:r>
        <w:rPr>
          <w:snapToGrid/>
        </w:rPr>
        <w:t>/</w:t>
      </w:r>
      <w:r>
        <w:rPr>
          <w:rFonts w:hint="eastAsia"/>
          <w:snapToGrid/>
        </w:rPr>
        <w:t>地区的名单内，此举肯定了我们近年来在禁毒工作方面的努力和成果。</w:t>
      </w:r>
    </w:p>
    <w:p w:rsidR="00000000" w:rsidRDefault="00000000">
      <w:pPr>
        <w:pStyle w:val="Heading4"/>
        <w:rPr>
          <w:rFonts w:hint="eastAsia"/>
        </w:rPr>
      </w:pPr>
      <w:r>
        <w:rPr>
          <w:rFonts w:hint="eastAsia"/>
        </w:rPr>
        <w:t>禁毒教育和宣传</w:t>
      </w:r>
    </w:p>
    <w:p w:rsidR="00000000" w:rsidRDefault="00000000">
      <w:pPr>
        <w:tabs>
          <w:tab w:val="left" w:pos="567"/>
          <w:tab w:val="left" w:pos="1134"/>
          <w:tab w:val="left" w:pos="1701"/>
        </w:tabs>
        <w:spacing w:after="320"/>
        <w:rPr>
          <w:rFonts w:hint="eastAsia"/>
          <w:snapToGrid/>
        </w:rPr>
      </w:pPr>
      <w:r>
        <w:rPr>
          <w:snapToGrid/>
        </w:rPr>
        <w:tab/>
        <w:t xml:space="preserve">531.  </w:t>
      </w:r>
      <w:r>
        <w:rPr>
          <w:rFonts w:hint="eastAsia"/>
          <w:snapToGrid/>
        </w:rPr>
        <w:t>我们在这方面的工作继续以首份报告第</w:t>
      </w:r>
      <w:r>
        <w:rPr>
          <w:snapToGrid/>
        </w:rPr>
        <w:t>286</w:t>
      </w:r>
      <w:r>
        <w:rPr>
          <w:rFonts w:hint="eastAsia"/>
          <w:snapToGrid/>
        </w:rPr>
        <w:t>段所述的方式进行。在二零零二至零三年间，我们动用了约</w:t>
      </w:r>
      <w:r>
        <w:rPr>
          <w:snapToGrid/>
        </w:rPr>
        <w:t>400</w:t>
      </w:r>
      <w:r>
        <w:rPr>
          <w:rFonts w:hint="eastAsia"/>
          <w:snapToGrid/>
        </w:rPr>
        <w:t>万港元推行一连串计划，包括推行一个禁毒义工团计划、为社工举办研讨会和工作坊、推行社区参与计划等。而新措施则包括在二零零零年启用了设有图书馆和多用途室的药物资讯天地第一期。第二期工程包括兴建一个特定用途展览馆，预计在二零零三年竣工。</w:t>
      </w:r>
    </w:p>
    <w:p w:rsidR="00000000" w:rsidRDefault="00000000">
      <w:pPr>
        <w:pStyle w:val="Heading4"/>
        <w:rPr>
          <w:rFonts w:hint="eastAsia"/>
        </w:rPr>
      </w:pPr>
      <w:r>
        <w:rPr>
          <w:rFonts w:hint="eastAsia"/>
        </w:rPr>
        <w:t>学</w:t>
      </w:r>
      <w:r>
        <w:t xml:space="preserve">  </w:t>
      </w:r>
      <w:r>
        <w:rPr>
          <w:rFonts w:hint="eastAsia"/>
        </w:rPr>
        <w:t>校</w:t>
      </w:r>
    </w:p>
    <w:p w:rsidR="00000000" w:rsidRDefault="00000000">
      <w:pPr>
        <w:tabs>
          <w:tab w:val="left" w:pos="567"/>
          <w:tab w:val="left" w:pos="1134"/>
          <w:tab w:val="left" w:pos="1701"/>
        </w:tabs>
        <w:rPr>
          <w:rFonts w:hint="eastAsia"/>
          <w:snapToGrid/>
        </w:rPr>
      </w:pPr>
      <w:r>
        <w:rPr>
          <w:snapToGrid/>
        </w:rPr>
        <w:tab/>
        <w:t xml:space="preserve">532.  </w:t>
      </w:r>
      <w:r>
        <w:rPr>
          <w:rFonts w:hint="eastAsia"/>
          <w:snapToGrid/>
        </w:rPr>
        <w:t>禁毒教育仍然是整体学校课程的一部分。我们在这方面的工作继续以首份报告第</w:t>
      </w:r>
      <w:r>
        <w:rPr>
          <w:snapToGrid/>
        </w:rPr>
        <w:t>287</w:t>
      </w:r>
      <w:r>
        <w:rPr>
          <w:rFonts w:hint="eastAsia"/>
          <w:snapToGrid/>
        </w:rPr>
        <w:t>至</w:t>
      </w:r>
      <w:r>
        <w:rPr>
          <w:snapToGrid/>
        </w:rPr>
        <w:t>289</w:t>
      </w:r>
      <w:r>
        <w:rPr>
          <w:rFonts w:hint="eastAsia"/>
          <w:snapToGrid/>
        </w:rPr>
        <w:t>段所述的方式进行。以往我们一直集中为以中文授课的学校提供服务，但在二零零一年，我们的服务范围已扩展至那些主要录取不谙中文的学生的学校。我们亦为高中学生举办由已康复的滥用药物青少年主持的分享会。在二零零二年，我们举办了约</w:t>
      </w:r>
      <w:r>
        <w:rPr>
          <w:snapToGrid/>
        </w:rPr>
        <w:t>1,910</w:t>
      </w:r>
      <w:r>
        <w:rPr>
          <w:rFonts w:hint="eastAsia"/>
          <w:snapToGrid/>
        </w:rPr>
        <w:t>次药物教育讲座，参加的学生超过</w:t>
      </w:r>
      <w:r>
        <w:rPr>
          <w:snapToGrid/>
        </w:rPr>
        <w:t>15</w:t>
      </w:r>
      <w:r>
        <w:rPr>
          <w:rFonts w:hint="eastAsia"/>
          <w:snapToGrid/>
        </w:rPr>
        <w:t>万人。</w:t>
      </w:r>
    </w:p>
    <w:p w:rsidR="00000000" w:rsidRDefault="00000000">
      <w:pPr>
        <w:tabs>
          <w:tab w:val="left" w:pos="567"/>
          <w:tab w:val="left" w:pos="1134"/>
          <w:tab w:val="left" w:pos="1701"/>
        </w:tabs>
        <w:spacing w:after="320"/>
        <w:rPr>
          <w:rFonts w:hint="eastAsia"/>
          <w:i/>
          <w:snapToGrid/>
        </w:rPr>
      </w:pPr>
      <w:r>
        <w:rPr>
          <w:snapToGrid/>
        </w:rPr>
        <w:tab/>
        <w:t xml:space="preserve">533.  </w:t>
      </w:r>
      <w:r>
        <w:rPr>
          <w:rFonts w:hint="eastAsia"/>
          <w:snapToGrid/>
        </w:rPr>
        <w:t>我们一直定期为教师举办药物教育讲座。在二零零二年，我们把全新制作的药物教育教材分发予中学教师，让他们获得这方面的最新资料，并利用这套教材为学生举行教育讲座。另外，学生家长仍然是我们的目标对象</w:t>
      </w:r>
      <w:r>
        <w:rPr>
          <w:rFonts w:hint="eastAsia"/>
          <w:snapToGrid/>
          <w:spacing w:val="-40"/>
        </w:rPr>
        <w:t>――</w:t>
      </w:r>
      <w:r>
        <w:rPr>
          <w:rFonts w:hint="eastAsia"/>
          <w:snapToGrid/>
          <w:spacing w:val="-40"/>
        </w:rPr>
        <w:t xml:space="preserve"> </w:t>
      </w:r>
      <w:r>
        <w:rPr>
          <w:rFonts w:hint="eastAsia"/>
          <w:snapToGrid/>
        </w:rPr>
        <w:t>我们在二零零二年为大约</w:t>
      </w:r>
      <w:r>
        <w:rPr>
          <w:snapToGrid/>
        </w:rPr>
        <w:t>2,790</w:t>
      </w:r>
      <w:r>
        <w:rPr>
          <w:rFonts w:hint="eastAsia"/>
          <w:snapToGrid/>
        </w:rPr>
        <w:t>名家长举办禁毒教育讲座。我们在这方面的工作继续以首份报告第</w:t>
      </w:r>
      <w:r>
        <w:rPr>
          <w:snapToGrid/>
        </w:rPr>
        <w:t>289</w:t>
      </w:r>
      <w:r>
        <w:rPr>
          <w:rFonts w:hint="eastAsia"/>
          <w:snapToGrid/>
        </w:rPr>
        <w:t>段所述的方式进行。</w:t>
      </w:r>
    </w:p>
    <w:p w:rsidR="00000000" w:rsidRDefault="00000000">
      <w:pPr>
        <w:pStyle w:val="Heading4"/>
        <w:rPr>
          <w:rFonts w:hint="eastAsia"/>
        </w:rPr>
      </w:pPr>
      <w:r>
        <w:rPr>
          <w:rFonts w:hint="eastAsia"/>
        </w:rPr>
        <w:t>研</w:t>
      </w:r>
      <w:r>
        <w:t xml:space="preserve">  </w:t>
      </w:r>
      <w:r>
        <w:rPr>
          <w:rFonts w:hint="eastAsia"/>
        </w:rPr>
        <w:t>究</w:t>
      </w:r>
    </w:p>
    <w:p w:rsidR="00000000" w:rsidRDefault="00000000">
      <w:pPr>
        <w:tabs>
          <w:tab w:val="left" w:pos="567"/>
          <w:tab w:val="left" w:pos="1134"/>
          <w:tab w:val="left" w:pos="1701"/>
        </w:tabs>
        <w:spacing w:after="320"/>
        <w:rPr>
          <w:rFonts w:hint="eastAsia"/>
          <w:snapToGrid/>
        </w:rPr>
      </w:pPr>
      <w:r>
        <w:rPr>
          <w:snapToGrid/>
        </w:rPr>
        <w:tab/>
        <w:t xml:space="preserve">534.  </w:t>
      </w:r>
      <w:r>
        <w:rPr>
          <w:rFonts w:hint="eastAsia"/>
          <w:snapToGrid/>
        </w:rPr>
        <w:t>禁毒常务委员会辖下有小组委员会负责统筹有关药物的研究工作</w:t>
      </w:r>
      <w:r>
        <w:rPr>
          <w:snapToGrid/>
        </w:rPr>
        <w:t>(</w:t>
      </w:r>
      <w:r>
        <w:rPr>
          <w:rFonts w:hint="eastAsia"/>
          <w:snapToGrid/>
        </w:rPr>
        <w:t>首份报告第</w:t>
      </w:r>
      <w:r>
        <w:rPr>
          <w:snapToGrid/>
        </w:rPr>
        <w:t>286</w:t>
      </w:r>
      <w:r>
        <w:rPr>
          <w:rFonts w:hint="eastAsia"/>
          <w:snapToGrid/>
        </w:rPr>
        <w:t>段</w:t>
      </w:r>
      <w:r>
        <w:rPr>
          <w:snapToGrid/>
        </w:rPr>
        <w:t>)</w:t>
      </w:r>
      <w:r>
        <w:rPr>
          <w:rFonts w:hint="eastAsia"/>
          <w:snapToGrid/>
        </w:rPr>
        <w:t>。研究结果为政府在制定禁毒政策方面提供了实用的指引。另外，设备电脑化的药物滥用资料中央档案室，负责监察本港药物滥用的趋势和滥用药物者的特性的重要变化，并保存有用的统计数据。档案室会每半年发表一次统计报告，汇报有关概况。</w:t>
      </w:r>
    </w:p>
    <w:p w:rsidR="00000000" w:rsidRDefault="00000000">
      <w:pPr>
        <w:pStyle w:val="Heading4"/>
        <w:rPr>
          <w:rFonts w:hint="eastAsia"/>
        </w:rPr>
      </w:pPr>
      <w:r>
        <w:rPr>
          <w:rFonts w:hint="eastAsia"/>
          <w:u w:val="none"/>
        </w:rPr>
        <w:t>“</w:t>
      </w:r>
      <w:r>
        <w:rPr>
          <w:rFonts w:hint="eastAsia"/>
        </w:rPr>
        <w:t>禁毒基金</w:t>
      </w:r>
      <w:r>
        <w:rPr>
          <w:rFonts w:hint="eastAsia"/>
          <w:u w:val="none"/>
        </w:rPr>
        <w:t>”</w:t>
      </w:r>
    </w:p>
    <w:p w:rsidR="00000000" w:rsidRDefault="00000000">
      <w:pPr>
        <w:tabs>
          <w:tab w:val="left" w:pos="567"/>
          <w:tab w:val="left" w:pos="1134"/>
          <w:tab w:val="left" w:pos="1701"/>
        </w:tabs>
        <w:spacing w:after="320"/>
        <w:rPr>
          <w:rFonts w:hint="eastAsia"/>
          <w:snapToGrid/>
        </w:rPr>
      </w:pPr>
      <w:r>
        <w:rPr>
          <w:snapToGrid/>
        </w:rPr>
        <w:tab/>
        <w:t xml:space="preserve">535.  </w:t>
      </w:r>
      <w:r>
        <w:rPr>
          <w:rFonts w:hint="eastAsia"/>
          <w:snapToGrid/>
        </w:rPr>
        <w:t>有关情况并无改变，与首份报告第</w:t>
      </w:r>
      <w:r>
        <w:rPr>
          <w:snapToGrid/>
        </w:rPr>
        <w:t>290</w:t>
      </w:r>
      <w:r>
        <w:rPr>
          <w:rFonts w:hint="eastAsia"/>
          <w:snapToGrid/>
        </w:rPr>
        <w:t>段所述的相同。在一九九六至二零零二年间，基金共拨出</w:t>
      </w:r>
      <w:r>
        <w:rPr>
          <w:snapToGrid/>
        </w:rPr>
        <w:t>1.137</w:t>
      </w:r>
      <w:r>
        <w:rPr>
          <w:rFonts w:hint="eastAsia"/>
          <w:snapToGrid/>
        </w:rPr>
        <w:t>亿港元资助</w:t>
      </w:r>
      <w:r>
        <w:rPr>
          <w:snapToGrid/>
        </w:rPr>
        <w:t>238</w:t>
      </w:r>
      <w:r>
        <w:rPr>
          <w:rFonts w:hint="eastAsia"/>
          <w:snapToGrid/>
        </w:rPr>
        <w:t>项计划。</w:t>
      </w:r>
    </w:p>
    <w:p w:rsidR="00000000" w:rsidRDefault="00000000">
      <w:pPr>
        <w:pStyle w:val="Heading4"/>
        <w:rPr>
          <w:rFonts w:hint="eastAsia"/>
        </w:rPr>
      </w:pPr>
      <w:r>
        <w:rPr>
          <w:rFonts w:hint="eastAsia"/>
        </w:rPr>
        <w:t>为滥用药物的青少年提供的服务</w:t>
      </w:r>
    </w:p>
    <w:p w:rsidR="00000000" w:rsidRDefault="00000000">
      <w:pPr>
        <w:tabs>
          <w:tab w:val="left" w:pos="567"/>
          <w:tab w:val="left" w:pos="1134"/>
          <w:tab w:val="left" w:pos="1701"/>
        </w:tabs>
        <w:spacing w:after="320"/>
        <w:rPr>
          <w:rFonts w:hint="eastAsia"/>
          <w:snapToGrid/>
        </w:rPr>
      </w:pPr>
      <w:r>
        <w:rPr>
          <w:snapToGrid/>
        </w:rPr>
        <w:tab/>
        <w:t xml:space="preserve">536.  </w:t>
      </w:r>
      <w:r>
        <w:rPr>
          <w:rFonts w:hint="eastAsia"/>
          <w:snapToGrid/>
        </w:rPr>
        <w:t>这方面的情况大致上与首份报告第</w:t>
      </w:r>
      <w:r>
        <w:rPr>
          <w:snapToGrid/>
        </w:rPr>
        <w:t>291</w:t>
      </w:r>
      <w:r>
        <w:rPr>
          <w:rFonts w:hint="eastAsia"/>
          <w:snapToGrid/>
        </w:rPr>
        <w:t>至</w:t>
      </w:r>
      <w:r>
        <w:rPr>
          <w:snapToGrid/>
        </w:rPr>
        <w:t>292</w:t>
      </w:r>
      <w:r>
        <w:rPr>
          <w:rFonts w:hint="eastAsia"/>
          <w:snapToGrid/>
        </w:rPr>
        <w:t>段所述的相同。但在二零零二年十月，我们开设了两间新的辅导中心，令本港辅导中心的数目增至五间。这两所新的辅导中心负责解决滥用精神药物的问题，对象主要是</w:t>
      </w:r>
      <w:r>
        <w:rPr>
          <w:snapToGrid/>
        </w:rPr>
        <w:t>21</w:t>
      </w:r>
      <w:r>
        <w:rPr>
          <w:rFonts w:hint="eastAsia"/>
          <w:snapToGrid/>
        </w:rPr>
        <w:t>岁以下的青少年。其服务范围包括为滥用精神药物者提供治疗和康复服务，为青少年提供预防教育，以及为专职人士</w:t>
      </w:r>
      <w:r>
        <w:rPr>
          <w:snapToGrid/>
        </w:rPr>
        <w:t>(</w:t>
      </w:r>
      <w:r>
        <w:rPr>
          <w:rFonts w:hint="eastAsia"/>
          <w:snapToGrid/>
        </w:rPr>
        <w:t>例如教师</w:t>
      </w:r>
      <w:r>
        <w:rPr>
          <w:snapToGrid/>
        </w:rPr>
        <w:t>)</w:t>
      </w:r>
      <w:r>
        <w:rPr>
          <w:rFonts w:hint="eastAsia"/>
          <w:snapToGrid/>
        </w:rPr>
        <w:t>提供训练。另外，以往社会福利署为推行“健康新一代”计划而提供的学校教育课程，由二零零二年七月起改由现有的辅导中心负责，目的是为滥用药物的青少年提供一站式服务。</w:t>
      </w:r>
    </w:p>
    <w:p w:rsidR="00000000" w:rsidRDefault="00000000">
      <w:pPr>
        <w:pStyle w:val="Heading4"/>
        <w:rPr>
          <w:rFonts w:hint="eastAsia"/>
        </w:rPr>
      </w:pPr>
      <w:r>
        <w:rPr>
          <w:rFonts w:hint="eastAsia"/>
        </w:rPr>
        <w:t>为滥用药物的青少年提供的教育服务</w:t>
      </w:r>
    </w:p>
    <w:p w:rsidR="00000000" w:rsidRDefault="00000000">
      <w:pPr>
        <w:tabs>
          <w:tab w:val="left" w:pos="567"/>
          <w:tab w:val="left" w:pos="1134"/>
          <w:tab w:val="left" w:pos="1701"/>
        </w:tabs>
        <w:spacing w:after="320"/>
        <w:rPr>
          <w:rFonts w:hint="eastAsia"/>
          <w:snapToGrid/>
        </w:rPr>
      </w:pPr>
      <w:r>
        <w:rPr>
          <w:snapToGrid/>
        </w:rPr>
        <w:tab/>
        <w:t xml:space="preserve">537.  </w:t>
      </w:r>
      <w:r>
        <w:rPr>
          <w:rFonts w:hint="eastAsia"/>
          <w:snapToGrid/>
        </w:rPr>
        <w:t>当局为滥用药物的青少年提供教育服务的情况，大致上与首份报告第</w:t>
      </w:r>
      <w:r>
        <w:rPr>
          <w:snapToGrid/>
        </w:rPr>
        <w:t>293</w:t>
      </w:r>
      <w:r>
        <w:rPr>
          <w:rFonts w:hint="eastAsia"/>
          <w:snapToGrid/>
        </w:rPr>
        <w:t>段所述的相同。</w:t>
      </w:r>
    </w:p>
    <w:p w:rsidR="00000000" w:rsidRDefault="00000000">
      <w:pPr>
        <w:pStyle w:val="Heading4"/>
        <w:rPr>
          <w:rFonts w:hint="eastAsia"/>
        </w:rPr>
      </w:pPr>
      <w:r>
        <w:rPr>
          <w:rFonts w:hint="eastAsia"/>
        </w:rPr>
        <w:t>治疗和康复工作</w:t>
      </w:r>
    </w:p>
    <w:p w:rsidR="00000000" w:rsidRDefault="00000000">
      <w:pPr>
        <w:tabs>
          <w:tab w:val="left" w:pos="567"/>
          <w:tab w:val="left" w:pos="1134"/>
          <w:tab w:val="left" w:pos="1701"/>
        </w:tabs>
        <w:rPr>
          <w:rFonts w:hint="eastAsia"/>
          <w:snapToGrid/>
        </w:rPr>
      </w:pPr>
      <w:r>
        <w:rPr>
          <w:snapToGrid/>
        </w:rPr>
        <w:tab/>
        <w:t xml:space="preserve">538.  </w:t>
      </w:r>
      <w:r>
        <w:rPr>
          <w:rFonts w:hint="eastAsia"/>
          <w:snapToGrid/>
        </w:rPr>
        <w:t>政府在这范畴资助的计划，大致上与上一份报告第</w:t>
      </w:r>
      <w:r>
        <w:rPr>
          <w:snapToGrid/>
        </w:rPr>
        <w:t>294</w:t>
      </w:r>
      <w:r>
        <w:rPr>
          <w:rFonts w:hint="eastAsia"/>
          <w:snapToGrid/>
        </w:rPr>
        <w:t>至</w:t>
      </w:r>
      <w:r>
        <w:rPr>
          <w:snapToGrid/>
        </w:rPr>
        <w:t>295</w:t>
      </w:r>
      <w:r>
        <w:rPr>
          <w:rFonts w:hint="eastAsia"/>
          <w:snapToGrid/>
        </w:rPr>
        <w:t>段所述的相同。另外，当局现资助一个非政府机构，为滥药康复者设立交谊会所。在二零零一至零二年度有关的开支共</w:t>
      </w:r>
      <w:r>
        <w:rPr>
          <w:snapToGrid/>
        </w:rPr>
        <w:t>3.41</w:t>
      </w:r>
      <w:r>
        <w:rPr>
          <w:rFonts w:hint="eastAsia"/>
          <w:snapToGrid/>
        </w:rPr>
        <w:t>亿港元。在二零零二至二零零三年度，我们共拨款</w:t>
      </w:r>
      <w:r>
        <w:rPr>
          <w:snapToGrid/>
        </w:rPr>
        <w:t>460</w:t>
      </w:r>
      <w:r>
        <w:rPr>
          <w:rFonts w:hint="eastAsia"/>
          <w:snapToGrid/>
        </w:rPr>
        <w:t>万港元资助以下项目：</w:t>
      </w:r>
    </w:p>
    <w:p w:rsidR="00000000" w:rsidRDefault="00000000">
      <w:pPr>
        <w:numPr>
          <w:ilvl w:val="0"/>
          <w:numId w:val="147"/>
        </w:numPr>
        <w:rPr>
          <w:rFonts w:hint="eastAsia"/>
          <w:snapToGrid/>
        </w:rPr>
      </w:pPr>
      <w:r>
        <w:rPr>
          <w:rFonts w:hint="eastAsia"/>
          <w:snapToGrid/>
        </w:rPr>
        <w:t>增设上文第</w:t>
      </w:r>
      <w:r>
        <w:rPr>
          <w:snapToGrid/>
        </w:rPr>
        <w:t>536</w:t>
      </w:r>
      <w:r>
        <w:rPr>
          <w:rFonts w:hint="eastAsia"/>
          <w:snapToGrid/>
        </w:rPr>
        <w:t>段所述的两间新辅导中心；</w:t>
      </w:r>
    </w:p>
    <w:p w:rsidR="00000000" w:rsidRDefault="00000000">
      <w:pPr>
        <w:numPr>
          <w:ilvl w:val="0"/>
          <w:numId w:val="147"/>
        </w:numPr>
        <w:rPr>
          <w:rFonts w:hint="eastAsia"/>
          <w:snapToGrid/>
        </w:rPr>
      </w:pPr>
      <w:r>
        <w:rPr>
          <w:rFonts w:hint="eastAsia"/>
          <w:snapToGrid/>
        </w:rPr>
        <w:t>改善美沙酮诊所的设施，并加强为求诊者提供的服务；</w:t>
      </w:r>
    </w:p>
    <w:p w:rsidR="00000000" w:rsidRDefault="00000000">
      <w:pPr>
        <w:numPr>
          <w:ilvl w:val="0"/>
          <w:numId w:val="147"/>
        </w:numPr>
        <w:rPr>
          <w:rFonts w:hint="eastAsia"/>
          <w:snapToGrid/>
        </w:rPr>
      </w:pPr>
      <w:r>
        <w:rPr>
          <w:rFonts w:hint="eastAsia"/>
          <w:snapToGrid/>
        </w:rPr>
        <w:t>为滥用多种药物者拟订审查和评估程序；和</w:t>
      </w:r>
    </w:p>
    <w:p w:rsidR="00000000" w:rsidRDefault="00000000">
      <w:pPr>
        <w:numPr>
          <w:ilvl w:val="0"/>
          <w:numId w:val="147"/>
        </w:numPr>
        <w:rPr>
          <w:rFonts w:hint="eastAsia"/>
          <w:snapToGrid/>
        </w:rPr>
      </w:pPr>
      <w:r>
        <w:rPr>
          <w:rFonts w:hint="eastAsia"/>
          <w:snapToGrid/>
        </w:rPr>
        <w:t>设立传统中医药戒毒治疗数据库。</w:t>
      </w:r>
    </w:p>
    <w:p w:rsidR="00000000" w:rsidRDefault="00000000">
      <w:pPr>
        <w:tabs>
          <w:tab w:val="left" w:pos="567"/>
          <w:tab w:val="left" w:pos="1134"/>
          <w:tab w:val="left" w:pos="1701"/>
        </w:tabs>
        <w:spacing w:after="320"/>
        <w:rPr>
          <w:rFonts w:hint="eastAsia"/>
          <w:snapToGrid/>
        </w:rPr>
      </w:pPr>
      <w:r>
        <w:rPr>
          <w:snapToGrid/>
        </w:rPr>
        <w:tab/>
        <w:t xml:space="preserve">539.  </w:t>
      </w:r>
      <w:r>
        <w:rPr>
          <w:rFonts w:hint="eastAsia"/>
          <w:snapToGrid/>
        </w:rPr>
        <w:t>关于有毒癖的囚犯的情况，与首份报告第</w:t>
      </w:r>
      <w:r>
        <w:rPr>
          <w:snapToGrid/>
        </w:rPr>
        <w:t>295</w:t>
      </w:r>
      <w:r>
        <w:rPr>
          <w:rFonts w:hint="eastAsia"/>
          <w:snapToGrid/>
        </w:rPr>
        <w:t>至</w:t>
      </w:r>
      <w:r>
        <w:rPr>
          <w:snapToGrid/>
        </w:rPr>
        <w:t>297</w:t>
      </w:r>
      <w:r>
        <w:rPr>
          <w:rFonts w:hint="eastAsia"/>
          <w:snapToGrid/>
        </w:rPr>
        <w:t>段所述的相同。</w:t>
      </w:r>
    </w:p>
    <w:p w:rsidR="00000000" w:rsidRDefault="00000000">
      <w:pPr>
        <w:pStyle w:val="a3"/>
        <w:jc w:val="left"/>
        <w:rPr>
          <w:rFonts w:hint="eastAsia"/>
        </w:rPr>
      </w:pPr>
      <w:r>
        <w:rPr>
          <w:rFonts w:hint="eastAsia"/>
        </w:rPr>
        <w:t>照顾长者</w:t>
      </w:r>
    </w:p>
    <w:p w:rsidR="00000000" w:rsidRDefault="00000000">
      <w:pPr>
        <w:pStyle w:val="Heading4"/>
        <w:rPr>
          <w:rFonts w:hint="eastAsia"/>
        </w:rPr>
      </w:pPr>
      <w:r>
        <w:rPr>
          <w:rFonts w:hint="eastAsia"/>
        </w:rPr>
        <w:t>安老事务委员会</w:t>
      </w:r>
    </w:p>
    <w:p w:rsidR="00000000" w:rsidRDefault="00000000">
      <w:pPr>
        <w:tabs>
          <w:tab w:val="left" w:pos="567"/>
          <w:tab w:val="left" w:pos="1134"/>
        </w:tabs>
        <w:spacing w:after="320"/>
        <w:rPr>
          <w:snapToGrid/>
        </w:rPr>
      </w:pPr>
      <w:r>
        <w:rPr>
          <w:snapToGrid/>
        </w:rPr>
        <w:tab/>
        <w:t xml:space="preserve">540.  </w:t>
      </w:r>
      <w:r>
        <w:rPr>
          <w:rFonts w:hint="eastAsia"/>
          <w:snapToGrid/>
        </w:rPr>
        <w:t>安老事务委员会的职能大致上与首份报告第</w:t>
      </w:r>
      <w:r>
        <w:rPr>
          <w:snapToGrid/>
        </w:rPr>
        <w:t>299</w:t>
      </w:r>
      <w:r>
        <w:rPr>
          <w:rFonts w:hint="eastAsia"/>
          <w:snapToGrid/>
        </w:rPr>
        <w:t>至</w:t>
      </w:r>
      <w:r>
        <w:rPr>
          <w:snapToGrid/>
        </w:rPr>
        <w:t>301</w:t>
      </w:r>
      <w:r>
        <w:rPr>
          <w:rFonts w:hint="eastAsia"/>
          <w:snapToGrid/>
        </w:rPr>
        <w:t>段所述的相同。该委员会现时有</w:t>
      </w:r>
      <w:r>
        <w:rPr>
          <w:snapToGrid/>
        </w:rPr>
        <w:t>12</w:t>
      </w:r>
      <w:r>
        <w:rPr>
          <w:rFonts w:hint="eastAsia"/>
          <w:snapToGrid/>
        </w:rPr>
        <w:t>名非公职委员。委员会近日致力制定策略，以迎接人口老化带来的挑战和机遇，并通过宣传让公众认识人口老化问题对社会和经济的影响。</w:t>
      </w:r>
    </w:p>
    <w:p w:rsidR="00000000" w:rsidRDefault="00000000">
      <w:pPr>
        <w:pStyle w:val="Heading4"/>
        <w:rPr>
          <w:rFonts w:hint="eastAsia"/>
        </w:rPr>
      </w:pPr>
      <w:r>
        <w:rPr>
          <w:rFonts w:hint="eastAsia"/>
        </w:rPr>
        <w:t>支援有需要照顾长者的家庭</w:t>
      </w:r>
    </w:p>
    <w:p w:rsidR="00000000" w:rsidRDefault="00000000">
      <w:pPr>
        <w:tabs>
          <w:tab w:val="left" w:pos="567"/>
          <w:tab w:val="left" w:pos="1134"/>
        </w:tabs>
        <w:rPr>
          <w:rFonts w:hint="eastAsia"/>
          <w:snapToGrid/>
        </w:rPr>
      </w:pPr>
      <w:r>
        <w:rPr>
          <w:snapToGrid/>
        </w:rPr>
        <w:tab/>
        <w:t xml:space="preserve">541.  </w:t>
      </w:r>
      <w:r>
        <w:rPr>
          <w:rFonts w:hint="eastAsia"/>
          <w:snapToGrid/>
        </w:rPr>
        <w:t>政府在这方面的政策，是尽量协助长者在社区安享晚年，并让家庭能够在家中照顾长者。</w:t>
      </w:r>
    </w:p>
    <w:p w:rsidR="00000000" w:rsidRDefault="00000000">
      <w:pPr>
        <w:tabs>
          <w:tab w:val="left" w:pos="567"/>
          <w:tab w:val="left" w:pos="1134"/>
        </w:tabs>
        <w:rPr>
          <w:rFonts w:hint="eastAsia"/>
          <w:snapToGrid/>
        </w:rPr>
      </w:pPr>
      <w:r>
        <w:rPr>
          <w:snapToGrid/>
        </w:rPr>
        <w:tab/>
        <w:t xml:space="preserve">542.  </w:t>
      </w:r>
      <w:r>
        <w:rPr>
          <w:rFonts w:hint="eastAsia"/>
          <w:snapToGrid/>
        </w:rPr>
        <w:t>我们为体弱的长者提供的长期护理计划，包括社区照顾和院舍照顾服务。当局会根据长者及其家人的需要和情况，提供有关服务和援助。</w:t>
      </w:r>
    </w:p>
    <w:p w:rsidR="00000000" w:rsidRDefault="00000000">
      <w:pPr>
        <w:tabs>
          <w:tab w:val="left" w:pos="567"/>
          <w:tab w:val="left" w:pos="1134"/>
        </w:tabs>
        <w:rPr>
          <w:rFonts w:hint="eastAsia"/>
          <w:snapToGrid/>
        </w:rPr>
      </w:pPr>
      <w:r>
        <w:rPr>
          <w:snapToGrid/>
        </w:rPr>
        <w:tab/>
        <w:t xml:space="preserve">543.  </w:t>
      </w:r>
      <w:r>
        <w:rPr>
          <w:rFonts w:hint="eastAsia"/>
          <w:snapToGrid/>
        </w:rPr>
        <w:t>我们曾在首份报告第</w:t>
      </w:r>
      <w:r>
        <w:rPr>
          <w:snapToGrid/>
        </w:rPr>
        <w:t>302</w:t>
      </w:r>
      <w:r>
        <w:rPr>
          <w:rFonts w:hint="eastAsia"/>
          <w:snapToGrid/>
        </w:rPr>
        <w:t>至</w:t>
      </w:r>
      <w:r>
        <w:rPr>
          <w:snapToGrid/>
        </w:rPr>
        <w:t>306</w:t>
      </w:r>
      <w:r>
        <w:rPr>
          <w:rFonts w:hint="eastAsia"/>
          <w:snapToGrid/>
        </w:rPr>
        <w:t>段解释为需要照顾长者的家庭计划所提供的援助，以及现有的支援。我们为护老者提供的服务包括发放资料，以及提供培训、情绪辅导和暂住服务。在二零零一至零二年度，新设立的长者日间护理中心和长者院舍照顾单位开始提供上述服务，并把有关服务列为标准服务其中一部分。</w:t>
      </w:r>
    </w:p>
    <w:p w:rsidR="00000000" w:rsidRDefault="00000000">
      <w:pPr>
        <w:tabs>
          <w:tab w:val="left" w:pos="567"/>
          <w:tab w:val="left" w:pos="1134"/>
        </w:tabs>
        <w:spacing w:after="320"/>
        <w:rPr>
          <w:rFonts w:hint="eastAsia"/>
          <w:snapToGrid/>
        </w:rPr>
      </w:pPr>
      <w:r>
        <w:rPr>
          <w:snapToGrid/>
        </w:rPr>
        <w:tab/>
        <w:t xml:space="preserve">544.  </w:t>
      </w:r>
      <w:r>
        <w:rPr>
          <w:rFonts w:hint="eastAsia"/>
          <w:snapToGrid/>
        </w:rPr>
        <w:t>政府部门和其他机构，包括社会福利署、卫生署、医院管理局及香港大学，均有向正规护老者和家庭护老者提供培训。</w:t>
      </w:r>
    </w:p>
    <w:p w:rsidR="00000000" w:rsidRDefault="00000000">
      <w:pPr>
        <w:pStyle w:val="Heading4"/>
        <w:rPr>
          <w:rFonts w:hint="eastAsia"/>
        </w:rPr>
      </w:pPr>
      <w:r>
        <w:rPr>
          <w:rFonts w:hint="eastAsia"/>
        </w:rPr>
        <w:t>儿</w:t>
      </w:r>
      <w:r>
        <w:t xml:space="preserve"> </w:t>
      </w:r>
      <w:r>
        <w:rPr>
          <w:rFonts w:hint="eastAsia"/>
        </w:rPr>
        <w:t>童</w:t>
      </w:r>
      <w:r>
        <w:t xml:space="preserve"> </w:t>
      </w:r>
      <w:r>
        <w:rPr>
          <w:rFonts w:hint="eastAsia"/>
        </w:rPr>
        <w:t>院</w:t>
      </w:r>
    </w:p>
    <w:p w:rsidR="00000000" w:rsidRDefault="00000000">
      <w:pPr>
        <w:tabs>
          <w:tab w:val="left" w:pos="567"/>
          <w:tab w:val="left" w:pos="1134"/>
        </w:tabs>
        <w:rPr>
          <w:rFonts w:hint="eastAsia"/>
          <w:snapToGrid/>
        </w:rPr>
      </w:pPr>
      <w:r>
        <w:rPr>
          <w:snapToGrid/>
        </w:rPr>
        <w:tab/>
        <w:t xml:space="preserve">545.  </w:t>
      </w:r>
      <w:r>
        <w:rPr>
          <w:rFonts w:hint="eastAsia"/>
          <w:snapToGrid/>
        </w:rPr>
        <w:t>政府现时设立了七间儿童院，为有行为或家庭问题的儿童和青少年提供教育及职前训练。这些儿童院亦有照顾青少年罪犯的需要。有评论员曾对儿童在儿童院受到的待遇表示关注。</w:t>
      </w:r>
    </w:p>
    <w:p w:rsidR="00000000" w:rsidRDefault="00000000">
      <w:pPr>
        <w:tabs>
          <w:tab w:val="left" w:pos="567"/>
          <w:tab w:val="left" w:pos="1134"/>
        </w:tabs>
        <w:rPr>
          <w:rFonts w:hint="eastAsia"/>
          <w:snapToGrid/>
        </w:rPr>
      </w:pPr>
      <w:r>
        <w:rPr>
          <w:snapToGrid/>
        </w:rPr>
        <w:tab/>
        <w:t xml:space="preserve">546.  </w:t>
      </w:r>
      <w:r>
        <w:rPr>
          <w:rFonts w:hint="eastAsia"/>
          <w:snapToGrid/>
        </w:rPr>
        <w:t>我们亦察觉到改善儿童院服务的需要。根据在一九九七年进行的主要研究结果</w:t>
      </w:r>
      <w:r>
        <w:rPr>
          <w:rStyle w:val="FootnoteReference"/>
          <w:snapToGrid/>
        </w:rPr>
        <w:footnoteReference w:customMarkFollows="1" w:id="44"/>
        <w:t>31</w:t>
      </w:r>
      <w:r>
        <w:rPr>
          <w:snapToGrid/>
        </w:rPr>
        <w:t xml:space="preserve"> </w:t>
      </w:r>
      <w:r>
        <w:rPr>
          <w:rFonts w:hint="eastAsia"/>
          <w:snapToGrid/>
        </w:rPr>
        <w:t>，政府实施了以下措施：</w:t>
      </w:r>
    </w:p>
    <w:p w:rsidR="00000000" w:rsidRDefault="00000000">
      <w:pPr>
        <w:numPr>
          <w:ilvl w:val="0"/>
          <w:numId w:val="149"/>
        </w:numPr>
        <w:rPr>
          <w:rFonts w:hint="eastAsia"/>
          <w:snapToGrid/>
        </w:rPr>
      </w:pPr>
      <w:r>
        <w:rPr>
          <w:rFonts w:hint="eastAsia"/>
          <w:snapToGrid/>
        </w:rPr>
        <w:t>为儿童院的院友和员工举办有关人权问题的研讨会，并提醒院友其拥有投诉的权利；</w:t>
      </w:r>
    </w:p>
    <w:p w:rsidR="00000000" w:rsidRDefault="00000000">
      <w:pPr>
        <w:numPr>
          <w:ilvl w:val="0"/>
          <w:numId w:val="149"/>
        </w:numPr>
        <w:rPr>
          <w:rFonts w:hint="eastAsia"/>
          <w:snapToGrid/>
        </w:rPr>
      </w:pPr>
      <w:r>
        <w:rPr>
          <w:rFonts w:hint="eastAsia"/>
          <w:snapToGrid/>
        </w:rPr>
        <w:t>确保在收录院友时，向院友及其家人充分解释院友的权利，包括投诉权利、取得资讯的权利，以及免受任何形式的虐待的权利；</w:t>
      </w:r>
    </w:p>
    <w:p w:rsidR="00000000" w:rsidRDefault="00000000">
      <w:pPr>
        <w:numPr>
          <w:ilvl w:val="0"/>
          <w:numId w:val="149"/>
        </w:numPr>
        <w:rPr>
          <w:rFonts w:hint="eastAsia"/>
          <w:snapToGrid/>
        </w:rPr>
      </w:pPr>
      <w:r>
        <w:rPr>
          <w:rFonts w:hint="eastAsia"/>
          <w:snapToGrid/>
        </w:rPr>
        <w:t>增加儿童院的学位教师数目，以提高师资；和</w:t>
      </w:r>
    </w:p>
    <w:p w:rsidR="00000000" w:rsidRDefault="00000000">
      <w:pPr>
        <w:numPr>
          <w:ilvl w:val="0"/>
          <w:numId w:val="149"/>
        </w:numPr>
        <w:spacing w:after="320"/>
        <w:rPr>
          <w:rFonts w:hint="eastAsia"/>
          <w:snapToGrid/>
        </w:rPr>
      </w:pPr>
      <w:r>
        <w:rPr>
          <w:rFonts w:hint="eastAsia"/>
          <w:snapToGrid/>
        </w:rPr>
        <w:t>改善儿童院的环境、训导课程、管理工作和运作程序。</w:t>
      </w:r>
    </w:p>
    <w:p w:rsidR="00000000" w:rsidRDefault="00000000">
      <w:pPr>
        <w:pStyle w:val="a3"/>
        <w:jc w:val="left"/>
        <w:rPr>
          <w:rFonts w:hint="eastAsia"/>
        </w:rPr>
      </w:pPr>
      <w:r>
        <w:rPr>
          <w:rFonts w:hint="eastAsia"/>
        </w:rPr>
        <w:t>为居于社区内的长者提供的服务</w:t>
      </w:r>
    </w:p>
    <w:p w:rsidR="00000000" w:rsidRDefault="00000000">
      <w:pPr>
        <w:pStyle w:val="Heading4"/>
        <w:rPr>
          <w:rFonts w:hint="eastAsia"/>
        </w:rPr>
      </w:pPr>
      <w:r>
        <w:rPr>
          <w:rFonts w:hint="eastAsia"/>
        </w:rPr>
        <w:t>重整长者社区支援服务的工序</w:t>
      </w:r>
    </w:p>
    <w:p w:rsidR="00000000" w:rsidRDefault="00000000">
      <w:pPr>
        <w:tabs>
          <w:tab w:val="left" w:pos="567"/>
          <w:tab w:val="left" w:pos="1134"/>
          <w:tab w:val="left" w:pos="1701"/>
        </w:tabs>
        <w:rPr>
          <w:rFonts w:hint="eastAsia"/>
          <w:snapToGrid/>
        </w:rPr>
      </w:pPr>
      <w:r>
        <w:rPr>
          <w:snapToGrid/>
        </w:rPr>
        <w:tab/>
        <w:t xml:space="preserve">547.  </w:t>
      </w:r>
      <w:r>
        <w:rPr>
          <w:rFonts w:hint="eastAsia"/>
          <w:snapToGrid/>
        </w:rPr>
        <w:t>在二零零一至零二年度，所有新启用的安老服务中心均以长者地区中心和长者邻舍中心的形式运作。这些中心提供的服务，与长者综合服务中心和长者活动中心</w:t>
      </w:r>
      <w:r>
        <w:rPr>
          <w:snapToGrid/>
        </w:rPr>
        <w:t>(</w:t>
      </w:r>
      <w:r>
        <w:rPr>
          <w:rFonts w:hint="eastAsia"/>
          <w:snapToGrid/>
        </w:rPr>
        <w:t>功能载于首份报告第</w:t>
      </w:r>
      <w:r>
        <w:rPr>
          <w:snapToGrid/>
        </w:rPr>
        <w:t>307</w:t>
      </w:r>
      <w:r>
        <w:rPr>
          <w:rFonts w:hint="eastAsia"/>
          <w:snapToGrid/>
        </w:rPr>
        <w:t>段</w:t>
      </w:r>
      <w:r>
        <w:rPr>
          <w:rStyle w:val="FootnoteReference"/>
          <w:snapToGrid/>
        </w:rPr>
        <w:footnoteReference w:customMarkFollows="1" w:id="45"/>
        <w:t>32</w:t>
      </w:r>
      <w:r>
        <w:rPr>
          <w:rFonts w:hint="eastAsia"/>
          <w:snapToGrid/>
        </w:rPr>
        <w:t xml:space="preserve"> </w:t>
      </w:r>
      <w:r>
        <w:rPr>
          <w:snapToGrid/>
        </w:rPr>
        <w:t>)</w:t>
      </w:r>
      <w:r>
        <w:rPr>
          <w:rFonts w:hint="eastAsia"/>
          <w:snapToGrid/>
        </w:rPr>
        <w:t>类似，但服务更为全面。由二零零三至零四年度开始，我们会提升现时所有安老服务中心的服务水平。</w:t>
      </w:r>
    </w:p>
    <w:p w:rsidR="00000000" w:rsidRDefault="00000000">
      <w:pPr>
        <w:tabs>
          <w:tab w:val="left" w:pos="567"/>
          <w:tab w:val="left" w:pos="1134"/>
          <w:tab w:val="left" w:pos="1701"/>
        </w:tabs>
        <w:spacing w:after="320"/>
        <w:rPr>
          <w:rFonts w:hint="eastAsia"/>
          <w:snapToGrid/>
        </w:rPr>
      </w:pPr>
      <w:r>
        <w:rPr>
          <w:snapToGrid/>
        </w:rPr>
        <w:tab/>
        <w:t xml:space="preserve">548.  </w:t>
      </w:r>
      <w:r>
        <w:rPr>
          <w:rFonts w:hint="eastAsia"/>
          <w:snapToGrid/>
        </w:rPr>
        <w:t>二零零一年四月，我们引入“改善家居及社区照顾服务”计划，为体弱长者提供专门的家居及中心为本服务，以切合他们的个人护理需要。计划的目的，是让这些长者尽量在家中安享晚年。由二零零三年四月开始，现有的家务助理队</w:t>
      </w:r>
      <w:r>
        <w:rPr>
          <w:snapToGrid/>
        </w:rPr>
        <w:t>(</w:t>
      </w:r>
      <w:r>
        <w:rPr>
          <w:rFonts w:hint="eastAsia"/>
          <w:snapToGrid/>
        </w:rPr>
        <w:t>其职能于首份报告第</w:t>
      </w:r>
      <w:r>
        <w:rPr>
          <w:snapToGrid/>
        </w:rPr>
        <w:t>304</w:t>
      </w:r>
      <w:r>
        <w:rPr>
          <w:rFonts w:hint="eastAsia"/>
          <w:snapToGrid/>
        </w:rPr>
        <w:t>段载述</w:t>
      </w:r>
      <w:r>
        <w:rPr>
          <w:snapToGrid/>
        </w:rPr>
        <w:t>)</w:t>
      </w:r>
      <w:r>
        <w:rPr>
          <w:rFonts w:hint="eastAsia"/>
          <w:snapToGrid/>
        </w:rPr>
        <w:t>会升格为综合家居照顾服务队，以便提供更完善的支援，让日益衰弱的长者也可留在家中生活。</w:t>
      </w:r>
    </w:p>
    <w:p w:rsidR="00000000" w:rsidRDefault="00000000">
      <w:pPr>
        <w:pStyle w:val="Heading4"/>
        <w:rPr>
          <w:rFonts w:hint="eastAsia"/>
        </w:rPr>
      </w:pPr>
      <w:r>
        <w:rPr>
          <w:rFonts w:hint="eastAsia"/>
        </w:rPr>
        <w:t>为困乏的长者提供的支援</w:t>
      </w:r>
    </w:p>
    <w:p w:rsidR="00000000" w:rsidRDefault="00000000">
      <w:pPr>
        <w:tabs>
          <w:tab w:val="left" w:pos="567"/>
          <w:tab w:val="left" w:pos="1134"/>
          <w:tab w:val="left" w:pos="1701"/>
        </w:tabs>
        <w:rPr>
          <w:rFonts w:hint="eastAsia"/>
          <w:snapToGrid/>
        </w:rPr>
      </w:pPr>
      <w:r>
        <w:rPr>
          <w:snapToGrid/>
        </w:rPr>
        <w:tab/>
        <w:t xml:space="preserve">549.  </w:t>
      </w:r>
      <w:r>
        <w:rPr>
          <w:rFonts w:hint="eastAsia"/>
          <w:snapToGrid/>
        </w:rPr>
        <w:t>当局在这范畴实行的措施包括：</w:t>
      </w:r>
    </w:p>
    <w:p w:rsidR="00000000" w:rsidRDefault="00000000">
      <w:pPr>
        <w:numPr>
          <w:ilvl w:val="0"/>
          <w:numId w:val="166"/>
        </w:numPr>
        <w:rPr>
          <w:rFonts w:hint="eastAsia"/>
          <w:snapToGrid/>
        </w:rPr>
      </w:pPr>
      <w:r>
        <w:rPr>
          <w:rFonts w:ascii="Time New Roman" w:eastAsia="SimHei" w:hAnsi="Time New Roman" w:hint="eastAsia"/>
          <w:bCs/>
          <w:snapToGrid/>
        </w:rPr>
        <w:t>两个有关防止和处理虐待老人事件的试验计划</w:t>
      </w:r>
      <w:r>
        <w:rPr>
          <w:rFonts w:ascii="Time New Roman" w:eastAsia="SimHei" w:hAnsi="Time New Roman"/>
          <w:bCs/>
          <w:snapToGrid/>
        </w:rPr>
        <w:t>(</w:t>
      </w:r>
      <w:r>
        <w:rPr>
          <w:rFonts w:ascii="Time New Roman" w:eastAsia="SimHei" w:hAnsi="Time New Roman" w:hint="eastAsia"/>
          <w:bCs/>
          <w:snapToGrid/>
        </w:rPr>
        <w:t>在二零零一年开始进行</w:t>
      </w:r>
      <w:r>
        <w:rPr>
          <w:rFonts w:ascii="Time New Roman" w:eastAsia="SimHei" w:hAnsi="Time New Roman"/>
          <w:bCs/>
          <w:snapToGrid/>
        </w:rPr>
        <w:t>)</w:t>
      </w:r>
      <w:r>
        <w:rPr>
          <w:rFonts w:ascii="Time New Roman" w:eastAsia="SimHei" w:hAnsi="Time New Roman" w:hint="eastAsia"/>
          <w:bCs/>
          <w:snapToGrid/>
        </w:rPr>
        <w:t>：</w:t>
      </w:r>
      <w:r>
        <w:rPr>
          <w:rFonts w:hint="eastAsia"/>
          <w:snapToGrid/>
        </w:rPr>
        <w:t>这两个计划为长者提供的服务包括社区教育、电话热线服务、志愿家访和保健推广计划。上述试验计划会推行三年；</w:t>
      </w:r>
    </w:p>
    <w:p w:rsidR="00000000" w:rsidRDefault="00000000">
      <w:pPr>
        <w:numPr>
          <w:ilvl w:val="0"/>
          <w:numId w:val="166"/>
        </w:numPr>
        <w:rPr>
          <w:rStyle w:val="normal1"/>
          <w:snapToGrid/>
        </w:rPr>
      </w:pPr>
      <w:r>
        <w:rPr>
          <w:rFonts w:ascii="Time New Roman" w:eastAsia="SimHei" w:hAnsi="Time New Roman" w:hint="eastAsia"/>
          <w:bCs/>
          <w:snapToGrid/>
        </w:rPr>
        <w:t>调查和订定程序指引</w:t>
      </w:r>
      <w:r>
        <w:rPr>
          <w:rFonts w:ascii="Time New Roman" w:eastAsia="SimHei" w:hAnsi="Time New Roman"/>
          <w:bCs/>
          <w:snapToGrid/>
        </w:rPr>
        <w:t>(</w:t>
      </w:r>
      <w:r>
        <w:rPr>
          <w:rFonts w:ascii="Time New Roman" w:eastAsia="SimHei" w:hAnsi="Time New Roman" w:hint="eastAsia"/>
          <w:bCs/>
          <w:snapToGrid/>
        </w:rPr>
        <w:t>在二零零二年开始进行</w:t>
      </w:r>
      <w:r>
        <w:rPr>
          <w:rFonts w:ascii="Time New Roman" w:eastAsia="SimHei" w:hAnsi="Time New Roman"/>
          <w:bCs/>
          <w:snapToGrid/>
        </w:rPr>
        <w:t>)</w:t>
      </w:r>
      <w:r>
        <w:rPr>
          <w:rFonts w:ascii="Time New Roman" w:eastAsia="SimHei" w:hAnsi="Time New Roman" w:hint="eastAsia"/>
          <w:bCs/>
          <w:snapToGrid/>
        </w:rPr>
        <w:t>：</w:t>
      </w:r>
      <w:r>
        <w:rPr>
          <w:rFonts w:hint="eastAsia"/>
          <w:snapToGrid/>
        </w:rPr>
        <w:t>这个计划的工作项目包括：进行</w:t>
      </w:r>
      <w:r>
        <w:rPr>
          <w:rStyle w:val="normal1"/>
          <w:rFonts w:hint="eastAsia"/>
          <w:snapToGrid/>
        </w:rPr>
        <w:t>探讨本港虐待老人的现象；制定处理怀疑虐待老人个案的跨专业程序指引；建立虐待老人个案档案系统，以及为前线人员提供培训。上述工作会在两年内完成；</w:t>
      </w:r>
    </w:p>
    <w:p w:rsidR="00000000" w:rsidRDefault="00000000">
      <w:pPr>
        <w:numPr>
          <w:ilvl w:val="0"/>
          <w:numId w:val="166"/>
        </w:numPr>
        <w:rPr>
          <w:snapToGrid/>
        </w:rPr>
      </w:pPr>
      <w:r>
        <w:rPr>
          <w:rFonts w:ascii="Time New Roman" w:eastAsia="SimHei" w:hAnsi="Time New Roman" w:hint="eastAsia"/>
          <w:bCs/>
          <w:snapToGrid/>
        </w:rPr>
        <w:t>实行防止老人自杀联合计划</w:t>
      </w:r>
      <w:r>
        <w:rPr>
          <w:rFonts w:ascii="Time New Roman" w:eastAsia="SimHei" w:hAnsi="Time New Roman"/>
          <w:bCs/>
          <w:snapToGrid/>
        </w:rPr>
        <w:t>(</w:t>
      </w:r>
      <w:r>
        <w:rPr>
          <w:rFonts w:ascii="Time New Roman" w:eastAsia="SimHei" w:hAnsi="Time New Roman" w:hint="eastAsia"/>
          <w:bCs/>
          <w:snapToGrid/>
        </w:rPr>
        <w:t>二零零一年年中</w:t>
      </w:r>
      <w:r>
        <w:rPr>
          <w:rFonts w:ascii="Time New Roman" w:eastAsia="SimHei" w:hAnsi="Time New Roman"/>
          <w:bCs/>
          <w:snapToGrid/>
        </w:rPr>
        <w:t>)</w:t>
      </w:r>
      <w:r>
        <w:rPr>
          <w:rFonts w:ascii="Time New Roman" w:eastAsia="SimHei" w:hAnsi="Time New Roman" w:hint="eastAsia"/>
          <w:bCs/>
          <w:snapToGrid/>
        </w:rPr>
        <w:t>：</w:t>
      </w:r>
      <w:r>
        <w:rPr>
          <w:rFonts w:hint="eastAsia"/>
          <w:snapToGrid/>
        </w:rPr>
        <w:t>这个计划为期三年，由社会福利署、香港社会服务联会和香港老年精神科学会合办。现时计划正在本港两个地区以试验方式进行。计划旨在加深公众对老人自杀问题的关注，并会提供电话热线服务、志愿家访、专业辅导和治疗服务；</w:t>
      </w:r>
    </w:p>
    <w:p w:rsidR="00000000" w:rsidRDefault="00000000">
      <w:pPr>
        <w:numPr>
          <w:ilvl w:val="0"/>
          <w:numId w:val="166"/>
        </w:numPr>
        <w:spacing w:after="320"/>
        <w:rPr>
          <w:rFonts w:hint="eastAsia"/>
          <w:snapToGrid/>
        </w:rPr>
      </w:pPr>
      <w:r>
        <w:rPr>
          <w:rFonts w:ascii="Time New Roman" w:eastAsia="SimHei" w:hAnsi="Time New Roman" w:hint="eastAsia"/>
          <w:bCs/>
          <w:snapToGrid/>
        </w:rPr>
        <w:t>医院管理局推行预防长者自杀计划</w:t>
      </w:r>
      <w:r>
        <w:rPr>
          <w:rFonts w:ascii="Time New Roman" w:eastAsia="SimHei" w:hAnsi="Time New Roman"/>
          <w:bCs/>
          <w:snapToGrid/>
        </w:rPr>
        <w:t>(</w:t>
      </w:r>
      <w:r>
        <w:rPr>
          <w:rFonts w:ascii="Time New Roman" w:eastAsia="SimHei" w:hAnsi="Time New Roman" w:hint="eastAsia"/>
          <w:bCs/>
          <w:snapToGrid/>
        </w:rPr>
        <w:t>二零零二年十月</w:t>
      </w:r>
      <w:r>
        <w:rPr>
          <w:rFonts w:ascii="Time New Roman" w:eastAsia="SimHei" w:hAnsi="Time New Roman"/>
          <w:bCs/>
          <w:snapToGrid/>
        </w:rPr>
        <w:t>)</w:t>
      </w:r>
      <w:r>
        <w:rPr>
          <w:rFonts w:ascii="Time New Roman" w:eastAsia="SimHei" w:hAnsi="Time New Roman" w:hint="eastAsia"/>
          <w:bCs/>
          <w:snapToGrid/>
        </w:rPr>
        <w:t>：</w:t>
      </w:r>
      <w:r>
        <w:rPr>
          <w:rFonts w:hint="eastAsia"/>
          <w:snapToGrid/>
        </w:rPr>
        <w:t>这项措施会在全港实行，目的是在社区层面及早预防老人自杀问题，以及在速治诊所提供老人精神科的专科治疗。</w:t>
      </w:r>
    </w:p>
    <w:p w:rsidR="00000000" w:rsidRDefault="00000000">
      <w:pPr>
        <w:pStyle w:val="Heading4"/>
        <w:rPr>
          <w:rFonts w:hint="eastAsia"/>
        </w:rPr>
      </w:pPr>
      <w:r>
        <w:rPr>
          <w:rFonts w:hint="eastAsia"/>
        </w:rPr>
        <w:t>为居于社区内的长者提供的健康护理服务</w:t>
      </w:r>
    </w:p>
    <w:p w:rsidR="00000000" w:rsidRDefault="00000000">
      <w:pPr>
        <w:tabs>
          <w:tab w:val="left" w:pos="567"/>
          <w:tab w:val="left" w:pos="1134"/>
          <w:tab w:val="left" w:pos="1701"/>
        </w:tabs>
        <w:rPr>
          <w:rFonts w:hint="eastAsia"/>
          <w:snapToGrid/>
        </w:rPr>
      </w:pPr>
      <w:r>
        <w:rPr>
          <w:snapToGrid/>
        </w:rPr>
        <w:tab/>
        <w:t xml:space="preserve">550.  </w:t>
      </w:r>
      <w:r>
        <w:rPr>
          <w:rFonts w:hint="eastAsia"/>
          <w:snapToGrid/>
        </w:rPr>
        <w:t>我们会在这部分告知委员会有关首份报告第</w:t>
      </w:r>
      <w:r>
        <w:rPr>
          <w:snapToGrid/>
        </w:rPr>
        <w:t>308</w:t>
      </w:r>
      <w:r>
        <w:rPr>
          <w:rFonts w:hint="eastAsia"/>
          <w:snapToGrid/>
        </w:rPr>
        <w:t>至</w:t>
      </w:r>
      <w:r>
        <w:rPr>
          <w:snapToGrid/>
        </w:rPr>
        <w:t>310</w:t>
      </w:r>
      <w:r>
        <w:rPr>
          <w:rFonts w:hint="eastAsia"/>
          <w:snapToGrid/>
        </w:rPr>
        <w:t>段所述项目的发展情况：</w:t>
      </w:r>
    </w:p>
    <w:p w:rsidR="00000000" w:rsidRDefault="00000000">
      <w:pPr>
        <w:numPr>
          <w:ilvl w:val="0"/>
          <w:numId w:val="154"/>
        </w:numPr>
        <w:rPr>
          <w:rFonts w:hint="eastAsia"/>
          <w:snapToGrid/>
        </w:rPr>
      </w:pPr>
      <w:r>
        <w:rPr>
          <w:rFonts w:ascii="Time New Roman" w:eastAsia="SimHei" w:hAnsi="Time New Roman" w:hint="eastAsia"/>
          <w:bCs/>
          <w:snapToGrid/>
        </w:rPr>
        <w:t>老人健康中心</w:t>
      </w:r>
      <w:r>
        <w:rPr>
          <w:rFonts w:ascii="Time New Roman" w:eastAsia="SimHei" w:hAnsi="Time New Roman"/>
          <w:bCs/>
          <w:snapToGrid/>
        </w:rPr>
        <w:t>(</w:t>
      </w:r>
      <w:r>
        <w:rPr>
          <w:rFonts w:ascii="Time New Roman" w:eastAsia="SimHei" w:hAnsi="Time New Roman" w:hint="eastAsia"/>
          <w:bCs/>
          <w:snapToGrid/>
        </w:rPr>
        <w:t>第</w:t>
      </w:r>
      <w:r>
        <w:rPr>
          <w:rFonts w:ascii="Time New Roman" w:eastAsia="SimHei" w:hAnsi="Time New Roman"/>
          <w:b/>
          <w:bCs/>
          <w:snapToGrid/>
        </w:rPr>
        <w:t>308</w:t>
      </w:r>
      <w:r>
        <w:rPr>
          <w:rFonts w:ascii="Time New Roman" w:eastAsia="SimHei" w:hAnsi="Time New Roman"/>
          <w:b/>
          <w:snapToGrid/>
        </w:rPr>
        <w:t>(a)</w:t>
      </w:r>
      <w:r>
        <w:rPr>
          <w:rFonts w:ascii="Time New Roman" w:eastAsia="SimHei" w:hAnsi="Time New Roman" w:hint="eastAsia"/>
          <w:bCs/>
          <w:snapToGrid/>
        </w:rPr>
        <w:t>段</w:t>
      </w:r>
      <w:r>
        <w:rPr>
          <w:rFonts w:ascii="Time New Roman" w:eastAsia="SimHei" w:hAnsi="Time New Roman"/>
          <w:bCs/>
          <w:snapToGrid/>
        </w:rPr>
        <w:t>)</w:t>
      </w:r>
      <w:r>
        <w:rPr>
          <w:rFonts w:ascii="Time New Roman" w:eastAsia="SimHei" w:hAnsi="Time New Roman" w:hint="eastAsia"/>
          <w:bCs/>
          <w:snapToGrid/>
        </w:rPr>
        <w:t>：</w:t>
      </w:r>
      <w:r>
        <w:rPr>
          <w:rFonts w:hint="eastAsia"/>
          <w:snapToGrid/>
        </w:rPr>
        <w:t>在一九九八至九九年度和一九九九至二零零零年度之间，我们开设了</w:t>
      </w:r>
      <w:r>
        <w:rPr>
          <w:snapToGrid/>
        </w:rPr>
        <w:t>11</w:t>
      </w:r>
      <w:r>
        <w:rPr>
          <w:rFonts w:hint="eastAsia"/>
          <w:snapToGrid/>
        </w:rPr>
        <w:t>间新的老人健康中心。现时中心总数共有</w:t>
      </w:r>
      <w:r>
        <w:rPr>
          <w:snapToGrid/>
        </w:rPr>
        <w:t>18</w:t>
      </w:r>
      <w:r>
        <w:rPr>
          <w:rFonts w:hint="eastAsia"/>
          <w:snapToGrid/>
        </w:rPr>
        <w:t>间；以及</w:t>
      </w:r>
    </w:p>
    <w:p w:rsidR="00000000" w:rsidRDefault="00000000">
      <w:pPr>
        <w:numPr>
          <w:ilvl w:val="0"/>
          <w:numId w:val="154"/>
        </w:numPr>
        <w:spacing w:after="320"/>
        <w:rPr>
          <w:rFonts w:hint="eastAsia"/>
          <w:snapToGrid/>
        </w:rPr>
      </w:pPr>
      <w:r>
        <w:rPr>
          <w:rFonts w:ascii="Time New Roman" w:eastAsia="SimHei" w:hAnsi="Time New Roman" w:hint="eastAsia"/>
          <w:bCs/>
          <w:snapToGrid/>
        </w:rPr>
        <w:t>外展医疗队</w:t>
      </w:r>
      <w:r>
        <w:rPr>
          <w:rFonts w:ascii="Time New Roman" w:eastAsia="SimHei" w:hAnsi="Time New Roman"/>
          <w:bCs/>
          <w:snapToGrid/>
        </w:rPr>
        <w:t>(</w:t>
      </w:r>
      <w:r>
        <w:rPr>
          <w:rFonts w:ascii="Time New Roman" w:eastAsia="SimHei" w:hAnsi="Time New Roman" w:hint="eastAsia"/>
          <w:bCs/>
          <w:snapToGrid/>
        </w:rPr>
        <w:t>第</w:t>
      </w:r>
      <w:r>
        <w:rPr>
          <w:rFonts w:ascii="Time New Roman" w:eastAsia="SimHei" w:hAnsi="Time New Roman"/>
          <w:b/>
          <w:snapToGrid/>
        </w:rPr>
        <w:t>309</w:t>
      </w:r>
      <w:r>
        <w:rPr>
          <w:rFonts w:ascii="Time New Roman" w:eastAsia="SimHei" w:hAnsi="Time New Roman" w:hint="eastAsia"/>
          <w:bCs/>
          <w:snapToGrid/>
        </w:rPr>
        <w:t>段</w:t>
      </w:r>
      <w:r>
        <w:rPr>
          <w:rFonts w:ascii="Time New Roman" w:eastAsia="SimHei" w:hAnsi="Time New Roman"/>
          <w:bCs/>
          <w:snapToGrid/>
        </w:rPr>
        <w:t>)</w:t>
      </w:r>
      <w:r>
        <w:rPr>
          <w:rFonts w:ascii="Time New Roman" w:eastAsia="SimHei" w:hAnsi="Time New Roman" w:hint="eastAsia"/>
          <w:bCs/>
          <w:snapToGrid/>
        </w:rPr>
        <w:t>：</w:t>
      </w:r>
      <w:r>
        <w:rPr>
          <w:rFonts w:hint="eastAsia"/>
          <w:snapToGrid/>
        </w:rPr>
        <w:t>在一九九八至九九年度和一九九九至二零零零年度之间，共有</w:t>
      </w:r>
      <w:r>
        <w:rPr>
          <w:snapToGrid/>
        </w:rPr>
        <w:t>18</w:t>
      </w:r>
      <w:r>
        <w:rPr>
          <w:rFonts w:hint="eastAsia"/>
          <w:snapToGrid/>
        </w:rPr>
        <w:t>支外展医疗队投入服务。它们负责向区内和在安老院舍中的长者提供晚年保健知识，向提供服务人士予以专业意见，向护老者提供支援和训练，以及为在安老院舍居住的长者进行防疫注射。</w:t>
      </w:r>
    </w:p>
    <w:p w:rsidR="00000000" w:rsidRDefault="00000000">
      <w:pPr>
        <w:pStyle w:val="Heading4"/>
        <w:rPr>
          <w:rFonts w:hint="eastAsia"/>
        </w:rPr>
      </w:pPr>
      <w:r>
        <w:rPr>
          <w:rFonts w:hint="eastAsia"/>
        </w:rPr>
        <w:t>协助长者过积极和丰盛的生活</w:t>
      </w:r>
    </w:p>
    <w:p w:rsidR="00000000" w:rsidRDefault="00000000">
      <w:pPr>
        <w:tabs>
          <w:tab w:val="left" w:pos="567"/>
          <w:tab w:val="left" w:pos="1134"/>
          <w:tab w:val="left" w:pos="1701"/>
        </w:tabs>
        <w:rPr>
          <w:rFonts w:hint="eastAsia"/>
          <w:snapToGrid/>
        </w:rPr>
      </w:pPr>
      <w:r>
        <w:rPr>
          <w:snapToGrid/>
        </w:rPr>
        <w:tab/>
        <w:t xml:space="preserve">551.  </w:t>
      </w:r>
      <w:r>
        <w:rPr>
          <w:rFonts w:hint="eastAsia"/>
          <w:snapToGrid/>
        </w:rPr>
        <w:t>我们致力推广积极健康的晚年，让长者继续积极参与家庭和社区活动。这个范畴的重要措施包括：</w:t>
      </w:r>
    </w:p>
    <w:p w:rsidR="00000000" w:rsidRDefault="00000000">
      <w:pPr>
        <w:numPr>
          <w:ilvl w:val="0"/>
          <w:numId w:val="159"/>
        </w:numPr>
        <w:rPr>
          <w:rFonts w:hint="eastAsia"/>
          <w:snapToGrid/>
        </w:rPr>
      </w:pPr>
      <w:r>
        <w:rPr>
          <w:rFonts w:ascii="Time New Roman" w:eastAsia="SimHei" w:hAnsi="Time New Roman" w:hint="eastAsia"/>
          <w:bCs/>
          <w:snapToGrid/>
        </w:rPr>
        <w:t>“康健乐颐年”运动：</w:t>
      </w:r>
      <w:r>
        <w:rPr>
          <w:rFonts w:hint="eastAsia"/>
          <w:snapToGrid/>
        </w:rPr>
        <w:t>我们在二零零零至零一年度与安老事务委员会合作举办这项为期三年的运动，目的是通过提倡个人责任、推动社会积极参与、创造可促进健康的生活环境和提升长者的形象，以促进长者在身体和社交心理方面的健康。为此，我们进行公众教育和多项社区协作计划，以达到目标。另外，社会福利署为了配合“康健乐颐年”运动，亦举办“老有所为活动计划”，该计划会为社区活动提供资助，以协助长者保持身心健康，发扬老有所为的精神；</w:t>
      </w:r>
    </w:p>
    <w:p w:rsidR="00000000" w:rsidRDefault="00000000">
      <w:pPr>
        <w:numPr>
          <w:ilvl w:val="0"/>
          <w:numId w:val="159"/>
        </w:numPr>
        <w:rPr>
          <w:rFonts w:hint="eastAsia"/>
          <w:snapToGrid/>
        </w:rPr>
      </w:pPr>
      <w:r>
        <w:rPr>
          <w:rFonts w:ascii="Time New Roman" w:eastAsia="SimHei" w:hAnsi="Time New Roman" w:hint="eastAsia"/>
          <w:bCs/>
          <w:snapToGrid/>
        </w:rPr>
        <w:t>探讨人口老化的挑战和机遇研讨会</w:t>
      </w:r>
      <w:r>
        <w:rPr>
          <w:rFonts w:ascii="Time New Roman" w:eastAsia="SimHei" w:hAnsi="Time New Roman"/>
          <w:bCs/>
          <w:snapToGrid/>
        </w:rPr>
        <w:t>(</w:t>
      </w:r>
      <w:r>
        <w:rPr>
          <w:rFonts w:ascii="Time New Roman" w:eastAsia="SimHei" w:hAnsi="Time New Roman" w:hint="eastAsia"/>
          <w:bCs/>
          <w:snapToGrid/>
        </w:rPr>
        <w:t>二零零二年六月</w:t>
      </w:r>
      <w:r>
        <w:rPr>
          <w:rFonts w:ascii="Time New Roman" w:eastAsia="SimHei" w:hAnsi="Time New Roman"/>
          <w:bCs/>
          <w:snapToGrid/>
        </w:rPr>
        <w:t>)</w:t>
      </w:r>
      <w:r>
        <w:rPr>
          <w:rFonts w:ascii="Time New Roman" w:eastAsia="SimHei" w:hAnsi="Time New Roman" w:hint="eastAsia"/>
          <w:bCs/>
          <w:snapToGrid/>
        </w:rPr>
        <w:t>：</w:t>
      </w:r>
      <w:r>
        <w:rPr>
          <w:rFonts w:hint="eastAsia"/>
          <w:snapToGrid/>
        </w:rPr>
        <w:t>这也是安老事务委员会和政府合办的活动，令社会更加认识人口老化的积极方面；</w:t>
      </w:r>
    </w:p>
    <w:p w:rsidR="00000000" w:rsidRDefault="00000000">
      <w:pPr>
        <w:numPr>
          <w:ilvl w:val="0"/>
          <w:numId w:val="159"/>
        </w:numPr>
        <w:rPr>
          <w:rFonts w:hint="eastAsia"/>
          <w:snapToGrid/>
        </w:rPr>
      </w:pPr>
      <w:r>
        <w:rPr>
          <w:rFonts w:ascii="Time New Roman" w:eastAsia="SimHei" w:hAnsi="Time New Roman" w:hint="eastAsia"/>
          <w:bCs/>
          <w:snapToGrid/>
        </w:rPr>
        <w:t>为老人而设的教育课程：</w:t>
      </w:r>
      <w:r>
        <w:rPr>
          <w:rFonts w:hint="eastAsia"/>
          <w:snapToGrid/>
        </w:rPr>
        <w:t>获政府资助的非政府机构为长者提供终身学习的机会，使他们继续积极生活。社会福利署亦在老人服务中心举办免费的电脑</w:t>
      </w:r>
      <w:r>
        <w:rPr>
          <w:snapToGrid/>
        </w:rPr>
        <w:t>/</w:t>
      </w:r>
      <w:r>
        <w:rPr>
          <w:rFonts w:hint="eastAsia"/>
          <w:snapToGrid/>
        </w:rPr>
        <w:t>互联网课程；</w:t>
      </w:r>
    </w:p>
    <w:p w:rsidR="00000000" w:rsidRDefault="00000000">
      <w:pPr>
        <w:numPr>
          <w:ilvl w:val="0"/>
          <w:numId w:val="159"/>
        </w:numPr>
        <w:rPr>
          <w:snapToGrid/>
        </w:rPr>
      </w:pPr>
      <w:r>
        <w:rPr>
          <w:rFonts w:ascii="Time New Roman" w:eastAsia="SimHei" w:hAnsi="Time New Roman" w:hint="eastAsia"/>
          <w:bCs/>
          <w:snapToGrid/>
        </w:rPr>
        <w:t>社区支</w:t>
      </w:r>
      <w:r>
        <w:rPr>
          <w:rFonts w:ascii="Time New Roman" w:eastAsia="SimHei" w:hAnsi="Time New Roman" w:hint="eastAsia"/>
          <w:snapToGrid/>
        </w:rPr>
        <w:t>援</w:t>
      </w:r>
      <w:r>
        <w:rPr>
          <w:rFonts w:ascii="Time New Roman" w:eastAsia="SimHei" w:hAnsi="Time New Roman" w:hint="eastAsia"/>
          <w:bCs/>
          <w:snapToGrid/>
        </w:rPr>
        <w:t>服务：</w:t>
      </w:r>
      <w:r>
        <w:rPr>
          <w:rFonts w:hint="eastAsia"/>
          <w:snapToGrid/>
        </w:rPr>
        <w:t>政府推出这项主要措施，为居于社区的长者提供全面照顾和支援，当中包括鼓励长者成立自助和互助小组，以及继续贡献社会；以及</w:t>
      </w:r>
    </w:p>
    <w:p w:rsidR="00000000" w:rsidRDefault="00000000">
      <w:pPr>
        <w:numPr>
          <w:ilvl w:val="0"/>
          <w:numId w:val="159"/>
        </w:numPr>
        <w:spacing w:after="320"/>
        <w:rPr>
          <w:rFonts w:hint="eastAsia"/>
          <w:snapToGrid/>
        </w:rPr>
      </w:pPr>
      <w:r>
        <w:rPr>
          <w:rFonts w:ascii="Time New Roman" w:eastAsia="SimHei" w:hAnsi="Time New Roman" w:hint="eastAsia"/>
          <w:bCs/>
          <w:snapToGrid/>
        </w:rPr>
        <w:t>长者义工服务：</w:t>
      </w:r>
      <w:r>
        <w:rPr>
          <w:rFonts w:hint="eastAsia"/>
          <w:snapToGrid/>
        </w:rPr>
        <w:t>社会福利署资助“长者支援服务队”，鼓励长者参与义工工作。截至二零零二年十二月，超过</w:t>
      </w:r>
      <w:r>
        <w:rPr>
          <w:snapToGrid/>
        </w:rPr>
        <w:t>9,500</w:t>
      </w:r>
      <w:r>
        <w:rPr>
          <w:rFonts w:hint="eastAsia"/>
          <w:snapToGrid/>
        </w:rPr>
        <w:t>名长者已加入义工行列。</w:t>
      </w:r>
    </w:p>
    <w:p w:rsidR="00000000" w:rsidRDefault="00000000">
      <w:pPr>
        <w:pStyle w:val="Heading4"/>
        <w:rPr>
          <w:rFonts w:hint="eastAsia"/>
        </w:rPr>
      </w:pPr>
      <w:r>
        <w:rPr>
          <w:rFonts w:hint="eastAsia"/>
        </w:rPr>
        <w:t>为长者提供经济支援</w:t>
      </w:r>
    </w:p>
    <w:p w:rsidR="00000000" w:rsidRDefault="00000000">
      <w:pPr>
        <w:tabs>
          <w:tab w:val="left" w:pos="567"/>
          <w:tab w:val="left" w:pos="1134"/>
          <w:tab w:val="left" w:pos="1701"/>
        </w:tabs>
        <w:rPr>
          <w:rFonts w:hint="eastAsia"/>
          <w:snapToGrid/>
        </w:rPr>
      </w:pPr>
      <w:r>
        <w:rPr>
          <w:snapToGrid/>
        </w:rPr>
        <w:tab/>
        <w:t xml:space="preserve">552.  </w:t>
      </w:r>
      <w:r>
        <w:rPr>
          <w:rFonts w:hint="eastAsia"/>
          <w:snapToGrid/>
        </w:rPr>
        <w:t>需要经济援助的长者可申请综合社会保障援助</w:t>
      </w:r>
      <w:r>
        <w:rPr>
          <w:snapToGrid/>
        </w:rPr>
        <w:t>(</w:t>
      </w:r>
      <w:r>
        <w:rPr>
          <w:rFonts w:hint="eastAsia"/>
          <w:snapToGrid/>
        </w:rPr>
        <w:t>综援</w:t>
      </w:r>
      <w:r>
        <w:rPr>
          <w:snapToGrid/>
        </w:rPr>
        <w:t>)</w:t>
      </w:r>
      <w:r>
        <w:rPr>
          <w:rFonts w:hint="eastAsia"/>
          <w:snapToGrid/>
        </w:rPr>
        <w:t>，有关详情请参阅上文第九条第</w:t>
      </w:r>
      <w:r>
        <w:rPr>
          <w:rFonts w:hint="eastAsia"/>
          <w:snapToGrid/>
        </w:rPr>
        <w:t>447</w:t>
      </w:r>
      <w:r>
        <w:rPr>
          <w:rFonts w:hint="eastAsia"/>
          <w:snapToGrid/>
        </w:rPr>
        <w:t>段。他们也可申请高龄津贴，有关详情已在首份报告第</w:t>
      </w:r>
      <w:r>
        <w:rPr>
          <w:snapToGrid/>
        </w:rPr>
        <w:t>157</w:t>
      </w:r>
      <w:r>
        <w:rPr>
          <w:rFonts w:hint="eastAsia"/>
          <w:snapToGrid/>
        </w:rPr>
        <w:t>至</w:t>
      </w:r>
      <w:r>
        <w:rPr>
          <w:snapToGrid/>
        </w:rPr>
        <w:t>158</w:t>
      </w:r>
      <w:r>
        <w:rPr>
          <w:rFonts w:hint="eastAsia"/>
          <w:snapToGrid/>
        </w:rPr>
        <w:t>段论述。截至二零零二年十二月底，约有</w:t>
      </w:r>
      <w:r>
        <w:rPr>
          <w:snapToGrid/>
        </w:rPr>
        <w:t>170,000</w:t>
      </w:r>
      <w:r>
        <w:rPr>
          <w:rFonts w:hint="eastAsia"/>
          <w:snapToGrid/>
        </w:rPr>
        <w:t>名领取综援人士</w:t>
      </w:r>
      <w:r>
        <w:rPr>
          <w:snapToGrid/>
        </w:rPr>
        <w:t>(</w:t>
      </w:r>
      <w:r>
        <w:rPr>
          <w:rFonts w:hint="eastAsia"/>
          <w:snapToGrid/>
        </w:rPr>
        <w:t>约占全部领取综援人士的</w:t>
      </w:r>
      <w:r>
        <w:rPr>
          <w:snapToGrid/>
        </w:rPr>
        <w:t>36.5%)</w:t>
      </w:r>
      <w:r>
        <w:rPr>
          <w:rFonts w:hint="eastAsia"/>
          <w:snapToGrid/>
        </w:rPr>
        <w:t>年满</w:t>
      </w:r>
      <w:r>
        <w:rPr>
          <w:snapToGrid/>
        </w:rPr>
        <w:t>60</w:t>
      </w:r>
      <w:r>
        <w:rPr>
          <w:rFonts w:hint="eastAsia"/>
          <w:snapToGrid/>
        </w:rPr>
        <w:t>岁或以上，另有约</w:t>
      </w:r>
      <w:r>
        <w:rPr>
          <w:snapToGrid/>
        </w:rPr>
        <w:t>456,000</w:t>
      </w:r>
      <w:r>
        <w:rPr>
          <w:rFonts w:hint="eastAsia"/>
          <w:snapToGrid/>
        </w:rPr>
        <w:t>名年满</w:t>
      </w:r>
      <w:r>
        <w:rPr>
          <w:snapToGrid/>
        </w:rPr>
        <w:t>65</w:t>
      </w:r>
      <w:r>
        <w:rPr>
          <w:rFonts w:hint="eastAsia"/>
          <w:snapToGrid/>
        </w:rPr>
        <w:t>岁或以上人士领取高龄津贴。总括而言，约有</w:t>
      </w:r>
      <w:r>
        <w:rPr>
          <w:snapToGrid/>
        </w:rPr>
        <w:t>626,000</w:t>
      </w:r>
      <w:r>
        <w:rPr>
          <w:rFonts w:hint="eastAsia"/>
          <w:snapToGrid/>
        </w:rPr>
        <w:t>名年满</w:t>
      </w:r>
      <w:r>
        <w:rPr>
          <w:snapToGrid/>
        </w:rPr>
        <w:t>60</w:t>
      </w:r>
      <w:r>
        <w:rPr>
          <w:rFonts w:hint="eastAsia"/>
          <w:snapToGrid/>
        </w:rPr>
        <w:t>岁或以上人士</w:t>
      </w:r>
      <w:r>
        <w:rPr>
          <w:snapToGrid/>
        </w:rPr>
        <w:t>(</w:t>
      </w:r>
      <w:r>
        <w:rPr>
          <w:rFonts w:hint="eastAsia"/>
          <w:snapToGrid/>
        </w:rPr>
        <w:t>约占整个年龄组别的</w:t>
      </w:r>
      <w:r>
        <w:rPr>
          <w:snapToGrid/>
        </w:rPr>
        <w:t>61%</w:t>
      </w:r>
      <w:r>
        <w:rPr>
          <w:rStyle w:val="FootnoteReference"/>
          <w:snapToGrid/>
        </w:rPr>
        <w:footnoteReference w:customMarkFollows="1" w:id="46"/>
        <w:t>33</w:t>
      </w:r>
      <w:r>
        <w:rPr>
          <w:rFonts w:hint="eastAsia"/>
          <w:snapToGrid/>
        </w:rPr>
        <w:t xml:space="preserve"> </w:t>
      </w:r>
      <w:r>
        <w:rPr>
          <w:snapToGrid/>
        </w:rPr>
        <w:t>)</w:t>
      </w:r>
      <w:r>
        <w:rPr>
          <w:rFonts w:hint="eastAsia"/>
          <w:snapToGrid/>
        </w:rPr>
        <w:t>领取综援和高龄津贴。在二零零二至零三财政年度，我们会向该两个计划拨出约</w:t>
      </w:r>
      <w:r>
        <w:rPr>
          <w:snapToGrid/>
        </w:rPr>
        <w:t>118</w:t>
      </w:r>
      <w:r>
        <w:rPr>
          <w:rFonts w:hint="eastAsia"/>
          <w:snapToGrid/>
        </w:rPr>
        <w:t>亿港元，为长者提供援助。</w:t>
      </w:r>
    </w:p>
    <w:p w:rsidR="00000000" w:rsidRDefault="00000000">
      <w:pPr>
        <w:tabs>
          <w:tab w:val="left" w:pos="567"/>
          <w:tab w:val="left" w:pos="1134"/>
          <w:tab w:val="left" w:pos="1701"/>
        </w:tabs>
        <w:rPr>
          <w:rFonts w:hint="eastAsia"/>
          <w:snapToGrid/>
        </w:rPr>
      </w:pPr>
      <w:r>
        <w:rPr>
          <w:snapToGrid/>
        </w:rPr>
        <w:tab/>
        <w:t xml:space="preserve">553.  </w:t>
      </w:r>
      <w:r>
        <w:rPr>
          <w:rFonts w:hint="eastAsia"/>
          <w:snapToGrid/>
        </w:rPr>
        <w:t>我们已因应本港人口老化问题和改变中的长者情况，检讨现行为老人而设的社会援助计划。我们的长远目标是参考世界银行为高龄财政保障而提出的“三支柱模式”，发展一个可持续为老人提供财政支持的制度。由于所涉事宜较为复杂，我们需要时间仔细研究。</w:t>
      </w:r>
    </w:p>
    <w:p w:rsidR="00000000" w:rsidRDefault="00000000">
      <w:pPr>
        <w:pStyle w:val="Heading4"/>
        <w:spacing w:before="320"/>
        <w:rPr>
          <w:rFonts w:hint="eastAsia"/>
        </w:rPr>
      </w:pPr>
      <w:r>
        <w:rPr>
          <w:rFonts w:hint="eastAsia"/>
        </w:rPr>
        <w:t>长者住院照顾服务</w:t>
      </w:r>
    </w:p>
    <w:p w:rsidR="00000000" w:rsidRDefault="00000000">
      <w:pPr>
        <w:tabs>
          <w:tab w:val="left" w:pos="567"/>
          <w:tab w:val="left" w:pos="1134"/>
          <w:tab w:val="left" w:pos="1701"/>
        </w:tabs>
        <w:rPr>
          <w:rFonts w:hint="eastAsia"/>
          <w:snapToGrid/>
        </w:rPr>
      </w:pPr>
      <w:r>
        <w:rPr>
          <w:snapToGrid/>
          <w:spacing w:val="16"/>
        </w:rPr>
        <w:tab/>
        <w:t xml:space="preserve">554.  </w:t>
      </w:r>
      <w:r>
        <w:rPr>
          <w:rFonts w:hint="eastAsia"/>
          <w:snapToGrid/>
          <w:spacing w:val="16"/>
        </w:rPr>
        <w:t>在二零零二年年底，我们于受资助安老院舍提供逾</w:t>
      </w:r>
      <w:r>
        <w:rPr>
          <w:snapToGrid/>
          <w:spacing w:val="16"/>
        </w:rPr>
        <w:t>20,000</w:t>
      </w:r>
      <w:r>
        <w:rPr>
          <w:rFonts w:hint="eastAsia"/>
          <w:snapToGrid/>
          <w:spacing w:val="16"/>
        </w:rPr>
        <w:t>个资助宿位</w:t>
      </w:r>
      <w:r>
        <w:rPr>
          <w:rStyle w:val="FootnoteReference"/>
          <w:snapToGrid/>
        </w:rPr>
        <w:footnoteReference w:customMarkFollows="1" w:id="47"/>
        <w:t>34</w:t>
      </w:r>
      <w:r>
        <w:rPr>
          <w:rFonts w:hint="eastAsia"/>
          <w:snapToGrid/>
        </w:rPr>
        <w:t>。私营安老院亦提供超过</w:t>
      </w:r>
      <w:r>
        <w:rPr>
          <w:snapToGrid/>
        </w:rPr>
        <w:t>43,000</w:t>
      </w:r>
      <w:r>
        <w:rPr>
          <w:rFonts w:hint="eastAsia"/>
          <w:snapToGrid/>
        </w:rPr>
        <w:t>个宿位</w:t>
      </w:r>
      <w:r>
        <w:rPr>
          <w:snapToGrid/>
        </w:rPr>
        <w:t>(</w:t>
      </w:r>
      <w:r>
        <w:rPr>
          <w:rFonts w:hint="eastAsia"/>
          <w:snapToGrid/>
        </w:rPr>
        <w:t>其中</w:t>
      </w:r>
      <w:r>
        <w:rPr>
          <w:snapToGrid/>
        </w:rPr>
        <w:t>5,800</w:t>
      </w:r>
      <w:r>
        <w:rPr>
          <w:rFonts w:hint="eastAsia"/>
          <w:snapToGrid/>
        </w:rPr>
        <w:t>个宿位由政府购买</w:t>
      </w:r>
      <w:r>
        <w:rPr>
          <w:snapToGrid/>
        </w:rPr>
        <w:t>)</w:t>
      </w:r>
      <w:r>
        <w:rPr>
          <w:rFonts w:hint="eastAsia"/>
          <w:snapToGrid/>
        </w:rPr>
        <w:t>，而长者宿舍</w:t>
      </w:r>
      <w:r>
        <w:rPr>
          <w:snapToGrid/>
        </w:rPr>
        <w:t>/</w:t>
      </w:r>
      <w:r>
        <w:rPr>
          <w:rFonts w:hint="eastAsia"/>
          <w:snapToGrid/>
        </w:rPr>
        <w:t>安老院及护理安老院则提供逾</w:t>
      </w:r>
      <w:r>
        <w:rPr>
          <w:snapToGrid/>
        </w:rPr>
        <w:t>2,900</w:t>
      </w:r>
      <w:r>
        <w:rPr>
          <w:rFonts w:hint="eastAsia"/>
          <w:snapToGrid/>
        </w:rPr>
        <w:t>个自负盈亏的宿位。我们会继续向需要医疗和护理服务的长者提供疗养病床。</w:t>
      </w:r>
    </w:p>
    <w:p w:rsidR="00000000" w:rsidRDefault="00000000">
      <w:pPr>
        <w:tabs>
          <w:tab w:val="left" w:pos="567"/>
          <w:tab w:val="left" w:pos="1134"/>
          <w:tab w:val="left" w:pos="1701"/>
        </w:tabs>
        <w:rPr>
          <w:rFonts w:hint="eastAsia"/>
          <w:snapToGrid/>
        </w:rPr>
      </w:pPr>
      <w:r>
        <w:rPr>
          <w:snapToGrid/>
        </w:rPr>
        <w:tab/>
        <w:t xml:space="preserve">555.  </w:t>
      </w:r>
      <w:r>
        <w:rPr>
          <w:rFonts w:hint="eastAsia"/>
          <w:snapToGrid/>
        </w:rPr>
        <w:t>为了合理地运用社区资源，我们会逐步终止提供长者宿舍及安老院宿位，以便集中照顾有护理需要的长者。我们亦会通过房屋计划和社区支援服务照顾长者的住屋和社交心理需要。这些措施与我们尽量鼓励和协助长者在家安享晚年，以及继续积极参与社区活动的政策一致。</w:t>
      </w:r>
    </w:p>
    <w:p w:rsidR="00000000" w:rsidRDefault="00000000">
      <w:pPr>
        <w:tabs>
          <w:tab w:val="left" w:pos="567"/>
          <w:tab w:val="left" w:pos="1134"/>
          <w:tab w:val="left" w:pos="1701"/>
        </w:tabs>
        <w:rPr>
          <w:rFonts w:hint="eastAsia"/>
          <w:snapToGrid/>
        </w:rPr>
      </w:pPr>
      <w:r>
        <w:rPr>
          <w:snapToGrid/>
        </w:rPr>
        <w:tab/>
        <w:t xml:space="preserve">556.  </w:t>
      </w:r>
      <w:r>
        <w:rPr>
          <w:rFonts w:hint="eastAsia"/>
          <w:snapToGrid/>
        </w:rPr>
        <w:t>我们正着手合并传统上由不同机构提供的各种层次的护理服务，以满足那些在家未能获足够照顾的长者不断转变的需要。我们采取这个做法，是因为我们从首份报告第</w:t>
      </w:r>
      <w:r>
        <w:rPr>
          <w:snapToGrid/>
        </w:rPr>
        <w:t>321</w:t>
      </w:r>
      <w:r>
        <w:rPr>
          <w:rFonts w:hint="eastAsia"/>
          <w:snapToGrid/>
        </w:rPr>
        <w:t>段提及的试验计划，以及外判处所的工作中</w:t>
      </w:r>
      <w:r>
        <w:rPr>
          <w:snapToGrid/>
        </w:rPr>
        <w:t>(</w:t>
      </w:r>
      <w:r>
        <w:rPr>
          <w:rFonts w:hint="eastAsia"/>
          <w:snapToGrid/>
        </w:rPr>
        <w:t>见下文第</w:t>
      </w:r>
      <w:r>
        <w:rPr>
          <w:snapToGrid/>
        </w:rPr>
        <w:t>557</w:t>
      </w:r>
      <w:r>
        <w:rPr>
          <w:rFonts w:hint="eastAsia"/>
          <w:snapToGrid/>
        </w:rPr>
        <w:t>段</w:t>
      </w:r>
      <w:r>
        <w:rPr>
          <w:snapToGrid/>
        </w:rPr>
        <w:t>)</w:t>
      </w:r>
      <w:r>
        <w:rPr>
          <w:rFonts w:hint="eastAsia"/>
          <w:snapToGrid/>
        </w:rPr>
        <w:t>汲取了经验。我们的构思是以单一种护老院提供持续的服务，以尽量避免长者因健康状况转差而须迁往其他类型的护理院舍。</w:t>
      </w:r>
    </w:p>
    <w:p w:rsidR="00000000" w:rsidRDefault="00000000">
      <w:pPr>
        <w:tabs>
          <w:tab w:val="left" w:pos="567"/>
          <w:tab w:val="left" w:pos="1134"/>
          <w:tab w:val="left" w:pos="1701"/>
        </w:tabs>
        <w:rPr>
          <w:rFonts w:hint="eastAsia"/>
          <w:snapToGrid/>
        </w:rPr>
      </w:pPr>
      <w:r>
        <w:rPr>
          <w:snapToGrid/>
        </w:rPr>
        <w:tab/>
        <w:t xml:space="preserve">557.  </w:t>
      </w:r>
      <w:r>
        <w:rPr>
          <w:rFonts w:hint="eastAsia"/>
          <w:snapToGrid/>
        </w:rPr>
        <w:t>为了加强改善服务，我们会继续鼓励非政府机构和私营机构提供混合模式的服务。我们现在会向非政府机构和私营机构公开招标，以甄选服务营办者。我们批出合约前主要会考虑投标者的服务质素，而不是索价数目。我们会严密监察服务营办者，确保他们遵从合约条款，并达到协议的工作表现水平。</w:t>
      </w:r>
    </w:p>
    <w:p w:rsidR="00000000" w:rsidRDefault="00000000">
      <w:pPr>
        <w:tabs>
          <w:tab w:val="left" w:pos="567"/>
          <w:tab w:val="left" w:pos="1134"/>
          <w:tab w:val="left" w:pos="1701"/>
        </w:tabs>
        <w:spacing w:after="320"/>
        <w:rPr>
          <w:rFonts w:hint="eastAsia"/>
          <w:snapToGrid/>
        </w:rPr>
      </w:pPr>
      <w:r>
        <w:rPr>
          <w:snapToGrid/>
        </w:rPr>
        <w:tab/>
        <w:t xml:space="preserve">558.  </w:t>
      </w:r>
      <w:r>
        <w:rPr>
          <w:rFonts w:hint="eastAsia"/>
          <w:snapToGrid/>
        </w:rPr>
        <w:t>在二零零二年年中，为提升安老院的服务质素，我们就设立安老院评级系统委托顾问进行为期两年的研究。</w:t>
      </w:r>
    </w:p>
    <w:p w:rsidR="00000000" w:rsidRDefault="00000000">
      <w:pPr>
        <w:pStyle w:val="Heading3"/>
        <w:rPr>
          <w:rFonts w:ascii="Time New Roman" w:eastAsia="SimHei" w:hAnsi="Time New Roman" w:hint="eastAsia"/>
          <w:u w:val="none"/>
        </w:rPr>
      </w:pPr>
      <w:bookmarkStart w:id="47" w:name="_Toc78772956"/>
      <w:r>
        <w:rPr>
          <w:rFonts w:ascii="Time New Roman" w:eastAsia="SimHei" w:hAnsi="Time New Roman"/>
          <w:b/>
          <w:u w:val="none"/>
        </w:rPr>
        <w:t>K</w:t>
      </w:r>
      <w:r>
        <w:rPr>
          <w:rFonts w:ascii="Time New Roman" w:eastAsia="SimHei" w:hAnsi="Time New Roman"/>
          <w:u w:val="none"/>
        </w:rPr>
        <w:t xml:space="preserve">.  </w:t>
      </w:r>
      <w:r>
        <w:rPr>
          <w:rFonts w:ascii="Time New Roman" w:eastAsia="SimHei" w:hAnsi="Time New Roman" w:hint="eastAsia"/>
          <w:u w:val="none"/>
        </w:rPr>
        <w:t>第十一条</w:t>
      </w:r>
      <w:r>
        <w:rPr>
          <w:rFonts w:ascii="Time New Roman" w:eastAsia="SimHei" w:hAnsi="Time New Roman" w:hint="eastAsia"/>
          <w:u w:val="none"/>
        </w:rPr>
        <w:br/>
      </w:r>
      <w:r>
        <w:rPr>
          <w:rFonts w:ascii="Time New Roman" w:eastAsia="SimHei" w:hAnsi="Time New Roman"/>
          <w:u w:val="none"/>
        </w:rPr>
        <w:t xml:space="preserve">    </w:t>
      </w:r>
      <w:r>
        <w:rPr>
          <w:rFonts w:ascii="Time New Roman" w:eastAsia="SimHei" w:hAnsi="Time New Roman" w:hint="eastAsia"/>
          <w:u w:val="none"/>
        </w:rPr>
        <w:t>享受适当生活水平的权利</w:t>
      </w:r>
      <w:bookmarkEnd w:id="47"/>
    </w:p>
    <w:p w:rsidR="00000000" w:rsidRDefault="00000000">
      <w:pPr>
        <w:pStyle w:val="Heading4"/>
        <w:rPr>
          <w:rFonts w:hint="eastAsia"/>
        </w:rPr>
      </w:pPr>
      <w:r>
        <w:rPr>
          <w:rFonts w:hint="eastAsia"/>
        </w:rPr>
        <w:t>经济指标</w:t>
      </w:r>
    </w:p>
    <w:p w:rsidR="00000000" w:rsidRDefault="00000000">
      <w:pPr>
        <w:tabs>
          <w:tab w:val="left" w:pos="567"/>
          <w:tab w:val="left" w:pos="1134"/>
          <w:tab w:val="left" w:pos="1701"/>
        </w:tabs>
        <w:rPr>
          <w:rFonts w:hint="eastAsia"/>
          <w:snapToGrid/>
        </w:rPr>
      </w:pPr>
      <w:r>
        <w:rPr>
          <w:snapToGrid/>
        </w:rPr>
        <w:tab/>
        <w:t xml:space="preserve">559.  </w:t>
      </w:r>
      <w:r>
        <w:rPr>
          <w:rFonts w:hint="eastAsia"/>
          <w:snapToGrid/>
        </w:rPr>
        <w:t>在亚洲金融风暴影响下，香港的经济在一九九八年及一九九九年显著倒退；其后，它随着全球经济在二零零一年的后期逆转向下，再次受到打击。在亚洲金融风暴和全球经济衰退影响下，本港整体出口显著放缓，内部需求亦有所下降，尤其是由于失业率上升、工资紧缩、资产价格下调，致令消费疲弱。另外，受到经济下调和不明朗的业务前景影响，个人和企业投资金额也有所缩减。</w:t>
      </w:r>
    </w:p>
    <w:p w:rsidR="00000000" w:rsidRDefault="00000000">
      <w:pPr>
        <w:tabs>
          <w:tab w:val="left" w:pos="567"/>
          <w:tab w:val="left" w:pos="1134"/>
          <w:tab w:val="left" w:pos="1701"/>
        </w:tabs>
        <w:rPr>
          <w:rFonts w:hint="eastAsia"/>
          <w:snapToGrid/>
        </w:rPr>
      </w:pPr>
      <w:r>
        <w:rPr>
          <w:snapToGrid/>
        </w:rPr>
        <w:tab/>
        <w:t xml:space="preserve">560.  </w:t>
      </w:r>
      <w:r>
        <w:rPr>
          <w:rFonts w:hint="eastAsia"/>
          <w:snapToGrid/>
        </w:rPr>
        <w:t>不过，香港的经济在二零零二年开始好转，这主要是外围经济表现强劲所带动。在二零零二年，本地生产总值实质增长了</w:t>
      </w:r>
      <w:r>
        <w:rPr>
          <w:snapToGrid/>
        </w:rPr>
        <w:t>2.3%</w:t>
      </w:r>
      <w:r>
        <w:rPr>
          <w:rFonts w:hint="eastAsia"/>
          <w:snapToGrid/>
        </w:rPr>
        <w:t>，较二零零一年的</w:t>
      </w:r>
      <w:r>
        <w:rPr>
          <w:snapToGrid/>
        </w:rPr>
        <w:t>0.6%</w:t>
      </w:r>
      <w:r>
        <w:rPr>
          <w:rFonts w:hint="eastAsia"/>
          <w:snapToGrid/>
        </w:rPr>
        <w:t>增长为快。如果与一九九二年相比，本地生产总值平均每年仍有</w:t>
      </w:r>
      <w:r>
        <w:rPr>
          <w:snapToGrid/>
        </w:rPr>
        <w:t>4%</w:t>
      </w:r>
      <w:r>
        <w:rPr>
          <w:rFonts w:hint="eastAsia"/>
          <w:snapToGrid/>
        </w:rPr>
        <w:t>的实质增长，超越了经济合作及发展组织各成员国的</w:t>
      </w:r>
      <w:r>
        <w:rPr>
          <w:snapToGrid/>
        </w:rPr>
        <w:t>3%</w:t>
      </w:r>
      <w:r>
        <w:rPr>
          <w:rFonts w:hint="eastAsia"/>
          <w:snapToGrid/>
        </w:rPr>
        <w:t>增长。二零零二年，香港的人均生产总值为</w:t>
      </w:r>
      <w:r>
        <w:rPr>
          <w:snapToGrid/>
        </w:rPr>
        <w:t>187,300</w:t>
      </w:r>
      <w:r>
        <w:rPr>
          <w:rFonts w:hint="eastAsia"/>
          <w:snapToGrid/>
        </w:rPr>
        <w:t>港元</w:t>
      </w:r>
      <w:r>
        <w:rPr>
          <w:snapToGrid/>
        </w:rPr>
        <w:t>(24,010</w:t>
      </w:r>
      <w:r>
        <w:rPr>
          <w:rFonts w:hint="eastAsia"/>
          <w:snapToGrid/>
        </w:rPr>
        <w:t>美元</w:t>
      </w:r>
      <w:r>
        <w:rPr>
          <w:snapToGrid/>
        </w:rPr>
        <w:t>)</w:t>
      </w:r>
      <w:r>
        <w:rPr>
          <w:rFonts w:hint="eastAsia"/>
          <w:snapToGrid/>
        </w:rPr>
        <w:t>，居亚洲最高之列。</w:t>
      </w:r>
    </w:p>
    <w:p w:rsidR="00000000" w:rsidRDefault="00000000">
      <w:pPr>
        <w:tabs>
          <w:tab w:val="left" w:pos="567"/>
          <w:tab w:val="left" w:pos="1134"/>
          <w:tab w:val="left" w:pos="1701"/>
        </w:tabs>
        <w:rPr>
          <w:rFonts w:hint="eastAsia"/>
          <w:snapToGrid/>
        </w:rPr>
      </w:pPr>
      <w:r>
        <w:rPr>
          <w:snapToGrid/>
        </w:rPr>
        <w:tab/>
        <w:t xml:space="preserve">561.  </w:t>
      </w:r>
      <w:r>
        <w:rPr>
          <w:rFonts w:hint="eastAsia"/>
          <w:snapToGrid/>
        </w:rPr>
        <w:t>自一九九八年年底以来，主要由于内部需求疲弱及进口价格降低，本地消费物价持续下调。再者，政府过去几年所实施的特别宽减措施也产生一定影响。在二零零二年，综合消费物价指数下跌</w:t>
      </w:r>
      <w:r>
        <w:rPr>
          <w:snapToGrid/>
        </w:rPr>
        <w:t>3.0%</w:t>
      </w:r>
      <w:r>
        <w:rPr>
          <w:rFonts w:hint="eastAsia"/>
          <w:snapToGrid/>
        </w:rPr>
        <w:t>。</w:t>
      </w:r>
    </w:p>
    <w:p w:rsidR="00000000" w:rsidRDefault="00000000">
      <w:pPr>
        <w:tabs>
          <w:tab w:val="left" w:pos="567"/>
          <w:tab w:val="left" w:pos="1134"/>
          <w:tab w:val="left" w:leader="hyphen" w:pos="1701"/>
        </w:tabs>
        <w:rPr>
          <w:snapToGrid/>
        </w:rPr>
      </w:pPr>
      <w:r>
        <w:rPr>
          <w:snapToGrid/>
        </w:rPr>
        <w:tab/>
        <w:t xml:space="preserve">562.  </w:t>
      </w:r>
      <w:r>
        <w:rPr>
          <w:rFonts w:hint="eastAsia"/>
          <w:snapToGrid/>
        </w:rPr>
        <w:t>在过去几年，劳工市场普遍放缓。二零零二年中，经季节性调整的失业率飙升至</w:t>
      </w:r>
      <w:r>
        <w:rPr>
          <w:snapToGrid/>
        </w:rPr>
        <w:t>7.8%</w:t>
      </w:r>
      <w:r>
        <w:rPr>
          <w:rFonts w:hint="eastAsia"/>
          <w:snapToGrid/>
        </w:rPr>
        <w:t>，但在二零零三年一月之前的三个月，失业率已回落至</w:t>
      </w:r>
      <w:r>
        <w:rPr>
          <w:snapToGrid/>
        </w:rPr>
        <w:t>7.2%</w:t>
      </w:r>
      <w:r>
        <w:rPr>
          <w:rFonts w:hint="eastAsia"/>
          <w:snapToGrid/>
        </w:rPr>
        <w:t>。失业问题几乎波及各主要行业，但其中以教育程度和技术水平较低的劳动人口所受影响最大。</w:t>
      </w:r>
    </w:p>
    <w:p w:rsidR="00000000" w:rsidRDefault="00000000">
      <w:pPr>
        <w:tabs>
          <w:tab w:val="left" w:pos="567"/>
          <w:tab w:val="left" w:pos="1134"/>
          <w:tab w:val="left" w:pos="1701"/>
        </w:tabs>
        <w:rPr>
          <w:rFonts w:hint="eastAsia"/>
          <w:snapToGrid/>
        </w:rPr>
      </w:pPr>
      <w:r>
        <w:rPr>
          <w:snapToGrid/>
        </w:rPr>
        <w:tab/>
        <w:t xml:space="preserve">563.  </w:t>
      </w:r>
      <w:r>
        <w:rPr>
          <w:rFonts w:hint="eastAsia"/>
          <w:snapToGrid/>
        </w:rPr>
        <w:t>工人收入有下降趋势。在二零零一年，以现金值计算的工人工资微升了</w:t>
      </w:r>
      <w:r>
        <w:rPr>
          <w:snapToGrid/>
        </w:rPr>
        <w:t>0.8%</w:t>
      </w:r>
      <w:r>
        <w:rPr>
          <w:rFonts w:hint="eastAsia"/>
          <w:snapToGrid/>
        </w:rPr>
        <w:t>，但在二零零二年九月，数字则较上一年下跌</w:t>
      </w:r>
      <w:r>
        <w:rPr>
          <w:snapToGrid/>
        </w:rPr>
        <w:t>1.5%</w:t>
      </w:r>
      <w:r>
        <w:rPr>
          <w:rFonts w:hint="eastAsia"/>
          <w:snapToGrid/>
        </w:rPr>
        <w:t>。不过，减去消费物价通缩后，二零零二年九月的工人工资，仍较去年实质增加</w:t>
      </w:r>
      <w:r>
        <w:rPr>
          <w:snapToGrid/>
        </w:rPr>
        <w:t>2.8%</w:t>
      </w:r>
      <w:r>
        <w:rPr>
          <w:rFonts w:hint="eastAsia"/>
          <w:snapToGrid/>
        </w:rPr>
        <w:t>，但增幅已小于二零零一年的</w:t>
      </w:r>
      <w:r>
        <w:rPr>
          <w:snapToGrid/>
        </w:rPr>
        <w:t>3.4%</w:t>
      </w:r>
      <w:r>
        <w:rPr>
          <w:rFonts w:hint="eastAsia"/>
          <w:snapToGrid/>
        </w:rPr>
        <w:t>。</w:t>
      </w:r>
    </w:p>
    <w:p w:rsidR="00000000" w:rsidRDefault="00000000">
      <w:pPr>
        <w:tabs>
          <w:tab w:val="left" w:pos="567"/>
          <w:tab w:val="left" w:pos="1134"/>
          <w:tab w:val="left" w:pos="1701"/>
        </w:tabs>
        <w:spacing w:after="320"/>
        <w:rPr>
          <w:rFonts w:hint="eastAsia"/>
          <w:snapToGrid/>
        </w:rPr>
      </w:pPr>
      <w:r>
        <w:rPr>
          <w:snapToGrid/>
        </w:rPr>
        <w:tab/>
        <w:t xml:space="preserve">564.  </w:t>
      </w:r>
      <w:r>
        <w:rPr>
          <w:rFonts w:hint="eastAsia"/>
          <w:snapToGrid/>
        </w:rPr>
        <w:t>就近期而言，预测二零零三年的本地生产总值会实质增长</w:t>
      </w:r>
      <w:r>
        <w:rPr>
          <w:snapToGrid/>
        </w:rPr>
        <w:t>3%</w:t>
      </w:r>
      <w:r>
        <w:rPr>
          <w:rFonts w:hint="eastAsia"/>
          <w:snapToGrid/>
        </w:rPr>
        <w:t>。增长的主要动力继续来自出口业、美元疲弱、内地经济持续增长，以及其他东亚地区经济进一步复苏。此外，鉴于出口增长所带来的收入产生效应已逐渐影响本地市场，预期本地内部需求会在二零零三年回稳。</w:t>
      </w:r>
    </w:p>
    <w:p w:rsidR="00000000" w:rsidRDefault="00000000">
      <w:pPr>
        <w:pStyle w:val="Heading4"/>
        <w:rPr>
          <w:rFonts w:hint="eastAsia"/>
        </w:rPr>
      </w:pPr>
      <w:r>
        <w:rPr>
          <w:rFonts w:hint="eastAsia"/>
        </w:rPr>
        <w:t>经济转型</w:t>
      </w:r>
    </w:p>
    <w:p w:rsidR="00000000" w:rsidRDefault="00000000">
      <w:pPr>
        <w:tabs>
          <w:tab w:val="left" w:pos="567"/>
          <w:tab w:val="left" w:pos="1134"/>
          <w:tab w:val="left" w:pos="1701"/>
        </w:tabs>
        <w:rPr>
          <w:rFonts w:hint="eastAsia"/>
          <w:snapToGrid/>
        </w:rPr>
      </w:pPr>
      <w:r>
        <w:rPr>
          <w:snapToGrid/>
        </w:rPr>
        <w:tab/>
        <w:t xml:space="preserve">565.  </w:t>
      </w:r>
      <w:r>
        <w:rPr>
          <w:rFonts w:hint="eastAsia"/>
          <w:snapToGrid/>
        </w:rPr>
        <w:t>服务业占香港本地生产总值的比率不断增加，由一九八一年的</w:t>
      </w:r>
      <w:r>
        <w:rPr>
          <w:snapToGrid/>
        </w:rPr>
        <w:t>67%</w:t>
      </w:r>
      <w:r>
        <w:rPr>
          <w:rFonts w:hint="eastAsia"/>
          <w:snapToGrid/>
        </w:rPr>
        <w:t>，上升至一九九一年的</w:t>
      </w:r>
      <w:r>
        <w:rPr>
          <w:snapToGrid/>
        </w:rPr>
        <w:t>77%</w:t>
      </w:r>
      <w:r>
        <w:rPr>
          <w:rFonts w:hint="eastAsia"/>
          <w:snapToGrid/>
        </w:rPr>
        <w:t>，到了二零零一年，更增至</w:t>
      </w:r>
      <w:r>
        <w:rPr>
          <w:snapToGrid/>
        </w:rPr>
        <w:t>87%</w:t>
      </w:r>
      <w:r>
        <w:rPr>
          <w:rFonts w:hint="eastAsia"/>
          <w:snapToGrid/>
        </w:rPr>
        <w:t>，可见香港经济日渐朝着以服务行业为主导的方向发展。内地的开放政策及经济改革，为本港制造商提供了庞大的生产腹地及市场，这不但吸引商人把劳工密集的生产工序移至内地进行，还为香港各种服务行业和活动创造了大量商机，这包括货运和客运、交通和旅游、分销和餐饮、银行、保险、地产等行业，以及金融、法律和会计等专业服务。</w:t>
      </w:r>
    </w:p>
    <w:p w:rsidR="00000000" w:rsidRDefault="00000000">
      <w:pPr>
        <w:tabs>
          <w:tab w:val="left" w:pos="567"/>
          <w:tab w:val="left" w:pos="1134"/>
          <w:tab w:val="left" w:pos="1701"/>
        </w:tabs>
        <w:spacing w:after="320"/>
        <w:rPr>
          <w:rFonts w:hint="eastAsia"/>
          <w:snapToGrid/>
        </w:rPr>
      </w:pPr>
      <w:r>
        <w:rPr>
          <w:snapToGrid/>
        </w:rPr>
        <w:tab/>
        <w:t xml:space="preserve">566.  </w:t>
      </w:r>
      <w:r>
        <w:rPr>
          <w:rFonts w:hint="eastAsia"/>
          <w:snapToGrid/>
        </w:rPr>
        <w:t>预期日后带动香港经济增长的，主要是金融、物流、旅游、生产及专业服务行业。其他行业也会继续增长，甚或迈向高增值路线发展。这些行业的发展有助创造更多就业机会，惠及本港不同界别的雇员。</w:t>
      </w:r>
    </w:p>
    <w:p w:rsidR="00000000" w:rsidRDefault="00000000">
      <w:pPr>
        <w:pStyle w:val="Heading4"/>
        <w:rPr>
          <w:rFonts w:hint="eastAsia"/>
        </w:rPr>
      </w:pPr>
      <w:r>
        <w:rPr>
          <w:rFonts w:hint="eastAsia"/>
        </w:rPr>
        <w:t>入息分配</w:t>
      </w:r>
    </w:p>
    <w:p w:rsidR="00000000" w:rsidRDefault="00000000">
      <w:pPr>
        <w:tabs>
          <w:tab w:val="left" w:pos="567"/>
          <w:tab w:val="left" w:pos="1134"/>
          <w:tab w:val="left" w:pos="1701"/>
        </w:tabs>
        <w:rPr>
          <w:rFonts w:hint="eastAsia"/>
          <w:snapToGrid/>
        </w:rPr>
      </w:pPr>
      <w:r>
        <w:rPr>
          <w:snapToGrid/>
        </w:rPr>
        <w:tab/>
        <w:t xml:space="preserve">567.  </w:t>
      </w:r>
      <w:r>
        <w:rPr>
          <w:rFonts w:hint="eastAsia"/>
          <w:snapToGrid/>
        </w:rPr>
        <w:t>根据二零零一年香港人口普查的结果计算，本地坚尼系数在二零零一年为</w:t>
      </w:r>
      <w:r>
        <w:rPr>
          <w:snapToGrid/>
        </w:rPr>
        <w:t>0.525,</w:t>
      </w:r>
      <w:r>
        <w:rPr>
          <w:rFonts w:hint="eastAsia"/>
          <w:snapToGrid/>
        </w:rPr>
        <w:t xml:space="preserve"> </w:t>
      </w:r>
      <w:r>
        <w:rPr>
          <w:rFonts w:hint="eastAsia"/>
          <w:snapToGrid/>
        </w:rPr>
        <w:t>较一九九一年的</w:t>
      </w:r>
      <w:r>
        <w:rPr>
          <w:snapToGrid/>
        </w:rPr>
        <w:t>0.476</w:t>
      </w:r>
      <w:r>
        <w:rPr>
          <w:rFonts w:hint="eastAsia"/>
          <w:snapToGrid/>
        </w:rPr>
        <w:t>和一九九六年的</w:t>
      </w:r>
      <w:r>
        <w:rPr>
          <w:snapToGrid/>
        </w:rPr>
        <w:t>0.518</w:t>
      </w:r>
      <w:r>
        <w:rPr>
          <w:rFonts w:hint="eastAsia"/>
          <w:snapToGrid/>
        </w:rPr>
        <w:t>为高。入息差距扩大，部分是由于香港经济结构转型，在过年二十年由主要依赖本地制造业转为服务行业，近年更趋向知识型和高增值经济活动发展。这样，本港对于人力的需求也随之转变。技术和教育水平较高、经验较丰富的工作人口，现时会较为吃香。相反来说，这些宏观经济趋势，加上近期经济倒退的打击，却减低了对低技术工人的需求，影响他们的经济状况。</w:t>
      </w:r>
    </w:p>
    <w:p w:rsidR="00000000" w:rsidRDefault="00000000">
      <w:pPr>
        <w:tabs>
          <w:tab w:val="left" w:pos="567"/>
          <w:tab w:val="left" w:pos="1134"/>
          <w:tab w:val="left" w:pos="1701"/>
        </w:tabs>
        <w:rPr>
          <w:rFonts w:hint="eastAsia"/>
          <w:snapToGrid/>
        </w:rPr>
      </w:pPr>
      <w:r>
        <w:rPr>
          <w:snapToGrid/>
        </w:rPr>
        <w:tab/>
        <w:t xml:space="preserve">568.  </w:t>
      </w:r>
      <w:r>
        <w:rPr>
          <w:rFonts w:hint="eastAsia"/>
          <w:snapToGrid/>
        </w:rPr>
        <w:t>面对这种情势的不独是香港。其他许多经济体系在转型到知识型经济的过渡期间，也出现过入息差距扩大的趋势，其中包括澳洲、加拿大、美国、英国及新加坡。</w:t>
      </w:r>
    </w:p>
    <w:p w:rsidR="00000000" w:rsidRDefault="00000000">
      <w:pPr>
        <w:tabs>
          <w:tab w:val="left" w:pos="567"/>
          <w:tab w:val="left" w:pos="1134"/>
          <w:tab w:val="left" w:pos="1701"/>
        </w:tabs>
        <w:rPr>
          <w:rFonts w:hint="eastAsia"/>
          <w:snapToGrid/>
        </w:rPr>
      </w:pPr>
      <w:r>
        <w:rPr>
          <w:snapToGrid/>
        </w:rPr>
        <w:tab/>
        <w:t xml:space="preserve">569.  </w:t>
      </w:r>
      <w:r>
        <w:rPr>
          <w:rFonts w:hint="eastAsia"/>
          <w:snapToGrid/>
        </w:rPr>
        <w:t>在比较世界各国的坚尼系数时，我们得紧记一点，就是香港基本上是个单一城市经济体系，汇聚了形形色色的服务行业和活动。这些活动发展成熟且多元化，所聘用的都是极富经验和具备多方面技术的工人。这正好反映香港是内地和东亚地区的金融和商业服务枢纽。在这样的情况下，香港人的入息差距理应较主要依赖制造业及农业的其他经济体系为大。</w:t>
      </w:r>
    </w:p>
    <w:p w:rsidR="00000000" w:rsidRDefault="00000000">
      <w:pPr>
        <w:tabs>
          <w:tab w:val="left" w:pos="567"/>
          <w:tab w:val="left" w:pos="1134"/>
          <w:tab w:val="left" w:pos="1701"/>
        </w:tabs>
        <w:spacing w:after="320"/>
        <w:rPr>
          <w:rFonts w:hint="eastAsia"/>
          <w:snapToGrid/>
        </w:rPr>
      </w:pPr>
      <w:r>
        <w:rPr>
          <w:snapToGrid/>
        </w:rPr>
        <w:tab/>
        <w:t xml:space="preserve">570.  </w:t>
      </w:r>
      <w:r>
        <w:rPr>
          <w:rFonts w:hint="eastAsia"/>
          <w:snapToGrid/>
        </w:rPr>
        <w:t>要改善全民的生活水平，关键在于经济持续增长。原则上，香港的自由市场让人人都有机会发挥所长、勤奋工作，从而提升自己的社会地位。有鉴于此，我们认为如要推动经济增长，以消除贫穷和减少入息差距，最有效的方法莫过于投资发展人力资源，以及提高工作人口的能力和生产力。这亦是我们持续改善营商环境，以鼓励投资和创造更多就业机会的原因。为此，政府也加以配合，投放大量资源在教育、训练及再培训方面，协助雇员迎合不断转型的经济环境。至于真正处于经济困难的人士，则可申请综合社会保障援助，以及享用资助房屋、医疗护理和福利服务</w:t>
      </w:r>
      <w:r>
        <w:rPr>
          <w:snapToGrid/>
        </w:rPr>
        <w:t>(</w:t>
      </w:r>
      <w:r>
        <w:rPr>
          <w:rFonts w:hint="eastAsia"/>
          <w:snapToGrid/>
        </w:rPr>
        <w:t>见上文第</w:t>
      </w:r>
      <w:r>
        <w:rPr>
          <w:snapToGrid/>
        </w:rPr>
        <w:t>445</w:t>
      </w:r>
      <w:r>
        <w:rPr>
          <w:rFonts w:hint="eastAsia"/>
          <w:snapToGrid/>
        </w:rPr>
        <w:t>至</w:t>
      </w:r>
      <w:r>
        <w:rPr>
          <w:snapToGrid/>
        </w:rPr>
        <w:t>459</w:t>
      </w:r>
      <w:r>
        <w:rPr>
          <w:rFonts w:hint="eastAsia"/>
          <w:snapToGrid/>
        </w:rPr>
        <w:t>段及下文第</w:t>
      </w:r>
      <w:r>
        <w:rPr>
          <w:snapToGrid/>
        </w:rPr>
        <w:t>596</w:t>
      </w:r>
      <w:r>
        <w:rPr>
          <w:rFonts w:hint="eastAsia"/>
          <w:snapToGrid/>
        </w:rPr>
        <w:t>至</w:t>
      </w:r>
      <w:r>
        <w:rPr>
          <w:snapToGrid/>
        </w:rPr>
        <w:t>599</w:t>
      </w:r>
      <w:r>
        <w:rPr>
          <w:rFonts w:hint="eastAsia"/>
          <w:snapToGrid/>
        </w:rPr>
        <w:t>段</w:t>
      </w:r>
      <w:r>
        <w:rPr>
          <w:snapToGrid/>
        </w:rPr>
        <w:t>)</w:t>
      </w:r>
      <w:r>
        <w:rPr>
          <w:rFonts w:hint="eastAsia"/>
          <w:snapToGrid/>
        </w:rPr>
        <w:t>。</w:t>
      </w:r>
    </w:p>
    <w:p w:rsidR="00000000" w:rsidRDefault="00000000">
      <w:pPr>
        <w:pStyle w:val="Heading4"/>
        <w:rPr>
          <w:rFonts w:hint="eastAsia"/>
        </w:rPr>
      </w:pPr>
      <w:r>
        <w:rPr>
          <w:rFonts w:hint="eastAsia"/>
        </w:rPr>
        <w:t>食物供应</w:t>
      </w:r>
    </w:p>
    <w:p w:rsidR="00000000" w:rsidRDefault="00000000">
      <w:pPr>
        <w:tabs>
          <w:tab w:val="left" w:pos="567"/>
          <w:tab w:val="left" w:pos="1134"/>
          <w:tab w:val="left" w:pos="1701"/>
        </w:tabs>
        <w:rPr>
          <w:rFonts w:hint="eastAsia"/>
          <w:snapToGrid/>
        </w:rPr>
      </w:pPr>
      <w:r>
        <w:rPr>
          <w:snapToGrid/>
        </w:rPr>
        <w:tab/>
        <w:t xml:space="preserve">571.  </w:t>
      </w:r>
      <w:r>
        <w:rPr>
          <w:rFonts w:hint="eastAsia"/>
          <w:snapToGrid/>
        </w:rPr>
        <w:t>食物供应的情况并无改变，大致上与首份报告第</w:t>
      </w:r>
      <w:r>
        <w:rPr>
          <w:snapToGrid/>
        </w:rPr>
        <w:t>335</w:t>
      </w:r>
      <w:r>
        <w:rPr>
          <w:rFonts w:hint="eastAsia"/>
          <w:snapToGrid/>
        </w:rPr>
        <w:t>至</w:t>
      </w:r>
      <w:r>
        <w:rPr>
          <w:snapToGrid/>
        </w:rPr>
        <w:t>343</w:t>
      </w:r>
      <w:r>
        <w:rPr>
          <w:rFonts w:hint="eastAsia"/>
          <w:snapToGrid/>
        </w:rPr>
        <w:t>段所述的相同。近期一项发展是，内地机关由二零零二年一月起已撤销配额及单一代理制度，消除了以往对保鲜肉类和家禽出口到香港的限制。目前，本港和内地机关紧密合作，确保由农场、加工、入口、分销至零售的供应链，均符合卫生标准。这项发展有助调低香港的综合消费物价指数，估计跌幅为</w:t>
      </w:r>
      <w:r>
        <w:rPr>
          <w:snapToGrid/>
        </w:rPr>
        <w:t>0.6%</w:t>
      </w:r>
      <w:r>
        <w:rPr>
          <w:rFonts w:hint="eastAsia"/>
          <w:snapToGrid/>
        </w:rPr>
        <w:t>至</w:t>
      </w:r>
      <w:r>
        <w:rPr>
          <w:snapToGrid/>
        </w:rPr>
        <w:t>0.7%</w:t>
      </w:r>
      <w:r>
        <w:rPr>
          <w:rFonts w:hint="eastAsia"/>
          <w:snapToGrid/>
        </w:rPr>
        <w:t>。</w:t>
      </w:r>
    </w:p>
    <w:p w:rsidR="00000000" w:rsidRDefault="00000000">
      <w:pPr>
        <w:tabs>
          <w:tab w:val="left" w:pos="567"/>
          <w:tab w:val="left" w:pos="1134"/>
          <w:tab w:val="left" w:pos="1701"/>
        </w:tabs>
        <w:rPr>
          <w:rFonts w:hint="eastAsia"/>
          <w:snapToGrid/>
        </w:rPr>
      </w:pPr>
      <w:r>
        <w:rPr>
          <w:snapToGrid/>
        </w:rPr>
        <w:tab/>
        <w:t xml:space="preserve">572.  </w:t>
      </w:r>
      <w:r>
        <w:rPr>
          <w:rFonts w:hint="eastAsia"/>
          <w:snapToGrid/>
        </w:rPr>
        <w:t>在二零零一年五月的审议结论第</w:t>
      </w:r>
      <w:r>
        <w:rPr>
          <w:snapToGrid/>
        </w:rPr>
        <w:t>14</w:t>
      </w:r>
      <w:r>
        <w:rPr>
          <w:rFonts w:hint="eastAsia"/>
          <w:snapToGrid/>
        </w:rPr>
        <w:t>段中，委员会指出，“香港特区以“积极不干预”为原则</w:t>
      </w:r>
      <w:r>
        <w:rPr>
          <w:snapToGrid/>
        </w:rPr>
        <w:t>(</w:t>
      </w:r>
      <w:r>
        <w:rPr>
          <w:rFonts w:hint="eastAsia"/>
          <w:snapToGrid/>
        </w:rPr>
        <w:t>即维持低税率和把政府开支限定于提供必要的服务</w:t>
      </w:r>
      <w:r>
        <w:rPr>
          <w:snapToGrid/>
        </w:rPr>
        <w:t>)</w:t>
      </w:r>
      <w:r>
        <w:rPr>
          <w:rFonts w:hint="eastAsia"/>
          <w:snapToGrid/>
        </w:rPr>
        <w:t>，以及按照《基本法》第五条有关保证香港自由贸易、自由企业和低税率五十年不变所规定的经济政策，均妨碍香港居民享有经济、社会及文化权利。此外，全球一体化的趋势，带来巨大盈余，更加剧了有关的影响”。委员会指出这是“有碍公约落实的因素和问题”。</w:t>
      </w:r>
    </w:p>
    <w:p w:rsidR="00000000" w:rsidRDefault="00000000">
      <w:pPr>
        <w:tabs>
          <w:tab w:val="left" w:pos="567"/>
          <w:tab w:val="left" w:pos="1134"/>
          <w:tab w:val="left" w:pos="1701"/>
        </w:tabs>
        <w:rPr>
          <w:rFonts w:hint="eastAsia"/>
          <w:snapToGrid/>
        </w:rPr>
      </w:pPr>
      <w:r>
        <w:rPr>
          <w:snapToGrid/>
        </w:rPr>
        <w:tab/>
        <w:t xml:space="preserve">573.  </w:t>
      </w:r>
      <w:r>
        <w:rPr>
          <w:rFonts w:hint="eastAsia"/>
          <w:snapToGrid/>
        </w:rPr>
        <w:t>有关审议结论第</w:t>
      </w:r>
      <w:r>
        <w:rPr>
          <w:snapToGrid/>
        </w:rPr>
        <w:t>14</w:t>
      </w:r>
      <w:r>
        <w:rPr>
          <w:rFonts w:hint="eastAsia"/>
          <w:snapToGrid/>
        </w:rPr>
        <w:t>段，委员会在一般评论第</w:t>
      </w:r>
      <w:r>
        <w:rPr>
          <w:snapToGrid/>
        </w:rPr>
        <w:t>3</w:t>
      </w:r>
      <w:r>
        <w:rPr>
          <w:rFonts w:hint="eastAsia"/>
          <w:snapToGrid/>
        </w:rPr>
        <w:t>号订明：</w:t>
      </w:r>
    </w:p>
    <w:p w:rsidR="00000000" w:rsidRDefault="00000000">
      <w:pPr>
        <w:pStyle w:val="ae"/>
        <w:rPr>
          <w:rFonts w:hint="eastAsia"/>
          <w:snapToGrid/>
        </w:rPr>
      </w:pPr>
      <w:r>
        <w:rPr>
          <w:rFonts w:hint="eastAsia"/>
          <w:snapToGrid/>
        </w:rPr>
        <w:t>“就政治和经济制度而言，公约是中立的，其中所载原则并没有偏于某个政治制度或经济制度的需要和取向；这些政治或经济制度可以指社会或资本主义制度，或混合制、中央计划或自由贸易经济体系，或任何其他特定模式的制度。”</w:t>
      </w:r>
    </w:p>
    <w:p w:rsidR="00000000" w:rsidRDefault="00000000">
      <w:pPr>
        <w:tabs>
          <w:tab w:val="left" w:pos="567"/>
          <w:tab w:val="left" w:pos="1134"/>
          <w:tab w:val="left" w:pos="1701"/>
        </w:tabs>
        <w:spacing w:after="320"/>
        <w:rPr>
          <w:rFonts w:hint="eastAsia"/>
          <w:snapToGrid/>
        </w:rPr>
      </w:pPr>
      <w:r>
        <w:rPr>
          <w:rFonts w:hint="eastAsia"/>
          <w:snapToGrid/>
        </w:rPr>
        <w:t>我们并不同意，香港特区的经济政策妨碍了香港居民享有经济、社会及文化权利。香港的经济政策建基于自由企业、自由贸易，以及尽量避免政府干预的原则。这些原则是香港经济赖以成功的基石，而且对于使香港发展成为一个公义仁爱的城市，担当着重要的角色。再者，香港在建立一个更公平的社会架构方面，已取得重大进展；我们在房屋、医疗护理、社会保障和其他范畴的成就，足以证明这点。我们明白到，香港仍有地方需待改进，而全球一体化及经济转型也会带来新的挑战。我们会勇于面对挑战，致力确保香港居民继续享有经济、社会及文化权利。</w:t>
      </w:r>
    </w:p>
    <w:p w:rsidR="00000000" w:rsidRDefault="00000000">
      <w:pPr>
        <w:pStyle w:val="a3"/>
        <w:rPr>
          <w:rFonts w:hint="eastAsia"/>
        </w:rPr>
      </w:pPr>
      <w:r>
        <w:rPr>
          <w:rFonts w:hint="eastAsia"/>
        </w:rPr>
        <w:t>房</w:t>
      </w:r>
      <w:r>
        <w:t xml:space="preserve">  </w:t>
      </w:r>
      <w:r>
        <w:rPr>
          <w:rFonts w:hint="eastAsia"/>
        </w:rPr>
        <w:t>屋</w:t>
      </w:r>
    </w:p>
    <w:p w:rsidR="00000000" w:rsidRDefault="00000000">
      <w:pPr>
        <w:pStyle w:val="Heading4"/>
        <w:rPr>
          <w:rFonts w:hint="eastAsia"/>
        </w:rPr>
      </w:pPr>
      <w:r>
        <w:rPr>
          <w:rFonts w:hint="eastAsia"/>
        </w:rPr>
        <w:t>房屋需求</w:t>
      </w:r>
    </w:p>
    <w:p w:rsidR="00000000" w:rsidRDefault="00000000">
      <w:pPr>
        <w:tabs>
          <w:tab w:val="left" w:pos="567"/>
          <w:tab w:val="left" w:pos="1134"/>
          <w:tab w:val="left" w:pos="1701"/>
        </w:tabs>
        <w:spacing w:after="320"/>
        <w:rPr>
          <w:rFonts w:hint="eastAsia"/>
          <w:snapToGrid/>
        </w:rPr>
      </w:pPr>
      <w:r>
        <w:rPr>
          <w:snapToGrid/>
        </w:rPr>
        <w:tab/>
        <w:t xml:space="preserve">574.  </w:t>
      </w:r>
      <w:r>
        <w:rPr>
          <w:rFonts w:hint="eastAsia"/>
          <w:snapToGrid/>
        </w:rPr>
        <w:t>根据估计，在一九九七年第一季，香港有</w:t>
      </w:r>
      <w:r>
        <w:rPr>
          <w:snapToGrid/>
        </w:rPr>
        <w:t>179,000</w:t>
      </w:r>
      <w:r>
        <w:rPr>
          <w:rFonts w:hint="eastAsia"/>
          <w:snapToGrid/>
        </w:rPr>
        <w:t>个家庭</w:t>
      </w:r>
      <w:r>
        <w:rPr>
          <w:snapToGrid/>
        </w:rPr>
        <w:t>(460,000</w:t>
      </w:r>
      <w:r>
        <w:rPr>
          <w:rFonts w:hint="eastAsia"/>
          <w:snapToGrid/>
        </w:rPr>
        <w:t>人</w:t>
      </w:r>
      <w:r>
        <w:rPr>
          <w:snapToGrid/>
        </w:rPr>
        <w:t>)</w:t>
      </w:r>
      <w:r>
        <w:rPr>
          <w:rFonts w:hint="eastAsia"/>
          <w:snapToGrid/>
        </w:rPr>
        <w:t>的居住环境欠佳。但在二零零二年第一季，这个数字已下降至约</w:t>
      </w:r>
      <w:r>
        <w:rPr>
          <w:snapToGrid/>
        </w:rPr>
        <w:t>100,000</w:t>
      </w:r>
      <w:r>
        <w:rPr>
          <w:rFonts w:hint="eastAsia"/>
          <w:snapToGrid/>
        </w:rPr>
        <w:t>个家庭</w:t>
      </w:r>
      <w:r>
        <w:rPr>
          <w:snapToGrid/>
        </w:rPr>
        <w:t>(274,000</w:t>
      </w:r>
      <w:r>
        <w:rPr>
          <w:rFonts w:hint="eastAsia"/>
          <w:snapToGrid/>
        </w:rPr>
        <w:t>人</w:t>
      </w:r>
      <w:r>
        <w:rPr>
          <w:snapToGrid/>
        </w:rPr>
        <w:t>)</w:t>
      </w:r>
      <w:r>
        <w:rPr>
          <w:rFonts w:hint="eastAsia"/>
          <w:snapToGrid/>
        </w:rPr>
        <w:t>。“居住环境欠佳”的人，是指居住在政府土地上的寮屋区、临时房屋区、平房区、无独立设备单位、天台搭建物，或在私人楼宇共住单位的人士。</w:t>
      </w:r>
    </w:p>
    <w:p w:rsidR="00000000" w:rsidRDefault="00000000">
      <w:pPr>
        <w:pStyle w:val="Heading4"/>
        <w:rPr>
          <w:rFonts w:hint="eastAsia"/>
        </w:rPr>
      </w:pPr>
      <w:r>
        <w:rPr>
          <w:rFonts w:hint="eastAsia"/>
        </w:rPr>
        <w:t>房屋政策</w:t>
      </w:r>
      <w:r>
        <w:rPr>
          <w:rFonts w:hint="eastAsia"/>
          <w:spacing w:val="-40"/>
        </w:rPr>
        <w:t>――</w:t>
      </w:r>
      <w:r>
        <w:rPr>
          <w:rFonts w:hint="eastAsia"/>
          <w:spacing w:val="-40"/>
        </w:rPr>
        <w:t xml:space="preserve"> </w:t>
      </w:r>
      <w:r>
        <w:rPr>
          <w:rFonts w:hint="eastAsia"/>
        </w:rPr>
        <w:t>政府的承诺</w:t>
      </w:r>
    </w:p>
    <w:p w:rsidR="00000000" w:rsidRDefault="00000000">
      <w:pPr>
        <w:tabs>
          <w:tab w:val="left" w:pos="567"/>
          <w:tab w:val="left" w:pos="1134"/>
          <w:tab w:val="left" w:pos="1701"/>
        </w:tabs>
        <w:rPr>
          <w:rFonts w:hint="eastAsia"/>
          <w:snapToGrid/>
        </w:rPr>
      </w:pPr>
      <w:r>
        <w:rPr>
          <w:snapToGrid/>
        </w:rPr>
        <w:tab/>
        <w:t xml:space="preserve">575.  </w:t>
      </w:r>
      <w:r>
        <w:rPr>
          <w:rFonts w:hint="eastAsia"/>
          <w:snapToGrid/>
        </w:rPr>
        <w:t>为有需要的家庭提供资助租住房屋，仍然是政府房屋策略的主要目标。我们的房屋政策以三个重要原则为前提：</w:t>
      </w:r>
    </w:p>
    <w:p w:rsidR="00000000" w:rsidRDefault="00000000">
      <w:pPr>
        <w:numPr>
          <w:ilvl w:val="0"/>
          <w:numId w:val="160"/>
        </w:numPr>
        <w:rPr>
          <w:rFonts w:hint="eastAsia"/>
          <w:snapToGrid/>
        </w:rPr>
      </w:pPr>
      <w:r>
        <w:rPr>
          <w:rFonts w:hint="eastAsia"/>
          <w:snapToGrid/>
        </w:rPr>
        <w:t>我们的资助房屋政策重点是，协助无能力负担私人房屋租金的低收入家庭；</w:t>
      </w:r>
    </w:p>
    <w:p w:rsidR="00000000" w:rsidRDefault="00000000">
      <w:pPr>
        <w:numPr>
          <w:ilvl w:val="0"/>
          <w:numId w:val="160"/>
        </w:numPr>
        <w:rPr>
          <w:rFonts w:hint="eastAsia"/>
          <w:snapToGrid/>
        </w:rPr>
      </w:pPr>
      <w:r>
        <w:rPr>
          <w:rFonts w:hint="eastAsia"/>
          <w:snapToGrid/>
        </w:rPr>
        <w:t>我们的主要职责是为公共房屋供应土地；以及</w:t>
      </w:r>
    </w:p>
    <w:p w:rsidR="00000000" w:rsidRDefault="00000000">
      <w:pPr>
        <w:numPr>
          <w:ilvl w:val="0"/>
          <w:numId w:val="160"/>
        </w:numPr>
        <w:rPr>
          <w:rFonts w:hint="eastAsia"/>
          <w:snapToGrid/>
        </w:rPr>
      </w:pPr>
      <w:r>
        <w:rPr>
          <w:rFonts w:hint="eastAsia"/>
          <w:snapToGrid/>
        </w:rPr>
        <w:t>政府须维持一个公平、稳定的经营环境，让私人物业市场持续、健康地发展，同时也确保提供足够的土地及所需的基础设施，以满足市场的需求。至于私人房屋的兴建数量，则全由市场决定。</w:t>
      </w:r>
    </w:p>
    <w:p w:rsidR="00000000" w:rsidRDefault="00000000">
      <w:pPr>
        <w:tabs>
          <w:tab w:val="left" w:pos="567"/>
          <w:tab w:val="left" w:pos="1134"/>
          <w:tab w:val="left" w:pos="1701"/>
        </w:tabs>
        <w:spacing w:after="320"/>
        <w:rPr>
          <w:rFonts w:hint="eastAsia"/>
          <w:snapToGrid/>
        </w:rPr>
      </w:pPr>
      <w:r>
        <w:rPr>
          <w:snapToGrid/>
        </w:rPr>
        <w:tab/>
        <w:t xml:space="preserve">576.  </w:t>
      </w:r>
      <w:r>
        <w:rPr>
          <w:rFonts w:hint="eastAsia"/>
          <w:snapToGrid/>
        </w:rPr>
        <w:t>鉴于公众广泛关注物业市场的状况，政府在二零零二年十一月公布了一套清晰、全面的房屋政策</w:t>
      </w:r>
      <w:r>
        <w:rPr>
          <w:snapToGrid/>
        </w:rPr>
        <w:t>(</w:t>
      </w:r>
      <w:r>
        <w:rPr>
          <w:rFonts w:hint="eastAsia"/>
          <w:snapToGrid/>
        </w:rPr>
        <w:t>见附件</w:t>
      </w:r>
      <w:r>
        <w:rPr>
          <w:snapToGrid/>
        </w:rPr>
        <w:t>11A)</w:t>
      </w:r>
      <w:r>
        <w:rPr>
          <w:rFonts w:hint="eastAsia"/>
          <w:snapToGrid/>
        </w:rPr>
        <w:t>。同时，我们也制定一些特别措施，针对解决物业市场供求失衡的问题。有关措施的概要载于附件</w:t>
      </w:r>
      <w:r>
        <w:rPr>
          <w:snapToGrid/>
        </w:rPr>
        <w:t>11A</w:t>
      </w:r>
      <w:r>
        <w:rPr>
          <w:rFonts w:hint="eastAsia"/>
          <w:snapToGrid/>
        </w:rPr>
        <w:t>。</w:t>
      </w:r>
    </w:p>
    <w:p w:rsidR="00000000" w:rsidRDefault="00000000">
      <w:pPr>
        <w:pStyle w:val="Heading4"/>
        <w:rPr>
          <w:rFonts w:hint="eastAsia"/>
        </w:rPr>
      </w:pPr>
      <w:r>
        <w:rPr>
          <w:rFonts w:hint="eastAsia"/>
        </w:rPr>
        <w:t>提供资助租住房屋</w:t>
      </w:r>
    </w:p>
    <w:p w:rsidR="00000000" w:rsidRDefault="00000000">
      <w:pPr>
        <w:tabs>
          <w:tab w:val="left" w:pos="567"/>
          <w:tab w:val="left" w:pos="1134"/>
          <w:tab w:val="left" w:pos="1701"/>
        </w:tabs>
        <w:spacing w:after="200"/>
        <w:rPr>
          <w:snapToGrid/>
        </w:rPr>
      </w:pPr>
      <w:r>
        <w:rPr>
          <w:snapToGrid/>
        </w:rPr>
        <w:tab/>
        <w:t xml:space="preserve">577.  </w:t>
      </w:r>
      <w:r>
        <w:rPr>
          <w:rFonts w:hint="eastAsia"/>
          <w:snapToGrid/>
        </w:rPr>
        <w:t>由于政府不断发展房屋，公屋轮候册的家庭数目已大幅减少，由一九九七年的</w:t>
      </w:r>
      <w:r>
        <w:rPr>
          <w:snapToGrid/>
        </w:rPr>
        <w:t>150,000</w:t>
      </w:r>
      <w:r>
        <w:rPr>
          <w:rFonts w:hint="eastAsia"/>
          <w:snapToGrid/>
        </w:rPr>
        <w:t>个，减至二零零二年年底的大约</w:t>
      </w:r>
      <w:r>
        <w:rPr>
          <w:snapToGrid/>
        </w:rPr>
        <w:t>90,000</w:t>
      </w:r>
      <w:r>
        <w:rPr>
          <w:rFonts w:hint="eastAsia"/>
          <w:snapToGrid/>
        </w:rPr>
        <w:t>个。一九九七年，轮候公屋时间平均需时超过六年，但现时的轮候时间少于三年。政府会继续提供资助租住房屋，协助无能力支付私人房屋租金的低收入家庭。此外，我们会致力把轮候公屋的平均时间维持于三年左右。</w:t>
      </w:r>
    </w:p>
    <w:p w:rsidR="00000000" w:rsidRDefault="00000000">
      <w:pPr>
        <w:pStyle w:val="Heading4"/>
        <w:rPr>
          <w:rFonts w:hint="eastAsia"/>
        </w:rPr>
      </w:pPr>
      <w:r>
        <w:rPr>
          <w:rFonts w:hint="eastAsia"/>
        </w:rPr>
        <w:t>房屋法例</w:t>
      </w:r>
    </w:p>
    <w:p w:rsidR="00000000" w:rsidRDefault="00000000">
      <w:pPr>
        <w:spacing w:after="200"/>
        <w:rPr>
          <w:rFonts w:hint="eastAsia"/>
          <w:snapToGrid/>
        </w:rPr>
      </w:pPr>
      <w:r>
        <w:rPr>
          <w:snapToGrid/>
        </w:rPr>
        <w:tab/>
        <w:t xml:space="preserve">578.  </w:t>
      </w:r>
      <w:r>
        <w:rPr>
          <w:rFonts w:hint="eastAsia"/>
          <w:snapToGrid/>
        </w:rPr>
        <w:t>情况大致上并无改变，与首份报告附件</w:t>
      </w:r>
      <w:r>
        <w:rPr>
          <w:snapToGrid/>
        </w:rPr>
        <w:t>23</w:t>
      </w:r>
      <w:r>
        <w:rPr>
          <w:rFonts w:hint="eastAsia"/>
          <w:snapToGrid/>
        </w:rPr>
        <w:t>所述的相同，为方便参考，现把它修订并重载于附件</w:t>
      </w:r>
      <w:r>
        <w:rPr>
          <w:snapToGrid/>
        </w:rPr>
        <w:t>11B</w:t>
      </w:r>
      <w:r>
        <w:rPr>
          <w:rFonts w:hint="eastAsia"/>
          <w:snapToGrid/>
        </w:rPr>
        <w:t>。</w:t>
      </w:r>
    </w:p>
    <w:p w:rsidR="00000000" w:rsidRDefault="00000000">
      <w:pPr>
        <w:pStyle w:val="Heading4"/>
        <w:rPr>
          <w:rFonts w:hint="eastAsia"/>
        </w:rPr>
      </w:pPr>
      <w:r>
        <w:rPr>
          <w:rFonts w:hint="eastAsia"/>
        </w:rPr>
        <w:t>有特殊需要的人士</w:t>
      </w:r>
    </w:p>
    <w:p w:rsidR="00000000" w:rsidRDefault="00000000">
      <w:pPr>
        <w:tabs>
          <w:tab w:val="left" w:pos="567"/>
          <w:tab w:val="left" w:pos="1134"/>
          <w:tab w:val="left" w:pos="1701"/>
        </w:tabs>
        <w:rPr>
          <w:rFonts w:hint="eastAsia"/>
          <w:snapToGrid/>
        </w:rPr>
      </w:pPr>
      <w:r>
        <w:rPr>
          <w:snapToGrid/>
        </w:rPr>
        <w:tab/>
        <w:t xml:space="preserve">579.  </w:t>
      </w:r>
      <w:r>
        <w:rPr>
          <w:rFonts w:hint="eastAsia"/>
          <w:snapToGrid/>
        </w:rPr>
        <w:t>申请各类公共房屋援助的家庭都必须符合负担能力这个基本原则。为确保公平及有效地运用有限的资源，申请公共房屋租金资助的家庭，会按他们申请的次序获配单位或获发津贴。我们并不鼓励插队，也不希望需要优先配屋的“特殊利益”人士数目激增。不过，长者却是特别例外的一群，有不少计划都让他们获个别和优先配屋。</w:t>
      </w:r>
    </w:p>
    <w:p w:rsidR="00000000" w:rsidRDefault="00000000">
      <w:pPr>
        <w:tabs>
          <w:tab w:val="left" w:pos="567"/>
          <w:tab w:val="left" w:pos="1080"/>
        </w:tabs>
        <w:rPr>
          <w:rFonts w:hint="eastAsia"/>
          <w:snapToGrid/>
        </w:rPr>
      </w:pPr>
      <w:r>
        <w:rPr>
          <w:snapToGrid/>
        </w:rPr>
        <w:tab/>
        <w:t xml:space="preserve">580.  </w:t>
      </w:r>
      <w:r>
        <w:rPr>
          <w:rFonts w:hint="eastAsia"/>
          <w:snapToGrid/>
        </w:rPr>
        <w:t>随着旧型临时房屋区及平房区清拆，以及整体房屋不足的情况得以改善，我们大致上已解决了长久以来有特殊需要人士的住屋问题。另一方面，虽然居住环境欠佳的家庭数目不断减少，尤其是在旧区内的住户数目，但我们仍关注他们的住屋需求。为此，我们：</w:t>
      </w:r>
    </w:p>
    <w:p w:rsidR="00000000" w:rsidRDefault="00000000">
      <w:pPr>
        <w:numPr>
          <w:ilvl w:val="0"/>
          <w:numId w:val="162"/>
        </w:numPr>
        <w:rPr>
          <w:rFonts w:hint="eastAsia"/>
          <w:snapToGrid/>
        </w:rPr>
      </w:pPr>
      <w:r>
        <w:rPr>
          <w:rFonts w:hint="eastAsia"/>
          <w:snapToGrid/>
        </w:rPr>
        <w:t>鼓励和协助合资格的家庭在租住公屋轮候册上登记；</w:t>
      </w:r>
    </w:p>
    <w:p w:rsidR="00000000" w:rsidRDefault="00000000">
      <w:pPr>
        <w:numPr>
          <w:ilvl w:val="0"/>
          <w:numId w:val="162"/>
        </w:numPr>
        <w:rPr>
          <w:rFonts w:hint="eastAsia"/>
          <w:snapToGrid/>
        </w:rPr>
      </w:pPr>
      <w:r>
        <w:rPr>
          <w:rFonts w:hint="eastAsia"/>
          <w:snapToGrid/>
        </w:rPr>
        <w:t>为值得同情的家庭立即提供安置单位；</w:t>
      </w:r>
    </w:p>
    <w:p w:rsidR="00000000" w:rsidRDefault="00000000">
      <w:pPr>
        <w:numPr>
          <w:ilvl w:val="0"/>
          <w:numId w:val="162"/>
        </w:numPr>
        <w:rPr>
          <w:rFonts w:hint="eastAsia"/>
          <w:snapToGrid/>
        </w:rPr>
      </w:pPr>
      <w:r>
        <w:rPr>
          <w:rFonts w:hint="eastAsia"/>
          <w:snapToGrid/>
        </w:rPr>
        <w:t>强制私人楼宇落实最低限度的楼宇安全及管理措施；和</w:t>
      </w:r>
    </w:p>
    <w:p w:rsidR="00000000" w:rsidRDefault="00000000">
      <w:pPr>
        <w:numPr>
          <w:ilvl w:val="0"/>
          <w:numId w:val="162"/>
        </w:numPr>
        <w:rPr>
          <w:rFonts w:hint="eastAsia"/>
          <w:snapToGrid/>
        </w:rPr>
      </w:pPr>
      <w:r>
        <w:rPr>
          <w:rFonts w:hint="eastAsia"/>
          <w:snapToGrid/>
        </w:rPr>
        <w:t>在市区进行大型的重建和重新发展计划。</w:t>
      </w:r>
    </w:p>
    <w:p w:rsidR="00000000" w:rsidRDefault="00000000">
      <w:pPr>
        <w:pStyle w:val="Heading4"/>
        <w:rPr>
          <w:rFonts w:hint="eastAsia"/>
        </w:rPr>
      </w:pPr>
      <w:r>
        <w:rPr>
          <w:rFonts w:hint="eastAsia"/>
        </w:rPr>
        <w:t>露</w:t>
      </w:r>
      <w:r>
        <w:t xml:space="preserve"> </w:t>
      </w:r>
      <w:r>
        <w:rPr>
          <w:rFonts w:hint="eastAsia"/>
        </w:rPr>
        <w:t>宿</w:t>
      </w:r>
      <w:r>
        <w:t xml:space="preserve"> </w:t>
      </w:r>
      <w:r>
        <w:rPr>
          <w:rFonts w:hint="eastAsia"/>
        </w:rPr>
        <w:t>者</w:t>
      </w:r>
    </w:p>
    <w:p w:rsidR="00000000" w:rsidRDefault="00000000">
      <w:pPr>
        <w:tabs>
          <w:tab w:val="left" w:pos="567"/>
          <w:tab w:val="left" w:leader="hyphen" w:pos="660"/>
          <w:tab w:val="left" w:pos="1080"/>
          <w:tab w:val="left" w:pos="1701"/>
        </w:tabs>
        <w:rPr>
          <w:rFonts w:hint="eastAsia"/>
          <w:snapToGrid/>
        </w:rPr>
      </w:pPr>
      <w:r>
        <w:rPr>
          <w:snapToGrid/>
        </w:rPr>
        <w:tab/>
        <w:t xml:space="preserve">581.  </w:t>
      </w:r>
      <w:r>
        <w:rPr>
          <w:rFonts w:hint="eastAsia"/>
          <w:snapToGrid/>
        </w:rPr>
        <w:t>社会福利署的露宿者资料系统储存的统计及其他资料，是署内前线人员与露宿者接触时搜集回来的。该系统的记录显示，露宿者的人数已由二零零一年十二月的</w:t>
      </w:r>
      <w:r>
        <w:rPr>
          <w:snapToGrid/>
        </w:rPr>
        <w:t>1,320</w:t>
      </w:r>
      <w:r>
        <w:rPr>
          <w:rFonts w:hint="eastAsia"/>
          <w:snapToGrid/>
        </w:rPr>
        <w:t>人减至二零零二年十二月的</w:t>
      </w:r>
      <w:r>
        <w:rPr>
          <w:snapToGrid/>
        </w:rPr>
        <w:t>785</w:t>
      </w:r>
      <w:r>
        <w:rPr>
          <w:rFonts w:hint="eastAsia"/>
          <w:snapToGrid/>
        </w:rPr>
        <w:t>人。</w:t>
      </w:r>
    </w:p>
    <w:p w:rsidR="00000000" w:rsidRDefault="00000000">
      <w:pPr>
        <w:tabs>
          <w:tab w:val="left" w:pos="567"/>
          <w:tab w:val="left" w:pos="1134"/>
          <w:tab w:val="left" w:pos="1701"/>
        </w:tabs>
        <w:spacing w:after="320"/>
        <w:rPr>
          <w:rFonts w:hint="eastAsia"/>
          <w:snapToGrid/>
        </w:rPr>
      </w:pPr>
      <w:r>
        <w:rPr>
          <w:snapToGrid/>
        </w:rPr>
        <w:tab/>
        <w:t xml:space="preserve">582.  </w:t>
      </w:r>
      <w:r>
        <w:rPr>
          <w:rFonts w:hint="eastAsia"/>
          <w:snapToGrid/>
        </w:rPr>
        <w:t>社会福利署及非政府机构辖下的家庭服务中心</w:t>
      </w:r>
      <w:r>
        <w:rPr>
          <w:snapToGrid/>
        </w:rPr>
        <w:t>/</w:t>
      </w:r>
      <w:r>
        <w:rPr>
          <w:rFonts w:hint="eastAsia"/>
          <w:snapToGrid/>
        </w:rPr>
        <w:t>综合家庭服务中心及外展队，为露宿者提供不少服务，包括辅导、经济及住宿援助、医疗及戒毒治疗转介，以及其他支援服务。这些服务旨在协助他们放弃露宿和重新融入社会。自二零零一年四月起，我们已向三间非政府机构提供额外资源，以推行一项“为期三年的协助露宿者工作计划”。计划是一套整合服务，例如深宵外展、紧急宿位、辅导、职业援助、发放紧急基金和长期居住安排。这项计划的服务对象，主要是因经济拮据而露宿街头的年青失业人士。在二零零一至零二年度及二零零二至零三年度，分别约有</w:t>
      </w:r>
      <w:r>
        <w:rPr>
          <w:snapToGrid/>
        </w:rPr>
        <w:t>473</w:t>
      </w:r>
      <w:r>
        <w:rPr>
          <w:rFonts w:hint="eastAsia"/>
          <w:snapToGrid/>
        </w:rPr>
        <w:t>名和</w:t>
      </w:r>
      <w:r>
        <w:rPr>
          <w:snapToGrid/>
        </w:rPr>
        <w:t>348</w:t>
      </w:r>
      <w:r>
        <w:rPr>
          <w:rFonts w:hint="eastAsia"/>
          <w:snapToGrid/>
        </w:rPr>
        <w:t>名露宿者获提供住所。</w:t>
      </w:r>
    </w:p>
    <w:p w:rsidR="00000000" w:rsidRDefault="00000000">
      <w:pPr>
        <w:pStyle w:val="Heading4"/>
        <w:rPr>
          <w:rFonts w:hint="eastAsia"/>
        </w:rPr>
      </w:pPr>
      <w:r>
        <w:rPr>
          <w:rFonts w:hint="eastAsia"/>
        </w:rPr>
        <w:t>市区重建</w:t>
      </w:r>
    </w:p>
    <w:p w:rsidR="00000000" w:rsidRDefault="00000000">
      <w:pPr>
        <w:tabs>
          <w:tab w:val="left" w:pos="567"/>
          <w:tab w:val="left" w:pos="1134"/>
          <w:tab w:val="left" w:pos="1701"/>
        </w:tabs>
        <w:rPr>
          <w:rFonts w:hint="eastAsia"/>
          <w:snapToGrid/>
        </w:rPr>
      </w:pPr>
      <w:r>
        <w:rPr>
          <w:snapToGrid/>
        </w:rPr>
        <w:tab/>
        <w:t xml:space="preserve">583.  </w:t>
      </w:r>
      <w:r>
        <w:rPr>
          <w:rFonts w:hint="eastAsia"/>
          <w:snapToGrid/>
        </w:rPr>
        <w:t>政府市区重建政策的目标是解决市区老化的问题、改善旧区居民的居住环境，以及美化市区的面貌。在二零零一年五月，我们根据《市区重建局条例》</w:t>
      </w:r>
      <w:r>
        <w:rPr>
          <w:snapToGrid/>
        </w:rPr>
        <w:t>(</w:t>
      </w:r>
      <w:r>
        <w:rPr>
          <w:rFonts w:hint="eastAsia"/>
          <w:snapToGrid/>
        </w:rPr>
        <w:t>第</w:t>
      </w:r>
      <w:r>
        <w:rPr>
          <w:snapToGrid/>
        </w:rPr>
        <w:t>563</w:t>
      </w:r>
      <w:r>
        <w:rPr>
          <w:rFonts w:hint="eastAsia"/>
          <w:snapToGrid/>
        </w:rPr>
        <w:t>章</w:t>
      </w:r>
      <w:r>
        <w:rPr>
          <w:snapToGrid/>
        </w:rPr>
        <w:t>)</w:t>
      </w:r>
      <w:r>
        <w:rPr>
          <w:rFonts w:hint="eastAsia"/>
          <w:snapToGrid/>
        </w:rPr>
        <w:t>成立了市区重建局</w:t>
      </w:r>
      <w:r>
        <w:rPr>
          <w:snapToGrid/>
        </w:rPr>
        <w:t>(</w:t>
      </w:r>
      <w:r>
        <w:rPr>
          <w:rFonts w:hint="eastAsia"/>
          <w:snapToGrid/>
        </w:rPr>
        <w:t>市建局</w:t>
      </w:r>
      <w:r>
        <w:rPr>
          <w:snapToGrid/>
        </w:rPr>
        <w:t>)</w:t>
      </w:r>
      <w:r>
        <w:rPr>
          <w:rFonts w:hint="eastAsia"/>
          <w:snapToGrid/>
        </w:rPr>
        <w:t>，专责落实上述目标。根据条例的规定，“市区重建”包括重建发展、社区复修及保存文物。市建局在进行其职权范围内的项目时，会考虑各有关因素，包括有关楼宇的楼龄及失修情况、楼宇在消防安全及卫生设施方面的一般情况，以及楼宇是否可以复修。在本报告最后定稿时，市建局已展开了六个项目的工作。</w:t>
      </w:r>
    </w:p>
    <w:p w:rsidR="00000000" w:rsidRDefault="00000000">
      <w:pPr>
        <w:tabs>
          <w:tab w:val="left" w:pos="567"/>
          <w:tab w:val="left" w:pos="1134"/>
          <w:tab w:val="left" w:pos="1701"/>
        </w:tabs>
        <w:rPr>
          <w:rFonts w:hint="eastAsia"/>
          <w:snapToGrid/>
        </w:rPr>
      </w:pPr>
      <w:r>
        <w:rPr>
          <w:snapToGrid/>
        </w:rPr>
        <w:tab/>
        <w:t xml:space="preserve">584.  </w:t>
      </w:r>
      <w:r>
        <w:rPr>
          <w:rFonts w:hint="eastAsia"/>
          <w:snapToGrid/>
        </w:rPr>
        <w:t>受重建项目影响的业主会得到合理补偿。《基本法》第一百零五条订明任何人的物业依法被征用时，物业所有人得到的补偿必须以物业的实际价值计算，而且补偿不得无故延迟支付。受影响物业的业主及租户的合法权利同时亦获得《收回土地条例》</w:t>
      </w:r>
      <w:r>
        <w:rPr>
          <w:snapToGrid/>
        </w:rPr>
        <w:t>(</w:t>
      </w:r>
      <w:r>
        <w:rPr>
          <w:rFonts w:hint="eastAsia"/>
          <w:snapToGrid/>
        </w:rPr>
        <w:t>第</w:t>
      </w:r>
      <w:r>
        <w:rPr>
          <w:snapToGrid/>
        </w:rPr>
        <w:t>124</w:t>
      </w:r>
      <w:r>
        <w:rPr>
          <w:rFonts w:hint="eastAsia"/>
          <w:snapToGrid/>
        </w:rPr>
        <w:t>章</w:t>
      </w:r>
      <w:r>
        <w:rPr>
          <w:snapToGrid/>
        </w:rPr>
        <w:t>)</w:t>
      </w:r>
      <w:r>
        <w:rPr>
          <w:rFonts w:hint="eastAsia"/>
          <w:snapToGrid/>
        </w:rPr>
        <w:t>及《业主与租客</w:t>
      </w:r>
      <w:r>
        <w:rPr>
          <w:snapToGrid/>
        </w:rPr>
        <w:t>(</w:t>
      </w:r>
      <w:r>
        <w:rPr>
          <w:rFonts w:hint="eastAsia"/>
          <w:snapToGrid/>
        </w:rPr>
        <w:t>综合</w:t>
      </w:r>
      <w:r>
        <w:rPr>
          <w:snapToGrid/>
        </w:rPr>
        <w:t>)</w:t>
      </w:r>
      <w:r>
        <w:rPr>
          <w:rFonts w:hint="eastAsia"/>
          <w:snapToGrid/>
        </w:rPr>
        <w:t>条例》</w:t>
      </w:r>
      <w:r>
        <w:rPr>
          <w:snapToGrid/>
        </w:rPr>
        <w:t>(</w:t>
      </w:r>
      <w:r>
        <w:rPr>
          <w:rFonts w:hint="eastAsia"/>
          <w:snapToGrid/>
        </w:rPr>
        <w:t>第</w:t>
      </w:r>
      <w:r>
        <w:rPr>
          <w:snapToGrid/>
        </w:rPr>
        <w:t>7</w:t>
      </w:r>
      <w:r>
        <w:rPr>
          <w:rFonts w:hint="eastAsia"/>
          <w:snapToGrid/>
        </w:rPr>
        <w:t>章</w:t>
      </w:r>
      <w:r>
        <w:rPr>
          <w:snapToGrid/>
        </w:rPr>
        <w:t>)</w:t>
      </w:r>
      <w:r>
        <w:rPr>
          <w:rFonts w:hint="eastAsia"/>
          <w:snapToGrid/>
        </w:rPr>
        <w:t>保障。至于业主及租户可获补偿的具体细节已载于附件</w:t>
      </w:r>
      <w:r>
        <w:rPr>
          <w:snapToGrid/>
        </w:rPr>
        <w:t>11C</w:t>
      </w:r>
      <w:r>
        <w:rPr>
          <w:rFonts w:hint="eastAsia"/>
          <w:snapToGrid/>
        </w:rPr>
        <w:t>。</w:t>
      </w:r>
    </w:p>
    <w:p w:rsidR="00000000" w:rsidRDefault="00000000">
      <w:pPr>
        <w:tabs>
          <w:tab w:val="left" w:pos="567"/>
          <w:tab w:val="left" w:pos="1134"/>
          <w:tab w:val="left" w:pos="1701"/>
        </w:tabs>
        <w:spacing w:after="320"/>
        <w:rPr>
          <w:rFonts w:hint="eastAsia"/>
          <w:snapToGrid/>
        </w:rPr>
      </w:pPr>
      <w:r>
        <w:rPr>
          <w:snapToGrid/>
        </w:rPr>
        <w:tab/>
        <w:t xml:space="preserve">585.  </w:t>
      </w:r>
      <w:r>
        <w:rPr>
          <w:rFonts w:hint="eastAsia"/>
          <w:snapToGrid/>
        </w:rPr>
        <w:t>为保障物业业主及租户的合法权益，任何有关法定补偿金额的争议，都可交由土地审裁处仲裁。</w:t>
      </w:r>
    </w:p>
    <w:p w:rsidR="00000000" w:rsidRDefault="00000000">
      <w:pPr>
        <w:pStyle w:val="Heading4"/>
        <w:rPr>
          <w:rFonts w:hint="eastAsia"/>
        </w:rPr>
      </w:pPr>
      <w:r>
        <w:rPr>
          <w:rFonts w:hint="eastAsia"/>
        </w:rPr>
        <w:t>城市规划</w:t>
      </w:r>
    </w:p>
    <w:p w:rsidR="00000000" w:rsidRDefault="00000000">
      <w:pPr>
        <w:tabs>
          <w:tab w:val="left" w:pos="567"/>
          <w:tab w:val="left" w:pos="1134"/>
          <w:tab w:val="left" w:pos="1701"/>
        </w:tabs>
        <w:spacing w:after="320"/>
        <w:rPr>
          <w:rFonts w:hint="eastAsia"/>
          <w:snapToGrid/>
        </w:rPr>
      </w:pPr>
      <w:r>
        <w:rPr>
          <w:snapToGrid/>
          <w:spacing w:val="16"/>
        </w:rPr>
        <w:tab/>
        <w:t xml:space="preserve">586.  </w:t>
      </w:r>
      <w:r>
        <w:rPr>
          <w:rFonts w:hint="eastAsia"/>
          <w:snapToGrid/>
          <w:spacing w:val="16"/>
        </w:rPr>
        <w:t>在一九九六年，鉴于需要制定新的规划法例，我们印制了白纸条例草案</w:t>
      </w:r>
      <w:r>
        <w:rPr>
          <w:rStyle w:val="FootnoteReference"/>
          <w:snapToGrid/>
        </w:rPr>
        <w:footnoteReference w:customMarkFollows="1" w:id="48"/>
        <w:t>35</w:t>
      </w:r>
      <w:r>
        <w:rPr>
          <w:rFonts w:hint="eastAsia"/>
          <w:snapToGrid/>
        </w:rPr>
        <w:t>征询公众的意见。在参考过这些意见后，我们在二零零零年向立法会提交了《城市规划</w:t>
      </w:r>
      <w:r>
        <w:rPr>
          <w:snapToGrid/>
        </w:rPr>
        <w:t>(</w:t>
      </w:r>
      <w:r>
        <w:rPr>
          <w:rFonts w:hint="eastAsia"/>
          <w:snapToGrid/>
        </w:rPr>
        <w:t>修订</w:t>
      </w:r>
      <w:r>
        <w:rPr>
          <w:snapToGrid/>
        </w:rPr>
        <w:t>)</w:t>
      </w:r>
      <w:r>
        <w:rPr>
          <w:rFonts w:hint="eastAsia"/>
          <w:snapToGrid/>
        </w:rPr>
        <w:t>条例草案》。不过，由于有关的修订涉及复杂的问题，条例草案委员会无法在二零零零年立法会任期届满前完成有关的审议工作。为了落实获得多数人支持并会对社会带来即时好处的建议，我们打算于二零零三年提交修订条例草案。条例草案会集中精简和缩短城市规划的过程，鼓励公众参与，以及加强对乡郊地区违例建筑物的执法管制。</w:t>
      </w:r>
    </w:p>
    <w:p w:rsidR="00000000" w:rsidRDefault="00000000">
      <w:pPr>
        <w:pStyle w:val="Heading4"/>
        <w:rPr>
          <w:rFonts w:hint="eastAsia"/>
        </w:rPr>
      </w:pPr>
      <w:r>
        <w:rPr>
          <w:rFonts w:hint="eastAsia"/>
        </w:rPr>
        <w:t>新</w:t>
      </w:r>
      <w:r>
        <w:t xml:space="preserve"> </w:t>
      </w:r>
      <w:r>
        <w:rPr>
          <w:rFonts w:hint="eastAsia"/>
        </w:rPr>
        <w:t>市</w:t>
      </w:r>
      <w:r>
        <w:t xml:space="preserve"> </w:t>
      </w:r>
      <w:r>
        <w:rPr>
          <w:rFonts w:hint="eastAsia"/>
        </w:rPr>
        <w:t>镇</w:t>
      </w:r>
    </w:p>
    <w:p w:rsidR="00000000" w:rsidRDefault="00000000">
      <w:pPr>
        <w:tabs>
          <w:tab w:val="left" w:pos="567"/>
          <w:tab w:val="left" w:pos="1134"/>
          <w:tab w:val="left" w:pos="1701"/>
        </w:tabs>
        <w:spacing w:after="320"/>
        <w:rPr>
          <w:rFonts w:hint="eastAsia"/>
          <w:snapToGrid/>
        </w:rPr>
      </w:pPr>
      <w:r>
        <w:rPr>
          <w:snapToGrid/>
        </w:rPr>
        <w:tab/>
        <w:t xml:space="preserve">587.  </w:t>
      </w:r>
      <w:r>
        <w:rPr>
          <w:rFonts w:hint="eastAsia"/>
          <w:snapToGrid/>
        </w:rPr>
        <w:t>情况并无改变，与首份报告第</w:t>
      </w:r>
      <w:r>
        <w:rPr>
          <w:snapToGrid/>
        </w:rPr>
        <w:t>404</w:t>
      </w:r>
      <w:r>
        <w:rPr>
          <w:rFonts w:hint="eastAsia"/>
          <w:snapToGrid/>
        </w:rPr>
        <w:t>至第</w:t>
      </w:r>
      <w:r>
        <w:rPr>
          <w:snapToGrid/>
        </w:rPr>
        <w:t>405</w:t>
      </w:r>
      <w:r>
        <w:rPr>
          <w:rFonts w:hint="eastAsia"/>
          <w:snapToGrid/>
        </w:rPr>
        <w:t>段所阐释的相同。</w:t>
      </w:r>
    </w:p>
    <w:p w:rsidR="00000000" w:rsidRDefault="00000000">
      <w:pPr>
        <w:pStyle w:val="Heading4"/>
        <w:rPr>
          <w:rFonts w:hint="eastAsia"/>
        </w:rPr>
      </w:pPr>
      <w:r>
        <w:rPr>
          <w:rFonts w:hint="eastAsia"/>
          <w:u w:val="none"/>
        </w:rPr>
        <w:t>“</w:t>
      </w:r>
      <w:r>
        <w:rPr>
          <w:rFonts w:hint="eastAsia"/>
        </w:rPr>
        <w:t>香港</w:t>
      </w:r>
      <w:r>
        <w:t>2030</w:t>
      </w:r>
      <w:r>
        <w:t>：</w:t>
      </w:r>
      <w:r>
        <w:rPr>
          <w:rFonts w:hint="eastAsia"/>
        </w:rPr>
        <w:t>规划远景与策略”</w:t>
      </w:r>
      <w:r>
        <w:t>(</w:t>
      </w:r>
      <w:r>
        <w:rPr>
          <w:rFonts w:hint="eastAsia"/>
        </w:rPr>
        <w:t>香港</w:t>
      </w:r>
      <w:r>
        <w:t>2030</w:t>
      </w:r>
      <w:r>
        <w:rPr>
          <w:rFonts w:hint="eastAsia"/>
        </w:rPr>
        <w:t>研究</w:t>
      </w:r>
      <w:r>
        <w:t>)</w:t>
      </w:r>
    </w:p>
    <w:p w:rsidR="00000000" w:rsidRDefault="00000000">
      <w:pPr>
        <w:tabs>
          <w:tab w:val="left" w:pos="567"/>
          <w:tab w:val="left" w:pos="1134"/>
          <w:tab w:val="left" w:pos="1701"/>
        </w:tabs>
        <w:rPr>
          <w:rFonts w:hint="eastAsia"/>
          <w:snapToGrid/>
        </w:rPr>
      </w:pPr>
      <w:r>
        <w:rPr>
          <w:snapToGrid/>
        </w:rPr>
        <w:tab/>
        <w:t xml:space="preserve">588.  </w:t>
      </w:r>
      <w:r>
        <w:rPr>
          <w:rFonts w:hint="eastAsia"/>
          <w:snapToGrid/>
        </w:rPr>
        <w:t>在上次报告第</w:t>
      </w:r>
      <w:r>
        <w:rPr>
          <w:snapToGrid/>
        </w:rPr>
        <w:t>406</w:t>
      </w:r>
      <w:r>
        <w:rPr>
          <w:rFonts w:hint="eastAsia"/>
          <w:snapToGrid/>
        </w:rPr>
        <w:t>至第</w:t>
      </w:r>
      <w:r>
        <w:rPr>
          <w:snapToGrid/>
        </w:rPr>
        <w:t>407</w:t>
      </w:r>
      <w:r>
        <w:rPr>
          <w:rFonts w:hint="eastAsia"/>
          <w:snapToGrid/>
        </w:rPr>
        <w:t>段，我们阐释了在一九九一至九八年间所进行的“全港发展策略检讨”，旨在制定至二零一一年为止的全港综合发展纲领。目前，我们正进行一项更深入的检讨“香港</w:t>
      </w:r>
      <w:r>
        <w:rPr>
          <w:snapToGrid/>
        </w:rPr>
        <w:t>2030</w:t>
      </w:r>
      <w:r>
        <w:rPr>
          <w:rFonts w:hint="eastAsia"/>
          <w:snapToGrid/>
        </w:rPr>
        <w:t>研究”，以制定最新的土地用途、运输及环境综合发展策略，作为香港直至二零三零年发展的指引。这项研究的目的是要平衡香港长远的经济、社会、房屋及环境需求，以达致持续发展。因此，我们会力求改善与中国内地在基建方面的联系，例如兴建连接珠江三角洲的跨境通道和加建港口设施。此外，我们亦会预留足够土地，以供长远建屋及进行经济活动之用。</w:t>
      </w:r>
    </w:p>
    <w:p w:rsidR="00000000" w:rsidRDefault="00000000">
      <w:pPr>
        <w:tabs>
          <w:tab w:val="left" w:pos="567"/>
          <w:tab w:val="left" w:pos="1134"/>
          <w:tab w:val="left" w:pos="1701"/>
        </w:tabs>
        <w:spacing w:after="320"/>
        <w:rPr>
          <w:rFonts w:hint="eastAsia"/>
          <w:snapToGrid/>
        </w:rPr>
      </w:pPr>
      <w:r>
        <w:rPr>
          <w:snapToGrid/>
        </w:rPr>
        <w:tab/>
        <w:t xml:space="preserve">589.  </w:t>
      </w:r>
      <w:r>
        <w:rPr>
          <w:rFonts w:hint="eastAsia"/>
          <w:snapToGrid/>
        </w:rPr>
        <w:t>在二零零一年年初，我们就“香港</w:t>
      </w:r>
      <w:r>
        <w:rPr>
          <w:snapToGrid/>
        </w:rPr>
        <w:t>2030</w:t>
      </w:r>
      <w:r>
        <w:rPr>
          <w:rFonts w:hint="eastAsia"/>
          <w:snapToGrid/>
        </w:rPr>
        <w:t>研究”应按哪些规划目标进行及研究应包括哪些主要范畴，征询了公众的意见。在二零零二年年初，我们就影响制定发展方案及评估准则的主要规划事宜，再次征询公众的意见。目前，我们正拟备发展计划、初步方案，以及这些方案在运输、环境及经济</w:t>
      </w:r>
      <w:r>
        <w:rPr>
          <w:snapToGrid/>
        </w:rPr>
        <w:t>/</w:t>
      </w:r>
      <w:r>
        <w:rPr>
          <w:rFonts w:hint="eastAsia"/>
          <w:snapToGrid/>
        </w:rPr>
        <w:t>财政方面的全面技术评估。在二零零三年，我们会就建议计划及初步方案，再次征询公众的意见。</w:t>
      </w:r>
    </w:p>
    <w:p w:rsidR="00000000" w:rsidRDefault="00000000">
      <w:pPr>
        <w:pStyle w:val="Heading4"/>
        <w:rPr>
          <w:rFonts w:hint="eastAsia"/>
        </w:rPr>
      </w:pPr>
      <w:r>
        <w:rPr>
          <w:rFonts w:hint="eastAsia"/>
          <w:u w:val="none"/>
        </w:rPr>
        <w:t>《</w:t>
      </w:r>
      <w:r>
        <w:t>1997</w:t>
      </w:r>
      <w:r>
        <w:rPr>
          <w:rFonts w:hint="eastAsia"/>
        </w:rPr>
        <w:t>年保护海港条例</w:t>
      </w:r>
      <w:r>
        <w:rPr>
          <w:rFonts w:hint="eastAsia"/>
          <w:u w:val="none"/>
        </w:rPr>
        <w:t>》</w:t>
      </w:r>
    </w:p>
    <w:p w:rsidR="00000000" w:rsidRDefault="00000000">
      <w:pPr>
        <w:tabs>
          <w:tab w:val="left" w:pos="567"/>
          <w:tab w:val="left" w:pos="1134"/>
          <w:tab w:val="left" w:pos="1701"/>
        </w:tabs>
        <w:spacing w:after="320"/>
        <w:rPr>
          <w:rFonts w:hint="eastAsia"/>
          <w:snapToGrid/>
        </w:rPr>
      </w:pPr>
      <w:r>
        <w:rPr>
          <w:snapToGrid/>
        </w:rPr>
        <w:tab/>
        <w:t xml:space="preserve">590.  </w:t>
      </w:r>
      <w:r>
        <w:rPr>
          <w:rFonts w:hint="eastAsia"/>
          <w:snapToGrid/>
        </w:rPr>
        <w:t>情况并无改变，与首份报告第</w:t>
      </w:r>
      <w:r>
        <w:rPr>
          <w:snapToGrid/>
        </w:rPr>
        <w:t>408</w:t>
      </w:r>
      <w:r>
        <w:rPr>
          <w:rFonts w:hint="eastAsia"/>
          <w:snapToGrid/>
        </w:rPr>
        <w:t>至第</w:t>
      </w:r>
      <w:r>
        <w:rPr>
          <w:snapToGrid/>
        </w:rPr>
        <w:t>409</w:t>
      </w:r>
      <w:r>
        <w:rPr>
          <w:rFonts w:hint="eastAsia"/>
          <w:snapToGrid/>
        </w:rPr>
        <w:t>段所阐释的相同。</w:t>
      </w:r>
    </w:p>
    <w:p w:rsidR="00000000" w:rsidRDefault="00000000">
      <w:pPr>
        <w:pStyle w:val="Heading4"/>
        <w:rPr>
          <w:rFonts w:hint="eastAsia"/>
        </w:rPr>
      </w:pPr>
      <w:r>
        <w:rPr>
          <w:rFonts w:hint="eastAsia"/>
        </w:rPr>
        <w:t>寮屋、天台搭建物及床位寓所或笼屋</w:t>
      </w:r>
    </w:p>
    <w:p w:rsidR="00000000" w:rsidRDefault="00000000">
      <w:pPr>
        <w:tabs>
          <w:tab w:val="left" w:pos="567"/>
          <w:tab w:val="left" w:pos="1134"/>
          <w:tab w:val="left" w:pos="1701"/>
        </w:tabs>
        <w:rPr>
          <w:rFonts w:hint="eastAsia"/>
          <w:snapToGrid/>
        </w:rPr>
      </w:pPr>
      <w:r>
        <w:rPr>
          <w:snapToGrid/>
        </w:rPr>
        <w:tab/>
        <w:t xml:space="preserve">591.  </w:t>
      </w:r>
      <w:r>
        <w:rPr>
          <w:rFonts w:hint="eastAsia"/>
          <w:snapToGrid/>
        </w:rPr>
        <w:t>在二零零一年审议结论的第</w:t>
      </w:r>
      <w:r>
        <w:rPr>
          <w:snapToGrid/>
        </w:rPr>
        <w:t>25</w:t>
      </w:r>
      <w:r>
        <w:rPr>
          <w:rFonts w:hint="eastAsia"/>
          <w:snapToGrid/>
        </w:rPr>
        <w:t>段中，委员会认为尽管香港特区在房屋政策方面已有所改进，委员会仍深表关注“不少香港人仍未有安居之所”。委员会认为，居于床位寓所或笼屋实在有辱人类尊严，而天台搭建物则对住客的生命和健康构成严重威胁。”在第</w:t>
      </w:r>
      <w:r>
        <w:rPr>
          <w:snapToGrid/>
        </w:rPr>
        <w:t>44</w:t>
      </w:r>
      <w:r>
        <w:rPr>
          <w:rFonts w:hint="eastAsia"/>
          <w:snapToGrid/>
        </w:rPr>
        <w:t>段中，委员会呼吁香港特区“从速关注所有香港市民的住屋权利，包括居于寮屋、天台屋、床位寓所或笼屋等人士的权益。香港特区须于下次定期提交的报告中特别指出现行政策对居于寮屋、天台屋、床位寓所或笼屋等人士的影响。委员会尤其希望香港特区届时评论《床位寓所条例》</w:t>
      </w:r>
      <w:r>
        <w:rPr>
          <w:snapToGrid/>
        </w:rPr>
        <w:t>(</w:t>
      </w:r>
      <w:r>
        <w:rPr>
          <w:rFonts w:hint="eastAsia"/>
          <w:snapToGrid/>
        </w:rPr>
        <w:t>第</w:t>
      </w:r>
      <w:r>
        <w:rPr>
          <w:snapToGrid/>
        </w:rPr>
        <w:t>447</w:t>
      </w:r>
      <w:r>
        <w:rPr>
          <w:rFonts w:hint="eastAsia"/>
          <w:snapToGrid/>
        </w:rPr>
        <w:t>章</w:t>
      </w:r>
      <w:r>
        <w:rPr>
          <w:snapToGrid/>
        </w:rPr>
        <w:t>)</w:t>
      </w:r>
      <w:r>
        <w:rPr>
          <w:rFonts w:hint="eastAsia"/>
          <w:snapToGrid/>
        </w:rPr>
        <w:t>的执行情况和成效。”</w:t>
      </w:r>
    </w:p>
    <w:p w:rsidR="00000000" w:rsidRDefault="00000000">
      <w:pPr>
        <w:tabs>
          <w:tab w:val="left" w:pos="567"/>
          <w:tab w:val="left" w:pos="1134"/>
          <w:tab w:val="left" w:pos="1701"/>
        </w:tabs>
        <w:rPr>
          <w:rFonts w:hint="eastAsia"/>
          <w:snapToGrid/>
        </w:rPr>
      </w:pPr>
      <w:r>
        <w:rPr>
          <w:snapToGrid/>
        </w:rPr>
        <w:tab/>
        <w:t xml:space="preserve">592.  </w:t>
      </w:r>
      <w:r>
        <w:rPr>
          <w:rFonts w:hint="eastAsia"/>
          <w:snapToGrid/>
        </w:rPr>
        <w:t>现就委员会的审议逐一回答如下：</w:t>
      </w:r>
    </w:p>
    <w:p w:rsidR="00000000" w:rsidRDefault="00000000">
      <w:pPr>
        <w:numPr>
          <w:ilvl w:val="0"/>
          <w:numId w:val="163"/>
        </w:numPr>
        <w:rPr>
          <w:rFonts w:hint="eastAsia"/>
          <w:snapToGrid/>
        </w:rPr>
      </w:pPr>
      <w:r>
        <w:rPr>
          <w:rFonts w:ascii="Time New Roman" w:eastAsia="SimHei" w:hAnsi="Time New Roman" w:hint="eastAsia"/>
          <w:bCs/>
          <w:snapToGrid/>
        </w:rPr>
        <w:t>天台搭建物：</w:t>
      </w:r>
      <w:r>
        <w:rPr>
          <w:rFonts w:hint="eastAsia"/>
          <w:snapToGrid/>
        </w:rPr>
        <w:t>屋宇署现正分期在</w:t>
      </w:r>
      <w:r>
        <w:rPr>
          <w:snapToGrid/>
        </w:rPr>
        <w:t>4,500</w:t>
      </w:r>
      <w:r>
        <w:rPr>
          <w:rFonts w:hint="eastAsia"/>
          <w:snapToGrid/>
        </w:rPr>
        <w:t>多幢单梯楼宇内清拆天台违例搭建物。房屋署亦正协助安置受这些清拆行动影响的搭建物占用人，同时采取措施积极鼓励他们在租住公屋轮候册上登记；</w:t>
      </w:r>
    </w:p>
    <w:p w:rsidR="00000000" w:rsidRDefault="00000000">
      <w:pPr>
        <w:numPr>
          <w:ilvl w:val="0"/>
          <w:numId w:val="163"/>
        </w:numPr>
        <w:rPr>
          <w:rFonts w:hint="eastAsia"/>
          <w:snapToGrid/>
        </w:rPr>
      </w:pPr>
      <w:r>
        <w:rPr>
          <w:rFonts w:ascii="Time New Roman" w:eastAsia="SimHei" w:hAnsi="Time New Roman" w:hint="eastAsia"/>
          <w:bCs/>
          <w:snapToGrid/>
        </w:rPr>
        <w:t>寮屋：</w:t>
      </w:r>
      <w:r>
        <w:rPr>
          <w:rFonts w:hint="eastAsia"/>
          <w:snapToGrid/>
        </w:rPr>
        <w:t>根据政策，倘若寮屋居民的搭建物面对即时及明显的山泥倾泻威胁，或他们占用的土地须作公共发展，以及倘若有需要改善寮屋附近的环境或居民的生活质素，我们便会清拆寮屋和安置受清拆影响的人士；</w:t>
      </w:r>
    </w:p>
    <w:p w:rsidR="00000000" w:rsidRDefault="00000000">
      <w:pPr>
        <w:numPr>
          <w:ilvl w:val="0"/>
          <w:numId w:val="163"/>
        </w:numPr>
        <w:rPr>
          <w:rFonts w:hint="eastAsia"/>
          <w:snapToGrid/>
        </w:rPr>
      </w:pPr>
      <w:r>
        <w:rPr>
          <w:rFonts w:ascii="Time New Roman" w:eastAsia="SimHei" w:hAnsi="Time New Roman" w:hint="eastAsia"/>
          <w:bCs/>
          <w:snapToGrid/>
        </w:rPr>
        <w:t>床位寓所：</w:t>
      </w:r>
      <w:r>
        <w:rPr>
          <w:rFonts w:hint="eastAsia"/>
          <w:snapToGrid/>
        </w:rPr>
        <w:t>我们明白委员会的关注，但却相信我们的处理方向正确。选择居于床位寓所的人士大多基于地点便利、经济及其他个人理由。政府宿舍环境洁净、安全、管理良好，可提供足够的宿位容纳相对地为数较少的有关人士。不过，它们的入住率依然偏低，或许因为其目标住客认为地点及位置便利远较居住环境质素重要。政府如按个别人士喜欢在哪里居住，便计划提供宿舍或其他形式的公共住所，并不设实际，尤其是有关选择多以土地缺乏的市区为主。市民如不愿意入住公共房屋，我们不能强迫他们接受。另一方面，如要取缔有持续少量需求的私营住所，我们亦认为并不合理。</w:t>
      </w:r>
    </w:p>
    <w:p w:rsidR="00000000" w:rsidRDefault="00000000">
      <w:pPr>
        <w:tabs>
          <w:tab w:val="left" w:pos="567"/>
          <w:tab w:val="left" w:leader="hyphen" w:pos="1134"/>
          <w:tab w:val="left" w:pos="1701"/>
        </w:tabs>
        <w:rPr>
          <w:rFonts w:hint="eastAsia"/>
          <w:snapToGrid/>
        </w:rPr>
      </w:pPr>
      <w:r>
        <w:rPr>
          <w:rFonts w:hint="eastAsia"/>
          <w:snapToGrid/>
        </w:rPr>
        <w:t>因此，我们的政策是致力改善提供床位寓所楼宇的环境。目前，所有床位寓所的消防及楼宇安全标准都受法定的发牌制度</w:t>
      </w:r>
      <w:r>
        <w:rPr>
          <w:rStyle w:val="FootnoteReference"/>
          <w:snapToGrid/>
        </w:rPr>
        <w:footnoteReference w:customMarkFollows="1" w:id="49"/>
        <w:t>36</w:t>
      </w:r>
      <w:r>
        <w:rPr>
          <w:rFonts w:hint="eastAsia"/>
          <w:snapToGrid/>
        </w:rPr>
        <w:t>规管。为符合这些标准，有关经营者已经减少每个单位内的床位数目，使居住环境不再像从前般挤迫。由此可见，我们一方面尊重居于这些寓所的人士的个人选择，同时亦着力改善他们的居住环境和向他们提供公共房屋的另类选择。</w:t>
      </w:r>
    </w:p>
    <w:p w:rsidR="00000000" w:rsidRDefault="00000000">
      <w:pPr>
        <w:tabs>
          <w:tab w:val="left" w:pos="567"/>
          <w:tab w:val="left" w:pos="1134"/>
          <w:tab w:val="left" w:pos="1701"/>
        </w:tabs>
        <w:spacing w:after="320"/>
        <w:rPr>
          <w:snapToGrid/>
        </w:rPr>
      </w:pPr>
      <w:r>
        <w:rPr>
          <w:snapToGrid/>
        </w:rPr>
        <w:tab/>
        <w:t xml:space="preserve">593.  </w:t>
      </w:r>
      <w:r>
        <w:rPr>
          <w:rFonts w:hint="eastAsia"/>
          <w:snapToGrid/>
        </w:rPr>
        <w:t>根据政策，我们不容许任何人因政府的清拆行动而变成无家可归。</w:t>
      </w:r>
    </w:p>
    <w:p w:rsidR="00000000" w:rsidRDefault="00000000">
      <w:pPr>
        <w:pStyle w:val="Heading4"/>
      </w:pPr>
      <w:r>
        <w:rPr>
          <w:rFonts w:hint="eastAsia"/>
        </w:rPr>
        <w:t>贫穷问题</w:t>
      </w:r>
    </w:p>
    <w:p w:rsidR="00000000" w:rsidRDefault="00000000">
      <w:pPr>
        <w:tabs>
          <w:tab w:val="left" w:pos="567"/>
          <w:tab w:val="left" w:pos="1134"/>
          <w:tab w:val="left" w:pos="1701"/>
        </w:tabs>
        <w:rPr>
          <w:snapToGrid/>
        </w:rPr>
      </w:pPr>
      <w:r>
        <w:rPr>
          <w:snapToGrid/>
        </w:rPr>
        <w:tab/>
        <w:t xml:space="preserve">594.  </w:t>
      </w:r>
      <w:r>
        <w:rPr>
          <w:rFonts w:hint="eastAsia"/>
          <w:snapToGrid/>
        </w:rPr>
        <w:t>在二零零一年审议结论的第</w:t>
      </w:r>
      <w:r>
        <w:rPr>
          <w:snapToGrid/>
        </w:rPr>
        <w:t>18</w:t>
      </w:r>
      <w:r>
        <w:rPr>
          <w:rFonts w:hint="eastAsia"/>
          <w:snapToGrid/>
        </w:rPr>
        <w:t>段中，“对于香港特区有不少人生活贫困，处境堪怜”，委员会深感关注。委员会尤其关注到，“很多年纪较大的人未能得到所需的社会服务，仍然饱受贫困之苦。”在第</w:t>
      </w:r>
      <w:r>
        <w:rPr>
          <w:snapToGrid/>
        </w:rPr>
        <w:t>19</w:t>
      </w:r>
      <w:r>
        <w:rPr>
          <w:rFonts w:hint="eastAsia"/>
          <w:snapToGrid/>
        </w:rPr>
        <w:t>段中，“香港特区未有足够的措施和体制安排，以确保能制定和实施周详、全面、一致的有效扶贫策略”，委员会对此深表关注。在第</w:t>
      </w:r>
      <w:r>
        <w:rPr>
          <w:snapToGrid/>
        </w:rPr>
        <w:t>38</w:t>
      </w:r>
      <w:r>
        <w:rPr>
          <w:rFonts w:hint="eastAsia"/>
          <w:snapToGrid/>
        </w:rPr>
        <w:t>段中，委员会力促“香港特区政府成立跨部门扶贫小组，或设立独立的扶贫委员会，以进行有关的研究、制定扶贫策略，以及监察各项政策对贫穷问题所产生的影响。”此外，在第</w:t>
      </w:r>
      <w:r>
        <w:rPr>
          <w:snapToGrid/>
        </w:rPr>
        <w:t>39</w:t>
      </w:r>
      <w:r>
        <w:rPr>
          <w:rFonts w:hint="eastAsia"/>
          <w:snapToGrid/>
        </w:rPr>
        <w:t>段中，委员会促请香港特区“确保综合社会保障援助金的数额足可让受助人得以维持合理的生活水平，以符合公约第九和第十一条的规定。”本地论者亦同意委员会作出的关注，部分论者更呼吁政府设定官方的贫穷线。</w:t>
      </w:r>
    </w:p>
    <w:p w:rsidR="00000000" w:rsidRDefault="00000000">
      <w:pPr>
        <w:tabs>
          <w:tab w:val="left" w:pos="567"/>
          <w:tab w:val="left" w:pos="1134"/>
          <w:tab w:val="left" w:pos="1701"/>
        </w:tabs>
        <w:rPr>
          <w:rFonts w:hint="eastAsia"/>
          <w:snapToGrid/>
        </w:rPr>
      </w:pPr>
      <w:r>
        <w:rPr>
          <w:snapToGrid/>
        </w:rPr>
        <w:tab/>
        <w:t xml:space="preserve">595.  </w:t>
      </w:r>
      <w:r>
        <w:rPr>
          <w:rFonts w:hint="eastAsia"/>
          <w:snapToGrid/>
        </w:rPr>
        <w:t>我们处理贫穷问题的方法载述于上文第</w:t>
      </w:r>
      <w:r>
        <w:rPr>
          <w:snapToGrid/>
        </w:rPr>
        <w:t>567</w:t>
      </w:r>
      <w:r>
        <w:rPr>
          <w:rFonts w:hint="eastAsia"/>
          <w:snapToGrid/>
        </w:rPr>
        <w:t>至</w:t>
      </w:r>
      <w:r>
        <w:rPr>
          <w:snapToGrid/>
        </w:rPr>
        <w:t>570</w:t>
      </w:r>
      <w:r>
        <w:rPr>
          <w:rFonts w:hint="eastAsia"/>
          <w:snapToGrid/>
        </w:rPr>
        <w:t>段论述入息分配的段落。这即表示我们把入息差距和贫穷问题视为互有关连，而我们对两者的策略则集中在：</w:t>
      </w:r>
    </w:p>
    <w:p w:rsidR="00000000" w:rsidRDefault="00000000">
      <w:pPr>
        <w:numPr>
          <w:ilvl w:val="0"/>
          <w:numId w:val="165"/>
        </w:numPr>
        <w:rPr>
          <w:rFonts w:hint="eastAsia"/>
          <w:snapToGrid/>
        </w:rPr>
      </w:pPr>
      <w:r>
        <w:rPr>
          <w:rFonts w:hint="eastAsia"/>
          <w:snapToGrid/>
        </w:rPr>
        <w:t>经济增长；</w:t>
      </w:r>
    </w:p>
    <w:p w:rsidR="00000000" w:rsidRDefault="00000000">
      <w:pPr>
        <w:numPr>
          <w:ilvl w:val="0"/>
          <w:numId w:val="165"/>
        </w:numPr>
        <w:rPr>
          <w:rFonts w:hint="eastAsia"/>
          <w:snapToGrid/>
        </w:rPr>
      </w:pPr>
      <w:r>
        <w:rPr>
          <w:rFonts w:hint="eastAsia"/>
          <w:snapToGrid/>
        </w:rPr>
        <w:t>人力发展；和</w:t>
      </w:r>
    </w:p>
    <w:p w:rsidR="00000000" w:rsidRDefault="00000000">
      <w:pPr>
        <w:numPr>
          <w:ilvl w:val="0"/>
          <w:numId w:val="165"/>
        </w:numPr>
        <w:rPr>
          <w:rFonts w:hint="eastAsia"/>
          <w:snapToGrid/>
        </w:rPr>
      </w:pPr>
      <w:r>
        <w:rPr>
          <w:rFonts w:hint="eastAsia"/>
          <w:snapToGrid/>
        </w:rPr>
        <w:t>社会投资。</w:t>
      </w:r>
    </w:p>
    <w:p w:rsidR="00000000" w:rsidRDefault="00000000">
      <w:pPr>
        <w:tabs>
          <w:tab w:val="left" w:pos="567"/>
          <w:tab w:val="left" w:leader="hyphen" w:pos="1134"/>
          <w:tab w:val="left" w:pos="1701"/>
        </w:tabs>
        <w:spacing w:after="320"/>
        <w:rPr>
          <w:rFonts w:hint="eastAsia"/>
          <w:snapToGrid/>
        </w:rPr>
      </w:pPr>
      <w:r>
        <w:rPr>
          <w:rFonts w:hint="eastAsia"/>
          <w:snapToGrid/>
        </w:rPr>
        <w:t>因此，我们先要协助弱势社群改善他们的处境，尤其是自我提升能力受到限制的人士。为此，我们正积极推行各种措施，藉以增加就业机会，发掘教育、培训及再培训的机会，以及协助失业人士寻找工作</w:t>
      </w:r>
      <w:r>
        <w:rPr>
          <w:rStyle w:val="FootnoteReference"/>
          <w:snapToGrid/>
        </w:rPr>
        <w:footnoteReference w:customMarkFollows="1" w:id="50"/>
        <w:t>37</w:t>
      </w:r>
      <w:r>
        <w:rPr>
          <w:rFonts w:hint="eastAsia"/>
          <w:snapToGrid/>
        </w:rPr>
        <w:t>。</w:t>
      </w:r>
    </w:p>
    <w:p w:rsidR="00000000" w:rsidRDefault="00000000">
      <w:pPr>
        <w:pStyle w:val="Heading4"/>
        <w:rPr>
          <w:rFonts w:hint="eastAsia"/>
        </w:rPr>
      </w:pPr>
      <w:r>
        <w:rPr>
          <w:rFonts w:hint="eastAsia"/>
        </w:rPr>
        <w:t>官方的贫穷线</w:t>
      </w:r>
      <w:r>
        <w:rPr>
          <w:rFonts w:hint="eastAsia"/>
          <w:u w:val="none"/>
        </w:rPr>
        <w:t>？</w:t>
      </w:r>
    </w:p>
    <w:p w:rsidR="00000000" w:rsidRDefault="00000000">
      <w:pPr>
        <w:tabs>
          <w:tab w:val="left" w:pos="567"/>
          <w:tab w:val="left" w:pos="1134"/>
          <w:tab w:val="left" w:pos="1701"/>
        </w:tabs>
        <w:rPr>
          <w:rFonts w:hint="eastAsia"/>
          <w:snapToGrid/>
        </w:rPr>
      </w:pPr>
      <w:r>
        <w:rPr>
          <w:snapToGrid/>
        </w:rPr>
        <w:tab/>
        <w:t xml:space="preserve">596.  </w:t>
      </w:r>
      <w:r>
        <w:rPr>
          <w:rFonts w:hint="eastAsia"/>
          <w:snapToGrid/>
        </w:rPr>
        <w:t>我们认为，设定官方的贫穷线不会改善弱势社群的处境。到目前为止，全世界尚未对贫穷有公认的定义或量度方法；况且，凡试图为贫穷下定义都无可避免地牵涉主观的价值判断。每个社会对贫穷所下的定义都按其常规及价值而定，并会经常受到时间、地点及当时的社会环境而改变。一般而言，共同的宗旨都是为弱势社群提供协助。</w:t>
      </w:r>
    </w:p>
    <w:p w:rsidR="00000000" w:rsidRDefault="00000000">
      <w:pPr>
        <w:pStyle w:val="Salutation"/>
        <w:tabs>
          <w:tab w:val="left" w:pos="567"/>
          <w:tab w:val="left" w:pos="1134"/>
          <w:tab w:val="left" w:pos="1701"/>
        </w:tabs>
        <w:spacing w:line="336" w:lineRule="auto"/>
        <w:jc w:val="both"/>
        <w:rPr>
          <w:rFonts w:eastAsia="SimSun" w:hint="eastAsia"/>
          <w:spacing w:val="10"/>
          <w:kern w:val="0"/>
          <w:lang w:eastAsia="zh-CN"/>
        </w:rPr>
      </w:pPr>
      <w:r>
        <w:rPr>
          <w:rFonts w:eastAsia="SimSun"/>
          <w:spacing w:val="10"/>
          <w:kern w:val="0"/>
          <w:lang w:val="en-US" w:eastAsia="zh-CN"/>
        </w:rPr>
        <w:tab/>
      </w:r>
      <w:r>
        <w:rPr>
          <w:rFonts w:eastAsia="SimSun"/>
          <w:lang w:eastAsia="zh-CN"/>
        </w:rPr>
        <w:t xml:space="preserve">597.  </w:t>
      </w:r>
      <w:r>
        <w:rPr>
          <w:rFonts w:eastAsia="SimSun" w:hint="eastAsia"/>
          <w:spacing w:val="10"/>
          <w:kern w:val="0"/>
          <w:lang w:eastAsia="zh-CN"/>
        </w:rPr>
        <w:t>我们知悉，一些非政府机构根据相对价值为贫穷下定义，例如把贫穷线定于工资中位数或家庭入息中位数或其他相近基准的一半。不过，这个方法令致即使在最富裕的社会中，始终都会有一群被视为“贫穷”的人，因此，我们认为这方法并不完善。其他机构则以入息分配为贫穷下定义。不过，这些分析没有计算政府用于房屋、健康及教育开支而衍生的无形入息，因此削弱了改善家庭入息及其分配情况的社会服务的经济效益。</w:t>
      </w:r>
    </w:p>
    <w:p w:rsidR="00000000" w:rsidRDefault="00000000">
      <w:pPr>
        <w:tabs>
          <w:tab w:val="left" w:pos="567"/>
          <w:tab w:val="left" w:pos="1134"/>
          <w:tab w:val="left" w:pos="1701"/>
        </w:tabs>
        <w:spacing w:after="320"/>
        <w:rPr>
          <w:rFonts w:hint="eastAsia"/>
          <w:snapToGrid/>
        </w:rPr>
      </w:pPr>
      <w:r>
        <w:rPr>
          <w:snapToGrid/>
        </w:rPr>
        <w:tab/>
        <w:t xml:space="preserve">598.  </w:t>
      </w:r>
      <w:r>
        <w:rPr>
          <w:rFonts w:hint="eastAsia"/>
          <w:snapToGrid/>
        </w:rPr>
        <w:t>在香港，综援的申领准则界定了我们视为社会上的弱势社群，应获得支援与协助，以满足他们的基本需要。有需要人士亦可通过福利服务、免费或收费低廉的教育、资助房屋及医护照顾，得到所需的协助。政府在设计每项计划时，都会因应相关的政策考虑及特定环境，然后定出准则界定哪些人符合资格。官方贫穷线不会影响那些准则。虽然表述的方式不同，亦不论会否设有贫穷线，但目前符合资格得到这些协助的人士会继续得到协助。</w:t>
      </w:r>
    </w:p>
    <w:p w:rsidR="00000000" w:rsidRDefault="00000000">
      <w:pPr>
        <w:pStyle w:val="Heading4"/>
        <w:rPr>
          <w:rFonts w:hint="eastAsia"/>
        </w:rPr>
      </w:pPr>
      <w:r>
        <w:rPr>
          <w:rFonts w:hint="eastAsia"/>
        </w:rPr>
        <w:t>专责的贫穷协调组织</w:t>
      </w:r>
      <w:r>
        <w:rPr>
          <w:rFonts w:hint="eastAsia"/>
          <w:u w:val="none"/>
        </w:rPr>
        <w:t>？</w:t>
      </w:r>
    </w:p>
    <w:p w:rsidR="00000000" w:rsidRDefault="00000000">
      <w:pPr>
        <w:tabs>
          <w:tab w:val="left" w:pos="567"/>
          <w:tab w:val="left" w:pos="1134"/>
          <w:tab w:val="left" w:pos="1701"/>
        </w:tabs>
        <w:spacing w:after="320"/>
        <w:rPr>
          <w:rFonts w:hint="eastAsia"/>
          <w:snapToGrid/>
        </w:rPr>
      </w:pPr>
      <w:r>
        <w:rPr>
          <w:snapToGrid/>
        </w:rPr>
        <w:tab/>
        <w:t xml:space="preserve">599.  </w:t>
      </w:r>
      <w:r>
        <w:rPr>
          <w:rFonts w:hint="eastAsia"/>
          <w:snapToGrid/>
        </w:rPr>
        <w:t>政府要向立法机关负责，因此我们已透过不少内部会议和不同层级的协调工作，解决这个须要跨部门处理的贫穷问题。在回应设立处理贫穷问题的协调组织一事，我们知悉并尊重委员会的关注及建议。不过，我们始终确信现有安排已提供所需协调，社会亦投放了足够资源，因此，我们认为设立一个专责的协调组织并无好处。</w:t>
      </w:r>
    </w:p>
    <w:p w:rsidR="00000000" w:rsidRDefault="00000000">
      <w:pPr>
        <w:pStyle w:val="Heading3"/>
        <w:rPr>
          <w:rFonts w:ascii="Time New Roman" w:eastAsia="SimHei" w:hAnsi="Time New Roman" w:hint="eastAsia"/>
          <w:u w:val="none"/>
        </w:rPr>
      </w:pPr>
      <w:bookmarkStart w:id="48" w:name="_Toc78772957"/>
      <w:r>
        <w:rPr>
          <w:rFonts w:ascii="Time New Roman" w:eastAsia="SimHei" w:hAnsi="Time New Roman"/>
          <w:b/>
          <w:u w:val="none"/>
        </w:rPr>
        <w:t>L</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十二</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hint="eastAsia"/>
          <w:u w:val="none"/>
        </w:rPr>
        <w:br/>
      </w:r>
      <w:r>
        <w:rPr>
          <w:rFonts w:ascii="Time New Roman" w:eastAsia="SimHei" w:hAnsi="Time New Roman"/>
          <w:u w:val="none"/>
        </w:rPr>
        <w:t xml:space="preserve">    </w:t>
      </w:r>
      <w:r>
        <w:rPr>
          <w:rFonts w:ascii="Time New Roman" w:eastAsia="SimHei" w:hAnsi="Time New Roman" w:hint="eastAsia"/>
          <w:u w:val="none"/>
        </w:rPr>
        <w:t>享有健康的权利</w:t>
      </w:r>
      <w:bookmarkEnd w:id="48"/>
    </w:p>
    <w:p w:rsidR="00000000" w:rsidRDefault="00000000">
      <w:pPr>
        <w:pStyle w:val="Heading4"/>
        <w:rPr>
          <w:rFonts w:hint="eastAsia"/>
        </w:rPr>
      </w:pPr>
      <w:r>
        <w:rPr>
          <w:rFonts w:hint="eastAsia"/>
        </w:rPr>
        <w:t>健康及健康护理</w:t>
      </w:r>
    </w:p>
    <w:p w:rsidR="00000000" w:rsidRDefault="00000000">
      <w:pPr>
        <w:tabs>
          <w:tab w:val="left" w:pos="567"/>
          <w:tab w:val="left" w:pos="1134"/>
          <w:tab w:val="left" w:pos="1701"/>
        </w:tabs>
        <w:spacing w:after="320"/>
        <w:rPr>
          <w:rFonts w:hint="eastAsia"/>
          <w:snapToGrid/>
        </w:rPr>
      </w:pPr>
      <w:r>
        <w:rPr>
          <w:snapToGrid/>
        </w:rPr>
        <w:tab/>
        <w:t xml:space="preserve">600.  </w:t>
      </w:r>
      <w:r>
        <w:rPr>
          <w:rFonts w:hint="eastAsia"/>
          <w:snapToGrid/>
        </w:rPr>
        <w:t>在宪制上，这方面的情况基本上与首份报告第</w:t>
      </w:r>
      <w:r>
        <w:rPr>
          <w:snapToGrid/>
        </w:rPr>
        <w:t>412</w:t>
      </w:r>
      <w:r>
        <w:rPr>
          <w:rFonts w:hint="eastAsia"/>
          <w:snapToGrid/>
        </w:rPr>
        <w:t>段所述的相同。</w:t>
      </w:r>
    </w:p>
    <w:p w:rsidR="00000000" w:rsidRDefault="00000000">
      <w:pPr>
        <w:pStyle w:val="Heading4"/>
        <w:rPr>
          <w:rFonts w:hint="eastAsia"/>
        </w:rPr>
      </w:pPr>
      <w:r>
        <w:rPr>
          <w:rFonts w:hint="eastAsia"/>
        </w:rPr>
        <w:t>政</w:t>
      </w:r>
      <w:r>
        <w:t xml:space="preserve">  </w:t>
      </w:r>
      <w:r>
        <w:rPr>
          <w:rFonts w:hint="eastAsia"/>
        </w:rPr>
        <w:t>策</w:t>
      </w:r>
    </w:p>
    <w:p w:rsidR="00000000" w:rsidRDefault="00000000">
      <w:pPr>
        <w:tabs>
          <w:tab w:val="left" w:pos="567"/>
          <w:tab w:val="left" w:pos="1134"/>
          <w:tab w:val="left" w:pos="1701"/>
        </w:tabs>
        <w:rPr>
          <w:rFonts w:hint="eastAsia"/>
          <w:snapToGrid/>
        </w:rPr>
      </w:pPr>
      <w:r>
        <w:rPr>
          <w:snapToGrid/>
        </w:rPr>
        <w:tab/>
        <w:t xml:space="preserve">601.  </w:t>
      </w:r>
      <w:r>
        <w:rPr>
          <w:rFonts w:hint="eastAsia"/>
          <w:snapToGrid/>
        </w:rPr>
        <w:t>政府的政策与首份报告第</w:t>
      </w:r>
      <w:r>
        <w:rPr>
          <w:snapToGrid/>
        </w:rPr>
        <w:t>413</w:t>
      </w:r>
      <w:r>
        <w:rPr>
          <w:rFonts w:hint="eastAsia"/>
          <w:snapToGrid/>
        </w:rPr>
        <w:t>段所述的相同。在二零零二至零三年度，有关健康护理服务的公共开支为</w:t>
      </w:r>
      <w:r>
        <w:rPr>
          <w:snapToGrid/>
        </w:rPr>
        <w:t>325</w:t>
      </w:r>
      <w:r>
        <w:rPr>
          <w:rFonts w:hint="eastAsia"/>
          <w:snapToGrid/>
        </w:rPr>
        <w:t>亿港元</w:t>
      </w:r>
      <w:r>
        <w:rPr>
          <w:snapToGrid/>
        </w:rPr>
        <w:t>(42</w:t>
      </w:r>
      <w:r>
        <w:rPr>
          <w:rFonts w:hint="eastAsia"/>
          <w:snapToGrid/>
        </w:rPr>
        <w:t>亿美元</w:t>
      </w:r>
      <w:r>
        <w:rPr>
          <w:snapToGrid/>
        </w:rPr>
        <w:t>)</w:t>
      </w:r>
      <w:r>
        <w:rPr>
          <w:rFonts w:hint="eastAsia"/>
          <w:snapToGrid/>
        </w:rPr>
        <w:t>，占经常公共开支总额的</w:t>
      </w:r>
      <w:r>
        <w:rPr>
          <w:snapToGrid/>
        </w:rPr>
        <w:t>14.8%</w:t>
      </w:r>
      <w:r>
        <w:rPr>
          <w:rFonts w:hint="eastAsia"/>
          <w:snapToGrid/>
        </w:rPr>
        <w:t>。一九九七至九八年度的相关比较数字则为</w:t>
      </w:r>
      <w:r>
        <w:rPr>
          <w:snapToGrid/>
        </w:rPr>
        <w:t>14.7%</w:t>
      </w:r>
      <w:r>
        <w:rPr>
          <w:rFonts w:hint="eastAsia"/>
          <w:snapToGrid/>
        </w:rPr>
        <w:t>。</w:t>
      </w:r>
    </w:p>
    <w:p w:rsidR="00000000" w:rsidRDefault="00000000">
      <w:pPr>
        <w:tabs>
          <w:tab w:val="left" w:pos="567"/>
          <w:tab w:val="left" w:pos="1134"/>
          <w:tab w:val="left" w:pos="1701"/>
        </w:tabs>
        <w:spacing w:after="320"/>
        <w:rPr>
          <w:rFonts w:hint="eastAsia"/>
          <w:snapToGrid/>
        </w:rPr>
      </w:pPr>
      <w:r>
        <w:rPr>
          <w:snapToGrid/>
        </w:rPr>
        <w:tab/>
        <w:t xml:space="preserve">602.  </w:t>
      </w:r>
      <w:r>
        <w:rPr>
          <w:rFonts w:hint="eastAsia"/>
          <w:snapToGrid/>
        </w:rPr>
        <w:t>公营及私营机构在提供健康护理服务方面互补不足。在二零零零至零一年度，私人健康护理方面的开支总额为</w:t>
      </w:r>
      <w:r>
        <w:rPr>
          <w:snapToGrid/>
        </w:rPr>
        <w:t>375</w:t>
      </w:r>
      <w:r>
        <w:rPr>
          <w:rFonts w:hint="eastAsia"/>
          <w:snapToGrid/>
        </w:rPr>
        <w:t>亿港元</w:t>
      </w:r>
      <w:r>
        <w:rPr>
          <w:snapToGrid/>
        </w:rPr>
        <w:t>(48</w:t>
      </w:r>
      <w:r>
        <w:rPr>
          <w:rFonts w:hint="eastAsia"/>
          <w:snapToGrid/>
        </w:rPr>
        <w:t>亿美元</w:t>
      </w:r>
      <w:r>
        <w:rPr>
          <w:snapToGrid/>
        </w:rPr>
        <w:t>)</w:t>
      </w:r>
      <w:r>
        <w:rPr>
          <w:rFonts w:hint="eastAsia"/>
          <w:snapToGrid/>
        </w:rPr>
        <w:t>。</w:t>
      </w:r>
    </w:p>
    <w:p w:rsidR="00000000" w:rsidRDefault="00000000">
      <w:pPr>
        <w:pStyle w:val="Heading4"/>
        <w:rPr>
          <w:rFonts w:hint="eastAsia"/>
        </w:rPr>
      </w:pPr>
      <w:r>
        <w:rPr>
          <w:rFonts w:hint="eastAsia"/>
        </w:rPr>
        <w:t>香港市民的一般健康状况</w:t>
      </w:r>
    </w:p>
    <w:p w:rsidR="00000000" w:rsidRDefault="00000000">
      <w:pPr>
        <w:tabs>
          <w:tab w:val="left" w:pos="567"/>
          <w:tab w:val="left" w:pos="1134"/>
          <w:tab w:val="left" w:pos="1701"/>
        </w:tabs>
        <w:spacing w:after="160"/>
        <w:rPr>
          <w:rFonts w:hint="eastAsia"/>
          <w:snapToGrid/>
        </w:rPr>
      </w:pPr>
      <w:r>
        <w:rPr>
          <w:snapToGrid/>
        </w:rPr>
        <w:tab/>
        <w:t xml:space="preserve">603.  </w:t>
      </w:r>
      <w:r>
        <w:rPr>
          <w:rFonts w:hint="eastAsia"/>
          <w:snapToGrid/>
        </w:rPr>
        <w:t>香港的健康指数仍媲美其他已发展国家：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2940"/>
        <w:gridCol w:w="2624"/>
        <w:gridCol w:w="1156"/>
        <w:gridCol w:w="982"/>
      </w:tblGrid>
      <w:tr w:rsidR="00000000">
        <w:tblPrEx>
          <w:tblCellMar>
            <w:top w:w="0" w:type="dxa"/>
            <w:bottom w:w="0" w:type="dxa"/>
          </w:tblCellMar>
        </w:tblPrEx>
        <w:trPr>
          <w:cantSplit/>
          <w:tblHeader/>
        </w:trPr>
        <w:tc>
          <w:tcPr>
            <w:tcW w:w="908" w:type="pct"/>
            <w:vMerge w:val="restart"/>
          </w:tcPr>
          <w:p w:rsidR="00000000" w:rsidRDefault="00000000">
            <w:pPr>
              <w:tabs>
                <w:tab w:val="left" w:pos="567"/>
                <w:tab w:val="left" w:pos="1134"/>
                <w:tab w:val="left" w:pos="1701"/>
              </w:tabs>
              <w:spacing w:before="60" w:after="20" w:line="240" w:lineRule="auto"/>
              <w:rPr>
                <w:rFonts w:ascii="Time New Roman" w:eastAsia="SimHei" w:hAnsi="Time New Roman" w:hint="eastAsia"/>
                <w:snapToGrid/>
                <w:sz w:val="22"/>
              </w:rPr>
            </w:pPr>
            <w:r>
              <w:rPr>
                <w:rFonts w:ascii="Time New Roman" w:eastAsia="SimHei" w:hAnsi="Time New Roman"/>
                <w:snapToGrid/>
                <w:sz w:val="22"/>
              </w:rPr>
              <w:br w:type="page"/>
            </w:r>
          </w:p>
        </w:tc>
        <w:tc>
          <w:tcPr>
            <w:tcW w:w="1562" w:type="pct"/>
            <w:vMerge w:val="restart"/>
            <w:vAlign w:val="center"/>
          </w:tcPr>
          <w:p w:rsidR="00000000" w:rsidRDefault="00000000">
            <w:pPr>
              <w:tabs>
                <w:tab w:val="left" w:pos="567"/>
                <w:tab w:val="left" w:pos="1134"/>
                <w:tab w:val="left" w:pos="1701"/>
              </w:tabs>
              <w:spacing w:before="60" w:after="20" w:line="240" w:lineRule="auto"/>
              <w:jc w:val="center"/>
              <w:rPr>
                <w:rFonts w:ascii="Time New Roman" w:eastAsia="SimHei" w:hAnsi="Time New Roman" w:hint="eastAsia"/>
                <w:snapToGrid/>
                <w:sz w:val="22"/>
              </w:rPr>
            </w:pPr>
            <w:r>
              <w:rPr>
                <w:rFonts w:ascii="Time New Roman" w:eastAsia="SimHei" w:hAnsi="Time New Roman" w:hint="eastAsia"/>
                <w:snapToGrid/>
                <w:sz w:val="22"/>
              </w:rPr>
              <w:t>婴儿夭折率</w:t>
            </w:r>
            <w:r>
              <w:rPr>
                <w:rFonts w:ascii="Time New Roman" w:eastAsia="SimHei" w:hAnsi="Time New Roman"/>
                <w:snapToGrid/>
                <w:sz w:val="22"/>
              </w:rPr>
              <w:br/>
              <w:t>(</w:t>
            </w:r>
            <w:r>
              <w:rPr>
                <w:rFonts w:ascii="Time New Roman" w:eastAsia="SimHei" w:hAnsi="Time New Roman" w:hint="eastAsia"/>
                <w:snapToGrid/>
                <w:sz w:val="22"/>
              </w:rPr>
              <w:t>按每千名活产婴儿计算</w:t>
            </w:r>
            <w:r>
              <w:rPr>
                <w:rFonts w:ascii="Time New Roman" w:eastAsia="SimHei" w:hAnsi="Time New Roman"/>
                <w:snapToGrid/>
                <w:sz w:val="22"/>
              </w:rPr>
              <w:t>)</w:t>
            </w:r>
          </w:p>
        </w:tc>
        <w:tc>
          <w:tcPr>
            <w:tcW w:w="1394" w:type="pct"/>
            <w:vMerge w:val="restart"/>
            <w:vAlign w:val="center"/>
          </w:tcPr>
          <w:p w:rsidR="00000000" w:rsidRDefault="00000000">
            <w:pPr>
              <w:tabs>
                <w:tab w:val="left" w:pos="567"/>
                <w:tab w:val="left" w:pos="1134"/>
                <w:tab w:val="left" w:pos="1701"/>
              </w:tabs>
              <w:spacing w:before="60" w:after="20" w:line="240" w:lineRule="auto"/>
              <w:jc w:val="center"/>
              <w:rPr>
                <w:rFonts w:ascii="Time New Roman" w:eastAsia="SimHei" w:hAnsi="Time New Roman" w:hint="eastAsia"/>
                <w:snapToGrid/>
                <w:sz w:val="22"/>
              </w:rPr>
            </w:pPr>
            <w:r>
              <w:rPr>
                <w:rFonts w:ascii="Time New Roman" w:eastAsia="SimHei" w:hAnsi="Time New Roman" w:hint="eastAsia"/>
                <w:snapToGrid/>
                <w:sz w:val="22"/>
              </w:rPr>
              <w:t>孕妇死亡率</w:t>
            </w:r>
            <w:r>
              <w:rPr>
                <w:rFonts w:ascii="Time New Roman" w:eastAsia="SimHei" w:hAnsi="Time New Roman"/>
                <w:snapToGrid/>
                <w:sz w:val="22"/>
              </w:rPr>
              <w:br/>
              <w:t>(</w:t>
            </w:r>
            <w:r>
              <w:rPr>
                <w:rFonts w:ascii="Time New Roman" w:eastAsia="SimHei" w:hAnsi="Time New Roman" w:hint="eastAsia"/>
                <w:snapToGrid/>
                <w:sz w:val="22"/>
              </w:rPr>
              <w:t>按每十万次分娩计算</w:t>
            </w:r>
            <w:r>
              <w:rPr>
                <w:rFonts w:ascii="Time New Roman" w:eastAsia="SimHei" w:hAnsi="Time New Roman"/>
                <w:snapToGrid/>
                <w:sz w:val="22"/>
              </w:rPr>
              <w:t>)</w:t>
            </w:r>
          </w:p>
        </w:tc>
        <w:tc>
          <w:tcPr>
            <w:tcW w:w="1135" w:type="pct"/>
            <w:gridSpan w:val="2"/>
            <w:vAlign w:val="center"/>
          </w:tcPr>
          <w:p w:rsidR="00000000" w:rsidRDefault="00000000">
            <w:pPr>
              <w:tabs>
                <w:tab w:val="left" w:pos="567"/>
                <w:tab w:val="left" w:pos="1134"/>
                <w:tab w:val="left" w:pos="1701"/>
              </w:tabs>
              <w:spacing w:before="60" w:after="20" w:line="240" w:lineRule="auto"/>
              <w:jc w:val="center"/>
              <w:rPr>
                <w:rFonts w:ascii="Time New Roman" w:eastAsia="SimHei" w:hAnsi="Time New Roman" w:hint="eastAsia"/>
                <w:snapToGrid/>
                <w:sz w:val="22"/>
              </w:rPr>
            </w:pPr>
            <w:r>
              <w:rPr>
                <w:rFonts w:ascii="Time New Roman" w:eastAsia="SimHei" w:hAnsi="Time New Roman" w:hint="eastAsia"/>
                <w:snapToGrid/>
                <w:sz w:val="22"/>
              </w:rPr>
              <w:t>预期寿命</w:t>
            </w:r>
          </w:p>
        </w:tc>
      </w:tr>
      <w:tr w:rsidR="00000000">
        <w:tblPrEx>
          <w:tblCellMar>
            <w:top w:w="0" w:type="dxa"/>
            <w:bottom w:w="0" w:type="dxa"/>
          </w:tblCellMar>
        </w:tblPrEx>
        <w:trPr>
          <w:cantSplit/>
          <w:tblHeader/>
        </w:trPr>
        <w:tc>
          <w:tcPr>
            <w:tcW w:w="908" w:type="pct"/>
            <w:vMerge/>
          </w:tcPr>
          <w:p w:rsidR="00000000" w:rsidRDefault="00000000">
            <w:pPr>
              <w:tabs>
                <w:tab w:val="left" w:pos="567"/>
                <w:tab w:val="left" w:pos="1134"/>
                <w:tab w:val="left" w:pos="1701"/>
              </w:tabs>
              <w:spacing w:before="60" w:after="20" w:line="312" w:lineRule="auto"/>
              <w:rPr>
                <w:rFonts w:hint="eastAsia"/>
                <w:snapToGrid/>
                <w:sz w:val="22"/>
              </w:rPr>
            </w:pPr>
          </w:p>
        </w:tc>
        <w:tc>
          <w:tcPr>
            <w:tcW w:w="1562" w:type="pct"/>
            <w:vMerge/>
          </w:tcPr>
          <w:p w:rsidR="00000000" w:rsidRDefault="00000000">
            <w:pPr>
              <w:tabs>
                <w:tab w:val="left" w:pos="567"/>
                <w:tab w:val="left" w:pos="1134"/>
                <w:tab w:val="left" w:pos="1701"/>
              </w:tabs>
              <w:spacing w:before="60" w:after="20" w:line="312" w:lineRule="auto"/>
              <w:rPr>
                <w:rFonts w:hint="eastAsia"/>
                <w:snapToGrid/>
                <w:sz w:val="22"/>
              </w:rPr>
            </w:pPr>
          </w:p>
        </w:tc>
        <w:tc>
          <w:tcPr>
            <w:tcW w:w="1394" w:type="pct"/>
            <w:vMerge/>
            <w:vAlign w:val="center"/>
          </w:tcPr>
          <w:p w:rsidR="00000000" w:rsidRDefault="00000000">
            <w:pPr>
              <w:tabs>
                <w:tab w:val="left" w:pos="567"/>
                <w:tab w:val="left" w:pos="1134"/>
                <w:tab w:val="left" w:pos="1701"/>
              </w:tabs>
              <w:spacing w:before="60" w:after="20" w:line="312" w:lineRule="auto"/>
              <w:jc w:val="center"/>
              <w:rPr>
                <w:rFonts w:hint="eastAsia"/>
                <w:snapToGrid/>
                <w:sz w:val="22"/>
              </w:rPr>
            </w:pPr>
          </w:p>
        </w:tc>
        <w:tc>
          <w:tcPr>
            <w:tcW w:w="614" w:type="pct"/>
          </w:tcPr>
          <w:p w:rsidR="00000000" w:rsidRDefault="00000000">
            <w:pPr>
              <w:tabs>
                <w:tab w:val="left" w:pos="567"/>
                <w:tab w:val="left" w:pos="1134"/>
                <w:tab w:val="left" w:pos="1701"/>
              </w:tabs>
              <w:spacing w:before="60" w:after="20" w:line="240" w:lineRule="auto"/>
              <w:jc w:val="center"/>
              <w:rPr>
                <w:rFonts w:hint="eastAsia"/>
                <w:snapToGrid/>
                <w:sz w:val="22"/>
              </w:rPr>
            </w:pPr>
            <w:r>
              <w:rPr>
                <w:rFonts w:hint="eastAsia"/>
                <w:snapToGrid/>
                <w:sz w:val="22"/>
              </w:rPr>
              <w:t>男</w:t>
            </w:r>
          </w:p>
        </w:tc>
        <w:tc>
          <w:tcPr>
            <w:tcW w:w="522" w:type="pct"/>
          </w:tcPr>
          <w:p w:rsidR="00000000" w:rsidRDefault="00000000">
            <w:pPr>
              <w:tabs>
                <w:tab w:val="left" w:pos="567"/>
                <w:tab w:val="left" w:pos="1134"/>
                <w:tab w:val="left" w:pos="1701"/>
              </w:tabs>
              <w:spacing w:before="60" w:after="20" w:line="240" w:lineRule="auto"/>
              <w:jc w:val="center"/>
              <w:rPr>
                <w:rFonts w:hint="eastAsia"/>
                <w:snapToGrid/>
                <w:sz w:val="22"/>
              </w:rPr>
            </w:pPr>
            <w:r>
              <w:rPr>
                <w:rFonts w:hint="eastAsia"/>
                <w:snapToGrid/>
                <w:sz w:val="22"/>
              </w:rPr>
              <w:t>女</w:t>
            </w:r>
          </w:p>
        </w:tc>
      </w:tr>
      <w:tr w:rsidR="00000000">
        <w:tblPrEx>
          <w:tblCellMar>
            <w:top w:w="0" w:type="dxa"/>
            <w:bottom w:w="0" w:type="dxa"/>
          </w:tblCellMar>
        </w:tblPrEx>
        <w:tc>
          <w:tcPr>
            <w:tcW w:w="908" w:type="pct"/>
          </w:tcPr>
          <w:p w:rsidR="00000000" w:rsidRDefault="00000000">
            <w:pPr>
              <w:tabs>
                <w:tab w:val="left" w:pos="567"/>
                <w:tab w:val="left" w:pos="1134"/>
                <w:tab w:val="left" w:pos="1701"/>
              </w:tabs>
              <w:spacing w:before="80" w:after="20" w:line="288" w:lineRule="auto"/>
              <w:ind w:left="170"/>
              <w:rPr>
                <w:rFonts w:hint="eastAsia"/>
                <w:snapToGrid/>
                <w:sz w:val="22"/>
              </w:rPr>
            </w:pPr>
            <w:r>
              <w:rPr>
                <w:rFonts w:hint="eastAsia"/>
                <w:snapToGrid/>
                <w:sz w:val="22"/>
              </w:rPr>
              <w:t>香港</w:t>
            </w:r>
            <w:r>
              <w:rPr>
                <w:snapToGrid/>
                <w:sz w:val="22"/>
              </w:rPr>
              <w:t>(2002</w:t>
            </w:r>
            <w:r>
              <w:rPr>
                <w:rFonts w:hint="eastAsia"/>
                <w:snapToGrid/>
                <w:sz w:val="22"/>
              </w:rPr>
              <w:t xml:space="preserve"> </w:t>
            </w:r>
            <w:r>
              <w:rPr>
                <w:rFonts w:hint="eastAsia"/>
                <w:snapToGrid/>
                <w:position w:val="6"/>
                <w:sz w:val="22"/>
              </w:rPr>
              <w:t xml:space="preserve">* </w:t>
            </w:r>
            <w:r>
              <w:rPr>
                <w:snapToGrid/>
                <w:sz w:val="22"/>
              </w:rPr>
              <w:t>)</w:t>
            </w:r>
          </w:p>
        </w:tc>
        <w:tc>
          <w:tcPr>
            <w:tcW w:w="1562" w:type="pct"/>
          </w:tcPr>
          <w:p w:rsidR="00000000" w:rsidRDefault="00000000">
            <w:pPr>
              <w:tabs>
                <w:tab w:val="left" w:pos="567"/>
                <w:tab w:val="left" w:pos="1134"/>
                <w:tab w:val="left" w:pos="1701"/>
              </w:tabs>
              <w:spacing w:before="80" w:after="20" w:line="288" w:lineRule="auto"/>
              <w:jc w:val="center"/>
              <w:rPr>
                <w:snapToGrid/>
                <w:sz w:val="22"/>
              </w:rPr>
            </w:pPr>
            <w:r>
              <w:rPr>
                <w:snapToGrid/>
                <w:sz w:val="22"/>
              </w:rPr>
              <w:t>2.4</w:t>
            </w:r>
          </w:p>
        </w:tc>
        <w:tc>
          <w:tcPr>
            <w:tcW w:w="1394" w:type="pct"/>
          </w:tcPr>
          <w:p w:rsidR="00000000" w:rsidRDefault="00000000">
            <w:pPr>
              <w:tabs>
                <w:tab w:val="left" w:pos="574"/>
                <w:tab w:val="left" w:pos="1134"/>
                <w:tab w:val="left" w:pos="1701"/>
              </w:tabs>
              <w:spacing w:before="80" w:after="20" w:line="288" w:lineRule="auto"/>
              <w:jc w:val="center"/>
              <w:rPr>
                <w:snapToGrid/>
                <w:sz w:val="22"/>
              </w:rPr>
            </w:pPr>
            <w:r>
              <w:rPr>
                <w:snapToGrid/>
                <w:sz w:val="22"/>
              </w:rPr>
              <w:t>4.2</w:t>
            </w:r>
          </w:p>
        </w:tc>
        <w:tc>
          <w:tcPr>
            <w:tcW w:w="614" w:type="pct"/>
          </w:tcPr>
          <w:p w:rsidR="00000000" w:rsidRDefault="00000000">
            <w:pPr>
              <w:tabs>
                <w:tab w:val="left" w:pos="567"/>
                <w:tab w:val="left" w:pos="1134"/>
                <w:tab w:val="left" w:pos="1701"/>
              </w:tabs>
              <w:spacing w:before="80" w:after="20" w:line="288" w:lineRule="auto"/>
              <w:jc w:val="center"/>
              <w:rPr>
                <w:snapToGrid/>
                <w:sz w:val="22"/>
              </w:rPr>
            </w:pPr>
            <w:r>
              <w:rPr>
                <w:snapToGrid/>
                <w:sz w:val="22"/>
              </w:rPr>
              <w:t>78.7</w:t>
            </w:r>
          </w:p>
        </w:tc>
        <w:tc>
          <w:tcPr>
            <w:tcW w:w="522" w:type="pct"/>
          </w:tcPr>
          <w:p w:rsidR="00000000" w:rsidRDefault="00000000">
            <w:pPr>
              <w:tabs>
                <w:tab w:val="left" w:pos="567"/>
                <w:tab w:val="left" w:pos="1134"/>
                <w:tab w:val="left" w:pos="1701"/>
              </w:tabs>
              <w:spacing w:before="80" w:after="20" w:line="288" w:lineRule="auto"/>
              <w:jc w:val="center"/>
              <w:rPr>
                <w:snapToGrid/>
                <w:sz w:val="22"/>
              </w:rPr>
            </w:pPr>
            <w:r>
              <w:rPr>
                <w:snapToGrid/>
                <w:sz w:val="22"/>
              </w:rPr>
              <w:t>84.7</w:t>
            </w:r>
          </w:p>
        </w:tc>
      </w:tr>
      <w:tr w:rsidR="00000000">
        <w:tblPrEx>
          <w:tblCellMar>
            <w:top w:w="0" w:type="dxa"/>
            <w:bottom w:w="0" w:type="dxa"/>
          </w:tblCellMar>
        </w:tblPrEx>
        <w:tc>
          <w:tcPr>
            <w:tcW w:w="908" w:type="pct"/>
          </w:tcPr>
          <w:p w:rsidR="00000000" w:rsidRDefault="00000000">
            <w:pPr>
              <w:tabs>
                <w:tab w:val="left" w:pos="567"/>
                <w:tab w:val="left" w:pos="1134"/>
                <w:tab w:val="left" w:pos="1701"/>
              </w:tabs>
              <w:spacing w:before="80" w:after="20" w:line="288" w:lineRule="auto"/>
              <w:ind w:left="170"/>
              <w:rPr>
                <w:rFonts w:hint="eastAsia"/>
                <w:snapToGrid/>
                <w:sz w:val="22"/>
              </w:rPr>
            </w:pPr>
            <w:r>
              <w:rPr>
                <w:rFonts w:hint="eastAsia"/>
                <w:snapToGrid/>
                <w:sz w:val="22"/>
              </w:rPr>
              <w:t>美国</w:t>
            </w:r>
            <w:r>
              <w:rPr>
                <w:snapToGrid/>
                <w:sz w:val="22"/>
              </w:rPr>
              <w:t>(2000)</w:t>
            </w:r>
          </w:p>
        </w:tc>
        <w:tc>
          <w:tcPr>
            <w:tcW w:w="1562"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6.9</w:t>
            </w:r>
          </w:p>
        </w:tc>
        <w:tc>
          <w:tcPr>
            <w:tcW w:w="1394" w:type="pct"/>
          </w:tcPr>
          <w:p w:rsidR="00000000" w:rsidRDefault="00000000">
            <w:pPr>
              <w:tabs>
                <w:tab w:val="left" w:pos="574"/>
              </w:tabs>
              <w:spacing w:before="80" w:after="20" w:line="288" w:lineRule="auto"/>
              <w:jc w:val="center"/>
              <w:rPr>
                <w:rFonts w:hint="eastAsia"/>
                <w:snapToGrid/>
                <w:sz w:val="22"/>
              </w:rPr>
            </w:pPr>
            <w:r>
              <w:rPr>
                <w:snapToGrid/>
                <w:sz w:val="22"/>
              </w:rPr>
              <w:t>9.8</w:t>
            </w:r>
          </w:p>
        </w:tc>
        <w:tc>
          <w:tcPr>
            <w:tcW w:w="614"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73.9</w:t>
            </w:r>
          </w:p>
        </w:tc>
        <w:tc>
          <w:tcPr>
            <w:tcW w:w="522"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79.5</w:t>
            </w:r>
          </w:p>
        </w:tc>
      </w:tr>
      <w:tr w:rsidR="00000000">
        <w:tblPrEx>
          <w:tblCellMar>
            <w:top w:w="0" w:type="dxa"/>
            <w:bottom w:w="0" w:type="dxa"/>
          </w:tblCellMar>
        </w:tblPrEx>
        <w:tc>
          <w:tcPr>
            <w:tcW w:w="908" w:type="pct"/>
          </w:tcPr>
          <w:p w:rsidR="00000000" w:rsidRDefault="00000000">
            <w:pPr>
              <w:tabs>
                <w:tab w:val="left" w:pos="567"/>
                <w:tab w:val="left" w:pos="1134"/>
                <w:tab w:val="left" w:pos="1701"/>
              </w:tabs>
              <w:spacing w:before="80" w:after="20" w:line="288" w:lineRule="auto"/>
              <w:ind w:left="170"/>
              <w:rPr>
                <w:rFonts w:hint="eastAsia"/>
                <w:snapToGrid/>
                <w:sz w:val="22"/>
              </w:rPr>
            </w:pPr>
            <w:r>
              <w:rPr>
                <w:rFonts w:hint="eastAsia"/>
                <w:snapToGrid/>
                <w:sz w:val="22"/>
              </w:rPr>
              <w:t>英国</w:t>
            </w:r>
            <w:r>
              <w:rPr>
                <w:snapToGrid/>
                <w:sz w:val="22"/>
              </w:rPr>
              <w:t>(2000)</w:t>
            </w:r>
          </w:p>
        </w:tc>
        <w:tc>
          <w:tcPr>
            <w:tcW w:w="1562"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5.6</w:t>
            </w:r>
          </w:p>
        </w:tc>
        <w:tc>
          <w:tcPr>
            <w:tcW w:w="1394" w:type="pct"/>
          </w:tcPr>
          <w:p w:rsidR="00000000" w:rsidRDefault="00000000">
            <w:pPr>
              <w:tabs>
                <w:tab w:val="left" w:pos="574"/>
              </w:tabs>
              <w:spacing w:before="80" w:after="20" w:line="288" w:lineRule="auto"/>
              <w:jc w:val="center"/>
              <w:rPr>
                <w:rFonts w:hint="eastAsia"/>
                <w:snapToGrid/>
                <w:sz w:val="22"/>
              </w:rPr>
            </w:pPr>
            <w:r>
              <w:rPr>
                <w:snapToGrid/>
                <w:sz w:val="22"/>
              </w:rPr>
              <w:t>7.0</w:t>
            </w:r>
          </w:p>
        </w:tc>
        <w:tc>
          <w:tcPr>
            <w:tcW w:w="614"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74.8</w:t>
            </w:r>
          </w:p>
        </w:tc>
        <w:tc>
          <w:tcPr>
            <w:tcW w:w="522"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79.9</w:t>
            </w:r>
          </w:p>
        </w:tc>
      </w:tr>
      <w:tr w:rsidR="00000000">
        <w:tblPrEx>
          <w:tblCellMar>
            <w:top w:w="0" w:type="dxa"/>
            <w:bottom w:w="0" w:type="dxa"/>
          </w:tblCellMar>
        </w:tblPrEx>
        <w:tc>
          <w:tcPr>
            <w:tcW w:w="908" w:type="pct"/>
          </w:tcPr>
          <w:p w:rsidR="00000000" w:rsidRDefault="00000000">
            <w:pPr>
              <w:tabs>
                <w:tab w:val="left" w:pos="567"/>
                <w:tab w:val="left" w:pos="1134"/>
                <w:tab w:val="left" w:pos="1701"/>
              </w:tabs>
              <w:spacing w:before="80" w:after="20" w:line="288" w:lineRule="auto"/>
              <w:ind w:left="170"/>
              <w:rPr>
                <w:rFonts w:hint="eastAsia"/>
                <w:snapToGrid/>
                <w:sz w:val="22"/>
              </w:rPr>
            </w:pPr>
            <w:r>
              <w:rPr>
                <w:rFonts w:hint="eastAsia"/>
                <w:snapToGrid/>
                <w:sz w:val="22"/>
              </w:rPr>
              <w:t>日本</w:t>
            </w:r>
            <w:r>
              <w:rPr>
                <w:snapToGrid/>
                <w:sz w:val="22"/>
              </w:rPr>
              <w:t>(2000)</w:t>
            </w:r>
          </w:p>
        </w:tc>
        <w:tc>
          <w:tcPr>
            <w:tcW w:w="1562"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3.2</w:t>
            </w:r>
          </w:p>
        </w:tc>
        <w:tc>
          <w:tcPr>
            <w:tcW w:w="1394" w:type="pct"/>
          </w:tcPr>
          <w:p w:rsidR="00000000" w:rsidRDefault="00000000">
            <w:pPr>
              <w:tabs>
                <w:tab w:val="left" w:pos="574"/>
              </w:tabs>
              <w:spacing w:before="80" w:after="20" w:line="288" w:lineRule="auto"/>
              <w:jc w:val="center"/>
              <w:rPr>
                <w:rFonts w:hint="eastAsia"/>
                <w:snapToGrid/>
                <w:sz w:val="22"/>
              </w:rPr>
            </w:pPr>
            <w:r>
              <w:rPr>
                <w:snapToGrid/>
                <w:sz w:val="22"/>
              </w:rPr>
              <w:t>6.6</w:t>
            </w:r>
          </w:p>
        </w:tc>
        <w:tc>
          <w:tcPr>
            <w:tcW w:w="614"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77.6</w:t>
            </w:r>
          </w:p>
        </w:tc>
        <w:tc>
          <w:tcPr>
            <w:tcW w:w="522" w:type="pct"/>
          </w:tcPr>
          <w:p w:rsidR="00000000" w:rsidRDefault="00000000">
            <w:pPr>
              <w:tabs>
                <w:tab w:val="left" w:pos="567"/>
                <w:tab w:val="left" w:pos="1134"/>
                <w:tab w:val="left" w:pos="1701"/>
              </w:tabs>
              <w:spacing w:before="80" w:after="20" w:line="288" w:lineRule="auto"/>
              <w:jc w:val="center"/>
              <w:rPr>
                <w:rFonts w:hint="eastAsia"/>
                <w:snapToGrid/>
                <w:sz w:val="22"/>
              </w:rPr>
            </w:pPr>
            <w:r>
              <w:rPr>
                <w:snapToGrid/>
                <w:sz w:val="22"/>
              </w:rPr>
              <w:t>84.6</w:t>
            </w:r>
          </w:p>
        </w:tc>
      </w:tr>
    </w:tbl>
    <w:p w:rsidR="00000000" w:rsidRDefault="00000000">
      <w:pPr>
        <w:pStyle w:val="EndnoteText"/>
        <w:spacing w:before="240" w:after="320"/>
        <w:rPr>
          <w:rFonts w:hint="eastAsia"/>
          <w:snapToGrid/>
        </w:rPr>
      </w:pPr>
      <w:r>
        <w:rPr>
          <w:rFonts w:hint="eastAsia"/>
        </w:rPr>
        <w:t>*</w:t>
      </w:r>
      <w:r>
        <w:rPr>
          <w:rFonts w:hint="eastAsia"/>
        </w:rPr>
        <w:tab/>
      </w:r>
      <w:r>
        <w:rPr>
          <w:rFonts w:hint="eastAsia"/>
        </w:rPr>
        <w:t>临时数字。</w:t>
      </w:r>
    </w:p>
    <w:p w:rsidR="00000000" w:rsidRDefault="00000000">
      <w:pPr>
        <w:tabs>
          <w:tab w:val="left" w:pos="567"/>
          <w:tab w:val="left" w:pos="1134"/>
          <w:tab w:val="left" w:pos="1701"/>
        </w:tabs>
        <w:spacing w:after="320"/>
        <w:rPr>
          <w:rFonts w:hint="eastAsia"/>
          <w:snapToGrid/>
        </w:rPr>
      </w:pPr>
      <w:r>
        <w:rPr>
          <w:snapToGrid/>
        </w:rPr>
        <w:tab/>
      </w:r>
      <w:r>
        <w:t xml:space="preserve">604.  </w:t>
      </w:r>
      <w:r>
        <w:rPr>
          <w:rFonts w:hint="eastAsia"/>
          <w:snapToGrid/>
        </w:rPr>
        <w:t>有关情况基本上与首份报告第</w:t>
      </w:r>
      <w:r>
        <w:rPr>
          <w:snapToGrid/>
        </w:rPr>
        <w:t>415</w:t>
      </w:r>
      <w:r>
        <w:rPr>
          <w:rFonts w:hint="eastAsia"/>
          <w:snapToGrid/>
        </w:rPr>
        <w:t>段所述的相同。不过，接受麻疹、流行性腮腺炎、德国麻疹防疫注射的人数比率，已由一九九七年的</w:t>
      </w:r>
      <w:r>
        <w:rPr>
          <w:snapToGrid/>
        </w:rPr>
        <w:t>82%</w:t>
      </w:r>
      <w:r>
        <w:rPr>
          <w:rFonts w:hint="eastAsia"/>
          <w:snapToGrid/>
        </w:rPr>
        <w:t>增至超过</w:t>
      </w:r>
      <w:r>
        <w:rPr>
          <w:snapToGrid/>
        </w:rPr>
        <w:t>86%</w:t>
      </w:r>
      <w:r>
        <w:rPr>
          <w:rFonts w:hint="eastAsia"/>
          <w:snapToGrid/>
        </w:rPr>
        <w:t>。这些数字与已发展国家相若。</w:t>
      </w:r>
    </w:p>
    <w:p w:rsidR="00000000" w:rsidRDefault="00000000">
      <w:pPr>
        <w:pStyle w:val="Heading4"/>
        <w:rPr>
          <w:rFonts w:hint="eastAsia"/>
        </w:rPr>
      </w:pPr>
      <w:r>
        <w:rPr>
          <w:rFonts w:hint="eastAsia"/>
        </w:rPr>
        <w:t>控制传染病</w:t>
      </w:r>
    </w:p>
    <w:p w:rsidR="00000000" w:rsidRDefault="00000000">
      <w:pPr>
        <w:tabs>
          <w:tab w:val="left" w:pos="567"/>
          <w:tab w:val="left" w:pos="1134"/>
          <w:tab w:val="left" w:pos="1701"/>
        </w:tabs>
        <w:rPr>
          <w:rFonts w:hint="eastAsia"/>
          <w:snapToGrid/>
        </w:rPr>
      </w:pPr>
      <w:r>
        <w:rPr>
          <w:snapToGrid/>
        </w:rPr>
        <w:tab/>
      </w:r>
      <w:r>
        <w:t xml:space="preserve">605.  </w:t>
      </w:r>
      <w:r>
        <w:rPr>
          <w:rFonts w:hint="eastAsia"/>
          <w:snapToGrid/>
        </w:rPr>
        <w:t>传染病曾是导致香港市民死亡和发病的主因。随着社会及经济状况、教育、房屋、卫生及营养方面有所改善，以及实施了儿童防疫注射计划，主要传染病已大致受到控制。</w:t>
      </w:r>
    </w:p>
    <w:p w:rsidR="00000000" w:rsidRDefault="00000000">
      <w:pPr>
        <w:tabs>
          <w:tab w:val="left" w:pos="567"/>
          <w:tab w:val="left" w:pos="1134"/>
          <w:tab w:val="left" w:pos="1701"/>
        </w:tabs>
        <w:rPr>
          <w:rFonts w:hint="eastAsia"/>
          <w:snapToGrid/>
        </w:rPr>
      </w:pPr>
      <w:r>
        <w:rPr>
          <w:snapToGrid/>
        </w:rPr>
        <w:tab/>
      </w:r>
      <w:r>
        <w:t xml:space="preserve">606.  </w:t>
      </w:r>
      <w:r>
        <w:rPr>
          <w:rFonts w:hint="eastAsia"/>
          <w:snapToGrid/>
        </w:rPr>
        <w:t>香港的传染病监察系统成立多时，并且行之有效。《检疫及防疫条例》</w:t>
      </w:r>
      <w:r>
        <w:rPr>
          <w:snapToGrid/>
        </w:rPr>
        <w:t>(</w:t>
      </w:r>
      <w:r>
        <w:rPr>
          <w:rFonts w:hint="eastAsia"/>
          <w:snapToGrid/>
        </w:rPr>
        <w:t>第</w:t>
      </w:r>
      <w:r>
        <w:rPr>
          <w:snapToGrid/>
        </w:rPr>
        <w:t>141</w:t>
      </w:r>
      <w:r>
        <w:rPr>
          <w:rFonts w:hint="eastAsia"/>
          <w:snapToGrid/>
        </w:rPr>
        <w:t>章</w:t>
      </w:r>
      <w:r>
        <w:rPr>
          <w:snapToGrid/>
        </w:rPr>
        <w:t>)</w:t>
      </w:r>
      <w:r>
        <w:rPr>
          <w:rFonts w:hint="eastAsia"/>
          <w:snapToGrid/>
        </w:rPr>
        <w:t>规定医生须向卫生署署长报告附表</w:t>
      </w:r>
      <w:r>
        <w:rPr>
          <w:snapToGrid/>
        </w:rPr>
        <w:t>1</w:t>
      </w:r>
      <w:r>
        <w:rPr>
          <w:rFonts w:hint="eastAsia"/>
          <w:snapToGrid/>
        </w:rPr>
        <w:t>订明的病例。此外，卫生署通过门诊诊所及普通科诊所，维持严密的监察系统，防范类似流感病征的疾病、手足口病、急性结膜炎、急性痢疾及抗生素抗药疾病。医院管理局</w:t>
      </w:r>
      <w:r>
        <w:rPr>
          <w:snapToGrid/>
        </w:rPr>
        <w:t>(</w:t>
      </w:r>
      <w:r>
        <w:rPr>
          <w:rFonts w:hint="eastAsia"/>
          <w:snapToGrid/>
        </w:rPr>
        <w:t>医管局</w:t>
      </w:r>
      <w:r>
        <w:rPr>
          <w:snapToGrid/>
        </w:rPr>
        <w:t>)</w:t>
      </w:r>
      <w:r>
        <w:rPr>
          <w:rFonts w:hint="eastAsia"/>
          <w:snapToGrid/>
        </w:rPr>
        <w:t>亦与卫生署紧密合作，报告公众特别关注的疾病。公共卫生化验大楼及政府病毒科就各种传染病进行化验，加以监察。</w:t>
      </w:r>
    </w:p>
    <w:p w:rsidR="00000000" w:rsidRDefault="00000000">
      <w:pPr>
        <w:tabs>
          <w:tab w:val="left" w:pos="567"/>
          <w:tab w:val="left" w:pos="1134"/>
          <w:tab w:val="left" w:pos="1701"/>
        </w:tabs>
        <w:rPr>
          <w:rFonts w:hint="eastAsia"/>
          <w:snapToGrid/>
        </w:rPr>
      </w:pPr>
      <w:r>
        <w:rPr>
          <w:snapToGrid/>
        </w:rPr>
        <w:tab/>
      </w:r>
      <w:r>
        <w:t xml:space="preserve">607.  </w:t>
      </w:r>
      <w:r>
        <w:rPr>
          <w:rFonts w:hint="eastAsia"/>
          <w:snapToGrid/>
        </w:rPr>
        <w:t>在二零零零年十月，世界卫生组织</w:t>
      </w:r>
      <w:r>
        <w:rPr>
          <w:snapToGrid/>
        </w:rPr>
        <w:t>(</w:t>
      </w:r>
      <w:r>
        <w:rPr>
          <w:rFonts w:hint="eastAsia"/>
          <w:snapToGrid/>
        </w:rPr>
        <w:t>世卫</w:t>
      </w:r>
      <w:r>
        <w:rPr>
          <w:rFonts w:hint="eastAsia"/>
          <w:snapToGrid/>
        </w:rPr>
        <w:t>)</w:t>
      </w:r>
      <w:r>
        <w:rPr>
          <w:rFonts w:hint="eastAsia"/>
          <w:snapToGrid/>
        </w:rPr>
        <w:t>西太平洋区根绝小儿麻痹症认证分区委员会宣布，小儿麻痹症病毒在西太平洋区</w:t>
      </w:r>
      <w:r>
        <w:rPr>
          <w:snapToGrid/>
        </w:rPr>
        <w:t>(</w:t>
      </w:r>
      <w:r>
        <w:rPr>
          <w:rFonts w:hint="eastAsia"/>
          <w:snapToGrid/>
        </w:rPr>
        <w:t>包括香港</w:t>
      </w:r>
      <w:r>
        <w:rPr>
          <w:snapToGrid/>
        </w:rPr>
        <w:t>)</w:t>
      </w:r>
      <w:r>
        <w:rPr>
          <w:rFonts w:hint="eastAsia"/>
          <w:snapToGrid/>
        </w:rPr>
        <w:t>的扩散情况已遏止。我们会继续支持世卫根绝全球小儿麻痹症的工作。</w:t>
      </w:r>
    </w:p>
    <w:p w:rsidR="00000000" w:rsidRDefault="00000000">
      <w:pPr>
        <w:tabs>
          <w:tab w:val="left" w:pos="567"/>
          <w:tab w:val="left" w:pos="1134"/>
          <w:tab w:val="left" w:pos="1701"/>
        </w:tabs>
        <w:spacing w:after="320"/>
        <w:rPr>
          <w:rFonts w:hint="eastAsia"/>
          <w:snapToGrid/>
        </w:rPr>
      </w:pPr>
      <w:r>
        <w:rPr>
          <w:snapToGrid/>
        </w:rPr>
        <w:tab/>
      </w:r>
      <w:r>
        <w:t xml:space="preserve">608.  </w:t>
      </w:r>
      <w:r>
        <w:rPr>
          <w:rFonts w:hint="eastAsia"/>
        </w:rPr>
        <w:t>卫</w:t>
      </w:r>
      <w:r>
        <w:rPr>
          <w:rFonts w:hint="eastAsia"/>
          <w:snapToGrid/>
        </w:rPr>
        <w:t>生署、世卫和邻近及海外国家的控制传染病控制中心紧密合作，包括即时互通消息、交换意见和互相支援及协助。</w:t>
      </w:r>
    </w:p>
    <w:p w:rsidR="00000000" w:rsidRDefault="00000000">
      <w:pPr>
        <w:pStyle w:val="Heading4"/>
        <w:rPr>
          <w:rFonts w:hint="eastAsia"/>
        </w:rPr>
      </w:pPr>
      <w:r>
        <w:rPr>
          <w:rFonts w:hint="eastAsia"/>
        </w:rPr>
        <w:t>禽</w:t>
      </w:r>
      <w:r>
        <w:rPr>
          <w:rFonts w:hint="eastAsia"/>
        </w:rPr>
        <w:t xml:space="preserve"> </w:t>
      </w:r>
      <w:r>
        <w:rPr>
          <w:rFonts w:hint="eastAsia"/>
        </w:rPr>
        <w:t>流</w:t>
      </w:r>
      <w:r>
        <w:rPr>
          <w:rFonts w:hint="eastAsia"/>
        </w:rPr>
        <w:t xml:space="preserve"> </w:t>
      </w:r>
      <w:r>
        <w:rPr>
          <w:rFonts w:hint="eastAsia"/>
        </w:rPr>
        <w:t>感</w:t>
      </w:r>
    </w:p>
    <w:p w:rsidR="00000000" w:rsidRDefault="00000000">
      <w:pPr>
        <w:spacing w:after="320"/>
        <w:rPr>
          <w:rFonts w:hint="eastAsia"/>
          <w:snapToGrid/>
        </w:rPr>
      </w:pPr>
      <w:r>
        <w:rPr>
          <w:snapToGrid/>
        </w:rPr>
        <w:tab/>
      </w:r>
      <w:r>
        <w:t xml:space="preserve">609.  </w:t>
      </w:r>
      <w:r>
        <w:rPr>
          <w:rFonts w:hint="eastAsia"/>
          <w:snapToGrid/>
        </w:rPr>
        <w:t>我们曾在首份报告第</w:t>
      </w:r>
      <w:r>
        <w:rPr>
          <w:snapToGrid/>
        </w:rPr>
        <w:t>424</w:t>
      </w:r>
      <w:r>
        <w:rPr>
          <w:rFonts w:hint="eastAsia"/>
          <w:snapToGrid/>
        </w:rPr>
        <w:t>至</w:t>
      </w:r>
      <w:r>
        <w:rPr>
          <w:snapToGrid/>
        </w:rPr>
        <w:t>428</w:t>
      </w:r>
      <w:r>
        <w:rPr>
          <w:rFonts w:hint="eastAsia"/>
          <w:snapToGrid/>
        </w:rPr>
        <w:t>段告知委员会关于本港在一九九七年首次爆发</w:t>
      </w:r>
      <w:r>
        <w:rPr>
          <w:snapToGrid/>
        </w:rPr>
        <w:t>H5N1</w:t>
      </w:r>
      <w:r>
        <w:rPr>
          <w:rFonts w:hint="eastAsia"/>
          <w:snapToGrid/>
        </w:rPr>
        <w:t>病毒</w:t>
      </w:r>
      <w:r>
        <w:rPr>
          <w:snapToGrid/>
        </w:rPr>
        <w:t>(</w:t>
      </w:r>
      <w:r>
        <w:rPr>
          <w:rFonts w:hint="eastAsia"/>
          <w:snapToGrid/>
        </w:rPr>
        <w:t>俗称“禽流感”</w:t>
      </w:r>
      <w:r>
        <w:rPr>
          <w:snapToGrid/>
        </w:rPr>
        <w:t>)</w:t>
      </w:r>
      <w:r>
        <w:rPr>
          <w:rFonts w:hint="eastAsia"/>
          <w:snapToGrid/>
        </w:rPr>
        <w:t>的情况，以及当局为对抗禽流感所采取的措施。其后</w:t>
      </w:r>
      <w:r>
        <w:rPr>
          <w:snapToGrid/>
        </w:rPr>
        <w:t>(</w:t>
      </w:r>
      <w:r>
        <w:rPr>
          <w:rFonts w:hint="eastAsia"/>
          <w:snapToGrid/>
        </w:rPr>
        <w:t>二零零一年及二零零二年</w:t>
      </w:r>
      <w:r>
        <w:rPr>
          <w:snapToGrid/>
        </w:rPr>
        <w:t>)</w:t>
      </w:r>
      <w:r>
        <w:rPr>
          <w:rFonts w:hint="eastAsia"/>
          <w:snapToGrid/>
        </w:rPr>
        <w:t>禽流感再度肆虐本港，但当时发现的</w:t>
      </w:r>
      <w:r>
        <w:rPr>
          <w:snapToGrid/>
        </w:rPr>
        <w:t>H5N1</w:t>
      </w:r>
      <w:r>
        <w:rPr>
          <w:rFonts w:hint="eastAsia"/>
          <w:snapToGrid/>
        </w:rPr>
        <w:t>病毒证实有别于一九九七年出现可传染人类的品种。在政府、学者和活家禽商通力合作下，我们得以迅速遏止有关病毒蔓延。其后，我们在不同层面实施了严厉措施，以防止病毒再度侵袭鸡只和令市民受到感染，并在活家禽供应过程中各个阶段</w:t>
      </w:r>
      <w:r>
        <w:rPr>
          <w:snapToGrid/>
        </w:rPr>
        <w:t>(</w:t>
      </w:r>
      <w:r>
        <w:rPr>
          <w:rFonts w:hint="eastAsia"/>
          <w:snapToGrid/>
        </w:rPr>
        <w:t>包括入口管制站、本地农场、批发和零售市场</w:t>
      </w:r>
      <w:r>
        <w:rPr>
          <w:snapToGrid/>
        </w:rPr>
        <w:t>)</w:t>
      </w:r>
      <w:r>
        <w:rPr>
          <w:rFonts w:hint="eastAsia"/>
          <w:snapToGrid/>
        </w:rPr>
        <w:t>设立全面的监察系统，确保能及早发现病毒。由于本港的诊所、医院和化验室的联系网络完善，因此亦有助加强监察市民受病毒感染的情况。此外，我们制定了一系列措施，以尽量减低病毒再次爆发的机会</w:t>
      </w:r>
      <w:r>
        <w:rPr>
          <w:snapToGrid/>
        </w:rPr>
        <w:t>(</w:t>
      </w:r>
      <w:r>
        <w:rPr>
          <w:rFonts w:hint="eastAsia"/>
          <w:snapToGrid/>
        </w:rPr>
        <w:t>见附件</w:t>
      </w:r>
      <w:r>
        <w:rPr>
          <w:snapToGrid/>
        </w:rPr>
        <w:t>12A)</w:t>
      </w:r>
      <w:r>
        <w:rPr>
          <w:rFonts w:hint="eastAsia"/>
          <w:snapToGrid/>
        </w:rPr>
        <w:t>。</w:t>
      </w:r>
    </w:p>
    <w:p w:rsidR="00000000" w:rsidRDefault="00000000">
      <w:pPr>
        <w:pStyle w:val="a3"/>
        <w:jc w:val="left"/>
        <w:rPr>
          <w:rFonts w:hint="eastAsia"/>
        </w:rPr>
      </w:pPr>
      <w:r>
        <w:rPr>
          <w:rFonts w:hint="eastAsia"/>
        </w:rPr>
        <w:t>各种特别健康</w:t>
      </w:r>
      <w:r>
        <w:t>/</w:t>
      </w:r>
      <w:r>
        <w:rPr>
          <w:rFonts w:hint="eastAsia"/>
        </w:rPr>
        <w:t>医疗护理</w:t>
      </w:r>
    </w:p>
    <w:p w:rsidR="00000000" w:rsidRDefault="00000000">
      <w:pPr>
        <w:pStyle w:val="Heading4"/>
        <w:rPr>
          <w:rFonts w:hint="eastAsia"/>
        </w:rPr>
      </w:pPr>
      <w:r>
        <w:rPr>
          <w:rFonts w:hint="eastAsia"/>
        </w:rPr>
        <w:t>基层健康护理</w:t>
      </w:r>
    </w:p>
    <w:p w:rsidR="00000000" w:rsidRDefault="00000000">
      <w:pPr>
        <w:tabs>
          <w:tab w:val="left" w:pos="567"/>
          <w:tab w:val="left" w:pos="1134"/>
          <w:tab w:val="left" w:pos="1701"/>
        </w:tabs>
        <w:spacing w:after="320"/>
        <w:rPr>
          <w:rFonts w:hint="eastAsia"/>
          <w:snapToGrid/>
        </w:rPr>
      </w:pPr>
      <w:r>
        <w:rPr>
          <w:snapToGrid/>
        </w:rPr>
        <w:tab/>
      </w:r>
      <w:r>
        <w:t xml:space="preserve">610.  </w:t>
      </w:r>
      <w:r>
        <w:rPr>
          <w:rFonts w:hint="eastAsia"/>
          <w:snapToGrid/>
        </w:rPr>
        <w:t>情况大致上与首份报告第</w:t>
      </w:r>
      <w:r>
        <w:rPr>
          <w:snapToGrid/>
        </w:rPr>
        <w:t>422</w:t>
      </w:r>
      <w:r>
        <w:rPr>
          <w:rFonts w:hint="eastAsia"/>
          <w:snapToGrid/>
        </w:rPr>
        <w:t>及第</w:t>
      </w:r>
      <w:r>
        <w:rPr>
          <w:snapToGrid/>
        </w:rPr>
        <w:t>423</w:t>
      </w:r>
      <w:r>
        <w:rPr>
          <w:rFonts w:hint="eastAsia"/>
          <w:snapToGrid/>
        </w:rPr>
        <w:t>段所述的相同。</w:t>
      </w:r>
    </w:p>
    <w:p w:rsidR="00000000" w:rsidRDefault="00000000">
      <w:pPr>
        <w:pStyle w:val="Heading4"/>
        <w:rPr>
          <w:rFonts w:hint="eastAsia"/>
        </w:rPr>
      </w:pPr>
      <w:r>
        <w:rPr>
          <w:rFonts w:hint="eastAsia"/>
        </w:rPr>
        <w:t>家庭健康及为生育年龄妇女和五岁或以下儿童提供的健康护理</w:t>
      </w:r>
    </w:p>
    <w:p w:rsidR="00000000" w:rsidRDefault="00000000">
      <w:pPr>
        <w:tabs>
          <w:tab w:val="left" w:pos="567"/>
          <w:tab w:val="left" w:pos="1134"/>
          <w:tab w:val="left" w:pos="1701"/>
        </w:tabs>
        <w:spacing w:after="320"/>
        <w:rPr>
          <w:rFonts w:hint="eastAsia"/>
          <w:snapToGrid/>
        </w:rPr>
      </w:pPr>
      <w:r>
        <w:rPr>
          <w:snapToGrid/>
        </w:rPr>
        <w:tab/>
      </w:r>
      <w:r>
        <w:t xml:space="preserve">611.  </w:t>
      </w:r>
      <w:r>
        <w:rPr>
          <w:rFonts w:hint="eastAsia"/>
          <w:snapToGrid/>
        </w:rPr>
        <w:t>情况大致上与首份报告第</w:t>
      </w:r>
      <w:r>
        <w:rPr>
          <w:snapToGrid/>
        </w:rPr>
        <w:t>442</w:t>
      </w:r>
      <w:r>
        <w:rPr>
          <w:rFonts w:hint="eastAsia"/>
          <w:snapToGrid/>
        </w:rPr>
        <w:t>段所述的相同。</w:t>
      </w:r>
    </w:p>
    <w:p w:rsidR="00000000" w:rsidRDefault="00000000">
      <w:pPr>
        <w:pStyle w:val="Heading4"/>
        <w:rPr>
          <w:rFonts w:hint="eastAsia"/>
        </w:rPr>
      </w:pPr>
      <w:r>
        <w:rPr>
          <w:rFonts w:hint="eastAsia"/>
        </w:rPr>
        <w:t>扩充妇女健康服务</w:t>
      </w:r>
    </w:p>
    <w:p w:rsidR="00000000" w:rsidRDefault="00000000">
      <w:pPr>
        <w:tabs>
          <w:tab w:val="left" w:pos="567"/>
          <w:tab w:val="left" w:pos="1134"/>
          <w:tab w:val="left" w:pos="1701"/>
        </w:tabs>
        <w:spacing w:after="320"/>
        <w:rPr>
          <w:rFonts w:hint="eastAsia"/>
          <w:snapToGrid/>
        </w:rPr>
      </w:pPr>
      <w:r>
        <w:rPr>
          <w:snapToGrid/>
        </w:rPr>
        <w:tab/>
      </w:r>
      <w:r>
        <w:t xml:space="preserve">612.  </w:t>
      </w:r>
      <w:r>
        <w:rPr>
          <w:rFonts w:hint="eastAsia"/>
          <w:snapToGrid/>
        </w:rPr>
        <w:t>情况大致上与首份报告第</w:t>
      </w:r>
      <w:r>
        <w:rPr>
          <w:snapToGrid/>
        </w:rPr>
        <w:t>446</w:t>
      </w:r>
      <w:r>
        <w:rPr>
          <w:rFonts w:hint="eastAsia"/>
          <w:snapToGrid/>
        </w:rPr>
        <w:t>段所述的相同。目前共有</w:t>
      </w:r>
      <w:r>
        <w:rPr>
          <w:snapToGrid/>
        </w:rPr>
        <w:t>10</w:t>
      </w:r>
      <w:r>
        <w:rPr>
          <w:rFonts w:hint="eastAsia"/>
          <w:snapToGrid/>
        </w:rPr>
        <w:t>间母婴健康中心：自提交首份报告以来，亦增设了五间以分时段形式运作的中心。</w:t>
      </w:r>
    </w:p>
    <w:p w:rsidR="00000000" w:rsidRDefault="00000000">
      <w:pPr>
        <w:pStyle w:val="Heading4"/>
        <w:rPr>
          <w:rFonts w:hint="eastAsia"/>
        </w:rPr>
      </w:pPr>
      <w:r>
        <w:rPr>
          <w:rFonts w:hint="eastAsia"/>
        </w:rPr>
        <w:t>成人健康计划</w:t>
      </w:r>
    </w:p>
    <w:p w:rsidR="00000000" w:rsidRDefault="00000000">
      <w:pPr>
        <w:tabs>
          <w:tab w:val="left" w:pos="567"/>
          <w:tab w:val="left" w:pos="1134"/>
          <w:tab w:val="left" w:pos="1701"/>
        </w:tabs>
        <w:spacing w:after="320"/>
        <w:rPr>
          <w:rFonts w:hint="eastAsia"/>
          <w:snapToGrid/>
        </w:rPr>
      </w:pPr>
      <w:r>
        <w:rPr>
          <w:snapToGrid/>
        </w:rPr>
        <w:tab/>
      </w:r>
      <w:r>
        <w:t xml:space="preserve">613.  </w:t>
      </w:r>
      <w:r>
        <w:rPr>
          <w:rFonts w:hint="eastAsia"/>
          <w:snapToGrid/>
        </w:rPr>
        <w:t>我们在二零零二至零三学年推行这项计划，作为学生健康服务的一部分</w:t>
      </w:r>
      <w:r>
        <w:rPr>
          <w:snapToGrid/>
        </w:rPr>
        <w:t>(</w:t>
      </w:r>
      <w:r>
        <w:rPr>
          <w:rFonts w:hint="eastAsia"/>
          <w:snapToGrid/>
        </w:rPr>
        <w:t>见首份报告第</w:t>
      </w:r>
      <w:r>
        <w:rPr>
          <w:snapToGrid/>
        </w:rPr>
        <w:t>447</w:t>
      </w:r>
      <w:r>
        <w:rPr>
          <w:rFonts w:hint="eastAsia"/>
          <w:snapToGrid/>
        </w:rPr>
        <w:t>段</w:t>
      </w:r>
      <w:r>
        <w:rPr>
          <w:snapToGrid/>
        </w:rPr>
        <w:t>)</w:t>
      </w:r>
      <w:r>
        <w:rPr>
          <w:rFonts w:hint="eastAsia"/>
          <w:snapToGrid/>
        </w:rPr>
        <w:t>。这项计划旨在帮助成年人增强活力、掌握应付危机和压力所需的技巧，以及建立正面的人生观，从而从容面对成长的挑战。由医生、护士、临床心理学家、社会工作者及其他专业人士组成的跨界别工作队伍会探访多间中学，为学生、老师和家长举办讲座。</w:t>
      </w:r>
    </w:p>
    <w:p w:rsidR="00000000" w:rsidRDefault="00000000">
      <w:pPr>
        <w:pStyle w:val="Heading4"/>
        <w:rPr>
          <w:rFonts w:hint="eastAsia"/>
        </w:rPr>
      </w:pPr>
      <w:r>
        <w:rPr>
          <w:rFonts w:hint="eastAsia"/>
        </w:rPr>
        <w:t>疗养病床</w:t>
      </w:r>
    </w:p>
    <w:p w:rsidR="00000000" w:rsidRDefault="00000000">
      <w:pPr>
        <w:tabs>
          <w:tab w:val="left" w:pos="567"/>
          <w:tab w:val="left" w:pos="1134"/>
          <w:tab w:val="left" w:pos="1701"/>
        </w:tabs>
        <w:spacing w:after="320"/>
        <w:rPr>
          <w:rFonts w:hint="eastAsia"/>
          <w:snapToGrid/>
        </w:rPr>
      </w:pPr>
      <w:r>
        <w:rPr>
          <w:snapToGrid/>
        </w:rPr>
        <w:tab/>
      </w:r>
      <w:r>
        <w:t xml:space="preserve">614.  </w:t>
      </w:r>
      <w:r>
        <w:rPr>
          <w:rFonts w:hint="eastAsia"/>
          <w:snapToGrid/>
        </w:rPr>
        <w:t>一如首份报告第</w:t>
      </w:r>
      <w:r>
        <w:rPr>
          <w:snapToGrid/>
        </w:rPr>
        <w:t>448</w:t>
      </w:r>
      <w:r>
        <w:rPr>
          <w:rFonts w:hint="eastAsia"/>
          <w:snapToGrid/>
        </w:rPr>
        <w:t>段所预计，在二零零二至零三年度，医院管理局</w:t>
      </w:r>
      <w:r>
        <w:rPr>
          <w:snapToGrid/>
        </w:rPr>
        <w:t>(</w:t>
      </w:r>
      <w:r>
        <w:rPr>
          <w:rFonts w:hint="eastAsia"/>
          <w:snapToGrid/>
        </w:rPr>
        <w:t>医管局</w:t>
      </w:r>
      <w:r>
        <w:rPr>
          <w:snapToGrid/>
        </w:rPr>
        <w:t>)</w:t>
      </w:r>
      <w:r>
        <w:rPr>
          <w:rFonts w:hint="eastAsia"/>
          <w:snapToGrid/>
        </w:rPr>
        <w:t>的疗养病床增至</w:t>
      </w:r>
      <w:r>
        <w:rPr>
          <w:snapToGrid/>
        </w:rPr>
        <w:t>3,051</w:t>
      </w:r>
      <w:r>
        <w:rPr>
          <w:rFonts w:hint="eastAsia"/>
          <w:snapToGrid/>
        </w:rPr>
        <w:t>张。</w:t>
      </w:r>
    </w:p>
    <w:p w:rsidR="00000000" w:rsidRDefault="00000000">
      <w:pPr>
        <w:pStyle w:val="Heading4"/>
        <w:spacing w:before="300"/>
        <w:rPr>
          <w:rFonts w:hint="eastAsia"/>
        </w:rPr>
      </w:pPr>
      <w:r>
        <w:rPr>
          <w:rFonts w:hint="eastAsia"/>
        </w:rPr>
        <w:t>牙齿保健服务</w:t>
      </w:r>
    </w:p>
    <w:p w:rsidR="00000000" w:rsidRDefault="00000000">
      <w:pPr>
        <w:rPr>
          <w:rFonts w:hint="eastAsia"/>
        </w:rPr>
      </w:pPr>
      <w:r>
        <w:tab/>
        <w:t xml:space="preserve">615.  </w:t>
      </w:r>
      <w:r>
        <w:rPr>
          <w:rFonts w:hint="eastAsia"/>
        </w:rPr>
        <w:t>情况与首份报告第</w:t>
      </w:r>
      <w:r>
        <w:t>449</w:t>
      </w:r>
      <w:r>
        <w:rPr>
          <w:rFonts w:hint="eastAsia"/>
        </w:rPr>
        <w:t>及第</w:t>
      </w:r>
      <w:r>
        <w:t>450</w:t>
      </w:r>
      <w:r>
        <w:rPr>
          <w:rFonts w:hint="eastAsia"/>
        </w:rPr>
        <w:t>段所述的相同。在二零零一至零二年度，参加学童牙科保健计划的儿童达</w:t>
      </w:r>
      <w:r>
        <w:t>438,659</w:t>
      </w:r>
      <w:r>
        <w:rPr>
          <w:rFonts w:hint="eastAsia"/>
        </w:rPr>
        <w:t>人，约占全港小学生的</w:t>
      </w:r>
      <w:r>
        <w:t>88.3%</w:t>
      </w:r>
      <w:r>
        <w:rPr>
          <w:rFonts w:hint="eastAsia"/>
        </w:rPr>
        <w:t>。在二零零一年，卫生署发表一份全港口腔健康调查报告，并计划未来每十年实施这项重要措施，以监察香港市民的口腔健康情况，以及他们对口腔卫生的关注。此外，亦会提供有用资料，供筹划和评估之用。</w:t>
      </w:r>
    </w:p>
    <w:p w:rsidR="00000000" w:rsidRDefault="00000000">
      <w:pPr>
        <w:pStyle w:val="Heading4"/>
        <w:spacing w:before="300"/>
        <w:rPr>
          <w:rFonts w:hint="eastAsia"/>
        </w:rPr>
      </w:pPr>
      <w:r>
        <w:rPr>
          <w:rFonts w:hint="eastAsia"/>
        </w:rPr>
        <w:t>健康教育</w:t>
      </w:r>
    </w:p>
    <w:p w:rsidR="00000000" w:rsidRDefault="00000000">
      <w:pPr>
        <w:rPr>
          <w:rFonts w:hint="eastAsia"/>
        </w:rPr>
      </w:pPr>
      <w:r>
        <w:tab/>
        <w:t xml:space="preserve">616.  </w:t>
      </w:r>
      <w:r>
        <w:rPr>
          <w:rFonts w:hint="eastAsia"/>
        </w:rPr>
        <w:t>我们已在首份报告第</w:t>
      </w:r>
      <w:r>
        <w:t>451</w:t>
      </w:r>
      <w:r>
        <w:rPr>
          <w:rFonts w:hint="eastAsia"/>
        </w:rPr>
        <w:t>段阐述中央健康教育组的角色。该组现成立了一个跨界别小组，确保以一个更全面和更有效的方式推广健康教育。优先推广的健康教育项目包括营养、体能、预防受伤、精神健康及控烟等。</w:t>
      </w:r>
    </w:p>
    <w:p w:rsidR="00000000" w:rsidRDefault="00000000">
      <w:pPr>
        <w:pStyle w:val="Heading4"/>
        <w:spacing w:before="300"/>
        <w:rPr>
          <w:rFonts w:hint="eastAsia"/>
        </w:rPr>
      </w:pPr>
      <w:r>
        <w:rPr>
          <w:rFonts w:hint="eastAsia"/>
        </w:rPr>
        <w:t>精神健康</w:t>
      </w:r>
    </w:p>
    <w:p w:rsidR="00000000" w:rsidRDefault="00000000">
      <w:pPr>
        <w:rPr>
          <w:rFonts w:hint="eastAsia"/>
        </w:rPr>
      </w:pPr>
      <w:r>
        <w:tab/>
        <w:t xml:space="preserve">617.  </w:t>
      </w:r>
      <w:r>
        <w:rPr>
          <w:rFonts w:hint="eastAsia"/>
        </w:rPr>
        <w:t>平等机会委员会指出香港的精神健康护理服务并不完整，以及不大切合精神病患者的需要。委员会建议成立一个独立的精神健康局以作改善。我们现时的做法如下：</w:t>
      </w:r>
    </w:p>
    <w:p w:rsidR="00000000" w:rsidRDefault="00000000">
      <w:pPr>
        <w:numPr>
          <w:ilvl w:val="0"/>
          <w:numId w:val="168"/>
        </w:numPr>
        <w:rPr>
          <w:rFonts w:hint="eastAsia"/>
        </w:rPr>
      </w:pPr>
      <w:r>
        <w:rPr>
          <w:rFonts w:hint="eastAsia"/>
        </w:rPr>
        <w:t>卫生署负责有关健康问题的公众教育，包括精神健康；</w:t>
      </w:r>
    </w:p>
    <w:p w:rsidR="00000000" w:rsidRDefault="00000000">
      <w:pPr>
        <w:numPr>
          <w:ilvl w:val="0"/>
          <w:numId w:val="168"/>
        </w:numPr>
        <w:rPr>
          <w:rFonts w:hint="eastAsia"/>
        </w:rPr>
      </w:pPr>
      <w:r>
        <w:rPr>
          <w:rFonts w:hint="eastAsia"/>
        </w:rPr>
        <w:t>医管局负责检验、诊断和治疗精神病患者；和</w:t>
      </w:r>
    </w:p>
    <w:p w:rsidR="00000000" w:rsidRDefault="00000000">
      <w:pPr>
        <w:numPr>
          <w:ilvl w:val="0"/>
          <w:numId w:val="168"/>
        </w:numPr>
        <w:rPr>
          <w:rFonts w:hint="eastAsia"/>
        </w:rPr>
      </w:pPr>
      <w:r>
        <w:rPr>
          <w:rFonts w:hint="eastAsia"/>
        </w:rPr>
        <w:t>卫生福利及食物局负责统筹有关精神健康的政策及计划。</w:t>
      </w:r>
    </w:p>
    <w:p w:rsidR="00000000" w:rsidRDefault="00000000">
      <w:pPr>
        <w:rPr>
          <w:rFonts w:hint="eastAsia"/>
        </w:rPr>
      </w:pPr>
      <w:r>
        <w:rPr>
          <w:rFonts w:hint="eastAsia"/>
        </w:rPr>
        <w:t>这些职责分工在制定政策、推行计划和公共教育方面行之有效。我们因此认为目前无需成立精神健康局。</w:t>
      </w:r>
    </w:p>
    <w:p w:rsidR="00000000" w:rsidRDefault="00000000">
      <w:pPr>
        <w:pStyle w:val="Heading4"/>
        <w:spacing w:before="300"/>
        <w:rPr>
          <w:rFonts w:hint="eastAsia"/>
        </w:rPr>
      </w:pPr>
      <w:r>
        <w:rPr>
          <w:rFonts w:hint="eastAsia"/>
        </w:rPr>
        <w:t>女性精神病患者较多</w:t>
      </w:r>
    </w:p>
    <w:p w:rsidR="00000000" w:rsidRDefault="00000000">
      <w:pPr>
        <w:rPr>
          <w:rFonts w:hint="eastAsia"/>
        </w:rPr>
      </w:pPr>
      <w:r>
        <w:tab/>
        <w:t xml:space="preserve">618.  </w:t>
      </w:r>
      <w:r>
        <w:rPr>
          <w:rFonts w:hint="eastAsia"/>
        </w:rPr>
        <w:t>平等机会委员会注意到，在精神病患者中，女性比男性多。事实上，男女病患者人数的比例并不平衡；在二零零二年年底，女性与男性病患者比例约为</w:t>
      </w:r>
      <w:r>
        <w:t>55</w:t>
      </w:r>
      <w:r>
        <w:rPr>
          <w:rFonts w:hint="eastAsia"/>
        </w:rPr>
        <w:t>比</w:t>
      </w:r>
      <w:r>
        <w:t xml:space="preserve">45 </w:t>
      </w:r>
      <w:r>
        <w:rPr>
          <w:rStyle w:val="FootnoteReference"/>
        </w:rPr>
        <w:footnoteReference w:customMarkFollows="1" w:id="51"/>
        <w:t>38</w:t>
      </w:r>
      <w:r>
        <w:t xml:space="preserve"> </w:t>
      </w:r>
      <w:r>
        <w:rPr>
          <w:rFonts w:hint="eastAsia"/>
        </w:rPr>
        <w:t>。在某程度上，这与世界卫生组织二零零一年所发表的报告相若。报告留意到女性有可能受抑郁和焦虑</w:t>
      </w:r>
      <w:r>
        <w:rPr>
          <w:rStyle w:val="FootnoteReference"/>
        </w:rPr>
        <w:footnoteReference w:customMarkFollows="1" w:id="52"/>
        <w:t>39</w:t>
      </w:r>
      <w:r>
        <w:t xml:space="preserve"> </w:t>
      </w:r>
      <w:r>
        <w:rPr>
          <w:rFonts w:hint="eastAsia"/>
        </w:rPr>
        <w:t>所困扰的机会比之男性高出差不多两倍。委员会在解释时表示，“传统女性的角色令她们承受更大的压力，且较难有能力改变她们困苦的环境”。委员会亦提出“家庭和性暴力的事件中，发生于女姓身上的比率比较高”。但另一个原因是产后抑郁症，这是香港一个主要的精神健康问题，在华裔产妇中，约超过一成在产后患上此病。此外，约有半数怀孕妇女及</w:t>
      </w:r>
      <w:r>
        <w:t>95%</w:t>
      </w:r>
      <w:r>
        <w:rPr>
          <w:rFonts w:hint="eastAsia"/>
        </w:rPr>
        <w:t>新生婴儿到卫生署的母婴健康院求诊。母婴健康院提供一个理想的环境，进行以下工作：</w:t>
      </w:r>
    </w:p>
    <w:p w:rsidR="00000000" w:rsidRDefault="00000000">
      <w:pPr>
        <w:numPr>
          <w:ilvl w:val="0"/>
          <w:numId w:val="169"/>
        </w:numPr>
        <w:rPr>
          <w:rFonts w:hint="eastAsia"/>
        </w:rPr>
      </w:pPr>
      <w:r>
        <w:rPr>
          <w:rFonts w:hint="eastAsia"/>
        </w:rPr>
        <w:t>提高市民对精神健康状况的了解和对治疗方法的认识；</w:t>
      </w:r>
    </w:p>
    <w:p w:rsidR="00000000" w:rsidRDefault="00000000">
      <w:pPr>
        <w:numPr>
          <w:ilvl w:val="0"/>
          <w:numId w:val="169"/>
        </w:numPr>
        <w:rPr>
          <w:rFonts w:hint="eastAsia"/>
        </w:rPr>
      </w:pPr>
      <w:r>
        <w:rPr>
          <w:rFonts w:hint="eastAsia"/>
        </w:rPr>
        <w:t>尽快找出影响健康因素，并及早确认病情；和</w:t>
      </w:r>
    </w:p>
    <w:p w:rsidR="00000000" w:rsidRDefault="00000000">
      <w:pPr>
        <w:numPr>
          <w:ilvl w:val="0"/>
          <w:numId w:val="169"/>
        </w:numPr>
        <w:rPr>
          <w:rFonts w:hint="eastAsia"/>
        </w:rPr>
      </w:pPr>
      <w:r>
        <w:rPr>
          <w:rFonts w:hint="eastAsia"/>
        </w:rPr>
        <w:t>增加前线医护人员，支援有需要的应诊者。</w:t>
      </w:r>
    </w:p>
    <w:p w:rsidR="00000000" w:rsidRDefault="00000000">
      <w:pPr>
        <w:rPr>
          <w:rFonts w:hint="eastAsia"/>
        </w:rPr>
      </w:pPr>
      <w:r>
        <w:rPr>
          <w:rFonts w:hint="eastAsia"/>
        </w:rPr>
        <w:t>母婴健康院的角色及职能已于香港根据《儿童权利公约》提交的第一次报告第</w:t>
      </w:r>
      <w:r>
        <w:t>VI A</w:t>
      </w:r>
      <w:r>
        <w:rPr>
          <w:rFonts w:hint="eastAsia"/>
          <w:spacing w:val="0"/>
        </w:rPr>
        <w:t>部</w:t>
      </w:r>
      <w:r>
        <w:rPr>
          <w:rStyle w:val="FootnoteReference"/>
        </w:rPr>
        <w:footnoteReference w:customMarkFollows="1" w:id="53"/>
        <w:t>40</w:t>
      </w:r>
      <w:r>
        <w:rPr>
          <w:rFonts w:hint="eastAsia"/>
        </w:rPr>
        <w:t>中论述。当中特别提到应留意应诊者的过往病历</w:t>
      </w:r>
      <w:r>
        <w:t>(</w:t>
      </w:r>
      <w:r>
        <w:rPr>
          <w:rFonts w:hint="eastAsia"/>
        </w:rPr>
        <w:t>如有的话</w:t>
      </w:r>
      <w:r>
        <w:t>)</w:t>
      </w:r>
      <w:r>
        <w:rPr>
          <w:rFonts w:hint="eastAsia"/>
        </w:rPr>
        <w:t>、婚姻关系，以及是否获得社会支援，并在适当时把应诊者转介专科医生和社工。</w:t>
      </w:r>
    </w:p>
    <w:p w:rsidR="00000000" w:rsidRDefault="00000000">
      <w:pPr>
        <w:pStyle w:val="Heading4"/>
        <w:spacing w:before="300"/>
        <w:rPr>
          <w:rFonts w:hint="eastAsia"/>
        </w:rPr>
      </w:pPr>
      <w:r>
        <w:rPr>
          <w:rFonts w:hint="eastAsia"/>
        </w:rPr>
        <w:t>提供医院服务</w:t>
      </w:r>
    </w:p>
    <w:p w:rsidR="00000000" w:rsidRDefault="00000000">
      <w:r>
        <w:tab/>
        <w:t xml:space="preserve">619.  </w:t>
      </w:r>
      <w:r>
        <w:rPr>
          <w:rFonts w:hint="eastAsia"/>
        </w:rPr>
        <w:t>情况大致上与首份报告第</w:t>
      </w:r>
      <w:r>
        <w:t>452</w:t>
      </w:r>
      <w:r>
        <w:rPr>
          <w:rFonts w:hint="eastAsia"/>
        </w:rPr>
        <w:t>及</w:t>
      </w:r>
      <w:r>
        <w:t>453</w:t>
      </w:r>
      <w:r>
        <w:rPr>
          <w:rFonts w:hint="eastAsia"/>
        </w:rPr>
        <w:t>段所述的相同；医管局仍负责提供公立医院服务。医管局现时管理共</w:t>
      </w:r>
      <w:r>
        <w:t>43</w:t>
      </w:r>
      <w:r>
        <w:rPr>
          <w:rFonts w:hint="eastAsia"/>
        </w:rPr>
        <w:t>间公立医院及机构，以及</w:t>
      </w:r>
      <w:r>
        <w:t>46</w:t>
      </w:r>
      <w:r>
        <w:rPr>
          <w:rFonts w:hint="eastAsia"/>
        </w:rPr>
        <w:t>间专科门诊诊所，为市民提供住院、非住院护理及社会服务。在二零零二年三月底</w:t>
      </w:r>
      <w:r>
        <w:rPr>
          <w:rStyle w:val="FootnoteReference"/>
        </w:rPr>
        <w:footnoteReference w:customMarkFollows="1" w:id="54"/>
        <w:t>41</w:t>
      </w:r>
      <w:r>
        <w:t xml:space="preserve"> </w:t>
      </w:r>
      <w:r>
        <w:rPr>
          <w:rFonts w:hint="eastAsia"/>
        </w:rPr>
        <w:t>医管局雇用了</w:t>
      </w:r>
      <w:r>
        <w:t>4,105</w:t>
      </w:r>
      <w:r>
        <w:rPr>
          <w:rFonts w:hint="eastAsia"/>
        </w:rPr>
        <w:t>名医务人员，以及提供</w:t>
      </w:r>
      <w:r>
        <w:t>29,022</w:t>
      </w:r>
      <w:r>
        <w:rPr>
          <w:rFonts w:hint="eastAsia"/>
        </w:rPr>
        <w:t>张病床。</w:t>
      </w:r>
    </w:p>
    <w:p w:rsidR="00000000" w:rsidRDefault="00000000">
      <w:pPr>
        <w:rPr>
          <w:rFonts w:hint="eastAsia"/>
        </w:rPr>
      </w:pPr>
      <w:r>
        <w:tab/>
        <w:t xml:space="preserve">620.  </w:t>
      </w:r>
      <w:r>
        <w:rPr>
          <w:rFonts w:hint="eastAsia"/>
        </w:rPr>
        <w:t>在首份报告第</w:t>
      </w:r>
      <w:r>
        <w:t>453</w:t>
      </w:r>
      <w:r>
        <w:rPr>
          <w:rFonts w:hint="eastAsia"/>
        </w:rPr>
        <w:t>段，我们载述了全港的公立医院划分为八个联网。为使资源的运用更具效益，医管局现把辖下医院及院舍划分为七个联网。医管局预期可在未来两年把联网数目减至五个，以期进一步提高效益。</w:t>
      </w:r>
    </w:p>
    <w:p w:rsidR="00000000" w:rsidRDefault="00000000">
      <w:pPr>
        <w:pStyle w:val="Heading4"/>
        <w:spacing w:before="300"/>
        <w:rPr>
          <w:rFonts w:hint="eastAsia"/>
        </w:rPr>
      </w:pPr>
      <w:r>
        <w:rPr>
          <w:rFonts w:hint="eastAsia"/>
        </w:rPr>
        <w:t>病床供求</w:t>
      </w:r>
    </w:p>
    <w:p w:rsidR="00000000" w:rsidRDefault="00000000">
      <w:pPr>
        <w:rPr>
          <w:rFonts w:hint="eastAsia"/>
        </w:rPr>
      </w:pPr>
      <w:r>
        <w:tab/>
        <w:t xml:space="preserve">621.  </w:t>
      </w:r>
      <w:r>
        <w:rPr>
          <w:rFonts w:hint="eastAsia"/>
        </w:rPr>
        <w:t>在首份报告第</w:t>
      </w:r>
      <w:r>
        <w:t>454</w:t>
      </w:r>
      <w:r>
        <w:rPr>
          <w:rFonts w:hint="eastAsia"/>
        </w:rPr>
        <w:t>段，我们提及市民对公立医院服务的需求持续增加，而这个趋势亦会延续。病人出院人次和病逝人数由一九九七年至九八年度的</w:t>
      </w:r>
      <w:r>
        <w:t>97</w:t>
      </w:r>
      <w:r>
        <w:rPr>
          <w:rFonts w:hint="eastAsia"/>
        </w:rPr>
        <w:t>万人</w:t>
      </w:r>
      <w:r>
        <w:t>(</w:t>
      </w:r>
      <w:r>
        <w:rPr>
          <w:rFonts w:hint="eastAsia"/>
        </w:rPr>
        <w:t>次</w:t>
      </w:r>
      <w:r>
        <w:t>)</w:t>
      </w:r>
      <w:r>
        <w:rPr>
          <w:rFonts w:hint="eastAsia"/>
        </w:rPr>
        <w:t>增至二零零一至零二年度的</w:t>
      </w:r>
      <w:r>
        <w:t>1,208,000</w:t>
      </w:r>
      <w:r>
        <w:rPr>
          <w:rFonts w:hint="eastAsia"/>
        </w:rPr>
        <w:t>人</w:t>
      </w:r>
      <w:r>
        <w:t>(</w:t>
      </w:r>
      <w:r>
        <w:rPr>
          <w:rFonts w:hint="eastAsia"/>
        </w:rPr>
        <w:t>次</w:t>
      </w:r>
      <w:r>
        <w:t>)</w:t>
      </w:r>
      <w:r>
        <w:rPr>
          <w:rFonts w:hint="eastAsia"/>
        </w:rPr>
        <w:t>，增幅约为</w:t>
      </w:r>
      <w:r>
        <w:t>25%</w:t>
      </w:r>
      <w:r>
        <w:rPr>
          <w:rFonts w:hint="eastAsia"/>
        </w:rPr>
        <w:t>。截至二零零二年三月三十一日为止，医管局共提供</w:t>
      </w:r>
      <w:r>
        <w:t>29,022</w:t>
      </w:r>
      <w:r>
        <w:rPr>
          <w:rFonts w:hint="eastAsia"/>
        </w:rPr>
        <w:t>张病床，即每千人有</w:t>
      </w:r>
      <w:r>
        <w:t>4.2</w:t>
      </w:r>
      <w:r>
        <w:rPr>
          <w:rFonts w:hint="eastAsia"/>
        </w:rPr>
        <w:t>张病床。根据医管局所订的目标，到了二零零三年三月三十一日，病床数目将增至</w:t>
      </w:r>
      <w:r>
        <w:t>29,288</w:t>
      </w:r>
      <w:r>
        <w:rPr>
          <w:rFonts w:hint="eastAsia"/>
        </w:rPr>
        <w:t>张，这样才可维持在</w:t>
      </w:r>
      <w:r>
        <w:t>4.2</w:t>
      </w:r>
      <w:r>
        <w:rPr>
          <w:rFonts w:hint="eastAsia"/>
        </w:rPr>
        <w:t>张的水平，以应付持续增加的人口。</w:t>
      </w:r>
    </w:p>
    <w:p w:rsidR="00000000" w:rsidRDefault="00000000">
      <w:pPr>
        <w:rPr>
          <w:rFonts w:hint="eastAsia"/>
        </w:rPr>
      </w:pPr>
      <w:r>
        <w:tab/>
        <w:t xml:space="preserve">622.  </w:t>
      </w:r>
      <w:r>
        <w:rPr>
          <w:rFonts w:hint="eastAsia"/>
        </w:rPr>
        <w:t>为配合世界各国从住院护理服务转向非住院护理服务发展，医管局一直就未来的医院病床及非住院护理服务的需求进行检讨。我们在检讨中就最新的人口推算、服务需要及提供服务模式的变化加以考虑。</w:t>
      </w:r>
    </w:p>
    <w:p w:rsidR="00000000" w:rsidRDefault="00000000">
      <w:pPr>
        <w:pStyle w:val="Heading4"/>
        <w:spacing w:before="300"/>
        <w:rPr>
          <w:rFonts w:hint="eastAsia"/>
        </w:rPr>
      </w:pPr>
      <w:r>
        <w:rPr>
          <w:rFonts w:hint="eastAsia"/>
        </w:rPr>
        <w:t>医院人手需求</w:t>
      </w:r>
    </w:p>
    <w:p w:rsidR="00000000" w:rsidRDefault="00000000">
      <w:pPr>
        <w:rPr>
          <w:rFonts w:hint="eastAsia"/>
        </w:rPr>
      </w:pPr>
      <w:r>
        <w:tab/>
        <w:t xml:space="preserve">623.  </w:t>
      </w:r>
      <w:r>
        <w:rPr>
          <w:rFonts w:hint="eastAsia"/>
        </w:rPr>
        <w:t>自发表首份报告以来，医管局继续招聘人手，以应付持续增加的需要。在二零零二至零三年度，医管局计划招聘</w:t>
      </w:r>
      <w:r>
        <w:t>270</w:t>
      </w:r>
      <w:r>
        <w:rPr>
          <w:rFonts w:hint="eastAsia"/>
        </w:rPr>
        <w:t>名医生、</w:t>
      </w:r>
      <w:r>
        <w:t>270</w:t>
      </w:r>
      <w:r>
        <w:rPr>
          <w:rFonts w:hint="eastAsia"/>
        </w:rPr>
        <w:t>名护士、</w:t>
      </w:r>
      <w:r>
        <w:t>69</w:t>
      </w:r>
      <w:r>
        <w:rPr>
          <w:rFonts w:hint="eastAsia"/>
        </w:rPr>
        <w:t>名专职医疗人员及</w:t>
      </w:r>
      <w:r>
        <w:t>107</w:t>
      </w:r>
      <w:r>
        <w:rPr>
          <w:rFonts w:hint="eastAsia"/>
        </w:rPr>
        <w:t>名专职医疗学科</w:t>
      </w:r>
      <w:r>
        <w:rPr>
          <w:rStyle w:val="FootnoteReference"/>
        </w:rPr>
        <w:footnoteReference w:customMarkFollows="1" w:id="55"/>
        <w:t>42</w:t>
      </w:r>
      <w:r>
        <w:t xml:space="preserve"> </w:t>
      </w:r>
      <w:r>
        <w:rPr>
          <w:rFonts w:hint="eastAsia"/>
        </w:rPr>
        <w:t>准毕业生。</w:t>
      </w:r>
    </w:p>
    <w:p w:rsidR="00000000" w:rsidRDefault="00000000">
      <w:pPr>
        <w:pStyle w:val="Heading4"/>
        <w:spacing w:before="300"/>
        <w:rPr>
          <w:rFonts w:hint="eastAsia"/>
        </w:rPr>
      </w:pPr>
      <w:r>
        <w:rPr>
          <w:rFonts w:hint="eastAsia"/>
        </w:rPr>
        <w:t>医院病人死亡及受伤事故</w:t>
      </w:r>
    </w:p>
    <w:p w:rsidR="00000000" w:rsidRDefault="00000000">
      <w:pPr>
        <w:rPr>
          <w:rFonts w:hint="eastAsia"/>
        </w:rPr>
      </w:pPr>
      <w:r>
        <w:tab/>
        <w:t xml:space="preserve">624.  </w:t>
      </w:r>
      <w:r>
        <w:rPr>
          <w:rFonts w:hint="eastAsia"/>
        </w:rPr>
        <w:t>在首份报告第</w:t>
      </w:r>
      <w:r>
        <w:t>460</w:t>
      </w:r>
      <w:r>
        <w:rPr>
          <w:rFonts w:hint="eastAsia"/>
        </w:rPr>
        <w:t>至</w:t>
      </w:r>
      <w:r>
        <w:t>464</w:t>
      </w:r>
      <w:r>
        <w:rPr>
          <w:rFonts w:hint="eastAsia"/>
        </w:rPr>
        <w:t>段，我们向委员会报告在检讨期间发生的一连串不幸事故。其后，医管局设立了多套机制，协调所有公立医院的风险管理，包括及早察觉和纾缓重大医疗风险。这些措施旨在减少发生医疗意外事故。</w:t>
      </w:r>
    </w:p>
    <w:p w:rsidR="00000000" w:rsidRDefault="00000000">
      <w:pPr>
        <w:pStyle w:val="Heading4"/>
        <w:spacing w:before="300"/>
        <w:rPr>
          <w:rFonts w:hint="eastAsia"/>
        </w:rPr>
      </w:pPr>
      <w:r>
        <w:rPr>
          <w:rFonts w:hint="eastAsia"/>
        </w:rPr>
        <w:t>中</w:t>
      </w:r>
      <w:r>
        <w:rPr>
          <w:rFonts w:hint="eastAsia"/>
        </w:rPr>
        <w:t xml:space="preserve"> </w:t>
      </w:r>
      <w:r>
        <w:rPr>
          <w:rFonts w:hint="eastAsia"/>
        </w:rPr>
        <w:t>医</w:t>
      </w:r>
      <w:r>
        <w:rPr>
          <w:rFonts w:hint="eastAsia"/>
        </w:rPr>
        <w:t xml:space="preserve"> </w:t>
      </w:r>
      <w:r>
        <w:rPr>
          <w:rFonts w:hint="eastAsia"/>
        </w:rPr>
        <w:t>药</w:t>
      </w:r>
    </w:p>
    <w:p w:rsidR="00000000" w:rsidRDefault="00000000">
      <w:pPr>
        <w:rPr>
          <w:rFonts w:hint="eastAsia"/>
        </w:rPr>
      </w:pPr>
      <w:r>
        <w:tab/>
        <w:t xml:space="preserve">625.  </w:t>
      </w:r>
      <w:r>
        <w:rPr>
          <w:rFonts w:hint="eastAsia"/>
        </w:rPr>
        <w:t>一如首份报告第</w:t>
      </w:r>
      <w:r>
        <w:t>465</w:t>
      </w:r>
      <w:r>
        <w:rPr>
          <w:rFonts w:hint="eastAsia"/>
        </w:rPr>
        <w:t>段所预告，我们成立了一个法定架构，以规管中医药的执业、使用、买卖和制造。《中医药条例》</w:t>
      </w:r>
      <w:r>
        <w:t>(</w:t>
      </w:r>
      <w:r>
        <w:rPr>
          <w:rFonts w:hint="eastAsia"/>
        </w:rPr>
        <w:t>第</w:t>
      </w:r>
      <w:r>
        <w:t>549</w:t>
      </w:r>
      <w:r>
        <w:rPr>
          <w:rFonts w:hint="eastAsia"/>
        </w:rPr>
        <w:t>章</w:t>
      </w:r>
      <w:r>
        <w:t>)</w:t>
      </w:r>
      <w:r>
        <w:rPr>
          <w:rFonts w:hint="eastAsia"/>
        </w:rPr>
        <w:t>于一九九九年七月制定。我们在一九九九年九月根据《中医药条例》成立一个名为香港中医药管理委员会</w:t>
      </w:r>
      <w:r>
        <w:t>(</w:t>
      </w:r>
      <w:r>
        <w:rPr>
          <w:rFonts w:hint="eastAsia"/>
        </w:rPr>
        <w:t>管委会</w:t>
      </w:r>
      <w:r>
        <w:t>)</w:t>
      </w:r>
      <w:r>
        <w:rPr>
          <w:rFonts w:hint="eastAsia"/>
        </w:rPr>
        <w:t>的法定组织，负责制定和实施具体的规管措施。</w:t>
      </w:r>
    </w:p>
    <w:p w:rsidR="00000000" w:rsidRDefault="00000000">
      <w:pPr>
        <w:rPr>
          <w:rFonts w:hint="eastAsia"/>
        </w:rPr>
      </w:pPr>
      <w:r>
        <w:tab/>
        <w:t xml:space="preserve">626.  </w:t>
      </w:r>
      <w:r>
        <w:rPr>
          <w:rFonts w:hint="eastAsia"/>
        </w:rPr>
        <w:t>长远来说，所有在香港作中医执业的人士都必须已经注册。任何人士如要成为注册中医，都必须取得中医执业的认可学位，并须通过执业资格试。中医亦须遵行管委会制定的执业守则，以及符合《中医药条例》</w:t>
      </w:r>
      <w:r>
        <w:t>(</w:t>
      </w:r>
      <w:r>
        <w:rPr>
          <w:rFonts w:hint="eastAsia"/>
        </w:rPr>
        <w:t>第</w:t>
      </w:r>
      <w:r>
        <w:t>549</w:t>
      </w:r>
      <w:r>
        <w:rPr>
          <w:rFonts w:hint="eastAsia"/>
        </w:rPr>
        <w:t>章</w:t>
      </w:r>
      <w:r>
        <w:t>)</w:t>
      </w:r>
      <w:r>
        <w:rPr>
          <w:rFonts w:hint="eastAsia"/>
        </w:rPr>
        <w:t>第</w:t>
      </w:r>
      <w:r>
        <w:t>82</w:t>
      </w:r>
      <w:r>
        <w:rPr>
          <w:rFonts w:hint="eastAsia"/>
        </w:rPr>
        <w:t>条订明持续进修，以更新其执业证明书的规定。</w:t>
      </w:r>
    </w:p>
    <w:p w:rsidR="00000000" w:rsidRDefault="00000000">
      <w:pPr>
        <w:rPr>
          <w:rFonts w:hint="eastAsia"/>
        </w:rPr>
      </w:pPr>
      <w:r>
        <w:tab/>
        <w:t xml:space="preserve">627.  </w:t>
      </w:r>
      <w:r>
        <w:rPr>
          <w:rFonts w:hint="eastAsia"/>
        </w:rPr>
        <w:t>《中医药条例》</w:t>
      </w:r>
      <w:r>
        <w:t>(</w:t>
      </w:r>
      <w:r>
        <w:rPr>
          <w:rFonts w:hint="eastAsia"/>
        </w:rPr>
        <w:t>第</w:t>
      </w:r>
      <w:r>
        <w:t>549</w:t>
      </w:r>
      <w:r>
        <w:rPr>
          <w:rFonts w:hint="eastAsia"/>
        </w:rPr>
        <w:t>章</w:t>
      </w:r>
      <w:r>
        <w:t>)</w:t>
      </w:r>
      <w:r>
        <w:rPr>
          <w:rFonts w:hint="eastAsia"/>
        </w:rPr>
        <w:t>第</w:t>
      </w:r>
      <w:r>
        <w:t>90</w:t>
      </w:r>
      <w:r>
        <w:rPr>
          <w:rFonts w:hint="eastAsia"/>
        </w:rPr>
        <w:t>至</w:t>
      </w:r>
      <w:r>
        <w:t>96</w:t>
      </w:r>
      <w:r>
        <w:rPr>
          <w:rFonts w:hint="eastAsia"/>
        </w:rPr>
        <w:t>条订明为现正执业的中医提供过渡性安排。在二零零二年八月，管委会评审了现正执业的中医是否符合直接注册资格，或他们是否需要在注册前通过注册评审或执业资格试。管委会预计共有</w:t>
      </w:r>
      <w:r>
        <w:t>2,543</w:t>
      </w:r>
      <w:r>
        <w:rPr>
          <w:rFonts w:hint="eastAsia"/>
        </w:rPr>
        <w:t>多名中医具备直接注册资格。</w:t>
      </w:r>
    </w:p>
    <w:p w:rsidR="00000000" w:rsidRDefault="00000000">
      <w:pPr>
        <w:rPr>
          <w:rFonts w:hint="eastAsia"/>
        </w:rPr>
      </w:pPr>
      <w:r>
        <w:tab/>
        <w:t xml:space="preserve">628.  </w:t>
      </w:r>
      <w:r>
        <w:rPr>
          <w:rFonts w:hint="eastAsia"/>
        </w:rPr>
        <w:t>由二零零三年起，我们将规管中成药，包括会为中成药实行注册，以及为中药经营商及中成药制造商实行发牌制度。这些规定会分期实施。与此同时，我们现正研究中药材的安全及质素标准。</w:t>
      </w:r>
    </w:p>
    <w:p w:rsidR="00000000" w:rsidRDefault="00000000">
      <w:pPr>
        <w:rPr>
          <w:rFonts w:hint="eastAsia"/>
        </w:rPr>
      </w:pPr>
      <w:r>
        <w:tab/>
        <w:t xml:space="preserve">629.  </w:t>
      </w:r>
      <w:r>
        <w:rPr>
          <w:rFonts w:hint="eastAsia"/>
        </w:rPr>
        <w:t>我们已在其他范畴取得重大进展。在一九九八年以前，大专院校并没有开设有系统的中医药学全日制训练课程，但至今已有两间大学设有全日制中医及中药学士及研究生学位课程。在二零零一年五月，政府辖下的创新科技署又成立了香港赛马会中药研究院，以制定研究和发展策略，以及统筹有关拨款事宜。我们会在政府诊所提供中医门诊服务。</w:t>
      </w:r>
    </w:p>
    <w:p w:rsidR="00000000" w:rsidRDefault="00000000">
      <w:pPr>
        <w:pStyle w:val="Heading4"/>
        <w:spacing w:before="300"/>
        <w:rPr>
          <w:rFonts w:hint="eastAsia"/>
        </w:rPr>
      </w:pPr>
      <w:r>
        <w:rPr>
          <w:rFonts w:hint="eastAsia"/>
        </w:rPr>
        <w:t>规管医疗机构</w:t>
      </w:r>
    </w:p>
    <w:p w:rsidR="00000000" w:rsidRDefault="00000000">
      <w:pPr>
        <w:rPr>
          <w:rFonts w:hint="eastAsia"/>
        </w:rPr>
      </w:pPr>
      <w:r>
        <w:tab/>
        <w:t xml:space="preserve">630.  </w:t>
      </w:r>
      <w:r>
        <w:rPr>
          <w:rFonts w:hint="eastAsia"/>
        </w:rPr>
        <w:t>一些论者建议加强规管医疗机构。虽然我们知悉这些意见，但认为目前规管和监察私人医护服务的架构应该足够。该架构包括卫生署实施的法定及行政措施</w:t>
      </w:r>
      <w:r>
        <w:rPr>
          <w:rStyle w:val="FootnoteReference"/>
        </w:rPr>
        <w:footnoteReference w:customMarkFollows="1" w:id="56"/>
        <w:t>43</w:t>
      </w:r>
      <w:r>
        <w:t xml:space="preserve"> </w:t>
      </w:r>
      <w:r>
        <w:rPr>
          <w:rFonts w:hint="eastAsia"/>
        </w:rPr>
        <w:t>。我们会定期进行检讨，以确保私营机构一直提供高水平的服务。不过，如有需要，我们亦会改善规管情况。举例来说，卫生署现正就拟于二零零三年定案的专业守则初稿，征询私立医院的意见，以便确立私立医院的良好专业守则标准。</w:t>
      </w:r>
    </w:p>
    <w:p w:rsidR="00000000" w:rsidRDefault="00000000">
      <w:pPr>
        <w:pStyle w:val="Heading4"/>
        <w:spacing w:before="300"/>
        <w:rPr>
          <w:rFonts w:hint="eastAsia"/>
        </w:rPr>
      </w:pPr>
      <w:r>
        <w:rPr>
          <w:rFonts w:hint="eastAsia"/>
        </w:rPr>
        <w:t>预防及控制爱滋病毒</w:t>
      </w:r>
      <w:r>
        <w:t>/</w:t>
      </w:r>
      <w:r>
        <w:rPr>
          <w:rFonts w:hint="eastAsia"/>
        </w:rPr>
        <w:t>爱滋病</w:t>
      </w:r>
    </w:p>
    <w:p w:rsidR="00000000" w:rsidRDefault="00000000">
      <w:pPr>
        <w:rPr>
          <w:rFonts w:hint="eastAsia"/>
        </w:rPr>
      </w:pPr>
      <w:r>
        <w:tab/>
        <w:t xml:space="preserve">631.  </w:t>
      </w:r>
      <w:r>
        <w:rPr>
          <w:rFonts w:hint="eastAsia"/>
        </w:rPr>
        <w:t>预防治疗和控制爱滋病毒</w:t>
      </w:r>
      <w:r>
        <w:t>/</w:t>
      </w:r>
      <w:r>
        <w:rPr>
          <w:rFonts w:hint="eastAsia"/>
        </w:rPr>
        <w:t>爱滋病仍是我们优先处理的工作。截至二零零二年十二月三十一日为止，卫生署接到</w:t>
      </w:r>
      <w:r>
        <w:t>2,015</w:t>
      </w:r>
      <w:r>
        <w:rPr>
          <w:rFonts w:hint="eastAsia"/>
        </w:rPr>
        <w:t>宗感染爱滋病毒个案的报告。</w:t>
      </w:r>
      <w:r>
        <w:t>(</w:t>
      </w:r>
      <w:r>
        <w:rPr>
          <w:rFonts w:hint="eastAsia"/>
        </w:rPr>
        <w:t>当中大部分经由性接触感染</w:t>
      </w:r>
      <w:r>
        <w:t>)</w:t>
      </w:r>
      <w:r>
        <w:rPr>
          <w:rFonts w:hint="eastAsia"/>
        </w:rPr>
        <w:t>，其中</w:t>
      </w:r>
      <w:r>
        <w:t>613</w:t>
      </w:r>
      <w:r>
        <w:rPr>
          <w:rFonts w:hint="eastAsia"/>
        </w:rPr>
        <w:t>宗个案的病人患上爱滋病。在二零零二年，预计共有</w:t>
      </w:r>
      <w:r>
        <w:t>2,600</w:t>
      </w:r>
      <w:r>
        <w:rPr>
          <w:rFonts w:hint="eastAsia"/>
        </w:rPr>
        <w:t>名年龄由</w:t>
      </w:r>
      <w:r>
        <w:t>15</w:t>
      </w:r>
      <w:r>
        <w:rPr>
          <w:rFonts w:hint="eastAsia"/>
        </w:rPr>
        <w:t>至</w:t>
      </w:r>
      <w:r>
        <w:t>49</w:t>
      </w:r>
      <w:r>
        <w:rPr>
          <w:rFonts w:hint="eastAsia"/>
        </w:rPr>
        <w:t>岁的人士感染爱滋病毒</w:t>
      </w:r>
      <w:r>
        <w:t>/</w:t>
      </w:r>
      <w:r>
        <w:rPr>
          <w:rFonts w:hint="eastAsia"/>
        </w:rPr>
        <w:t>患上爱滋病</w:t>
      </w:r>
      <w:r>
        <w:rPr>
          <w:rStyle w:val="FootnoteReference"/>
        </w:rPr>
        <w:footnoteReference w:customMarkFollows="1" w:id="57"/>
        <w:t>44</w:t>
      </w:r>
      <w:r>
        <w:t xml:space="preserve"> </w:t>
      </w:r>
      <w:r>
        <w:rPr>
          <w:rFonts w:hint="eastAsia"/>
        </w:rPr>
        <w:t>。</w:t>
      </w:r>
    </w:p>
    <w:p w:rsidR="00000000" w:rsidRDefault="00000000">
      <w:pPr>
        <w:pStyle w:val="Heading4"/>
        <w:spacing w:before="300"/>
        <w:rPr>
          <w:rFonts w:hint="eastAsia"/>
        </w:rPr>
      </w:pPr>
      <w:r>
        <w:rPr>
          <w:rFonts w:hint="eastAsia"/>
        </w:rPr>
        <w:t>爱滋病顾问局</w:t>
      </w:r>
    </w:p>
    <w:p w:rsidR="00000000" w:rsidRDefault="00000000">
      <w:pPr>
        <w:rPr>
          <w:rFonts w:hint="eastAsia"/>
        </w:rPr>
      </w:pPr>
      <w:r>
        <w:tab/>
        <w:t xml:space="preserve">632.  </w:t>
      </w:r>
      <w:r>
        <w:rPr>
          <w:rFonts w:hint="eastAsia"/>
        </w:rPr>
        <w:t>爱滋病顾问局的角色与首份报告第</w:t>
      </w:r>
      <w:r>
        <w:t>420</w:t>
      </w:r>
      <w:r>
        <w:rPr>
          <w:rFonts w:hint="eastAsia"/>
        </w:rPr>
        <w:t>段所述的相同。一九九八年检讨所预告实施的新策略建议，已予以修订和重新评估。最近一次的修订和评估于二零零二年进行。在二零零二年进行的检讨，制定了二零零二至零六年期间的策略性计划。</w:t>
      </w:r>
    </w:p>
    <w:p w:rsidR="00000000" w:rsidRDefault="00000000">
      <w:pPr>
        <w:pStyle w:val="Heading4"/>
        <w:spacing w:before="300"/>
        <w:rPr>
          <w:rFonts w:hint="eastAsia"/>
        </w:rPr>
      </w:pPr>
      <w:r>
        <w:rPr>
          <w:rFonts w:hint="eastAsia"/>
        </w:rPr>
        <w:t>测检和治疗</w:t>
      </w:r>
    </w:p>
    <w:p w:rsidR="00000000" w:rsidRDefault="00000000">
      <w:pPr>
        <w:rPr>
          <w:rFonts w:hint="eastAsia"/>
        </w:rPr>
      </w:pPr>
      <w:r>
        <w:tab/>
        <w:t xml:space="preserve">633.  </w:t>
      </w:r>
      <w:r>
        <w:rPr>
          <w:rFonts w:hint="eastAsia"/>
        </w:rPr>
        <w:t>一如首份报告第</w:t>
      </w:r>
      <w:r>
        <w:t>421</w:t>
      </w:r>
      <w:r>
        <w:rPr>
          <w:rFonts w:hint="eastAsia"/>
        </w:rPr>
        <w:t>段所预告，卫生署在一九九九年开设一间日间综合诊疗中心，为感染爱滋病毒人士及性病患者提供服务。在二零零二年，约有</w:t>
      </w:r>
      <w:r>
        <w:t>900</w:t>
      </w:r>
      <w:r>
        <w:rPr>
          <w:rFonts w:hint="eastAsia"/>
        </w:rPr>
        <w:t>名爱滋病毒感染者</w:t>
      </w:r>
      <w:r>
        <w:t>/</w:t>
      </w:r>
      <w:r>
        <w:rPr>
          <w:rFonts w:hint="eastAsia"/>
        </w:rPr>
        <w:t>爱滋病人接受政府提供的医护服务。</w:t>
      </w:r>
    </w:p>
    <w:p w:rsidR="00000000" w:rsidRDefault="00000000">
      <w:pPr>
        <w:pStyle w:val="Heading4"/>
        <w:spacing w:before="300"/>
        <w:rPr>
          <w:rFonts w:hint="eastAsia"/>
        </w:rPr>
      </w:pPr>
      <w:r>
        <w:rPr>
          <w:rFonts w:hint="eastAsia"/>
        </w:rPr>
        <w:t>爱滋病毒感染者</w:t>
      </w:r>
      <w:r>
        <w:t>/</w:t>
      </w:r>
      <w:r>
        <w:rPr>
          <w:rFonts w:hint="eastAsia"/>
        </w:rPr>
        <w:t>爱滋病人的权利</w:t>
      </w:r>
    </w:p>
    <w:p w:rsidR="00000000" w:rsidRDefault="00000000">
      <w:pPr>
        <w:rPr>
          <w:rFonts w:hint="eastAsia"/>
        </w:rPr>
      </w:pPr>
      <w:r>
        <w:tab/>
        <w:t xml:space="preserve">634.  </w:t>
      </w:r>
      <w:r>
        <w:rPr>
          <w:rFonts w:hint="eastAsia"/>
        </w:rPr>
        <w:t>情况大致上与首份报告第</w:t>
      </w:r>
      <w:r>
        <w:t>422</w:t>
      </w:r>
      <w:r>
        <w:rPr>
          <w:rFonts w:hint="eastAsia"/>
        </w:rPr>
        <w:t>段所述的相同。</w:t>
      </w:r>
    </w:p>
    <w:p w:rsidR="00000000" w:rsidRDefault="00000000">
      <w:pPr>
        <w:pStyle w:val="Heading4"/>
        <w:spacing w:before="300"/>
        <w:rPr>
          <w:rFonts w:hint="eastAsia"/>
        </w:rPr>
      </w:pPr>
      <w:r>
        <w:rPr>
          <w:rFonts w:hint="eastAsia"/>
        </w:rPr>
        <w:t>社会参与和教育</w:t>
      </w:r>
    </w:p>
    <w:p w:rsidR="00000000" w:rsidRDefault="00000000">
      <w:pPr>
        <w:rPr>
          <w:rFonts w:hint="eastAsia"/>
        </w:rPr>
      </w:pPr>
      <w:r>
        <w:tab/>
        <w:t xml:space="preserve">635.  </w:t>
      </w:r>
      <w:r>
        <w:rPr>
          <w:rFonts w:hint="eastAsia"/>
        </w:rPr>
        <w:t>爱滋病信托基金的角色已载述于首份报告第</w:t>
      </w:r>
      <w:r>
        <w:t>423</w:t>
      </w:r>
      <w:r>
        <w:rPr>
          <w:rFonts w:hint="eastAsia"/>
        </w:rPr>
        <w:t>段。截至二零零二年年底为止，非政府机构从基金获得的资助金总额超过</w:t>
      </w:r>
      <w:r>
        <w:t>1</w:t>
      </w:r>
      <w:r>
        <w:rPr>
          <w:rFonts w:hint="eastAsia"/>
        </w:rPr>
        <w:t>亿</w:t>
      </w:r>
      <w:r>
        <w:t>7,700</w:t>
      </w:r>
      <w:r>
        <w:rPr>
          <w:rFonts w:hint="eastAsia"/>
        </w:rPr>
        <w:t>万港元。这笔款项用以支付超过</w:t>
      </w:r>
      <w:r>
        <w:t>400</w:t>
      </w:r>
      <w:r>
        <w:rPr>
          <w:rFonts w:hint="eastAsia"/>
        </w:rPr>
        <w:t>项以青少年、商业性工作者及跨境旅客为对象的计划开支，以及发放特惠金给感染爱滋病毒的血友病患者。</w:t>
      </w:r>
    </w:p>
    <w:p w:rsidR="00000000" w:rsidRDefault="00000000">
      <w:pPr>
        <w:rPr>
          <w:rFonts w:hint="eastAsia"/>
        </w:rPr>
      </w:pPr>
      <w:r>
        <w:tab/>
        <w:t xml:space="preserve">636.  </w:t>
      </w:r>
      <w:r>
        <w:rPr>
          <w:rFonts w:hint="eastAsia"/>
        </w:rPr>
        <w:t>首份报告第</w:t>
      </w:r>
      <w:r>
        <w:t>423</w:t>
      </w:r>
      <w:r>
        <w:rPr>
          <w:rFonts w:hint="eastAsia"/>
        </w:rPr>
        <w:t>段载述了“红丝带中心”的角色。在一九九八年，该中心成为联合国爱滋病规划署合作中心</w:t>
      </w:r>
      <w:r>
        <w:t>(</w:t>
      </w:r>
      <w:r>
        <w:rPr>
          <w:rFonts w:hint="eastAsia"/>
        </w:rPr>
        <w:t>专业支援</w:t>
      </w:r>
      <w:r>
        <w:t>)</w:t>
      </w:r>
      <w:r>
        <w:rPr>
          <w:rFonts w:hint="eastAsia"/>
        </w:rPr>
        <w:t>。</w:t>
      </w:r>
    </w:p>
    <w:p w:rsidR="00000000" w:rsidRDefault="00000000">
      <w:pPr>
        <w:pStyle w:val="Heading4"/>
        <w:spacing w:before="300"/>
        <w:rPr>
          <w:rFonts w:hint="eastAsia"/>
        </w:rPr>
      </w:pPr>
      <w:r>
        <w:rPr>
          <w:rFonts w:hint="eastAsia"/>
        </w:rPr>
        <w:t>公共卫生化验中心</w:t>
      </w:r>
    </w:p>
    <w:p w:rsidR="00000000" w:rsidRDefault="00000000">
      <w:pPr>
        <w:rPr>
          <w:rFonts w:hint="eastAsia"/>
        </w:rPr>
      </w:pPr>
      <w:r>
        <w:tab/>
        <w:t xml:space="preserve">637.  </w:t>
      </w:r>
      <w:r>
        <w:rPr>
          <w:rFonts w:hint="eastAsia"/>
        </w:rPr>
        <w:t>这座特别兴建的化验大楼于二零零一年八月落成，内有先进设备和器材，并且是卫生署辖下的中央化验所，专责进行化学病理学及血液学以外所有专门范畴的检验。此外，中心亦负责联络国际卫生保障机构，例如世卫、英国公众卫生化验所以及美国疾病控制及预防中心。</w:t>
      </w:r>
    </w:p>
    <w:p w:rsidR="00000000" w:rsidRDefault="00000000">
      <w:pPr>
        <w:pStyle w:val="Heading4"/>
        <w:spacing w:before="300"/>
        <w:rPr>
          <w:rFonts w:hint="eastAsia"/>
        </w:rPr>
      </w:pPr>
      <w:r>
        <w:rPr>
          <w:rFonts w:hint="eastAsia"/>
        </w:rPr>
        <w:t>改革医护制度</w:t>
      </w:r>
    </w:p>
    <w:p w:rsidR="00000000" w:rsidRDefault="00000000">
      <w:pPr>
        <w:rPr>
          <w:rFonts w:hint="eastAsia"/>
        </w:rPr>
      </w:pPr>
      <w:r>
        <w:tab/>
        <w:t xml:space="preserve">638.  </w:t>
      </w:r>
      <w:r>
        <w:rPr>
          <w:rFonts w:hint="eastAsia"/>
        </w:rPr>
        <w:t>尽管现行医护制度已沿用多年，但仍需加以改进和发展，以应付社会不断转变的需要，特别是因人口老化和其他人口变化而带来日益增长的需求。有见及此，我们在二零零零年十二月发表了题为“你我齐参与健康伴我行”医护改革咨询文件。该文件强调我们需要一个医护服务架构，以促进健康、提供终身的全面医护服务、提高生活质素和帮助身心发展。此外，文件又特别阐述保持健康的个人责任和重要。在二零零一年七月，我们公布了咨询结果及拟议未来工作路向。</w:t>
      </w:r>
    </w:p>
    <w:p w:rsidR="00000000" w:rsidRDefault="00000000">
      <w:pPr>
        <w:rPr>
          <w:rFonts w:hint="eastAsia"/>
        </w:rPr>
      </w:pPr>
      <w:r>
        <w:tab/>
        <w:t xml:space="preserve">639.  </w:t>
      </w:r>
      <w:r>
        <w:rPr>
          <w:rFonts w:hint="eastAsia"/>
        </w:rPr>
        <w:t>改革措施侧重服务提供、质素保证及长期融资方面。获得市民大众支持的建议已落实推行或现正推展</w:t>
      </w:r>
      <w:r>
        <w:rPr>
          <w:rStyle w:val="FootnoteReference"/>
        </w:rPr>
        <w:footnoteReference w:customMarkFollows="1" w:id="58"/>
        <w:t>45</w:t>
      </w:r>
      <w:r>
        <w:t xml:space="preserve"> </w:t>
      </w:r>
      <w:r>
        <w:rPr>
          <w:rFonts w:hint="eastAsia"/>
        </w:rPr>
        <w:t>。至于那些较为复杂和具争议性的建议，则现正进行深入研究，以期在较后时间再次征询公众的意见。举例来说，这些建议包括引入一套强制性医疗储蓄户口，作为融资的补助来源。</w:t>
      </w:r>
    </w:p>
    <w:p w:rsidR="00000000" w:rsidRDefault="00000000">
      <w:pPr>
        <w:rPr>
          <w:rFonts w:hint="eastAsia"/>
        </w:rPr>
      </w:pPr>
      <w:r>
        <w:tab/>
        <w:t xml:space="preserve">640.  </w:t>
      </w:r>
      <w:r>
        <w:rPr>
          <w:rFonts w:hint="eastAsia"/>
        </w:rPr>
        <w:t>我们在咨询文件中提出多项建议，包括引入“颐康保障户口”，作为改善香港公共医护架构融资安排的长远措施。该项建议旨在推行一项强制性储蓄计划，以助个别人士在退休后可继续支付医疗费用。参加者</w:t>
      </w:r>
      <w:r>
        <w:t>(</w:t>
      </w:r>
      <w:r>
        <w:rPr>
          <w:rFonts w:hint="eastAsia"/>
        </w:rPr>
        <w:t>原则上是所有在职人士</w:t>
      </w:r>
      <w:r>
        <w:t>)</w:t>
      </w:r>
      <w:r>
        <w:rPr>
          <w:rFonts w:hint="eastAsia"/>
        </w:rPr>
        <w:t>会把入息的一小部分存入其一个个人户口作为供款，以及日后会动用储蓄的款项以支付他们及其配偶在退休后所需支付的医疗费用。部分论者指我们没有为妇女提供同样的医疗服务。为此，我们现正就有关建议进行可行性研究，并会在完成这些研究时再次征询公众的意见。如建议在咨询后按现行方式实施，我们仍不会偏离既定原则，即“任何人都不应因为缺乏经济能力而得不到适当的医疗服务”</w:t>
      </w:r>
      <w:r>
        <w:t>(</w:t>
      </w:r>
      <w:r>
        <w:rPr>
          <w:rFonts w:hint="eastAsia"/>
        </w:rPr>
        <w:t>首份报告第</w:t>
      </w:r>
      <w:r>
        <w:t>413</w:t>
      </w:r>
      <w:r>
        <w:rPr>
          <w:rFonts w:hint="eastAsia"/>
        </w:rPr>
        <w:t>段</w:t>
      </w:r>
      <w:r>
        <w:t>)</w:t>
      </w:r>
      <w:r>
        <w:rPr>
          <w:rFonts w:hint="eastAsia"/>
        </w:rPr>
        <w:t>。</w:t>
      </w:r>
    </w:p>
    <w:p w:rsidR="00000000" w:rsidRDefault="00000000">
      <w:pPr>
        <w:pStyle w:val="Heading4"/>
        <w:spacing w:before="300" w:after="0"/>
        <w:rPr>
          <w:rFonts w:eastAsia="SimHei" w:hint="eastAsia"/>
          <w:bCs/>
          <w:u w:val="none"/>
        </w:rPr>
      </w:pPr>
      <w:r>
        <w:rPr>
          <w:rFonts w:eastAsia="SimHei" w:hint="eastAsia"/>
          <w:bCs/>
          <w:u w:val="none"/>
        </w:rPr>
        <w:t>食物安全</w:t>
      </w:r>
    </w:p>
    <w:p w:rsidR="00000000" w:rsidRDefault="00000000">
      <w:pPr>
        <w:pStyle w:val="Heading4"/>
        <w:spacing w:before="300"/>
        <w:rPr>
          <w:rFonts w:hint="eastAsia"/>
        </w:rPr>
      </w:pPr>
      <w:r>
        <w:rPr>
          <w:rFonts w:hint="eastAsia"/>
        </w:rPr>
        <w:t>体制架构</w:t>
      </w:r>
    </w:p>
    <w:p w:rsidR="00000000" w:rsidRDefault="00000000">
      <w:pPr>
        <w:rPr>
          <w:rFonts w:hint="eastAsia"/>
        </w:rPr>
      </w:pPr>
      <w:r>
        <w:tab/>
        <w:t xml:space="preserve">641.  </w:t>
      </w:r>
      <w:r>
        <w:rPr>
          <w:rFonts w:hint="eastAsia"/>
        </w:rPr>
        <w:t>在二零零零年一月一日前，确保食物安全的工作由数个政府部门共同负责。随着食物安全显得日益重要，并需要提高工作效率和效能，我们在卫生福利及食物局辖下成立了食物环境卫生署，专责食物安全的各方面事宜。该署与其他部门紧密合作，处理包括预防和控制食物中毒，对食物样本进行微生物检验等问题。</w:t>
      </w:r>
    </w:p>
    <w:p w:rsidR="00000000" w:rsidRDefault="00000000">
      <w:pPr>
        <w:pStyle w:val="Heading4"/>
        <w:spacing w:before="300"/>
        <w:rPr>
          <w:rFonts w:hint="eastAsia"/>
        </w:rPr>
      </w:pPr>
      <w:r>
        <w:rPr>
          <w:rFonts w:hint="eastAsia"/>
        </w:rPr>
        <w:t>食物安全计划</w:t>
      </w:r>
    </w:p>
    <w:p w:rsidR="00000000" w:rsidRDefault="00000000">
      <w:pPr>
        <w:rPr>
          <w:rFonts w:hint="eastAsia"/>
        </w:rPr>
      </w:pPr>
      <w:r>
        <w:tab/>
        <w:t xml:space="preserve">642.  </w:t>
      </w:r>
      <w:r>
        <w:rPr>
          <w:rFonts w:hint="eastAsia"/>
        </w:rPr>
        <w:t>这些计划包括公众教育、立法和执法、入口管制、食物监察、食肆发牌、食物中毒的预防和控制等等。在制定这些计划时，食物环境卫生署采用了“食物安全重点控制”方法。这个风险分析模式</w:t>
      </w:r>
      <w:r>
        <w:rPr>
          <w:rStyle w:val="FootnoteReference"/>
        </w:rPr>
        <w:footnoteReference w:customMarkFollows="1" w:id="59"/>
        <w:t>46</w:t>
      </w:r>
      <w:r>
        <w:t xml:space="preserve"> </w:t>
      </w:r>
      <w:r>
        <w:rPr>
          <w:rFonts w:hint="eastAsia"/>
        </w:rPr>
        <w:t>获得食品法典委员会等国际机构所采用。由于这个模式可找出最高危的地方，因此能有效分配资源以确保食物安全。为此，该署密切监察已知和新发现的食物危机，如食物种类和消费模式的变更，评估风险，以及采取因应风险程度的措施等。</w:t>
      </w:r>
    </w:p>
    <w:p w:rsidR="00000000" w:rsidRDefault="00000000">
      <w:pPr>
        <w:rPr>
          <w:rFonts w:hint="eastAsia"/>
        </w:rPr>
      </w:pPr>
      <w:r>
        <w:tab/>
        <w:t xml:space="preserve">643.  </w:t>
      </w:r>
      <w:r>
        <w:rPr>
          <w:rFonts w:hint="eastAsia"/>
        </w:rPr>
        <w:t>食物安全管制是政府、业界及消费者三方的责任。根据国际惯例，我们鼓励食物业根据“食物安全重点控制”方法采用食物安全计划，藉以改善食物卫生及安全标准。每年，该署都举办食物卫生运动以宣传食物危机的概念，并推广应用“食物安全重点控制”为本的食物安全计划，作为确保食物安全的风险管理工具。为了教育消费者认识他们在确保食物安全所发挥的作用，我们定期公布食物监察计划结果、风险评估报告，以及认识和减低各类风险的食物安全指引。</w:t>
      </w:r>
    </w:p>
    <w:p w:rsidR="00000000" w:rsidRDefault="00000000">
      <w:pPr>
        <w:pStyle w:val="Heading4"/>
        <w:spacing w:before="300"/>
        <w:rPr>
          <w:rFonts w:hint="eastAsia"/>
        </w:rPr>
      </w:pPr>
      <w:r>
        <w:rPr>
          <w:rFonts w:hint="eastAsia"/>
        </w:rPr>
        <w:t>立法措施</w:t>
      </w:r>
    </w:p>
    <w:p w:rsidR="00000000" w:rsidRDefault="00000000">
      <w:pPr>
        <w:rPr>
          <w:rFonts w:hint="eastAsia"/>
          <w:b/>
        </w:rPr>
      </w:pPr>
      <w:r>
        <w:tab/>
        <w:t xml:space="preserve">644.  </w:t>
      </w:r>
      <w:r>
        <w:rPr>
          <w:rFonts w:hint="eastAsia"/>
        </w:rPr>
        <w:t>我们拟根据国际食物标准组织提出的建议，对食物法例进行修改，作为我们在食物管制方面的部分策略。在二零零一年，我们制定了公众卫生</w:t>
      </w:r>
      <w:r>
        <w:t>(</w:t>
      </w:r>
      <w:r>
        <w:rPr>
          <w:rFonts w:hint="eastAsia"/>
        </w:rPr>
        <w:t>动物及禽鸟</w:t>
      </w:r>
      <w:r>
        <w:t>)(</w:t>
      </w:r>
      <w:r>
        <w:rPr>
          <w:rFonts w:hint="eastAsia"/>
        </w:rPr>
        <w:t>化学物残余</w:t>
      </w:r>
      <w:r>
        <w:t>)</w:t>
      </w:r>
      <w:r>
        <w:rPr>
          <w:rFonts w:hint="eastAsia"/>
        </w:rPr>
        <w:t>规例</w:t>
      </w:r>
      <w:r>
        <w:t>(</w:t>
      </w:r>
      <w:r>
        <w:rPr>
          <w:rFonts w:hint="eastAsia"/>
        </w:rPr>
        <w:t>第</w:t>
      </w:r>
      <w:r>
        <w:t>139N</w:t>
      </w:r>
      <w:r>
        <w:rPr>
          <w:rFonts w:hint="eastAsia"/>
        </w:rPr>
        <w:t>章</w:t>
      </w:r>
      <w:r>
        <w:t>)</w:t>
      </w:r>
      <w:r>
        <w:rPr>
          <w:rFonts w:hint="eastAsia"/>
        </w:rPr>
        <w:t>和食物内有害物质</w:t>
      </w:r>
      <w:r>
        <w:t>(</w:t>
      </w:r>
      <w:r>
        <w:rPr>
          <w:rFonts w:hint="eastAsia"/>
        </w:rPr>
        <w:t>修订</w:t>
      </w:r>
      <w:r>
        <w:t>)</w:t>
      </w:r>
      <w:r>
        <w:rPr>
          <w:rFonts w:hint="eastAsia"/>
        </w:rPr>
        <w:t>规例</w:t>
      </w:r>
      <w:r>
        <w:t>2001(</w:t>
      </w:r>
      <w:r>
        <w:rPr>
          <w:rFonts w:hint="eastAsia"/>
        </w:rPr>
        <w:t>第</w:t>
      </w:r>
      <w:r>
        <w:t>132A F</w:t>
      </w:r>
      <w:r>
        <w:rPr>
          <w:rFonts w:hint="eastAsia"/>
        </w:rPr>
        <w:t>章</w:t>
      </w:r>
      <w:r>
        <w:t>)</w:t>
      </w:r>
      <w:r>
        <w:rPr>
          <w:rFonts w:hint="eastAsia"/>
        </w:rPr>
        <w:t>，禁止十种违禁化学品的使用，并规管本地和入口活的食用牲口及其食物制成品可含</w:t>
      </w:r>
      <w:r>
        <w:t>37</w:t>
      </w:r>
      <w:r>
        <w:rPr>
          <w:rFonts w:hint="eastAsia"/>
        </w:rPr>
        <w:t>种残余农药和禽畜药物的最高分量。我们亦计划修订食物及药物</w:t>
      </w:r>
      <w:r>
        <w:t>(</w:t>
      </w:r>
      <w:r>
        <w:rPr>
          <w:rFonts w:hint="eastAsia"/>
        </w:rPr>
        <w:t>成份组合及标签</w:t>
      </w:r>
      <w:r>
        <w:t>)</w:t>
      </w:r>
      <w:r>
        <w:rPr>
          <w:rFonts w:hint="eastAsia"/>
        </w:rPr>
        <w:t>规例</w:t>
      </w:r>
      <w:r>
        <w:t>(</w:t>
      </w:r>
      <w:r>
        <w:rPr>
          <w:rFonts w:hint="eastAsia"/>
        </w:rPr>
        <w:t>第</w:t>
      </w:r>
      <w:r>
        <w:t>132W</w:t>
      </w:r>
      <w:r>
        <w:rPr>
          <w:rFonts w:hint="eastAsia"/>
        </w:rPr>
        <w:t>章</w:t>
      </w:r>
      <w:r>
        <w:t>)</w:t>
      </w:r>
      <w:r>
        <w:rPr>
          <w:rFonts w:hint="eastAsia"/>
        </w:rPr>
        <w:t>，以规定致敏产品和食物添加剂必须加上标签。最近，我们完成了关于营养标签的可行性研究，并正在考虑有关的方案。</w:t>
      </w:r>
    </w:p>
    <w:p w:rsidR="00000000" w:rsidRDefault="00000000">
      <w:pPr>
        <w:pStyle w:val="Heading4"/>
        <w:spacing w:before="300"/>
        <w:rPr>
          <w:rFonts w:eastAsia="SimHei" w:hint="eastAsia"/>
          <w:bCs/>
          <w:u w:val="none"/>
        </w:rPr>
      </w:pPr>
      <w:r>
        <w:rPr>
          <w:rFonts w:eastAsia="SimHei" w:hint="eastAsia"/>
          <w:bCs/>
          <w:u w:val="none"/>
        </w:rPr>
        <w:t>为残疾人士提供的服务和设施</w:t>
      </w:r>
    </w:p>
    <w:p w:rsidR="00000000" w:rsidRDefault="00000000">
      <w:pPr>
        <w:rPr>
          <w:rFonts w:hint="eastAsia"/>
        </w:rPr>
      </w:pPr>
      <w:r>
        <w:tab/>
        <w:t xml:space="preserve">645.  </w:t>
      </w:r>
      <w:r>
        <w:rPr>
          <w:rFonts w:hint="eastAsia"/>
        </w:rPr>
        <w:t>社会福利署及受资助的非政府机构为残疾人士提供康复及其他服务。有关服务与首份报告第</w:t>
      </w:r>
      <w:r>
        <w:t>430</w:t>
      </w:r>
      <w:r>
        <w:rPr>
          <w:rFonts w:hint="eastAsia"/>
        </w:rPr>
        <w:t>至第</w:t>
      </w:r>
      <w:r>
        <w:t>432</w:t>
      </w:r>
      <w:r>
        <w:rPr>
          <w:rFonts w:hint="eastAsia"/>
        </w:rPr>
        <w:t>段所阐释的大致相同，只是扩大服务以切合日益变更的需求。截至二零零二年三月三十一日为止，我们共有：</w:t>
      </w:r>
    </w:p>
    <w:p w:rsidR="00000000" w:rsidRDefault="00000000">
      <w:pPr>
        <w:ind w:left="1510" w:hanging="510"/>
        <w:rPr>
          <w:rFonts w:hint="eastAsia"/>
        </w:rPr>
      </w:pPr>
      <w:r>
        <w:t>(a)</w:t>
      </w:r>
      <w:r>
        <w:tab/>
        <w:t>4,658</w:t>
      </w:r>
      <w:r>
        <w:rPr>
          <w:rFonts w:hint="eastAsia"/>
        </w:rPr>
        <w:t>个学前名额；</w:t>
      </w:r>
    </w:p>
    <w:p w:rsidR="00000000" w:rsidRDefault="00000000">
      <w:pPr>
        <w:ind w:left="1510" w:hanging="510"/>
        <w:rPr>
          <w:rFonts w:hint="eastAsia"/>
        </w:rPr>
      </w:pPr>
      <w:r>
        <w:t>(b)</w:t>
      </w:r>
      <w:r>
        <w:tab/>
        <w:t>13,327</w:t>
      </w:r>
      <w:r>
        <w:rPr>
          <w:rFonts w:hint="eastAsia"/>
        </w:rPr>
        <w:t>个日间训练及职业康复名额；</w:t>
      </w:r>
    </w:p>
    <w:p w:rsidR="00000000" w:rsidRDefault="00000000">
      <w:pPr>
        <w:ind w:left="1510" w:hanging="510"/>
        <w:rPr>
          <w:rFonts w:hint="eastAsia"/>
        </w:rPr>
      </w:pPr>
      <w:r>
        <w:t>(c)</w:t>
      </w:r>
      <w:r>
        <w:tab/>
        <w:t>8,923</w:t>
      </w:r>
      <w:r>
        <w:rPr>
          <w:rFonts w:hint="eastAsia"/>
        </w:rPr>
        <w:t>个供各类残疾人士入住的住宿名额。</w:t>
      </w:r>
    </w:p>
    <w:p w:rsidR="00000000" w:rsidRDefault="00000000">
      <w:pPr>
        <w:pStyle w:val="Heading4"/>
        <w:spacing w:before="300"/>
        <w:rPr>
          <w:rFonts w:eastAsia="SimHei" w:hint="eastAsia"/>
          <w:bCs/>
          <w:u w:val="none"/>
        </w:rPr>
      </w:pPr>
      <w:r>
        <w:rPr>
          <w:rFonts w:eastAsia="SimHei" w:hint="eastAsia"/>
          <w:bCs/>
          <w:u w:val="none"/>
        </w:rPr>
        <w:t>推广自力更生</w:t>
      </w:r>
    </w:p>
    <w:p w:rsidR="00000000" w:rsidRDefault="00000000">
      <w:pPr>
        <w:rPr>
          <w:rFonts w:hint="eastAsia"/>
        </w:rPr>
      </w:pPr>
      <w:r>
        <w:tab/>
        <w:t xml:space="preserve">646.  </w:t>
      </w:r>
      <w:r>
        <w:rPr>
          <w:rFonts w:hint="eastAsia"/>
        </w:rPr>
        <w:t>我们认为，鼓励残疾人士自力更生相当重要。为此，社会福利署与非政府机构合作，向残疾人士推广自力更生的信息和提供就业机会。截至二零零二年三月三十一日为止，向残疾人士提供的庇护工场名额共有</w:t>
      </w:r>
      <w:r>
        <w:t>7,527</w:t>
      </w:r>
      <w:r>
        <w:rPr>
          <w:rFonts w:hint="eastAsia"/>
        </w:rPr>
        <w:t>个，辅助就业职位则有</w:t>
      </w:r>
      <w:r>
        <w:t>1,862</w:t>
      </w:r>
      <w:r>
        <w:rPr>
          <w:rFonts w:hint="eastAsia"/>
        </w:rPr>
        <w:t>个。</w:t>
      </w:r>
    </w:p>
    <w:p w:rsidR="00000000" w:rsidRDefault="00000000">
      <w:pPr>
        <w:rPr>
          <w:rFonts w:hint="eastAsia"/>
        </w:rPr>
      </w:pPr>
      <w:r>
        <w:tab/>
        <w:t xml:space="preserve">647.  </w:t>
      </w:r>
      <w:r>
        <w:rPr>
          <w:rFonts w:hint="eastAsia"/>
        </w:rPr>
        <w:t>为了增加残疾人士的就业机会，该署的康复服务市场顾问办事处由有营商及市场推广背景的人员组成，协助庇护工场及辅助就业计划进行市场推广及商业发展。在二零零一至零二年度，社会福利署展开了：</w:t>
      </w:r>
    </w:p>
    <w:p w:rsidR="00000000" w:rsidRDefault="00000000">
      <w:pPr>
        <w:ind w:left="1510" w:hanging="510"/>
      </w:pPr>
      <w:r>
        <w:t>(a)</w:t>
      </w:r>
      <w:r>
        <w:tab/>
      </w:r>
      <w:r>
        <w:rPr>
          <w:rFonts w:hint="eastAsia"/>
        </w:rPr>
        <w:t>为期三年的在职培训计划，每年可让</w:t>
      </w:r>
      <w:r>
        <w:t>360</w:t>
      </w:r>
      <w:r>
        <w:rPr>
          <w:rFonts w:hint="eastAsia"/>
        </w:rPr>
        <w:t>名残疾人士受惠；和</w:t>
      </w:r>
    </w:p>
    <w:p w:rsidR="00000000" w:rsidRDefault="00000000">
      <w:pPr>
        <w:ind w:left="1510" w:hanging="510"/>
        <w:rPr>
          <w:rFonts w:hint="eastAsia"/>
        </w:rPr>
      </w:pPr>
      <w:r>
        <w:t>(b)</w:t>
      </w:r>
      <w:r>
        <w:tab/>
      </w:r>
      <w:r>
        <w:rPr>
          <w:rFonts w:hint="eastAsia"/>
        </w:rPr>
        <w:t>向非政府机构提供财政补助金经营小型企业，让它们可聘请残疾人士。</w:t>
      </w:r>
    </w:p>
    <w:p w:rsidR="00000000" w:rsidRDefault="00000000">
      <w:pPr>
        <w:pStyle w:val="Heading4"/>
        <w:spacing w:before="300"/>
        <w:rPr>
          <w:rFonts w:eastAsia="SimHei" w:hint="eastAsia"/>
          <w:bCs/>
          <w:u w:val="none"/>
        </w:rPr>
      </w:pPr>
      <w:r>
        <w:rPr>
          <w:rFonts w:eastAsia="SimHei" w:hint="eastAsia"/>
          <w:bCs/>
          <w:u w:val="none"/>
        </w:rPr>
        <w:t>加强家庭及社区支援服务</w:t>
      </w:r>
    </w:p>
    <w:p w:rsidR="00000000" w:rsidRDefault="00000000">
      <w:pPr>
        <w:rPr>
          <w:rFonts w:hint="eastAsia"/>
        </w:rPr>
      </w:pPr>
      <w:r>
        <w:tab/>
        <w:t xml:space="preserve">648.  </w:t>
      </w:r>
      <w:r>
        <w:rPr>
          <w:rFonts w:hint="eastAsia"/>
        </w:rPr>
        <w:t>为使社区内残疾人士的家人及照顾者可照顾残疾人士，社会福利署已：</w:t>
      </w:r>
    </w:p>
    <w:p w:rsidR="00000000" w:rsidRDefault="00000000">
      <w:pPr>
        <w:ind w:left="1510" w:hanging="510"/>
        <w:rPr>
          <w:rFonts w:hint="eastAsia"/>
        </w:rPr>
      </w:pPr>
      <w:r>
        <w:t>(a)</w:t>
      </w:r>
      <w:r>
        <w:tab/>
      </w:r>
      <w:r>
        <w:rPr>
          <w:rFonts w:hint="eastAsia"/>
        </w:rPr>
        <w:t>加强现有的社区支援服务，例如家长资源中心、康乐服务中心及健乐会；</w:t>
      </w:r>
    </w:p>
    <w:p w:rsidR="00000000" w:rsidRDefault="00000000">
      <w:pPr>
        <w:ind w:left="1510" w:hanging="510"/>
        <w:rPr>
          <w:rFonts w:hint="eastAsia"/>
        </w:rPr>
      </w:pPr>
      <w:r>
        <w:t>(b)</w:t>
      </w:r>
      <w:r>
        <w:tab/>
      </w:r>
      <w:r>
        <w:rPr>
          <w:rFonts w:hint="eastAsia"/>
        </w:rPr>
        <w:t>提供拨款予自助小组；</w:t>
      </w:r>
    </w:p>
    <w:p w:rsidR="00000000" w:rsidRDefault="00000000">
      <w:pPr>
        <w:ind w:left="1510" w:hanging="510"/>
        <w:rPr>
          <w:rFonts w:hint="eastAsia"/>
        </w:rPr>
      </w:pPr>
      <w:r>
        <w:t>(c)</w:t>
      </w:r>
      <w:r>
        <w:tab/>
      </w:r>
      <w:r>
        <w:rPr>
          <w:rFonts w:hint="eastAsia"/>
        </w:rPr>
        <w:t>资助社区计划项目，以弥补服务不足的情况和切合残疾人士及其家人的即时需要，例如假日照顾服务、家居暂顾服务及延展照顾服务；</w:t>
      </w:r>
    </w:p>
    <w:p w:rsidR="00000000" w:rsidRDefault="00000000">
      <w:pPr>
        <w:ind w:left="1510" w:hanging="510"/>
        <w:rPr>
          <w:rFonts w:hint="eastAsia"/>
        </w:rPr>
      </w:pPr>
      <w:r>
        <w:t>(d)</w:t>
      </w:r>
      <w:r>
        <w:tab/>
      </w:r>
      <w:r>
        <w:rPr>
          <w:rFonts w:hint="eastAsia"/>
        </w:rPr>
        <w:t>改善家居训练及支援服务。在二零零二至零三年度，该署会增加家居训练的名额，由</w:t>
      </w:r>
      <w:r>
        <w:t>350</w:t>
      </w:r>
      <w:r>
        <w:rPr>
          <w:rFonts w:hint="eastAsia"/>
        </w:rPr>
        <w:t>名增加至</w:t>
      </w:r>
      <w:r>
        <w:t>1,500</w:t>
      </w:r>
      <w:r>
        <w:rPr>
          <w:rFonts w:hint="eastAsia"/>
        </w:rPr>
        <w:t>名。</w:t>
      </w:r>
    </w:p>
    <w:p w:rsidR="00000000" w:rsidRDefault="00000000">
      <w:pPr>
        <w:pStyle w:val="Heading4"/>
        <w:spacing w:before="300"/>
        <w:rPr>
          <w:rFonts w:eastAsia="SimHei" w:hint="eastAsia"/>
          <w:bCs/>
          <w:u w:val="none"/>
        </w:rPr>
      </w:pPr>
      <w:r>
        <w:rPr>
          <w:rFonts w:eastAsia="SimHei" w:hint="eastAsia"/>
          <w:bCs/>
          <w:u w:val="none"/>
        </w:rPr>
        <w:t>为精神病康复者提供的服务和设施</w:t>
      </w:r>
    </w:p>
    <w:p w:rsidR="00000000" w:rsidRDefault="00000000">
      <w:pPr>
        <w:spacing w:after="180"/>
        <w:rPr>
          <w:rFonts w:hint="eastAsia"/>
        </w:rPr>
      </w:pPr>
      <w:r>
        <w:tab/>
        <w:t xml:space="preserve">649.  </w:t>
      </w:r>
      <w:r>
        <w:rPr>
          <w:rFonts w:hint="eastAsia"/>
        </w:rPr>
        <w:t>社会福利署资助非政府机构为精神病康复者提供住院及日间服务。截至二零零二年三月三十一日为止，共有</w:t>
      </w:r>
      <w:r>
        <w:t>1,349</w:t>
      </w:r>
      <w:r>
        <w:rPr>
          <w:rFonts w:hint="eastAsia"/>
        </w:rPr>
        <w:t>个中途宿舍名额、</w:t>
      </w:r>
      <w:r>
        <w:t>980</w:t>
      </w:r>
      <w:r>
        <w:rPr>
          <w:rFonts w:hint="eastAsia"/>
        </w:rPr>
        <w:t>个长期护理院名额，以及</w:t>
      </w:r>
      <w:r>
        <w:t>230</w:t>
      </w:r>
      <w:r>
        <w:rPr>
          <w:rFonts w:hint="eastAsia"/>
        </w:rPr>
        <w:t>个训练和展能中心名额，帮助他们重新适应社会。其他服务包括庇护工场、辅助就业、善后辅导服务</w:t>
      </w:r>
      <w:r>
        <w:t>(</w:t>
      </w:r>
      <w:r>
        <w:rPr>
          <w:rFonts w:hint="eastAsia"/>
        </w:rPr>
        <w:t>照顾离开中途宿舍的人士</w:t>
      </w:r>
      <w:r>
        <w:t>)</w:t>
      </w:r>
      <w:r>
        <w:rPr>
          <w:rFonts w:hint="eastAsia"/>
        </w:rPr>
        <w:t>，以及辅导和体恤安置等个案工作服务。在二零零二年一月，中途宿舍、训练和展能中心更开始为精神病康复者及其家人提供额外的护理及支援，这包括一个名为“社区精神健康连网”计划内的外展探访工作和建立资源网络。</w:t>
      </w:r>
    </w:p>
    <w:p w:rsidR="00000000" w:rsidRDefault="00000000">
      <w:pPr>
        <w:pStyle w:val="Heading4"/>
        <w:spacing w:after="180"/>
        <w:rPr>
          <w:rFonts w:eastAsia="SimHei" w:hint="eastAsia"/>
          <w:bCs/>
          <w:u w:val="none"/>
        </w:rPr>
      </w:pPr>
      <w:r>
        <w:rPr>
          <w:rFonts w:eastAsia="SimHei" w:hint="eastAsia"/>
          <w:bCs/>
          <w:u w:val="none"/>
        </w:rPr>
        <w:t>为严重弱智人士及中度弱智人士提供的服务</w:t>
      </w:r>
    </w:p>
    <w:p w:rsidR="00000000" w:rsidRDefault="00000000">
      <w:pPr>
        <w:spacing w:after="160"/>
        <w:rPr>
          <w:rFonts w:hint="eastAsia"/>
        </w:rPr>
      </w:pPr>
      <w:r>
        <w:tab/>
        <w:t xml:space="preserve">650.  </w:t>
      </w:r>
      <w:r>
        <w:rPr>
          <w:rFonts w:hint="eastAsia"/>
        </w:rPr>
        <w:t>截至二零零二年三月三十一日为止，社会福利署及受资助的非政府机构提供了</w:t>
      </w:r>
      <w:r>
        <w:t>4,903</w:t>
      </w:r>
      <w:r>
        <w:rPr>
          <w:rFonts w:hint="eastAsia"/>
        </w:rPr>
        <w:t>个住宿名额及</w:t>
      </w:r>
      <w:r>
        <w:t>3,708</w:t>
      </w:r>
      <w:r>
        <w:rPr>
          <w:rFonts w:hint="eastAsia"/>
        </w:rPr>
        <w:t>个展能中心名额。为这些人士提供的其他服务还包括庇护工场和辅助就业。</w:t>
      </w:r>
    </w:p>
    <w:p w:rsidR="00000000" w:rsidRDefault="00000000">
      <w:pPr>
        <w:pStyle w:val="Heading4"/>
        <w:spacing w:after="160"/>
        <w:rPr>
          <w:rFonts w:eastAsia="SimHei" w:hint="eastAsia"/>
          <w:bCs/>
          <w:u w:val="none"/>
        </w:rPr>
      </w:pPr>
      <w:r>
        <w:rPr>
          <w:rFonts w:eastAsia="SimHei" w:hint="eastAsia"/>
          <w:bCs/>
          <w:u w:val="none"/>
        </w:rPr>
        <w:t>《残疾歧视条例》的实施情况</w:t>
      </w:r>
    </w:p>
    <w:p w:rsidR="00000000" w:rsidRDefault="00000000">
      <w:pPr>
        <w:pStyle w:val="Heading4"/>
        <w:spacing w:after="160"/>
        <w:rPr>
          <w:rFonts w:hint="eastAsia"/>
        </w:rPr>
      </w:pPr>
      <w:r>
        <w:rPr>
          <w:rFonts w:hint="eastAsia"/>
        </w:rPr>
        <w:t>查询及投诉</w:t>
      </w:r>
    </w:p>
    <w:p w:rsidR="00000000" w:rsidRDefault="00000000">
      <w:pPr>
        <w:rPr>
          <w:rFonts w:hint="eastAsia"/>
        </w:rPr>
      </w:pPr>
      <w:r>
        <w:tab/>
        <w:t xml:space="preserve">651.  </w:t>
      </w:r>
      <w:r>
        <w:rPr>
          <w:rFonts w:hint="eastAsia"/>
        </w:rPr>
        <w:t>在二零零零年一月至十二月期间，平等机会委员会</w:t>
      </w:r>
      <w:r>
        <w:t>(</w:t>
      </w:r>
      <w:r>
        <w:rPr>
          <w:rFonts w:hint="eastAsia"/>
        </w:rPr>
        <w:t>平机会</w:t>
      </w:r>
      <w:r>
        <w:t>)</w:t>
      </w:r>
      <w:r>
        <w:rPr>
          <w:rFonts w:hint="eastAsia"/>
        </w:rPr>
        <w:t>接获与《残疾歧视条例》有关的具体查询有</w:t>
      </w:r>
      <w:r>
        <w:t>5,324</w:t>
      </w:r>
      <w:r>
        <w:rPr>
          <w:rFonts w:hint="eastAsia"/>
        </w:rPr>
        <w:t>宗，投诉则有</w:t>
      </w:r>
      <w:r>
        <w:t>1,096</w:t>
      </w:r>
      <w:r>
        <w:rPr>
          <w:rFonts w:hint="eastAsia"/>
        </w:rPr>
        <w:t>宗。</w:t>
      </w:r>
    </w:p>
    <w:tbl>
      <w:tblPr>
        <w:tblW w:w="0" w:type="auto"/>
        <w:tblInd w:w="568" w:type="dxa"/>
        <w:tblLayout w:type="fixed"/>
        <w:tblCellMar>
          <w:left w:w="28" w:type="dxa"/>
          <w:right w:w="28" w:type="dxa"/>
        </w:tblCellMar>
        <w:tblLook w:val="0000" w:firstRow="0" w:lastRow="0" w:firstColumn="0" w:lastColumn="0" w:noHBand="0" w:noVBand="0"/>
      </w:tblPr>
      <w:tblGrid>
        <w:gridCol w:w="3420"/>
        <w:gridCol w:w="1740"/>
        <w:gridCol w:w="1740"/>
        <w:gridCol w:w="1740"/>
      </w:tblGrid>
      <w:tr w:rsidR="00000000">
        <w:tblPrEx>
          <w:tblCellMar>
            <w:top w:w="0" w:type="dxa"/>
            <w:bottom w:w="0" w:type="dxa"/>
          </w:tblCellMar>
        </w:tblPrEx>
        <w:trPr>
          <w:cantSplit/>
          <w:tblHeader/>
        </w:trPr>
        <w:tc>
          <w:tcPr>
            <w:tcW w:w="3420" w:type="dxa"/>
            <w:vAlign w:val="center"/>
          </w:tcPr>
          <w:p w:rsidR="00000000" w:rsidRDefault="00000000">
            <w:pPr>
              <w:spacing w:before="80" w:after="80" w:line="220" w:lineRule="exact"/>
              <w:jc w:val="center"/>
              <w:rPr>
                <w:rFonts w:ascii="Time New Roman" w:eastAsia="SimHei" w:hAnsi="Time New Roman"/>
                <w:bCs/>
                <w:color w:val="000000"/>
                <w:spacing w:val="0"/>
                <w:sz w:val="20"/>
                <w:lang w:val="en-GB"/>
              </w:rPr>
            </w:pPr>
          </w:p>
        </w:tc>
        <w:tc>
          <w:tcPr>
            <w:tcW w:w="1740" w:type="dxa"/>
            <w:vAlign w:val="center"/>
          </w:tcPr>
          <w:p w:rsidR="00000000" w:rsidRDefault="00000000">
            <w:pPr>
              <w:spacing w:before="80" w:after="80" w:line="220" w:lineRule="exact"/>
              <w:jc w:val="center"/>
              <w:rPr>
                <w:rFonts w:ascii="Time New Roman" w:eastAsia="SimHei" w:hAnsi="Time New Roman" w:hint="eastAsia"/>
                <w:bCs/>
                <w:color w:val="000000"/>
                <w:spacing w:val="0"/>
                <w:sz w:val="20"/>
                <w:lang w:val="en-GB"/>
              </w:rPr>
            </w:pPr>
            <w:r>
              <w:rPr>
                <w:rFonts w:ascii="Time New Roman" w:eastAsia="SimHei" w:hAnsi="Time New Roman"/>
                <w:b/>
                <w:bCs/>
                <w:color w:val="000000"/>
                <w:spacing w:val="0"/>
                <w:sz w:val="20"/>
                <w:lang w:val="en-GB"/>
              </w:rPr>
              <w:t>2000</w:t>
            </w:r>
          </w:p>
        </w:tc>
        <w:tc>
          <w:tcPr>
            <w:tcW w:w="1740" w:type="dxa"/>
            <w:vAlign w:val="center"/>
          </w:tcPr>
          <w:p w:rsidR="00000000" w:rsidRDefault="00000000">
            <w:pPr>
              <w:spacing w:before="80" w:after="80" w:line="220" w:lineRule="exact"/>
              <w:jc w:val="center"/>
              <w:rPr>
                <w:rFonts w:ascii="Time New Roman" w:eastAsia="SimHei" w:hAnsi="Time New Roman" w:hint="eastAsia"/>
                <w:bCs/>
                <w:color w:val="000000"/>
                <w:spacing w:val="0"/>
                <w:sz w:val="20"/>
                <w:lang w:val="en-GB"/>
              </w:rPr>
            </w:pPr>
            <w:r>
              <w:rPr>
                <w:rFonts w:ascii="Time New Roman" w:eastAsia="SimHei" w:hAnsi="Time New Roman"/>
                <w:b/>
                <w:bCs/>
                <w:color w:val="000000"/>
                <w:spacing w:val="0"/>
                <w:sz w:val="20"/>
                <w:lang w:val="en-GB"/>
              </w:rPr>
              <w:t>2001</w:t>
            </w:r>
          </w:p>
        </w:tc>
        <w:tc>
          <w:tcPr>
            <w:tcW w:w="1740" w:type="dxa"/>
            <w:vAlign w:val="center"/>
          </w:tcPr>
          <w:p w:rsidR="00000000" w:rsidRDefault="00000000">
            <w:pPr>
              <w:spacing w:before="80" w:after="80" w:line="220" w:lineRule="exact"/>
              <w:jc w:val="center"/>
              <w:rPr>
                <w:rFonts w:ascii="Time New Roman" w:eastAsia="SimHei" w:hAnsi="Time New Roman"/>
                <w:bCs/>
                <w:color w:val="000000"/>
                <w:spacing w:val="0"/>
                <w:sz w:val="20"/>
                <w:lang w:val="en-GB"/>
              </w:rPr>
            </w:pPr>
            <w:r>
              <w:rPr>
                <w:rFonts w:ascii="Time New Roman" w:eastAsia="SimHei" w:hAnsi="Time New Roman"/>
                <w:b/>
                <w:bCs/>
                <w:color w:val="000000"/>
                <w:spacing w:val="0"/>
                <w:sz w:val="20"/>
                <w:lang w:val="en-GB"/>
              </w:rPr>
              <w:t>2002</w:t>
            </w:r>
          </w:p>
        </w:tc>
      </w:tr>
      <w:tr w:rsidR="00000000">
        <w:tblPrEx>
          <w:tblCellMar>
            <w:top w:w="0" w:type="dxa"/>
            <w:bottom w:w="0" w:type="dxa"/>
          </w:tblCellMar>
        </w:tblPrEx>
        <w:trPr>
          <w:cantSplit/>
        </w:trPr>
        <w:tc>
          <w:tcPr>
            <w:tcW w:w="3420" w:type="dxa"/>
          </w:tcPr>
          <w:p w:rsidR="00000000" w:rsidRDefault="00000000">
            <w:pPr>
              <w:pStyle w:val="Heading2"/>
              <w:spacing w:before="40" w:after="40" w:line="220" w:lineRule="exact"/>
              <w:jc w:val="both"/>
              <w:rPr>
                <w:rFonts w:ascii="Time New Roman" w:eastAsia="SimHei" w:hAnsi="Time New Roman" w:hint="eastAsia"/>
                <w:bCs/>
                <w:spacing w:val="0"/>
                <w:sz w:val="20"/>
              </w:rPr>
            </w:pPr>
            <w:bookmarkStart w:id="49" w:name="_Toc78772958"/>
            <w:r>
              <w:rPr>
                <w:rFonts w:ascii="Time New Roman" w:eastAsia="SimHei" w:hAnsi="Time New Roman" w:hint="eastAsia"/>
                <w:bCs/>
                <w:spacing w:val="0"/>
                <w:sz w:val="20"/>
              </w:rPr>
              <w:t>具体查询</w:t>
            </w:r>
            <w:bookmarkEnd w:id="49"/>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1,541</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1,881</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1,902</w:t>
            </w:r>
          </w:p>
        </w:tc>
      </w:tr>
      <w:tr w:rsidR="00000000">
        <w:tblPrEx>
          <w:tblCellMar>
            <w:top w:w="0" w:type="dxa"/>
            <w:bottom w:w="0" w:type="dxa"/>
          </w:tblCellMar>
        </w:tblPrEx>
        <w:trPr>
          <w:cantSplit/>
        </w:trPr>
        <w:tc>
          <w:tcPr>
            <w:tcW w:w="3420" w:type="dxa"/>
          </w:tcPr>
          <w:p w:rsidR="00000000" w:rsidRDefault="00000000">
            <w:pPr>
              <w:spacing w:before="40" w:after="40" w:line="220" w:lineRule="exact"/>
              <w:rPr>
                <w:rFonts w:ascii="Time New Roman" w:eastAsia="SimHei" w:hAnsi="Time New Roman" w:hint="eastAsia"/>
                <w:bCs/>
                <w:color w:val="000000"/>
                <w:spacing w:val="0"/>
                <w:sz w:val="20"/>
                <w:lang w:val="en-GB"/>
              </w:rPr>
            </w:pPr>
            <w:r>
              <w:rPr>
                <w:rFonts w:ascii="Time New Roman" w:eastAsia="SimHei" w:hAnsi="Time New Roman" w:hint="eastAsia"/>
                <w:bCs/>
                <w:color w:val="000000"/>
                <w:spacing w:val="0"/>
                <w:sz w:val="20"/>
                <w:lang w:val="en-GB"/>
              </w:rPr>
              <w:t>投诉</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p>
        </w:tc>
        <w:tc>
          <w:tcPr>
            <w:tcW w:w="1740" w:type="dxa"/>
          </w:tcPr>
          <w:p w:rsidR="00000000" w:rsidRDefault="00000000">
            <w:pPr>
              <w:tabs>
                <w:tab w:val="decimal" w:pos="1082"/>
              </w:tabs>
              <w:spacing w:before="40" w:after="40" w:line="220" w:lineRule="exact"/>
              <w:rPr>
                <w:rFonts w:hint="eastAsia"/>
                <w:color w:val="000000"/>
                <w:spacing w:val="0"/>
                <w:sz w:val="20"/>
                <w:lang w:val="en-GB"/>
              </w:rPr>
            </w:pPr>
          </w:p>
        </w:tc>
        <w:tc>
          <w:tcPr>
            <w:tcW w:w="1740" w:type="dxa"/>
          </w:tcPr>
          <w:p w:rsidR="00000000" w:rsidRDefault="00000000">
            <w:pPr>
              <w:tabs>
                <w:tab w:val="decimal" w:pos="1082"/>
              </w:tabs>
              <w:spacing w:before="40" w:after="40" w:line="220" w:lineRule="exact"/>
              <w:rPr>
                <w:rFonts w:hint="eastAsia"/>
                <w:color w:val="000000"/>
                <w:spacing w:val="0"/>
                <w:sz w:val="20"/>
                <w:lang w:val="en-GB"/>
              </w:rPr>
            </w:pPr>
          </w:p>
        </w:tc>
      </w:tr>
      <w:tr w:rsidR="00000000">
        <w:tblPrEx>
          <w:tblCellMar>
            <w:top w:w="0" w:type="dxa"/>
            <w:bottom w:w="0" w:type="dxa"/>
          </w:tblCellMar>
        </w:tblPrEx>
        <w:trPr>
          <w:cantSplit/>
        </w:trPr>
        <w:tc>
          <w:tcPr>
            <w:tcW w:w="3420" w:type="dxa"/>
          </w:tcPr>
          <w:p w:rsidR="00000000" w:rsidRDefault="00000000">
            <w:pPr>
              <w:pStyle w:val="Heading1"/>
              <w:spacing w:before="40" w:after="40" w:line="220" w:lineRule="exact"/>
              <w:jc w:val="both"/>
              <w:rPr>
                <w:rFonts w:ascii="Time New Roman" w:eastAsia="SimHei" w:hAnsi="Time New Roman" w:hint="eastAsia"/>
                <w:b w:val="0"/>
                <w:bCs/>
                <w:spacing w:val="0"/>
                <w:sz w:val="20"/>
              </w:rPr>
            </w:pPr>
            <w:bookmarkStart w:id="50" w:name="_Toc78772959"/>
            <w:r>
              <w:rPr>
                <w:rFonts w:ascii="Time New Roman" w:eastAsia="SimHei" w:hAnsi="Time New Roman" w:hint="eastAsia"/>
                <w:b w:val="0"/>
                <w:bCs/>
                <w:spacing w:val="0"/>
                <w:sz w:val="20"/>
              </w:rPr>
              <w:t>对残疾人士的歧视</w:t>
            </w:r>
            <w:bookmarkEnd w:id="50"/>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290</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341</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288</w:t>
            </w:r>
          </w:p>
        </w:tc>
      </w:tr>
      <w:tr w:rsidR="00000000">
        <w:tblPrEx>
          <w:tblCellMar>
            <w:top w:w="0" w:type="dxa"/>
            <w:bottom w:w="0" w:type="dxa"/>
          </w:tblCellMar>
        </w:tblPrEx>
        <w:trPr>
          <w:cantSplit/>
        </w:trPr>
        <w:tc>
          <w:tcPr>
            <w:tcW w:w="3420" w:type="dxa"/>
          </w:tcPr>
          <w:p w:rsidR="00000000" w:rsidRDefault="00000000">
            <w:pPr>
              <w:spacing w:before="40" w:after="40" w:line="220" w:lineRule="exact"/>
              <w:rPr>
                <w:rFonts w:ascii="Time New Roman" w:eastAsia="SimHei" w:hAnsi="Time New Roman" w:hint="eastAsia"/>
                <w:bCs/>
                <w:color w:val="000000"/>
                <w:spacing w:val="0"/>
                <w:sz w:val="20"/>
                <w:lang w:val="en-GB"/>
              </w:rPr>
            </w:pPr>
            <w:r>
              <w:rPr>
                <w:rFonts w:ascii="Time New Roman" w:eastAsia="SimHei" w:hAnsi="Time New Roman" w:hint="eastAsia"/>
                <w:bCs/>
                <w:color w:val="000000"/>
                <w:spacing w:val="0"/>
                <w:sz w:val="20"/>
                <w:lang w:val="en-GB"/>
              </w:rPr>
              <w:t>对残疾</w:t>
            </w:r>
            <w:r>
              <w:rPr>
                <w:rFonts w:ascii="Time New Roman" w:eastAsia="SimHei" w:hAnsi="Time New Roman" w:hint="eastAsia"/>
                <w:bCs/>
                <w:spacing w:val="0"/>
                <w:sz w:val="20"/>
              </w:rPr>
              <w:t>人士的</w:t>
            </w:r>
            <w:r>
              <w:rPr>
                <w:rFonts w:ascii="Time New Roman" w:eastAsia="SimHei" w:hAnsi="Time New Roman" w:hint="eastAsia"/>
                <w:bCs/>
                <w:color w:val="000000"/>
                <w:spacing w:val="0"/>
                <w:sz w:val="20"/>
                <w:lang w:val="en-GB"/>
              </w:rPr>
              <w:t>骚扰</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40</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34</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45</w:t>
            </w:r>
          </w:p>
        </w:tc>
      </w:tr>
      <w:tr w:rsidR="00000000">
        <w:tblPrEx>
          <w:tblCellMar>
            <w:top w:w="0" w:type="dxa"/>
            <w:bottom w:w="0" w:type="dxa"/>
          </w:tblCellMar>
        </w:tblPrEx>
        <w:trPr>
          <w:cantSplit/>
        </w:trPr>
        <w:tc>
          <w:tcPr>
            <w:tcW w:w="3420" w:type="dxa"/>
          </w:tcPr>
          <w:p w:rsidR="00000000" w:rsidRDefault="00000000">
            <w:pPr>
              <w:spacing w:before="40" w:after="40" w:line="220" w:lineRule="exact"/>
              <w:rPr>
                <w:rFonts w:ascii="Time New Roman" w:eastAsia="SimHei" w:hAnsi="Time New Roman" w:hint="eastAsia"/>
                <w:bCs/>
                <w:color w:val="000000"/>
                <w:spacing w:val="0"/>
                <w:sz w:val="20"/>
                <w:lang w:val="en-GB"/>
              </w:rPr>
            </w:pPr>
            <w:r>
              <w:rPr>
                <w:rFonts w:ascii="Time New Roman" w:eastAsia="SimHei" w:hAnsi="Time New Roman" w:hint="eastAsia"/>
                <w:bCs/>
                <w:color w:val="000000"/>
                <w:spacing w:val="0"/>
                <w:sz w:val="20"/>
                <w:lang w:val="en-GB"/>
              </w:rPr>
              <w:t>对残疾</w:t>
            </w:r>
            <w:r>
              <w:rPr>
                <w:rFonts w:ascii="Time New Roman" w:eastAsia="SimHei" w:hAnsi="Time New Roman" w:hint="eastAsia"/>
                <w:bCs/>
                <w:spacing w:val="0"/>
                <w:sz w:val="20"/>
              </w:rPr>
              <w:t>人士的</w:t>
            </w:r>
            <w:r>
              <w:rPr>
                <w:rFonts w:ascii="Time New Roman" w:eastAsia="SimHei" w:hAnsi="Time New Roman" w:hint="eastAsia"/>
                <w:bCs/>
                <w:color w:val="000000"/>
                <w:spacing w:val="0"/>
                <w:sz w:val="20"/>
                <w:lang w:val="en-GB"/>
              </w:rPr>
              <w:t>中伤</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5</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35</w:t>
            </w:r>
          </w:p>
        </w:tc>
        <w:tc>
          <w:tcPr>
            <w:tcW w:w="1740" w:type="dxa"/>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2</w:t>
            </w:r>
          </w:p>
        </w:tc>
      </w:tr>
      <w:tr w:rsidR="00000000">
        <w:tblPrEx>
          <w:tblCellMar>
            <w:top w:w="0" w:type="dxa"/>
            <w:bottom w:w="0" w:type="dxa"/>
          </w:tblCellMar>
        </w:tblPrEx>
        <w:trPr>
          <w:cantSplit/>
        </w:trPr>
        <w:tc>
          <w:tcPr>
            <w:tcW w:w="3420" w:type="dxa"/>
          </w:tcPr>
          <w:p w:rsidR="00000000" w:rsidRDefault="00000000">
            <w:pPr>
              <w:spacing w:before="40" w:after="40" w:line="220" w:lineRule="exact"/>
              <w:rPr>
                <w:rFonts w:ascii="Time New Roman" w:eastAsia="SimHei" w:hAnsi="Time New Roman" w:hint="eastAsia"/>
                <w:bCs/>
                <w:color w:val="000000"/>
                <w:spacing w:val="0"/>
                <w:sz w:val="20"/>
                <w:lang w:val="en-GB"/>
              </w:rPr>
            </w:pPr>
            <w:r>
              <w:rPr>
                <w:rFonts w:ascii="Time New Roman" w:eastAsia="SimHei" w:hAnsi="Time New Roman" w:hint="eastAsia"/>
                <w:bCs/>
                <w:color w:val="000000"/>
                <w:spacing w:val="0"/>
                <w:sz w:val="20"/>
                <w:lang w:val="en-GB"/>
              </w:rPr>
              <w:t>残疾</w:t>
            </w:r>
            <w:r>
              <w:rPr>
                <w:rFonts w:ascii="Time New Roman" w:eastAsia="SimHei" w:hAnsi="Time New Roman" w:hint="eastAsia"/>
                <w:bCs/>
                <w:spacing w:val="0"/>
                <w:sz w:val="20"/>
              </w:rPr>
              <w:t>人士成为受害者</w:t>
            </w:r>
          </w:p>
        </w:tc>
        <w:tc>
          <w:tcPr>
            <w:tcW w:w="1740" w:type="dxa"/>
            <w:tcBorders>
              <w:bottom w:val="single" w:sz="4" w:space="0" w:color="auto"/>
            </w:tcBorders>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4</w:t>
            </w:r>
          </w:p>
        </w:tc>
        <w:tc>
          <w:tcPr>
            <w:tcW w:w="1740" w:type="dxa"/>
            <w:tcBorders>
              <w:bottom w:val="single" w:sz="4" w:space="0" w:color="auto"/>
            </w:tcBorders>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6</w:t>
            </w:r>
          </w:p>
        </w:tc>
        <w:tc>
          <w:tcPr>
            <w:tcW w:w="1740" w:type="dxa"/>
            <w:tcBorders>
              <w:bottom w:val="single" w:sz="4" w:space="0" w:color="auto"/>
            </w:tcBorders>
          </w:tcPr>
          <w:p w:rsidR="00000000" w:rsidRDefault="00000000">
            <w:pPr>
              <w:tabs>
                <w:tab w:val="decimal" w:pos="1082"/>
              </w:tabs>
              <w:spacing w:before="40" w:after="40" w:line="220" w:lineRule="exact"/>
              <w:rPr>
                <w:rFonts w:hint="eastAsia"/>
                <w:color w:val="000000"/>
                <w:spacing w:val="0"/>
                <w:sz w:val="20"/>
                <w:lang w:val="en-GB"/>
              </w:rPr>
            </w:pPr>
            <w:r>
              <w:rPr>
                <w:color w:val="000000"/>
                <w:spacing w:val="0"/>
                <w:sz w:val="20"/>
                <w:lang w:val="en-GB"/>
              </w:rPr>
              <w:t>6</w:t>
            </w:r>
          </w:p>
        </w:tc>
      </w:tr>
      <w:tr w:rsidR="00000000">
        <w:tblPrEx>
          <w:tblCellMar>
            <w:top w:w="0" w:type="dxa"/>
            <w:bottom w:w="0" w:type="dxa"/>
          </w:tblCellMar>
        </w:tblPrEx>
        <w:trPr>
          <w:cantSplit/>
        </w:trPr>
        <w:tc>
          <w:tcPr>
            <w:tcW w:w="3420" w:type="dxa"/>
          </w:tcPr>
          <w:p w:rsidR="00000000" w:rsidRDefault="00000000">
            <w:pPr>
              <w:spacing w:before="40" w:after="40" w:line="220" w:lineRule="exact"/>
              <w:rPr>
                <w:rFonts w:ascii="Time New Roman" w:eastAsia="SimHei" w:hAnsi="Time New Roman" w:hint="eastAsia"/>
                <w:bCs/>
                <w:color w:val="000000"/>
                <w:spacing w:val="0"/>
                <w:sz w:val="20"/>
                <w:lang w:val="en-GB"/>
              </w:rPr>
            </w:pPr>
          </w:p>
        </w:tc>
        <w:tc>
          <w:tcPr>
            <w:tcW w:w="1740" w:type="dxa"/>
            <w:tcBorders>
              <w:top w:val="single" w:sz="4" w:space="0" w:color="auto"/>
            </w:tcBorders>
          </w:tcPr>
          <w:p w:rsidR="00000000" w:rsidRDefault="00000000">
            <w:pPr>
              <w:tabs>
                <w:tab w:val="decimal" w:pos="1082"/>
              </w:tabs>
              <w:spacing w:before="40" w:after="40" w:line="220" w:lineRule="exact"/>
              <w:rPr>
                <w:rFonts w:eastAsia="SimHei" w:hint="eastAsia"/>
                <w:b/>
                <w:bCs/>
                <w:color w:val="000000"/>
                <w:spacing w:val="0"/>
                <w:sz w:val="20"/>
                <w:lang w:val="en-GB"/>
              </w:rPr>
            </w:pPr>
            <w:r>
              <w:rPr>
                <w:rFonts w:eastAsia="SimHei"/>
                <w:b/>
                <w:bCs/>
                <w:color w:val="000000"/>
                <w:spacing w:val="0"/>
                <w:sz w:val="20"/>
                <w:lang w:val="en-GB"/>
              </w:rPr>
              <w:t>339</w:t>
            </w:r>
          </w:p>
        </w:tc>
        <w:tc>
          <w:tcPr>
            <w:tcW w:w="1740" w:type="dxa"/>
            <w:tcBorders>
              <w:top w:val="single" w:sz="4" w:space="0" w:color="auto"/>
            </w:tcBorders>
          </w:tcPr>
          <w:p w:rsidR="00000000" w:rsidRDefault="00000000">
            <w:pPr>
              <w:tabs>
                <w:tab w:val="decimal" w:pos="1082"/>
              </w:tabs>
              <w:spacing w:before="40" w:after="40" w:line="220" w:lineRule="exact"/>
              <w:rPr>
                <w:rFonts w:eastAsia="SimHei" w:hint="eastAsia"/>
                <w:b/>
                <w:bCs/>
                <w:color w:val="000000"/>
                <w:spacing w:val="0"/>
                <w:sz w:val="20"/>
                <w:lang w:val="en-GB"/>
              </w:rPr>
            </w:pPr>
            <w:r>
              <w:rPr>
                <w:rFonts w:eastAsia="SimHei"/>
                <w:b/>
                <w:bCs/>
                <w:color w:val="000000"/>
                <w:spacing w:val="0"/>
                <w:sz w:val="20"/>
                <w:lang w:val="en-GB"/>
              </w:rPr>
              <w:t>416</w:t>
            </w:r>
          </w:p>
        </w:tc>
        <w:tc>
          <w:tcPr>
            <w:tcW w:w="1740" w:type="dxa"/>
            <w:tcBorders>
              <w:top w:val="single" w:sz="4" w:space="0" w:color="auto"/>
            </w:tcBorders>
          </w:tcPr>
          <w:p w:rsidR="00000000" w:rsidRDefault="00000000">
            <w:pPr>
              <w:tabs>
                <w:tab w:val="decimal" w:pos="1082"/>
              </w:tabs>
              <w:spacing w:before="40" w:after="40" w:line="220" w:lineRule="exact"/>
              <w:rPr>
                <w:rFonts w:eastAsia="SimHei" w:hint="eastAsia"/>
                <w:b/>
                <w:bCs/>
                <w:color w:val="000000"/>
                <w:spacing w:val="0"/>
                <w:sz w:val="20"/>
                <w:lang w:val="en-GB"/>
              </w:rPr>
            </w:pPr>
            <w:r>
              <w:rPr>
                <w:rFonts w:eastAsia="SimHei"/>
                <w:b/>
                <w:bCs/>
                <w:color w:val="000000"/>
                <w:spacing w:val="0"/>
                <w:sz w:val="20"/>
                <w:lang w:val="en-GB"/>
              </w:rPr>
              <w:t>341</w:t>
            </w:r>
          </w:p>
        </w:tc>
      </w:tr>
    </w:tbl>
    <w:p w:rsidR="00000000" w:rsidRDefault="00000000">
      <w:pPr>
        <w:rPr>
          <w:rFonts w:hint="eastAsia"/>
        </w:rPr>
      </w:pPr>
    </w:p>
    <w:p w:rsidR="00000000" w:rsidRDefault="00000000">
      <w:pPr>
        <w:spacing w:after="160"/>
        <w:rPr>
          <w:rFonts w:hint="eastAsia"/>
        </w:rPr>
      </w:pPr>
      <w:r>
        <w:tab/>
        <w:t xml:space="preserve">652.  </w:t>
      </w:r>
      <w:r>
        <w:rPr>
          <w:rFonts w:hint="eastAsia"/>
        </w:rPr>
        <w:t>投诉中约有</w:t>
      </w:r>
      <w:r>
        <w:t>67.2%(736</w:t>
      </w:r>
      <w:r>
        <w:rPr>
          <w:rFonts w:hint="eastAsia"/>
        </w:rPr>
        <w:t>宗</w:t>
      </w:r>
      <w:r>
        <w:t>)</w:t>
      </w:r>
      <w:r>
        <w:rPr>
          <w:rFonts w:hint="eastAsia"/>
        </w:rPr>
        <w:t>与就业有关。余下</w:t>
      </w:r>
      <w:r>
        <w:t>32.83%(360</w:t>
      </w:r>
      <w:r>
        <w:rPr>
          <w:rFonts w:hint="eastAsia"/>
        </w:rPr>
        <w:t>宗</w:t>
      </w:r>
      <w:r>
        <w:t>)</w:t>
      </w:r>
      <w:r>
        <w:rPr>
          <w:rFonts w:hint="eastAsia"/>
        </w:rPr>
        <w:t>的投诉，大部分亦与提供货物、服务、设施及进出楼宇有关，并占所有非与就业有关的投诉的</w:t>
      </w:r>
      <w:r>
        <w:t>77.8%(280</w:t>
      </w:r>
      <w:r>
        <w:rPr>
          <w:rFonts w:hint="eastAsia"/>
        </w:rPr>
        <w:t>宗</w:t>
      </w:r>
      <w:r>
        <w:t>)</w:t>
      </w:r>
      <w:r>
        <w:rPr>
          <w:rFonts w:hint="eastAsia"/>
        </w:rPr>
        <w:t>。透过和解而成功处理投诉的有</w:t>
      </w:r>
      <w:r>
        <w:t>57.8%</w:t>
      </w:r>
      <w:r>
        <w:rPr>
          <w:rFonts w:hint="eastAsia"/>
        </w:rPr>
        <w:t>。</w:t>
      </w:r>
    </w:p>
    <w:p w:rsidR="00000000" w:rsidRDefault="00000000">
      <w:pPr>
        <w:pStyle w:val="Heading4"/>
        <w:spacing w:after="160"/>
        <w:rPr>
          <w:rFonts w:hint="eastAsia"/>
        </w:rPr>
      </w:pPr>
      <w:r>
        <w:rPr>
          <w:rFonts w:hint="eastAsia"/>
        </w:rPr>
        <w:t>法律协助</w:t>
      </w:r>
    </w:p>
    <w:p w:rsidR="00000000" w:rsidRDefault="00000000">
      <w:pPr>
        <w:rPr>
          <w:rFonts w:hint="eastAsia"/>
        </w:rPr>
      </w:pPr>
      <w:r>
        <w:tab/>
        <w:t xml:space="preserve">653.  </w:t>
      </w:r>
      <w:r>
        <w:rPr>
          <w:rFonts w:hint="eastAsia"/>
        </w:rPr>
        <w:t>如属下列情况，平机会会对诉讼提供援助：</w:t>
      </w:r>
    </w:p>
    <w:p w:rsidR="00000000" w:rsidRDefault="00000000">
      <w:pPr>
        <w:ind w:left="1510" w:hanging="510"/>
        <w:rPr>
          <w:rFonts w:hint="eastAsia"/>
        </w:rPr>
      </w:pPr>
      <w:r>
        <w:t>(a)</w:t>
      </w:r>
      <w:r>
        <w:tab/>
      </w:r>
      <w:r>
        <w:rPr>
          <w:rFonts w:hint="eastAsia"/>
        </w:rPr>
        <w:t>个案带出原则问题；或</w:t>
      </w:r>
    </w:p>
    <w:p w:rsidR="00000000" w:rsidRDefault="00000000">
      <w:pPr>
        <w:ind w:left="1510" w:hanging="510"/>
        <w:rPr>
          <w:rFonts w:hint="eastAsia"/>
        </w:rPr>
      </w:pPr>
      <w:r>
        <w:t>(b)</w:t>
      </w:r>
      <w:r>
        <w:tab/>
      </w:r>
      <w:r>
        <w:rPr>
          <w:rFonts w:hint="eastAsia"/>
        </w:rPr>
        <w:t>个案与公众利益有关；或</w:t>
      </w:r>
    </w:p>
    <w:p w:rsidR="00000000" w:rsidRDefault="00000000">
      <w:pPr>
        <w:ind w:left="1510" w:hanging="510"/>
        <w:rPr>
          <w:rFonts w:hint="eastAsia"/>
        </w:rPr>
      </w:pPr>
      <w:r>
        <w:t>(c)</w:t>
      </w:r>
      <w:r>
        <w:tab/>
      </w:r>
      <w:r>
        <w:rPr>
          <w:rFonts w:hint="eastAsia"/>
        </w:rPr>
        <w:t>须要援引先例或由法庭诠释以澄清法律观点；或</w:t>
      </w:r>
    </w:p>
    <w:p w:rsidR="00000000" w:rsidRDefault="00000000">
      <w:pPr>
        <w:ind w:left="1510" w:hanging="510"/>
        <w:rPr>
          <w:rFonts w:hint="eastAsia"/>
        </w:rPr>
      </w:pPr>
      <w:r>
        <w:t>(d)</w:t>
      </w:r>
      <w:r>
        <w:tab/>
      </w:r>
      <w:r>
        <w:rPr>
          <w:rFonts w:hint="eastAsia"/>
        </w:rPr>
        <w:t>个案的性质复杂。</w:t>
      </w:r>
    </w:p>
    <w:p w:rsidR="00000000" w:rsidRDefault="00000000">
      <w:pPr>
        <w:spacing w:after="160"/>
        <w:rPr>
          <w:rFonts w:hint="eastAsia"/>
        </w:rPr>
      </w:pPr>
      <w:r>
        <w:rPr>
          <w:rFonts w:hint="eastAsia"/>
        </w:rPr>
        <w:t>在二零零零至零二年期间，曾作出考虑的个案数目如下：</w:t>
      </w:r>
    </w:p>
    <w:tbl>
      <w:tblPr>
        <w:tblW w:w="0" w:type="auto"/>
        <w:tblInd w:w="568" w:type="dxa"/>
        <w:tblLayout w:type="fixed"/>
        <w:tblCellMar>
          <w:left w:w="28" w:type="dxa"/>
          <w:right w:w="28" w:type="dxa"/>
        </w:tblCellMar>
        <w:tblLook w:val="0000" w:firstRow="0" w:lastRow="0" w:firstColumn="0" w:lastColumn="0" w:noHBand="0" w:noVBand="0"/>
      </w:tblPr>
      <w:tblGrid>
        <w:gridCol w:w="831"/>
        <w:gridCol w:w="1698"/>
        <w:gridCol w:w="1698"/>
        <w:gridCol w:w="1698"/>
        <w:gridCol w:w="1698"/>
      </w:tblGrid>
      <w:tr w:rsidR="00000000">
        <w:tblPrEx>
          <w:tblCellMar>
            <w:top w:w="0" w:type="dxa"/>
            <w:bottom w:w="0" w:type="dxa"/>
          </w:tblCellMar>
        </w:tblPrEx>
        <w:trPr>
          <w:cantSplit/>
          <w:tblHeader/>
        </w:trPr>
        <w:tc>
          <w:tcPr>
            <w:tcW w:w="831" w:type="dxa"/>
            <w:vAlign w:val="center"/>
          </w:tcPr>
          <w:p w:rsidR="00000000" w:rsidRDefault="00000000">
            <w:pPr>
              <w:pStyle w:val="Heading4"/>
              <w:spacing w:before="80" w:after="80" w:line="260" w:lineRule="exact"/>
              <w:jc w:val="center"/>
              <w:rPr>
                <w:rFonts w:eastAsia="SimHei" w:hint="eastAsia"/>
                <w:spacing w:val="0"/>
                <w:sz w:val="20"/>
                <w:u w:val="none"/>
                <w:lang w:val="en-GB"/>
              </w:rPr>
            </w:pPr>
            <w:r>
              <w:rPr>
                <w:rFonts w:eastAsia="SimHei" w:hint="eastAsia"/>
                <w:spacing w:val="0"/>
                <w:sz w:val="20"/>
                <w:u w:val="none"/>
                <w:lang w:val="en-GB"/>
              </w:rPr>
              <w:t>年份</w:t>
            </w:r>
          </w:p>
        </w:tc>
        <w:tc>
          <w:tcPr>
            <w:tcW w:w="1698" w:type="dxa"/>
            <w:vAlign w:val="center"/>
          </w:tcPr>
          <w:p w:rsidR="00000000" w:rsidRDefault="00000000">
            <w:pPr>
              <w:spacing w:before="80" w:after="80" w:line="260" w:lineRule="exact"/>
              <w:jc w:val="center"/>
              <w:rPr>
                <w:rFonts w:eastAsia="SimHei" w:hint="eastAsia"/>
                <w:color w:val="000000"/>
                <w:spacing w:val="0"/>
                <w:sz w:val="20"/>
                <w:lang w:val="en-GB"/>
              </w:rPr>
            </w:pPr>
            <w:r>
              <w:rPr>
                <w:rFonts w:eastAsia="SimHei" w:hint="eastAsia"/>
                <w:color w:val="000000"/>
                <w:spacing w:val="0"/>
                <w:sz w:val="20"/>
                <w:lang w:val="en-GB"/>
              </w:rPr>
              <w:t>获批</w:t>
            </w:r>
          </w:p>
        </w:tc>
        <w:tc>
          <w:tcPr>
            <w:tcW w:w="1698" w:type="dxa"/>
            <w:vAlign w:val="center"/>
          </w:tcPr>
          <w:p w:rsidR="00000000" w:rsidRDefault="00000000">
            <w:pPr>
              <w:pStyle w:val="Heading3"/>
              <w:spacing w:before="80" w:after="80" w:line="260" w:lineRule="exact"/>
              <w:rPr>
                <w:rFonts w:eastAsia="SimHei" w:hint="eastAsia"/>
                <w:spacing w:val="0"/>
                <w:sz w:val="20"/>
                <w:u w:val="none"/>
              </w:rPr>
            </w:pPr>
            <w:bookmarkStart w:id="51" w:name="_Toc78772960"/>
            <w:r>
              <w:rPr>
                <w:rFonts w:eastAsia="SimHei" w:hint="eastAsia"/>
                <w:spacing w:val="0"/>
                <w:sz w:val="20"/>
                <w:u w:val="none"/>
              </w:rPr>
              <w:t>不获批准</w:t>
            </w:r>
            <w:bookmarkEnd w:id="51"/>
          </w:p>
        </w:tc>
        <w:tc>
          <w:tcPr>
            <w:tcW w:w="1698" w:type="dxa"/>
            <w:vAlign w:val="center"/>
          </w:tcPr>
          <w:p w:rsidR="00000000" w:rsidRDefault="00000000">
            <w:pPr>
              <w:spacing w:before="80" w:after="80" w:line="260" w:lineRule="exact"/>
              <w:jc w:val="center"/>
              <w:rPr>
                <w:rFonts w:eastAsia="SimHei" w:hint="eastAsia"/>
                <w:color w:val="000000"/>
                <w:spacing w:val="0"/>
                <w:sz w:val="20"/>
                <w:lang w:val="en-GB"/>
              </w:rPr>
            </w:pPr>
            <w:r>
              <w:rPr>
                <w:rFonts w:eastAsia="SimHei" w:hint="eastAsia"/>
                <w:color w:val="000000"/>
                <w:spacing w:val="0"/>
                <w:sz w:val="20"/>
                <w:lang w:val="en-GB"/>
              </w:rPr>
              <w:t>正在考虑</w:t>
            </w:r>
          </w:p>
        </w:tc>
        <w:tc>
          <w:tcPr>
            <w:tcW w:w="1698" w:type="dxa"/>
            <w:vAlign w:val="center"/>
          </w:tcPr>
          <w:p w:rsidR="00000000" w:rsidRDefault="00000000">
            <w:pPr>
              <w:spacing w:before="80" w:after="80" w:line="260" w:lineRule="exact"/>
              <w:jc w:val="center"/>
              <w:rPr>
                <w:rFonts w:eastAsia="SimHei" w:hint="eastAsia"/>
                <w:color w:val="000000"/>
                <w:spacing w:val="0"/>
                <w:sz w:val="20"/>
                <w:lang w:val="en-GB"/>
              </w:rPr>
            </w:pPr>
            <w:r>
              <w:rPr>
                <w:rFonts w:eastAsia="SimHei" w:hint="eastAsia"/>
                <w:color w:val="000000"/>
                <w:spacing w:val="0"/>
                <w:sz w:val="20"/>
                <w:lang w:val="en-GB"/>
              </w:rPr>
              <w:t>申请总人数</w:t>
            </w:r>
          </w:p>
        </w:tc>
      </w:tr>
      <w:tr w:rsidR="00000000">
        <w:tblPrEx>
          <w:tblCellMar>
            <w:top w:w="0" w:type="dxa"/>
            <w:bottom w:w="0" w:type="dxa"/>
          </w:tblCellMar>
        </w:tblPrEx>
        <w:trPr>
          <w:cantSplit/>
        </w:trPr>
        <w:tc>
          <w:tcPr>
            <w:tcW w:w="831" w:type="dxa"/>
          </w:tcPr>
          <w:p w:rsidR="00000000" w:rsidRDefault="00000000">
            <w:pPr>
              <w:spacing w:before="120" w:after="40" w:line="260" w:lineRule="exact"/>
              <w:jc w:val="center"/>
              <w:rPr>
                <w:rFonts w:hint="eastAsia"/>
                <w:b/>
                <w:bCs/>
                <w:color w:val="000000"/>
                <w:spacing w:val="0"/>
                <w:sz w:val="20"/>
                <w:lang w:val="en-GB"/>
              </w:rPr>
            </w:pPr>
            <w:r>
              <w:rPr>
                <w:b/>
                <w:bCs/>
                <w:color w:val="000000"/>
                <w:spacing w:val="0"/>
                <w:sz w:val="20"/>
                <w:lang w:val="en-GB"/>
              </w:rPr>
              <w:t>2000</w:t>
            </w:r>
          </w:p>
        </w:tc>
        <w:tc>
          <w:tcPr>
            <w:tcW w:w="1698" w:type="dxa"/>
          </w:tcPr>
          <w:p w:rsidR="00000000" w:rsidRDefault="00000000">
            <w:pPr>
              <w:tabs>
                <w:tab w:val="decimal" w:pos="941"/>
              </w:tabs>
              <w:spacing w:before="120" w:after="40" w:line="260" w:lineRule="exact"/>
              <w:rPr>
                <w:rFonts w:hint="eastAsia"/>
                <w:color w:val="000000"/>
                <w:spacing w:val="0"/>
                <w:sz w:val="20"/>
                <w:lang w:val="en-GB"/>
              </w:rPr>
            </w:pPr>
            <w:r>
              <w:rPr>
                <w:color w:val="000000"/>
                <w:spacing w:val="0"/>
                <w:sz w:val="20"/>
                <w:lang w:val="en-GB"/>
              </w:rPr>
              <w:t>10</w:t>
            </w:r>
          </w:p>
        </w:tc>
        <w:tc>
          <w:tcPr>
            <w:tcW w:w="1698" w:type="dxa"/>
          </w:tcPr>
          <w:p w:rsidR="00000000" w:rsidRDefault="00000000">
            <w:pPr>
              <w:tabs>
                <w:tab w:val="decimal" w:pos="941"/>
              </w:tabs>
              <w:spacing w:before="120" w:after="40" w:line="260" w:lineRule="exact"/>
              <w:rPr>
                <w:rFonts w:hint="eastAsia"/>
                <w:color w:val="000000"/>
                <w:spacing w:val="0"/>
                <w:sz w:val="20"/>
                <w:lang w:val="en-GB"/>
              </w:rPr>
            </w:pPr>
            <w:r>
              <w:rPr>
                <w:color w:val="000000"/>
                <w:spacing w:val="0"/>
                <w:sz w:val="20"/>
                <w:lang w:val="en-GB"/>
              </w:rPr>
              <w:t>5</w:t>
            </w:r>
          </w:p>
        </w:tc>
        <w:tc>
          <w:tcPr>
            <w:tcW w:w="1698" w:type="dxa"/>
          </w:tcPr>
          <w:p w:rsidR="00000000" w:rsidRDefault="00000000">
            <w:pPr>
              <w:tabs>
                <w:tab w:val="decimal" w:pos="941"/>
              </w:tabs>
              <w:spacing w:before="120" w:after="40" w:line="260" w:lineRule="exact"/>
              <w:rPr>
                <w:rFonts w:hint="eastAsia"/>
                <w:color w:val="000000"/>
                <w:spacing w:val="0"/>
                <w:sz w:val="20"/>
                <w:lang w:val="en-GB"/>
              </w:rPr>
            </w:pPr>
            <w:r>
              <w:rPr>
                <w:color w:val="000000"/>
                <w:spacing w:val="0"/>
                <w:sz w:val="20"/>
                <w:lang w:val="en-GB"/>
              </w:rPr>
              <w:t>0</w:t>
            </w:r>
          </w:p>
        </w:tc>
        <w:tc>
          <w:tcPr>
            <w:tcW w:w="1698" w:type="dxa"/>
          </w:tcPr>
          <w:p w:rsidR="00000000" w:rsidRDefault="00000000">
            <w:pPr>
              <w:tabs>
                <w:tab w:val="decimal" w:pos="941"/>
              </w:tabs>
              <w:spacing w:before="120" w:after="40" w:line="260" w:lineRule="exact"/>
              <w:rPr>
                <w:rFonts w:hint="eastAsia"/>
                <w:color w:val="000000"/>
                <w:spacing w:val="0"/>
                <w:sz w:val="20"/>
                <w:lang w:val="en-GB"/>
              </w:rPr>
            </w:pPr>
            <w:r>
              <w:rPr>
                <w:color w:val="000000"/>
                <w:spacing w:val="0"/>
                <w:sz w:val="20"/>
                <w:lang w:val="en-GB"/>
              </w:rPr>
              <w:t>15</w:t>
            </w:r>
          </w:p>
        </w:tc>
      </w:tr>
      <w:tr w:rsidR="00000000">
        <w:tblPrEx>
          <w:tblCellMar>
            <w:top w:w="0" w:type="dxa"/>
            <w:bottom w:w="0" w:type="dxa"/>
          </w:tblCellMar>
        </w:tblPrEx>
        <w:trPr>
          <w:cantSplit/>
        </w:trPr>
        <w:tc>
          <w:tcPr>
            <w:tcW w:w="831" w:type="dxa"/>
          </w:tcPr>
          <w:p w:rsidR="00000000" w:rsidRDefault="00000000">
            <w:pPr>
              <w:spacing w:before="40" w:after="40" w:line="260" w:lineRule="exact"/>
              <w:jc w:val="center"/>
              <w:rPr>
                <w:rFonts w:hint="eastAsia"/>
                <w:b/>
                <w:bCs/>
                <w:color w:val="000000"/>
                <w:spacing w:val="0"/>
                <w:sz w:val="20"/>
                <w:lang w:val="en-GB"/>
              </w:rPr>
            </w:pPr>
            <w:r>
              <w:rPr>
                <w:b/>
                <w:bCs/>
                <w:color w:val="000000"/>
                <w:spacing w:val="0"/>
                <w:sz w:val="20"/>
                <w:lang w:val="en-GB"/>
              </w:rPr>
              <w:t>2001</w:t>
            </w:r>
          </w:p>
        </w:tc>
        <w:tc>
          <w:tcPr>
            <w:tcW w:w="1698" w:type="dxa"/>
          </w:tcPr>
          <w:p w:rsidR="00000000" w:rsidRDefault="00000000">
            <w:pPr>
              <w:tabs>
                <w:tab w:val="decimal" w:pos="941"/>
              </w:tabs>
              <w:spacing w:before="40" w:after="40" w:line="260" w:lineRule="exact"/>
              <w:rPr>
                <w:rFonts w:hint="eastAsia"/>
                <w:color w:val="000000"/>
                <w:spacing w:val="0"/>
                <w:sz w:val="20"/>
                <w:lang w:val="en-GB"/>
              </w:rPr>
            </w:pPr>
            <w:r>
              <w:rPr>
                <w:color w:val="000000"/>
                <w:spacing w:val="0"/>
                <w:sz w:val="20"/>
                <w:lang w:val="en-GB"/>
              </w:rPr>
              <w:t>5</w:t>
            </w:r>
          </w:p>
        </w:tc>
        <w:tc>
          <w:tcPr>
            <w:tcW w:w="1698" w:type="dxa"/>
          </w:tcPr>
          <w:p w:rsidR="00000000" w:rsidRDefault="00000000">
            <w:pPr>
              <w:tabs>
                <w:tab w:val="decimal" w:pos="941"/>
              </w:tabs>
              <w:spacing w:before="40" w:after="40" w:line="260" w:lineRule="exact"/>
              <w:rPr>
                <w:rFonts w:hint="eastAsia"/>
                <w:color w:val="000000"/>
                <w:spacing w:val="0"/>
                <w:sz w:val="20"/>
                <w:lang w:val="en-GB"/>
              </w:rPr>
            </w:pPr>
            <w:r>
              <w:rPr>
                <w:color w:val="000000"/>
                <w:spacing w:val="0"/>
                <w:sz w:val="20"/>
                <w:lang w:val="en-GB"/>
              </w:rPr>
              <w:t>13</w:t>
            </w:r>
          </w:p>
        </w:tc>
        <w:tc>
          <w:tcPr>
            <w:tcW w:w="1698" w:type="dxa"/>
          </w:tcPr>
          <w:p w:rsidR="00000000" w:rsidRDefault="00000000">
            <w:pPr>
              <w:tabs>
                <w:tab w:val="decimal" w:pos="941"/>
              </w:tabs>
              <w:spacing w:before="40" w:after="40" w:line="260" w:lineRule="exact"/>
              <w:rPr>
                <w:rFonts w:hint="eastAsia"/>
                <w:color w:val="000000"/>
                <w:spacing w:val="0"/>
                <w:sz w:val="20"/>
                <w:lang w:val="en-GB"/>
              </w:rPr>
            </w:pPr>
            <w:r>
              <w:rPr>
                <w:color w:val="000000"/>
                <w:spacing w:val="0"/>
                <w:sz w:val="20"/>
                <w:lang w:val="en-GB"/>
              </w:rPr>
              <w:t>0</w:t>
            </w:r>
          </w:p>
        </w:tc>
        <w:tc>
          <w:tcPr>
            <w:tcW w:w="1698" w:type="dxa"/>
          </w:tcPr>
          <w:p w:rsidR="00000000" w:rsidRDefault="00000000">
            <w:pPr>
              <w:tabs>
                <w:tab w:val="decimal" w:pos="941"/>
              </w:tabs>
              <w:spacing w:before="40" w:after="40" w:line="260" w:lineRule="exact"/>
              <w:rPr>
                <w:rFonts w:hint="eastAsia"/>
                <w:color w:val="000000"/>
                <w:spacing w:val="0"/>
                <w:sz w:val="20"/>
                <w:lang w:val="en-GB"/>
              </w:rPr>
            </w:pPr>
            <w:r>
              <w:rPr>
                <w:color w:val="000000"/>
                <w:spacing w:val="0"/>
                <w:sz w:val="20"/>
                <w:lang w:val="en-GB"/>
              </w:rPr>
              <w:t>18</w:t>
            </w:r>
          </w:p>
        </w:tc>
      </w:tr>
      <w:tr w:rsidR="00000000">
        <w:tblPrEx>
          <w:tblCellMar>
            <w:top w:w="0" w:type="dxa"/>
            <w:bottom w:w="0" w:type="dxa"/>
          </w:tblCellMar>
        </w:tblPrEx>
        <w:trPr>
          <w:cantSplit/>
        </w:trPr>
        <w:tc>
          <w:tcPr>
            <w:tcW w:w="831" w:type="dxa"/>
            <w:tcBorders>
              <w:bottom w:val="single" w:sz="4" w:space="0" w:color="auto"/>
            </w:tcBorders>
          </w:tcPr>
          <w:p w:rsidR="00000000" w:rsidRDefault="00000000">
            <w:pPr>
              <w:spacing w:before="40" w:after="40" w:line="260" w:lineRule="exact"/>
              <w:jc w:val="center"/>
              <w:rPr>
                <w:rFonts w:hint="eastAsia"/>
                <w:b/>
                <w:bCs/>
                <w:color w:val="000000"/>
                <w:spacing w:val="0"/>
                <w:sz w:val="20"/>
                <w:lang w:val="en-GB"/>
              </w:rPr>
            </w:pPr>
            <w:r>
              <w:rPr>
                <w:b/>
                <w:bCs/>
                <w:color w:val="000000"/>
                <w:spacing w:val="0"/>
                <w:sz w:val="20"/>
                <w:lang w:val="en-GB"/>
              </w:rPr>
              <w:t>2002</w:t>
            </w:r>
          </w:p>
        </w:tc>
        <w:tc>
          <w:tcPr>
            <w:tcW w:w="1698" w:type="dxa"/>
            <w:tcBorders>
              <w:bottom w:val="single" w:sz="4" w:space="0" w:color="auto"/>
            </w:tcBorders>
          </w:tcPr>
          <w:p w:rsidR="00000000" w:rsidRDefault="00000000">
            <w:pPr>
              <w:tabs>
                <w:tab w:val="decimal" w:pos="941"/>
              </w:tabs>
              <w:spacing w:before="40" w:after="40" w:line="260" w:lineRule="exact"/>
              <w:rPr>
                <w:rFonts w:hint="eastAsia"/>
                <w:color w:val="000000"/>
                <w:spacing w:val="0"/>
                <w:sz w:val="20"/>
                <w:lang w:val="en-GB"/>
              </w:rPr>
            </w:pPr>
            <w:r>
              <w:rPr>
                <w:color w:val="000000"/>
                <w:spacing w:val="0"/>
                <w:sz w:val="20"/>
                <w:lang w:val="en-GB"/>
              </w:rPr>
              <w:t>8</w:t>
            </w:r>
          </w:p>
        </w:tc>
        <w:tc>
          <w:tcPr>
            <w:tcW w:w="1698" w:type="dxa"/>
            <w:tcBorders>
              <w:bottom w:val="single" w:sz="4" w:space="0" w:color="auto"/>
            </w:tcBorders>
          </w:tcPr>
          <w:p w:rsidR="00000000" w:rsidRDefault="00000000">
            <w:pPr>
              <w:tabs>
                <w:tab w:val="decimal" w:pos="941"/>
              </w:tabs>
              <w:spacing w:before="40" w:after="40" w:line="260" w:lineRule="exact"/>
              <w:rPr>
                <w:rFonts w:hint="eastAsia"/>
                <w:color w:val="000000"/>
                <w:spacing w:val="0"/>
                <w:sz w:val="20"/>
                <w:lang w:val="en-GB"/>
              </w:rPr>
            </w:pPr>
            <w:r>
              <w:rPr>
                <w:color w:val="000000"/>
                <w:spacing w:val="0"/>
                <w:sz w:val="20"/>
                <w:lang w:val="en-GB"/>
              </w:rPr>
              <w:t>27</w:t>
            </w:r>
          </w:p>
        </w:tc>
        <w:tc>
          <w:tcPr>
            <w:tcW w:w="1698" w:type="dxa"/>
            <w:tcBorders>
              <w:bottom w:val="single" w:sz="4" w:space="0" w:color="auto"/>
            </w:tcBorders>
          </w:tcPr>
          <w:p w:rsidR="00000000" w:rsidRDefault="00000000">
            <w:pPr>
              <w:tabs>
                <w:tab w:val="decimal" w:pos="941"/>
              </w:tabs>
              <w:spacing w:before="40" w:after="40" w:line="260" w:lineRule="exact"/>
              <w:rPr>
                <w:rFonts w:hint="eastAsia"/>
                <w:color w:val="000000"/>
                <w:spacing w:val="0"/>
                <w:sz w:val="20"/>
                <w:lang w:val="en-GB"/>
              </w:rPr>
            </w:pPr>
            <w:r>
              <w:rPr>
                <w:color w:val="000000"/>
                <w:spacing w:val="0"/>
                <w:sz w:val="20"/>
                <w:lang w:val="en-GB"/>
              </w:rPr>
              <w:t>3</w:t>
            </w:r>
          </w:p>
        </w:tc>
        <w:tc>
          <w:tcPr>
            <w:tcW w:w="1698" w:type="dxa"/>
            <w:tcBorders>
              <w:bottom w:val="single" w:sz="4" w:space="0" w:color="auto"/>
            </w:tcBorders>
          </w:tcPr>
          <w:p w:rsidR="00000000" w:rsidRDefault="00000000">
            <w:pPr>
              <w:tabs>
                <w:tab w:val="decimal" w:pos="941"/>
              </w:tabs>
              <w:spacing w:before="40" w:after="40" w:line="260" w:lineRule="exact"/>
              <w:rPr>
                <w:rFonts w:hint="eastAsia"/>
                <w:color w:val="000000"/>
                <w:spacing w:val="0"/>
                <w:sz w:val="20"/>
                <w:lang w:val="en-GB"/>
              </w:rPr>
            </w:pPr>
            <w:r>
              <w:rPr>
                <w:color w:val="000000"/>
                <w:spacing w:val="0"/>
                <w:sz w:val="20"/>
                <w:lang w:val="en-GB"/>
              </w:rPr>
              <w:t>38</w:t>
            </w:r>
          </w:p>
        </w:tc>
      </w:tr>
      <w:tr w:rsidR="00000000">
        <w:tblPrEx>
          <w:tblCellMar>
            <w:top w:w="0" w:type="dxa"/>
            <w:bottom w:w="0" w:type="dxa"/>
          </w:tblCellMar>
        </w:tblPrEx>
        <w:trPr>
          <w:cantSplit/>
        </w:trPr>
        <w:tc>
          <w:tcPr>
            <w:tcW w:w="831" w:type="dxa"/>
            <w:tcBorders>
              <w:top w:val="single" w:sz="4" w:space="0" w:color="auto"/>
            </w:tcBorders>
          </w:tcPr>
          <w:p w:rsidR="00000000" w:rsidRDefault="00000000">
            <w:pPr>
              <w:spacing w:before="40" w:after="40" w:line="260" w:lineRule="exact"/>
              <w:rPr>
                <w:rFonts w:hint="eastAsia"/>
                <w:color w:val="000000"/>
                <w:spacing w:val="0"/>
                <w:sz w:val="20"/>
                <w:lang w:val="en-GB"/>
              </w:rPr>
            </w:pPr>
          </w:p>
        </w:tc>
        <w:tc>
          <w:tcPr>
            <w:tcW w:w="1698" w:type="dxa"/>
            <w:tcBorders>
              <w:top w:val="single" w:sz="4" w:space="0" w:color="auto"/>
            </w:tcBorders>
          </w:tcPr>
          <w:p w:rsidR="00000000" w:rsidRDefault="00000000">
            <w:pPr>
              <w:tabs>
                <w:tab w:val="decimal" w:pos="941"/>
              </w:tabs>
              <w:spacing w:before="40" w:after="40" w:line="260" w:lineRule="exact"/>
              <w:rPr>
                <w:rFonts w:hint="eastAsia"/>
                <w:b/>
                <w:bCs/>
                <w:color w:val="000000"/>
                <w:spacing w:val="0"/>
                <w:sz w:val="20"/>
                <w:lang w:val="en-GB"/>
              </w:rPr>
            </w:pPr>
            <w:r>
              <w:rPr>
                <w:b/>
                <w:bCs/>
                <w:color w:val="000000"/>
                <w:spacing w:val="0"/>
                <w:sz w:val="20"/>
                <w:lang w:val="en-GB"/>
              </w:rPr>
              <w:t>23</w:t>
            </w:r>
          </w:p>
        </w:tc>
        <w:tc>
          <w:tcPr>
            <w:tcW w:w="1698" w:type="dxa"/>
            <w:tcBorders>
              <w:top w:val="single" w:sz="4" w:space="0" w:color="auto"/>
            </w:tcBorders>
          </w:tcPr>
          <w:p w:rsidR="00000000" w:rsidRDefault="00000000">
            <w:pPr>
              <w:tabs>
                <w:tab w:val="decimal" w:pos="941"/>
              </w:tabs>
              <w:spacing w:before="40" w:after="40" w:line="260" w:lineRule="exact"/>
              <w:rPr>
                <w:rFonts w:hint="eastAsia"/>
                <w:b/>
                <w:bCs/>
                <w:color w:val="000000"/>
                <w:spacing w:val="0"/>
                <w:sz w:val="20"/>
                <w:lang w:val="en-GB"/>
              </w:rPr>
            </w:pPr>
            <w:r>
              <w:rPr>
                <w:b/>
                <w:bCs/>
                <w:color w:val="000000"/>
                <w:spacing w:val="0"/>
                <w:sz w:val="20"/>
                <w:lang w:val="en-GB"/>
              </w:rPr>
              <w:t>45</w:t>
            </w:r>
          </w:p>
        </w:tc>
        <w:tc>
          <w:tcPr>
            <w:tcW w:w="1698" w:type="dxa"/>
            <w:tcBorders>
              <w:top w:val="single" w:sz="4" w:space="0" w:color="auto"/>
            </w:tcBorders>
          </w:tcPr>
          <w:p w:rsidR="00000000" w:rsidRDefault="00000000">
            <w:pPr>
              <w:tabs>
                <w:tab w:val="decimal" w:pos="941"/>
              </w:tabs>
              <w:spacing w:before="40" w:after="40" w:line="260" w:lineRule="exact"/>
              <w:rPr>
                <w:rFonts w:hint="eastAsia"/>
                <w:b/>
                <w:bCs/>
                <w:color w:val="000000"/>
                <w:spacing w:val="0"/>
                <w:sz w:val="20"/>
                <w:lang w:val="en-GB"/>
              </w:rPr>
            </w:pPr>
            <w:r>
              <w:rPr>
                <w:b/>
                <w:bCs/>
                <w:color w:val="000000"/>
                <w:spacing w:val="0"/>
                <w:sz w:val="20"/>
                <w:lang w:val="en-GB"/>
              </w:rPr>
              <w:t>3</w:t>
            </w:r>
          </w:p>
        </w:tc>
        <w:tc>
          <w:tcPr>
            <w:tcW w:w="1698" w:type="dxa"/>
            <w:tcBorders>
              <w:top w:val="single" w:sz="4" w:space="0" w:color="auto"/>
            </w:tcBorders>
          </w:tcPr>
          <w:p w:rsidR="00000000" w:rsidRDefault="00000000">
            <w:pPr>
              <w:tabs>
                <w:tab w:val="decimal" w:pos="941"/>
              </w:tabs>
              <w:spacing w:before="40" w:after="40" w:line="260" w:lineRule="exact"/>
              <w:rPr>
                <w:rFonts w:hint="eastAsia"/>
                <w:b/>
                <w:bCs/>
                <w:color w:val="000000"/>
                <w:spacing w:val="0"/>
                <w:sz w:val="20"/>
                <w:lang w:val="en-GB"/>
              </w:rPr>
            </w:pPr>
            <w:r>
              <w:rPr>
                <w:b/>
                <w:bCs/>
                <w:color w:val="000000"/>
                <w:spacing w:val="0"/>
                <w:sz w:val="20"/>
                <w:lang w:val="en-GB"/>
              </w:rPr>
              <w:t>71</w:t>
            </w:r>
          </w:p>
        </w:tc>
      </w:tr>
    </w:tbl>
    <w:p w:rsidR="00000000" w:rsidRDefault="00000000">
      <w:pPr>
        <w:pStyle w:val="Heading4"/>
        <w:spacing w:before="300"/>
        <w:rPr>
          <w:rFonts w:hint="eastAsia"/>
        </w:rPr>
      </w:pPr>
      <w:r>
        <w:rPr>
          <w:rFonts w:hint="eastAsia"/>
          <w:u w:val="none"/>
        </w:rPr>
        <w:t>《</w:t>
      </w:r>
      <w:r>
        <w:rPr>
          <w:rFonts w:hint="eastAsia"/>
        </w:rPr>
        <w:t>残疾歧视条例》教育实务守则</w:t>
      </w:r>
    </w:p>
    <w:p w:rsidR="00000000" w:rsidRDefault="00000000">
      <w:r>
        <w:tab/>
        <w:t xml:space="preserve">654.  </w:t>
      </w:r>
      <w:r>
        <w:rPr>
          <w:rFonts w:hint="eastAsia"/>
        </w:rPr>
        <w:t>教育对帮助残疾人士完全融入社会至关重要。有见及此，平机会在二零零一年经广泛征询教育工作者、残疾人士及市民的意见后，出版了《残疾歧视条例》教育实务守则。同年七月，即二零零一至零二学年开始前，我们开始遵守该份实务守则。目前已分发了大约</w:t>
      </w:r>
      <w:r>
        <w:t>33,500</w:t>
      </w:r>
      <w:r>
        <w:rPr>
          <w:rFonts w:hint="eastAsia"/>
        </w:rPr>
        <w:t>份实务守则</w:t>
      </w:r>
      <w:r>
        <w:rPr>
          <w:rStyle w:val="FootnoteReference"/>
        </w:rPr>
        <w:footnoteReference w:customMarkFollows="1" w:id="60"/>
        <w:t>47</w:t>
      </w:r>
      <w:r>
        <w:t xml:space="preserve"> </w:t>
      </w:r>
      <w:r>
        <w:rPr>
          <w:rFonts w:hint="eastAsia"/>
        </w:rPr>
        <w:t>。</w:t>
      </w:r>
    </w:p>
    <w:p w:rsidR="00000000" w:rsidRDefault="00000000">
      <w:pPr>
        <w:widowControl w:val="0"/>
        <w:rPr>
          <w:rFonts w:hint="eastAsia"/>
        </w:rPr>
      </w:pPr>
      <w:r>
        <w:tab/>
        <w:t xml:space="preserve">655.  </w:t>
      </w:r>
      <w:r>
        <w:rPr>
          <w:rFonts w:hint="eastAsia"/>
        </w:rPr>
        <w:t>其后，平机会与教育统筹局</w:t>
      </w:r>
      <w:r>
        <w:t>(</w:t>
      </w:r>
      <w:r>
        <w:rPr>
          <w:rFonts w:hint="eastAsia"/>
        </w:rPr>
        <w:t>教统局</w:t>
      </w:r>
      <w:r>
        <w:t>)</w:t>
      </w:r>
      <w:r>
        <w:rPr>
          <w:rFonts w:hint="eastAsia"/>
        </w:rPr>
        <w:t>、关注团体和专业人员合作，以确保有足够的支援提供予学校、残疾儿童及其家长。定期工作小组会议亦处理关注事项，以及统筹各方面的工作，确保实务守则得以遵行。这次合作亦促使教统局设立调解机制，解决家长</w:t>
      </w:r>
      <w:r>
        <w:t>/</w:t>
      </w:r>
      <w:r>
        <w:rPr>
          <w:rFonts w:hint="eastAsia"/>
        </w:rPr>
        <w:t>学生与学校之间的纠纷，并发表有关实务守则的资料，供学校及家长参照。平机会及教统局现正制备有关平等机会的训练教材及实务守则，供学校校长及老师参照。</w:t>
      </w:r>
    </w:p>
    <w:p w:rsidR="00000000" w:rsidRDefault="00000000">
      <w:pPr>
        <w:pStyle w:val="Heading4"/>
        <w:spacing w:before="300"/>
        <w:rPr>
          <w:rFonts w:hint="eastAsia"/>
        </w:rPr>
      </w:pPr>
      <w:r>
        <w:rPr>
          <w:rFonts w:hint="eastAsia"/>
        </w:rPr>
        <w:t>为精神病患者提供特别服务及设施</w:t>
      </w:r>
    </w:p>
    <w:p w:rsidR="00000000" w:rsidRDefault="00000000">
      <w:pPr>
        <w:rPr>
          <w:rFonts w:hint="eastAsia"/>
        </w:rPr>
      </w:pPr>
      <w:r>
        <w:tab/>
        <w:t xml:space="preserve">656.  </w:t>
      </w:r>
      <w:r>
        <w:rPr>
          <w:rFonts w:hint="eastAsia"/>
        </w:rPr>
        <w:t>除了一些发展计划外，情况大致上与首份报告第</w:t>
      </w:r>
      <w:r>
        <w:t>434</w:t>
      </w:r>
      <w:r>
        <w:rPr>
          <w:rFonts w:hint="eastAsia"/>
        </w:rPr>
        <w:t>段所述的相同。医管局顺应国际趋势，现正从提供院舍护理服务，转向集中发展社区精神健康服务，以及加强为康复者提供的外展支援服务。在二零零一至零二年度，医管局与其他基层护理、教育和福利机构携手合作，推行一项试验计划，为有精神问题的青年及早诊断和治疗。在二零零二至零三年度，医管局会推行另一项试验计划，安排精神病患者在一个仿真家居的环境下，进行密集的康复及治疗计划，以帮助他们早日重新融入社会生活。</w:t>
      </w:r>
    </w:p>
    <w:p w:rsidR="00000000" w:rsidRDefault="00000000">
      <w:pPr>
        <w:rPr>
          <w:rFonts w:hint="eastAsia"/>
        </w:rPr>
      </w:pPr>
      <w:r>
        <w:tab/>
        <w:t xml:space="preserve">657.  </w:t>
      </w:r>
      <w:r>
        <w:rPr>
          <w:rFonts w:hint="eastAsia"/>
        </w:rPr>
        <w:t>在二零零一年五月的审议结论第</w:t>
      </w:r>
      <w:r>
        <w:t>20</w:t>
      </w:r>
      <w:r>
        <w:rPr>
          <w:rFonts w:hint="eastAsia"/>
        </w:rPr>
        <w:t>段，委员会“对于香港特区为精神病患者提供的护理服务表示遗憾，理由是香港特区并未有容许医疗当局为病者处方一些成本较高但效能较佳、副作用证实较小的新药。”</w:t>
      </w:r>
    </w:p>
    <w:p w:rsidR="00000000" w:rsidRDefault="00000000">
      <w:pPr>
        <w:rPr>
          <w:rFonts w:hint="eastAsia"/>
        </w:rPr>
      </w:pPr>
      <w:r>
        <w:tab/>
        <w:t xml:space="preserve">658.  </w:t>
      </w:r>
      <w:r>
        <w:rPr>
          <w:rFonts w:hint="eastAsia"/>
        </w:rPr>
        <w:t>就有关情况而言，我们会根据既定的医务惯例，为个别病人处方新的抑制精神药物。因此，有临床需要的病人是不会被拒服用新药。事实上，医管局已获政府额外拨款，以应付对新的抑制精神药物持续增加的需要。服用新药的病人数目由二零零零至零一年度的</w:t>
      </w:r>
      <w:r>
        <w:t>3,000</w:t>
      </w:r>
      <w:r>
        <w:rPr>
          <w:rFonts w:hint="eastAsia"/>
        </w:rPr>
        <w:t>人增至二零零一至零二年度的</w:t>
      </w:r>
      <w:r>
        <w:t>5,000</w:t>
      </w:r>
      <w:r>
        <w:rPr>
          <w:rFonts w:hint="eastAsia"/>
        </w:rPr>
        <w:t>多人。</w:t>
      </w:r>
    </w:p>
    <w:p w:rsidR="00000000" w:rsidRDefault="00000000">
      <w:pPr>
        <w:pStyle w:val="Heading4"/>
        <w:spacing w:before="300"/>
        <w:rPr>
          <w:rFonts w:hint="eastAsia"/>
        </w:rPr>
      </w:pPr>
      <w:r>
        <w:rPr>
          <w:rFonts w:hint="eastAsia"/>
        </w:rPr>
        <w:t>公众教育</w:t>
      </w:r>
    </w:p>
    <w:p w:rsidR="00000000" w:rsidRDefault="00000000">
      <w:pPr>
        <w:rPr>
          <w:rFonts w:hint="eastAsia"/>
        </w:rPr>
      </w:pPr>
      <w:r>
        <w:tab/>
        <w:t xml:space="preserve">659.  </w:t>
      </w:r>
      <w:r>
        <w:rPr>
          <w:rFonts w:hint="eastAsia"/>
        </w:rPr>
        <w:t>在二零零一年五月的审议结论第</w:t>
      </w:r>
      <w:r>
        <w:t>20</w:t>
      </w:r>
      <w:r>
        <w:rPr>
          <w:rFonts w:hint="eastAsia"/>
        </w:rPr>
        <w:t>段，委员会关注到，“香港特区似乎没有积极教育公众，以消除社会对智障人士的歧视。”此外，在该审议结论第</w:t>
      </w:r>
      <w:r>
        <w:t>45</w:t>
      </w:r>
      <w:r>
        <w:rPr>
          <w:rFonts w:hint="eastAsia"/>
        </w:rPr>
        <w:t>段，委员会又促请“香港特区推行公民教育，以消除社会人士对精神病患者的歧视。”</w:t>
      </w:r>
    </w:p>
    <w:p w:rsidR="00000000" w:rsidRDefault="00000000">
      <w:pPr>
        <w:rPr>
          <w:rFonts w:hint="eastAsia"/>
        </w:rPr>
      </w:pPr>
      <w:r>
        <w:tab/>
        <w:t xml:space="preserve">660.  </w:t>
      </w:r>
      <w:r>
        <w:rPr>
          <w:rFonts w:hint="eastAsia"/>
        </w:rPr>
        <w:t>自一九九七年七月以来，香港特区政府动用了超过</w:t>
      </w:r>
      <w:r>
        <w:t>2,300</w:t>
      </w:r>
      <w:r>
        <w:rPr>
          <w:rFonts w:hint="eastAsia"/>
        </w:rPr>
        <w:t>万元，以推行多项公众教育及宣传计划，从而帮助残疾人士融入社会和鼓励公众人士接纳他们。这方面的开支接近一半用于推动市民接纳弱智人士、精神病康复者或精神病患者。</w:t>
      </w:r>
    </w:p>
    <w:p w:rsidR="00000000" w:rsidRDefault="00000000">
      <w:pPr>
        <w:rPr>
          <w:rFonts w:hint="eastAsia"/>
        </w:rPr>
      </w:pPr>
      <w:r>
        <w:tab/>
        <w:t xml:space="preserve">661.  </w:t>
      </w:r>
      <w:r>
        <w:rPr>
          <w:rFonts w:hint="eastAsia"/>
        </w:rPr>
        <w:t>每年推行的公众教育计划包括电视及电台宣传</w:t>
      </w:r>
      <w:r>
        <w:rPr>
          <w:rStyle w:val="FootnoteReference"/>
        </w:rPr>
        <w:footnoteReference w:customMarkFollows="1" w:id="61"/>
        <w:t>48</w:t>
      </w:r>
      <w:r>
        <w:t xml:space="preserve"> </w:t>
      </w:r>
      <w:r>
        <w:rPr>
          <w:rFonts w:hint="eastAsia"/>
        </w:rPr>
        <w:t>，辅以海报宣传、电视剧集、电台讲座、研讨会及聘用残疾人士的良好雇主奖励计划。每年十月，我们会与法定团体及非政府机构合办一个全港性“精神健康月”，以提高市民对精神健康的认识，以及对精神病康复者融入社会的关注。我们亦资助一年一度的“国际复康日”地区庆祝活动。</w:t>
      </w:r>
    </w:p>
    <w:p w:rsidR="00000000" w:rsidRDefault="00000000">
      <w:pPr>
        <w:rPr>
          <w:rFonts w:hint="eastAsia"/>
        </w:rPr>
      </w:pPr>
      <w:r>
        <w:tab/>
        <w:t xml:space="preserve">662.  </w:t>
      </w:r>
      <w:r>
        <w:rPr>
          <w:rFonts w:hint="eastAsia"/>
        </w:rPr>
        <w:t>在二零零二至零三年度，我们动用了</w:t>
      </w:r>
      <w:r>
        <w:t>1,500</w:t>
      </w:r>
      <w:r>
        <w:rPr>
          <w:rFonts w:hint="eastAsia"/>
        </w:rPr>
        <w:t>万元举办多项活动，以纪念“亚太区残疾人士十年”</w:t>
      </w:r>
      <w:r>
        <w:t>(</w:t>
      </w:r>
      <w:r>
        <w:rPr>
          <w:rFonts w:hint="eastAsia"/>
        </w:rPr>
        <w:t>一九九三至二零零二年</w:t>
      </w:r>
      <w:r>
        <w:t>)</w:t>
      </w:r>
      <w:r>
        <w:rPr>
          <w:rFonts w:hint="eastAsia"/>
        </w:rPr>
        <w:t>完结，并标志另一个十年的开始。这些活动的目标是缔造一个和谐共融的社会，鼓励市民接纳残疾人士，包括精神病患者。</w:t>
      </w:r>
    </w:p>
    <w:p w:rsidR="00000000" w:rsidRDefault="00000000">
      <w:pPr>
        <w:rPr>
          <w:rFonts w:hint="eastAsia"/>
        </w:rPr>
      </w:pPr>
      <w:r>
        <w:tab/>
        <w:t xml:space="preserve">663.  </w:t>
      </w:r>
      <w:r>
        <w:rPr>
          <w:rFonts w:hint="eastAsia"/>
        </w:rPr>
        <w:t>我们最近进行一项意见调查，研究市民对残疾人士的态度。调查结果显示，香港市民愈来愈接纳残疾人士。我们会继续审视市民对残疾人士，特别是精神病患者在态度和行为方面的改变。</w:t>
      </w:r>
    </w:p>
    <w:p w:rsidR="00000000" w:rsidRDefault="00000000">
      <w:pPr>
        <w:pStyle w:val="Heading4"/>
        <w:spacing w:before="300"/>
        <w:rPr>
          <w:rFonts w:eastAsia="SimHei" w:hint="eastAsia"/>
          <w:bCs/>
          <w:u w:val="none"/>
        </w:rPr>
      </w:pPr>
      <w:r>
        <w:rPr>
          <w:rFonts w:eastAsia="SimHei" w:hint="eastAsia"/>
          <w:bCs/>
          <w:u w:val="none"/>
        </w:rPr>
        <w:t>环境及工业卫生</w:t>
      </w:r>
    </w:p>
    <w:p w:rsidR="00000000" w:rsidRDefault="00000000">
      <w:pPr>
        <w:pStyle w:val="Heading4"/>
        <w:spacing w:before="300"/>
        <w:rPr>
          <w:rFonts w:hint="eastAsia"/>
        </w:rPr>
      </w:pPr>
      <w:r>
        <w:rPr>
          <w:rFonts w:hint="eastAsia"/>
        </w:rPr>
        <w:t>环境保护策略</w:t>
      </w:r>
    </w:p>
    <w:p w:rsidR="00000000" w:rsidRDefault="00000000">
      <w:pPr>
        <w:rPr>
          <w:rFonts w:hint="eastAsia"/>
        </w:rPr>
      </w:pPr>
      <w:r>
        <w:tab/>
        <w:t xml:space="preserve">664.  </w:t>
      </w:r>
      <w:r>
        <w:rPr>
          <w:rFonts w:hint="eastAsia"/>
        </w:rPr>
        <w:t>行政长官在一九九九年施政报告中指出，空气污染、水污染及固体废物，是香港最严重的环保问题，并建议多项计划，以处理这些问题。他亦承诺政府坚守持续发展的原则。</w:t>
      </w:r>
    </w:p>
    <w:p w:rsidR="00000000" w:rsidRDefault="00000000">
      <w:pPr>
        <w:pStyle w:val="Heading4"/>
        <w:spacing w:before="300"/>
        <w:rPr>
          <w:rFonts w:hint="eastAsia"/>
        </w:rPr>
      </w:pPr>
      <w:r>
        <w:rPr>
          <w:rFonts w:hint="eastAsia"/>
        </w:rPr>
        <w:t>在政府架构内成立持续发展组</w:t>
      </w:r>
    </w:p>
    <w:p w:rsidR="00000000" w:rsidRDefault="00000000">
      <w:pPr>
        <w:rPr>
          <w:rFonts w:hint="eastAsia"/>
        </w:rPr>
      </w:pPr>
      <w:r>
        <w:tab/>
        <w:t xml:space="preserve">665.  </w:t>
      </w:r>
      <w:r>
        <w:rPr>
          <w:rFonts w:hint="eastAsia"/>
        </w:rPr>
        <w:t>持续发展组在二零零一年四月成立，以协调政府内外促进持续发展的措施。自二零零二年四月起，我们引入一套可持续发展评估系统，把可持续发展原理融入政府的决策过程。该组亦负责在社区推动可持续发展。在二零零二年，该组出版刊物和报告、举办流动展览，以及参与不同的座谈会及研讨会，以阐述和探讨有关可持续发展的事项。</w:t>
      </w:r>
    </w:p>
    <w:p w:rsidR="00000000" w:rsidRDefault="00000000">
      <w:pPr>
        <w:pStyle w:val="Heading4"/>
        <w:spacing w:before="300"/>
        <w:rPr>
          <w:rFonts w:hint="eastAsia"/>
        </w:rPr>
      </w:pPr>
      <w:r>
        <w:br w:type="page"/>
      </w:r>
      <w:r>
        <w:rPr>
          <w:rFonts w:hint="eastAsia"/>
        </w:rPr>
        <w:t>实施可持续发展评估制度</w:t>
      </w:r>
    </w:p>
    <w:p w:rsidR="00000000" w:rsidRDefault="00000000">
      <w:pPr>
        <w:widowControl w:val="0"/>
        <w:rPr>
          <w:rFonts w:hint="eastAsia"/>
        </w:rPr>
      </w:pPr>
      <w:r>
        <w:tab/>
        <w:t xml:space="preserve">666.  </w:t>
      </w:r>
      <w:r>
        <w:rPr>
          <w:rFonts w:hint="eastAsia"/>
        </w:rPr>
        <w:t>自二零零二年四月起，所有政府决策局及部门须就其重大措施和计划，进行可持续发展评估，以及在提交予政策委员会</w:t>
      </w:r>
      <w:r>
        <w:rPr>
          <w:rStyle w:val="FootnoteReference"/>
        </w:rPr>
        <w:footnoteReference w:customMarkFollows="1" w:id="62"/>
        <w:t>49</w:t>
      </w:r>
      <w:r>
        <w:t xml:space="preserve"> </w:t>
      </w:r>
      <w:r>
        <w:rPr>
          <w:rFonts w:hint="eastAsia"/>
        </w:rPr>
        <w:t>或行政会议的文件内，阐述可持续发展的结果。可持续发展评估制度规定政</w:t>
      </w:r>
      <w:r>
        <w:rPr>
          <w:rFonts w:hint="eastAsia"/>
          <w:spacing w:val="24"/>
        </w:rPr>
        <w:t>府各个决策局及部门，研究并评估任何会影响香港可持续发展的新措</w:t>
      </w:r>
      <w:r>
        <w:rPr>
          <w:rFonts w:hint="eastAsia"/>
        </w:rPr>
        <w:t>施。</w:t>
      </w:r>
    </w:p>
    <w:p w:rsidR="00000000" w:rsidRDefault="00000000">
      <w:pPr>
        <w:pStyle w:val="Heading4"/>
        <w:spacing w:before="300"/>
        <w:rPr>
          <w:rFonts w:eastAsia="SimHei" w:hint="eastAsia"/>
          <w:bCs/>
          <w:u w:val="none"/>
        </w:rPr>
      </w:pPr>
      <w:r>
        <w:rPr>
          <w:rFonts w:eastAsia="SimHei" w:hint="eastAsia"/>
          <w:bCs/>
          <w:u w:val="none"/>
        </w:rPr>
        <w:t>水污染管制</w:t>
      </w:r>
    </w:p>
    <w:p w:rsidR="00000000" w:rsidRDefault="00000000">
      <w:pPr>
        <w:pStyle w:val="Heading4"/>
        <w:spacing w:before="300"/>
        <w:rPr>
          <w:rFonts w:hint="eastAsia"/>
        </w:rPr>
      </w:pPr>
      <w:r>
        <w:rPr>
          <w:rFonts w:hint="eastAsia"/>
        </w:rPr>
        <w:t>净化海港计划</w:t>
      </w:r>
    </w:p>
    <w:p w:rsidR="00000000" w:rsidRDefault="00000000">
      <w:pPr>
        <w:rPr>
          <w:rFonts w:hint="eastAsia"/>
        </w:rPr>
      </w:pPr>
      <w:r>
        <w:tab/>
        <w:t xml:space="preserve">667.  </w:t>
      </w:r>
      <w:r>
        <w:rPr>
          <w:rFonts w:hint="eastAsia"/>
        </w:rPr>
        <w:t>净化海港计划第一期已于二零零一年十二月全面展开，藉以尽早改善维多利亚港</w:t>
      </w:r>
      <w:r>
        <w:t>(</w:t>
      </w:r>
      <w:r>
        <w:rPr>
          <w:rFonts w:hint="eastAsia"/>
        </w:rPr>
        <w:t>维港</w:t>
      </w:r>
      <w:r>
        <w:t>)</w:t>
      </w:r>
      <w:r>
        <w:rPr>
          <w:rFonts w:hint="eastAsia"/>
        </w:rPr>
        <w:t>的水质。第一期系统现正处理从维港一带的市区收集得的七成污水</w:t>
      </w:r>
      <w:r>
        <w:t>(</w:t>
      </w:r>
      <w:r>
        <w:rPr>
          <w:rFonts w:hint="eastAsia"/>
        </w:rPr>
        <w:t>约</w:t>
      </w:r>
      <w:r>
        <w:t>130</w:t>
      </w:r>
      <w:r>
        <w:rPr>
          <w:rFonts w:hint="eastAsia"/>
        </w:rPr>
        <w:t>万立方米</w:t>
      </w:r>
      <w:r>
        <w:t>)</w:t>
      </w:r>
      <w:r>
        <w:rPr>
          <w:rFonts w:hint="eastAsia"/>
        </w:rPr>
        <w:t>，以及防止每日</w:t>
      </w:r>
      <w:r>
        <w:t>600</w:t>
      </w:r>
      <w:r>
        <w:rPr>
          <w:rFonts w:hint="eastAsia"/>
        </w:rPr>
        <w:t>吨污泥流进维港。在二零零零年十一月，一个国际评审委员会就净化海港计划其余各期的工作提出建议。我们现正进行多项试验和研究，以评审这些建议。这些试验和研究直至二零零三年年底才完成，届时政府经考虑研究结果后，便会征询公众对未来工作的意见。</w:t>
      </w:r>
    </w:p>
    <w:p w:rsidR="00000000" w:rsidRDefault="00000000">
      <w:pPr>
        <w:pStyle w:val="Heading4"/>
        <w:spacing w:before="300"/>
        <w:rPr>
          <w:rFonts w:hint="eastAsia"/>
        </w:rPr>
      </w:pPr>
      <w:r>
        <w:rPr>
          <w:rFonts w:hint="eastAsia"/>
        </w:rPr>
        <w:t>泳滩水质</w:t>
      </w:r>
    </w:p>
    <w:p w:rsidR="00000000" w:rsidRDefault="00000000">
      <w:pPr>
        <w:rPr>
          <w:rFonts w:hint="eastAsia"/>
        </w:rPr>
      </w:pPr>
      <w:r>
        <w:tab/>
        <w:t xml:space="preserve">668.  </w:t>
      </w:r>
      <w:r>
        <w:rPr>
          <w:rFonts w:hint="eastAsia"/>
        </w:rPr>
        <w:t>随着政府不断提供和改善本港的污水处理系统，许多泳滩的水质已有所改善。在二零零二年，</w:t>
      </w:r>
      <w:r>
        <w:t>41</w:t>
      </w:r>
      <w:r>
        <w:rPr>
          <w:rFonts w:hint="eastAsia"/>
        </w:rPr>
        <w:t>个宪报公布的泳滩中，有</w:t>
      </w:r>
      <w:r>
        <w:t>33</w:t>
      </w:r>
      <w:r>
        <w:rPr>
          <w:rFonts w:hint="eastAsia"/>
        </w:rPr>
        <w:t>个符合泳滩的水质指标，占宪报公布的泳滩总数的</w:t>
      </w:r>
      <w:r>
        <w:t>81%</w:t>
      </w:r>
      <w:r>
        <w:rPr>
          <w:rFonts w:hint="eastAsia"/>
        </w:rPr>
        <w:t>，当中</w:t>
      </w:r>
      <w:r>
        <w:t>23</w:t>
      </w:r>
      <w:r>
        <w:rPr>
          <w:rFonts w:hint="eastAsia"/>
        </w:rPr>
        <w:t>个列为水质良好级别，</w:t>
      </w:r>
      <w:r>
        <w:t>10</w:t>
      </w:r>
      <w:r>
        <w:rPr>
          <w:rFonts w:hint="eastAsia"/>
        </w:rPr>
        <w:t>个属一般，</w:t>
      </w:r>
      <w:r>
        <w:t>2</w:t>
      </w:r>
      <w:r>
        <w:rPr>
          <w:rFonts w:hint="eastAsia"/>
        </w:rPr>
        <w:t>个属欠佳及</w:t>
      </w:r>
      <w:r>
        <w:t>6</w:t>
      </w:r>
      <w:r>
        <w:rPr>
          <w:rFonts w:hint="eastAsia"/>
        </w:rPr>
        <w:t>个属极差。至于尚有</w:t>
      </w:r>
      <w:r>
        <w:t>8</w:t>
      </w:r>
      <w:r>
        <w:rPr>
          <w:rFonts w:hint="eastAsia"/>
        </w:rPr>
        <w:t>个泳滩的水质属欠佳或极差级别，原因是这些泳滩的腹地仍排放污染物，以及净化海港计划第一期尚未涵盖的维港地方排放未经处理污染物所致。政府会继续改善排污方法和污水处理工作。</w:t>
      </w:r>
    </w:p>
    <w:p w:rsidR="00000000" w:rsidRDefault="00000000">
      <w:pPr>
        <w:pStyle w:val="Heading4"/>
        <w:spacing w:before="300"/>
        <w:rPr>
          <w:rFonts w:hint="eastAsia"/>
        </w:rPr>
      </w:pPr>
      <w:r>
        <w:rPr>
          <w:rFonts w:hint="eastAsia"/>
        </w:rPr>
        <w:t>海水水质</w:t>
      </w:r>
    </w:p>
    <w:p w:rsidR="00000000" w:rsidRDefault="00000000">
      <w:pPr>
        <w:rPr>
          <w:rFonts w:hint="eastAsia"/>
        </w:rPr>
      </w:pPr>
      <w:r>
        <w:tab/>
        <w:t xml:space="preserve">669.  </w:t>
      </w:r>
      <w:r>
        <w:rPr>
          <w:rFonts w:hint="eastAsia"/>
        </w:rPr>
        <w:t>后海湾的水质与首份报告第</w:t>
      </w:r>
      <w:r>
        <w:t>472</w:t>
      </w:r>
      <w:r>
        <w:rPr>
          <w:rFonts w:hint="eastAsia"/>
        </w:rPr>
        <w:t>段所述的相同。根据上文第</w:t>
      </w:r>
      <w:r>
        <w:t>12.68</w:t>
      </w:r>
      <w:r>
        <w:rPr>
          <w:rFonts w:hint="eastAsia"/>
        </w:rPr>
        <w:t>段所述的原因，维港中部和东部的水质已有显著改善；溶氧量增加了两成至三成，氨含量下降了两成至五成，细菌量也减了约九成。不过，维港西部的水质仍因净化海港计划第一期尚未涵盖的地方排放未经处理污水而受到影响，因此，该处在溶氧量稍微上升，氨含量则略有减少，情况未见很大改善。维港水质是否可以进一步改善，得视乎净化海港计划其余各期的推行情况。</w:t>
      </w:r>
    </w:p>
    <w:p w:rsidR="00000000" w:rsidRDefault="00000000">
      <w:pPr>
        <w:pStyle w:val="Heading4"/>
        <w:spacing w:before="300"/>
        <w:rPr>
          <w:rFonts w:hint="eastAsia"/>
        </w:rPr>
      </w:pPr>
      <w:r>
        <w:rPr>
          <w:rFonts w:hint="eastAsia"/>
        </w:rPr>
        <w:t>特别废物处理</w:t>
      </w:r>
    </w:p>
    <w:p w:rsidR="00000000" w:rsidRDefault="00000000">
      <w:pPr>
        <w:rPr>
          <w:rFonts w:hint="eastAsia"/>
        </w:rPr>
      </w:pPr>
      <w:r>
        <w:tab/>
        <w:t xml:space="preserve">670.  </w:t>
      </w:r>
      <w:r>
        <w:rPr>
          <w:rFonts w:hint="eastAsia"/>
        </w:rPr>
        <w:t>随着修订《废物处理条例》</w:t>
      </w:r>
      <w:r>
        <w:t>(</w:t>
      </w:r>
      <w:r>
        <w:rPr>
          <w:rFonts w:hint="eastAsia"/>
        </w:rPr>
        <w:t>第</w:t>
      </w:r>
      <w:r>
        <w:t>354</w:t>
      </w:r>
      <w:r>
        <w:rPr>
          <w:rFonts w:hint="eastAsia"/>
        </w:rPr>
        <w:t>章</w:t>
      </w:r>
      <w:r>
        <w:t>)</w:t>
      </w:r>
      <w:r>
        <w:rPr>
          <w:rFonts w:hint="eastAsia"/>
        </w:rPr>
        <w:t>，我们会由二零零四年起实施新的法规，对医疗废物的处理、收集和弃置进行规管。我们亦计划在规管纳上轨道时，便善用化学废物处理中心，以处理医疗废物</w:t>
      </w:r>
      <w:r>
        <w:t>(</w:t>
      </w:r>
      <w:r>
        <w:rPr>
          <w:rFonts w:hint="eastAsia"/>
        </w:rPr>
        <w:t>见首份报告第</w:t>
      </w:r>
      <w:r>
        <w:t>474</w:t>
      </w:r>
      <w:r>
        <w:rPr>
          <w:rFonts w:hint="eastAsia"/>
        </w:rPr>
        <w:t>段</w:t>
      </w:r>
      <w:r>
        <w:t>)</w:t>
      </w:r>
      <w:r>
        <w:rPr>
          <w:rFonts w:hint="eastAsia"/>
        </w:rPr>
        <w:t>。此外，我们又在首份报告第</w:t>
      </w:r>
      <w:r>
        <w:t>474</w:t>
      </w:r>
      <w:r>
        <w:rPr>
          <w:rFonts w:hint="eastAsia"/>
        </w:rPr>
        <w:t>段，表示有意兴建一座动物尸体焚化炉，而目前正进行有关的可行性研究。</w:t>
      </w:r>
    </w:p>
    <w:p w:rsidR="00000000" w:rsidRDefault="00000000">
      <w:pPr>
        <w:pStyle w:val="Heading4"/>
        <w:spacing w:before="300"/>
        <w:rPr>
          <w:rFonts w:hint="eastAsia"/>
        </w:rPr>
      </w:pPr>
      <w:r>
        <w:rPr>
          <w:rFonts w:hint="eastAsia"/>
        </w:rPr>
        <w:t>减少废物</w:t>
      </w:r>
    </w:p>
    <w:p w:rsidR="00000000" w:rsidRDefault="00000000">
      <w:pPr>
        <w:rPr>
          <w:rFonts w:hint="eastAsia"/>
        </w:rPr>
      </w:pPr>
      <w:r>
        <w:tab/>
        <w:t xml:space="preserve">671.  </w:t>
      </w:r>
      <w:r>
        <w:rPr>
          <w:rFonts w:hint="eastAsia"/>
        </w:rPr>
        <w:t>我们在一九九八年发布的减少废物纲要计划</w:t>
      </w:r>
      <w:r>
        <w:t>(</w:t>
      </w:r>
      <w:r>
        <w:rPr>
          <w:rFonts w:hint="eastAsia"/>
        </w:rPr>
        <w:t>见首份报告第</w:t>
      </w:r>
      <w:r>
        <w:t>475</w:t>
      </w:r>
      <w:r>
        <w:rPr>
          <w:rFonts w:hint="eastAsia"/>
        </w:rPr>
        <w:t>段</w:t>
      </w:r>
      <w:r>
        <w:t>)</w:t>
      </w:r>
      <w:r>
        <w:rPr>
          <w:rFonts w:hint="eastAsia"/>
        </w:rPr>
        <w:t>仍然有效。我们的废物管理策略包括：避免和减少废物产生；循环再用和再造；以及处理和弃置不可循环再造的废物。防止废物产生和废物回收是我们的重点工作。</w:t>
      </w:r>
    </w:p>
    <w:p w:rsidR="00000000" w:rsidRDefault="00000000">
      <w:pPr>
        <w:pStyle w:val="Heading4"/>
        <w:spacing w:before="300"/>
        <w:rPr>
          <w:rFonts w:hint="eastAsia"/>
        </w:rPr>
      </w:pPr>
      <w:r>
        <w:rPr>
          <w:rFonts w:hint="eastAsia"/>
        </w:rPr>
        <w:t>空气污染管制</w:t>
      </w:r>
    </w:p>
    <w:p w:rsidR="00000000" w:rsidRDefault="00000000">
      <w:pPr>
        <w:rPr>
          <w:rFonts w:hint="eastAsia"/>
        </w:rPr>
      </w:pPr>
      <w:r>
        <w:tab/>
        <w:t xml:space="preserve">672.  </w:t>
      </w:r>
      <w:r>
        <w:rPr>
          <w:rFonts w:hint="eastAsia"/>
        </w:rPr>
        <w:t>我们在一九九九年公布了一项全面的减少车辆排放废气计划，藉以改善空气质素。在该计划全面实施后，我们预计在二零零五年年底前，汽车排放的两大类空气污染物，即可吸入悬浮粒子和氧化氮分别减少了八成及三成。</w:t>
      </w:r>
    </w:p>
    <w:p w:rsidR="00000000" w:rsidRDefault="00000000">
      <w:pPr>
        <w:rPr>
          <w:rFonts w:hint="eastAsia"/>
        </w:rPr>
      </w:pPr>
      <w:r>
        <w:tab/>
        <w:t xml:space="preserve">673.  </w:t>
      </w:r>
      <w:r>
        <w:rPr>
          <w:rFonts w:hint="eastAsia"/>
        </w:rPr>
        <w:t>目前已实施或现正实施的措施包括：</w:t>
      </w:r>
    </w:p>
    <w:p w:rsidR="00000000" w:rsidRDefault="00000000">
      <w:pPr>
        <w:ind w:left="1510" w:hanging="510"/>
      </w:pPr>
      <w:r>
        <w:t>(a)</w:t>
      </w:r>
      <w:r>
        <w:tab/>
      </w:r>
      <w:r>
        <w:rPr>
          <w:rFonts w:eastAsia="SimHei" w:hint="eastAsia"/>
          <w:bCs/>
        </w:rPr>
        <w:t>以石油气的士取代柴油的士</w:t>
      </w:r>
      <w:r>
        <w:rPr>
          <w:rFonts w:hint="eastAsia"/>
        </w:rPr>
        <w:t>：自二零零零年八月起推行一项资助计划后，已有</w:t>
      </w:r>
      <w:r>
        <w:t>93%(</w:t>
      </w:r>
      <w:r>
        <w:rPr>
          <w:rFonts w:hint="eastAsia"/>
        </w:rPr>
        <w:t>即超过</w:t>
      </w:r>
      <w:r>
        <w:t>16 800</w:t>
      </w:r>
      <w:r>
        <w:rPr>
          <w:rFonts w:hint="eastAsia"/>
        </w:rPr>
        <w:t>辆</w:t>
      </w:r>
      <w:r>
        <w:t>)</w:t>
      </w:r>
      <w:r>
        <w:rPr>
          <w:rFonts w:hint="eastAsia"/>
        </w:rPr>
        <w:t>的士改装成石油气的士；</w:t>
      </w:r>
    </w:p>
    <w:p w:rsidR="00000000" w:rsidRDefault="00000000">
      <w:pPr>
        <w:ind w:left="1510" w:hanging="510"/>
        <w:rPr>
          <w:rFonts w:hint="eastAsia"/>
        </w:rPr>
      </w:pPr>
      <w:r>
        <w:t>(b)</w:t>
      </w:r>
      <w:r>
        <w:tab/>
      </w:r>
      <w:r>
        <w:rPr>
          <w:rFonts w:eastAsia="SimHei" w:hint="eastAsia"/>
          <w:bCs/>
        </w:rPr>
        <w:t>以石油气或电动小巴取代柴油小巴</w:t>
      </w:r>
      <w:r>
        <w:rPr>
          <w:rFonts w:hint="eastAsia"/>
        </w:rPr>
        <w:t>：在二零零二年八月开始推行一项资助计划，鼓励车主及早更换其现有的柴油小巴；</w:t>
      </w:r>
    </w:p>
    <w:p w:rsidR="00000000" w:rsidRDefault="00000000">
      <w:pPr>
        <w:ind w:left="1510" w:hanging="510"/>
        <w:rPr>
          <w:rFonts w:hint="eastAsia"/>
        </w:rPr>
      </w:pPr>
      <w:r>
        <w:t>(c)</w:t>
      </w:r>
      <w:r>
        <w:tab/>
      </w:r>
      <w:r>
        <w:rPr>
          <w:rFonts w:eastAsia="SimHei" w:hint="eastAsia"/>
          <w:bCs/>
        </w:rPr>
        <w:t>引入超低硫柴油</w:t>
      </w:r>
      <w:r>
        <w:rPr>
          <w:rFonts w:eastAsia="SimHei"/>
          <w:bCs/>
        </w:rPr>
        <w:t>(</w:t>
      </w:r>
      <w:r>
        <w:rPr>
          <w:rFonts w:eastAsia="SimHei" w:hint="eastAsia"/>
          <w:bCs/>
        </w:rPr>
        <w:t>含硫量不超过</w:t>
      </w:r>
      <w:r>
        <w:rPr>
          <w:rFonts w:eastAsia="SimHei"/>
          <w:b/>
        </w:rPr>
        <w:t>50 ppm)</w:t>
      </w:r>
      <w:r>
        <w:rPr>
          <w:rFonts w:hint="eastAsia"/>
        </w:rPr>
        <w:t>：由二零零零年九月起，超低硫柴油已成为本港提供的唯一汽车柴油，并且是法定的汽车柴油标准；</w:t>
      </w:r>
    </w:p>
    <w:p w:rsidR="00000000" w:rsidRDefault="00000000">
      <w:pPr>
        <w:ind w:left="1510" w:hanging="510"/>
        <w:rPr>
          <w:rFonts w:hint="eastAsia"/>
        </w:rPr>
      </w:pPr>
      <w:r>
        <w:t>(d)</w:t>
      </w:r>
      <w:r>
        <w:tab/>
      </w:r>
      <w:r>
        <w:rPr>
          <w:rFonts w:eastAsia="SimHei" w:hint="eastAsia"/>
          <w:bCs/>
        </w:rPr>
        <w:t>为较旧的柴油车辆加装减少悬浮粒子装置</w:t>
      </w:r>
      <w:r>
        <w:rPr>
          <w:rFonts w:hint="eastAsia"/>
        </w:rPr>
        <w:t>：通过提供现金资助予车主，逾八成前欧洲柴油轻型车辆已加装有关装置。此外，又在二零零二年年底开始为前欧洲柴油重型车辆推行类似计划；</w:t>
      </w:r>
    </w:p>
    <w:p w:rsidR="00000000" w:rsidRDefault="00000000">
      <w:pPr>
        <w:ind w:left="1510" w:hanging="510"/>
        <w:rPr>
          <w:rFonts w:hint="eastAsia"/>
        </w:rPr>
      </w:pPr>
      <w:r>
        <w:t>(e)</w:t>
      </w:r>
      <w:r>
        <w:tab/>
      </w:r>
      <w:r>
        <w:rPr>
          <w:rFonts w:eastAsia="SimHei" w:hint="eastAsia"/>
          <w:bCs/>
        </w:rPr>
        <w:t>加强执法和检验排放过量黑烟的车辆</w:t>
      </w:r>
      <w:r>
        <w:rPr>
          <w:rFonts w:hint="eastAsia"/>
        </w:rPr>
        <w:t>：把车辆排放过量黑烟的定额罚款已增至</w:t>
      </w:r>
      <w:r>
        <w:t>1,000</w:t>
      </w:r>
      <w:r>
        <w:rPr>
          <w:rFonts w:hint="eastAsia"/>
        </w:rPr>
        <w:t>港元</w:t>
      </w:r>
      <w:r>
        <w:t>(128</w:t>
      </w:r>
      <w:r>
        <w:rPr>
          <w:rFonts w:hint="eastAsia"/>
        </w:rPr>
        <w:t>美元</w:t>
      </w:r>
      <w:r>
        <w:t>)</w:t>
      </w:r>
      <w:r>
        <w:rPr>
          <w:rFonts w:hint="eastAsia"/>
        </w:rPr>
        <w:t>，以及规定所有被检定为排放过量黑烟的车辆，须通过测功器烟雾测试，否则有关车主的车辆牌照会被吊销；</w:t>
      </w:r>
    </w:p>
    <w:p w:rsidR="00000000" w:rsidRDefault="00000000">
      <w:pPr>
        <w:ind w:left="1510" w:hanging="510"/>
        <w:rPr>
          <w:rFonts w:hint="eastAsia"/>
        </w:rPr>
      </w:pPr>
      <w:r>
        <w:t>(f)</w:t>
      </w:r>
      <w:r>
        <w:tab/>
      </w:r>
      <w:r>
        <w:rPr>
          <w:rFonts w:eastAsia="SimHei" w:hint="eastAsia"/>
          <w:bCs/>
        </w:rPr>
        <w:t>收紧新登记车辆的废气排放标准</w:t>
      </w:r>
      <w:r>
        <w:rPr>
          <w:rFonts w:hint="eastAsia"/>
        </w:rPr>
        <w:t>：我们正随着欧洲联盟的要求步伐，并已引入欧洲第</w:t>
      </w:r>
      <w:r>
        <w:t>III</w:t>
      </w:r>
      <w:r>
        <w:rPr>
          <w:rFonts w:hint="eastAsia"/>
        </w:rPr>
        <w:t>阶段标准。</w:t>
      </w:r>
    </w:p>
    <w:p w:rsidR="00000000" w:rsidRDefault="00000000">
      <w:pPr>
        <w:rPr>
          <w:rFonts w:hint="eastAsia"/>
        </w:rPr>
      </w:pPr>
      <w:r>
        <w:tab/>
        <w:t xml:space="preserve">674.  </w:t>
      </w:r>
      <w:r>
        <w:rPr>
          <w:rFonts w:hint="eastAsia"/>
        </w:rPr>
        <w:t>这些措施已卓见成效。与一九九九年相比，二零零二年市区路旁的可吸入悬浮粒子及氧化氮浓度分别下降</w:t>
      </w:r>
      <w:r>
        <w:t>19%</w:t>
      </w:r>
      <w:r>
        <w:rPr>
          <w:rFonts w:hint="eastAsia"/>
        </w:rPr>
        <w:t>及</w:t>
      </w:r>
      <w:r>
        <w:t>16%</w:t>
      </w:r>
      <w:r>
        <w:rPr>
          <w:rFonts w:hint="eastAsia"/>
        </w:rPr>
        <w:t>。在同一期间，超过短期空气质素指标的个案数字减少</w:t>
      </w:r>
      <w:r>
        <w:t>38%</w:t>
      </w:r>
      <w:r>
        <w:rPr>
          <w:rFonts w:hint="eastAsia"/>
        </w:rPr>
        <w:t>，而排放过量黑烟的车辆数目下降七成。我们预期随着推展有关措施，情况可望持续改善。</w:t>
      </w:r>
    </w:p>
    <w:p w:rsidR="00000000" w:rsidRDefault="00000000">
      <w:pPr>
        <w:rPr>
          <w:rFonts w:hint="eastAsia"/>
        </w:rPr>
      </w:pPr>
      <w:r>
        <w:tab/>
        <w:t xml:space="preserve">675.  </w:t>
      </w:r>
      <w:r>
        <w:rPr>
          <w:rFonts w:hint="eastAsia"/>
        </w:rPr>
        <w:t>我们现与广东省政府携手合作，改善区内的空气质素。在二零零二年四月，粤港两地政府已达成共识，以最妥善方法减少区内四大类空气污染物</w:t>
      </w:r>
      <w:r>
        <w:t>(</w:t>
      </w:r>
      <w:r>
        <w:rPr>
          <w:rFonts w:hint="eastAsia"/>
        </w:rPr>
        <w:t>即二氧化硫、可吸入悬浮粒子、氧化氮及挥发性有机化合物</w:t>
      </w:r>
      <w:r>
        <w:t>)</w:t>
      </w:r>
      <w:r>
        <w:rPr>
          <w:rFonts w:hint="eastAsia"/>
        </w:rPr>
        <w:t>。我们的目标是在二零一零年前，把香港及珠江三角洲城市的空气污染物减少，从而大致达至有关空气质素指标。我们现正与广东省政府研究可否推行一项试验计划，协调香港和珠江三角洲地区指定发电厂之间的排放废气安排。</w:t>
      </w:r>
    </w:p>
    <w:p w:rsidR="00000000" w:rsidRDefault="00000000">
      <w:pPr>
        <w:pStyle w:val="Heading4"/>
        <w:spacing w:before="300"/>
        <w:rPr>
          <w:rFonts w:hint="eastAsia"/>
        </w:rPr>
      </w:pPr>
      <w:r>
        <w:rPr>
          <w:rFonts w:hint="eastAsia"/>
        </w:rPr>
        <w:t>噪音管制</w:t>
      </w:r>
    </w:p>
    <w:p w:rsidR="00000000" w:rsidRDefault="00000000">
      <w:pPr>
        <w:rPr>
          <w:rFonts w:hint="eastAsia"/>
        </w:rPr>
      </w:pPr>
      <w:r>
        <w:tab/>
        <w:t xml:space="preserve">676.  </w:t>
      </w:r>
      <w:r>
        <w:rPr>
          <w:rFonts w:hint="eastAsia"/>
        </w:rPr>
        <w:t>我们在二零零二年修订《噪音管制条例》</w:t>
      </w:r>
      <w:r>
        <w:t>(</w:t>
      </w:r>
      <w:r>
        <w:rPr>
          <w:rFonts w:hint="eastAsia"/>
        </w:rPr>
        <w:t>第</w:t>
      </w:r>
      <w:r>
        <w:t>400</w:t>
      </w:r>
      <w:r>
        <w:rPr>
          <w:rFonts w:hint="eastAsia"/>
        </w:rPr>
        <w:t>章</w:t>
      </w:r>
      <w:r>
        <w:t>)</w:t>
      </w:r>
      <w:r>
        <w:rPr>
          <w:rFonts w:hint="eastAsia"/>
        </w:rPr>
        <w:t>，旨在使法团的管理公司直接负责法团违反的噪音规定。修订条例的目的是要阻吓法团再次违规。此外，我们又收紧新登记车辆的噪音发出标准。</w:t>
      </w:r>
    </w:p>
    <w:p w:rsidR="00000000" w:rsidRDefault="00000000">
      <w:pPr>
        <w:rPr>
          <w:rFonts w:hint="eastAsia"/>
        </w:rPr>
      </w:pPr>
      <w:r>
        <w:tab/>
        <w:t xml:space="preserve">677.  </w:t>
      </w:r>
      <w:r>
        <w:rPr>
          <w:rFonts w:hint="eastAsia"/>
        </w:rPr>
        <w:t>我们已制定一套计划，纾缓现有道路对交通噪音的影响。待有拨款可供动用时，我们便会在现时发出严重噪音的道路，尽量采用工程技术方法，如加装隔音屏障及隔音罩，以及以低噪音物料重铺路面。至于一些不可采用工程技术方法的道路，则会根据个别情况，尝试改用非工程技术方法，如交通管理措施。</w:t>
      </w:r>
    </w:p>
    <w:p w:rsidR="00000000" w:rsidRDefault="00000000">
      <w:pPr>
        <w:pStyle w:val="Heading4"/>
        <w:spacing w:before="300"/>
        <w:rPr>
          <w:rFonts w:hint="eastAsia"/>
        </w:rPr>
      </w:pPr>
      <w:r>
        <w:rPr>
          <w:rFonts w:hint="eastAsia"/>
        </w:rPr>
        <w:t>环保教育</w:t>
      </w:r>
    </w:p>
    <w:p w:rsidR="00000000" w:rsidRDefault="00000000">
      <w:pPr>
        <w:rPr>
          <w:rFonts w:hint="eastAsia"/>
        </w:rPr>
      </w:pPr>
      <w:r>
        <w:tab/>
        <w:t xml:space="preserve">678. </w:t>
      </w:r>
      <w:r>
        <w:rPr>
          <w:rFonts w:hint="eastAsia"/>
        </w:rPr>
        <w:t xml:space="preserve"> </w:t>
      </w:r>
      <w:r>
        <w:rPr>
          <w:rFonts w:hint="eastAsia"/>
        </w:rPr>
        <w:t>“环保及自然保育基金”</w:t>
      </w:r>
      <w:r>
        <w:t>(</w:t>
      </w:r>
      <w:r>
        <w:rPr>
          <w:rFonts w:hint="eastAsia"/>
        </w:rPr>
        <w:t>见首份报告第</w:t>
      </w:r>
      <w:r>
        <w:t>489</w:t>
      </w:r>
      <w:r>
        <w:rPr>
          <w:rFonts w:hint="eastAsia"/>
        </w:rPr>
        <w:t>段</w:t>
      </w:r>
      <w:r>
        <w:t>)</w:t>
      </w:r>
      <w:r>
        <w:rPr>
          <w:rFonts w:hint="eastAsia"/>
        </w:rPr>
        <w:t>继续加强环保教育和资助社区组织、学校和绿色团体举办环保推广活动。在用毕首份报告第</w:t>
      </w:r>
      <w:r>
        <w:t>489</w:t>
      </w:r>
      <w:r>
        <w:rPr>
          <w:rFonts w:hint="eastAsia"/>
        </w:rPr>
        <w:t>段所述的</w:t>
      </w:r>
      <w:r>
        <w:t>1</w:t>
      </w:r>
      <w:r>
        <w:rPr>
          <w:rFonts w:hint="eastAsia"/>
        </w:rPr>
        <w:t>亿港元后，我们再注入</w:t>
      </w:r>
      <w:r>
        <w:t>1</w:t>
      </w:r>
      <w:r>
        <w:rPr>
          <w:rFonts w:hint="eastAsia"/>
        </w:rPr>
        <w:t>亿港元作基金，继续资助值得推行的计划。</w:t>
      </w:r>
    </w:p>
    <w:p w:rsidR="00000000" w:rsidRDefault="00000000">
      <w:pPr>
        <w:rPr>
          <w:rFonts w:hint="eastAsia"/>
        </w:rPr>
      </w:pPr>
      <w:r>
        <w:tab/>
        <w:t xml:space="preserve">679.  </w:t>
      </w:r>
      <w:r>
        <w:rPr>
          <w:rFonts w:hint="eastAsia"/>
        </w:rPr>
        <w:t>环保教育运动委员会继续进行在首份报告第</w:t>
      </w:r>
      <w:r>
        <w:t>490</w:t>
      </w:r>
      <w:r>
        <w:rPr>
          <w:rFonts w:hint="eastAsia"/>
        </w:rPr>
        <w:t>段所述的工作。</w:t>
      </w:r>
    </w:p>
    <w:p w:rsidR="00000000" w:rsidRDefault="00000000">
      <w:pPr>
        <w:pStyle w:val="Heading4"/>
        <w:spacing w:before="300"/>
        <w:rPr>
          <w:rFonts w:hint="eastAsia"/>
        </w:rPr>
      </w:pPr>
      <w:r>
        <w:rPr>
          <w:rFonts w:hint="eastAsia"/>
        </w:rPr>
        <w:t>环境影响评估</w:t>
      </w:r>
    </w:p>
    <w:p w:rsidR="00000000" w:rsidRDefault="00000000">
      <w:pPr>
        <w:rPr>
          <w:rFonts w:hint="eastAsia"/>
        </w:rPr>
      </w:pPr>
      <w:r>
        <w:tab/>
        <w:t xml:space="preserve">680.  </w:t>
      </w:r>
      <w:r>
        <w:rPr>
          <w:rFonts w:hint="eastAsia"/>
        </w:rPr>
        <w:t>情况与首份报告第</w:t>
      </w:r>
      <w:r>
        <w:t>491</w:t>
      </w:r>
      <w:r>
        <w:rPr>
          <w:rFonts w:hint="eastAsia"/>
        </w:rPr>
        <w:t>段所述的相同。</w:t>
      </w:r>
    </w:p>
    <w:p w:rsidR="00000000" w:rsidRDefault="00000000">
      <w:pPr>
        <w:pStyle w:val="Heading4"/>
        <w:spacing w:before="300"/>
        <w:rPr>
          <w:rFonts w:hint="eastAsia"/>
        </w:rPr>
      </w:pPr>
      <w:r>
        <w:rPr>
          <w:rFonts w:hint="eastAsia"/>
        </w:rPr>
        <w:t>职业健康</w:t>
      </w:r>
    </w:p>
    <w:p w:rsidR="00000000" w:rsidRDefault="00000000">
      <w:pPr>
        <w:spacing w:after="240"/>
        <w:rPr>
          <w:rFonts w:hint="eastAsia"/>
        </w:rPr>
      </w:pPr>
      <w:r>
        <w:tab/>
        <w:t xml:space="preserve">681.  </w:t>
      </w:r>
      <w:r>
        <w:rPr>
          <w:rFonts w:hint="eastAsia"/>
        </w:rPr>
        <w:t>情况与首份报告第七条第</w:t>
      </w:r>
      <w:r>
        <w:t>98</w:t>
      </w:r>
      <w:r>
        <w:rPr>
          <w:rFonts w:hint="eastAsia"/>
        </w:rPr>
        <w:t>至第</w:t>
      </w:r>
      <w:r>
        <w:t>101</w:t>
      </w:r>
      <w:r>
        <w:rPr>
          <w:rFonts w:hint="eastAsia"/>
        </w:rPr>
        <w:t>段和第十二条第</w:t>
      </w:r>
      <w:r>
        <w:t>492</w:t>
      </w:r>
      <w:r>
        <w:rPr>
          <w:rFonts w:hint="eastAsia"/>
        </w:rPr>
        <w:t>至第</w:t>
      </w:r>
      <w:r>
        <w:t>496</w:t>
      </w:r>
      <w:r>
        <w:rPr>
          <w:rFonts w:hint="eastAsia"/>
        </w:rPr>
        <w:t>段所述的相同。</w:t>
      </w:r>
    </w:p>
    <w:p w:rsidR="00000000" w:rsidRDefault="00000000">
      <w:pPr>
        <w:pStyle w:val="Heading3"/>
        <w:spacing w:after="240"/>
        <w:rPr>
          <w:rFonts w:ascii="Time New Roman" w:eastAsia="SimHei" w:hAnsi="Time New Roman" w:hint="eastAsia"/>
          <w:u w:val="none"/>
        </w:rPr>
      </w:pPr>
      <w:bookmarkStart w:id="52" w:name="_Toc78772961"/>
      <w:r>
        <w:rPr>
          <w:rFonts w:ascii="Time New Roman" w:eastAsia="SimHei" w:hAnsi="Time New Roman"/>
          <w:b/>
          <w:u w:val="none"/>
        </w:rPr>
        <w:t>M</w:t>
      </w:r>
      <w:r>
        <w:rPr>
          <w:rFonts w:ascii="Time New Roman" w:eastAsia="SimHei" w:hAnsi="Time New Roman"/>
          <w:b/>
          <w:bCs/>
          <w:u w:val="none"/>
        </w:rPr>
        <w:t>.</w:t>
      </w:r>
      <w:r>
        <w:rPr>
          <w:rFonts w:ascii="Time New Roman" w:eastAsia="SimHei" w:hAnsi="Time New Roman"/>
          <w:u w:val="none"/>
        </w:rPr>
        <w:t xml:space="preserve">  </w:t>
      </w:r>
      <w:r>
        <w:rPr>
          <w:rFonts w:ascii="Time New Roman" w:eastAsia="SimHei" w:hAnsi="Time New Roman" w:hint="eastAsia"/>
          <w:u w:val="none"/>
        </w:rPr>
        <w:t>第十三及十四条</w:t>
      </w:r>
      <w:r>
        <w:rPr>
          <w:rFonts w:ascii="Time New Roman" w:eastAsia="SimHei" w:hAnsi="Time New Roman"/>
          <w:u w:val="none"/>
        </w:rPr>
        <w:br/>
      </w:r>
      <w:r>
        <w:rPr>
          <w:rFonts w:ascii="Time New Roman" w:eastAsia="SimHei" w:hAnsi="Time New Roman" w:hint="eastAsia"/>
          <w:u w:val="none"/>
        </w:rPr>
        <w:t xml:space="preserve">    </w:t>
      </w:r>
      <w:r>
        <w:rPr>
          <w:rFonts w:ascii="Time New Roman" w:eastAsia="SimHei" w:hAnsi="Time New Roman" w:hint="eastAsia"/>
          <w:u w:val="none"/>
        </w:rPr>
        <w:t>接受教育的权利</w:t>
      </w:r>
      <w:bookmarkEnd w:id="52"/>
    </w:p>
    <w:p w:rsidR="00000000" w:rsidRDefault="00000000">
      <w:pPr>
        <w:widowControl w:val="0"/>
        <w:spacing w:after="240"/>
        <w:rPr>
          <w:rFonts w:hint="eastAsia"/>
        </w:rPr>
      </w:pPr>
      <w:r>
        <w:tab/>
        <w:t xml:space="preserve">682.  </w:t>
      </w:r>
      <w:r>
        <w:rPr>
          <w:rFonts w:hint="eastAsia"/>
        </w:rPr>
        <w:t>宪制的保障并无改变，与首份报告第</w:t>
      </w:r>
      <w:r>
        <w:t>497</w:t>
      </w:r>
      <w:r>
        <w:rPr>
          <w:rFonts w:hint="eastAsia"/>
        </w:rPr>
        <w:t>段所述的相同。</w:t>
      </w:r>
    </w:p>
    <w:p w:rsidR="00000000" w:rsidRDefault="00000000">
      <w:pPr>
        <w:pStyle w:val="Heading4"/>
        <w:rPr>
          <w:rFonts w:eastAsia="SimHei" w:hint="eastAsia"/>
          <w:u w:val="none"/>
        </w:rPr>
      </w:pPr>
      <w:r>
        <w:rPr>
          <w:rFonts w:eastAsia="SimHei" w:hint="eastAsia"/>
          <w:u w:val="none"/>
        </w:rPr>
        <w:t>接受教育的机会和教育程度</w:t>
      </w:r>
    </w:p>
    <w:p w:rsidR="00000000" w:rsidRDefault="00000000">
      <w:pPr>
        <w:pStyle w:val="Heading4"/>
        <w:keepNext w:val="0"/>
        <w:keepLines w:val="0"/>
        <w:widowControl w:val="0"/>
        <w:rPr>
          <w:rFonts w:hint="eastAsia"/>
        </w:rPr>
      </w:pPr>
      <w:r>
        <w:rPr>
          <w:rFonts w:hint="eastAsia"/>
        </w:rPr>
        <w:t>九年免费强迫</w:t>
      </w:r>
      <w:r>
        <w:rPr>
          <w:rStyle w:val="FootnoteReference"/>
          <w:b w:val="0"/>
        </w:rPr>
        <w:footnoteReference w:customMarkFollows="1" w:id="63"/>
        <w:t>50</w:t>
      </w:r>
      <w:r>
        <w:t xml:space="preserve"> </w:t>
      </w:r>
      <w:r>
        <w:rPr>
          <w:rFonts w:hint="eastAsia"/>
        </w:rPr>
        <w:t>教育</w:t>
      </w:r>
    </w:p>
    <w:p w:rsidR="00000000" w:rsidRDefault="00000000">
      <w:pPr>
        <w:widowControl w:val="0"/>
        <w:rPr>
          <w:rFonts w:hint="eastAsia"/>
        </w:rPr>
      </w:pPr>
      <w:r>
        <w:tab/>
        <w:t xml:space="preserve">683.  </w:t>
      </w:r>
      <w:r>
        <w:rPr>
          <w:rFonts w:hint="eastAsia"/>
        </w:rPr>
        <w:t>有关情况并无改变，与首份报告第</w:t>
      </w:r>
      <w:r>
        <w:t>498</w:t>
      </w:r>
      <w:r>
        <w:rPr>
          <w:rFonts w:hint="eastAsia"/>
        </w:rPr>
        <w:t>段所述的相同。</w:t>
      </w:r>
    </w:p>
    <w:p w:rsidR="00000000" w:rsidRDefault="00000000">
      <w:pPr>
        <w:pStyle w:val="Heading4"/>
        <w:spacing w:before="300"/>
        <w:rPr>
          <w:rFonts w:hint="eastAsia"/>
        </w:rPr>
      </w:pPr>
      <w:r>
        <w:rPr>
          <w:rFonts w:hint="eastAsia"/>
        </w:rPr>
        <w:t>高中教育、工业教育和高等教育</w:t>
      </w:r>
    </w:p>
    <w:p w:rsidR="00000000" w:rsidRDefault="00000000">
      <w:pPr>
        <w:rPr>
          <w:rFonts w:hint="eastAsia"/>
        </w:rPr>
      </w:pPr>
      <w:r>
        <w:tab/>
        <w:t xml:space="preserve">684.  </w:t>
      </w:r>
      <w:r>
        <w:rPr>
          <w:rFonts w:hint="eastAsia"/>
        </w:rPr>
        <w:t>在首份报告第</w:t>
      </w:r>
      <w:r>
        <w:t>498</w:t>
      </w:r>
      <w:r>
        <w:rPr>
          <w:rFonts w:hint="eastAsia"/>
        </w:rPr>
        <w:t>至</w:t>
      </w:r>
      <w:r>
        <w:t>500</w:t>
      </w:r>
      <w:r>
        <w:rPr>
          <w:rFonts w:hint="eastAsia"/>
        </w:rPr>
        <w:t>段，我们阐述九年教育以后的教育架构。当时</w:t>
      </w:r>
      <w:r>
        <w:t>(</w:t>
      </w:r>
      <w:r>
        <w:rPr>
          <w:rFonts w:hint="eastAsia"/>
        </w:rPr>
        <w:t>一九九八年</w:t>
      </w:r>
      <w:r>
        <w:t>)</w:t>
      </w:r>
      <w:r>
        <w:rPr>
          <w:rFonts w:hint="eastAsia"/>
        </w:rPr>
        <w:t>，</w:t>
      </w:r>
      <w:r>
        <w:t>15</w:t>
      </w:r>
      <w:r>
        <w:rPr>
          <w:rFonts w:hint="eastAsia"/>
        </w:rPr>
        <w:t>至</w:t>
      </w:r>
      <w:r>
        <w:t>17</w:t>
      </w:r>
      <w:r>
        <w:rPr>
          <w:rFonts w:hint="eastAsia"/>
        </w:rPr>
        <w:t>岁这个年龄组别的人士，有</w:t>
      </w:r>
      <w:r>
        <w:t>85%</w:t>
      </w:r>
      <w:r>
        <w:rPr>
          <w:rFonts w:hint="eastAsia"/>
        </w:rPr>
        <w:t>获提供资助学额。时至今日</w:t>
      </w:r>
      <w:r>
        <w:rPr>
          <w:rStyle w:val="FootnoteReference"/>
        </w:rPr>
        <w:footnoteReference w:customMarkFollows="1" w:id="64"/>
        <w:t>51</w:t>
      </w:r>
      <w:r>
        <w:t xml:space="preserve"> </w:t>
      </w:r>
      <w:r>
        <w:rPr>
          <w:rFonts w:hint="eastAsia"/>
        </w:rPr>
        <w:t>，政府已为所有具备适当能力及有志继续升学的中三学生提供足够的中四和中五资助学额。</w:t>
      </w:r>
    </w:p>
    <w:p w:rsidR="00000000" w:rsidRDefault="00000000">
      <w:pPr>
        <w:rPr>
          <w:rFonts w:hint="eastAsia"/>
        </w:rPr>
      </w:pPr>
      <w:r>
        <w:tab/>
        <w:t xml:space="preserve">685.  </w:t>
      </w:r>
      <w:r>
        <w:rPr>
          <w:rFonts w:hint="eastAsia"/>
        </w:rPr>
        <w:t>中六和中七的情况与首份报告第</w:t>
      </w:r>
      <w:r>
        <w:t>500</w:t>
      </w:r>
      <w:r>
        <w:rPr>
          <w:rFonts w:hint="eastAsia"/>
        </w:rPr>
        <w:t>段所述的相同。年龄介乎</w:t>
      </w:r>
      <w:r>
        <w:t>17</w:t>
      </w:r>
      <w:r>
        <w:rPr>
          <w:rFonts w:hint="eastAsia"/>
        </w:rPr>
        <w:t>至</w:t>
      </w:r>
      <w:r>
        <w:t>19</w:t>
      </w:r>
      <w:r>
        <w:rPr>
          <w:rFonts w:hint="eastAsia"/>
        </w:rPr>
        <w:t>岁的学生，在完成中六和中七课程后可参加高级程度会考，即学士学位课程的大学入学试。至于中七以上的教育，我们现建议逐步增加专上教育机会，以期在二零一零至一一年度让</w:t>
      </w:r>
      <w:r>
        <w:t>60%</w:t>
      </w:r>
      <w:r>
        <w:rPr>
          <w:rFonts w:hint="eastAsia"/>
        </w:rPr>
        <w:t>的高中毕业生有机会接受专上教育。在二零零二至零三学年，</w:t>
      </w:r>
      <w:r>
        <w:t>17</w:t>
      </w:r>
      <w:r>
        <w:rPr>
          <w:rFonts w:hint="eastAsia"/>
        </w:rPr>
        <w:t>至</w:t>
      </w:r>
      <w:r>
        <w:t>20</w:t>
      </w:r>
      <w:r>
        <w:rPr>
          <w:rFonts w:hint="eastAsia"/>
        </w:rPr>
        <w:t>岁这个年龄组别的人士，约有</w:t>
      </w:r>
      <w:r>
        <w:t>42%</w:t>
      </w:r>
      <w:r>
        <w:rPr>
          <w:rFonts w:hint="eastAsia"/>
        </w:rPr>
        <w:t>可以接受专上教育。</w:t>
      </w:r>
    </w:p>
    <w:p w:rsidR="00000000" w:rsidRDefault="00000000">
      <w:pPr>
        <w:pStyle w:val="Heading4"/>
        <w:spacing w:before="300"/>
        <w:rPr>
          <w:rFonts w:hint="eastAsia"/>
        </w:rPr>
      </w:pPr>
      <w:r>
        <w:rPr>
          <w:rFonts w:hint="eastAsia"/>
        </w:rPr>
        <w:t>私立学校</w:t>
      </w:r>
    </w:p>
    <w:p w:rsidR="00000000" w:rsidRDefault="00000000">
      <w:pPr>
        <w:rPr>
          <w:rFonts w:hint="eastAsia"/>
        </w:rPr>
      </w:pPr>
      <w:r>
        <w:tab/>
        <w:t xml:space="preserve">686.  </w:t>
      </w:r>
      <w:r>
        <w:rPr>
          <w:rFonts w:hint="eastAsia"/>
        </w:rPr>
        <w:t>一如我们在首份报告第</w:t>
      </w:r>
      <w:r>
        <w:t>501</w:t>
      </w:r>
      <w:r>
        <w:rPr>
          <w:rFonts w:hint="eastAsia"/>
        </w:rPr>
        <w:t>至</w:t>
      </w:r>
      <w:r>
        <w:t>503</w:t>
      </w:r>
      <w:r>
        <w:rPr>
          <w:rFonts w:hint="eastAsia"/>
        </w:rPr>
        <w:t>段所述，香港的学前教育主要由私立学校提供。在小学及以上程度的教育方面，私立学校也为家长提供了主流学校以外的另类选择。在一九九九年，我们引入了新的私立学校类别</w:t>
      </w:r>
      <w:r>
        <w:t xml:space="preserve"> </w:t>
      </w:r>
      <w:r>
        <w:rPr>
          <w:rFonts w:hint="eastAsia"/>
        </w:rPr>
        <w:t>－“私立独立学校”，以推动私营学校的发展。这类学校属非牟利性质，由政府以象征式地价批出土地，并提供一笔非经常拨款，以供兴建校舍。不过，政府不会为它们提供经常资助金。在二零零二至零三学年，已有两间这类学校启用。当局预计，在二零零三至零四学年以及二零零七至零八学年期间，共会有八间同类学校启用。有关私立学校的其他统计数字，请参阅首份报告附件</w:t>
      </w:r>
      <w:r>
        <w:t>26</w:t>
      </w:r>
      <w:r>
        <w:rPr>
          <w:rFonts w:hint="eastAsia"/>
        </w:rPr>
        <w:t>。</w:t>
      </w:r>
    </w:p>
    <w:p w:rsidR="00000000" w:rsidRDefault="00000000">
      <w:pPr>
        <w:pStyle w:val="Heading4"/>
        <w:spacing w:before="300"/>
        <w:rPr>
          <w:rFonts w:hint="eastAsia"/>
        </w:rPr>
      </w:pPr>
      <w:r>
        <w:rPr>
          <w:rFonts w:hint="eastAsia"/>
        </w:rPr>
        <w:t>为清贫学生提供财政资助</w:t>
      </w:r>
    </w:p>
    <w:p w:rsidR="00000000" w:rsidRDefault="00000000">
      <w:pPr>
        <w:rPr>
          <w:rFonts w:hint="eastAsia"/>
        </w:rPr>
      </w:pPr>
      <w:r>
        <w:tab/>
        <w:t xml:space="preserve">687.  </w:t>
      </w:r>
      <w:r>
        <w:rPr>
          <w:rFonts w:hint="eastAsia"/>
        </w:rPr>
        <w:t>有关情况并无改变，与上次报告第</w:t>
      </w:r>
      <w:r>
        <w:t>504</w:t>
      </w:r>
      <w:r>
        <w:rPr>
          <w:rFonts w:hint="eastAsia"/>
        </w:rPr>
        <w:t>段所述的相同。</w:t>
      </w:r>
    </w:p>
    <w:p w:rsidR="00000000" w:rsidRDefault="00000000">
      <w:pPr>
        <w:pStyle w:val="Heading4"/>
        <w:spacing w:before="300"/>
        <w:rPr>
          <w:rFonts w:eastAsia="SimHei" w:hint="eastAsia"/>
          <w:bCs/>
          <w:u w:val="none"/>
        </w:rPr>
      </w:pPr>
      <w:r>
        <w:rPr>
          <w:rFonts w:eastAsia="SimHei" w:hint="eastAsia"/>
          <w:bCs/>
          <w:u w:val="none"/>
        </w:rPr>
        <w:t>以本地生产总值百分比计算的教育开支</w:t>
      </w:r>
    </w:p>
    <w:p w:rsidR="00000000" w:rsidRDefault="00000000">
      <w:pPr>
        <w:rPr>
          <w:rFonts w:hint="eastAsia"/>
        </w:rPr>
      </w:pPr>
      <w:r>
        <w:tab/>
        <w:t xml:space="preserve">688.  </w:t>
      </w:r>
      <w:r>
        <w:rPr>
          <w:rFonts w:hint="eastAsia"/>
        </w:rPr>
        <w:t>二零零二至零三年度，政府在教育方面的开支总额估计约为</w:t>
      </w:r>
      <w:r>
        <w:t>610</w:t>
      </w:r>
      <w:r>
        <w:rPr>
          <w:rFonts w:hint="eastAsia"/>
        </w:rPr>
        <w:t>亿港元，占本地生产总值的</w:t>
      </w:r>
      <w:r>
        <w:t>4.9%</w:t>
      </w:r>
      <w:r>
        <w:rPr>
          <w:rFonts w:hint="eastAsia"/>
        </w:rPr>
        <w:t>。一九九七至九八年度的相应数字为</w:t>
      </w:r>
      <w:r>
        <w:t>470</w:t>
      </w:r>
      <w:r>
        <w:rPr>
          <w:rFonts w:hint="eastAsia"/>
        </w:rPr>
        <w:t>亿港元</w:t>
      </w:r>
      <w:r>
        <w:t>(</w:t>
      </w:r>
      <w:r>
        <w:rPr>
          <w:rFonts w:hint="eastAsia"/>
        </w:rPr>
        <w:t>占本地生产总值</w:t>
      </w:r>
      <w:r>
        <w:t>3.5%)</w:t>
      </w:r>
      <w:r>
        <w:rPr>
          <w:rFonts w:hint="eastAsia"/>
        </w:rPr>
        <w:t>，而一九九二至九三年度则为</w:t>
      </w:r>
      <w:r>
        <w:t>220</w:t>
      </w:r>
      <w:r>
        <w:rPr>
          <w:rFonts w:hint="eastAsia"/>
        </w:rPr>
        <w:t>亿港元</w:t>
      </w:r>
      <w:r>
        <w:t>(</w:t>
      </w:r>
      <w:r>
        <w:rPr>
          <w:rFonts w:hint="eastAsia"/>
        </w:rPr>
        <w:t>占本地生产总值</w:t>
      </w:r>
      <w:r>
        <w:t>2.7%)</w:t>
      </w:r>
      <w:r>
        <w:rPr>
          <w:rFonts w:hint="eastAsia"/>
        </w:rPr>
        <w:t>。在政府的教育预算中，约有三分之一的开支</w:t>
      </w:r>
      <w:r>
        <w:t>(</w:t>
      </w:r>
      <w:r>
        <w:rPr>
          <w:rFonts w:hint="eastAsia"/>
        </w:rPr>
        <w:t>占</w:t>
      </w:r>
      <w:r>
        <w:t>200</w:t>
      </w:r>
      <w:r>
        <w:rPr>
          <w:rFonts w:hint="eastAsia"/>
        </w:rPr>
        <w:t>亿港元</w:t>
      </w:r>
      <w:r>
        <w:t>)</w:t>
      </w:r>
      <w:r>
        <w:rPr>
          <w:rFonts w:hint="eastAsia"/>
        </w:rPr>
        <w:t>用于高等教育。</w:t>
      </w:r>
    </w:p>
    <w:p w:rsidR="00000000" w:rsidRDefault="00000000">
      <w:pPr>
        <w:pStyle w:val="Heading4"/>
        <w:spacing w:before="300"/>
        <w:rPr>
          <w:rFonts w:eastAsia="SimHei" w:hint="eastAsia"/>
          <w:bCs/>
          <w:u w:val="none"/>
        </w:rPr>
      </w:pPr>
      <w:r>
        <w:rPr>
          <w:rFonts w:eastAsia="SimHei" w:hint="eastAsia"/>
          <w:bCs/>
          <w:u w:val="none"/>
        </w:rPr>
        <w:t>教育程度概况</w:t>
      </w:r>
    </w:p>
    <w:p w:rsidR="00000000" w:rsidRDefault="00000000">
      <w:pPr>
        <w:rPr>
          <w:rFonts w:hint="eastAsia"/>
        </w:rPr>
      </w:pPr>
      <w:r>
        <w:tab/>
        <w:t xml:space="preserve">689.  </w:t>
      </w:r>
      <w:r>
        <w:rPr>
          <w:rFonts w:hint="eastAsia"/>
        </w:rPr>
        <w:t>香港居民的教育程度指标载于附件</w:t>
      </w:r>
      <w:r>
        <w:rPr>
          <w:rFonts w:eastAsia="華康中黑體"/>
        </w:rPr>
        <w:t>13A</w:t>
      </w:r>
      <w:r>
        <w:rPr>
          <w:rFonts w:hint="eastAsia"/>
        </w:rPr>
        <w:t>。</w:t>
      </w:r>
    </w:p>
    <w:p w:rsidR="00000000" w:rsidRDefault="00000000">
      <w:pPr>
        <w:pStyle w:val="Heading4"/>
        <w:spacing w:before="300"/>
        <w:rPr>
          <w:rFonts w:ascii="Time New Roman" w:eastAsia="SimHei" w:hAnsi="Time New Roman" w:hint="eastAsia"/>
          <w:u w:val="none"/>
        </w:rPr>
      </w:pPr>
      <w:r>
        <w:rPr>
          <w:rFonts w:ascii="Time New Roman" w:eastAsia="SimHei" w:hAnsi="Time New Roman" w:hint="eastAsia"/>
          <w:u w:val="none"/>
        </w:rPr>
        <w:t>学前教育</w:t>
      </w:r>
    </w:p>
    <w:p w:rsidR="00000000" w:rsidRDefault="00000000">
      <w:pPr>
        <w:rPr>
          <w:rFonts w:hint="eastAsia"/>
        </w:rPr>
      </w:pPr>
      <w:r>
        <w:tab/>
        <w:t xml:space="preserve">690.  </w:t>
      </w:r>
      <w:r>
        <w:rPr>
          <w:rFonts w:hint="eastAsia"/>
        </w:rPr>
        <w:t>有关情况基本上并无改变，与上次报告第</w:t>
      </w:r>
      <w:r>
        <w:t>507</w:t>
      </w:r>
      <w:r>
        <w:rPr>
          <w:rFonts w:hint="eastAsia"/>
        </w:rPr>
        <w:t>段所述的相同。</w:t>
      </w:r>
    </w:p>
    <w:p w:rsidR="00000000" w:rsidRDefault="00000000">
      <w:pPr>
        <w:pStyle w:val="Heading4"/>
        <w:spacing w:before="300"/>
        <w:rPr>
          <w:rFonts w:eastAsia="SimHei" w:hint="eastAsia"/>
          <w:bCs/>
          <w:u w:val="none"/>
        </w:rPr>
      </w:pPr>
      <w:r>
        <w:rPr>
          <w:rFonts w:eastAsia="SimHei" w:hint="eastAsia"/>
          <w:bCs/>
          <w:u w:val="none"/>
        </w:rPr>
        <w:t>中小学教育</w:t>
      </w:r>
    </w:p>
    <w:p w:rsidR="00000000" w:rsidRDefault="00000000">
      <w:pPr>
        <w:pStyle w:val="Heading4"/>
        <w:spacing w:before="300"/>
        <w:rPr>
          <w:rFonts w:hint="eastAsia"/>
        </w:rPr>
      </w:pPr>
      <w:r>
        <w:rPr>
          <w:rFonts w:hint="eastAsia"/>
        </w:rPr>
        <w:t>浮</w:t>
      </w:r>
      <w:r>
        <w:t xml:space="preserve"> </w:t>
      </w:r>
      <w:r>
        <w:rPr>
          <w:rFonts w:hint="eastAsia"/>
        </w:rPr>
        <w:t>动</w:t>
      </w:r>
      <w:r>
        <w:t xml:space="preserve"> </w:t>
      </w:r>
      <w:r>
        <w:rPr>
          <w:rFonts w:hint="eastAsia"/>
        </w:rPr>
        <w:t>班</w:t>
      </w:r>
    </w:p>
    <w:p w:rsidR="00000000" w:rsidRDefault="00000000">
      <w:pPr>
        <w:rPr>
          <w:rFonts w:hint="eastAsia"/>
        </w:rPr>
      </w:pPr>
      <w:r>
        <w:tab/>
        <w:t xml:space="preserve">691.  </w:t>
      </w:r>
      <w:r>
        <w:rPr>
          <w:rFonts w:hint="eastAsia"/>
        </w:rPr>
        <w:t>在首份报告第</w:t>
      </w:r>
      <w:r>
        <w:t>508</w:t>
      </w:r>
      <w:r>
        <w:rPr>
          <w:rFonts w:hint="eastAsia"/>
        </w:rPr>
        <w:t>段，我们阐释香港有些中学开设超过标准所订的</w:t>
      </w:r>
      <w:r>
        <w:t>24</w:t>
      </w:r>
      <w:r>
        <w:rPr>
          <w:rFonts w:hint="eastAsia"/>
        </w:rPr>
        <w:t>班。多出的班级没有固定课室，因此须在语言实习室和科学实验室等特别课室上课。由于学生在上课日经常转换课室，所以这类课堂称为“浮动班”，这种安排则称为“浮动班制”。我们亦指出，大部分教育工作者都认为浮动班制并不理想，而当时我们预计可于二零零零至零一学年或之前，取消所有中一至中五的浮动班。我们致力达致这个目标，现时在公营中学的中一至中五级别，浮动班的数目已少于</w:t>
      </w:r>
      <w:r>
        <w:t>40</w:t>
      </w:r>
      <w:r>
        <w:rPr>
          <w:rFonts w:hint="eastAsia"/>
        </w:rPr>
        <w:t>。有关的学校改善工程虽然未能如期完成，但仍在进行中。一俟工程完成，我们便可取消余下的浮动班。</w:t>
      </w:r>
    </w:p>
    <w:p w:rsidR="00000000" w:rsidRDefault="00000000">
      <w:pPr>
        <w:pStyle w:val="Heading4"/>
        <w:spacing w:before="300"/>
        <w:rPr>
          <w:rFonts w:hint="eastAsia"/>
        </w:rPr>
      </w:pPr>
      <w:r>
        <w:rPr>
          <w:rFonts w:hint="eastAsia"/>
        </w:rPr>
        <w:t>每班学生人数</w:t>
      </w:r>
    </w:p>
    <w:p w:rsidR="00000000" w:rsidRDefault="00000000">
      <w:pPr>
        <w:rPr>
          <w:rFonts w:hint="eastAsia"/>
        </w:rPr>
      </w:pPr>
      <w:r>
        <w:tab/>
        <w:t xml:space="preserve">692.  </w:t>
      </w:r>
      <w:r>
        <w:rPr>
          <w:rFonts w:hint="eastAsia"/>
        </w:rPr>
        <w:t>部分论者认为若每班学生人数减少，学生便会得到更佳的学习效果。相信大部分人都会直觉地认同这个看法，但一直以来，各界人士对每班的理想人数都没有定论，而国际社会在过去二十年间亦就每班人数对学生学习方面的影响进行不少研究，但所得的意见不一。从教学观点来看，每班人数只是影响教与学的过程和效果的其中一项因素。许多互为关连的变量，例如领导才能、老师的专业精神、学校设备、父母的支援等都有举足轻重的影响。因此，对于人数较少的班级必然有助提高教与学的质素这个论点，至今仍没有足够的支持理据。</w:t>
      </w:r>
    </w:p>
    <w:p w:rsidR="00000000" w:rsidRDefault="00000000">
      <w:pPr>
        <w:pStyle w:val="Heading4"/>
        <w:spacing w:before="300"/>
        <w:rPr>
          <w:rFonts w:hint="eastAsia"/>
        </w:rPr>
      </w:pPr>
      <w:r>
        <w:rPr>
          <w:rFonts w:hint="eastAsia"/>
        </w:rPr>
        <w:t>小学全日制</w:t>
      </w:r>
    </w:p>
    <w:p w:rsidR="00000000" w:rsidRDefault="00000000">
      <w:pPr>
        <w:rPr>
          <w:rFonts w:hint="eastAsia"/>
        </w:rPr>
      </w:pPr>
      <w:r>
        <w:tab/>
        <w:t xml:space="preserve">693.  </w:t>
      </w:r>
      <w:r>
        <w:rPr>
          <w:rFonts w:hint="eastAsia"/>
        </w:rPr>
        <w:t>我们在首份报告第</w:t>
      </w:r>
      <w:r>
        <w:t>509</w:t>
      </w:r>
      <w:r>
        <w:rPr>
          <w:rFonts w:hint="eastAsia"/>
        </w:rPr>
        <w:t>段指出，所谓“上下午班”</w:t>
      </w:r>
      <w:r>
        <w:t>(</w:t>
      </w:r>
      <w:r>
        <w:rPr>
          <w:rFonts w:hint="eastAsia"/>
        </w:rPr>
        <w:t>或“半日”</w:t>
      </w:r>
      <w:r>
        <w:t>)</w:t>
      </w:r>
      <w:r>
        <w:rPr>
          <w:rFonts w:hint="eastAsia"/>
        </w:rPr>
        <w:t>学制，其实是由两间学校共享一所校舍，由两批学生分别在上下午使用。这情况在小学尤为普遍。然而，大部分教育工作者都认为，全日制可达致更佳的教学效果，而政府也赞同这个观点。在第</w:t>
      </w:r>
      <w:r>
        <w:t>510</w:t>
      </w:r>
      <w:r>
        <w:rPr>
          <w:rFonts w:hint="eastAsia"/>
        </w:rPr>
        <w:t>段，我们表示希望在由二零零二至零三学年或之前，全港</w:t>
      </w:r>
      <w:r>
        <w:t>60%</w:t>
      </w:r>
      <w:r>
        <w:rPr>
          <w:rFonts w:hint="eastAsia"/>
        </w:rPr>
        <w:t>小学生可在全日制小学就读。我们已实现这个目标，并正计划在二零零七至零八学年或之前，让大致上所有小学生都可接受全日制教育。</w:t>
      </w:r>
    </w:p>
    <w:p w:rsidR="00000000" w:rsidRDefault="00000000">
      <w:pPr>
        <w:pStyle w:val="Heading4"/>
        <w:spacing w:before="300"/>
        <w:rPr>
          <w:rFonts w:hint="eastAsia"/>
        </w:rPr>
      </w:pPr>
      <w:r>
        <w:rPr>
          <w:rFonts w:hint="eastAsia"/>
        </w:rPr>
        <w:t>高中教育的资助额</w:t>
      </w:r>
    </w:p>
    <w:p w:rsidR="00000000" w:rsidRDefault="00000000">
      <w:pPr>
        <w:rPr>
          <w:rFonts w:hint="eastAsia"/>
        </w:rPr>
      </w:pPr>
      <w:r>
        <w:tab/>
        <w:t xml:space="preserve">694.  </w:t>
      </w:r>
      <w:r>
        <w:rPr>
          <w:rFonts w:hint="eastAsia"/>
        </w:rPr>
        <w:t>在首份报告第</w:t>
      </w:r>
      <w:r>
        <w:t>511</w:t>
      </w:r>
      <w:r>
        <w:rPr>
          <w:rFonts w:hint="eastAsia"/>
        </w:rPr>
        <w:t>段，我们指出高中学费一般是按高中教育经常开支的</w:t>
      </w:r>
      <w:r>
        <w:t>18%</w:t>
      </w:r>
      <w:r>
        <w:rPr>
          <w:rFonts w:hint="eastAsia"/>
        </w:rPr>
        <w:t>而厘定</w:t>
      </w:r>
      <w:r>
        <w:rPr>
          <w:rStyle w:val="FootnoteReference"/>
        </w:rPr>
        <w:footnoteReference w:customMarkFollows="1" w:id="65"/>
        <w:t>52</w:t>
      </w:r>
      <w:r>
        <w:t xml:space="preserve"> </w:t>
      </w:r>
      <w:r>
        <w:rPr>
          <w:rFonts w:hint="eastAsia"/>
        </w:rPr>
        <w:t>。换言之，政府的资助达</w:t>
      </w:r>
      <w:r>
        <w:t>82%</w:t>
      </w:r>
      <w:r>
        <w:rPr>
          <w:rFonts w:hint="eastAsia"/>
        </w:rPr>
        <w:t>。不过，中学学费已由一九九七至九八学年起冻结，因此，学费水平也逐渐下降至经常开支的</w:t>
      </w:r>
      <w:r>
        <w:t>15%</w:t>
      </w:r>
      <w:r>
        <w:rPr>
          <w:rFonts w:hint="eastAsia"/>
        </w:rPr>
        <w:t>。标准学费和实际收回率表列如下：</w:t>
      </w:r>
    </w:p>
    <w:p w:rsidR="00000000" w:rsidRDefault="00000000">
      <w:pPr>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1300"/>
        <w:gridCol w:w="1300"/>
        <w:gridCol w:w="1300"/>
        <w:gridCol w:w="1300"/>
        <w:gridCol w:w="1300"/>
        <w:gridCol w:w="1300"/>
      </w:tblGrid>
      <w:tr w:rsidR="00000000">
        <w:tblPrEx>
          <w:tblCellMar>
            <w:top w:w="0" w:type="dxa"/>
            <w:bottom w:w="0" w:type="dxa"/>
          </w:tblCellMar>
        </w:tblPrEx>
        <w:trPr>
          <w:cantSplit/>
        </w:trPr>
        <w:tc>
          <w:tcPr>
            <w:tcW w:w="1588" w:type="dxa"/>
            <w:vAlign w:val="center"/>
          </w:tcPr>
          <w:p w:rsidR="00000000" w:rsidRDefault="00000000">
            <w:pPr>
              <w:spacing w:line="240" w:lineRule="auto"/>
              <w:jc w:val="center"/>
              <w:rPr>
                <w:rFonts w:hint="eastAsia"/>
                <w:sz w:val="20"/>
              </w:rPr>
            </w:pPr>
            <w:r>
              <w:rPr>
                <w:rFonts w:hint="eastAsia"/>
                <w:sz w:val="20"/>
              </w:rPr>
              <w:t>高中班级</w:t>
            </w:r>
          </w:p>
        </w:tc>
        <w:tc>
          <w:tcPr>
            <w:tcW w:w="7800" w:type="dxa"/>
            <w:gridSpan w:val="6"/>
          </w:tcPr>
          <w:p w:rsidR="00000000" w:rsidRDefault="00000000">
            <w:pPr>
              <w:pStyle w:val="Heading4"/>
              <w:spacing w:after="0" w:line="240" w:lineRule="auto"/>
              <w:jc w:val="center"/>
              <w:rPr>
                <w:rFonts w:eastAsia="SimHei"/>
                <w:u w:val="none"/>
              </w:rPr>
            </w:pPr>
            <w:r>
              <w:rPr>
                <w:rFonts w:eastAsia="SimHei" w:hint="eastAsia"/>
                <w:u w:val="none"/>
              </w:rPr>
              <w:t>标准学费</w:t>
            </w:r>
          </w:p>
          <w:p w:rsidR="00000000" w:rsidRDefault="00000000">
            <w:pPr>
              <w:pStyle w:val="Heading4"/>
              <w:spacing w:after="0" w:line="240" w:lineRule="auto"/>
              <w:jc w:val="center"/>
              <w:rPr>
                <w:rFonts w:hint="eastAsia"/>
                <w:u w:val="none"/>
              </w:rPr>
            </w:pPr>
            <w:r>
              <w:rPr>
                <w:rFonts w:hint="eastAsia"/>
                <w:u w:val="none"/>
              </w:rPr>
              <w:t>每名学生每学年缴交的学费</w:t>
            </w:r>
            <w:r>
              <w:rPr>
                <w:u w:val="none"/>
              </w:rPr>
              <w:t>(</w:t>
            </w:r>
            <w:r>
              <w:rPr>
                <w:rFonts w:hint="eastAsia"/>
                <w:u w:val="none"/>
              </w:rPr>
              <w:t>元</w:t>
            </w:r>
            <w:r>
              <w:rPr>
                <w:u w:val="none"/>
              </w:rPr>
              <w:t>)</w:t>
            </w:r>
          </w:p>
          <w:p w:rsidR="00000000" w:rsidRDefault="00000000">
            <w:pPr>
              <w:spacing w:line="240" w:lineRule="auto"/>
              <w:jc w:val="center"/>
              <w:rPr>
                <w:rFonts w:hint="eastAsia"/>
                <w:sz w:val="20"/>
              </w:rPr>
            </w:pPr>
            <w:r>
              <w:rPr>
                <w:sz w:val="20"/>
              </w:rPr>
              <w:t>(</w:t>
            </w:r>
            <w:r>
              <w:rPr>
                <w:rFonts w:hint="eastAsia"/>
                <w:sz w:val="20"/>
              </w:rPr>
              <w:t>及实际收回成本率</w:t>
            </w:r>
            <w:r>
              <w:rPr>
                <w:sz w:val="20"/>
              </w:rPr>
              <w:t>)</w:t>
            </w:r>
          </w:p>
        </w:tc>
      </w:tr>
      <w:tr w:rsidR="00000000">
        <w:tblPrEx>
          <w:tblCellMar>
            <w:top w:w="0" w:type="dxa"/>
            <w:bottom w:w="0" w:type="dxa"/>
          </w:tblCellMar>
        </w:tblPrEx>
        <w:trPr>
          <w:cantSplit/>
        </w:trPr>
        <w:tc>
          <w:tcPr>
            <w:tcW w:w="1588" w:type="dxa"/>
            <w:vMerge w:val="restart"/>
            <w:vAlign w:val="center"/>
          </w:tcPr>
          <w:p w:rsidR="00000000" w:rsidRDefault="00000000">
            <w:pPr>
              <w:spacing w:before="120" w:line="240" w:lineRule="auto"/>
              <w:jc w:val="center"/>
              <w:rPr>
                <w:sz w:val="20"/>
              </w:rPr>
            </w:pPr>
            <w:r>
              <w:rPr>
                <w:rFonts w:hint="eastAsia"/>
                <w:sz w:val="20"/>
              </w:rPr>
              <w:t>中四至中五</w:t>
            </w:r>
          </w:p>
        </w:tc>
        <w:tc>
          <w:tcPr>
            <w:tcW w:w="1300" w:type="dxa"/>
            <w:vAlign w:val="center"/>
          </w:tcPr>
          <w:p w:rsidR="00000000" w:rsidRDefault="00000000">
            <w:pPr>
              <w:spacing w:before="120" w:line="240" w:lineRule="auto"/>
              <w:jc w:val="center"/>
              <w:rPr>
                <w:rFonts w:hint="eastAsia"/>
                <w:sz w:val="20"/>
              </w:rPr>
            </w:pPr>
            <w:r>
              <w:rPr>
                <w:sz w:val="20"/>
              </w:rPr>
              <w:t>1997-1998</w:t>
            </w:r>
          </w:p>
        </w:tc>
        <w:tc>
          <w:tcPr>
            <w:tcW w:w="1300" w:type="dxa"/>
            <w:vAlign w:val="center"/>
          </w:tcPr>
          <w:p w:rsidR="00000000" w:rsidRDefault="00000000">
            <w:pPr>
              <w:spacing w:before="120" w:line="240" w:lineRule="auto"/>
              <w:jc w:val="center"/>
              <w:rPr>
                <w:rFonts w:hint="eastAsia"/>
                <w:sz w:val="20"/>
              </w:rPr>
            </w:pPr>
            <w:r>
              <w:rPr>
                <w:sz w:val="20"/>
              </w:rPr>
              <w:t>1998-1999</w:t>
            </w:r>
          </w:p>
        </w:tc>
        <w:tc>
          <w:tcPr>
            <w:tcW w:w="1300" w:type="dxa"/>
            <w:vAlign w:val="center"/>
          </w:tcPr>
          <w:p w:rsidR="00000000" w:rsidRDefault="00000000">
            <w:pPr>
              <w:spacing w:before="120" w:line="240" w:lineRule="auto"/>
              <w:jc w:val="center"/>
              <w:rPr>
                <w:rFonts w:hint="eastAsia"/>
                <w:sz w:val="20"/>
              </w:rPr>
            </w:pPr>
            <w:r>
              <w:rPr>
                <w:sz w:val="20"/>
              </w:rPr>
              <w:t>1999-2000</w:t>
            </w:r>
          </w:p>
        </w:tc>
        <w:tc>
          <w:tcPr>
            <w:tcW w:w="1300" w:type="dxa"/>
            <w:vAlign w:val="center"/>
          </w:tcPr>
          <w:p w:rsidR="00000000" w:rsidRDefault="00000000">
            <w:pPr>
              <w:spacing w:before="120" w:line="240" w:lineRule="auto"/>
              <w:jc w:val="center"/>
              <w:rPr>
                <w:rFonts w:hint="eastAsia"/>
                <w:sz w:val="20"/>
              </w:rPr>
            </w:pPr>
            <w:r>
              <w:rPr>
                <w:sz w:val="20"/>
              </w:rPr>
              <w:t>2000-2001</w:t>
            </w:r>
          </w:p>
        </w:tc>
        <w:tc>
          <w:tcPr>
            <w:tcW w:w="1300" w:type="dxa"/>
            <w:vAlign w:val="center"/>
          </w:tcPr>
          <w:p w:rsidR="00000000" w:rsidRDefault="00000000">
            <w:pPr>
              <w:spacing w:before="120" w:line="240" w:lineRule="auto"/>
              <w:jc w:val="center"/>
              <w:rPr>
                <w:rFonts w:hint="eastAsia"/>
                <w:sz w:val="20"/>
              </w:rPr>
            </w:pPr>
            <w:r>
              <w:rPr>
                <w:sz w:val="20"/>
              </w:rPr>
              <w:t>2001-2002</w:t>
            </w:r>
          </w:p>
        </w:tc>
        <w:tc>
          <w:tcPr>
            <w:tcW w:w="1300" w:type="dxa"/>
            <w:vAlign w:val="center"/>
          </w:tcPr>
          <w:p w:rsidR="00000000" w:rsidRDefault="00000000">
            <w:pPr>
              <w:spacing w:before="120" w:line="240" w:lineRule="auto"/>
              <w:jc w:val="center"/>
              <w:rPr>
                <w:rFonts w:hint="eastAsia"/>
                <w:sz w:val="20"/>
              </w:rPr>
            </w:pPr>
            <w:r>
              <w:rPr>
                <w:sz w:val="20"/>
              </w:rPr>
              <w:t>2002-2003</w:t>
            </w:r>
          </w:p>
        </w:tc>
      </w:tr>
      <w:tr w:rsidR="00000000">
        <w:tblPrEx>
          <w:tblCellMar>
            <w:top w:w="0" w:type="dxa"/>
            <w:bottom w:w="0" w:type="dxa"/>
          </w:tblCellMar>
        </w:tblPrEx>
        <w:trPr>
          <w:cantSplit/>
        </w:trPr>
        <w:tc>
          <w:tcPr>
            <w:tcW w:w="1588" w:type="dxa"/>
            <w:vMerge/>
            <w:vAlign w:val="center"/>
          </w:tcPr>
          <w:p w:rsidR="00000000" w:rsidRDefault="00000000">
            <w:pPr>
              <w:spacing w:line="240" w:lineRule="auto"/>
              <w:jc w:val="center"/>
              <w:rPr>
                <w:rFonts w:hint="eastAsia"/>
                <w:sz w:val="20"/>
              </w:rPr>
            </w:pPr>
          </w:p>
        </w:tc>
        <w:tc>
          <w:tcPr>
            <w:tcW w:w="1300" w:type="dxa"/>
            <w:vAlign w:val="center"/>
          </w:tcPr>
          <w:p w:rsidR="00000000" w:rsidRDefault="00000000">
            <w:pPr>
              <w:spacing w:line="240" w:lineRule="auto"/>
              <w:jc w:val="center"/>
              <w:rPr>
                <w:rFonts w:hint="eastAsia"/>
                <w:sz w:val="20"/>
              </w:rPr>
            </w:pPr>
            <w:r>
              <w:rPr>
                <w:sz w:val="20"/>
              </w:rPr>
              <w:t>5,050</w:t>
            </w:r>
          </w:p>
          <w:p w:rsidR="00000000" w:rsidRDefault="00000000">
            <w:pPr>
              <w:spacing w:line="240" w:lineRule="auto"/>
              <w:jc w:val="center"/>
              <w:rPr>
                <w:rFonts w:hint="eastAsia"/>
                <w:sz w:val="20"/>
              </w:rPr>
            </w:pPr>
            <w:r>
              <w:rPr>
                <w:sz w:val="20"/>
              </w:rPr>
              <w:t>(18%)</w:t>
            </w:r>
          </w:p>
        </w:tc>
        <w:tc>
          <w:tcPr>
            <w:tcW w:w="1300" w:type="dxa"/>
            <w:vAlign w:val="center"/>
          </w:tcPr>
          <w:p w:rsidR="00000000" w:rsidRDefault="00000000">
            <w:pPr>
              <w:spacing w:line="240" w:lineRule="auto"/>
              <w:jc w:val="center"/>
              <w:rPr>
                <w:rFonts w:hint="eastAsia"/>
                <w:sz w:val="20"/>
              </w:rPr>
            </w:pPr>
            <w:r>
              <w:rPr>
                <w:sz w:val="20"/>
              </w:rPr>
              <w:t>5,050</w:t>
            </w:r>
          </w:p>
          <w:p w:rsidR="00000000" w:rsidRDefault="00000000">
            <w:pPr>
              <w:spacing w:line="240" w:lineRule="auto"/>
              <w:jc w:val="center"/>
              <w:rPr>
                <w:rFonts w:hint="eastAsia"/>
                <w:sz w:val="20"/>
              </w:rPr>
            </w:pPr>
            <w:r>
              <w:rPr>
                <w:sz w:val="20"/>
              </w:rPr>
              <w:t>(17%)</w:t>
            </w:r>
          </w:p>
        </w:tc>
        <w:tc>
          <w:tcPr>
            <w:tcW w:w="1300" w:type="dxa"/>
            <w:vAlign w:val="center"/>
          </w:tcPr>
          <w:p w:rsidR="00000000" w:rsidRDefault="00000000">
            <w:pPr>
              <w:spacing w:line="240" w:lineRule="auto"/>
              <w:jc w:val="center"/>
              <w:rPr>
                <w:rFonts w:hint="eastAsia"/>
                <w:sz w:val="20"/>
              </w:rPr>
            </w:pPr>
            <w:r>
              <w:rPr>
                <w:sz w:val="20"/>
              </w:rPr>
              <w:t>5,050</w:t>
            </w:r>
          </w:p>
          <w:p w:rsidR="00000000" w:rsidRDefault="00000000">
            <w:pPr>
              <w:spacing w:line="240" w:lineRule="auto"/>
              <w:jc w:val="center"/>
              <w:rPr>
                <w:rFonts w:hint="eastAsia"/>
                <w:sz w:val="20"/>
              </w:rPr>
            </w:pPr>
            <w:r>
              <w:rPr>
                <w:sz w:val="20"/>
              </w:rPr>
              <w:t>(17%)</w:t>
            </w:r>
          </w:p>
        </w:tc>
        <w:tc>
          <w:tcPr>
            <w:tcW w:w="1300" w:type="dxa"/>
            <w:vAlign w:val="center"/>
          </w:tcPr>
          <w:p w:rsidR="00000000" w:rsidRDefault="00000000">
            <w:pPr>
              <w:spacing w:line="240" w:lineRule="auto"/>
              <w:jc w:val="center"/>
              <w:rPr>
                <w:rFonts w:hint="eastAsia"/>
                <w:sz w:val="20"/>
              </w:rPr>
            </w:pPr>
            <w:r>
              <w:rPr>
                <w:sz w:val="20"/>
              </w:rPr>
              <w:t>5,050</w:t>
            </w:r>
          </w:p>
          <w:p w:rsidR="00000000" w:rsidRDefault="00000000">
            <w:pPr>
              <w:spacing w:line="240" w:lineRule="auto"/>
              <w:jc w:val="center"/>
              <w:rPr>
                <w:rFonts w:hint="eastAsia"/>
                <w:sz w:val="20"/>
              </w:rPr>
            </w:pPr>
            <w:r>
              <w:rPr>
                <w:sz w:val="20"/>
              </w:rPr>
              <w:t>(15%)</w:t>
            </w:r>
          </w:p>
        </w:tc>
        <w:tc>
          <w:tcPr>
            <w:tcW w:w="1300" w:type="dxa"/>
            <w:vAlign w:val="center"/>
          </w:tcPr>
          <w:p w:rsidR="00000000" w:rsidRDefault="00000000">
            <w:pPr>
              <w:spacing w:line="240" w:lineRule="auto"/>
              <w:jc w:val="center"/>
              <w:rPr>
                <w:rFonts w:hint="eastAsia"/>
                <w:sz w:val="20"/>
              </w:rPr>
            </w:pPr>
            <w:r>
              <w:rPr>
                <w:sz w:val="20"/>
              </w:rPr>
              <w:t>5,050</w:t>
            </w:r>
          </w:p>
          <w:p w:rsidR="00000000" w:rsidRDefault="00000000">
            <w:pPr>
              <w:spacing w:line="240" w:lineRule="auto"/>
              <w:jc w:val="center"/>
              <w:rPr>
                <w:rFonts w:hint="eastAsia"/>
                <w:sz w:val="20"/>
              </w:rPr>
            </w:pPr>
            <w:r>
              <w:rPr>
                <w:sz w:val="20"/>
              </w:rPr>
              <w:t>(15%)</w:t>
            </w:r>
          </w:p>
        </w:tc>
        <w:tc>
          <w:tcPr>
            <w:tcW w:w="1300" w:type="dxa"/>
            <w:vAlign w:val="center"/>
          </w:tcPr>
          <w:p w:rsidR="00000000" w:rsidRDefault="00000000">
            <w:pPr>
              <w:spacing w:line="240" w:lineRule="auto"/>
              <w:jc w:val="center"/>
              <w:rPr>
                <w:rFonts w:hint="eastAsia"/>
                <w:sz w:val="20"/>
              </w:rPr>
            </w:pPr>
            <w:r>
              <w:rPr>
                <w:sz w:val="20"/>
              </w:rPr>
              <w:t>5,050</w:t>
            </w:r>
          </w:p>
          <w:p w:rsidR="00000000" w:rsidRDefault="00000000">
            <w:pPr>
              <w:spacing w:line="240" w:lineRule="auto"/>
              <w:jc w:val="center"/>
              <w:rPr>
                <w:rFonts w:hint="eastAsia"/>
                <w:sz w:val="20"/>
              </w:rPr>
            </w:pPr>
            <w:r>
              <w:rPr>
                <w:sz w:val="20"/>
              </w:rPr>
              <w:t>(14%)</w:t>
            </w:r>
          </w:p>
        </w:tc>
      </w:tr>
      <w:tr w:rsidR="00000000">
        <w:tblPrEx>
          <w:tblCellMar>
            <w:top w:w="0" w:type="dxa"/>
            <w:bottom w:w="0" w:type="dxa"/>
          </w:tblCellMar>
        </w:tblPrEx>
        <w:tc>
          <w:tcPr>
            <w:tcW w:w="1588" w:type="dxa"/>
          </w:tcPr>
          <w:p w:rsidR="00000000" w:rsidRDefault="00000000">
            <w:pPr>
              <w:spacing w:before="120" w:line="240" w:lineRule="auto"/>
              <w:jc w:val="center"/>
              <w:rPr>
                <w:rFonts w:hint="eastAsia"/>
                <w:sz w:val="20"/>
              </w:rPr>
            </w:pPr>
            <w:r>
              <w:rPr>
                <w:rFonts w:hint="eastAsia"/>
                <w:sz w:val="20"/>
              </w:rPr>
              <w:t>中六至中七</w:t>
            </w:r>
          </w:p>
        </w:tc>
        <w:tc>
          <w:tcPr>
            <w:tcW w:w="1300" w:type="dxa"/>
            <w:vAlign w:val="center"/>
          </w:tcPr>
          <w:p w:rsidR="00000000" w:rsidRDefault="00000000">
            <w:pPr>
              <w:spacing w:line="240" w:lineRule="auto"/>
              <w:jc w:val="center"/>
              <w:rPr>
                <w:rFonts w:hint="eastAsia"/>
                <w:sz w:val="20"/>
              </w:rPr>
            </w:pPr>
            <w:r>
              <w:rPr>
                <w:sz w:val="20"/>
              </w:rPr>
              <w:t>8,750</w:t>
            </w:r>
          </w:p>
          <w:p w:rsidR="00000000" w:rsidRDefault="00000000">
            <w:pPr>
              <w:spacing w:line="240" w:lineRule="auto"/>
              <w:jc w:val="center"/>
              <w:rPr>
                <w:rFonts w:hint="eastAsia"/>
                <w:sz w:val="20"/>
              </w:rPr>
            </w:pPr>
            <w:r>
              <w:rPr>
                <w:sz w:val="20"/>
              </w:rPr>
              <w:t>(18%)</w:t>
            </w:r>
          </w:p>
        </w:tc>
        <w:tc>
          <w:tcPr>
            <w:tcW w:w="1300" w:type="dxa"/>
            <w:vAlign w:val="center"/>
          </w:tcPr>
          <w:p w:rsidR="00000000" w:rsidRDefault="00000000">
            <w:pPr>
              <w:spacing w:line="240" w:lineRule="auto"/>
              <w:jc w:val="center"/>
              <w:rPr>
                <w:rFonts w:hint="eastAsia"/>
                <w:sz w:val="20"/>
              </w:rPr>
            </w:pPr>
            <w:r>
              <w:rPr>
                <w:sz w:val="20"/>
              </w:rPr>
              <w:t>8,750</w:t>
            </w:r>
          </w:p>
          <w:p w:rsidR="00000000" w:rsidRDefault="00000000">
            <w:pPr>
              <w:spacing w:line="240" w:lineRule="auto"/>
              <w:jc w:val="center"/>
              <w:rPr>
                <w:rFonts w:hint="eastAsia"/>
                <w:sz w:val="20"/>
              </w:rPr>
            </w:pPr>
            <w:r>
              <w:rPr>
                <w:sz w:val="20"/>
              </w:rPr>
              <w:t>(17%)</w:t>
            </w:r>
          </w:p>
        </w:tc>
        <w:tc>
          <w:tcPr>
            <w:tcW w:w="1300" w:type="dxa"/>
            <w:vAlign w:val="center"/>
          </w:tcPr>
          <w:p w:rsidR="00000000" w:rsidRDefault="00000000">
            <w:pPr>
              <w:spacing w:line="240" w:lineRule="auto"/>
              <w:jc w:val="center"/>
              <w:rPr>
                <w:rFonts w:hint="eastAsia"/>
                <w:sz w:val="20"/>
              </w:rPr>
            </w:pPr>
            <w:r>
              <w:rPr>
                <w:sz w:val="20"/>
              </w:rPr>
              <w:t>8,750</w:t>
            </w:r>
          </w:p>
          <w:p w:rsidR="00000000" w:rsidRDefault="00000000">
            <w:pPr>
              <w:spacing w:line="240" w:lineRule="auto"/>
              <w:jc w:val="center"/>
              <w:rPr>
                <w:rFonts w:hint="eastAsia"/>
                <w:sz w:val="20"/>
              </w:rPr>
            </w:pPr>
            <w:r>
              <w:rPr>
                <w:sz w:val="20"/>
              </w:rPr>
              <w:t>(17%)</w:t>
            </w:r>
          </w:p>
        </w:tc>
        <w:tc>
          <w:tcPr>
            <w:tcW w:w="1300" w:type="dxa"/>
            <w:vAlign w:val="center"/>
          </w:tcPr>
          <w:p w:rsidR="00000000" w:rsidRDefault="00000000">
            <w:pPr>
              <w:spacing w:line="240" w:lineRule="auto"/>
              <w:jc w:val="center"/>
              <w:rPr>
                <w:rFonts w:hint="eastAsia"/>
                <w:sz w:val="20"/>
              </w:rPr>
            </w:pPr>
            <w:r>
              <w:rPr>
                <w:sz w:val="20"/>
              </w:rPr>
              <w:t>8,750</w:t>
            </w:r>
          </w:p>
          <w:p w:rsidR="00000000" w:rsidRDefault="00000000">
            <w:pPr>
              <w:spacing w:line="240" w:lineRule="auto"/>
              <w:jc w:val="center"/>
              <w:rPr>
                <w:rFonts w:hint="eastAsia"/>
                <w:sz w:val="20"/>
              </w:rPr>
            </w:pPr>
            <w:r>
              <w:rPr>
                <w:sz w:val="20"/>
              </w:rPr>
              <w:t>(16%)</w:t>
            </w:r>
          </w:p>
        </w:tc>
        <w:tc>
          <w:tcPr>
            <w:tcW w:w="1300" w:type="dxa"/>
            <w:vAlign w:val="center"/>
          </w:tcPr>
          <w:p w:rsidR="00000000" w:rsidRDefault="00000000">
            <w:pPr>
              <w:spacing w:line="240" w:lineRule="auto"/>
              <w:jc w:val="center"/>
              <w:rPr>
                <w:rFonts w:hint="eastAsia"/>
                <w:sz w:val="20"/>
              </w:rPr>
            </w:pPr>
            <w:r>
              <w:rPr>
                <w:sz w:val="20"/>
              </w:rPr>
              <w:t>8,750</w:t>
            </w:r>
          </w:p>
          <w:p w:rsidR="00000000" w:rsidRDefault="00000000">
            <w:pPr>
              <w:spacing w:line="240" w:lineRule="auto"/>
              <w:jc w:val="center"/>
              <w:rPr>
                <w:rFonts w:hint="eastAsia"/>
                <w:sz w:val="20"/>
              </w:rPr>
            </w:pPr>
            <w:r>
              <w:rPr>
                <w:sz w:val="20"/>
              </w:rPr>
              <w:t>(15%)</w:t>
            </w:r>
          </w:p>
        </w:tc>
        <w:tc>
          <w:tcPr>
            <w:tcW w:w="1300" w:type="dxa"/>
            <w:vAlign w:val="center"/>
          </w:tcPr>
          <w:p w:rsidR="00000000" w:rsidRDefault="00000000">
            <w:pPr>
              <w:spacing w:line="240" w:lineRule="auto"/>
              <w:jc w:val="center"/>
              <w:rPr>
                <w:rFonts w:hint="eastAsia"/>
                <w:sz w:val="20"/>
              </w:rPr>
            </w:pPr>
            <w:r>
              <w:rPr>
                <w:sz w:val="20"/>
              </w:rPr>
              <w:t>8,750</w:t>
            </w:r>
          </w:p>
          <w:p w:rsidR="00000000" w:rsidRDefault="00000000">
            <w:pPr>
              <w:spacing w:line="240" w:lineRule="auto"/>
              <w:jc w:val="center"/>
              <w:rPr>
                <w:rFonts w:hint="eastAsia"/>
                <w:sz w:val="20"/>
              </w:rPr>
            </w:pPr>
            <w:r>
              <w:rPr>
                <w:sz w:val="20"/>
              </w:rPr>
              <w:t>(14%)</w:t>
            </w:r>
          </w:p>
        </w:tc>
      </w:tr>
    </w:tbl>
    <w:p w:rsidR="00000000" w:rsidRDefault="00000000">
      <w:pPr>
        <w:rPr>
          <w:rFonts w:hint="eastAsia"/>
        </w:rPr>
      </w:pPr>
    </w:p>
    <w:p w:rsidR="00000000" w:rsidRDefault="00000000">
      <w:pPr>
        <w:rPr>
          <w:rFonts w:hint="eastAsia"/>
        </w:rPr>
      </w:pPr>
      <w:r>
        <w:rPr>
          <w:rFonts w:hint="eastAsia"/>
        </w:rPr>
        <w:t>在公营学校就读的高中学生，如经济有困难，可申请减免一半或全部学费。</w:t>
      </w:r>
    </w:p>
    <w:p w:rsidR="00000000" w:rsidRDefault="00000000">
      <w:pPr>
        <w:pStyle w:val="Heading4"/>
        <w:spacing w:before="300"/>
        <w:rPr>
          <w:rFonts w:eastAsia="SimHei" w:hint="eastAsia"/>
          <w:bCs/>
          <w:u w:val="none"/>
        </w:rPr>
      </w:pPr>
      <w:r>
        <w:rPr>
          <w:rFonts w:eastAsia="SimHei" w:hint="eastAsia"/>
          <w:bCs/>
          <w:u w:val="none"/>
        </w:rPr>
        <w:t>教</w:t>
      </w:r>
      <w:r>
        <w:rPr>
          <w:rFonts w:eastAsia="SimHei" w:hint="eastAsia"/>
          <w:bCs/>
          <w:u w:val="none"/>
        </w:rPr>
        <w:t xml:space="preserve">  </w:t>
      </w:r>
      <w:r>
        <w:rPr>
          <w:rFonts w:eastAsia="SimHei" w:hint="eastAsia"/>
          <w:bCs/>
          <w:u w:val="none"/>
        </w:rPr>
        <w:t>师</w:t>
      </w:r>
    </w:p>
    <w:p w:rsidR="00000000" w:rsidRDefault="00000000">
      <w:pPr>
        <w:pStyle w:val="Heading4"/>
        <w:spacing w:before="300"/>
        <w:ind w:left="520"/>
        <w:rPr>
          <w:rFonts w:hint="eastAsia"/>
        </w:rPr>
      </w:pPr>
      <w:r>
        <w:rPr>
          <w:rFonts w:hint="eastAsia"/>
        </w:rPr>
        <w:t>薪</w:t>
      </w:r>
      <w:r>
        <w:rPr>
          <w:rFonts w:hint="eastAsia"/>
        </w:rPr>
        <w:t xml:space="preserve">  </w:t>
      </w:r>
      <w:r>
        <w:rPr>
          <w:rFonts w:hint="eastAsia"/>
        </w:rPr>
        <w:t>酬</w:t>
      </w:r>
    </w:p>
    <w:p w:rsidR="00000000" w:rsidRDefault="00000000">
      <w:pPr>
        <w:rPr>
          <w:rFonts w:ascii="華康細明體" w:hint="eastAsia"/>
        </w:rPr>
      </w:pPr>
      <w:r>
        <w:tab/>
        <w:t xml:space="preserve">695.  </w:t>
      </w:r>
      <w:r>
        <w:rPr>
          <w:rFonts w:ascii="華康細明體" w:hint="eastAsia"/>
        </w:rPr>
        <w:t>有关情况并无改变，与首份报告第</w:t>
      </w:r>
      <w:r>
        <w:t>512</w:t>
      </w:r>
      <w:r>
        <w:rPr>
          <w:rFonts w:ascii="華康細明體" w:hint="eastAsia"/>
        </w:rPr>
        <w:t>段所述的相同。</w:t>
      </w:r>
    </w:p>
    <w:p w:rsidR="00000000" w:rsidRDefault="00000000">
      <w:pPr>
        <w:pStyle w:val="Heading4"/>
        <w:spacing w:before="300"/>
        <w:ind w:left="520"/>
        <w:rPr>
          <w:rFonts w:hint="eastAsia"/>
        </w:rPr>
      </w:pPr>
      <w:r>
        <w:rPr>
          <w:rFonts w:hint="eastAsia"/>
        </w:rPr>
        <w:t>教师质素</w:t>
      </w:r>
    </w:p>
    <w:p w:rsidR="00000000" w:rsidRDefault="00000000">
      <w:pPr>
        <w:rPr>
          <w:rFonts w:ascii="華康細明體" w:hint="eastAsia"/>
        </w:rPr>
      </w:pPr>
      <w:r>
        <w:tab/>
        <w:t xml:space="preserve">696.  </w:t>
      </w:r>
      <w:r>
        <w:rPr>
          <w:rFonts w:ascii="華康細明體" w:hint="eastAsia"/>
        </w:rPr>
        <w:t>现时推行的各项提高教学水平的措施，载于附件</w:t>
      </w:r>
      <w:r>
        <w:t>13B</w:t>
      </w:r>
      <w:r>
        <w:rPr>
          <w:rFonts w:ascii="華康細明體" w:hint="eastAsia"/>
        </w:rPr>
        <w:t>。该附件更新了首份报告第</w:t>
      </w:r>
      <w:r>
        <w:t>513</w:t>
      </w:r>
      <w:r>
        <w:rPr>
          <w:rFonts w:ascii="華康細明體" w:hint="eastAsia"/>
        </w:rPr>
        <w:t>段及附件</w:t>
      </w:r>
      <w:r>
        <w:t>28</w:t>
      </w:r>
      <w:r>
        <w:rPr>
          <w:rFonts w:ascii="華康細明體" w:hint="eastAsia"/>
        </w:rPr>
        <w:t>所述的情况。</w:t>
      </w:r>
    </w:p>
    <w:p w:rsidR="00000000" w:rsidRDefault="00000000"/>
    <w:p w:rsidR="00000000" w:rsidRDefault="00000000">
      <w:pPr>
        <w:pStyle w:val="Heading4"/>
        <w:spacing w:before="300"/>
        <w:ind w:left="520"/>
        <w:rPr>
          <w:rFonts w:hint="eastAsia"/>
        </w:rPr>
      </w:pPr>
      <w:r>
        <w:rPr>
          <w:rFonts w:hint="eastAsia"/>
        </w:rPr>
        <w:t>师资培训</w:t>
      </w:r>
    </w:p>
    <w:p w:rsidR="00000000" w:rsidRDefault="00000000">
      <w:pPr>
        <w:rPr>
          <w:rFonts w:ascii="華康細明體" w:hint="eastAsia"/>
        </w:rPr>
      </w:pPr>
      <w:r>
        <w:tab/>
        <w:t xml:space="preserve">697.  </w:t>
      </w:r>
      <w:r>
        <w:rPr>
          <w:rFonts w:ascii="華康細明體" w:hint="eastAsia"/>
        </w:rPr>
        <w:t>有关情况并无改变，与首份报告第</w:t>
      </w:r>
      <w:r>
        <w:t>514</w:t>
      </w:r>
      <w:r>
        <w:rPr>
          <w:rFonts w:ascii="華康細明體" w:hint="eastAsia"/>
        </w:rPr>
        <w:t>段所述的相同，惟香港浸会大学亦已开办职前师资训练课程，成为其中一间提供这类课程的高等教育院校。至于发还学费方面，凡修读在职专业发展课程的教师，均可向其任教的学校申请发还部分或全数的学费。</w:t>
      </w:r>
    </w:p>
    <w:p w:rsidR="00000000" w:rsidRDefault="00000000">
      <w:pPr>
        <w:pStyle w:val="Heading4"/>
        <w:spacing w:before="300"/>
        <w:rPr>
          <w:rFonts w:eastAsia="SimHei" w:hint="eastAsia"/>
          <w:u w:val="none"/>
        </w:rPr>
      </w:pPr>
      <w:r>
        <w:rPr>
          <w:rFonts w:eastAsia="SimHei" w:hint="eastAsia"/>
          <w:u w:val="none"/>
        </w:rPr>
        <w:t>优质教育基金</w:t>
      </w:r>
    </w:p>
    <w:p w:rsidR="00000000" w:rsidRDefault="00000000">
      <w:pPr>
        <w:rPr>
          <w:rFonts w:hint="eastAsia"/>
          <w:snapToGrid/>
        </w:rPr>
      </w:pPr>
      <w:r>
        <w:rPr>
          <w:snapToGrid/>
        </w:rPr>
        <w:tab/>
        <w:t xml:space="preserve">698.  </w:t>
      </w:r>
      <w:r>
        <w:rPr>
          <w:rFonts w:hint="eastAsia"/>
          <w:snapToGrid/>
        </w:rPr>
        <w:t>如首份报告第</w:t>
      </w:r>
      <w:r>
        <w:rPr>
          <w:snapToGrid/>
        </w:rPr>
        <w:t>515</w:t>
      </w:r>
      <w:r>
        <w:rPr>
          <w:rFonts w:hint="eastAsia"/>
          <w:snapToGrid/>
        </w:rPr>
        <w:t>段所述，设立基金的目的，主要是为教育研究工作和校本管理措施提供资助，以发展新课程和提高教育质素。自该基金于一九九八年一月设立以来，已处理五次申请</w:t>
      </w:r>
      <w:r>
        <w:rPr>
          <w:snapToGrid/>
        </w:rPr>
        <w:t>(</w:t>
      </w:r>
      <w:r>
        <w:rPr>
          <w:rFonts w:hint="eastAsia"/>
          <w:snapToGrid/>
        </w:rPr>
        <w:t>现正接受第六次申请</w:t>
      </w:r>
      <w:r>
        <w:rPr>
          <w:snapToGrid/>
        </w:rPr>
        <w:t>)</w:t>
      </w:r>
      <w:r>
        <w:rPr>
          <w:rFonts w:hint="eastAsia"/>
          <w:snapToGrid/>
        </w:rPr>
        <w:t>，共收到</w:t>
      </w:r>
      <w:r>
        <w:rPr>
          <w:snapToGrid/>
        </w:rPr>
        <w:t>12,000</w:t>
      </w:r>
      <w:r>
        <w:rPr>
          <w:rFonts w:hint="eastAsia"/>
          <w:snapToGrid/>
        </w:rPr>
        <w:t>多份计划书。这些计划书分别由学校、教育团体、非牟利机构、公共机构及个别人士提出。至今已有超过</w:t>
      </w:r>
      <w:r>
        <w:rPr>
          <w:snapToGrid/>
        </w:rPr>
        <w:t>4,600</w:t>
      </w:r>
      <w:r>
        <w:rPr>
          <w:rFonts w:hint="eastAsia"/>
          <w:snapToGrid/>
        </w:rPr>
        <w:t>份计划书获得批准，资助额共达</w:t>
      </w:r>
      <w:r>
        <w:rPr>
          <w:snapToGrid/>
        </w:rPr>
        <w:t>28</w:t>
      </w:r>
      <w:r>
        <w:rPr>
          <w:rFonts w:hint="eastAsia"/>
          <w:snapToGrid/>
        </w:rPr>
        <w:t>亿港元</w:t>
      </w:r>
      <w:r>
        <w:rPr>
          <w:snapToGrid/>
        </w:rPr>
        <w:t>(</w:t>
      </w:r>
      <w:r>
        <w:rPr>
          <w:rFonts w:hint="eastAsia"/>
          <w:snapToGrid/>
        </w:rPr>
        <w:t>约为</w:t>
      </w:r>
      <w:r>
        <w:rPr>
          <w:snapToGrid/>
        </w:rPr>
        <w:t>3.59</w:t>
      </w:r>
      <w:r>
        <w:rPr>
          <w:rFonts w:hint="eastAsia"/>
          <w:snapToGrid/>
        </w:rPr>
        <w:t>亿美元</w:t>
      </w:r>
      <w:r>
        <w:rPr>
          <w:snapToGrid/>
        </w:rPr>
        <w:t>)</w:t>
      </w:r>
      <w:r>
        <w:rPr>
          <w:rFonts w:hint="eastAsia"/>
          <w:snapToGrid/>
        </w:rPr>
        <w:t>。</w:t>
      </w:r>
    </w:p>
    <w:p w:rsidR="00000000" w:rsidRDefault="00000000">
      <w:pPr>
        <w:pStyle w:val="Heading4"/>
        <w:spacing w:before="300"/>
        <w:rPr>
          <w:rFonts w:eastAsia="SimHei" w:hint="eastAsia"/>
          <w:u w:val="none"/>
        </w:rPr>
      </w:pPr>
      <w:r>
        <w:rPr>
          <w:rFonts w:eastAsia="SimHei" w:hint="eastAsia"/>
          <w:u w:val="none"/>
        </w:rPr>
        <w:t>语文政策：两文三语</w:t>
      </w:r>
    </w:p>
    <w:p w:rsidR="00000000" w:rsidRDefault="00000000">
      <w:pPr>
        <w:rPr>
          <w:rFonts w:ascii="華康細明體" w:hint="eastAsia"/>
        </w:rPr>
      </w:pPr>
      <w:r>
        <w:tab/>
        <w:t xml:space="preserve">699.  </w:t>
      </w:r>
      <w:r>
        <w:rPr>
          <w:rFonts w:ascii="華康細明體" w:hint="eastAsia"/>
        </w:rPr>
        <w:t>有关情况基本上并无改变，与首份报告第</w:t>
      </w:r>
      <w:r>
        <w:t>517</w:t>
      </w:r>
      <w:r>
        <w:rPr>
          <w:rFonts w:ascii="華康細明體" w:hint="eastAsia"/>
        </w:rPr>
        <w:t>及</w:t>
      </w:r>
      <w:r>
        <w:t>518</w:t>
      </w:r>
      <w:r>
        <w:rPr>
          <w:rFonts w:ascii="華康細明體" w:hint="eastAsia"/>
        </w:rPr>
        <w:t>段所述的相同。</w:t>
      </w:r>
    </w:p>
    <w:p w:rsidR="00000000" w:rsidRDefault="00000000">
      <w:pPr>
        <w:pStyle w:val="Heading4"/>
        <w:spacing w:before="300"/>
        <w:rPr>
          <w:rFonts w:eastAsia="SimHei" w:hint="eastAsia"/>
          <w:u w:val="none"/>
        </w:rPr>
      </w:pPr>
      <w:r>
        <w:rPr>
          <w:rFonts w:eastAsia="SimHei" w:hint="eastAsia"/>
          <w:u w:val="none"/>
        </w:rPr>
        <w:t>教学语言</w:t>
      </w:r>
    </w:p>
    <w:p w:rsidR="00000000" w:rsidRDefault="00000000">
      <w:pPr>
        <w:rPr>
          <w:rFonts w:ascii="華康細明體" w:hint="eastAsia"/>
        </w:rPr>
      </w:pPr>
      <w:r>
        <w:tab/>
      </w:r>
      <w:r>
        <w:rPr>
          <w:rFonts w:hint="eastAsia"/>
        </w:rPr>
        <w:t>700.</w:t>
      </w:r>
      <w:r>
        <w:t xml:space="preserve">  </w:t>
      </w:r>
      <w:r>
        <w:rPr>
          <w:rFonts w:ascii="華康細明體" w:hint="eastAsia"/>
        </w:rPr>
        <w:t>有关情况基本上并无改变，与上次报告第</w:t>
      </w:r>
      <w:r>
        <w:t>519</w:t>
      </w:r>
      <w:r>
        <w:rPr>
          <w:rFonts w:ascii="華康細明體" w:hint="eastAsia"/>
        </w:rPr>
        <w:t>至</w:t>
      </w:r>
      <w:r>
        <w:t>524</w:t>
      </w:r>
      <w:r>
        <w:rPr>
          <w:rFonts w:ascii="華康細明體" w:hint="eastAsia"/>
        </w:rPr>
        <w:t>段所述的相同。我们会在二零零三至零四学年检讨有关政策。</w:t>
      </w:r>
    </w:p>
    <w:p w:rsidR="00000000" w:rsidRDefault="00000000">
      <w:pPr>
        <w:pStyle w:val="Heading4"/>
        <w:spacing w:before="300"/>
        <w:ind w:left="520"/>
        <w:rPr>
          <w:rFonts w:hint="eastAsia"/>
        </w:rPr>
      </w:pPr>
      <w:r>
        <w:rPr>
          <w:rFonts w:hint="eastAsia"/>
        </w:rPr>
        <w:t>鼓励教师以母语教学及提高语文教学水平的师资培训</w:t>
      </w:r>
    </w:p>
    <w:p w:rsidR="00000000" w:rsidRDefault="00000000">
      <w:pPr>
        <w:rPr>
          <w:rFonts w:hint="eastAsia"/>
        </w:rPr>
      </w:pPr>
      <w:r>
        <w:tab/>
      </w:r>
      <w:r>
        <w:rPr>
          <w:rFonts w:hint="eastAsia"/>
        </w:rPr>
        <w:t>701.</w:t>
      </w:r>
      <w:r>
        <w:t xml:space="preserve">  </w:t>
      </w:r>
      <w:r>
        <w:rPr>
          <w:rFonts w:ascii="華康細明體" w:hint="eastAsia"/>
        </w:rPr>
        <w:t>在首份报告第</w:t>
      </w:r>
      <w:r>
        <w:t>525</w:t>
      </w:r>
      <w:r>
        <w:rPr>
          <w:rFonts w:ascii="華康細明體" w:hint="eastAsia"/>
        </w:rPr>
        <w:t>段，我们阐述语文教育学院所担当的角色，该学院已与其他教育学院合并为香港教育学院。香港教育学院现提供副学位、学位及学位以上程度的师资训练课程。由二零零四至零五学年起，所有完成中小学职前师资训练课程的毕业生都会持有学位。此外，我们亦已于二零零零年九月公布语文能力要求政策。在新政策下，所有在二零零零至零一学年任教英文科和普通话科的在职教师须于二零零五至零六学年完结前达到既定的语文水平。至于在二零零一至零二学年、二零零二至零三学年，以及二零零三至零四学年新任教该两科的教师，亦须在出任该职位两年内达到新定的水平。由二</w:t>
      </w:r>
      <w:r>
        <w:rPr>
          <w:rFonts w:hint="eastAsia"/>
        </w:rPr>
        <w:t>零零四至零五学年开始，这“宽限期”会减至一年。教师语文能力可通过评核、申请豁免或两者兼用的方法来评估是否达到新水平。</w:t>
      </w:r>
    </w:p>
    <w:p w:rsidR="00000000" w:rsidRDefault="00000000">
      <w:pPr>
        <w:pStyle w:val="Heading4"/>
        <w:spacing w:before="300"/>
        <w:ind w:left="520"/>
        <w:rPr>
          <w:rFonts w:hint="eastAsia"/>
        </w:rPr>
      </w:pPr>
      <w:r>
        <w:rPr>
          <w:rFonts w:hint="eastAsia"/>
        </w:rPr>
        <w:t>少数族裔学生学习本身母语的机会</w:t>
      </w:r>
    </w:p>
    <w:p w:rsidR="00000000" w:rsidRDefault="00000000">
      <w:pPr>
        <w:rPr>
          <w:rFonts w:ascii="華康細明體" w:hint="eastAsia"/>
        </w:rPr>
      </w:pPr>
      <w:r>
        <w:tab/>
      </w:r>
      <w:r>
        <w:rPr>
          <w:rFonts w:hint="eastAsia"/>
        </w:rPr>
        <w:t>702.</w:t>
      </w:r>
      <w:r>
        <w:t xml:space="preserve">  </w:t>
      </w:r>
      <w:r>
        <w:rPr>
          <w:rFonts w:ascii="華康細明體" w:hint="eastAsia"/>
        </w:rPr>
        <w:t>有关情况基本上并无改变，与首份报告第</w:t>
      </w:r>
      <w:r>
        <w:t>527</w:t>
      </w:r>
      <w:r>
        <w:rPr>
          <w:rFonts w:ascii="華康細明體" w:hint="eastAsia"/>
        </w:rPr>
        <w:t>段所述的相同，但有关少数族裔人士的整体教育问题却有几项发展。传统上，少数族裔人士</w:t>
      </w:r>
      <w:r>
        <w:rPr>
          <w:rFonts w:ascii="華康細明體"/>
        </w:rPr>
        <w:t>(</w:t>
      </w:r>
      <w:r>
        <w:rPr>
          <w:rFonts w:ascii="華康細明體" w:hint="eastAsia"/>
        </w:rPr>
        <w:t>大部分是印度或巴基斯坦后裔</w:t>
      </w:r>
      <w:r>
        <w:rPr>
          <w:rFonts w:ascii="華康細明體"/>
        </w:rPr>
        <w:t>)</w:t>
      </w:r>
      <w:r>
        <w:rPr>
          <w:rFonts w:ascii="華康細明體" w:hint="eastAsia"/>
        </w:rPr>
        <w:t>的子女均就读首份报告所述的官立学校、私立国际学校或公营的主流学校。这些学童大都能说广东话和英语，但绝大部分都不能书写中文，因此，这在某程度上限制了他们将来就业的机会。</w:t>
      </w:r>
    </w:p>
    <w:p w:rsidR="00000000" w:rsidRDefault="00000000">
      <w:pPr>
        <w:rPr>
          <w:rFonts w:ascii="華康細明體" w:hint="eastAsia"/>
        </w:rPr>
      </w:pPr>
      <w:r>
        <w:tab/>
      </w:r>
      <w:r>
        <w:rPr>
          <w:rFonts w:hint="eastAsia"/>
        </w:rPr>
        <w:t>703.</w:t>
      </w:r>
      <w:r>
        <w:t xml:space="preserve">  </w:t>
      </w:r>
      <w:r>
        <w:rPr>
          <w:rFonts w:ascii="華康細明體" w:hint="eastAsia"/>
        </w:rPr>
        <w:t>一向以来，除了中国内地外，很少其他族裔人士来港定居。但由一九九零年代中期开始，从南亚来港定居的人士，尤其是从尼泊尔和巴基斯坦来的人士明显增加。这些“非华裔的新来港定居人士”与其他已在港定居的少数族裔人士不同，他们绝大部分都不会说广东话，很多只会说一点英语，甚至不会说英语，这令他们在适应新环境方面，尤其有关就学、培训和就业</w:t>
      </w:r>
      <w:r>
        <w:rPr>
          <w:rStyle w:val="FootnoteReference"/>
        </w:rPr>
        <w:footnoteReference w:customMarkFollows="1" w:id="66"/>
        <w:t>53</w:t>
      </w:r>
      <w:r>
        <w:t xml:space="preserve"> </w:t>
      </w:r>
      <w:r>
        <w:rPr>
          <w:rFonts w:ascii="華康細明體" w:hint="eastAsia"/>
        </w:rPr>
        <w:t>方面，加倍困难。下文概述特区政府如何处理就学方面的问题。</w:t>
      </w:r>
    </w:p>
    <w:p w:rsidR="00000000" w:rsidRDefault="00000000">
      <w:pPr>
        <w:rPr>
          <w:rFonts w:hint="eastAsia"/>
        </w:rPr>
      </w:pPr>
      <w:r>
        <w:tab/>
      </w:r>
      <w:r>
        <w:rPr>
          <w:rFonts w:hint="eastAsia"/>
        </w:rPr>
        <w:t>704.</w:t>
      </w:r>
      <w:r>
        <w:t xml:space="preserve">  </w:t>
      </w:r>
      <w:r>
        <w:rPr>
          <w:rFonts w:ascii="華康細明體" w:hint="eastAsia"/>
        </w:rPr>
        <w:t>过往，在港永久定居的非华裔</w:t>
      </w:r>
      <w:r>
        <w:rPr>
          <w:rFonts w:ascii="華康細明體"/>
        </w:rPr>
        <w:t>/</w:t>
      </w:r>
      <w:r>
        <w:rPr>
          <w:rFonts w:ascii="華康細明體" w:hint="eastAsia"/>
        </w:rPr>
        <w:t>非英语人士不多，因此，我们并没有特别因应他们的需要，制定切合他们的教育制度。这类居民以往都是“海外雇员”</w:t>
      </w:r>
      <w:r>
        <w:rPr>
          <w:rFonts w:ascii="華康細明體"/>
        </w:rPr>
        <w:t>(</w:t>
      </w:r>
      <w:r>
        <w:rPr>
          <w:rFonts w:ascii="華康細明體" w:hint="eastAsia"/>
        </w:rPr>
        <w:t>管理阶层和专业人士</w:t>
      </w:r>
      <w:r>
        <w:rPr>
          <w:rFonts w:ascii="華康細明體"/>
        </w:rPr>
        <w:t>)</w:t>
      </w:r>
      <w:r>
        <w:rPr>
          <w:rFonts w:ascii="華康細明體" w:hint="eastAsia"/>
        </w:rPr>
        <w:t>，其雇用条款使他们的子女可以就读于香港学费较昂贵的国际学校或海外的寄宿学校。这些人士大部分都不打算自己或其子女长远在香港发展。至于那些抱不同想法的人士，他们往往认为其子女会与他们一样，在国际管理和专业界发展，而在这些行业中，中文并非必要</w:t>
      </w:r>
      <w:r>
        <w:rPr>
          <w:rFonts w:ascii="華康細明體"/>
        </w:rPr>
        <w:t>(</w:t>
      </w:r>
      <w:r>
        <w:rPr>
          <w:rFonts w:ascii="華康細明體" w:hint="eastAsia"/>
        </w:rPr>
        <w:t>这观念正在改变</w:t>
      </w:r>
      <w:r>
        <w:rPr>
          <w:rFonts w:ascii="華康細明體"/>
        </w:rPr>
        <w:t>)</w:t>
      </w:r>
      <w:r>
        <w:rPr>
          <w:rFonts w:ascii="華康細明體" w:hint="eastAsia"/>
        </w:rPr>
        <w:t>。</w:t>
      </w:r>
    </w:p>
    <w:p w:rsidR="00000000" w:rsidRDefault="00000000">
      <w:pPr>
        <w:rPr>
          <w:rFonts w:ascii="華康細明體" w:hint="eastAsia"/>
        </w:rPr>
      </w:pPr>
      <w:r>
        <w:tab/>
      </w:r>
      <w:r>
        <w:rPr>
          <w:rFonts w:hint="eastAsia"/>
        </w:rPr>
        <w:t>705.</w:t>
      </w:r>
      <w:r>
        <w:t xml:space="preserve">  </w:t>
      </w:r>
      <w:r>
        <w:rPr>
          <w:rFonts w:ascii="華康細明體" w:hint="eastAsia"/>
        </w:rPr>
        <w:t>然而，那些从南亚新来港定居、且不谙中文的人士大都不能负担国际学校的学费，因此，他们须在公营学校就读。基于各种原因，他们不易适应。举例来说：</w:t>
      </w:r>
    </w:p>
    <w:p w:rsidR="00000000" w:rsidRDefault="00000000">
      <w:pPr>
        <w:ind w:left="1510" w:hanging="510"/>
        <w:rPr>
          <w:rFonts w:ascii="華康細明體" w:hint="eastAsia"/>
        </w:rPr>
      </w:pPr>
      <w:r>
        <w:t>(a)</w:t>
      </w:r>
      <w:r>
        <w:tab/>
      </w:r>
      <w:r>
        <w:rPr>
          <w:rFonts w:eastAsia="SimHei" w:hint="eastAsia"/>
          <w:bCs/>
        </w:rPr>
        <w:t>语言</w:t>
      </w:r>
      <w:r>
        <w:rPr>
          <w:rFonts w:hint="eastAsia"/>
        </w:rPr>
        <w:t>：</w:t>
      </w:r>
      <w:r>
        <w:rPr>
          <w:rFonts w:ascii="華康細明體" w:hint="eastAsia"/>
        </w:rPr>
        <w:t>这是所有问题的核心。那些一向都有录取已在港定居的少数族裔人士的学校就读的学生，一般来说都能操流利英语。至于为数较少并入读主流学校的学生，他们都能说流利广东话，但一般不会书写中文</w:t>
      </w:r>
      <w:r>
        <w:rPr>
          <w:rStyle w:val="FootnoteReference"/>
        </w:rPr>
        <w:footnoteReference w:customMarkFollows="1" w:id="67"/>
        <w:t>54</w:t>
      </w:r>
      <w:r>
        <w:t xml:space="preserve"> </w:t>
      </w:r>
      <w:r>
        <w:rPr>
          <w:rFonts w:ascii="華康細明體" w:hint="eastAsia"/>
        </w:rPr>
        <w:t>。然而，“新来港的少数族裔”儿童绝大部分都不能说广东话，很多更不通晓英语，这情况对学校来说是新挑战，学校有需要作出特别安排，帮助“新来港的少数族裔”儿童适应</w:t>
      </w:r>
      <w:r>
        <w:rPr>
          <w:rFonts w:ascii="華康細明體"/>
        </w:rPr>
        <w:t>(</w:t>
      </w:r>
      <w:r>
        <w:rPr>
          <w:rFonts w:ascii="華康細明體" w:hint="eastAsia"/>
        </w:rPr>
        <w:t>见下文第</w:t>
      </w:r>
      <w:r>
        <w:t>706</w:t>
      </w:r>
      <w:r>
        <w:rPr>
          <w:rFonts w:ascii="華康細明體" w:hint="eastAsia"/>
        </w:rPr>
        <w:t>至</w:t>
      </w:r>
      <w:r>
        <w:t>712</w:t>
      </w:r>
      <w:r>
        <w:rPr>
          <w:rFonts w:ascii="華康細明體" w:hint="eastAsia"/>
        </w:rPr>
        <w:t>段</w:t>
      </w:r>
      <w:r>
        <w:rPr>
          <w:rFonts w:ascii="華康細明體"/>
        </w:rPr>
        <w:t>)</w:t>
      </w:r>
      <w:r>
        <w:rPr>
          <w:rFonts w:ascii="華康細明體" w:hint="eastAsia"/>
        </w:rPr>
        <w:t>；</w:t>
      </w:r>
    </w:p>
    <w:p w:rsidR="00000000" w:rsidRDefault="00000000">
      <w:pPr>
        <w:ind w:left="1510" w:hanging="510"/>
        <w:rPr>
          <w:rFonts w:hint="eastAsia"/>
        </w:rPr>
      </w:pPr>
      <w:r>
        <w:t>(b)</w:t>
      </w:r>
      <w:r>
        <w:tab/>
      </w:r>
      <w:r>
        <w:rPr>
          <w:rFonts w:eastAsia="SimHei" w:hint="eastAsia"/>
          <w:bCs/>
        </w:rPr>
        <w:t>学位计算</w:t>
      </w:r>
      <w:r>
        <w:rPr>
          <w:rFonts w:eastAsia="華康中黑體" w:hint="eastAsia"/>
          <w:b/>
        </w:rPr>
        <w:t>：</w:t>
      </w:r>
      <w:r>
        <w:rPr>
          <w:rFonts w:hint="eastAsia"/>
        </w:rPr>
        <w:t>少数族裔人士的来港人数和时间均难以预计，加上首次来港的少数族裔儿童的年龄和教育程度各有不同，当局在分配学位时，不得不作权宜之计，因此，这些儿童可能得不到理想的学位安排。</w:t>
      </w:r>
    </w:p>
    <w:p w:rsidR="00000000" w:rsidRDefault="00000000">
      <w:pPr>
        <w:pStyle w:val="Heading4"/>
        <w:spacing w:before="300"/>
        <w:rPr>
          <w:rFonts w:eastAsia="SimHei" w:hint="eastAsia"/>
          <w:u w:val="none"/>
        </w:rPr>
      </w:pPr>
      <w:r>
        <w:rPr>
          <w:rFonts w:eastAsia="SimHei" w:hint="eastAsia"/>
          <w:u w:val="none"/>
        </w:rPr>
        <w:t>政</w:t>
      </w:r>
      <w:r>
        <w:rPr>
          <w:rFonts w:eastAsia="SimHei" w:hint="eastAsia"/>
          <w:u w:val="none"/>
        </w:rPr>
        <w:t xml:space="preserve">  </w:t>
      </w:r>
      <w:r>
        <w:rPr>
          <w:rFonts w:eastAsia="SimHei" w:hint="eastAsia"/>
          <w:u w:val="none"/>
        </w:rPr>
        <w:t>策</w:t>
      </w:r>
    </w:p>
    <w:p w:rsidR="00000000" w:rsidRDefault="00000000">
      <w:pPr>
        <w:rPr>
          <w:rFonts w:hint="eastAsia"/>
        </w:rPr>
      </w:pPr>
      <w:r>
        <w:tab/>
        <w:t xml:space="preserve">706.  </w:t>
      </w:r>
      <w:r>
        <w:rPr>
          <w:rFonts w:hint="eastAsia"/>
        </w:rPr>
        <w:t>基于上述原因，我们的目标是协助少数族裔儿童融入本地社会和主流教育。这个做法比为他们特别设立学校更好，因为后者不但影响他们学习中文的机会，还会影响其日后与本地人公平争取大专学位和工作的能力。我们明白，要他们完全融入本地社会是一个长远目标，其间必须推行一系列中期措施加以配合</w:t>
      </w:r>
      <w:r>
        <w:t>(</w:t>
      </w:r>
      <w:r>
        <w:rPr>
          <w:rFonts w:hint="eastAsia"/>
        </w:rPr>
        <w:t>见下文</w:t>
      </w:r>
      <w:r>
        <w:t>)</w:t>
      </w:r>
      <w:r>
        <w:rPr>
          <w:rFonts w:hint="eastAsia"/>
        </w:rPr>
        <w:t>。我们亦明白，部分家长希望子女在非主流学校接受教育。他们当然有选择的权利，但我们有责任提供充足的资料，供他们考虑，使他们能作出适当的决定。</w:t>
      </w:r>
    </w:p>
    <w:p w:rsidR="00000000" w:rsidRDefault="00000000">
      <w:pPr>
        <w:pStyle w:val="Heading5"/>
        <w:ind w:left="520"/>
        <w:rPr>
          <w:rFonts w:hint="eastAsia"/>
        </w:rPr>
      </w:pPr>
      <w:r>
        <w:rPr>
          <w:rFonts w:hint="eastAsia"/>
        </w:rPr>
        <w:t>提供学位</w:t>
      </w:r>
    </w:p>
    <w:p w:rsidR="00000000" w:rsidRDefault="00000000">
      <w:pPr>
        <w:rPr>
          <w:rFonts w:hint="eastAsia"/>
        </w:rPr>
      </w:pPr>
      <w:r>
        <w:tab/>
        <w:t xml:space="preserve">707.  </w:t>
      </w:r>
      <w:r>
        <w:rPr>
          <w:rFonts w:hint="eastAsia"/>
        </w:rPr>
        <w:t>本港的公营学校学位充足，让我们可以协助那些打算在本港求学及发展的少数族裔儿童融入主流教育。家长如希望子女入读这些学校，可直接联络有关学校或通过教育统筹局提出申请。该局已向公众承诺，会在二十一个工作日内为有关儿童安排学位。</w:t>
      </w:r>
    </w:p>
    <w:p w:rsidR="00000000" w:rsidRDefault="00000000">
      <w:pPr>
        <w:rPr>
          <w:rFonts w:hint="eastAsia"/>
        </w:rPr>
      </w:pPr>
      <w:r>
        <w:tab/>
        <w:t xml:space="preserve">708.  </w:t>
      </w:r>
      <w:r>
        <w:rPr>
          <w:rFonts w:hint="eastAsia"/>
        </w:rPr>
        <w:t>本港所有公营学校均会录取不谙中文的学生，其中录取该等学生人数较多的有九间</w:t>
      </w:r>
      <w:r>
        <w:rPr>
          <w:rStyle w:val="FootnoteReference"/>
        </w:rPr>
        <w:footnoteReference w:customMarkFollows="1" w:id="68"/>
        <w:t>55</w:t>
      </w:r>
      <w:r>
        <w:t xml:space="preserve"> </w:t>
      </w:r>
      <w:r>
        <w:rPr>
          <w:rFonts w:hint="eastAsia"/>
        </w:rPr>
        <w:t>。在我们草拟本报告时，这九间学校共招收了大约</w:t>
      </w:r>
      <w:r>
        <w:t>3 100</w:t>
      </w:r>
      <w:r>
        <w:rPr>
          <w:rFonts w:hint="eastAsia"/>
        </w:rPr>
        <w:t>名学生，而且尚有大量学位和扩展能力，以应付额外需求。我们必须承认，这些学校为少数族裔儿童提供的学习环境，由于没有文化方面的隔阂，最少在初期来说，会比主流学校更加理想。此外，这些学校亦为不谙中文的学生特别设计课程，确保他们对中文有足够认识，以便日后能融入香港的社会。</w:t>
      </w:r>
    </w:p>
    <w:p w:rsidR="00000000" w:rsidRDefault="00000000">
      <w:pPr>
        <w:pStyle w:val="Heading5"/>
        <w:ind w:left="520"/>
        <w:rPr>
          <w:rFonts w:hint="eastAsia"/>
        </w:rPr>
      </w:pPr>
      <w:r>
        <w:rPr>
          <w:rFonts w:hint="eastAsia"/>
        </w:rPr>
        <w:t>问题和解决办法</w:t>
      </w:r>
    </w:p>
    <w:p w:rsidR="00000000" w:rsidRDefault="00000000">
      <w:pPr>
        <w:rPr>
          <w:rFonts w:hint="eastAsia"/>
        </w:rPr>
      </w:pPr>
      <w:r>
        <w:tab/>
        <w:t xml:space="preserve">709.  </w:t>
      </w:r>
      <w:r>
        <w:rPr>
          <w:rFonts w:hint="eastAsia"/>
        </w:rPr>
        <w:t>本港有一些应该入学但尚未入学的儿童，其中包括不谙中文的儿童。这个现象的成因包括：</w:t>
      </w:r>
    </w:p>
    <w:p w:rsidR="00000000" w:rsidRDefault="00000000">
      <w:pPr>
        <w:ind w:left="1510" w:hanging="510"/>
        <w:rPr>
          <w:rFonts w:hint="eastAsia"/>
        </w:rPr>
      </w:pPr>
      <w:r>
        <w:t>(a)</w:t>
      </w:r>
      <w:r>
        <w:tab/>
      </w:r>
      <w:r>
        <w:tab/>
      </w:r>
      <w:r>
        <w:rPr>
          <w:rFonts w:hint="eastAsia"/>
        </w:rPr>
        <w:t>他们的父母须外出工作，无暇照顾他们；</w:t>
      </w:r>
    </w:p>
    <w:p w:rsidR="00000000" w:rsidRDefault="00000000">
      <w:pPr>
        <w:ind w:left="1510" w:hanging="510"/>
        <w:rPr>
          <w:rFonts w:hint="eastAsia"/>
        </w:rPr>
      </w:pPr>
      <w:r>
        <w:t>(b)</w:t>
      </w:r>
      <w:r>
        <w:tab/>
      </w:r>
      <w:r>
        <w:rPr>
          <w:rFonts w:hint="eastAsia"/>
        </w:rPr>
        <w:t>部分不谙中文的人士不愿意让子女就读主流学校；和</w:t>
      </w:r>
      <w:r>
        <w:tab/>
      </w:r>
    </w:p>
    <w:p w:rsidR="00000000" w:rsidRDefault="00000000">
      <w:pPr>
        <w:ind w:left="1510" w:hanging="510"/>
        <w:rPr>
          <w:rFonts w:hint="eastAsia"/>
        </w:rPr>
      </w:pPr>
      <w:r>
        <w:t>(c)</w:t>
      </w:r>
      <w:r>
        <w:tab/>
      </w:r>
      <w:r>
        <w:rPr>
          <w:rFonts w:hint="eastAsia"/>
        </w:rPr>
        <w:t>部分新来港定居的人士，特别是那些不会说中文或英文的人士，没有留意有关在港安排子女入学的法例及</w:t>
      </w:r>
      <w:r>
        <w:t>/</w:t>
      </w:r>
      <w:r>
        <w:rPr>
          <w:rFonts w:hint="eastAsia"/>
        </w:rPr>
        <w:t>或程序。</w:t>
      </w:r>
    </w:p>
    <w:p w:rsidR="00000000" w:rsidRDefault="00000000">
      <w:pPr>
        <w:rPr>
          <w:rFonts w:hint="eastAsia"/>
        </w:rPr>
      </w:pPr>
      <w:r>
        <w:tab/>
        <w:t xml:space="preserve">710.  </w:t>
      </w:r>
      <w:r>
        <w:rPr>
          <w:rFonts w:hint="eastAsia"/>
        </w:rPr>
        <w:t>为确保上述儿童入学读书，教育统筹局现正：</w:t>
      </w:r>
    </w:p>
    <w:p w:rsidR="00000000" w:rsidRDefault="00000000">
      <w:pPr>
        <w:ind w:left="1518" w:hanging="510"/>
        <w:rPr>
          <w:rFonts w:hint="eastAsia"/>
        </w:rPr>
      </w:pPr>
      <w:r>
        <w:t>(a)</w:t>
      </w:r>
      <w:r>
        <w:tab/>
      </w:r>
      <w:r>
        <w:rPr>
          <w:rFonts w:hint="eastAsia"/>
          <w:spacing w:val="12"/>
        </w:rPr>
        <w:t>与非政府机构和社工紧密合作，接触和协助那些没有入学的儿童；</w:t>
      </w:r>
    </w:p>
    <w:p w:rsidR="00000000" w:rsidRDefault="00000000">
      <w:pPr>
        <w:ind w:left="1518" w:hanging="510"/>
        <w:rPr>
          <w:rFonts w:hint="eastAsia"/>
        </w:rPr>
      </w:pPr>
      <w:r>
        <w:t>(b)</w:t>
      </w:r>
      <w:r>
        <w:tab/>
      </w:r>
      <w:r>
        <w:rPr>
          <w:rFonts w:hint="eastAsia"/>
        </w:rPr>
        <w:t>与非政府机构合办演示文稿会和经验分享会，让这些儿童及其父母知道可以使用哪些服务；和</w:t>
      </w:r>
    </w:p>
    <w:p w:rsidR="00000000" w:rsidRDefault="00000000">
      <w:pPr>
        <w:ind w:left="1510" w:hanging="510"/>
        <w:rPr>
          <w:rFonts w:hint="eastAsia"/>
        </w:rPr>
      </w:pPr>
      <w:r>
        <w:t>(c)</w:t>
      </w:r>
      <w:r>
        <w:tab/>
      </w:r>
      <w:r>
        <w:rPr>
          <w:rFonts w:hint="eastAsia"/>
        </w:rPr>
        <w:t>向那些不谙中文的父母派发小册子。这些小册子列出当局为他们及其子女提供的支援服务，并分别以印度语、乌尔都语、尼泊尔语、中文和英文印制。</w:t>
      </w:r>
    </w:p>
    <w:p w:rsidR="00000000" w:rsidRDefault="00000000">
      <w:pPr>
        <w:pStyle w:val="Heading5"/>
        <w:ind w:left="520"/>
        <w:rPr>
          <w:rFonts w:hint="eastAsia"/>
        </w:rPr>
      </w:pPr>
      <w:r>
        <w:rPr>
          <w:rFonts w:hint="eastAsia"/>
        </w:rPr>
        <w:t>支援服务</w:t>
      </w:r>
    </w:p>
    <w:p w:rsidR="00000000" w:rsidRDefault="00000000">
      <w:r>
        <w:tab/>
        <w:t xml:space="preserve">711.  </w:t>
      </w:r>
      <w:r>
        <w:rPr>
          <w:rFonts w:hint="eastAsia"/>
        </w:rPr>
        <w:t>教育统筹局提供以下服务</w:t>
      </w:r>
      <w:r>
        <w:rPr>
          <w:rStyle w:val="FootnoteReference"/>
        </w:rPr>
        <w:footnoteReference w:customMarkFollows="1" w:id="69"/>
        <w:t>56</w:t>
      </w:r>
      <w:r>
        <w:t xml:space="preserve"> </w:t>
      </w:r>
      <w:r>
        <w:rPr>
          <w:rFonts w:hint="eastAsia"/>
        </w:rPr>
        <w:t>，以协助不谙中文的儿童适应本港的环境和教育制度：</w:t>
      </w:r>
    </w:p>
    <w:p w:rsidR="00000000" w:rsidRDefault="00000000">
      <w:pPr>
        <w:ind w:left="1510" w:hanging="510"/>
        <w:rPr>
          <w:rFonts w:hint="eastAsia"/>
        </w:rPr>
      </w:pPr>
      <w:r>
        <w:t>(a)</w:t>
      </w:r>
      <w:r>
        <w:tab/>
      </w:r>
      <w:r>
        <w:rPr>
          <w:rFonts w:eastAsia="SimHei" w:hint="eastAsia"/>
          <w:bCs/>
        </w:rPr>
        <w:t>适应课程</w:t>
      </w:r>
      <w:r>
        <w:rPr>
          <w:rFonts w:eastAsia="華康中黑體" w:hint="eastAsia"/>
          <w:b/>
        </w:rPr>
        <w:t>：</w:t>
      </w:r>
      <w:r>
        <w:rPr>
          <w:rFonts w:hint="eastAsia"/>
        </w:rPr>
        <w:t>由受资助的非政府机构举办；</w:t>
      </w:r>
    </w:p>
    <w:p w:rsidR="00000000" w:rsidRDefault="00000000">
      <w:pPr>
        <w:ind w:left="1510" w:hanging="510"/>
        <w:rPr>
          <w:rFonts w:hint="eastAsia"/>
        </w:rPr>
      </w:pPr>
      <w:r>
        <w:t>(b)</w:t>
      </w:r>
      <w:r>
        <w:tab/>
      </w:r>
      <w:r>
        <w:rPr>
          <w:rFonts w:eastAsia="SimHei" w:hint="eastAsia"/>
          <w:bCs/>
        </w:rPr>
        <w:t>校本支援计划津贴</w:t>
      </w:r>
      <w:r>
        <w:rPr>
          <w:rFonts w:eastAsia="華康中黑體" w:hint="eastAsia"/>
          <w:b/>
        </w:rPr>
        <w:t>：</w:t>
      </w:r>
      <w:r>
        <w:rPr>
          <w:rFonts w:hint="eastAsia"/>
        </w:rPr>
        <w:t>是发放给学校的整笔津贴，津贴额为每名小学生</w:t>
      </w:r>
      <w:r>
        <w:t>2,675</w:t>
      </w:r>
      <w:r>
        <w:rPr>
          <w:rFonts w:hint="eastAsia"/>
        </w:rPr>
        <w:t>元</w:t>
      </w:r>
      <w:r>
        <w:t>(343</w:t>
      </w:r>
      <w:r>
        <w:rPr>
          <w:rFonts w:hint="eastAsia"/>
        </w:rPr>
        <w:t>美元</w:t>
      </w:r>
      <w:r>
        <w:t>)</w:t>
      </w:r>
      <w:r>
        <w:rPr>
          <w:rFonts w:hint="eastAsia"/>
        </w:rPr>
        <w:t>，每名中学生</w:t>
      </w:r>
      <w:r>
        <w:t>3,968</w:t>
      </w:r>
      <w:r>
        <w:rPr>
          <w:rFonts w:hint="eastAsia"/>
        </w:rPr>
        <w:t>元</w:t>
      </w:r>
      <w:r>
        <w:t>(509</w:t>
      </w:r>
      <w:r>
        <w:rPr>
          <w:rFonts w:hint="eastAsia"/>
        </w:rPr>
        <w:t>美元</w:t>
      </w:r>
      <w:r>
        <w:t>)</w:t>
      </w:r>
      <w:r>
        <w:rPr>
          <w:rFonts w:hint="eastAsia"/>
        </w:rPr>
        <w:t>。发放津贴的目的，是让学校提供以学校为本位的支援，例如中文及</w:t>
      </w:r>
      <w:r>
        <w:t>/</w:t>
      </w:r>
      <w:r>
        <w:rPr>
          <w:rFonts w:hint="eastAsia"/>
        </w:rPr>
        <w:t>或英文补习班、适应课程、特别教材等；</w:t>
      </w:r>
    </w:p>
    <w:p w:rsidR="00000000" w:rsidRDefault="00000000">
      <w:pPr>
        <w:ind w:left="1510" w:hanging="510"/>
        <w:rPr>
          <w:rFonts w:hint="eastAsia"/>
        </w:rPr>
      </w:pPr>
      <w:r>
        <w:t>(c)</w:t>
      </w:r>
      <w:r>
        <w:tab/>
      </w:r>
      <w:r>
        <w:rPr>
          <w:rFonts w:eastAsia="SimHei" w:hint="eastAsia"/>
          <w:bCs/>
        </w:rPr>
        <w:t>启动课程</w:t>
      </w:r>
      <w:r>
        <w:rPr>
          <w:rFonts w:eastAsia="華康中黑體" w:hint="eastAsia"/>
          <w:b/>
        </w:rPr>
        <w:t>：</w:t>
      </w:r>
      <w:r>
        <w:rPr>
          <w:rFonts w:hint="eastAsia"/>
        </w:rPr>
        <w:t>启动课程是一项为期半年的全日制课程，旨在提高不谙中文的儿童的中英文水平，并于课堂上为他们提供学习经验和有助适应社区的活动。</w:t>
      </w:r>
    </w:p>
    <w:p w:rsidR="00000000" w:rsidRDefault="00000000">
      <w:pPr>
        <w:pStyle w:val="Heading4"/>
        <w:spacing w:before="300"/>
        <w:rPr>
          <w:rFonts w:eastAsia="SimHei" w:hint="eastAsia"/>
          <w:bCs/>
          <w:u w:val="none"/>
        </w:rPr>
      </w:pPr>
      <w:r>
        <w:rPr>
          <w:rFonts w:eastAsia="SimHei" w:hint="eastAsia"/>
          <w:bCs/>
          <w:u w:val="none"/>
        </w:rPr>
        <w:t>未来路向</w:t>
      </w:r>
    </w:p>
    <w:p w:rsidR="00000000" w:rsidRDefault="00000000">
      <w:pPr>
        <w:rPr>
          <w:rFonts w:hint="eastAsia"/>
        </w:rPr>
      </w:pPr>
      <w:r>
        <w:tab/>
        <w:t xml:space="preserve">712.  </w:t>
      </w:r>
      <w:r>
        <w:rPr>
          <w:rFonts w:hint="eastAsia"/>
        </w:rPr>
        <w:t>我们现正积极进行下列工作：</w:t>
      </w:r>
    </w:p>
    <w:p w:rsidR="00000000" w:rsidRDefault="00000000">
      <w:pPr>
        <w:ind w:left="1510" w:hanging="510"/>
        <w:rPr>
          <w:rFonts w:hint="eastAsia"/>
        </w:rPr>
      </w:pPr>
      <w:r>
        <w:t>(a)</w:t>
      </w:r>
      <w:r>
        <w:tab/>
      </w:r>
      <w:r>
        <w:rPr>
          <w:rFonts w:eastAsia="SimHei" w:hint="eastAsia"/>
          <w:bCs/>
        </w:rPr>
        <w:t>加强沟通和合作</w:t>
      </w:r>
      <w:r>
        <w:rPr>
          <w:rFonts w:eastAsia="華康中黑體" w:hint="eastAsia"/>
          <w:b/>
        </w:rPr>
        <w:t>：</w:t>
      </w:r>
      <w:r>
        <w:rPr>
          <w:rFonts w:hint="eastAsia"/>
        </w:rPr>
        <w:t>即确保我们为少数族裔人士尽快提供当时最新的资料；</w:t>
      </w:r>
    </w:p>
    <w:p w:rsidR="00000000" w:rsidRDefault="00000000">
      <w:pPr>
        <w:ind w:left="1510" w:hanging="510"/>
        <w:rPr>
          <w:rFonts w:hint="eastAsia"/>
        </w:rPr>
      </w:pPr>
      <w:r>
        <w:t>(b)</w:t>
      </w:r>
      <w:r>
        <w:tab/>
      </w:r>
      <w:r>
        <w:rPr>
          <w:rFonts w:eastAsia="SimHei" w:hint="eastAsia"/>
          <w:bCs/>
        </w:rPr>
        <w:t>提供学位</w:t>
      </w:r>
      <w:r>
        <w:rPr>
          <w:rFonts w:eastAsia="華康中黑體" w:hint="eastAsia"/>
          <w:b/>
        </w:rPr>
        <w:t>：</w:t>
      </w:r>
      <w:r>
        <w:rPr>
          <w:rFonts w:hint="eastAsia"/>
        </w:rPr>
        <w:t>我们的措施包括在有足够需求的情况下增设班级，并告知合资格的办学团体，当局欢迎它们根据现行教育政策，以及在不歧视某类学生的收生原则下，为少数族裔人士开办学校；</w:t>
      </w:r>
    </w:p>
    <w:p w:rsidR="00000000" w:rsidRDefault="00000000">
      <w:pPr>
        <w:ind w:left="1510" w:hanging="510"/>
        <w:rPr>
          <w:rFonts w:hint="eastAsia"/>
        </w:rPr>
      </w:pPr>
      <w:r>
        <w:t>(c)</w:t>
      </w:r>
      <w:r>
        <w:tab/>
      </w:r>
      <w:r>
        <w:rPr>
          <w:rFonts w:eastAsia="SimHei" w:hint="eastAsia"/>
          <w:bCs/>
        </w:rPr>
        <w:t>增加中文的教授和学习机会</w:t>
      </w:r>
      <w:r>
        <w:rPr>
          <w:rFonts w:eastAsia="華康中黑體" w:hint="eastAsia"/>
          <w:b/>
        </w:rPr>
        <w:t>：</w:t>
      </w:r>
      <w:r>
        <w:rPr>
          <w:rFonts w:hint="eastAsia"/>
        </w:rPr>
        <w:t>我们草拟本报告时所考虑的措施包括：</w:t>
      </w:r>
    </w:p>
    <w:p w:rsidR="00000000" w:rsidRDefault="00000000">
      <w:pPr>
        <w:ind w:left="2030" w:hanging="510"/>
        <w:rPr>
          <w:rFonts w:hint="eastAsia"/>
        </w:rPr>
      </w:pPr>
      <w:r>
        <w:t>(i)</w:t>
      </w:r>
      <w:r>
        <w:tab/>
      </w:r>
      <w:r>
        <w:rPr>
          <w:rFonts w:hint="eastAsia"/>
        </w:rPr>
        <w:t>在有为数不少的少数族裔学生的学校，引入普通教育文凭试的普通程度中文课程</w:t>
      </w:r>
      <w:r>
        <w:rPr>
          <w:rStyle w:val="FootnoteReference"/>
        </w:rPr>
        <w:footnoteReference w:customMarkFollows="1" w:id="70"/>
        <w:t>57</w:t>
      </w:r>
      <w:r>
        <w:t xml:space="preserve"> </w:t>
      </w:r>
      <w:r>
        <w:rPr>
          <w:rFonts w:hint="eastAsia"/>
        </w:rPr>
        <w:t>，此举可鼓励学生学习中文，并取得认可学历；</w:t>
      </w:r>
    </w:p>
    <w:p w:rsidR="00000000" w:rsidRDefault="00000000">
      <w:pPr>
        <w:ind w:left="2010" w:hanging="510"/>
        <w:rPr>
          <w:rFonts w:ascii="華康細明體" w:hint="eastAsia"/>
        </w:rPr>
      </w:pPr>
      <w:r>
        <w:t>(ii)</w:t>
      </w:r>
      <w:r>
        <w:tab/>
      </w:r>
      <w:r>
        <w:rPr>
          <w:rFonts w:hint="eastAsia"/>
        </w:rPr>
        <w:t>为香港中学会考中国语文科制定新的课程甲，目的与现行的英国语文课程甲非常类似，即旨在为未能通过要求较高的课程乙考试的本地学童而设。此方案的好处，在于香港中学会考证书的学历较普通教育文凭更广为雇主所熟悉，而有关课程亦较能配合</w:t>
      </w:r>
      <w:r>
        <w:rPr>
          <w:rFonts w:ascii="華康細明體" w:hint="eastAsia"/>
        </w:rPr>
        <w:t>香港的主流教育。我们明白到，制定上述课程和考试是需要时间的，因此建议在这段期间提供普通教育文凭课程。其后学校可同时提供上述两项课程供学生选修，以及</w:t>
      </w:r>
      <w:r>
        <w:rPr>
          <w:rFonts w:ascii="華康細明體"/>
        </w:rPr>
        <w:t>/</w:t>
      </w:r>
      <w:r>
        <w:rPr>
          <w:rFonts w:ascii="華康細明體" w:hint="eastAsia"/>
        </w:rPr>
        <w:t>或</w:t>
      </w:r>
      <w:r>
        <w:rPr>
          <w:rFonts w:ascii="華康細明體"/>
        </w:rPr>
        <w:t>(</w:t>
      </w:r>
      <w:r>
        <w:rPr>
          <w:rFonts w:ascii="華康細明體" w:hint="eastAsia"/>
        </w:rPr>
        <w:t>如基于资源问题</w:t>
      </w:r>
      <w:r>
        <w:rPr>
          <w:rFonts w:ascii="華康細明體"/>
        </w:rPr>
        <w:t>)</w:t>
      </w:r>
      <w:r>
        <w:rPr>
          <w:rFonts w:ascii="華康細明體" w:hint="eastAsia"/>
        </w:rPr>
        <w:t>二择其一，只开办其中一项课程。此方案是否可行，仍有待我们深入了解不谙中文人士的实际需要、个别学校的课程和香港考试局的意见；</w:t>
      </w:r>
    </w:p>
    <w:p w:rsidR="00000000" w:rsidRDefault="00000000">
      <w:pPr>
        <w:ind w:left="2040" w:hanging="500"/>
        <w:rPr>
          <w:rFonts w:hint="eastAsia"/>
        </w:rPr>
      </w:pPr>
      <w:r>
        <w:t>(iii)</w:t>
      </w:r>
      <w:r>
        <w:tab/>
      </w:r>
      <w:r>
        <w:rPr>
          <w:rFonts w:hint="eastAsia"/>
        </w:rPr>
        <w:t>假如少数族裔学生的学习表现，显示出他们能够适应香港的课程，便应鼓励他们继续修读，并参加本地的中国语文和其他以中文授课的科目的考试；</w:t>
      </w:r>
    </w:p>
    <w:p w:rsidR="00000000" w:rsidRDefault="00000000">
      <w:pPr>
        <w:ind w:left="1510" w:hanging="510"/>
        <w:rPr>
          <w:rFonts w:hint="eastAsia"/>
        </w:rPr>
      </w:pPr>
      <w:r>
        <w:t>(d)</w:t>
      </w:r>
      <w:r>
        <w:tab/>
      </w:r>
      <w:r>
        <w:rPr>
          <w:rFonts w:eastAsia="SimHei" w:hint="eastAsia"/>
          <w:bCs/>
        </w:rPr>
        <w:t>扩大启动课程、适应课程和校本支援计划的服务范围：</w:t>
      </w:r>
      <w:r>
        <w:rPr>
          <w:rFonts w:hint="eastAsia"/>
        </w:rPr>
        <w:t>这些支援服务旨在协助新来港儿童适应香港的环境和教育制度，使他们修毕有关课程后，能入读主流学校。不过，我们明白到，各人的适应能力不同，有些儿童在适应方面会有较大困难，因此容许学校和非政府机构重行调配上述计划的核准拨款，以便为这些儿童提供较长时间的支援，但学校和非政府机构应先行评估他们的需要才延长服务期；</w:t>
      </w:r>
    </w:p>
    <w:p w:rsidR="00000000" w:rsidRDefault="00000000">
      <w:pPr>
        <w:ind w:left="1510" w:hanging="510"/>
        <w:rPr>
          <w:rFonts w:hint="eastAsia"/>
        </w:rPr>
      </w:pPr>
      <w:r>
        <w:t>(e)</w:t>
      </w:r>
      <w:r>
        <w:tab/>
      </w:r>
      <w:r>
        <w:rPr>
          <w:rFonts w:eastAsia="SimHei" w:hint="eastAsia"/>
          <w:bCs/>
        </w:rPr>
        <w:t>学校与社群互相合作：</w:t>
      </w:r>
      <w:r>
        <w:rPr>
          <w:rFonts w:hint="eastAsia"/>
        </w:rPr>
        <w:t>我们鼓励录取不谙中文的学童的学校与少数族裔社群的领袖合作，为学生和家长举办活动。这些活动可包括功课辅导班、文化课程、父母教育课程等；</w:t>
      </w:r>
    </w:p>
    <w:p w:rsidR="00000000" w:rsidRDefault="00000000">
      <w:pPr>
        <w:ind w:left="1510" w:hanging="510"/>
        <w:rPr>
          <w:rFonts w:hint="eastAsia"/>
        </w:rPr>
      </w:pPr>
      <w:r>
        <w:t>(f)</w:t>
      </w:r>
      <w:r>
        <w:tab/>
      </w:r>
      <w:r>
        <w:rPr>
          <w:rFonts w:eastAsia="SimHei" w:hint="eastAsia"/>
          <w:bCs/>
        </w:rPr>
        <w:t>加强对文化</w:t>
      </w:r>
      <w:r>
        <w:rPr>
          <w:rFonts w:eastAsia="SimHei"/>
          <w:bCs/>
        </w:rPr>
        <w:t>/</w:t>
      </w:r>
      <w:r>
        <w:rPr>
          <w:rFonts w:eastAsia="SimHei" w:hint="eastAsia"/>
          <w:bCs/>
        </w:rPr>
        <w:t>宗教的认同：</w:t>
      </w:r>
      <w:r>
        <w:rPr>
          <w:rFonts w:ascii="華康細明體" w:hint="eastAsia"/>
        </w:rPr>
        <w:t>我们正考虑鼓励学校聘用少数族裔人士担任教师和</w:t>
      </w:r>
      <w:r>
        <w:rPr>
          <w:rFonts w:ascii="華康細明體"/>
        </w:rPr>
        <w:t>/</w:t>
      </w:r>
      <w:r>
        <w:rPr>
          <w:rFonts w:ascii="華康細明體" w:hint="eastAsia"/>
        </w:rPr>
        <w:t>或教师助理的建议。根据有关建议，这些额外聘请的职员可担任教学工作，以协助学童保持自己原有的宗教信仰和文化。</w:t>
      </w:r>
    </w:p>
    <w:p w:rsidR="00000000" w:rsidRDefault="00000000">
      <w:pPr>
        <w:pStyle w:val="Heading4"/>
        <w:spacing w:before="300"/>
        <w:rPr>
          <w:rFonts w:eastAsia="SimHei" w:hint="eastAsia"/>
          <w:bCs/>
          <w:u w:val="none"/>
        </w:rPr>
      </w:pPr>
      <w:r>
        <w:rPr>
          <w:rFonts w:eastAsia="SimHei" w:hint="eastAsia"/>
          <w:bCs/>
          <w:u w:val="none"/>
        </w:rPr>
        <w:t>专上教育</w:t>
      </w:r>
    </w:p>
    <w:p w:rsidR="00000000" w:rsidRDefault="00000000">
      <w:pPr>
        <w:pStyle w:val="Heading4"/>
        <w:spacing w:before="300"/>
        <w:ind w:left="520"/>
        <w:rPr>
          <w:rFonts w:hint="eastAsia"/>
        </w:rPr>
      </w:pPr>
      <w:r>
        <w:rPr>
          <w:rFonts w:hint="eastAsia"/>
        </w:rPr>
        <w:t>扩展专上教育</w:t>
      </w:r>
    </w:p>
    <w:p w:rsidR="00000000" w:rsidRDefault="00000000">
      <w:pPr>
        <w:pStyle w:val="Heading4"/>
        <w:spacing w:before="300"/>
        <w:ind w:left="520"/>
        <w:rPr>
          <w:rFonts w:hint="eastAsia"/>
        </w:rPr>
      </w:pPr>
      <w:r>
        <w:rPr>
          <w:rFonts w:hint="eastAsia"/>
        </w:rPr>
        <w:t>提供支援以扩展专上教育</w:t>
      </w:r>
    </w:p>
    <w:p w:rsidR="00000000" w:rsidRDefault="00000000">
      <w:pPr>
        <w:rPr>
          <w:rFonts w:hint="eastAsia"/>
        </w:rPr>
      </w:pPr>
      <w:r>
        <w:tab/>
        <w:t xml:space="preserve">713.  </w:t>
      </w:r>
      <w:r>
        <w:rPr>
          <w:rFonts w:hint="eastAsia"/>
        </w:rPr>
        <w:t>政府支持逐步增加专上教育学额。我们计划的目标，是在二零一零至一一年度完结前，为</w:t>
      </w:r>
      <w:r>
        <w:t>60%</w:t>
      </w:r>
      <w:r>
        <w:rPr>
          <w:rFonts w:hint="eastAsia"/>
        </w:rPr>
        <w:t>的高中毕业生提供接受专上教育的机会。虽然新增的学额大部分属于自资专上课程学额</w:t>
      </w:r>
      <w:r>
        <w:t xml:space="preserve"> (</w:t>
      </w:r>
      <w:r>
        <w:rPr>
          <w:rFonts w:hint="eastAsia"/>
        </w:rPr>
        <w:t>主要是副学位程度</w:t>
      </w:r>
      <w:r>
        <w:t>)</w:t>
      </w:r>
      <w:r>
        <w:rPr>
          <w:rFonts w:hint="eastAsia"/>
        </w:rPr>
        <w:t>，但政府会为专上教育界提供支援，包括为非牟利教育机构提供开办学校的免息贷款，为院校资格评审开支提供补助金；批拨土地以供兴建校舍；以及为学生提供财政资助。二零零零年，在</w:t>
      </w:r>
      <w:r>
        <w:t>17</w:t>
      </w:r>
      <w:r>
        <w:rPr>
          <w:rFonts w:hint="eastAsia"/>
        </w:rPr>
        <w:t>至</w:t>
      </w:r>
      <w:r>
        <w:t>20</w:t>
      </w:r>
      <w:r>
        <w:rPr>
          <w:rFonts w:hint="eastAsia"/>
        </w:rPr>
        <w:t>岁年龄组别的学生中，约</w:t>
      </w:r>
      <w:r>
        <w:t>30%</w:t>
      </w:r>
      <w:r>
        <w:rPr>
          <w:rFonts w:hint="eastAsia"/>
        </w:rPr>
        <w:t>有机会修读专上课程。在二零零二至零三学年，有关年龄组别的学生接受专上教育的百分比会增至约</w:t>
      </w:r>
      <w:r>
        <w:t>42%</w:t>
      </w:r>
      <w:r>
        <w:rPr>
          <w:rFonts w:hint="eastAsia"/>
        </w:rPr>
        <w:t>。</w:t>
      </w:r>
    </w:p>
    <w:p w:rsidR="00000000" w:rsidRDefault="00000000">
      <w:pPr>
        <w:pStyle w:val="Heading4"/>
        <w:spacing w:before="300"/>
        <w:ind w:left="520"/>
      </w:pPr>
      <w:r>
        <w:rPr>
          <w:rFonts w:hint="eastAsia"/>
        </w:rPr>
        <w:t>为专上学生提供财政资助</w:t>
      </w:r>
    </w:p>
    <w:p w:rsidR="00000000" w:rsidRDefault="00000000">
      <w:pPr>
        <w:rPr>
          <w:rFonts w:hint="eastAsia"/>
        </w:rPr>
      </w:pPr>
      <w:r>
        <w:tab/>
        <w:t xml:space="preserve">714.  </w:t>
      </w:r>
      <w:r>
        <w:rPr>
          <w:rFonts w:ascii="華康細明體" w:hint="eastAsia"/>
        </w:rPr>
        <w:t>政府为</w:t>
      </w:r>
      <w:r>
        <w:t>25</w:t>
      </w:r>
      <w:r>
        <w:rPr>
          <w:rFonts w:ascii="華康細明體" w:hint="eastAsia"/>
        </w:rPr>
        <w:t>岁或以下的全日制学生提供财政资助，以协助他们修读经评审的自资专上课程。这些资助包括：</w:t>
      </w:r>
    </w:p>
    <w:p w:rsidR="00000000" w:rsidRDefault="00000000">
      <w:pPr>
        <w:ind w:left="1510" w:hanging="510"/>
        <w:rPr>
          <w:rFonts w:ascii="華康細明體" w:hint="eastAsia"/>
        </w:rPr>
      </w:pPr>
      <w:r>
        <w:t>(a)</w:t>
      </w:r>
      <w:r>
        <w:tab/>
      </w:r>
      <w:r>
        <w:rPr>
          <w:rFonts w:eastAsia="SimHei" w:hint="eastAsia"/>
          <w:bCs/>
        </w:rPr>
        <w:t>专上学生资助计划：</w:t>
      </w:r>
      <w:r>
        <w:rPr>
          <w:rFonts w:ascii="華康細明體" w:hint="eastAsia"/>
        </w:rPr>
        <w:t>这项计划在二零零一至零二学年开始推行，为学生提供须经过入息审查的助学金或低息贷款，以协助他们应付学费支出。在计划推行的首年，政府共向超过</w:t>
      </w:r>
      <w:r>
        <w:t>1,900</w:t>
      </w:r>
      <w:r>
        <w:rPr>
          <w:rFonts w:ascii="華康細明體" w:hint="eastAsia"/>
        </w:rPr>
        <w:t>名清贫学生，发放了约</w:t>
      </w:r>
      <w:r>
        <w:t>2,400</w:t>
      </w:r>
      <w:r>
        <w:rPr>
          <w:rFonts w:ascii="華康細明體" w:hint="eastAsia"/>
        </w:rPr>
        <w:t>万港元</w:t>
      </w:r>
      <w:r>
        <w:rPr>
          <w:rStyle w:val="FootnoteReference"/>
        </w:rPr>
        <w:footnoteReference w:customMarkFollows="1" w:id="71"/>
        <w:t>58</w:t>
      </w:r>
      <w:r>
        <w:t xml:space="preserve"> </w:t>
      </w:r>
      <w:r>
        <w:rPr>
          <w:rFonts w:ascii="華康細明體" w:hint="eastAsia"/>
        </w:rPr>
        <w:t>助学金及</w:t>
      </w:r>
      <w:r>
        <w:t>2,700</w:t>
      </w:r>
      <w:r>
        <w:rPr>
          <w:rFonts w:ascii="華康細明體" w:hint="eastAsia"/>
        </w:rPr>
        <w:t>万元贷款；</w:t>
      </w:r>
    </w:p>
    <w:p w:rsidR="00000000" w:rsidRDefault="00000000">
      <w:pPr>
        <w:ind w:left="1510" w:hanging="510"/>
        <w:rPr>
          <w:rFonts w:ascii="華康細明體" w:hint="eastAsia"/>
        </w:rPr>
      </w:pPr>
      <w:r>
        <w:t>(b)</w:t>
      </w:r>
      <w:r>
        <w:tab/>
      </w:r>
      <w:r>
        <w:rPr>
          <w:rFonts w:eastAsia="SimHei" w:hint="eastAsia"/>
          <w:bCs/>
        </w:rPr>
        <w:t>专上学生免入息审查贷款计划：</w:t>
      </w:r>
      <w:r>
        <w:rPr>
          <w:rFonts w:ascii="華康細明體" w:hint="eastAsia"/>
        </w:rPr>
        <w:t>这项计划旨在提供贷款，协助学生缴付学费和生活费用。合资格的学生，不论经济状况如何，均可提出申请。在二零零一至零二学年，约有</w:t>
      </w:r>
      <w:r>
        <w:t>1,800</w:t>
      </w:r>
      <w:r>
        <w:rPr>
          <w:rFonts w:ascii="華康細明體" w:hint="eastAsia"/>
        </w:rPr>
        <w:t>名学生获得这项计划的贷款，贷款总额约达</w:t>
      </w:r>
      <w:r>
        <w:t>8,700</w:t>
      </w:r>
      <w:r>
        <w:rPr>
          <w:rFonts w:ascii="華康細明體" w:hint="eastAsia"/>
        </w:rPr>
        <w:t>万元。</w:t>
      </w:r>
    </w:p>
    <w:p w:rsidR="00000000" w:rsidRDefault="00000000">
      <w:pPr>
        <w:pStyle w:val="Heading4"/>
        <w:spacing w:before="300"/>
        <w:rPr>
          <w:rFonts w:eastAsia="SimHei"/>
          <w:bCs/>
          <w:u w:val="none"/>
        </w:rPr>
      </w:pPr>
      <w:r>
        <w:rPr>
          <w:rFonts w:eastAsia="SimHei" w:hint="eastAsia"/>
          <w:bCs/>
          <w:u w:val="none"/>
        </w:rPr>
        <w:t>高等教育</w:t>
      </w:r>
    </w:p>
    <w:p w:rsidR="00000000" w:rsidRDefault="00000000">
      <w:pPr>
        <w:pStyle w:val="Heading4"/>
        <w:spacing w:before="300"/>
        <w:ind w:left="520"/>
        <w:rPr>
          <w:rFonts w:hint="eastAsia"/>
        </w:rPr>
      </w:pPr>
      <w:r>
        <w:rPr>
          <w:rFonts w:hint="eastAsia"/>
        </w:rPr>
        <w:t>取录学生政策</w:t>
      </w:r>
    </w:p>
    <w:p w:rsidR="00000000" w:rsidRDefault="00000000">
      <w:pPr>
        <w:rPr>
          <w:rFonts w:hint="eastAsia"/>
        </w:rPr>
      </w:pPr>
      <w:r>
        <w:tab/>
        <w:t xml:space="preserve">715.  </w:t>
      </w:r>
      <w:r>
        <w:rPr>
          <w:rFonts w:hint="eastAsia"/>
        </w:rPr>
        <w:t>有关情况基本上与首份报告第</w:t>
      </w:r>
      <w:r>
        <w:t>528</w:t>
      </w:r>
      <w:r>
        <w:rPr>
          <w:rFonts w:hint="eastAsia"/>
        </w:rPr>
        <w:t>段所述的相同，也就是说，高等教育院校以学生成绩为收生标准。各间院校都是独立的法定组织，可自行厘定和实施收生准则。由大学教育资助委员会</w:t>
      </w:r>
      <w:r>
        <w:t>(</w:t>
      </w:r>
      <w:r>
        <w:rPr>
          <w:rFonts w:hint="eastAsia"/>
        </w:rPr>
        <w:t>教资会</w:t>
      </w:r>
      <w:r>
        <w:t>)</w:t>
      </w:r>
      <w:r>
        <w:rPr>
          <w:rFonts w:hint="eastAsia"/>
        </w:rPr>
        <w:t>资助的各间院校所开办的学位及副学位程度的课程，主要透过大学联合招生办法收生。虽然这种招生办法，是以学生的考试成绩为主要考虑因素，但上述院校也会取录一些在社会服务、美术和体育等非学科范畴上表现卓越的学生，入读学士学位课程。此外，有些教资会资助的院校由二零零二至零三学年开始，取录表现优秀的中六学生，即在他们循正常程序升读大学之前一年予以取录。</w:t>
      </w:r>
    </w:p>
    <w:p w:rsidR="00000000" w:rsidRDefault="00000000">
      <w:pPr>
        <w:pStyle w:val="Heading4"/>
        <w:spacing w:before="300"/>
        <w:ind w:left="520"/>
      </w:pPr>
      <w:r>
        <w:rPr>
          <w:rFonts w:hint="eastAsia"/>
        </w:rPr>
        <w:t>提供高等教育学位</w:t>
      </w:r>
    </w:p>
    <w:p w:rsidR="00000000" w:rsidRDefault="00000000">
      <w:pPr>
        <w:rPr>
          <w:rFonts w:hint="eastAsia"/>
        </w:rPr>
      </w:pPr>
      <w:r>
        <w:tab/>
        <w:t xml:space="preserve">716.  </w:t>
      </w:r>
      <w:r>
        <w:rPr>
          <w:rFonts w:hint="eastAsia"/>
        </w:rPr>
        <w:t>过去数年是教资会所资助的院校的巩固期，情况基本上与首份报告第</w:t>
      </w:r>
      <w:r>
        <w:t>529</w:t>
      </w:r>
      <w:r>
        <w:rPr>
          <w:rFonts w:hint="eastAsia"/>
        </w:rPr>
        <w:t>至</w:t>
      </w:r>
      <w:r>
        <w:t>530</w:t>
      </w:r>
      <w:r>
        <w:rPr>
          <w:rFonts w:hint="eastAsia"/>
        </w:rPr>
        <w:t>段所述的相同。不过，本港的高等教育院校数目，已由上次报告的</w:t>
      </w:r>
      <w:r>
        <w:t>10</w:t>
      </w:r>
      <w:r>
        <w:rPr>
          <w:rFonts w:hint="eastAsia"/>
        </w:rPr>
        <w:t>间增至目前的</w:t>
      </w:r>
      <w:r>
        <w:t>11</w:t>
      </w:r>
      <w:r>
        <w:rPr>
          <w:rFonts w:hint="eastAsia"/>
        </w:rPr>
        <w:t>间。</w:t>
      </w:r>
    </w:p>
    <w:p w:rsidR="00000000" w:rsidRDefault="00000000">
      <w:pPr>
        <w:pStyle w:val="Heading4"/>
        <w:spacing w:before="300"/>
        <w:ind w:left="520"/>
        <w:rPr>
          <w:rFonts w:hint="eastAsia"/>
        </w:rPr>
      </w:pPr>
      <w:r>
        <w:rPr>
          <w:rFonts w:hint="eastAsia"/>
        </w:rPr>
        <w:t>为学生提供的学费资助及财政资助</w:t>
      </w:r>
    </w:p>
    <w:p w:rsidR="00000000" w:rsidRDefault="00000000">
      <w:pPr>
        <w:pStyle w:val="Heading5"/>
        <w:rPr>
          <w:rFonts w:hint="eastAsia"/>
        </w:rPr>
      </w:pPr>
      <w:r>
        <w:rPr>
          <w:rFonts w:hint="eastAsia"/>
        </w:rPr>
        <w:t>教资会所资助院校的学费</w:t>
      </w:r>
    </w:p>
    <w:p w:rsidR="00000000" w:rsidRDefault="00000000">
      <w:pPr>
        <w:rPr>
          <w:rFonts w:hint="eastAsia"/>
        </w:rPr>
      </w:pPr>
      <w:r>
        <w:tab/>
        <w:t xml:space="preserve">717.  </w:t>
      </w:r>
      <w:r>
        <w:rPr>
          <w:rFonts w:hint="eastAsia"/>
        </w:rPr>
        <w:t>自一九九七至九八学年以来，教资会所资助的院校已冻结学士学位及高级课程的学费。因此，学费水平与首份报告第</w:t>
      </w:r>
      <w:r>
        <w:t>531</w:t>
      </w:r>
      <w:r>
        <w:rPr>
          <w:rFonts w:hint="eastAsia"/>
        </w:rPr>
        <w:t>段所述的相同。我们的一贯政策，是所有合资格的学生，都不应因经济困难而丧失接受高等教育的机会。我们会通过首份报告第</w:t>
      </w:r>
      <w:r>
        <w:t>532</w:t>
      </w:r>
      <w:r>
        <w:rPr>
          <w:rFonts w:hint="eastAsia"/>
        </w:rPr>
        <w:t>段所述的措施，贯彻这项政策。有关详情载于附件</w:t>
      </w:r>
      <w:r>
        <w:rPr>
          <w:rFonts w:eastAsia="華康中黑體"/>
        </w:rPr>
        <w:t xml:space="preserve">13C, </w:t>
      </w:r>
      <w:r>
        <w:rPr>
          <w:rFonts w:hint="eastAsia"/>
        </w:rPr>
        <w:t>它更新了首份报告附件</w:t>
      </w:r>
      <w:r>
        <w:t>29</w:t>
      </w:r>
      <w:r>
        <w:rPr>
          <w:rFonts w:hint="eastAsia"/>
        </w:rPr>
        <w:t>所载的资料。</w:t>
      </w:r>
    </w:p>
    <w:p w:rsidR="00000000" w:rsidRDefault="00000000">
      <w:pPr>
        <w:pStyle w:val="Heading4"/>
        <w:spacing w:before="300"/>
        <w:ind w:left="520"/>
      </w:pPr>
      <w:r>
        <w:rPr>
          <w:rFonts w:hint="eastAsia"/>
        </w:rPr>
        <w:t>不谙中文人士接受高等教育的机会</w:t>
      </w:r>
    </w:p>
    <w:p w:rsidR="00000000" w:rsidRDefault="00000000">
      <w:pPr>
        <w:rPr>
          <w:rFonts w:hint="eastAsia"/>
        </w:rPr>
      </w:pPr>
      <w:r>
        <w:tab/>
        <w:t xml:space="preserve">718.  </w:t>
      </w:r>
      <w:r>
        <w:rPr>
          <w:rFonts w:hint="eastAsia"/>
        </w:rPr>
        <w:t>这方面的情况并无改变，与首份报告第</w:t>
      </w:r>
      <w:r>
        <w:t>533</w:t>
      </w:r>
      <w:r>
        <w:rPr>
          <w:rFonts w:hint="eastAsia"/>
        </w:rPr>
        <w:t>段所述的相同。</w:t>
      </w:r>
    </w:p>
    <w:p w:rsidR="00000000" w:rsidRDefault="00000000">
      <w:pPr>
        <w:pStyle w:val="Heading4"/>
        <w:spacing w:before="300"/>
        <w:rPr>
          <w:rFonts w:eastAsia="SimHei"/>
          <w:bCs/>
          <w:u w:val="none"/>
        </w:rPr>
      </w:pPr>
      <w:r>
        <w:rPr>
          <w:rFonts w:eastAsia="SimHei" w:hint="eastAsia"/>
          <w:bCs/>
          <w:u w:val="none"/>
        </w:rPr>
        <w:t>成人教育</w:t>
      </w:r>
    </w:p>
    <w:p w:rsidR="00000000" w:rsidRDefault="00000000">
      <w:pPr>
        <w:pStyle w:val="Heading4"/>
        <w:spacing w:before="300"/>
        <w:ind w:left="520"/>
        <w:rPr>
          <w:rFonts w:hint="eastAsia"/>
        </w:rPr>
      </w:pPr>
      <w:r>
        <w:rPr>
          <w:rFonts w:hint="eastAsia"/>
        </w:rPr>
        <w:t>本地的成人教育</w:t>
      </w:r>
    </w:p>
    <w:p w:rsidR="00000000" w:rsidRDefault="00000000">
      <w:pPr>
        <w:rPr>
          <w:rFonts w:hint="eastAsia"/>
        </w:rPr>
      </w:pPr>
      <w:r>
        <w:tab/>
        <w:t xml:space="preserve">719.  </w:t>
      </w:r>
      <w:r>
        <w:rPr>
          <w:rFonts w:hint="eastAsia"/>
        </w:rPr>
        <w:t>有关情况基本上并无改变，与首份报告第</w:t>
      </w:r>
      <w:r>
        <w:t>534</w:t>
      </w:r>
      <w:r>
        <w:rPr>
          <w:rFonts w:hint="eastAsia"/>
        </w:rPr>
        <w:t>及</w:t>
      </w:r>
      <w:r>
        <w:t>535</w:t>
      </w:r>
      <w:r>
        <w:rPr>
          <w:rFonts w:hint="eastAsia"/>
        </w:rPr>
        <w:t>段所述的相同。在二零零一至零二学年，约有</w:t>
      </w:r>
      <w:r>
        <w:t>11,170</w:t>
      </w:r>
      <w:r>
        <w:rPr>
          <w:rFonts w:hint="eastAsia"/>
        </w:rPr>
        <w:t>人修读专为年满</w:t>
      </w:r>
      <w:r>
        <w:t>15</w:t>
      </w:r>
      <w:r>
        <w:rPr>
          <w:rFonts w:hint="eastAsia"/>
        </w:rPr>
        <w:t>岁的香港居民而开办的各级中小学课程。</w:t>
      </w:r>
    </w:p>
    <w:p w:rsidR="00000000" w:rsidRDefault="00000000">
      <w:pPr>
        <w:pStyle w:val="Heading4"/>
        <w:spacing w:before="300"/>
        <w:ind w:left="520"/>
        <w:rPr>
          <w:rFonts w:hint="eastAsia"/>
        </w:rPr>
      </w:pPr>
      <w:r>
        <w:rPr>
          <w:rFonts w:hint="eastAsia"/>
        </w:rPr>
        <w:t>高等教育程度的持续及专业教育</w:t>
      </w:r>
    </w:p>
    <w:p w:rsidR="00000000" w:rsidRDefault="00000000">
      <w:r>
        <w:tab/>
        <w:t xml:space="preserve">720.  </w:t>
      </w:r>
      <w:r>
        <w:rPr>
          <w:rFonts w:hint="eastAsia"/>
        </w:rPr>
        <w:t>首份报告第</w:t>
      </w:r>
      <w:r>
        <w:t>536</w:t>
      </w:r>
      <w:r>
        <w:rPr>
          <w:rFonts w:hint="eastAsia"/>
        </w:rPr>
        <w:t>至</w:t>
      </w:r>
      <w:r>
        <w:t>538</w:t>
      </w:r>
      <w:r>
        <w:rPr>
          <w:rFonts w:hint="eastAsia"/>
        </w:rPr>
        <w:t>段阐释了香港公开大学的历史和理念。自一九九八年六月</w:t>
      </w:r>
      <w:r>
        <w:t>(</w:t>
      </w:r>
      <w:r>
        <w:rPr>
          <w:rFonts w:hint="eastAsia"/>
        </w:rPr>
        <w:t>即首份报告的截止日期</w:t>
      </w:r>
      <w:r>
        <w:t>)</w:t>
      </w:r>
      <w:r>
        <w:rPr>
          <w:rFonts w:hint="eastAsia"/>
        </w:rPr>
        <w:t>以来，公开大学取得了重大的进展。目前，大学有</w:t>
      </w:r>
      <w:r>
        <w:t>4</w:t>
      </w:r>
      <w:r>
        <w:rPr>
          <w:rFonts w:hint="eastAsia"/>
        </w:rPr>
        <w:t>间学院，即人文社会科学院、商业管理学院、教育及语文学院，以及科技学院；另外还设有李嘉诚专业进修学院。在二零零一至零二学年，公开大学的学生人数超过</w:t>
      </w:r>
      <w:r>
        <w:t>26,000</w:t>
      </w:r>
      <w:r>
        <w:rPr>
          <w:rFonts w:hint="eastAsia"/>
        </w:rPr>
        <w:t>名，分别修读</w:t>
      </w:r>
      <w:r>
        <w:t>68</w:t>
      </w:r>
      <w:r>
        <w:rPr>
          <w:rFonts w:hint="eastAsia"/>
        </w:rPr>
        <w:t>个学位和研究生课程，以及</w:t>
      </w:r>
      <w:r>
        <w:t>38</w:t>
      </w:r>
      <w:r>
        <w:rPr>
          <w:rFonts w:hint="eastAsia"/>
        </w:rPr>
        <w:t>个副学位课程。李嘉诚专业进修学院亦开办了</w:t>
      </w:r>
      <w:r>
        <w:t>80</w:t>
      </w:r>
      <w:r>
        <w:rPr>
          <w:rFonts w:hint="eastAsia"/>
        </w:rPr>
        <w:t>个短期及专业课程，收生人数超过</w:t>
      </w:r>
      <w:r>
        <w:t>15,000</w:t>
      </w:r>
      <w:r>
        <w:rPr>
          <w:rFonts w:hint="eastAsia"/>
        </w:rPr>
        <w:t>人。此外，公开大学也提供全日制的副学士学位课程。</w:t>
      </w:r>
    </w:p>
    <w:p w:rsidR="00000000" w:rsidRDefault="00000000">
      <w:pPr>
        <w:pStyle w:val="Heading4"/>
        <w:spacing w:before="300"/>
        <w:ind w:left="520"/>
        <w:rPr>
          <w:rFonts w:hint="eastAsia"/>
        </w:rPr>
      </w:pPr>
      <w:r>
        <w:rPr>
          <w:rFonts w:hint="eastAsia"/>
        </w:rPr>
        <w:t>提供持续教育的其他教育机构</w:t>
      </w:r>
    </w:p>
    <w:p w:rsidR="00000000" w:rsidRDefault="00000000">
      <w:pPr>
        <w:rPr>
          <w:rFonts w:hint="eastAsia"/>
        </w:rPr>
      </w:pPr>
      <w:r>
        <w:tab/>
        <w:t xml:space="preserve">721.  </w:t>
      </w:r>
      <w:r>
        <w:rPr>
          <w:rFonts w:hint="eastAsia"/>
        </w:rPr>
        <w:t>有关情况基本上并无改变，与首份报告第</w:t>
      </w:r>
      <w:r>
        <w:t>539</w:t>
      </w:r>
      <w:r>
        <w:rPr>
          <w:rFonts w:hint="eastAsia"/>
        </w:rPr>
        <w:t>段所述的相同。</w:t>
      </w:r>
    </w:p>
    <w:p w:rsidR="00000000" w:rsidRDefault="00000000">
      <w:pPr>
        <w:rPr>
          <w:rFonts w:hint="eastAsia"/>
        </w:rPr>
      </w:pPr>
      <w:r>
        <w:tab/>
        <w:t xml:space="preserve">722.  </w:t>
      </w:r>
      <w:r>
        <w:rPr>
          <w:rFonts w:hint="eastAsia"/>
        </w:rPr>
        <w:t>有论者指出，投诉持续进修机构的个案有所增加，因此，他们对成人教育的质素问题感到关注。其实，政府也十分关注持续进修课程的质素问题，并已设立机制，确保这些课程符合可接受的标准。具体来说：</w:t>
      </w:r>
    </w:p>
    <w:p w:rsidR="00000000" w:rsidRDefault="00000000">
      <w:pPr>
        <w:ind w:left="1510" w:hanging="510"/>
        <w:rPr>
          <w:rFonts w:hint="eastAsia"/>
        </w:rPr>
      </w:pPr>
      <w:r>
        <w:t>(a)</w:t>
      </w:r>
      <w:r>
        <w:tab/>
      </w:r>
      <w:r>
        <w:rPr>
          <w:rFonts w:eastAsia="SimHei" w:hint="eastAsia"/>
          <w:bCs/>
        </w:rPr>
        <w:t>根据《教育条例》</w:t>
      </w:r>
      <w:r>
        <w:rPr>
          <w:rFonts w:eastAsia="SimHei"/>
          <w:bCs/>
        </w:rPr>
        <w:t>(</w:t>
      </w:r>
      <w:r>
        <w:rPr>
          <w:rFonts w:eastAsia="SimHei" w:hint="eastAsia"/>
          <w:bCs/>
        </w:rPr>
        <w:t>第</w:t>
      </w:r>
      <w:r>
        <w:rPr>
          <w:rFonts w:eastAsia="SimHei"/>
          <w:b/>
          <w:bCs/>
        </w:rPr>
        <w:t>279</w:t>
      </w:r>
      <w:r>
        <w:rPr>
          <w:rFonts w:eastAsia="SimHei" w:hint="eastAsia"/>
          <w:bCs/>
        </w:rPr>
        <w:t>章</w:t>
      </w:r>
      <w:r>
        <w:rPr>
          <w:rFonts w:eastAsia="SimHei"/>
          <w:bCs/>
        </w:rPr>
        <w:t>)</w:t>
      </w:r>
      <w:r>
        <w:rPr>
          <w:rFonts w:eastAsia="SimHei" w:hint="eastAsia"/>
          <w:bCs/>
        </w:rPr>
        <w:t>注册的学校及其他教育机构</w:t>
      </w:r>
      <w:r>
        <w:rPr>
          <w:rFonts w:hint="eastAsia"/>
        </w:rPr>
        <w:t>必须遵守关于教师资历、学费及学校管理的规定。我们亦已公布这些教育机构的学费详情；和</w:t>
      </w:r>
    </w:p>
    <w:p w:rsidR="00000000" w:rsidRDefault="00000000">
      <w:pPr>
        <w:ind w:left="1510" w:hanging="510"/>
        <w:rPr>
          <w:rFonts w:hint="eastAsia"/>
        </w:rPr>
      </w:pPr>
      <w:r>
        <w:t>(b)</w:t>
      </w:r>
      <w:r>
        <w:tab/>
      </w:r>
      <w:r>
        <w:rPr>
          <w:rFonts w:eastAsia="SimHei" w:hint="eastAsia"/>
          <w:bCs/>
        </w:rPr>
        <w:t>由大学开办的持续进修课程</w:t>
      </w:r>
      <w:r>
        <w:rPr>
          <w:rFonts w:hint="eastAsia"/>
        </w:rPr>
        <w:t>必须经校内质素保证机制或香港学术评审局甄审。教资会进行香港教与学质素保证过程检讨时，亦把有关课程考虑在内。</w:t>
      </w:r>
    </w:p>
    <w:p w:rsidR="00000000" w:rsidRDefault="00000000">
      <w:pPr>
        <w:pStyle w:val="Heading4"/>
        <w:spacing w:before="300"/>
        <w:ind w:left="520"/>
        <w:rPr>
          <w:rFonts w:hint="eastAsia"/>
        </w:rPr>
      </w:pPr>
      <w:r>
        <w:rPr>
          <w:rFonts w:hint="eastAsia"/>
        </w:rPr>
        <w:t>持续及专业教育的财政资助</w:t>
      </w:r>
    </w:p>
    <w:p w:rsidR="00000000" w:rsidRDefault="00000000">
      <w:pPr>
        <w:rPr>
          <w:rFonts w:hint="eastAsia"/>
        </w:rPr>
      </w:pPr>
      <w:r>
        <w:tab/>
        <w:t xml:space="preserve">723.  </w:t>
      </w:r>
      <w:r>
        <w:rPr>
          <w:rFonts w:hint="eastAsia"/>
        </w:rPr>
        <w:t>我们通过下列两个途径提供资助：</w:t>
      </w:r>
    </w:p>
    <w:p w:rsidR="00000000" w:rsidRDefault="00000000">
      <w:pPr>
        <w:ind w:left="1510" w:hanging="510"/>
      </w:pPr>
      <w:r>
        <w:t>(a)</w:t>
      </w:r>
      <w:r>
        <w:tab/>
      </w:r>
      <w:r>
        <w:rPr>
          <w:rFonts w:eastAsia="SimHei" w:hint="eastAsia"/>
          <w:bCs/>
        </w:rPr>
        <w:t>免入息审查贷款计划</w:t>
      </w:r>
      <w:r>
        <w:rPr>
          <w:rFonts w:eastAsia="SimHei"/>
          <w:bCs/>
        </w:rPr>
        <w:t>(</w:t>
      </w:r>
      <w:r>
        <w:rPr>
          <w:rFonts w:eastAsia="SimHei" w:hint="eastAsia"/>
          <w:bCs/>
        </w:rPr>
        <w:t>见上文第</w:t>
      </w:r>
      <w:r>
        <w:rPr>
          <w:rFonts w:eastAsia="SimHei"/>
          <w:b/>
          <w:bCs/>
        </w:rPr>
        <w:t>714</w:t>
      </w:r>
      <w:r>
        <w:rPr>
          <w:rFonts w:eastAsia="SimHei"/>
          <w:bCs/>
        </w:rPr>
        <w:t>(</w:t>
      </w:r>
      <w:r>
        <w:rPr>
          <w:rFonts w:eastAsia="SimHei"/>
          <w:b/>
          <w:bCs/>
        </w:rPr>
        <w:t>b</w:t>
      </w:r>
      <w:r>
        <w:rPr>
          <w:rFonts w:eastAsia="SimHei"/>
          <w:bCs/>
        </w:rPr>
        <w:t>)</w:t>
      </w:r>
      <w:r>
        <w:rPr>
          <w:rFonts w:eastAsia="SimHei" w:hint="eastAsia"/>
          <w:bCs/>
        </w:rPr>
        <w:t>段</w:t>
      </w:r>
      <w:r>
        <w:rPr>
          <w:rFonts w:eastAsia="SimHei"/>
          <w:bCs/>
        </w:rPr>
        <w:t>)</w:t>
      </w:r>
      <w:r>
        <w:rPr>
          <w:rFonts w:eastAsia="SimHei" w:hint="eastAsia"/>
          <w:bCs/>
        </w:rPr>
        <w:t>：</w:t>
      </w:r>
      <w:r>
        <w:rPr>
          <w:rFonts w:hint="eastAsia"/>
          <w:spacing w:val="12"/>
        </w:rPr>
        <w:t>这项计划初期规模不大，但现已逐步扩大至包括由香港注册学校、非本地大学、专业及认可培</w:t>
      </w:r>
      <w:r>
        <w:rPr>
          <w:rFonts w:hint="eastAsia"/>
          <w:spacing w:val="16"/>
        </w:rPr>
        <w:t>训组织所提供的课程。有意获取更高学历和学习新技能的合资格人士</w:t>
      </w:r>
      <w:r>
        <w:rPr>
          <w:rStyle w:val="FootnoteReference"/>
          <w:spacing w:val="12"/>
        </w:rPr>
        <w:footnoteReference w:customMarkFollows="1" w:id="72"/>
        <w:t>59</w:t>
      </w:r>
      <w:r>
        <w:rPr>
          <w:spacing w:val="12"/>
        </w:rPr>
        <w:t xml:space="preserve"> </w:t>
      </w:r>
      <w:r>
        <w:rPr>
          <w:rFonts w:hint="eastAsia"/>
          <w:spacing w:val="12"/>
        </w:rPr>
        <w:t>，均可根据这项计划申请贷款，支付学费；以及</w:t>
      </w:r>
    </w:p>
    <w:p w:rsidR="00000000" w:rsidRDefault="00000000">
      <w:pPr>
        <w:ind w:left="1510" w:hanging="510"/>
      </w:pPr>
      <w:r>
        <w:t>(b)</w:t>
      </w:r>
      <w:r>
        <w:tab/>
      </w:r>
      <w:r>
        <w:rPr>
          <w:rFonts w:eastAsia="SimHei" w:hint="eastAsia"/>
          <w:bCs/>
        </w:rPr>
        <w:t>持续教育基金</w:t>
      </w:r>
      <w:r>
        <w:rPr>
          <w:rStyle w:val="FootnoteReference"/>
        </w:rPr>
        <w:footnoteReference w:customMarkFollows="1" w:id="73"/>
        <w:t>60</w:t>
      </w:r>
      <w:r>
        <w:t xml:space="preserve"> </w:t>
      </w:r>
      <w:r>
        <w:rPr>
          <w:rFonts w:hint="eastAsia"/>
        </w:rPr>
        <w:t>：这个基金在二零零二年四月设立，基金款额达</w:t>
      </w:r>
      <w:r>
        <w:t>50</w:t>
      </w:r>
      <w:r>
        <w:rPr>
          <w:rFonts w:hint="eastAsia"/>
        </w:rPr>
        <w:t>亿港元。合资格的申请人圆满修毕经认可的课程后，可获发还</w:t>
      </w:r>
      <w:r>
        <w:t>80%</w:t>
      </w:r>
      <w:r>
        <w:rPr>
          <w:rFonts w:hint="eastAsia"/>
        </w:rPr>
        <w:t>的学费，上限为一万港元。截至二零零二年十二月三十一日为止，超过</w:t>
      </w:r>
      <w:r>
        <w:t>18,000</w:t>
      </w:r>
      <w:r>
        <w:rPr>
          <w:rFonts w:hint="eastAsia"/>
        </w:rPr>
        <w:t>人申请基金资助。</w:t>
      </w:r>
    </w:p>
    <w:p w:rsidR="00000000" w:rsidRDefault="00000000">
      <w:pPr>
        <w:pStyle w:val="Heading4"/>
        <w:spacing w:before="300"/>
        <w:rPr>
          <w:rFonts w:eastAsia="SimHei"/>
          <w:u w:val="none"/>
        </w:rPr>
      </w:pPr>
      <w:r>
        <w:rPr>
          <w:rFonts w:eastAsia="SimHei" w:hint="eastAsia"/>
          <w:u w:val="none"/>
        </w:rPr>
        <w:t>职业训练及再培训</w:t>
      </w:r>
    </w:p>
    <w:p w:rsidR="00000000" w:rsidRDefault="00000000">
      <w:r>
        <w:tab/>
        <w:t xml:space="preserve">724.  </w:t>
      </w:r>
      <w:r>
        <w:rPr>
          <w:rFonts w:hint="eastAsia"/>
        </w:rPr>
        <w:t>如首份报告第</w:t>
      </w:r>
      <w:r>
        <w:t>540</w:t>
      </w:r>
      <w:r>
        <w:rPr>
          <w:rFonts w:hint="eastAsia"/>
        </w:rPr>
        <w:t>段所述，职业训练局是提供职业训练的主要机构，同时并负责就有关职业教育和训练的政策，向政府提供意见。一九九九年，职业训练局辖下的两间科技学院及七间工业学院已合并为“香港专业教育学院”。此外，职业训练局亦设有</w:t>
      </w:r>
      <w:r>
        <w:t>18</w:t>
      </w:r>
      <w:r>
        <w:rPr>
          <w:rFonts w:hint="eastAsia"/>
        </w:rPr>
        <w:t>间培训发展中心。香港专业教育学院及职业训练局共同为中三和中五离校生，以及有意提升技术知识水平的在职人士，提供职业教育及训练。职业训练局所设的三间技能训练中心，更特别为残疾人士提供职业训练。</w:t>
      </w:r>
    </w:p>
    <w:p w:rsidR="00000000" w:rsidRDefault="00000000">
      <w:pPr>
        <w:rPr>
          <w:rFonts w:hint="eastAsia"/>
        </w:rPr>
      </w:pPr>
      <w:r>
        <w:tab/>
        <w:t xml:space="preserve">725.  </w:t>
      </w:r>
      <w:r>
        <w:rPr>
          <w:rFonts w:hint="eastAsia"/>
        </w:rPr>
        <w:t>在二零零一至零二学年，香港专业教育学院共提供</w:t>
      </w:r>
      <w:r>
        <w:t>26,188</w:t>
      </w:r>
      <w:r>
        <w:rPr>
          <w:rFonts w:hint="eastAsia"/>
        </w:rPr>
        <w:t>个全日制学额、</w:t>
      </w:r>
      <w:r>
        <w:t>5,920</w:t>
      </w:r>
      <w:r>
        <w:rPr>
          <w:rFonts w:hint="eastAsia"/>
        </w:rPr>
        <w:t>个日间兼读学额、</w:t>
      </w:r>
      <w:r>
        <w:t>22,613</w:t>
      </w:r>
      <w:r>
        <w:rPr>
          <w:rFonts w:hint="eastAsia"/>
        </w:rPr>
        <w:t>个晚间兼读学额，以及不同类型的短期课程。至于职业训练局的</w:t>
      </w:r>
      <w:r>
        <w:t>18</w:t>
      </w:r>
      <w:r>
        <w:rPr>
          <w:rFonts w:hint="eastAsia"/>
        </w:rPr>
        <w:t>间培训发展中心，则提供</w:t>
      </w:r>
      <w:r>
        <w:t>84,815</w:t>
      </w:r>
      <w:r>
        <w:rPr>
          <w:rFonts w:hint="eastAsia"/>
        </w:rPr>
        <w:t>个全日制、兼读及自修课程学额。二零零一至零二学年按上课方式及课程程度计算的学生人数统计资料，分别载于附件</w:t>
      </w:r>
      <w:r>
        <w:rPr>
          <w:rFonts w:eastAsia="華康中黑體"/>
        </w:rPr>
        <w:t>13D</w:t>
      </w:r>
      <w:r>
        <w:t>(</w:t>
      </w:r>
      <w:r>
        <w:rPr>
          <w:rFonts w:hint="eastAsia"/>
        </w:rPr>
        <w:t>上课方式</w:t>
      </w:r>
      <w:r>
        <w:t>)</w:t>
      </w:r>
      <w:r>
        <w:rPr>
          <w:rFonts w:hint="eastAsia"/>
        </w:rPr>
        <w:t>及</w:t>
      </w:r>
      <w:r>
        <w:rPr>
          <w:rFonts w:eastAsia="華康中黑體"/>
        </w:rPr>
        <w:t>13E</w:t>
      </w:r>
      <w:r>
        <w:t>(</w:t>
      </w:r>
      <w:r>
        <w:rPr>
          <w:rFonts w:hint="eastAsia"/>
        </w:rPr>
        <w:t>课程程度</w:t>
      </w:r>
      <w:r>
        <w:t>)</w:t>
      </w:r>
      <w:r>
        <w:rPr>
          <w:rFonts w:hint="eastAsia"/>
        </w:rPr>
        <w:t>。这两份附件更新了首份报告附件</w:t>
      </w:r>
      <w:r>
        <w:t>30</w:t>
      </w:r>
      <w:r>
        <w:rPr>
          <w:rFonts w:hint="eastAsia"/>
        </w:rPr>
        <w:t>及</w:t>
      </w:r>
      <w:r>
        <w:t>31</w:t>
      </w:r>
      <w:r>
        <w:rPr>
          <w:rFonts w:hint="eastAsia"/>
        </w:rPr>
        <w:t>的资料。</w:t>
      </w:r>
    </w:p>
    <w:p w:rsidR="00000000" w:rsidRDefault="00000000">
      <w:pPr>
        <w:rPr>
          <w:rFonts w:hint="eastAsia"/>
        </w:rPr>
      </w:pPr>
      <w:r>
        <w:tab/>
        <w:t xml:space="preserve">726.  </w:t>
      </w:r>
      <w:r>
        <w:rPr>
          <w:rFonts w:hint="eastAsia"/>
        </w:rPr>
        <w:t>有关为操作工人、技工和技术员提供职前训练及深入训练的情况并无改变，与首份报告第</w:t>
      </w:r>
      <w:r>
        <w:t>542</w:t>
      </w:r>
      <w:r>
        <w:rPr>
          <w:rFonts w:hint="eastAsia"/>
        </w:rPr>
        <w:t>段所述的相同。</w:t>
      </w:r>
    </w:p>
    <w:p w:rsidR="00000000" w:rsidRDefault="00000000">
      <w:pPr>
        <w:pStyle w:val="Heading4"/>
        <w:spacing w:before="300"/>
        <w:ind w:left="520"/>
        <w:rPr>
          <w:rFonts w:hint="eastAsia"/>
        </w:rPr>
      </w:pPr>
      <w:r>
        <w:rPr>
          <w:rFonts w:hint="eastAsia"/>
        </w:rPr>
        <w:t>学徒训练</w:t>
      </w:r>
    </w:p>
    <w:p w:rsidR="00000000" w:rsidRDefault="00000000">
      <w:pPr>
        <w:rPr>
          <w:rFonts w:hint="eastAsia"/>
          <w:snapToGrid/>
        </w:rPr>
      </w:pPr>
      <w:r>
        <w:rPr>
          <w:snapToGrid/>
        </w:rPr>
        <w:tab/>
        <w:t xml:space="preserve">727.  </w:t>
      </w:r>
      <w:r>
        <w:rPr>
          <w:rFonts w:hint="eastAsia"/>
          <w:snapToGrid/>
        </w:rPr>
        <w:t>有关情况基本上并无改变，与首份报告第</w:t>
      </w:r>
      <w:r>
        <w:rPr>
          <w:snapToGrid/>
        </w:rPr>
        <w:t>543</w:t>
      </w:r>
      <w:r>
        <w:rPr>
          <w:rFonts w:hint="eastAsia"/>
          <w:snapToGrid/>
        </w:rPr>
        <w:t>段所述的相同。在二零零二年注册的合约有</w:t>
      </w:r>
      <w:r>
        <w:rPr>
          <w:snapToGrid/>
        </w:rPr>
        <w:t>1,850</w:t>
      </w:r>
      <w:r>
        <w:rPr>
          <w:rFonts w:hint="eastAsia"/>
          <w:snapToGrid/>
        </w:rPr>
        <w:t>份左右，涉及学徒共</w:t>
      </w:r>
      <w:r>
        <w:rPr>
          <w:snapToGrid/>
        </w:rPr>
        <w:t>1,850</w:t>
      </w:r>
      <w:r>
        <w:rPr>
          <w:rFonts w:hint="eastAsia"/>
          <w:snapToGrid/>
        </w:rPr>
        <w:t>名</w:t>
      </w:r>
      <w:r>
        <w:rPr>
          <w:snapToGrid/>
        </w:rPr>
        <w:t>(</w:t>
      </w:r>
      <w:r>
        <w:rPr>
          <w:rFonts w:hint="eastAsia"/>
          <w:snapToGrid/>
        </w:rPr>
        <w:t>一九九七年为</w:t>
      </w:r>
      <w:r>
        <w:rPr>
          <w:snapToGrid/>
        </w:rPr>
        <w:t>3,580</w:t>
      </w:r>
      <w:r>
        <w:rPr>
          <w:rFonts w:hint="eastAsia"/>
          <w:snapToGrid/>
        </w:rPr>
        <w:t>名</w:t>
      </w:r>
      <w:r>
        <w:rPr>
          <w:snapToGrid/>
        </w:rPr>
        <w:t>)</w:t>
      </w:r>
      <w:r>
        <w:rPr>
          <w:rFonts w:hint="eastAsia"/>
          <w:snapToGrid/>
        </w:rPr>
        <w:t>。截至二零零二年年底，约有</w:t>
      </w:r>
      <w:r>
        <w:rPr>
          <w:snapToGrid/>
        </w:rPr>
        <w:t>4,150</w:t>
      </w:r>
      <w:r>
        <w:rPr>
          <w:rFonts w:hint="eastAsia"/>
          <w:snapToGrid/>
        </w:rPr>
        <w:t>名学徒正接受训练</w:t>
      </w:r>
      <w:r>
        <w:rPr>
          <w:snapToGrid/>
        </w:rPr>
        <w:t>(</w:t>
      </w:r>
      <w:r>
        <w:rPr>
          <w:rFonts w:hint="eastAsia"/>
          <w:snapToGrid/>
        </w:rPr>
        <w:t>一九九七年有接近</w:t>
      </w:r>
      <w:r>
        <w:rPr>
          <w:snapToGrid/>
        </w:rPr>
        <w:t>8,000</w:t>
      </w:r>
      <w:r>
        <w:rPr>
          <w:rFonts w:hint="eastAsia"/>
          <w:snapToGrid/>
        </w:rPr>
        <w:t>名</w:t>
      </w:r>
      <w:r>
        <w:rPr>
          <w:snapToGrid/>
        </w:rPr>
        <w:t>)</w:t>
      </w:r>
      <w:r>
        <w:rPr>
          <w:rFonts w:hint="eastAsia"/>
          <w:snapToGrid/>
        </w:rPr>
        <w:t>。这些数字显示，学徒训练不再是年青人迈向就业的一个途径。这亦可反映香港正转向服务型的经济发展。</w:t>
      </w:r>
    </w:p>
    <w:p w:rsidR="00000000" w:rsidRDefault="00000000">
      <w:pPr>
        <w:pStyle w:val="Heading4"/>
        <w:spacing w:before="300"/>
        <w:rPr>
          <w:rFonts w:eastAsia="SimHei" w:hint="eastAsia"/>
          <w:bCs/>
          <w:u w:val="none"/>
        </w:rPr>
      </w:pPr>
      <w:r>
        <w:rPr>
          <w:rFonts w:eastAsia="SimHei" w:hint="eastAsia"/>
          <w:bCs/>
          <w:u w:val="none"/>
        </w:rPr>
        <w:t>为残疾学生提供教育</w:t>
      </w:r>
    </w:p>
    <w:p w:rsidR="00000000" w:rsidRDefault="00000000">
      <w:pPr>
        <w:pStyle w:val="Heading4"/>
        <w:spacing w:before="300"/>
        <w:ind w:left="520"/>
        <w:rPr>
          <w:rFonts w:hint="eastAsia"/>
        </w:rPr>
      </w:pPr>
      <w:r>
        <w:rPr>
          <w:rFonts w:hint="eastAsia"/>
        </w:rPr>
        <w:t>为残障儿童提供中小学教育</w:t>
      </w:r>
    </w:p>
    <w:p w:rsidR="00000000" w:rsidRDefault="00000000">
      <w:pPr>
        <w:rPr>
          <w:rFonts w:hint="eastAsia"/>
        </w:rPr>
      </w:pPr>
      <w:r>
        <w:tab/>
        <w:t xml:space="preserve">728.  </w:t>
      </w:r>
      <w:r>
        <w:rPr>
          <w:rFonts w:hint="eastAsia"/>
        </w:rPr>
        <w:t>有关情况基本上并无改变，与首份报告第</w:t>
      </w:r>
      <w:r>
        <w:t>544</w:t>
      </w:r>
      <w:r>
        <w:rPr>
          <w:rFonts w:hint="eastAsia"/>
        </w:rPr>
        <w:t>至</w:t>
      </w:r>
      <w:r>
        <w:t>546</w:t>
      </w:r>
      <w:r>
        <w:rPr>
          <w:rFonts w:hint="eastAsia"/>
        </w:rPr>
        <w:t>段所述的相同。附件</w:t>
      </w:r>
      <w:r>
        <w:rPr>
          <w:rFonts w:eastAsia="華康中黑體"/>
        </w:rPr>
        <w:t>13F</w:t>
      </w:r>
      <w:r>
        <w:rPr>
          <w:rFonts w:hint="eastAsia"/>
        </w:rPr>
        <w:t>对首份报告附件</w:t>
      </w:r>
      <w:r>
        <w:t>32</w:t>
      </w:r>
      <w:r>
        <w:rPr>
          <w:rFonts w:hint="eastAsia"/>
        </w:rPr>
        <w:t>作出修订，当中开列各类残疾的认可定义；附件</w:t>
      </w:r>
      <w:r>
        <w:rPr>
          <w:rFonts w:eastAsia="華康中黑體"/>
        </w:rPr>
        <w:t>13G</w:t>
      </w:r>
      <w:r>
        <w:rPr>
          <w:rFonts w:hint="eastAsia"/>
        </w:rPr>
        <w:t>则对首份报告附件</w:t>
      </w:r>
      <w:r>
        <w:t>33</w:t>
      </w:r>
      <w:r>
        <w:rPr>
          <w:rFonts w:hint="eastAsia"/>
        </w:rPr>
        <w:t>作出修订，当中开列入读普通学校的残疾学童可获提供的各项支援服务。</w:t>
      </w:r>
    </w:p>
    <w:p w:rsidR="00000000" w:rsidRDefault="00000000">
      <w:pPr>
        <w:pStyle w:val="Heading4"/>
        <w:spacing w:before="300"/>
        <w:ind w:left="520"/>
        <w:rPr>
          <w:rFonts w:hint="eastAsia"/>
        </w:rPr>
      </w:pPr>
      <w:r>
        <w:rPr>
          <w:rFonts w:hint="eastAsia"/>
        </w:rPr>
        <w:t>未来路向</w:t>
      </w:r>
    </w:p>
    <w:p w:rsidR="00000000" w:rsidRDefault="00000000">
      <w:pPr>
        <w:rPr>
          <w:rFonts w:hint="eastAsia"/>
        </w:rPr>
      </w:pPr>
      <w:r>
        <w:tab/>
        <w:t xml:space="preserve">729.  </w:t>
      </w:r>
      <w:r>
        <w:rPr>
          <w:rFonts w:hint="eastAsia"/>
        </w:rPr>
        <w:t>我们在首份报告第</w:t>
      </w:r>
      <w:r>
        <w:t>547</w:t>
      </w:r>
      <w:r>
        <w:rPr>
          <w:rFonts w:hint="eastAsia"/>
        </w:rPr>
        <w:t>段向委员会报告了一九九七年九月推出的两年试验计划，参与的学校共有九间。计划旨在通过全校参与的方式，以及增强普通学校的教职员的能力，研究如何让有特殊教育需要的学生</w:t>
      </w:r>
      <w:r>
        <w:rPr>
          <w:rStyle w:val="FootnoteReference"/>
        </w:rPr>
        <w:footnoteReference w:customMarkFollows="1" w:id="74"/>
        <w:t>61</w:t>
      </w:r>
      <w:r>
        <w:t xml:space="preserve"> </w:t>
      </w:r>
      <w:r>
        <w:rPr>
          <w:rFonts w:hint="eastAsia"/>
        </w:rPr>
        <w:t>更有效地融入主流教育。</w:t>
      </w:r>
    </w:p>
    <w:p w:rsidR="00000000" w:rsidRDefault="00000000">
      <w:pPr>
        <w:rPr>
          <w:rFonts w:hint="eastAsia"/>
        </w:rPr>
      </w:pPr>
      <w:r>
        <w:tab/>
        <w:t xml:space="preserve">730.  </w:t>
      </w:r>
      <w:r>
        <w:rPr>
          <w:rFonts w:hint="eastAsia"/>
        </w:rPr>
        <w:t>前教育署委托了高等教育院校检讨计划的成效。我们根据有关院校的建议，鼓励所有普通学校推行全校参与模式的融合教育，让这些学校以更有系统及有效的方式，照顾学生的不同需要。</w:t>
      </w:r>
    </w:p>
    <w:p w:rsidR="00000000" w:rsidRDefault="00000000">
      <w:pPr>
        <w:pStyle w:val="Heading4"/>
        <w:spacing w:before="300"/>
        <w:ind w:left="520"/>
        <w:rPr>
          <w:rFonts w:hint="eastAsia"/>
        </w:rPr>
      </w:pPr>
      <w:r>
        <w:rPr>
          <w:rFonts w:hint="eastAsia"/>
        </w:rPr>
        <w:t>残疾人士：校舍的进出通道设计</w:t>
      </w:r>
    </w:p>
    <w:p w:rsidR="00000000" w:rsidRDefault="00000000">
      <w:pPr>
        <w:rPr>
          <w:rFonts w:hint="eastAsia"/>
        </w:rPr>
      </w:pPr>
      <w:r>
        <w:tab/>
        <w:t xml:space="preserve">731.  </w:t>
      </w:r>
      <w:r>
        <w:rPr>
          <w:rFonts w:hint="eastAsia"/>
        </w:rPr>
        <w:t>有关情况并无改变，与首份报告第</w:t>
      </w:r>
      <w:r>
        <w:t>548</w:t>
      </w:r>
      <w:r>
        <w:rPr>
          <w:rFonts w:hint="eastAsia"/>
        </w:rPr>
        <w:t>段所述的相同。</w:t>
      </w:r>
    </w:p>
    <w:p w:rsidR="00000000" w:rsidRDefault="00000000">
      <w:pPr>
        <w:pStyle w:val="Heading4"/>
        <w:spacing w:before="300"/>
        <w:ind w:left="520"/>
        <w:rPr>
          <w:rFonts w:hint="eastAsia"/>
        </w:rPr>
      </w:pPr>
      <w:r>
        <w:rPr>
          <w:rFonts w:hint="eastAsia"/>
        </w:rPr>
        <w:t>残疾学生接受高等教育的机会</w:t>
      </w:r>
    </w:p>
    <w:p w:rsidR="00000000" w:rsidRDefault="00000000">
      <w:pPr>
        <w:rPr>
          <w:rFonts w:hint="eastAsia"/>
        </w:rPr>
      </w:pPr>
      <w:r>
        <w:tab/>
        <w:t xml:space="preserve">732.  </w:t>
      </w:r>
      <w:r>
        <w:rPr>
          <w:rFonts w:hint="eastAsia"/>
        </w:rPr>
        <w:t>有关情况并无改变，与首份报告第</w:t>
      </w:r>
      <w:r>
        <w:t>549</w:t>
      </w:r>
      <w:r>
        <w:rPr>
          <w:rFonts w:hint="eastAsia"/>
        </w:rPr>
        <w:t>及</w:t>
      </w:r>
      <w:r>
        <w:t>550</w:t>
      </w:r>
      <w:r>
        <w:rPr>
          <w:rFonts w:hint="eastAsia"/>
        </w:rPr>
        <w:t>段所述的相同。</w:t>
      </w:r>
    </w:p>
    <w:p w:rsidR="00000000" w:rsidRDefault="00000000">
      <w:pPr>
        <w:pStyle w:val="Heading4"/>
        <w:spacing w:before="300"/>
        <w:ind w:left="520"/>
        <w:rPr>
          <w:rFonts w:hint="eastAsia"/>
        </w:rPr>
      </w:pPr>
      <w:r>
        <w:rPr>
          <w:rFonts w:hint="eastAsia"/>
        </w:rPr>
        <w:t>特别为残疾人士而设的职业训练计划</w:t>
      </w:r>
    </w:p>
    <w:p w:rsidR="00000000" w:rsidRDefault="00000000">
      <w:pPr>
        <w:rPr>
          <w:rFonts w:hint="eastAsia"/>
        </w:rPr>
      </w:pPr>
      <w:r>
        <w:tab/>
        <w:t xml:space="preserve">733.  </w:t>
      </w:r>
      <w:r>
        <w:rPr>
          <w:rFonts w:hint="eastAsia"/>
        </w:rPr>
        <w:t>有关情况并无改变，与首份报告第</w:t>
      </w:r>
      <w:r>
        <w:t>552</w:t>
      </w:r>
      <w:r>
        <w:rPr>
          <w:rFonts w:hint="eastAsia"/>
        </w:rPr>
        <w:t>段所述的相同。在二零零一至零二学年，由非政府机构和职业训练局开办的技能训练中心共提供</w:t>
      </w:r>
      <w:r>
        <w:t>1,251</w:t>
      </w:r>
      <w:r>
        <w:rPr>
          <w:rFonts w:hint="eastAsia"/>
        </w:rPr>
        <w:t>个全日制训练学额。</w:t>
      </w:r>
    </w:p>
    <w:p w:rsidR="00000000" w:rsidRDefault="00000000">
      <w:pPr>
        <w:pStyle w:val="Heading4"/>
        <w:spacing w:before="300"/>
        <w:ind w:left="520"/>
      </w:pPr>
      <w:r>
        <w:rPr>
          <w:rFonts w:hint="eastAsia"/>
        </w:rPr>
        <w:t>为残疾人士而设的职业评估服务</w:t>
      </w:r>
    </w:p>
    <w:p w:rsidR="00000000" w:rsidRDefault="00000000">
      <w:pPr>
        <w:rPr>
          <w:rFonts w:hint="eastAsia"/>
        </w:rPr>
      </w:pPr>
      <w:r>
        <w:tab/>
        <w:t xml:space="preserve">734.  </w:t>
      </w:r>
      <w:r>
        <w:rPr>
          <w:rFonts w:hint="eastAsia"/>
        </w:rPr>
        <w:t>有关情况并无改变，与首份报告第</w:t>
      </w:r>
      <w:r>
        <w:t>553</w:t>
      </w:r>
      <w:r>
        <w:rPr>
          <w:rFonts w:hint="eastAsia"/>
        </w:rPr>
        <w:t>及</w:t>
      </w:r>
      <w:r>
        <w:t>554</w:t>
      </w:r>
      <w:r>
        <w:rPr>
          <w:rFonts w:hint="eastAsia"/>
        </w:rPr>
        <w:t>段所述的相同。</w:t>
      </w:r>
    </w:p>
    <w:p w:rsidR="00000000" w:rsidRDefault="00000000">
      <w:pPr>
        <w:pStyle w:val="Heading4"/>
        <w:spacing w:before="300"/>
        <w:rPr>
          <w:rFonts w:eastAsia="SimHei" w:hint="eastAsia"/>
          <w:bCs/>
          <w:u w:val="none"/>
        </w:rPr>
      </w:pPr>
      <w:r>
        <w:rPr>
          <w:rFonts w:eastAsia="SimHei" w:hint="eastAsia"/>
          <w:bCs/>
          <w:u w:val="none"/>
        </w:rPr>
        <w:t>为囚犯提供教育</w:t>
      </w:r>
    </w:p>
    <w:p w:rsidR="00000000" w:rsidRDefault="00000000">
      <w:pPr>
        <w:rPr>
          <w:rFonts w:hint="eastAsia"/>
        </w:rPr>
      </w:pPr>
      <w:r>
        <w:tab/>
        <w:t xml:space="preserve">735.  </w:t>
      </w:r>
      <w:r>
        <w:rPr>
          <w:rFonts w:hint="eastAsia"/>
        </w:rPr>
        <w:t>有关情况并无改变，与首份报告第</w:t>
      </w:r>
      <w:r>
        <w:t>555</w:t>
      </w:r>
      <w:r>
        <w:rPr>
          <w:rFonts w:hint="eastAsia"/>
        </w:rPr>
        <w:t>段所述的相同。</w:t>
      </w:r>
    </w:p>
    <w:p w:rsidR="00000000" w:rsidRDefault="00000000">
      <w:pPr>
        <w:pStyle w:val="Heading4"/>
        <w:spacing w:before="300"/>
        <w:ind w:left="520"/>
        <w:rPr>
          <w:rFonts w:hint="eastAsia"/>
        </w:rPr>
      </w:pPr>
      <w:r>
        <w:rPr>
          <w:rFonts w:hint="eastAsia"/>
        </w:rPr>
        <w:t>在囚人士教育信托基金</w:t>
      </w:r>
    </w:p>
    <w:p w:rsidR="00000000" w:rsidRDefault="00000000">
      <w:pPr>
        <w:rPr>
          <w:rFonts w:hint="eastAsia"/>
        </w:rPr>
      </w:pPr>
      <w:r>
        <w:tab/>
        <w:t xml:space="preserve">736.  </w:t>
      </w:r>
      <w:r>
        <w:rPr>
          <w:rFonts w:hint="eastAsia"/>
        </w:rPr>
        <w:t>有关情况并无改变，与首份报告第</w:t>
      </w:r>
      <w:r>
        <w:t>556</w:t>
      </w:r>
      <w:r>
        <w:rPr>
          <w:rFonts w:hint="eastAsia"/>
        </w:rPr>
        <w:t>段所述的相同。</w:t>
      </w:r>
    </w:p>
    <w:p w:rsidR="00000000" w:rsidRDefault="00000000">
      <w:pPr>
        <w:pStyle w:val="Heading4"/>
        <w:spacing w:before="300"/>
        <w:rPr>
          <w:rFonts w:eastAsia="SimHei" w:hint="eastAsia"/>
          <w:u w:val="none"/>
        </w:rPr>
      </w:pPr>
      <w:r>
        <w:rPr>
          <w:rFonts w:eastAsia="SimHei" w:hint="eastAsia"/>
          <w:u w:val="none"/>
        </w:rPr>
        <w:t>寻求庇护的越南人子女教育问题</w:t>
      </w:r>
    </w:p>
    <w:p w:rsidR="00000000" w:rsidRDefault="00000000">
      <w:pPr>
        <w:rPr>
          <w:rFonts w:hint="eastAsia"/>
        </w:rPr>
      </w:pPr>
      <w:r>
        <w:tab/>
        <w:t xml:space="preserve">737.  </w:t>
      </w:r>
      <w:r>
        <w:rPr>
          <w:rFonts w:hint="eastAsia"/>
        </w:rPr>
        <w:t>二零零零年二月，政府决定容许滞留香港的大约</w:t>
      </w:r>
      <w:r>
        <w:t>1,400</w:t>
      </w:r>
      <w:r>
        <w:rPr>
          <w:rFonts w:hint="eastAsia"/>
        </w:rPr>
        <w:t>名难民和合资格移民</w:t>
      </w:r>
      <w:r>
        <w:rPr>
          <w:rStyle w:val="FootnoteReference"/>
        </w:rPr>
        <w:footnoteReference w:customMarkFollows="1" w:id="75"/>
        <w:t>62</w:t>
      </w:r>
      <w:r>
        <w:t xml:space="preserve"> </w:t>
      </w:r>
      <w:r>
        <w:rPr>
          <w:rFonts w:hint="eastAsia"/>
        </w:rPr>
        <w:t>连同其家属申请在港居留。同年六月一日起，他们曾居住的望后石难民中心永久关闭。</w:t>
      </w:r>
    </w:p>
    <w:p w:rsidR="00000000" w:rsidRDefault="00000000">
      <w:pPr>
        <w:rPr>
          <w:rFonts w:hint="eastAsia"/>
        </w:rPr>
      </w:pPr>
      <w:r>
        <w:tab/>
        <w:t xml:space="preserve">738.  </w:t>
      </w:r>
      <w:r>
        <w:rPr>
          <w:rFonts w:hint="eastAsia"/>
        </w:rPr>
        <w:t>截至二零零二年年底，约有</w:t>
      </w:r>
      <w:r>
        <w:t>20</w:t>
      </w:r>
      <w:r>
        <w:rPr>
          <w:rFonts w:hint="eastAsia"/>
        </w:rPr>
        <w:t>名难民</w:t>
      </w:r>
      <w:r>
        <w:t>/</w:t>
      </w:r>
      <w:r>
        <w:rPr>
          <w:rFonts w:hint="eastAsia"/>
        </w:rPr>
        <w:t>移民并未接受留港安排，他们仍希望移居海外。此外，也有为数约</w:t>
      </w:r>
      <w:r>
        <w:t>390</w:t>
      </w:r>
      <w:r>
        <w:rPr>
          <w:rFonts w:hint="eastAsia"/>
        </w:rPr>
        <w:t>名属于“从中国内地到港的越南人”及其家属仍然留在香港。他们由于来港前已获中国内地收容，因此不符合资格申请在香港或其他地方定居。对于当局的决定，他们已循法律程序提出司法复核，而在等候宣判期间，他们未有被遣返中国内地。这两类人士可在香港自由生活、工作、就学和走动，亦可接受公营教育以及公共医疗服务。如有需要，他们亦获得慈善机构</w:t>
      </w:r>
      <w:r>
        <w:t xml:space="preserve"> </w:t>
      </w:r>
      <w:r>
        <w:rPr>
          <w:rFonts w:hint="eastAsia"/>
        </w:rPr>
        <w:t>—</w:t>
      </w:r>
      <w:r>
        <w:t xml:space="preserve"> </w:t>
      </w:r>
      <w:r>
        <w:rPr>
          <w:rFonts w:hint="eastAsia"/>
        </w:rPr>
        <w:t>香港明爱</w:t>
      </w:r>
      <w:r>
        <w:t xml:space="preserve"> </w:t>
      </w:r>
      <w:r>
        <w:rPr>
          <w:rFonts w:hint="eastAsia"/>
        </w:rPr>
        <w:t>—</w:t>
      </w:r>
      <w:r>
        <w:t xml:space="preserve"> </w:t>
      </w:r>
      <w:r>
        <w:rPr>
          <w:rFonts w:hint="eastAsia"/>
        </w:rPr>
        <w:t>提供协助。</w:t>
      </w:r>
    </w:p>
    <w:p w:rsidR="00000000" w:rsidRDefault="00000000">
      <w:pPr>
        <w:pStyle w:val="Heading4"/>
        <w:spacing w:before="300"/>
        <w:rPr>
          <w:rFonts w:eastAsia="SimHei" w:hint="eastAsia"/>
          <w:u w:val="none"/>
        </w:rPr>
      </w:pPr>
      <w:r>
        <w:rPr>
          <w:rFonts w:eastAsia="SimHei" w:hint="eastAsia"/>
          <w:u w:val="none"/>
        </w:rPr>
        <w:t>内地儿童在等候核实居留身分期间的教育问题</w:t>
      </w:r>
    </w:p>
    <w:p w:rsidR="00000000" w:rsidRDefault="00000000">
      <w:r>
        <w:tab/>
        <w:t xml:space="preserve">739.  </w:t>
      </w:r>
      <w:r>
        <w:rPr>
          <w:rFonts w:hint="eastAsia"/>
        </w:rPr>
        <w:t>没有合法权利在港居留或未经准许在港居留的内地儿童，不能入读本地学校。不过，他们在等候核实居留身分期间，当局或会基于人道或恩恤理由，因应个别情况准予暂时入读本地学校。在一九九七年七月一日至二零零二年九月三十日期间，约有</w:t>
      </w:r>
      <w:r>
        <w:t>1,860</w:t>
      </w:r>
      <w:r>
        <w:rPr>
          <w:rFonts w:hint="eastAsia"/>
        </w:rPr>
        <w:t>名内地儿童因而获暂准在本地学校就读</w:t>
      </w:r>
      <w:r>
        <w:rPr>
          <w:rStyle w:val="FootnoteReference"/>
        </w:rPr>
        <w:footnoteReference w:customMarkFollows="1" w:id="76"/>
        <w:t>63</w:t>
      </w:r>
      <w:r>
        <w:t xml:space="preserve"> </w:t>
      </w:r>
      <w:r>
        <w:rPr>
          <w:rFonts w:hint="eastAsia"/>
        </w:rPr>
        <w:t>。</w:t>
      </w:r>
    </w:p>
    <w:p w:rsidR="00000000" w:rsidRDefault="00000000">
      <w:pPr>
        <w:pStyle w:val="Heading4"/>
        <w:spacing w:before="300"/>
        <w:rPr>
          <w:rFonts w:eastAsia="SimHei"/>
          <w:u w:val="none"/>
        </w:rPr>
      </w:pPr>
      <w:r>
        <w:rPr>
          <w:rFonts w:eastAsia="SimHei" w:hint="eastAsia"/>
          <w:u w:val="none"/>
        </w:rPr>
        <w:t>内地新来港儿童</w:t>
      </w:r>
      <w:r>
        <w:rPr>
          <w:rFonts w:eastAsia="SimHei"/>
          <w:u w:val="none"/>
        </w:rPr>
        <w:t>/</w:t>
      </w:r>
      <w:r>
        <w:rPr>
          <w:rFonts w:eastAsia="SimHei" w:hint="eastAsia"/>
          <w:u w:val="none"/>
        </w:rPr>
        <w:t>青年的教育问题</w:t>
      </w:r>
    </w:p>
    <w:p w:rsidR="00000000" w:rsidRDefault="00000000">
      <w:pPr>
        <w:rPr>
          <w:rFonts w:hint="eastAsia"/>
        </w:rPr>
      </w:pPr>
      <w:r>
        <w:tab/>
        <w:t xml:space="preserve">740.  </w:t>
      </w:r>
      <w:r>
        <w:rPr>
          <w:rFonts w:hint="eastAsia"/>
        </w:rPr>
        <w:t>有关情况基本上并无改变，与首份报告第</w:t>
      </w:r>
      <w:r>
        <w:t>561</w:t>
      </w:r>
      <w:r>
        <w:rPr>
          <w:rFonts w:hint="eastAsia"/>
        </w:rPr>
        <w:t>至</w:t>
      </w:r>
      <w:r>
        <w:t>566</w:t>
      </w:r>
      <w:r>
        <w:rPr>
          <w:rFonts w:hint="eastAsia"/>
        </w:rPr>
        <w:t>段所述的相同，但自提交首份报告后我们进一步推行下列措施，把新来港儿童融入本地教育制度：</w:t>
      </w:r>
    </w:p>
    <w:p w:rsidR="00000000" w:rsidRDefault="00000000">
      <w:pPr>
        <w:ind w:left="1510" w:hanging="510"/>
        <w:rPr>
          <w:rFonts w:hint="eastAsia"/>
        </w:rPr>
      </w:pPr>
      <w:r>
        <w:t>(a)</w:t>
      </w:r>
      <w:r>
        <w:tab/>
      </w:r>
      <w:r>
        <w:rPr>
          <w:rFonts w:eastAsia="SimHei" w:hint="eastAsia"/>
          <w:bCs/>
        </w:rPr>
        <w:t>适应课程：</w:t>
      </w:r>
      <w:r>
        <w:rPr>
          <w:rFonts w:hint="eastAsia"/>
        </w:rPr>
        <w:t>这些为期</w:t>
      </w:r>
      <w:r>
        <w:t>60</w:t>
      </w:r>
      <w:r>
        <w:rPr>
          <w:rFonts w:hint="eastAsia"/>
        </w:rPr>
        <w:t>小时的课程，旨在帮助新来港儿童适应本港的环境及教育制度。这些课程于一九九五年开始推行，由政府资助的非政府机构主办，但我们没有在首份报告中汇报；</w:t>
      </w:r>
    </w:p>
    <w:p w:rsidR="00000000" w:rsidRDefault="00000000">
      <w:pPr>
        <w:ind w:left="1510" w:hanging="510"/>
        <w:rPr>
          <w:rFonts w:hint="eastAsia"/>
        </w:rPr>
      </w:pPr>
      <w:r>
        <w:t>(b)</w:t>
      </w:r>
      <w:r>
        <w:tab/>
      </w:r>
      <w:r>
        <w:rPr>
          <w:rFonts w:eastAsia="SimHei" w:hint="eastAsia"/>
          <w:bCs/>
        </w:rPr>
        <w:t>启动课程：</w:t>
      </w:r>
      <w:r>
        <w:rPr>
          <w:rFonts w:hint="eastAsia"/>
        </w:rPr>
        <w:t>这项为期六个月的全日制课程于二零零零年开始实施，为不拟直接入读主流学校的新来港儿童，提供另一选择。这项课程旨在让他们接触到真正的课堂环境，为入读主流学校作好准备；提高他们的学术水平和使他们适应本地的课程；以及在适应阶段培养他们的个人及群性发展。</w:t>
      </w:r>
    </w:p>
    <w:p w:rsidR="00000000" w:rsidRDefault="00000000">
      <w:pPr>
        <w:pStyle w:val="Heading4"/>
        <w:spacing w:before="300"/>
        <w:ind w:left="520"/>
        <w:rPr>
          <w:rFonts w:hint="eastAsia"/>
        </w:rPr>
      </w:pPr>
      <w:r>
        <w:rPr>
          <w:rFonts w:hint="eastAsia"/>
        </w:rPr>
        <w:t>未来路向</w:t>
      </w:r>
    </w:p>
    <w:p w:rsidR="00000000" w:rsidRDefault="00000000">
      <w:pPr>
        <w:rPr>
          <w:rFonts w:hint="eastAsia"/>
        </w:rPr>
      </w:pPr>
      <w:r>
        <w:tab/>
        <w:t xml:space="preserve">741.  </w:t>
      </w:r>
      <w:r>
        <w:rPr>
          <w:rFonts w:hint="eastAsia"/>
        </w:rPr>
        <w:t>有关情况基本上并无改变，与首份报告第</w:t>
      </w:r>
      <w:r>
        <w:t>566</w:t>
      </w:r>
      <w:r>
        <w:rPr>
          <w:rFonts w:hint="eastAsia"/>
        </w:rPr>
        <w:t>段所述的相同。一如该份报告所述，我们继续兴建新学校，以应付这些儿童来港后增加的学额需求。自一九九八年至今，我们共建成</w:t>
      </w:r>
      <w:r>
        <w:t>19</w:t>
      </w:r>
      <w:r>
        <w:rPr>
          <w:rFonts w:hint="eastAsia"/>
        </w:rPr>
        <w:t>间新小学及</w:t>
      </w:r>
      <w:r>
        <w:t>23</w:t>
      </w:r>
      <w:r>
        <w:rPr>
          <w:rFonts w:hint="eastAsia"/>
        </w:rPr>
        <w:t>间新中学。另有</w:t>
      </w:r>
      <w:r>
        <w:t>12</w:t>
      </w:r>
      <w:r>
        <w:rPr>
          <w:rFonts w:hint="eastAsia"/>
        </w:rPr>
        <w:t>间学校</w:t>
      </w:r>
      <w:r>
        <w:t>(</w:t>
      </w:r>
      <w:r>
        <w:rPr>
          <w:rFonts w:hint="eastAsia"/>
        </w:rPr>
        <w:t>两间小学及十间中学</w:t>
      </w:r>
      <w:r>
        <w:t>)</w:t>
      </w:r>
      <w:r>
        <w:rPr>
          <w:rFonts w:hint="eastAsia"/>
        </w:rPr>
        <w:t>会在二零零三至零四学年落成。预期二零零二至零三学年落成的六间小学及四间中学校舍亦已全部启用。</w:t>
      </w:r>
    </w:p>
    <w:p w:rsidR="00000000" w:rsidRDefault="00000000">
      <w:pPr>
        <w:pStyle w:val="Heading4"/>
        <w:spacing w:before="300"/>
        <w:rPr>
          <w:rFonts w:eastAsia="SimHei" w:hint="eastAsia"/>
          <w:u w:val="none"/>
        </w:rPr>
      </w:pPr>
      <w:r>
        <w:rPr>
          <w:rFonts w:eastAsia="SimHei" w:hint="eastAsia"/>
          <w:u w:val="none"/>
        </w:rPr>
        <w:t>公民教育、人权教育和反歧视教育</w:t>
      </w:r>
    </w:p>
    <w:p w:rsidR="00000000" w:rsidRDefault="00000000">
      <w:pPr>
        <w:pStyle w:val="Heading4"/>
        <w:spacing w:before="300"/>
        <w:ind w:left="520"/>
        <w:rPr>
          <w:rFonts w:hint="eastAsia"/>
        </w:rPr>
      </w:pPr>
      <w:r>
        <w:rPr>
          <w:rFonts w:hint="eastAsia"/>
        </w:rPr>
        <w:t>学校课程和其他措施</w:t>
      </w:r>
    </w:p>
    <w:p w:rsidR="00000000" w:rsidRDefault="00000000">
      <w:pPr>
        <w:rPr>
          <w:rFonts w:hint="eastAsia"/>
        </w:rPr>
      </w:pPr>
      <w:r>
        <w:tab/>
        <w:t xml:space="preserve">742.  </w:t>
      </w:r>
      <w:r>
        <w:rPr>
          <w:rFonts w:hint="eastAsia"/>
        </w:rPr>
        <w:t>有关情况基本上并无改变，与首份报告第</w:t>
      </w:r>
      <w:r>
        <w:t>567</w:t>
      </w:r>
      <w:r>
        <w:rPr>
          <w:rFonts w:hint="eastAsia"/>
        </w:rPr>
        <w:t>至</w:t>
      </w:r>
      <w:r>
        <w:t>569</w:t>
      </w:r>
      <w:r>
        <w:rPr>
          <w:rFonts w:hint="eastAsia"/>
        </w:rPr>
        <w:t>段所述的相同。不过，在二零零一年九月推行的课程改革，已加强在人权教育方面的教与学。目前，学校都是通过“德育及公民教育”这新科目讲授所有与价值观有关的主题。此外，亦通过正规课程及不同的学生活动向学生灌输基本观念及人权价值观。根据新课程架构，与人权有关的主题亦会通过科目的小单元讲授，例如“个人及群性发展”、“文化与文物”、“社会制度与公民”和“社会与公民”。</w:t>
      </w:r>
    </w:p>
    <w:p w:rsidR="00000000" w:rsidRDefault="00000000">
      <w:pPr>
        <w:rPr>
          <w:rFonts w:hint="eastAsia"/>
        </w:rPr>
      </w:pPr>
      <w:r>
        <w:tab/>
        <w:t xml:space="preserve">743.  </w:t>
      </w:r>
      <w:r>
        <w:rPr>
          <w:rFonts w:hint="eastAsia"/>
        </w:rPr>
        <w:t>部分论者对于课程材料中关于性别定型的信息表示关注。根据政府的政策，在教育制度或过程中不应存有性别偏见。因此，课程发展议会拟备并建议学校使用的任何科目课程纲要，都不应特别提述性别。教育统筹局局长已定期发出通告，提醒学校要消除一切形式的歧视，并确保所有学生在学习过程中都享有平等的机会。我们要求学校消除一切形式的歧视，包括基于性别、阶级、种族及残疾等理由而作出的任何歧视行为，以推广平等及公平的观念。</w:t>
      </w:r>
    </w:p>
    <w:p w:rsidR="00000000" w:rsidRDefault="00000000">
      <w:pPr>
        <w:rPr>
          <w:rFonts w:hint="eastAsia"/>
        </w:rPr>
      </w:pPr>
      <w:r>
        <w:tab/>
        <w:t xml:space="preserve">744.  </w:t>
      </w:r>
      <w:r>
        <w:rPr>
          <w:rFonts w:hint="eastAsia"/>
        </w:rPr>
        <w:t>教育统筹局及平机会曾与本地出版商联会会面，提醒他们注意有关情况，避免在其出版的教科书及相关材料中有任何形式的歧视存在。教育统筹局亦印发指引，如平机会的“研发教育材料指引”，供出版商、编写教科书的人士及教师参考。这些指引清楚指示要避免在教科书及教材中，对性别、年龄、种族、宗教、文化、残疾等作定性的描述。教育统筹局已与平机会合作制备教材套，以便在学校推广反歧视的概念。</w:t>
      </w:r>
    </w:p>
    <w:p w:rsidR="00000000" w:rsidRDefault="00000000">
      <w:pPr>
        <w:pStyle w:val="Heading4"/>
        <w:spacing w:before="300"/>
        <w:ind w:left="520"/>
        <w:rPr>
          <w:rFonts w:hint="eastAsia"/>
        </w:rPr>
      </w:pPr>
      <w:r>
        <w:rPr>
          <w:rFonts w:hint="eastAsia"/>
        </w:rPr>
        <w:t>为教师举办的计划</w:t>
      </w:r>
    </w:p>
    <w:p w:rsidR="00000000" w:rsidRDefault="00000000">
      <w:pPr>
        <w:rPr>
          <w:rFonts w:hint="eastAsia"/>
        </w:rPr>
      </w:pPr>
      <w:r>
        <w:tab/>
        <w:t xml:space="preserve">745.  </w:t>
      </w:r>
      <w:r>
        <w:rPr>
          <w:rFonts w:hint="eastAsia"/>
        </w:rPr>
        <w:t>在一九九七至二零零二年期间，教育统筹局为教师举办了七个研讨会，主题都是与人权息息相关</w:t>
      </w:r>
      <w:r>
        <w:rPr>
          <w:rStyle w:val="FootnoteReference"/>
        </w:rPr>
        <w:footnoteReference w:customMarkFollows="1" w:id="77"/>
        <w:t>64</w:t>
      </w:r>
      <w:r>
        <w:t xml:space="preserve"> </w:t>
      </w:r>
      <w:r>
        <w:rPr>
          <w:rFonts w:hint="eastAsia"/>
        </w:rPr>
        <w:t>，出席教师达</w:t>
      </w:r>
      <w:r>
        <w:t>750</w:t>
      </w:r>
      <w:r>
        <w:rPr>
          <w:rFonts w:hint="eastAsia"/>
        </w:rPr>
        <w:t>多人。教育统筹局将继续举办这类活动。自一九九八年起，教育统筹局委托本港高等教育院校为在职教师安排了多个公民教育精修训练课程，其中包括两个关于“人权与公民教育”的单元。上述课程费用全免。</w:t>
      </w:r>
    </w:p>
    <w:p w:rsidR="00000000" w:rsidRDefault="00000000">
      <w:pPr>
        <w:pStyle w:val="Heading4"/>
        <w:spacing w:before="300"/>
        <w:ind w:left="520"/>
        <w:rPr>
          <w:rFonts w:hint="eastAsia"/>
        </w:rPr>
      </w:pPr>
      <w:r>
        <w:rPr>
          <w:rFonts w:hint="eastAsia"/>
        </w:rPr>
        <w:t>残疾人士康复服务的公众教育</w:t>
      </w:r>
    </w:p>
    <w:p w:rsidR="00000000" w:rsidRDefault="00000000">
      <w:pPr>
        <w:rPr>
          <w:rFonts w:hint="eastAsia"/>
        </w:rPr>
      </w:pPr>
      <w:r>
        <w:tab/>
        <w:t xml:space="preserve">746.  </w:t>
      </w:r>
      <w:r>
        <w:rPr>
          <w:rFonts w:hint="eastAsia"/>
        </w:rPr>
        <w:t>有关情况基本上并无改变，与首份报告第</w:t>
      </w:r>
      <w:r>
        <w:t>573</w:t>
      </w:r>
      <w:r>
        <w:rPr>
          <w:rFonts w:hint="eastAsia"/>
        </w:rPr>
        <w:t>段所述的相同。</w:t>
      </w:r>
    </w:p>
    <w:p w:rsidR="00000000" w:rsidRDefault="00000000">
      <w:pPr>
        <w:pStyle w:val="Heading4"/>
        <w:spacing w:before="300"/>
        <w:ind w:left="520"/>
        <w:rPr>
          <w:rFonts w:hint="eastAsia"/>
        </w:rPr>
      </w:pPr>
      <w:r>
        <w:rPr>
          <w:rFonts w:hint="eastAsia"/>
        </w:rPr>
        <w:t>平机会的工作</w:t>
      </w:r>
    </w:p>
    <w:p w:rsidR="00000000" w:rsidRDefault="00000000">
      <w:pPr>
        <w:rPr>
          <w:rFonts w:hint="eastAsia"/>
          <w:color w:val="000000"/>
        </w:rPr>
      </w:pPr>
      <w:r>
        <w:rPr>
          <w:color w:val="000000"/>
        </w:rPr>
        <w:tab/>
        <w:t xml:space="preserve">747.  </w:t>
      </w:r>
      <w:r>
        <w:rPr>
          <w:rFonts w:hint="eastAsia"/>
          <w:color w:val="000000"/>
        </w:rPr>
        <w:t>平机会继续举办公众教育计划，以促进残疾人士、两性和不同家庭岗位人士均享有平等机会。平机会的工作详情胪列于附件</w:t>
      </w:r>
      <w:r>
        <w:rPr>
          <w:rFonts w:eastAsia="華康中黑體"/>
          <w:color w:val="000000"/>
        </w:rPr>
        <w:t xml:space="preserve">13H, </w:t>
      </w:r>
      <w:r>
        <w:rPr>
          <w:rFonts w:hint="eastAsia"/>
          <w:color w:val="000000"/>
        </w:rPr>
        <w:t>这附件已更新首份报告附件</w:t>
      </w:r>
      <w:r>
        <w:rPr>
          <w:color w:val="000000"/>
        </w:rPr>
        <w:t>36</w:t>
      </w:r>
      <w:r>
        <w:rPr>
          <w:rFonts w:hint="eastAsia"/>
          <w:color w:val="000000"/>
        </w:rPr>
        <w:t>的资料。</w:t>
      </w:r>
    </w:p>
    <w:p w:rsidR="00000000" w:rsidRDefault="00000000">
      <w:pPr>
        <w:pStyle w:val="Heading4"/>
        <w:spacing w:before="300"/>
        <w:ind w:left="520"/>
        <w:rPr>
          <w:rFonts w:hint="eastAsia"/>
        </w:rPr>
      </w:pPr>
      <w:r>
        <w:rPr>
          <w:rFonts w:hint="eastAsia"/>
        </w:rPr>
        <w:t>校外的人权教育</w:t>
      </w:r>
    </w:p>
    <w:p w:rsidR="00000000" w:rsidRDefault="00000000">
      <w:pPr>
        <w:rPr>
          <w:rFonts w:hint="eastAsia"/>
          <w:color w:val="000000"/>
        </w:rPr>
      </w:pPr>
      <w:r>
        <w:rPr>
          <w:color w:val="000000"/>
        </w:rPr>
        <w:tab/>
        <w:t xml:space="preserve">748.  </w:t>
      </w:r>
      <w:r>
        <w:rPr>
          <w:rFonts w:hint="eastAsia"/>
          <w:color w:val="000000"/>
        </w:rPr>
        <w:t>公民教育委员会不断举办和资助各项教育和宣传活动，以提高市民对个人权利、平等机会和保障个人资料私隐方面的意识。公民教育委员会又致力促使市民认识和了解《基本法》，以确保市民熟悉这份保障人权的宪制性文件。为此，公民教育委员会在二零零二至零三年度拨出</w:t>
      </w:r>
      <w:r>
        <w:rPr>
          <w:color w:val="000000"/>
        </w:rPr>
        <w:t>150</w:t>
      </w:r>
      <w:r>
        <w:rPr>
          <w:rFonts w:hint="eastAsia"/>
          <w:color w:val="000000"/>
        </w:rPr>
        <w:t>万港元，以制作关于这些主题的教材。</w:t>
      </w:r>
    </w:p>
    <w:p w:rsidR="00000000" w:rsidRDefault="00000000">
      <w:pPr>
        <w:pStyle w:val="Heading4"/>
        <w:spacing w:before="300"/>
        <w:rPr>
          <w:rFonts w:eastAsia="SimHei" w:hint="eastAsia"/>
          <w:u w:val="none"/>
        </w:rPr>
      </w:pPr>
      <w:r>
        <w:rPr>
          <w:rFonts w:eastAsia="SimHei" w:hint="eastAsia"/>
          <w:u w:val="none"/>
        </w:rPr>
        <w:t>基本法推广督导委员会：教育公众认识《基本法》</w:t>
      </w:r>
    </w:p>
    <w:p w:rsidR="00000000" w:rsidRDefault="00000000">
      <w:pPr>
        <w:rPr>
          <w:rFonts w:hint="eastAsia"/>
        </w:rPr>
      </w:pPr>
      <w:r>
        <w:rPr>
          <w:color w:val="000000"/>
        </w:rPr>
        <w:tab/>
        <w:t xml:space="preserve">749.  </w:t>
      </w:r>
      <w:r>
        <w:rPr>
          <w:rFonts w:hint="eastAsia"/>
          <w:color w:val="000000"/>
        </w:rPr>
        <w:t>有关</w:t>
      </w:r>
      <w:r>
        <w:rPr>
          <w:rFonts w:hint="eastAsia"/>
        </w:rPr>
        <w:t>情况并无改变，与首份报告第</w:t>
      </w:r>
      <w:r>
        <w:t>576</w:t>
      </w:r>
      <w:r>
        <w:rPr>
          <w:rFonts w:hint="eastAsia"/>
        </w:rPr>
        <w:t>及</w:t>
      </w:r>
      <w:r>
        <w:t>577</w:t>
      </w:r>
      <w:r>
        <w:rPr>
          <w:rFonts w:hint="eastAsia"/>
        </w:rPr>
        <w:t>段所述的相同。</w:t>
      </w:r>
    </w:p>
    <w:p w:rsidR="00000000" w:rsidRDefault="00000000">
      <w:pPr>
        <w:pStyle w:val="Heading4"/>
        <w:spacing w:before="300"/>
        <w:ind w:left="520"/>
        <w:rPr>
          <w:rFonts w:hint="eastAsia"/>
        </w:rPr>
      </w:pPr>
      <w:r>
        <w:rPr>
          <w:rFonts w:hint="eastAsia"/>
        </w:rPr>
        <w:t>学校课程和其他措施</w:t>
      </w:r>
    </w:p>
    <w:p w:rsidR="00000000" w:rsidRDefault="00000000">
      <w:r>
        <w:tab/>
        <w:t xml:space="preserve">750.  </w:t>
      </w:r>
      <w:r>
        <w:rPr>
          <w:rFonts w:hint="eastAsia"/>
        </w:rPr>
        <w:t>有关情况并无改变，与首份报告第</w:t>
      </w:r>
      <w:r>
        <w:t>578</w:t>
      </w:r>
      <w:r>
        <w:rPr>
          <w:rFonts w:hint="eastAsia"/>
        </w:rPr>
        <w:t>及</w:t>
      </w:r>
      <w:r>
        <w:t>579</w:t>
      </w:r>
      <w:r>
        <w:rPr>
          <w:rFonts w:hint="eastAsia"/>
        </w:rPr>
        <w:t>段所述的相同。市民现可在政府网页上找到推广《基本法》的课程材料。</w:t>
      </w:r>
    </w:p>
    <w:p w:rsidR="00000000" w:rsidRDefault="00000000">
      <w:pPr>
        <w:pStyle w:val="Heading3"/>
        <w:spacing w:before="320"/>
        <w:rPr>
          <w:rFonts w:ascii="Time New Roman" w:eastAsia="SimHei" w:hAnsi="Time New Roman" w:hint="eastAsia"/>
          <w:u w:val="none"/>
        </w:rPr>
      </w:pPr>
      <w:bookmarkStart w:id="53" w:name="_Toc78772962"/>
      <w:r>
        <w:rPr>
          <w:rFonts w:ascii="Time New Roman" w:eastAsia="SimHei" w:hAnsi="Time New Roman"/>
          <w:b/>
          <w:u w:val="none"/>
        </w:rPr>
        <w:t>N</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十五</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t xml:space="preserve">     </w:t>
      </w:r>
      <w:r>
        <w:rPr>
          <w:rFonts w:ascii="Time New Roman" w:eastAsia="SimHei" w:hAnsi="Time New Roman" w:hint="eastAsia"/>
          <w:u w:val="none"/>
        </w:rPr>
        <w:t>参与文化生活、享受科学进步及其应用之惠的权利</w:t>
      </w:r>
      <w:bookmarkEnd w:id="53"/>
    </w:p>
    <w:p w:rsidR="00000000" w:rsidRDefault="00000000">
      <w:pPr>
        <w:rPr>
          <w:rFonts w:hint="eastAsia"/>
        </w:rPr>
      </w:pPr>
      <w:r>
        <w:tab/>
        <w:t xml:space="preserve">751.  </w:t>
      </w:r>
      <w:r>
        <w:rPr>
          <w:rFonts w:hint="eastAsia"/>
        </w:rPr>
        <w:t>关于宪制方面</w:t>
      </w:r>
      <w:r>
        <w:t>(</w:t>
      </w:r>
      <w:r>
        <w:rPr>
          <w:rFonts w:hint="eastAsia"/>
        </w:rPr>
        <w:t>即《基本法》</w:t>
      </w:r>
      <w:r>
        <w:t>)</w:t>
      </w:r>
      <w:r>
        <w:rPr>
          <w:rFonts w:hint="eastAsia"/>
        </w:rPr>
        <w:t>对第十五条所述权利的保障，情况与首份报告第</w:t>
      </w:r>
      <w:r>
        <w:t>581</w:t>
      </w:r>
      <w:r>
        <w:rPr>
          <w:rFonts w:hint="eastAsia"/>
        </w:rPr>
        <w:t>段所述的相同。</w:t>
      </w:r>
    </w:p>
    <w:p w:rsidR="00000000" w:rsidRDefault="00000000">
      <w:pPr>
        <w:pStyle w:val="Heading4"/>
        <w:spacing w:before="300"/>
        <w:ind w:left="520"/>
        <w:rPr>
          <w:rFonts w:hint="eastAsia"/>
        </w:rPr>
      </w:pPr>
      <w:r>
        <w:rPr>
          <w:rFonts w:hint="eastAsia"/>
        </w:rPr>
        <w:t>文化政策</w:t>
      </w:r>
    </w:p>
    <w:p w:rsidR="00000000" w:rsidRDefault="00000000">
      <w:pPr>
        <w:rPr>
          <w:rFonts w:hint="eastAsia"/>
        </w:rPr>
      </w:pPr>
      <w:r>
        <w:tab/>
        <w:t xml:space="preserve">752.  </w:t>
      </w:r>
      <w:r>
        <w:rPr>
          <w:rFonts w:hint="eastAsia"/>
        </w:rPr>
        <w:t>情况与首份报告第</w:t>
      </w:r>
      <w:r>
        <w:t>581</w:t>
      </w:r>
      <w:r>
        <w:rPr>
          <w:rFonts w:hint="eastAsia"/>
        </w:rPr>
        <w:t>至</w:t>
      </w:r>
      <w:r>
        <w:t>583</w:t>
      </w:r>
      <w:r>
        <w:rPr>
          <w:rFonts w:hint="eastAsia"/>
        </w:rPr>
        <w:t>段所述的相同。在二零零一至二零零二年，政府在文化活动方面的支出超过</w:t>
      </w:r>
      <w:r>
        <w:t>27</w:t>
      </w:r>
      <w:r>
        <w:rPr>
          <w:rFonts w:hint="eastAsia"/>
        </w:rPr>
        <w:t>亿元。</w:t>
      </w:r>
    </w:p>
    <w:p w:rsidR="00000000" w:rsidRDefault="00000000">
      <w:pPr>
        <w:pStyle w:val="Heading4"/>
        <w:spacing w:before="300"/>
        <w:ind w:left="520"/>
        <w:rPr>
          <w:rFonts w:hint="eastAsia"/>
        </w:rPr>
      </w:pPr>
      <w:r>
        <w:rPr>
          <w:rFonts w:hint="eastAsia"/>
        </w:rPr>
        <w:t>文化委员会</w:t>
      </w:r>
    </w:p>
    <w:p w:rsidR="00000000" w:rsidRDefault="00000000">
      <w:pPr>
        <w:rPr>
          <w:rFonts w:hint="eastAsia"/>
        </w:rPr>
      </w:pPr>
      <w:r>
        <w:tab/>
        <w:t xml:space="preserve">753.  </w:t>
      </w:r>
      <w:r>
        <w:rPr>
          <w:rFonts w:hint="eastAsia"/>
        </w:rPr>
        <w:t>文化委员会在二零零零年四月成立，是高层次的咨询组织，负责就文化艺术政策和资源分配的优先次序，向政府提出建议。该委员会的主要职责，是制订原则和策略，以推动本港文化的长远发展。</w:t>
      </w:r>
    </w:p>
    <w:p w:rsidR="00000000" w:rsidRDefault="00000000">
      <w:pPr>
        <w:rPr>
          <w:rFonts w:hint="eastAsia"/>
        </w:rPr>
      </w:pPr>
      <w:r>
        <w:tab/>
        <w:t xml:space="preserve">754.  </w:t>
      </w:r>
      <w:r>
        <w:rPr>
          <w:rFonts w:hint="eastAsia"/>
        </w:rPr>
        <w:t>二零零一年三月，该委员会发表了题为“人文荟萃、日新又新”的咨询文件，以收集公众对本港文化发展的意见。该委员会计划在二零零二年年底前，就特定的政策建议咨询公众，然后向政府提交建议。</w:t>
      </w:r>
    </w:p>
    <w:p w:rsidR="00000000" w:rsidRDefault="00000000">
      <w:pPr>
        <w:pStyle w:val="Heading4"/>
        <w:spacing w:before="300"/>
        <w:ind w:left="520"/>
        <w:rPr>
          <w:rFonts w:hint="eastAsia"/>
        </w:rPr>
      </w:pPr>
      <w:r>
        <w:rPr>
          <w:rFonts w:hint="eastAsia"/>
        </w:rPr>
        <w:t>香港艺术发展局</w:t>
      </w:r>
      <w:r>
        <w:t>(</w:t>
      </w:r>
      <w:r>
        <w:rPr>
          <w:rFonts w:hint="eastAsia"/>
        </w:rPr>
        <w:t>艺展局</w:t>
      </w:r>
      <w:r>
        <w:t>)</w:t>
      </w:r>
    </w:p>
    <w:p w:rsidR="00000000" w:rsidRDefault="00000000">
      <w:pPr>
        <w:rPr>
          <w:rFonts w:hint="eastAsia"/>
        </w:rPr>
      </w:pPr>
      <w:r>
        <w:tab/>
        <w:t xml:space="preserve">755.  </w:t>
      </w:r>
      <w:r>
        <w:rPr>
          <w:rFonts w:hint="eastAsia"/>
        </w:rPr>
        <w:t>情况与首份报告第</w:t>
      </w:r>
      <w:r>
        <w:t>584</w:t>
      </w:r>
      <w:r>
        <w:rPr>
          <w:rFonts w:hint="eastAsia"/>
        </w:rPr>
        <w:t>和</w:t>
      </w:r>
      <w:r>
        <w:t>585</w:t>
      </w:r>
      <w:r>
        <w:rPr>
          <w:rFonts w:hint="eastAsia"/>
        </w:rPr>
        <w:t>段所述的相同。艺展局已完成上次报告第</w:t>
      </w:r>
      <w:r>
        <w:t>585</w:t>
      </w:r>
      <w:r>
        <w:rPr>
          <w:rFonts w:hint="eastAsia"/>
        </w:rPr>
        <w:t>段所述的策略计划，该计划为艺展局在一九九六至二零零一年五年内，就艺术工作的策划、发展、推广和支持等方面订定了工作方向。艺展局现时展开了一个新的三年计划，内容包括：</w:t>
      </w:r>
    </w:p>
    <w:p w:rsidR="00000000" w:rsidRDefault="00000000">
      <w:pPr>
        <w:ind w:left="1510" w:hanging="510"/>
        <w:rPr>
          <w:rFonts w:hint="eastAsia"/>
        </w:rPr>
      </w:pPr>
      <w:r>
        <w:t>(a)</w:t>
      </w:r>
      <w:r>
        <w:tab/>
      </w:r>
      <w:r>
        <w:rPr>
          <w:rFonts w:hint="eastAsia"/>
        </w:rPr>
        <w:t>发挥艺术的社会功能；</w:t>
      </w:r>
    </w:p>
    <w:p w:rsidR="00000000" w:rsidRDefault="00000000">
      <w:pPr>
        <w:ind w:left="1510" w:hanging="510"/>
        <w:rPr>
          <w:rFonts w:hint="eastAsia"/>
        </w:rPr>
      </w:pPr>
      <w:r>
        <w:t>(b)</w:t>
      </w:r>
      <w:r>
        <w:tab/>
      </w:r>
      <w:r>
        <w:rPr>
          <w:rFonts w:hint="eastAsia"/>
        </w:rPr>
        <w:t>扩展艺术的市场，吸引更多观众；</w:t>
      </w:r>
    </w:p>
    <w:p w:rsidR="00000000" w:rsidRDefault="00000000">
      <w:pPr>
        <w:ind w:left="1510" w:hanging="510"/>
        <w:rPr>
          <w:rFonts w:hint="eastAsia"/>
        </w:rPr>
      </w:pPr>
      <w:r>
        <w:t>(c)</w:t>
      </w:r>
      <w:r>
        <w:tab/>
      </w:r>
      <w:r>
        <w:rPr>
          <w:rFonts w:hint="eastAsia"/>
        </w:rPr>
        <w:t>推广全民终身艺术教育；和</w:t>
      </w:r>
    </w:p>
    <w:p w:rsidR="00000000" w:rsidRDefault="00000000">
      <w:pPr>
        <w:ind w:left="1510" w:hanging="510"/>
        <w:rPr>
          <w:rFonts w:hint="eastAsia"/>
        </w:rPr>
      </w:pPr>
      <w:r>
        <w:t>(d)</w:t>
      </w:r>
      <w:r>
        <w:tab/>
      </w:r>
      <w:r>
        <w:rPr>
          <w:rFonts w:hint="eastAsia"/>
        </w:rPr>
        <w:t>提高艺术家的艺术水平和社会地位。</w:t>
      </w:r>
    </w:p>
    <w:p w:rsidR="00000000" w:rsidRDefault="00000000">
      <w:pPr>
        <w:pStyle w:val="Heading4"/>
        <w:spacing w:before="300"/>
        <w:ind w:left="520"/>
        <w:rPr>
          <w:rFonts w:hint="eastAsia"/>
        </w:rPr>
      </w:pPr>
      <w:r>
        <w:rPr>
          <w:rFonts w:hint="eastAsia"/>
        </w:rPr>
        <w:t>香港演艺学院</w:t>
      </w:r>
    </w:p>
    <w:p w:rsidR="00000000" w:rsidRDefault="00000000">
      <w:pPr>
        <w:rPr>
          <w:rFonts w:hint="eastAsia"/>
        </w:rPr>
      </w:pPr>
      <w:r>
        <w:tab/>
        <w:t xml:space="preserve">756.  </w:t>
      </w:r>
      <w:r>
        <w:rPr>
          <w:rFonts w:hint="eastAsia"/>
        </w:rPr>
        <w:t>情况与首份报告第</w:t>
      </w:r>
      <w:r>
        <w:t>586</w:t>
      </w:r>
      <w:r>
        <w:rPr>
          <w:rFonts w:hint="eastAsia"/>
        </w:rPr>
        <w:t>段所述的相同。该学院自成立至今，已有超过</w:t>
      </w:r>
      <w:r>
        <w:t>3,500</w:t>
      </w:r>
      <w:r>
        <w:rPr>
          <w:rFonts w:hint="eastAsia"/>
        </w:rPr>
        <w:t>名毕业生，它继续是培养专业艺术家的摇篮，为香港的演艺事业作出重大贡献。</w:t>
      </w:r>
    </w:p>
    <w:p w:rsidR="00000000" w:rsidRDefault="00000000">
      <w:pPr>
        <w:pStyle w:val="Heading4"/>
        <w:spacing w:before="300"/>
        <w:ind w:left="520"/>
        <w:rPr>
          <w:rFonts w:hint="eastAsia"/>
        </w:rPr>
      </w:pPr>
      <w:r>
        <w:rPr>
          <w:rFonts w:hint="eastAsia"/>
        </w:rPr>
        <w:t>香港艺术中心</w:t>
      </w:r>
    </w:p>
    <w:p w:rsidR="00000000" w:rsidRDefault="00000000">
      <w:pPr>
        <w:rPr>
          <w:rFonts w:hint="eastAsia"/>
        </w:rPr>
      </w:pPr>
      <w:r>
        <w:tab/>
        <w:t xml:space="preserve">757.  </w:t>
      </w:r>
      <w:r>
        <w:rPr>
          <w:rFonts w:hint="eastAsia"/>
        </w:rPr>
        <w:t>我们在首份报告忽略了这个机构。该中心在一九七四年根据《香港艺术中心条例》</w:t>
      </w:r>
      <w:r>
        <w:t>(</w:t>
      </w:r>
      <w:r>
        <w:rPr>
          <w:rFonts w:hint="eastAsia"/>
        </w:rPr>
        <w:t>第</w:t>
      </w:r>
      <w:r>
        <w:t>304</w:t>
      </w:r>
      <w:r>
        <w:rPr>
          <w:rFonts w:hint="eastAsia"/>
        </w:rPr>
        <w:t>章</w:t>
      </w:r>
      <w:r>
        <w:t>)</w:t>
      </w:r>
      <w:r>
        <w:rPr>
          <w:rFonts w:hint="eastAsia"/>
        </w:rPr>
        <w:t>成立，是一个财政独立的机构。该中心提供场地和节目，在香港的艺术发展方面担当重要的角色。中心亦积极推行艺术教育，辖下的艺术学院举办多项视觉和应用艺术课程。</w:t>
      </w:r>
    </w:p>
    <w:p w:rsidR="00000000" w:rsidRDefault="00000000">
      <w:pPr>
        <w:pStyle w:val="Heading4"/>
        <w:spacing w:before="300"/>
        <w:ind w:left="520"/>
        <w:rPr>
          <w:rFonts w:hint="eastAsia"/>
        </w:rPr>
      </w:pPr>
      <w:r>
        <w:rPr>
          <w:rFonts w:hint="eastAsia"/>
        </w:rPr>
        <w:t>康乐及文化事务署</w:t>
      </w:r>
    </w:p>
    <w:p w:rsidR="00000000" w:rsidRDefault="00000000">
      <w:pPr>
        <w:rPr>
          <w:rFonts w:hint="eastAsia"/>
        </w:rPr>
      </w:pPr>
      <w:r>
        <w:tab/>
        <w:t xml:space="preserve">758.  </w:t>
      </w:r>
      <w:r>
        <w:rPr>
          <w:rFonts w:hint="eastAsia"/>
        </w:rPr>
        <w:t>临时市政局和临时区域市政局在一九九九年年底解散后，特区政府在二零零零年初成立康乐及文化事务署</w:t>
      </w:r>
      <w:r>
        <w:t>(</w:t>
      </w:r>
      <w:r>
        <w:rPr>
          <w:rFonts w:hint="eastAsia"/>
        </w:rPr>
        <w:t>康文署</w:t>
      </w:r>
      <w:r>
        <w:t>)</w:t>
      </w:r>
      <w:r>
        <w:rPr>
          <w:rFonts w:hint="eastAsia"/>
        </w:rPr>
        <w:t>，继续提供文娱康乐服务</w:t>
      </w:r>
      <w:r>
        <w:t>(</w:t>
      </w:r>
      <w:r>
        <w:rPr>
          <w:rFonts w:hint="eastAsia"/>
        </w:rPr>
        <w:t>见首份报告第</w:t>
      </w:r>
      <w:r>
        <w:t>594</w:t>
      </w:r>
      <w:r>
        <w:rPr>
          <w:rFonts w:hint="eastAsia"/>
        </w:rPr>
        <w:t>至</w:t>
      </w:r>
      <w:r>
        <w:t>598</w:t>
      </w:r>
      <w:r>
        <w:rPr>
          <w:rFonts w:hint="eastAsia"/>
        </w:rPr>
        <w:t>段</w:t>
      </w:r>
      <w:r>
        <w:t>)</w:t>
      </w:r>
      <w:r>
        <w:rPr>
          <w:rFonts w:hint="eastAsia"/>
        </w:rPr>
        <w:t>。香港的文娱康乐设施现时主要由康文署提供。康文署已接管首份报告第</w:t>
      </w:r>
      <w:r>
        <w:t>594</w:t>
      </w:r>
      <w:r>
        <w:rPr>
          <w:rFonts w:hint="eastAsia"/>
        </w:rPr>
        <w:t>段所述的表演场地和社区艺术中心。其中两个新场地分别在一九九九年十一月和二零零零年五月启用。非牟利团体和地方团体可继续以低收费租用上述的场地。</w:t>
      </w:r>
    </w:p>
    <w:p w:rsidR="00000000" w:rsidRDefault="00000000">
      <w:pPr>
        <w:rPr>
          <w:rFonts w:hint="eastAsia"/>
        </w:rPr>
      </w:pPr>
      <w:r>
        <w:tab/>
        <w:t xml:space="preserve">759.  </w:t>
      </w:r>
      <w:r>
        <w:rPr>
          <w:rFonts w:hint="eastAsia"/>
        </w:rPr>
        <w:t>康文署全年为市民提供各式各样的文化节目，包括中西音乐、歌剧、戏剧、舞蹈和电影。这些节目的演出者有本地艺术家，也有来自不同国家和不同文化背景的海外艺术家。此外，康文署也安排整年的娱乐节目，并举办每年一度的国际综艺合家欢和不同主题的艺术节等。康文署亦拨款资助香港中乐团、香港舞蹈团、香港话剧团、香港管弦乐团和香港艺术节。</w:t>
      </w:r>
    </w:p>
    <w:p w:rsidR="00000000" w:rsidRDefault="00000000">
      <w:pPr>
        <w:rPr>
          <w:rFonts w:hint="eastAsia"/>
        </w:rPr>
      </w:pPr>
      <w:r>
        <w:tab/>
        <w:t xml:space="preserve">760.  </w:t>
      </w:r>
      <w:r>
        <w:rPr>
          <w:rFonts w:hint="eastAsia"/>
        </w:rPr>
        <w:t>康文署继续支持本地艺术家和艺术团体，让他们在辖下场地演出，并赞助他们的活动。关于这方面，康文署的计划基本上与首份报告第</w:t>
      </w:r>
      <w:r>
        <w:t>597</w:t>
      </w:r>
      <w:r>
        <w:rPr>
          <w:rFonts w:hint="eastAsia"/>
        </w:rPr>
        <w:t>段所述的相同。</w:t>
      </w:r>
    </w:p>
    <w:p w:rsidR="00000000" w:rsidRDefault="00000000">
      <w:pPr>
        <w:rPr>
          <w:rFonts w:hint="eastAsia"/>
        </w:rPr>
      </w:pPr>
      <w:r>
        <w:tab/>
        <w:t xml:space="preserve">761.  </w:t>
      </w:r>
      <w:r>
        <w:rPr>
          <w:rFonts w:hint="eastAsia"/>
        </w:rPr>
        <w:t>有论者建议政府应确保所有运动场地都方便残疾人士使用。我们现时的做法，是在设计康乐及体育设施时，在设备规格表加入条款，规定有关设施必须符合《设计手册：畅通无阻的通道</w:t>
      </w:r>
      <w:r>
        <w:t>1997</w:t>
      </w:r>
      <w:r>
        <w:rPr>
          <w:rFonts w:hint="eastAsia"/>
        </w:rPr>
        <w:t>》和《新运输策划及设计手册》所订有关方便使用的标准。换句话说，政府所有新建的体育设施都必须可供残疾人士使用。</w:t>
      </w:r>
    </w:p>
    <w:p w:rsidR="00000000" w:rsidRDefault="00000000">
      <w:pPr>
        <w:pStyle w:val="Heading4"/>
        <w:spacing w:before="300"/>
        <w:rPr>
          <w:rFonts w:eastAsia="SimHei" w:hint="eastAsia"/>
          <w:u w:val="none"/>
        </w:rPr>
      </w:pPr>
      <w:r>
        <w:rPr>
          <w:rFonts w:eastAsia="SimHei" w:hint="eastAsia"/>
          <w:u w:val="none"/>
        </w:rPr>
        <w:t>图</w:t>
      </w:r>
      <w:r>
        <w:rPr>
          <w:rFonts w:eastAsia="SimHei" w:hint="eastAsia"/>
          <w:u w:val="none"/>
        </w:rPr>
        <w:t xml:space="preserve"> </w:t>
      </w:r>
      <w:r>
        <w:rPr>
          <w:rFonts w:eastAsia="SimHei" w:hint="eastAsia"/>
          <w:u w:val="none"/>
        </w:rPr>
        <w:t>书</w:t>
      </w:r>
      <w:r>
        <w:rPr>
          <w:rFonts w:eastAsia="SimHei" w:hint="eastAsia"/>
          <w:u w:val="none"/>
        </w:rPr>
        <w:t xml:space="preserve"> </w:t>
      </w:r>
      <w:r>
        <w:rPr>
          <w:rFonts w:eastAsia="SimHei" w:hint="eastAsia"/>
          <w:u w:val="none"/>
        </w:rPr>
        <w:t>馆</w:t>
      </w:r>
    </w:p>
    <w:p w:rsidR="00000000" w:rsidRDefault="00000000">
      <w:pPr>
        <w:rPr>
          <w:rFonts w:hint="eastAsia"/>
        </w:rPr>
      </w:pPr>
      <w:r>
        <w:tab/>
        <w:t xml:space="preserve">762.  </w:t>
      </w:r>
      <w:r>
        <w:rPr>
          <w:rFonts w:hint="eastAsia"/>
        </w:rPr>
        <w:t>虽然在这方面有新发展，但有关情况基本上与首份报告第</w:t>
      </w:r>
      <w:r>
        <w:t>599</w:t>
      </w:r>
      <w:r>
        <w:rPr>
          <w:rFonts w:hint="eastAsia"/>
        </w:rPr>
        <w:t>段所述的相同。香港的公共图书馆网络，已由首份报告第</w:t>
      </w:r>
      <w:r>
        <w:t>599</w:t>
      </w:r>
      <w:r>
        <w:rPr>
          <w:rFonts w:hint="eastAsia"/>
        </w:rPr>
        <w:t>段所述的</w:t>
      </w:r>
      <w:r>
        <w:t>65</w:t>
      </w:r>
      <w:r>
        <w:rPr>
          <w:rFonts w:hint="eastAsia"/>
        </w:rPr>
        <w:t>间增加至</w:t>
      </w:r>
      <w:r>
        <w:t>69</w:t>
      </w:r>
      <w:r>
        <w:rPr>
          <w:rFonts w:hint="eastAsia"/>
        </w:rPr>
        <w:t>间，所收藏的书籍和资料，数目共有</w:t>
      </w:r>
      <w:r>
        <w:t>951</w:t>
      </w:r>
      <w:r>
        <w:rPr>
          <w:rFonts w:hint="eastAsia"/>
        </w:rPr>
        <w:t>万项。在二零零一年启用的地区图书馆有三间。此外，香港中央图书馆亦在同年启用，标志着香港的公共图书馆服务已踏入一个新纪元。香港中央图书馆设有全球最大的双语图书馆电脑系统、最先进的多媒体资讯系统，以及分为六个科目部分的中央参考图书馆，启用后瞬即成为阅览资料和终身学习的主要中心。</w:t>
      </w:r>
    </w:p>
    <w:p w:rsidR="00000000" w:rsidRDefault="00000000">
      <w:pPr>
        <w:pStyle w:val="Heading4"/>
        <w:spacing w:before="300"/>
        <w:rPr>
          <w:rFonts w:eastAsia="SimHei" w:hint="eastAsia"/>
          <w:u w:val="none"/>
        </w:rPr>
      </w:pPr>
      <w:r>
        <w:rPr>
          <w:rFonts w:eastAsia="SimHei" w:hint="eastAsia"/>
          <w:u w:val="none"/>
        </w:rPr>
        <w:t>博</w:t>
      </w:r>
      <w:r>
        <w:rPr>
          <w:rFonts w:eastAsia="SimHei" w:hint="eastAsia"/>
          <w:u w:val="none"/>
        </w:rPr>
        <w:t xml:space="preserve"> </w:t>
      </w:r>
      <w:r>
        <w:rPr>
          <w:rFonts w:eastAsia="SimHei" w:hint="eastAsia"/>
          <w:u w:val="none"/>
        </w:rPr>
        <w:t>物</w:t>
      </w:r>
      <w:r>
        <w:rPr>
          <w:rFonts w:eastAsia="SimHei" w:hint="eastAsia"/>
          <w:u w:val="none"/>
        </w:rPr>
        <w:t xml:space="preserve"> </w:t>
      </w:r>
      <w:r>
        <w:rPr>
          <w:rFonts w:eastAsia="SimHei" w:hint="eastAsia"/>
          <w:u w:val="none"/>
        </w:rPr>
        <w:t>馆</w:t>
      </w:r>
    </w:p>
    <w:p w:rsidR="00000000" w:rsidRDefault="00000000">
      <w:pPr>
        <w:rPr>
          <w:rFonts w:hint="eastAsia"/>
        </w:rPr>
      </w:pPr>
      <w:r>
        <w:tab/>
        <w:t xml:space="preserve">763.  </w:t>
      </w:r>
      <w:r>
        <w:rPr>
          <w:rFonts w:hint="eastAsia"/>
        </w:rPr>
        <w:t>除了康文署已取代两个临时市政局之外，其他情况基本上与首份报告第</w:t>
      </w:r>
      <w:r>
        <w:t>600</w:t>
      </w:r>
      <w:r>
        <w:rPr>
          <w:rFonts w:hint="eastAsia"/>
        </w:rPr>
        <w:t>和</w:t>
      </w:r>
      <w:r>
        <w:t>601</w:t>
      </w:r>
      <w:r>
        <w:rPr>
          <w:rFonts w:hint="eastAsia"/>
        </w:rPr>
        <w:t>段所述的相同。该两段提到的香港文化博物馆和香港海防博物馆，已经在二零零零年启用，而香港电影资料馆亦已于二零零一年启用。另一项新发展，就是本港于二零零零年开设了艺术推广办事处，负责推动公众参与社区视觉艺术活动。</w:t>
      </w:r>
    </w:p>
    <w:p w:rsidR="00000000" w:rsidRDefault="00000000">
      <w:pPr>
        <w:pStyle w:val="Heading4"/>
        <w:spacing w:before="300"/>
        <w:ind w:left="520"/>
        <w:rPr>
          <w:rFonts w:hint="eastAsia"/>
        </w:rPr>
      </w:pPr>
      <w:r>
        <w:rPr>
          <w:rFonts w:hint="eastAsia"/>
        </w:rPr>
        <w:t>古物古迹办事处</w:t>
      </w:r>
    </w:p>
    <w:p w:rsidR="00000000" w:rsidRDefault="00000000">
      <w:pPr>
        <w:rPr>
          <w:rFonts w:hint="eastAsia"/>
        </w:rPr>
      </w:pPr>
      <w:r>
        <w:tab/>
        <w:t xml:space="preserve">764.  </w:t>
      </w:r>
      <w:r>
        <w:rPr>
          <w:rFonts w:hint="eastAsia"/>
        </w:rPr>
        <w:t>有关情况基本上与首份报告第</w:t>
      </w:r>
      <w:r>
        <w:t>587</w:t>
      </w:r>
      <w:r>
        <w:rPr>
          <w:rFonts w:hint="eastAsia"/>
        </w:rPr>
        <w:t>和</w:t>
      </w:r>
      <w:r>
        <w:t>590</w:t>
      </w:r>
      <w:r>
        <w:rPr>
          <w:rFonts w:hint="eastAsia"/>
        </w:rPr>
        <w:t>段所述的相同。不过在二零零一年，该处首次举办了“香港文物奖”，以表扬在文物保存和教育方面有杰出贡献的团体或个人。二零零二年，中国内地四个著名机构应邀派员到香港，与古物古迹办事处人员联手在新界东部的西贡沙下进行重要的考古挖掘工作。直至目前为止，经挖掘的土地面积约</w:t>
      </w:r>
      <w:r>
        <w:t>3,000</w:t>
      </w:r>
      <w:r>
        <w:rPr>
          <w:rFonts w:hint="eastAsia"/>
        </w:rPr>
        <w:t>平方米，出土的</w:t>
      </w:r>
      <w:r>
        <w:t>40,000</w:t>
      </w:r>
      <w:r>
        <w:rPr>
          <w:rFonts w:hint="eastAsia"/>
        </w:rPr>
        <w:t>件文物分别属于史前时期和不同年代。</w:t>
      </w:r>
    </w:p>
    <w:p w:rsidR="00000000" w:rsidRDefault="00000000">
      <w:pPr>
        <w:rPr>
          <w:rFonts w:hint="eastAsia"/>
        </w:rPr>
      </w:pPr>
      <w:r>
        <w:tab/>
        <w:t xml:space="preserve">765.  </w:t>
      </w:r>
      <w:r>
        <w:rPr>
          <w:rFonts w:hint="eastAsia"/>
        </w:rPr>
        <w:t>政府正着手在香港的市区心脏地带－九龙公园－开设一个文物资源中心。该中心预计可在二零零四年年底开放，设施将包括展览厅、演讲厅、活动室、考古工作室和参考图书馆。它将是文物教育和研究的资源中心。</w:t>
      </w:r>
    </w:p>
    <w:p w:rsidR="00000000" w:rsidRDefault="00000000">
      <w:pPr>
        <w:pStyle w:val="Heading4"/>
        <w:spacing w:before="300"/>
        <w:ind w:left="520"/>
        <w:rPr>
          <w:rFonts w:hint="eastAsia"/>
        </w:rPr>
      </w:pPr>
      <w:r>
        <w:rPr>
          <w:rFonts w:hint="eastAsia"/>
        </w:rPr>
        <w:t>历史档案</w:t>
      </w:r>
    </w:p>
    <w:p w:rsidR="00000000" w:rsidRDefault="00000000">
      <w:pPr>
        <w:rPr>
          <w:rFonts w:hint="eastAsia"/>
        </w:rPr>
      </w:pPr>
      <w:r>
        <w:tab/>
        <w:t xml:space="preserve">766.  </w:t>
      </w:r>
      <w:r>
        <w:rPr>
          <w:rFonts w:hint="eastAsia"/>
        </w:rPr>
        <w:t>我们曾在首份报告第</w:t>
      </w:r>
      <w:r>
        <w:t>591</w:t>
      </w:r>
      <w:r>
        <w:rPr>
          <w:rFonts w:hint="eastAsia"/>
        </w:rPr>
        <w:t>段解释，政府档案处辖下的历史档案馆负责保存具有历史价值的档案，并管理历史档案系统的运作。此外，在二零零一年设立的政府刊物中央图书馆现时也由历史档案馆管理。</w:t>
      </w:r>
    </w:p>
    <w:p w:rsidR="00000000" w:rsidRDefault="00000000">
      <w:pPr>
        <w:rPr>
          <w:rFonts w:hint="eastAsia"/>
        </w:rPr>
      </w:pPr>
      <w:r>
        <w:tab/>
        <w:t xml:space="preserve">767.  </w:t>
      </w:r>
      <w:r>
        <w:rPr>
          <w:rFonts w:hint="eastAsia"/>
        </w:rPr>
        <w:t>历史档案馆负责鉴定政府档案及出版物品的历史价值，有保留价值的会予以保存，供公众使用；没有保留价值的才会弃置。该馆收藏的香港历史资料，包括政府档案及刊物、书籍、期刊、地图和图则、海报、胶卷和历史照片等。大部分保存满</w:t>
      </w:r>
      <w:r>
        <w:t>30</w:t>
      </w:r>
      <w:r>
        <w:rPr>
          <w:rFonts w:hint="eastAsia"/>
        </w:rPr>
        <w:t>年的历史档案，都可公开让市民查阅；不过，政务司司长可批准豁免遵守这项规定。市民查阅历史档案，费用全免，而他们只需缴付成本费，便可取得大部分资料的复印本。在二零零二年十一月，该馆新设一个综合资料检索系统，方便市民搜寻资料。</w:t>
      </w:r>
    </w:p>
    <w:p w:rsidR="00000000" w:rsidRDefault="00000000">
      <w:pPr>
        <w:rPr>
          <w:rFonts w:hint="eastAsia"/>
        </w:rPr>
      </w:pPr>
      <w:r>
        <w:tab/>
        <w:t xml:space="preserve">768.  </w:t>
      </w:r>
      <w:r>
        <w:rPr>
          <w:rFonts w:hint="eastAsia"/>
        </w:rPr>
        <w:t>历史档案馆的公众教育及宣传计划，增进市民对香港历史文物的认识和欣赏能力。该馆正积极推广专业交流和致力保护世界文物。该馆一些职员是联合国教育科学及文化组织辖下国际档案理事会和世界记忆工程的委员会成员。</w:t>
      </w:r>
    </w:p>
    <w:p w:rsidR="00000000" w:rsidRDefault="00000000">
      <w:pPr>
        <w:pStyle w:val="Heading4"/>
        <w:spacing w:before="300"/>
        <w:ind w:left="520"/>
        <w:rPr>
          <w:rFonts w:hint="eastAsia"/>
        </w:rPr>
      </w:pPr>
      <w:r>
        <w:rPr>
          <w:rFonts w:hint="eastAsia"/>
        </w:rPr>
        <w:t>处理有关使用康乐及文化事务署辖下表演场地的申请</w:t>
      </w:r>
    </w:p>
    <w:p w:rsidR="00000000" w:rsidRDefault="00000000">
      <w:pPr>
        <w:rPr>
          <w:rFonts w:hint="eastAsia"/>
        </w:rPr>
      </w:pPr>
      <w:r>
        <w:tab/>
        <w:t xml:space="preserve">769.  </w:t>
      </w:r>
      <w:r>
        <w:rPr>
          <w:rFonts w:hint="eastAsia"/>
        </w:rPr>
        <w:t>有论者询问，为何在中央政府表示关注香港法轮佛学</w:t>
      </w:r>
      <w:r>
        <w:t>(</w:t>
      </w:r>
      <w:r>
        <w:rPr>
          <w:rFonts w:hint="eastAsia"/>
        </w:rPr>
        <w:t>法轮功</w:t>
      </w:r>
      <w:r>
        <w:t>)</w:t>
      </w:r>
      <w:r>
        <w:rPr>
          <w:rFonts w:hint="eastAsia"/>
        </w:rPr>
        <w:t>会使用公共室内场地一事后，该会便不获准使用有关场地。现时，康文署辖下所有文娱中心都公开让市民租用。所有预订场地的申请，都是按照既定的政策和程序处理。在处理租场申请时，康文署会考虑拟举行的活动是否与场地的指定用途相符，以及在预订的日期和时间，场地是否可供租用。如果预订同一时段的申请人超过一位，康文署会根据一个计分制度定出优先次序。</w:t>
      </w:r>
    </w:p>
    <w:p w:rsidR="00000000" w:rsidRDefault="00000000">
      <w:pPr>
        <w:rPr>
          <w:rFonts w:hint="eastAsia"/>
        </w:rPr>
      </w:pPr>
      <w:r>
        <w:tab/>
        <w:t xml:space="preserve">770.  </w:t>
      </w:r>
      <w:r>
        <w:rPr>
          <w:rFonts w:hint="eastAsia"/>
        </w:rPr>
        <w:t>香港法轮佛学会提出的申请，亦如其他申请一样，根据上述制度处理。虽然该会的申请并非全部成功，但我们的记录清楚显示，他们已多次获准使用有关场地。在二零零零年九月，该会获准在香港文化中心广场举行“法轮功照片及图片展览”；二零零一年一月，该会在香港大会堂音乐厅举行“法轮功修练心得交流大会”；二零零二年八月，我们批准该会在下列日期及场地举办活动：</w:t>
      </w:r>
    </w:p>
    <w:p w:rsidR="00000000" w:rsidRDefault="00000000">
      <w:pPr>
        <w:ind w:left="1510" w:hanging="510"/>
        <w:rPr>
          <w:rFonts w:hint="eastAsia"/>
        </w:rPr>
      </w:pPr>
      <w:r>
        <w:t>(a)</w:t>
      </w:r>
      <w:r>
        <w:tab/>
      </w:r>
      <w:r>
        <w:rPr>
          <w:rFonts w:hint="eastAsia"/>
        </w:rPr>
        <w:t>二零零二年十月二十四日在荃湾大会堂演奏厅举行综合表演；</w:t>
      </w:r>
    </w:p>
    <w:p w:rsidR="00000000" w:rsidRDefault="00000000">
      <w:pPr>
        <w:ind w:left="1510" w:hanging="510"/>
        <w:rPr>
          <w:rFonts w:hint="eastAsia"/>
        </w:rPr>
      </w:pPr>
      <w:r>
        <w:t>(b)</w:t>
      </w:r>
      <w:r>
        <w:tab/>
      </w:r>
      <w:r>
        <w:rPr>
          <w:rFonts w:hint="eastAsia"/>
        </w:rPr>
        <w:t>二零零二年十月二十五日在屯门大会堂演奏厅举行综合表演；</w:t>
      </w:r>
    </w:p>
    <w:p w:rsidR="00000000" w:rsidRDefault="00000000">
      <w:pPr>
        <w:ind w:left="1510" w:hanging="510"/>
        <w:rPr>
          <w:rFonts w:hint="eastAsia"/>
        </w:rPr>
      </w:pPr>
      <w:r>
        <w:t>(c)</w:t>
      </w:r>
      <w:r>
        <w:tab/>
      </w:r>
      <w:r>
        <w:rPr>
          <w:rFonts w:hint="eastAsia"/>
        </w:rPr>
        <w:t>二零零二年十月二十四和二十五日在屯门大会堂展览厅举行法轮功修练图片展；</w:t>
      </w:r>
    </w:p>
    <w:p w:rsidR="00000000" w:rsidRDefault="00000000">
      <w:pPr>
        <w:ind w:left="1510" w:hanging="510"/>
        <w:rPr>
          <w:rFonts w:hint="eastAsia"/>
        </w:rPr>
      </w:pPr>
      <w:r>
        <w:t>(d)</w:t>
      </w:r>
      <w:r>
        <w:tab/>
      </w:r>
      <w:r>
        <w:rPr>
          <w:rFonts w:hint="eastAsia"/>
        </w:rPr>
        <w:t>二零零二年十月二十八日在屯门大会堂演奏厅举行会议。</w:t>
      </w:r>
    </w:p>
    <w:p w:rsidR="00000000" w:rsidRDefault="00000000">
      <w:pPr>
        <w:rPr>
          <w:rFonts w:hint="eastAsia"/>
        </w:rPr>
      </w:pPr>
      <w:r>
        <w:rPr>
          <w:rFonts w:hint="eastAsia"/>
        </w:rPr>
        <w:t>然而，该会没有接受</w:t>
      </w:r>
      <w:r>
        <w:t>(d)</w:t>
      </w:r>
      <w:r>
        <w:rPr>
          <w:rFonts w:hint="eastAsia"/>
        </w:rPr>
        <w:t>项的安排，但接受了</w:t>
      </w:r>
      <w:r>
        <w:t>(a)</w:t>
      </w:r>
      <w:r>
        <w:rPr>
          <w:rFonts w:hint="eastAsia"/>
        </w:rPr>
        <w:t>至</w:t>
      </w:r>
      <w:r>
        <w:t>(c)</w:t>
      </w:r>
      <w:r>
        <w:rPr>
          <w:rFonts w:hint="eastAsia"/>
        </w:rPr>
        <w:t>项的安排。所以我们要提出，论者所表达的关注是没有根据的。</w:t>
      </w:r>
    </w:p>
    <w:p w:rsidR="00000000" w:rsidRDefault="00000000">
      <w:pPr>
        <w:pStyle w:val="a3"/>
        <w:jc w:val="left"/>
        <w:rPr>
          <w:rFonts w:hint="eastAsia"/>
        </w:rPr>
      </w:pPr>
      <w:r>
        <w:rPr>
          <w:rFonts w:hint="eastAsia"/>
        </w:rPr>
        <w:t>科</w:t>
      </w:r>
      <w:r>
        <w:rPr>
          <w:rFonts w:hint="eastAsia"/>
        </w:rPr>
        <w:t xml:space="preserve">  </w:t>
      </w:r>
      <w:r>
        <w:rPr>
          <w:rFonts w:hint="eastAsia"/>
        </w:rPr>
        <w:t>技</w:t>
      </w:r>
    </w:p>
    <w:p w:rsidR="00000000" w:rsidRDefault="00000000">
      <w:pPr>
        <w:pStyle w:val="Heading4"/>
        <w:spacing w:before="300"/>
        <w:ind w:left="520"/>
        <w:rPr>
          <w:rFonts w:hint="eastAsia"/>
        </w:rPr>
      </w:pPr>
      <w:r>
        <w:rPr>
          <w:rFonts w:hint="eastAsia"/>
        </w:rPr>
        <w:t>促进科技发展的政策</w:t>
      </w:r>
    </w:p>
    <w:p w:rsidR="00000000" w:rsidRDefault="00000000">
      <w:pPr>
        <w:rPr>
          <w:rFonts w:hint="eastAsia"/>
        </w:rPr>
      </w:pPr>
      <w:r>
        <w:tab/>
        <w:t xml:space="preserve">771.  </w:t>
      </w:r>
      <w:r>
        <w:rPr>
          <w:rFonts w:hint="eastAsia"/>
        </w:rPr>
        <w:t>有关情况跟首份报告第</w:t>
      </w:r>
      <w:r>
        <w:t>606</w:t>
      </w:r>
      <w:r>
        <w:rPr>
          <w:rFonts w:hint="eastAsia"/>
        </w:rPr>
        <w:t>段所述的相比，已取得一些进展。政府继续通过提供适当的基本设施、人力资源、财政资助，以及其他计划，鼓励创新和促进科技发展。现时，我们基建方面的支援包括香港科技园</w:t>
      </w:r>
      <w:r>
        <w:rPr>
          <w:rStyle w:val="FootnoteReference"/>
        </w:rPr>
        <w:footnoteReference w:customMarkFollows="1" w:id="78"/>
        <w:t>65</w:t>
      </w:r>
      <w:r>
        <w:t xml:space="preserve"> </w:t>
      </w:r>
      <w:r>
        <w:rPr>
          <w:rFonts w:hint="eastAsia"/>
        </w:rPr>
        <w:t>、香港应用科技研究院</w:t>
      </w:r>
      <w:r>
        <w:rPr>
          <w:rStyle w:val="FootnoteReference"/>
        </w:rPr>
        <w:footnoteReference w:customMarkFollows="1" w:id="79"/>
        <w:t>66</w:t>
      </w:r>
      <w:r>
        <w:t xml:space="preserve"> </w:t>
      </w:r>
      <w:r>
        <w:rPr>
          <w:rFonts w:hint="eastAsia"/>
        </w:rPr>
        <w:t>和香港生产力促进局</w:t>
      </w:r>
      <w:r>
        <w:rPr>
          <w:rStyle w:val="FootnoteReference"/>
        </w:rPr>
        <w:footnoteReference w:customMarkFollows="1" w:id="80"/>
        <w:t>67</w:t>
      </w:r>
      <w:r>
        <w:t xml:space="preserve"> </w:t>
      </w:r>
      <w:r>
        <w:rPr>
          <w:rFonts w:hint="eastAsia"/>
        </w:rPr>
        <w:t>。至于财政资助，则继续通过应用研究基金</w:t>
      </w:r>
      <w:r>
        <w:rPr>
          <w:rStyle w:val="FootnoteReference"/>
        </w:rPr>
        <w:footnoteReference w:customMarkFollows="1" w:id="81"/>
        <w:t>68</w:t>
      </w:r>
      <w:r>
        <w:t xml:space="preserve"> </w:t>
      </w:r>
      <w:r>
        <w:rPr>
          <w:rFonts w:hint="eastAsia"/>
        </w:rPr>
        <w:t>提供。另外，一九九九年十一月成立的创新科技基金</w:t>
      </w:r>
      <w:r>
        <w:rPr>
          <w:rStyle w:val="FootnoteReference"/>
        </w:rPr>
        <w:footnoteReference w:customMarkFollows="1" w:id="82"/>
        <w:t>69</w:t>
      </w:r>
      <w:r>
        <w:rPr>
          <w:rFonts w:hint="eastAsia"/>
        </w:rPr>
        <w:t xml:space="preserve"> </w:t>
      </w:r>
      <w:r>
        <w:rPr>
          <w:rFonts w:hint="eastAsia"/>
        </w:rPr>
        <w:t>，现时已成为了有关拨款的另一个主要来源。</w:t>
      </w:r>
    </w:p>
    <w:p w:rsidR="00000000" w:rsidRDefault="00000000">
      <w:pPr>
        <w:pStyle w:val="Heading4"/>
        <w:spacing w:before="300"/>
        <w:ind w:left="520"/>
        <w:rPr>
          <w:rFonts w:hint="eastAsia"/>
        </w:rPr>
      </w:pPr>
      <w:r>
        <w:rPr>
          <w:rFonts w:hint="eastAsia"/>
        </w:rPr>
        <w:t>研究资助局的角色</w:t>
      </w:r>
    </w:p>
    <w:p w:rsidR="00000000" w:rsidRDefault="00000000">
      <w:r>
        <w:tab/>
        <w:t xml:space="preserve">772.  </w:t>
      </w:r>
      <w:r>
        <w:rPr>
          <w:rFonts w:hint="eastAsia"/>
        </w:rPr>
        <w:t>研究资助局</w:t>
      </w:r>
      <w:r>
        <w:t>(</w:t>
      </w:r>
      <w:r>
        <w:rPr>
          <w:rFonts w:hint="eastAsia"/>
        </w:rPr>
        <w:t>研资局</w:t>
      </w:r>
      <w:r>
        <w:t>)</w:t>
      </w:r>
      <w:r>
        <w:rPr>
          <w:rFonts w:hint="eastAsia"/>
        </w:rPr>
        <w:t>以遴选方式定出资助学术研究项目。从一九九一至九二年度到二零零一至零二年度期间，研资局用于资助研究项目的拨款，由</w:t>
      </w:r>
      <w:r>
        <w:t>1</w:t>
      </w:r>
      <w:r>
        <w:rPr>
          <w:rFonts w:hint="eastAsia"/>
        </w:rPr>
        <w:t>亿元增至</w:t>
      </w:r>
      <w:r>
        <w:t>5.11</w:t>
      </w:r>
      <w:r>
        <w:rPr>
          <w:rFonts w:hint="eastAsia"/>
        </w:rPr>
        <w:t>亿元。拨款资助的研究主要分为四个学术范畴：工程学；生物及医学；自然科学；人民、社会科学及商学。</w:t>
      </w:r>
    </w:p>
    <w:p w:rsidR="00000000" w:rsidRDefault="00000000">
      <w:pPr>
        <w:pStyle w:val="Heading4"/>
        <w:spacing w:before="300"/>
        <w:ind w:left="520"/>
        <w:rPr>
          <w:rFonts w:hint="eastAsia"/>
        </w:rPr>
      </w:pPr>
      <w:r>
        <w:rPr>
          <w:rFonts w:hint="eastAsia"/>
        </w:rPr>
        <w:t>防止利用科技发展妨碍他人享受人权</w:t>
      </w:r>
    </w:p>
    <w:p w:rsidR="00000000" w:rsidRDefault="00000000">
      <w:pPr>
        <w:rPr>
          <w:rFonts w:hint="eastAsia"/>
        </w:rPr>
      </w:pPr>
      <w:r>
        <w:tab/>
        <w:t xml:space="preserve">773.  </w:t>
      </w:r>
      <w:r>
        <w:rPr>
          <w:rFonts w:hint="eastAsia"/>
        </w:rPr>
        <w:t>有关情况与首份报告第</w:t>
      </w:r>
      <w:r>
        <w:t>610</w:t>
      </w:r>
      <w:r>
        <w:rPr>
          <w:rFonts w:hint="eastAsia"/>
        </w:rPr>
        <w:t>段所述的相同。</w:t>
      </w:r>
    </w:p>
    <w:p w:rsidR="00000000" w:rsidRDefault="00000000">
      <w:pPr>
        <w:pStyle w:val="Heading4"/>
        <w:spacing w:before="300"/>
        <w:ind w:left="520"/>
        <w:rPr>
          <w:rFonts w:hint="eastAsia"/>
        </w:rPr>
      </w:pPr>
      <w:r>
        <w:rPr>
          <w:rFonts w:hint="eastAsia"/>
        </w:rPr>
        <w:t>保障知识产权</w:t>
      </w:r>
    </w:p>
    <w:p w:rsidR="00000000" w:rsidRDefault="00000000">
      <w:pPr>
        <w:rPr>
          <w:rFonts w:hint="eastAsia"/>
        </w:rPr>
      </w:pPr>
      <w:r>
        <w:tab/>
        <w:t xml:space="preserve">774.  </w:t>
      </w:r>
      <w:r>
        <w:rPr>
          <w:rFonts w:hint="eastAsia"/>
        </w:rPr>
        <w:t>有关情况与首份报告第</w:t>
      </w:r>
      <w:r>
        <w:t>613</w:t>
      </w:r>
      <w:r>
        <w:rPr>
          <w:rFonts w:hint="eastAsia"/>
        </w:rPr>
        <w:t>至</w:t>
      </w:r>
      <w:r>
        <w:t>617</w:t>
      </w:r>
      <w:r>
        <w:rPr>
          <w:rFonts w:hint="eastAsia"/>
        </w:rPr>
        <w:t>段所述的相同。</w:t>
      </w:r>
    </w:p>
    <w:p w:rsidR="00000000" w:rsidRDefault="00000000">
      <w:pPr>
        <w:pStyle w:val="Heading4"/>
        <w:spacing w:before="300"/>
        <w:ind w:left="520"/>
        <w:rPr>
          <w:rFonts w:hint="eastAsia"/>
        </w:rPr>
      </w:pPr>
      <w:r>
        <w:rPr>
          <w:rFonts w:hint="eastAsia"/>
        </w:rPr>
        <w:t>郊野公园和自然保育区</w:t>
      </w:r>
    </w:p>
    <w:p w:rsidR="00000000" w:rsidRDefault="00000000">
      <w:pPr>
        <w:rPr>
          <w:rFonts w:hint="eastAsia"/>
        </w:rPr>
      </w:pPr>
      <w:r>
        <w:tab/>
        <w:t xml:space="preserve">775.  </w:t>
      </w:r>
      <w:r>
        <w:rPr>
          <w:rFonts w:hint="eastAsia"/>
        </w:rPr>
        <w:t>有关情况基本上与首份报告第</w:t>
      </w:r>
      <w:r>
        <w:t>619</w:t>
      </w:r>
      <w:r>
        <w:rPr>
          <w:rFonts w:hint="eastAsia"/>
        </w:rPr>
        <w:t>段所述的相同。但当局已把多一幅土地划为海岸公园。现时，本港约有</w:t>
      </w:r>
      <w:r>
        <w:t>47,600</w:t>
      </w:r>
      <w:r>
        <w:rPr>
          <w:rFonts w:hint="eastAsia"/>
        </w:rPr>
        <w:t>公顷的土地受有关法例保护，占全港土地总面积约</w:t>
      </w:r>
      <w:r>
        <w:t>43%</w:t>
      </w:r>
      <w:r>
        <w:rPr>
          <w:rFonts w:hint="eastAsia"/>
        </w:rPr>
        <w:t>。</w:t>
      </w:r>
    </w:p>
    <w:p w:rsidR="00000000" w:rsidRDefault="00000000">
      <w:pPr>
        <w:pStyle w:val="Heading3"/>
        <w:spacing w:before="320"/>
        <w:rPr>
          <w:rFonts w:ascii="Time New Roman" w:eastAsia="SimHei" w:hAnsi="Time New Roman" w:hint="eastAsia"/>
          <w:u w:val="none"/>
        </w:rPr>
      </w:pPr>
      <w:bookmarkStart w:id="54" w:name="_Toc78772963"/>
      <w:r>
        <w:rPr>
          <w:rFonts w:ascii="Time New Roman" w:eastAsia="SimHei" w:hAnsi="Time New Roman"/>
          <w:b/>
          <w:u w:val="none"/>
        </w:rPr>
        <w:t>O</w:t>
      </w:r>
      <w:r>
        <w:rPr>
          <w:rFonts w:ascii="Time New Roman" w:eastAsia="SimHei" w:hAnsi="Time New Roman"/>
          <w:u w:val="none"/>
        </w:rPr>
        <w:t xml:space="preserve">.  </w:t>
      </w: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十六</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 xml:space="preserve">   </w:t>
      </w:r>
      <w:r>
        <w:rPr>
          <w:rFonts w:ascii="Time New Roman" w:eastAsia="SimHei" w:hAnsi="Time New Roman"/>
          <w:u w:val="none"/>
        </w:rPr>
        <w:t xml:space="preserve">  </w:t>
      </w:r>
      <w:r>
        <w:rPr>
          <w:rFonts w:ascii="Time New Roman" w:eastAsia="SimHei" w:hAnsi="Time New Roman" w:hint="eastAsia"/>
          <w:u w:val="none"/>
        </w:rPr>
        <w:t>递交报告的安排</w:t>
      </w:r>
      <w:bookmarkEnd w:id="54"/>
    </w:p>
    <w:p w:rsidR="00000000" w:rsidRDefault="00000000">
      <w:pPr>
        <w:rPr>
          <w:rFonts w:hint="eastAsia"/>
        </w:rPr>
      </w:pPr>
      <w:r>
        <w:tab/>
        <w:t xml:space="preserve">776.  </w:t>
      </w:r>
      <w:r>
        <w:rPr>
          <w:rFonts w:hint="eastAsia"/>
        </w:rPr>
        <w:t>政府在草拟这份报告时，已咨询过立法会议员、非政府机构和关注报告的公众人士的意见。</w:t>
      </w:r>
    </w:p>
    <w:p w:rsidR="00000000" w:rsidRDefault="00000000">
      <w:pPr>
        <w:rPr>
          <w:rFonts w:hint="eastAsia"/>
        </w:rPr>
      </w:pPr>
      <w:r>
        <w:tab/>
        <w:t xml:space="preserve">777.  </w:t>
      </w:r>
      <w:r>
        <w:rPr>
          <w:rFonts w:hint="eastAsia"/>
        </w:rPr>
        <w:t>按照一贯采用的咨询方法，我们先向公众发表一份大纲，依公约条文的次序，列出我们打算在报告内论述的项目，然后邀请各界就各个项目所涉及实施公约的情况提供意见，并提出他们认为应该在报告加添的其他议题。对于各界提出的意见，我们已在报告内相关条文的适当部分有所论及。</w:t>
      </w:r>
    </w:p>
    <w:p w:rsidR="00000000" w:rsidRDefault="00000000">
      <w:pPr>
        <w:rPr>
          <w:rFonts w:hint="eastAsia"/>
        </w:rPr>
      </w:pPr>
      <w:r>
        <w:tab/>
        <w:t xml:space="preserve">778.  </w:t>
      </w:r>
      <w:r>
        <w:rPr>
          <w:rFonts w:hint="eastAsia"/>
        </w:rPr>
        <w:t>这次咨询于二零零二年年底至二零零三年年初进行。在咨询期内，草拟小组曾与非政府机构及其他人士会面，商讨有关事项，并就咨询程序交换意见。按照惯例，报告于提交委员会后，将以中、英文双语钉装本形式印发。</w:t>
      </w:r>
    </w:p>
    <w:p w:rsidR="00000000" w:rsidRDefault="00000000">
      <w:pPr>
        <w:rPr>
          <w:rFonts w:hint="eastAsia"/>
        </w:rPr>
      </w:pPr>
      <w:r>
        <w:tab/>
        <w:t xml:space="preserve">779.  </w:t>
      </w:r>
      <w:r>
        <w:rPr>
          <w:rFonts w:hint="eastAsia"/>
        </w:rPr>
        <w:t>此外，当局亦已按照惯例，在首份报告的审议会后，把该份报告的审议结论派发给司法机构、立法会议员、非政府机构，以及其他关注团体和人士。</w:t>
      </w:r>
    </w:p>
    <w:p w:rsidR="00000000" w:rsidRDefault="00000000"/>
    <w:p w:rsidR="00000000" w:rsidRDefault="00000000">
      <w:pPr>
        <w:rPr>
          <w:snapToGrid/>
        </w:rPr>
      </w:pPr>
    </w:p>
    <w:p w:rsidR="00000000" w:rsidRDefault="00000000">
      <w:pPr>
        <w:pStyle w:val="Heading1"/>
        <w:rPr>
          <w:rFonts w:ascii="Time New Roman" w:eastAsia="SimHei" w:hAnsi="Time New Roman"/>
          <w:b w:val="0"/>
          <w:bCs/>
        </w:rPr>
      </w:pPr>
      <w:r>
        <w:br w:type="page"/>
      </w:r>
      <w:bookmarkStart w:id="55" w:name="_Toc78772964"/>
      <w:r>
        <w:rPr>
          <w:rFonts w:ascii="Time New Roman" w:eastAsia="SimHei" w:hAnsi="Time New Roman" w:hint="eastAsia"/>
          <w:b w:val="0"/>
          <w:bCs/>
        </w:rPr>
        <w:t>第</w:t>
      </w:r>
      <w:r>
        <w:rPr>
          <w:rFonts w:ascii="Time New Roman" w:eastAsia="SimHei" w:hAnsi="Time New Roman"/>
          <w:b w:val="0"/>
          <w:bCs/>
        </w:rPr>
        <w:t xml:space="preserve"> </w:t>
      </w:r>
      <w:r>
        <w:rPr>
          <w:rFonts w:ascii="Time New Roman" w:eastAsia="SimHei" w:hAnsi="Time New Roman" w:hint="eastAsia"/>
          <w:b w:val="0"/>
          <w:bCs/>
        </w:rPr>
        <w:t>三</w:t>
      </w:r>
      <w:r>
        <w:rPr>
          <w:rFonts w:ascii="Time New Roman" w:eastAsia="SimHei" w:hAnsi="Time New Roman"/>
          <w:b w:val="0"/>
          <w:bCs/>
        </w:rPr>
        <w:t xml:space="preserve"> </w:t>
      </w:r>
      <w:r>
        <w:rPr>
          <w:rFonts w:ascii="Time New Roman" w:eastAsia="SimHei" w:hAnsi="Time New Roman" w:hint="eastAsia"/>
          <w:b w:val="0"/>
          <w:bCs/>
        </w:rPr>
        <w:t>部</w:t>
      </w:r>
      <w:r>
        <w:rPr>
          <w:rFonts w:ascii="Time New Roman" w:eastAsia="SimHei" w:hAnsi="Time New Roman"/>
          <w:b w:val="0"/>
          <w:bCs/>
        </w:rPr>
        <w:t xml:space="preserve"> </w:t>
      </w:r>
      <w:r>
        <w:rPr>
          <w:rFonts w:ascii="Time New Roman" w:eastAsia="SimHei" w:hAnsi="Time New Roman" w:hint="eastAsia"/>
          <w:b w:val="0"/>
          <w:bCs/>
        </w:rPr>
        <w:t>分</w:t>
      </w:r>
      <w:bookmarkEnd w:id="55"/>
    </w:p>
    <w:p w:rsidR="00000000" w:rsidRDefault="00000000">
      <w:pPr>
        <w:pStyle w:val="Heading1"/>
        <w:rPr>
          <w:rFonts w:ascii="Time New Roman" w:eastAsia="SimHei" w:hAnsi="Time New Roman"/>
          <w:b w:val="0"/>
          <w:bCs/>
        </w:rPr>
      </w:pPr>
      <w:bookmarkStart w:id="56" w:name="_Toc78772965"/>
      <w:r>
        <w:rPr>
          <w:rFonts w:ascii="Time New Roman" w:eastAsia="SimHei" w:hAnsi="Time New Roman" w:hint="eastAsia"/>
          <w:b w:val="0"/>
          <w:bCs/>
        </w:rPr>
        <w:t>澳门特别行政区</w:t>
      </w:r>
      <w:bookmarkEnd w:id="56"/>
    </w:p>
    <w:p w:rsidR="00000000" w:rsidRDefault="00000000">
      <w:pPr>
        <w:pStyle w:val="Heading2"/>
        <w:rPr>
          <w:rFonts w:hint="eastAsia"/>
        </w:rPr>
      </w:pPr>
      <w:bookmarkStart w:id="57" w:name="_Toc78772966"/>
      <w:r>
        <w:rPr>
          <w:rFonts w:hint="eastAsia"/>
        </w:rPr>
        <w:t>序</w:t>
      </w:r>
      <w:r>
        <w:t xml:space="preserve">  </w:t>
      </w:r>
      <w:r>
        <w:rPr>
          <w:rFonts w:hint="eastAsia"/>
        </w:rPr>
        <w:t>言</w:t>
      </w:r>
      <w:bookmarkEnd w:id="57"/>
    </w:p>
    <w:p w:rsidR="00000000" w:rsidRDefault="00000000">
      <w:r>
        <w:rPr>
          <w:rFonts w:hint="eastAsia"/>
        </w:rPr>
        <w:tab/>
      </w:r>
      <w:r>
        <w:t xml:space="preserve">780.  </w:t>
      </w:r>
      <w:r>
        <w:rPr>
          <w:rFonts w:hint="eastAsia"/>
        </w:rPr>
        <w:t>本报告是中华人民共和国按照《经济、社会及文化权利国际公约》</w:t>
      </w:r>
      <w:r>
        <w:t>(</w:t>
      </w:r>
      <w:r>
        <w:rPr>
          <w:rFonts w:hint="eastAsia"/>
        </w:rPr>
        <w:t>以下简称“公约”</w:t>
      </w:r>
      <w:r>
        <w:t>)</w:t>
      </w:r>
      <w:r>
        <w:rPr>
          <w:rFonts w:hint="eastAsia"/>
        </w:rPr>
        <w:t>第十六条和第十七条的规定，就公约在澳门特别行政区的实施提出的首份报告。报告内容所涉期间为</w:t>
      </w:r>
      <w:r>
        <w:t>1999</w:t>
      </w:r>
      <w:r>
        <w:rPr>
          <w:rFonts w:hint="eastAsia"/>
        </w:rPr>
        <w:t>年</w:t>
      </w:r>
      <w:r>
        <w:t>12</w:t>
      </w:r>
      <w:r>
        <w:rPr>
          <w:rFonts w:hint="eastAsia"/>
        </w:rPr>
        <w:t>月</w:t>
      </w:r>
      <w:r>
        <w:t>20</w:t>
      </w:r>
      <w:r>
        <w:rPr>
          <w:rFonts w:hint="eastAsia"/>
        </w:rPr>
        <w:t>日至</w:t>
      </w:r>
      <w:r>
        <w:t>2002</w:t>
      </w:r>
      <w:r>
        <w:rPr>
          <w:rFonts w:hint="eastAsia"/>
        </w:rPr>
        <w:t>年</w:t>
      </w:r>
      <w:r>
        <w:t>12</w:t>
      </w:r>
      <w:r>
        <w:rPr>
          <w:rFonts w:hint="eastAsia"/>
        </w:rPr>
        <w:t>月</w:t>
      </w:r>
      <w:r>
        <w:t>31</w:t>
      </w:r>
      <w:r>
        <w:rPr>
          <w:rFonts w:hint="eastAsia"/>
        </w:rPr>
        <w:t>日。</w:t>
      </w:r>
    </w:p>
    <w:p w:rsidR="00000000" w:rsidRDefault="00000000">
      <w:r>
        <w:tab/>
        <w:t xml:space="preserve">781.  </w:t>
      </w:r>
      <w:r>
        <w:rPr>
          <w:rFonts w:hint="eastAsia"/>
        </w:rPr>
        <w:t>本报告是按照关于国际人权公约各缔约国提交报告的形式和内容的指引</w:t>
      </w:r>
      <w:r>
        <w:t>(HRI/GEN/2/Rev.1)</w:t>
      </w:r>
      <w:r>
        <w:rPr>
          <w:rFonts w:hint="eastAsia"/>
        </w:rPr>
        <w:t>而编制，并应与中华人民共和国核心文件的第二修订本</w:t>
      </w:r>
      <w:r>
        <w:t>(HRI/CORE/1/Add.21/Rev.2)</w:t>
      </w:r>
      <w:r>
        <w:rPr>
          <w:rFonts w:hint="eastAsia"/>
        </w:rPr>
        <w:t>第三部分配合阅览。当论述一些共通的内容时，亦应一并考虑中国就《消除一切形式种族歧视国际公约》和《儿童权利公约》的实施所提出的报告</w:t>
      </w:r>
      <w:r>
        <w:t>(CERD/C/357/Add.4)</w:t>
      </w:r>
      <w:r>
        <w:rPr>
          <w:rFonts w:hint="eastAsia"/>
        </w:rPr>
        <w:t>的第三部分所载的资料。</w:t>
      </w:r>
    </w:p>
    <w:p w:rsidR="00000000" w:rsidRDefault="00000000">
      <w:r>
        <w:tab/>
        <w:t xml:space="preserve">782.  </w:t>
      </w:r>
      <w:r>
        <w:rPr>
          <w:rFonts w:hint="eastAsia"/>
        </w:rPr>
        <w:t>公约自</w:t>
      </w:r>
      <w:r>
        <w:t>1993</w:t>
      </w:r>
      <w:r>
        <w:rPr>
          <w:rFonts w:hint="eastAsia"/>
        </w:rPr>
        <w:t>年</w:t>
      </w:r>
      <w:r>
        <w:t>7</w:t>
      </w:r>
      <w:r>
        <w:rPr>
          <w:rFonts w:hint="eastAsia"/>
        </w:rPr>
        <w:t>月</w:t>
      </w:r>
      <w:r>
        <w:t>27</w:t>
      </w:r>
      <w:r>
        <w:rPr>
          <w:rFonts w:hint="eastAsia"/>
        </w:rPr>
        <w:t>日</w:t>
      </w:r>
      <w:r>
        <w:rPr>
          <w:rStyle w:val="FootnoteReference"/>
          <w:rFonts w:ascii="Time New Roman" w:eastAsia="SimHei" w:hAnsi="Time New Roman"/>
          <w:bCs/>
        </w:rPr>
        <w:footnoteReference w:customMarkFollows="1" w:id="83"/>
        <w:t>70</w:t>
      </w:r>
      <w:r>
        <w:rPr>
          <w:rFonts w:hint="eastAsia"/>
        </w:rPr>
        <w:t xml:space="preserve">　起在澳门适用。</w:t>
      </w:r>
    </w:p>
    <w:p w:rsidR="00000000" w:rsidRDefault="00000000">
      <w:pPr>
        <w:rPr>
          <w:rFonts w:hint="eastAsia"/>
        </w:rPr>
      </w:pPr>
      <w:r>
        <w:tab/>
        <w:t xml:space="preserve">783.  </w:t>
      </w:r>
      <w:r>
        <w:rPr>
          <w:rFonts w:hint="eastAsia"/>
        </w:rPr>
        <w:t>1</w:t>
      </w:r>
      <w:r>
        <w:t>999</w:t>
      </w:r>
      <w:r>
        <w:rPr>
          <w:rFonts w:hint="eastAsia"/>
        </w:rPr>
        <w:t>年</w:t>
      </w:r>
      <w:r>
        <w:t>12</w:t>
      </w:r>
      <w:r>
        <w:rPr>
          <w:rFonts w:hint="eastAsia"/>
        </w:rPr>
        <w:t>月</w:t>
      </w:r>
      <w:r>
        <w:t>2</w:t>
      </w:r>
      <w:r>
        <w:rPr>
          <w:rFonts w:hint="eastAsia"/>
        </w:rPr>
        <w:t>日，中华人民共和国通知联合国秘书长，因公约继续适用于澳门特别行政区而产生的缔约国的权利和义务由中华人民共和国承担，与此同时，中华人民共和国作出如下声明：</w:t>
      </w:r>
    </w:p>
    <w:p w:rsidR="00000000" w:rsidRDefault="00000000">
      <w:pPr>
        <w:pStyle w:val="ae"/>
        <w:rPr>
          <w:rFonts w:hint="eastAsia"/>
        </w:rPr>
      </w:pPr>
      <w:r>
        <w:rPr>
          <w:rFonts w:hint="eastAsia"/>
        </w:rPr>
        <w:t>“</w:t>
      </w:r>
      <w:r>
        <w:rPr>
          <w:rFonts w:hint="eastAsia"/>
        </w:rPr>
        <w:t>1.</w:t>
      </w:r>
      <w:r>
        <w:rPr>
          <w:rFonts w:hint="eastAsia"/>
        </w:rPr>
        <w:t xml:space="preserve">　在澳门特别行政区实施此公约，尤其是公约的第一条，不影响《联合声明》和《基本法》中规定的澳门的地位。</w:t>
      </w:r>
    </w:p>
    <w:p w:rsidR="00000000" w:rsidRDefault="00000000">
      <w:pPr>
        <w:pStyle w:val="ae"/>
        <w:rPr>
          <w:rFonts w:hint="eastAsia"/>
        </w:rPr>
      </w:pPr>
      <w:r>
        <w:rPr>
          <w:rFonts w:hint="eastAsia"/>
        </w:rPr>
        <w:t>2.</w:t>
      </w:r>
      <w:r>
        <w:rPr>
          <w:rFonts w:hint="eastAsia"/>
        </w:rPr>
        <w:t xml:space="preserve">　适用于澳门特别行政区的公约规定，通过澳门特别行政区的法律予以实施。</w:t>
      </w:r>
    </w:p>
    <w:p w:rsidR="00000000" w:rsidRDefault="00000000">
      <w:pPr>
        <w:pStyle w:val="ae"/>
        <w:rPr>
          <w:rFonts w:hint="eastAsia"/>
        </w:rPr>
      </w:pPr>
      <w:r>
        <w:rPr>
          <w:rFonts w:hint="eastAsia"/>
        </w:rPr>
        <w:t>澳门居民享有的权利和自由，除依法规定外不得限制。如作出限制，此种限制不得与适用于澳门特别行政区的公约规定抵触。</w:t>
      </w:r>
    </w:p>
    <w:p w:rsidR="00000000" w:rsidRDefault="00000000">
      <w:pPr>
        <w:pStyle w:val="ae"/>
        <w:rPr>
          <w:rFonts w:hint="eastAsia"/>
        </w:rPr>
      </w:pPr>
      <w:r>
        <w:rPr>
          <w:rFonts w:hint="eastAsia"/>
        </w:rPr>
        <w:t>在上述范围内，中华人民共和国政府承担公约缔约国在国际间的权利和义务。”</w:t>
      </w:r>
    </w:p>
    <w:p w:rsidR="00000000" w:rsidRDefault="00000000">
      <w:r>
        <w:rPr>
          <w:szCs w:val="24"/>
        </w:rPr>
        <w:tab/>
      </w:r>
      <w:r>
        <w:t>784.  1999</w:t>
      </w:r>
      <w:r>
        <w:rPr>
          <w:rFonts w:hint="eastAsia"/>
        </w:rPr>
        <w:t>年</w:t>
      </w:r>
      <w:r>
        <w:t>12</w:t>
      </w:r>
      <w:r>
        <w:rPr>
          <w:rFonts w:hint="eastAsia"/>
        </w:rPr>
        <w:t>月</w:t>
      </w:r>
      <w:r>
        <w:t>20</w:t>
      </w:r>
      <w:r>
        <w:rPr>
          <w:rFonts w:hint="eastAsia"/>
        </w:rPr>
        <w:t>日，中华人民共和国恢复对澳门行使主权，澳门特别行政区成立，《澳门特别行政区基本法》开始实施。</w:t>
      </w:r>
    </w:p>
    <w:p w:rsidR="00000000" w:rsidRDefault="00000000">
      <w:r>
        <w:tab/>
        <w:t xml:space="preserve">785.  </w:t>
      </w:r>
      <w:r>
        <w:rPr>
          <w:rFonts w:hint="eastAsia"/>
        </w:rPr>
        <w:t>具有宪法法律地位的《基本法》，按照“一个国家，两种制度”的方针，规定了各项原则、政策和规定。按照该方针，澳门特别行政区不实行社会主义的制度和政策，保持原有的资本主义制度和生活方式，五十年不变。</w:t>
      </w:r>
    </w:p>
    <w:p w:rsidR="00000000" w:rsidRDefault="00000000">
      <w:r>
        <w:tab/>
        <w:t xml:space="preserve">786.  </w:t>
      </w:r>
      <w:r>
        <w:rPr>
          <w:rFonts w:hint="eastAsia"/>
        </w:rPr>
        <w:t>《基本法》规定，澳门原有的法律、法令、行政法规和其他规范性文件，除同《基本法》相抵触或经澳门特别行政区的立法机关或其他有关机关依照法定程序作出修改者外，予以保留</w:t>
      </w:r>
      <w:r>
        <w:t>(</w:t>
      </w:r>
      <w:r>
        <w:rPr>
          <w:rFonts w:hint="eastAsia"/>
        </w:rPr>
        <w:t>第八条</w:t>
      </w:r>
      <w:r>
        <w:t>)</w:t>
      </w:r>
      <w:r>
        <w:rPr>
          <w:rFonts w:hint="eastAsia"/>
        </w:rPr>
        <w:t>。此外，尚规定中华人民共和国尚未参加但已适用于澳门的国际协议仍可继续适用。</w:t>
      </w:r>
      <w:r>
        <w:t>(</w:t>
      </w:r>
      <w:r>
        <w:rPr>
          <w:rFonts w:hint="eastAsia"/>
        </w:rPr>
        <w:t>第一百三十八条第二款</w:t>
      </w:r>
      <w:r>
        <w:t>)</w:t>
      </w:r>
      <w:r>
        <w:rPr>
          <w:rFonts w:hint="eastAsia"/>
        </w:rPr>
        <w:t>。</w:t>
      </w:r>
    </w:p>
    <w:p w:rsidR="00000000" w:rsidRDefault="00000000">
      <w:pPr>
        <w:rPr>
          <w:rFonts w:hint="eastAsia"/>
        </w:rPr>
      </w:pPr>
      <w:r>
        <w:tab/>
        <w:t xml:space="preserve">787.  </w:t>
      </w:r>
      <w:r>
        <w:rPr>
          <w:rFonts w:hint="eastAsia"/>
        </w:rPr>
        <w:t>就公约的问题而言，《基本法》第四十条规定，“</w:t>
      </w:r>
      <w:r>
        <w:t>……</w:t>
      </w:r>
      <w:r>
        <w:rPr>
          <w:rFonts w:hint="eastAsia"/>
        </w:rPr>
        <w:t>《经济、社会与文化权利的国际公约》</w:t>
      </w:r>
      <w:r>
        <w:t>……</w:t>
      </w:r>
      <w:r>
        <w:rPr>
          <w:rFonts w:hint="eastAsia"/>
        </w:rPr>
        <w:t>适用于澳门的有关规定继续有效，通过澳门特别行政区的法律予以实施”。</w:t>
      </w:r>
    </w:p>
    <w:p w:rsidR="00000000" w:rsidRDefault="00000000">
      <w:pPr>
        <w:rPr>
          <w:rFonts w:hint="eastAsia"/>
        </w:rPr>
      </w:pPr>
      <w:r>
        <w:tab/>
        <w:t xml:space="preserve">788.  </w:t>
      </w:r>
      <w:r>
        <w:rPr>
          <w:rFonts w:hint="eastAsia"/>
        </w:rPr>
        <w:t>委员会曾表示十分关注居民不熟识司法制度，以及对公约所规定的原则和权利的宣传不足等问题。其他关注的事项包括澳门居民以外的其他人在社会保障方面缺乏保障、欠缺为伤残人士和智障人士在就业、教育和进出公共设施等方面而制定的特殊计划。</w:t>
      </w:r>
    </w:p>
    <w:p w:rsidR="00000000" w:rsidRDefault="00000000">
      <w:pPr>
        <w:spacing w:after="320"/>
        <w:rPr>
          <w:rFonts w:hint="eastAsia"/>
        </w:rPr>
      </w:pPr>
      <w:r>
        <w:tab/>
        <w:t xml:space="preserve">789.  </w:t>
      </w:r>
      <w:r>
        <w:rPr>
          <w:rFonts w:hint="eastAsia"/>
        </w:rPr>
        <w:t>应予强调的是，自回归以来，政府一直作出极大的努力和采取了重要的措施，以确保澳门特别行政区居民能完全享有公约所规定的权利。例如，扩大社会保障的范围、改善伤残人士和智障人士的生活条件并确保他们有更优质的生活、进行大量广泛的宣传和推广人权的工作。</w:t>
      </w:r>
    </w:p>
    <w:p w:rsidR="00000000" w:rsidRDefault="00000000">
      <w:pPr>
        <w:pStyle w:val="Heading3"/>
        <w:rPr>
          <w:rFonts w:ascii="Time New Roman" w:eastAsia="SimHei" w:hAnsi="Time New Roman"/>
          <w:u w:val="none"/>
        </w:rPr>
      </w:pPr>
      <w:bookmarkStart w:id="58" w:name="_Toc78772967"/>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一</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澳门特别行政区的自治</w:t>
      </w:r>
      <w:bookmarkEnd w:id="58"/>
    </w:p>
    <w:p w:rsidR="00000000" w:rsidRDefault="00000000">
      <w:pPr>
        <w:rPr>
          <w:szCs w:val="24"/>
        </w:rPr>
      </w:pPr>
      <w:r>
        <w:tab/>
      </w:r>
      <w:r>
        <w:rPr>
          <w:szCs w:val="24"/>
        </w:rPr>
        <w:t xml:space="preserve">790.  </w:t>
      </w:r>
      <w:r>
        <w:rPr>
          <w:rFonts w:hint="eastAsia"/>
          <w:szCs w:val="24"/>
        </w:rPr>
        <w:t>如上文所述，《基本法》具有宪法法律的地位，为澳门特别行政区设定了一般原则，亦就澳门特别行政区和中央政府的关系、澳门特别行政区居民的基本权利和义务、澳门特别行政区的政治体制、经济、社会和文化事务、对外事务等方面作出规定。此外，《基本法》亦载有关于其本身的解释和修改的规定、附则，以及三份附件。首两份附件分别规定了澳门特别行政区行政长官和立法会的产生办法，而第三份附件则定出了在澳门特别行政区实施的全国性法律。</w:t>
      </w:r>
    </w:p>
    <w:p w:rsidR="00000000" w:rsidRDefault="00000000">
      <w:pPr>
        <w:rPr>
          <w:szCs w:val="24"/>
        </w:rPr>
      </w:pPr>
      <w:r>
        <w:rPr>
          <w:szCs w:val="24"/>
        </w:rPr>
        <w:tab/>
        <w:t xml:space="preserve">791.  </w:t>
      </w:r>
      <w:r>
        <w:rPr>
          <w:rFonts w:hint="eastAsia"/>
          <w:szCs w:val="24"/>
        </w:rPr>
        <w:t>按照《基本法》的规定，澳门特别行政区享有高度自治权，除了外交事务和防务由中华人民共和国中央政府负责外，澳门特别行政区享有行政管理权、立法权、独立的司法权和终审权。</w:t>
      </w:r>
    </w:p>
    <w:p w:rsidR="00000000" w:rsidRDefault="00000000">
      <w:pPr>
        <w:rPr>
          <w:szCs w:val="24"/>
        </w:rPr>
      </w:pPr>
      <w:r>
        <w:rPr>
          <w:szCs w:val="24"/>
        </w:rPr>
        <w:tab/>
        <w:t xml:space="preserve">792.  </w:t>
      </w:r>
      <w:r>
        <w:rPr>
          <w:rFonts w:hint="eastAsia"/>
          <w:szCs w:val="24"/>
        </w:rPr>
        <w:t>《基本法》规定澳门特别行政区的行政机关和立法机关由澳门特别行政区永久性居民组成，确立了澳人治澳的方针</w:t>
      </w:r>
      <w:r>
        <w:rPr>
          <w:szCs w:val="24"/>
        </w:rPr>
        <w:t>(</w:t>
      </w:r>
      <w:r>
        <w:rPr>
          <w:rFonts w:hint="eastAsia"/>
          <w:szCs w:val="24"/>
        </w:rPr>
        <w:t>第三条</w:t>
      </w:r>
      <w:r>
        <w:rPr>
          <w:szCs w:val="24"/>
        </w:rPr>
        <w:t>)</w:t>
      </w:r>
      <w:r>
        <w:rPr>
          <w:rFonts w:hint="eastAsia"/>
          <w:szCs w:val="24"/>
        </w:rPr>
        <w:t>。</w:t>
      </w:r>
    </w:p>
    <w:p w:rsidR="00000000" w:rsidRDefault="00000000">
      <w:pPr>
        <w:rPr>
          <w:szCs w:val="24"/>
        </w:rPr>
      </w:pPr>
      <w:r>
        <w:rPr>
          <w:szCs w:val="24"/>
        </w:rPr>
        <w:tab/>
        <w:t xml:space="preserve">793.  </w:t>
      </w:r>
      <w:r>
        <w:rPr>
          <w:rFonts w:hint="eastAsia"/>
          <w:szCs w:val="24"/>
        </w:rPr>
        <w:t>按照《基本法》的规定，澳门特别行政区境内的土地和自然资源，除在澳门特别行政区成立前已依法确认的私有土地外，由澳门特别行政区政府负责管理、使用、开发、出租或批给个人、法人，其收入全部归澳门特别行政区政府支配</w:t>
      </w:r>
      <w:r>
        <w:rPr>
          <w:szCs w:val="24"/>
        </w:rPr>
        <w:t>(</w:t>
      </w:r>
      <w:r>
        <w:rPr>
          <w:rFonts w:hint="eastAsia"/>
          <w:szCs w:val="24"/>
        </w:rPr>
        <w:t>第七条</w:t>
      </w:r>
      <w:r>
        <w:rPr>
          <w:szCs w:val="24"/>
        </w:rPr>
        <w:t>)</w:t>
      </w:r>
      <w:r>
        <w:rPr>
          <w:rFonts w:hint="eastAsia"/>
          <w:szCs w:val="24"/>
        </w:rPr>
        <w:t>。</w:t>
      </w:r>
    </w:p>
    <w:p w:rsidR="00000000" w:rsidRDefault="00000000">
      <w:pPr>
        <w:rPr>
          <w:szCs w:val="24"/>
        </w:rPr>
      </w:pPr>
      <w:r>
        <w:rPr>
          <w:szCs w:val="24"/>
        </w:rPr>
        <w:tab/>
        <w:t xml:space="preserve">794.  </w:t>
      </w:r>
      <w:r>
        <w:rPr>
          <w:rFonts w:hint="eastAsia"/>
          <w:szCs w:val="24"/>
        </w:rPr>
        <w:t>澳门特别行政区自行决定和制定本身的经济金融、社会和文化政策，并决定政策的优先次序和实施机制。澳门特别行政区继续作为一个独立的关税地区，亦体现了其享有和行使的自治权。澳门特别行政区财政收入和税收全部由澳门特别行政区自行管理和支配，不上缴中央政府，中央政府不在澳门特别行政区征税。</w:t>
      </w:r>
    </w:p>
    <w:p w:rsidR="00000000" w:rsidRDefault="00000000">
      <w:pPr>
        <w:spacing w:after="320"/>
        <w:rPr>
          <w:rFonts w:hint="eastAsia"/>
          <w:szCs w:val="24"/>
        </w:rPr>
      </w:pPr>
      <w:r>
        <w:rPr>
          <w:szCs w:val="24"/>
        </w:rPr>
        <w:tab/>
        <w:t xml:space="preserve">795.  </w:t>
      </w:r>
      <w:r>
        <w:rPr>
          <w:rFonts w:hint="eastAsia"/>
          <w:szCs w:val="24"/>
        </w:rPr>
        <w:t>关于澳门特别行政区的政治体制和组织架构，在中华人民共和国核心文件的第二修订本</w:t>
      </w:r>
      <w:r>
        <w:rPr>
          <w:szCs w:val="24"/>
        </w:rPr>
        <w:t>(HRI/CORE/1/Add.21/Rev.2)</w:t>
      </w:r>
      <w:r>
        <w:rPr>
          <w:rFonts w:hint="eastAsia"/>
          <w:szCs w:val="24"/>
        </w:rPr>
        <w:t>第三部分有更详尽的资料。</w:t>
      </w:r>
    </w:p>
    <w:p w:rsidR="00000000" w:rsidRDefault="00000000">
      <w:pPr>
        <w:pStyle w:val="Heading3"/>
        <w:rPr>
          <w:rFonts w:hint="eastAsia"/>
        </w:rPr>
      </w:pPr>
      <w:bookmarkStart w:id="59" w:name="_Toc78772968"/>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 xml:space="preserve"> </w:t>
      </w:r>
      <w:r>
        <w:rPr>
          <w:rFonts w:ascii="Time New Roman" w:eastAsia="SimHei" w:hAnsi="Time New Roman" w:hint="eastAsia"/>
          <w:u w:val="none"/>
        </w:rPr>
        <w:t>二</w:t>
      </w:r>
      <w:r>
        <w:rPr>
          <w:rFonts w:ascii="Time New Roman" w:eastAsia="SimHei" w:hAnsi="Time New Roman"/>
          <w:u w:val="none"/>
        </w:rPr>
        <w:t xml:space="preserve"> </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公约所载权利的承认和适用</w:t>
      </w:r>
      <w:bookmarkEnd w:id="59"/>
    </w:p>
    <w:p w:rsidR="00000000" w:rsidRDefault="00000000">
      <w:pPr>
        <w:spacing w:after="320"/>
        <w:jc w:val="center"/>
        <w:rPr>
          <w:u w:val="single"/>
        </w:rPr>
      </w:pPr>
      <w:r>
        <w:t xml:space="preserve">A.  </w:t>
      </w:r>
      <w:r>
        <w:rPr>
          <w:rFonts w:hint="eastAsia"/>
          <w:u w:val="single"/>
        </w:rPr>
        <w:t>在保障权利方面不存有任何区分</w:t>
      </w:r>
    </w:p>
    <w:p w:rsidR="00000000" w:rsidRDefault="00000000">
      <w:r>
        <w:tab/>
        <w:t xml:space="preserve">796.  </w:t>
      </w:r>
      <w:r>
        <w:rPr>
          <w:rFonts w:hint="eastAsia"/>
        </w:rPr>
        <w:t>对人权和基本自由的尊重，深深地植根于澳门特别行政区的法律体系内。</w:t>
      </w:r>
    </w:p>
    <w:p w:rsidR="00000000" w:rsidRDefault="00000000">
      <w:pPr>
        <w:rPr>
          <w:szCs w:val="24"/>
        </w:rPr>
      </w:pPr>
      <w:r>
        <w:rPr>
          <w:szCs w:val="24"/>
        </w:rPr>
        <w:tab/>
        <w:t xml:space="preserve">797.  </w:t>
      </w:r>
      <w:r>
        <w:rPr>
          <w:rFonts w:hint="eastAsia"/>
          <w:szCs w:val="24"/>
        </w:rPr>
        <w:t>澳门特别行政区实行的一般原则之一，是澳门特别行政区依法保障澳门特别行政区居民和其他人的权利和自由</w:t>
      </w:r>
      <w:r>
        <w:rPr>
          <w:szCs w:val="24"/>
        </w:rPr>
        <w:t>(</w:t>
      </w:r>
      <w:r>
        <w:rPr>
          <w:rFonts w:hint="eastAsia"/>
          <w:szCs w:val="24"/>
        </w:rPr>
        <w:t>《基本法》第四条</w:t>
      </w:r>
      <w:r>
        <w:rPr>
          <w:szCs w:val="24"/>
        </w:rPr>
        <w:t>)</w:t>
      </w:r>
      <w:r>
        <w:rPr>
          <w:rFonts w:hint="eastAsia"/>
          <w:szCs w:val="24"/>
        </w:rPr>
        <w:t>。</w:t>
      </w:r>
    </w:p>
    <w:p w:rsidR="00000000" w:rsidRDefault="00000000">
      <w:pPr>
        <w:rPr>
          <w:szCs w:val="24"/>
        </w:rPr>
      </w:pPr>
      <w:r>
        <w:rPr>
          <w:szCs w:val="24"/>
        </w:rPr>
        <w:tab/>
        <w:t xml:space="preserve">798.  </w:t>
      </w:r>
      <w:r>
        <w:rPr>
          <w:rFonts w:hint="eastAsia"/>
          <w:szCs w:val="24"/>
        </w:rPr>
        <w:t>关于基本权利的主要实质性规定载于《基本法》第三章。然而，《基本法》第四十一条亦规定了受法律保障的其他权利和自由，而在《基本法》的其他章节中更专门规定了经济、社会和文化方面的基本权利。这一系列的基本权利和自由亦受多个在澳门特别行政区生效的公约所保障。适用的国际公约均直接纳入澳门特别行政区的法律体系。</w:t>
      </w:r>
    </w:p>
    <w:p w:rsidR="00000000" w:rsidRDefault="00000000">
      <w:pPr>
        <w:rPr>
          <w:szCs w:val="24"/>
        </w:rPr>
      </w:pPr>
      <w:r>
        <w:rPr>
          <w:szCs w:val="24"/>
        </w:rPr>
        <w:tab/>
        <w:t xml:space="preserve">799.  </w:t>
      </w:r>
      <w:r>
        <w:rPr>
          <w:rFonts w:hint="eastAsia"/>
          <w:szCs w:val="24"/>
        </w:rPr>
        <w:t>《基本法》确保了澳门居民以外的其他人依法享有《基本法》第三章规定的澳门居民的权利和自由</w:t>
      </w:r>
      <w:r>
        <w:rPr>
          <w:szCs w:val="24"/>
        </w:rPr>
        <w:t>(</w:t>
      </w:r>
      <w:r>
        <w:rPr>
          <w:rFonts w:hint="eastAsia"/>
          <w:szCs w:val="24"/>
        </w:rPr>
        <w:t>《基本法》第四十三条</w:t>
      </w:r>
      <w:r>
        <w:rPr>
          <w:szCs w:val="24"/>
        </w:rPr>
        <w:t>)</w:t>
      </w:r>
      <w:r>
        <w:rPr>
          <w:rFonts w:hint="eastAsia"/>
          <w:szCs w:val="24"/>
        </w:rPr>
        <w:t>。</w:t>
      </w:r>
    </w:p>
    <w:p w:rsidR="00000000" w:rsidRDefault="00000000">
      <w:pPr>
        <w:rPr>
          <w:szCs w:val="24"/>
        </w:rPr>
      </w:pPr>
      <w:r>
        <w:rPr>
          <w:szCs w:val="24"/>
        </w:rPr>
        <w:tab/>
        <w:t xml:space="preserve">800.  </w:t>
      </w:r>
      <w:r>
        <w:rPr>
          <w:rFonts w:hint="eastAsia"/>
          <w:szCs w:val="24"/>
        </w:rPr>
        <w:t>《基本法》第二十五条明确规定了澳门居民在法律面前一律平等，不因国籍、血统、种族、性别、语言、宗教、政治或思想信仰、文化程度、经济状况或社会条件而受到歧视的权利。第四十四条则规定了在澳门特别行政区的任何人均有遵守澳门特别行政区实行的法律的义务。</w:t>
      </w:r>
    </w:p>
    <w:p w:rsidR="00000000" w:rsidRDefault="00000000">
      <w:pPr>
        <w:rPr>
          <w:szCs w:val="24"/>
        </w:rPr>
      </w:pPr>
      <w:r>
        <w:rPr>
          <w:szCs w:val="24"/>
        </w:rPr>
        <w:tab/>
        <w:t xml:space="preserve">801.  </w:t>
      </w:r>
      <w:r>
        <w:rPr>
          <w:rFonts w:hint="eastAsia"/>
          <w:szCs w:val="24"/>
        </w:rPr>
        <w:t>不论所涉权利是否属个人的基本权利，除了合法性原则和公开性原则之外，法律面前人人平等亦是构成澳门特别行政区法律体系的一项根本原则。</w:t>
      </w:r>
    </w:p>
    <w:p w:rsidR="00000000" w:rsidRDefault="00000000">
      <w:pPr>
        <w:rPr>
          <w:szCs w:val="24"/>
        </w:rPr>
      </w:pPr>
      <w:r>
        <w:rPr>
          <w:szCs w:val="24"/>
        </w:rPr>
        <w:tab/>
        <w:t xml:space="preserve">802.  </w:t>
      </w:r>
      <w:r>
        <w:rPr>
          <w:rFonts w:hint="eastAsia"/>
          <w:szCs w:val="24"/>
        </w:rPr>
        <w:t>对《基本法》所保障的人权和基本自由的保护，是通过普通法例予以确保。</w:t>
      </w:r>
    </w:p>
    <w:p w:rsidR="00000000" w:rsidRDefault="00000000">
      <w:pPr>
        <w:rPr>
          <w:szCs w:val="24"/>
        </w:rPr>
      </w:pPr>
      <w:r>
        <w:rPr>
          <w:szCs w:val="24"/>
        </w:rPr>
        <w:tab/>
        <w:t xml:space="preserve">803.  </w:t>
      </w:r>
      <w:r>
        <w:rPr>
          <w:rFonts w:hint="eastAsia"/>
          <w:szCs w:val="24"/>
        </w:rPr>
        <w:t>政府与私人产生关系时，不得因其血统、性别、种族、语言、原居地、宗教、政治信仰、意识形态信仰、教育、经济状况或社会地位，而使之享有特权、受惠、受损害，又或剥夺其任何权利或免除其任何义务</w:t>
      </w:r>
      <w:r>
        <w:rPr>
          <w:szCs w:val="24"/>
        </w:rPr>
        <w:t>(</w:t>
      </w:r>
      <w:r>
        <w:rPr>
          <w:rFonts w:hint="eastAsia"/>
          <w:szCs w:val="24"/>
        </w:rPr>
        <w:t>经</w:t>
      </w:r>
      <w:r>
        <w:rPr>
          <w:szCs w:val="24"/>
        </w:rPr>
        <w:t>10</w:t>
      </w:r>
      <w:r>
        <w:rPr>
          <w:rFonts w:hint="eastAsia"/>
          <w:szCs w:val="24"/>
        </w:rPr>
        <w:t>月</w:t>
      </w:r>
      <w:r>
        <w:rPr>
          <w:szCs w:val="24"/>
        </w:rPr>
        <w:t>11</w:t>
      </w:r>
      <w:r>
        <w:rPr>
          <w:rFonts w:hint="eastAsia"/>
          <w:szCs w:val="24"/>
        </w:rPr>
        <w:t>日第</w:t>
      </w:r>
      <w:r>
        <w:rPr>
          <w:szCs w:val="24"/>
        </w:rPr>
        <w:t>57/99/M</w:t>
      </w:r>
      <w:r>
        <w:rPr>
          <w:rFonts w:hint="eastAsia"/>
          <w:szCs w:val="24"/>
        </w:rPr>
        <w:t>号法令核准的《行政程序法典》第五条第一款</w:t>
      </w:r>
      <w:r>
        <w:rPr>
          <w:rFonts w:hint="eastAsia"/>
          <w:szCs w:val="24"/>
        </w:rPr>
        <w:t>)</w:t>
      </w:r>
      <w:r>
        <w:rPr>
          <w:rFonts w:hint="eastAsia"/>
          <w:szCs w:val="24"/>
        </w:rPr>
        <w:t>。</w:t>
      </w:r>
    </w:p>
    <w:p w:rsidR="00000000" w:rsidRDefault="00000000">
      <w:pPr>
        <w:rPr>
          <w:szCs w:val="24"/>
        </w:rPr>
      </w:pPr>
      <w:r>
        <w:rPr>
          <w:szCs w:val="24"/>
        </w:rPr>
        <w:tab/>
        <w:t xml:space="preserve">804.  </w:t>
      </w:r>
      <w:r>
        <w:rPr>
          <w:rFonts w:hint="eastAsia"/>
          <w:szCs w:val="24"/>
        </w:rPr>
        <w:t>上述原则亦明确规定于其他多项法律之中，例如《家庭政策纲要法》</w:t>
      </w:r>
      <w:r>
        <w:rPr>
          <w:szCs w:val="24"/>
        </w:rPr>
        <w:t>(8</w:t>
      </w:r>
      <w:r>
        <w:rPr>
          <w:rFonts w:hint="eastAsia"/>
          <w:szCs w:val="24"/>
        </w:rPr>
        <w:t>月</w:t>
      </w:r>
      <w:r>
        <w:rPr>
          <w:szCs w:val="24"/>
        </w:rPr>
        <w:t>1</w:t>
      </w:r>
      <w:r>
        <w:rPr>
          <w:rFonts w:hint="eastAsia"/>
          <w:szCs w:val="24"/>
        </w:rPr>
        <w:t>日第</w:t>
      </w:r>
      <w:r>
        <w:rPr>
          <w:szCs w:val="24"/>
        </w:rPr>
        <w:t>6</w:t>
      </w:r>
      <w:r>
        <w:rPr>
          <w:rFonts w:hint="eastAsia"/>
          <w:szCs w:val="24"/>
        </w:rPr>
        <w:t>/9</w:t>
      </w:r>
      <w:r>
        <w:rPr>
          <w:szCs w:val="24"/>
        </w:rPr>
        <w:t>4/M</w:t>
      </w:r>
      <w:r>
        <w:rPr>
          <w:rFonts w:hint="eastAsia"/>
          <w:szCs w:val="24"/>
        </w:rPr>
        <w:t>号法律</w:t>
      </w:r>
      <w:r>
        <w:rPr>
          <w:szCs w:val="24"/>
        </w:rPr>
        <w:t>)</w:t>
      </w:r>
      <w:r>
        <w:rPr>
          <w:rFonts w:hint="eastAsia"/>
          <w:szCs w:val="24"/>
        </w:rPr>
        <w:t>、《就业政策及劳工权利纲要法》</w:t>
      </w:r>
      <w:r>
        <w:rPr>
          <w:szCs w:val="24"/>
        </w:rPr>
        <w:t>(7</w:t>
      </w:r>
      <w:r>
        <w:rPr>
          <w:rFonts w:hint="eastAsia"/>
          <w:szCs w:val="24"/>
        </w:rPr>
        <w:t>月</w:t>
      </w:r>
      <w:r>
        <w:rPr>
          <w:szCs w:val="24"/>
        </w:rPr>
        <w:t>27</w:t>
      </w:r>
      <w:r>
        <w:rPr>
          <w:rFonts w:hint="eastAsia"/>
          <w:szCs w:val="24"/>
        </w:rPr>
        <w:t>日第</w:t>
      </w:r>
      <w:r>
        <w:rPr>
          <w:szCs w:val="24"/>
        </w:rPr>
        <w:t>4/98/M</w:t>
      </w:r>
      <w:r>
        <w:rPr>
          <w:rFonts w:hint="eastAsia"/>
          <w:szCs w:val="24"/>
        </w:rPr>
        <w:t>号法律</w:t>
      </w:r>
      <w:r>
        <w:rPr>
          <w:szCs w:val="24"/>
        </w:rPr>
        <w:t>)</w:t>
      </w:r>
      <w:r>
        <w:rPr>
          <w:rFonts w:hint="eastAsia"/>
          <w:szCs w:val="24"/>
        </w:rPr>
        <w:t>和订定澳门教育制度总纲的法律</w:t>
      </w:r>
      <w:r>
        <w:rPr>
          <w:szCs w:val="24"/>
        </w:rPr>
        <w:t>(8</w:t>
      </w:r>
      <w:r>
        <w:rPr>
          <w:rFonts w:hint="eastAsia"/>
          <w:szCs w:val="24"/>
        </w:rPr>
        <w:t>月</w:t>
      </w:r>
      <w:r>
        <w:rPr>
          <w:szCs w:val="24"/>
        </w:rPr>
        <w:t>29</w:t>
      </w:r>
      <w:r>
        <w:rPr>
          <w:rFonts w:hint="eastAsia"/>
          <w:szCs w:val="24"/>
        </w:rPr>
        <w:t>日第</w:t>
      </w:r>
      <w:r>
        <w:rPr>
          <w:szCs w:val="24"/>
        </w:rPr>
        <w:t>11</w:t>
      </w:r>
      <w:r>
        <w:rPr>
          <w:rFonts w:hint="eastAsia"/>
          <w:szCs w:val="24"/>
        </w:rPr>
        <w:t>/9</w:t>
      </w:r>
      <w:r>
        <w:rPr>
          <w:szCs w:val="24"/>
        </w:rPr>
        <w:t>1/M</w:t>
      </w:r>
      <w:r>
        <w:rPr>
          <w:rFonts w:hint="eastAsia"/>
          <w:szCs w:val="24"/>
        </w:rPr>
        <w:t>号法律</w:t>
      </w:r>
      <w:r>
        <w:rPr>
          <w:szCs w:val="24"/>
        </w:rPr>
        <w:t>)</w:t>
      </w:r>
      <w:r>
        <w:rPr>
          <w:rFonts w:hint="eastAsia"/>
          <w:szCs w:val="24"/>
        </w:rPr>
        <w:t>。</w:t>
      </w:r>
    </w:p>
    <w:p w:rsidR="00000000" w:rsidRDefault="00000000">
      <w:pPr>
        <w:spacing w:after="320"/>
        <w:rPr>
          <w:szCs w:val="24"/>
        </w:rPr>
      </w:pPr>
      <w:r>
        <w:rPr>
          <w:szCs w:val="24"/>
        </w:rPr>
        <w:tab/>
        <w:t xml:space="preserve">805.  </w:t>
      </w:r>
      <w:r>
        <w:rPr>
          <w:rFonts w:hint="eastAsia"/>
          <w:szCs w:val="24"/>
        </w:rPr>
        <w:t>澳门特别行政区政府一直竭尽所能，使人权和基本自由在澳门特别行政区得到保障。</w:t>
      </w:r>
    </w:p>
    <w:p w:rsidR="00000000" w:rsidRDefault="00000000">
      <w:pPr>
        <w:spacing w:after="320"/>
        <w:jc w:val="center"/>
        <w:rPr>
          <w:u w:val="single"/>
        </w:rPr>
      </w:pPr>
      <w:r>
        <w:t xml:space="preserve">B.  </w:t>
      </w:r>
      <w:r>
        <w:rPr>
          <w:rFonts w:hint="eastAsia"/>
          <w:u w:val="single"/>
        </w:rPr>
        <w:t>为实现经济、社会与文化权利而采取的措施</w:t>
      </w:r>
    </w:p>
    <w:p w:rsidR="00000000" w:rsidRDefault="00000000">
      <w:pPr>
        <w:rPr>
          <w:szCs w:val="24"/>
        </w:rPr>
      </w:pPr>
      <w:r>
        <w:tab/>
      </w:r>
      <w:r>
        <w:rPr>
          <w:szCs w:val="24"/>
        </w:rPr>
        <w:t xml:space="preserve">806.  </w:t>
      </w:r>
      <w:r>
        <w:rPr>
          <w:rFonts w:hint="eastAsia"/>
          <w:szCs w:val="24"/>
        </w:rPr>
        <w:t>如上文所述，在澳门特别行政区，任何人不论其种族、血统、宗教或性别，在法律面前一律平等，均须服从于法律。任何政府机关、官员或个人，均不得凌驾于法律之上。</w:t>
      </w:r>
    </w:p>
    <w:p w:rsidR="00000000" w:rsidRDefault="00000000">
      <w:pPr>
        <w:rPr>
          <w:szCs w:val="24"/>
        </w:rPr>
      </w:pPr>
      <w:r>
        <w:rPr>
          <w:szCs w:val="24"/>
        </w:rPr>
        <w:tab/>
        <w:t xml:space="preserve">807.  </w:t>
      </w:r>
      <w:r>
        <w:rPr>
          <w:rFonts w:hint="eastAsia"/>
          <w:szCs w:val="24"/>
        </w:rPr>
        <w:t>《基本法》确保所有人均有权诉诸法律，向法院提起诉讼，得到律师的帮助以保护自己的合法权益，以及获得司法补救。所有人均有权对行政部门和行政人员的行为向法院提起诉讼</w:t>
      </w:r>
      <w:r>
        <w:rPr>
          <w:szCs w:val="24"/>
        </w:rPr>
        <w:t>(</w:t>
      </w:r>
      <w:r>
        <w:rPr>
          <w:rFonts w:hint="eastAsia"/>
          <w:szCs w:val="24"/>
        </w:rPr>
        <w:t>第三十六条，并配合第四十三条</w:t>
      </w:r>
      <w:r>
        <w:rPr>
          <w:szCs w:val="24"/>
        </w:rPr>
        <w:t>)</w:t>
      </w:r>
      <w:r>
        <w:rPr>
          <w:rFonts w:hint="eastAsia"/>
          <w:szCs w:val="24"/>
        </w:rPr>
        <w:t>。</w:t>
      </w:r>
    </w:p>
    <w:p w:rsidR="00000000" w:rsidRDefault="00000000">
      <w:pPr>
        <w:rPr>
          <w:szCs w:val="24"/>
        </w:rPr>
      </w:pPr>
      <w:r>
        <w:rPr>
          <w:rFonts w:hint="eastAsia"/>
          <w:szCs w:val="24"/>
        </w:rPr>
        <w:t>作为澳门特别行政区法律体系的组成部分，个人的人权可直接向法院主张。</w:t>
      </w:r>
    </w:p>
    <w:p w:rsidR="00000000" w:rsidRDefault="00000000">
      <w:pPr>
        <w:rPr>
          <w:szCs w:val="24"/>
        </w:rPr>
      </w:pPr>
      <w:r>
        <w:rPr>
          <w:szCs w:val="24"/>
        </w:rPr>
        <w:tab/>
        <w:t xml:space="preserve">808.  </w:t>
      </w:r>
      <w:r>
        <w:rPr>
          <w:rFonts w:hint="eastAsia"/>
          <w:szCs w:val="24"/>
        </w:rPr>
        <w:t>然而，人权亦可通过准司法机制和非司法机制予以保障和实现。关于这方面，值得强调的是，旨在保护个人基本权利的规定不断增加，例如：向立法会提出申诉的权利，事实上，这权利早已存在，今天则在宪法法律的层面予以明确承认</w:t>
      </w:r>
      <w:r>
        <w:rPr>
          <w:szCs w:val="24"/>
        </w:rPr>
        <w:t>(</w:t>
      </w:r>
      <w:r>
        <w:rPr>
          <w:rFonts w:hint="eastAsia"/>
          <w:szCs w:val="24"/>
        </w:rPr>
        <w:t>《基本法》第七十一条</w:t>
      </w:r>
      <w:r>
        <w:rPr>
          <w:szCs w:val="24"/>
        </w:rPr>
        <w:t>(</w:t>
      </w:r>
      <w:r>
        <w:rPr>
          <w:rFonts w:hint="eastAsia"/>
          <w:szCs w:val="24"/>
        </w:rPr>
        <w:t>六</w:t>
      </w:r>
      <w:r>
        <w:rPr>
          <w:szCs w:val="24"/>
        </w:rPr>
        <w:t>)</w:t>
      </w:r>
      <w:r>
        <w:rPr>
          <w:rFonts w:hint="eastAsia"/>
          <w:szCs w:val="24"/>
        </w:rPr>
        <w:t>项</w:t>
      </w:r>
      <w:r>
        <w:rPr>
          <w:szCs w:val="24"/>
        </w:rPr>
        <w:t>)</w:t>
      </w:r>
      <w:r>
        <w:rPr>
          <w:rFonts w:hint="eastAsia"/>
          <w:szCs w:val="24"/>
        </w:rPr>
        <w:t>；按照</w:t>
      </w:r>
      <w:r>
        <w:rPr>
          <w:szCs w:val="24"/>
        </w:rPr>
        <w:t>8</w:t>
      </w:r>
      <w:r>
        <w:rPr>
          <w:rFonts w:hint="eastAsia"/>
          <w:szCs w:val="24"/>
        </w:rPr>
        <w:t>月</w:t>
      </w:r>
      <w:r>
        <w:rPr>
          <w:szCs w:val="24"/>
        </w:rPr>
        <w:t>1</w:t>
      </w:r>
      <w:r>
        <w:rPr>
          <w:rFonts w:hint="eastAsia"/>
          <w:szCs w:val="24"/>
        </w:rPr>
        <w:t>日第</w:t>
      </w:r>
      <w:r>
        <w:rPr>
          <w:szCs w:val="24"/>
        </w:rPr>
        <w:t>5</w:t>
      </w:r>
      <w:r>
        <w:rPr>
          <w:rFonts w:hint="eastAsia"/>
          <w:szCs w:val="24"/>
        </w:rPr>
        <w:t>/9</w:t>
      </w:r>
      <w:r>
        <w:rPr>
          <w:szCs w:val="24"/>
        </w:rPr>
        <w:t>4/M</w:t>
      </w:r>
      <w:r>
        <w:rPr>
          <w:rFonts w:hint="eastAsia"/>
          <w:szCs w:val="24"/>
        </w:rPr>
        <w:t>号法律的规定行使的请愿权今天继续维持；向廉政公署提出投诉的权利，同样，这权利在回归前已经存在，今天则通过关于廉政公署的权限和权力的新法例加以强化</w:t>
      </w:r>
      <w:r>
        <w:rPr>
          <w:szCs w:val="24"/>
        </w:rPr>
        <w:t>(8</w:t>
      </w:r>
      <w:r>
        <w:rPr>
          <w:rFonts w:hint="eastAsia"/>
          <w:szCs w:val="24"/>
        </w:rPr>
        <w:t>月</w:t>
      </w:r>
      <w:r>
        <w:rPr>
          <w:szCs w:val="24"/>
        </w:rPr>
        <w:t>14</w:t>
      </w:r>
      <w:r>
        <w:rPr>
          <w:rFonts w:hint="eastAsia"/>
          <w:szCs w:val="24"/>
        </w:rPr>
        <w:t>日第</w:t>
      </w:r>
      <w:r>
        <w:rPr>
          <w:szCs w:val="24"/>
        </w:rPr>
        <w:t>10/2000</w:t>
      </w:r>
      <w:r>
        <w:rPr>
          <w:rFonts w:hint="eastAsia"/>
          <w:szCs w:val="24"/>
        </w:rPr>
        <w:t>号法律</w:t>
      </w:r>
      <w:r>
        <w:rPr>
          <w:szCs w:val="24"/>
        </w:rPr>
        <w:t>)</w:t>
      </w:r>
      <w:r>
        <w:rPr>
          <w:rFonts w:hint="eastAsia"/>
          <w:szCs w:val="24"/>
        </w:rPr>
        <w:t>；最后，尚有</w:t>
      </w:r>
      <w:r>
        <w:rPr>
          <w:szCs w:val="24"/>
        </w:rPr>
        <w:t>10</w:t>
      </w:r>
      <w:r>
        <w:rPr>
          <w:rFonts w:hint="eastAsia"/>
          <w:szCs w:val="24"/>
        </w:rPr>
        <w:t>月</w:t>
      </w:r>
      <w:r>
        <w:rPr>
          <w:szCs w:val="24"/>
        </w:rPr>
        <w:t>11</w:t>
      </w:r>
      <w:r>
        <w:rPr>
          <w:rFonts w:hint="eastAsia"/>
          <w:szCs w:val="24"/>
        </w:rPr>
        <w:t>日第</w:t>
      </w:r>
      <w:r>
        <w:rPr>
          <w:szCs w:val="24"/>
        </w:rPr>
        <w:t>57/99/M</w:t>
      </w:r>
      <w:r>
        <w:rPr>
          <w:rFonts w:hint="eastAsia"/>
          <w:szCs w:val="24"/>
        </w:rPr>
        <w:t>号法令规定的行政申诉机制。</w:t>
      </w:r>
    </w:p>
    <w:p w:rsidR="00000000" w:rsidRDefault="00000000">
      <w:pPr>
        <w:rPr>
          <w:szCs w:val="24"/>
        </w:rPr>
      </w:pPr>
      <w:r>
        <w:rPr>
          <w:szCs w:val="24"/>
        </w:rPr>
        <w:tab/>
        <w:t xml:space="preserve">809.  </w:t>
      </w:r>
      <w:r>
        <w:rPr>
          <w:rFonts w:hint="eastAsia"/>
          <w:szCs w:val="24"/>
        </w:rPr>
        <w:t>廉政公署在担当调查专员角色方面的职责和权力均有所增加。廉政公署继续负起促使人的权利、自由、保障和正当利益受保护的职责，确保公共权力的行使符合公正、合法性和效率等准则，今天，更具有在本身职责范围内进行刑事侦查的独立权力。</w:t>
      </w:r>
    </w:p>
    <w:p w:rsidR="00000000" w:rsidRDefault="00000000">
      <w:pPr>
        <w:rPr>
          <w:szCs w:val="24"/>
        </w:rPr>
      </w:pPr>
      <w:r>
        <w:rPr>
          <w:szCs w:val="24"/>
        </w:rPr>
        <w:tab/>
        <w:t xml:space="preserve">810.  </w:t>
      </w:r>
      <w:r>
        <w:rPr>
          <w:rFonts w:hint="eastAsia"/>
          <w:szCs w:val="24"/>
        </w:rPr>
        <w:t>近年来，适用于澳门的关于人权的公约一直得到广泛的宣传。先后于</w:t>
      </w:r>
      <w:r>
        <w:rPr>
          <w:szCs w:val="24"/>
        </w:rPr>
        <w:t>1997</w:t>
      </w:r>
      <w:r>
        <w:rPr>
          <w:rFonts w:hint="eastAsia"/>
          <w:szCs w:val="24"/>
        </w:rPr>
        <w:t>年</w:t>
      </w:r>
      <w:r>
        <w:rPr>
          <w:szCs w:val="24"/>
        </w:rPr>
        <w:t>2</w:t>
      </w:r>
      <w:r>
        <w:rPr>
          <w:rFonts w:hint="eastAsia"/>
          <w:szCs w:val="24"/>
        </w:rPr>
        <w:t>月、</w:t>
      </w:r>
      <w:r>
        <w:rPr>
          <w:szCs w:val="24"/>
        </w:rPr>
        <w:t>1999</w:t>
      </w:r>
      <w:r>
        <w:rPr>
          <w:rFonts w:hint="eastAsia"/>
          <w:szCs w:val="24"/>
        </w:rPr>
        <w:t>年</w:t>
      </w:r>
      <w:r>
        <w:rPr>
          <w:szCs w:val="24"/>
        </w:rPr>
        <w:t>4</w:t>
      </w:r>
      <w:r>
        <w:rPr>
          <w:rFonts w:hint="eastAsia"/>
          <w:szCs w:val="24"/>
        </w:rPr>
        <w:t>月、</w:t>
      </w:r>
      <w:r>
        <w:rPr>
          <w:szCs w:val="24"/>
        </w:rPr>
        <w:t>2001</w:t>
      </w:r>
      <w:r>
        <w:rPr>
          <w:rFonts w:hint="eastAsia"/>
          <w:szCs w:val="24"/>
        </w:rPr>
        <w:t>年</w:t>
      </w:r>
      <w:r>
        <w:rPr>
          <w:szCs w:val="24"/>
        </w:rPr>
        <w:t>7</w:t>
      </w:r>
      <w:r>
        <w:rPr>
          <w:rFonts w:hint="eastAsia"/>
          <w:szCs w:val="24"/>
        </w:rPr>
        <w:t>月、</w:t>
      </w:r>
      <w:r>
        <w:rPr>
          <w:szCs w:val="24"/>
        </w:rPr>
        <w:t>2002</w:t>
      </w:r>
      <w:r>
        <w:rPr>
          <w:rFonts w:hint="eastAsia"/>
          <w:szCs w:val="24"/>
        </w:rPr>
        <w:t>年</w:t>
      </w:r>
      <w:r>
        <w:rPr>
          <w:szCs w:val="24"/>
        </w:rPr>
        <w:t>6</w:t>
      </w:r>
      <w:r>
        <w:rPr>
          <w:rFonts w:hint="eastAsia"/>
          <w:szCs w:val="24"/>
        </w:rPr>
        <w:t>月和</w:t>
      </w:r>
      <w:r>
        <w:rPr>
          <w:szCs w:val="24"/>
        </w:rPr>
        <w:t>8</w:t>
      </w:r>
      <w:r>
        <w:rPr>
          <w:rFonts w:hint="eastAsia"/>
          <w:szCs w:val="24"/>
        </w:rPr>
        <w:t>月，以两种正式语文</w:t>
      </w:r>
      <w:r>
        <w:rPr>
          <w:szCs w:val="24"/>
        </w:rPr>
        <w:t>(</w:t>
      </w:r>
      <w:r>
        <w:rPr>
          <w:rFonts w:hint="eastAsia"/>
          <w:szCs w:val="24"/>
        </w:rPr>
        <w:t>中文和葡文</w:t>
      </w:r>
      <w:r>
        <w:rPr>
          <w:szCs w:val="24"/>
        </w:rPr>
        <w:t>)</w:t>
      </w:r>
      <w:r>
        <w:rPr>
          <w:rFonts w:hint="eastAsia"/>
          <w:szCs w:val="24"/>
        </w:rPr>
        <w:t>印制公约，并向市民派发。</w:t>
      </w:r>
    </w:p>
    <w:p w:rsidR="00000000" w:rsidRDefault="00000000">
      <w:r>
        <w:rPr>
          <w:szCs w:val="24"/>
        </w:rPr>
        <w:tab/>
        <w:t xml:space="preserve">811.  </w:t>
      </w:r>
      <w:r>
        <w:rPr>
          <w:rFonts w:hint="eastAsia"/>
          <w:szCs w:val="24"/>
        </w:rPr>
        <w:t>此外，亦有印发以人权作专题的宣传单张和小册子，计有：基本权利</w:t>
      </w:r>
      <w:r>
        <w:rPr>
          <w:szCs w:val="24"/>
        </w:rPr>
        <w:t>(1996</w:t>
      </w:r>
      <w:r>
        <w:rPr>
          <w:rFonts w:hint="eastAsia"/>
          <w:szCs w:val="24"/>
        </w:rPr>
        <w:t>年、</w:t>
      </w:r>
      <w:r>
        <w:rPr>
          <w:szCs w:val="24"/>
        </w:rPr>
        <w:t>2000</w:t>
      </w:r>
      <w:r>
        <w:rPr>
          <w:rFonts w:hint="eastAsia"/>
          <w:szCs w:val="24"/>
        </w:rPr>
        <w:t>年和</w:t>
      </w:r>
      <w:r>
        <w:rPr>
          <w:szCs w:val="24"/>
        </w:rPr>
        <w:t>2001</w:t>
      </w:r>
      <w:r>
        <w:rPr>
          <w:rFonts w:hint="eastAsia"/>
          <w:szCs w:val="24"/>
        </w:rPr>
        <w:t>年</w:t>
      </w:r>
      <w:r>
        <w:rPr>
          <w:szCs w:val="24"/>
        </w:rPr>
        <w:t>)</w:t>
      </w:r>
      <w:r>
        <w:rPr>
          <w:rFonts w:hint="eastAsia"/>
          <w:szCs w:val="24"/>
        </w:rPr>
        <w:t>；儿童权利</w:t>
      </w:r>
      <w:r>
        <w:rPr>
          <w:szCs w:val="24"/>
        </w:rPr>
        <w:t>(1998</w:t>
      </w:r>
      <w:r>
        <w:rPr>
          <w:rFonts w:hint="eastAsia"/>
          <w:szCs w:val="24"/>
        </w:rPr>
        <w:t>年和</w:t>
      </w:r>
      <w:r>
        <w:rPr>
          <w:szCs w:val="24"/>
        </w:rPr>
        <w:t>2001</w:t>
      </w:r>
      <w:r>
        <w:rPr>
          <w:rFonts w:hint="eastAsia"/>
          <w:szCs w:val="24"/>
        </w:rPr>
        <w:t>年</w:t>
      </w:r>
      <w:r>
        <w:rPr>
          <w:szCs w:val="24"/>
        </w:rPr>
        <w:t>)</w:t>
      </w:r>
      <w:r>
        <w:rPr>
          <w:rFonts w:hint="eastAsia"/>
          <w:szCs w:val="24"/>
        </w:rPr>
        <w:t>；家庭权利</w:t>
      </w:r>
      <w:r>
        <w:rPr>
          <w:szCs w:val="24"/>
        </w:rPr>
        <w:t>(1998</w:t>
      </w:r>
      <w:r>
        <w:rPr>
          <w:rFonts w:hint="eastAsia"/>
          <w:szCs w:val="24"/>
        </w:rPr>
        <w:t>年、</w:t>
      </w:r>
      <w:r>
        <w:rPr>
          <w:szCs w:val="24"/>
        </w:rPr>
        <w:t>2001</w:t>
      </w:r>
      <w:r>
        <w:rPr>
          <w:rFonts w:hint="eastAsia"/>
          <w:szCs w:val="24"/>
        </w:rPr>
        <w:t>年和</w:t>
      </w:r>
      <w:r>
        <w:rPr>
          <w:szCs w:val="24"/>
        </w:rPr>
        <w:t>2002</w:t>
      </w:r>
      <w:r>
        <w:rPr>
          <w:rFonts w:hint="eastAsia"/>
          <w:szCs w:val="24"/>
        </w:rPr>
        <w:t>年</w:t>
      </w:r>
      <w:r>
        <w:rPr>
          <w:szCs w:val="24"/>
        </w:rPr>
        <w:t>)</w:t>
      </w:r>
      <w:r>
        <w:rPr>
          <w:rFonts w:hint="eastAsia"/>
          <w:szCs w:val="24"/>
        </w:rPr>
        <w:t>：劳动法</w:t>
      </w:r>
      <w:r>
        <w:rPr>
          <w:szCs w:val="24"/>
        </w:rPr>
        <w:t>(1998</w:t>
      </w:r>
      <w:r>
        <w:rPr>
          <w:rFonts w:hint="eastAsia"/>
          <w:szCs w:val="24"/>
        </w:rPr>
        <w:t>年至</w:t>
      </w:r>
      <w:r>
        <w:rPr>
          <w:szCs w:val="24"/>
        </w:rPr>
        <w:t>2001</w:t>
      </w:r>
      <w:r>
        <w:rPr>
          <w:rFonts w:hint="eastAsia"/>
          <w:szCs w:val="24"/>
        </w:rPr>
        <w:t>年</w:t>
      </w:r>
      <w:r>
        <w:rPr>
          <w:szCs w:val="24"/>
        </w:rPr>
        <w:t>)</w:t>
      </w:r>
      <w:r>
        <w:rPr>
          <w:rFonts w:hint="eastAsia"/>
          <w:szCs w:val="24"/>
        </w:rPr>
        <w:t>；财产权</w:t>
      </w:r>
      <w:r>
        <w:rPr>
          <w:szCs w:val="24"/>
        </w:rPr>
        <w:t>(1997</w:t>
      </w:r>
      <w:r>
        <w:rPr>
          <w:rFonts w:hint="eastAsia"/>
          <w:szCs w:val="24"/>
        </w:rPr>
        <w:t>年</w:t>
      </w:r>
      <w:r>
        <w:rPr>
          <w:szCs w:val="24"/>
        </w:rPr>
        <w:t>)</w:t>
      </w:r>
      <w:r>
        <w:rPr>
          <w:rFonts w:hint="eastAsia"/>
          <w:szCs w:val="24"/>
        </w:rPr>
        <w:t>；法律对儿童和青少年的重要性</w:t>
      </w:r>
      <w:r>
        <w:rPr>
          <w:szCs w:val="24"/>
        </w:rPr>
        <w:t>(2000</w:t>
      </w:r>
      <w:r>
        <w:rPr>
          <w:rFonts w:hint="eastAsia"/>
          <w:szCs w:val="24"/>
        </w:rPr>
        <w:t>年至</w:t>
      </w:r>
      <w:r>
        <w:rPr>
          <w:szCs w:val="24"/>
        </w:rPr>
        <w:t>2002</w:t>
      </w:r>
      <w:r>
        <w:rPr>
          <w:rFonts w:hint="eastAsia"/>
          <w:szCs w:val="24"/>
        </w:rPr>
        <w:t>年</w:t>
      </w:r>
      <w:r>
        <w:rPr>
          <w:szCs w:val="24"/>
        </w:rPr>
        <w:t>)</w:t>
      </w:r>
      <w:r>
        <w:rPr>
          <w:rFonts w:hint="eastAsia"/>
          <w:szCs w:val="24"/>
        </w:rPr>
        <w:t>；司法援助制度</w:t>
      </w:r>
      <w:r>
        <w:rPr>
          <w:szCs w:val="24"/>
        </w:rPr>
        <w:t>(1997</w:t>
      </w:r>
      <w:r>
        <w:rPr>
          <w:rFonts w:hint="eastAsia"/>
          <w:szCs w:val="24"/>
        </w:rPr>
        <w:t>年和</w:t>
      </w:r>
      <w:r>
        <w:rPr>
          <w:szCs w:val="24"/>
        </w:rPr>
        <w:t>2002</w:t>
      </w:r>
      <w:r>
        <w:rPr>
          <w:rFonts w:hint="eastAsia"/>
          <w:szCs w:val="24"/>
        </w:rPr>
        <w:t>年</w:t>
      </w:r>
      <w:r>
        <w:rPr>
          <w:szCs w:val="24"/>
        </w:rPr>
        <w:t>)</w:t>
      </w:r>
      <w:r>
        <w:rPr>
          <w:rFonts w:hint="eastAsia"/>
          <w:szCs w:val="24"/>
        </w:rPr>
        <w:t>；澳门特别行政区法律制度</w:t>
      </w:r>
      <w:r>
        <w:rPr>
          <w:szCs w:val="24"/>
        </w:rPr>
        <w:t>(1997</w:t>
      </w:r>
      <w:r>
        <w:rPr>
          <w:rFonts w:hint="eastAsia"/>
          <w:szCs w:val="24"/>
        </w:rPr>
        <w:t>年、</w:t>
      </w:r>
      <w:r>
        <w:rPr>
          <w:szCs w:val="24"/>
        </w:rPr>
        <w:t>1999</w:t>
      </w:r>
      <w:r>
        <w:rPr>
          <w:rFonts w:hint="eastAsia"/>
          <w:szCs w:val="24"/>
        </w:rPr>
        <w:t>年至</w:t>
      </w:r>
      <w:r>
        <w:rPr>
          <w:szCs w:val="24"/>
        </w:rPr>
        <w:t>2002</w:t>
      </w:r>
      <w:r>
        <w:rPr>
          <w:rFonts w:hint="eastAsia"/>
          <w:szCs w:val="24"/>
        </w:rPr>
        <w:t>年</w:t>
      </w:r>
      <w:r>
        <w:rPr>
          <w:szCs w:val="24"/>
        </w:rPr>
        <w:t>)</w:t>
      </w:r>
      <w:r>
        <w:rPr>
          <w:rFonts w:hint="eastAsia"/>
          <w:szCs w:val="24"/>
        </w:rPr>
        <w:t>；社会保障制度</w:t>
      </w:r>
      <w:r>
        <w:rPr>
          <w:szCs w:val="24"/>
        </w:rPr>
        <w:t>(1999</w:t>
      </w:r>
      <w:r>
        <w:rPr>
          <w:rFonts w:hint="eastAsia"/>
          <w:szCs w:val="24"/>
        </w:rPr>
        <w:t>年和</w:t>
      </w:r>
      <w:r>
        <w:rPr>
          <w:szCs w:val="24"/>
        </w:rPr>
        <w:t>2002</w:t>
      </w:r>
      <w:r>
        <w:rPr>
          <w:rFonts w:hint="eastAsia"/>
          <w:szCs w:val="24"/>
        </w:rPr>
        <w:t>年</w:t>
      </w:r>
      <w:r>
        <w:rPr>
          <w:szCs w:val="24"/>
        </w:rPr>
        <w:t>)</w:t>
      </w:r>
      <w:r>
        <w:rPr>
          <w:rFonts w:hint="eastAsia"/>
          <w:szCs w:val="24"/>
        </w:rPr>
        <w:t>。</w:t>
      </w:r>
    </w:p>
    <w:p w:rsidR="00000000" w:rsidRDefault="00000000">
      <w:pPr>
        <w:rPr>
          <w:szCs w:val="24"/>
        </w:rPr>
      </w:pPr>
      <w:r>
        <w:tab/>
        <w:t>812.  2001</w:t>
      </w:r>
      <w:r>
        <w:rPr>
          <w:rFonts w:hint="eastAsia"/>
        </w:rPr>
        <w:t>年</w:t>
      </w:r>
      <w:r>
        <w:t>5</w:t>
      </w:r>
      <w:r>
        <w:rPr>
          <w:rFonts w:hint="eastAsia"/>
        </w:rPr>
        <w:t>月，立法会制作并出版了澳门特别行政区关于人权方面较重要</w:t>
      </w:r>
      <w:r>
        <w:rPr>
          <w:rFonts w:hint="eastAsia"/>
          <w:szCs w:val="24"/>
        </w:rPr>
        <w:t>的法律的汇编，例如，结社权、《家庭政策纲要法》、《就业政策及劳工权利纲要法》、言论自由和宗教自由，等等。</w:t>
      </w:r>
    </w:p>
    <w:p w:rsidR="00000000" w:rsidRDefault="00000000">
      <w:pPr>
        <w:rPr>
          <w:szCs w:val="24"/>
        </w:rPr>
      </w:pPr>
      <w:r>
        <w:rPr>
          <w:szCs w:val="24"/>
        </w:rPr>
        <w:tab/>
        <w:t xml:space="preserve">813.  </w:t>
      </w:r>
      <w:r>
        <w:rPr>
          <w:rFonts w:hint="eastAsia"/>
          <w:szCs w:val="24"/>
        </w:rPr>
        <w:t>澳门特别行政区政府亦采取了其他措施，在当地社区和学校宣传关于基本权利的意识并提供相关的资讯，尤其是通过传播媒介、比赛、调查、互动节目、政府网页、印务局网页、</w:t>
      </w:r>
      <w:r>
        <w:rPr>
          <w:szCs w:val="24"/>
        </w:rPr>
        <w:t>(</w:t>
      </w:r>
      <w:r>
        <w:rPr>
          <w:rFonts w:hint="eastAsia"/>
          <w:szCs w:val="24"/>
        </w:rPr>
        <w:t>以两种正式语文和英文印制的</w:t>
      </w:r>
      <w:r>
        <w:rPr>
          <w:szCs w:val="24"/>
        </w:rPr>
        <w:t>)</w:t>
      </w:r>
      <w:r>
        <w:rPr>
          <w:rFonts w:hint="eastAsia"/>
          <w:szCs w:val="24"/>
        </w:rPr>
        <w:t>法例汇编光碟等不同方式进行宣传。</w:t>
      </w:r>
    </w:p>
    <w:p w:rsidR="00000000" w:rsidRDefault="00000000">
      <w:pPr>
        <w:rPr>
          <w:szCs w:val="24"/>
        </w:rPr>
      </w:pPr>
      <w:r>
        <w:rPr>
          <w:szCs w:val="24"/>
        </w:rPr>
        <w:tab/>
        <w:t xml:space="preserve">814.  </w:t>
      </w:r>
      <w:r>
        <w:rPr>
          <w:rFonts w:hint="eastAsia"/>
          <w:szCs w:val="24"/>
        </w:rPr>
        <w:t>在上述网页中，可查阅多个国际公约的文本、全国性法律、《基本法》和澳门特别行政区的重要法典</w:t>
      </w:r>
      <w:r>
        <w:rPr>
          <w:szCs w:val="24"/>
        </w:rPr>
        <w:t>(</w:t>
      </w:r>
      <w:r>
        <w:rPr>
          <w:rFonts w:hint="eastAsia"/>
          <w:szCs w:val="24"/>
        </w:rPr>
        <w:t>例如，《民法典》、《刑法典》、《民事诉讼法典》、《刑事诉讼法典》，等等</w:t>
      </w:r>
      <w:r>
        <w:rPr>
          <w:szCs w:val="24"/>
        </w:rPr>
        <w:t>)</w:t>
      </w:r>
      <w:r>
        <w:rPr>
          <w:rFonts w:hint="eastAsia"/>
          <w:szCs w:val="24"/>
        </w:rPr>
        <w:t>。</w:t>
      </w:r>
    </w:p>
    <w:p w:rsidR="00000000" w:rsidRDefault="00000000">
      <w:pPr>
        <w:spacing w:after="320"/>
        <w:rPr>
          <w:rFonts w:hint="eastAsia"/>
          <w:szCs w:val="24"/>
        </w:rPr>
      </w:pPr>
      <w:r>
        <w:rPr>
          <w:szCs w:val="24"/>
        </w:rPr>
        <w:tab/>
        <w:t xml:space="preserve">815.  </w:t>
      </w:r>
      <w:r>
        <w:rPr>
          <w:rFonts w:hint="eastAsia"/>
          <w:szCs w:val="24"/>
        </w:rPr>
        <w:t>近年来，传播媒介在社会上发挥着重要的功能，通过举办不同的宣传活动，尤其是为在澳门占大多数的社群</w:t>
      </w:r>
      <w:r>
        <w:rPr>
          <w:szCs w:val="24"/>
        </w:rPr>
        <w:t>(</w:t>
      </w:r>
      <w:r>
        <w:rPr>
          <w:rFonts w:hint="eastAsia"/>
          <w:szCs w:val="24"/>
        </w:rPr>
        <w:t>华人社群</w:t>
      </w:r>
      <w:r>
        <w:rPr>
          <w:szCs w:val="24"/>
        </w:rPr>
        <w:t>)</w:t>
      </w:r>
      <w:r>
        <w:rPr>
          <w:rFonts w:hint="eastAsia"/>
          <w:szCs w:val="24"/>
        </w:rPr>
        <w:t>而举办的活动，提供关于基本人权的资讯和加深市民对澳门特别行政区法律制度的认识。</w:t>
      </w:r>
    </w:p>
    <w:p w:rsidR="00000000" w:rsidRDefault="00000000">
      <w:pPr>
        <w:pStyle w:val="Heading3"/>
        <w:rPr>
          <w:rFonts w:ascii="Time New Roman" w:eastAsia="SimHei" w:hAnsi="Time New Roman"/>
          <w:u w:val="none"/>
        </w:rPr>
      </w:pPr>
      <w:bookmarkStart w:id="60" w:name="_Toc78772969"/>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三</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男女享有平等的权利</w:t>
      </w:r>
      <w:bookmarkEnd w:id="60"/>
    </w:p>
    <w:p w:rsidR="00000000" w:rsidRDefault="00000000">
      <w:pPr>
        <w:rPr>
          <w:szCs w:val="24"/>
        </w:rPr>
      </w:pPr>
      <w:r>
        <w:tab/>
      </w:r>
      <w:r>
        <w:rPr>
          <w:szCs w:val="24"/>
        </w:rPr>
        <w:t xml:space="preserve">816.  </w:t>
      </w:r>
      <w:r>
        <w:rPr>
          <w:rFonts w:hint="eastAsia"/>
          <w:szCs w:val="24"/>
        </w:rPr>
        <w:t>如上文所述，《基本法》第二十五条禁止一切形式的歧视，包括性别歧视。此外，《基本法》第三十八条第二款特别规定，妇女的合法权益受到保护。另一方面，澳门特别行政区的法律制度属民法法系的制度，特点是以一系列基本原则，如法律面前人人平等原则，作为整个制度的根基。</w:t>
      </w:r>
    </w:p>
    <w:p w:rsidR="00000000" w:rsidRDefault="00000000">
      <w:pPr>
        <w:rPr>
          <w:szCs w:val="24"/>
        </w:rPr>
      </w:pPr>
      <w:r>
        <w:rPr>
          <w:szCs w:val="24"/>
        </w:rPr>
        <w:tab/>
        <w:t xml:space="preserve">817.  </w:t>
      </w:r>
      <w:r>
        <w:rPr>
          <w:rFonts w:hint="eastAsia"/>
          <w:szCs w:val="24"/>
        </w:rPr>
        <w:t>关于男女平等方面，在澳门特别行政区适用多个国际公约，例如，</w:t>
      </w:r>
      <w:r>
        <w:rPr>
          <w:szCs w:val="24"/>
        </w:rPr>
        <w:t>1960</w:t>
      </w:r>
      <w:r>
        <w:rPr>
          <w:rFonts w:hint="eastAsia"/>
          <w:szCs w:val="24"/>
        </w:rPr>
        <w:t>年《取缔教育歧视公约》、</w:t>
      </w:r>
      <w:r>
        <w:rPr>
          <w:szCs w:val="24"/>
        </w:rPr>
        <w:t>1965</w:t>
      </w:r>
      <w:r>
        <w:rPr>
          <w:rFonts w:hint="eastAsia"/>
          <w:szCs w:val="24"/>
        </w:rPr>
        <w:t>年《消除一切形式种族歧视国际公约》、</w:t>
      </w:r>
      <w:r>
        <w:rPr>
          <w:szCs w:val="24"/>
        </w:rPr>
        <w:t>1979</w:t>
      </w:r>
      <w:r>
        <w:rPr>
          <w:rFonts w:hint="eastAsia"/>
          <w:szCs w:val="24"/>
        </w:rPr>
        <w:t>年《消除对妇女一切形式歧视公约》、</w:t>
      </w:r>
      <w:r>
        <w:rPr>
          <w:szCs w:val="24"/>
        </w:rPr>
        <w:t>1951</w:t>
      </w:r>
      <w:r>
        <w:rPr>
          <w:rFonts w:hint="eastAsia"/>
          <w:szCs w:val="24"/>
        </w:rPr>
        <w:t>年《对男女工人同等价值的工作付予同等报酬公约》</w:t>
      </w:r>
      <w:r>
        <w:rPr>
          <w:szCs w:val="24"/>
        </w:rPr>
        <w:t>(</w:t>
      </w:r>
      <w:r>
        <w:rPr>
          <w:rFonts w:hint="eastAsia"/>
          <w:szCs w:val="24"/>
        </w:rPr>
        <w:t>国际劳工组织第</w:t>
      </w:r>
      <w:r>
        <w:rPr>
          <w:szCs w:val="24"/>
        </w:rPr>
        <w:t>100</w:t>
      </w:r>
      <w:r>
        <w:rPr>
          <w:rFonts w:hint="eastAsia"/>
          <w:szCs w:val="24"/>
        </w:rPr>
        <w:t>号公约</w:t>
      </w:r>
      <w:r>
        <w:rPr>
          <w:szCs w:val="24"/>
        </w:rPr>
        <w:t>)</w:t>
      </w:r>
      <w:r>
        <w:rPr>
          <w:rFonts w:hint="eastAsia"/>
          <w:szCs w:val="24"/>
        </w:rPr>
        <w:t>、</w:t>
      </w:r>
      <w:r>
        <w:rPr>
          <w:szCs w:val="24"/>
        </w:rPr>
        <w:t>1958</w:t>
      </w:r>
      <w:r>
        <w:rPr>
          <w:rFonts w:hint="eastAsia"/>
          <w:szCs w:val="24"/>
        </w:rPr>
        <w:t>年《关于就业和职业歧视的公约》</w:t>
      </w:r>
      <w:r>
        <w:rPr>
          <w:szCs w:val="24"/>
        </w:rPr>
        <w:t>(</w:t>
      </w:r>
      <w:r>
        <w:rPr>
          <w:rFonts w:hint="eastAsia"/>
          <w:szCs w:val="24"/>
        </w:rPr>
        <w:t>国际劳工组织第</w:t>
      </w:r>
      <w:r>
        <w:rPr>
          <w:szCs w:val="24"/>
        </w:rPr>
        <w:t>111</w:t>
      </w:r>
      <w:r>
        <w:rPr>
          <w:rFonts w:hint="eastAsia"/>
          <w:szCs w:val="24"/>
        </w:rPr>
        <w:t>号公约</w:t>
      </w:r>
      <w:r>
        <w:rPr>
          <w:szCs w:val="24"/>
        </w:rPr>
        <w:t>)</w:t>
      </w:r>
      <w:r>
        <w:rPr>
          <w:rFonts w:hint="eastAsia"/>
          <w:szCs w:val="24"/>
        </w:rPr>
        <w:t>。</w:t>
      </w:r>
    </w:p>
    <w:p w:rsidR="00000000" w:rsidRDefault="00000000">
      <w:pPr>
        <w:rPr>
          <w:szCs w:val="24"/>
        </w:rPr>
      </w:pPr>
      <w:r>
        <w:rPr>
          <w:szCs w:val="24"/>
        </w:rPr>
        <w:tab/>
        <w:t xml:space="preserve">818.  </w:t>
      </w:r>
      <w:r>
        <w:rPr>
          <w:rFonts w:hint="eastAsia"/>
          <w:szCs w:val="24"/>
        </w:rPr>
        <w:t>民法并无规定男女在法律人格和权利能力与行为能力方面，尤其是在缔结婚姻、婚姻财产制、拥有财产的能力、订立合同的权利和继承权等事宜上有任何区分。</w:t>
      </w:r>
    </w:p>
    <w:p w:rsidR="00000000" w:rsidRDefault="00000000">
      <w:pPr>
        <w:rPr>
          <w:szCs w:val="24"/>
        </w:rPr>
      </w:pPr>
      <w:r>
        <w:rPr>
          <w:szCs w:val="24"/>
        </w:rPr>
        <w:tab/>
        <w:t xml:space="preserve">819.  </w:t>
      </w:r>
      <w:r>
        <w:rPr>
          <w:rFonts w:hint="eastAsia"/>
          <w:szCs w:val="24"/>
        </w:rPr>
        <w:t>男女平等亦是澳门特别行政区教育制度的基本原则之一，确保男女在平等基础上接受教育。</w:t>
      </w:r>
    </w:p>
    <w:p w:rsidR="00000000" w:rsidRDefault="00000000">
      <w:pPr>
        <w:rPr>
          <w:szCs w:val="24"/>
        </w:rPr>
      </w:pPr>
      <w:r>
        <w:rPr>
          <w:szCs w:val="24"/>
        </w:rPr>
        <w:tab/>
        <w:t xml:space="preserve">820.  </w:t>
      </w:r>
      <w:r>
        <w:rPr>
          <w:rFonts w:hint="eastAsia"/>
          <w:szCs w:val="24"/>
        </w:rPr>
        <w:t>在劳动法方面，有一系列订定反歧视</w:t>
      </w:r>
      <w:r>
        <w:rPr>
          <w:szCs w:val="24"/>
        </w:rPr>
        <w:t>(</w:t>
      </w:r>
      <w:r>
        <w:rPr>
          <w:rFonts w:hint="eastAsia"/>
          <w:szCs w:val="24"/>
        </w:rPr>
        <w:t>预防和监控</w:t>
      </w:r>
      <w:r>
        <w:rPr>
          <w:szCs w:val="24"/>
        </w:rPr>
        <w:t>)</w:t>
      </w:r>
      <w:r>
        <w:rPr>
          <w:rFonts w:hint="eastAsia"/>
          <w:szCs w:val="24"/>
        </w:rPr>
        <w:t>措施的规定，使所有劳动者均能获得平等的待遇，不因性别或任何其他因素而受到歧视。这项禁止歧视的原则包含了工作机会均等、在工作地点的待遇均等、同等价值的工作获付予同等报酬、接受职业培训方面的机会均等等内容。在本报告谈及公约第六条和第七条所规范的事宜时，将就这课题作更详细的论述。</w:t>
      </w:r>
    </w:p>
    <w:p w:rsidR="00000000" w:rsidRDefault="00000000">
      <w:pPr>
        <w:rPr>
          <w:szCs w:val="24"/>
        </w:rPr>
      </w:pPr>
      <w:r>
        <w:rPr>
          <w:szCs w:val="24"/>
        </w:rPr>
        <w:tab/>
        <w:t xml:space="preserve">821.  </w:t>
      </w:r>
      <w:r>
        <w:rPr>
          <w:rFonts w:hint="eastAsia"/>
          <w:szCs w:val="24"/>
        </w:rPr>
        <w:t>应注意的是，为纠正不平等情况而作出具积极意义的歧视是可以接受的，在这情况下，可因应优惠某一性别的实际需要而订定合理的特别规定</w:t>
      </w:r>
      <w:r>
        <w:rPr>
          <w:szCs w:val="24"/>
        </w:rPr>
        <w:t>(</w:t>
      </w:r>
      <w:r>
        <w:rPr>
          <w:rFonts w:hint="eastAsia"/>
          <w:szCs w:val="24"/>
        </w:rPr>
        <w:t>规范劳资关系的</w:t>
      </w:r>
      <w:r>
        <w:rPr>
          <w:szCs w:val="24"/>
        </w:rPr>
        <w:t>4</w:t>
      </w:r>
      <w:r>
        <w:rPr>
          <w:rFonts w:hint="eastAsia"/>
          <w:szCs w:val="24"/>
        </w:rPr>
        <w:t>月</w:t>
      </w:r>
      <w:r>
        <w:rPr>
          <w:szCs w:val="24"/>
        </w:rPr>
        <w:t>3</w:t>
      </w:r>
      <w:r>
        <w:rPr>
          <w:rFonts w:hint="eastAsia"/>
          <w:szCs w:val="24"/>
        </w:rPr>
        <w:t>日第</w:t>
      </w:r>
      <w:r>
        <w:rPr>
          <w:szCs w:val="24"/>
        </w:rPr>
        <w:t>24/89/M</w:t>
      </w:r>
      <w:r>
        <w:rPr>
          <w:rFonts w:hint="eastAsia"/>
          <w:szCs w:val="24"/>
        </w:rPr>
        <w:t>号法令第三十四条第三款</w:t>
      </w:r>
      <w:r>
        <w:rPr>
          <w:szCs w:val="24"/>
        </w:rPr>
        <w:t>)</w:t>
      </w:r>
      <w:r>
        <w:rPr>
          <w:rFonts w:hint="eastAsia"/>
          <w:szCs w:val="24"/>
        </w:rPr>
        <w:t>。</w:t>
      </w:r>
    </w:p>
    <w:p w:rsidR="00000000" w:rsidRDefault="00000000">
      <w:pPr>
        <w:spacing w:after="320"/>
        <w:rPr>
          <w:rFonts w:hint="eastAsia"/>
          <w:szCs w:val="24"/>
        </w:rPr>
      </w:pPr>
      <w:r>
        <w:rPr>
          <w:szCs w:val="24"/>
        </w:rPr>
        <w:tab/>
        <w:t xml:space="preserve">822.  </w:t>
      </w:r>
      <w:r>
        <w:rPr>
          <w:rFonts w:hint="eastAsia"/>
          <w:szCs w:val="24"/>
        </w:rPr>
        <w:t>在移民法方面，不存在可被视为歧视女性的任何规定。女性和男性均有同等的权利与义务，在进出澳门特别行政区方面并无任何限制。</w:t>
      </w:r>
    </w:p>
    <w:p w:rsidR="00000000" w:rsidRDefault="00000000">
      <w:pPr>
        <w:pStyle w:val="Heading3"/>
        <w:rPr>
          <w:rFonts w:ascii="Time New Roman" w:eastAsia="SimHei" w:hAnsi="Time New Roman" w:hint="eastAsia"/>
          <w:u w:val="none"/>
        </w:rPr>
      </w:pPr>
      <w:bookmarkStart w:id="61" w:name="_Toc78772970"/>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四</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容许对公约所载权利作出的限制</w:t>
      </w:r>
      <w:bookmarkEnd w:id="61"/>
    </w:p>
    <w:p w:rsidR="00000000" w:rsidRDefault="00000000">
      <w:pPr>
        <w:rPr>
          <w:szCs w:val="24"/>
        </w:rPr>
      </w:pPr>
      <w:r>
        <w:tab/>
      </w:r>
      <w:r>
        <w:rPr>
          <w:szCs w:val="24"/>
        </w:rPr>
        <w:t xml:space="preserve">823.  </w:t>
      </w:r>
      <w:r>
        <w:rPr>
          <w:rFonts w:hint="eastAsia"/>
          <w:szCs w:val="24"/>
        </w:rPr>
        <w:t>按照《基本法》第十四条的规定，中央人民政府负责管理澳门特别行政区的防务，而澳门特别行政区政府则负责维持澳门特别行政区的社会治安。</w:t>
      </w:r>
    </w:p>
    <w:p w:rsidR="00000000" w:rsidRDefault="00000000">
      <w:pPr>
        <w:rPr>
          <w:szCs w:val="24"/>
        </w:rPr>
      </w:pPr>
      <w:r>
        <w:rPr>
          <w:szCs w:val="24"/>
        </w:rPr>
        <w:tab/>
        <w:t xml:space="preserve">824.  </w:t>
      </w:r>
      <w:r>
        <w:rPr>
          <w:rFonts w:hint="eastAsia"/>
          <w:szCs w:val="24"/>
        </w:rPr>
        <w:t>在全国人民代表大会常务委员会决定宣布战争状态或因澳门特别行政区内发生澳门特别行政区政府不能控制的危及国家统一或安全的动乱而决定澳门特别行政区进入紧急状态时，中央政府可发布命令将有关全国性法律在澳门特别行政区实施</w:t>
      </w:r>
      <w:r>
        <w:rPr>
          <w:szCs w:val="24"/>
        </w:rPr>
        <w:t>(</w:t>
      </w:r>
      <w:r>
        <w:rPr>
          <w:rFonts w:hint="eastAsia"/>
          <w:szCs w:val="24"/>
        </w:rPr>
        <w:t>《基本法》第十八条第四款</w:t>
      </w:r>
      <w:r>
        <w:rPr>
          <w:szCs w:val="24"/>
        </w:rPr>
        <w:t>)</w:t>
      </w:r>
      <w:r>
        <w:rPr>
          <w:rFonts w:hint="eastAsia"/>
          <w:szCs w:val="24"/>
        </w:rPr>
        <w:t>。</w:t>
      </w:r>
    </w:p>
    <w:p w:rsidR="00000000" w:rsidRDefault="00000000">
      <w:pPr>
        <w:rPr>
          <w:szCs w:val="24"/>
        </w:rPr>
      </w:pPr>
      <w:r>
        <w:rPr>
          <w:szCs w:val="24"/>
        </w:rPr>
        <w:tab/>
        <w:t xml:space="preserve">825.  </w:t>
      </w:r>
      <w:r>
        <w:rPr>
          <w:rFonts w:hint="eastAsia"/>
          <w:szCs w:val="24"/>
        </w:rPr>
        <w:t>按照</w:t>
      </w:r>
      <w:r>
        <w:rPr>
          <w:szCs w:val="24"/>
        </w:rPr>
        <w:t>12</w:t>
      </w:r>
      <w:r>
        <w:rPr>
          <w:rFonts w:hint="eastAsia"/>
          <w:szCs w:val="24"/>
        </w:rPr>
        <w:t>月</w:t>
      </w:r>
      <w:r>
        <w:rPr>
          <w:szCs w:val="24"/>
        </w:rPr>
        <w:t>9</w:t>
      </w:r>
      <w:r>
        <w:rPr>
          <w:rFonts w:hint="eastAsia"/>
          <w:szCs w:val="24"/>
        </w:rPr>
        <w:t>日第</w:t>
      </w:r>
      <w:r>
        <w:rPr>
          <w:szCs w:val="24"/>
        </w:rPr>
        <w:t>9/2002</w:t>
      </w:r>
      <w:r>
        <w:rPr>
          <w:rFonts w:hint="eastAsia"/>
          <w:szCs w:val="24"/>
        </w:rPr>
        <w:t>号法律，即《内部保安纲要法》的规定，可采取可能限制若干公民权利的例外措施，但不妨碍《基本法》第四十条的适用，因而亦不妨碍公约第四条的适用。</w:t>
      </w:r>
    </w:p>
    <w:p w:rsidR="00000000" w:rsidRDefault="00000000">
      <w:pPr>
        <w:spacing w:after="320"/>
        <w:rPr>
          <w:rFonts w:hint="eastAsia"/>
          <w:szCs w:val="24"/>
        </w:rPr>
      </w:pPr>
      <w:r>
        <w:rPr>
          <w:szCs w:val="24"/>
        </w:rPr>
        <w:tab/>
        <w:t xml:space="preserve">826.  </w:t>
      </w:r>
      <w:r>
        <w:rPr>
          <w:rFonts w:hint="eastAsia"/>
          <w:szCs w:val="24"/>
        </w:rPr>
        <w:t>经</w:t>
      </w:r>
      <w:r>
        <w:rPr>
          <w:szCs w:val="24"/>
        </w:rPr>
        <w:t>12</w:t>
      </w:r>
      <w:r>
        <w:rPr>
          <w:rFonts w:hint="eastAsia"/>
          <w:szCs w:val="24"/>
        </w:rPr>
        <w:t>月</w:t>
      </w:r>
      <w:r>
        <w:rPr>
          <w:szCs w:val="24"/>
        </w:rPr>
        <w:t>16</w:t>
      </w:r>
      <w:r>
        <w:rPr>
          <w:rFonts w:hint="eastAsia"/>
          <w:szCs w:val="24"/>
        </w:rPr>
        <w:t>日第</w:t>
      </w:r>
      <w:r>
        <w:rPr>
          <w:szCs w:val="24"/>
        </w:rPr>
        <w:t>32/2002</w:t>
      </w:r>
      <w:r>
        <w:rPr>
          <w:rFonts w:hint="eastAsia"/>
          <w:szCs w:val="24"/>
        </w:rPr>
        <w:t>号行政法规修改的</w:t>
      </w:r>
      <w:r>
        <w:rPr>
          <w:szCs w:val="24"/>
        </w:rPr>
        <w:t>9</w:t>
      </w:r>
      <w:r>
        <w:rPr>
          <w:rFonts w:hint="eastAsia"/>
          <w:szCs w:val="24"/>
        </w:rPr>
        <w:t>月</w:t>
      </w:r>
      <w:r>
        <w:rPr>
          <w:szCs w:val="24"/>
        </w:rPr>
        <w:t>28</w:t>
      </w:r>
      <w:r>
        <w:rPr>
          <w:rFonts w:hint="eastAsia"/>
          <w:szCs w:val="24"/>
        </w:rPr>
        <w:t>日第</w:t>
      </w:r>
      <w:r>
        <w:rPr>
          <w:szCs w:val="24"/>
        </w:rPr>
        <w:t>72/92/M</w:t>
      </w:r>
      <w:r>
        <w:rPr>
          <w:rFonts w:hint="eastAsia"/>
          <w:szCs w:val="24"/>
        </w:rPr>
        <w:t>号法令所规范的民防制度，容许在发生严重意外或危险、灾祸或灾难时采取紧急措施。在采用任何可能限制权利的措施时，应符合必要、适度和与既定目标相符的标准，并应遵守法律的一般原则。</w:t>
      </w:r>
    </w:p>
    <w:p w:rsidR="00000000" w:rsidRDefault="00000000">
      <w:pPr>
        <w:pStyle w:val="Heading3"/>
        <w:rPr>
          <w:rFonts w:ascii="Time New Roman" w:eastAsia="SimHei" w:hAnsi="Time New Roman"/>
          <w:u w:val="none"/>
        </w:rPr>
      </w:pPr>
      <w:bookmarkStart w:id="62" w:name="_Toc78772971"/>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五</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对公约所承认的权利的限制</w:t>
      </w:r>
      <w:bookmarkEnd w:id="62"/>
    </w:p>
    <w:p w:rsidR="00000000" w:rsidRDefault="00000000">
      <w:pPr>
        <w:rPr>
          <w:szCs w:val="24"/>
        </w:rPr>
      </w:pPr>
      <w:r>
        <w:tab/>
      </w:r>
      <w:r>
        <w:rPr>
          <w:szCs w:val="24"/>
        </w:rPr>
        <w:t xml:space="preserve">827.  </w:t>
      </w:r>
      <w:r>
        <w:rPr>
          <w:rFonts w:hint="eastAsia"/>
          <w:szCs w:val="24"/>
        </w:rPr>
        <w:t>澳门特别行政区法律体系保障个人的基本权利和自由。仅在因实际情况所需时，方可依法对个人的基本权利和自由作出限制。</w:t>
      </w:r>
    </w:p>
    <w:p w:rsidR="00000000" w:rsidRDefault="00000000">
      <w:pPr>
        <w:spacing w:after="320"/>
        <w:rPr>
          <w:rFonts w:hint="eastAsia"/>
          <w:szCs w:val="24"/>
        </w:rPr>
      </w:pPr>
      <w:r>
        <w:rPr>
          <w:szCs w:val="24"/>
        </w:rPr>
        <w:tab/>
        <w:t xml:space="preserve">828.  </w:t>
      </w:r>
      <w:r>
        <w:rPr>
          <w:rFonts w:hint="eastAsia"/>
          <w:szCs w:val="24"/>
        </w:rPr>
        <w:t>《基本法》第四十条规定公约适用于澳门特别行政区，《公民权利和政治权利国际公约》和国际劳工公约亦然，并规定澳门特别行政区居民享有的权利和自由，除依法规定外不得受到任何限制，而此种限制不得与该等公约抵触。</w:t>
      </w:r>
    </w:p>
    <w:p w:rsidR="00000000" w:rsidRDefault="00000000">
      <w:pPr>
        <w:pStyle w:val="Heading3"/>
        <w:spacing w:after="160"/>
        <w:rPr>
          <w:rFonts w:ascii="Time New Roman" w:eastAsia="SimHei" w:hAnsi="Time New Roman" w:hint="eastAsia"/>
          <w:u w:val="none"/>
        </w:rPr>
      </w:pPr>
      <w:bookmarkStart w:id="63" w:name="_Toc78772972"/>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六</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工</w:t>
      </w:r>
      <w:r>
        <w:rPr>
          <w:rFonts w:ascii="Time New Roman" w:eastAsia="SimHei" w:hAnsi="Time New Roman"/>
          <w:u w:val="none"/>
        </w:rPr>
        <w:t xml:space="preserve"> </w:t>
      </w:r>
      <w:r>
        <w:rPr>
          <w:rFonts w:ascii="Time New Roman" w:eastAsia="SimHei" w:hAnsi="Time New Roman" w:hint="eastAsia"/>
          <w:u w:val="none"/>
        </w:rPr>
        <w:t>作</w:t>
      </w:r>
      <w:r>
        <w:rPr>
          <w:rFonts w:ascii="Time New Roman" w:eastAsia="SimHei" w:hAnsi="Time New Roman"/>
          <w:u w:val="none"/>
        </w:rPr>
        <w:t xml:space="preserve"> </w:t>
      </w:r>
      <w:r>
        <w:rPr>
          <w:rFonts w:ascii="Time New Roman" w:eastAsia="SimHei" w:hAnsi="Time New Roman" w:hint="eastAsia"/>
          <w:u w:val="none"/>
        </w:rPr>
        <w:t>权</w:t>
      </w:r>
      <w:bookmarkEnd w:id="63"/>
    </w:p>
    <w:p w:rsidR="00000000" w:rsidRDefault="00000000">
      <w:pPr>
        <w:spacing w:after="160"/>
        <w:jc w:val="center"/>
      </w:pPr>
      <w:r>
        <w:t xml:space="preserve">A.  </w:t>
      </w:r>
      <w:r>
        <w:rPr>
          <w:rFonts w:hint="eastAsia"/>
          <w:u w:val="single"/>
        </w:rPr>
        <w:t>法律体制</w:t>
      </w:r>
    </w:p>
    <w:p w:rsidR="00000000" w:rsidRDefault="00000000">
      <w:pPr>
        <w:rPr>
          <w:szCs w:val="24"/>
        </w:rPr>
      </w:pPr>
      <w:r>
        <w:rPr>
          <w:szCs w:val="24"/>
        </w:rPr>
        <w:tab/>
        <w:t xml:space="preserve">829.  </w:t>
      </w:r>
      <w:r>
        <w:rPr>
          <w:rFonts w:hint="eastAsia"/>
          <w:szCs w:val="24"/>
        </w:rPr>
        <w:t>《基本法》第三十五条规定，“澳门居民有选择职业和工作的自由”。</w:t>
      </w:r>
    </w:p>
    <w:p w:rsidR="00000000" w:rsidRDefault="00000000">
      <w:pPr>
        <w:rPr>
          <w:szCs w:val="24"/>
        </w:rPr>
      </w:pPr>
      <w:r>
        <w:rPr>
          <w:szCs w:val="24"/>
        </w:rPr>
        <w:tab/>
        <w:t xml:space="preserve">830.  </w:t>
      </w:r>
      <w:r>
        <w:rPr>
          <w:rFonts w:hint="eastAsia"/>
          <w:szCs w:val="24"/>
        </w:rPr>
        <w:t>澳门特别行政区政府负责推行促进经济发展和使劳资双方达至合理平衡的政策</w:t>
      </w:r>
      <w:r>
        <w:rPr>
          <w:szCs w:val="24"/>
        </w:rPr>
        <w:t>(</w:t>
      </w:r>
      <w:r>
        <w:rPr>
          <w:rFonts w:hint="eastAsia"/>
          <w:szCs w:val="24"/>
        </w:rPr>
        <w:t>《基本法》第一百一十四条和第一百一十五条</w:t>
      </w:r>
      <w:r>
        <w:rPr>
          <w:szCs w:val="24"/>
        </w:rPr>
        <w:t>)</w:t>
      </w:r>
      <w:r>
        <w:rPr>
          <w:rFonts w:hint="eastAsia"/>
          <w:szCs w:val="24"/>
        </w:rPr>
        <w:t>。</w:t>
      </w:r>
    </w:p>
    <w:p w:rsidR="00000000" w:rsidRDefault="00000000">
      <w:r>
        <w:tab/>
        <w:t xml:space="preserve">831.  </w:t>
      </w:r>
      <w:r>
        <w:rPr>
          <w:rFonts w:hint="eastAsia"/>
        </w:rPr>
        <w:t>在私人工作方面，三大劳动法例分别是规范澳门劳资关系的</w:t>
      </w:r>
      <w:r>
        <w:t>4</w:t>
      </w:r>
      <w:r>
        <w:rPr>
          <w:rFonts w:hint="eastAsia"/>
        </w:rPr>
        <w:t>月</w:t>
      </w:r>
      <w:r>
        <w:t>3</w:t>
      </w:r>
      <w:r>
        <w:rPr>
          <w:rFonts w:hint="eastAsia"/>
        </w:rPr>
        <w:t>日第</w:t>
      </w:r>
      <w:r>
        <w:t>24/89/M</w:t>
      </w:r>
      <w:r>
        <w:rPr>
          <w:rFonts w:hint="eastAsia"/>
        </w:rPr>
        <w:t>号法令、订定保障在就业上获平等的机会和待遇的规则的</w:t>
      </w:r>
      <w:r>
        <w:t>10</w:t>
      </w:r>
      <w:r>
        <w:rPr>
          <w:rFonts w:hint="eastAsia"/>
        </w:rPr>
        <w:t>月</w:t>
      </w:r>
      <w:r>
        <w:t>9</w:t>
      </w:r>
      <w:r>
        <w:rPr>
          <w:rFonts w:hint="eastAsia"/>
        </w:rPr>
        <w:t>日第</w:t>
      </w:r>
      <w:r>
        <w:t>52</w:t>
      </w:r>
      <w:r>
        <w:rPr>
          <w:rFonts w:hint="eastAsia"/>
        </w:rPr>
        <w:t>/9</w:t>
      </w:r>
      <w:r>
        <w:t>5/M</w:t>
      </w:r>
      <w:r>
        <w:rPr>
          <w:rFonts w:hint="eastAsia"/>
        </w:rPr>
        <w:t>号法令，以及订定《就业政策和劳工权利纲要法》的</w:t>
      </w:r>
      <w:r>
        <w:t>7</w:t>
      </w:r>
      <w:r>
        <w:rPr>
          <w:rFonts w:hint="eastAsia"/>
        </w:rPr>
        <w:t>月</w:t>
      </w:r>
      <w:r>
        <w:t>27</w:t>
      </w:r>
      <w:r>
        <w:rPr>
          <w:rFonts w:hint="eastAsia"/>
        </w:rPr>
        <w:t>日第</w:t>
      </w:r>
      <w:r>
        <w:t>4/98/M</w:t>
      </w:r>
      <w:r>
        <w:rPr>
          <w:rFonts w:hint="eastAsia"/>
        </w:rPr>
        <w:t>号法律。</w:t>
      </w:r>
    </w:p>
    <w:p w:rsidR="00000000" w:rsidRDefault="00000000">
      <w:pPr>
        <w:rPr>
          <w:szCs w:val="24"/>
        </w:rPr>
      </w:pPr>
      <w:r>
        <w:rPr>
          <w:szCs w:val="24"/>
        </w:rPr>
        <w:tab/>
        <w:t xml:space="preserve">832.  </w:t>
      </w:r>
      <w:r>
        <w:rPr>
          <w:rFonts w:hint="eastAsia"/>
          <w:szCs w:val="24"/>
        </w:rPr>
        <w:t>值得强调的是，澳门特别行政区政府正进行上述范畴的法律改革工作，例如，劳动诉讼法律制度、输入外地劳工的法律制度、劳资关系制度、工作安全和卫生等方面的法律改革，目的是改善劳资关系、改善工作环境和建立最低工资制度。</w:t>
      </w:r>
    </w:p>
    <w:p w:rsidR="00000000" w:rsidRDefault="00000000">
      <w:r>
        <w:rPr>
          <w:szCs w:val="24"/>
        </w:rPr>
        <w:tab/>
        <w:t xml:space="preserve">833.  </w:t>
      </w:r>
      <w:r>
        <w:rPr>
          <w:rFonts w:hint="eastAsia"/>
          <w:szCs w:val="24"/>
        </w:rPr>
        <w:t>在公职方面的工作关系由经</w:t>
      </w:r>
      <w:r>
        <w:rPr>
          <w:szCs w:val="24"/>
        </w:rPr>
        <w:t>12</w:t>
      </w:r>
      <w:r>
        <w:rPr>
          <w:rFonts w:hint="eastAsia"/>
          <w:szCs w:val="24"/>
        </w:rPr>
        <w:t>月</w:t>
      </w:r>
      <w:r>
        <w:rPr>
          <w:szCs w:val="24"/>
        </w:rPr>
        <w:t>21</w:t>
      </w:r>
      <w:r>
        <w:rPr>
          <w:rFonts w:hint="eastAsia"/>
          <w:szCs w:val="24"/>
        </w:rPr>
        <w:t>日第</w:t>
      </w:r>
      <w:r>
        <w:rPr>
          <w:szCs w:val="24"/>
        </w:rPr>
        <w:t>87/89/M</w:t>
      </w:r>
      <w:r>
        <w:rPr>
          <w:rFonts w:hint="eastAsia"/>
          <w:szCs w:val="24"/>
        </w:rPr>
        <w:t>号法令核准，并先后作出多次修改的《公共行政工作人员通则》规范。</w:t>
      </w:r>
    </w:p>
    <w:p w:rsidR="00000000" w:rsidRDefault="00000000">
      <w:pPr>
        <w:spacing w:after="160"/>
        <w:rPr>
          <w:snapToGrid/>
        </w:rPr>
      </w:pPr>
      <w:r>
        <w:rPr>
          <w:snapToGrid/>
        </w:rPr>
        <w:tab/>
        <w:t xml:space="preserve">834.  </w:t>
      </w:r>
      <w:r>
        <w:rPr>
          <w:rFonts w:hint="eastAsia"/>
          <w:snapToGrid/>
        </w:rPr>
        <w:t>除上文提及的国际劳工组织第</w:t>
      </w:r>
      <w:r>
        <w:rPr>
          <w:snapToGrid/>
        </w:rPr>
        <w:t>111</w:t>
      </w:r>
      <w:r>
        <w:rPr>
          <w:rFonts w:hint="eastAsia"/>
          <w:snapToGrid/>
        </w:rPr>
        <w:t>号公约外</w:t>
      </w:r>
      <w:r>
        <w:rPr>
          <w:snapToGrid/>
        </w:rPr>
        <w:t>，</w:t>
      </w:r>
      <w:r>
        <w:rPr>
          <w:snapToGrid/>
        </w:rPr>
        <w:t>1964</w:t>
      </w:r>
      <w:r>
        <w:rPr>
          <w:rFonts w:hint="eastAsia"/>
          <w:snapToGrid/>
        </w:rPr>
        <w:t>年《就业政策公约》</w:t>
      </w:r>
      <w:r>
        <w:rPr>
          <w:snapToGrid/>
        </w:rPr>
        <w:t xml:space="preserve"> (</w:t>
      </w:r>
      <w:r>
        <w:rPr>
          <w:rFonts w:hint="eastAsia"/>
          <w:snapToGrid/>
        </w:rPr>
        <w:t>国际劳工组织第</w:t>
      </w:r>
      <w:r>
        <w:rPr>
          <w:snapToGrid/>
        </w:rPr>
        <w:t>122</w:t>
      </w:r>
      <w:r>
        <w:rPr>
          <w:rFonts w:hint="eastAsia"/>
          <w:snapToGrid/>
        </w:rPr>
        <w:t>号公约</w:t>
      </w:r>
      <w:r>
        <w:rPr>
          <w:snapToGrid/>
        </w:rPr>
        <w:t>)</w:t>
      </w:r>
      <w:r>
        <w:rPr>
          <w:rFonts w:hint="eastAsia"/>
          <w:snapToGrid/>
        </w:rPr>
        <w:t>亦适用于澳门特别行政区。</w:t>
      </w:r>
    </w:p>
    <w:p w:rsidR="00000000" w:rsidRDefault="00000000">
      <w:pPr>
        <w:spacing w:after="160"/>
        <w:jc w:val="center"/>
      </w:pPr>
      <w:r>
        <w:t xml:space="preserve">B.  </w:t>
      </w:r>
      <w:r>
        <w:rPr>
          <w:rFonts w:hint="eastAsia"/>
          <w:u w:val="single"/>
        </w:rPr>
        <w:t>就业、失业和就业不足</w:t>
      </w:r>
    </w:p>
    <w:p w:rsidR="00000000" w:rsidRDefault="00000000">
      <w:pPr>
        <w:spacing w:line="288" w:lineRule="auto"/>
        <w:rPr>
          <w:snapToGrid/>
        </w:rPr>
      </w:pPr>
      <w:r>
        <w:tab/>
      </w:r>
      <w:r>
        <w:rPr>
          <w:snapToGrid/>
        </w:rPr>
        <w:t xml:space="preserve">835.  </w:t>
      </w:r>
      <w:r>
        <w:rPr>
          <w:rFonts w:hint="eastAsia"/>
          <w:snapToGrid/>
        </w:rPr>
        <w:t>亚洲金融危机是</w:t>
      </w:r>
      <w:r>
        <w:rPr>
          <w:snapToGrid/>
        </w:rPr>
        <w:t>1998</w:t>
      </w:r>
      <w:r>
        <w:rPr>
          <w:rFonts w:hint="eastAsia"/>
          <w:snapToGrid/>
        </w:rPr>
        <w:t>年后失业率上升的主因之一。对经济作结构性调整的需要增加了对第三产业的专业劳动力的需求。基于上述原因</w:t>
      </w:r>
      <w:r>
        <w:rPr>
          <w:snapToGrid/>
        </w:rPr>
        <w:t>，</w:t>
      </w:r>
      <w:r>
        <w:rPr>
          <w:rFonts w:hint="eastAsia"/>
          <w:snapToGrid/>
        </w:rPr>
        <w:t>经济和就业放缓</w:t>
      </w:r>
      <w:r>
        <w:rPr>
          <w:snapToGrid/>
        </w:rPr>
        <w:t>，</w:t>
      </w:r>
      <w:r>
        <w:rPr>
          <w:rFonts w:hint="eastAsia"/>
          <w:snapToGrid/>
        </w:rPr>
        <w:t>失业情况主要集中在第二产业。</w:t>
      </w:r>
    </w:p>
    <w:p w:rsidR="00000000" w:rsidRDefault="00000000">
      <w:pPr>
        <w:pStyle w:val="a3"/>
        <w:spacing w:after="0"/>
        <w:rPr>
          <w:rFonts w:ascii="Times New Roman" w:eastAsia="SimSun" w:hAnsi="Times New Roman"/>
          <w:kern w:val="0"/>
          <w:u w:val="single"/>
        </w:rPr>
      </w:pPr>
      <w:r>
        <w:rPr>
          <w:rFonts w:ascii="Times New Roman" w:eastAsia="SimSun" w:hAnsi="Times New Roman" w:hint="eastAsia"/>
          <w:kern w:val="0"/>
          <w:u w:val="single"/>
        </w:rPr>
        <w:t>就业率、失业率和就业不足率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3"/>
        <w:gridCol w:w="1741"/>
        <w:gridCol w:w="1882"/>
        <w:gridCol w:w="1882"/>
        <w:gridCol w:w="1882"/>
      </w:tblGrid>
      <w:tr w:rsidR="00000000">
        <w:tblPrEx>
          <w:tblCellMar>
            <w:top w:w="0" w:type="dxa"/>
            <w:bottom w:w="0" w:type="dxa"/>
          </w:tblCellMar>
        </w:tblPrEx>
        <w:tc>
          <w:tcPr>
            <w:tcW w:w="2023" w:type="dxa"/>
          </w:tcPr>
          <w:p w:rsidR="00000000" w:rsidRDefault="00000000">
            <w:pPr>
              <w:pStyle w:val="a2"/>
              <w:spacing w:before="40" w:line="240" w:lineRule="exact"/>
              <w:jc w:val="center"/>
              <w:rPr>
                <w:rFonts w:ascii="Time New Roman" w:eastAsia="SimHei" w:hAnsi="Time New Roman"/>
                <w:snapToGrid/>
                <w:sz w:val="20"/>
              </w:rPr>
            </w:pPr>
            <w:r>
              <w:rPr>
                <w:rFonts w:ascii="Time New Roman" w:eastAsia="SimHei" w:hAnsi="Time New Roman" w:hint="eastAsia"/>
                <w:snapToGrid/>
                <w:sz w:val="20"/>
              </w:rPr>
              <w:t>比</w:t>
            </w:r>
            <w:r>
              <w:rPr>
                <w:rFonts w:ascii="Time New Roman" w:eastAsia="SimHei" w:hAnsi="Time New Roman"/>
                <w:snapToGrid/>
                <w:sz w:val="20"/>
              </w:rPr>
              <w:t xml:space="preserve">    </w:t>
            </w:r>
            <w:r>
              <w:rPr>
                <w:rFonts w:ascii="Time New Roman" w:eastAsia="SimHei" w:hAnsi="Time New Roman" w:hint="eastAsia"/>
                <w:snapToGrid/>
                <w:sz w:val="20"/>
              </w:rPr>
              <w:t>率</w:t>
            </w:r>
          </w:p>
        </w:tc>
        <w:tc>
          <w:tcPr>
            <w:tcW w:w="1741" w:type="dxa"/>
          </w:tcPr>
          <w:p w:rsidR="00000000" w:rsidRDefault="00000000">
            <w:pPr>
              <w:pStyle w:val="a2"/>
              <w:spacing w:before="40" w:line="240" w:lineRule="exact"/>
              <w:jc w:val="center"/>
              <w:rPr>
                <w:rFonts w:ascii="Time New Roman" w:eastAsia="SimHei" w:hAnsi="Time New Roman"/>
                <w:snapToGrid/>
                <w:sz w:val="20"/>
              </w:rPr>
            </w:pPr>
            <w:r>
              <w:rPr>
                <w:rFonts w:ascii="Time New Roman" w:eastAsia="SimHei" w:hAnsi="Time New Roman"/>
                <w:b/>
                <w:snapToGrid/>
                <w:sz w:val="20"/>
              </w:rPr>
              <w:t>1999</w:t>
            </w:r>
          </w:p>
        </w:tc>
        <w:tc>
          <w:tcPr>
            <w:tcW w:w="1882" w:type="dxa"/>
          </w:tcPr>
          <w:p w:rsidR="00000000" w:rsidRDefault="00000000">
            <w:pPr>
              <w:pStyle w:val="a2"/>
              <w:spacing w:before="40" w:line="240" w:lineRule="exact"/>
              <w:jc w:val="center"/>
              <w:rPr>
                <w:rFonts w:ascii="Time New Roman" w:eastAsia="SimHei" w:hAnsi="Time New Roman" w:hint="eastAsia"/>
                <w:snapToGrid/>
                <w:sz w:val="20"/>
              </w:rPr>
            </w:pPr>
            <w:r>
              <w:rPr>
                <w:rFonts w:ascii="Time New Roman" w:eastAsia="SimHei" w:hAnsi="Time New Roman"/>
                <w:b/>
                <w:snapToGrid/>
                <w:sz w:val="20"/>
              </w:rPr>
              <w:t>200</w:t>
            </w:r>
            <w:r>
              <w:rPr>
                <w:rFonts w:ascii="Time New Roman" w:eastAsia="SimHei" w:hAnsi="Time New Roman" w:hint="eastAsia"/>
                <w:b/>
                <w:snapToGrid/>
                <w:sz w:val="20"/>
              </w:rPr>
              <w:t>0</w:t>
            </w:r>
          </w:p>
        </w:tc>
        <w:tc>
          <w:tcPr>
            <w:tcW w:w="1882" w:type="dxa"/>
          </w:tcPr>
          <w:p w:rsidR="00000000" w:rsidRDefault="00000000">
            <w:pPr>
              <w:pStyle w:val="a2"/>
              <w:spacing w:before="40" w:line="240" w:lineRule="exact"/>
              <w:jc w:val="center"/>
              <w:rPr>
                <w:rFonts w:ascii="Time New Roman" w:eastAsia="SimHei" w:hAnsi="Time New Roman"/>
                <w:snapToGrid/>
                <w:sz w:val="20"/>
              </w:rPr>
            </w:pPr>
            <w:r>
              <w:rPr>
                <w:rFonts w:ascii="Time New Roman" w:eastAsia="SimHei" w:hAnsi="Time New Roman"/>
                <w:b/>
                <w:snapToGrid/>
                <w:sz w:val="20"/>
              </w:rPr>
              <w:t>2001</w:t>
            </w:r>
          </w:p>
        </w:tc>
        <w:tc>
          <w:tcPr>
            <w:tcW w:w="1882" w:type="dxa"/>
          </w:tcPr>
          <w:p w:rsidR="00000000" w:rsidRDefault="00000000">
            <w:pPr>
              <w:pStyle w:val="a2"/>
              <w:spacing w:before="40" w:line="240" w:lineRule="exact"/>
              <w:jc w:val="center"/>
              <w:rPr>
                <w:rFonts w:ascii="Time New Roman" w:eastAsia="SimHei" w:hAnsi="Time New Roman"/>
                <w:snapToGrid/>
                <w:sz w:val="20"/>
              </w:rPr>
            </w:pPr>
            <w:r>
              <w:rPr>
                <w:rFonts w:ascii="Time New Roman" w:eastAsia="SimHei" w:hAnsi="Time New Roman"/>
                <w:b/>
                <w:snapToGrid/>
                <w:sz w:val="20"/>
              </w:rPr>
              <w:t>2002</w:t>
            </w:r>
          </w:p>
        </w:tc>
      </w:tr>
      <w:tr w:rsidR="00000000">
        <w:tblPrEx>
          <w:tblCellMar>
            <w:top w:w="0" w:type="dxa"/>
            <w:bottom w:w="0" w:type="dxa"/>
          </w:tblCellMar>
        </w:tblPrEx>
        <w:tc>
          <w:tcPr>
            <w:tcW w:w="2023" w:type="dxa"/>
          </w:tcPr>
          <w:p w:rsidR="00000000" w:rsidRDefault="00000000">
            <w:pPr>
              <w:pStyle w:val="a2"/>
              <w:spacing w:line="240" w:lineRule="exact"/>
              <w:ind w:left="105"/>
              <w:rPr>
                <w:snapToGrid/>
                <w:sz w:val="20"/>
                <w:szCs w:val="48"/>
              </w:rPr>
            </w:pPr>
            <w:r>
              <w:rPr>
                <w:rFonts w:hint="eastAsia"/>
                <w:snapToGrid/>
                <w:sz w:val="20"/>
                <w:szCs w:val="48"/>
              </w:rPr>
              <w:t>劳动力参与率</w:t>
            </w:r>
            <w:r>
              <w:rPr>
                <w:snapToGrid/>
                <w:sz w:val="20"/>
                <w:szCs w:val="48"/>
              </w:rPr>
              <w:t xml:space="preserve"> (%)</w:t>
            </w:r>
          </w:p>
        </w:tc>
        <w:tc>
          <w:tcPr>
            <w:tcW w:w="1741" w:type="dxa"/>
          </w:tcPr>
          <w:p w:rsidR="00000000" w:rsidRDefault="00000000">
            <w:pPr>
              <w:pStyle w:val="a2"/>
              <w:tabs>
                <w:tab w:val="decimal" w:pos="917"/>
              </w:tabs>
              <w:spacing w:line="240" w:lineRule="exact"/>
              <w:rPr>
                <w:snapToGrid/>
                <w:sz w:val="20"/>
                <w:szCs w:val="48"/>
              </w:rPr>
            </w:pPr>
            <w:r>
              <w:rPr>
                <w:snapToGrid/>
                <w:sz w:val="20"/>
                <w:szCs w:val="48"/>
              </w:rPr>
              <w:t>65.5</w:t>
            </w:r>
          </w:p>
        </w:tc>
        <w:tc>
          <w:tcPr>
            <w:tcW w:w="1882" w:type="dxa"/>
          </w:tcPr>
          <w:p w:rsidR="00000000" w:rsidRDefault="00000000">
            <w:pPr>
              <w:pStyle w:val="a2"/>
              <w:tabs>
                <w:tab w:val="decimal" w:pos="917"/>
              </w:tabs>
              <w:spacing w:line="240" w:lineRule="exact"/>
              <w:rPr>
                <w:snapToGrid/>
                <w:sz w:val="20"/>
                <w:szCs w:val="48"/>
              </w:rPr>
            </w:pPr>
            <w:r>
              <w:rPr>
                <w:snapToGrid/>
                <w:sz w:val="20"/>
                <w:szCs w:val="48"/>
              </w:rPr>
              <w:t>64.3</w:t>
            </w:r>
          </w:p>
        </w:tc>
        <w:tc>
          <w:tcPr>
            <w:tcW w:w="1882" w:type="dxa"/>
          </w:tcPr>
          <w:p w:rsidR="00000000" w:rsidRDefault="00000000">
            <w:pPr>
              <w:pStyle w:val="a2"/>
              <w:tabs>
                <w:tab w:val="decimal" w:pos="917"/>
              </w:tabs>
              <w:spacing w:line="240" w:lineRule="exact"/>
              <w:rPr>
                <w:snapToGrid/>
                <w:sz w:val="20"/>
                <w:szCs w:val="48"/>
              </w:rPr>
            </w:pPr>
            <w:r>
              <w:rPr>
                <w:snapToGrid/>
                <w:sz w:val="20"/>
                <w:szCs w:val="48"/>
              </w:rPr>
              <w:t>64.8</w:t>
            </w:r>
          </w:p>
        </w:tc>
        <w:tc>
          <w:tcPr>
            <w:tcW w:w="1882" w:type="dxa"/>
          </w:tcPr>
          <w:p w:rsidR="00000000" w:rsidRDefault="00000000">
            <w:pPr>
              <w:pStyle w:val="a2"/>
              <w:tabs>
                <w:tab w:val="decimal" w:pos="917"/>
              </w:tabs>
              <w:spacing w:line="240" w:lineRule="exact"/>
              <w:rPr>
                <w:snapToGrid/>
                <w:sz w:val="20"/>
                <w:szCs w:val="48"/>
              </w:rPr>
            </w:pPr>
            <w:r>
              <w:rPr>
                <w:snapToGrid/>
                <w:sz w:val="20"/>
                <w:szCs w:val="48"/>
              </w:rPr>
              <w:t>62.3</w:t>
            </w:r>
          </w:p>
        </w:tc>
      </w:tr>
      <w:tr w:rsidR="00000000">
        <w:tblPrEx>
          <w:tblCellMar>
            <w:top w:w="0" w:type="dxa"/>
            <w:bottom w:w="0" w:type="dxa"/>
          </w:tblCellMar>
        </w:tblPrEx>
        <w:tc>
          <w:tcPr>
            <w:tcW w:w="2023" w:type="dxa"/>
          </w:tcPr>
          <w:p w:rsidR="00000000" w:rsidRDefault="00000000">
            <w:pPr>
              <w:pStyle w:val="a2"/>
              <w:spacing w:line="240" w:lineRule="exact"/>
              <w:ind w:left="105"/>
              <w:rPr>
                <w:snapToGrid/>
                <w:sz w:val="20"/>
                <w:szCs w:val="46"/>
              </w:rPr>
            </w:pPr>
            <w:r>
              <w:rPr>
                <w:rFonts w:hint="eastAsia"/>
                <w:snapToGrid/>
                <w:sz w:val="20"/>
                <w:szCs w:val="46"/>
              </w:rPr>
              <w:t>男</w:t>
            </w:r>
            <w:r>
              <w:rPr>
                <w:snapToGrid/>
                <w:sz w:val="20"/>
                <w:szCs w:val="46"/>
              </w:rPr>
              <w:t xml:space="preserve">  </w:t>
            </w:r>
            <w:r>
              <w:rPr>
                <w:rFonts w:hint="eastAsia"/>
                <w:snapToGrid/>
                <w:sz w:val="20"/>
                <w:szCs w:val="46"/>
              </w:rPr>
              <w:t>性</w:t>
            </w:r>
          </w:p>
        </w:tc>
        <w:tc>
          <w:tcPr>
            <w:tcW w:w="1741" w:type="dxa"/>
          </w:tcPr>
          <w:p w:rsidR="00000000" w:rsidRDefault="00000000">
            <w:pPr>
              <w:pStyle w:val="a2"/>
              <w:tabs>
                <w:tab w:val="decimal" w:pos="917"/>
              </w:tabs>
              <w:spacing w:line="240" w:lineRule="exact"/>
              <w:rPr>
                <w:snapToGrid/>
                <w:sz w:val="20"/>
                <w:szCs w:val="46"/>
              </w:rPr>
            </w:pPr>
            <w:r>
              <w:rPr>
                <w:snapToGrid/>
                <w:sz w:val="20"/>
                <w:szCs w:val="46"/>
              </w:rPr>
              <w:t>76.4</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74.6</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74.7</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70.6</w:t>
            </w:r>
          </w:p>
        </w:tc>
      </w:tr>
      <w:tr w:rsidR="00000000">
        <w:tblPrEx>
          <w:tblCellMar>
            <w:top w:w="0" w:type="dxa"/>
            <w:bottom w:w="0" w:type="dxa"/>
          </w:tblCellMar>
        </w:tblPrEx>
        <w:tc>
          <w:tcPr>
            <w:tcW w:w="2023" w:type="dxa"/>
          </w:tcPr>
          <w:p w:rsidR="00000000" w:rsidRDefault="00000000">
            <w:pPr>
              <w:pStyle w:val="a2"/>
              <w:spacing w:line="240" w:lineRule="exact"/>
              <w:ind w:left="105"/>
              <w:rPr>
                <w:snapToGrid/>
                <w:sz w:val="20"/>
                <w:szCs w:val="46"/>
              </w:rPr>
            </w:pPr>
            <w:r>
              <w:rPr>
                <w:rFonts w:hint="eastAsia"/>
                <w:snapToGrid/>
                <w:sz w:val="20"/>
                <w:szCs w:val="46"/>
              </w:rPr>
              <w:t>女</w:t>
            </w:r>
            <w:r>
              <w:rPr>
                <w:snapToGrid/>
                <w:sz w:val="20"/>
                <w:szCs w:val="46"/>
              </w:rPr>
              <w:t xml:space="preserve">  </w:t>
            </w:r>
            <w:r>
              <w:rPr>
                <w:rFonts w:hint="eastAsia"/>
                <w:snapToGrid/>
                <w:sz w:val="20"/>
                <w:szCs w:val="46"/>
              </w:rPr>
              <w:t>性</w:t>
            </w:r>
          </w:p>
        </w:tc>
        <w:tc>
          <w:tcPr>
            <w:tcW w:w="1741" w:type="dxa"/>
          </w:tcPr>
          <w:p w:rsidR="00000000" w:rsidRDefault="00000000">
            <w:pPr>
              <w:pStyle w:val="a2"/>
              <w:tabs>
                <w:tab w:val="decimal" w:pos="917"/>
              </w:tabs>
              <w:spacing w:line="240" w:lineRule="exact"/>
              <w:rPr>
                <w:snapToGrid/>
                <w:sz w:val="20"/>
                <w:szCs w:val="46"/>
              </w:rPr>
            </w:pPr>
            <w:r>
              <w:rPr>
                <w:snapToGrid/>
                <w:sz w:val="20"/>
                <w:szCs w:val="46"/>
              </w:rPr>
              <w:t>56.1</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55.3</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56.2</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55.l</w:t>
            </w:r>
          </w:p>
        </w:tc>
      </w:tr>
      <w:tr w:rsidR="00000000">
        <w:tblPrEx>
          <w:tblCellMar>
            <w:top w:w="0" w:type="dxa"/>
            <w:bottom w:w="0" w:type="dxa"/>
          </w:tblCellMar>
        </w:tblPrEx>
        <w:tc>
          <w:tcPr>
            <w:tcW w:w="2023" w:type="dxa"/>
          </w:tcPr>
          <w:p w:rsidR="00000000" w:rsidRDefault="00000000">
            <w:pPr>
              <w:pStyle w:val="a2"/>
              <w:spacing w:line="240" w:lineRule="exact"/>
              <w:ind w:left="105"/>
              <w:rPr>
                <w:snapToGrid/>
                <w:sz w:val="20"/>
                <w:szCs w:val="46"/>
              </w:rPr>
            </w:pPr>
            <w:r>
              <w:rPr>
                <w:rFonts w:hint="eastAsia"/>
                <w:snapToGrid/>
                <w:sz w:val="20"/>
                <w:szCs w:val="46"/>
              </w:rPr>
              <w:t>失业率</w:t>
            </w:r>
            <w:r>
              <w:rPr>
                <w:snapToGrid/>
                <w:sz w:val="20"/>
                <w:szCs w:val="46"/>
              </w:rPr>
              <w:t xml:space="preserve"> (%</w:t>
            </w:r>
            <w:r>
              <w:rPr>
                <w:rFonts w:hint="eastAsia"/>
                <w:snapToGrid/>
                <w:sz w:val="20"/>
                <w:szCs w:val="46"/>
              </w:rPr>
              <w:t>)</w:t>
            </w:r>
          </w:p>
        </w:tc>
        <w:tc>
          <w:tcPr>
            <w:tcW w:w="1741" w:type="dxa"/>
          </w:tcPr>
          <w:p w:rsidR="00000000" w:rsidRDefault="00000000">
            <w:pPr>
              <w:pStyle w:val="a2"/>
              <w:tabs>
                <w:tab w:val="decimal" w:pos="917"/>
              </w:tabs>
              <w:spacing w:line="240" w:lineRule="exact"/>
              <w:rPr>
                <w:snapToGrid/>
                <w:sz w:val="20"/>
                <w:szCs w:val="46"/>
              </w:rPr>
            </w:pPr>
            <w:r>
              <w:rPr>
                <w:snapToGrid/>
                <w:sz w:val="20"/>
                <w:szCs w:val="46"/>
              </w:rPr>
              <w:t>6.3</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6.8</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6.4</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6.3</w:t>
            </w:r>
          </w:p>
        </w:tc>
      </w:tr>
      <w:tr w:rsidR="00000000">
        <w:tblPrEx>
          <w:tblCellMar>
            <w:top w:w="0" w:type="dxa"/>
            <w:bottom w:w="0" w:type="dxa"/>
          </w:tblCellMar>
        </w:tblPrEx>
        <w:tc>
          <w:tcPr>
            <w:tcW w:w="2023" w:type="dxa"/>
          </w:tcPr>
          <w:p w:rsidR="00000000" w:rsidRDefault="00000000">
            <w:pPr>
              <w:pStyle w:val="a2"/>
              <w:spacing w:line="240" w:lineRule="exact"/>
              <w:ind w:left="105"/>
              <w:rPr>
                <w:snapToGrid/>
                <w:sz w:val="20"/>
                <w:szCs w:val="46"/>
              </w:rPr>
            </w:pPr>
            <w:r>
              <w:rPr>
                <w:rFonts w:hint="eastAsia"/>
                <w:snapToGrid/>
                <w:sz w:val="20"/>
                <w:szCs w:val="46"/>
              </w:rPr>
              <w:t>男</w:t>
            </w:r>
            <w:r>
              <w:rPr>
                <w:snapToGrid/>
                <w:sz w:val="20"/>
                <w:szCs w:val="46"/>
              </w:rPr>
              <w:t xml:space="preserve">  </w:t>
            </w:r>
            <w:r>
              <w:rPr>
                <w:rFonts w:hint="eastAsia"/>
                <w:snapToGrid/>
                <w:sz w:val="20"/>
                <w:szCs w:val="46"/>
              </w:rPr>
              <w:t>性</w:t>
            </w:r>
          </w:p>
        </w:tc>
        <w:tc>
          <w:tcPr>
            <w:tcW w:w="1741" w:type="dxa"/>
          </w:tcPr>
          <w:p w:rsidR="00000000" w:rsidRDefault="00000000">
            <w:pPr>
              <w:pStyle w:val="a2"/>
              <w:tabs>
                <w:tab w:val="decimal" w:pos="917"/>
              </w:tabs>
              <w:spacing w:line="240" w:lineRule="exact"/>
              <w:rPr>
                <w:snapToGrid/>
                <w:sz w:val="20"/>
                <w:szCs w:val="46"/>
              </w:rPr>
            </w:pPr>
            <w:r>
              <w:rPr>
                <w:snapToGrid/>
                <w:sz w:val="20"/>
                <w:szCs w:val="46"/>
              </w:rPr>
              <w:t>8.0</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8.6</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8.1</w:t>
            </w:r>
          </w:p>
        </w:tc>
        <w:tc>
          <w:tcPr>
            <w:tcW w:w="1882" w:type="dxa"/>
          </w:tcPr>
          <w:p w:rsidR="00000000" w:rsidRDefault="00000000">
            <w:pPr>
              <w:pStyle w:val="a2"/>
              <w:tabs>
                <w:tab w:val="decimal" w:pos="917"/>
              </w:tabs>
              <w:spacing w:line="240" w:lineRule="exact"/>
              <w:rPr>
                <w:snapToGrid/>
                <w:sz w:val="20"/>
                <w:szCs w:val="46"/>
              </w:rPr>
            </w:pPr>
            <w:r>
              <w:rPr>
                <w:snapToGrid/>
                <w:sz w:val="20"/>
                <w:szCs w:val="46"/>
              </w:rPr>
              <w:t>7.9</w:t>
            </w:r>
          </w:p>
        </w:tc>
      </w:tr>
      <w:tr w:rsidR="00000000">
        <w:tblPrEx>
          <w:tblCellMar>
            <w:top w:w="0" w:type="dxa"/>
            <w:bottom w:w="0" w:type="dxa"/>
          </w:tblCellMar>
        </w:tblPrEx>
        <w:tc>
          <w:tcPr>
            <w:tcW w:w="2023" w:type="dxa"/>
          </w:tcPr>
          <w:p w:rsidR="00000000" w:rsidRDefault="00000000">
            <w:pPr>
              <w:pStyle w:val="a2"/>
              <w:widowControl w:val="0"/>
              <w:spacing w:line="240" w:lineRule="exact"/>
              <w:ind w:left="105"/>
              <w:rPr>
                <w:rFonts w:hint="eastAsia"/>
                <w:snapToGrid/>
                <w:sz w:val="20"/>
                <w:szCs w:val="46"/>
              </w:rPr>
            </w:pPr>
            <w:r>
              <w:rPr>
                <w:rFonts w:hint="eastAsia"/>
                <w:snapToGrid/>
                <w:sz w:val="20"/>
                <w:szCs w:val="46"/>
              </w:rPr>
              <w:t>女</w:t>
            </w:r>
            <w:r>
              <w:rPr>
                <w:snapToGrid/>
                <w:sz w:val="20"/>
                <w:szCs w:val="46"/>
              </w:rPr>
              <w:t xml:space="preserve">  </w:t>
            </w:r>
            <w:r>
              <w:rPr>
                <w:rFonts w:hint="eastAsia"/>
                <w:snapToGrid/>
                <w:sz w:val="20"/>
                <w:szCs w:val="46"/>
              </w:rPr>
              <w:t>性</w:t>
            </w:r>
          </w:p>
        </w:tc>
        <w:tc>
          <w:tcPr>
            <w:tcW w:w="1741" w:type="dxa"/>
          </w:tcPr>
          <w:p w:rsidR="00000000" w:rsidRDefault="00000000">
            <w:pPr>
              <w:pStyle w:val="a2"/>
              <w:widowControl w:val="0"/>
              <w:tabs>
                <w:tab w:val="decimal" w:pos="917"/>
              </w:tabs>
              <w:spacing w:line="240" w:lineRule="exact"/>
              <w:rPr>
                <w:snapToGrid/>
                <w:sz w:val="20"/>
                <w:szCs w:val="46"/>
              </w:rPr>
            </w:pPr>
            <w:r>
              <w:rPr>
                <w:snapToGrid/>
                <w:sz w:val="20"/>
                <w:szCs w:val="46"/>
              </w:rPr>
              <w:t>4.4</w:t>
            </w:r>
          </w:p>
        </w:tc>
        <w:tc>
          <w:tcPr>
            <w:tcW w:w="1882" w:type="dxa"/>
          </w:tcPr>
          <w:p w:rsidR="00000000" w:rsidRDefault="00000000">
            <w:pPr>
              <w:pStyle w:val="a2"/>
              <w:widowControl w:val="0"/>
              <w:tabs>
                <w:tab w:val="decimal" w:pos="917"/>
              </w:tabs>
              <w:spacing w:line="240" w:lineRule="exact"/>
              <w:rPr>
                <w:snapToGrid/>
                <w:sz w:val="20"/>
                <w:szCs w:val="46"/>
              </w:rPr>
            </w:pPr>
            <w:r>
              <w:rPr>
                <w:snapToGrid/>
                <w:sz w:val="20"/>
                <w:szCs w:val="46"/>
              </w:rPr>
              <w:t>4.6</w:t>
            </w:r>
          </w:p>
        </w:tc>
        <w:tc>
          <w:tcPr>
            <w:tcW w:w="1882" w:type="dxa"/>
          </w:tcPr>
          <w:p w:rsidR="00000000" w:rsidRDefault="00000000">
            <w:pPr>
              <w:pStyle w:val="a2"/>
              <w:widowControl w:val="0"/>
              <w:tabs>
                <w:tab w:val="decimal" w:pos="917"/>
              </w:tabs>
              <w:spacing w:line="240" w:lineRule="exact"/>
              <w:rPr>
                <w:snapToGrid/>
                <w:sz w:val="20"/>
                <w:szCs w:val="46"/>
              </w:rPr>
            </w:pPr>
            <w:r>
              <w:rPr>
                <w:snapToGrid/>
                <w:sz w:val="20"/>
                <w:szCs w:val="46"/>
              </w:rPr>
              <w:t>4.4</w:t>
            </w:r>
          </w:p>
        </w:tc>
        <w:tc>
          <w:tcPr>
            <w:tcW w:w="1882" w:type="dxa"/>
          </w:tcPr>
          <w:p w:rsidR="00000000" w:rsidRDefault="00000000">
            <w:pPr>
              <w:pStyle w:val="a2"/>
              <w:widowControl w:val="0"/>
              <w:tabs>
                <w:tab w:val="decimal" w:pos="917"/>
              </w:tabs>
              <w:spacing w:line="240" w:lineRule="exact"/>
              <w:rPr>
                <w:snapToGrid/>
                <w:sz w:val="20"/>
                <w:szCs w:val="46"/>
              </w:rPr>
            </w:pPr>
            <w:r>
              <w:rPr>
                <w:snapToGrid/>
                <w:sz w:val="20"/>
                <w:szCs w:val="46"/>
              </w:rPr>
              <w:t>4.5</w:t>
            </w:r>
          </w:p>
        </w:tc>
      </w:tr>
      <w:tr w:rsidR="00000000">
        <w:tblPrEx>
          <w:tblCellMar>
            <w:top w:w="0" w:type="dxa"/>
            <w:bottom w:w="0" w:type="dxa"/>
          </w:tblCellMar>
        </w:tblPrEx>
        <w:tc>
          <w:tcPr>
            <w:tcW w:w="2023" w:type="dxa"/>
          </w:tcPr>
          <w:p w:rsidR="00000000" w:rsidRDefault="00000000">
            <w:pPr>
              <w:pStyle w:val="a2"/>
              <w:widowControl w:val="0"/>
              <w:ind w:left="105"/>
              <w:rPr>
                <w:snapToGrid/>
                <w:sz w:val="20"/>
                <w:szCs w:val="48"/>
              </w:rPr>
            </w:pPr>
            <w:r>
              <w:rPr>
                <w:rFonts w:hint="eastAsia"/>
                <w:snapToGrid/>
                <w:sz w:val="20"/>
                <w:szCs w:val="48"/>
              </w:rPr>
              <w:t>就业不足率</w:t>
            </w:r>
            <w:r>
              <w:rPr>
                <w:snapToGrid/>
                <w:sz w:val="20"/>
                <w:szCs w:val="48"/>
              </w:rPr>
              <w:t xml:space="preserve"> (%)</w:t>
            </w:r>
          </w:p>
        </w:tc>
        <w:tc>
          <w:tcPr>
            <w:tcW w:w="1741" w:type="dxa"/>
          </w:tcPr>
          <w:p w:rsidR="00000000" w:rsidRDefault="00000000">
            <w:pPr>
              <w:pStyle w:val="a2"/>
              <w:widowControl w:val="0"/>
              <w:tabs>
                <w:tab w:val="decimal" w:pos="917"/>
              </w:tabs>
              <w:rPr>
                <w:snapToGrid/>
                <w:sz w:val="20"/>
                <w:szCs w:val="48"/>
              </w:rPr>
            </w:pPr>
            <w:r>
              <w:rPr>
                <w:snapToGrid/>
                <w:sz w:val="20"/>
                <w:szCs w:val="48"/>
              </w:rPr>
              <w:t>1.3</w:t>
            </w:r>
          </w:p>
        </w:tc>
        <w:tc>
          <w:tcPr>
            <w:tcW w:w="1882" w:type="dxa"/>
          </w:tcPr>
          <w:p w:rsidR="00000000" w:rsidRDefault="00000000">
            <w:pPr>
              <w:pStyle w:val="a2"/>
              <w:widowControl w:val="0"/>
              <w:tabs>
                <w:tab w:val="decimal" w:pos="917"/>
              </w:tabs>
              <w:rPr>
                <w:snapToGrid/>
                <w:sz w:val="20"/>
                <w:szCs w:val="48"/>
              </w:rPr>
            </w:pPr>
            <w:r>
              <w:rPr>
                <w:snapToGrid/>
                <w:sz w:val="20"/>
                <w:szCs w:val="48"/>
              </w:rPr>
              <w:t>3.0</w:t>
            </w:r>
          </w:p>
        </w:tc>
        <w:tc>
          <w:tcPr>
            <w:tcW w:w="1882" w:type="dxa"/>
          </w:tcPr>
          <w:p w:rsidR="00000000" w:rsidRDefault="00000000">
            <w:pPr>
              <w:pStyle w:val="a2"/>
              <w:widowControl w:val="0"/>
              <w:tabs>
                <w:tab w:val="decimal" w:pos="917"/>
              </w:tabs>
              <w:rPr>
                <w:snapToGrid/>
                <w:sz w:val="20"/>
                <w:szCs w:val="48"/>
              </w:rPr>
            </w:pPr>
            <w:r>
              <w:rPr>
                <w:snapToGrid/>
                <w:sz w:val="20"/>
                <w:szCs w:val="48"/>
              </w:rPr>
              <w:t>3.6</w:t>
            </w:r>
          </w:p>
        </w:tc>
        <w:tc>
          <w:tcPr>
            <w:tcW w:w="1882" w:type="dxa"/>
          </w:tcPr>
          <w:p w:rsidR="00000000" w:rsidRDefault="00000000">
            <w:pPr>
              <w:pStyle w:val="a2"/>
              <w:widowControl w:val="0"/>
              <w:tabs>
                <w:tab w:val="decimal" w:pos="917"/>
              </w:tabs>
              <w:rPr>
                <w:snapToGrid/>
                <w:sz w:val="20"/>
                <w:szCs w:val="48"/>
              </w:rPr>
            </w:pPr>
            <w:r>
              <w:rPr>
                <w:snapToGrid/>
                <w:sz w:val="20"/>
                <w:szCs w:val="48"/>
              </w:rPr>
              <w:t>3.4</w:t>
            </w:r>
          </w:p>
        </w:tc>
      </w:tr>
    </w:tbl>
    <w:p w:rsidR="00000000" w:rsidRDefault="00000000">
      <w:pPr>
        <w:spacing w:before="160" w:after="120"/>
        <w:ind w:left="51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：统计暨普查局，就业调查。</w:t>
      </w:r>
    </w:p>
    <w:p w:rsidR="00000000" w:rsidRDefault="00000000">
      <w:pPr>
        <w:rPr>
          <w:snapToGrid/>
        </w:rPr>
      </w:pPr>
      <w:r>
        <w:rPr>
          <w:rFonts w:hint="eastAsia"/>
          <w:snapToGrid/>
        </w:rPr>
        <w:tab/>
      </w:r>
      <w:r>
        <w:rPr>
          <w:snapToGrid/>
        </w:rPr>
        <w:t xml:space="preserve">836.  </w:t>
      </w:r>
      <w:r>
        <w:rPr>
          <w:rFonts w:hint="eastAsia"/>
          <w:snapToGrid/>
        </w:rPr>
        <w:t>上述原因亦造成就业不足率上升</w:t>
      </w:r>
      <w:r>
        <w:rPr>
          <w:snapToGrid/>
        </w:rPr>
        <w:t>，</w:t>
      </w:r>
      <w:r>
        <w:rPr>
          <w:rFonts w:hint="eastAsia"/>
          <w:snapToGrid/>
        </w:rPr>
        <w:t>并导致无法按照劳动者的专业资格配对工作。</w:t>
      </w:r>
    </w:p>
    <w:p w:rsidR="00000000" w:rsidRDefault="00000000">
      <w:pPr>
        <w:rPr>
          <w:snapToGrid/>
        </w:rPr>
      </w:pPr>
      <w:r>
        <w:rPr>
          <w:snapToGrid/>
        </w:rPr>
        <w:tab/>
        <w:t xml:space="preserve">837.  </w:t>
      </w:r>
      <w:r>
        <w:rPr>
          <w:rFonts w:hint="eastAsia"/>
          <w:snapToGrid/>
        </w:rPr>
        <w:t>因此</w:t>
      </w:r>
      <w:r>
        <w:rPr>
          <w:snapToGrid/>
        </w:rPr>
        <w:t>，</w:t>
      </w:r>
      <w:r>
        <w:rPr>
          <w:rFonts w:hint="eastAsia"/>
          <w:snapToGrid/>
        </w:rPr>
        <w:t>澳门特别行政区政府实行了新的刺激就业的措施和计划</w:t>
      </w:r>
      <w:r>
        <w:rPr>
          <w:snapToGrid/>
        </w:rPr>
        <w:t>，</w:t>
      </w:r>
      <w:r>
        <w:rPr>
          <w:rFonts w:hint="eastAsia"/>
          <w:snapToGrid/>
        </w:rPr>
        <w:t>例如</w:t>
      </w:r>
      <w:r>
        <w:rPr>
          <w:snapToGrid/>
        </w:rPr>
        <w:t>，</w:t>
      </w:r>
      <w:r>
        <w:rPr>
          <w:rFonts w:hint="eastAsia"/>
          <w:snapToGrid/>
        </w:rPr>
        <w:t>为劳动者提供培训、完善专业和技术训练</w:t>
      </w:r>
      <w:r>
        <w:rPr>
          <w:snapToGrid/>
        </w:rPr>
        <w:t>，</w:t>
      </w:r>
      <w:r>
        <w:rPr>
          <w:rFonts w:hint="eastAsia"/>
          <w:snapToGrid/>
        </w:rPr>
        <w:t>以便克服上述的经济困境和适应新的市场需求。在</w:t>
      </w:r>
      <w:r>
        <w:rPr>
          <w:snapToGrid/>
        </w:rPr>
        <w:t>2001/2002</w:t>
      </w:r>
      <w:r>
        <w:rPr>
          <w:rFonts w:hint="eastAsia"/>
          <w:snapToGrid/>
        </w:rPr>
        <w:t>年期间</w:t>
      </w:r>
      <w:r>
        <w:rPr>
          <w:snapToGrid/>
        </w:rPr>
        <w:t>，</w:t>
      </w:r>
      <w:r>
        <w:rPr>
          <w:rFonts w:hint="eastAsia"/>
          <w:snapToGrid/>
        </w:rPr>
        <w:t>经济复苏的迹象明显可见</w:t>
      </w:r>
      <w:r>
        <w:rPr>
          <w:snapToGrid/>
        </w:rPr>
        <w:t>，</w:t>
      </w:r>
      <w:r>
        <w:rPr>
          <w:rFonts w:hint="eastAsia"/>
          <w:snapToGrid/>
        </w:rPr>
        <w:t>正是实行上述措施的积极成果。</w:t>
      </w:r>
    </w:p>
    <w:p w:rsidR="00000000" w:rsidRDefault="00000000">
      <w:pPr>
        <w:rPr>
          <w:snapToGrid/>
        </w:rPr>
      </w:pPr>
      <w:r>
        <w:rPr>
          <w:snapToGrid/>
        </w:rPr>
        <w:tab/>
        <w:t xml:space="preserve">838.  </w:t>
      </w:r>
      <w:r>
        <w:rPr>
          <w:rFonts w:hint="eastAsia"/>
          <w:snapToGrid/>
        </w:rPr>
        <w:t>上文述及的第</w:t>
      </w:r>
      <w:r>
        <w:rPr>
          <w:snapToGrid/>
        </w:rPr>
        <w:t>4</w:t>
      </w:r>
      <w:r>
        <w:rPr>
          <w:rFonts w:hint="eastAsia"/>
          <w:snapToGrid/>
        </w:rPr>
        <w:t>/9</w:t>
      </w:r>
      <w:r>
        <w:rPr>
          <w:snapToGrid/>
        </w:rPr>
        <w:t>8/M</w:t>
      </w:r>
      <w:r>
        <w:rPr>
          <w:rFonts w:hint="eastAsia"/>
          <w:snapToGrid/>
        </w:rPr>
        <w:t>号法律规定</w:t>
      </w:r>
      <w:r>
        <w:rPr>
          <w:snapToGrid/>
        </w:rPr>
        <w:t>，</w:t>
      </w:r>
      <w:r>
        <w:rPr>
          <w:rFonts w:hint="eastAsia"/>
          <w:snapToGrid/>
        </w:rPr>
        <w:t>所有在澳门特别行政区的劳工均有权按照其工作的数量、性质和质量收取回报</w:t>
      </w:r>
      <w:r>
        <w:rPr>
          <w:snapToGrid/>
        </w:rPr>
        <w:t>，</w:t>
      </w:r>
      <w:r>
        <w:rPr>
          <w:rFonts w:hint="eastAsia"/>
          <w:snapToGrid/>
        </w:rPr>
        <w:t>就相同价值的相同工作收取相同工资</w:t>
      </w:r>
      <w:r>
        <w:rPr>
          <w:snapToGrid/>
        </w:rPr>
        <w:t>，</w:t>
      </w:r>
      <w:r>
        <w:rPr>
          <w:rFonts w:hint="eastAsia"/>
          <w:snapToGrid/>
        </w:rPr>
        <w:t>在卫生和安全的条件下工作</w:t>
      </w:r>
      <w:r>
        <w:rPr>
          <w:snapToGrid/>
        </w:rPr>
        <w:t>，</w:t>
      </w:r>
      <w:r>
        <w:rPr>
          <w:rFonts w:hint="eastAsia"/>
          <w:snapToGrid/>
        </w:rPr>
        <w:t>获规定每日工作时间的极限</w:t>
      </w:r>
      <w:r>
        <w:rPr>
          <w:snapToGrid/>
        </w:rPr>
        <w:t>，</w:t>
      </w:r>
      <w:r>
        <w:rPr>
          <w:rFonts w:hint="eastAsia"/>
          <w:snapToGrid/>
        </w:rPr>
        <w:t>每周休息和有薪定期假期</w:t>
      </w:r>
      <w:r>
        <w:rPr>
          <w:snapToGrid/>
        </w:rPr>
        <w:t>，</w:t>
      </w:r>
      <w:r>
        <w:rPr>
          <w:rFonts w:hint="eastAsia"/>
          <w:snapToGrid/>
        </w:rPr>
        <w:t>收取当地公众假期的报酬</w:t>
      </w:r>
      <w:r>
        <w:rPr>
          <w:snapToGrid/>
        </w:rPr>
        <w:t>，</w:t>
      </w:r>
      <w:r>
        <w:rPr>
          <w:rFonts w:hint="eastAsia"/>
          <w:snapToGrid/>
        </w:rPr>
        <w:t>以及加入代表其利益的社团</w:t>
      </w:r>
      <w:r>
        <w:rPr>
          <w:snapToGrid/>
        </w:rPr>
        <w:t xml:space="preserve"> (</w:t>
      </w:r>
      <w:r>
        <w:rPr>
          <w:rFonts w:hint="eastAsia"/>
          <w:snapToGrid/>
        </w:rPr>
        <w:t>第五条</w:t>
      </w:r>
      <w:r>
        <w:rPr>
          <w:snapToGrid/>
        </w:rPr>
        <w:t>)</w:t>
      </w:r>
      <w:r>
        <w:rPr>
          <w:rFonts w:hint="eastAsia"/>
          <w:snapToGrid/>
        </w:rPr>
        <w:t>。</w:t>
      </w:r>
    </w:p>
    <w:p w:rsidR="00000000" w:rsidRDefault="00000000">
      <w:pPr>
        <w:rPr>
          <w:snapToGrid/>
        </w:rPr>
      </w:pPr>
      <w:r>
        <w:rPr>
          <w:snapToGrid/>
        </w:rPr>
        <w:tab/>
        <w:t xml:space="preserve">839.  </w:t>
      </w:r>
      <w:r>
        <w:rPr>
          <w:rFonts w:hint="eastAsia"/>
          <w:snapToGrid/>
        </w:rPr>
        <w:t>外地劳工在患病或怀孕时同样获得援助</w:t>
      </w:r>
      <w:r>
        <w:rPr>
          <w:snapToGrid/>
        </w:rPr>
        <w:t>，</w:t>
      </w:r>
      <w:r>
        <w:rPr>
          <w:rFonts w:hint="eastAsia"/>
          <w:snapToGrid/>
        </w:rPr>
        <w:t>并获提供工作意外和职业病保险</w:t>
      </w:r>
      <w:r>
        <w:rPr>
          <w:snapToGrid/>
        </w:rPr>
        <w:t xml:space="preserve"> (</w:t>
      </w:r>
      <w:r>
        <w:rPr>
          <w:rFonts w:hint="eastAsia"/>
          <w:snapToGrid/>
        </w:rPr>
        <w:t>第</w:t>
      </w:r>
      <w:r>
        <w:rPr>
          <w:snapToGrid/>
        </w:rPr>
        <w:t>24/89/M</w:t>
      </w:r>
      <w:r>
        <w:rPr>
          <w:rFonts w:hint="eastAsia"/>
          <w:snapToGrid/>
        </w:rPr>
        <w:t>号法令第十五条和第三十七条</w:t>
      </w:r>
      <w:r>
        <w:rPr>
          <w:snapToGrid/>
        </w:rPr>
        <w:t>)</w:t>
      </w:r>
      <w:r>
        <w:rPr>
          <w:rFonts w:hint="eastAsia"/>
          <w:snapToGrid/>
        </w:rPr>
        <w:t>。</w:t>
      </w:r>
    </w:p>
    <w:p w:rsidR="00000000" w:rsidRDefault="00000000">
      <w:pPr>
        <w:spacing w:after="320"/>
        <w:rPr>
          <w:rFonts w:hint="eastAsia"/>
          <w:snapToGrid/>
        </w:rPr>
      </w:pPr>
      <w:r>
        <w:rPr>
          <w:snapToGrid/>
        </w:rPr>
        <w:tab/>
        <w:t xml:space="preserve">840.  </w:t>
      </w:r>
      <w:r>
        <w:rPr>
          <w:rFonts w:hint="eastAsia"/>
          <w:snapToGrid/>
        </w:rPr>
        <w:t>关于这方面的问题</w:t>
      </w:r>
      <w:r>
        <w:rPr>
          <w:snapToGrid/>
        </w:rPr>
        <w:t>，</w:t>
      </w:r>
      <w:r>
        <w:rPr>
          <w:rFonts w:hint="eastAsia"/>
          <w:snapToGrid/>
        </w:rPr>
        <w:t>尚应指出的是</w:t>
      </w:r>
      <w:r>
        <w:rPr>
          <w:snapToGrid/>
        </w:rPr>
        <w:t>，</w:t>
      </w:r>
      <w:r>
        <w:rPr>
          <w:snapToGrid/>
        </w:rPr>
        <w:t>1925</w:t>
      </w:r>
      <w:r>
        <w:rPr>
          <w:rFonts w:hint="eastAsia"/>
          <w:snapToGrid/>
        </w:rPr>
        <w:t>年《本国工人与外国工人关于事故赔偿的同等待遇公约》</w:t>
      </w:r>
      <w:r>
        <w:rPr>
          <w:snapToGrid/>
        </w:rPr>
        <w:t xml:space="preserve"> (</w:t>
      </w:r>
      <w:r>
        <w:rPr>
          <w:rFonts w:hint="eastAsia"/>
          <w:snapToGrid/>
        </w:rPr>
        <w:t>国际劳工组织第</w:t>
      </w:r>
      <w:r>
        <w:rPr>
          <w:snapToGrid/>
        </w:rPr>
        <w:t>19</w:t>
      </w:r>
      <w:r>
        <w:rPr>
          <w:rFonts w:hint="eastAsia"/>
          <w:snapToGrid/>
        </w:rPr>
        <w:t>号公约</w:t>
      </w:r>
      <w:r>
        <w:rPr>
          <w:rFonts w:hint="eastAsia"/>
          <w:snapToGrid/>
        </w:rPr>
        <w:t>)</w:t>
      </w:r>
      <w:r>
        <w:rPr>
          <w:rFonts w:hint="eastAsia"/>
          <w:snapToGrid/>
        </w:rPr>
        <w:t>适用于澳门特别行政区。</w:t>
      </w:r>
    </w:p>
    <w:p w:rsidR="00000000" w:rsidRDefault="00000000">
      <w:pPr>
        <w:pStyle w:val="a3"/>
      </w:pPr>
      <w:r>
        <w:rPr>
          <w:rFonts w:hint="eastAsia"/>
        </w:rPr>
        <w:t>外地劳工数目的演变</w:t>
      </w:r>
    </w:p>
    <w:tbl>
      <w:tblPr>
        <w:tblW w:w="9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78"/>
        <w:gridCol w:w="1820"/>
        <w:gridCol w:w="1820"/>
        <w:gridCol w:w="1950"/>
        <w:gridCol w:w="1560"/>
      </w:tblGrid>
      <w:tr w:rsidR="00000000">
        <w:tblPrEx>
          <w:tblCellMar>
            <w:top w:w="0" w:type="dxa"/>
            <w:bottom w:w="0" w:type="dxa"/>
          </w:tblCellMar>
        </w:tblPrEx>
        <w:tc>
          <w:tcPr>
            <w:tcW w:w="2178" w:type="dxa"/>
          </w:tcPr>
          <w:p w:rsidR="00000000" w:rsidRDefault="00000000">
            <w:pPr>
              <w:pStyle w:val="a2"/>
              <w:spacing w:before="80" w:after="80"/>
              <w:jc w:val="center"/>
              <w:rPr>
                <w:rFonts w:ascii="Time New Roman" w:eastAsia="SimHei" w:hAnsi="Time New Roman"/>
                <w:snapToGrid/>
              </w:rPr>
            </w:pPr>
            <w:r>
              <w:rPr>
                <w:rFonts w:ascii="Time New Roman" w:eastAsia="SimHei" w:hAnsi="Time New Roman" w:hint="eastAsia"/>
                <w:snapToGrid/>
              </w:rPr>
              <w:t>年</w:t>
            </w:r>
            <w:r>
              <w:rPr>
                <w:rFonts w:ascii="Time New Roman" w:eastAsia="SimHei" w:hAnsi="Time New Roman"/>
                <w:snapToGrid/>
              </w:rPr>
              <w:t xml:space="preserve">   </w:t>
            </w:r>
            <w:r>
              <w:rPr>
                <w:rFonts w:ascii="Time New Roman" w:eastAsia="SimHei" w:hAnsi="Time New Roman" w:hint="eastAsia"/>
                <w:snapToGrid/>
              </w:rPr>
              <w:t>份</w:t>
            </w:r>
          </w:p>
        </w:tc>
        <w:tc>
          <w:tcPr>
            <w:tcW w:w="1820" w:type="dxa"/>
          </w:tcPr>
          <w:p w:rsidR="00000000" w:rsidRDefault="00000000">
            <w:pPr>
              <w:pStyle w:val="a2"/>
              <w:spacing w:before="80" w:after="80"/>
              <w:jc w:val="center"/>
              <w:rPr>
                <w:rFonts w:ascii="Time New Roman" w:eastAsia="SimHei" w:hAnsi="Time New Roman"/>
                <w:snapToGrid/>
              </w:rPr>
            </w:pPr>
            <w:r>
              <w:rPr>
                <w:rFonts w:ascii="Time New Roman" w:eastAsia="SimHei" w:hAnsi="Time New Roman"/>
                <w:b/>
                <w:snapToGrid/>
              </w:rPr>
              <w:t>1999</w:t>
            </w:r>
          </w:p>
        </w:tc>
        <w:tc>
          <w:tcPr>
            <w:tcW w:w="1820" w:type="dxa"/>
          </w:tcPr>
          <w:p w:rsidR="00000000" w:rsidRDefault="00000000">
            <w:pPr>
              <w:pStyle w:val="a2"/>
              <w:spacing w:before="80" w:after="80"/>
              <w:jc w:val="center"/>
              <w:rPr>
                <w:rFonts w:ascii="Time New Roman" w:eastAsia="SimHei" w:hAnsi="Time New Roman"/>
                <w:snapToGrid/>
              </w:rPr>
            </w:pPr>
            <w:r>
              <w:rPr>
                <w:rFonts w:ascii="Time New Roman" w:eastAsia="SimHei" w:hAnsi="Time New Roman"/>
                <w:b/>
                <w:snapToGrid/>
              </w:rPr>
              <w:t>2000</w:t>
            </w:r>
          </w:p>
        </w:tc>
        <w:tc>
          <w:tcPr>
            <w:tcW w:w="1950" w:type="dxa"/>
          </w:tcPr>
          <w:p w:rsidR="00000000" w:rsidRDefault="00000000">
            <w:pPr>
              <w:pStyle w:val="a2"/>
              <w:spacing w:before="80" w:after="80"/>
              <w:jc w:val="center"/>
              <w:rPr>
                <w:rFonts w:ascii="Time New Roman" w:eastAsia="SimHei" w:hAnsi="Time New Roman" w:hint="eastAsia"/>
                <w:snapToGrid/>
              </w:rPr>
            </w:pPr>
            <w:r>
              <w:rPr>
                <w:rFonts w:ascii="Time New Roman" w:eastAsia="SimHei" w:hAnsi="Time New Roman" w:hint="eastAsia"/>
                <w:b/>
                <w:snapToGrid/>
              </w:rPr>
              <w:t>2001</w:t>
            </w:r>
          </w:p>
        </w:tc>
        <w:tc>
          <w:tcPr>
            <w:tcW w:w="1560" w:type="dxa"/>
          </w:tcPr>
          <w:p w:rsidR="00000000" w:rsidRDefault="00000000">
            <w:pPr>
              <w:pStyle w:val="a2"/>
              <w:spacing w:before="80" w:after="80"/>
              <w:jc w:val="center"/>
              <w:rPr>
                <w:rFonts w:ascii="Time New Roman" w:eastAsia="SimHei" w:hAnsi="Time New Roman"/>
                <w:snapToGrid/>
              </w:rPr>
            </w:pPr>
            <w:r>
              <w:rPr>
                <w:rFonts w:ascii="Time New Roman" w:eastAsia="SimHei" w:hAnsi="Time New Roman" w:hint="eastAsia"/>
                <w:b/>
                <w:snapToGrid/>
              </w:rPr>
              <w:t>2002</w:t>
            </w:r>
          </w:p>
        </w:tc>
      </w:tr>
      <w:tr w:rsidR="00000000">
        <w:tblPrEx>
          <w:tblCellMar>
            <w:top w:w="0" w:type="dxa"/>
            <w:bottom w:w="0" w:type="dxa"/>
          </w:tblCellMar>
        </w:tblPrEx>
        <w:tc>
          <w:tcPr>
            <w:tcW w:w="2178" w:type="dxa"/>
          </w:tcPr>
          <w:p w:rsidR="00000000" w:rsidRDefault="00000000">
            <w:pPr>
              <w:pStyle w:val="a2"/>
              <w:ind w:left="113"/>
              <w:rPr>
                <w:snapToGrid/>
                <w:szCs w:val="48"/>
              </w:rPr>
            </w:pPr>
            <w:r>
              <w:rPr>
                <w:rFonts w:hint="eastAsia"/>
                <w:snapToGrid/>
                <w:szCs w:val="38"/>
              </w:rPr>
              <w:t>入</w:t>
            </w:r>
            <w:r>
              <w:rPr>
                <w:snapToGrid/>
                <w:szCs w:val="38"/>
              </w:rPr>
              <w:t xml:space="preserve">  </w:t>
            </w:r>
            <w:r>
              <w:rPr>
                <w:rFonts w:hint="eastAsia"/>
                <w:snapToGrid/>
                <w:szCs w:val="38"/>
              </w:rPr>
              <w:t>境</w:t>
            </w:r>
          </w:p>
        </w:tc>
        <w:tc>
          <w:tcPr>
            <w:tcW w:w="1820" w:type="dxa"/>
          </w:tcPr>
          <w:p w:rsidR="00000000" w:rsidRDefault="00000000">
            <w:pPr>
              <w:pStyle w:val="a2"/>
              <w:tabs>
                <w:tab w:val="decimal" w:pos="1163"/>
              </w:tabs>
              <w:rPr>
                <w:rFonts w:hint="eastAsia"/>
                <w:snapToGrid/>
                <w:szCs w:val="48"/>
              </w:rPr>
            </w:pPr>
            <w:r>
              <w:rPr>
                <w:rFonts w:hint="eastAsia"/>
                <w:snapToGrid/>
                <w:szCs w:val="48"/>
              </w:rPr>
              <w:t>9,988</w:t>
            </w:r>
          </w:p>
        </w:tc>
        <w:tc>
          <w:tcPr>
            <w:tcW w:w="1820" w:type="dxa"/>
          </w:tcPr>
          <w:p w:rsidR="00000000" w:rsidRDefault="00000000">
            <w:pPr>
              <w:pStyle w:val="a2"/>
              <w:tabs>
                <w:tab w:val="decimal" w:pos="1163"/>
              </w:tabs>
              <w:rPr>
                <w:rFonts w:hint="eastAsia"/>
                <w:snapToGrid/>
                <w:szCs w:val="48"/>
              </w:rPr>
            </w:pPr>
            <w:r>
              <w:rPr>
                <w:rFonts w:hint="eastAsia"/>
                <w:snapToGrid/>
                <w:szCs w:val="48"/>
              </w:rPr>
              <w:t>7,334</w:t>
            </w:r>
          </w:p>
        </w:tc>
        <w:tc>
          <w:tcPr>
            <w:tcW w:w="1950" w:type="dxa"/>
          </w:tcPr>
          <w:p w:rsidR="00000000" w:rsidRDefault="00000000">
            <w:pPr>
              <w:pStyle w:val="a2"/>
              <w:tabs>
                <w:tab w:val="decimal" w:pos="1163"/>
              </w:tabs>
              <w:rPr>
                <w:rFonts w:hint="eastAsia"/>
                <w:snapToGrid/>
                <w:szCs w:val="48"/>
              </w:rPr>
            </w:pPr>
            <w:r>
              <w:rPr>
                <w:rFonts w:hint="eastAsia"/>
                <w:snapToGrid/>
                <w:szCs w:val="48"/>
              </w:rPr>
              <w:t>7,542</w:t>
            </w:r>
          </w:p>
        </w:tc>
        <w:tc>
          <w:tcPr>
            <w:tcW w:w="1560" w:type="dxa"/>
          </w:tcPr>
          <w:p w:rsidR="00000000" w:rsidRDefault="00000000">
            <w:pPr>
              <w:pStyle w:val="a2"/>
              <w:tabs>
                <w:tab w:val="decimal" w:pos="1163"/>
              </w:tabs>
              <w:rPr>
                <w:rFonts w:hint="eastAsia"/>
                <w:snapToGrid/>
                <w:szCs w:val="48"/>
              </w:rPr>
            </w:pPr>
            <w:r>
              <w:rPr>
                <w:rFonts w:hint="eastAsia"/>
                <w:snapToGrid/>
                <w:szCs w:val="48"/>
              </w:rPr>
              <w:t>7,720</w:t>
            </w:r>
          </w:p>
        </w:tc>
      </w:tr>
      <w:tr w:rsidR="00000000">
        <w:tblPrEx>
          <w:tblCellMar>
            <w:top w:w="0" w:type="dxa"/>
            <w:bottom w:w="0" w:type="dxa"/>
          </w:tblCellMar>
        </w:tblPrEx>
        <w:tc>
          <w:tcPr>
            <w:tcW w:w="2178" w:type="dxa"/>
          </w:tcPr>
          <w:p w:rsidR="00000000" w:rsidRDefault="00000000">
            <w:pPr>
              <w:pStyle w:val="a2"/>
              <w:ind w:left="113"/>
              <w:rPr>
                <w:snapToGrid/>
                <w:szCs w:val="46"/>
              </w:rPr>
            </w:pPr>
            <w:r>
              <w:rPr>
                <w:rFonts w:hint="eastAsia"/>
                <w:snapToGrid/>
                <w:szCs w:val="38"/>
              </w:rPr>
              <w:t>出</w:t>
            </w:r>
            <w:r>
              <w:rPr>
                <w:snapToGrid/>
                <w:szCs w:val="38"/>
              </w:rPr>
              <w:t xml:space="preserve">  </w:t>
            </w:r>
            <w:r>
              <w:rPr>
                <w:rFonts w:hint="eastAsia"/>
                <w:snapToGrid/>
                <w:szCs w:val="38"/>
              </w:rPr>
              <w:t>境</w:t>
            </w:r>
          </w:p>
        </w:tc>
        <w:tc>
          <w:tcPr>
            <w:tcW w:w="1820" w:type="dxa"/>
          </w:tcPr>
          <w:p w:rsidR="00000000" w:rsidRDefault="00000000">
            <w:pPr>
              <w:pStyle w:val="a2"/>
              <w:tabs>
                <w:tab w:val="decimal" w:pos="1163"/>
              </w:tabs>
              <w:rPr>
                <w:rFonts w:hint="eastAsia"/>
                <w:snapToGrid/>
                <w:szCs w:val="46"/>
              </w:rPr>
            </w:pPr>
            <w:r>
              <w:rPr>
                <w:rFonts w:hint="eastAsia"/>
                <w:snapToGrid/>
                <w:szCs w:val="46"/>
              </w:rPr>
              <w:t>9,818</w:t>
            </w:r>
          </w:p>
        </w:tc>
        <w:tc>
          <w:tcPr>
            <w:tcW w:w="1820" w:type="dxa"/>
          </w:tcPr>
          <w:p w:rsidR="00000000" w:rsidRDefault="00000000">
            <w:pPr>
              <w:pStyle w:val="a2"/>
              <w:tabs>
                <w:tab w:val="decimal" w:pos="1163"/>
              </w:tabs>
              <w:rPr>
                <w:rFonts w:hint="eastAsia"/>
                <w:snapToGrid/>
                <w:szCs w:val="46"/>
              </w:rPr>
            </w:pPr>
            <w:r>
              <w:rPr>
                <w:rFonts w:hint="eastAsia"/>
                <w:snapToGrid/>
                <w:szCs w:val="46"/>
              </w:rPr>
              <w:t>12,296</w:t>
            </w:r>
          </w:p>
        </w:tc>
        <w:tc>
          <w:tcPr>
            <w:tcW w:w="1950" w:type="dxa"/>
          </w:tcPr>
          <w:p w:rsidR="00000000" w:rsidRDefault="00000000">
            <w:pPr>
              <w:pStyle w:val="a2"/>
              <w:tabs>
                <w:tab w:val="decimal" w:pos="1163"/>
              </w:tabs>
              <w:rPr>
                <w:rFonts w:hint="eastAsia"/>
                <w:snapToGrid/>
                <w:szCs w:val="46"/>
              </w:rPr>
            </w:pPr>
            <w:r>
              <w:rPr>
                <w:rFonts w:hint="eastAsia"/>
                <w:snapToGrid/>
                <w:szCs w:val="46"/>
              </w:rPr>
              <w:t>8,838</w:t>
            </w:r>
          </w:p>
        </w:tc>
        <w:tc>
          <w:tcPr>
            <w:tcW w:w="1560" w:type="dxa"/>
          </w:tcPr>
          <w:p w:rsidR="00000000" w:rsidRDefault="00000000">
            <w:pPr>
              <w:pStyle w:val="a2"/>
              <w:tabs>
                <w:tab w:val="decimal" w:pos="1163"/>
              </w:tabs>
              <w:rPr>
                <w:rFonts w:hint="eastAsia"/>
                <w:snapToGrid/>
                <w:szCs w:val="46"/>
              </w:rPr>
            </w:pPr>
            <w:r>
              <w:rPr>
                <w:rFonts w:hint="eastAsia"/>
                <w:snapToGrid/>
                <w:szCs w:val="46"/>
              </w:rPr>
              <w:t>10,185</w:t>
            </w:r>
          </w:p>
        </w:tc>
      </w:tr>
      <w:tr w:rsidR="00000000">
        <w:tblPrEx>
          <w:tblCellMar>
            <w:top w:w="0" w:type="dxa"/>
            <w:bottom w:w="0" w:type="dxa"/>
          </w:tblCellMar>
        </w:tblPrEx>
        <w:tc>
          <w:tcPr>
            <w:tcW w:w="2178" w:type="dxa"/>
          </w:tcPr>
          <w:p w:rsidR="00000000" w:rsidRDefault="00000000">
            <w:pPr>
              <w:pStyle w:val="a2"/>
              <w:ind w:left="113"/>
              <w:rPr>
                <w:snapToGrid/>
                <w:szCs w:val="46"/>
              </w:rPr>
            </w:pPr>
            <w:r>
              <w:rPr>
                <w:rFonts w:hint="eastAsia"/>
                <w:snapToGrid/>
                <w:szCs w:val="38"/>
              </w:rPr>
              <w:t>外地劳工结余数目</w:t>
            </w:r>
          </w:p>
        </w:tc>
        <w:tc>
          <w:tcPr>
            <w:tcW w:w="1820" w:type="dxa"/>
          </w:tcPr>
          <w:p w:rsidR="00000000" w:rsidRDefault="00000000">
            <w:pPr>
              <w:pStyle w:val="a2"/>
              <w:tabs>
                <w:tab w:val="decimal" w:pos="1163"/>
              </w:tabs>
              <w:rPr>
                <w:rFonts w:hint="eastAsia"/>
                <w:snapToGrid/>
                <w:szCs w:val="46"/>
              </w:rPr>
            </w:pPr>
            <w:r>
              <w:rPr>
                <w:rFonts w:hint="eastAsia"/>
                <w:snapToGrid/>
                <w:szCs w:val="46"/>
              </w:rPr>
              <w:t>32,183</w:t>
            </w:r>
          </w:p>
        </w:tc>
        <w:tc>
          <w:tcPr>
            <w:tcW w:w="1820" w:type="dxa"/>
          </w:tcPr>
          <w:p w:rsidR="00000000" w:rsidRDefault="00000000">
            <w:pPr>
              <w:pStyle w:val="a2"/>
              <w:tabs>
                <w:tab w:val="decimal" w:pos="1163"/>
              </w:tabs>
              <w:rPr>
                <w:rFonts w:hint="eastAsia"/>
                <w:snapToGrid/>
                <w:szCs w:val="46"/>
              </w:rPr>
            </w:pPr>
            <w:r>
              <w:rPr>
                <w:rFonts w:hint="eastAsia"/>
                <w:snapToGrid/>
                <w:szCs w:val="46"/>
              </w:rPr>
              <w:t>27,221</w:t>
            </w:r>
          </w:p>
        </w:tc>
        <w:tc>
          <w:tcPr>
            <w:tcW w:w="1950" w:type="dxa"/>
          </w:tcPr>
          <w:p w:rsidR="00000000" w:rsidRDefault="00000000">
            <w:pPr>
              <w:pStyle w:val="a2"/>
              <w:tabs>
                <w:tab w:val="decimal" w:pos="1163"/>
              </w:tabs>
              <w:rPr>
                <w:rFonts w:hint="eastAsia"/>
                <w:snapToGrid/>
                <w:szCs w:val="46"/>
              </w:rPr>
            </w:pPr>
            <w:r>
              <w:rPr>
                <w:rFonts w:hint="eastAsia"/>
                <w:snapToGrid/>
                <w:szCs w:val="46"/>
              </w:rPr>
              <w:t>25,925</w:t>
            </w:r>
          </w:p>
        </w:tc>
        <w:tc>
          <w:tcPr>
            <w:tcW w:w="1560" w:type="dxa"/>
          </w:tcPr>
          <w:p w:rsidR="00000000" w:rsidRDefault="00000000">
            <w:pPr>
              <w:pStyle w:val="a2"/>
              <w:tabs>
                <w:tab w:val="decimal" w:pos="1163"/>
              </w:tabs>
              <w:rPr>
                <w:rFonts w:hint="eastAsia"/>
                <w:snapToGrid/>
                <w:szCs w:val="46"/>
              </w:rPr>
            </w:pPr>
            <w:r>
              <w:rPr>
                <w:rFonts w:hint="eastAsia"/>
                <w:snapToGrid/>
                <w:szCs w:val="46"/>
              </w:rPr>
              <w:t>23,460</w:t>
            </w:r>
          </w:p>
        </w:tc>
      </w:tr>
      <w:tr w:rsidR="00000000">
        <w:tblPrEx>
          <w:tblCellMar>
            <w:top w:w="0" w:type="dxa"/>
            <w:bottom w:w="0" w:type="dxa"/>
          </w:tblCellMar>
        </w:tblPrEx>
        <w:tc>
          <w:tcPr>
            <w:tcW w:w="2178" w:type="dxa"/>
          </w:tcPr>
          <w:p w:rsidR="00000000" w:rsidRDefault="00000000">
            <w:pPr>
              <w:pStyle w:val="a2"/>
              <w:ind w:left="113"/>
              <w:rPr>
                <w:rFonts w:hint="eastAsia"/>
                <w:snapToGrid/>
                <w:szCs w:val="46"/>
              </w:rPr>
            </w:pPr>
            <w:r>
              <w:rPr>
                <w:rFonts w:hint="eastAsia"/>
                <w:snapToGrid/>
                <w:szCs w:val="26"/>
              </w:rPr>
              <w:t>年增长率</w:t>
            </w:r>
            <w:r>
              <w:rPr>
                <w:rFonts w:hint="eastAsia"/>
                <w:snapToGrid/>
                <w:szCs w:val="26"/>
              </w:rPr>
              <w:t xml:space="preserve"> (%)</w:t>
            </w:r>
          </w:p>
        </w:tc>
        <w:tc>
          <w:tcPr>
            <w:tcW w:w="1820" w:type="dxa"/>
          </w:tcPr>
          <w:p w:rsidR="00000000" w:rsidRDefault="00000000">
            <w:pPr>
              <w:pStyle w:val="a2"/>
              <w:tabs>
                <w:tab w:val="decimal" w:pos="1163"/>
              </w:tabs>
              <w:rPr>
                <w:rFonts w:hint="eastAsia"/>
                <w:snapToGrid/>
                <w:szCs w:val="46"/>
              </w:rPr>
            </w:pPr>
            <w:r>
              <w:rPr>
                <w:rFonts w:hint="eastAsia"/>
                <w:snapToGrid/>
                <w:szCs w:val="46"/>
              </w:rPr>
              <w:t>+0.5</w:t>
            </w:r>
          </w:p>
        </w:tc>
        <w:tc>
          <w:tcPr>
            <w:tcW w:w="1820" w:type="dxa"/>
          </w:tcPr>
          <w:p w:rsidR="00000000" w:rsidRDefault="00000000">
            <w:pPr>
              <w:pStyle w:val="a2"/>
              <w:tabs>
                <w:tab w:val="decimal" w:pos="1163"/>
              </w:tabs>
              <w:rPr>
                <w:rFonts w:hint="eastAsia"/>
                <w:snapToGrid/>
                <w:szCs w:val="46"/>
              </w:rPr>
            </w:pPr>
            <w:r>
              <w:rPr>
                <w:rFonts w:hint="eastAsia"/>
                <w:snapToGrid/>
                <w:szCs w:val="46"/>
              </w:rPr>
              <w:t>-15.4</w:t>
            </w:r>
          </w:p>
        </w:tc>
        <w:tc>
          <w:tcPr>
            <w:tcW w:w="1950" w:type="dxa"/>
          </w:tcPr>
          <w:p w:rsidR="00000000" w:rsidRDefault="00000000">
            <w:pPr>
              <w:pStyle w:val="a2"/>
              <w:tabs>
                <w:tab w:val="decimal" w:pos="1163"/>
              </w:tabs>
              <w:rPr>
                <w:rFonts w:hint="eastAsia"/>
                <w:snapToGrid/>
                <w:szCs w:val="46"/>
              </w:rPr>
            </w:pPr>
            <w:r>
              <w:rPr>
                <w:rFonts w:hint="eastAsia"/>
                <w:snapToGrid/>
                <w:szCs w:val="46"/>
              </w:rPr>
              <w:t>-4.8</w:t>
            </w:r>
          </w:p>
        </w:tc>
        <w:tc>
          <w:tcPr>
            <w:tcW w:w="1560" w:type="dxa"/>
          </w:tcPr>
          <w:p w:rsidR="00000000" w:rsidRDefault="00000000">
            <w:pPr>
              <w:pStyle w:val="a2"/>
              <w:tabs>
                <w:tab w:val="decimal" w:pos="1163"/>
              </w:tabs>
              <w:rPr>
                <w:rFonts w:hint="eastAsia"/>
                <w:snapToGrid/>
                <w:szCs w:val="46"/>
              </w:rPr>
            </w:pPr>
            <w:r>
              <w:rPr>
                <w:rFonts w:hint="eastAsia"/>
                <w:snapToGrid/>
                <w:szCs w:val="46"/>
              </w:rPr>
              <w:t>-9.5</w:t>
            </w:r>
          </w:p>
        </w:tc>
      </w:tr>
    </w:tbl>
    <w:p w:rsidR="00000000" w:rsidRDefault="00000000">
      <w:pPr>
        <w:spacing w:before="160" w:after="120"/>
        <w:ind w:left="510"/>
      </w:pPr>
      <w:r>
        <w:rPr>
          <w:rFonts w:eastAsia="KaiTi_GB2312" w:hint="eastAsia"/>
          <w:u w:val="single"/>
        </w:rPr>
        <w:t>资料来源</w:t>
      </w:r>
      <w:r>
        <w:rPr>
          <w:rFonts w:eastAsia="KaiTi_GB2312" w:hint="eastAsia"/>
        </w:rPr>
        <w:t>：统计暨普查局，人口统计。</w:t>
      </w:r>
    </w:p>
    <w:p w:rsidR="00000000" w:rsidRDefault="00000000">
      <w:pPr>
        <w:pStyle w:val="a3"/>
      </w:pPr>
      <w:r>
        <w:rPr>
          <w:rFonts w:hint="eastAsia"/>
        </w:rPr>
        <w:t>按性别和国籍统计的就业人口</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3"/>
        <w:gridCol w:w="784"/>
        <w:gridCol w:w="784"/>
        <w:gridCol w:w="784"/>
        <w:gridCol w:w="784"/>
        <w:gridCol w:w="785"/>
        <w:gridCol w:w="784"/>
        <w:gridCol w:w="784"/>
        <w:gridCol w:w="784"/>
        <w:gridCol w:w="784"/>
        <w:gridCol w:w="784"/>
        <w:gridCol w:w="786"/>
      </w:tblGrid>
      <w:tr w:rsidR="00000000">
        <w:tblPrEx>
          <w:tblCellMar>
            <w:top w:w="0" w:type="dxa"/>
            <w:bottom w:w="0" w:type="dxa"/>
          </w:tblCellMar>
        </w:tblPrEx>
        <w:trPr>
          <w:cantSplit/>
        </w:trPr>
        <w:tc>
          <w:tcPr>
            <w:tcW w:w="783"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2001</w:t>
            </w:r>
          </w:p>
        </w:tc>
        <w:tc>
          <w:tcPr>
            <w:tcW w:w="784" w:type="dxa"/>
          </w:tcPr>
          <w:p w:rsidR="00000000" w:rsidRDefault="00000000">
            <w:pPr>
              <w:pStyle w:val="a2"/>
              <w:jc w:val="center"/>
              <w:rPr>
                <w:rFonts w:ascii="Time New Roman" w:eastAsia="SimHei" w:hAnsi="Time New Roman"/>
                <w:snapToGrid/>
                <w:sz w:val="18"/>
              </w:rPr>
            </w:pPr>
            <w:r>
              <w:rPr>
                <w:rFonts w:ascii="Time New Roman" w:eastAsia="SimHei" w:hAnsi="Time New Roman" w:hint="eastAsia"/>
                <w:snapToGrid/>
                <w:sz w:val="18"/>
              </w:rPr>
              <w:t>总人数</w:t>
            </w:r>
          </w:p>
        </w:tc>
        <w:tc>
          <w:tcPr>
            <w:tcW w:w="1568" w:type="dxa"/>
            <w:gridSpan w:val="2"/>
          </w:tcPr>
          <w:p w:rsidR="00000000" w:rsidRDefault="00000000">
            <w:pPr>
              <w:pStyle w:val="a2"/>
              <w:jc w:val="center"/>
              <w:rPr>
                <w:rFonts w:ascii="Time New Roman" w:eastAsia="SimHei" w:hAnsi="Time New Roman"/>
                <w:snapToGrid/>
                <w:sz w:val="18"/>
              </w:rPr>
            </w:pPr>
            <w:r>
              <w:rPr>
                <w:rFonts w:ascii="Time New Roman" w:eastAsia="SimHei" w:hAnsi="Time New Roman" w:hint="eastAsia"/>
                <w:snapToGrid/>
                <w:sz w:val="18"/>
              </w:rPr>
              <w:t>中国内地</w:t>
            </w:r>
          </w:p>
        </w:tc>
        <w:tc>
          <w:tcPr>
            <w:tcW w:w="1569" w:type="dxa"/>
            <w:gridSpan w:val="2"/>
          </w:tcPr>
          <w:p w:rsidR="00000000" w:rsidRDefault="00000000">
            <w:pPr>
              <w:pStyle w:val="a2"/>
              <w:jc w:val="center"/>
              <w:rPr>
                <w:rFonts w:ascii="Time New Roman" w:eastAsia="SimHei" w:hAnsi="Time New Roman"/>
                <w:snapToGrid/>
                <w:sz w:val="18"/>
              </w:rPr>
            </w:pPr>
            <w:r>
              <w:rPr>
                <w:rFonts w:ascii="Time New Roman" w:eastAsia="SimHei" w:hAnsi="Time New Roman" w:hint="eastAsia"/>
                <w:snapToGrid/>
                <w:sz w:val="18"/>
              </w:rPr>
              <w:t>葡</w:t>
            </w:r>
            <w:r>
              <w:rPr>
                <w:rFonts w:ascii="Time New Roman" w:eastAsia="SimHei" w:hAnsi="Time New Roman" w:hint="eastAsia"/>
                <w:snapToGrid/>
                <w:sz w:val="18"/>
              </w:rPr>
              <w:t xml:space="preserve"> </w:t>
            </w:r>
            <w:r>
              <w:rPr>
                <w:rFonts w:ascii="Time New Roman" w:eastAsia="SimHei" w:hAnsi="Time New Roman" w:hint="eastAsia"/>
                <w:snapToGrid/>
                <w:sz w:val="18"/>
              </w:rPr>
              <w:t>萄</w:t>
            </w:r>
            <w:r>
              <w:rPr>
                <w:rFonts w:ascii="Time New Roman" w:eastAsia="SimHei" w:hAnsi="Time New Roman" w:hint="eastAsia"/>
                <w:snapToGrid/>
                <w:sz w:val="18"/>
              </w:rPr>
              <w:t xml:space="preserve"> </w:t>
            </w:r>
            <w:r>
              <w:rPr>
                <w:rFonts w:ascii="Time New Roman" w:eastAsia="SimHei" w:hAnsi="Time New Roman" w:hint="eastAsia"/>
                <w:snapToGrid/>
                <w:sz w:val="18"/>
              </w:rPr>
              <w:t>牙</w:t>
            </w:r>
          </w:p>
        </w:tc>
        <w:tc>
          <w:tcPr>
            <w:tcW w:w="1568" w:type="dxa"/>
            <w:gridSpan w:val="2"/>
          </w:tcPr>
          <w:p w:rsidR="00000000" w:rsidRDefault="00000000">
            <w:pPr>
              <w:pStyle w:val="a2"/>
              <w:jc w:val="center"/>
              <w:rPr>
                <w:rFonts w:ascii="Time New Roman" w:eastAsia="SimHei" w:hAnsi="Time New Roman"/>
                <w:snapToGrid/>
                <w:sz w:val="18"/>
              </w:rPr>
            </w:pPr>
            <w:r>
              <w:rPr>
                <w:rFonts w:ascii="Time New Roman" w:eastAsia="SimHei" w:hAnsi="Time New Roman" w:hint="eastAsia"/>
                <w:snapToGrid/>
                <w:sz w:val="18"/>
              </w:rPr>
              <w:t>菲</w:t>
            </w:r>
            <w:r>
              <w:rPr>
                <w:rFonts w:ascii="Time New Roman" w:eastAsia="SimHei" w:hAnsi="Time New Roman" w:hint="eastAsia"/>
                <w:snapToGrid/>
                <w:sz w:val="18"/>
              </w:rPr>
              <w:t xml:space="preserve"> </w:t>
            </w:r>
            <w:r>
              <w:rPr>
                <w:rFonts w:ascii="Time New Roman" w:eastAsia="SimHei" w:hAnsi="Time New Roman" w:hint="eastAsia"/>
                <w:snapToGrid/>
                <w:sz w:val="18"/>
              </w:rPr>
              <w:t>律</w:t>
            </w:r>
            <w:r>
              <w:rPr>
                <w:rFonts w:ascii="Time New Roman" w:eastAsia="SimHei" w:hAnsi="Time New Roman" w:hint="eastAsia"/>
                <w:snapToGrid/>
                <w:sz w:val="18"/>
              </w:rPr>
              <w:t xml:space="preserve"> </w:t>
            </w:r>
            <w:r>
              <w:rPr>
                <w:rFonts w:ascii="Time New Roman" w:eastAsia="SimHei" w:hAnsi="Time New Roman" w:hint="eastAsia"/>
                <w:snapToGrid/>
                <w:sz w:val="18"/>
              </w:rPr>
              <w:t>宾</w:t>
            </w:r>
          </w:p>
        </w:tc>
        <w:tc>
          <w:tcPr>
            <w:tcW w:w="1568" w:type="dxa"/>
            <w:gridSpan w:val="2"/>
          </w:tcPr>
          <w:p w:rsidR="00000000" w:rsidRDefault="00000000">
            <w:pPr>
              <w:pStyle w:val="a2"/>
              <w:jc w:val="center"/>
              <w:rPr>
                <w:rFonts w:ascii="Time New Roman" w:eastAsia="SimHei" w:hAnsi="Time New Roman"/>
                <w:snapToGrid/>
                <w:sz w:val="18"/>
              </w:rPr>
            </w:pPr>
            <w:r>
              <w:rPr>
                <w:rFonts w:ascii="Time New Roman" w:eastAsia="SimHei" w:hAnsi="Time New Roman" w:hint="eastAsia"/>
                <w:snapToGrid/>
                <w:sz w:val="18"/>
              </w:rPr>
              <w:t>英</w:t>
            </w:r>
            <w:r>
              <w:rPr>
                <w:rFonts w:ascii="Time New Roman" w:eastAsia="SimHei" w:hAnsi="Time New Roman" w:hint="eastAsia"/>
                <w:snapToGrid/>
                <w:sz w:val="18"/>
              </w:rPr>
              <w:t xml:space="preserve">  </w:t>
            </w:r>
            <w:r>
              <w:rPr>
                <w:rFonts w:ascii="Time New Roman" w:eastAsia="SimHei" w:hAnsi="Time New Roman" w:hint="eastAsia"/>
                <w:snapToGrid/>
                <w:sz w:val="18"/>
              </w:rPr>
              <w:t>国</w:t>
            </w:r>
          </w:p>
        </w:tc>
        <w:tc>
          <w:tcPr>
            <w:tcW w:w="1570" w:type="dxa"/>
            <w:gridSpan w:val="2"/>
          </w:tcPr>
          <w:p w:rsidR="00000000" w:rsidRDefault="00000000">
            <w:pPr>
              <w:pStyle w:val="a2"/>
              <w:jc w:val="center"/>
              <w:rPr>
                <w:rFonts w:ascii="Time New Roman" w:eastAsia="SimHei" w:hAnsi="Time New Roman"/>
                <w:snapToGrid/>
                <w:sz w:val="18"/>
              </w:rPr>
            </w:pPr>
            <w:r>
              <w:rPr>
                <w:rFonts w:ascii="Time New Roman" w:eastAsia="SimHei" w:hAnsi="Time New Roman" w:hint="eastAsia"/>
                <w:snapToGrid/>
                <w:sz w:val="18"/>
              </w:rPr>
              <w:t>其</w:t>
            </w:r>
            <w:r>
              <w:rPr>
                <w:rFonts w:ascii="Time New Roman" w:eastAsia="SimHei" w:hAnsi="Time New Roman" w:hint="eastAsia"/>
                <w:snapToGrid/>
                <w:sz w:val="18"/>
              </w:rPr>
              <w:t xml:space="preserve">  </w:t>
            </w:r>
            <w:r>
              <w:rPr>
                <w:rFonts w:ascii="Time New Roman" w:eastAsia="SimHei" w:hAnsi="Time New Roman" w:hint="eastAsia"/>
                <w:snapToGrid/>
                <w:sz w:val="18"/>
              </w:rPr>
              <w:t>他</w:t>
            </w:r>
          </w:p>
        </w:tc>
      </w:tr>
      <w:tr w:rsidR="00000000">
        <w:tblPrEx>
          <w:tblCellMar>
            <w:top w:w="0" w:type="dxa"/>
            <w:bottom w:w="0" w:type="dxa"/>
          </w:tblCellMar>
        </w:tblPrEx>
        <w:trPr>
          <w:cantSplit/>
        </w:trPr>
        <w:tc>
          <w:tcPr>
            <w:tcW w:w="783"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男女</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202,807</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181,725</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89.60%</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14,881</w:t>
            </w:r>
          </w:p>
        </w:tc>
        <w:tc>
          <w:tcPr>
            <w:tcW w:w="785"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7.34%</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4,457</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2.20%</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497</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0.25%</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1,247</w:t>
            </w:r>
          </w:p>
        </w:tc>
        <w:tc>
          <w:tcPr>
            <w:tcW w:w="786"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0.61%</w:t>
            </w:r>
          </w:p>
        </w:tc>
      </w:tr>
      <w:tr w:rsidR="00000000">
        <w:tblPrEx>
          <w:tblCellMar>
            <w:top w:w="0" w:type="dxa"/>
            <w:bottom w:w="0" w:type="dxa"/>
          </w:tblCellMar>
        </w:tblPrEx>
        <w:trPr>
          <w:cantSplit/>
        </w:trPr>
        <w:tc>
          <w:tcPr>
            <w:tcW w:w="783"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男</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106,749</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95,902</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89.84%</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8,030</w:t>
            </w:r>
          </w:p>
        </w:tc>
        <w:tc>
          <w:tcPr>
            <w:tcW w:w="785"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7.52%</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1,783</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1.67%</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282</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0.26%</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752</w:t>
            </w:r>
          </w:p>
        </w:tc>
        <w:tc>
          <w:tcPr>
            <w:tcW w:w="786"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0.70%</w:t>
            </w:r>
          </w:p>
        </w:tc>
      </w:tr>
      <w:tr w:rsidR="00000000">
        <w:tblPrEx>
          <w:tblCellMar>
            <w:top w:w="0" w:type="dxa"/>
            <w:bottom w:w="0" w:type="dxa"/>
          </w:tblCellMar>
        </w:tblPrEx>
        <w:trPr>
          <w:cantSplit/>
        </w:trPr>
        <w:tc>
          <w:tcPr>
            <w:tcW w:w="783"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女</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 xml:space="preserve"> 96,058</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85,823</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89.34%</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6,851</w:t>
            </w:r>
          </w:p>
        </w:tc>
        <w:tc>
          <w:tcPr>
            <w:tcW w:w="785"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7.13%</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2,674</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2.78%</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215</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0.22%</w:t>
            </w:r>
          </w:p>
        </w:tc>
        <w:tc>
          <w:tcPr>
            <w:tcW w:w="784"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495</w:t>
            </w:r>
          </w:p>
        </w:tc>
        <w:tc>
          <w:tcPr>
            <w:tcW w:w="786" w:type="dxa"/>
          </w:tcPr>
          <w:p w:rsidR="00000000" w:rsidRDefault="00000000">
            <w:pPr>
              <w:pStyle w:val="a2"/>
              <w:jc w:val="center"/>
              <w:rPr>
                <w:rFonts w:ascii="Time New Roman" w:eastAsia="SimHei" w:hAnsi="Time New Roman" w:hint="eastAsia"/>
                <w:snapToGrid/>
                <w:sz w:val="18"/>
              </w:rPr>
            </w:pPr>
            <w:r>
              <w:rPr>
                <w:rFonts w:ascii="Time New Roman" w:eastAsia="SimHei" w:hAnsi="Time New Roman" w:hint="eastAsia"/>
                <w:snapToGrid/>
                <w:sz w:val="18"/>
              </w:rPr>
              <w:t>0.52%</w:t>
            </w:r>
          </w:p>
        </w:tc>
      </w:tr>
    </w:tbl>
    <w:p w:rsidR="00000000" w:rsidRDefault="00000000">
      <w:pPr>
        <w:spacing w:before="160" w:after="120"/>
        <w:ind w:left="510"/>
        <w:rPr>
          <w:rFonts w:eastAsia="KaiTi_GB2312" w:hint="eastAsia"/>
        </w:rPr>
      </w:pPr>
      <w:r>
        <w:rPr>
          <w:rFonts w:eastAsia="KaiTi_GB2312" w:hint="eastAsia"/>
          <w:u w:val="single"/>
        </w:rPr>
        <w:t>资料来源</w:t>
      </w:r>
      <w:r>
        <w:rPr>
          <w:rFonts w:eastAsia="KaiTi_GB2312" w:hint="eastAsia"/>
        </w:rPr>
        <w:t>：统计暨普查局，</w:t>
      </w:r>
      <w:r>
        <w:rPr>
          <w:rFonts w:eastAsia="KaiTi_GB2312" w:hint="eastAsia"/>
        </w:rPr>
        <w:t>2001</w:t>
      </w:r>
      <w:r>
        <w:rPr>
          <w:rFonts w:eastAsia="KaiTi_GB2312" w:hint="eastAsia"/>
        </w:rPr>
        <w:t>年就业调查。</w:t>
      </w:r>
    </w:p>
    <w:p w:rsidR="00000000" w:rsidRDefault="00000000">
      <w:pPr>
        <w:spacing w:after="320"/>
        <w:jc w:val="center"/>
        <w:rPr>
          <w:rFonts w:hint="eastAsia"/>
        </w:rPr>
      </w:pPr>
      <w:r>
        <w:t xml:space="preserve">C.  </w:t>
      </w:r>
      <w:r>
        <w:rPr>
          <w:rFonts w:hint="eastAsia"/>
          <w:u w:val="single"/>
        </w:rPr>
        <w:t>主要就业政策和保障工作权的措施</w:t>
      </w:r>
    </w:p>
    <w:p w:rsidR="00000000" w:rsidRDefault="00000000">
      <w:pPr>
        <w:pStyle w:val="Heading4"/>
        <w:rPr>
          <w:rFonts w:hint="eastAsia"/>
        </w:rPr>
      </w:pPr>
      <w:r>
        <w:rPr>
          <w:rFonts w:hint="eastAsia"/>
        </w:rPr>
        <w:t>就业推广</w:t>
      </w:r>
    </w:p>
    <w:p w:rsidR="00000000" w:rsidRDefault="00000000">
      <w:pPr>
        <w:rPr>
          <w:snapToGrid/>
        </w:rPr>
      </w:pPr>
      <w:r>
        <w:rPr>
          <w:rFonts w:hint="eastAsia"/>
        </w:rPr>
        <w:tab/>
      </w:r>
      <w:r>
        <w:rPr>
          <w:snapToGrid/>
        </w:rPr>
        <w:t xml:space="preserve">841.  </w:t>
      </w:r>
      <w:r>
        <w:rPr>
          <w:rFonts w:hint="eastAsia"/>
          <w:snapToGrid/>
        </w:rPr>
        <w:t>劳工暨就业局负责执行旨在创造就业机会和营造稳定</w:t>
      </w:r>
      <w:r>
        <w:rPr>
          <w:snapToGrid/>
        </w:rPr>
        <w:t>/</w:t>
      </w:r>
      <w:r>
        <w:rPr>
          <w:rFonts w:hint="eastAsia"/>
          <w:snapToGrid/>
        </w:rPr>
        <w:t>具竞争力的市场环境的就业政策和措施</w:t>
      </w:r>
      <w:r>
        <w:rPr>
          <w:snapToGrid/>
        </w:rPr>
        <w:t>，</w:t>
      </w:r>
      <w:r>
        <w:rPr>
          <w:rFonts w:hint="eastAsia"/>
          <w:snapToGrid/>
        </w:rPr>
        <w:t>其首要宗旨是控制高企的失业率和回应劳动市场的实际需要。</w:t>
      </w:r>
    </w:p>
    <w:p w:rsidR="00000000" w:rsidRDefault="00000000">
      <w:pPr>
        <w:rPr>
          <w:snapToGrid/>
        </w:rPr>
      </w:pPr>
      <w:r>
        <w:rPr>
          <w:snapToGrid/>
        </w:rPr>
        <w:tab/>
        <w:t xml:space="preserve">842.  </w:t>
      </w:r>
      <w:r>
        <w:rPr>
          <w:rFonts w:hint="eastAsia"/>
          <w:snapToGrid/>
        </w:rPr>
        <w:t>关注的重点集中在青少年就业、工资水平低和学历与技术资格提升等问题。</w:t>
      </w:r>
    </w:p>
    <w:p w:rsidR="00000000" w:rsidRDefault="00000000">
      <w:pPr>
        <w:rPr>
          <w:snapToGrid/>
        </w:rPr>
      </w:pPr>
      <w:r>
        <w:rPr>
          <w:snapToGrid/>
        </w:rPr>
        <w:tab/>
        <w:t xml:space="preserve">843.  </w:t>
      </w:r>
      <w:r>
        <w:rPr>
          <w:rFonts w:hint="eastAsia"/>
          <w:snapToGrid/>
        </w:rPr>
        <w:t>为执行上述任务</w:t>
      </w:r>
      <w:r>
        <w:rPr>
          <w:snapToGrid/>
        </w:rPr>
        <w:t>，</w:t>
      </w:r>
      <w:r>
        <w:rPr>
          <w:rFonts w:hint="eastAsia"/>
          <w:snapToGrid/>
        </w:rPr>
        <w:t>劳工暨就业局提供各种旨在回应市场需求的服务</w:t>
      </w:r>
      <w:r>
        <w:rPr>
          <w:snapToGrid/>
        </w:rPr>
        <w:t>，</w:t>
      </w:r>
      <w:r>
        <w:rPr>
          <w:rFonts w:hint="eastAsia"/>
          <w:snapToGrid/>
        </w:rPr>
        <w:t>包括职业辅导和职业培训</w:t>
      </w:r>
      <w:r>
        <w:rPr>
          <w:snapToGrid/>
        </w:rPr>
        <w:t>，</w:t>
      </w:r>
      <w:r>
        <w:rPr>
          <w:rFonts w:hint="eastAsia"/>
          <w:snapToGrid/>
        </w:rPr>
        <w:t>举办关于工作卫生和安全的工作坊</w:t>
      </w:r>
      <w:r>
        <w:rPr>
          <w:snapToGrid/>
        </w:rPr>
        <w:t>，</w:t>
      </w:r>
      <w:r>
        <w:rPr>
          <w:rFonts w:hint="eastAsia"/>
          <w:snapToGrid/>
        </w:rPr>
        <w:t>完善劳动法例</w:t>
      </w:r>
      <w:r>
        <w:rPr>
          <w:snapToGrid/>
        </w:rPr>
        <w:t>，</w:t>
      </w:r>
      <w:r>
        <w:rPr>
          <w:rFonts w:hint="eastAsia"/>
          <w:snapToGrid/>
        </w:rPr>
        <w:t>通过就业辅导组提供服务</w:t>
      </w:r>
      <w:r>
        <w:rPr>
          <w:snapToGrid/>
        </w:rPr>
        <w:t>，</w:t>
      </w:r>
      <w:r>
        <w:rPr>
          <w:rFonts w:hint="eastAsia"/>
          <w:snapToGrid/>
        </w:rPr>
        <w:t>监察劳资关系，举行讲座</w:t>
      </w:r>
      <w:r>
        <w:rPr>
          <w:snapToGrid/>
        </w:rPr>
        <w:t>/</w:t>
      </w:r>
      <w:r>
        <w:rPr>
          <w:rFonts w:hint="eastAsia"/>
          <w:snapToGrid/>
        </w:rPr>
        <w:t>研讨会</w:t>
      </w:r>
      <w:r>
        <w:rPr>
          <w:snapToGrid/>
        </w:rPr>
        <w:t>，</w:t>
      </w:r>
      <w:r>
        <w:rPr>
          <w:rFonts w:hint="eastAsia"/>
          <w:snapToGrid/>
        </w:rPr>
        <w:t>提供社会服务。</w:t>
      </w:r>
    </w:p>
    <w:p w:rsidR="00000000" w:rsidRDefault="00000000">
      <w:pPr>
        <w:rPr>
          <w:snapToGrid/>
        </w:rPr>
      </w:pPr>
      <w:r>
        <w:rPr>
          <w:snapToGrid/>
        </w:rPr>
        <w:tab/>
        <w:t>844.  2000</w:t>
      </w:r>
      <w:r>
        <w:rPr>
          <w:rFonts w:hint="eastAsia"/>
          <w:snapToGrid/>
        </w:rPr>
        <w:t>年</w:t>
      </w:r>
      <w:r>
        <w:rPr>
          <w:snapToGrid/>
        </w:rPr>
        <w:t>6</w:t>
      </w:r>
      <w:r>
        <w:rPr>
          <w:rFonts w:hint="eastAsia"/>
          <w:snapToGrid/>
        </w:rPr>
        <w:t>月</w:t>
      </w:r>
      <w:r>
        <w:rPr>
          <w:snapToGrid/>
        </w:rPr>
        <w:t>，</w:t>
      </w:r>
      <w:r>
        <w:rPr>
          <w:rFonts w:hint="eastAsia"/>
          <w:snapToGrid/>
        </w:rPr>
        <w:t>劳工暨就业局的就业暨职业关系促进处推出“一站式”的新计划</w:t>
      </w:r>
      <w:r>
        <w:rPr>
          <w:snapToGrid/>
        </w:rPr>
        <w:t>，</w:t>
      </w:r>
      <w:r>
        <w:rPr>
          <w:rFonts w:hint="eastAsia"/>
          <w:snapToGrid/>
        </w:rPr>
        <w:t>为求职者提供协助</w:t>
      </w:r>
      <w:r>
        <w:rPr>
          <w:snapToGrid/>
        </w:rPr>
        <w:t>，</w:t>
      </w:r>
      <w:r>
        <w:rPr>
          <w:rFonts w:hint="eastAsia"/>
          <w:snapToGrid/>
        </w:rPr>
        <w:t>并为社会工作局收集资料。这项服务的目的是更迅速和更有效地回应求职者和社会保障制度受惠劳工的需求。</w:t>
      </w:r>
      <w:r>
        <w:rPr>
          <w:snapToGrid/>
        </w:rPr>
        <w:t>2001</w:t>
      </w:r>
      <w:r>
        <w:rPr>
          <w:rFonts w:hint="eastAsia"/>
          <w:snapToGrid/>
        </w:rPr>
        <w:t>年</w:t>
      </w:r>
      <w:r>
        <w:rPr>
          <w:snapToGrid/>
        </w:rPr>
        <w:t>12</w:t>
      </w:r>
      <w:r>
        <w:rPr>
          <w:rFonts w:hint="eastAsia"/>
          <w:snapToGrid/>
        </w:rPr>
        <w:t>月</w:t>
      </w:r>
      <w:r>
        <w:rPr>
          <w:snapToGrid/>
        </w:rPr>
        <w:t>，</w:t>
      </w:r>
      <w:r>
        <w:rPr>
          <w:rFonts w:hint="eastAsia"/>
          <w:snapToGrid/>
        </w:rPr>
        <w:t>劳工暨就业局开始推行“服务承诺”计划</w:t>
      </w:r>
      <w:r>
        <w:rPr>
          <w:snapToGrid/>
        </w:rPr>
        <w:t>，</w:t>
      </w:r>
      <w:r>
        <w:rPr>
          <w:rFonts w:hint="eastAsia"/>
          <w:snapToGrid/>
        </w:rPr>
        <w:t>以完善其服务</w:t>
      </w:r>
      <w:r>
        <w:rPr>
          <w:snapToGrid/>
        </w:rPr>
        <w:t>，</w:t>
      </w:r>
      <w:r>
        <w:rPr>
          <w:rFonts w:hint="eastAsia"/>
          <w:snapToGrid/>
        </w:rPr>
        <w:t>例如接待公众的服务。</w:t>
      </w:r>
    </w:p>
    <w:p w:rsidR="00000000" w:rsidRDefault="00000000">
      <w:pPr>
        <w:rPr>
          <w:snapToGrid/>
        </w:rPr>
      </w:pPr>
      <w:r>
        <w:rPr>
          <w:snapToGrid/>
        </w:rPr>
        <w:tab/>
        <w:t xml:space="preserve">845.  </w:t>
      </w:r>
      <w:r>
        <w:rPr>
          <w:rFonts w:hint="eastAsia"/>
          <w:snapToGrid/>
        </w:rPr>
        <w:t>劳工暨就业局亦成立了就业辅导组</w:t>
      </w:r>
      <w:r>
        <w:rPr>
          <w:snapToGrid/>
        </w:rPr>
        <w:t>，</w:t>
      </w:r>
      <w:r>
        <w:rPr>
          <w:rFonts w:hint="eastAsia"/>
          <w:snapToGrid/>
        </w:rPr>
        <w:t>免费向求职者和劳工提供协助。</w:t>
      </w:r>
    </w:p>
    <w:p w:rsidR="00000000" w:rsidRDefault="00000000">
      <w:pPr>
        <w:spacing w:after="240"/>
        <w:rPr>
          <w:snapToGrid/>
        </w:rPr>
      </w:pPr>
      <w:r>
        <w:rPr>
          <w:snapToGrid/>
        </w:rPr>
        <w:tab/>
        <w:t xml:space="preserve">846.  </w:t>
      </w:r>
      <w:r>
        <w:rPr>
          <w:rFonts w:hint="eastAsia"/>
          <w:snapToGrid/>
        </w:rPr>
        <w:t>就业辅导组的工作目标之一是协助劳工寻找更好的工作</w:t>
      </w:r>
      <w:r>
        <w:rPr>
          <w:snapToGrid/>
        </w:rPr>
        <w:t>，</w:t>
      </w:r>
      <w:r>
        <w:rPr>
          <w:rFonts w:hint="eastAsia"/>
          <w:snapToGrid/>
        </w:rPr>
        <w:t>促进企业与求职者之间的接触</w:t>
      </w:r>
      <w:r>
        <w:rPr>
          <w:snapToGrid/>
        </w:rPr>
        <w:t xml:space="preserve"> (</w:t>
      </w:r>
      <w:r>
        <w:rPr>
          <w:rFonts w:hint="eastAsia"/>
          <w:snapToGrid/>
        </w:rPr>
        <w:t>求职面试</w:t>
      </w:r>
      <w:r>
        <w:rPr>
          <w:snapToGrid/>
        </w:rPr>
        <w:t>)</w:t>
      </w:r>
      <w:r>
        <w:rPr>
          <w:snapToGrid/>
        </w:rPr>
        <w:t>，</w:t>
      </w:r>
      <w:r>
        <w:rPr>
          <w:rFonts w:hint="eastAsia"/>
          <w:snapToGrid/>
        </w:rPr>
        <w:t>以及按照劳动市场的需求提供有用的资料。</w:t>
      </w:r>
      <w:r>
        <w:rPr>
          <w:snapToGrid/>
        </w:rPr>
        <w:t>2001</w:t>
      </w:r>
      <w:r>
        <w:rPr>
          <w:rFonts w:hint="eastAsia"/>
          <w:snapToGrid/>
        </w:rPr>
        <w:t>年</w:t>
      </w:r>
      <w:r>
        <w:rPr>
          <w:snapToGrid/>
        </w:rPr>
        <w:t>，</w:t>
      </w:r>
      <w:r>
        <w:rPr>
          <w:rFonts w:hint="eastAsia"/>
          <w:snapToGrid/>
        </w:rPr>
        <w:t>录得职位空缺的登记</w:t>
      </w:r>
      <w:r>
        <w:rPr>
          <w:snapToGrid/>
        </w:rPr>
        <w:t>25,491</w:t>
      </w:r>
      <w:r>
        <w:rPr>
          <w:rFonts w:hint="eastAsia"/>
          <w:snapToGrid/>
        </w:rPr>
        <w:t>个、求职面试</w:t>
      </w:r>
      <w:r>
        <w:rPr>
          <w:snapToGrid/>
        </w:rPr>
        <w:t>37,140</w:t>
      </w:r>
      <w:r>
        <w:rPr>
          <w:rFonts w:hint="eastAsia"/>
          <w:snapToGrid/>
        </w:rPr>
        <w:t>人次、成功转介就业个案</w:t>
      </w:r>
      <w:r>
        <w:rPr>
          <w:snapToGrid/>
        </w:rPr>
        <w:t>1,289</w:t>
      </w:r>
      <w:r>
        <w:rPr>
          <w:rFonts w:hint="eastAsia"/>
          <w:snapToGrid/>
        </w:rPr>
        <w:t>宗。</w:t>
      </w:r>
    </w:p>
    <w:p w:rsidR="00000000" w:rsidRDefault="00000000">
      <w:pPr>
        <w:pStyle w:val="Heading4"/>
        <w:rPr>
          <w:rFonts w:hint="eastAsia"/>
        </w:rPr>
      </w:pPr>
      <w:r>
        <w:rPr>
          <w:rFonts w:hint="eastAsia"/>
        </w:rPr>
        <w:t>对弱势社群的就业援助</w:t>
      </w:r>
    </w:p>
    <w:p w:rsidR="00000000" w:rsidRDefault="00000000">
      <w:pPr>
        <w:rPr>
          <w:snapToGrid/>
        </w:rPr>
      </w:pPr>
      <w:r>
        <w:rPr>
          <w:rFonts w:hint="eastAsia"/>
        </w:rPr>
        <w:tab/>
      </w:r>
      <w:r>
        <w:rPr>
          <w:snapToGrid/>
        </w:rPr>
        <w:t xml:space="preserve">847.  </w:t>
      </w:r>
      <w:r>
        <w:rPr>
          <w:rFonts w:hint="eastAsia"/>
          <w:snapToGrid/>
        </w:rPr>
        <w:t>就业政策包括有助残疾人士投入就业市场和有助创造其他劳动形式的措施和技术、财政性质的鼓励</w:t>
      </w:r>
      <w:r>
        <w:rPr>
          <w:snapToGrid/>
        </w:rPr>
        <w:t>，</w:t>
      </w:r>
      <w:r>
        <w:rPr>
          <w:rFonts w:hint="eastAsia"/>
          <w:snapToGrid/>
        </w:rPr>
        <w:t>尤其包括在自行创业、职前培训、重新适应工作和在受监护状况下的就业等范围内的措施和鼓励</w:t>
      </w:r>
      <w:r>
        <w:rPr>
          <w:snapToGrid/>
        </w:rPr>
        <w:t xml:space="preserve"> (7</w:t>
      </w:r>
      <w:r>
        <w:rPr>
          <w:rFonts w:hint="eastAsia"/>
          <w:snapToGrid/>
        </w:rPr>
        <w:t>月</w:t>
      </w:r>
      <w:r>
        <w:rPr>
          <w:snapToGrid/>
        </w:rPr>
        <w:t>1</w:t>
      </w:r>
      <w:r>
        <w:rPr>
          <w:rFonts w:hint="eastAsia"/>
          <w:snapToGrid/>
        </w:rPr>
        <w:t>日第</w:t>
      </w:r>
      <w:r>
        <w:rPr>
          <w:snapToGrid/>
        </w:rPr>
        <w:t>33/99/M</w:t>
      </w:r>
      <w:r>
        <w:rPr>
          <w:rFonts w:hint="eastAsia"/>
          <w:snapToGrid/>
        </w:rPr>
        <w:t>号法令第二十条第二款</w:t>
      </w:r>
      <w:r>
        <w:rPr>
          <w:snapToGrid/>
        </w:rPr>
        <w:t>)</w:t>
      </w:r>
      <w:r>
        <w:rPr>
          <w:rFonts w:hint="eastAsia"/>
          <w:snapToGrid/>
        </w:rPr>
        <w:t>。</w:t>
      </w:r>
    </w:p>
    <w:p w:rsidR="00000000" w:rsidRDefault="00000000">
      <w:pPr>
        <w:rPr>
          <w:snapToGrid/>
        </w:rPr>
      </w:pPr>
      <w:r>
        <w:rPr>
          <w:snapToGrid/>
        </w:rPr>
        <w:tab/>
        <w:t xml:space="preserve">848.  </w:t>
      </w:r>
      <w:r>
        <w:rPr>
          <w:rFonts w:hint="eastAsia"/>
          <w:snapToGrid/>
        </w:rPr>
        <w:t>为帮助身体或行为上有缺陷的失业者投入社会和就业</w:t>
      </w:r>
      <w:r>
        <w:rPr>
          <w:snapToGrid/>
        </w:rPr>
        <w:t>，</w:t>
      </w:r>
      <w:r>
        <w:rPr>
          <w:rFonts w:hint="eastAsia"/>
          <w:snapToGrid/>
        </w:rPr>
        <w:t>社会保障基金向私人机构提供技术和财政援助。</w:t>
      </w:r>
    </w:p>
    <w:p w:rsidR="00000000" w:rsidRDefault="00000000">
      <w:pPr>
        <w:rPr>
          <w:snapToGrid/>
        </w:rPr>
      </w:pPr>
      <w:r>
        <w:rPr>
          <w:snapToGrid/>
        </w:rPr>
        <w:tab/>
        <w:t xml:space="preserve">849.  </w:t>
      </w:r>
      <w:r>
        <w:rPr>
          <w:rFonts w:hint="eastAsia"/>
          <w:snapToGrid/>
        </w:rPr>
        <w:t>在这方面</w:t>
      </w:r>
      <w:r>
        <w:rPr>
          <w:snapToGrid/>
        </w:rPr>
        <w:t>，</w:t>
      </w:r>
      <w:r>
        <w:rPr>
          <w:rFonts w:hint="eastAsia"/>
          <w:snapToGrid/>
        </w:rPr>
        <w:t>尚应指出由两个私人机构开展的工作</w:t>
      </w:r>
      <w:r>
        <w:rPr>
          <w:snapToGrid/>
        </w:rPr>
        <w:t>，</w:t>
      </w:r>
      <w:r>
        <w:rPr>
          <w:rFonts w:hint="eastAsia"/>
          <w:snapToGrid/>
        </w:rPr>
        <w:t>包括“伤残人士社会服务中心暨庇护工场”和“澳门特殊奥运会训练中心”。前者为中度智障人士和年满</w:t>
      </w:r>
      <w:r>
        <w:rPr>
          <w:snapToGrid/>
        </w:rPr>
        <w:t>16</w:t>
      </w:r>
      <w:r>
        <w:rPr>
          <w:rFonts w:hint="eastAsia"/>
          <w:snapToGrid/>
        </w:rPr>
        <w:t>岁的男女伤残人士提供专业培训</w:t>
      </w:r>
      <w:r>
        <w:rPr>
          <w:snapToGrid/>
        </w:rPr>
        <w:t>，</w:t>
      </w:r>
      <w:r>
        <w:rPr>
          <w:rFonts w:hint="eastAsia"/>
          <w:snapToGrid/>
        </w:rPr>
        <w:t>后者则为年满</w:t>
      </w:r>
      <w:r>
        <w:rPr>
          <w:snapToGrid/>
        </w:rPr>
        <w:t>16</w:t>
      </w:r>
      <w:r>
        <w:rPr>
          <w:rFonts w:hint="eastAsia"/>
          <w:snapToGrid/>
        </w:rPr>
        <w:t>岁具自理能力的智障人士提供专业训练。</w:t>
      </w:r>
    </w:p>
    <w:p w:rsidR="00000000" w:rsidRDefault="00000000">
      <w:pPr>
        <w:rPr>
          <w:snapToGrid/>
        </w:rPr>
      </w:pPr>
      <w:r>
        <w:rPr>
          <w:snapToGrid/>
        </w:rPr>
        <w:tab/>
        <w:t>850.  2000</w:t>
      </w:r>
      <w:r>
        <w:rPr>
          <w:rFonts w:hint="eastAsia"/>
          <w:snapToGrid/>
        </w:rPr>
        <w:t>年</w:t>
      </w:r>
      <w:r>
        <w:rPr>
          <w:snapToGrid/>
        </w:rPr>
        <w:t>，</w:t>
      </w:r>
      <w:r>
        <w:rPr>
          <w:rFonts w:hint="eastAsia"/>
          <w:snapToGrid/>
        </w:rPr>
        <w:t>劳工暨就业局为</w:t>
      </w:r>
      <w:r>
        <w:rPr>
          <w:snapToGrid/>
        </w:rPr>
        <w:t>10</w:t>
      </w:r>
      <w:r>
        <w:rPr>
          <w:rFonts w:hint="eastAsia"/>
          <w:snapToGrid/>
        </w:rPr>
        <w:t>名伤残人士主办首次培训活动</w:t>
      </w:r>
      <w:r>
        <w:rPr>
          <w:snapToGrid/>
        </w:rPr>
        <w:t>，</w:t>
      </w:r>
      <w:r>
        <w:rPr>
          <w:rFonts w:hint="eastAsia"/>
          <w:snapToGrid/>
        </w:rPr>
        <w:t>其后</w:t>
      </w:r>
      <w:r>
        <w:rPr>
          <w:snapToGrid/>
        </w:rPr>
        <w:t>，</w:t>
      </w:r>
      <w:r>
        <w:rPr>
          <w:rFonts w:hint="eastAsia"/>
          <w:snapToGrid/>
        </w:rPr>
        <w:t>学员均投入了劳动市场。</w:t>
      </w:r>
      <w:r>
        <w:rPr>
          <w:snapToGrid/>
        </w:rPr>
        <w:t>2001</w:t>
      </w:r>
      <w:r>
        <w:rPr>
          <w:rFonts w:hint="eastAsia"/>
          <w:snapToGrid/>
        </w:rPr>
        <w:t>年</w:t>
      </w:r>
      <w:r>
        <w:rPr>
          <w:snapToGrid/>
        </w:rPr>
        <w:t>，</w:t>
      </w:r>
      <w:r>
        <w:rPr>
          <w:rFonts w:hint="eastAsia"/>
          <w:snapToGrid/>
        </w:rPr>
        <w:t>再为</w:t>
      </w:r>
      <w:r>
        <w:rPr>
          <w:snapToGrid/>
        </w:rPr>
        <w:t>10</w:t>
      </w:r>
      <w:r>
        <w:rPr>
          <w:rFonts w:hint="eastAsia"/>
          <w:snapToGrid/>
        </w:rPr>
        <w:t>名受训者开办另一项培训课程</w:t>
      </w:r>
      <w:r>
        <w:rPr>
          <w:snapToGrid/>
        </w:rPr>
        <w:t>，</w:t>
      </w:r>
      <w:r>
        <w:rPr>
          <w:rFonts w:hint="eastAsia"/>
          <w:snapToGrid/>
        </w:rPr>
        <w:t>学员现正等待就业安排。</w:t>
      </w:r>
      <w:r>
        <w:rPr>
          <w:snapToGrid/>
        </w:rPr>
        <w:t>2002</w:t>
      </w:r>
      <w:r>
        <w:rPr>
          <w:rFonts w:hint="eastAsia"/>
          <w:snapToGrid/>
        </w:rPr>
        <w:t>年</w:t>
      </w:r>
      <w:r>
        <w:rPr>
          <w:snapToGrid/>
        </w:rPr>
        <w:t>，</w:t>
      </w:r>
      <w:r>
        <w:rPr>
          <w:rFonts w:hint="eastAsia"/>
          <w:snapToGrid/>
        </w:rPr>
        <w:t>劳工暨就业局举办了四项培训课程</w:t>
      </w:r>
      <w:r>
        <w:rPr>
          <w:snapToGrid/>
        </w:rPr>
        <w:t>，</w:t>
      </w:r>
      <w:r>
        <w:rPr>
          <w:rFonts w:hint="eastAsia"/>
          <w:snapToGrid/>
        </w:rPr>
        <w:t>受训伤残人士共</w:t>
      </w:r>
      <w:r>
        <w:rPr>
          <w:snapToGrid/>
        </w:rPr>
        <w:t>40</w:t>
      </w:r>
      <w:r>
        <w:rPr>
          <w:rFonts w:hint="eastAsia"/>
          <w:snapToGrid/>
        </w:rPr>
        <w:t>名。有关的培训活动仍继续进行。</w:t>
      </w:r>
    </w:p>
    <w:p w:rsidR="00000000" w:rsidRDefault="00000000">
      <w:pPr>
        <w:rPr>
          <w:snapToGrid/>
        </w:rPr>
      </w:pPr>
      <w:r>
        <w:rPr>
          <w:snapToGrid/>
        </w:rPr>
        <w:tab/>
        <w:t xml:space="preserve">851.  </w:t>
      </w:r>
      <w:r>
        <w:rPr>
          <w:rFonts w:hint="eastAsia"/>
          <w:snapToGrid/>
        </w:rPr>
        <w:t>此外</w:t>
      </w:r>
      <w:r>
        <w:rPr>
          <w:snapToGrid/>
        </w:rPr>
        <w:t>，</w:t>
      </w:r>
      <w:r>
        <w:rPr>
          <w:rFonts w:hint="eastAsia"/>
          <w:snapToGrid/>
        </w:rPr>
        <w:t>亦有为囚犯安排工作和提供职业培训</w:t>
      </w:r>
      <w:r>
        <w:rPr>
          <w:snapToGrid/>
        </w:rPr>
        <w:t>，</w:t>
      </w:r>
      <w:r>
        <w:rPr>
          <w:rFonts w:hint="eastAsia"/>
          <w:snapToGrid/>
        </w:rPr>
        <w:t>包括课堂教授、正规教育和再教育等活动。</w:t>
      </w:r>
    </w:p>
    <w:p w:rsidR="00000000" w:rsidRDefault="00000000">
      <w:pPr>
        <w:rPr>
          <w:snapToGrid/>
        </w:rPr>
      </w:pPr>
      <w:r>
        <w:rPr>
          <w:snapToGrid/>
        </w:rPr>
        <w:tab/>
        <w:t xml:space="preserve">852.  </w:t>
      </w:r>
      <w:r>
        <w:rPr>
          <w:rFonts w:hint="eastAsia"/>
          <w:snapToGrid/>
        </w:rPr>
        <w:t>为培养、保持和发展囚犯的工作能力</w:t>
      </w:r>
      <w:r>
        <w:rPr>
          <w:snapToGrid/>
        </w:rPr>
        <w:t>，</w:t>
      </w:r>
      <w:r>
        <w:rPr>
          <w:rFonts w:hint="eastAsia"/>
          <w:snapToGrid/>
        </w:rPr>
        <w:t>以助其重返社会</w:t>
      </w:r>
      <w:r>
        <w:rPr>
          <w:snapToGrid/>
        </w:rPr>
        <w:t>，</w:t>
      </w:r>
      <w:r>
        <w:rPr>
          <w:rFonts w:hint="eastAsia"/>
          <w:snapToGrid/>
        </w:rPr>
        <w:t>在监狱内亦为囚犯安排与其本身的职业培训和进修相适合的课程</w:t>
      </w:r>
      <w:r>
        <w:rPr>
          <w:snapToGrid/>
        </w:rPr>
        <w:t xml:space="preserve"> (7</w:t>
      </w:r>
      <w:r>
        <w:rPr>
          <w:rFonts w:hint="eastAsia"/>
          <w:snapToGrid/>
        </w:rPr>
        <w:t>月</w:t>
      </w:r>
      <w:r>
        <w:rPr>
          <w:snapToGrid/>
        </w:rPr>
        <w:t>25</w:t>
      </w:r>
      <w:r>
        <w:rPr>
          <w:rFonts w:hint="eastAsia"/>
          <w:snapToGrid/>
        </w:rPr>
        <w:t>日第</w:t>
      </w:r>
      <w:r>
        <w:rPr>
          <w:snapToGrid/>
        </w:rPr>
        <w:t>40/94/M</w:t>
      </w:r>
      <w:r>
        <w:rPr>
          <w:rFonts w:hint="eastAsia"/>
          <w:snapToGrid/>
        </w:rPr>
        <w:t>号法令第五十一条和第五十六条第一款</w:t>
      </w:r>
      <w:r>
        <w:rPr>
          <w:snapToGrid/>
        </w:rPr>
        <w:t>)</w:t>
      </w:r>
      <w:r>
        <w:rPr>
          <w:rFonts w:hint="eastAsia"/>
          <w:snapToGrid/>
        </w:rPr>
        <w:t>。</w:t>
      </w:r>
    </w:p>
    <w:p w:rsidR="00000000" w:rsidRDefault="00000000">
      <w:pPr>
        <w:spacing w:after="320"/>
        <w:rPr>
          <w:snapToGrid/>
        </w:rPr>
      </w:pPr>
      <w:r>
        <w:rPr>
          <w:snapToGrid/>
        </w:rPr>
        <w:tab/>
        <w:t xml:space="preserve">853.  </w:t>
      </w:r>
      <w:r>
        <w:rPr>
          <w:rFonts w:hint="eastAsia"/>
          <w:snapToGrid/>
        </w:rPr>
        <w:t>所有囚犯均按其工作、专业程度和工作表现收取报酬。</w:t>
      </w:r>
    </w:p>
    <w:p w:rsidR="00000000" w:rsidRDefault="00000000">
      <w:pPr>
        <w:pStyle w:val="Heading3"/>
      </w:pPr>
      <w:bookmarkStart w:id="64" w:name="_Toc78772973"/>
      <w:r>
        <w:rPr>
          <w:u w:val="none"/>
        </w:rPr>
        <w:t xml:space="preserve">D.  </w:t>
      </w:r>
      <w:r>
        <w:rPr>
          <w:rFonts w:hint="eastAsia"/>
        </w:rPr>
        <w:t>职业培训计划</w:t>
      </w:r>
      <w:bookmarkEnd w:id="64"/>
    </w:p>
    <w:p w:rsidR="00000000" w:rsidRDefault="00000000">
      <w:pPr>
        <w:rPr>
          <w:snapToGrid/>
        </w:rPr>
      </w:pPr>
      <w:r>
        <w:tab/>
      </w:r>
      <w:r>
        <w:rPr>
          <w:snapToGrid/>
        </w:rPr>
        <w:t xml:space="preserve">854.  </w:t>
      </w:r>
      <w:r>
        <w:rPr>
          <w:rFonts w:hint="eastAsia"/>
          <w:snapToGrid/>
        </w:rPr>
        <w:t>最重要的职业培训计划由</w:t>
      </w:r>
      <w:r>
        <w:rPr>
          <w:snapToGrid/>
        </w:rPr>
        <w:t>9</w:t>
      </w:r>
      <w:r>
        <w:rPr>
          <w:rFonts w:hint="eastAsia"/>
          <w:snapToGrid/>
        </w:rPr>
        <w:t>月</w:t>
      </w:r>
      <w:r>
        <w:rPr>
          <w:snapToGrid/>
        </w:rPr>
        <w:t>16</w:t>
      </w:r>
      <w:r>
        <w:rPr>
          <w:rFonts w:hint="eastAsia"/>
          <w:snapToGrid/>
        </w:rPr>
        <w:t>日第</w:t>
      </w:r>
      <w:r>
        <w:rPr>
          <w:snapToGrid/>
        </w:rPr>
        <w:t>51/96/M</w:t>
      </w:r>
      <w:r>
        <w:rPr>
          <w:rFonts w:hint="eastAsia"/>
          <w:snapToGrid/>
        </w:rPr>
        <w:t>号法令订定</w:t>
      </w:r>
      <w:r>
        <w:rPr>
          <w:snapToGrid/>
        </w:rPr>
        <w:t>，</w:t>
      </w:r>
      <w:r>
        <w:rPr>
          <w:rFonts w:hint="eastAsia"/>
          <w:snapToGrid/>
        </w:rPr>
        <w:t>宗旨是开拓新的就业领域和开展新的职业培训</w:t>
      </w:r>
      <w:r>
        <w:rPr>
          <w:snapToGrid/>
        </w:rPr>
        <w:t>，</w:t>
      </w:r>
      <w:r>
        <w:rPr>
          <w:rFonts w:hint="eastAsia"/>
          <w:snapToGrid/>
        </w:rPr>
        <w:t>以创造更理想的就业机会和提升劳工的专业资格。</w:t>
      </w:r>
    </w:p>
    <w:p w:rsidR="00000000" w:rsidRDefault="00000000">
      <w:pPr>
        <w:spacing w:after="240"/>
        <w:rPr>
          <w:snapToGrid/>
        </w:rPr>
      </w:pPr>
      <w:r>
        <w:rPr>
          <w:snapToGrid/>
        </w:rPr>
        <w:tab/>
        <w:t xml:space="preserve">855.  </w:t>
      </w:r>
      <w:r>
        <w:rPr>
          <w:rFonts w:hint="eastAsia"/>
          <w:snapToGrid/>
        </w:rPr>
        <w:t>职业辅导和培训是为所有人而设</w:t>
      </w:r>
      <w:r>
        <w:rPr>
          <w:snapToGrid/>
        </w:rPr>
        <w:t>，</w:t>
      </w:r>
      <w:r>
        <w:rPr>
          <w:rFonts w:hint="eastAsia"/>
          <w:snapToGrid/>
        </w:rPr>
        <w:t>并不存在任何形式的歧视。</w:t>
      </w:r>
    </w:p>
    <w:p w:rsidR="00000000" w:rsidRDefault="00000000">
      <w:pPr>
        <w:pStyle w:val="Heading4"/>
        <w:rPr>
          <w:rFonts w:hint="eastAsia"/>
        </w:rPr>
      </w:pPr>
      <w:r>
        <w:rPr>
          <w:rFonts w:hint="eastAsia"/>
        </w:rPr>
        <w:t>私人工作</w:t>
      </w:r>
    </w:p>
    <w:p w:rsidR="00000000" w:rsidRDefault="00000000">
      <w:pPr>
        <w:rPr>
          <w:snapToGrid/>
        </w:rPr>
      </w:pPr>
      <w:r>
        <w:rPr>
          <w:rFonts w:hint="eastAsia"/>
        </w:rPr>
        <w:tab/>
      </w:r>
      <w:r>
        <w:rPr>
          <w:snapToGrid/>
        </w:rPr>
        <w:t>856.  2001</w:t>
      </w:r>
      <w:r>
        <w:rPr>
          <w:rFonts w:hint="eastAsia"/>
          <w:snapToGrid/>
        </w:rPr>
        <w:t>年</w:t>
      </w:r>
      <w:r>
        <w:rPr>
          <w:snapToGrid/>
        </w:rPr>
        <w:t>，</w:t>
      </w:r>
      <w:r>
        <w:rPr>
          <w:rFonts w:hint="eastAsia"/>
          <w:snapToGrid/>
        </w:rPr>
        <w:t>劳工暨就业局的职业培训中心</w:t>
      </w:r>
      <w:r>
        <w:rPr>
          <w:snapToGrid/>
        </w:rPr>
        <w:t xml:space="preserve"> (</w:t>
      </w:r>
      <w:r>
        <w:rPr>
          <w:rFonts w:hint="eastAsia"/>
          <w:snapToGrid/>
        </w:rPr>
        <w:t>直接或与其他实体合作</w:t>
      </w:r>
      <w:r>
        <w:rPr>
          <w:snapToGrid/>
        </w:rPr>
        <w:t>)</w:t>
      </w:r>
      <w:r>
        <w:rPr>
          <w:rFonts w:hint="eastAsia"/>
          <w:snapToGrid/>
        </w:rPr>
        <w:t>开办了</w:t>
      </w:r>
      <w:r>
        <w:rPr>
          <w:snapToGrid/>
        </w:rPr>
        <w:t>134</w:t>
      </w:r>
      <w:r>
        <w:rPr>
          <w:rFonts w:hint="eastAsia"/>
          <w:snapToGrid/>
        </w:rPr>
        <w:t>项课程</w:t>
      </w:r>
      <w:r>
        <w:rPr>
          <w:snapToGrid/>
        </w:rPr>
        <w:t>，</w:t>
      </w:r>
      <w:r>
        <w:rPr>
          <w:rFonts w:hint="eastAsia"/>
          <w:snapToGrid/>
        </w:rPr>
        <w:t>学员人数共</w:t>
      </w:r>
      <w:r>
        <w:rPr>
          <w:snapToGrid/>
        </w:rPr>
        <w:t>3,224</w:t>
      </w:r>
      <w:r>
        <w:rPr>
          <w:rFonts w:hint="eastAsia"/>
          <w:snapToGrid/>
        </w:rPr>
        <w:t>人</w:t>
      </w:r>
      <w:r>
        <w:rPr>
          <w:snapToGrid/>
        </w:rPr>
        <w:t>，</w:t>
      </w:r>
      <w:r>
        <w:rPr>
          <w:rFonts w:hint="eastAsia"/>
          <w:snapToGrid/>
        </w:rPr>
        <w:t>与上年比较</w:t>
      </w:r>
      <w:r>
        <w:rPr>
          <w:snapToGrid/>
        </w:rPr>
        <w:t>，</w:t>
      </w:r>
      <w:r>
        <w:rPr>
          <w:rFonts w:hint="eastAsia"/>
          <w:snapToGrid/>
        </w:rPr>
        <w:t>增幅达</w:t>
      </w:r>
      <w:r>
        <w:rPr>
          <w:snapToGrid/>
        </w:rPr>
        <w:t>100%</w:t>
      </w:r>
      <w:r>
        <w:rPr>
          <w:rFonts w:hint="eastAsia"/>
          <w:snapToGrid/>
        </w:rPr>
        <w:t>。学员大幅增加的原因是加入了为失业人士而设的中国文化课程。</w:t>
      </w:r>
    </w:p>
    <w:p w:rsidR="00000000" w:rsidRDefault="00000000">
      <w:pPr>
        <w:spacing w:after="320"/>
        <w:rPr>
          <w:snapToGrid/>
        </w:rPr>
      </w:pPr>
      <w:r>
        <w:rPr>
          <w:snapToGrid/>
        </w:rPr>
        <w:tab/>
        <w:t xml:space="preserve">857.  </w:t>
      </w:r>
      <w:r>
        <w:rPr>
          <w:rFonts w:hint="eastAsia"/>
          <w:snapToGrid/>
        </w:rPr>
        <w:t>劳工暨就业局在多家企业内举办了</w:t>
      </w:r>
      <w:r>
        <w:rPr>
          <w:snapToGrid/>
        </w:rPr>
        <w:t>20</w:t>
      </w:r>
      <w:r>
        <w:rPr>
          <w:rFonts w:hint="eastAsia"/>
          <w:snapToGrid/>
        </w:rPr>
        <w:t>项职业培训课程</w:t>
      </w:r>
      <w:r>
        <w:rPr>
          <w:snapToGrid/>
        </w:rPr>
        <w:t>，</w:t>
      </w:r>
      <w:r>
        <w:rPr>
          <w:rFonts w:hint="eastAsia"/>
          <w:snapToGrid/>
        </w:rPr>
        <w:t>目的在于增加就业机会。参加有关培训计划的学员人数由</w:t>
      </w:r>
      <w:r>
        <w:rPr>
          <w:snapToGrid/>
        </w:rPr>
        <w:t>2000</w:t>
      </w:r>
      <w:r>
        <w:rPr>
          <w:rFonts w:hint="eastAsia"/>
          <w:snapToGrid/>
        </w:rPr>
        <w:t>年的</w:t>
      </w:r>
      <w:r>
        <w:rPr>
          <w:snapToGrid/>
        </w:rPr>
        <w:t>458</w:t>
      </w:r>
      <w:r>
        <w:rPr>
          <w:rFonts w:hint="eastAsia"/>
          <w:snapToGrid/>
        </w:rPr>
        <w:t>人增加至</w:t>
      </w:r>
      <w:r>
        <w:rPr>
          <w:snapToGrid/>
        </w:rPr>
        <w:t>2001</w:t>
      </w:r>
      <w:r>
        <w:rPr>
          <w:rFonts w:hint="eastAsia"/>
          <w:snapToGrid/>
        </w:rPr>
        <w:t>年的</w:t>
      </w:r>
      <w:r>
        <w:rPr>
          <w:snapToGrid/>
        </w:rPr>
        <w:t>1,693</w:t>
      </w:r>
      <w:r>
        <w:rPr>
          <w:rFonts w:hint="eastAsia"/>
          <w:snapToGrid/>
        </w:rPr>
        <w:t>人。</w:t>
      </w:r>
    </w:p>
    <w:p w:rsidR="00000000" w:rsidRDefault="00000000">
      <w:pPr>
        <w:pStyle w:val="a3"/>
        <w:rPr>
          <w:kern w:val="0"/>
        </w:rPr>
      </w:pPr>
      <w:r>
        <w:rPr>
          <w:b/>
          <w:kern w:val="0"/>
        </w:rPr>
        <w:t>2000</w:t>
      </w:r>
      <w:r>
        <w:rPr>
          <w:rFonts w:hint="eastAsia"/>
          <w:kern w:val="0"/>
        </w:rPr>
        <w:t>及</w:t>
      </w:r>
      <w:r>
        <w:rPr>
          <w:b/>
          <w:kern w:val="0"/>
        </w:rPr>
        <w:t>2001</w:t>
      </w:r>
      <w:r>
        <w:rPr>
          <w:rFonts w:hint="eastAsia"/>
          <w:kern w:val="0"/>
        </w:rPr>
        <w:t>年度职业培训中心就读学员人数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78"/>
        <w:gridCol w:w="3675"/>
        <w:gridCol w:w="1365"/>
        <w:gridCol w:w="1192"/>
      </w:tblGrid>
      <w:tr w:rsidR="00000000">
        <w:tblPrEx>
          <w:tblCellMar>
            <w:top w:w="0" w:type="dxa"/>
            <w:bottom w:w="0" w:type="dxa"/>
          </w:tblCellMar>
        </w:tblPrEx>
        <w:trPr>
          <w:cantSplit/>
        </w:trPr>
        <w:tc>
          <w:tcPr>
            <w:tcW w:w="3178" w:type="dxa"/>
            <w:vMerge w:val="restart"/>
            <w:vAlign w:val="center"/>
          </w:tcPr>
          <w:p w:rsidR="00000000" w:rsidRDefault="00000000">
            <w:pPr>
              <w:pStyle w:val="a2"/>
              <w:jc w:val="center"/>
              <w:rPr>
                <w:rFonts w:hint="eastAsia"/>
                <w:snapToGrid/>
              </w:rPr>
            </w:pPr>
            <w:r>
              <w:rPr>
                <w:rFonts w:hint="eastAsia"/>
                <w:snapToGrid/>
              </w:rPr>
              <w:t>培</w:t>
            </w:r>
            <w:r>
              <w:rPr>
                <w:snapToGrid/>
              </w:rPr>
              <w:t xml:space="preserve">  </w:t>
            </w:r>
            <w:r>
              <w:rPr>
                <w:rFonts w:hint="eastAsia"/>
                <w:snapToGrid/>
              </w:rPr>
              <w:t>训</w:t>
            </w:r>
            <w:r>
              <w:rPr>
                <w:snapToGrid/>
              </w:rPr>
              <w:t xml:space="preserve">  </w:t>
            </w:r>
            <w:r>
              <w:rPr>
                <w:rFonts w:hint="eastAsia"/>
                <w:snapToGrid/>
              </w:rPr>
              <w:t>制</w:t>
            </w:r>
            <w:r>
              <w:rPr>
                <w:snapToGrid/>
              </w:rPr>
              <w:t xml:space="preserve">  </w:t>
            </w:r>
            <w:r>
              <w:rPr>
                <w:rFonts w:hint="eastAsia"/>
                <w:snapToGrid/>
              </w:rPr>
              <w:t>度</w:t>
            </w:r>
          </w:p>
        </w:tc>
        <w:tc>
          <w:tcPr>
            <w:tcW w:w="3675" w:type="dxa"/>
            <w:vMerge w:val="restart"/>
            <w:vAlign w:val="center"/>
          </w:tcPr>
          <w:p w:rsidR="00000000" w:rsidRDefault="00000000">
            <w:pPr>
              <w:pStyle w:val="a2"/>
              <w:jc w:val="center"/>
              <w:rPr>
                <w:rFonts w:hint="eastAsia"/>
                <w:snapToGrid/>
              </w:rPr>
            </w:pPr>
            <w:r>
              <w:rPr>
                <w:rFonts w:hint="eastAsia"/>
                <w:snapToGrid/>
              </w:rPr>
              <w:t>课</w:t>
            </w:r>
            <w:r>
              <w:rPr>
                <w:snapToGrid/>
              </w:rPr>
              <w:t xml:space="preserve">  </w:t>
            </w:r>
            <w:r>
              <w:rPr>
                <w:rFonts w:hint="eastAsia"/>
                <w:snapToGrid/>
              </w:rPr>
              <w:t>程</w:t>
            </w:r>
            <w:r>
              <w:rPr>
                <w:snapToGrid/>
              </w:rPr>
              <w:t xml:space="preserve">  </w:t>
            </w:r>
            <w:r>
              <w:rPr>
                <w:rFonts w:hint="eastAsia"/>
                <w:snapToGrid/>
              </w:rPr>
              <w:t>模</w:t>
            </w:r>
            <w:r>
              <w:rPr>
                <w:snapToGrid/>
              </w:rPr>
              <w:t xml:space="preserve">  </w:t>
            </w:r>
            <w:r>
              <w:rPr>
                <w:rFonts w:hint="eastAsia"/>
                <w:snapToGrid/>
              </w:rPr>
              <w:t>式</w:t>
            </w:r>
          </w:p>
        </w:tc>
        <w:tc>
          <w:tcPr>
            <w:tcW w:w="2557" w:type="dxa"/>
            <w:gridSpan w:val="2"/>
          </w:tcPr>
          <w:p w:rsidR="00000000" w:rsidRDefault="00000000">
            <w:pPr>
              <w:pStyle w:val="a2"/>
              <w:jc w:val="center"/>
              <w:rPr>
                <w:rFonts w:hint="eastAsia"/>
                <w:snapToGrid/>
              </w:rPr>
            </w:pPr>
            <w:r>
              <w:rPr>
                <w:rFonts w:hint="eastAsia"/>
                <w:snapToGrid/>
              </w:rPr>
              <w:t>学生总人数</w:t>
            </w:r>
          </w:p>
        </w:tc>
      </w:tr>
      <w:tr w:rsidR="00000000">
        <w:tblPrEx>
          <w:tblCellMar>
            <w:top w:w="0" w:type="dxa"/>
            <w:bottom w:w="0" w:type="dxa"/>
          </w:tblCellMar>
        </w:tblPrEx>
        <w:trPr>
          <w:cantSplit/>
        </w:trPr>
        <w:tc>
          <w:tcPr>
            <w:tcW w:w="3178" w:type="dxa"/>
            <w:vMerge/>
          </w:tcPr>
          <w:p w:rsidR="00000000" w:rsidRDefault="00000000">
            <w:pPr>
              <w:pStyle w:val="a2"/>
              <w:rPr>
                <w:rFonts w:hint="eastAsia"/>
                <w:snapToGrid/>
              </w:rPr>
            </w:pPr>
          </w:p>
        </w:tc>
        <w:tc>
          <w:tcPr>
            <w:tcW w:w="3675" w:type="dxa"/>
            <w:vMerge/>
          </w:tcPr>
          <w:p w:rsidR="00000000" w:rsidRDefault="00000000">
            <w:pPr>
              <w:pStyle w:val="a2"/>
              <w:rPr>
                <w:rFonts w:hint="eastAsia"/>
                <w:snapToGrid/>
              </w:rPr>
            </w:pPr>
          </w:p>
        </w:tc>
        <w:tc>
          <w:tcPr>
            <w:tcW w:w="1365" w:type="dxa"/>
          </w:tcPr>
          <w:p w:rsidR="00000000" w:rsidRDefault="00000000">
            <w:pPr>
              <w:pStyle w:val="a2"/>
              <w:jc w:val="center"/>
              <w:rPr>
                <w:rFonts w:hint="eastAsia"/>
                <w:snapToGrid/>
              </w:rPr>
            </w:pPr>
            <w:r>
              <w:rPr>
                <w:rFonts w:hint="eastAsia"/>
                <w:snapToGrid/>
              </w:rPr>
              <w:t>2000</w:t>
            </w:r>
          </w:p>
        </w:tc>
        <w:tc>
          <w:tcPr>
            <w:tcW w:w="1192" w:type="dxa"/>
          </w:tcPr>
          <w:p w:rsidR="00000000" w:rsidRDefault="00000000">
            <w:pPr>
              <w:pStyle w:val="a2"/>
              <w:jc w:val="center"/>
              <w:rPr>
                <w:rFonts w:hint="eastAsia"/>
                <w:snapToGrid/>
              </w:rPr>
            </w:pPr>
            <w:r>
              <w:rPr>
                <w:rFonts w:hint="eastAsia"/>
                <w:snapToGrid/>
              </w:rPr>
              <w:t>2001</w:t>
            </w:r>
          </w:p>
        </w:tc>
      </w:tr>
      <w:tr w:rsidR="00000000">
        <w:tblPrEx>
          <w:tblCellMar>
            <w:top w:w="0" w:type="dxa"/>
            <w:bottom w:w="0" w:type="dxa"/>
          </w:tblCellMar>
        </w:tblPrEx>
        <w:trPr>
          <w:cantSplit/>
        </w:trPr>
        <w:tc>
          <w:tcPr>
            <w:tcW w:w="3178" w:type="dxa"/>
            <w:vMerge w:val="restart"/>
          </w:tcPr>
          <w:p w:rsidR="00000000" w:rsidRDefault="00000000">
            <w:pPr>
              <w:pStyle w:val="a2"/>
              <w:ind w:left="113" w:right="113"/>
              <w:rPr>
                <w:snapToGrid/>
              </w:rPr>
            </w:pPr>
            <w:r>
              <w:rPr>
                <w:rFonts w:hint="eastAsia"/>
                <w:snapToGrid/>
              </w:rPr>
              <w:t>职前培训</w:t>
            </w:r>
            <w:r>
              <w:rPr>
                <w:rFonts w:hint="eastAsia"/>
                <w:snapToGrid/>
              </w:rPr>
              <w:t xml:space="preserve"> (</w:t>
            </w:r>
            <w:r>
              <w:rPr>
                <w:rFonts w:hint="eastAsia"/>
                <w:snapToGrid/>
              </w:rPr>
              <w:t>青少年和初次求职者</w:t>
            </w:r>
            <w:r>
              <w:rPr>
                <w:snapToGrid/>
              </w:rPr>
              <w:t>)</w:t>
            </w:r>
          </w:p>
        </w:tc>
        <w:tc>
          <w:tcPr>
            <w:tcW w:w="3675" w:type="dxa"/>
          </w:tcPr>
          <w:p w:rsidR="00000000" w:rsidRDefault="00000000">
            <w:pPr>
              <w:pStyle w:val="a2"/>
              <w:ind w:left="113" w:right="113"/>
              <w:rPr>
                <w:rFonts w:hint="eastAsia"/>
                <w:snapToGrid/>
              </w:rPr>
            </w:pPr>
            <w:r>
              <w:rPr>
                <w:rFonts w:hint="eastAsia"/>
                <w:snapToGrid/>
              </w:rPr>
              <w:t>学徒培训</w:t>
            </w:r>
            <w:r>
              <w:rPr>
                <w:rFonts w:hint="eastAsia"/>
                <w:snapToGrid/>
              </w:rPr>
              <w:t xml:space="preserve"> (14</w:t>
            </w:r>
            <w:r>
              <w:rPr>
                <w:rFonts w:hint="eastAsia"/>
                <w:snapToGrid/>
              </w:rPr>
              <w:t>至</w:t>
            </w:r>
            <w:r>
              <w:rPr>
                <w:rFonts w:hint="eastAsia"/>
                <w:snapToGrid/>
              </w:rPr>
              <w:t>24</w:t>
            </w:r>
            <w:r>
              <w:rPr>
                <w:rFonts w:hint="eastAsia"/>
                <w:snapToGrid/>
              </w:rPr>
              <w:t>岁</w:t>
            </w:r>
            <w:r>
              <w:rPr>
                <w:rFonts w:hint="eastAsia"/>
                <w:snapToGrid/>
              </w:rPr>
              <w:t>)</w:t>
            </w:r>
          </w:p>
        </w:tc>
        <w:tc>
          <w:tcPr>
            <w:tcW w:w="1365" w:type="dxa"/>
          </w:tcPr>
          <w:p w:rsidR="00000000" w:rsidRDefault="00000000">
            <w:pPr>
              <w:pStyle w:val="a2"/>
              <w:tabs>
                <w:tab w:val="decimal" w:pos="812"/>
              </w:tabs>
              <w:rPr>
                <w:rFonts w:hint="eastAsia"/>
                <w:snapToGrid/>
              </w:rPr>
            </w:pPr>
            <w:r>
              <w:rPr>
                <w:rFonts w:hint="eastAsia"/>
                <w:snapToGrid/>
              </w:rPr>
              <w:t>113</w:t>
            </w:r>
          </w:p>
        </w:tc>
        <w:tc>
          <w:tcPr>
            <w:tcW w:w="1192" w:type="dxa"/>
          </w:tcPr>
          <w:p w:rsidR="00000000" w:rsidRDefault="00000000">
            <w:pPr>
              <w:pStyle w:val="a2"/>
              <w:tabs>
                <w:tab w:val="decimal" w:pos="812"/>
              </w:tabs>
              <w:rPr>
                <w:rFonts w:hint="eastAsia"/>
                <w:snapToGrid/>
              </w:rPr>
            </w:pPr>
            <w:r>
              <w:rPr>
                <w:rFonts w:hint="eastAsia"/>
                <w:snapToGrid/>
              </w:rPr>
              <w:t>110</w:t>
            </w:r>
          </w:p>
        </w:tc>
      </w:tr>
      <w:tr w:rsidR="00000000">
        <w:tblPrEx>
          <w:tblCellMar>
            <w:top w:w="0" w:type="dxa"/>
            <w:bottom w:w="0" w:type="dxa"/>
          </w:tblCellMar>
        </w:tblPrEx>
        <w:trPr>
          <w:cantSplit/>
        </w:trPr>
        <w:tc>
          <w:tcPr>
            <w:tcW w:w="3178" w:type="dxa"/>
            <w:vMerge/>
          </w:tcPr>
          <w:p w:rsidR="00000000" w:rsidRDefault="00000000">
            <w:pPr>
              <w:pStyle w:val="a2"/>
              <w:ind w:left="113" w:right="113"/>
              <w:rPr>
                <w:rFonts w:hint="eastAsia"/>
                <w:snapToGrid/>
              </w:rPr>
            </w:pPr>
          </w:p>
        </w:tc>
        <w:tc>
          <w:tcPr>
            <w:tcW w:w="3675" w:type="dxa"/>
          </w:tcPr>
          <w:p w:rsidR="00000000" w:rsidRDefault="00000000">
            <w:pPr>
              <w:pStyle w:val="a2"/>
              <w:ind w:left="113" w:right="113"/>
              <w:rPr>
                <w:rFonts w:hint="eastAsia"/>
                <w:snapToGrid/>
              </w:rPr>
            </w:pPr>
            <w:r>
              <w:rPr>
                <w:rFonts w:hint="eastAsia"/>
                <w:snapToGrid/>
              </w:rPr>
              <w:t>专业资格培训</w:t>
            </w:r>
          </w:p>
        </w:tc>
        <w:tc>
          <w:tcPr>
            <w:tcW w:w="1365" w:type="dxa"/>
          </w:tcPr>
          <w:p w:rsidR="00000000" w:rsidRDefault="00000000">
            <w:pPr>
              <w:pStyle w:val="a2"/>
              <w:tabs>
                <w:tab w:val="decimal" w:pos="812"/>
              </w:tabs>
              <w:rPr>
                <w:rFonts w:hint="eastAsia"/>
                <w:snapToGrid/>
              </w:rPr>
            </w:pPr>
            <w:r>
              <w:rPr>
                <w:rFonts w:hint="eastAsia"/>
                <w:snapToGrid/>
              </w:rPr>
              <w:t>20</w:t>
            </w:r>
          </w:p>
        </w:tc>
        <w:tc>
          <w:tcPr>
            <w:tcW w:w="1192" w:type="dxa"/>
          </w:tcPr>
          <w:p w:rsidR="00000000" w:rsidRDefault="00000000">
            <w:pPr>
              <w:pStyle w:val="a2"/>
              <w:tabs>
                <w:tab w:val="decimal" w:pos="812"/>
              </w:tabs>
              <w:rPr>
                <w:rFonts w:hint="eastAsia"/>
                <w:snapToGrid/>
              </w:rPr>
            </w:pPr>
            <w:r>
              <w:rPr>
                <w:rFonts w:hint="eastAsia"/>
                <w:snapToGrid/>
              </w:rPr>
              <w:t>100</w:t>
            </w:r>
          </w:p>
        </w:tc>
      </w:tr>
      <w:tr w:rsidR="00000000">
        <w:tblPrEx>
          <w:tblCellMar>
            <w:top w:w="0" w:type="dxa"/>
            <w:bottom w:w="0" w:type="dxa"/>
          </w:tblCellMar>
        </w:tblPrEx>
        <w:trPr>
          <w:cantSplit/>
        </w:trPr>
        <w:tc>
          <w:tcPr>
            <w:tcW w:w="3178" w:type="dxa"/>
            <w:vMerge w:val="restart"/>
          </w:tcPr>
          <w:p w:rsidR="00000000" w:rsidRDefault="00000000">
            <w:pPr>
              <w:pStyle w:val="a2"/>
              <w:ind w:left="113" w:right="113"/>
              <w:rPr>
                <w:rFonts w:hint="eastAsia"/>
                <w:snapToGrid/>
              </w:rPr>
            </w:pPr>
            <w:r>
              <w:rPr>
                <w:rFonts w:hint="eastAsia"/>
                <w:snapToGrid/>
              </w:rPr>
              <w:t>延续培训</w:t>
            </w:r>
            <w:r>
              <w:rPr>
                <w:rFonts w:hint="eastAsia"/>
                <w:snapToGrid/>
              </w:rPr>
              <w:t xml:space="preserve"> (</w:t>
            </w:r>
            <w:r>
              <w:rPr>
                <w:rFonts w:hint="eastAsia"/>
                <w:snapToGrid/>
              </w:rPr>
              <w:t>就业青少年或成人</w:t>
            </w:r>
            <w:r>
              <w:rPr>
                <w:rFonts w:hint="eastAsia"/>
                <w:snapToGrid/>
              </w:rPr>
              <w:t>)</w:t>
            </w:r>
          </w:p>
        </w:tc>
        <w:tc>
          <w:tcPr>
            <w:tcW w:w="3675" w:type="dxa"/>
          </w:tcPr>
          <w:p w:rsidR="00000000" w:rsidRDefault="00000000">
            <w:pPr>
              <w:pStyle w:val="a2"/>
              <w:ind w:left="113" w:right="113"/>
              <w:rPr>
                <w:rFonts w:hint="eastAsia"/>
                <w:snapToGrid/>
              </w:rPr>
            </w:pPr>
            <w:r>
              <w:rPr>
                <w:rFonts w:hint="eastAsia"/>
                <w:snapToGrid/>
              </w:rPr>
              <w:t>进修培训</w:t>
            </w:r>
          </w:p>
        </w:tc>
        <w:tc>
          <w:tcPr>
            <w:tcW w:w="1365" w:type="dxa"/>
          </w:tcPr>
          <w:p w:rsidR="00000000" w:rsidRDefault="00000000">
            <w:pPr>
              <w:pStyle w:val="a2"/>
              <w:tabs>
                <w:tab w:val="decimal" w:pos="812"/>
              </w:tabs>
              <w:rPr>
                <w:rFonts w:hint="eastAsia"/>
                <w:snapToGrid/>
              </w:rPr>
            </w:pPr>
            <w:r>
              <w:rPr>
                <w:rFonts w:hint="eastAsia"/>
                <w:snapToGrid/>
              </w:rPr>
              <w:t>117</w:t>
            </w:r>
          </w:p>
        </w:tc>
        <w:tc>
          <w:tcPr>
            <w:tcW w:w="1192" w:type="dxa"/>
          </w:tcPr>
          <w:p w:rsidR="00000000" w:rsidRDefault="00000000">
            <w:pPr>
              <w:pStyle w:val="a2"/>
              <w:tabs>
                <w:tab w:val="decimal" w:pos="812"/>
              </w:tabs>
              <w:rPr>
                <w:rFonts w:hint="eastAsia"/>
                <w:snapToGrid/>
              </w:rPr>
            </w:pPr>
            <w:r>
              <w:rPr>
                <w:rFonts w:hint="eastAsia"/>
                <w:snapToGrid/>
              </w:rPr>
              <w:t>311</w:t>
            </w:r>
          </w:p>
        </w:tc>
      </w:tr>
      <w:tr w:rsidR="00000000">
        <w:tblPrEx>
          <w:tblCellMar>
            <w:top w:w="0" w:type="dxa"/>
            <w:bottom w:w="0" w:type="dxa"/>
          </w:tblCellMar>
        </w:tblPrEx>
        <w:trPr>
          <w:cantSplit/>
        </w:trPr>
        <w:tc>
          <w:tcPr>
            <w:tcW w:w="3178" w:type="dxa"/>
            <w:vMerge/>
          </w:tcPr>
          <w:p w:rsidR="00000000" w:rsidRDefault="00000000">
            <w:pPr>
              <w:pStyle w:val="a2"/>
              <w:ind w:left="113" w:right="113"/>
              <w:rPr>
                <w:rFonts w:hint="eastAsia"/>
                <w:snapToGrid/>
              </w:rPr>
            </w:pPr>
          </w:p>
        </w:tc>
        <w:tc>
          <w:tcPr>
            <w:tcW w:w="3675" w:type="dxa"/>
          </w:tcPr>
          <w:p w:rsidR="00000000" w:rsidRDefault="00000000">
            <w:pPr>
              <w:pStyle w:val="a2"/>
              <w:ind w:left="113" w:right="113"/>
              <w:rPr>
                <w:rFonts w:hint="eastAsia"/>
                <w:snapToGrid/>
              </w:rPr>
            </w:pPr>
            <w:r>
              <w:rPr>
                <w:rFonts w:hint="eastAsia"/>
                <w:snapToGrid/>
              </w:rPr>
              <w:t>再培训</w:t>
            </w:r>
          </w:p>
        </w:tc>
        <w:tc>
          <w:tcPr>
            <w:tcW w:w="1365" w:type="dxa"/>
          </w:tcPr>
          <w:p w:rsidR="00000000" w:rsidRDefault="00000000">
            <w:pPr>
              <w:pStyle w:val="a2"/>
              <w:tabs>
                <w:tab w:val="decimal" w:pos="812"/>
              </w:tabs>
              <w:rPr>
                <w:rFonts w:hint="eastAsia"/>
                <w:snapToGrid/>
              </w:rPr>
            </w:pPr>
            <w:r>
              <w:rPr>
                <w:rFonts w:hint="eastAsia"/>
                <w:snapToGrid/>
              </w:rPr>
              <w:t>1,201</w:t>
            </w:r>
          </w:p>
        </w:tc>
        <w:tc>
          <w:tcPr>
            <w:tcW w:w="1192" w:type="dxa"/>
          </w:tcPr>
          <w:p w:rsidR="00000000" w:rsidRDefault="00000000">
            <w:pPr>
              <w:pStyle w:val="a2"/>
              <w:tabs>
                <w:tab w:val="decimal" w:pos="812"/>
              </w:tabs>
              <w:rPr>
                <w:rFonts w:hint="eastAsia"/>
                <w:snapToGrid/>
              </w:rPr>
            </w:pPr>
            <w:r>
              <w:rPr>
                <w:rFonts w:hint="eastAsia"/>
                <w:snapToGrid/>
              </w:rPr>
              <w:t>633</w:t>
            </w:r>
          </w:p>
        </w:tc>
      </w:tr>
      <w:tr w:rsidR="00000000">
        <w:tblPrEx>
          <w:tblCellMar>
            <w:top w:w="0" w:type="dxa"/>
            <w:bottom w:w="0" w:type="dxa"/>
          </w:tblCellMar>
        </w:tblPrEx>
        <w:trPr>
          <w:cantSplit/>
        </w:trPr>
        <w:tc>
          <w:tcPr>
            <w:tcW w:w="3178" w:type="dxa"/>
            <w:vMerge/>
          </w:tcPr>
          <w:p w:rsidR="00000000" w:rsidRDefault="00000000">
            <w:pPr>
              <w:pStyle w:val="a2"/>
              <w:ind w:left="113" w:right="113"/>
              <w:rPr>
                <w:rFonts w:hint="eastAsia"/>
                <w:snapToGrid/>
              </w:rPr>
            </w:pPr>
          </w:p>
        </w:tc>
        <w:tc>
          <w:tcPr>
            <w:tcW w:w="3675" w:type="dxa"/>
          </w:tcPr>
          <w:p w:rsidR="00000000" w:rsidRDefault="00000000">
            <w:pPr>
              <w:pStyle w:val="a2"/>
              <w:ind w:left="113" w:right="113"/>
              <w:rPr>
                <w:rFonts w:hint="eastAsia"/>
                <w:snapToGrid/>
              </w:rPr>
            </w:pPr>
            <w:r>
              <w:rPr>
                <w:rFonts w:hint="eastAsia"/>
                <w:snapToGrid/>
              </w:rPr>
              <w:t>在岗再培训活动</w:t>
            </w:r>
          </w:p>
        </w:tc>
        <w:tc>
          <w:tcPr>
            <w:tcW w:w="1365" w:type="dxa"/>
          </w:tcPr>
          <w:p w:rsidR="00000000" w:rsidRDefault="00000000">
            <w:pPr>
              <w:pStyle w:val="a2"/>
              <w:tabs>
                <w:tab w:val="decimal" w:pos="812"/>
              </w:tabs>
              <w:rPr>
                <w:rFonts w:hint="eastAsia"/>
                <w:snapToGrid/>
              </w:rPr>
            </w:pPr>
            <w:r>
              <w:rPr>
                <w:rFonts w:hint="eastAsia"/>
                <w:snapToGrid/>
              </w:rPr>
              <w:t>113</w:t>
            </w:r>
          </w:p>
        </w:tc>
        <w:tc>
          <w:tcPr>
            <w:tcW w:w="1192" w:type="dxa"/>
          </w:tcPr>
          <w:p w:rsidR="00000000" w:rsidRDefault="00000000">
            <w:pPr>
              <w:pStyle w:val="a2"/>
              <w:tabs>
                <w:tab w:val="decimal" w:pos="812"/>
              </w:tabs>
              <w:rPr>
                <w:rFonts w:hint="eastAsia"/>
                <w:snapToGrid/>
              </w:rPr>
            </w:pPr>
            <w:r>
              <w:rPr>
                <w:rFonts w:hint="eastAsia"/>
                <w:snapToGrid/>
              </w:rPr>
              <w:t>234</w:t>
            </w:r>
          </w:p>
        </w:tc>
      </w:tr>
      <w:tr w:rsidR="00000000">
        <w:tblPrEx>
          <w:tblCellMar>
            <w:top w:w="0" w:type="dxa"/>
            <w:bottom w:w="0" w:type="dxa"/>
          </w:tblCellMar>
        </w:tblPrEx>
        <w:trPr>
          <w:cantSplit/>
        </w:trPr>
        <w:tc>
          <w:tcPr>
            <w:tcW w:w="3178" w:type="dxa"/>
            <w:vMerge/>
          </w:tcPr>
          <w:p w:rsidR="00000000" w:rsidRDefault="00000000">
            <w:pPr>
              <w:pStyle w:val="a2"/>
              <w:ind w:left="113" w:right="113"/>
              <w:rPr>
                <w:rFonts w:hint="eastAsia"/>
                <w:snapToGrid/>
              </w:rPr>
            </w:pPr>
          </w:p>
        </w:tc>
        <w:tc>
          <w:tcPr>
            <w:tcW w:w="3675" w:type="dxa"/>
            <w:vMerge w:val="restart"/>
          </w:tcPr>
          <w:p w:rsidR="00000000" w:rsidRDefault="00000000">
            <w:pPr>
              <w:pStyle w:val="a2"/>
              <w:ind w:left="113" w:right="113"/>
              <w:rPr>
                <w:rFonts w:hint="eastAsia"/>
                <w:snapToGrid/>
              </w:rPr>
            </w:pPr>
            <w:r>
              <w:rPr>
                <w:rFonts w:hint="eastAsia"/>
                <w:snapToGrid/>
              </w:rPr>
              <w:t>文化进修课程</w:t>
            </w:r>
            <w:r>
              <w:rPr>
                <w:rFonts w:hint="eastAsia"/>
                <w:snapToGrid/>
              </w:rPr>
              <w:t xml:space="preserve"> (</w:t>
            </w:r>
            <w:r>
              <w:rPr>
                <w:rFonts w:hint="eastAsia"/>
                <w:snapToGrid/>
              </w:rPr>
              <w:t>年满</w:t>
            </w:r>
            <w:r>
              <w:rPr>
                <w:rFonts w:hint="eastAsia"/>
                <w:snapToGrid/>
              </w:rPr>
              <w:t>40</w:t>
            </w:r>
            <w:r>
              <w:rPr>
                <w:rFonts w:hint="eastAsia"/>
                <w:snapToGrid/>
              </w:rPr>
              <w:t>岁的失业</w:t>
            </w:r>
            <w:r>
              <w:rPr>
                <w:snapToGrid/>
              </w:rPr>
              <w:br/>
            </w:r>
            <w:r>
              <w:rPr>
                <w:rFonts w:hint="eastAsia"/>
                <w:snapToGrid/>
              </w:rPr>
              <w:t>人士</w:t>
            </w:r>
            <w:r>
              <w:rPr>
                <w:rFonts w:hint="eastAsia"/>
                <w:snapToGrid/>
              </w:rPr>
              <w:t>)</w:t>
            </w:r>
          </w:p>
        </w:tc>
        <w:tc>
          <w:tcPr>
            <w:tcW w:w="1365" w:type="dxa"/>
          </w:tcPr>
          <w:p w:rsidR="00000000" w:rsidRDefault="00000000">
            <w:pPr>
              <w:pStyle w:val="a2"/>
              <w:tabs>
                <w:tab w:val="decimal" w:pos="812"/>
              </w:tabs>
              <w:rPr>
                <w:rFonts w:hint="eastAsia"/>
                <w:snapToGrid/>
              </w:rPr>
            </w:pPr>
            <w:r>
              <w:rPr>
                <w:rFonts w:hint="eastAsia"/>
                <w:snapToGrid/>
              </w:rPr>
              <w:t>-</w:t>
            </w:r>
          </w:p>
        </w:tc>
        <w:tc>
          <w:tcPr>
            <w:tcW w:w="1192" w:type="dxa"/>
          </w:tcPr>
          <w:p w:rsidR="00000000" w:rsidRDefault="00000000">
            <w:pPr>
              <w:pStyle w:val="a2"/>
              <w:tabs>
                <w:tab w:val="decimal" w:pos="812"/>
              </w:tabs>
              <w:rPr>
                <w:rFonts w:hint="eastAsia"/>
                <w:snapToGrid/>
              </w:rPr>
            </w:pPr>
            <w:r>
              <w:rPr>
                <w:rFonts w:hint="eastAsia"/>
                <w:snapToGrid/>
              </w:rPr>
              <w:t>1,321</w:t>
            </w:r>
          </w:p>
        </w:tc>
      </w:tr>
      <w:tr w:rsidR="00000000">
        <w:tblPrEx>
          <w:tblCellMar>
            <w:top w:w="0" w:type="dxa"/>
            <w:bottom w:w="0" w:type="dxa"/>
          </w:tblCellMar>
        </w:tblPrEx>
        <w:trPr>
          <w:cantSplit/>
        </w:trPr>
        <w:tc>
          <w:tcPr>
            <w:tcW w:w="3178" w:type="dxa"/>
            <w:vMerge/>
          </w:tcPr>
          <w:p w:rsidR="00000000" w:rsidRDefault="00000000">
            <w:pPr>
              <w:pStyle w:val="a2"/>
              <w:ind w:left="113" w:right="113"/>
              <w:rPr>
                <w:rFonts w:hint="eastAsia"/>
                <w:snapToGrid/>
              </w:rPr>
            </w:pPr>
          </w:p>
        </w:tc>
        <w:tc>
          <w:tcPr>
            <w:tcW w:w="3675" w:type="dxa"/>
            <w:vMerge/>
          </w:tcPr>
          <w:p w:rsidR="00000000" w:rsidRDefault="00000000">
            <w:pPr>
              <w:pStyle w:val="a2"/>
              <w:ind w:left="113" w:right="113"/>
              <w:rPr>
                <w:rFonts w:hint="eastAsia"/>
                <w:snapToGrid/>
              </w:rPr>
            </w:pPr>
          </w:p>
        </w:tc>
        <w:tc>
          <w:tcPr>
            <w:tcW w:w="1365" w:type="dxa"/>
          </w:tcPr>
          <w:p w:rsidR="00000000" w:rsidRDefault="00000000">
            <w:pPr>
              <w:pStyle w:val="a2"/>
              <w:tabs>
                <w:tab w:val="decimal" w:pos="812"/>
              </w:tabs>
              <w:rPr>
                <w:rFonts w:hint="eastAsia"/>
                <w:snapToGrid/>
              </w:rPr>
            </w:pPr>
            <w:r>
              <w:rPr>
                <w:rFonts w:hint="eastAsia"/>
                <w:snapToGrid/>
              </w:rPr>
              <w:t>-</w:t>
            </w:r>
          </w:p>
        </w:tc>
        <w:tc>
          <w:tcPr>
            <w:tcW w:w="1192" w:type="dxa"/>
          </w:tcPr>
          <w:p w:rsidR="00000000" w:rsidRDefault="00000000">
            <w:pPr>
              <w:pStyle w:val="a2"/>
              <w:tabs>
                <w:tab w:val="decimal" w:pos="812"/>
              </w:tabs>
              <w:rPr>
                <w:rFonts w:hint="eastAsia"/>
                <w:snapToGrid/>
              </w:rPr>
            </w:pPr>
            <w:r>
              <w:rPr>
                <w:rFonts w:hint="eastAsia"/>
                <w:snapToGrid/>
              </w:rPr>
              <w:t>515</w:t>
            </w:r>
          </w:p>
        </w:tc>
      </w:tr>
      <w:tr w:rsidR="00000000">
        <w:tblPrEx>
          <w:tblCellMar>
            <w:top w:w="0" w:type="dxa"/>
            <w:bottom w:w="0" w:type="dxa"/>
          </w:tblCellMar>
        </w:tblPrEx>
        <w:trPr>
          <w:cantSplit/>
        </w:trPr>
        <w:tc>
          <w:tcPr>
            <w:tcW w:w="6853" w:type="dxa"/>
            <w:gridSpan w:val="2"/>
          </w:tcPr>
          <w:p w:rsidR="00000000" w:rsidRDefault="00000000">
            <w:pPr>
              <w:pStyle w:val="a2"/>
              <w:ind w:left="113" w:right="113"/>
              <w:rPr>
                <w:rFonts w:hint="eastAsia"/>
                <w:snapToGrid/>
              </w:rPr>
            </w:pPr>
            <w:r>
              <w:rPr>
                <w:rFonts w:hint="eastAsia"/>
                <w:snapToGrid/>
              </w:rPr>
              <w:t>由劳工暨就业局主办或合办的培训课程</w:t>
            </w:r>
            <w:r>
              <w:rPr>
                <w:rFonts w:hint="eastAsia"/>
                <w:snapToGrid/>
              </w:rPr>
              <w:t xml:space="preserve"> (</w:t>
            </w:r>
            <w:r>
              <w:rPr>
                <w:rFonts w:hint="eastAsia"/>
                <w:snapToGrid/>
              </w:rPr>
              <w:t>合共</w:t>
            </w:r>
            <w:r>
              <w:rPr>
                <w:rFonts w:hint="eastAsia"/>
                <w:snapToGrid/>
              </w:rPr>
              <w:t>)</w:t>
            </w:r>
          </w:p>
        </w:tc>
        <w:tc>
          <w:tcPr>
            <w:tcW w:w="1365" w:type="dxa"/>
          </w:tcPr>
          <w:p w:rsidR="00000000" w:rsidRDefault="00000000">
            <w:pPr>
              <w:pStyle w:val="a2"/>
              <w:tabs>
                <w:tab w:val="decimal" w:pos="812"/>
              </w:tabs>
              <w:rPr>
                <w:rFonts w:hint="eastAsia"/>
                <w:snapToGrid/>
              </w:rPr>
            </w:pPr>
            <w:r>
              <w:rPr>
                <w:rFonts w:hint="eastAsia"/>
                <w:snapToGrid/>
              </w:rPr>
              <w:t>1,564</w:t>
            </w:r>
          </w:p>
        </w:tc>
        <w:tc>
          <w:tcPr>
            <w:tcW w:w="1192" w:type="dxa"/>
          </w:tcPr>
          <w:p w:rsidR="00000000" w:rsidRDefault="00000000">
            <w:pPr>
              <w:pStyle w:val="a2"/>
              <w:tabs>
                <w:tab w:val="decimal" w:pos="812"/>
              </w:tabs>
              <w:rPr>
                <w:rFonts w:hint="eastAsia"/>
                <w:snapToGrid/>
              </w:rPr>
            </w:pPr>
            <w:r>
              <w:rPr>
                <w:rFonts w:hint="eastAsia"/>
                <w:snapToGrid/>
              </w:rPr>
              <w:t>3,224</w:t>
            </w:r>
          </w:p>
        </w:tc>
      </w:tr>
      <w:tr w:rsidR="00000000">
        <w:tblPrEx>
          <w:tblCellMar>
            <w:top w:w="0" w:type="dxa"/>
            <w:bottom w:w="0" w:type="dxa"/>
          </w:tblCellMar>
        </w:tblPrEx>
        <w:trPr>
          <w:cantSplit/>
        </w:trPr>
        <w:tc>
          <w:tcPr>
            <w:tcW w:w="6853" w:type="dxa"/>
            <w:gridSpan w:val="2"/>
          </w:tcPr>
          <w:p w:rsidR="00000000" w:rsidRDefault="00000000">
            <w:pPr>
              <w:pStyle w:val="a2"/>
              <w:ind w:left="113" w:right="113"/>
              <w:rPr>
                <w:rFonts w:hint="eastAsia"/>
                <w:snapToGrid/>
              </w:rPr>
            </w:pPr>
            <w:r>
              <w:rPr>
                <w:rFonts w:hint="eastAsia"/>
                <w:snapToGrid/>
              </w:rPr>
              <w:t>纯粹只为企业提供场地进行培训的企业内部培训课程</w:t>
            </w:r>
          </w:p>
        </w:tc>
        <w:tc>
          <w:tcPr>
            <w:tcW w:w="1365" w:type="dxa"/>
          </w:tcPr>
          <w:p w:rsidR="00000000" w:rsidRDefault="00000000">
            <w:pPr>
              <w:pStyle w:val="a2"/>
              <w:tabs>
                <w:tab w:val="decimal" w:pos="812"/>
              </w:tabs>
              <w:rPr>
                <w:rFonts w:hint="eastAsia"/>
                <w:snapToGrid/>
              </w:rPr>
            </w:pPr>
            <w:r>
              <w:rPr>
                <w:rFonts w:hint="eastAsia"/>
                <w:snapToGrid/>
              </w:rPr>
              <w:t>458</w:t>
            </w:r>
          </w:p>
        </w:tc>
        <w:tc>
          <w:tcPr>
            <w:tcW w:w="1192" w:type="dxa"/>
          </w:tcPr>
          <w:p w:rsidR="00000000" w:rsidRDefault="00000000">
            <w:pPr>
              <w:pStyle w:val="a2"/>
              <w:tabs>
                <w:tab w:val="decimal" w:pos="812"/>
              </w:tabs>
              <w:rPr>
                <w:rFonts w:hint="eastAsia"/>
                <w:snapToGrid/>
              </w:rPr>
            </w:pPr>
            <w:r>
              <w:rPr>
                <w:rFonts w:hint="eastAsia"/>
                <w:snapToGrid/>
              </w:rPr>
              <w:t>1,693</w:t>
            </w:r>
          </w:p>
        </w:tc>
      </w:tr>
      <w:tr w:rsidR="00000000">
        <w:tblPrEx>
          <w:tblCellMar>
            <w:top w:w="0" w:type="dxa"/>
            <w:bottom w:w="0" w:type="dxa"/>
          </w:tblCellMar>
        </w:tblPrEx>
        <w:trPr>
          <w:cantSplit/>
        </w:trPr>
        <w:tc>
          <w:tcPr>
            <w:tcW w:w="6853" w:type="dxa"/>
            <w:gridSpan w:val="2"/>
          </w:tcPr>
          <w:p w:rsidR="00000000" w:rsidRDefault="00000000">
            <w:pPr>
              <w:pStyle w:val="a2"/>
              <w:ind w:left="113" w:right="113"/>
              <w:rPr>
                <w:rFonts w:hint="eastAsia"/>
                <w:snapToGrid/>
              </w:rPr>
            </w:pPr>
            <w:r>
              <w:rPr>
                <w:snapToGrid/>
              </w:rPr>
              <w:t xml:space="preserve">  </w:t>
            </w:r>
            <w:r>
              <w:rPr>
                <w:rFonts w:hint="eastAsia"/>
                <w:snapToGrid/>
              </w:rPr>
              <w:t>总</w:t>
            </w:r>
            <w:r>
              <w:rPr>
                <w:snapToGrid/>
              </w:rPr>
              <w:t xml:space="preserve">   </w:t>
            </w:r>
            <w:r>
              <w:rPr>
                <w:rFonts w:hint="eastAsia"/>
                <w:snapToGrid/>
              </w:rPr>
              <w:t>数</w:t>
            </w:r>
          </w:p>
        </w:tc>
        <w:tc>
          <w:tcPr>
            <w:tcW w:w="1365" w:type="dxa"/>
          </w:tcPr>
          <w:p w:rsidR="00000000" w:rsidRDefault="00000000">
            <w:pPr>
              <w:pStyle w:val="a2"/>
              <w:tabs>
                <w:tab w:val="decimal" w:pos="812"/>
              </w:tabs>
              <w:rPr>
                <w:rFonts w:hint="eastAsia"/>
                <w:snapToGrid/>
              </w:rPr>
            </w:pPr>
            <w:r>
              <w:rPr>
                <w:rFonts w:hint="eastAsia"/>
                <w:snapToGrid/>
              </w:rPr>
              <w:t>2,022</w:t>
            </w:r>
          </w:p>
        </w:tc>
        <w:tc>
          <w:tcPr>
            <w:tcW w:w="1192" w:type="dxa"/>
          </w:tcPr>
          <w:p w:rsidR="00000000" w:rsidRDefault="00000000">
            <w:pPr>
              <w:pStyle w:val="a2"/>
              <w:tabs>
                <w:tab w:val="decimal" w:pos="812"/>
              </w:tabs>
              <w:rPr>
                <w:rFonts w:hint="eastAsia"/>
                <w:snapToGrid/>
              </w:rPr>
            </w:pPr>
            <w:r>
              <w:rPr>
                <w:rFonts w:hint="eastAsia"/>
                <w:snapToGrid/>
              </w:rPr>
              <w:t>4,917</w:t>
            </w:r>
          </w:p>
        </w:tc>
      </w:tr>
    </w:tbl>
    <w:p w:rsidR="00000000" w:rsidRDefault="00000000">
      <w:pPr>
        <w:spacing w:before="160" w:after="120"/>
        <w:ind w:left="510"/>
        <w:rPr>
          <w:rFonts w:eastAsia="KaiTi_GB2312" w:hint="eastAsia"/>
        </w:rPr>
      </w:pPr>
      <w:r>
        <w:rPr>
          <w:rFonts w:eastAsia="KaiTi_GB2312" w:hint="eastAsia"/>
          <w:u w:val="single"/>
        </w:rPr>
        <w:t>资料来源</w:t>
      </w:r>
      <w:r>
        <w:rPr>
          <w:rFonts w:eastAsia="KaiTi_GB2312" w:hint="eastAsia"/>
        </w:rPr>
        <w:t>：劳工暨就业局，</w:t>
      </w:r>
      <w:r>
        <w:rPr>
          <w:rFonts w:eastAsia="KaiTi_GB2312" w:hint="eastAsia"/>
        </w:rPr>
        <w:t>2001</w:t>
      </w:r>
      <w:r>
        <w:rPr>
          <w:rFonts w:eastAsia="KaiTi_GB2312" w:hint="eastAsia"/>
        </w:rPr>
        <w:t>年活动报告。</w:t>
      </w:r>
    </w:p>
    <w:p w:rsidR="00000000" w:rsidRDefault="00000000">
      <w:pPr>
        <w:pStyle w:val="Heading4"/>
        <w:spacing w:before="240"/>
      </w:pPr>
      <w:r>
        <w:rPr>
          <w:rFonts w:hint="eastAsia"/>
        </w:rPr>
        <w:t>公</w:t>
      </w:r>
      <w:r>
        <w:rPr>
          <w:rFonts w:hint="eastAsia"/>
        </w:rPr>
        <w:t xml:space="preserve">  </w:t>
      </w:r>
      <w:r>
        <w:rPr>
          <w:rFonts w:hint="eastAsia"/>
        </w:rPr>
        <w:t>职</w:t>
      </w:r>
    </w:p>
    <w:p w:rsidR="00000000" w:rsidRDefault="00000000">
      <w:pPr>
        <w:rPr>
          <w:snapToGrid/>
        </w:rPr>
      </w:pPr>
      <w:r>
        <w:rPr>
          <w:snapToGrid/>
        </w:rPr>
        <w:tab/>
        <w:t xml:space="preserve">858.  </w:t>
      </w:r>
      <w:r>
        <w:rPr>
          <w:rFonts w:hint="eastAsia"/>
          <w:snapToGrid/>
        </w:rPr>
        <w:t>公务员同样有权接受延续教育和培训</w:t>
      </w:r>
      <w:r>
        <w:rPr>
          <w:snapToGrid/>
        </w:rPr>
        <w:t>，</w:t>
      </w:r>
      <w:r>
        <w:rPr>
          <w:rFonts w:hint="eastAsia"/>
          <w:snapToGrid/>
        </w:rPr>
        <w:t>从而提升其工作效率</w:t>
      </w:r>
      <w:r>
        <w:rPr>
          <w:snapToGrid/>
        </w:rPr>
        <w:t>，</w:t>
      </w:r>
      <w:r>
        <w:rPr>
          <w:rFonts w:hint="eastAsia"/>
          <w:snapToGrid/>
        </w:rPr>
        <w:t>以回应市民与日俱增的需求。</w:t>
      </w:r>
    </w:p>
    <w:p w:rsidR="00000000" w:rsidRDefault="00000000">
      <w:pPr>
        <w:rPr>
          <w:snapToGrid/>
        </w:rPr>
      </w:pPr>
      <w:r>
        <w:rPr>
          <w:snapToGrid/>
        </w:rPr>
        <w:tab/>
        <w:t xml:space="preserve">859.  </w:t>
      </w:r>
      <w:r>
        <w:rPr>
          <w:rFonts w:hint="eastAsia"/>
          <w:snapToGrid/>
        </w:rPr>
        <w:t>行政暨公职局一直为公务员举办各类培训活动</w:t>
      </w:r>
      <w:r>
        <w:rPr>
          <w:snapToGrid/>
        </w:rPr>
        <w:t>，</w:t>
      </w:r>
      <w:r>
        <w:rPr>
          <w:rFonts w:hint="eastAsia"/>
          <w:snapToGrid/>
        </w:rPr>
        <w:t>并分为专门培训、语言培训和专业技术培训。语言培训基本上集中于普通话、广州话和葡语的培训。专业技术培训则分为以下类别</w:t>
      </w:r>
      <w:r>
        <w:rPr>
          <w:snapToGrid/>
        </w:rPr>
        <w:t>：</w:t>
      </w:r>
      <w:r>
        <w:rPr>
          <w:rFonts w:hint="eastAsia"/>
          <w:snapToGrid/>
        </w:rPr>
        <w:t>资讯系统、管理、人力资源管理、行政管理、公共关系和沟通技巧。</w:t>
      </w:r>
    </w:p>
    <w:p w:rsidR="00000000" w:rsidRDefault="00000000">
      <w:pPr>
        <w:rPr>
          <w:snapToGrid/>
        </w:rPr>
      </w:pPr>
      <w:r>
        <w:rPr>
          <w:snapToGrid/>
        </w:rPr>
        <w:tab/>
        <w:t xml:space="preserve">860.  </w:t>
      </w:r>
      <w:r>
        <w:rPr>
          <w:rFonts w:hint="eastAsia"/>
          <w:snapToGrid/>
        </w:rPr>
        <w:t>旅游局亦为旅游业的学员和从业员开展职业培训计划</w:t>
      </w:r>
      <w:r>
        <w:rPr>
          <w:snapToGrid/>
        </w:rPr>
        <w:t>，</w:t>
      </w:r>
      <w:r>
        <w:rPr>
          <w:rFonts w:hint="eastAsia"/>
          <w:snapToGrid/>
        </w:rPr>
        <w:t>以提升该行业的服务素质。有关资料已上载于以下网址</w:t>
      </w:r>
      <w:r>
        <w:rPr>
          <w:snapToGrid/>
        </w:rPr>
        <w:t>：</w:t>
      </w:r>
      <w:r>
        <w:rPr>
          <w:snapToGrid/>
        </w:rPr>
        <w:t>www.macautourism</w:t>
      </w:r>
      <w:r>
        <w:rPr>
          <w:rFonts w:hint="eastAsia"/>
          <w:snapToGrid/>
        </w:rPr>
        <w:t>.</w:t>
      </w:r>
      <w:r>
        <w:rPr>
          <w:snapToGrid/>
        </w:rPr>
        <w:t>gov.mo</w:t>
      </w:r>
      <w:r>
        <w:rPr>
          <w:rFonts w:hint="eastAsia"/>
          <w:snapToGrid/>
        </w:rPr>
        <w:t>。</w:t>
      </w:r>
    </w:p>
    <w:p w:rsidR="00000000" w:rsidRDefault="00000000">
      <w:pPr>
        <w:rPr>
          <w:snapToGrid/>
        </w:rPr>
      </w:pPr>
      <w:r>
        <w:rPr>
          <w:snapToGrid/>
        </w:rPr>
        <w:tab/>
        <w:t xml:space="preserve">861.  </w:t>
      </w:r>
      <w:r>
        <w:rPr>
          <w:rFonts w:hint="eastAsia"/>
          <w:snapToGrid/>
        </w:rPr>
        <w:t>旅游学院为公众提供多项专业和职业培训课程</w:t>
      </w:r>
      <w:r>
        <w:rPr>
          <w:snapToGrid/>
        </w:rPr>
        <w:t>，</w:t>
      </w:r>
      <w:r>
        <w:rPr>
          <w:rFonts w:hint="eastAsia"/>
          <w:snapToGrid/>
        </w:rPr>
        <w:t>而专业及延续教育学校的使命是令旅游业能紧密配合社会需求。这类培训课程的本地学员人数与外地学员人数的比例通常为</w:t>
      </w:r>
      <w:r>
        <w:rPr>
          <w:snapToGrid/>
        </w:rPr>
        <w:t>99</w:t>
      </w:r>
      <w:r>
        <w:rPr>
          <w:snapToGrid/>
        </w:rPr>
        <w:t>：</w:t>
      </w:r>
      <w:r>
        <w:rPr>
          <w:snapToGrid/>
        </w:rPr>
        <w:t xml:space="preserve">1, </w:t>
      </w:r>
      <w:r>
        <w:rPr>
          <w:rFonts w:hint="eastAsia"/>
          <w:snapToGrid/>
        </w:rPr>
        <w:t>而学员中男性占</w:t>
      </w:r>
      <w:r>
        <w:rPr>
          <w:snapToGrid/>
        </w:rPr>
        <w:t>54%</w:t>
      </w:r>
      <w:r>
        <w:rPr>
          <w:snapToGrid/>
        </w:rPr>
        <w:t>，</w:t>
      </w:r>
      <w:r>
        <w:rPr>
          <w:rFonts w:hint="eastAsia"/>
          <w:snapToGrid/>
        </w:rPr>
        <w:t>女性占</w:t>
      </w:r>
      <w:r>
        <w:rPr>
          <w:snapToGrid/>
        </w:rPr>
        <w:t>46%</w:t>
      </w:r>
      <w:r>
        <w:rPr>
          <w:rFonts w:hint="eastAsia"/>
          <w:snapToGrid/>
        </w:rPr>
        <w:t>。更多的资料已上载于以下网址</w:t>
      </w:r>
      <w:r>
        <w:rPr>
          <w:snapToGrid/>
        </w:rPr>
        <w:t>：</w:t>
      </w:r>
      <w:r>
        <w:rPr>
          <w:snapToGrid/>
        </w:rPr>
        <w:t>www.ift.edu.mo/mecats/index</w:t>
      </w:r>
      <w:r>
        <w:rPr>
          <w:rFonts w:hint="eastAsia"/>
          <w:snapToGrid/>
        </w:rPr>
        <w:t>.</w:t>
      </w:r>
      <w:r>
        <w:rPr>
          <w:snapToGrid/>
        </w:rPr>
        <w:t>htm</w:t>
      </w:r>
      <w:r>
        <w:rPr>
          <w:rFonts w:hint="eastAsia"/>
          <w:snapToGrid/>
        </w:rPr>
        <w:t>。</w:t>
      </w:r>
    </w:p>
    <w:p w:rsidR="00000000" w:rsidRDefault="00000000">
      <w:pPr>
        <w:spacing w:after="120"/>
        <w:rPr>
          <w:snapToGrid/>
        </w:rPr>
      </w:pPr>
      <w:r>
        <w:rPr>
          <w:snapToGrid/>
        </w:rPr>
        <w:tab/>
        <w:t xml:space="preserve">862.  </w:t>
      </w:r>
      <w:r>
        <w:rPr>
          <w:rFonts w:hint="eastAsia"/>
          <w:snapToGrid/>
        </w:rPr>
        <w:t>澳门理工学院设有一所成人教育及特别计划中心</w:t>
      </w:r>
      <w:r>
        <w:rPr>
          <w:snapToGrid/>
        </w:rPr>
        <w:t>，</w:t>
      </w:r>
      <w:r>
        <w:rPr>
          <w:rFonts w:hint="eastAsia"/>
          <w:snapToGrid/>
        </w:rPr>
        <w:t>提供大量的培训课程。此外</w:t>
      </w:r>
      <w:r>
        <w:rPr>
          <w:snapToGrid/>
        </w:rPr>
        <w:t>，</w:t>
      </w:r>
      <w:r>
        <w:rPr>
          <w:rFonts w:hint="eastAsia"/>
          <w:snapToGrid/>
        </w:rPr>
        <w:t>公共行政高等学校、语言暨翻译高等学校、高等卫生学校、体育暨运动高等学校亦提供各类型的课程。更多的资料已上载于以下网址</w:t>
      </w:r>
      <w:r>
        <w:rPr>
          <w:snapToGrid/>
        </w:rPr>
        <w:t>：</w:t>
      </w:r>
      <w:r>
        <w:rPr>
          <w:snapToGrid/>
        </w:rPr>
        <w:t>www.ipm. edu.mo</w:t>
      </w:r>
      <w:r>
        <w:rPr>
          <w:rFonts w:hint="eastAsia"/>
          <w:snapToGrid/>
        </w:rPr>
        <w:t>。</w:t>
      </w:r>
    </w:p>
    <w:p w:rsidR="00000000" w:rsidRDefault="00000000">
      <w:pPr>
        <w:pStyle w:val="Heading3"/>
        <w:spacing w:after="120"/>
      </w:pPr>
      <w:bookmarkStart w:id="65" w:name="_Toc78772974"/>
      <w:r>
        <w:rPr>
          <w:u w:val="none"/>
        </w:rPr>
        <w:t xml:space="preserve">E.  </w:t>
      </w:r>
      <w:r>
        <w:rPr>
          <w:rFonts w:hint="eastAsia"/>
        </w:rPr>
        <w:t>对工作权的限制</w:t>
      </w:r>
      <w:bookmarkEnd w:id="65"/>
    </w:p>
    <w:p w:rsidR="00000000" w:rsidRDefault="00000000">
      <w:pPr>
        <w:pStyle w:val="Heading4"/>
        <w:spacing w:after="160"/>
        <w:rPr>
          <w:rFonts w:hint="eastAsia"/>
        </w:rPr>
      </w:pPr>
      <w:r>
        <w:rPr>
          <w:rFonts w:hint="eastAsia"/>
        </w:rPr>
        <w:t>男女平等</w:t>
      </w:r>
    </w:p>
    <w:p w:rsidR="00000000" w:rsidRDefault="00000000">
      <w:pPr>
        <w:rPr>
          <w:snapToGrid/>
        </w:rPr>
      </w:pPr>
      <w:r>
        <w:rPr>
          <w:rFonts w:hint="eastAsia"/>
        </w:rPr>
        <w:tab/>
      </w:r>
      <w:r>
        <w:rPr>
          <w:snapToGrid/>
        </w:rPr>
        <w:t xml:space="preserve">863.  </w:t>
      </w:r>
      <w:r>
        <w:rPr>
          <w:rFonts w:hint="eastAsia"/>
          <w:snapToGrid/>
        </w:rPr>
        <w:t>如上文所述</w:t>
      </w:r>
      <w:r>
        <w:rPr>
          <w:snapToGrid/>
        </w:rPr>
        <w:t>，</w:t>
      </w:r>
      <w:r>
        <w:rPr>
          <w:rFonts w:hint="eastAsia"/>
          <w:snapToGrid/>
        </w:rPr>
        <w:t>在澳门特别行政区法律体系内</w:t>
      </w:r>
      <w:r>
        <w:rPr>
          <w:snapToGrid/>
        </w:rPr>
        <w:t>，</w:t>
      </w:r>
      <w:r>
        <w:rPr>
          <w:rFonts w:hint="eastAsia"/>
          <w:snapToGrid/>
        </w:rPr>
        <w:t>不存在任何对工作权、就业和职业培训方面的平等原则和不歧视原则的限制。近年来</w:t>
      </w:r>
      <w:r>
        <w:rPr>
          <w:snapToGrid/>
        </w:rPr>
        <w:t>，</w:t>
      </w:r>
      <w:r>
        <w:rPr>
          <w:rFonts w:hint="eastAsia"/>
          <w:snapToGrid/>
        </w:rPr>
        <w:t>一直不断地完善相关的立法工作。</w:t>
      </w:r>
    </w:p>
    <w:p w:rsidR="00000000" w:rsidRDefault="00000000">
      <w:pPr>
        <w:rPr>
          <w:snapToGrid/>
        </w:rPr>
      </w:pPr>
      <w:r>
        <w:rPr>
          <w:snapToGrid/>
        </w:rPr>
        <w:tab/>
        <w:t xml:space="preserve">864.  </w:t>
      </w:r>
      <w:r>
        <w:rPr>
          <w:rFonts w:hint="eastAsia"/>
          <w:snapToGrid/>
        </w:rPr>
        <w:t>私人工作和公职方面的劳动法例均明确承认</w:t>
      </w:r>
      <w:r>
        <w:rPr>
          <w:snapToGrid/>
        </w:rPr>
        <w:t>，</w:t>
      </w:r>
      <w:r>
        <w:rPr>
          <w:rFonts w:hint="eastAsia"/>
          <w:snapToGrid/>
        </w:rPr>
        <w:t>所有工作人员有权获得平等的待遇</w:t>
      </w:r>
      <w:r>
        <w:rPr>
          <w:snapToGrid/>
        </w:rPr>
        <w:t>，</w:t>
      </w:r>
      <w:r>
        <w:rPr>
          <w:rFonts w:hint="eastAsia"/>
          <w:snapToGrid/>
        </w:rPr>
        <w:t>不因性别、婚姻状况或家庭状况而受到歧视</w:t>
      </w:r>
      <w:r>
        <w:rPr>
          <w:snapToGrid/>
        </w:rPr>
        <w:t>，</w:t>
      </w:r>
      <w:r>
        <w:rPr>
          <w:rFonts w:hint="eastAsia"/>
          <w:snapToGrid/>
        </w:rPr>
        <w:t>有同等的就业机会</w:t>
      </w:r>
      <w:r>
        <w:rPr>
          <w:snapToGrid/>
        </w:rPr>
        <w:t>，</w:t>
      </w:r>
      <w:r>
        <w:rPr>
          <w:rFonts w:hint="eastAsia"/>
          <w:snapToGrid/>
        </w:rPr>
        <w:t>在工作地点获得同等的对待</w:t>
      </w:r>
      <w:r>
        <w:rPr>
          <w:snapToGrid/>
        </w:rPr>
        <w:t>，</w:t>
      </w:r>
      <w:r>
        <w:rPr>
          <w:rFonts w:hint="eastAsia"/>
          <w:snapToGrid/>
        </w:rPr>
        <w:t>坚持不得以直接或间接的方式歧视女性和同工同酬的原则。</w:t>
      </w:r>
    </w:p>
    <w:p w:rsidR="00000000" w:rsidRDefault="00000000">
      <w:pPr>
        <w:rPr>
          <w:snapToGrid/>
        </w:rPr>
      </w:pPr>
      <w:r>
        <w:rPr>
          <w:snapToGrid/>
        </w:rPr>
        <w:tab/>
        <w:t xml:space="preserve">865.  </w:t>
      </w:r>
      <w:r>
        <w:rPr>
          <w:rFonts w:hint="eastAsia"/>
          <w:snapToGrid/>
        </w:rPr>
        <w:t>其后</w:t>
      </w:r>
      <w:r>
        <w:rPr>
          <w:snapToGrid/>
        </w:rPr>
        <w:t>，</w:t>
      </w:r>
      <w:r>
        <w:rPr>
          <w:rFonts w:hint="eastAsia"/>
          <w:snapToGrid/>
        </w:rPr>
        <w:t>关于男女劳工在就业上获平等的机会和待遇的法例进一步巩固上述的原则。该法例明确规定男女平等、求取工作的平等</w:t>
      </w:r>
      <w:r>
        <w:rPr>
          <w:snapToGrid/>
        </w:rPr>
        <w:t xml:space="preserve"> (</w:t>
      </w:r>
      <w:r>
        <w:rPr>
          <w:rFonts w:hint="eastAsia"/>
          <w:snapToGrid/>
        </w:rPr>
        <w:t>第五条</w:t>
      </w:r>
      <w:r>
        <w:rPr>
          <w:snapToGrid/>
        </w:rPr>
        <w:t>)</w:t>
      </w:r>
      <w:r>
        <w:rPr>
          <w:rFonts w:hint="eastAsia"/>
          <w:snapToGrid/>
        </w:rPr>
        <w:t>、在职业培训方面的机会和待遇平等</w:t>
      </w:r>
      <w:r>
        <w:rPr>
          <w:snapToGrid/>
        </w:rPr>
        <w:t xml:space="preserve"> (</w:t>
      </w:r>
      <w:r>
        <w:rPr>
          <w:rFonts w:hint="eastAsia"/>
          <w:snapToGrid/>
        </w:rPr>
        <w:t>第六条</w:t>
      </w:r>
      <w:r>
        <w:rPr>
          <w:snapToGrid/>
        </w:rPr>
        <w:t>)</w:t>
      </w:r>
      <w:r>
        <w:rPr>
          <w:rFonts w:hint="eastAsia"/>
          <w:snapToGrid/>
        </w:rPr>
        <w:t>、就业机会平等</w:t>
      </w:r>
      <w:r>
        <w:rPr>
          <w:snapToGrid/>
        </w:rPr>
        <w:t xml:space="preserve"> (</w:t>
      </w:r>
      <w:r>
        <w:rPr>
          <w:rFonts w:hint="eastAsia"/>
          <w:snapToGrid/>
        </w:rPr>
        <w:t>第七条</w:t>
      </w:r>
      <w:r>
        <w:rPr>
          <w:snapToGrid/>
        </w:rPr>
        <w:t>)</w:t>
      </w:r>
      <w:r>
        <w:rPr>
          <w:rFonts w:hint="eastAsia"/>
          <w:snapToGrid/>
        </w:rPr>
        <w:t>等各项权利。</w:t>
      </w:r>
    </w:p>
    <w:p w:rsidR="00000000" w:rsidRDefault="00000000">
      <w:pPr>
        <w:spacing w:line="288" w:lineRule="auto"/>
        <w:rPr>
          <w:snapToGrid/>
        </w:rPr>
      </w:pPr>
      <w:r>
        <w:rPr>
          <w:snapToGrid/>
        </w:rPr>
        <w:tab/>
        <w:t xml:space="preserve">866.  </w:t>
      </w:r>
      <w:r>
        <w:rPr>
          <w:rFonts w:hint="eastAsia"/>
          <w:snapToGrid/>
        </w:rPr>
        <w:t>《就业政策和劳工权利纲要法》亦规定必须遵守不歧视、同工同酬和在工作地点获得同等对待等原则。</w:t>
      </w:r>
    </w:p>
    <w:p w:rsidR="00000000" w:rsidRDefault="00000000">
      <w:pPr>
        <w:pStyle w:val="a3"/>
        <w:spacing w:after="0"/>
        <w:rPr>
          <w:rFonts w:hint="eastAsia"/>
          <w:kern w:val="0"/>
        </w:rPr>
      </w:pPr>
      <w:r>
        <w:rPr>
          <w:rFonts w:hint="eastAsia"/>
          <w:kern w:val="0"/>
        </w:rPr>
        <w:t>按性别和年龄统计的就业人口</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5"/>
        <w:gridCol w:w="1045"/>
        <w:gridCol w:w="1045"/>
        <w:gridCol w:w="1045"/>
        <w:gridCol w:w="1046"/>
        <w:gridCol w:w="1046"/>
        <w:gridCol w:w="1046"/>
        <w:gridCol w:w="1046"/>
        <w:gridCol w:w="1046"/>
      </w:tblGrid>
      <w:tr w:rsidR="00000000">
        <w:tblPrEx>
          <w:tblCellMar>
            <w:top w:w="0" w:type="dxa"/>
            <w:bottom w:w="0" w:type="dxa"/>
          </w:tblCellMar>
        </w:tblPrEx>
        <w:trPr>
          <w:cantSplit/>
        </w:trPr>
        <w:tc>
          <w:tcPr>
            <w:tcW w:w="1045" w:type="dxa"/>
            <w:vMerge w:val="restart"/>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rPr>
              <w:br/>
            </w: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045" w:type="dxa"/>
            <w:vMerge w:val="restart"/>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rPr>
              <w:br/>
            </w:r>
            <w:r>
              <w:rPr>
                <w:rFonts w:ascii="Time New Roman" w:eastAsia="SimHei" w:hAnsi="Time New Roman" w:hint="eastAsia"/>
              </w:rPr>
              <w:t>性</w:t>
            </w:r>
            <w:r>
              <w:rPr>
                <w:rFonts w:ascii="Time New Roman" w:eastAsia="SimHei" w:hAnsi="Time New Roman" w:hint="eastAsia"/>
              </w:rPr>
              <w:t xml:space="preserve"> </w:t>
            </w:r>
            <w:r>
              <w:rPr>
                <w:rFonts w:ascii="Time New Roman" w:eastAsia="SimHei" w:hAnsi="Time New Roman" w:hint="eastAsia"/>
              </w:rPr>
              <w:t>别</w:t>
            </w:r>
          </w:p>
        </w:tc>
        <w:tc>
          <w:tcPr>
            <w:tcW w:w="7320" w:type="dxa"/>
            <w:gridSpan w:val="7"/>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就业人口</w:t>
            </w:r>
            <w:r>
              <w:rPr>
                <w:rFonts w:ascii="Time New Roman" w:eastAsia="SimHei" w:hAnsi="Time New Roman" w:hint="eastAsia"/>
              </w:rPr>
              <w:t xml:space="preserve">   ( </w:t>
            </w:r>
            <w:r>
              <w:rPr>
                <w:rFonts w:ascii="Time New Roman" w:eastAsia="SimHei" w:hAnsi="Time New Roman" w:hint="eastAsia"/>
              </w:rPr>
              <w:t>’</w:t>
            </w:r>
            <w:r>
              <w:rPr>
                <w:rFonts w:ascii="Time New Roman" w:eastAsia="SimHei" w:hAnsi="Time New Roman" w:hint="eastAsia"/>
                <w:b/>
              </w:rPr>
              <w:t>000</w:t>
            </w:r>
            <w:r>
              <w:rPr>
                <w:rFonts w:ascii="Time New Roman" w:eastAsia="SimHei" w:hAnsi="Time New Roman" w:hint="eastAsia"/>
              </w:rPr>
              <w:t>)</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vMerge/>
          </w:tcPr>
          <w:p w:rsidR="00000000" w:rsidRDefault="00000000">
            <w:pPr>
              <w:pStyle w:val="a2"/>
              <w:spacing w:line="240" w:lineRule="auto"/>
              <w:jc w:val="center"/>
              <w:rPr>
                <w:rFonts w:ascii="Time New Roman" w:eastAsia="SimHei" w:hAnsi="Time New Roman" w:hint="eastAsia"/>
              </w:rPr>
            </w:pPr>
          </w:p>
        </w:tc>
        <w:tc>
          <w:tcPr>
            <w:tcW w:w="7320" w:type="dxa"/>
            <w:gridSpan w:val="7"/>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龄</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总数</w:t>
            </w: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b/>
              </w:rPr>
              <w:t>14</w:t>
            </w:r>
            <w:r>
              <w:rPr>
                <w:rFonts w:ascii="Time New Roman" w:eastAsia="SimHei" w:hAnsi="Time New Roman" w:hint="eastAsia"/>
              </w:rPr>
              <w:t>-</w:t>
            </w:r>
            <w:r>
              <w:rPr>
                <w:rFonts w:ascii="Time New Roman" w:eastAsia="SimHei" w:hAnsi="Time New Roman" w:hint="eastAsia"/>
                <w:b/>
              </w:rPr>
              <w:t>24</w:t>
            </w:r>
          </w:p>
        </w:tc>
        <w:tc>
          <w:tcPr>
            <w:tcW w:w="1046"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b/>
              </w:rPr>
              <w:t>25</w:t>
            </w:r>
            <w:r>
              <w:rPr>
                <w:rFonts w:ascii="Time New Roman" w:eastAsia="SimHei" w:hAnsi="Time New Roman" w:hint="eastAsia"/>
              </w:rPr>
              <w:t>-</w:t>
            </w:r>
            <w:r>
              <w:rPr>
                <w:rFonts w:ascii="Time New Roman" w:eastAsia="SimHei" w:hAnsi="Time New Roman" w:hint="eastAsia"/>
                <w:b/>
              </w:rPr>
              <w:t>34</w:t>
            </w:r>
          </w:p>
        </w:tc>
        <w:tc>
          <w:tcPr>
            <w:tcW w:w="1046"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b/>
              </w:rPr>
              <w:t>35</w:t>
            </w:r>
            <w:r>
              <w:rPr>
                <w:rFonts w:ascii="Time New Roman" w:eastAsia="SimHei" w:hAnsi="Time New Roman" w:hint="eastAsia"/>
              </w:rPr>
              <w:t>-</w:t>
            </w:r>
            <w:r>
              <w:rPr>
                <w:rFonts w:ascii="Time New Roman" w:eastAsia="SimHei" w:hAnsi="Time New Roman" w:hint="eastAsia"/>
                <w:b/>
              </w:rPr>
              <w:t>44</w:t>
            </w:r>
          </w:p>
        </w:tc>
        <w:tc>
          <w:tcPr>
            <w:tcW w:w="1046"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b/>
              </w:rPr>
              <w:t>45</w:t>
            </w:r>
            <w:r>
              <w:rPr>
                <w:rFonts w:ascii="Time New Roman" w:eastAsia="SimHei" w:hAnsi="Time New Roman" w:hint="eastAsia"/>
              </w:rPr>
              <w:t>-</w:t>
            </w:r>
            <w:r>
              <w:rPr>
                <w:rFonts w:ascii="Time New Roman" w:eastAsia="SimHei" w:hAnsi="Time New Roman" w:hint="eastAsia"/>
                <w:b/>
              </w:rPr>
              <w:t>54</w:t>
            </w:r>
          </w:p>
        </w:tc>
        <w:tc>
          <w:tcPr>
            <w:tcW w:w="1046"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b/>
              </w:rPr>
              <w:t>55</w:t>
            </w:r>
            <w:r>
              <w:rPr>
                <w:rFonts w:ascii="Time New Roman" w:eastAsia="SimHei" w:hAnsi="Time New Roman" w:hint="eastAsia"/>
              </w:rPr>
              <w:t>-</w:t>
            </w:r>
            <w:r>
              <w:rPr>
                <w:rFonts w:ascii="Time New Roman" w:eastAsia="SimHei" w:hAnsi="Time New Roman" w:hint="eastAsia"/>
                <w:b/>
              </w:rPr>
              <w:t>64</w:t>
            </w:r>
          </w:p>
        </w:tc>
        <w:tc>
          <w:tcPr>
            <w:tcW w:w="1046"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b/>
              </w:rPr>
              <w:t>65</w:t>
            </w:r>
            <w:r>
              <w:rPr>
                <w:rFonts w:ascii="Time New Roman" w:eastAsia="SimHei" w:hAnsi="Time New Roman" w:hint="eastAsia"/>
              </w:rPr>
              <w:t>+</w:t>
            </w:r>
          </w:p>
        </w:tc>
      </w:tr>
      <w:tr w:rsidR="00000000">
        <w:tblPrEx>
          <w:tblCellMar>
            <w:top w:w="0" w:type="dxa"/>
            <w:bottom w:w="0" w:type="dxa"/>
          </w:tblCellMar>
        </w:tblPrEx>
        <w:trPr>
          <w:cantSplit/>
        </w:trPr>
        <w:tc>
          <w:tcPr>
            <w:tcW w:w="1045" w:type="dxa"/>
            <w:vMerge w:val="restart"/>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b/>
              </w:rPr>
              <w:br/>
            </w:r>
            <w:r>
              <w:rPr>
                <w:rFonts w:ascii="Time New Roman" w:eastAsia="SimHei" w:hAnsi="Time New Roman" w:hint="eastAsia"/>
                <w:b/>
              </w:rPr>
              <w:t>1999</w:t>
            </w: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男女</w:t>
            </w:r>
          </w:p>
        </w:tc>
        <w:tc>
          <w:tcPr>
            <w:tcW w:w="1045" w:type="dxa"/>
          </w:tcPr>
          <w:p w:rsidR="00000000" w:rsidRDefault="00000000">
            <w:pPr>
              <w:pStyle w:val="a2"/>
              <w:tabs>
                <w:tab w:val="decimal" w:pos="640"/>
              </w:tabs>
              <w:spacing w:line="240" w:lineRule="auto"/>
              <w:rPr>
                <w:rFonts w:hint="eastAsia"/>
                <w:snapToGrid/>
              </w:rPr>
            </w:pPr>
            <w:r>
              <w:rPr>
                <w:rFonts w:hint="eastAsia"/>
                <w:snapToGrid/>
              </w:rPr>
              <w:t>196,1</w:t>
            </w:r>
          </w:p>
        </w:tc>
        <w:tc>
          <w:tcPr>
            <w:tcW w:w="1045" w:type="dxa"/>
          </w:tcPr>
          <w:p w:rsidR="00000000" w:rsidRDefault="00000000">
            <w:pPr>
              <w:pStyle w:val="a2"/>
              <w:tabs>
                <w:tab w:val="decimal" w:pos="640"/>
              </w:tabs>
              <w:spacing w:line="240" w:lineRule="auto"/>
              <w:rPr>
                <w:snapToGrid/>
              </w:rPr>
            </w:pPr>
            <w:r>
              <w:rPr>
                <w:snapToGrid/>
              </w:rPr>
              <w:t>24,7</w:t>
            </w:r>
          </w:p>
        </w:tc>
        <w:tc>
          <w:tcPr>
            <w:tcW w:w="1046" w:type="dxa"/>
          </w:tcPr>
          <w:p w:rsidR="00000000" w:rsidRDefault="00000000">
            <w:pPr>
              <w:pStyle w:val="a2"/>
              <w:tabs>
                <w:tab w:val="decimal" w:pos="640"/>
              </w:tabs>
              <w:spacing w:line="240" w:lineRule="auto"/>
              <w:rPr>
                <w:rFonts w:hint="eastAsia"/>
                <w:snapToGrid/>
              </w:rPr>
            </w:pPr>
            <w:r>
              <w:rPr>
                <w:snapToGrid/>
              </w:rPr>
              <w:t>55,8</w:t>
            </w:r>
          </w:p>
        </w:tc>
        <w:tc>
          <w:tcPr>
            <w:tcW w:w="1046" w:type="dxa"/>
          </w:tcPr>
          <w:p w:rsidR="00000000" w:rsidRDefault="00000000">
            <w:pPr>
              <w:pStyle w:val="a2"/>
              <w:tabs>
                <w:tab w:val="decimal" w:pos="640"/>
              </w:tabs>
              <w:spacing w:line="240" w:lineRule="auto"/>
              <w:rPr>
                <w:snapToGrid/>
              </w:rPr>
            </w:pPr>
            <w:r>
              <w:rPr>
                <w:snapToGrid/>
              </w:rPr>
              <w:t>68,2</w:t>
            </w:r>
          </w:p>
        </w:tc>
        <w:tc>
          <w:tcPr>
            <w:tcW w:w="1046" w:type="dxa"/>
          </w:tcPr>
          <w:p w:rsidR="00000000" w:rsidRDefault="00000000">
            <w:pPr>
              <w:pStyle w:val="a2"/>
              <w:tabs>
                <w:tab w:val="decimal" w:pos="640"/>
              </w:tabs>
              <w:spacing w:line="240" w:lineRule="auto"/>
              <w:rPr>
                <w:snapToGrid/>
              </w:rPr>
            </w:pPr>
            <w:r>
              <w:rPr>
                <w:snapToGrid/>
              </w:rPr>
              <w:t>35,7</w:t>
            </w:r>
          </w:p>
        </w:tc>
        <w:tc>
          <w:tcPr>
            <w:tcW w:w="1046" w:type="dxa"/>
          </w:tcPr>
          <w:p w:rsidR="00000000" w:rsidRDefault="00000000">
            <w:pPr>
              <w:pStyle w:val="a2"/>
              <w:tabs>
                <w:tab w:val="decimal" w:pos="640"/>
              </w:tabs>
              <w:spacing w:line="240" w:lineRule="auto"/>
              <w:rPr>
                <w:rFonts w:hint="eastAsia"/>
                <w:snapToGrid/>
              </w:rPr>
            </w:pPr>
            <w:r>
              <w:rPr>
                <w:rFonts w:hint="eastAsia"/>
                <w:snapToGrid/>
              </w:rPr>
              <w:t>8,9</w:t>
            </w:r>
          </w:p>
        </w:tc>
        <w:tc>
          <w:tcPr>
            <w:tcW w:w="1046" w:type="dxa"/>
          </w:tcPr>
          <w:p w:rsidR="00000000" w:rsidRDefault="00000000">
            <w:pPr>
              <w:pStyle w:val="a2"/>
              <w:tabs>
                <w:tab w:val="decimal" w:pos="640"/>
              </w:tabs>
              <w:spacing w:line="240" w:lineRule="auto"/>
              <w:rPr>
                <w:rFonts w:hint="eastAsia"/>
                <w:snapToGrid/>
              </w:rPr>
            </w:pPr>
            <w:r>
              <w:rPr>
                <w:snapToGrid/>
              </w:rPr>
              <w:t>2,7</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男</w:t>
            </w:r>
          </w:p>
        </w:tc>
        <w:tc>
          <w:tcPr>
            <w:tcW w:w="1045" w:type="dxa"/>
          </w:tcPr>
          <w:p w:rsidR="00000000" w:rsidRDefault="00000000">
            <w:pPr>
              <w:pStyle w:val="a2"/>
              <w:tabs>
                <w:tab w:val="decimal" w:pos="640"/>
              </w:tabs>
              <w:spacing w:line="240" w:lineRule="auto"/>
              <w:rPr>
                <w:rFonts w:hint="eastAsia"/>
                <w:snapToGrid/>
              </w:rPr>
            </w:pPr>
            <w:r>
              <w:rPr>
                <w:snapToGrid/>
              </w:rPr>
              <w:t>1</w:t>
            </w:r>
            <w:r>
              <w:rPr>
                <w:rFonts w:hint="eastAsia"/>
                <w:snapToGrid/>
              </w:rPr>
              <w:t>04,2</w:t>
            </w:r>
          </w:p>
        </w:tc>
        <w:tc>
          <w:tcPr>
            <w:tcW w:w="1045" w:type="dxa"/>
          </w:tcPr>
          <w:p w:rsidR="00000000" w:rsidRDefault="00000000">
            <w:pPr>
              <w:pStyle w:val="a2"/>
              <w:tabs>
                <w:tab w:val="decimal" w:pos="640"/>
              </w:tabs>
              <w:spacing w:line="240" w:lineRule="auto"/>
              <w:rPr>
                <w:snapToGrid/>
              </w:rPr>
            </w:pPr>
            <w:r>
              <w:rPr>
                <w:snapToGrid/>
              </w:rPr>
              <w:t>9,3</w:t>
            </w:r>
          </w:p>
        </w:tc>
        <w:tc>
          <w:tcPr>
            <w:tcW w:w="1046" w:type="dxa"/>
          </w:tcPr>
          <w:p w:rsidR="00000000" w:rsidRDefault="00000000">
            <w:pPr>
              <w:pStyle w:val="a2"/>
              <w:tabs>
                <w:tab w:val="decimal" w:pos="640"/>
              </w:tabs>
              <w:spacing w:line="240" w:lineRule="auto"/>
              <w:rPr>
                <w:snapToGrid/>
              </w:rPr>
            </w:pPr>
            <w:r>
              <w:rPr>
                <w:snapToGrid/>
              </w:rPr>
              <w:t>25,7</w:t>
            </w:r>
          </w:p>
        </w:tc>
        <w:tc>
          <w:tcPr>
            <w:tcW w:w="1046" w:type="dxa"/>
          </w:tcPr>
          <w:p w:rsidR="00000000" w:rsidRDefault="00000000">
            <w:pPr>
              <w:pStyle w:val="a2"/>
              <w:tabs>
                <w:tab w:val="decimal" w:pos="640"/>
              </w:tabs>
              <w:spacing w:line="240" w:lineRule="auto"/>
              <w:rPr>
                <w:snapToGrid/>
              </w:rPr>
            </w:pPr>
            <w:r>
              <w:rPr>
                <w:snapToGrid/>
              </w:rPr>
              <w:t>38,8</w:t>
            </w:r>
          </w:p>
        </w:tc>
        <w:tc>
          <w:tcPr>
            <w:tcW w:w="1046" w:type="dxa"/>
          </w:tcPr>
          <w:p w:rsidR="00000000" w:rsidRDefault="00000000">
            <w:pPr>
              <w:pStyle w:val="a2"/>
              <w:tabs>
                <w:tab w:val="decimal" w:pos="640"/>
              </w:tabs>
              <w:spacing w:line="240" w:lineRule="auto"/>
              <w:rPr>
                <w:snapToGrid/>
              </w:rPr>
            </w:pPr>
            <w:r>
              <w:rPr>
                <w:rFonts w:hint="eastAsia"/>
                <w:snapToGrid/>
              </w:rPr>
              <w:t>22,0</w:t>
            </w:r>
          </w:p>
        </w:tc>
        <w:tc>
          <w:tcPr>
            <w:tcW w:w="1046" w:type="dxa"/>
          </w:tcPr>
          <w:p w:rsidR="00000000" w:rsidRDefault="00000000">
            <w:pPr>
              <w:pStyle w:val="a2"/>
              <w:tabs>
                <w:tab w:val="decimal" w:pos="640"/>
              </w:tabs>
              <w:spacing w:line="240" w:lineRule="auto"/>
              <w:rPr>
                <w:rFonts w:hint="eastAsia"/>
                <w:snapToGrid/>
              </w:rPr>
            </w:pPr>
            <w:r>
              <w:rPr>
                <w:rFonts w:hint="eastAsia"/>
                <w:snapToGrid/>
              </w:rPr>
              <w:t>6,4</w:t>
            </w:r>
          </w:p>
        </w:tc>
        <w:tc>
          <w:tcPr>
            <w:tcW w:w="1046" w:type="dxa"/>
          </w:tcPr>
          <w:p w:rsidR="00000000" w:rsidRDefault="00000000">
            <w:pPr>
              <w:pStyle w:val="a2"/>
              <w:tabs>
                <w:tab w:val="decimal" w:pos="640"/>
              </w:tabs>
              <w:spacing w:line="240" w:lineRule="auto"/>
              <w:rPr>
                <w:rFonts w:hint="eastAsia"/>
                <w:snapToGrid/>
              </w:rPr>
            </w:pPr>
            <w:r>
              <w:rPr>
                <w:rFonts w:hint="eastAsia"/>
                <w:snapToGrid/>
              </w:rPr>
              <w:t>2,0</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女</w:t>
            </w:r>
          </w:p>
        </w:tc>
        <w:tc>
          <w:tcPr>
            <w:tcW w:w="1045" w:type="dxa"/>
          </w:tcPr>
          <w:p w:rsidR="00000000" w:rsidRDefault="00000000">
            <w:pPr>
              <w:pStyle w:val="a2"/>
              <w:tabs>
                <w:tab w:val="decimal" w:pos="640"/>
              </w:tabs>
              <w:spacing w:line="240" w:lineRule="auto"/>
              <w:rPr>
                <w:rFonts w:hint="eastAsia"/>
                <w:snapToGrid/>
              </w:rPr>
            </w:pPr>
            <w:r>
              <w:rPr>
                <w:rFonts w:hint="eastAsia"/>
                <w:snapToGrid/>
              </w:rPr>
              <w:t>92,0</w:t>
            </w:r>
          </w:p>
        </w:tc>
        <w:tc>
          <w:tcPr>
            <w:tcW w:w="1045" w:type="dxa"/>
          </w:tcPr>
          <w:p w:rsidR="00000000" w:rsidRDefault="00000000">
            <w:pPr>
              <w:pStyle w:val="a2"/>
              <w:tabs>
                <w:tab w:val="decimal" w:pos="640"/>
              </w:tabs>
              <w:spacing w:line="240" w:lineRule="auto"/>
              <w:rPr>
                <w:rFonts w:hint="eastAsia"/>
                <w:snapToGrid/>
              </w:rPr>
            </w:pPr>
            <w:r>
              <w:rPr>
                <w:rFonts w:hint="eastAsia"/>
                <w:snapToGrid/>
              </w:rPr>
              <w:t>15,5</w:t>
            </w:r>
          </w:p>
        </w:tc>
        <w:tc>
          <w:tcPr>
            <w:tcW w:w="1046" w:type="dxa"/>
          </w:tcPr>
          <w:p w:rsidR="00000000" w:rsidRDefault="00000000">
            <w:pPr>
              <w:pStyle w:val="a2"/>
              <w:tabs>
                <w:tab w:val="decimal" w:pos="640"/>
              </w:tabs>
              <w:spacing w:line="240" w:lineRule="auto"/>
              <w:rPr>
                <w:rFonts w:hint="eastAsia"/>
                <w:snapToGrid/>
              </w:rPr>
            </w:pPr>
            <w:r>
              <w:rPr>
                <w:rFonts w:hint="eastAsia"/>
                <w:snapToGrid/>
              </w:rPr>
              <w:t>30,1</w:t>
            </w:r>
          </w:p>
        </w:tc>
        <w:tc>
          <w:tcPr>
            <w:tcW w:w="1046" w:type="dxa"/>
          </w:tcPr>
          <w:p w:rsidR="00000000" w:rsidRDefault="00000000">
            <w:pPr>
              <w:pStyle w:val="a2"/>
              <w:tabs>
                <w:tab w:val="decimal" w:pos="640"/>
              </w:tabs>
              <w:spacing w:line="240" w:lineRule="auto"/>
              <w:rPr>
                <w:rFonts w:hint="eastAsia"/>
                <w:snapToGrid/>
              </w:rPr>
            </w:pPr>
            <w:r>
              <w:rPr>
                <w:rFonts w:hint="eastAsia"/>
                <w:snapToGrid/>
              </w:rPr>
              <w:t>29,4</w:t>
            </w:r>
          </w:p>
        </w:tc>
        <w:tc>
          <w:tcPr>
            <w:tcW w:w="1046" w:type="dxa"/>
          </w:tcPr>
          <w:p w:rsidR="00000000" w:rsidRDefault="00000000">
            <w:pPr>
              <w:pStyle w:val="a2"/>
              <w:tabs>
                <w:tab w:val="decimal" w:pos="640"/>
              </w:tabs>
              <w:spacing w:line="240" w:lineRule="auto"/>
              <w:rPr>
                <w:rFonts w:hint="eastAsia"/>
                <w:snapToGrid/>
              </w:rPr>
            </w:pPr>
            <w:r>
              <w:rPr>
                <w:rFonts w:hint="eastAsia"/>
                <w:snapToGrid/>
              </w:rPr>
              <w:t>13,8</w:t>
            </w:r>
          </w:p>
        </w:tc>
        <w:tc>
          <w:tcPr>
            <w:tcW w:w="1046" w:type="dxa"/>
          </w:tcPr>
          <w:p w:rsidR="00000000" w:rsidRDefault="00000000">
            <w:pPr>
              <w:pStyle w:val="a2"/>
              <w:tabs>
                <w:tab w:val="decimal" w:pos="640"/>
              </w:tabs>
              <w:spacing w:line="240" w:lineRule="auto"/>
              <w:rPr>
                <w:rFonts w:hint="eastAsia"/>
                <w:snapToGrid/>
              </w:rPr>
            </w:pPr>
            <w:r>
              <w:rPr>
                <w:rFonts w:hint="eastAsia"/>
                <w:snapToGrid/>
              </w:rPr>
              <w:t>2,4</w:t>
            </w:r>
          </w:p>
        </w:tc>
        <w:tc>
          <w:tcPr>
            <w:tcW w:w="1046" w:type="dxa"/>
          </w:tcPr>
          <w:p w:rsidR="00000000" w:rsidRDefault="00000000">
            <w:pPr>
              <w:pStyle w:val="a2"/>
              <w:tabs>
                <w:tab w:val="decimal" w:pos="640"/>
              </w:tabs>
              <w:spacing w:line="240" w:lineRule="auto"/>
              <w:rPr>
                <w:rFonts w:hint="eastAsia"/>
                <w:snapToGrid/>
              </w:rPr>
            </w:pPr>
            <w:r>
              <w:rPr>
                <w:rFonts w:hint="eastAsia"/>
                <w:snapToGrid/>
              </w:rPr>
              <w:t>0,8</w:t>
            </w:r>
          </w:p>
        </w:tc>
      </w:tr>
      <w:tr w:rsidR="00000000">
        <w:tblPrEx>
          <w:tblCellMar>
            <w:top w:w="0" w:type="dxa"/>
            <w:bottom w:w="0" w:type="dxa"/>
          </w:tblCellMar>
        </w:tblPrEx>
        <w:trPr>
          <w:cantSplit/>
        </w:trPr>
        <w:tc>
          <w:tcPr>
            <w:tcW w:w="1045" w:type="dxa"/>
            <w:vMerge w:val="restart"/>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b/>
              </w:rPr>
              <w:br/>
            </w:r>
            <w:r>
              <w:rPr>
                <w:rFonts w:ascii="Time New Roman" w:eastAsia="SimHei" w:hAnsi="Time New Roman" w:hint="eastAsia"/>
                <w:b/>
              </w:rPr>
              <w:t>2000</w:t>
            </w: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男女</w:t>
            </w:r>
          </w:p>
        </w:tc>
        <w:tc>
          <w:tcPr>
            <w:tcW w:w="1045" w:type="dxa"/>
          </w:tcPr>
          <w:p w:rsidR="00000000" w:rsidRDefault="00000000">
            <w:pPr>
              <w:pStyle w:val="a2"/>
              <w:tabs>
                <w:tab w:val="decimal" w:pos="640"/>
              </w:tabs>
              <w:spacing w:line="240" w:lineRule="auto"/>
              <w:rPr>
                <w:rFonts w:hint="eastAsia"/>
                <w:snapToGrid/>
              </w:rPr>
            </w:pPr>
            <w:r>
              <w:rPr>
                <w:rFonts w:hint="eastAsia"/>
                <w:snapToGrid/>
              </w:rPr>
              <w:t>195,3</w:t>
            </w:r>
          </w:p>
        </w:tc>
        <w:tc>
          <w:tcPr>
            <w:tcW w:w="1045" w:type="dxa"/>
          </w:tcPr>
          <w:p w:rsidR="00000000" w:rsidRDefault="00000000">
            <w:pPr>
              <w:pStyle w:val="a2"/>
              <w:tabs>
                <w:tab w:val="decimal" w:pos="640"/>
              </w:tabs>
              <w:spacing w:line="240" w:lineRule="auto"/>
              <w:rPr>
                <w:rFonts w:hint="eastAsia"/>
                <w:snapToGrid/>
              </w:rPr>
            </w:pPr>
            <w:r>
              <w:rPr>
                <w:rFonts w:hint="eastAsia"/>
                <w:snapToGrid/>
              </w:rPr>
              <w:t>23,0</w:t>
            </w:r>
          </w:p>
        </w:tc>
        <w:tc>
          <w:tcPr>
            <w:tcW w:w="1046" w:type="dxa"/>
          </w:tcPr>
          <w:p w:rsidR="00000000" w:rsidRDefault="00000000">
            <w:pPr>
              <w:pStyle w:val="a2"/>
              <w:tabs>
                <w:tab w:val="decimal" w:pos="640"/>
              </w:tabs>
              <w:spacing w:line="240" w:lineRule="auto"/>
              <w:rPr>
                <w:rFonts w:hint="eastAsia"/>
                <w:snapToGrid/>
              </w:rPr>
            </w:pPr>
            <w:r>
              <w:rPr>
                <w:rFonts w:hint="eastAsia"/>
                <w:snapToGrid/>
              </w:rPr>
              <w:t>54,4</w:t>
            </w:r>
          </w:p>
        </w:tc>
        <w:tc>
          <w:tcPr>
            <w:tcW w:w="1046" w:type="dxa"/>
          </w:tcPr>
          <w:p w:rsidR="00000000" w:rsidRDefault="00000000">
            <w:pPr>
              <w:pStyle w:val="a2"/>
              <w:tabs>
                <w:tab w:val="decimal" w:pos="640"/>
              </w:tabs>
              <w:spacing w:line="240" w:lineRule="auto"/>
              <w:rPr>
                <w:rFonts w:hint="eastAsia"/>
                <w:snapToGrid/>
              </w:rPr>
            </w:pPr>
            <w:r>
              <w:rPr>
                <w:rFonts w:hint="eastAsia"/>
                <w:snapToGrid/>
              </w:rPr>
              <w:t>68,3</w:t>
            </w:r>
          </w:p>
        </w:tc>
        <w:tc>
          <w:tcPr>
            <w:tcW w:w="1046" w:type="dxa"/>
          </w:tcPr>
          <w:p w:rsidR="00000000" w:rsidRDefault="00000000">
            <w:pPr>
              <w:pStyle w:val="a2"/>
              <w:tabs>
                <w:tab w:val="decimal" w:pos="640"/>
              </w:tabs>
              <w:spacing w:line="240" w:lineRule="auto"/>
              <w:rPr>
                <w:rFonts w:hint="eastAsia"/>
                <w:snapToGrid/>
              </w:rPr>
            </w:pPr>
            <w:r>
              <w:rPr>
                <w:rFonts w:hint="eastAsia"/>
                <w:snapToGrid/>
              </w:rPr>
              <w:t>38,2</w:t>
            </w:r>
          </w:p>
        </w:tc>
        <w:tc>
          <w:tcPr>
            <w:tcW w:w="1046" w:type="dxa"/>
          </w:tcPr>
          <w:p w:rsidR="00000000" w:rsidRDefault="00000000">
            <w:pPr>
              <w:pStyle w:val="a2"/>
              <w:tabs>
                <w:tab w:val="decimal" w:pos="640"/>
              </w:tabs>
              <w:spacing w:line="240" w:lineRule="auto"/>
              <w:rPr>
                <w:rFonts w:hint="eastAsia"/>
                <w:snapToGrid/>
              </w:rPr>
            </w:pPr>
            <w:r>
              <w:rPr>
                <w:rFonts w:hint="eastAsia"/>
                <w:snapToGrid/>
              </w:rPr>
              <w:t>9,0</w:t>
            </w:r>
          </w:p>
        </w:tc>
        <w:tc>
          <w:tcPr>
            <w:tcW w:w="1046" w:type="dxa"/>
          </w:tcPr>
          <w:p w:rsidR="00000000" w:rsidRDefault="00000000">
            <w:pPr>
              <w:pStyle w:val="a2"/>
              <w:tabs>
                <w:tab w:val="decimal" w:pos="640"/>
              </w:tabs>
              <w:spacing w:line="240" w:lineRule="auto"/>
              <w:rPr>
                <w:rFonts w:hint="eastAsia"/>
                <w:snapToGrid/>
              </w:rPr>
            </w:pPr>
            <w:r>
              <w:rPr>
                <w:rFonts w:hint="eastAsia"/>
                <w:snapToGrid/>
              </w:rPr>
              <w:t>2,4</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男</w:t>
            </w:r>
          </w:p>
        </w:tc>
        <w:tc>
          <w:tcPr>
            <w:tcW w:w="1045" w:type="dxa"/>
          </w:tcPr>
          <w:p w:rsidR="00000000" w:rsidRDefault="00000000">
            <w:pPr>
              <w:pStyle w:val="a2"/>
              <w:tabs>
                <w:tab w:val="decimal" w:pos="640"/>
              </w:tabs>
              <w:spacing w:line="240" w:lineRule="auto"/>
              <w:rPr>
                <w:rFonts w:hint="eastAsia"/>
                <w:snapToGrid/>
              </w:rPr>
            </w:pPr>
            <w:r>
              <w:rPr>
                <w:rFonts w:hint="eastAsia"/>
                <w:snapToGrid/>
              </w:rPr>
              <w:t>103,2</w:t>
            </w:r>
          </w:p>
        </w:tc>
        <w:tc>
          <w:tcPr>
            <w:tcW w:w="1045" w:type="dxa"/>
          </w:tcPr>
          <w:p w:rsidR="00000000" w:rsidRDefault="00000000">
            <w:pPr>
              <w:pStyle w:val="a2"/>
              <w:tabs>
                <w:tab w:val="decimal" w:pos="640"/>
              </w:tabs>
              <w:spacing w:line="240" w:lineRule="auto"/>
              <w:rPr>
                <w:rFonts w:hint="eastAsia"/>
                <w:snapToGrid/>
              </w:rPr>
            </w:pPr>
            <w:r>
              <w:rPr>
                <w:rFonts w:hint="eastAsia"/>
                <w:snapToGrid/>
              </w:rPr>
              <w:t>9,1</w:t>
            </w:r>
          </w:p>
        </w:tc>
        <w:tc>
          <w:tcPr>
            <w:tcW w:w="1046" w:type="dxa"/>
          </w:tcPr>
          <w:p w:rsidR="00000000" w:rsidRDefault="00000000">
            <w:pPr>
              <w:pStyle w:val="a2"/>
              <w:tabs>
                <w:tab w:val="decimal" w:pos="640"/>
              </w:tabs>
              <w:spacing w:line="240" w:lineRule="auto"/>
              <w:rPr>
                <w:rFonts w:hint="eastAsia"/>
                <w:snapToGrid/>
              </w:rPr>
            </w:pPr>
            <w:r>
              <w:rPr>
                <w:rFonts w:hint="eastAsia"/>
                <w:snapToGrid/>
              </w:rPr>
              <w:t>25,2</w:t>
            </w:r>
          </w:p>
        </w:tc>
        <w:tc>
          <w:tcPr>
            <w:tcW w:w="1046" w:type="dxa"/>
          </w:tcPr>
          <w:p w:rsidR="00000000" w:rsidRDefault="00000000">
            <w:pPr>
              <w:pStyle w:val="a2"/>
              <w:tabs>
                <w:tab w:val="decimal" w:pos="640"/>
              </w:tabs>
              <w:spacing w:line="240" w:lineRule="auto"/>
              <w:rPr>
                <w:rFonts w:hint="eastAsia"/>
                <w:snapToGrid/>
              </w:rPr>
            </w:pPr>
            <w:r>
              <w:rPr>
                <w:rFonts w:hint="eastAsia"/>
                <w:snapToGrid/>
              </w:rPr>
              <w:t>37,4</w:t>
            </w:r>
          </w:p>
        </w:tc>
        <w:tc>
          <w:tcPr>
            <w:tcW w:w="1046" w:type="dxa"/>
          </w:tcPr>
          <w:p w:rsidR="00000000" w:rsidRDefault="00000000">
            <w:pPr>
              <w:pStyle w:val="a2"/>
              <w:tabs>
                <w:tab w:val="decimal" w:pos="640"/>
              </w:tabs>
              <w:spacing w:line="240" w:lineRule="auto"/>
              <w:rPr>
                <w:rFonts w:hint="eastAsia"/>
                <w:snapToGrid/>
              </w:rPr>
            </w:pPr>
            <w:r>
              <w:rPr>
                <w:rFonts w:hint="eastAsia"/>
                <w:snapToGrid/>
              </w:rPr>
              <w:t>23,5</w:t>
            </w:r>
          </w:p>
        </w:tc>
        <w:tc>
          <w:tcPr>
            <w:tcW w:w="1046" w:type="dxa"/>
          </w:tcPr>
          <w:p w:rsidR="00000000" w:rsidRDefault="00000000">
            <w:pPr>
              <w:pStyle w:val="a2"/>
              <w:tabs>
                <w:tab w:val="decimal" w:pos="640"/>
              </w:tabs>
              <w:spacing w:line="240" w:lineRule="auto"/>
              <w:rPr>
                <w:rFonts w:hint="eastAsia"/>
                <w:snapToGrid/>
              </w:rPr>
            </w:pPr>
            <w:r>
              <w:rPr>
                <w:rFonts w:hint="eastAsia"/>
                <w:snapToGrid/>
              </w:rPr>
              <w:t>6,3</w:t>
            </w:r>
          </w:p>
        </w:tc>
        <w:tc>
          <w:tcPr>
            <w:tcW w:w="1046" w:type="dxa"/>
          </w:tcPr>
          <w:p w:rsidR="00000000" w:rsidRDefault="00000000">
            <w:pPr>
              <w:pStyle w:val="a2"/>
              <w:tabs>
                <w:tab w:val="decimal" w:pos="640"/>
              </w:tabs>
              <w:spacing w:line="240" w:lineRule="auto"/>
              <w:rPr>
                <w:rFonts w:hint="eastAsia"/>
                <w:snapToGrid/>
              </w:rPr>
            </w:pPr>
            <w:r>
              <w:rPr>
                <w:rFonts w:hint="eastAsia"/>
                <w:snapToGrid/>
              </w:rPr>
              <w:t>1,7</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女</w:t>
            </w:r>
          </w:p>
        </w:tc>
        <w:tc>
          <w:tcPr>
            <w:tcW w:w="1045" w:type="dxa"/>
          </w:tcPr>
          <w:p w:rsidR="00000000" w:rsidRDefault="00000000">
            <w:pPr>
              <w:pStyle w:val="a2"/>
              <w:tabs>
                <w:tab w:val="decimal" w:pos="640"/>
              </w:tabs>
              <w:spacing w:line="240" w:lineRule="auto"/>
              <w:rPr>
                <w:rFonts w:hint="eastAsia"/>
                <w:snapToGrid/>
              </w:rPr>
            </w:pPr>
            <w:r>
              <w:rPr>
                <w:rFonts w:hint="eastAsia"/>
                <w:snapToGrid/>
              </w:rPr>
              <w:t>92,1</w:t>
            </w:r>
          </w:p>
        </w:tc>
        <w:tc>
          <w:tcPr>
            <w:tcW w:w="1045" w:type="dxa"/>
          </w:tcPr>
          <w:p w:rsidR="00000000" w:rsidRDefault="00000000">
            <w:pPr>
              <w:pStyle w:val="a2"/>
              <w:tabs>
                <w:tab w:val="decimal" w:pos="640"/>
              </w:tabs>
              <w:spacing w:line="240" w:lineRule="auto"/>
              <w:rPr>
                <w:rFonts w:hint="eastAsia"/>
                <w:snapToGrid/>
              </w:rPr>
            </w:pPr>
            <w:r>
              <w:rPr>
                <w:rFonts w:hint="eastAsia"/>
                <w:snapToGrid/>
              </w:rPr>
              <w:t>13,9</w:t>
            </w:r>
          </w:p>
        </w:tc>
        <w:tc>
          <w:tcPr>
            <w:tcW w:w="1046" w:type="dxa"/>
          </w:tcPr>
          <w:p w:rsidR="00000000" w:rsidRDefault="00000000">
            <w:pPr>
              <w:pStyle w:val="a2"/>
              <w:tabs>
                <w:tab w:val="decimal" w:pos="640"/>
              </w:tabs>
              <w:spacing w:line="240" w:lineRule="auto"/>
              <w:rPr>
                <w:rFonts w:hint="eastAsia"/>
                <w:snapToGrid/>
              </w:rPr>
            </w:pPr>
            <w:r>
              <w:rPr>
                <w:rFonts w:hint="eastAsia"/>
                <w:snapToGrid/>
              </w:rPr>
              <w:t>29,2</w:t>
            </w:r>
          </w:p>
        </w:tc>
        <w:tc>
          <w:tcPr>
            <w:tcW w:w="1046" w:type="dxa"/>
          </w:tcPr>
          <w:p w:rsidR="00000000" w:rsidRDefault="00000000">
            <w:pPr>
              <w:pStyle w:val="a2"/>
              <w:tabs>
                <w:tab w:val="decimal" w:pos="640"/>
              </w:tabs>
              <w:spacing w:line="240" w:lineRule="auto"/>
              <w:rPr>
                <w:rFonts w:hint="eastAsia"/>
                <w:snapToGrid/>
              </w:rPr>
            </w:pPr>
            <w:r>
              <w:rPr>
                <w:rFonts w:hint="eastAsia"/>
                <w:snapToGrid/>
              </w:rPr>
              <w:t>30,9</w:t>
            </w:r>
          </w:p>
        </w:tc>
        <w:tc>
          <w:tcPr>
            <w:tcW w:w="1046" w:type="dxa"/>
          </w:tcPr>
          <w:p w:rsidR="00000000" w:rsidRDefault="00000000">
            <w:pPr>
              <w:pStyle w:val="a2"/>
              <w:tabs>
                <w:tab w:val="decimal" w:pos="640"/>
              </w:tabs>
              <w:spacing w:line="240" w:lineRule="auto"/>
              <w:rPr>
                <w:rFonts w:hint="eastAsia"/>
                <w:snapToGrid/>
              </w:rPr>
            </w:pPr>
            <w:r>
              <w:rPr>
                <w:rFonts w:hint="eastAsia"/>
                <w:snapToGrid/>
              </w:rPr>
              <w:t>14,7</w:t>
            </w:r>
          </w:p>
        </w:tc>
        <w:tc>
          <w:tcPr>
            <w:tcW w:w="1046" w:type="dxa"/>
          </w:tcPr>
          <w:p w:rsidR="00000000" w:rsidRDefault="00000000">
            <w:pPr>
              <w:pStyle w:val="a2"/>
              <w:tabs>
                <w:tab w:val="decimal" w:pos="640"/>
              </w:tabs>
              <w:spacing w:line="240" w:lineRule="auto"/>
              <w:rPr>
                <w:rFonts w:hint="eastAsia"/>
                <w:snapToGrid/>
              </w:rPr>
            </w:pPr>
            <w:r>
              <w:rPr>
                <w:rFonts w:hint="eastAsia"/>
                <w:snapToGrid/>
              </w:rPr>
              <w:t>2,7</w:t>
            </w:r>
          </w:p>
        </w:tc>
        <w:tc>
          <w:tcPr>
            <w:tcW w:w="1046" w:type="dxa"/>
          </w:tcPr>
          <w:p w:rsidR="00000000" w:rsidRDefault="00000000">
            <w:pPr>
              <w:pStyle w:val="a2"/>
              <w:tabs>
                <w:tab w:val="decimal" w:pos="640"/>
              </w:tabs>
              <w:spacing w:line="240" w:lineRule="auto"/>
              <w:rPr>
                <w:rFonts w:hint="eastAsia"/>
                <w:snapToGrid/>
              </w:rPr>
            </w:pPr>
            <w:r>
              <w:rPr>
                <w:rFonts w:hint="eastAsia"/>
                <w:snapToGrid/>
              </w:rPr>
              <w:t>0,7</w:t>
            </w:r>
          </w:p>
        </w:tc>
      </w:tr>
      <w:tr w:rsidR="00000000">
        <w:tblPrEx>
          <w:tblCellMar>
            <w:top w:w="0" w:type="dxa"/>
            <w:bottom w:w="0" w:type="dxa"/>
          </w:tblCellMar>
        </w:tblPrEx>
        <w:trPr>
          <w:cantSplit/>
        </w:trPr>
        <w:tc>
          <w:tcPr>
            <w:tcW w:w="1045" w:type="dxa"/>
            <w:vMerge w:val="restart"/>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b/>
              </w:rPr>
              <w:br/>
            </w:r>
            <w:r>
              <w:rPr>
                <w:rFonts w:ascii="Time New Roman" w:eastAsia="SimHei" w:hAnsi="Time New Roman" w:hint="eastAsia"/>
                <w:b/>
              </w:rPr>
              <w:t>2001</w:t>
            </w: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男女</w:t>
            </w:r>
          </w:p>
        </w:tc>
        <w:tc>
          <w:tcPr>
            <w:tcW w:w="1045" w:type="dxa"/>
          </w:tcPr>
          <w:p w:rsidR="00000000" w:rsidRDefault="00000000">
            <w:pPr>
              <w:pStyle w:val="a2"/>
              <w:tabs>
                <w:tab w:val="decimal" w:pos="640"/>
              </w:tabs>
              <w:spacing w:line="240" w:lineRule="auto"/>
              <w:rPr>
                <w:rFonts w:hint="eastAsia"/>
                <w:snapToGrid/>
              </w:rPr>
            </w:pPr>
            <w:r>
              <w:rPr>
                <w:rFonts w:hint="eastAsia"/>
                <w:snapToGrid/>
              </w:rPr>
              <w:t>202,8</w:t>
            </w:r>
          </w:p>
        </w:tc>
        <w:tc>
          <w:tcPr>
            <w:tcW w:w="1045" w:type="dxa"/>
          </w:tcPr>
          <w:p w:rsidR="00000000" w:rsidRDefault="00000000">
            <w:pPr>
              <w:pStyle w:val="a2"/>
              <w:tabs>
                <w:tab w:val="decimal" w:pos="640"/>
              </w:tabs>
              <w:spacing w:line="240" w:lineRule="auto"/>
              <w:rPr>
                <w:rFonts w:hint="eastAsia"/>
                <w:snapToGrid/>
              </w:rPr>
            </w:pPr>
            <w:r>
              <w:rPr>
                <w:rFonts w:hint="eastAsia"/>
                <w:snapToGrid/>
              </w:rPr>
              <w:t>24,3</w:t>
            </w:r>
          </w:p>
        </w:tc>
        <w:tc>
          <w:tcPr>
            <w:tcW w:w="1046" w:type="dxa"/>
          </w:tcPr>
          <w:p w:rsidR="00000000" w:rsidRDefault="00000000">
            <w:pPr>
              <w:pStyle w:val="a2"/>
              <w:tabs>
                <w:tab w:val="decimal" w:pos="640"/>
              </w:tabs>
              <w:spacing w:line="240" w:lineRule="auto"/>
              <w:rPr>
                <w:rFonts w:hint="eastAsia"/>
                <w:snapToGrid/>
              </w:rPr>
            </w:pPr>
            <w:r>
              <w:rPr>
                <w:rFonts w:hint="eastAsia"/>
                <w:snapToGrid/>
              </w:rPr>
              <w:t>53,6</w:t>
            </w:r>
          </w:p>
        </w:tc>
        <w:tc>
          <w:tcPr>
            <w:tcW w:w="1046" w:type="dxa"/>
          </w:tcPr>
          <w:p w:rsidR="00000000" w:rsidRDefault="00000000">
            <w:pPr>
              <w:pStyle w:val="a2"/>
              <w:tabs>
                <w:tab w:val="decimal" w:pos="640"/>
              </w:tabs>
              <w:spacing w:line="240" w:lineRule="auto"/>
              <w:rPr>
                <w:rFonts w:hint="eastAsia"/>
                <w:snapToGrid/>
              </w:rPr>
            </w:pPr>
            <w:r>
              <w:rPr>
                <w:rFonts w:hint="eastAsia"/>
                <w:snapToGrid/>
              </w:rPr>
              <w:t>67,1</w:t>
            </w:r>
          </w:p>
        </w:tc>
        <w:tc>
          <w:tcPr>
            <w:tcW w:w="1046" w:type="dxa"/>
          </w:tcPr>
          <w:p w:rsidR="00000000" w:rsidRDefault="00000000">
            <w:pPr>
              <w:pStyle w:val="a2"/>
              <w:tabs>
                <w:tab w:val="decimal" w:pos="640"/>
              </w:tabs>
              <w:spacing w:line="240" w:lineRule="auto"/>
              <w:rPr>
                <w:rFonts w:hint="eastAsia"/>
                <w:snapToGrid/>
              </w:rPr>
            </w:pPr>
            <w:r>
              <w:rPr>
                <w:rFonts w:hint="eastAsia"/>
                <w:snapToGrid/>
              </w:rPr>
              <w:t>43,5</w:t>
            </w:r>
          </w:p>
        </w:tc>
        <w:tc>
          <w:tcPr>
            <w:tcW w:w="1046" w:type="dxa"/>
          </w:tcPr>
          <w:p w:rsidR="00000000" w:rsidRDefault="00000000">
            <w:pPr>
              <w:pStyle w:val="a2"/>
              <w:tabs>
                <w:tab w:val="decimal" w:pos="640"/>
              </w:tabs>
              <w:spacing w:line="240" w:lineRule="auto"/>
              <w:rPr>
                <w:rFonts w:hint="eastAsia"/>
                <w:snapToGrid/>
              </w:rPr>
            </w:pPr>
            <w:r>
              <w:rPr>
                <w:rFonts w:hint="eastAsia"/>
                <w:snapToGrid/>
              </w:rPr>
              <w:t>10,6</w:t>
            </w:r>
          </w:p>
        </w:tc>
        <w:tc>
          <w:tcPr>
            <w:tcW w:w="1046" w:type="dxa"/>
          </w:tcPr>
          <w:p w:rsidR="00000000" w:rsidRDefault="00000000">
            <w:pPr>
              <w:pStyle w:val="a2"/>
              <w:tabs>
                <w:tab w:val="decimal" w:pos="640"/>
              </w:tabs>
              <w:spacing w:line="240" w:lineRule="auto"/>
              <w:rPr>
                <w:rFonts w:hint="eastAsia"/>
                <w:snapToGrid/>
              </w:rPr>
            </w:pPr>
            <w:r>
              <w:rPr>
                <w:rFonts w:hint="eastAsia"/>
                <w:snapToGrid/>
              </w:rPr>
              <w:t>3,8</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男</w:t>
            </w:r>
          </w:p>
        </w:tc>
        <w:tc>
          <w:tcPr>
            <w:tcW w:w="1045" w:type="dxa"/>
          </w:tcPr>
          <w:p w:rsidR="00000000" w:rsidRDefault="00000000">
            <w:pPr>
              <w:pStyle w:val="a2"/>
              <w:tabs>
                <w:tab w:val="decimal" w:pos="640"/>
              </w:tabs>
              <w:spacing w:line="240" w:lineRule="auto"/>
              <w:rPr>
                <w:rFonts w:hint="eastAsia"/>
                <w:snapToGrid/>
              </w:rPr>
            </w:pPr>
            <w:r>
              <w:rPr>
                <w:rFonts w:hint="eastAsia"/>
                <w:snapToGrid/>
              </w:rPr>
              <w:t>106,7</w:t>
            </w:r>
          </w:p>
        </w:tc>
        <w:tc>
          <w:tcPr>
            <w:tcW w:w="1045" w:type="dxa"/>
          </w:tcPr>
          <w:p w:rsidR="00000000" w:rsidRDefault="00000000">
            <w:pPr>
              <w:pStyle w:val="a2"/>
              <w:tabs>
                <w:tab w:val="decimal" w:pos="640"/>
              </w:tabs>
              <w:spacing w:line="240" w:lineRule="auto"/>
              <w:rPr>
                <w:rFonts w:hint="eastAsia"/>
                <w:snapToGrid/>
              </w:rPr>
            </w:pPr>
            <w:r>
              <w:rPr>
                <w:rFonts w:hint="eastAsia"/>
                <w:snapToGrid/>
              </w:rPr>
              <w:t>9,7</w:t>
            </w:r>
          </w:p>
        </w:tc>
        <w:tc>
          <w:tcPr>
            <w:tcW w:w="1046" w:type="dxa"/>
          </w:tcPr>
          <w:p w:rsidR="00000000" w:rsidRDefault="00000000">
            <w:pPr>
              <w:pStyle w:val="a2"/>
              <w:tabs>
                <w:tab w:val="decimal" w:pos="640"/>
              </w:tabs>
              <w:spacing w:line="240" w:lineRule="auto"/>
              <w:rPr>
                <w:rFonts w:hint="eastAsia"/>
                <w:snapToGrid/>
              </w:rPr>
            </w:pPr>
            <w:r>
              <w:rPr>
                <w:rFonts w:hint="eastAsia"/>
                <w:snapToGrid/>
              </w:rPr>
              <w:t>24,3</w:t>
            </w:r>
          </w:p>
        </w:tc>
        <w:tc>
          <w:tcPr>
            <w:tcW w:w="1046" w:type="dxa"/>
          </w:tcPr>
          <w:p w:rsidR="00000000" w:rsidRDefault="00000000">
            <w:pPr>
              <w:pStyle w:val="a2"/>
              <w:tabs>
                <w:tab w:val="decimal" w:pos="640"/>
              </w:tabs>
              <w:spacing w:line="240" w:lineRule="auto"/>
              <w:rPr>
                <w:rFonts w:hint="eastAsia"/>
                <w:snapToGrid/>
              </w:rPr>
            </w:pPr>
            <w:r>
              <w:rPr>
                <w:rFonts w:hint="eastAsia"/>
                <w:snapToGrid/>
              </w:rPr>
              <w:t>36,4</w:t>
            </w:r>
          </w:p>
        </w:tc>
        <w:tc>
          <w:tcPr>
            <w:tcW w:w="1046" w:type="dxa"/>
          </w:tcPr>
          <w:p w:rsidR="00000000" w:rsidRDefault="00000000">
            <w:pPr>
              <w:pStyle w:val="a2"/>
              <w:tabs>
                <w:tab w:val="decimal" w:pos="640"/>
              </w:tabs>
              <w:spacing w:line="240" w:lineRule="auto"/>
              <w:rPr>
                <w:rFonts w:hint="eastAsia"/>
                <w:snapToGrid/>
              </w:rPr>
            </w:pPr>
            <w:r>
              <w:rPr>
                <w:rFonts w:hint="eastAsia"/>
                <w:snapToGrid/>
              </w:rPr>
              <w:t>26,0</w:t>
            </w:r>
          </w:p>
        </w:tc>
        <w:tc>
          <w:tcPr>
            <w:tcW w:w="1046" w:type="dxa"/>
          </w:tcPr>
          <w:p w:rsidR="00000000" w:rsidRDefault="00000000">
            <w:pPr>
              <w:pStyle w:val="a2"/>
              <w:tabs>
                <w:tab w:val="decimal" w:pos="640"/>
              </w:tabs>
              <w:spacing w:line="240" w:lineRule="auto"/>
              <w:rPr>
                <w:rFonts w:hint="eastAsia"/>
                <w:snapToGrid/>
              </w:rPr>
            </w:pPr>
            <w:r>
              <w:rPr>
                <w:rFonts w:hint="eastAsia"/>
                <w:snapToGrid/>
              </w:rPr>
              <w:t>7,4</w:t>
            </w:r>
          </w:p>
        </w:tc>
        <w:tc>
          <w:tcPr>
            <w:tcW w:w="1046" w:type="dxa"/>
          </w:tcPr>
          <w:p w:rsidR="00000000" w:rsidRDefault="00000000">
            <w:pPr>
              <w:pStyle w:val="a2"/>
              <w:tabs>
                <w:tab w:val="decimal" w:pos="640"/>
              </w:tabs>
              <w:spacing w:line="240" w:lineRule="auto"/>
              <w:rPr>
                <w:rFonts w:hint="eastAsia"/>
                <w:snapToGrid/>
              </w:rPr>
            </w:pPr>
            <w:r>
              <w:rPr>
                <w:rFonts w:hint="eastAsia"/>
                <w:snapToGrid/>
              </w:rPr>
              <w:t>2,8</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女</w:t>
            </w:r>
          </w:p>
        </w:tc>
        <w:tc>
          <w:tcPr>
            <w:tcW w:w="1045" w:type="dxa"/>
          </w:tcPr>
          <w:p w:rsidR="00000000" w:rsidRDefault="00000000">
            <w:pPr>
              <w:pStyle w:val="a2"/>
              <w:tabs>
                <w:tab w:val="decimal" w:pos="640"/>
              </w:tabs>
              <w:spacing w:line="240" w:lineRule="auto"/>
              <w:rPr>
                <w:rFonts w:hint="eastAsia"/>
                <w:snapToGrid/>
              </w:rPr>
            </w:pPr>
            <w:r>
              <w:rPr>
                <w:rFonts w:hint="eastAsia"/>
                <w:snapToGrid/>
              </w:rPr>
              <w:t>96,1</w:t>
            </w:r>
          </w:p>
        </w:tc>
        <w:tc>
          <w:tcPr>
            <w:tcW w:w="1045" w:type="dxa"/>
          </w:tcPr>
          <w:p w:rsidR="00000000" w:rsidRDefault="00000000">
            <w:pPr>
              <w:pStyle w:val="a2"/>
              <w:tabs>
                <w:tab w:val="decimal" w:pos="640"/>
              </w:tabs>
              <w:spacing w:line="240" w:lineRule="auto"/>
              <w:rPr>
                <w:rFonts w:hint="eastAsia"/>
                <w:snapToGrid/>
              </w:rPr>
            </w:pPr>
            <w:r>
              <w:rPr>
                <w:rFonts w:hint="eastAsia"/>
                <w:snapToGrid/>
              </w:rPr>
              <w:t>14,5</w:t>
            </w:r>
          </w:p>
        </w:tc>
        <w:tc>
          <w:tcPr>
            <w:tcW w:w="1046" w:type="dxa"/>
          </w:tcPr>
          <w:p w:rsidR="00000000" w:rsidRDefault="00000000">
            <w:pPr>
              <w:pStyle w:val="a2"/>
              <w:tabs>
                <w:tab w:val="decimal" w:pos="640"/>
              </w:tabs>
              <w:spacing w:line="240" w:lineRule="auto"/>
              <w:rPr>
                <w:rFonts w:hint="eastAsia"/>
                <w:snapToGrid/>
              </w:rPr>
            </w:pPr>
            <w:r>
              <w:rPr>
                <w:rFonts w:hint="eastAsia"/>
                <w:snapToGrid/>
              </w:rPr>
              <w:t>29,3</w:t>
            </w:r>
          </w:p>
        </w:tc>
        <w:tc>
          <w:tcPr>
            <w:tcW w:w="1046" w:type="dxa"/>
          </w:tcPr>
          <w:p w:rsidR="00000000" w:rsidRDefault="00000000">
            <w:pPr>
              <w:pStyle w:val="a2"/>
              <w:tabs>
                <w:tab w:val="decimal" w:pos="640"/>
              </w:tabs>
              <w:spacing w:line="240" w:lineRule="auto"/>
              <w:rPr>
                <w:rFonts w:hint="eastAsia"/>
                <w:snapToGrid/>
              </w:rPr>
            </w:pPr>
            <w:r>
              <w:rPr>
                <w:rFonts w:hint="eastAsia"/>
                <w:snapToGrid/>
              </w:rPr>
              <w:t>30,7</w:t>
            </w:r>
          </w:p>
        </w:tc>
        <w:tc>
          <w:tcPr>
            <w:tcW w:w="1046" w:type="dxa"/>
          </w:tcPr>
          <w:p w:rsidR="00000000" w:rsidRDefault="00000000">
            <w:pPr>
              <w:pStyle w:val="a2"/>
              <w:tabs>
                <w:tab w:val="decimal" w:pos="640"/>
              </w:tabs>
              <w:spacing w:line="240" w:lineRule="auto"/>
              <w:rPr>
                <w:rFonts w:hint="eastAsia"/>
                <w:snapToGrid/>
              </w:rPr>
            </w:pPr>
            <w:r>
              <w:rPr>
                <w:rFonts w:hint="eastAsia"/>
                <w:snapToGrid/>
              </w:rPr>
              <w:t>17,5</w:t>
            </w:r>
          </w:p>
        </w:tc>
        <w:tc>
          <w:tcPr>
            <w:tcW w:w="1046" w:type="dxa"/>
          </w:tcPr>
          <w:p w:rsidR="00000000" w:rsidRDefault="00000000">
            <w:pPr>
              <w:pStyle w:val="a2"/>
              <w:tabs>
                <w:tab w:val="decimal" w:pos="640"/>
              </w:tabs>
              <w:spacing w:line="240" w:lineRule="auto"/>
              <w:rPr>
                <w:rFonts w:hint="eastAsia"/>
                <w:snapToGrid/>
              </w:rPr>
            </w:pPr>
            <w:r>
              <w:rPr>
                <w:rFonts w:hint="eastAsia"/>
                <w:snapToGrid/>
              </w:rPr>
              <w:t>3,2</w:t>
            </w:r>
          </w:p>
        </w:tc>
        <w:tc>
          <w:tcPr>
            <w:tcW w:w="1046" w:type="dxa"/>
          </w:tcPr>
          <w:p w:rsidR="00000000" w:rsidRDefault="00000000">
            <w:pPr>
              <w:pStyle w:val="a2"/>
              <w:tabs>
                <w:tab w:val="decimal" w:pos="640"/>
              </w:tabs>
              <w:spacing w:line="240" w:lineRule="auto"/>
              <w:rPr>
                <w:rFonts w:hint="eastAsia"/>
                <w:snapToGrid/>
              </w:rPr>
            </w:pPr>
            <w:r>
              <w:rPr>
                <w:rFonts w:hint="eastAsia"/>
                <w:snapToGrid/>
              </w:rPr>
              <w:t>0,9</w:t>
            </w:r>
          </w:p>
        </w:tc>
      </w:tr>
      <w:tr w:rsidR="00000000">
        <w:tblPrEx>
          <w:tblCellMar>
            <w:top w:w="0" w:type="dxa"/>
            <w:bottom w:w="0" w:type="dxa"/>
          </w:tblCellMar>
        </w:tblPrEx>
        <w:trPr>
          <w:cantSplit/>
        </w:trPr>
        <w:tc>
          <w:tcPr>
            <w:tcW w:w="1045" w:type="dxa"/>
            <w:vMerge w:val="restart"/>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b/>
              </w:rPr>
              <w:br/>
            </w:r>
            <w:r>
              <w:rPr>
                <w:rFonts w:ascii="Time New Roman" w:eastAsia="SimHei" w:hAnsi="Time New Roman" w:hint="eastAsia"/>
                <w:b/>
              </w:rPr>
              <w:t>2002</w:t>
            </w: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男女</w:t>
            </w:r>
          </w:p>
        </w:tc>
        <w:tc>
          <w:tcPr>
            <w:tcW w:w="1045" w:type="dxa"/>
          </w:tcPr>
          <w:p w:rsidR="00000000" w:rsidRDefault="00000000">
            <w:pPr>
              <w:pStyle w:val="a2"/>
              <w:tabs>
                <w:tab w:val="decimal" w:pos="640"/>
              </w:tabs>
              <w:spacing w:line="240" w:lineRule="auto"/>
              <w:rPr>
                <w:rFonts w:hint="eastAsia"/>
                <w:snapToGrid/>
              </w:rPr>
            </w:pPr>
            <w:r>
              <w:rPr>
                <w:rFonts w:hint="eastAsia"/>
                <w:snapToGrid/>
              </w:rPr>
              <w:t>200,6</w:t>
            </w:r>
          </w:p>
        </w:tc>
        <w:tc>
          <w:tcPr>
            <w:tcW w:w="1045" w:type="dxa"/>
          </w:tcPr>
          <w:p w:rsidR="00000000" w:rsidRDefault="00000000">
            <w:pPr>
              <w:pStyle w:val="a2"/>
              <w:tabs>
                <w:tab w:val="decimal" w:pos="640"/>
              </w:tabs>
              <w:spacing w:line="240" w:lineRule="auto"/>
              <w:rPr>
                <w:rFonts w:hint="eastAsia"/>
                <w:snapToGrid/>
              </w:rPr>
            </w:pPr>
            <w:r>
              <w:rPr>
                <w:rFonts w:hint="eastAsia"/>
                <w:snapToGrid/>
              </w:rPr>
              <w:t>21,7</w:t>
            </w:r>
          </w:p>
        </w:tc>
        <w:tc>
          <w:tcPr>
            <w:tcW w:w="1046" w:type="dxa"/>
          </w:tcPr>
          <w:p w:rsidR="00000000" w:rsidRDefault="00000000">
            <w:pPr>
              <w:pStyle w:val="a2"/>
              <w:tabs>
                <w:tab w:val="decimal" w:pos="640"/>
              </w:tabs>
              <w:spacing w:line="240" w:lineRule="auto"/>
              <w:rPr>
                <w:rFonts w:hint="eastAsia"/>
                <w:snapToGrid/>
              </w:rPr>
            </w:pPr>
            <w:r>
              <w:rPr>
                <w:rFonts w:hint="eastAsia"/>
                <w:snapToGrid/>
              </w:rPr>
              <w:t>51,2</w:t>
            </w:r>
          </w:p>
        </w:tc>
        <w:tc>
          <w:tcPr>
            <w:tcW w:w="1046" w:type="dxa"/>
          </w:tcPr>
          <w:p w:rsidR="00000000" w:rsidRDefault="00000000">
            <w:pPr>
              <w:pStyle w:val="a2"/>
              <w:tabs>
                <w:tab w:val="decimal" w:pos="640"/>
              </w:tabs>
              <w:spacing w:line="240" w:lineRule="auto"/>
              <w:rPr>
                <w:rFonts w:hint="eastAsia"/>
                <w:snapToGrid/>
              </w:rPr>
            </w:pPr>
            <w:r>
              <w:rPr>
                <w:rFonts w:hint="eastAsia"/>
                <w:snapToGrid/>
              </w:rPr>
              <w:t>65,7</w:t>
            </w:r>
          </w:p>
        </w:tc>
        <w:tc>
          <w:tcPr>
            <w:tcW w:w="1046" w:type="dxa"/>
          </w:tcPr>
          <w:p w:rsidR="00000000" w:rsidRDefault="00000000">
            <w:pPr>
              <w:pStyle w:val="a2"/>
              <w:tabs>
                <w:tab w:val="decimal" w:pos="640"/>
              </w:tabs>
              <w:spacing w:line="240" w:lineRule="auto"/>
              <w:rPr>
                <w:rFonts w:hint="eastAsia"/>
                <w:snapToGrid/>
              </w:rPr>
            </w:pPr>
            <w:r>
              <w:rPr>
                <w:rFonts w:hint="eastAsia"/>
                <w:snapToGrid/>
              </w:rPr>
              <w:t>46,4</w:t>
            </w:r>
          </w:p>
        </w:tc>
        <w:tc>
          <w:tcPr>
            <w:tcW w:w="1046" w:type="dxa"/>
          </w:tcPr>
          <w:p w:rsidR="00000000" w:rsidRDefault="00000000">
            <w:pPr>
              <w:pStyle w:val="a2"/>
              <w:tabs>
                <w:tab w:val="decimal" w:pos="640"/>
              </w:tabs>
              <w:spacing w:line="240" w:lineRule="auto"/>
              <w:rPr>
                <w:rFonts w:hint="eastAsia"/>
                <w:snapToGrid/>
              </w:rPr>
            </w:pPr>
            <w:r>
              <w:rPr>
                <w:rFonts w:hint="eastAsia"/>
                <w:snapToGrid/>
              </w:rPr>
              <w:t>12,4</w:t>
            </w:r>
          </w:p>
        </w:tc>
        <w:tc>
          <w:tcPr>
            <w:tcW w:w="1046" w:type="dxa"/>
          </w:tcPr>
          <w:p w:rsidR="00000000" w:rsidRDefault="00000000">
            <w:pPr>
              <w:pStyle w:val="a2"/>
              <w:tabs>
                <w:tab w:val="decimal" w:pos="640"/>
              </w:tabs>
              <w:spacing w:line="240" w:lineRule="auto"/>
              <w:rPr>
                <w:rFonts w:hint="eastAsia"/>
                <w:snapToGrid/>
              </w:rPr>
            </w:pPr>
            <w:r>
              <w:rPr>
                <w:rFonts w:hint="eastAsia"/>
                <w:snapToGrid/>
              </w:rPr>
              <w:t>3,2</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男</w:t>
            </w:r>
          </w:p>
        </w:tc>
        <w:tc>
          <w:tcPr>
            <w:tcW w:w="1045" w:type="dxa"/>
          </w:tcPr>
          <w:p w:rsidR="00000000" w:rsidRDefault="00000000">
            <w:pPr>
              <w:pStyle w:val="a2"/>
              <w:tabs>
                <w:tab w:val="decimal" w:pos="640"/>
              </w:tabs>
              <w:spacing w:line="240" w:lineRule="auto"/>
              <w:rPr>
                <w:rFonts w:hint="eastAsia"/>
                <w:snapToGrid/>
              </w:rPr>
            </w:pPr>
            <w:r>
              <w:rPr>
                <w:rFonts w:hint="eastAsia"/>
                <w:snapToGrid/>
              </w:rPr>
              <w:t>104,1</w:t>
            </w:r>
          </w:p>
        </w:tc>
        <w:tc>
          <w:tcPr>
            <w:tcW w:w="1045" w:type="dxa"/>
          </w:tcPr>
          <w:p w:rsidR="00000000" w:rsidRDefault="00000000">
            <w:pPr>
              <w:pStyle w:val="a2"/>
              <w:tabs>
                <w:tab w:val="decimal" w:pos="640"/>
              </w:tabs>
              <w:spacing w:line="240" w:lineRule="auto"/>
              <w:rPr>
                <w:rFonts w:hint="eastAsia"/>
                <w:snapToGrid/>
              </w:rPr>
            </w:pPr>
            <w:r>
              <w:rPr>
                <w:rFonts w:hint="eastAsia"/>
                <w:snapToGrid/>
              </w:rPr>
              <w:t>8,8</w:t>
            </w:r>
          </w:p>
        </w:tc>
        <w:tc>
          <w:tcPr>
            <w:tcW w:w="1046" w:type="dxa"/>
          </w:tcPr>
          <w:p w:rsidR="00000000" w:rsidRDefault="00000000">
            <w:pPr>
              <w:pStyle w:val="a2"/>
              <w:tabs>
                <w:tab w:val="decimal" w:pos="640"/>
              </w:tabs>
              <w:spacing w:line="240" w:lineRule="auto"/>
              <w:rPr>
                <w:rFonts w:hint="eastAsia"/>
                <w:snapToGrid/>
              </w:rPr>
            </w:pPr>
            <w:r>
              <w:rPr>
                <w:rFonts w:hint="eastAsia"/>
                <w:snapToGrid/>
              </w:rPr>
              <w:t>23,2</w:t>
            </w:r>
          </w:p>
        </w:tc>
        <w:tc>
          <w:tcPr>
            <w:tcW w:w="1046" w:type="dxa"/>
          </w:tcPr>
          <w:p w:rsidR="00000000" w:rsidRDefault="00000000">
            <w:pPr>
              <w:pStyle w:val="a2"/>
              <w:tabs>
                <w:tab w:val="decimal" w:pos="640"/>
              </w:tabs>
              <w:spacing w:line="240" w:lineRule="auto"/>
              <w:rPr>
                <w:rFonts w:hint="eastAsia"/>
                <w:snapToGrid/>
              </w:rPr>
            </w:pPr>
            <w:r>
              <w:rPr>
                <w:rFonts w:hint="eastAsia"/>
                <w:snapToGrid/>
              </w:rPr>
              <w:t>34,3</w:t>
            </w:r>
          </w:p>
        </w:tc>
        <w:tc>
          <w:tcPr>
            <w:tcW w:w="1046" w:type="dxa"/>
          </w:tcPr>
          <w:p w:rsidR="00000000" w:rsidRDefault="00000000">
            <w:pPr>
              <w:pStyle w:val="a2"/>
              <w:tabs>
                <w:tab w:val="decimal" w:pos="640"/>
              </w:tabs>
              <w:spacing w:line="240" w:lineRule="auto"/>
              <w:rPr>
                <w:rFonts w:hint="eastAsia"/>
                <w:snapToGrid/>
              </w:rPr>
            </w:pPr>
            <w:r>
              <w:rPr>
                <w:rFonts w:hint="eastAsia"/>
                <w:snapToGrid/>
              </w:rPr>
              <w:t>27,1</w:t>
            </w:r>
          </w:p>
        </w:tc>
        <w:tc>
          <w:tcPr>
            <w:tcW w:w="1046" w:type="dxa"/>
          </w:tcPr>
          <w:p w:rsidR="00000000" w:rsidRDefault="00000000">
            <w:pPr>
              <w:pStyle w:val="a2"/>
              <w:tabs>
                <w:tab w:val="decimal" w:pos="640"/>
              </w:tabs>
              <w:spacing w:line="240" w:lineRule="auto"/>
              <w:rPr>
                <w:rFonts w:hint="eastAsia"/>
                <w:snapToGrid/>
              </w:rPr>
            </w:pPr>
            <w:r>
              <w:rPr>
                <w:rFonts w:hint="eastAsia"/>
                <w:snapToGrid/>
              </w:rPr>
              <w:t>8,4</w:t>
            </w:r>
          </w:p>
        </w:tc>
        <w:tc>
          <w:tcPr>
            <w:tcW w:w="1046" w:type="dxa"/>
          </w:tcPr>
          <w:p w:rsidR="00000000" w:rsidRDefault="00000000">
            <w:pPr>
              <w:pStyle w:val="a2"/>
              <w:tabs>
                <w:tab w:val="decimal" w:pos="640"/>
              </w:tabs>
              <w:spacing w:line="240" w:lineRule="auto"/>
              <w:rPr>
                <w:rFonts w:hint="eastAsia"/>
                <w:snapToGrid/>
              </w:rPr>
            </w:pPr>
            <w:r>
              <w:rPr>
                <w:rFonts w:hint="eastAsia"/>
                <w:snapToGrid/>
              </w:rPr>
              <w:t>2,3</w:t>
            </w:r>
          </w:p>
        </w:tc>
      </w:tr>
      <w:tr w:rsidR="00000000">
        <w:tblPrEx>
          <w:tblCellMar>
            <w:top w:w="0" w:type="dxa"/>
            <w:bottom w:w="0" w:type="dxa"/>
          </w:tblCellMar>
        </w:tblPrEx>
        <w:trPr>
          <w:cantSplit/>
        </w:trPr>
        <w:tc>
          <w:tcPr>
            <w:tcW w:w="1045" w:type="dxa"/>
            <w:vMerge/>
          </w:tcPr>
          <w:p w:rsidR="00000000" w:rsidRDefault="00000000">
            <w:pPr>
              <w:pStyle w:val="a2"/>
              <w:spacing w:line="240" w:lineRule="auto"/>
              <w:jc w:val="center"/>
              <w:rPr>
                <w:rFonts w:ascii="Time New Roman" w:eastAsia="SimHei" w:hAnsi="Time New Roman" w:hint="eastAsia"/>
              </w:rPr>
            </w:pPr>
          </w:p>
        </w:tc>
        <w:tc>
          <w:tcPr>
            <w:tcW w:w="1045" w:type="dxa"/>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女</w:t>
            </w:r>
          </w:p>
        </w:tc>
        <w:tc>
          <w:tcPr>
            <w:tcW w:w="1045" w:type="dxa"/>
          </w:tcPr>
          <w:p w:rsidR="00000000" w:rsidRDefault="00000000">
            <w:pPr>
              <w:pStyle w:val="a2"/>
              <w:tabs>
                <w:tab w:val="decimal" w:pos="640"/>
              </w:tabs>
              <w:spacing w:line="240" w:lineRule="auto"/>
              <w:rPr>
                <w:rFonts w:hint="eastAsia"/>
                <w:snapToGrid/>
              </w:rPr>
            </w:pPr>
            <w:r>
              <w:rPr>
                <w:rFonts w:hint="eastAsia"/>
                <w:snapToGrid/>
              </w:rPr>
              <w:t>96,5</w:t>
            </w:r>
          </w:p>
        </w:tc>
        <w:tc>
          <w:tcPr>
            <w:tcW w:w="1045" w:type="dxa"/>
          </w:tcPr>
          <w:p w:rsidR="00000000" w:rsidRDefault="00000000">
            <w:pPr>
              <w:pStyle w:val="a2"/>
              <w:tabs>
                <w:tab w:val="decimal" w:pos="640"/>
              </w:tabs>
              <w:spacing w:line="240" w:lineRule="auto"/>
              <w:rPr>
                <w:rFonts w:hint="eastAsia"/>
                <w:snapToGrid/>
              </w:rPr>
            </w:pPr>
            <w:r>
              <w:rPr>
                <w:rFonts w:hint="eastAsia"/>
                <w:snapToGrid/>
              </w:rPr>
              <w:t>12,9</w:t>
            </w:r>
          </w:p>
        </w:tc>
        <w:tc>
          <w:tcPr>
            <w:tcW w:w="1046" w:type="dxa"/>
          </w:tcPr>
          <w:p w:rsidR="00000000" w:rsidRDefault="00000000">
            <w:pPr>
              <w:pStyle w:val="a2"/>
              <w:tabs>
                <w:tab w:val="decimal" w:pos="640"/>
              </w:tabs>
              <w:spacing w:line="240" w:lineRule="auto"/>
              <w:rPr>
                <w:rFonts w:hint="eastAsia"/>
                <w:snapToGrid/>
              </w:rPr>
            </w:pPr>
            <w:r>
              <w:rPr>
                <w:rFonts w:hint="eastAsia"/>
                <w:snapToGrid/>
              </w:rPr>
              <w:t>28,1</w:t>
            </w:r>
          </w:p>
        </w:tc>
        <w:tc>
          <w:tcPr>
            <w:tcW w:w="1046" w:type="dxa"/>
          </w:tcPr>
          <w:p w:rsidR="00000000" w:rsidRDefault="00000000">
            <w:pPr>
              <w:pStyle w:val="a2"/>
              <w:tabs>
                <w:tab w:val="decimal" w:pos="640"/>
              </w:tabs>
              <w:spacing w:line="240" w:lineRule="auto"/>
              <w:rPr>
                <w:rFonts w:hint="eastAsia"/>
                <w:snapToGrid/>
              </w:rPr>
            </w:pPr>
            <w:r>
              <w:rPr>
                <w:rFonts w:hint="eastAsia"/>
                <w:snapToGrid/>
              </w:rPr>
              <w:t>31,5</w:t>
            </w:r>
          </w:p>
        </w:tc>
        <w:tc>
          <w:tcPr>
            <w:tcW w:w="1046" w:type="dxa"/>
          </w:tcPr>
          <w:p w:rsidR="00000000" w:rsidRDefault="00000000">
            <w:pPr>
              <w:pStyle w:val="a2"/>
              <w:tabs>
                <w:tab w:val="decimal" w:pos="640"/>
              </w:tabs>
              <w:spacing w:line="240" w:lineRule="auto"/>
              <w:rPr>
                <w:rFonts w:hint="eastAsia"/>
                <w:snapToGrid/>
              </w:rPr>
            </w:pPr>
            <w:r>
              <w:rPr>
                <w:rFonts w:hint="eastAsia"/>
                <w:snapToGrid/>
              </w:rPr>
              <w:t>19,3</w:t>
            </w:r>
          </w:p>
        </w:tc>
        <w:tc>
          <w:tcPr>
            <w:tcW w:w="1046" w:type="dxa"/>
          </w:tcPr>
          <w:p w:rsidR="00000000" w:rsidRDefault="00000000">
            <w:pPr>
              <w:pStyle w:val="a2"/>
              <w:tabs>
                <w:tab w:val="decimal" w:pos="640"/>
              </w:tabs>
              <w:spacing w:line="240" w:lineRule="auto"/>
              <w:rPr>
                <w:rFonts w:hint="eastAsia"/>
                <w:snapToGrid/>
              </w:rPr>
            </w:pPr>
            <w:r>
              <w:rPr>
                <w:rFonts w:hint="eastAsia"/>
                <w:snapToGrid/>
              </w:rPr>
              <w:t>4,0</w:t>
            </w:r>
          </w:p>
        </w:tc>
        <w:tc>
          <w:tcPr>
            <w:tcW w:w="1046" w:type="dxa"/>
          </w:tcPr>
          <w:p w:rsidR="00000000" w:rsidRDefault="00000000">
            <w:pPr>
              <w:pStyle w:val="a2"/>
              <w:tabs>
                <w:tab w:val="decimal" w:pos="640"/>
              </w:tabs>
              <w:spacing w:line="240" w:lineRule="auto"/>
              <w:rPr>
                <w:rFonts w:hint="eastAsia"/>
                <w:snapToGrid/>
              </w:rPr>
            </w:pPr>
            <w:r>
              <w:rPr>
                <w:rFonts w:hint="eastAsia"/>
                <w:snapToGrid/>
              </w:rPr>
              <w:t>0,9</w:t>
            </w:r>
          </w:p>
        </w:tc>
      </w:tr>
    </w:tbl>
    <w:p w:rsidR="00000000" w:rsidRDefault="00000000">
      <w:pPr>
        <w:spacing w:before="120" w:line="240" w:lineRule="auto"/>
        <w:ind w:left="510"/>
        <w:rPr>
          <w:rFonts w:eastAsia="KaiTi_GB2312" w:hint="eastAsia"/>
        </w:rPr>
      </w:pPr>
      <w:r>
        <w:rPr>
          <w:rFonts w:eastAsia="KaiTi_GB2312" w:hint="eastAsia"/>
          <w:u w:val="single"/>
        </w:rPr>
        <w:t>资料来源</w:t>
      </w:r>
      <w:r>
        <w:rPr>
          <w:rFonts w:eastAsia="KaiTi_GB2312" w:hint="eastAsia"/>
        </w:rPr>
        <w:t>：统计暨普查局，就业调查。</w:t>
      </w:r>
    </w:p>
    <w:p w:rsidR="00000000" w:rsidRDefault="00000000">
      <w:pPr>
        <w:pStyle w:val="a3"/>
        <w:rPr>
          <w:rFonts w:hint="eastAsia"/>
        </w:rPr>
      </w:pPr>
      <w:r>
        <w:br w:type="page"/>
      </w:r>
      <w:r>
        <w:rPr>
          <w:rFonts w:hint="eastAsia"/>
        </w:rPr>
        <w:t>按性别和年龄统计的失业人口</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5"/>
        <w:gridCol w:w="1045"/>
        <w:gridCol w:w="1045"/>
        <w:gridCol w:w="1045"/>
        <w:gridCol w:w="1046"/>
        <w:gridCol w:w="1046"/>
        <w:gridCol w:w="1046"/>
        <w:gridCol w:w="1046"/>
        <w:gridCol w:w="1046"/>
      </w:tblGrid>
      <w:tr w:rsidR="00000000">
        <w:tblPrEx>
          <w:tblCellMar>
            <w:top w:w="0" w:type="dxa"/>
            <w:bottom w:w="0" w:type="dxa"/>
          </w:tblCellMar>
        </w:tblPrEx>
        <w:trPr>
          <w:cantSplit/>
        </w:trPr>
        <w:tc>
          <w:tcPr>
            <w:tcW w:w="1045" w:type="dxa"/>
            <w:vMerge w:val="restart"/>
          </w:tcPr>
          <w:p w:rsidR="00000000" w:rsidRDefault="00000000">
            <w:pPr>
              <w:pStyle w:val="a2"/>
              <w:jc w:val="center"/>
              <w:rPr>
                <w:rFonts w:ascii="Time New Roman" w:eastAsia="SimHei" w:hAnsi="Time New Roman" w:hint="eastAsia"/>
              </w:rPr>
            </w:pPr>
            <w:r>
              <w:rPr>
                <w:rFonts w:ascii="Time New Roman" w:eastAsia="SimHei" w:hAnsi="Time New Roman"/>
              </w:rPr>
              <w:br/>
            </w: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1045" w:type="dxa"/>
            <w:vMerge w:val="restart"/>
          </w:tcPr>
          <w:p w:rsidR="00000000" w:rsidRDefault="00000000">
            <w:pPr>
              <w:pStyle w:val="a2"/>
              <w:jc w:val="center"/>
              <w:rPr>
                <w:rFonts w:ascii="Time New Roman" w:eastAsia="SimHei" w:hAnsi="Time New Roman" w:hint="eastAsia"/>
              </w:rPr>
            </w:pPr>
            <w:r>
              <w:rPr>
                <w:rFonts w:ascii="Time New Roman" w:eastAsia="SimHei" w:hAnsi="Time New Roman"/>
              </w:rPr>
              <w:br/>
            </w:r>
            <w:r>
              <w:rPr>
                <w:rFonts w:ascii="Time New Roman" w:eastAsia="SimHei" w:hAnsi="Time New Roman" w:hint="eastAsia"/>
              </w:rPr>
              <w:t>性</w:t>
            </w:r>
            <w:r>
              <w:rPr>
                <w:rFonts w:ascii="Time New Roman" w:eastAsia="SimHei" w:hAnsi="Time New Roman" w:hint="eastAsia"/>
              </w:rPr>
              <w:t xml:space="preserve"> </w:t>
            </w:r>
            <w:r>
              <w:rPr>
                <w:rFonts w:ascii="Time New Roman" w:eastAsia="SimHei" w:hAnsi="Time New Roman" w:hint="eastAsia"/>
              </w:rPr>
              <w:t>别</w:t>
            </w:r>
          </w:p>
        </w:tc>
        <w:tc>
          <w:tcPr>
            <w:tcW w:w="7320" w:type="dxa"/>
            <w:gridSpan w:val="7"/>
          </w:tcPr>
          <w:p w:rsidR="00000000" w:rsidRDefault="00000000">
            <w:pPr>
              <w:pStyle w:val="a2"/>
              <w:jc w:val="center"/>
              <w:rPr>
                <w:rFonts w:ascii="Time New Roman" w:eastAsia="SimHei" w:hAnsi="Time New Roman" w:hint="eastAsia"/>
              </w:rPr>
            </w:pPr>
            <w:r>
              <w:rPr>
                <w:rFonts w:ascii="Time New Roman" w:eastAsia="SimHei" w:hAnsi="Time New Roman" w:hint="eastAsia"/>
              </w:rPr>
              <w:t>失业人口</w:t>
            </w:r>
            <w:r>
              <w:rPr>
                <w:rFonts w:ascii="Time New Roman" w:eastAsia="SimHei" w:hAnsi="Time New Roman" w:hint="eastAsia"/>
              </w:rPr>
              <w:t xml:space="preserve">   (</w:t>
            </w:r>
            <w:r>
              <w:rPr>
                <w:rFonts w:ascii="Time New Roman" w:eastAsia="SimHei" w:hAnsi="Time New Roman" w:hint="eastAsia"/>
              </w:rPr>
              <w:t>’</w:t>
            </w:r>
            <w:r>
              <w:rPr>
                <w:rFonts w:ascii="Time New Roman" w:eastAsia="SimHei" w:hAnsi="Time New Roman" w:hint="eastAsia"/>
                <w:b/>
              </w:rPr>
              <w:t>000</w:t>
            </w:r>
            <w:r>
              <w:rPr>
                <w:rFonts w:ascii="Time New Roman" w:eastAsia="SimHei" w:hAnsi="Time New Roman" w:hint="eastAsia"/>
              </w:rPr>
              <w:t>)</w:t>
            </w:r>
          </w:p>
        </w:tc>
      </w:tr>
      <w:tr w:rsidR="00000000">
        <w:tblPrEx>
          <w:tblCellMar>
            <w:top w:w="0" w:type="dxa"/>
            <w:bottom w:w="0" w:type="dxa"/>
          </w:tblCellMar>
        </w:tblPrEx>
        <w:trPr>
          <w:cantSplit/>
        </w:trPr>
        <w:tc>
          <w:tcPr>
            <w:tcW w:w="1045" w:type="dxa"/>
            <w:vMerge/>
          </w:tcPr>
          <w:p w:rsidR="00000000" w:rsidRDefault="00000000">
            <w:pPr>
              <w:pStyle w:val="a2"/>
              <w:jc w:val="center"/>
              <w:rPr>
                <w:rFonts w:ascii="Time New Roman" w:eastAsia="SimHei" w:hAnsi="Time New Roman" w:hint="eastAsia"/>
              </w:rPr>
            </w:pPr>
          </w:p>
        </w:tc>
        <w:tc>
          <w:tcPr>
            <w:tcW w:w="1045" w:type="dxa"/>
            <w:vMerge/>
          </w:tcPr>
          <w:p w:rsidR="00000000" w:rsidRDefault="00000000">
            <w:pPr>
              <w:pStyle w:val="a2"/>
              <w:jc w:val="center"/>
              <w:rPr>
                <w:rFonts w:ascii="Time New Roman" w:eastAsia="SimHei" w:hAnsi="Time New Roman" w:hint="eastAsia"/>
              </w:rPr>
            </w:pPr>
          </w:p>
        </w:tc>
        <w:tc>
          <w:tcPr>
            <w:tcW w:w="7320" w:type="dxa"/>
            <w:gridSpan w:val="7"/>
          </w:tcPr>
          <w:p w:rsidR="00000000" w:rsidRDefault="00000000">
            <w:pPr>
              <w:pStyle w:val="a2"/>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龄</w:t>
            </w:r>
          </w:p>
        </w:tc>
      </w:tr>
      <w:tr w:rsidR="00000000">
        <w:tblPrEx>
          <w:tblCellMar>
            <w:top w:w="0" w:type="dxa"/>
            <w:bottom w:w="0" w:type="dxa"/>
          </w:tblCellMar>
        </w:tblPrEx>
        <w:trPr>
          <w:cantSplit/>
        </w:trPr>
        <w:tc>
          <w:tcPr>
            <w:tcW w:w="1045" w:type="dxa"/>
            <w:vMerge/>
          </w:tcPr>
          <w:p w:rsidR="00000000" w:rsidRDefault="00000000">
            <w:pPr>
              <w:pStyle w:val="a2"/>
              <w:jc w:val="center"/>
              <w:rPr>
                <w:rFonts w:ascii="Time New Roman" w:eastAsia="SimHei" w:hAnsi="Time New Roman" w:hint="eastAsia"/>
              </w:rPr>
            </w:pPr>
          </w:p>
        </w:tc>
        <w:tc>
          <w:tcPr>
            <w:tcW w:w="1045" w:type="dxa"/>
            <w:vMerge/>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总数</w:t>
            </w: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b/>
              </w:rPr>
              <w:t>14</w:t>
            </w:r>
            <w:r>
              <w:rPr>
                <w:rFonts w:ascii="Time New Roman" w:eastAsia="SimHei" w:hAnsi="Time New Roman" w:hint="eastAsia"/>
              </w:rPr>
              <w:t>-</w:t>
            </w:r>
            <w:r>
              <w:rPr>
                <w:rFonts w:ascii="Time New Roman" w:eastAsia="SimHei" w:hAnsi="Time New Roman" w:hint="eastAsia"/>
                <w:b/>
              </w:rPr>
              <w:t>24</w:t>
            </w:r>
          </w:p>
        </w:tc>
        <w:tc>
          <w:tcPr>
            <w:tcW w:w="1046" w:type="dxa"/>
          </w:tcPr>
          <w:p w:rsidR="00000000" w:rsidRDefault="00000000">
            <w:pPr>
              <w:pStyle w:val="a2"/>
              <w:jc w:val="center"/>
              <w:rPr>
                <w:rFonts w:ascii="Time New Roman" w:eastAsia="SimHei" w:hAnsi="Time New Roman" w:hint="eastAsia"/>
              </w:rPr>
            </w:pPr>
            <w:r>
              <w:rPr>
                <w:rFonts w:ascii="Time New Roman" w:eastAsia="SimHei" w:hAnsi="Time New Roman" w:hint="eastAsia"/>
                <w:b/>
              </w:rPr>
              <w:t>25</w:t>
            </w:r>
            <w:r>
              <w:rPr>
                <w:rFonts w:ascii="Time New Roman" w:eastAsia="SimHei" w:hAnsi="Time New Roman" w:hint="eastAsia"/>
              </w:rPr>
              <w:t>-</w:t>
            </w:r>
            <w:r>
              <w:rPr>
                <w:rFonts w:ascii="Time New Roman" w:eastAsia="SimHei" w:hAnsi="Time New Roman" w:hint="eastAsia"/>
                <w:b/>
              </w:rPr>
              <w:t>34</w:t>
            </w:r>
          </w:p>
        </w:tc>
        <w:tc>
          <w:tcPr>
            <w:tcW w:w="1046" w:type="dxa"/>
          </w:tcPr>
          <w:p w:rsidR="00000000" w:rsidRDefault="00000000">
            <w:pPr>
              <w:pStyle w:val="a2"/>
              <w:jc w:val="center"/>
              <w:rPr>
                <w:rFonts w:ascii="Time New Roman" w:eastAsia="SimHei" w:hAnsi="Time New Roman" w:hint="eastAsia"/>
              </w:rPr>
            </w:pPr>
            <w:r>
              <w:rPr>
                <w:rFonts w:ascii="Time New Roman" w:eastAsia="SimHei" w:hAnsi="Time New Roman" w:hint="eastAsia"/>
                <w:b/>
              </w:rPr>
              <w:t>35</w:t>
            </w:r>
            <w:r>
              <w:rPr>
                <w:rFonts w:ascii="Time New Roman" w:eastAsia="SimHei" w:hAnsi="Time New Roman" w:hint="eastAsia"/>
              </w:rPr>
              <w:t>-</w:t>
            </w:r>
            <w:r>
              <w:rPr>
                <w:rFonts w:ascii="Time New Roman" w:eastAsia="SimHei" w:hAnsi="Time New Roman" w:hint="eastAsia"/>
                <w:b/>
              </w:rPr>
              <w:t>44</w:t>
            </w:r>
          </w:p>
        </w:tc>
        <w:tc>
          <w:tcPr>
            <w:tcW w:w="1046" w:type="dxa"/>
          </w:tcPr>
          <w:p w:rsidR="00000000" w:rsidRDefault="00000000">
            <w:pPr>
              <w:pStyle w:val="a2"/>
              <w:jc w:val="center"/>
              <w:rPr>
                <w:rFonts w:ascii="Time New Roman" w:eastAsia="SimHei" w:hAnsi="Time New Roman" w:hint="eastAsia"/>
              </w:rPr>
            </w:pPr>
            <w:r>
              <w:rPr>
                <w:rFonts w:ascii="Time New Roman" w:eastAsia="SimHei" w:hAnsi="Time New Roman" w:hint="eastAsia"/>
                <w:b/>
              </w:rPr>
              <w:t>45</w:t>
            </w:r>
            <w:r>
              <w:rPr>
                <w:rFonts w:ascii="Time New Roman" w:eastAsia="SimHei" w:hAnsi="Time New Roman" w:hint="eastAsia"/>
              </w:rPr>
              <w:t>-</w:t>
            </w:r>
            <w:r>
              <w:rPr>
                <w:rFonts w:ascii="Time New Roman" w:eastAsia="SimHei" w:hAnsi="Time New Roman" w:hint="eastAsia"/>
                <w:b/>
              </w:rPr>
              <w:t>54</w:t>
            </w:r>
          </w:p>
        </w:tc>
        <w:tc>
          <w:tcPr>
            <w:tcW w:w="1046" w:type="dxa"/>
          </w:tcPr>
          <w:p w:rsidR="00000000" w:rsidRDefault="00000000">
            <w:pPr>
              <w:pStyle w:val="a2"/>
              <w:jc w:val="center"/>
              <w:rPr>
                <w:rFonts w:ascii="Time New Roman" w:eastAsia="SimHei" w:hAnsi="Time New Roman" w:hint="eastAsia"/>
              </w:rPr>
            </w:pPr>
            <w:r>
              <w:rPr>
                <w:rFonts w:ascii="Time New Roman" w:eastAsia="SimHei" w:hAnsi="Time New Roman" w:hint="eastAsia"/>
                <w:b/>
              </w:rPr>
              <w:t>55</w:t>
            </w:r>
            <w:r>
              <w:rPr>
                <w:rFonts w:ascii="Time New Roman" w:eastAsia="SimHei" w:hAnsi="Time New Roman" w:hint="eastAsia"/>
              </w:rPr>
              <w:t>-</w:t>
            </w:r>
            <w:r>
              <w:rPr>
                <w:rFonts w:ascii="Time New Roman" w:eastAsia="SimHei" w:hAnsi="Time New Roman" w:hint="eastAsia"/>
                <w:b/>
              </w:rPr>
              <w:t>64</w:t>
            </w:r>
          </w:p>
        </w:tc>
        <w:tc>
          <w:tcPr>
            <w:tcW w:w="1046" w:type="dxa"/>
          </w:tcPr>
          <w:p w:rsidR="00000000" w:rsidRDefault="00000000">
            <w:pPr>
              <w:pStyle w:val="a2"/>
              <w:jc w:val="center"/>
              <w:rPr>
                <w:rFonts w:ascii="Time New Roman" w:eastAsia="SimHei" w:hAnsi="Time New Roman" w:hint="eastAsia"/>
              </w:rPr>
            </w:pPr>
            <w:r>
              <w:rPr>
                <w:rFonts w:ascii="Time New Roman" w:eastAsia="SimHei" w:hAnsi="Time New Roman" w:hint="eastAsia"/>
                <w:b/>
              </w:rPr>
              <w:t>65</w:t>
            </w:r>
            <w:r>
              <w:rPr>
                <w:rFonts w:ascii="Time New Roman" w:eastAsia="SimHei" w:hAnsi="Time New Roman" w:hint="eastAsia"/>
              </w:rPr>
              <w:t>+</w:t>
            </w:r>
          </w:p>
        </w:tc>
      </w:tr>
      <w:tr w:rsidR="00000000">
        <w:tblPrEx>
          <w:tblCellMar>
            <w:top w:w="0" w:type="dxa"/>
            <w:bottom w:w="0" w:type="dxa"/>
          </w:tblCellMar>
        </w:tblPrEx>
        <w:trPr>
          <w:cantSplit/>
        </w:trPr>
        <w:tc>
          <w:tcPr>
            <w:tcW w:w="1045" w:type="dxa"/>
            <w:vMerge w:val="restart"/>
            <w:vAlign w:val="center"/>
          </w:tcPr>
          <w:p w:rsidR="00000000" w:rsidRDefault="00000000">
            <w:pPr>
              <w:pStyle w:val="a2"/>
              <w:jc w:val="center"/>
              <w:rPr>
                <w:rFonts w:ascii="Time New Roman" w:eastAsia="SimHei" w:hAnsi="Time New Roman" w:hint="eastAsia"/>
              </w:rPr>
            </w:pPr>
            <w:r>
              <w:rPr>
                <w:rFonts w:ascii="Time New Roman" w:eastAsia="SimHei" w:hAnsi="Time New Roman" w:hint="eastAsia"/>
                <w:b/>
              </w:rPr>
              <w:t>1999</w:t>
            </w: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男女</w:t>
            </w:r>
          </w:p>
        </w:tc>
        <w:tc>
          <w:tcPr>
            <w:tcW w:w="1045" w:type="dxa"/>
          </w:tcPr>
          <w:p w:rsidR="00000000" w:rsidRDefault="00000000">
            <w:pPr>
              <w:pStyle w:val="a2"/>
              <w:tabs>
                <w:tab w:val="decimal" w:pos="640"/>
              </w:tabs>
              <w:rPr>
                <w:rFonts w:hint="eastAsia"/>
                <w:snapToGrid/>
              </w:rPr>
            </w:pPr>
            <w:r>
              <w:rPr>
                <w:rFonts w:hint="eastAsia"/>
                <w:snapToGrid/>
              </w:rPr>
              <w:t>13,2</w:t>
            </w:r>
          </w:p>
        </w:tc>
        <w:tc>
          <w:tcPr>
            <w:tcW w:w="1045" w:type="dxa"/>
          </w:tcPr>
          <w:p w:rsidR="00000000" w:rsidRDefault="00000000">
            <w:pPr>
              <w:pStyle w:val="a2"/>
              <w:tabs>
                <w:tab w:val="decimal" w:pos="640"/>
              </w:tabs>
              <w:rPr>
                <w:rFonts w:hint="eastAsia"/>
                <w:snapToGrid/>
              </w:rPr>
            </w:pPr>
            <w:r>
              <w:rPr>
                <w:rFonts w:hint="eastAsia"/>
                <w:snapToGrid/>
              </w:rPr>
              <w:t>3,2</w:t>
            </w:r>
          </w:p>
        </w:tc>
        <w:tc>
          <w:tcPr>
            <w:tcW w:w="1046" w:type="dxa"/>
          </w:tcPr>
          <w:p w:rsidR="00000000" w:rsidRDefault="00000000">
            <w:pPr>
              <w:pStyle w:val="a2"/>
              <w:tabs>
                <w:tab w:val="decimal" w:pos="640"/>
              </w:tabs>
              <w:rPr>
                <w:rFonts w:hint="eastAsia"/>
                <w:snapToGrid/>
              </w:rPr>
            </w:pPr>
            <w:r>
              <w:rPr>
                <w:rFonts w:hint="eastAsia"/>
                <w:snapToGrid/>
              </w:rPr>
              <w:t>2,9</w:t>
            </w:r>
          </w:p>
        </w:tc>
        <w:tc>
          <w:tcPr>
            <w:tcW w:w="1046" w:type="dxa"/>
          </w:tcPr>
          <w:p w:rsidR="00000000" w:rsidRDefault="00000000">
            <w:pPr>
              <w:pStyle w:val="a2"/>
              <w:tabs>
                <w:tab w:val="decimal" w:pos="640"/>
              </w:tabs>
              <w:rPr>
                <w:rFonts w:hint="eastAsia"/>
                <w:snapToGrid/>
              </w:rPr>
            </w:pPr>
            <w:r>
              <w:rPr>
                <w:rFonts w:hint="eastAsia"/>
                <w:snapToGrid/>
              </w:rPr>
              <w:t>4,4</w:t>
            </w:r>
          </w:p>
        </w:tc>
        <w:tc>
          <w:tcPr>
            <w:tcW w:w="1046" w:type="dxa"/>
          </w:tcPr>
          <w:p w:rsidR="00000000" w:rsidRDefault="00000000">
            <w:pPr>
              <w:pStyle w:val="a2"/>
              <w:tabs>
                <w:tab w:val="decimal" w:pos="640"/>
              </w:tabs>
              <w:rPr>
                <w:rFonts w:hint="eastAsia"/>
                <w:snapToGrid/>
              </w:rPr>
            </w:pPr>
            <w:r>
              <w:rPr>
                <w:rFonts w:hint="eastAsia"/>
                <w:snapToGrid/>
              </w:rPr>
              <w:t>2,2</w:t>
            </w:r>
          </w:p>
        </w:tc>
        <w:tc>
          <w:tcPr>
            <w:tcW w:w="1046" w:type="dxa"/>
          </w:tcPr>
          <w:p w:rsidR="00000000" w:rsidRDefault="00000000">
            <w:pPr>
              <w:pStyle w:val="a2"/>
              <w:tabs>
                <w:tab w:val="decimal" w:pos="640"/>
              </w:tabs>
              <w:rPr>
                <w:rFonts w:hint="eastAsia"/>
                <w:snapToGrid/>
              </w:rPr>
            </w:pPr>
            <w:r>
              <w:rPr>
                <w:rFonts w:hint="eastAsia"/>
                <w:snapToGrid/>
              </w:rPr>
              <w:t>0,5</w:t>
            </w:r>
          </w:p>
        </w:tc>
        <w:tc>
          <w:tcPr>
            <w:tcW w:w="1046" w:type="dxa"/>
          </w:tcPr>
          <w:p w:rsidR="00000000" w:rsidRDefault="00000000">
            <w:pPr>
              <w:pStyle w:val="a2"/>
              <w:tabs>
                <w:tab w:val="decimal" w:pos="640"/>
              </w:tabs>
              <w:rPr>
                <w:rFonts w:hint="eastAsia"/>
                <w:snapToGrid/>
              </w:rPr>
            </w:pPr>
            <w:r>
              <w:rPr>
                <w:rFonts w:hint="eastAsia"/>
                <w:snapToGrid/>
              </w:rPr>
              <w:t>0,1</w:t>
            </w:r>
          </w:p>
        </w:tc>
      </w:tr>
      <w:tr w:rsidR="00000000">
        <w:tblPrEx>
          <w:tblCellMar>
            <w:top w:w="0" w:type="dxa"/>
            <w:bottom w:w="0" w:type="dxa"/>
          </w:tblCellMar>
        </w:tblPrEx>
        <w:trPr>
          <w:cantSplit/>
        </w:trPr>
        <w:tc>
          <w:tcPr>
            <w:tcW w:w="1045" w:type="dxa"/>
            <w:vMerge/>
            <w:vAlign w:val="center"/>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男</w:t>
            </w:r>
          </w:p>
        </w:tc>
        <w:tc>
          <w:tcPr>
            <w:tcW w:w="1045" w:type="dxa"/>
          </w:tcPr>
          <w:p w:rsidR="00000000" w:rsidRDefault="00000000">
            <w:pPr>
              <w:pStyle w:val="a2"/>
              <w:tabs>
                <w:tab w:val="decimal" w:pos="640"/>
              </w:tabs>
              <w:rPr>
                <w:rFonts w:hint="eastAsia"/>
                <w:snapToGrid/>
              </w:rPr>
            </w:pPr>
            <w:r>
              <w:rPr>
                <w:rFonts w:hint="eastAsia"/>
                <w:snapToGrid/>
              </w:rPr>
              <w:t>9,1</w:t>
            </w:r>
          </w:p>
        </w:tc>
        <w:tc>
          <w:tcPr>
            <w:tcW w:w="1045" w:type="dxa"/>
          </w:tcPr>
          <w:p w:rsidR="00000000" w:rsidRDefault="00000000">
            <w:pPr>
              <w:pStyle w:val="a2"/>
              <w:tabs>
                <w:tab w:val="decimal" w:pos="640"/>
              </w:tabs>
              <w:rPr>
                <w:rFonts w:hint="eastAsia"/>
                <w:snapToGrid/>
              </w:rPr>
            </w:pPr>
            <w:r>
              <w:rPr>
                <w:rFonts w:hint="eastAsia"/>
                <w:snapToGrid/>
              </w:rPr>
              <w:t>2,1</w:t>
            </w:r>
          </w:p>
        </w:tc>
        <w:tc>
          <w:tcPr>
            <w:tcW w:w="1046" w:type="dxa"/>
          </w:tcPr>
          <w:p w:rsidR="00000000" w:rsidRDefault="00000000">
            <w:pPr>
              <w:pStyle w:val="a2"/>
              <w:tabs>
                <w:tab w:val="decimal" w:pos="640"/>
              </w:tabs>
              <w:rPr>
                <w:rFonts w:hint="eastAsia"/>
                <w:snapToGrid/>
              </w:rPr>
            </w:pPr>
            <w:r>
              <w:rPr>
                <w:rFonts w:hint="eastAsia"/>
                <w:snapToGrid/>
              </w:rPr>
              <w:t>1,8</w:t>
            </w:r>
          </w:p>
        </w:tc>
        <w:tc>
          <w:tcPr>
            <w:tcW w:w="1046" w:type="dxa"/>
          </w:tcPr>
          <w:p w:rsidR="00000000" w:rsidRDefault="00000000">
            <w:pPr>
              <w:pStyle w:val="a2"/>
              <w:tabs>
                <w:tab w:val="decimal" w:pos="640"/>
              </w:tabs>
              <w:rPr>
                <w:rFonts w:hint="eastAsia"/>
                <w:snapToGrid/>
              </w:rPr>
            </w:pPr>
            <w:r>
              <w:rPr>
                <w:rFonts w:hint="eastAsia"/>
                <w:snapToGrid/>
              </w:rPr>
              <w:t>3,2</w:t>
            </w:r>
          </w:p>
        </w:tc>
        <w:tc>
          <w:tcPr>
            <w:tcW w:w="1046" w:type="dxa"/>
          </w:tcPr>
          <w:p w:rsidR="00000000" w:rsidRDefault="00000000">
            <w:pPr>
              <w:pStyle w:val="a2"/>
              <w:tabs>
                <w:tab w:val="decimal" w:pos="640"/>
              </w:tabs>
              <w:rPr>
                <w:rFonts w:hint="eastAsia"/>
                <w:snapToGrid/>
              </w:rPr>
            </w:pPr>
            <w:r>
              <w:rPr>
                <w:rFonts w:hint="eastAsia"/>
                <w:snapToGrid/>
              </w:rPr>
              <w:t>1,7</w:t>
            </w:r>
          </w:p>
        </w:tc>
        <w:tc>
          <w:tcPr>
            <w:tcW w:w="1046" w:type="dxa"/>
          </w:tcPr>
          <w:p w:rsidR="00000000" w:rsidRDefault="00000000">
            <w:pPr>
              <w:pStyle w:val="a2"/>
              <w:tabs>
                <w:tab w:val="decimal" w:pos="640"/>
              </w:tabs>
              <w:rPr>
                <w:rFonts w:hint="eastAsia"/>
                <w:snapToGrid/>
              </w:rPr>
            </w:pPr>
            <w:r>
              <w:rPr>
                <w:rFonts w:hint="eastAsia"/>
                <w:snapToGrid/>
              </w:rPr>
              <w:t>0,3</w:t>
            </w:r>
          </w:p>
        </w:tc>
        <w:tc>
          <w:tcPr>
            <w:tcW w:w="1046" w:type="dxa"/>
          </w:tcPr>
          <w:p w:rsidR="00000000" w:rsidRDefault="00000000">
            <w:pPr>
              <w:pStyle w:val="a2"/>
              <w:tabs>
                <w:tab w:val="decimal" w:pos="640"/>
              </w:tabs>
              <w:rPr>
                <w:rFonts w:hint="eastAsia"/>
                <w:snapToGrid/>
              </w:rPr>
            </w:pPr>
            <w:r>
              <w:rPr>
                <w:rFonts w:hint="eastAsia"/>
                <w:snapToGrid/>
              </w:rPr>
              <w:t>0,1</w:t>
            </w:r>
          </w:p>
        </w:tc>
      </w:tr>
      <w:tr w:rsidR="00000000">
        <w:tblPrEx>
          <w:tblCellMar>
            <w:top w:w="0" w:type="dxa"/>
            <w:bottom w:w="0" w:type="dxa"/>
          </w:tblCellMar>
        </w:tblPrEx>
        <w:trPr>
          <w:cantSplit/>
        </w:trPr>
        <w:tc>
          <w:tcPr>
            <w:tcW w:w="1045" w:type="dxa"/>
            <w:vMerge/>
            <w:vAlign w:val="center"/>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女</w:t>
            </w:r>
          </w:p>
        </w:tc>
        <w:tc>
          <w:tcPr>
            <w:tcW w:w="1045" w:type="dxa"/>
          </w:tcPr>
          <w:p w:rsidR="00000000" w:rsidRDefault="00000000">
            <w:pPr>
              <w:pStyle w:val="a2"/>
              <w:tabs>
                <w:tab w:val="decimal" w:pos="640"/>
              </w:tabs>
              <w:rPr>
                <w:rFonts w:hint="eastAsia"/>
                <w:snapToGrid/>
              </w:rPr>
            </w:pPr>
            <w:r>
              <w:rPr>
                <w:rFonts w:hint="eastAsia"/>
                <w:snapToGrid/>
              </w:rPr>
              <w:t>4,2</w:t>
            </w:r>
          </w:p>
        </w:tc>
        <w:tc>
          <w:tcPr>
            <w:tcW w:w="1045" w:type="dxa"/>
          </w:tcPr>
          <w:p w:rsidR="00000000" w:rsidRDefault="00000000">
            <w:pPr>
              <w:pStyle w:val="a2"/>
              <w:tabs>
                <w:tab w:val="decimal" w:pos="640"/>
              </w:tabs>
              <w:rPr>
                <w:rFonts w:hint="eastAsia"/>
                <w:snapToGrid/>
              </w:rPr>
            </w:pPr>
            <w:r>
              <w:rPr>
                <w:rFonts w:hint="eastAsia"/>
                <w:snapToGrid/>
              </w:rPr>
              <w:t>1,2</w:t>
            </w:r>
          </w:p>
        </w:tc>
        <w:tc>
          <w:tcPr>
            <w:tcW w:w="1046" w:type="dxa"/>
          </w:tcPr>
          <w:p w:rsidR="00000000" w:rsidRDefault="00000000">
            <w:pPr>
              <w:pStyle w:val="a2"/>
              <w:tabs>
                <w:tab w:val="decimal" w:pos="640"/>
              </w:tabs>
              <w:rPr>
                <w:rFonts w:hint="eastAsia"/>
                <w:snapToGrid/>
              </w:rPr>
            </w:pPr>
            <w:r>
              <w:rPr>
                <w:rFonts w:hint="eastAsia"/>
                <w:snapToGrid/>
              </w:rPr>
              <w:t>1,1</w:t>
            </w:r>
          </w:p>
        </w:tc>
        <w:tc>
          <w:tcPr>
            <w:tcW w:w="1046" w:type="dxa"/>
          </w:tcPr>
          <w:p w:rsidR="00000000" w:rsidRDefault="00000000">
            <w:pPr>
              <w:pStyle w:val="a2"/>
              <w:tabs>
                <w:tab w:val="decimal" w:pos="640"/>
              </w:tabs>
              <w:rPr>
                <w:rFonts w:hint="eastAsia"/>
                <w:snapToGrid/>
              </w:rPr>
            </w:pPr>
            <w:r>
              <w:rPr>
                <w:rFonts w:hint="eastAsia"/>
                <w:snapToGrid/>
              </w:rPr>
              <w:t>1,3</w:t>
            </w:r>
          </w:p>
        </w:tc>
        <w:tc>
          <w:tcPr>
            <w:tcW w:w="1046" w:type="dxa"/>
          </w:tcPr>
          <w:p w:rsidR="00000000" w:rsidRDefault="00000000">
            <w:pPr>
              <w:pStyle w:val="a2"/>
              <w:tabs>
                <w:tab w:val="decimal" w:pos="640"/>
              </w:tabs>
              <w:rPr>
                <w:rFonts w:hint="eastAsia"/>
                <w:snapToGrid/>
              </w:rPr>
            </w:pPr>
            <w:r>
              <w:rPr>
                <w:rFonts w:hint="eastAsia"/>
                <w:snapToGrid/>
              </w:rPr>
              <w:t>0,4</w:t>
            </w:r>
          </w:p>
        </w:tc>
        <w:tc>
          <w:tcPr>
            <w:tcW w:w="1046" w:type="dxa"/>
          </w:tcPr>
          <w:p w:rsidR="00000000" w:rsidRDefault="00000000">
            <w:pPr>
              <w:pStyle w:val="a2"/>
              <w:tabs>
                <w:tab w:val="decimal" w:pos="640"/>
              </w:tabs>
              <w:rPr>
                <w:rFonts w:hint="eastAsia"/>
                <w:snapToGrid/>
              </w:rPr>
            </w:pPr>
            <w:r>
              <w:rPr>
                <w:rFonts w:hint="eastAsia"/>
                <w:snapToGrid/>
              </w:rPr>
              <w:t>0,2</w:t>
            </w:r>
          </w:p>
        </w:tc>
        <w:tc>
          <w:tcPr>
            <w:tcW w:w="1046" w:type="dxa"/>
          </w:tcPr>
          <w:p w:rsidR="00000000" w:rsidRDefault="00000000">
            <w:pPr>
              <w:pStyle w:val="a2"/>
              <w:tabs>
                <w:tab w:val="decimal" w:pos="640"/>
              </w:tabs>
              <w:rPr>
                <w:rFonts w:hint="eastAsia"/>
                <w:snapToGrid/>
              </w:rPr>
            </w:pPr>
            <w:r>
              <w:rPr>
                <w:rFonts w:hint="eastAsia"/>
                <w:snapToGrid/>
                <w:spacing w:val="-40"/>
              </w:rPr>
              <w:t>――</w:t>
            </w:r>
            <w:r>
              <w:rPr>
                <w:rFonts w:hint="eastAsia"/>
                <w:snapToGrid/>
                <w:spacing w:val="-40"/>
              </w:rPr>
              <w:t xml:space="preserve"> </w:t>
            </w:r>
            <w:r>
              <w:rPr>
                <w:rFonts w:hint="eastAsia"/>
                <w:snapToGrid/>
                <w:spacing w:val="-40"/>
              </w:rPr>
              <w:t>――</w:t>
            </w:r>
            <w:r>
              <w:rPr>
                <w:rFonts w:hint="eastAsia"/>
                <w:snapToGrid/>
                <w:spacing w:val="-40"/>
              </w:rPr>
              <w:t xml:space="preserve"> </w:t>
            </w:r>
          </w:p>
        </w:tc>
      </w:tr>
      <w:tr w:rsidR="00000000">
        <w:tblPrEx>
          <w:tblCellMar>
            <w:top w:w="0" w:type="dxa"/>
            <w:bottom w:w="0" w:type="dxa"/>
          </w:tblCellMar>
        </w:tblPrEx>
        <w:trPr>
          <w:cantSplit/>
        </w:trPr>
        <w:tc>
          <w:tcPr>
            <w:tcW w:w="1045" w:type="dxa"/>
            <w:vMerge w:val="restart"/>
            <w:vAlign w:val="center"/>
          </w:tcPr>
          <w:p w:rsidR="00000000" w:rsidRDefault="00000000">
            <w:pPr>
              <w:pStyle w:val="a2"/>
              <w:jc w:val="center"/>
              <w:rPr>
                <w:rFonts w:ascii="Time New Roman" w:eastAsia="SimHei" w:hAnsi="Time New Roman" w:hint="eastAsia"/>
              </w:rPr>
            </w:pPr>
            <w:r>
              <w:rPr>
                <w:rFonts w:ascii="Time New Roman" w:eastAsia="SimHei" w:hAnsi="Time New Roman" w:hint="eastAsia"/>
                <w:b/>
              </w:rPr>
              <w:t>2000</w:t>
            </w: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男女</w:t>
            </w:r>
          </w:p>
        </w:tc>
        <w:tc>
          <w:tcPr>
            <w:tcW w:w="1045" w:type="dxa"/>
          </w:tcPr>
          <w:p w:rsidR="00000000" w:rsidRDefault="00000000">
            <w:pPr>
              <w:pStyle w:val="a2"/>
              <w:tabs>
                <w:tab w:val="decimal" w:pos="640"/>
              </w:tabs>
              <w:rPr>
                <w:rFonts w:hint="eastAsia"/>
                <w:snapToGrid/>
              </w:rPr>
            </w:pPr>
            <w:r>
              <w:rPr>
                <w:rFonts w:hint="eastAsia"/>
                <w:snapToGrid/>
              </w:rPr>
              <w:t>14,2</w:t>
            </w:r>
          </w:p>
        </w:tc>
        <w:tc>
          <w:tcPr>
            <w:tcW w:w="1045" w:type="dxa"/>
          </w:tcPr>
          <w:p w:rsidR="00000000" w:rsidRDefault="00000000">
            <w:pPr>
              <w:pStyle w:val="a2"/>
              <w:tabs>
                <w:tab w:val="decimal" w:pos="640"/>
              </w:tabs>
              <w:rPr>
                <w:rFonts w:hint="eastAsia"/>
                <w:snapToGrid/>
              </w:rPr>
            </w:pPr>
            <w:r>
              <w:rPr>
                <w:rFonts w:hint="eastAsia"/>
                <w:snapToGrid/>
              </w:rPr>
              <w:t>2,7</w:t>
            </w:r>
          </w:p>
        </w:tc>
        <w:tc>
          <w:tcPr>
            <w:tcW w:w="1046" w:type="dxa"/>
          </w:tcPr>
          <w:p w:rsidR="00000000" w:rsidRDefault="00000000">
            <w:pPr>
              <w:pStyle w:val="a2"/>
              <w:tabs>
                <w:tab w:val="decimal" w:pos="640"/>
              </w:tabs>
              <w:rPr>
                <w:rFonts w:hint="eastAsia"/>
                <w:snapToGrid/>
              </w:rPr>
            </w:pPr>
            <w:r>
              <w:rPr>
                <w:rFonts w:hint="eastAsia"/>
                <w:snapToGrid/>
              </w:rPr>
              <w:t>2,8</w:t>
            </w:r>
          </w:p>
        </w:tc>
        <w:tc>
          <w:tcPr>
            <w:tcW w:w="1046" w:type="dxa"/>
          </w:tcPr>
          <w:p w:rsidR="00000000" w:rsidRDefault="00000000">
            <w:pPr>
              <w:pStyle w:val="a2"/>
              <w:tabs>
                <w:tab w:val="decimal" w:pos="640"/>
              </w:tabs>
              <w:rPr>
                <w:rFonts w:hint="eastAsia"/>
                <w:snapToGrid/>
              </w:rPr>
            </w:pPr>
            <w:r>
              <w:rPr>
                <w:rFonts w:hint="eastAsia"/>
                <w:snapToGrid/>
              </w:rPr>
              <w:t>5,2</w:t>
            </w:r>
          </w:p>
        </w:tc>
        <w:tc>
          <w:tcPr>
            <w:tcW w:w="1046" w:type="dxa"/>
          </w:tcPr>
          <w:p w:rsidR="00000000" w:rsidRDefault="00000000">
            <w:pPr>
              <w:pStyle w:val="a2"/>
              <w:tabs>
                <w:tab w:val="decimal" w:pos="640"/>
              </w:tabs>
              <w:rPr>
                <w:rFonts w:hint="eastAsia"/>
                <w:snapToGrid/>
              </w:rPr>
            </w:pPr>
            <w:r>
              <w:rPr>
                <w:rFonts w:hint="eastAsia"/>
                <w:snapToGrid/>
              </w:rPr>
              <w:t>2,9</w:t>
            </w:r>
          </w:p>
        </w:tc>
        <w:tc>
          <w:tcPr>
            <w:tcW w:w="1046" w:type="dxa"/>
          </w:tcPr>
          <w:p w:rsidR="00000000" w:rsidRDefault="00000000">
            <w:pPr>
              <w:pStyle w:val="a2"/>
              <w:tabs>
                <w:tab w:val="decimal" w:pos="640"/>
              </w:tabs>
              <w:rPr>
                <w:rFonts w:hint="eastAsia"/>
                <w:snapToGrid/>
              </w:rPr>
            </w:pPr>
            <w:r>
              <w:rPr>
                <w:rFonts w:hint="eastAsia"/>
                <w:snapToGrid/>
              </w:rPr>
              <w:t>0,5</w:t>
            </w:r>
          </w:p>
        </w:tc>
        <w:tc>
          <w:tcPr>
            <w:tcW w:w="1046" w:type="dxa"/>
          </w:tcPr>
          <w:p w:rsidR="00000000" w:rsidRDefault="00000000">
            <w:pPr>
              <w:pStyle w:val="a2"/>
              <w:tabs>
                <w:tab w:val="decimal" w:pos="640"/>
              </w:tabs>
              <w:rPr>
                <w:rFonts w:hint="eastAsia"/>
                <w:snapToGrid/>
              </w:rPr>
            </w:pPr>
            <w:r>
              <w:rPr>
                <w:rFonts w:hint="eastAsia"/>
                <w:snapToGrid/>
              </w:rPr>
              <w:t>0,1</w:t>
            </w:r>
          </w:p>
        </w:tc>
      </w:tr>
      <w:tr w:rsidR="00000000">
        <w:tblPrEx>
          <w:tblCellMar>
            <w:top w:w="0" w:type="dxa"/>
            <w:bottom w:w="0" w:type="dxa"/>
          </w:tblCellMar>
        </w:tblPrEx>
        <w:trPr>
          <w:cantSplit/>
        </w:trPr>
        <w:tc>
          <w:tcPr>
            <w:tcW w:w="1045" w:type="dxa"/>
            <w:vMerge/>
            <w:vAlign w:val="center"/>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男</w:t>
            </w:r>
          </w:p>
        </w:tc>
        <w:tc>
          <w:tcPr>
            <w:tcW w:w="1045" w:type="dxa"/>
          </w:tcPr>
          <w:p w:rsidR="00000000" w:rsidRDefault="00000000">
            <w:pPr>
              <w:pStyle w:val="a2"/>
              <w:tabs>
                <w:tab w:val="decimal" w:pos="640"/>
              </w:tabs>
              <w:rPr>
                <w:rFonts w:hint="eastAsia"/>
                <w:snapToGrid/>
              </w:rPr>
            </w:pPr>
            <w:r>
              <w:rPr>
                <w:rFonts w:hint="eastAsia"/>
                <w:snapToGrid/>
              </w:rPr>
              <w:t>9,8</w:t>
            </w:r>
          </w:p>
        </w:tc>
        <w:tc>
          <w:tcPr>
            <w:tcW w:w="1045" w:type="dxa"/>
          </w:tcPr>
          <w:p w:rsidR="00000000" w:rsidRDefault="00000000">
            <w:pPr>
              <w:pStyle w:val="a2"/>
              <w:tabs>
                <w:tab w:val="decimal" w:pos="640"/>
              </w:tabs>
              <w:rPr>
                <w:rFonts w:hint="eastAsia"/>
                <w:snapToGrid/>
              </w:rPr>
            </w:pPr>
            <w:r>
              <w:rPr>
                <w:rFonts w:hint="eastAsia"/>
                <w:snapToGrid/>
              </w:rPr>
              <w:t>1,7</w:t>
            </w:r>
          </w:p>
        </w:tc>
        <w:tc>
          <w:tcPr>
            <w:tcW w:w="1046" w:type="dxa"/>
          </w:tcPr>
          <w:p w:rsidR="00000000" w:rsidRDefault="00000000">
            <w:pPr>
              <w:pStyle w:val="a2"/>
              <w:tabs>
                <w:tab w:val="decimal" w:pos="640"/>
              </w:tabs>
              <w:rPr>
                <w:rFonts w:hint="eastAsia"/>
                <w:snapToGrid/>
              </w:rPr>
            </w:pPr>
            <w:r>
              <w:rPr>
                <w:rFonts w:hint="eastAsia"/>
                <w:snapToGrid/>
              </w:rPr>
              <w:t>1,7</w:t>
            </w:r>
          </w:p>
        </w:tc>
        <w:tc>
          <w:tcPr>
            <w:tcW w:w="1046" w:type="dxa"/>
          </w:tcPr>
          <w:p w:rsidR="00000000" w:rsidRDefault="00000000">
            <w:pPr>
              <w:pStyle w:val="a2"/>
              <w:tabs>
                <w:tab w:val="decimal" w:pos="640"/>
              </w:tabs>
              <w:rPr>
                <w:rFonts w:hint="eastAsia"/>
                <w:snapToGrid/>
              </w:rPr>
            </w:pPr>
            <w:r>
              <w:rPr>
                <w:rFonts w:hint="eastAsia"/>
                <w:snapToGrid/>
              </w:rPr>
              <w:t>3,8</w:t>
            </w:r>
          </w:p>
        </w:tc>
        <w:tc>
          <w:tcPr>
            <w:tcW w:w="1046" w:type="dxa"/>
          </w:tcPr>
          <w:p w:rsidR="00000000" w:rsidRDefault="00000000">
            <w:pPr>
              <w:pStyle w:val="a2"/>
              <w:tabs>
                <w:tab w:val="decimal" w:pos="640"/>
              </w:tabs>
              <w:rPr>
                <w:rFonts w:hint="eastAsia"/>
                <w:snapToGrid/>
              </w:rPr>
            </w:pPr>
            <w:r>
              <w:rPr>
                <w:rFonts w:hint="eastAsia"/>
                <w:snapToGrid/>
              </w:rPr>
              <w:t>2,2</w:t>
            </w:r>
          </w:p>
        </w:tc>
        <w:tc>
          <w:tcPr>
            <w:tcW w:w="1046" w:type="dxa"/>
          </w:tcPr>
          <w:p w:rsidR="00000000" w:rsidRDefault="00000000">
            <w:pPr>
              <w:pStyle w:val="a2"/>
              <w:tabs>
                <w:tab w:val="decimal" w:pos="640"/>
              </w:tabs>
              <w:rPr>
                <w:rFonts w:hint="eastAsia"/>
                <w:snapToGrid/>
              </w:rPr>
            </w:pPr>
            <w:r>
              <w:rPr>
                <w:rFonts w:hint="eastAsia"/>
                <w:snapToGrid/>
              </w:rPr>
              <w:t>0,4</w:t>
            </w:r>
          </w:p>
        </w:tc>
        <w:tc>
          <w:tcPr>
            <w:tcW w:w="1046" w:type="dxa"/>
          </w:tcPr>
          <w:p w:rsidR="00000000" w:rsidRDefault="00000000">
            <w:pPr>
              <w:pStyle w:val="a2"/>
              <w:tabs>
                <w:tab w:val="decimal" w:pos="640"/>
              </w:tabs>
              <w:rPr>
                <w:rFonts w:hint="eastAsia"/>
                <w:snapToGrid/>
              </w:rPr>
            </w:pPr>
            <w:r>
              <w:rPr>
                <w:rFonts w:hint="eastAsia"/>
                <w:snapToGrid/>
              </w:rPr>
              <w:t>0,1</w:t>
            </w:r>
          </w:p>
        </w:tc>
      </w:tr>
      <w:tr w:rsidR="00000000">
        <w:tblPrEx>
          <w:tblCellMar>
            <w:top w:w="0" w:type="dxa"/>
            <w:bottom w:w="0" w:type="dxa"/>
          </w:tblCellMar>
        </w:tblPrEx>
        <w:trPr>
          <w:cantSplit/>
        </w:trPr>
        <w:tc>
          <w:tcPr>
            <w:tcW w:w="1045" w:type="dxa"/>
            <w:vMerge/>
            <w:vAlign w:val="center"/>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女</w:t>
            </w:r>
          </w:p>
        </w:tc>
        <w:tc>
          <w:tcPr>
            <w:tcW w:w="1045" w:type="dxa"/>
          </w:tcPr>
          <w:p w:rsidR="00000000" w:rsidRDefault="00000000">
            <w:pPr>
              <w:pStyle w:val="a2"/>
              <w:tabs>
                <w:tab w:val="decimal" w:pos="640"/>
              </w:tabs>
              <w:rPr>
                <w:rFonts w:hint="eastAsia"/>
                <w:snapToGrid/>
              </w:rPr>
            </w:pPr>
            <w:r>
              <w:rPr>
                <w:rFonts w:hint="eastAsia"/>
                <w:snapToGrid/>
              </w:rPr>
              <w:t>4,4</w:t>
            </w:r>
          </w:p>
        </w:tc>
        <w:tc>
          <w:tcPr>
            <w:tcW w:w="1045" w:type="dxa"/>
          </w:tcPr>
          <w:p w:rsidR="00000000" w:rsidRDefault="00000000">
            <w:pPr>
              <w:pStyle w:val="a2"/>
              <w:tabs>
                <w:tab w:val="decimal" w:pos="640"/>
              </w:tabs>
              <w:rPr>
                <w:rFonts w:hint="eastAsia"/>
                <w:snapToGrid/>
              </w:rPr>
            </w:pPr>
            <w:r>
              <w:rPr>
                <w:rFonts w:hint="eastAsia"/>
                <w:snapToGrid/>
              </w:rPr>
              <w:t>1,1</w:t>
            </w:r>
          </w:p>
        </w:tc>
        <w:tc>
          <w:tcPr>
            <w:tcW w:w="1046" w:type="dxa"/>
          </w:tcPr>
          <w:p w:rsidR="00000000" w:rsidRDefault="00000000">
            <w:pPr>
              <w:pStyle w:val="a2"/>
              <w:tabs>
                <w:tab w:val="decimal" w:pos="640"/>
              </w:tabs>
              <w:rPr>
                <w:rFonts w:hint="eastAsia"/>
                <w:snapToGrid/>
              </w:rPr>
            </w:pPr>
            <w:r>
              <w:rPr>
                <w:rFonts w:hint="eastAsia"/>
                <w:snapToGrid/>
              </w:rPr>
              <w:t>1,1</w:t>
            </w:r>
          </w:p>
        </w:tc>
        <w:tc>
          <w:tcPr>
            <w:tcW w:w="1046" w:type="dxa"/>
          </w:tcPr>
          <w:p w:rsidR="00000000" w:rsidRDefault="00000000">
            <w:pPr>
              <w:pStyle w:val="a2"/>
              <w:tabs>
                <w:tab w:val="decimal" w:pos="640"/>
              </w:tabs>
              <w:rPr>
                <w:rFonts w:hint="eastAsia"/>
                <w:snapToGrid/>
              </w:rPr>
            </w:pPr>
            <w:r>
              <w:rPr>
                <w:rFonts w:hint="eastAsia"/>
                <w:snapToGrid/>
              </w:rPr>
              <w:t>1,5</w:t>
            </w:r>
          </w:p>
        </w:tc>
        <w:tc>
          <w:tcPr>
            <w:tcW w:w="1046" w:type="dxa"/>
          </w:tcPr>
          <w:p w:rsidR="00000000" w:rsidRDefault="00000000">
            <w:pPr>
              <w:pStyle w:val="a2"/>
              <w:tabs>
                <w:tab w:val="decimal" w:pos="640"/>
              </w:tabs>
              <w:rPr>
                <w:rFonts w:hint="eastAsia"/>
                <w:snapToGrid/>
              </w:rPr>
            </w:pPr>
            <w:r>
              <w:rPr>
                <w:rFonts w:hint="eastAsia"/>
                <w:snapToGrid/>
              </w:rPr>
              <w:t>0,7</w:t>
            </w:r>
          </w:p>
        </w:tc>
        <w:tc>
          <w:tcPr>
            <w:tcW w:w="1046" w:type="dxa"/>
          </w:tcPr>
          <w:p w:rsidR="00000000" w:rsidRDefault="00000000">
            <w:pPr>
              <w:pStyle w:val="a2"/>
              <w:tabs>
                <w:tab w:val="decimal" w:pos="640"/>
              </w:tabs>
              <w:rPr>
                <w:rFonts w:hint="eastAsia"/>
                <w:snapToGrid/>
              </w:rPr>
            </w:pPr>
            <w:r>
              <w:rPr>
                <w:rFonts w:hint="eastAsia"/>
                <w:snapToGrid/>
              </w:rPr>
              <w:t>0,1</w:t>
            </w:r>
          </w:p>
        </w:tc>
        <w:tc>
          <w:tcPr>
            <w:tcW w:w="1046" w:type="dxa"/>
          </w:tcPr>
          <w:p w:rsidR="00000000" w:rsidRDefault="00000000">
            <w:pPr>
              <w:pStyle w:val="a2"/>
              <w:tabs>
                <w:tab w:val="decimal" w:pos="640"/>
              </w:tabs>
              <w:rPr>
                <w:rFonts w:hint="eastAsia"/>
                <w:snapToGrid/>
              </w:rPr>
            </w:pPr>
            <w:r>
              <w:rPr>
                <w:rFonts w:hint="eastAsia"/>
                <w:snapToGrid/>
                <w:spacing w:val="-40"/>
              </w:rPr>
              <w:t>――</w:t>
            </w:r>
            <w:r>
              <w:rPr>
                <w:rFonts w:hint="eastAsia"/>
                <w:snapToGrid/>
                <w:spacing w:val="-40"/>
              </w:rPr>
              <w:t xml:space="preserve"> </w:t>
            </w:r>
            <w:r>
              <w:rPr>
                <w:rFonts w:hint="eastAsia"/>
                <w:snapToGrid/>
                <w:spacing w:val="-40"/>
              </w:rPr>
              <w:t>――</w:t>
            </w:r>
            <w:r>
              <w:rPr>
                <w:rFonts w:hint="eastAsia"/>
                <w:snapToGrid/>
                <w:spacing w:val="-40"/>
              </w:rPr>
              <w:t xml:space="preserve"> </w:t>
            </w:r>
          </w:p>
        </w:tc>
      </w:tr>
      <w:tr w:rsidR="00000000">
        <w:tblPrEx>
          <w:tblCellMar>
            <w:top w:w="0" w:type="dxa"/>
            <w:bottom w:w="0" w:type="dxa"/>
          </w:tblCellMar>
        </w:tblPrEx>
        <w:trPr>
          <w:cantSplit/>
        </w:trPr>
        <w:tc>
          <w:tcPr>
            <w:tcW w:w="1045" w:type="dxa"/>
            <w:vMerge w:val="restart"/>
            <w:vAlign w:val="center"/>
          </w:tcPr>
          <w:p w:rsidR="00000000" w:rsidRDefault="00000000">
            <w:pPr>
              <w:pStyle w:val="a2"/>
              <w:jc w:val="center"/>
              <w:rPr>
                <w:rFonts w:ascii="Time New Roman" w:eastAsia="SimHei" w:hAnsi="Time New Roman" w:hint="eastAsia"/>
              </w:rPr>
            </w:pPr>
            <w:r>
              <w:rPr>
                <w:rFonts w:ascii="Time New Roman" w:eastAsia="SimHei" w:hAnsi="Time New Roman" w:hint="eastAsia"/>
                <w:b/>
              </w:rPr>
              <w:t>2001</w:t>
            </w: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男女</w:t>
            </w:r>
          </w:p>
        </w:tc>
        <w:tc>
          <w:tcPr>
            <w:tcW w:w="1045" w:type="dxa"/>
          </w:tcPr>
          <w:p w:rsidR="00000000" w:rsidRDefault="00000000">
            <w:pPr>
              <w:pStyle w:val="a2"/>
              <w:tabs>
                <w:tab w:val="decimal" w:pos="640"/>
              </w:tabs>
              <w:rPr>
                <w:rFonts w:hint="eastAsia"/>
                <w:snapToGrid/>
              </w:rPr>
            </w:pPr>
            <w:r>
              <w:rPr>
                <w:rFonts w:hint="eastAsia"/>
                <w:snapToGrid/>
              </w:rPr>
              <w:t>13,9</w:t>
            </w:r>
          </w:p>
        </w:tc>
        <w:tc>
          <w:tcPr>
            <w:tcW w:w="1045" w:type="dxa"/>
          </w:tcPr>
          <w:p w:rsidR="00000000" w:rsidRDefault="00000000">
            <w:pPr>
              <w:pStyle w:val="a2"/>
              <w:tabs>
                <w:tab w:val="decimal" w:pos="640"/>
              </w:tabs>
              <w:rPr>
                <w:rFonts w:hint="eastAsia"/>
                <w:snapToGrid/>
              </w:rPr>
            </w:pPr>
            <w:r>
              <w:rPr>
                <w:rFonts w:hint="eastAsia"/>
                <w:snapToGrid/>
              </w:rPr>
              <w:t>2,7</w:t>
            </w:r>
          </w:p>
        </w:tc>
        <w:tc>
          <w:tcPr>
            <w:tcW w:w="1046" w:type="dxa"/>
          </w:tcPr>
          <w:p w:rsidR="00000000" w:rsidRDefault="00000000">
            <w:pPr>
              <w:pStyle w:val="a2"/>
              <w:tabs>
                <w:tab w:val="decimal" w:pos="640"/>
              </w:tabs>
              <w:rPr>
                <w:rFonts w:hint="eastAsia"/>
                <w:snapToGrid/>
              </w:rPr>
            </w:pPr>
            <w:r>
              <w:rPr>
                <w:rFonts w:hint="eastAsia"/>
                <w:snapToGrid/>
              </w:rPr>
              <w:t>2,7</w:t>
            </w:r>
          </w:p>
        </w:tc>
        <w:tc>
          <w:tcPr>
            <w:tcW w:w="1046" w:type="dxa"/>
          </w:tcPr>
          <w:p w:rsidR="00000000" w:rsidRDefault="00000000">
            <w:pPr>
              <w:pStyle w:val="a2"/>
              <w:tabs>
                <w:tab w:val="decimal" w:pos="640"/>
              </w:tabs>
              <w:rPr>
                <w:rFonts w:hint="eastAsia"/>
                <w:snapToGrid/>
              </w:rPr>
            </w:pPr>
            <w:r>
              <w:rPr>
                <w:rFonts w:hint="eastAsia"/>
                <w:snapToGrid/>
              </w:rPr>
              <w:t>4,9</w:t>
            </w:r>
          </w:p>
        </w:tc>
        <w:tc>
          <w:tcPr>
            <w:tcW w:w="1046" w:type="dxa"/>
          </w:tcPr>
          <w:p w:rsidR="00000000" w:rsidRDefault="00000000">
            <w:pPr>
              <w:pStyle w:val="a2"/>
              <w:tabs>
                <w:tab w:val="decimal" w:pos="640"/>
              </w:tabs>
              <w:rPr>
                <w:rFonts w:hint="eastAsia"/>
                <w:snapToGrid/>
              </w:rPr>
            </w:pPr>
            <w:r>
              <w:rPr>
                <w:rFonts w:hint="eastAsia"/>
                <w:snapToGrid/>
              </w:rPr>
              <w:t>3,0</w:t>
            </w:r>
          </w:p>
        </w:tc>
        <w:tc>
          <w:tcPr>
            <w:tcW w:w="1046" w:type="dxa"/>
          </w:tcPr>
          <w:p w:rsidR="00000000" w:rsidRDefault="00000000">
            <w:pPr>
              <w:pStyle w:val="a2"/>
              <w:tabs>
                <w:tab w:val="decimal" w:pos="640"/>
              </w:tabs>
              <w:rPr>
                <w:rFonts w:hint="eastAsia"/>
                <w:snapToGrid/>
              </w:rPr>
            </w:pPr>
            <w:r>
              <w:rPr>
                <w:rFonts w:hint="eastAsia"/>
                <w:snapToGrid/>
              </w:rPr>
              <w:t>0,5</w:t>
            </w:r>
          </w:p>
        </w:tc>
        <w:tc>
          <w:tcPr>
            <w:tcW w:w="1046" w:type="dxa"/>
          </w:tcPr>
          <w:p w:rsidR="00000000" w:rsidRDefault="00000000">
            <w:pPr>
              <w:pStyle w:val="a2"/>
              <w:tabs>
                <w:tab w:val="decimal" w:pos="640"/>
              </w:tabs>
              <w:rPr>
                <w:rFonts w:hint="eastAsia"/>
                <w:snapToGrid/>
              </w:rPr>
            </w:pPr>
            <w:r>
              <w:rPr>
                <w:rFonts w:hint="eastAsia"/>
                <w:snapToGrid/>
                <w:spacing w:val="-40"/>
              </w:rPr>
              <w:t>――</w:t>
            </w:r>
            <w:r>
              <w:rPr>
                <w:rFonts w:hint="eastAsia"/>
                <w:snapToGrid/>
                <w:spacing w:val="-40"/>
              </w:rPr>
              <w:t xml:space="preserve"> </w:t>
            </w:r>
            <w:r>
              <w:rPr>
                <w:rFonts w:hint="eastAsia"/>
                <w:snapToGrid/>
                <w:spacing w:val="-40"/>
              </w:rPr>
              <w:t>――</w:t>
            </w:r>
            <w:r>
              <w:rPr>
                <w:rFonts w:hint="eastAsia"/>
                <w:snapToGrid/>
                <w:spacing w:val="-40"/>
              </w:rPr>
              <w:t xml:space="preserve"> </w:t>
            </w:r>
          </w:p>
        </w:tc>
      </w:tr>
      <w:tr w:rsidR="00000000">
        <w:tblPrEx>
          <w:tblCellMar>
            <w:top w:w="0" w:type="dxa"/>
            <w:bottom w:w="0" w:type="dxa"/>
          </w:tblCellMar>
        </w:tblPrEx>
        <w:trPr>
          <w:cantSplit/>
        </w:trPr>
        <w:tc>
          <w:tcPr>
            <w:tcW w:w="1045" w:type="dxa"/>
            <w:vMerge/>
            <w:vAlign w:val="center"/>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男</w:t>
            </w:r>
          </w:p>
        </w:tc>
        <w:tc>
          <w:tcPr>
            <w:tcW w:w="1045" w:type="dxa"/>
          </w:tcPr>
          <w:p w:rsidR="00000000" w:rsidRDefault="00000000">
            <w:pPr>
              <w:pStyle w:val="a2"/>
              <w:tabs>
                <w:tab w:val="decimal" w:pos="640"/>
              </w:tabs>
              <w:rPr>
                <w:rFonts w:hint="eastAsia"/>
                <w:snapToGrid/>
              </w:rPr>
            </w:pPr>
            <w:r>
              <w:rPr>
                <w:rFonts w:hint="eastAsia"/>
                <w:snapToGrid/>
              </w:rPr>
              <w:t>9,4</w:t>
            </w:r>
          </w:p>
        </w:tc>
        <w:tc>
          <w:tcPr>
            <w:tcW w:w="1045" w:type="dxa"/>
          </w:tcPr>
          <w:p w:rsidR="00000000" w:rsidRDefault="00000000">
            <w:pPr>
              <w:pStyle w:val="a2"/>
              <w:tabs>
                <w:tab w:val="decimal" w:pos="640"/>
              </w:tabs>
              <w:rPr>
                <w:rFonts w:hint="eastAsia"/>
                <w:snapToGrid/>
              </w:rPr>
            </w:pPr>
            <w:r>
              <w:rPr>
                <w:rFonts w:hint="eastAsia"/>
                <w:snapToGrid/>
              </w:rPr>
              <w:t>1,7</w:t>
            </w:r>
          </w:p>
        </w:tc>
        <w:tc>
          <w:tcPr>
            <w:tcW w:w="1046" w:type="dxa"/>
          </w:tcPr>
          <w:p w:rsidR="00000000" w:rsidRDefault="00000000">
            <w:pPr>
              <w:pStyle w:val="a2"/>
              <w:tabs>
                <w:tab w:val="decimal" w:pos="640"/>
              </w:tabs>
              <w:rPr>
                <w:rFonts w:hint="eastAsia"/>
                <w:snapToGrid/>
              </w:rPr>
            </w:pPr>
            <w:r>
              <w:rPr>
                <w:rFonts w:hint="eastAsia"/>
                <w:snapToGrid/>
              </w:rPr>
              <w:t>1,7</w:t>
            </w:r>
          </w:p>
        </w:tc>
        <w:tc>
          <w:tcPr>
            <w:tcW w:w="1046" w:type="dxa"/>
          </w:tcPr>
          <w:p w:rsidR="00000000" w:rsidRDefault="00000000">
            <w:pPr>
              <w:pStyle w:val="a2"/>
              <w:tabs>
                <w:tab w:val="decimal" w:pos="640"/>
              </w:tabs>
              <w:rPr>
                <w:rFonts w:hint="eastAsia"/>
                <w:snapToGrid/>
              </w:rPr>
            </w:pPr>
            <w:r>
              <w:rPr>
                <w:rFonts w:hint="eastAsia"/>
                <w:snapToGrid/>
              </w:rPr>
              <w:t>3,1</w:t>
            </w:r>
          </w:p>
        </w:tc>
        <w:tc>
          <w:tcPr>
            <w:tcW w:w="1046" w:type="dxa"/>
          </w:tcPr>
          <w:p w:rsidR="00000000" w:rsidRDefault="00000000">
            <w:pPr>
              <w:pStyle w:val="a2"/>
              <w:tabs>
                <w:tab w:val="decimal" w:pos="640"/>
              </w:tabs>
              <w:rPr>
                <w:rFonts w:hint="eastAsia"/>
                <w:snapToGrid/>
              </w:rPr>
            </w:pPr>
            <w:r>
              <w:rPr>
                <w:rFonts w:hint="eastAsia"/>
                <w:snapToGrid/>
              </w:rPr>
              <w:t>2,5</w:t>
            </w:r>
          </w:p>
        </w:tc>
        <w:tc>
          <w:tcPr>
            <w:tcW w:w="1046" w:type="dxa"/>
          </w:tcPr>
          <w:p w:rsidR="00000000" w:rsidRDefault="00000000">
            <w:pPr>
              <w:pStyle w:val="a2"/>
              <w:tabs>
                <w:tab w:val="decimal" w:pos="640"/>
              </w:tabs>
              <w:rPr>
                <w:rFonts w:hint="eastAsia"/>
                <w:snapToGrid/>
              </w:rPr>
            </w:pPr>
            <w:r>
              <w:rPr>
                <w:rFonts w:hint="eastAsia"/>
                <w:snapToGrid/>
              </w:rPr>
              <w:t>0,4</w:t>
            </w:r>
          </w:p>
        </w:tc>
        <w:tc>
          <w:tcPr>
            <w:tcW w:w="1046" w:type="dxa"/>
          </w:tcPr>
          <w:p w:rsidR="00000000" w:rsidRDefault="00000000">
            <w:pPr>
              <w:pStyle w:val="a2"/>
              <w:tabs>
                <w:tab w:val="decimal" w:pos="640"/>
              </w:tabs>
              <w:rPr>
                <w:rFonts w:hint="eastAsia"/>
                <w:snapToGrid/>
              </w:rPr>
            </w:pPr>
            <w:r>
              <w:rPr>
                <w:rFonts w:hint="eastAsia"/>
                <w:snapToGrid/>
                <w:spacing w:val="-40"/>
              </w:rPr>
              <w:t>――</w:t>
            </w:r>
            <w:r>
              <w:rPr>
                <w:rFonts w:hint="eastAsia"/>
                <w:snapToGrid/>
                <w:spacing w:val="-40"/>
              </w:rPr>
              <w:t xml:space="preserve"> </w:t>
            </w:r>
            <w:r>
              <w:rPr>
                <w:rFonts w:hint="eastAsia"/>
                <w:snapToGrid/>
                <w:spacing w:val="-40"/>
              </w:rPr>
              <w:t>――</w:t>
            </w:r>
            <w:r>
              <w:rPr>
                <w:rFonts w:hint="eastAsia"/>
                <w:snapToGrid/>
                <w:spacing w:val="-40"/>
              </w:rPr>
              <w:t xml:space="preserve"> </w:t>
            </w:r>
          </w:p>
        </w:tc>
      </w:tr>
      <w:tr w:rsidR="00000000">
        <w:tblPrEx>
          <w:tblCellMar>
            <w:top w:w="0" w:type="dxa"/>
            <w:bottom w:w="0" w:type="dxa"/>
          </w:tblCellMar>
        </w:tblPrEx>
        <w:trPr>
          <w:cantSplit/>
        </w:trPr>
        <w:tc>
          <w:tcPr>
            <w:tcW w:w="1045" w:type="dxa"/>
            <w:vMerge/>
            <w:vAlign w:val="center"/>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女</w:t>
            </w:r>
          </w:p>
        </w:tc>
        <w:tc>
          <w:tcPr>
            <w:tcW w:w="1045" w:type="dxa"/>
          </w:tcPr>
          <w:p w:rsidR="00000000" w:rsidRDefault="00000000">
            <w:pPr>
              <w:pStyle w:val="a2"/>
              <w:tabs>
                <w:tab w:val="decimal" w:pos="640"/>
              </w:tabs>
              <w:rPr>
                <w:rFonts w:hint="eastAsia"/>
                <w:snapToGrid/>
              </w:rPr>
            </w:pPr>
            <w:r>
              <w:rPr>
                <w:rFonts w:hint="eastAsia"/>
                <w:snapToGrid/>
              </w:rPr>
              <w:t>4,5</w:t>
            </w:r>
          </w:p>
        </w:tc>
        <w:tc>
          <w:tcPr>
            <w:tcW w:w="1045" w:type="dxa"/>
          </w:tcPr>
          <w:p w:rsidR="00000000" w:rsidRDefault="00000000">
            <w:pPr>
              <w:pStyle w:val="a2"/>
              <w:tabs>
                <w:tab w:val="decimal" w:pos="640"/>
              </w:tabs>
              <w:rPr>
                <w:rFonts w:hint="eastAsia"/>
                <w:snapToGrid/>
              </w:rPr>
            </w:pPr>
            <w:r>
              <w:rPr>
                <w:rFonts w:hint="eastAsia"/>
                <w:snapToGrid/>
              </w:rPr>
              <w:t>1,0</w:t>
            </w:r>
          </w:p>
        </w:tc>
        <w:tc>
          <w:tcPr>
            <w:tcW w:w="1046" w:type="dxa"/>
          </w:tcPr>
          <w:p w:rsidR="00000000" w:rsidRDefault="00000000">
            <w:pPr>
              <w:pStyle w:val="a2"/>
              <w:tabs>
                <w:tab w:val="decimal" w:pos="640"/>
              </w:tabs>
              <w:rPr>
                <w:rFonts w:hint="eastAsia"/>
                <w:snapToGrid/>
              </w:rPr>
            </w:pPr>
            <w:r>
              <w:rPr>
                <w:rFonts w:hint="eastAsia"/>
                <w:snapToGrid/>
              </w:rPr>
              <w:t>1,0</w:t>
            </w:r>
          </w:p>
        </w:tc>
        <w:tc>
          <w:tcPr>
            <w:tcW w:w="1046" w:type="dxa"/>
          </w:tcPr>
          <w:p w:rsidR="00000000" w:rsidRDefault="00000000">
            <w:pPr>
              <w:pStyle w:val="a2"/>
              <w:tabs>
                <w:tab w:val="decimal" w:pos="640"/>
              </w:tabs>
              <w:rPr>
                <w:rFonts w:hint="eastAsia"/>
                <w:snapToGrid/>
              </w:rPr>
            </w:pPr>
            <w:r>
              <w:rPr>
                <w:rFonts w:hint="eastAsia"/>
                <w:snapToGrid/>
              </w:rPr>
              <w:t>1,8</w:t>
            </w:r>
          </w:p>
        </w:tc>
        <w:tc>
          <w:tcPr>
            <w:tcW w:w="1046" w:type="dxa"/>
          </w:tcPr>
          <w:p w:rsidR="00000000" w:rsidRDefault="00000000">
            <w:pPr>
              <w:pStyle w:val="a2"/>
              <w:tabs>
                <w:tab w:val="decimal" w:pos="640"/>
              </w:tabs>
              <w:rPr>
                <w:rFonts w:hint="eastAsia"/>
                <w:snapToGrid/>
              </w:rPr>
            </w:pPr>
            <w:r>
              <w:rPr>
                <w:rFonts w:hint="eastAsia"/>
                <w:snapToGrid/>
              </w:rPr>
              <w:t>0,5</w:t>
            </w:r>
          </w:p>
        </w:tc>
        <w:tc>
          <w:tcPr>
            <w:tcW w:w="1046" w:type="dxa"/>
          </w:tcPr>
          <w:p w:rsidR="00000000" w:rsidRDefault="00000000">
            <w:pPr>
              <w:pStyle w:val="a2"/>
              <w:tabs>
                <w:tab w:val="decimal" w:pos="640"/>
              </w:tabs>
              <w:rPr>
                <w:rFonts w:hint="eastAsia"/>
                <w:snapToGrid/>
              </w:rPr>
            </w:pPr>
            <w:r>
              <w:rPr>
                <w:rFonts w:hint="eastAsia"/>
                <w:snapToGrid/>
              </w:rPr>
              <w:t>0,1</w:t>
            </w:r>
          </w:p>
        </w:tc>
        <w:tc>
          <w:tcPr>
            <w:tcW w:w="1046" w:type="dxa"/>
          </w:tcPr>
          <w:p w:rsidR="00000000" w:rsidRDefault="00000000">
            <w:pPr>
              <w:pStyle w:val="a2"/>
              <w:tabs>
                <w:tab w:val="decimal" w:pos="640"/>
              </w:tabs>
              <w:rPr>
                <w:rFonts w:hint="eastAsia"/>
                <w:snapToGrid/>
              </w:rPr>
            </w:pPr>
            <w:r>
              <w:rPr>
                <w:rFonts w:hint="eastAsia"/>
                <w:snapToGrid/>
                <w:spacing w:val="-40"/>
              </w:rPr>
              <w:t>――</w:t>
            </w:r>
            <w:r>
              <w:rPr>
                <w:rFonts w:hint="eastAsia"/>
                <w:snapToGrid/>
                <w:spacing w:val="-40"/>
              </w:rPr>
              <w:t xml:space="preserve"> </w:t>
            </w:r>
            <w:r>
              <w:rPr>
                <w:rFonts w:hint="eastAsia"/>
                <w:snapToGrid/>
                <w:spacing w:val="-40"/>
              </w:rPr>
              <w:t>――</w:t>
            </w:r>
            <w:r>
              <w:rPr>
                <w:rFonts w:hint="eastAsia"/>
                <w:snapToGrid/>
                <w:spacing w:val="-40"/>
              </w:rPr>
              <w:t xml:space="preserve"> </w:t>
            </w:r>
          </w:p>
        </w:tc>
      </w:tr>
      <w:tr w:rsidR="00000000">
        <w:tblPrEx>
          <w:tblCellMar>
            <w:top w:w="0" w:type="dxa"/>
            <w:bottom w:w="0" w:type="dxa"/>
          </w:tblCellMar>
        </w:tblPrEx>
        <w:trPr>
          <w:cantSplit/>
        </w:trPr>
        <w:tc>
          <w:tcPr>
            <w:tcW w:w="1045" w:type="dxa"/>
            <w:vMerge w:val="restart"/>
            <w:vAlign w:val="center"/>
          </w:tcPr>
          <w:p w:rsidR="00000000" w:rsidRDefault="00000000">
            <w:pPr>
              <w:pStyle w:val="a2"/>
              <w:jc w:val="center"/>
              <w:rPr>
                <w:rFonts w:ascii="Time New Roman" w:eastAsia="SimHei" w:hAnsi="Time New Roman" w:hint="eastAsia"/>
              </w:rPr>
            </w:pPr>
            <w:r>
              <w:rPr>
                <w:rFonts w:ascii="Time New Roman" w:eastAsia="SimHei" w:hAnsi="Time New Roman" w:hint="eastAsia"/>
                <w:b/>
              </w:rPr>
              <w:t>2002</w:t>
            </w: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男女</w:t>
            </w:r>
          </w:p>
        </w:tc>
        <w:tc>
          <w:tcPr>
            <w:tcW w:w="1045" w:type="dxa"/>
          </w:tcPr>
          <w:p w:rsidR="00000000" w:rsidRDefault="00000000">
            <w:pPr>
              <w:pStyle w:val="a2"/>
              <w:tabs>
                <w:tab w:val="decimal" w:pos="640"/>
              </w:tabs>
              <w:rPr>
                <w:rFonts w:hint="eastAsia"/>
                <w:snapToGrid/>
              </w:rPr>
            </w:pPr>
            <w:r>
              <w:rPr>
                <w:rFonts w:hint="eastAsia"/>
                <w:snapToGrid/>
              </w:rPr>
              <w:t>13,4</w:t>
            </w:r>
          </w:p>
        </w:tc>
        <w:tc>
          <w:tcPr>
            <w:tcW w:w="1045" w:type="dxa"/>
          </w:tcPr>
          <w:p w:rsidR="00000000" w:rsidRDefault="00000000">
            <w:pPr>
              <w:pStyle w:val="a2"/>
              <w:tabs>
                <w:tab w:val="decimal" w:pos="640"/>
              </w:tabs>
              <w:rPr>
                <w:rFonts w:hint="eastAsia"/>
                <w:snapToGrid/>
              </w:rPr>
            </w:pPr>
            <w:r>
              <w:rPr>
                <w:rFonts w:hint="eastAsia"/>
                <w:snapToGrid/>
              </w:rPr>
              <w:t>2,7</w:t>
            </w:r>
          </w:p>
        </w:tc>
        <w:tc>
          <w:tcPr>
            <w:tcW w:w="1046" w:type="dxa"/>
          </w:tcPr>
          <w:p w:rsidR="00000000" w:rsidRDefault="00000000">
            <w:pPr>
              <w:pStyle w:val="a2"/>
              <w:tabs>
                <w:tab w:val="decimal" w:pos="640"/>
              </w:tabs>
              <w:rPr>
                <w:rFonts w:hint="eastAsia"/>
                <w:snapToGrid/>
              </w:rPr>
            </w:pPr>
            <w:r>
              <w:rPr>
                <w:rFonts w:hint="eastAsia"/>
                <w:snapToGrid/>
              </w:rPr>
              <w:t>2,3</w:t>
            </w:r>
          </w:p>
        </w:tc>
        <w:tc>
          <w:tcPr>
            <w:tcW w:w="1046" w:type="dxa"/>
          </w:tcPr>
          <w:p w:rsidR="00000000" w:rsidRDefault="00000000">
            <w:pPr>
              <w:pStyle w:val="a2"/>
              <w:tabs>
                <w:tab w:val="decimal" w:pos="640"/>
              </w:tabs>
              <w:rPr>
                <w:rFonts w:hint="eastAsia"/>
                <w:snapToGrid/>
              </w:rPr>
            </w:pPr>
            <w:r>
              <w:rPr>
                <w:rFonts w:hint="eastAsia"/>
                <w:snapToGrid/>
              </w:rPr>
              <w:t>4,5</w:t>
            </w:r>
          </w:p>
        </w:tc>
        <w:tc>
          <w:tcPr>
            <w:tcW w:w="1046" w:type="dxa"/>
          </w:tcPr>
          <w:p w:rsidR="00000000" w:rsidRDefault="00000000">
            <w:pPr>
              <w:pStyle w:val="a2"/>
              <w:tabs>
                <w:tab w:val="decimal" w:pos="640"/>
              </w:tabs>
              <w:rPr>
                <w:rFonts w:hint="eastAsia"/>
                <w:snapToGrid/>
              </w:rPr>
            </w:pPr>
            <w:r>
              <w:rPr>
                <w:rFonts w:hint="eastAsia"/>
                <w:snapToGrid/>
              </w:rPr>
              <w:t>3,1</w:t>
            </w:r>
          </w:p>
        </w:tc>
        <w:tc>
          <w:tcPr>
            <w:tcW w:w="1046" w:type="dxa"/>
          </w:tcPr>
          <w:p w:rsidR="00000000" w:rsidRDefault="00000000">
            <w:pPr>
              <w:pStyle w:val="a2"/>
              <w:tabs>
                <w:tab w:val="decimal" w:pos="640"/>
              </w:tabs>
              <w:rPr>
                <w:rFonts w:hint="eastAsia"/>
                <w:snapToGrid/>
              </w:rPr>
            </w:pPr>
            <w:r>
              <w:rPr>
                <w:rFonts w:hint="eastAsia"/>
                <w:snapToGrid/>
              </w:rPr>
              <w:t>0,8</w:t>
            </w:r>
          </w:p>
        </w:tc>
        <w:tc>
          <w:tcPr>
            <w:tcW w:w="1046" w:type="dxa"/>
          </w:tcPr>
          <w:p w:rsidR="00000000" w:rsidRDefault="00000000">
            <w:pPr>
              <w:pStyle w:val="a2"/>
              <w:tabs>
                <w:tab w:val="decimal" w:pos="640"/>
              </w:tabs>
              <w:rPr>
                <w:rFonts w:hint="eastAsia"/>
                <w:snapToGrid/>
              </w:rPr>
            </w:pPr>
            <w:r>
              <w:rPr>
                <w:rFonts w:hint="eastAsia"/>
                <w:snapToGrid/>
                <w:spacing w:val="-40"/>
              </w:rPr>
              <w:t>――</w:t>
            </w:r>
            <w:r>
              <w:rPr>
                <w:rFonts w:hint="eastAsia"/>
                <w:snapToGrid/>
                <w:spacing w:val="-40"/>
              </w:rPr>
              <w:t xml:space="preserve"> </w:t>
            </w:r>
            <w:r>
              <w:rPr>
                <w:rFonts w:hint="eastAsia"/>
                <w:snapToGrid/>
                <w:spacing w:val="-40"/>
              </w:rPr>
              <w:t>――</w:t>
            </w:r>
            <w:r>
              <w:rPr>
                <w:rFonts w:hint="eastAsia"/>
                <w:snapToGrid/>
                <w:spacing w:val="-40"/>
              </w:rPr>
              <w:t xml:space="preserve"> </w:t>
            </w:r>
          </w:p>
        </w:tc>
      </w:tr>
      <w:tr w:rsidR="00000000">
        <w:tblPrEx>
          <w:tblCellMar>
            <w:top w:w="0" w:type="dxa"/>
            <w:bottom w:w="0" w:type="dxa"/>
          </w:tblCellMar>
        </w:tblPrEx>
        <w:trPr>
          <w:cantSplit/>
        </w:trPr>
        <w:tc>
          <w:tcPr>
            <w:tcW w:w="1045" w:type="dxa"/>
            <w:vMerge/>
            <w:vAlign w:val="center"/>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男</w:t>
            </w:r>
          </w:p>
        </w:tc>
        <w:tc>
          <w:tcPr>
            <w:tcW w:w="1045" w:type="dxa"/>
          </w:tcPr>
          <w:p w:rsidR="00000000" w:rsidRDefault="00000000">
            <w:pPr>
              <w:pStyle w:val="a2"/>
              <w:tabs>
                <w:tab w:val="decimal" w:pos="640"/>
              </w:tabs>
              <w:rPr>
                <w:rFonts w:hint="eastAsia"/>
                <w:snapToGrid/>
              </w:rPr>
            </w:pPr>
            <w:r>
              <w:rPr>
                <w:rFonts w:hint="eastAsia"/>
                <w:snapToGrid/>
              </w:rPr>
              <w:t>8,9</w:t>
            </w:r>
          </w:p>
        </w:tc>
        <w:tc>
          <w:tcPr>
            <w:tcW w:w="1045" w:type="dxa"/>
          </w:tcPr>
          <w:p w:rsidR="00000000" w:rsidRDefault="00000000">
            <w:pPr>
              <w:pStyle w:val="a2"/>
              <w:tabs>
                <w:tab w:val="decimal" w:pos="640"/>
              </w:tabs>
              <w:rPr>
                <w:rFonts w:hint="eastAsia"/>
                <w:snapToGrid/>
              </w:rPr>
            </w:pPr>
            <w:r>
              <w:rPr>
                <w:rFonts w:hint="eastAsia"/>
                <w:snapToGrid/>
              </w:rPr>
              <w:t>1,7</w:t>
            </w:r>
          </w:p>
        </w:tc>
        <w:tc>
          <w:tcPr>
            <w:tcW w:w="1046" w:type="dxa"/>
          </w:tcPr>
          <w:p w:rsidR="00000000" w:rsidRDefault="00000000">
            <w:pPr>
              <w:pStyle w:val="a2"/>
              <w:tabs>
                <w:tab w:val="decimal" w:pos="640"/>
              </w:tabs>
              <w:rPr>
                <w:rFonts w:hint="eastAsia"/>
                <w:snapToGrid/>
              </w:rPr>
            </w:pPr>
            <w:r>
              <w:rPr>
                <w:rFonts w:hint="eastAsia"/>
                <w:snapToGrid/>
              </w:rPr>
              <w:t>1,5</w:t>
            </w:r>
          </w:p>
        </w:tc>
        <w:tc>
          <w:tcPr>
            <w:tcW w:w="1046" w:type="dxa"/>
          </w:tcPr>
          <w:p w:rsidR="00000000" w:rsidRDefault="00000000">
            <w:pPr>
              <w:pStyle w:val="a2"/>
              <w:tabs>
                <w:tab w:val="decimal" w:pos="640"/>
              </w:tabs>
              <w:rPr>
                <w:rFonts w:hint="eastAsia"/>
                <w:snapToGrid/>
              </w:rPr>
            </w:pPr>
            <w:r>
              <w:rPr>
                <w:rFonts w:hint="eastAsia"/>
                <w:snapToGrid/>
              </w:rPr>
              <w:t>2,9</w:t>
            </w:r>
          </w:p>
        </w:tc>
        <w:tc>
          <w:tcPr>
            <w:tcW w:w="1046" w:type="dxa"/>
          </w:tcPr>
          <w:p w:rsidR="00000000" w:rsidRDefault="00000000">
            <w:pPr>
              <w:pStyle w:val="a2"/>
              <w:tabs>
                <w:tab w:val="decimal" w:pos="640"/>
              </w:tabs>
              <w:rPr>
                <w:rFonts w:hint="eastAsia"/>
                <w:snapToGrid/>
              </w:rPr>
            </w:pPr>
            <w:r>
              <w:rPr>
                <w:rFonts w:hint="eastAsia"/>
                <w:snapToGrid/>
              </w:rPr>
              <w:t>2,2</w:t>
            </w:r>
          </w:p>
        </w:tc>
        <w:tc>
          <w:tcPr>
            <w:tcW w:w="1046" w:type="dxa"/>
          </w:tcPr>
          <w:p w:rsidR="00000000" w:rsidRDefault="00000000">
            <w:pPr>
              <w:pStyle w:val="a2"/>
              <w:tabs>
                <w:tab w:val="decimal" w:pos="640"/>
              </w:tabs>
              <w:rPr>
                <w:rFonts w:hint="eastAsia"/>
                <w:snapToGrid/>
              </w:rPr>
            </w:pPr>
            <w:r>
              <w:rPr>
                <w:rFonts w:hint="eastAsia"/>
                <w:snapToGrid/>
              </w:rPr>
              <w:t>0,6</w:t>
            </w:r>
          </w:p>
        </w:tc>
        <w:tc>
          <w:tcPr>
            <w:tcW w:w="1046" w:type="dxa"/>
          </w:tcPr>
          <w:p w:rsidR="00000000" w:rsidRDefault="00000000">
            <w:pPr>
              <w:pStyle w:val="a2"/>
              <w:tabs>
                <w:tab w:val="decimal" w:pos="640"/>
              </w:tabs>
              <w:rPr>
                <w:rFonts w:hint="eastAsia"/>
                <w:snapToGrid/>
              </w:rPr>
            </w:pPr>
            <w:r>
              <w:rPr>
                <w:rFonts w:hint="eastAsia"/>
                <w:snapToGrid/>
                <w:spacing w:val="-40"/>
              </w:rPr>
              <w:t>――</w:t>
            </w:r>
            <w:r>
              <w:rPr>
                <w:rFonts w:hint="eastAsia"/>
                <w:snapToGrid/>
                <w:spacing w:val="-40"/>
              </w:rPr>
              <w:t xml:space="preserve"> </w:t>
            </w:r>
            <w:r>
              <w:rPr>
                <w:rFonts w:hint="eastAsia"/>
                <w:snapToGrid/>
                <w:spacing w:val="-40"/>
              </w:rPr>
              <w:t>――</w:t>
            </w:r>
            <w:r>
              <w:rPr>
                <w:rFonts w:hint="eastAsia"/>
                <w:snapToGrid/>
                <w:spacing w:val="-40"/>
              </w:rPr>
              <w:t xml:space="preserve"> </w:t>
            </w:r>
          </w:p>
        </w:tc>
      </w:tr>
      <w:tr w:rsidR="00000000">
        <w:tblPrEx>
          <w:tblCellMar>
            <w:top w:w="0" w:type="dxa"/>
            <w:bottom w:w="0" w:type="dxa"/>
          </w:tblCellMar>
        </w:tblPrEx>
        <w:trPr>
          <w:cantSplit/>
        </w:trPr>
        <w:tc>
          <w:tcPr>
            <w:tcW w:w="1045" w:type="dxa"/>
            <w:vMerge/>
            <w:vAlign w:val="center"/>
          </w:tcPr>
          <w:p w:rsidR="00000000" w:rsidRDefault="00000000">
            <w:pPr>
              <w:pStyle w:val="a2"/>
              <w:jc w:val="center"/>
              <w:rPr>
                <w:rFonts w:ascii="Time New Roman" w:eastAsia="SimHei" w:hAnsi="Time New Roman" w:hint="eastAsia"/>
              </w:rPr>
            </w:pPr>
          </w:p>
        </w:tc>
        <w:tc>
          <w:tcPr>
            <w:tcW w:w="1045"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女</w:t>
            </w:r>
          </w:p>
        </w:tc>
        <w:tc>
          <w:tcPr>
            <w:tcW w:w="1045" w:type="dxa"/>
          </w:tcPr>
          <w:p w:rsidR="00000000" w:rsidRDefault="00000000">
            <w:pPr>
              <w:pStyle w:val="a2"/>
              <w:tabs>
                <w:tab w:val="decimal" w:pos="640"/>
              </w:tabs>
              <w:rPr>
                <w:rFonts w:hint="eastAsia"/>
                <w:snapToGrid/>
              </w:rPr>
            </w:pPr>
            <w:r>
              <w:rPr>
                <w:rFonts w:hint="eastAsia"/>
                <w:snapToGrid/>
              </w:rPr>
              <w:t>4,5</w:t>
            </w:r>
          </w:p>
        </w:tc>
        <w:tc>
          <w:tcPr>
            <w:tcW w:w="1045" w:type="dxa"/>
          </w:tcPr>
          <w:p w:rsidR="00000000" w:rsidRDefault="00000000">
            <w:pPr>
              <w:pStyle w:val="a2"/>
              <w:tabs>
                <w:tab w:val="decimal" w:pos="640"/>
              </w:tabs>
              <w:rPr>
                <w:rFonts w:hint="eastAsia"/>
                <w:snapToGrid/>
              </w:rPr>
            </w:pPr>
            <w:r>
              <w:rPr>
                <w:rFonts w:hint="eastAsia"/>
                <w:snapToGrid/>
              </w:rPr>
              <w:t>1,0</w:t>
            </w:r>
          </w:p>
        </w:tc>
        <w:tc>
          <w:tcPr>
            <w:tcW w:w="1046" w:type="dxa"/>
          </w:tcPr>
          <w:p w:rsidR="00000000" w:rsidRDefault="00000000">
            <w:pPr>
              <w:pStyle w:val="a2"/>
              <w:tabs>
                <w:tab w:val="decimal" w:pos="640"/>
              </w:tabs>
              <w:rPr>
                <w:rFonts w:hint="eastAsia"/>
                <w:snapToGrid/>
              </w:rPr>
            </w:pPr>
            <w:r>
              <w:rPr>
                <w:rFonts w:hint="eastAsia"/>
                <w:snapToGrid/>
              </w:rPr>
              <w:t>0,5</w:t>
            </w:r>
          </w:p>
        </w:tc>
        <w:tc>
          <w:tcPr>
            <w:tcW w:w="1046" w:type="dxa"/>
          </w:tcPr>
          <w:p w:rsidR="00000000" w:rsidRDefault="00000000">
            <w:pPr>
              <w:pStyle w:val="a2"/>
              <w:tabs>
                <w:tab w:val="decimal" w:pos="640"/>
              </w:tabs>
              <w:rPr>
                <w:rFonts w:hint="eastAsia"/>
                <w:snapToGrid/>
              </w:rPr>
            </w:pPr>
            <w:r>
              <w:rPr>
                <w:rFonts w:hint="eastAsia"/>
                <w:snapToGrid/>
              </w:rPr>
              <w:t>1,6</w:t>
            </w:r>
          </w:p>
        </w:tc>
        <w:tc>
          <w:tcPr>
            <w:tcW w:w="1046" w:type="dxa"/>
          </w:tcPr>
          <w:p w:rsidR="00000000" w:rsidRDefault="00000000">
            <w:pPr>
              <w:pStyle w:val="a2"/>
              <w:tabs>
                <w:tab w:val="decimal" w:pos="640"/>
              </w:tabs>
              <w:rPr>
                <w:rFonts w:hint="eastAsia"/>
                <w:snapToGrid/>
              </w:rPr>
            </w:pPr>
            <w:r>
              <w:rPr>
                <w:rFonts w:hint="eastAsia"/>
                <w:snapToGrid/>
              </w:rPr>
              <w:t>0,9</w:t>
            </w:r>
          </w:p>
        </w:tc>
        <w:tc>
          <w:tcPr>
            <w:tcW w:w="1046" w:type="dxa"/>
          </w:tcPr>
          <w:p w:rsidR="00000000" w:rsidRDefault="00000000">
            <w:pPr>
              <w:pStyle w:val="a2"/>
              <w:tabs>
                <w:tab w:val="decimal" w:pos="640"/>
              </w:tabs>
              <w:rPr>
                <w:rFonts w:hint="eastAsia"/>
                <w:snapToGrid/>
              </w:rPr>
            </w:pPr>
            <w:r>
              <w:rPr>
                <w:rFonts w:hint="eastAsia"/>
                <w:snapToGrid/>
              </w:rPr>
              <w:t>0,2</w:t>
            </w:r>
          </w:p>
        </w:tc>
        <w:tc>
          <w:tcPr>
            <w:tcW w:w="1046" w:type="dxa"/>
          </w:tcPr>
          <w:p w:rsidR="00000000" w:rsidRDefault="00000000">
            <w:pPr>
              <w:pStyle w:val="a2"/>
              <w:tabs>
                <w:tab w:val="decimal" w:pos="640"/>
              </w:tabs>
              <w:rPr>
                <w:rFonts w:hint="eastAsia"/>
                <w:snapToGrid/>
              </w:rPr>
            </w:pPr>
            <w:r>
              <w:rPr>
                <w:rFonts w:hint="eastAsia"/>
                <w:snapToGrid/>
                <w:spacing w:val="-40"/>
              </w:rPr>
              <w:t xml:space="preserve"> </w:t>
            </w:r>
            <w:r>
              <w:rPr>
                <w:rFonts w:hint="eastAsia"/>
                <w:snapToGrid/>
                <w:spacing w:val="-40"/>
              </w:rPr>
              <w:t>――</w:t>
            </w:r>
            <w:r>
              <w:rPr>
                <w:rFonts w:hint="eastAsia"/>
                <w:snapToGrid/>
                <w:spacing w:val="-40"/>
              </w:rPr>
              <w:t xml:space="preserve"> </w:t>
            </w:r>
            <w:r>
              <w:rPr>
                <w:rFonts w:hint="eastAsia"/>
                <w:snapToGrid/>
                <w:spacing w:val="-40"/>
              </w:rPr>
              <w:t>――</w:t>
            </w:r>
            <w:r>
              <w:rPr>
                <w:rFonts w:hint="eastAsia"/>
                <w:snapToGrid/>
                <w:spacing w:val="-40"/>
              </w:rPr>
              <w:t xml:space="preserve"> </w:t>
            </w:r>
          </w:p>
        </w:tc>
      </w:tr>
    </w:tbl>
    <w:p w:rsidR="00000000" w:rsidRDefault="00000000">
      <w:pPr>
        <w:spacing w:before="160" w:after="120"/>
        <w:ind w:left="510"/>
        <w:rPr>
          <w:rFonts w:eastAsia="KaiTi_GB2312" w:hint="eastAsia"/>
        </w:rPr>
      </w:pPr>
      <w:r>
        <w:rPr>
          <w:rFonts w:eastAsia="KaiTi_GB2312" w:hint="eastAsia"/>
          <w:u w:val="single"/>
        </w:rPr>
        <w:t>资料来源</w:t>
      </w:r>
      <w:r>
        <w:rPr>
          <w:rFonts w:eastAsia="KaiTi_GB2312" w:hint="eastAsia"/>
        </w:rPr>
        <w:t>：统计暨普查局，就业调查。</w:t>
      </w:r>
    </w:p>
    <w:p w:rsidR="00000000" w:rsidRDefault="00000000">
      <w:pPr>
        <w:rPr>
          <w:snapToGrid/>
        </w:rPr>
      </w:pPr>
      <w:r>
        <w:tab/>
      </w:r>
      <w:r>
        <w:rPr>
          <w:snapToGrid/>
        </w:rPr>
        <w:t xml:space="preserve">867.  </w:t>
      </w:r>
      <w:r>
        <w:rPr>
          <w:rFonts w:hint="eastAsia"/>
          <w:snapToGrid/>
        </w:rPr>
        <w:t>为消除在工作地点出现的歧视情况</w:t>
      </w:r>
      <w:r>
        <w:rPr>
          <w:snapToGrid/>
        </w:rPr>
        <w:t>，</w:t>
      </w:r>
      <w:r>
        <w:rPr>
          <w:rFonts w:hint="eastAsia"/>
          <w:snapToGrid/>
        </w:rPr>
        <w:t>劳工暨就业局进行了各式各样的工作</w:t>
      </w:r>
      <w:r>
        <w:rPr>
          <w:snapToGrid/>
        </w:rPr>
        <w:t>，</w:t>
      </w:r>
      <w:r>
        <w:rPr>
          <w:rFonts w:hint="eastAsia"/>
          <w:snapToGrid/>
        </w:rPr>
        <w:t>例如宣传运动、稽查工作</w:t>
      </w:r>
      <w:r>
        <w:rPr>
          <w:snapToGrid/>
        </w:rPr>
        <w:t>，</w:t>
      </w:r>
      <w:r>
        <w:rPr>
          <w:rFonts w:hint="eastAsia"/>
          <w:snapToGrid/>
        </w:rPr>
        <w:t>等等。劳工暨就业局负起确保劳资关系符合法律规定和保障劳工权益的责任</w:t>
      </w:r>
      <w:r>
        <w:rPr>
          <w:snapToGrid/>
        </w:rPr>
        <w:t xml:space="preserve"> (</w:t>
      </w:r>
      <w:r>
        <w:rPr>
          <w:rFonts w:hint="eastAsia"/>
          <w:snapToGrid/>
        </w:rPr>
        <w:t>第</w:t>
      </w:r>
      <w:r>
        <w:rPr>
          <w:snapToGrid/>
        </w:rPr>
        <w:t>52/95/M</w:t>
      </w:r>
      <w:r>
        <w:rPr>
          <w:rFonts w:hint="eastAsia"/>
          <w:snapToGrid/>
        </w:rPr>
        <w:t>号法令第十六条</w:t>
      </w:r>
      <w:r>
        <w:rPr>
          <w:snapToGrid/>
        </w:rPr>
        <w:t>)</w:t>
      </w:r>
      <w:r>
        <w:rPr>
          <w:rFonts w:hint="eastAsia"/>
          <w:snapToGrid/>
        </w:rPr>
        <w:t>。</w:t>
      </w:r>
    </w:p>
    <w:p w:rsidR="00000000" w:rsidRDefault="00000000">
      <w:pPr>
        <w:spacing w:after="240"/>
        <w:rPr>
          <w:snapToGrid/>
        </w:rPr>
      </w:pPr>
      <w:r>
        <w:rPr>
          <w:snapToGrid/>
        </w:rPr>
        <w:tab/>
        <w:t xml:space="preserve">868.  </w:t>
      </w:r>
      <w:r>
        <w:rPr>
          <w:rFonts w:hint="eastAsia"/>
          <w:snapToGrid/>
        </w:rPr>
        <w:t>所有劳工均可按照上述法令第七条第一款的规定向劳工暨就业局提出投诉。到目前为止</w:t>
      </w:r>
      <w:r>
        <w:rPr>
          <w:snapToGrid/>
        </w:rPr>
        <w:t>，</w:t>
      </w:r>
      <w:r>
        <w:rPr>
          <w:rFonts w:hint="eastAsia"/>
          <w:snapToGrid/>
        </w:rPr>
        <w:t>尚未接获任何以歧视为由而提出的投诉。</w:t>
      </w:r>
    </w:p>
    <w:p w:rsidR="00000000" w:rsidRDefault="00000000">
      <w:pPr>
        <w:pStyle w:val="Heading4"/>
        <w:rPr>
          <w:rFonts w:hint="eastAsia"/>
        </w:rPr>
      </w:pPr>
      <w:r>
        <w:rPr>
          <w:rFonts w:hint="eastAsia"/>
        </w:rPr>
        <w:t>具积极意义的歧视</w:t>
      </w:r>
    </w:p>
    <w:p w:rsidR="00000000" w:rsidRDefault="00000000">
      <w:pPr>
        <w:rPr>
          <w:snapToGrid/>
        </w:rPr>
      </w:pPr>
      <w:r>
        <w:rPr>
          <w:rFonts w:hint="eastAsia"/>
        </w:rPr>
        <w:tab/>
      </w:r>
      <w:r>
        <w:rPr>
          <w:snapToGrid/>
        </w:rPr>
        <w:t xml:space="preserve">869.  </w:t>
      </w:r>
      <w:r>
        <w:rPr>
          <w:rFonts w:hint="eastAsia"/>
          <w:snapToGrid/>
        </w:rPr>
        <w:t>《基本法》第三十八条第二款和第三款明确承认某类群体应获特别保护的事实</w:t>
      </w:r>
      <w:r>
        <w:rPr>
          <w:snapToGrid/>
        </w:rPr>
        <w:t>，</w:t>
      </w:r>
      <w:r>
        <w:rPr>
          <w:rFonts w:hint="eastAsia"/>
          <w:snapToGrid/>
        </w:rPr>
        <w:t>规定妇女、未成年人和残疾人受到特别的保护。</w:t>
      </w:r>
    </w:p>
    <w:p w:rsidR="00000000" w:rsidRDefault="00000000">
      <w:pPr>
        <w:rPr>
          <w:snapToGrid/>
        </w:rPr>
      </w:pPr>
      <w:r>
        <w:rPr>
          <w:snapToGrid/>
        </w:rPr>
        <w:tab/>
        <w:t xml:space="preserve">870.  </w:t>
      </w:r>
      <w:r>
        <w:rPr>
          <w:rFonts w:hint="eastAsia"/>
          <w:snapToGrid/>
        </w:rPr>
        <w:t>容许对妇女或未成年人作出具积极意义的歧视</w:t>
      </w:r>
      <w:r>
        <w:rPr>
          <w:snapToGrid/>
        </w:rPr>
        <w:t>，</w:t>
      </w:r>
      <w:r>
        <w:rPr>
          <w:rFonts w:hint="eastAsia"/>
          <w:snapToGrid/>
        </w:rPr>
        <w:t>目的是纠正事实上的不平等或滥用不歧视原则的情况。</w:t>
      </w:r>
    </w:p>
    <w:p w:rsidR="00000000" w:rsidRDefault="00000000">
      <w:pPr>
        <w:rPr>
          <w:snapToGrid/>
        </w:rPr>
      </w:pPr>
      <w:r>
        <w:rPr>
          <w:snapToGrid/>
        </w:rPr>
        <w:tab/>
        <w:t xml:space="preserve">871.  </w:t>
      </w:r>
      <w:r>
        <w:rPr>
          <w:rFonts w:hint="eastAsia"/>
          <w:snapToGrid/>
        </w:rPr>
        <w:t>在这方面</w:t>
      </w:r>
      <w:r>
        <w:rPr>
          <w:snapToGrid/>
        </w:rPr>
        <w:t>，</w:t>
      </w:r>
      <w:r>
        <w:rPr>
          <w:rFonts w:hint="eastAsia"/>
          <w:snapToGrid/>
        </w:rPr>
        <w:t>劳动法例禁止或限制可对未成年人的身体、精神或道德发展造成损害</w:t>
      </w:r>
      <w:r>
        <w:rPr>
          <w:snapToGrid/>
        </w:rPr>
        <w:t xml:space="preserve"> (</w:t>
      </w:r>
      <w:r>
        <w:rPr>
          <w:rFonts w:hint="eastAsia"/>
          <w:snapToGrid/>
        </w:rPr>
        <w:t>或构成潜在危险</w:t>
      </w:r>
      <w:r>
        <w:rPr>
          <w:snapToGrid/>
        </w:rPr>
        <w:t>)</w:t>
      </w:r>
      <w:r>
        <w:rPr>
          <w:rFonts w:hint="eastAsia"/>
          <w:snapToGrid/>
        </w:rPr>
        <w:t>的工作</w:t>
      </w:r>
      <w:r>
        <w:rPr>
          <w:snapToGrid/>
        </w:rPr>
        <w:t xml:space="preserve"> (</w:t>
      </w:r>
      <w:r>
        <w:rPr>
          <w:rFonts w:hint="eastAsia"/>
          <w:snapToGrid/>
        </w:rPr>
        <w:t>第</w:t>
      </w:r>
      <w:r>
        <w:rPr>
          <w:snapToGrid/>
        </w:rPr>
        <w:t>24/89/M</w:t>
      </w:r>
      <w:r>
        <w:rPr>
          <w:rFonts w:hint="eastAsia"/>
          <w:snapToGrid/>
        </w:rPr>
        <w:t>号法令第三十五条和第四十条</w:t>
      </w:r>
      <w:r>
        <w:rPr>
          <w:snapToGrid/>
        </w:rPr>
        <w:t>)</w:t>
      </w:r>
      <w:r>
        <w:rPr>
          <w:rFonts w:hint="eastAsia"/>
          <w:snapToGrid/>
        </w:rPr>
        <w:t>或可对妇女的生育功能构成实质危险</w:t>
      </w:r>
      <w:r>
        <w:rPr>
          <w:snapToGrid/>
        </w:rPr>
        <w:t xml:space="preserve"> (</w:t>
      </w:r>
      <w:r>
        <w:rPr>
          <w:rFonts w:hint="eastAsia"/>
          <w:snapToGrid/>
        </w:rPr>
        <w:t>或潜在危险</w:t>
      </w:r>
      <w:r>
        <w:rPr>
          <w:snapToGrid/>
        </w:rPr>
        <w:t>)</w:t>
      </w:r>
      <w:r>
        <w:rPr>
          <w:rFonts w:hint="eastAsia"/>
          <w:snapToGrid/>
        </w:rPr>
        <w:t xml:space="preserve"> </w:t>
      </w:r>
      <w:r>
        <w:rPr>
          <w:rFonts w:hint="eastAsia"/>
          <w:snapToGrid/>
        </w:rPr>
        <w:t>的工作</w:t>
      </w:r>
      <w:r>
        <w:rPr>
          <w:snapToGrid/>
        </w:rPr>
        <w:t xml:space="preserve"> (</w:t>
      </w:r>
      <w:r>
        <w:rPr>
          <w:rFonts w:hint="eastAsia"/>
          <w:snapToGrid/>
        </w:rPr>
        <w:t>第</w:t>
      </w:r>
      <w:r>
        <w:rPr>
          <w:snapToGrid/>
        </w:rPr>
        <w:t>24/89/M</w:t>
      </w:r>
      <w:r>
        <w:rPr>
          <w:rFonts w:hint="eastAsia"/>
          <w:snapToGrid/>
        </w:rPr>
        <w:t>号法令第三十四条第三款和第</w:t>
      </w:r>
      <w:r>
        <w:rPr>
          <w:snapToGrid/>
        </w:rPr>
        <w:t>4/98/M</w:t>
      </w:r>
      <w:r>
        <w:rPr>
          <w:rFonts w:hint="eastAsia"/>
          <w:snapToGrid/>
        </w:rPr>
        <w:t>号法律第五条第二款</w:t>
      </w:r>
      <w:r>
        <w:rPr>
          <w:snapToGrid/>
        </w:rPr>
        <w:t>)</w:t>
      </w:r>
      <w:r>
        <w:rPr>
          <w:rFonts w:hint="eastAsia"/>
          <w:snapToGrid/>
        </w:rPr>
        <w:t>。</w:t>
      </w:r>
    </w:p>
    <w:p w:rsidR="00000000" w:rsidRDefault="00000000">
      <w:pPr>
        <w:rPr>
          <w:snapToGrid/>
        </w:rPr>
      </w:pPr>
      <w:r>
        <w:rPr>
          <w:snapToGrid/>
        </w:rPr>
        <w:tab/>
        <w:t xml:space="preserve">872.  </w:t>
      </w:r>
      <w:r>
        <w:rPr>
          <w:rFonts w:hint="eastAsia"/>
          <w:snapToGrid/>
        </w:rPr>
        <w:t>关于男女劳工在就业上获平等的机会和待遇的法令亦作出特别规定</w:t>
      </w:r>
      <w:r>
        <w:rPr>
          <w:snapToGrid/>
        </w:rPr>
        <w:t>，</w:t>
      </w:r>
      <w:r>
        <w:rPr>
          <w:rFonts w:hint="eastAsia"/>
          <w:snapToGrid/>
        </w:rPr>
        <w:t>以保护妇女的生育功能</w:t>
      </w:r>
      <w:r>
        <w:rPr>
          <w:snapToGrid/>
        </w:rPr>
        <w:t>，</w:t>
      </w:r>
      <w:r>
        <w:rPr>
          <w:rFonts w:hint="eastAsia"/>
          <w:snapToGrid/>
        </w:rPr>
        <w:t>限制或禁止可对妇女的生育功能构成实质危险的工作</w:t>
      </w:r>
      <w:r>
        <w:rPr>
          <w:snapToGrid/>
        </w:rPr>
        <w:t>，</w:t>
      </w:r>
      <w:r>
        <w:rPr>
          <w:rFonts w:hint="eastAsia"/>
          <w:snapToGrid/>
        </w:rPr>
        <w:t>即使纯属潜在危险亦然</w:t>
      </w:r>
      <w:r>
        <w:rPr>
          <w:snapToGrid/>
        </w:rPr>
        <w:t xml:space="preserve"> (</w:t>
      </w:r>
      <w:r>
        <w:rPr>
          <w:rFonts w:hint="eastAsia"/>
          <w:snapToGrid/>
        </w:rPr>
        <w:t>第八条</w:t>
      </w:r>
      <w:r>
        <w:rPr>
          <w:snapToGrid/>
        </w:rPr>
        <w:t>)</w:t>
      </w:r>
      <w:r>
        <w:rPr>
          <w:rFonts w:hint="eastAsia"/>
          <w:snapToGrid/>
        </w:rPr>
        <w:t>。</w:t>
      </w:r>
    </w:p>
    <w:p w:rsidR="00000000" w:rsidRDefault="00000000">
      <w:pPr>
        <w:spacing w:after="320"/>
        <w:rPr>
          <w:snapToGrid/>
        </w:rPr>
      </w:pPr>
      <w:r>
        <w:rPr>
          <w:snapToGrid/>
        </w:rPr>
        <w:tab/>
        <w:t xml:space="preserve">873.  </w:t>
      </w:r>
      <w:r>
        <w:rPr>
          <w:rFonts w:hint="eastAsia"/>
          <w:snapToGrid/>
        </w:rPr>
        <w:t>如违反上述规定</w:t>
      </w:r>
      <w:r>
        <w:rPr>
          <w:snapToGrid/>
        </w:rPr>
        <w:t>，</w:t>
      </w:r>
      <w:r>
        <w:rPr>
          <w:rFonts w:hint="eastAsia"/>
          <w:snapToGrid/>
        </w:rPr>
        <w:t>劳工暨就业局可按每项违法行为所涉及的每名劳工</w:t>
      </w:r>
      <w:r>
        <w:rPr>
          <w:snapToGrid/>
        </w:rPr>
        <w:t>，</w:t>
      </w:r>
      <w:r>
        <w:rPr>
          <w:rFonts w:hint="eastAsia"/>
          <w:snapToGrid/>
        </w:rPr>
        <w:t>向雇主实体科以最高额为澳门币</w:t>
      </w:r>
      <w:r>
        <w:rPr>
          <w:snapToGrid/>
        </w:rPr>
        <w:t>12,500</w:t>
      </w:r>
      <w:r>
        <w:rPr>
          <w:rFonts w:hint="eastAsia"/>
          <w:snapToGrid/>
        </w:rPr>
        <w:t>元的罚款</w:t>
      </w:r>
      <w:r>
        <w:rPr>
          <w:snapToGrid/>
        </w:rPr>
        <w:t xml:space="preserve"> (</w:t>
      </w:r>
      <w:r>
        <w:rPr>
          <w:rFonts w:hint="eastAsia"/>
          <w:snapToGrid/>
        </w:rPr>
        <w:t>第</w:t>
      </w:r>
      <w:r>
        <w:rPr>
          <w:snapToGrid/>
        </w:rPr>
        <w:t>24/89/M</w:t>
      </w:r>
      <w:r>
        <w:rPr>
          <w:rFonts w:hint="eastAsia"/>
          <w:snapToGrid/>
        </w:rPr>
        <w:t>号法令第五十条</w:t>
      </w:r>
      <w:r>
        <w:rPr>
          <w:snapToGrid/>
        </w:rPr>
        <w:t>)</w:t>
      </w:r>
      <w:r>
        <w:rPr>
          <w:rFonts w:hint="eastAsia"/>
          <w:snapToGrid/>
        </w:rPr>
        <w:t>。</w:t>
      </w:r>
    </w:p>
    <w:p w:rsidR="00000000" w:rsidRDefault="00000000">
      <w:pPr>
        <w:pStyle w:val="Heading3"/>
        <w:rPr>
          <w:rFonts w:ascii="Time New Roman" w:eastAsia="SimHei" w:hAnsi="Time New Roman"/>
          <w:u w:val="none"/>
        </w:rPr>
      </w:pPr>
      <w:bookmarkStart w:id="66" w:name="_Toc78772975"/>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七</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享有公平和良好工作条件的权利</w:t>
      </w:r>
      <w:bookmarkEnd w:id="66"/>
    </w:p>
    <w:p w:rsidR="00000000" w:rsidRDefault="00000000">
      <w:pPr>
        <w:pStyle w:val="Heading3"/>
      </w:pPr>
      <w:bookmarkStart w:id="67" w:name="_Toc78772976"/>
      <w:r>
        <w:rPr>
          <w:u w:val="none"/>
        </w:rPr>
        <w:t xml:space="preserve">A.  </w:t>
      </w:r>
      <w:r>
        <w:rPr>
          <w:rFonts w:hint="eastAsia"/>
        </w:rPr>
        <w:t>法律体制</w:t>
      </w:r>
      <w:bookmarkEnd w:id="67"/>
    </w:p>
    <w:p w:rsidR="00000000" w:rsidRDefault="00000000">
      <w:pPr>
        <w:rPr>
          <w:snapToGrid/>
        </w:rPr>
      </w:pPr>
      <w:r>
        <w:tab/>
      </w:r>
      <w:r>
        <w:rPr>
          <w:snapToGrid/>
        </w:rPr>
        <w:t>874.  1921</w:t>
      </w:r>
      <w:r>
        <w:rPr>
          <w:rFonts w:hint="eastAsia"/>
          <w:snapToGrid/>
        </w:rPr>
        <w:t>年《工业企业中实行每周休息公约》</w:t>
      </w:r>
      <w:r>
        <w:rPr>
          <w:snapToGrid/>
        </w:rPr>
        <w:t xml:space="preserve"> (</w:t>
      </w:r>
      <w:r>
        <w:rPr>
          <w:rFonts w:hint="eastAsia"/>
          <w:snapToGrid/>
        </w:rPr>
        <w:t>国际劳工组织第</w:t>
      </w:r>
      <w:r>
        <w:rPr>
          <w:snapToGrid/>
        </w:rPr>
        <w:t>14</w:t>
      </w:r>
      <w:r>
        <w:rPr>
          <w:rFonts w:hint="eastAsia"/>
          <w:snapToGrid/>
        </w:rPr>
        <w:t>号公约</w:t>
      </w:r>
      <w:r>
        <w:rPr>
          <w:snapToGrid/>
        </w:rPr>
        <w:t>)</w:t>
      </w:r>
      <w:r>
        <w:rPr>
          <w:rFonts w:hint="eastAsia"/>
          <w:snapToGrid/>
        </w:rPr>
        <w:t>、</w:t>
      </w:r>
      <w:r>
        <w:rPr>
          <w:snapToGrid/>
        </w:rPr>
        <w:t>1947</w:t>
      </w:r>
      <w:r>
        <w:rPr>
          <w:rFonts w:hint="eastAsia"/>
          <w:snapToGrid/>
        </w:rPr>
        <w:t>年《工商业劳动监察公约》</w:t>
      </w:r>
      <w:r>
        <w:rPr>
          <w:snapToGrid/>
        </w:rPr>
        <w:t xml:space="preserve"> (</w:t>
      </w:r>
      <w:r>
        <w:rPr>
          <w:rFonts w:hint="eastAsia"/>
          <w:snapToGrid/>
        </w:rPr>
        <w:t>国际劳工组织第</w:t>
      </w:r>
      <w:r>
        <w:rPr>
          <w:snapToGrid/>
        </w:rPr>
        <w:t>81</w:t>
      </w:r>
      <w:r>
        <w:rPr>
          <w:rFonts w:hint="eastAsia"/>
          <w:snapToGrid/>
        </w:rPr>
        <w:t>号公约</w:t>
      </w:r>
      <w:r>
        <w:rPr>
          <w:snapToGrid/>
        </w:rPr>
        <w:t>)</w:t>
      </w:r>
      <w:r>
        <w:rPr>
          <w:rFonts w:hint="eastAsia"/>
          <w:snapToGrid/>
        </w:rPr>
        <w:t>、</w:t>
      </w:r>
      <w:r>
        <w:rPr>
          <w:snapToGrid/>
        </w:rPr>
        <w:t>1</w:t>
      </w:r>
      <w:r>
        <w:rPr>
          <w:rFonts w:hint="eastAsia"/>
          <w:snapToGrid/>
        </w:rPr>
        <w:t>95</w:t>
      </w:r>
      <w:r>
        <w:rPr>
          <w:snapToGrid/>
        </w:rPr>
        <w:t>1</w:t>
      </w:r>
      <w:r>
        <w:rPr>
          <w:rFonts w:hint="eastAsia"/>
          <w:snapToGrid/>
        </w:rPr>
        <w:t>年《对男女工人同等价值的工作付予同等报酬公约》</w:t>
      </w:r>
      <w:r>
        <w:rPr>
          <w:snapToGrid/>
        </w:rPr>
        <w:t xml:space="preserve"> (</w:t>
      </w:r>
      <w:r>
        <w:rPr>
          <w:rFonts w:hint="eastAsia"/>
          <w:snapToGrid/>
        </w:rPr>
        <w:t>国际劳工组织第</w:t>
      </w:r>
      <w:r>
        <w:rPr>
          <w:snapToGrid/>
        </w:rPr>
        <w:t>100</w:t>
      </w:r>
      <w:r>
        <w:rPr>
          <w:rFonts w:hint="eastAsia"/>
          <w:snapToGrid/>
        </w:rPr>
        <w:t>号公约</w:t>
      </w:r>
      <w:r>
        <w:rPr>
          <w:snapToGrid/>
        </w:rPr>
        <w:t>)</w:t>
      </w:r>
      <w:r>
        <w:rPr>
          <w:rFonts w:hint="eastAsia"/>
          <w:snapToGrid/>
        </w:rPr>
        <w:t>、</w:t>
      </w:r>
      <w:r>
        <w:rPr>
          <w:snapToGrid/>
        </w:rPr>
        <w:t>1957</w:t>
      </w:r>
      <w:r>
        <w:rPr>
          <w:rFonts w:hint="eastAsia"/>
          <w:snapToGrid/>
        </w:rPr>
        <w:t>年《在商业和办公室中实行每周休息公约》</w:t>
      </w:r>
      <w:r>
        <w:rPr>
          <w:snapToGrid/>
        </w:rPr>
        <w:t xml:space="preserve"> (</w:t>
      </w:r>
      <w:r>
        <w:rPr>
          <w:rFonts w:hint="eastAsia"/>
          <w:snapToGrid/>
        </w:rPr>
        <w:t>国际劳工组织第</w:t>
      </w:r>
      <w:r>
        <w:rPr>
          <w:snapToGrid/>
        </w:rPr>
        <w:t>106</w:t>
      </w:r>
      <w:r>
        <w:rPr>
          <w:rFonts w:hint="eastAsia"/>
          <w:snapToGrid/>
        </w:rPr>
        <w:t>号公约</w:t>
      </w:r>
      <w:r>
        <w:rPr>
          <w:snapToGrid/>
        </w:rPr>
        <w:t>)</w:t>
      </w:r>
      <w:r>
        <w:rPr>
          <w:snapToGrid/>
        </w:rPr>
        <w:t>，</w:t>
      </w:r>
      <w:r>
        <w:rPr>
          <w:rFonts w:hint="eastAsia"/>
          <w:snapToGrid/>
        </w:rPr>
        <w:t>以及</w:t>
      </w:r>
      <w:r>
        <w:rPr>
          <w:snapToGrid/>
        </w:rPr>
        <w:t>1981</w:t>
      </w:r>
      <w:r>
        <w:rPr>
          <w:rFonts w:hint="eastAsia"/>
          <w:snapToGrid/>
        </w:rPr>
        <w:t>年《职业安全和卫生及工作环境公约》</w:t>
      </w:r>
      <w:r>
        <w:rPr>
          <w:snapToGrid/>
        </w:rPr>
        <w:t xml:space="preserve"> (</w:t>
      </w:r>
      <w:r>
        <w:rPr>
          <w:rFonts w:hint="eastAsia"/>
          <w:snapToGrid/>
        </w:rPr>
        <w:t>国际劳工组织第</w:t>
      </w:r>
      <w:r>
        <w:rPr>
          <w:snapToGrid/>
        </w:rPr>
        <w:t>155</w:t>
      </w:r>
      <w:r>
        <w:rPr>
          <w:rFonts w:hint="eastAsia"/>
          <w:snapToGrid/>
        </w:rPr>
        <w:t>号公约</w:t>
      </w:r>
      <w:r>
        <w:rPr>
          <w:snapToGrid/>
        </w:rPr>
        <w:t>)</w:t>
      </w:r>
      <w:r>
        <w:rPr>
          <w:rFonts w:hint="eastAsia"/>
          <w:snapToGrid/>
        </w:rPr>
        <w:t>均适用于澳门特别行政区。</w:t>
      </w:r>
    </w:p>
    <w:p w:rsidR="00000000" w:rsidRDefault="00000000">
      <w:pPr>
        <w:rPr>
          <w:snapToGrid/>
        </w:rPr>
      </w:pPr>
      <w:r>
        <w:rPr>
          <w:snapToGrid/>
        </w:rPr>
        <w:tab/>
        <w:t xml:space="preserve">875.  </w:t>
      </w:r>
      <w:r>
        <w:rPr>
          <w:rFonts w:hint="eastAsia"/>
          <w:snapToGrid/>
        </w:rPr>
        <w:t>在澳门特别行政区</w:t>
      </w:r>
      <w:r>
        <w:rPr>
          <w:snapToGrid/>
        </w:rPr>
        <w:t>，</w:t>
      </w:r>
      <w:r>
        <w:rPr>
          <w:rFonts w:hint="eastAsia"/>
          <w:snapToGrid/>
        </w:rPr>
        <w:t>有多项规范最基本工作卫生和安全条件的制度</w:t>
      </w:r>
      <w:r>
        <w:rPr>
          <w:snapToGrid/>
        </w:rPr>
        <w:t>，</w:t>
      </w:r>
      <w:r>
        <w:rPr>
          <w:rFonts w:hint="eastAsia"/>
          <w:snapToGrid/>
        </w:rPr>
        <w:t>其中包括《工业场所内卫生与工作安全总章程》</w:t>
      </w:r>
      <w:r>
        <w:rPr>
          <w:rFonts w:hint="eastAsia"/>
          <w:snapToGrid/>
        </w:rPr>
        <w:t xml:space="preserve"> (</w:t>
      </w:r>
      <w:r>
        <w:rPr>
          <w:snapToGrid/>
        </w:rPr>
        <w:t>10</w:t>
      </w:r>
      <w:r>
        <w:rPr>
          <w:rFonts w:hint="eastAsia"/>
          <w:snapToGrid/>
        </w:rPr>
        <w:t>月</w:t>
      </w:r>
      <w:r>
        <w:rPr>
          <w:snapToGrid/>
        </w:rPr>
        <w:t>22</w:t>
      </w:r>
      <w:r>
        <w:rPr>
          <w:rFonts w:hint="eastAsia"/>
          <w:snapToGrid/>
        </w:rPr>
        <w:t>日第</w:t>
      </w:r>
      <w:r>
        <w:rPr>
          <w:snapToGrid/>
        </w:rPr>
        <w:t>57/82/M</w:t>
      </w:r>
      <w:r>
        <w:rPr>
          <w:rFonts w:hint="eastAsia"/>
          <w:snapToGrid/>
        </w:rPr>
        <w:t>号法令</w:t>
      </w:r>
      <w:r>
        <w:rPr>
          <w:snapToGrid/>
        </w:rPr>
        <w:t>)</w:t>
      </w:r>
      <w:r>
        <w:rPr>
          <w:rFonts w:hint="eastAsia"/>
          <w:snapToGrid/>
        </w:rPr>
        <w:t>、《商业场所、办事处场所及劳务场所之卫生与安全总规章》</w:t>
      </w:r>
      <w:r>
        <w:rPr>
          <w:snapToGrid/>
        </w:rPr>
        <w:t xml:space="preserve"> (5</w:t>
      </w:r>
      <w:r>
        <w:rPr>
          <w:rFonts w:hint="eastAsia"/>
          <w:snapToGrid/>
        </w:rPr>
        <w:t>月</w:t>
      </w:r>
      <w:r>
        <w:rPr>
          <w:snapToGrid/>
        </w:rPr>
        <w:t>22</w:t>
      </w:r>
      <w:r>
        <w:rPr>
          <w:rFonts w:hint="eastAsia"/>
          <w:snapToGrid/>
        </w:rPr>
        <w:t>日第</w:t>
      </w:r>
      <w:r>
        <w:rPr>
          <w:snapToGrid/>
        </w:rPr>
        <w:t>37/89/M</w:t>
      </w:r>
      <w:r>
        <w:rPr>
          <w:rFonts w:hint="eastAsia"/>
          <w:snapToGrid/>
        </w:rPr>
        <w:t>号法令</w:t>
      </w:r>
      <w:r>
        <w:rPr>
          <w:snapToGrid/>
        </w:rPr>
        <w:t>)</w:t>
      </w:r>
      <w:r>
        <w:rPr>
          <w:rFonts w:hint="eastAsia"/>
          <w:snapToGrid/>
        </w:rPr>
        <w:t>、《建筑安全与卫生规程》</w:t>
      </w:r>
      <w:r>
        <w:rPr>
          <w:snapToGrid/>
        </w:rPr>
        <w:t xml:space="preserve"> (7</w:t>
      </w:r>
      <w:r>
        <w:rPr>
          <w:rFonts w:hint="eastAsia"/>
          <w:snapToGrid/>
        </w:rPr>
        <w:t>月</w:t>
      </w:r>
      <w:r>
        <w:rPr>
          <w:snapToGrid/>
        </w:rPr>
        <w:t>19</w:t>
      </w:r>
      <w:r>
        <w:rPr>
          <w:rFonts w:hint="eastAsia"/>
          <w:snapToGrid/>
        </w:rPr>
        <w:t>日第</w:t>
      </w:r>
      <w:r>
        <w:rPr>
          <w:snapToGrid/>
        </w:rPr>
        <w:t>44/91/M</w:t>
      </w:r>
      <w:r>
        <w:rPr>
          <w:rFonts w:hint="eastAsia"/>
          <w:snapToGrid/>
        </w:rPr>
        <w:t>号法令</w:t>
      </w:r>
      <w:r>
        <w:rPr>
          <w:snapToGrid/>
        </w:rPr>
        <w:t>)</w:t>
      </w:r>
      <w:r>
        <w:rPr>
          <w:snapToGrid/>
        </w:rPr>
        <w:t>，</w:t>
      </w:r>
      <w:r>
        <w:rPr>
          <w:rFonts w:hint="eastAsia"/>
          <w:snapToGrid/>
        </w:rPr>
        <w:t>以及关于职业性噪音的法律制度</w:t>
      </w:r>
      <w:r>
        <w:rPr>
          <w:snapToGrid/>
        </w:rPr>
        <w:t xml:space="preserve"> (7</w:t>
      </w:r>
      <w:r>
        <w:rPr>
          <w:rFonts w:hint="eastAsia"/>
          <w:snapToGrid/>
        </w:rPr>
        <w:t>月</w:t>
      </w:r>
      <w:r>
        <w:rPr>
          <w:snapToGrid/>
        </w:rPr>
        <w:t>12</w:t>
      </w:r>
      <w:r>
        <w:rPr>
          <w:rFonts w:hint="eastAsia"/>
          <w:snapToGrid/>
        </w:rPr>
        <w:t>日第</w:t>
      </w:r>
      <w:r>
        <w:rPr>
          <w:snapToGrid/>
        </w:rPr>
        <w:t>34/93/M</w:t>
      </w:r>
      <w:r>
        <w:rPr>
          <w:rFonts w:hint="eastAsia"/>
          <w:snapToGrid/>
        </w:rPr>
        <w:t>号法令</w:t>
      </w:r>
      <w:r>
        <w:rPr>
          <w:snapToGrid/>
        </w:rPr>
        <w:t>)</w:t>
      </w:r>
      <w:r>
        <w:rPr>
          <w:rFonts w:hint="eastAsia"/>
          <w:snapToGrid/>
        </w:rPr>
        <w:t>。</w:t>
      </w:r>
    </w:p>
    <w:p w:rsidR="00000000" w:rsidRDefault="00000000">
      <w:pPr>
        <w:rPr>
          <w:snapToGrid/>
        </w:rPr>
      </w:pPr>
      <w:r>
        <w:rPr>
          <w:snapToGrid/>
        </w:rPr>
        <w:tab/>
        <w:t xml:space="preserve">876.  </w:t>
      </w:r>
      <w:r>
        <w:rPr>
          <w:rFonts w:hint="eastAsia"/>
          <w:snapToGrid/>
        </w:rPr>
        <w:t>在这方面</w:t>
      </w:r>
      <w:r>
        <w:rPr>
          <w:snapToGrid/>
        </w:rPr>
        <w:t>，</w:t>
      </w:r>
      <w:r>
        <w:rPr>
          <w:rFonts w:hint="eastAsia"/>
          <w:snapToGrid/>
        </w:rPr>
        <w:t>尚应指出的是</w:t>
      </w:r>
      <w:r>
        <w:rPr>
          <w:snapToGrid/>
        </w:rPr>
        <w:t>8</w:t>
      </w:r>
      <w:r>
        <w:rPr>
          <w:rFonts w:hint="eastAsia"/>
          <w:snapToGrid/>
        </w:rPr>
        <w:t>月</w:t>
      </w:r>
      <w:r>
        <w:rPr>
          <w:snapToGrid/>
        </w:rPr>
        <w:t>14</w:t>
      </w:r>
      <w:r>
        <w:rPr>
          <w:rFonts w:hint="eastAsia"/>
          <w:snapToGrid/>
        </w:rPr>
        <w:t>日第</w:t>
      </w:r>
      <w:r>
        <w:rPr>
          <w:snapToGrid/>
        </w:rPr>
        <w:t>40/95/M</w:t>
      </w:r>
      <w:r>
        <w:rPr>
          <w:rFonts w:hint="eastAsia"/>
          <w:snapToGrid/>
        </w:rPr>
        <w:t>号法令</w:t>
      </w:r>
      <w:r>
        <w:rPr>
          <w:snapToGrid/>
        </w:rPr>
        <w:t>，</w:t>
      </w:r>
      <w:r>
        <w:rPr>
          <w:rFonts w:hint="eastAsia"/>
          <w:snapToGrid/>
        </w:rPr>
        <w:t>该法令规定了就工作意外和职业病所引致的损害获得补偿的权利。</w:t>
      </w:r>
    </w:p>
    <w:p w:rsidR="00000000" w:rsidRDefault="00000000">
      <w:pPr>
        <w:rPr>
          <w:snapToGrid/>
        </w:rPr>
      </w:pPr>
      <w:r>
        <w:rPr>
          <w:snapToGrid/>
        </w:rPr>
        <w:tab/>
        <w:t xml:space="preserve">877.  </w:t>
      </w:r>
      <w:r>
        <w:rPr>
          <w:rFonts w:hint="eastAsia"/>
          <w:snapToGrid/>
        </w:rPr>
        <w:t>上述多项法规构成一个以一系列鼓励和处罚措施为基础的法律制度</w:t>
      </w:r>
      <w:r>
        <w:rPr>
          <w:snapToGrid/>
        </w:rPr>
        <w:t>，</w:t>
      </w:r>
      <w:r>
        <w:rPr>
          <w:rFonts w:hint="eastAsia"/>
          <w:snapToGrid/>
        </w:rPr>
        <w:t>按照这制度</w:t>
      </w:r>
      <w:r>
        <w:rPr>
          <w:snapToGrid/>
        </w:rPr>
        <w:t>，</w:t>
      </w:r>
      <w:r>
        <w:rPr>
          <w:rFonts w:hint="eastAsia"/>
          <w:snapToGrid/>
        </w:rPr>
        <w:t>所有劳工均有权享有安全和卫生的工作条件</w:t>
      </w:r>
      <w:r>
        <w:rPr>
          <w:snapToGrid/>
        </w:rPr>
        <w:t>，</w:t>
      </w:r>
      <w:r>
        <w:rPr>
          <w:rFonts w:hint="eastAsia"/>
          <w:snapToGrid/>
        </w:rPr>
        <w:t>而雇主实体有责任对工作危险加以预防和控制。</w:t>
      </w:r>
    </w:p>
    <w:p w:rsidR="00000000" w:rsidRDefault="00000000">
      <w:pPr>
        <w:rPr>
          <w:snapToGrid/>
        </w:rPr>
      </w:pPr>
      <w:r>
        <w:rPr>
          <w:snapToGrid/>
        </w:rPr>
        <w:tab/>
        <w:t xml:space="preserve">878.  </w:t>
      </w:r>
      <w:r>
        <w:rPr>
          <w:rFonts w:hint="eastAsia"/>
          <w:snapToGrid/>
        </w:rPr>
        <w:t>劳工有权享有基本工作条件的原则由规范澳门劳资关系的第</w:t>
      </w:r>
      <w:r>
        <w:rPr>
          <w:snapToGrid/>
        </w:rPr>
        <w:t>24/89/M</w:t>
      </w:r>
      <w:r>
        <w:rPr>
          <w:rFonts w:hint="eastAsia"/>
          <w:snapToGrid/>
        </w:rPr>
        <w:t>号法令的第十四条和《就业政策和劳工权利纲要法》第五条第一款</w:t>
      </w:r>
      <w:r>
        <w:rPr>
          <w:snapToGrid/>
        </w:rPr>
        <w:t>c</w:t>
      </w:r>
      <w:r>
        <w:rPr>
          <w:rFonts w:hint="eastAsia"/>
          <w:snapToGrid/>
        </w:rPr>
        <w:t>项规定。</w:t>
      </w:r>
    </w:p>
    <w:p w:rsidR="00000000" w:rsidRDefault="00000000">
      <w:pPr>
        <w:spacing w:after="320"/>
        <w:rPr>
          <w:snapToGrid/>
        </w:rPr>
      </w:pPr>
      <w:r>
        <w:rPr>
          <w:snapToGrid/>
        </w:rPr>
        <w:tab/>
        <w:t xml:space="preserve">879.  </w:t>
      </w:r>
      <w:r>
        <w:rPr>
          <w:rFonts w:hint="eastAsia"/>
          <w:snapToGrid/>
        </w:rPr>
        <w:t>劳工暨就业局的劳工事务稽查厅负责监察关于工作安全和卫生的规定的遵守情况。该厅与工作卫生暨安全厅共同负责常规的稽查工作</w:t>
      </w:r>
      <w:r>
        <w:rPr>
          <w:snapToGrid/>
        </w:rPr>
        <w:t>，</w:t>
      </w:r>
      <w:r>
        <w:rPr>
          <w:rFonts w:hint="eastAsia"/>
          <w:snapToGrid/>
        </w:rPr>
        <w:t>并有权对违法者科处罚款。</w:t>
      </w:r>
    </w:p>
    <w:p w:rsidR="00000000" w:rsidRDefault="00000000">
      <w:pPr>
        <w:pStyle w:val="Heading3"/>
        <w:rPr>
          <w:rFonts w:hint="eastAsia"/>
        </w:rPr>
      </w:pPr>
      <w:bookmarkStart w:id="68" w:name="_Toc78772977"/>
      <w:r>
        <w:rPr>
          <w:rFonts w:hint="eastAsia"/>
          <w:u w:val="none"/>
        </w:rPr>
        <w:t xml:space="preserve">B.  </w:t>
      </w:r>
      <w:r>
        <w:rPr>
          <w:rFonts w:hint="eastAsia"/>
        </w:rPr>
        <w:t>关于工资的资料</w:t>
      </w:r>
      <w:bookmarkEnd w:id="68"/>
    </w:p>
    <w:p w:rsidR="00000000" w:rsidRDefault="00000000">
      <w:pPr>
        <w:pStyle w:val="Heading4"/>
        <w:rPr>
          <w:rFonts w:hint="eastAsia"/>
        </w:rPr>
      </w:pPr>
      <w:r>
        <w:rPr>
          <w:rFonts w:hint="eastAsia"/>
        </w:rPr>
        <w:t>工资的订定</w:t>
      </w:r>
    </w:p>
    <w:p w:rsidR="00000000" w:rsidRDefault="00000000">
      <w:pPr>
        <w:rPr>
          <w:rFonts w:hint="eastAsia"/>
        </w:rPr>
      </w:pPr>
      <w:r>
        <w:rPr>
          <w:rFonts w:hint="eastAsia"/>
        </w:rPr>
        <w:tab/>
        <w:t xml:space="preserve">880.  </w:t>
      </w:r>
      <w:r>
        <w:rPr>
          <w:rFonts w:hint="eastAsia"/>
        </w:rPr>
        <w:t>在公职方面，工资是根据一薪俸表订定，而该表是按照人员的职级定出其薪酬。最低工资为澳门币</w:t>
      </w:r>
      <w:r>
        <w:rPr>
          <w:rFonts w:hint="eastAsia"/>
        </w:rPr>
        <w:t>5,000</w:t>
      </w:r>
      <w:r>
        <w:rPr>
          <w:rFonts w:hint="eastAsia"/>
        </w:rPr>
        <w:t>元。</w:t>
      </w:r>
    </w:p>
    <w:p w:rsidR="00000000" w:rsidRDefault="00000000">
      <w:pPr>
        <w:rPr>
          <w:rFonts w:hint="eastAsia"/>
        </w:rPr>
      </w:pPr>
      <w:r>
        <w:rPr>
          <w:rFonts w:hint="eastAsia"/>
        </w:rPr>
        <w:tab/>
        <w:t xml:space="preserve">881.  </w:t>
      </w:r>
      <w:r>
        <w:rPr>
          <w:rFonts w:hint="eastAsia"/>
        </w:rPr>
        <w:t>在私人工作方面，并无订定最低工资制度的规范。按照规范私人工作劳资关系的法令规定，工资是由雇主与雇员协议订定</w:t>
      </w:r>
      <w:r>
        <w:rPr>
          <w:rFonts w:hint="eastAsia"/>
        </w:rPr>
        <w:t>(</w:t>
      </w:r>
      <w:r>
        <w:rPr>
          <w:rFonts w:hint="eastAsia"/>
        </w:rPr>
        <w:t>第</w:t>
      </w:r>
      <w:r>
        <w:rPr>
          <w:rFonts w:hint="eastAsia"/>
        </w:rPr>
        <w:t>24/89/M</w:t>
      </w:r>
      <w:r>
        <w:rPr>
          <w:rFonts w:hint="eastAsia"/>
        </w:rPr>
        <w:t>号法令第二十七条</w:t>
      </w:r>
      <w:r>
        <w:rPr>
          <w:rFonts w:hint="eastAsia"/>
        </w:rPr>
        <w:t>)</w:t>
      </w:r>
      <w:r>
        <w:rPr>
          <w:rFonts w:hint="eastAsia"/>
        </w:rPr>
        <w:t>。</w:t>
      </w:r>
    </w:p>
    <w:p w:rsidR="00000000" w:rsidRDefault="00000000">
      <w:pPr>
        <w:rPr>
          <w:rFonts w:hint="eastAsia"/>
        </w:rPr>
      </w:pPr>
      <w:r>
        <w:rPr>
          <w:rFonts w:hint="eastAsia"/>
        </w:rPr>
        <w:tab/>
        <w:t xml:space="preserve">882.  </w:t>
      </w:r>
      <w:r>
        <w:rPr>
          <w:rFonts w:hint="eastAsia"/>
        </w:rPr>
        <w:t>然而，上述法令第二十五条规定了合理工资的一般原则，意即契约自由须受善意原则限制。</w:t>
      </w:r>
    </w:p>
    <w:p w:rsidR="00000000" w:rsidRDefault="00000000">
      <w:pPr>
        <w:rPr>
          <w:rFonts w:hint="eastAsia"/>
        </w:rPr>
      </w:pPr>
      <w:r>
        <w:rPr>
          <w:rFonts w:hint="eastAsia"/>
        </w:rPr>
        <w:tab/>
        <w:t xml:space="preserve">883.  </w:t>
      </w:r>
      <w:r>
        <w:rPr>
          <w:rFonts w:hint="eastAsia"/>
        </w:rPr>
        <w:t>值得强调的是，进行中的劳动法修订工作的目标之一正好是引入一最低工资制度。</w:t>
      </w:r>
    </w:p>
    <w:p w:rsidR="00000000" w:rsidRDefault="00000000">
      <w:pPr>
        <w:rPr>
          <w:rFonts w:hint="eastAsia"/>
        </w:rPr>
      </w:pPr>
      <w:r>
        <w:rPr>
          <w:rFonts w:hint="eastAsia"/>
        </w:rPr>
        <w:tab/>
        <w:t xml:space="preserve">884.  </w:t>
      </w:r>
      <w:r>
        <w:rPr>
          <w:rFonts w:hint="eastAsia"/>
        </w:rPr>
        <w:t>同工同酬原则明确规范于澳门特别行政区的劳动法，包括公职和私人工作两方面。</w:t>
      </w:r>
    </w:p>
    <w:p w:rsidR="00000000" w:rsidRDefault="00000000">
      <w:pPr>
        <w:spacing w:after="320"/>
        <w:rPr>
          <w:rFonts w:hint="eastAsia"/>
        </w:rPr>
      </w:pPr>
      <w:r>
        <w:rPr>
          <w:rFonts w:hint="eastAsia"/>
        </w:rPr>
        <w:tab/>
        <w:t xml:space="preserve">885.  </w:t>
      </w:r>
      <w:r>
        <w:rPr>
          <w:rFonts w:hint="eastAsia"/>
        </w:rPr>
        <w:t>目前，并无关于公职和私人工作的收入分配情况的统计资料。唯一由统计暨普查局提供的数据显示，</w:t>
      </w:r>
      <w:r>
        <w:rPr>
          <w:rFonts w:hint="eastAsia"/>
        </w:rPr>
        <w:t>(</w:t>
      </w:r>
      <w:r>
        <w:rPr>
          <w:rFonts w:hint="eastAsia"/>
        </w:rPr>
        <w:t>男</w:t>
      </w:r>
      <w:r>
        <w:rPr>
          <w:rFonts w:hint="eastAsia"/>
        </w:rPr>
        <w:t>/</w:t>
      </w:r>
      <w:r>
        <w:rPr>
          <w:rFonts w:hint="eastAsia"/>
        </w:rPr>
        <w:t>女</w:t>
      </w:r>
      <w:r>
        <w:rPr>
          <w:rFonts w:hint="eastAsia"/>
        </w:rPr>
        <w:t>)</w:t>
      </w:r>
      <w:r>
        <w:rPr>
          <w:rFonts w:hint="eastAsia"/>
        </w:rPr>
        <w:t>雇员的月薪中位数在</w:t>
      </w:r>
      <w:r>
        <w:rPr>
          <w:rFonts w:hint="eastAsia"/>
        </w:rPr>
        <w:t>1997</w:t>
      </w:r>
      <w:r>
        <w:rPr>
          <w:rFonts w:hint="eastAsia"/>
        </w:rPr>
        <w:t>年为澳门币</w:t>
      </w:r>
      <w:r>
        <w:rPr>
          <w:rFonts w:hint="eastAsia"/>
        </w:rPr>
        <w:t>5,221</w:t>
      </w:r>
      <w:r>
        <w:rPr>
          <w:rFonts w:hint="eastAsia"/>
        </w:rPr>
        <w:t>元，在</w:t>
      </w:r>
      <w:r>
        <w:rPr>
          <w:rFonts w:hint="eastAsia"/>
        </w:rPr>
        <w:t>2002</w:t>
      </w:r>
      <w:r>
        <w:rPr>
          <w:rFonts w:hint="eastAsia"/>
        </w:rPr>
        <w:t>年为</w:t>
      </w:r>
      <w:r>
        <w:rPr>
          <w:rFonts w:hint="eastAsia"/>
        </w:rPr>
        <w:t>4,772</w:t>
      </w:r>
      <w:r>
        <w:rPr>
          <w:rFonts w:hint="eastAsia"/>
        </w:rPr>
        <w:t>元。公职方面，由</w:t>
      </w:r>
      <w:r>
        <w:rPr>
          <w:rFonts w:hint="eastAsia"/>
        </w:rPr>
        <w:t>1999</w:t>
      </w:r>
      <w:r>
        <w:rPr>
          <w:rFonts w:hint="eastAsia"/>
        </w:rPr>
        <w:t>年至</w:t>
      </w:r>
      <w:r>
        <w:rPr>
          <w:rFonts w:hint="eastAsia"/>
        </w:rPr>
        <w:t>2002</w:t>
      </w:r>
      <w:r>
        <w:rPr>
          <w:rFonts w:hint="eastAsia"/>
        </w:rPr>
        <w:t>年，平均月薪为澳门币</w:t>
      </w:r>
      <w:r>
        <w:rPr>
          <w:rFonts w:hint="eastAsia"/>
        </w:rPr>
        <w:t>14,643</w:t>
      </w:r>
      <w:r>
        <w:rPr>
          <w:rFonts w:hint="eastAsia"/>
        </w:rPr>
        <w:t>元。</w:t>
      </w:r>
    </w:p>
    <w:p w:rsidR="00000000" w:rsidRDefault="00000000">
      <w:pPr>
        <w:pStyle w:val="Heading3"/>
        <w:rPr>
          <w:rFonts w:hint="eastAsia"/>
        </w:rPr>
      </w:pPr>
      <w:bookmarkStart w:id="69" w:name="_Toc78772978"/>
      <w:r>
        <w:rPr>
          <w:rFonts w:hint="eastAsia"/>
          <w:u w:val="none"/>
        </w:rPr>
        <w:t xml:space="preserve">C.  </w:t>
      </w:r>
      <w:r>
        <w:rPr>
          <w:rFonts w:hint="eastAsia"/>
        </w:rPr>
        <w:t>卫生和安全的工作条件</w:t>
      </w:r>
      <w:bookmarkEnd w:id="69"/>
    </w:p>
    <w:p w:rsidR="00000000" w:rsidRDefault="00000000">
      <w:pPr>
        <w:rPr>
          <w:rFonts w:hint="eastAsia"/>
        </w:rPr>
      </w:pPr>
      <w:r>
        <w:rPr>
          <w:rFonts w:hint="eastAsia"/>
        </w:rPr>
        <w:tab/>
        <w:t xml:space="preserve">886.  </w:t>
      </w:r>
      <w:r>
        <w:rPr>
          <w:rFonts w:hint="eastAsia"/>
        </w:rPr>
        <w:t>如上文所述，已制定促进卫生与安全工作条件和规定预防措施的法例，同时亦作出实际的措施，以确保法例被遵守。</w:t>
      </w:r>
    </w:p>
    <w:p w:rsidR="00000000" w:rsidRDefault="00000000">
      <w:pPr>
        <w:rPr>
          <w:rFonts w:hint="eastAsia"/>
        </w:rPr>
      </w:pPr>
      <w:r>
        <w:rPr>
          <w:rFonts w:hint="eastAsia"/>
        </w:rPr>
        <w:tab/>
        <w:t xml:space="preserve">887.  </w:t>
      </w:r>
      <w:r>
        <w:rPr>
          <w:rFonts w:hint="eastAsia"/>
        </w:rPr>
        <w:t>劳工暨就业局的另一项任务是推行防止工作意外和职业病所需的措施，尤其是透过向雇员和雇主进行教育、培训和宣传最低行事标准等以推行有关措施。</w:t>
      </w:r>
    </w:p>
    <w:p w:rsidR="00000000" w:rsidRDefault="00000000">
      <w:pPr>
        <w:rPr>
          <w:rFonts w:hint="eastAsia"/>
        </w:rPr>
      </w:pPr>
      <w:r>
        <w:rPr>
          <w:rFonts w:hint="eastAsia"/>
        </w:rPr>
        <w:tab/>
        <w:t xml:space="preserve">888.  </w:t>
      </w:r>
      <w:r>
        <w:rPr>
          <w:rFonts w:hint="eastAsia"/>
        </w:rPr>
        <w:t>此外，劳工暨就业局在行使其劳工事务稽查权力时，可在工作地点收集任何物料或物质的样本、命令劳工接受劳工暨就业局的医护部门的诊察、编制有关工作安全的报告和发出证明书。</w:t>
      </w:r>
    </w:p>
    <w:p w:rsidR="00000000" w:rsidRDefault="00000000">
      <w:pPr>
        <w:spacing w:after="320"/>
        <w:rPr>
          <w:rFonts w:hint="eastAsia"/>
        </w:rPr>
      </w:pPr>
      <w:r>
        <w:rPr>
          <w:rFonts w:hint="eastAsia"/>
        </w:rPr>
        <w:tab/>
        <w:t xml:space="preserve">889.  </w:t>
      </w:r>
      <w:r>
        <w:rPr>
          <w:rFonts w:hint="eastAsia"/>
        </w:rPr>
        <w:t>尽管工作意外和职业病受害人的数字在最近十年均有所增加</w:t>
      </w:r>
      <w:r>
        <w:rPr>
          <w:rFonts w:hint="eastAsia"/>
        </w:rPr>
        <w:t>(35.3%)</w:t>
      </w:r>
      <w:r>
        <w:rPr>
          <w:rFonts w:hint="eastAsia"/>
        </w:rPr>
        <w:t>，然而，</w:t>
      </w:r>
      <w:r>
        <w:rPr>
          <w:rFonts w:hint="eastAsia"/>
        </w:rPr>
        <w:t>1997</w:t>
      </w:r>
      <w:r>
        <w:rPr>
          <w:rFonts w:hint="eastAsia"/>
        </w:rPr>
        <w:t>年至</w:t>
      </w:r>
      <w:r>
        <w:rPr>
          <w:rFonts w:hint="eastAsia"/>
        </w:rPr>
        <w:t>2001</w:t>
      </w:r>
      <w:r>
        <w:rPr>
          <w:rFonts w:hint="eastAsia"/>
        </w:rPr>
        <w:t>年的增幅仅为</w:t>
      </w:r>
      <w:r>
        <w:rPr>
          <w:rFonts w:hint="eastAsia"/>
        </w:rPr>
        <w:t>2.4%</w:t>
      </w:r>
      <w:r>
        <w:rPr>
          <w:rFonts w:hint="eastAsia"/>
        </w:rPr>
        <w:t>，表示出工作条件有明显的改善。另一方面，由</w:t>
      </w:r>
      <w:r>
        <w:rPr>
          <w:rFonts w:hint="eastAsia"/>
        </w:rPr>
        <w:t>1991</w:t>
      </w:r>
      <w:r>
        <w:rPr>
          <w:rFonts w:hint="eastAsia"/>
        </w:rPr>
        <w:t>年至</w:t>
      </w:r>
      <w:r>
        <w:rPr>
          <w:rFonts w:hint="eastAsia"/>
        </w:rPr>
        <w:t>2001</w:t>
      </w:r>
      <w:r>
        <w:rPr>
          <w:rFonts w:hint="eastAsia"/>
        </w:rPr>
        <w:t>年，工作意外导致死亡的数字亦大幅下降。</w:t>
      </w:r>
    </w:p>
    <w:p w:rsidR="00000000" w:rsidRDefault="00000000">
      <w:pPr>
        <w:pStyle w:val="Heading3"/>
        <w:spacing w:after="120"/>
        <w:rPr>
          <w:rFonts w:hint="eastAsia"/>
        </w:rPr>
      </w:pPr>
      <w:bookmarkStart w:id="70" w:name="_Toc78772979"/>
      <w:r>
        <w:rPr>
          <w:rFonts w:hint="eastAsia"/>
        </w:rPr>
        <w:t>工作意外和职业病</w:t>
      </w:r>
      <w:bookmarkEnd w:id="7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00"/>
        <w:gridCol w:w="960"/>
        <w:gridCol w:w="960"/>
        <w:gridCol w:w="1745"/>
        <w:gridCol w:w="1745"/>
      </w:tblGrid>
      <w:tr w:rsidR="00000000">
        <w:tblPrEx>
          <w:tblCellMar>
            <w:top w:w="0" w:type="dxa"/>
            <w:bottom w:w="0" w:type="dxa"/>
          </w:tblCellMar>
        </w:tblPrEx>
        <w:tc>
          <w:tcPr>
            <w:tcW w:w="2125" w:type="pct"/>
          </w:tcPr>
          <w:p w:rsidR="00000000" w:rsidRDefault="00000000">
            <w:pPr>
              <w:spacing w:before="120" w:line="240" w:lineRule="auto"/>
              <w:ind w:left="57" w:firstLine="57"/>
              <w:rPr>
                <w:rFonts w:hint="eastAsia"/>
                <w:sz w:val="22"/>
              </w:rPr>
            </w:pPr>
            <w:r>
              <w:rPr>
                <w:rFonts w:hint="eastAsia"/>
                <w:sz w:val="22"/>
              </w:rPr>
              <w:t>每年事故数位</w:t>
            </w:r>
          </w:p>
        </w:tc>
        <w:tc>
          <w:tcPr>
            <w:tcW w:w="510" w:type="pct"/>
          </w:tcPr>
          <w:p w:rsidR="00000000" w:rsidRDefault="00000000">
            <w:pPr>
              <w:spacing w:before="120" w:line="240" w:lineRule="auto"/>
              <w:jc w:val="center"/>
              <w:rPr>
                <w:rFonts w:hint="eastAsia"/>
              </w:rPr>
            </w:pPr>
            <w:r>
              <w:rPr>
                <w:rFonts w:hint="eastAsia"/>
              </w:rPr>
              <w:t>1997</w:t>
            </w:r>
          </w:p>
        </w:tc>
        <w:tc>
          <w:tcPr>
            <w:tcW w:w="510" w:type="pct"/>
          </w:tcPr>
          <w:p w:rsidR="00000000" w:rsidRDefault="00000000">
            <w:pPr>
              <w:spacing w:before="120" w:line="240" w:lineRule="auto"/>
              <w:jc w:val="center"/>
              <w:rPr>
                <w:rFonts w:hint="eastAsia"/>
              </w:rPr>
            </w:pPr>
            <w:r>
              <w:rPr>
                <w:rFonts w:hint="eastAsia"/>
              </w:rPr>
              <w:t>2001</w:t>
            </w:r>
          </w:p>
        </w:tc>
        <w:tc>
          <w:tcPr>
            <w:tcW w:w="927" w:type="pct"/>
          </w:tcPr>
          <w:p w:rsidR="00000000" w:rsidRDefault="00000000">
            <w:pPr>
              <w:spacing w:before="120" w:line="240" w:lineRule="auto"/>
              <w:jc w:val="center"/>
              <w:rPr>
                <w:rFonts w:hint="eastAsia"/>
              </w:rPr>
            </w:pPr>
            <w:r>
              <w:rPr>
                <w:rFonts w:hint="eastAsia"/>
              </w:rPr>
              <w:t>2001/1991</w:t>
            </w:r>
            <w:r>
              <w:br/>
            </w:r>
            <w:r>
              <w:rPr>
                <w:rFonts w:hint="eastAsia"/>
              </w:rPr>
              <w:t>(%)</w:t>
            </w:r>
          </w:p>
        </w:tc>
        <w:tc>
          <w:tcPr>
            <w:tcW w:w="927" w:type="pct"/>
          </w:tcPr>
          <w:p w:rsidR="00000000" w:rsidRDefault="00000000">
            <w:pPr>
              <w:spacing w:before="120" w:line="240" w:lineRule="auto"/>
              <w:jc w:val="center"/>
              <w:rPr>
                <w:rFonts w:hint="eastAsia"/>
              </w:rPr>
            </w:pPr>
            <w:r>
              <w:rPr>
                <w:rFonts w:hint="eastAsia"/>
              </w:rPr>
              <w:t>2001/1997</w:t>
            </w:r>
            <w:r>
              <w:br/>
            </w:r>
            <w:r>
              <w:rPr>
                <w:rFonts w:hint="eastAsia"/>
              </w:rPr>
              <w:t>(%)</w:t>
            </w:r>
          </w:p>
        </w:tc>
      </w:tr>
      <w:tr w:rsidR="00000000">
        <w:tblPrEx>
          <w:tblCellMar>
            <w:top w:w="0" w:type="dxa"/>
            <w:bottom w:w="0" w:type="dxa"/>
          </w:tblCellMar>
        </w:tblPrEx>
        <w:tc>
          <w:tcPr>
            <w:tcW w:w="2125" w:type="pct"/>
          </w:tcPr>
          <w:p w:rsidR="00000000" w:rsidRDefault="00000000">
            <w:pPr>
              <w:spacing w:before="120" w:line="288" w:lineRule="auto"/>
              <w:ind w:left="57" w:firstLine="57"/>
              <w:rPr>
                <w:rFonts w:hint="eastAsia"/>
                <w:sz w:val="22"/>
              </w:rPr>
            </w:pPr>
            <w:r>
              <w:rPr>
                <w:rFonts w:hint="eastAsia"/>
                <w:sz w:val="22"/>
              </w:rPr>
              <w:t>工作意外受害人</w:t>
            </w:r>
            <w:r>
              <w:rPr>
                <w:rFonts w:hint="eastAsia"/>
                <w:spacing w:val="-40"/>
                <w:sz w:val="22"/>
              </w:rPr>
              <w:t>――</w:t>
            </w:r>
            <w:r>
              <w:rPr>
                <w:rFonts w:hint="eastAsia"/>
                <w:spacing w:val="-40"/>
                <w:sz w:val="22"/>
              </w:rPr>
              <w:t xml:space="preserve"> </w:t>
            </w:r>
            <w:r>
              <w:rPr>
                <w:rFonts w:hint="eastAsia"/>
                <w:sz w:val="22"/>
              </w:rPr>
              <w:t>总数</w:t>
            </w:r>
          </w:p>
        </w:tc>
        <w:tc>
          <w:tcPr>
            <w:tcW w:w="510" w:type="pct"/>
          </w:tcPr>
          <w:p w:rsidR="00000000" w:rsidRDefault="00000000">
            <w:pPr>
              <w:spacing w:before="120" w:line="288" w:lineRule="auto"/>
              <w:jc w:val="center"/>
              <w:rPr>
                <w:rFonts w:hint="eastAsia"/>
              </w:rPr>
            </w:pPr>
            <w:r>
              <w:rPr>
                <w:rFonts w:hint="eastAsia"/>
              </w:rPr>
              <w:t>3,567</w:t>
            </w:r>
          </w:p>
        </w:tc>
        <w:tc>
          <w:tcPr>
            <w:tcW w:w="510" w:type="pct"/>
          </w:tcPr>
          <w:p w:rsidR="00000000" w:rsidRDefault="00000000">
            <w:pPr>
              <w:spacing w:before="120" w:line="288" w:lineRule="auto"/>
              <w:jc w:val="center"/>
              <w:rPr>
                <w:rFonts w:hint="eastAsia"/>
              </w:rPr>
            </w:pPr>
            <w:r>
              <w:rPr>
                <w:rFonts w:hint="eastAsia"/>
              </w:rPr>
              <w:t>3,651</w:t>
            </w:r>
          </w:p>
        </w:tc>
        <w:tc>
          <w:tcPr>
            <w:tcW w:w="927" w:type="pct"/>
          </w:tcPr>
          <w:p w:rsidR="00000000" w:rsidRDefault="00000000">
            <w:pPr>
              <w:spacing w:before="120" w:line="288" w:lineRule="auto"/>
              <w:jc w:val="center"/>
              <w:rPr>
                <w:rFonts w:hint="eastAsia"/>
              </w:rPr>
            </w:pPr>
            <w:r>
              <w:rPr>
                <w:rFonts w:hint="eastAsia"/>
              </w:rPr>
              <w:t>+35.3</w:t>
            </w:r>
          </w:p>
        </w:tc>
        <w:tc>
          <w:tcPr>
            <w:tcW w:w="927" w:type="pct"/>
          </w:tcPr>
          <w:p w:rsidR="00000000" w:rsidRDefault="00000000">
            <w:pPr>
              <w:spacing w:before="120" w:line="288" w:lineRule="auto"/>
              <w:jc w:val="center"/>
              <w:rPr>
                <w:rFonts w:hint="eastAsia"/>
              </w:rPr>
            </w:pPr>
            <w:r>
              <w:rPr>
                <w:rFonts w:hint="eastAsia"/>
              </w:rPr>
              <w:t>+2.4</w:t>
            </w:r>
          </w:p>
        </w:tc>
      </w:tr>
      <w:tr w:rsidR="00000000">
        <w:tblPrEx>
          <w:tblCellMar>
            <w:top w:w="0" w:type="dxa"/>
            <w:bottom w:w="0" w:type="dxa"/>
          </w:tblCellMar>
        </w:tblPrEx>
        <w:tc>
          <w:tcPr>
            <w:tcW w:w="2125" w:type="pct"/>
          </w:tcPr>
          <w:p w:rsidR="00000000" w:rsidRDefault="00000000">
            <w:pPr>
              <w:spacing w:before="120" w:line="288" w:lineRule="auto"/>
              <w:ind w:left="57" w:firstLine="57"/>
              <w:rPr>
                <w:rFonts w:hint="eastAsia"/>
                <w:sz w:val="22"/>
              </w:rPr>
            </w:pPr>
            <w:r>
              <w:rPr>
                <w:rFonts w:hint="eastAsia"/>
                <w:sz w:val="22"/>
              </w:rPr>
              <w:t>导致死亡的意外</w:t>
            </w:r>
          </w:p>
        </w:tc>
        <w:tc>
          <w:tcPr>
            <w:tcW w:w="510" w:type="pct"/>
          </w:tcPr>
          <w:p w:rsidR="00000000" w:rsidRDefault="00000000">
            <w:pPr>
              <w:spacing w:before="120" w:line="288" w:lineRule="auto"/>
              <w:jc w:val="center"/>
              <w:rPr>
                <w:rFonts w:hint="eastAsia"/>
              </w:rPr>
            </w:pPr>
            <w:r>
              <w:rPr>
                <w:rFonts w:hint="eastAsia"/>
              </w:rPr>
              <w:t>8</w:t>
            </w:r>
          </w:p>
        </w:tc>
        <w:tc>
          <w:tcPr>
            <w:tcW w:w="510" w:type="pct"/>
          </w:tcPr>
          <w:p w:rsidR="00000000" w:rsidRDefault="00000000">
            <w:pPr>
              <w:spacing w:before="120" w:line="288" w:lineRule="auto"/>
              <w:jc w:val="center"/>
              <w:rPr>
                <w:rFonts w:hint="eastAsia"/>
              </w:rPr>
            </w:pPr>
            <w:r>
              <w:rPr>
                <w:rFonts w:hint="eastAsia"/>
              </w:rPr>
              <w:t>6</w:t>
            </w:r>
          </w:p>
        </w:tc>
        <w:tc>
          <w:tcPr>
            <w:tcW w:w="927" w:type="pct"/>
          </w:tcPr>
          <w:p w:rsidR="00000000" w:rsidRDefault="00000000">
            <w:pPr>
              <w:spacing w:before="120" w:line="288" w:lineRule="auto"/>
              <w:jc w:val="center"/>
              <w:rPr>
                <w:rFonts w:hint="eastAsia"/>
              </w:rPr>
            </w:pPr>
            <w:r>
              <w:rPr>
                <w:rFonts w:hint="eastAsia"/>
              </w:rPr>
              <w:t>-50.0</w:t>
            </w:r>
          </w:p>
        </w:tc>
        <w:tc>
          <w:tcPr>
            <w:tcW w:w="927" w:type="pct"/>
          </w:tcPr>
          <w:p w:rsidR="00000000" w:rsidRDefault="00000000">
            <w:pPr>
              <w:spacing w:before="120" w:line="288" w:lineRule="auto"/>
              <w:jc w:val="center"/>
              <w:rPr>
                <w:rFonts w:hint="eastAsia"/>
              </w:rPr>
            </w:pPr>
            <w:r>
              <w:rPr>
                <w:rFonts w:hint="eastAsia"/>
              </w:rPr>
              <w:t>-25.0</w:t>
            </w:r>
          </w:p>
        </w:tc>
      </w:tr>
      <w:tr w:rsidR="00000000">
        <w:tblPrEx>
          <w:tblCellMar>
            <w:top w:w="0" w:type="dxa"/>
            <w:bottom w:w="0" w:type="dxa"/>
          </w:tblCellMar>
        </w:tblPrEx>
        <w:tc>
          <w:tcPr>
            <w:tcW w:w="2125" w:type="pct"/>
          </w:tcPr>
          <w:p w:rsidR="00000000" w:rsidRDefault="00000000">
            <w:pPr>
              <w:spacing w:before="120" w:line="288" w:lineRule="auto"/>
              <w:ind w:left="57" w:firstLine="57"/>
              <w:rPr>
                <w:rFonts w:hint="eastAsia"/>
                <w:sz w:val="22"/>
              </w:rPr>
            </w:pPr>
            <w:r>
              <w:rPr>
                <w:rFonts w:hint="eastAsia"/>
                <w:sz w:val="22"/>
              </w:rPr>
              <w:t>职业病</w:t>
            </w:r>
          </w:p>
        </w:tc>
        <w:tc>
          <w:tcPr>
            <w:tcW w:w="510" w:type="pct"/>
          </w:tcPr>
          <w:p w:rsidR="00000000" w:rsidRDefault="00000000">
            <w:pPr>
              <w:spacing w:before="120" w:line="288" w:lineRule="auto"/>
              <w:jc w:val="center"/>
              <w:rPr>
                <w:rFonts w:hint="eastAsia"/>
              </w:rPr>
            </w:pPr>
            <w:r>
              <w:rPr>
                <w:rFonts w:hint="eastAsia"/>
              </w:rPr>
              <w:t>-</w:t>
            </w:r>
          </w:p>
        </w:tc>
        <w:tc>
          <w:tcPr>
            <w:tcW w:w="510" w:type="pct"/>
          </w:tcPr>
          <w:p w:rsidR="00000000" w:rsidRDefault="00000000">
            <w:pPr>
              <w:spacing w:before="120" w:line="288" w:lineRule="auto"/>
              <w:jc w:val="center"/>
              <w:rPr>
                <w:rFonts w:hint="eastAsia"/>
              </w:rPr>
            </w:pPr>
            <w:r>
              <w:rPr>
                <w:rFonts w:hint="eastAsia"/>
              </w:rPr>
              <w:t>-</w:t>
            </w:r>
          </w:p>
        </w:tc>
        <w:tc>
          <w:tcPr>
            <w:tcW w:w="927" w:type="pct"/>
          </w:tcPr>
          <w:p w:rsidR="00000000" w:rsidRDefault="00000000">
            <w:pPr>
              <w:spacing w:before="120" w:line="288" w:lineRule="auto"/>
              <w:jc w:val="center"/>
              <w:rPr>
                <w:rFonts w:hint="eastAsia"/>
              </w:rPr>
            </w:pPr>
            <w:r>
              <w:rPr>
                <w:rFonts w:hint="eastAsia"/>
              </w:rPr>
              <w:t>-</w:t>
            </w:r>
          </w:p>
        </w:tc>
        <w:tc>
          <w:tcPr>
            <w:tcW w:w="927" w:type="pct"/>
          </w:tcPr>
          <w:p w:rsidR="00000000" w:rsidRDefault="00000000">
            <w:pPr>
              <w:spacing w:before="120" w:line="288" w:lineRule="auto"/>
              <w:jc w:val="center"/>
              <w:rPr>
                <w:rFonts w:hint="eastAsia"/>
              </w:rPr>
            </w:pPr>
            <w:r>
              <w:rPr>
                <w:rFonts w:hint="eastAsia"/>
              </w:rPr>
              <w:t>-</w:t>
            </w:r>
          </w:p>
        </w:tc>
      </w:tr>
    </w:tbl>
    <w:p w:rsidR="00000000" w:rsidRDefault="00000000">
      <w:pPr>
        <w:spacing w:before="240" w:after="320"/>
        <w:rPr>
          <w:rFonts w:eastAsia="KaiTi_GB2312" w:hint="eastAsia"/>
          <w:snapToGrid/>
          <w:spacing w:val="0"/>
        </w:rPr>
      </w:pPr>
      <w:r>
        <w:rPr>
          <w:rFonts w:hint="eastAsia"/>
        </w:rPr>
        <w:tab/>
      </w:r>
      <w:r>
        <w:rPr>
          <w:rFonts w:eastAsia="KaiTi_GB2312" w:hint="eastAsia"/>
          <w:snapToGrid/>
          <w:spacing w:val="0"/>
          <w:u w:val="single"/>
        </w:rPr>
        <w:t>资料来源</w:t>
      </w:r>
      <w:r>
        <w:rPr>
          <w:rFonts w:eastAsia="KaiTi_GB2312" w:hint="eastAsia"/>
          <w:snapToGrid/>
          <w:spacing w:val="0"/>
        </w:rPr>
        <w:t>：劳工暨就业局，</w:t>
      </w:r>
      <w:r>
        <w:rPr>
          <w:rFonts w:eastAsia="KaiTi_GB2312" w:hint="eastAsia"/>
          <w:snapToGrid/>
          <w:spacing w:val="0"/>
        </w:rPr>
        <w:t>2002</w:t>
      </w:r>
      <w:r>
        <w:rPr>
          <w:rFonts w:eastAsia="KaiTi_GB2312" w:hint="eastAsia"/>
          <w:snapToGrid/>
          <w:spacing w:val="0"/>
        </w:rPr>
        <w:t>年</w:t>
      </w:r>
    </w:p>
    <w:p w:rsidR="00000000" w:rsidRDefault="00000000">
      <w:pPr>
        <w:pStyle w:val="Heading3"/>
        <w:rPr>
          <w:rFonts w:hint="eastAsia"/>
        </w:rPr>
      </w:pPr>
      <w:bookmarkStart w:id="71" w:name="_Toc78772980"/>
      <w:r>
        <w:rPr>
          <w:rFonts w:hint="eastAsia"/>
          <w:u w:val="none"/>
        </w:rPr>
        <w:t xml:space="preserve">D.  </w:t>
      </w:r>
      <w:r>
        <w:rPr>
          <w:rFonts w:hint="eastAsia"/>
        </w:rPr>
        <w:t>享有同等的提级机会的原则</w:t>
      </w:r>
      <w:bookmarkEnd w:id="71"/>
    </w:p>
    <w:p w:rsidR="00000000" w:rsidRDefault="00000000">
      <w:pPr>
        <w:rPr>
          <w:rFonts w:hint="eastAsia"/>
        </w:rPr>
      </w:pPr>
      <w:r>
        <w:rPr>
          <w:rFonts w:hint="eastAsia"/>
        </w:rPr>
        <w:tab/>
        <w:t xml:space="preserve">890.  </w:t>
      </w:r>
      <w:r>
        <w:rPr>
          <w:rFonts w:hint="eastAsia"/>
        </w:rPr>
        <w:t>提级仅取决于按人员的工作表现和经验而作出的评价的结果。</w:t>
      </w:r>
    </w:p>
    <w:p w:rsidR="00000000" w:rsidRDefault="00000000">
      <w:pPr>
        <w:rPr>
          <w:rFonts w:hint="eastAsia"/>
        </w:rPr>
      </w:pPr>
      <w:r>
        <w:rPr>
          <w:rFonts w:hint="eastAsia"/>
        </w:rPr>
        <w:tab/>
        <w:t xml:space="preserve">891.  </w:t>
      </w:r>
      <w:r>
        <w:rPr>
          <w:rFonts w:hint="eastAsia"/>
        </w:rPr>
        <w:t>订定职业技术培训法律制度的法规亦明确保障了参加职业培训课程和训练的平等机会</w:t>
      </w:r>
      <w:r>
        <w:rPr>
          <w:rFonts w:hint="eastAsia"/>
        </w:rPr>
        <w:t>(9</w:t>
      </w:r>
      <w:r>
        <w:rPr>
          <w:rFonts w:hint="eastAsia"/>
        </w:rPr>
        <w:t>月</w:t>
      </w:r>
      <w:r>
        <w:rPr>
          <w:rFonts w:hint="eastAsia"/>
        </w:rPr>
        <w:t>16</w:t>
      </w:r>
      <w:r>
        <w:rPr>
          <w:rFonts w:hint="eastAsia"/>
        </w:rPr>
        <w:t>日第</w:t>
      </w:r>
      <w:r>
        <w:rPr>
          <w:rFonts w:hint="eastAsia"/>
        </w:rPr>
        <w:t>51/95/M</w:t>
      </w:r>
      <w:r>
        <w:rPr>
          <w:rFonts w:hint="eastAsia"/>
        </w:rPr>
        <w:t>号法令第四条</w:t>
      </w:r>
      <w:r>
        <w:t>a</w:t>
      </w:r>
      <w:r>
        <w:rPr>
          <w:rFonts w:hint="eastAsia"/>
        </w:rPr>
        <w:t>项</w:t>
      </w:r>
      <w:r>
        <w:rPr>
          <w:rFonts w:hint="eastAsia"/>
        </w:rPr>
        <w:t>)</w:t>
      </w:r>
      <w:r>
        <w:rPr>
          <w:rFonts w:hint="eastAsia"/>
        </w:rPr>
        <w:t>。</w:t>
      </w:r>
    </w:p>
    <w:p w:rsidR="00000000" w:rsidRDefault="00000000">
      <w:pPr>
        <w:spacing w:after="320"/>
        <w:rPr>
          <w:rFonts w:hint="eastAsia"/>
        </w:rPr>
      </w:pPr>
      <w:r>
        <w:rPr>
          <w:rFonts w:hint="eastAsia"/>
        </w:rPr>
        <w:tab/>
        <w:t xml:space="preserve">892.  </w:t>
      </w:r>
      <w:r>
        <w:rPr>
          <w:rFonts w:hint="eastAsia"/>
        </w:rPr>
        <w:t>在公职方面，平等机会原则同样得到提倡，并以公职制度应作为榜样，使私人工作积极效法此一前提为基础。</w:t>
      </w:r>
    </w:p>
    <w:p w:rsidR="00000000" w:rsidRDefault="00000000">
      <w:pPr>
        <w:pStyle w:val="Heading3"/>
        <w:rPr>
          <w:rFonts w:hint="eastAsia"/>
        </w:rPr>
      </w:pPr>
      <w:bookmarkStart w:id="72" w:name="_Toc78772981"/>
      <w:r>
        <w:rPr>
          <w:rFonts w:hint="eastAsia"/>
          <w:u w:val="none"/>
        </w:rPr>
        <w:t xml:space="preserve">E.  </w:t>
      </w:r>
      <w:r>
        <w:rPr>
          <w:rFonts w:hint="eastAsia"/>
        </w:rPr>
        <w:t>享有定期休假、休息、闲暇、工作时间的合理限制</w:t>
      </w:r>
      <w:r>
        <w:rPr>
          <w:rFonts w:hint="eastAsia"/>
          <w:u w:val="none"/>
        </w:rPr>
        <w:t>、</w:t>
      </w:r>
      <w:r>
        <w:br/>
      </w:r>
      <w:r>
        <w:rPr>
          <w:rFonts w:hint="eastAsia"/>
        </w:rPr>
        <w:t>定期给薪休假和公共假日报酬的权利</w:t>
      </w:r>
      <w:bookmarkEnd w:id="72"/>
    </w:p>
    <w:p w:rsidR="00000000" w:rsidRDefault="00000000">
      <w:pPr>
        <w:rPr>
          <w:rFonts w:hint="eastAsia"/>
        </w:rPr>
      </w:pPr>
      <w:r>
        <w:rPr>
          <w:rFonts w:hint="eastAsia"/>
        </w:rPr>
        <w:tab/>
        <w:t xml:space="preserve">893.  </w:t>
      </w:r>
      <w:r>
        <w:rPr>
          <w:rFonts w:hint="eastAsia"/>
        </w:rPr>
        <w:t>在私人工作方面，每日的正常工作时间为</w:t>
      </w:r>
      <w:r>
        <w:rPr>
          <w:rFonts w:hint="eastAsia"/>
        </w:rPr>
        <w:t>8</w:t>
      </w:r>
      <w:r>
        <w:rPr>
          <w:rFonts w:hint="eastAsia"/>
        </w:rPr>
        <w:t>小时，每周为</w:t>
      </w:r>
      <w:r>
        <w:rPr>
          <w:rFonts w:hint="eastAsia"/>
        </w:rPr>
        <w:t>48</w:t>
      </w:r>
      <w:r>
        <w:rPr>
          <w:rFonts w:hint="eastAsia"/>
        </w:rPr>
        <w:t>小时；在公职方面，公务员每周工作</w:t>
      </w:r>
      <w:r>
        <w:rPr>
          <w:rFonts w:hint="eastAsia"/>
        </w:rPr>
        <w:t>36</w:t>
      </w:r>
      <w:r>
        <w:rPr>
          <w:rFonts w:hint="eastAsia"/>
        </w:rPr>
        <w:t>小时，每日工作不少于</w:t>
      </w:r>
      <w:r>
        <w:rPr>
          <w:rFonts w:hint="eastAsia"/>
        </w:rPr>
        <w:t>7</w:t>
      </w:r>
      <w:r>
        <w:rPr>
          <w:rFonts w:hint="eastAsia"/>
        </w:rPr>
        <w:t>小时。</w:t>
      </w:r>
    </w:p>
    <w:p w:rsidR="00000000" w:rsidRDefault="00000000">
      <w:pPr>
        <w:rPr>
          <w:rFonts w:hint="eastAsia"/>
        </w:rPr>
      </w:pPr>
      <w:r>
        <w:rPr>
          <w:rFonts w:hint="eastAsia"/>
        </w:rPr>
        <w:tab/>
        <w:t xml:space="preserve">894.  </w:t>
      </w:r>
      <w:r>
        <w:rPr>
          <w:rFonts w:hint="eastAsia"/>
        </w:rPr>
        <w:t>在私人工作方面，工作者每工作</w:t>
      </w:r>
      <w:r>
        <w:rPr>
          <w:rFonts w:hint="eastAsia"/>
        </w:rPr>
        <w:t>7</w:t>
      </w:r>
      <w:r>
        <w:rPr>
          <w:rFonts w:hint="eastAsia"/>
        </w:rPr>
        <w:t>日，有权享受给薪周假</w:t>
      </w:r>
      <w:r>
        <w:rPr>
          <w:rFonts w:hint="eastAsia"/>
        </w:rPr>
        <w:t>1</w:t>
      </w:r>
      <w:r>
        <w:rPr>
          <w:rFonts w:hint="eastAsia"/>
        </w:rPr>
        <w:t>日；在公职方面，周假为</w:t>
      </w:r>
      <w:r>
        <w:rPr>
          <w:rFonts w:hint="eastAsia"/>
        </w:rPr>
        <w:t>2</w:t>
      </w:r>
      <w:r>
        <w:rPr>
          <w:rFonts w:hint="eastAsia"/>
        </w:rPr>
        <w:t>日。</w:t>
      </w:r>
    </w:p>
    <w:p w:rsidR="00000000" w:rsidRDefault="00000000">
      <w:pPr>
        <w:spacing w:after="320"/>
        <w:rPr>
          <w:rFonts w:hint="eastAsia"/>
        </w:rPr>
      </w:pPr>
      <w:r>
        <w:rPr>
          <w:rFonts w:hint="eastAsia"/>
        </w:rPr>
        <w:tab/>
        <w:t xml:space="preserve">895.  </w:t>
      </w:r>
      <w:r>
        <w:rPr>
          <w:rFonts w:hint="eastAsia"/>
        </w:rPr>
        <w:t>在私人工作方面，工作者每年有权享受</w:t>
      </w:r>
      <w:r>
        <w:rPr>
          <w:rFonts w:hint="eastAsia"/>
        </w:rPr>
        <w:t>6</w:t>
      </w:r>
      <w:r>
        <w:rPr>
          <w:rFonts w:hint="eastAsia"/>
        </w:rPr>
        <w:t>个工作日的年假和收取一项最少相当于</w:t>
      </w:r>
      <w:r>
        <w:rPr>
          <w:rFonts w:hint="eastAsia"/>
        </w:rPr>
        <w:t>6</w:t>
      </w:r>
      <w:r>
        <w:rPr>
          <w:rFonts w:hint="eastAsia"/>
        </w:rPr>
        <w:t>个工作日的薪酬的假期津贴，且每年有权享受</w:t>
      </w:r>
      <w:r>
        <w:rPr>
          <w:rFonts w:hint="eastAsia"/>
        </w:rPr>
        <w:t>10</w:t>
      </w:r>
      <w:r>
        <w:rPr>
          <w:rFonts w:hint="eastAsia"/>
        </w:rPr>
        <w:t>日的法定公众假期；在公职方面，公务员每年有权享受</w:t>
      </w:r>
      <w:r>
        <w:rPr>
          <w:rFonts w:hint="eastAsia"/>
        </w:rPr>
        <w:t>22</w:t>
      </w:r>
      <w:r>
        <w:rPr>
          <w:rFonts w:hint="eastAsia"/>
        </w:rPr>
        <w:t>个工作日的年假和收取一项相当于其月薪的假期津贴。</w:t>
      </w:r>
    </w:p>
    <w:p w:rsidR="00000000" w:rsidRDefault="00000000">
      <w:pPr>
        <w:pStyle w:val="Heading3"/>
        <w:rPr>
          <w:rFonts w:ascii="Time New Roman" w:eastAsia="SimHei" w:hAnsi="Time New Roman" w:hint="eastAsia"/>
          <w:u w:val="none"/>
        </w:rPr>
      </w:pPr>
      <w:bookmarkStart w:id="73" w:name="_Toc78772982"/>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八</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参加工会的权利</w:t>
      </w:r>
      <w:bookmarkEnd w:id="73"/>
    </w:p>
    <w:p w:rsidR="00000000" w:rsidRDefault="00000000">
      <w:pPr>
        <w:rPr>
          <w:rFonts w:hint="eastAsia"/>
          <w:snapToGrid/>
        </w:rPr>
      </w:pPr>
      <w:r>
        <w:rPr>
          <w:rFonts w:hint="eastAsia"/>
          <w:snapToGrid/>
        </w:rPr>
        <w:tab/>
        <w:t xml:space="preserve">896.  </w:t>
      </w:r>
      <w:r>
        <w:rPr>
          <w:rFonts w:hint="eastAsia"/>
          <w:snapToGrid/>
        </w:rPr>
        <w:t>《澳门特别行政区基本法》明确规定，澳门居民享有组织和参加工会、罢工的权利和自由</w:t>
      </w:r>
      <w:r>
        <w:rPr>
          <w:rFonts w:hint="eastAsia"/>
          <w:snapToGrid/>
        </w:rPr>
        <w:t>(</w:t>
      </w:r>
      <w:r>
        <w:rPr>
          <w:rFonts w:hint="eastAsia"/>
          <w:snapToGrid/>
        </w:rPr>
        <w:t>第二十七条</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897.  </w:t>
      </w:r>
      <w:r>
        <w:rPr>
          <w:rFonts w:hint="eastAsia"/>
          <w:snapToGrid/>
        </w:rPr>
        <w:t>工人有权组织和参加工会。事实上，工会团体早已成为澳门社会中的一个活跃群体，参与政治事务，维护工人阶层的权益。在澳门特别行政区，共有</w:t>
      </w:r>
      <w:r>
        <w:rPr>
          <w:rFonts w:hint="eastAsia"/>
          <w:snapToGrid/>
        </w:rPr>
        <w:t>79</w:t>
      </w:r>
      <w:r>
        <w:rPr>
          <w:rFonts w:hint="eastAsia"/>
          <w:snapToGrid/>
        </w:rPr>
        <w:t>个从事工会活动的工人团体，其中</w:t>
      </w:r>
      <w:r>
        <w:rPr>
          <w:rFonts w:hint="eastAsia"/>
          <w:snapToGrid/>
        </w:rPr>
        <w:t>5</w:t>
      </w:r>
      <w:r>
        <w:rPr>
          <w:rFonts w:hint="eastAsia"/>
          <w:snapToGrid/>
        </w:rPr>
        <w:t>个由公务员组成。</w:t>
      </w:r>
    </w:p>
    <w:p w:rsidR="00000000" w:rsidRDefault="00000000">
      <w:pPr>
        <w:rPr>
          <w:rFonts w:hint="eastAsia"/>
          <w:snapToGrid/>
        </w:rPr>
      </w:pPr>
      <w:r>
        <w:rPr>
          <w:rFonts w:hint="eastAsia"/>
          <w:snapToGrid/>
        </w:rPr>
        <w:tab/>
        <w:t xml:space="preserve">898.  </w:t>
      </w:r>
      <w:r>
        <w:rPr>
          <w:rFonts w:hint="eastAsia"/>
          <w:snapToGrid/>
        </w:rPr>
        <w:t>结社自由规范于</w:t>
      </w:r>
      <w:r>
        <w:rPr>
          <w:rFonts w:hint="eastAsia"/>
          <w:snapToGrid/>
        </w:rPr>
        <w:t>8</w:t>
      </w:r>
      <w:r>
        <w:rPr>
          <w:rFonts w:hint="eastAsia"/>
          <w:snapToGrid/>
        </w:rPr>
        <w:t>月</w:t>
      </w:r>
      <w:r>
        <w:rPr>
          <w:rFonts w:hint="eastAsia"/>
          <w:snapToGrid/>
        </w:rPr>
        <w:t>9</w:t>
      </w:r>
      <w:r>
        <w:rPr>
          <w:rFonts w:hint="eastAsia"/>
          <w:snapToGrid/>
        </w:rPr>
        <w:t>日第</w:t>
      </w:r>
      <w:r>
        <w:rPr>
          <w:rFonts w:hint="eastAsia"/>
          <w:snapToGrid/>
        </w:rPr>
        <w:t>2/99/M</w:t>
      </w:r>
      <w:r>
        <w:rPr>
          <w:rFonts w:hint="eastAsia"/>
          <w:snapToGrid/>
        </w:rPr>
        <w:t>号法律。任何群体均有权毋需取得许可而结社，但其社团不得以推行暴力为宗旨或违反刑法又或抵触公共秩序。</w:t>
      </w:r>
    </w:p>
    <w:p w:rsidR="00000000" w:rsidRDefault="00000000">
      <w:pPr>
        <w:rPr>
          <w:rFonts w:hint="eastAsia"/>
          <w:snapToGrid/>
        </w:rPr>
      </w:pPr>
      <w:r>
        <w:rPr>
          <w:rFonts w:hint="eastAsia"/>
          <w:snapToGrid/>
        </w:rPr>
        <w:tab/>
        <w:t xml:space="preserve">899.  </w:t>
      </w:r>
      <w:r>
        <w:rPr>
          <w:rFonts w:hint="eastAsia"/>
          <w:snapToGrid/>
        </w:rPr>
        <w:t>目前，并无关于社团成员数目的资料。然而，值得指出的是，有</w:t>
      </w:r>
      <w:r>
        <w:rPr>
          <w:rFonts w:hint="eastAsia"/>
          <w:snapToGrid/>
        </w:rPr>
        <w:t>8</w:t>
      </w:r>
      <w:r>
        <w:rPr>
          <w:rFonts w:hint="eastAsia"/>
          <w:snapToGrid/>
        </w:rPr>
        <w:t>个工人团体是在澳门特别行政区成立后设立的，其中</w:t>
      </w:r>
      <w:r>
        <w:rPr>
          <w:rFonts w:hint="eastAsia"/>
          <w:snapToGrid/>
        </w:rPr>
        <w:t>6</w:t>
      </w:r>
      <w:r>
        <w:rPr>
          <w:rFonts w:hint="eastAsia"/>
          <w:snapToGrid/>
        </w:rPr>
        <w:t>个是在</w:t>
      </w:r>
      <w:r>
        <w:rPr>
          <w:rFonts w:hint="eastAsia"/>
          <w:snapToGrid/>
        </w:rPr>
        <w:t>2002</w:t>
      </w:r>
      <w:r>
        <w:rPr>
          <w:rFonts w:hint="eastAsia"/>
          <w:snapToGrid/>
        </w:rPr>
        <w:t>年设立。</w:t>
      </w:r>
    </w:p>
    <w:p w:rsidR="00000000" w:rsidRDefault="00000000">
      <w:pPr>
        <w:rPr>
          <w:rFonts w:hint="eastAsia"/>
          <w:snapToGrid/>
        </w:rPr>
      </w:pPr>
      <w:r>
        <w:rPr>
          <w:rFonts w:hint="eastAsia"/>
          <w:snapToGrid/>
        </w:rPr>
        <w:tab/>
        <w:t xml:space="preserve">900.  </w:t>
      </w:r>
      <w:r>
        <w:rPr>
          <w:rFonts w:hint="eastAsia"/>
          <w:snapToGrid/>
        </w:rPr>
        <w:t>集体谈判权利同样获得承认。事实上，雇主和工人团体的代表均在社会协调常设委员会中占一席位，该委员会是澳门特别行政区政府的咨询机关，其职能是推动劳资双方的对话和促进社会经济发展。此外，该实体亦就社会劳动政策，尤其是工资、工作制度、就业策略和社会保障等事宜发表意见。</w:t>
      </w:r>
    </w:p>
    <w:p w:rsidR="00000000" w:rsidRDefault="00000000">
      <w:pPr>
        <w:rPr>
          <w:rFonts w:hint="eastAsia"/>
          <w:snapToGrid/>
        </w:rPr>
      </w:pPr>
      <w:r>
        <w:rPr>
          <w:rFonts w:hint="eastAsia"/>
          <w:snapToGrid/>
        </w:rPr>
        <w:tab/>
        <w:t>901.  1948</w:t>
      </w:r>
      <w:r>
        <w:rPr>
          <w:rFonts w:hint="eastAsia"/>
          <w:snapToGrid/>
        </w:rPr>
        <w:t>年《结社自由与保护组织权利公约》</w:t>
      </w:r>
      <w:r>
        <w:rPr>
          <w:rFonts w:hint="eastAsia"/>
          <w:snapToGrid/>
        </w:rPr>
        <w:t>(</w:t>
      </w:r>
      <w:r>
        <w:rPr>
          <w:rFonts w:hint="eastAsia"/>
          <w:snapToGrid/>
        </w:rPr>
        <w:t>国际劳工组织第</w:t>
      </w:r>
      <w:r>
        <w:rPr>
          <w:rFonts w:hint="eastAsia"/>
          <w:snapToGrid/>
        </w:rPr>
        <w:t>87</w:t>
      </w:r>
      <w:r>
        <w:rPr>
          <w:rFonts w:hint="eastAsia"/>
          <w:snapToGrid/>
        </w:rPr>
        <w:t>号公约</w:t>
      </w:r>
      <w:r>
        <w:rPr>
          <w:rFonts w:hint="eastAsia"/>
          <w:snapToGrid/>
        </w:rPr>
        <w:t>)</w:t>
      </w:r>
      <w:r>
        <w:rPr>
          <w:rFonts w:hint="eastAsia"/>
          <w:snapToGrid/>
        </w:rPr>
        <w:t>和</w:t>
      </w:r>
      <w:r>
        <w:rPr>
          <w:rFonts w:hint="eastAsia"/>
          <w:snapToGrid/>
        </w:rPr>
        <w:t>1949</w:t>
      </w:r>
      <w:r>
        <w:rPr>
          <w:rFonts w:hint="eastAsia"/>
          <w:snapToGrid/>
        </w:rPr>
        <w:t>年《组织权利及集体谈判权利公约》</w:t>
      </w:r>
      <w:r>
        <w:rPr>
          <w:rFonts w:hint="eastAsia"/>
          <w:snapToGrid/>
        </w:rPr>
        <w:t>(</w:t>
      </w:r>
      <w:r>
        <w:rPr>
          <w:rFonts w:hint="eastAsia"/>
          <w:snapToGrid/>
        </w:rPr>
        <w:t>国际劳工组织第</w:t>
      </w:r>
      <w:r>
        <w:rPr>
          <w:rFonts w:hint="eastAsia"/>
          <w:snapToGrid/>
        </w:rPr>
        <w:t>98</w:t>
      </w:r>
      <w:r>
        <w:rPr>
          <w:rFonts w:hint="eastAsia"/>
          <w:snapToGrid/>
        </w:rPr>
        <w:t>号公约</w:t>
      </w:r>
      <w:r>
        <w:rPr>
          <w:rFonts w:hint="eastAsia"/>
          <w:snapToGrid/>
        </w:rPr>
        <w:t>)</w:t>
      </w:r>
      <w:r>
        <w:rPr>
          <w:rFonts w:hint="eastAsia"/>
          <w:snapToGrid/>
        </w:rPr>
        <w:t>适用于澳门特别行政区。</w:t>
      </w:r>
    </w:p>
    <w:p w:rsidR="00000000" w:rsidRDefault="00000000">
      <w:pPr>
        <w:rPr>
          <w:rFonts w:hint="eastAsia"/>
          <w:snapToGrid/>
        </w:rPr>
      </w:pPr>
      <w:r>
        <w:rPr>
          <w:rFonts w:hint="eastAsia"/>
          <w:snapToGrid/>
        </w:rPr>
        <w:tab/>
        <w:t xml:space="preserve">902.  </w:t>
      </w:r>
      <w:r>
        <w:rPr>
          <w:rFonts w:hint="eastAsia"/>
          <w:snapToGrid/>
        </w:rPr>
        <w:t>不存在对身为或将成为工会团体成员的工人的歧视，亦不存在对自由行使澳门特别行政区法例规定的权利的限制。</w:t>
      </w:r>
    </w:p>
    <w:p w:rsidR="00000000" w:rsidRDefault="00000000">
      <w:pPr>
        <w:spacing w:after="320"/>
        <w:rPr>
          <w:rFonts w:hint="eastAsia"/>
          <w:snapToGrid/>
        </w:rPr>
      </w:pPr>
      <w:r>
        <w:rPr>
          <w:rFonts w:hint="eastAsia"/>
          <w:snapToGrid/>
        </w:rPr>
        <w:tab/>
        <w:t xml:space="preserve">903.  </w:t>
      </w:r>
      <w:r>
        <w:rPr>
          <w:rFonts w:hint="eastAsia"/>
          <w:snapToGrid/>
        </w:rPr>
        <w:t>限制或压制行使罢工权的措施均属违法。然而，澳门特别行政区保安部队军事化人员的罢工权则例外受到限制</w:t>
      </w:r>
      <w:r>
        <w:rPr>
          <w:rFonts w:hint="eastAsia"/>
          <w:snapToGrid/>
        </w:rPr>
        <w:t>(</w:t>
      </w:r>
      <w:r>
        <w:rPr>
          <w:rFonts w:hint="eastAsia"/>
          <w:snapToGrid/>
        </w:rPr>
        <w:t>经</w:t>
      </w:r>
      <w:r>
        <w:rPr>
          <w:rFonts w:hint="eastAsia"/>
          <w:snapToGrid/>
        </w:rPr>
        <w:t>12</w:t>
      </w:r>
      <w:r>
        <w:rPr>
          <w:rFonts w:hint="eastAsia"/>
          <w:snapToGrid/>
        </w:rPr>
        <w:t>月</w:t>
      </w:r>
      <w:r>
        <w:rPr>
          <w:rFonts w:hint="eastAsia"/>
          <w:snapToGrid/>
        </w:rPr>
        <w:t>30</w:t>
      </w:r>
      <w:r>
        <w:rPr>
          <w:rFonts w:hint="eastAsia"/>
          <w:snapToGrid/>
        </w:rPr>
        <w:t>日第</w:t>
      </w:r>
      <w:r>
        <w:rPr>
          <w:rFonts w:hint="eastAsia"/>
          <w:snapToGrid/>
        </w:rPr>
        <w:t>66/94/M</w:t>
      </w:r>
      <w:r>
        <w:rPr>
          <w:rFonts w:hint="eastAsia"/>
          <w:snapToGrid/>
        </w:rPr>
        <w:t>号法令核准的保安部队军事化人员通则第三十二条</w:t>
      </w:r>
      <w:r>
        <w:rPr>
          <w:rFonts w:hint="eastAsia"/>
          <w:snapToGrid/>
        </w:rPr>
        <w:t>)</w:t>
      </w:r>
      <w:r>
        <w:rPr>
          <w:rFonts w:hint="eastAsia"/>
          <w:snapToGrid/>
        </w:rPr>
        <w:t>。</w:t>
      </w:r>
    </w:p>
    <w:p w:rsidR="00000000" w:rsidRDefault="00000000">
      <w:pPr>
        <w:pStyle w:val="Heading3"/>
        <w:spacing w:after="160"/>
        <w:rPr>
          <w:rFonts w:ascii="Time New Roman" w:eastAsia="SimHei" w:hAnsi="Time New Roman" w:hint="eastAsia"/>
          <w:snapToGrid/>
          <w:kern w:val="0"/>
          <w:u w:val="none"/>
        </w:rPr>
      </w:pPr>
      <w:bookmarkStart w:id="74" w:name="_Toc78772983"/>
      <w:r>
        <w:rPr>
          <w:rFonts w:ascii="Time New Roman" w:eastAsia="SimHei" w:hAnsi="Time New Roman" w:hint="eastAsia"/>
          <w:snapToGrid/>
          <w:kern w:val="0"/>
          <w:u w:val="none"/>
        </w:rPr>
        <w:t>第</w:t>
      </w:r>
      <w:r>
        <w:rPr>
          <w:rFonts w:ascii="Time New Roman" w:eastAsia="SimHei" w:hAnsi="Time New Roman" w:hint="eastAsia"/>
          <w:snapToGrid/>
          <w:kern w:val="0"/>
          <w:u w:val="none"/>
        </w:rPr>
        <w:t xml:space="preserve"> </w:t>
      </w:r>
      <w:r>
        <w:rPr>
          <w:rFonts w:ascii="Time New Roman" w:eastAsia="SimHei" w:hAnsi="Time New Roman" w:hint="eastAsia"/>
          <w:snapToGrid/>
          <w:kern w:val="0"/>
          <w:u w:val="none"/>
        </w:rPr>
        <w:t>九</w:t>
      </w:r>
      <w:r>
        <w:rPr>
          <w:rFonts w:ascii="Time New Roman" w:eastAsia="SimHei" w:hAnsi="Time New Roman" w:hint="eastAsia"/>
          <w:snapToGrid/>
          <w:kern w:val="0"/>
          <w:u w:val="none"/>
        </w:rPr>
        <w:t xml:space="preserve"> </w:t>
      </w:r>
      <w:r>
        <w:rPr>
          <w:rFonts w:ascii="Time New Roman" w:eastAsia="SimHei" w:hAnsi="Time New Roman" w:hint="eastAsia"/>
          <w:snapToGrid/>
          <w:kern w:val="0"/>
          <w:u w:val="none"/>
        </w:rPr>
        <w:t>条</w:t>
      </w:r>
      <w:r>
        <w:rPr>
          <w:rFonts w:ascii="Time New Roman" w:eastAsia="SimHei" w:hAnsi="Time New Roman"/>
          <w:snapToGrid/>
          <w:kern w:val="0"/>
          <w:u w:val="none"/>
        </w:rPr>
        <w:br/>
      </w:r>
      <w:r>
        <w:rPr>
          <w:rFonts w:ascii="Time New Roman" w:eastAsia="SimHei" w:hAnsi="Time New Roman" w:hint="eastAsia"/>
          <w:snapToGrid/>
          <w:kern w:val="0"/>
          <w:u w:val="none"/>
        </w:rPr>
        <w:t>享受社会保障的权利</w:t>
      </w:r>
      <w:bookmarkEnd w:id="74"/>
    </w:p>
    <w:p w:rsidR="00000000" w:rsidRDefault="00000000">
      <w:pPr>
        <w:pStyle w:val="Heading3"/>
        <w:spacing w:after="160"/>
        <w:rPr>
          <w:rFonts w:hint="eastAsia"/>
          <w:snapToGrid/>
          <w:kern w:val="0"/>
        </w:rPr>
      </w:pPr>
      <w:bookmarkStart w:id="75" w:name="_Toc78772984"/>
      <w:r>
        <w:rPr>
          <w:rFonts w:hint="eastAsia"/>
          <w:snapToGrid/>
          <w:kern w:val="0"/>
          <w:u w:val="none"/>
        </w:rPr>
        <w:t xml:space="preserve">A.  </w:t>
      </w:r>
      <w:r>
        <w:rPr>
          <w:rFonts w:hint="eastAsia"/>
          <w:snapToGrid/>
          <w:kern w:val="0"/>
        </w:rPr>
        <w:t>法律体制</w:t>
      </w:r>
      <w:bookmarkEnd w:id="75"/>
    </w:p>
    <w:p w:rsidR="00000000" w:rsidRDefault="00000000">
      <w:pPr>
        <w:spacing w:line="312" w:lineRule="auto"/>
        <w:rPr>
          <w:rFonts w:hint="eastAsia"/>
          <w:snapToGrid/>
        </w:rPr>
      </w:pPr>
      <w:r>
        <w:rPr>
          <w:rFonts w:hint="eastAsia"/>
          <w:snapToGrid/>
        </w:rPr>
        <w:tab/>
        <w:t xml:space="preserve">904.  </w:t>
      </w:r>
      <w:r>
        <w:rPr>
          <w:rFonts w:hint="eastAsia"/>
          <w:snapToGrid/>
        </w:rPr>
        <w:t>享受社会保障的权利明确规定于《基本法》第三十九条，该条文规定“澳门居民有依法享受社会福利的权利。劳工的福利待遇和退休保障受法律保护”。此外，按照《基本法》第一百三十条的规定，澳门特别行政区政府的责任之一是制定政策，以发展和改进全面的社会福利制度。</w:t>
      </w:r>
    </w:p>
    <w:p w:rsidR="00000000" w:rsidRDefault="00000000">
      <w:pPr>
        <w:spacing w:line="312" w:lineRule="auto"/>
        <w:rPr>
          <w:rFonts w:hint="eastAsia"/>
          <w:snapToGrid/>
        </w:rPr>
      </w:pPr>
      <w:r>
        <w:rPr>
          <w:rFonts w:hint="eastAsia"/>
          <w:snapToGrid/>
        </w:rPr>
        <w:tab/>
        <w:t xml:space="preserve">905.  </w:t>
      </w:r>
      <w:r>
        <w:rPr>
          <w:rFonts w:hint="eastAsia"/>
          <w:snapToGrid/>
        </w:rPr>
        <w:t>在这方面，现正进行法律上的修改，以完善现有的社会保障制度。</w:t>
      </w:r>
    </w:p>
    <w:p w:rsidR="00000000" w:rsidRDefault="00000000">
      <w:pPr>
        <w:spacing w:line="312" w:lineRule="auto"/>
        <w:rPr>
          <w:rFonts w:hint="eastAsia"/>
          <w:snapToGrid/>
        </w:rPr>
      </w:pPr>
      <w:r>
        <w:rPr>
          <w:rFonts w:hint="eastAsia"/>
          <w:snapToGrid/>
        </w:rPr>
        <w:tab/>
        <w:t xml:space="preserve">906.  </w:t>
      </w:r>
      <w:r>
        <w:rPr>
          <w:rFonts w:hint="eastAsia"/>
          <w:snapToGrid/>
        </w:rPr>
        <w:t>此外，澳门特别行政区政府亦动用大量的财政资源，以解决失业问题和优化劳动力。</w:t>
      </w:r>
    </w:p>
    <w:p w:rsidR="00000000" w:rsidRDefault="00000000">
      <w:pPr>
        <w:spacing w:line="312" w:lineRule="auto"/>
        <w:rPr>
          <w:rFonts w:hint="eastAsia"/>
          <w:snapToGrid/>
        </w:rPr>
      </w:pPr>
      <w:r>
        <w:rPr>
          <w:rFonts w:hint="eastAsia"/>
          <w:snapToGrid/>
        </w:rPr>
        <w:tab/>
        <w:t xml:space="preserve">907.  </w:t>
      </w:r>
      <w:r>
        <w:rPr>
          <w:rFonts w:hint="eastAsia"/>
          <w:snapToGrid/>
        </w:rPr>
        <w:t>值得强调的是，自回归以来，社会保障方面有明显的改进。主要目标是纠正可见的不正常现象和向较有需要协助的人士，如低收入人士、失业人士、残疾劳工等提供援助，为此，亦设定了若干新的社会福利</w:t>
      </w:r>
      <w:r>
        <w:rPr>
          <w:rFonts w:hint="eastAsia"/>
          <w:snapToGrid/>
        </w:rPr>
        <w:t>(10</w:t>
      </w:r>
      <w:r>
        <w:rPr>
          <w:rFonts w:hint="eastAsia"/>
          <w:snapToGrid/>
        </w:rPr>
        <w:t>月</w:t>
      </w:r>
      <w:r>
        <w:rPr>
          <w:rFonts w:hint="eastAsia"/>
          <w:snapToGrid/>
        </w:rPr>
        <w:t>16</w:t>
      </w:r>
      <w:r>
        <w:rPr>
          <w:rFonts w:hint="eastAsia"/>
          <w:snapToGrid/>
        </w:rPr>
        <w:t>日第</w:t>
      </w:r>
      <w:r>
        <w:rPr>
          <w:rFonts w:hint="eastAsia"/>
          <w:snapToGrid/>
        </w:rPr>
        <w:t>199/2000</w:t>
      </w:r>
      <w:r>
        <w:rPr>
          <w:rFonts w:hint="eastAsia"/>
          <w:snapToGrid/>
        </w:rPr>
        <w:t>号行政长官批示</w:t>
      </w:r>
      <w:r>
        <w:rPr>
          <w:rFonts w:hint="eastAsia"/>
          <w:snapToGrid/>
        </w:rPr>
        <w:t>)</w:t>
      </w:r>
      <w:r>
        <w:rPr>
          <w:rFonts w:hint="eastAsia"/>
          <w:snapToGrid/>
        </w:rPr>
        <w:t>。</w:t>
      </w:r>
    </w:p>
    <w:p w:rsidR="00000000" w:rsidRDefault="00000000">
      <w:pPr>
        <w:spacing w:after="160" w:line="312" w:lineRule="auto"/>
        <w:rPr>
          <w:rFonts w:hint="eastAsia"/>
          <w:snapToGrid/>
        </w:rPr>
      </w:pPr>
      <w:r>
        <w:rPr>
          <w:rFonts w:hint="eastAsia"/>
          <w:snapToGrid/>
        </w:rPr>
        <w:tab/>
        <w:t xml:space="preserve">908.  </w:t>
      </w:r>
      <w:r>
        <w:rPr>
          <w:rFonts w:hint="eastAsia"/>
          <w:snapToGrid/>
        </w:rPr>
        <w:t>本地的私人组织只要不违反法律，亦可在澳门特别行政区提供社会服务。</w:t>
      </w:r>
    </w:p>
    <w:p w:rsidR="00000000" w:rsidRDefault="00000000">
      <w:pPr>
        <w:pStyle w:val="Heading3"/>
        <w:spacing w:after="160"/>
        <w:rPr>
          <w:rFonts w:hint="eastAsia"/>
          <w:snapToGrid/>
          <w:kern w:val="0"/>
        </w:rPr>
      </w:pPr>
      <w:bookmarkStart w:id="76" w:name="_Toc78772985"/>
      <w:r>
        <w:rPr>
          <w:rFonts w:hint="eastAsia"/>
          <w:snapToGrid/>
          <w:kern w:val="0"/>
          <w:u w:val="none"/>
        </w:rPr>
        <w:t xml:space="preserve">B.  </w:t>
      </w:r>
      <w:r>
        <w:rPr>
          <w:rFonts w:hint="eastAsia"/>
          <w:snapToGrid/>
          <w:kern w:val="0"/>
        </w:rPr>
        <w:t>社会保障制度、福利和资助方法</w:t>
      </w:r>
      <w:bookmarkEnd w:id="76"/>
    </w:p>
    <w:p w:rsidR="00000000" w:rsidRDefault="00000000">
      <w:pPr>
        <w:spacing w:after="160"/>
        <w:rPr>
          <w:rFonts w:hint="eastAsia"/>
          <w:snapToGrid/>
        </w:rPr>
      </w:pPr>
      <w:r>
        <w:rPr>
          <w:rFonts w:hint="eastAsia"/>
          <w:snapToGrid/>
        </w:rPr>
        <w:tab/>
        <w:t xml:space="preserve">909.  </w:t>
      </w:r>
      <w:r>
        <w:rPr>
          <w:rFonts w:hint="eastAsia"/>
          <w:snapToGrid/>
        </w:rPr>
        <w:t>主要的社会保障制度有二：一是公共行政工作人员的社会保障制度，一是私人工作的工作人员的社会保障制度。</w:t>
      </w:r>
    </w:p>
    <w:p w:rsidR="00000000" w:rsidRDefault="00000000">
      <w:pPr>
        <w:pStyle w:val="Heading4"/>
        <w:spacing w:after="160"/>
        <w:rPr>
          <w:rFonts w:hint="eastAsia"/>
          <w:snapToGrid/>
        </w:rPr>
      </w:pPr>
      <w:r>
        <w:rPr>
          <w:rFonts w:hint="eastAsia"/>
          <w:snapToGrid/>
        </w:rPr>
        <w:t>公</w:t>
      </w:r>
      <w:r>
        <w:rPr>
          <w:rFonts w:hint="eastAsia"/>
          <w:snapToGrid/>
        </w:rPr>
        <w:t xml:space="preserve">  </w:t>
      </w:r>
      <w:r>
        <w:rPr>
          <w:rFonts w:hint="eastAsia"/>
          <w:snapToGrid/>
        </w:rPr>
        <w:t>职</w:t>
      </w:r>
    </w:p>
    <w:p w:rsidR="00000000" w:rsidRDefault="00000000">
      <w:pPr>
        <w:spacing w:line="312" w:lineRule="auto"/>
        <w:rPr>
          <w:rFonts w:hint="eastAsia"/>
          <w:snapToGrid/>
        </w:rPr>
      </w:pPr>
      <w:r>
        <w:rPr>
          <w:rFonts w:hint="eastAsia"/>
          <w:snapToGrid/>
        </w:rPr>
        <w:tab/>
        <w:t xml:space="preserve">910.  </w:t>
      </w:r>
      <w:r>
        <w:rPr>
          <w:rFonts w:hint="eastAsia"/>
          <w:snapToGrid/>
        </w:rPr>
        <w:t>在公职方面，工作人员有权根据本身的家庭状况而获发放不同的福利，如家庭津贴、房屋津贴、结婚津贴、子女出生津贴、假期津贴、圣诞津贴和轮值津贴。此外，尚有发放其他的社会福利，如年资奖金、抚恤金、死亡津贴、丧葬津贴、卫生护理，等等。</w:t>
      </w:r>
    </w:p>
    <w:p w:rsidR="00000000" w:rsidRDefault="00000000">
      <w:pPr>
        <w:spacing w:line="312" w:lineRule="auto"/>
        <w:rPr>
          <w:rFonts w:hint="eastAsia"/>
          <w:snapToGrid/>
        </w:rPr>
      </w:pPr>
      <w:r>
        <w:rPr>
          <w:rFonts w:hint="eastAsia"/>
          <w:snapToGrid/>
        </w:rPr>
        <w:tab/>
        <w:t xml:space="preserve">911.  </w:t>
      </w:r>
      <w:r>
        <w:rPr>
          <w:rFonts w:hint="eastAsia"/>
          <w:snapToGrid/>
        </w:rPr>
        <w:t>如属退休工作人员，上述福利是由澳门退休基金会负责发放。澳门退休基金会是澳门特别行政区政府架构中的一个自治实体。</w:t>
      </w:r>
    </w:p>
    <w:p w:rsidR="00000000" w:rsidRDefault="00000000">
      <w:pPr>
        <w:widowControl w:val="0"/>
        <w:spacing w:line="312" w:lineRule="auto"/>
        <w:rPr>
          <w:rFonts w:hint="eastAsia"/>
          <w:snapToGrid/>
        </w:rPr>
      </w:pPr>
      <w:r>
        <w:rPr>
          <w:rFonts w:hint="eastAsia"/>
          <w:snapToGrid/>
        </w:rPr>
        <w:tab/>
        <w:t xml:space="preserve">912.  </w:t>
      </w:r>
      <w:r>
        <w:rPr>
          <w:rFonts w:hint="eastAsia"/>
          <w:snapToGrid/>
        </w:rPr>
        <w:t>公共行政当局的退休制度是一个既定的福利制度。上述基金会的主要收入来源是工作人员的定期供款和澳门特别行政区预算中一特定百分比的拨款</w:t>
      </w:r>
      <w:r>
        <w:rPr>
          <w:rFonts w:hint="eastAsia"/>
          <w:snapToGrid/>
        </w:rPr>
        <w:t>(</w:t>
      </w:r>
      <w:r>
        <w:rPr>
          <w:rFonts w:hint="eastAsia"/>
          <w:snapToGrid/>
        </w:rPr>
        <w:t>《澳门公共行政工作人员通则》第二百五十九条</w:t>
      </w:r>
      <w:r>
        <w:rPr>
          <w:rFonts w:hint="eastAsia"/>
          <w:snapToGrid/>
        </w:rPr>
        <w:t>)</w:t>
      </w:r>
      <w:r>
        <w:rPr>
          <w:rFonts w:hint="eastAsia"/>
          <w:snapToGrid/>
        </w:rPr>
        <w:t>。退休金的数额是按照工作人员在行政当局服务的年数和退休前所收取的薪酬计算。</w:t>
      </w:r>
    </w:p>
    <w:p w:rsidR="00000000" w:rsidRDefault="00000000">
      <w:pPr>
        <w:pStyle w:val="Heading3"/>
        <w:rPr>
          <w:rFonts w:hint="eastAsia"/>
          <w:snapToGrid/>
          <w:kern w:val="0"/>
        </w:rPr>
      </w:pPr>
      <w:bookmarkStart w:id="77" w:name="_Toc78772986"/>
      <w:r>
        <w:rPr>
          <w:rFonts w:hint="eastAsia"/>
          <w:snapToGrid/>
          <w:kern w:val="0"/>
        </w:rPr>
        <w:t>公共行政当局的社会保障制度</w:t>
      </w:r>
      <w:bookmarkEnd w:id="7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8017"/>
      </w:tblGrid>
      <w:tr w:rsidR="00000000">
        <w:tblPrEx>
          <w:tblCellMar>
            <w:top w:w="0" w:type="dxa"/>
            <w:bottom w:w="0" w:type="dxa"/>
          </w:tblCellMar>
        </w:tblPrEx>
        <w:tc>
          <w:tcPr>
            <w:tcW w:w="740" w:type="pct"/>
          </w:tcPr>
          <w:p w:rsidR="00000000" w:rsidRDefault="00000000">
            <w:pPr>
              <w:spacing w:before="40" w:line="288" w:lineRule="auto"/>
              <w:jc w:val="center"/>
              <w:rPr>
                <w:rFonts w:hint="eastAsia"/>
                <w:snapToGrid/>
                <w:sz w:val="22"/>
              </w:rPr>
            </w:pPr>
            <w:r>
              <w:rPr>
                <w:rFonts w:hint="eastAsia"/>
                <w:snapToGrid/>
                <w:sz w:val="22"/>
              </w:rPr>
              <w:t>福利名称</w:t>
            </w:r>
          </w:p>
        </w:tc>
        <w:tc>
          <w:tcPr>
            <w:tcW w:w="4260" w:type="pct"/>
          </w:tcPr>
          <w:p w:rsidR="00000000" w:rsidRDefault="00000000">
            <w:pPr>
              <w:spacing w:before="40" w:line="288" w:lineRule="auto"/>
              <w:jc w:val="center"/>
              <w:rPr>
                <w:rFonts w:hint="eastAsia"/>
                <w:snapToGrid/>
                <w:sz w:val="22"/>
              </w:rPr>
            </w:pPr>
            <w:r>
              <w:rPr>
                <w:rFonts w:hint="eastAsia"/>
                <w:snapToGrid/>
                <w:sz w:val="22"/>
              </w:rPr>
              <w:t>主</w:t>
            </w:r>
            <w:r>
              <w:rPr>
                <w:snapToGrid/>
                <w:sz w:val="22"/>
              </w:rPr>
              <w:t xml:space="preserve"> </w:t>
            </w:r>
            <w:r>
              <w:rPr>
                <w:rFonts w:hint="eastAsia"/>
                <w:snapToGrid/>
                <w:sz w:val="22"/>
              </w:rPr>
              <w:t>要</w:t>
            </w:r>
            <w:r>
              <w:rPr>
                <w:snapToGrid/>
                <w:sz w:val="22"/>
              </w:rPr>
              <w:t xml:space="preserve"> </w:t>
            </w:r>
            <w:r>
              <w:rPr>
                <w:rFonts w:hint="eastAsia"/>
                <w:snapToGrid/>
                <w:sz w:val="22"/>
              </w:rPr>
              <w:t>特</w:t>
            </w:r>
            <w:r>
              <w:rPr>
                <w:snapToGrid/>
                <w:sz w:val="22"/>
              </w:rPr>
              <w:t xml:space="preserve"> </w:t>
            </w:r>
            <w:r>
              <w:rPr>
                <w:rFonts w:hint="eastAsia"/>
                <w:snapToGrid/>
                <w:sz w:val="22"/>
              </w:rPr>
              <w:t>点</w:t>
            </w:r>
          </w:p>
        </w:tc>
      </w:tr>
      <w:tr w:rsidR="00000000">
        <w:tblPrEx>
          <w:tblCellMar>
            <w:top w:w="0" w:type="dxa"/>
            <w:bottom w:w="0" w:type="dxa"/>
          </w:tblCellMar>
        </w:tblPrEx>
        <w:tc>
          <w:tcPr>
            <w:tcW w:w="740" w:type="pct"/>
          </w:tcPr>
          <w:p w:rsidR="00000000" w:rsidRDefault="00000000">
            <w:pPr>
              <w:spacing w:before="80" w:after="20" w:line="288" w:lineRule="auto"/>
              <w:ind w:left="57" w:right="57"/>
              <w:rPr>
                <w:rFonts w:hint="eastAsia"/>
                <w:snapToGrid/>
                <w:sz w:val="22"/>
              </w:rPr>
            </w:pPr>
            <w:r>
              <w:rPr>
                <w:rFonts w:hint="eastAsia"/>
                <w:snapToGrid/>
                <w:sz w:val="22"/>
              </w:rPr>
              <w:t>卫生护理</w:t>
            </w:r>
          </w:p>
        </w:tc>
        <w:tc>
          <w:tcPr>
            <w:tcW w:w="4260" w:type="pct"/>
          </w:tcPr>
          <w:p w:rsidR="00000000" w:rsidRDefault="00000000">
            <w:pPr>
              <w:spacing w:before="80" w:after="20" w:line="288" w:lineRule="auto"/>
              <w:ind w:left="57" w:right="57"/>
              <w:rPr>
                <w:rFonts w:hint="eastAsia"/>
                <w:snapToGrid/>
                <w:sz w:val="22"/>
              </w:rPr>
            </w:pPr>
            <w:r>
              <w:rPr>
                <w:rFonts w:hint="eastAsia"/>
                <w:snapToGrid/>
                <w:sz w:val="22"/>
              </w:rPr>
              <w:t>受益人：现职工作人员、退休工作人员和某些生活由工作人员负担，且不属其他卫生护理福利制度受益人的家庭成员，以及受惠于抚恤金福利制度的家庭。受益人的供款额为其总收入、工资或退休金的</w:t>
            </w:r>
            <w:r>
              <w:rPr>
                <w:rFonts w:hint="eastAsia"/>
                <w:snapToGrid/>
                <w:sz w:val="22"/>
              </w:rPr>
              <w:t>0.5%</w:t>
            </w:r>
            <w:r>
              <w:rPr>
                <w:rFonts w:hint="eastAsia"/>
                <w:snapToGrid/>
                <w:sz w:val="22"/>
              </w:rPr>
              <w:t>。</w:t>
            </w:r>
          </w:p>
        </w:tc>
      </w:tr>
      <w:tr w:rsidR="00000000">
        <w:tblPrEx>
          <w:tblCellMar>
            <w:top w:w="0" w:type="dxa"/>
            <w:bottom w:w="0" w:type="dxa"/>
          </w:tblCellMar>
        </w:tblPrEx>
        <w:tc>
          <w:tcPr>
            <w:tcW w:w="740" w:type="pct"/>
          </w:tcPr>
          <w:p w:rsidR="00000000" w:rsidRDefault="00000000">
            <w:pPr>
              <w:spacing w:before="80" w:after="20" w:line="288" w:lineRule="auto"/>
              <w:ind w:left="57" w:right="57"/>
              <w:rPr>
                <w:rFonts w:hint="eastAsia"/>
                <w:snapToGrid/>
                <w:sz w:val="22"/>
              </w:rPr>
            </w:pPr>
            <w:r>
              <w:rPr>
                <w:rFonts w:hint="eastAsia"/>
                <w:snapToGrid/>
                <w:sz w:val="22"/>
              </w:rPr>
              <w:t>结婚津贴</w:t>
            </w:r>
          </w:p>
        </w:tc>
        <w:tc>
          <w:tcPr>
            <w:tcW w:w="4260" w:type="pct"/>
          </w:tcPr>
          <w:p w:rsidR="00000000" w:rsidRDefault="00000000">
            <w:pPr>
              <w:spacing w:before="80" w:after="20" w:line="288" w:lineRule="auto"/>
              <w:ind w:left="57" w:right="57"/>
              <w:rPr>
                <w:rFonts w:hint="eastAsia"/>
                <w:snapToGrid/>
                <w:sz w:val="22"/>
              </w:rPr>
            </w:pPr>
            <w:r>
              <w:rPr>
                <w:rFonts w:hint="eastAsia"/>
                <w:snapToGrid/>
                <w:sz w:val="22"/>
              </w:rPr>
              <w:t>受益人结婚时，有权收取澳门币</w:t>
            </w:r>
            <w:r>
              <w:rPr>
                <w:rFonts w:hint="eastAsia"/>
                <w:snapToGrid/>
                <w:sz w:val="22"/>
              </w:rPr>
              <w:t>2,300</w:t>
            </w:r>
            <w:r>
              <w:rPr>
                <w:rFonts w:hint="eastAsia"/>
                <w:snapToGrid/>
                <w:sz w:val="22"/>
              </w:rPr>
              <w:t>元的结婚津贴。</w:t>
            </w:r>
          </w:p>
        </w:tc>
      </w:tr>
      <w:tr w:rsidR="00000000">
        <w:tblPrEx>
          <w:tblCellMar>
            <w:top w:w="0" w:type="dxa"/>
            <w:bottom w:w="0" w:type="dxa"/>
          </w:tblCellMar>
        </w:tblPrEx>
        <w:tc>
          <w:tcPr>
            <w:tcW w:w="740" w:type="pct"/>
          </w:tcPr>
          <w:p w:rsidR="00000000" w:rsidRDefault="00000000">
            <w:pPr>
              <w:spacing w:before="80" w:after="20" w:line="288" w:lineRule="auto"/>
              <w:ind w:left="57" w:right="57"/>
              <w:rPr>
                <w:rFonts w:hint="eastAsia"/>
                <w:snapToGrid/>
                <w:sz w:val="22"/>
              </w:rPr>
            </w:pPr>
            <w:r>
              <w:rPr>
                <w:rFonts w:hint="eastAsia"/>
                <w:snapToGrid/>
                <w:sz w:val="22"/>
              </w:rPr>
              <w:t>出生津贴</w:t>
            </w:r>
          </w:p>
        </w:tc>
        <w:tc>
          <w:tcPr>
            <w:tcW w:w="4260" w:type="pct"/>
          </w:tcPr>
          <w:p w:rsidR="00000000" w:rsidRDefault="00000000">
            <w:pPr>
              <w:spacing w:before="80" w:after="20" w:line="288" w:lineRule="auto"/>
              <w:ind w:left="57" w:right="57"/>
              <w:rPr>
                <w:rFonts w:hint="eastAsia"/>
                <w:snapToGrid/>
                <w:sz w:val="22"/>
              </w:rPr>
            </w:pPr>
            <w:r>
              <w:rPr>
                <w:rFonts w:hint="eastAsia"/>
                <w:snapToGrid/>
                <w:sz w:val="22"/>
              </w:rPr>
              <w:t>受益人在每名子女出生时，有权收取澳门币</w:t>
            </w:r>
            <w:r>
              <w:rPr>
                <w:rFonts w:hint="eastAsia"/>
                <w:snapToGrid/>
                <w:sz w:val="22"/>
              </w:rPr>
              <w:t>2,300</w:t>
            </w:r>
            <w:r>
              <w:rPr>
                <w:rFonts w:hint="eastAsia"/>
                <w:snapToGrid/>
                <w:sz w:val="22"/>
              </w:rPr>
              <w:t>元的子女出生津贴。</w:t>
            </w:r>
          </w:p>
        </w:tc>
      </w:tr>
      <w:tr w:rsidR="00000000">
        <w:tblPrEx>
          <w:tblCellMar>
            <w:top w:w="0" w:type="dxa"/>
            <w:bottom w:w="0" w:type="dxa"/>
          </w:tblCellMar>
        </w:tblPrEx>
        <w:tc>
          <w:tcPr>
            <w:tcW w:w="740" w:type="pct"/>
          </w:tcPr>
          <w:p w:rsidR="00000000" w:rsidRDefault="00000000">
            <w:pPr>
              <w:spacing w:before="80" w:after="20" w:line="288" w:lineRule="auto"/>
              <w:ind w:left="57" w:right="57"/>
              <w:rPr>
                <w:rFonts w:hint="eastAsia"/>
                <w:snapToGrid/>
                <w:sz w:val="22"/>
              </w:rPr>
            </w:pPr>
            <w:r>
              <w:rPr>
                <w:rFonts w:hint="eastAsia"/>
                <w:snapToGrid/>
                <w:sz w:val="22"/>
              </w:rPr>
              <w:t>退休金</w:t>
            </w:r>
          </w:p>
        </w:tc>
        <w:tc>
          <w:tcPr>
            <w:tcW w:w="4260" w:type="pct"/>
          </w:tcPr>
          <w:p w:rsidR="00000000" w:rsidRDefault="00000000">
            <w:pPr>
              <w:spacing w:before="80" w:after="20" w:line="288" w:lineRule="auto"/>
              <w:ind w:left="57" w:right="57"/>
              <w:rPr>
                <w:rFonts w:hint="eastAsia"/>
                <w:snapToGrid/>
                <w:sz w:val="22"/>
              </w:rPr>
            </w:pPr>
            <w:r>
              <w:rPr>
                <w:rFonts w:hint="eastAsia"/>
                <w:snapToGrid/>
                <w:sz w:val="22"/>
              </w:rPr>
              <w:t>退休金福利共有两类：自愿退休的退休金和强制退休的退休金。后者发放予年满</w:t>
            </w:r>
            <w:r>
              <w:rPr>
                <w:rFonts w:hint="eastAsia"/>
                <w:snapToGrid/>
                <w:sz w:val="22"/>
              </w:rPr>
              <w:t>65</w:t>
            </w:r>
            <w:r>
              <w:rPr>
                <w:rFonts w:hint="eastAsia"/>
                <w:snapToGrid/>
                <w:sz w:val="22"/>
              </w:rPr>
              <w:t>岁且服务时间满</w:t>
            </w:r>
            <w:r>
              <w:rPr>
                <w:rFonts w:hint="eastAsia"/>
                <w:snapToGrid/>
                <w:sz w:val="22"/>
              </w:rPr>
              <w:t>15</w:t>
            </w:r>
            <w:r>
              <w:rPr>
                <w:rFonts w:hint="eastAsia"/>
                <w:snapToGrid/>
                <w:sz w:val="22"/>
              </w:rPr>
              <w:t>年的工作人员，前者则发放予年满</w:t>
            </w:r>
            <w:r>
              <w:rPr>
                <w:rFonts w:hint="eastAsia"/>
                <w:snapToGrid/>
                <w:sz w:val="22"/>
              </w:rPr>
              <w:t>55</w:t>
            </w:r>
            <w:r>
              <w:rPr>
                <w:rFonts w:hint="eastAsia"/>
                <w:snapToGrid/>
                <w:sz w:val="22"/>
              </w:rPr>
              <w:t>岁且服务时间满</w:t>
            </w:r>
            <w:r>
              <w:rPr>
                <w:rFonts w:hint="eastAsia"/>
                <w:snapToGrid/>
                <w:sz w:val="22"/>
              </w:rPr>
              <w:t>30</w:t>
            </w:r>
            <w:r>
              <w:rPr>
                <w:rFonts w:hint="eastAsia"/>
                <w:snapToGrid/>
                <w:sz w:val="22"/>
              </w:rPr>
              <w:t>年的工作人员。受益人有权收取的退休金相等于作为计算基础的薪俸的三十六分之一乘以为退休而计算的服务年数，而服务年数最高为</w:t>
            </w:r>
            <w:r>
              <w:rPr>
                <w:rFonts w:hint="eastAsia"/>
                <w:snapToGrid/>
                <w:sz w:val="22"/>
              </w:rPr>
              <w:t>36</w:t>
            </w:r>
            <w:r>
              <w:rPr>
                <w:rFonts w:hint="eastAsia"/>
                <w:snapToGrid/>
                <w:sz w:val="22"/>
              </w:rPr>
              <w:t>年。</w:t>
            </w:r>
          </w:p>
        </w:tc>
      </w:tr>
      <w:tr w:rsidR="00000000">
        <w:tblPrEx>
          <w:tblCellMar>
            <w:top w:w="0" w:type="dxa"/>
            <w:bottom w:w="0" w:type="dxa"/>
          </w:tblCellMar>
        </w:tblPrEx>
        <w:tc>
          <w:tcPr>
            <w:tcW w:w="740" w:type="pct"/>
          </w:tcPr>
          <w:p w:rsidR="00000000" w:rsidRDefault="00000000">
            <w:pPr>
              <w:spacing w:before="80" w:after="20" w:line="288" w:lineRule="auto"/>
              <w:ind w:left="57" w:right="57" w:firstLine="57"/>
              <w:rPr>
                <w:rFonts w:hint="eastAsia"/>
                <w:snapToGrid/>
                <w:sz w:val="22"/>
              </w:rPr>
            </w:pPr>
            <w:r>
              <w:rPr>
                <w:rFonts w:hint="eastAsia"/>
                <w:snapToGrid/>
                <w:sz w:val="22"/>
              </w:rPr>
              <w:t>伤残津贴</w:t>
            </w:r>
          </w:p>
        </w:tc>
        <w:tc>
          <w:tcPr>
            <w:tcW w:w="4260" w:type="pct"/>
          </w:tcPr>
          <w:p w:rsidR="00000000" w:rsidRDefault="00000000">
            <w:pPr>
              <w:spacing w:before="80" w:after="20" w:line="288" w:lineRule="auto"/>
              <w:ind w:left="57" w:right="57"/>
              <w:rPr>
                <w:rFonts w:hint="eastAsia"/>
                <w:snapToGrid/>
                <w:sz w:val="22"/>
              </w:rPr>
            </w:pPr>
            <w:r>
              <w:rPr>
                <w:rFonts w:hint="eastAsia"/>
                <w:snapToGrid/>
                <w:sz w:val="22"/>
              </w:rPr>
              <w:t>伤残津贴是发放予经医学委员会宣告为长期绝对丧失工作能力的工作人员</w:t>
            </w:r>
            <w:r>
              <w:rPr>
                <w:rFonts w:hint="eastAsia"/>
                <w:snapToGrid/>
                <w:sz w:val="22"/>
              </w:rPr>
              <w:t>(</w:t>
            </w:r>
            <w:r>
              <w:rPr>
                <w:rFonts w:hint="eastAsia"/>
                <w:snapToGrid/>
                <w:sz w:val="22"/>
              </w:rPr>
              <w:t>服务时间须满</w:t>
            </w:r>
            <w:r>
              <w:rPr>
                <w:rFonts w:hint="eastAsia"/>
                <w:snapToGrid/>
                <w:sz w:val="22"/>
              </w:rPr>
              <w:t>15</w:t>
            </w:r>
            <w:r>
              <w:rPr>
                <w:rFonts w:hint="eastAsia"/>
                <w:snapToGrid/>
                <w:sz w:val="22"/>
              </w:rPr>
              <w:t>年</w:t>
            </w:r>
            <w:r>
              <w:rPr>
                <w:rFonts w:hint="eastAsia"/>
                <w:snapToGrid/>
                <w:sz w:val="22"/>
              </w:rPr>
              <w:t>)</w:t>
            </w:r>
            <w:r>
              <w:rPr>
                <w:rFonts w:hint="eastAsia"/>
                <w:snapToGrid/>
                <w:sz w:val="22"/>
              </w:rPr>
              <w:t>，又或发放予因在职时意外、担任职务时且因担任职务而患病、作出人道行为或为社会奉献而引致长期绝对丧失工作能力的工作人员，在这种情况下，免除有关服务年数的限制。受益人有权收取的伤残津贴相等于作为计算基础的薪俸的三十六分之一乘以为退休而计算的服务年数，而服务年数最高为</w:t>
            </w:r>
            <w:r>
              <w:rPr>
                <w:rFonts w:hint="eastAsia"/>
                <w:snapToGrid/>
                <w:sz w:val="22"/>
              </w:rPr>
              <w:t>36</w:t>
            </w:r>
            <w:r>
              <w:rPr>
                <w:rFonts w:hint="eastAsia"/>
                <w:snapToGrid/>
                <w:sz w:val="22"/>
              </w:rPr>
              <w:t>年。</w:t>
            </w:r>
          </w:p>
        </w:tc>
      </w:tr>
      <w:tr w:rsidR="00000000">
        <w:tblPrEx>
          <w:tblCellMar>
            <w:top w:w="0" w:type="dxa"/>
            <w:bottom w:w="0" w:type="dxa"/>
          </w:tblCellMar>
        </w:tblPrEx>
        <w:tc>
          <w:tcPr>
            <w:tcW w:w="740" w:type="pct"/>
          </w:tcPr>
          <w:p w:rsidR="00000000" w:rsidRDefault="00000000">
            <w:pPr>
              <w:spacing w:before="20" w:after="20" w:line="288" w:lineRule="auto"/>
              <w:ind w:left="57" w:right="57" w:firstLine="57"/>
              <w:rPr>
                <w:rFonts w:hint="eastAsia"/>
                <w:snapToGrid/>
                <w:sz w:val="22"/>
              </w:rPr>
            </w:pPr>
            <w:r>
              <w:rPr>
                <w:rFonts w:hint="eastAsia"/>
                <w:snapToGrid/>
                <w:sz w:val="22"/>
              </w:rPr>
              <w:t>丧葬津贴</w:t>
            </w:r>
          </w:p>
        </w:tc>
        <w:tc>
          <w:tcPr>
            <w:tcW w:w="4260" w:type="pct"/>
          </w:tcPr>
          <w:p w:rsidR="00000000" w:rsidRDefault="00000000">
            <w:pPr>
              <w:spacing w:before="20" w:after="20" w:line="288" w:lineRule="auto"/>
              <w:ind w:left="57" w:right="57"/>
              <w:rPr>
                <w:rFonts w:hint="eastAsia"/>
                <w:snapToGrid/>
                <w:sz w:val="22"/>
              </w:rPr>
            </w:pPr>
            <w:r>
              <w:rPr>
                <w:rFonts w:hint="eastAsia"/>
                <w:snapToGrid/>
                <w:sz w:val="22"/>
              </w:rPr>
              <w:t>工作人员死亡时，发放澳门币</w:t>
            </w:r>
            <w:r>
              <w:rPr>
                <w:rFonts w:hint="eastAsia"/>
                <w:snapToGrid/>
                <w:sz w:val="22"/>
              </w:rPr>
              <w:t>2,700</w:t>
            </w:r>
            <w:r>
              <w:rPr>
                <w:rFonts w:hint="eastAsia"/>
                <w:snapToGrid/>
                <w:sz w:val="22"/>
              </w:rPr>
              <w:t>元的津贴，以资助丧葬费用。</w:t>
            </w:r>
          </w:p>
        </w:tc>
      </w:tr>
      <w:tr w:rsidR="00000000">
        <w:tblPrEx>
          <w:tblCellMar>
            <w:top w:w="0" w:type="dxa"/>
            <w:bottom w:w="0" w:type="dxa"/>
          </w:tblCellMar>
        </w:tblPrEx>
        <w:tc>
          <w:tcPr>
            <w:tcW w:w="740" w:type="pct"/>
          </w:tcPr>
          <w:p w:rsidR="00000000" w:rsidRDefault="00000000">
            <w:pPr>
              <w:spacing w:before="20" w:after="20" w:line="288" w:lineRule="auto"/>
              <w:ind w:left="57" w:right="57" w:firstLine="57"/>
              <w:rPr>
                <w:rFonts w:hint="eastAsia"/>
                <w:snapToGrid/>
                <w:sz w:val="22"/>
              </w:rPr>
            </w:pPr>
            <w:r>
              <w:rPr>
                <w:rFonts w:hint="eastAsia"/>
                <w:snapToGrid/>
                <w:sz w:val="22"/>
              </w:rPr>
              <w:t>死亡津贴</w:t>
            </w:r>
          </w:p>
        </w:tc>
        <w:tc>
          <w:tcPr>
            <w:tcW w:w="4260" w:type="pct"/>
          </w:tcPr>
          <w:p w:rsidR="00000000" w:rsidRDefault="00000000">
            <w:pPr>
              <w:spacing w:before="20" w:after="20" w:line="288" w:lineRule="auto"/>
              <w:ind w:left="57" w:right="57"/>
              <w:rPr>
                <w:rFonts w:hint="eastAsia"/>
                <w:snapToGrid/>
                <w:sz w:val="22"/>
              </w:rPr>
            </w:pPr>
            <w:r>
              <w:rPr>
                <w:rFonts w:hint="eastAsia"/>
                <w:snapToGrid/>
                <w:sz w:val="22"/>
              </w:rPr>
              <w:t>工作人员死亡时，视乎其属在职人员或退休人员而定，其家庭成员有权收取一项死亡津贴，金额相等于工作人员月薪酬的</w:t>
            </w:r>
            <w:r>
              <w:rPr>
                <w:rFonts w:hint="eastAsia"/>
                <w:snapToGrid/>
                <w:sz w:val="22"/>
              </w:rPr>
              <w:t>6</w:t>
            </w:r>
            <w:r>
              <w:rPr>
                <w:rFonts w:hint="eastAsia"/>
                <w:snapToGrid/>
                <w:sz w:val="22"/>
              </w:rPr>
              <w:t>倍或工作人员在死亡之日应收取的定期金的</w:t>
            </w:r>
            <w:r>
              <w:rPr>
                <w:rFonts w:hint="eastAsia"/>
                <w:snapToGrid/>
                <w:sz w:val="22"/>
              </w:rPr>
              <w:t>6</w:t>
            </w:r>
            <w:r>
              <w:rPr>
                <w:rFonts w:hint="eastAsia"/>
                <w:snapToGrid/>
                <w:sz w:val="22"/>
              </w:rPr>
              <w:t>倍。</w:t>
            </w:r>
          </w:p>
        </w:tc>
      </w:tr>
      <w:tr w:rsidR="00000000">
        <w:tblPrEx>
          <w:tblCellMar>
            <w:top w:w="0" w:type="dxa"/>
            <w:bottom w:w="0" w:type="dxa"/>
          </w:tblCellMar>
        </w:tblPrEx>
        <w:tc>
          <w:tcPr>
            <w:tcW w:w="740" w:type="pct"/>
          </w:tcPr>
          <w:p w:rsidR="00000000" w:rsidRDefault="00000000">
            <w:pPr>
              <w:spacing w:before="20" w:after="20" w:line="288" w:lineRule="auto"/>
              <w:ind w:left="57" w:right="57" w:firstLine="57"/>
              <w:rPr>
                <w:rFonts w:hint="eastAsia"/>
                <w:snapToGrid/>
                <w:sz w:val="22"/>
              </w:rPr>
            </w:pPr>
            <w:r>
              <w:rPr>
                <w:rFonts w:hint="eastAsia"/>
                <w:snapToGrid/>
                <w:sz w:val="22"/>
              </w:rPr>
              <w:t>抚恤金</w:t>
            </w:r>
          </w:p>
        </w:tc>
        <w:tc>
          <w:tcPr>
            <w:tcW w:w="4260" w:type="pct"/>
          </w:tcPr>
          <w:p w:rsidR="00000000" w:rsidRDefault="00000000">
            <w:pPr>
              <w:spacing w:before="20" w:after="20" w:line="288" w:lineRule="auto"/>
              <w:ind w:left="57" w:right="57"/>
              <w:rPr>
                <w:rFonts w:hint="eastAsia"/>
                <w:snapToGrid/>
                <w:sz w:val="22"/>
              </w:rPr>
            </w:pPr>
            <w:r>
              <w:rPr>
                <w:rFonts w:hint="eastAsia"/>
                <w:snapToGrid/>
                <w:sz w:val="22"/>
              </w:rPr>
              <w:t>受益人：在生配偶和胎儿，以及具备享受家庭津贴的条件的其他继承人。抚恤金相等于澳门退休基金会供款人在死亡之日所收取的或假设在该日离职待退休而有权收取的退休金金额的</w:t>
            </w:r>
            <w:r>
              <w:rPr>
                <w:rFonts w:hint="eastAsia"/>
                <w:snapToGrid/>
                <w:sz w:val="22"/>
              </w:rPr>
              <w:t>50%</w:t>
            </w:r>
            <w:r>
              <w:rPr>
                <w:rFonts w:hint="eastAsia"/>
                <w:snapToGrid/>
                <w:sz w:val="22"/>
              </w:rPr>
              <w:t>。</w:t>
            </w:r>
          </w:p>
        </w:tc>
      </w:tr>
      <w:tr w:rsidR="00000000">
        <w:tblPrEx>
          <w:tblCellMar>
            <w:top w:w="0" w:type="dxa"/>
            <w:bottom w:w="0" w:type="dxa"/>
          </w:tblCellMar>
        </w:tblPrEx>
        <w:tc>
          <w:tcPr>
            <w:tcW w:w="740" w:type="pct"/>
          </w:tcPr>
          <w:p w:rsidR="00000000" w:rsidRDefault="00000000">
            <w:pPr>
              <w:spacing w:before="20" w:after="20" w:line="288" w:lineRule="auto"/>
              <w:ind w:left="57" w:right="57" w:firstLine="57"/>
              <w:rPr>
                <w:rFonts w:hint="eastAsia"/>
                <w:snapToGrid/>
                <w:sz w:val="22"/>
              </w:rPr>
            </w:pPr>
            <w:r>
              <w:rPr>
                <w:rFonts w:hint="eastAsia"/>
                <w:snapToGrid/>
                <w:sz w:val="22"/>
              </w:rPr>
              <w:t>家庭津贴</w:t>
            </w:r>
          </w:p>
        </w:tc>
        <w:tc>
          <w:tcPr>
            <w:tcW w:w="4260" w:type="pct"/>
          </w:tcPr>
          <w:p w:rsidR="00000000" w:rsidRDefault="00000000">
            <w:pPr>
              <w:spacing w:before="20" w:after="20" w:line="288" w:lineRule="auto"/>
              <w:ind w:left="57" w:right="57"/>
              <w:rPr>
                <w:rFonts w:hint="eastAsia"/>
                <w:snapToGrid/>
                <w:sz w:val="22"/>
              </w:rPr>
            </w:pPr>
            <w:r>
              <w:rPr>
                <w:rFonts w:hint="eastAsia"/>
                <w:snapToGrid/>
                <w:sz w:val="22"/>
              </w:rPr>
              <w:t>如属工作人员的配偶和尊亲属，且其每月本身收入不超过薪俸表</w:t>
            </w:r>
            <w:r>
              <w:rPr>
                <w:rFonts w:hint="eastAsia"/>
                <w:snapToGrid/>
                <w:sz w:val="22"/>
              </w:rPr>
              <w:t>100</w:t>
            </w:r>
            <w:r>
              <w:rPr>
                <w:rFonts w:hint="eastAsia"/>
                <w:snapToGrid/>
                <w:sz w:val="22"/>
              </w:rPr>
              <w:t>点的相应金额的一半</w:t>
            </w:r>
            <w:r>
              <w:rPr>
                <w:rFonts w:hint="eastAsia"/>
                <w:snapToGrid/>
                <w:sz w:val="22"/>
              </w:rPr>
              <w:t>(</w:t>
            </w:r>
            <w:r>
              <w:rPr>
                <w:rFonts w:hint="eastAsia"/>
                <w:snapToGrid/>
                <w:sz w:val="22"/>
              </w:rPr>
              <w:t>即澳门币</w:t>
            </w:r>
            <w:r>
              <w:rPr>
                <w:rFonts w:hint="eastAsia"/>
                <w:snapToGrid/>
                <w:sz w:val="22"/>
              </w:rPr>
              <w:t>2,500</w:t>
            </w:r>
            <w:r>
              <w:rPr>
                <w:rFonts w:hint="eastAsia"/>
                <w:snapToGrid/>
                <w:sz w:val="22"/>
              </w:rPr>
              <w:t>元</w:t>
            </w:r>
            <w:r>
              <w:rPr>
                <w:rFonts w:hint="eastAsia"/>
                <w:snapToGrid/>
                <w:sz w:val="22"/>
              </w:rPr>
              <w:t>)</w:t>
            </w:r>
            <w:r>
              <w:rPr>
                <w:rFonts w:hint="eastAsia"/>
                <w:snapToGrid/>
                <w:sz w:val="22"/>
              </w:rPr>
              <w:t>，则工作人员有权每月就其配偶和每名尊亲属收取一项澳门币</w:t>
            </w:r>
            <w:r>
              <w:rPr>
                <w:rFonts w:hint="eastAsia"/>
                <w:snapToGrid/>
                <w:sz w:val="22"/>
              </w:rPr>
              <w:t>170</w:t>
            </w:r>
            <w:r>
              <w:rPr>
                <w:rFonts w:hint="eastAsia"/>
                <w:snapToGrid/>
                <w:sz w:val="22"/>
              </w:rPr>
              <w:t>元的家庭津贴；如属工作人员的未成年卑亲属、年龄介乎</w:t>
            </w:r>
            <w:r>
              <w:rPr>
                <w:rFonts w:hint="eastAsia"/>
                <w:snapToGrid/>
                <w:sz w:val="22"/>
              </w:rPr>
              <w:t>18</w:t>
            </w:r>
            <w:r>
              <w:rPr>
                <w:rFonts w:hint="eastAsia"/>
                <w:snapToGrid/>
                <w:sz w:val="22"/>
              </w:rPr>
              <w:t>岁至</w:t>
            </w:r>
            <w:r>
              <w:rPr>
                <w:rFonts w:hint="eastAsia"/>
                <w:snapToGrid/>
                <w:sz w:val="22"/>
              </w:rPr>
              <w:t>21</w:t>
            </w:r>
            <w:r>
              <w:rPr>
                <w:rFonts w:hint="eastAsia"/>
                <w:snapToGrid/>
                <w:sz w:val="22"/>
              </w:rPr>
              <w:t>岁的正接受高中或同等程度教育的卑亲属和年龄不超过</w:t>
            </w:r>
            <w:r>
              <w:rPr>
                <w:rFonts w:hint="eastAsia"/>
                <w:snapToGrid/>
                <w:sz w:val="22"/>
              </w:rPr>
              <w:t>24</w:t>
            </w:r>
            <w:r>
              <w:rPr>
                <w:rFonts w:hint="eastAsia"/>
                <w:snapToGrid/>
                <w:sz w:val="22"/>
              </w:rPr>
              <w:t>岁的已注册就读任何大专课程的卑亲属，则工作人员有权每月就每名卑亲属收取一项澳门币</w:t>
            </w:r>
            <w:r>
              <w:rPr>
                <w:rFonts w:hint="eastAsia"/>
                <w:snapToGrid/>
                <w:sz w:val="22"/>
              </w:rPr>
              <w:t>220</w:t>
            </w:r>
            <w:r>
              <w:rPr>
                <w:rFonts w:hint="eastAsia"/>
                <w:snapToGrid/>
                <w:sz w:val="22"/>
              </w:rPr>
              <w:t>元的家庭津贴。</w:t>
            </w:r>
          </w:p>
        </w:tc>
      </w:tr>
      <w:tr w:rsidR="00000000">
        <w:tblPrEx>
          <w:tblCellMar>
            <w:top w:w="0" w:type="dxa"/>
            <w:bottom w:w="0" w:type="dxa"/>
          </w:tblCellMar>
        </w:tblPrEx>
        <w:tc>
          <w:tcPr>
            <w:tcW w:w="740" w:type="pct"/>
          </w:tcPr>
          <w:p w:rsidR="00000000" w:rsidRDefault="00000000">
            <w:pPr>
              <w:spacing w:before="20" w:after="20" w:line="288" w:lineRule="auto"/>
              <w:ind w:left="57" w:right="57" w:firstLine="57"/>
              <w:rPr>
                <w:rFonts w:hint="eastAsia"/>
                <w:snapToGrid/>
                <w:sz w:val="22"/>
              </w:rPr>
            </w:pPr>
            <w:r>
              <w:rPr>
                <w:rFonts w:hint="eastAsia"/>
                <w:snapToGrid/>
                <w:sz w:val="22"/>
              </w:rPr>
              <w:t>房屋津贴</w:t>
            </w:r>
          </w:p>
        </w:tc>
        <w:tc>
          <w:tcPr>
            <w:tcW w:w="4260" w:type="pct"/>
          </w:tcPr>
          <w:p w:rsidR="00000000" w:rsidRDefault="00000000">
            <w:pPr>
              <w:spacing w:before="20" w:after="20" w:line="288" w:lineRule="auto"/>
              <w:ind w:left="57" w:right="57"/>
              <w:rPr>
                <w:rFonts w:hint="eastAsia"/>
                <w:snapToGrid/>
                <w:sz w:val="22"/>
              </w:rPr>
            </w:pPr>
            <w:r>
              <w:rPr>
                <w:rFonts w:hint="eastAsia"/>
                <w:snapToGrid/>
                <w:sz w:val="22"/>
              </w:rPr>
              <w:t>居于澳门的受益人有权每月收取一项澳门币</w:t>
            </w:r>
            <w:r>
              <w:rPr>
                <w:rFonts w:hint="eastAsia"/>
                <w:snapToGrid/>
                <w:sz w:val="22"/>
              </w:rPr>
              <w:t>1,000</w:t>
            </w:r>
            <w:r>
              <w:rPr>
                <w:rFonts w:hint="eastAsia"/>
                <w:snapToGrid/>
                <w:sz w:val="22"/>
              </w:rPr>
              <w:t>元的房屋津贴。</w:t>
            </w:r>
          </w:p>
        </w:tc>
      </w:tr>
    </w:tbl>
    <w:p w:rsidR="00000000" w:rsidRDefault="00000000">
      <w:pPr>
        <w:spacing w:before="12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：澳门退休基金会和行政暨公职局，</w:t>
      </w:r>
      <w:r>
        <w:rPr>
          <w:rFonts w:eastAsia="KaiTi_GB2312" w:hint="eastAsia"/>
          <w:snapToGrid/>
          <w:spacing w:val="0"/>
        </w:rPr>
        <w:t>2002</w:t>
      </w:r>
      <w:r>
        <w:rPr>
          <w:rFonts w:eastAsia="KaiTi_GB2312" w:hint="eastAsia"/>
          <w:snapToGrid/>
          <w:spacing w:val="0"/>
        </w:rPr>
        <w:t>年</w:t>
      </w:r>
    </w:p>
    <w:p w:rsidR="00000000" w:rsidRDefault="00000000">
      <w:pPr>
        <w:pStyle w:val="Heading4"/>
        <w:spacing w:after="160"/>
        <w:rPr>
          <w:rFonts w:hint="eastAsia"/>
          <w:snapToGrid/>
        </w:rPr>
      </w:pPr>
      <w:r>
        <w:rPr>
          <w:rFonts w:hint="eastAsia"/>
          <w:snapToGrid/>
        </w:rPr>
        <w:t>私人工作</w:t>
      </w:r>
    </w:p>
    <w:p w:rsidR="00000000" w:rsidRDefault="00000000">
      <w:pPr>
        <w:rPr>
          <w:rFonts w:hint="eastAsia"/>
          <w:snapToGrid/>
        </w:rPr>
      </w:pPr>
      <w:r>
        <w:rPr>
          <w:rFonts w:hint="eastAsia"/>
          <w:snapToGrid/>
        </w:rPr>
        <w:tab/>
        <w:t xml:space="preserve">913.  </w:t>
      </w:r>
      <w:r>
        <w:rPr>
          <w:rFonts w:hint="eastAsia"/>
          <w:snapToGrid/>
        </w:rPr>
        <w:t>私人工作的工作人员的社会保障制度由社会保障基金提供，而卫生局则主要负责提供卫生护理服务。社会保障基金是澳门特别行政区政府架构中的一个自治实体。按照</w:t>
      </w:r>
      <w:r>
        <w:rPr>
          <w:rFonts w:hint="eastAsia"/>
          <w:snapToGrid/>
        </w:rPr>
        <w:t>10</w:t>
      </w:r>
      <w:r>
        <w:rPr>
          <w:rFonts w:hint="eastAsia"/>
          <w:snapToGrid/>
        </w:rPr>
        <w:t>月</w:t>
      </w:r>
      <w:r>
        <w:rPr>
          <w:rFonts w:hint="eastAsia"/>
          <w:snapToGrid/>
        </w:rPr>
        <w:t>18</w:t>
      </w:r>
      <w:r>
        <w:rPr>
          <w:rFonts w:hint="eastAsia"/>
          <w:snapToGrid/>
        </w:rPr>
        <w:t>日第</w:t>
      </w:r>
      <w:r>
        <w:rPr>
          <w:rFonts w:hint="eastAsia"/>
          <w:snapToGrid/>
        </w:rPr>
        <w:t>58/93/M</w:t>
      </w:r>
      <w:r>
        <w:rPr>
          <w:rFonts w:hint="eastAsia"/>
          <w:snapToGrid/>
        </w:rPr>
        <w:t>号法令的规定，已在社会保障基金登记的劳工，方可成为受益人，其雇主亦必须在社会保障基金登记为供款人。</w:t>
      </w:r>
    </w:p>
    <w:p w:rsidR="00000000" w:rsidRDefault="00000000">
      <w:pPr>
        <w:pStyle w:val="a3"/>
        <w:spacing w:after="120"/>
        <w:rPr>
          <w:rFonts w:hint="eastAsia"/>
          <w:kern w:val="0"/>
        </w:rPr>
      </w:pPr>
      <w:r>
        <w:rPr>
          <w:rFonts w:hint="eastAsia"/>
          <w:kern w:val="0"/>
        </w:rPr>
        <w:t>社会保障基金的福利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7702"/>
      </w:tblGrid>
      <w:tr w:rsidR="00000000">
        <w:tblPrEx>
          <w:tblCellMar>
            <w:top w:w="0" w:type="dxa"/>
            <w:bottom w:w="0" w:type="dxa"/>
          </w:tblCellMar>
        </w:tblPrEx>
        <w:tc>
          <w:tcPr>
            <w:tcW w:w="1708" w:type="dxa"/>
          </w:tcPr>
          <w:p w:rsidR="00000000" w:rsidRDefault="00000000">
            <w:pPr>
              <w:spacing w:before="60" w:line="288" w:lineRule="auto"/>
              <w:jc w:val="center"/>
              <w:rPr>
                <w:rFonts w:hint="eastAsia"/>
                <w:snapToGrid/>
                <w:sz w:val="20"/>
              </w:rPr>
            </w:pPr>
            <w:r>
              <w:rPr>
                <w:rFonts w:hint="eastAsia"/>
                <w:snapToGrid/>
                <w:sz w:val="20"/>
              </w:rPr>
              <w:t>福利名称</w:t>
            </w:r>
          </w:p>
        </w:tc>
        <w:tc>
          <w:tcPr>
            <w:tcW w:w="7702" w:type="dxa"/>
          </w:tcPr>
          <w:p w:rsidR="00000000" w:rsidRDefault="00000000">
            <w:pPr>
              <w:spacing w:before="60" w:line="288" w:lineRule="auto"/>
              <w:jc w:val="center"/>
              <w:rPr>
                <w:rFonts w:hint="eastAsia"/>
                <w:snapToGrid/>
                <w:sz w:val="20"/>
              </w:rPr>
            </w:pPr>
            <w:r>
              <w:rPr>
                <w:rFonts w:hint="eastAsia"/>
                <w:snapToGrid/>
                <w:sz w:val="20"/>
              </w:rPr>
              <w:t>主</w:t>
            </w:r>
            <w:r>
              <w:rPr>
                <w:snapToGrid/>
                <w:sz w:val="20"/>
              </w:rPr>
              <w:t xml:space="preserve"> </w:t>
            </w:r>
            <w:r>
              <w:rPr>
                <w:rFonts w:hint="eastAsia"/>
                <w:snapToGrid/>
                <w:sz w:val="20"/>
              </w:rPr>
              <w:t>要</w:t>
            </w:r>
            <w:r>
              <w:rPr>
                <w:snapToGrid/>
                <w:sz w:val="20"/>
              </w:rPr>
              <w:t xml:space="preserve"> </w:t>
            </w:r>
            <w:r>
              <w:rPr>
                <w:rFonts w:hint="eastAsia"/>
                <w:snapToGrid/>
                <w:sz w:val="20"/>
              </w:rPr>
              <w:t>特</w:t>
            </w:r>
            <w:r>
              <w:rPr>
                <w:snapToGrid/>
                <w:sz w:val="20"/>
              </w:rPr>
              <w:t xml:space="preserve"> </w:t>
            </w:r>
            <w:r>
              <w:rPr>
                <w:rFonts w:hint="eastAsia"/>
                <w:snapToGrid/>
                <w:sz w:val="20"/>
              </w:rPr>
              <w:t>点</w:t>
            </w:r>
          </w:p>
        </w:tc>
      </w:tr>
      <w:tr w:rsidR="00000000">
        <w:tblPrEx>
          <w:tblCellMar>
            <w:top w:w="0" w:type="dxa"/>
            <w:bottom w:w="0" w:type="dxa"/>
          </w:tblCellMar>
        </w:tblPrEx>
        <w:tc>
          <w:tcPr>
            <w:tcW w:w="1708" w:type="dxa"/>
          </w:tcPr>
          <w:p w:rsidR="00000000" w:rsidRDefault="00000000">
            <w:pPr>
              <w:spacing w:before="40" w:line="240" w:lineRule="auto"/>
              <w:ind w:left="57"/>
              <w:rPr>
                <w:rFonts w:hint="eastAsia"/>
                <w:snapToGrid/>
                <w:sz w:val="20"/>
              </w:rPr>
            </w:pPr>
            <w:r>
              <w:rPr>
                <w:rFonts w:hint="eastAsia"/>
                <w:snapToGrid/>
                <w:sz w:val="20"/>
              </w:rPr>
              <w:t>疾病津贴</w:t>
            </w:r>
          </w:p>
        </w:tc>
        <w:tc>
          <w:tcPr>
            <w:tcW w:w="7702" w:type="dxa"/>
          </w:tcPr>
          <w:p w:rsidR="00000000" w:rsidRDefault="00000000">
            <w:pPr>
              <w:spacing w:before="40" w:line="240" w:lineRule="auto"/>
              <w:ind w:left="57" w:right="57"/>
              <w:rPr>
                <w:rFonts w:hint="eastAsia"/>
                <w:snapToGrid/>
                <w:sz w:val="20"/>
              </w:rPr>
            </w:pPr>
            <w:r>
              <w:rPr>
                <w:rFonts w:hint="eastAsia"/>
                <w:snapToGrid/>
                <w:sz w:val="20"/>
              </w:rPr>
              <w:t>受益人最少须在患病的季度前</w:t>
            </w:r>
            <w:r>
              <w:rPr>
                <w:rFonts w:hint="eastAsia"/>
                <w:snapToGrid/>
                <w:sz w:val="20"/>
              </w:rPr>
              <w:t>12</w:t>
            </w:r>
            <w:r>
              <w:rPr>
                <w:rFonts w:hint="eastAsia"/>
                <w:snapToGrid/>
                <w:sz w:val="20"/>
              </w:rPr>
              <w:t>个月中的</w:t>
            </w:r>
            <w:r>
              <w:rPr>
                <w:rFonts w:hint="eastAsia"/>
                <w:snapToGrid/>
                <w:sz w:val="20"/>
              </w:rPr>
              <w:t>9</w:t>
            </w:r>
            <w:r>
              <w:rPr>
                <w:rFonts w:hint="eastAsia"/>
                <w:snapToGrid/>
                <w:sz w:val="20"/>
              </w:rPr>
              <w:t>个月已向社会保障基金供款。疾病津贴按日计算并以连续或间断的方式支付。如属住院的情况，津贴金额为每日澳门币</w:t>
            </w:r>
            <w:r>
              <w:rPr>
                <w:rFonts w:hint="eastAsia"/>
                <w:snapToGrid/>
                <w:sz w:val="20"/>
              </w:rPr>
              <w:t>70</w:t>
            </w:r>
            <w:r>
              <w:rPr>
                <w:rFonts w:hint="eastAsia"/>
                <w:snapToGrid/>
                <w:sz w:val="20"/>
              </w:rPr>
              <w:t>元</w:t>
            </w:r>
            <w:r>
              <w:rPr>
                <w:rFonts w:hint="eastAsia"/>
                <w:snapToGrid/>
                <w:sz w:val="20"/>
              </w:rPr>
              <w:t>(</w:t>
            </w:r>
            <w:r>
              <w:rPr>
                <w:rFonts w:hint="eastAsia"/>
                <w:snapToGrid/>
                <w:sz w:val="20"/>
              </w:rPr>
              <w:t>每年最多</w:t>
            </w:r>
            <w:r>
              <w:rPr>
                <w:rFonts w:hint="eastAsia"/>
                <w:snapToGrid/>
                <w:sz w:val="20"/>
              </w:rPr>
              <w:t>180</w:t>
            </w:r>
            <w:r>
              <w:rPr>
                <w:rFonts w:hint="eastAsia"/>
                <w:snapToGrid/>
                <w:sz w:val="20"/>
              </w:rPr>
              <w:t>日</w:t>
            </w:r>
            <w:r>
              <w:rPr>
                <w:rFonts w:hint="eastAsia"/>
                <w:snapToGrid/>
                <w:sz w:val="20"/>
              </w:rPr>
              <w:t>)</w:t>
            </w:r>
            <w:r>
              <w:rPr>
                <w:rFonts w:hint="eastAsia"/>
                <w:snapToGrid/>
                <w:sz w:val="20"/>
              </w:rPr>
              <w:t>，如属非住院的情况，津贴金额为每日澳门币</w:t>
            </w:r>
            <w:r>
              <w:rPr>
                <w:rFonts w:hint="eastAsia"/>
                <w:snapToGrid/>
                <w:sz w:val="20"/>
              </w:rPr>
              <w:t>55</w:t>
            </w:r>
            <w:r>
              <w:rPr>
                <w:rFonts w:hint="eastAsia"/>
                <w:snapToGrid/>
                <w:sz w:val="20"/>
              </w:rPr>
              <w:t>元</w:t>
            </w:r>
            <w:r>
              <w:rPr>
                <w:rFonts w:hint="eastAsia"/>
                <w:snapToGrid/>
                <w:sz w:val="20"/>
              </w:rPr>
              <w:t>(</w:t>
            </w:r>
            <w:r>
              <w:rPr>
                <w:rFonts w:hint="eastAsia"/>
                <w:snapToGrid/>
                <w:sz w:val="20"/>
              </w:rPr>
              <w:t>每年最多</w:t>
            </w:r>
            <w:r>
              <w:rPr>
                <w:rFonts w:hint="eastAsia"/>
                <w:snapToGrid/>
                <w:sz w:val="20"/>
              </w:rPr>
              <w:t>30</w:t>
            </w:r>
            <w:r>
              <w:rPr>
                <w:rFonts w:hint="eastAsia"/>
                <w:snapToGrid/>
                <w:sz w:val="20"/>
              </w:rPr>
              <w:t>日</w:t>
            </w:r>
            <w:r>
              <w:rPr>
                <w:rFonts w:hint="eastAsia"/>
                <w:snapToGrid/>
                <w:sz w:val="20"/>
              </w:rPr>
              <w:t>)</w:t>
            </w:r>
            <w:r>
              <w:rPr>
                <w:rFonts w:hint="eastAsia"/>
                <w:snapToGrid/>
                <w:sz w:val="20"/>
              </w:rPr>
              <w:t>。</w:t>
            </w:r>
          </w:p>
        </w:tc>
      </w:tr>
      <w:tr w:rsidR="00000000">
        <w:tblPrEx>
          <w:tblCellMar>
            <w:top w:w="0" w:type="dxa"/>
            <w:bottom w:w="0" w:type="dxa"/>
          </w:tblCellMar>
        </w:tblPrEx>
        <w:tc>
          <w:tcPr>
            <w:tcW w:w="1708" w:type="dxa"/>
          </w:tcPr>
          <w:p w:rsidR="00000000" w:rsidRDefault="00000000">
            <w:pPr>
              <w:spacing w:before="40" w:line="240" w:lineRule="auto"/>
              <w:ind w:left="57" w:right="57"/>
              <w:rPr>
                <w:rFonts w:hint="eastAsia"/>
                <w:snapToGrid/>
                <w:sz w:val="20"/>
              </w:rPr>
            </w:pPr>
            <w:r>
              <w:rPr>
                <w:rFonts w:hint="eastAsia"/>
                <w:snapToGrid/>
                <w:sz w:val="20"/>
              </w:rPr>
              <w:t>结婚津贴</w:t>
            </w:r>
          </w:p>
        </w:tc>
        <w:tc>
          <w:tcPr>
            <w:tcW w:w="7702" w:type="dxa"/>
          </w:tcPr>
          <w:p w:rsidR="00000000" w:rsidRDefault="00000000">
            <w:pPr>
              <w:spacing w:before="40" w:line="240" w:lineRule="auto"/>
              <w:ind w:left="57" w:right="57"/>
              <w:rPr>
                <w:rFonts w:hint="eastAsia"/>
                <w:snapToGrid/>
                <w:sz w:val="20"/>
              </w:rPr>
            </w:pPr>
            <w:r>
              <w:rPr>
                <w:rFonts w:hint="eastAsia"/>
                <w:snapToGrid/>
                <w:sz w:val="20"/>
              </w:rPr>
              <w:t>受益人结婚时，有权收取澳门币</w:t>
            </w:r>
            <w:r>
              <w:rPr>
                <w:rFonts w:hint="eastAsia"/>
                <w:snapToGrid/>
                <w:sz w:val="20"/>
              </w:rPr>
              <w:t>1,000</w:t>
            </w:r>
            <w:r>
              <w:rPr>
                <w:rFonts w:hint="eastAsia"/>
                <w:snapToGrid/>
                <w:sz w:val="20"/>
              </w:rPr>
              <w:t>元的结婚津贴，但最少须在结婚的季度前</w:t>
            </w:r>
            <w:r>
              <w:rPr>
                <w:rFonts w:hint="eastAsia"/>
                <w:snapToGrid/>
                <w:sz w:val="20"/>
              </w:rPr>
              <w:t>12</w:t>
            </w:r>
            <w:r>
              <w:rPr>
                <w:rFonts w:hint="eastAsia"/>
                <w:snapToGrid/>
                <w:sz w:val="20"/>
              </w:rPr>
              <w:t>个月中的</w:t>
            </w:r>
            <w:r>
              <w:rPr>
                <w:rFonts w:hint="eastAsia"/>
                <w:snapToGrid/>
                <w:sz w:val="20"/>
              </w:rPr>
              <w:t>9</w:t>
            </w:r>
            <w:r>
              <w:rPr>
                <w:rFonts w:hint="eastAsia"/>
                <w:snapToGrid/>
                <w:sz w:val="20"/>
              </w:rPr>
              <w:t>个月已向社会保障基金供款。</w:t>
            </w:r>
          </w:p>
        </w:tc>
      </w:tr>
      <w:tr w:rsidR="00000000">
        <w:tblPrEx>
          <w:tblCellMar>
            <w:top w:w="0" w:type="dxa"/>
            <w:bottom w:w="0" w:type="dxa"/>
          </w:tblCellMar>
        </w:tblPrEx>
        <w:tc>
          <w:tcPr>
            <w:tcW w:w="1708" w:type="dxa"/>
          </w:tcPr>
          <w:p w:rsidR="00000000" w:rsidRDefault="00000000">
            <w:pPr>
              <w:spacing w:before="40" w:line="240" w:lineRule="auto"/>
              <w:ind w:left="57" w:right="57"/>
              <w:rPr>
                <w:rFonts w:hint="eastAsia"/>
                <w:snapToGrid/>
                <w:sz w:val="20"/>
              </w:rPr>
            </w:pPr>
            <w:r>
              <w:rPr>
                <w:rFonts w:hint="eastAsia"/>
                <w:snapToGrid/>
                <w:sz w:val="20"/>
              </w:rPr>
              <w:t>出生津贴</w:t>
            </w:r>
          </w:p>
        </w:tc>
        <w:tc>
          <w:tcPr>
            <w:tcW w:w="7702" w:type="dxa"/>
          </w:tcPr>
          <w:p w:rsidR="00000000" w:rsidRDefault="00000000">
            <w:pPr>
              <w:spacing w:before="40" w:line="240" w:lineRule="auto"/>
              <w:ind w:left="57" w:right="57"/>
              <w:rPr>
                <w:rFonts w:hint="eastAsia"/>
                <w:snapToGrid/>
                <w:sz w:val="20"/>
              </w:rPr>
            </w:pPr>
            <w:r>
              <w:rPr>
                <w:rFonts w:hint="eastAsia"/>
                <w:snapToGrid/>
                <w:sz w:val="20"/>
              </w:rPr>
              <w:t>受益人在每名子女出生时，有权收取澳门币</w:t>
            </w:r>
            <w:r>
              <w:rPr>
                <w:rFonts w:hint="eastAsia"/>
                <w:snapToGrid/>
                <w:sz w:val="20"/>
              </w:rPr>
              <w:t>1,000</w:t>
            </w:r>
            <w:r>
              <w:rPr>
                <w:rFonts w:hint="eastAsia"/>
                <w:snapToGrid/>
                <w:sz w:val="20"/>
              </w:rPr>
              <w:t>元的子女出生津贴，但最少须在子女出生的季度前</w:t>
            </w:r>
            <w:r>
              <w:rPr>
                <w:rFonts w:hint="eastAsia"/>
                <w:snapToGrid/>
                <w:sz w:val="20"/>
              </w:rPr>
              <w:t>12</w:t>
            </w:r>
            <w:r>
              <w:rPr>
                <w:rFonts w:hint="eastAsia"/>
                <w:snapToGrid/>
                <w:sz w:val="20"/>
              </w:rPr>
              <w:t>个月中的</w:t>
            </w:r>
            <w:r>
              <w:rPr>
                <w:rFonts w:hint="eastAsia"/>
                <w:snapToGrid/>
                <w:sz w:val="20"/>
              </w:rPr>
              <w:t>9</w:t>
            </w:r>
            <w:r>
              <w:rPr>
                <w:rFonts w:hint="eastAsia"/>
                <w:snapToGrid/>
                <w:sz w:val="20"/>
              </w:rPr>
              <w:t>个月，或在子女出生的季度前</w:t>
            </w:r>
            <w:r>
              <w:rPr>
                <w:rFonts w:hint="eastAsia"/>
                <w:snapToGrid/>
                <w:sz w:val="20"/>
              </w:rPr>
              <w:t>24</w:t>
            </w:r>
            <w:r>
              <w:rPr>
                <w:rFonts w:hint="eastAsia"/>
                <w:snapToGrid/>
                <w:sz w:val="20"/>
              </w:rPr>
              <w:t>个月中的</w:t>
            </w:r>
            <w:r>
              <w:rPr>
                <w:rFonts w:hint="eastAsia"/>
                <w:snapToGrid/>
                <w:sz w:val="20"/>
              </w:rPr>
              <w:t>15</w:t>
            </w:r>
            <w:r>
              <w:rPr>
                <w:rFonts w:hint="eastAsia"/>
                <w:snapToGrid/>
                <w:sz w:val="20"/>
              </w:rPr>
              <w:t>个月已向社会保障基金供款。</w:t>
            </w:r>
          </w:p>
        </w:tc>
      </w:tr>
      <w:tr w:rsidR="00000000">
        <w:tblPrEx>
          <w:tblCellMar>
            <w:top w:w="0" w:type="dxa"/>
            <w:bottom w:w="0" w:type="dxa"/>
          </w:tblCellMar>
        </w:tblPrEx>
        <w:tc>
          <w:tcPr>
            <w:tcW w:w="1708" w:type="dxa"/>
          </w:tcPr>
          <w:p w:rsidR="00000000" w:rsidRDefault="00000000">
            <w:pPr>
              <w:spacing w:before="40" w:line="240" w:lineRule="auto"/>
              <w:ind w:left="57" w:right="57"/>
              <w:rPr>
                <w:rFonts w:hint="eastAsia"/>
                <w:snapToGrid/>
                <w:sz w:val="20"/>
              </w:rPr>
            </w:pPr>
            <w:r>
              <w:rPr>
                <w:rFonts w:hint="eastAsia"/>
                <w:snapToGrid/>
                <w:sz w:val="20"/>
              </w:rPr>
              <w:t>养老金</w:t>
            </w:r>
          </w:p>
        </w:tc>
        <w:tc>
          <w:tcPr>
            <w:tcW w:w="7702" w:type="dxa"/>
          </w:tcPr>
          <w:p w:rsidR="00000000" w:rsidRDefault="00000000">
            <w:pPr>
              <w:spacing w:before="40" w:line="240" w:lineRule="auto"/>
              <w:ind w:left="57" w:right="57"/>
              <w:rPr>
                <w:rFonts w:hint="eastAsia"/>
                <w:snapToGrid/>
                <w:sz w:val="20"/>
              </w:rPr>
            </w:pPr>
            <w:r>
              <w:rPr>
                <w:rFonts w:hint="eastAsia"/>
                <w:snapToGrid/>
                <w:sz w:val="20"/>
              </w:rPr>
              <w:t>年满</w:t>
            </w:r>
            <w:r>
              <w:rPr>
                <w:rFonts w:hint="eastAsia"/>
                <w:snapToGrid/>
                <w:sz w:val="20"/>
              </w:rPr>
              <w:t>65</w:t>
            </w:r>
            <w:r>
              <w:rPr>
                <w:rFonts w:hint="eastAsia"/>
                <w:snapToGrid/>
                <w:sz w:val="20"/>
              </w:rPr>
              <w:t>岁、在澳门特别行政区常居最少</w:t>
            </w:r>
            <w:r>
              <w:rPr>
                <w:rFonts w:hint="eastAsia"/>
                <w:snapToGrid/>
                <w:sz w:val="20"/>
              </w:rPr>
              <w:t>7</w:t>
            </w:r>
            <w:r>
              <w:rPr>
                <w:rFonts w:hint="eastAsia"/>
                <w:snapToGrid/>
                <w:sz w:val="20"/>
              </w:rPr>
              <w:t>年、且已向社会保障基金供款最少</w:t>
            </w:r>
            <w:r>
              <w:rPr>
                <w:rFonts w:hint="eastAsia"/>
                <w:snapToGrid/>
                <w:sz w:val="20"/>
              </w:rPr>
              <w:t>60</w:t>
            </w:r>
            <w:r>
              <w:rPr>
                <w:rFonts w:hint="eastAsia"/>
                <w:snapToGrid/>
                <w:sz w:val="20"/>
              </w:rPr>
              <w:t>个月的社会保障基金受益人，每月可获发澳门币</w:t>
            </w:r>
            <w:r>
              <w:rPr>
                <w:rFonts w:hint="eastAsia"/>
                <w:snapToGrid/>
                <w:sz w:val="20"/>
              </w:rPr>
              <w:t>1,150</w:t>
            </w:r>
            <w:r>
              <w:rPr>
                <w:rFonts w:hint="eastAsia"/>
                <w:snapToGrid/>
                <w:sz w:val="20"/>
              </w:rPr>
              <w:t>元的养老金。</w:t>
            </w:r>
          </w:p>
        </w:tc>
      </w:tr>
      <w:tr w:rsidR="00000000">
        <w:tblPrEx>
          <w:tblCellMar>
            <w:top w:w="0" w:type="dxa"/>
            <w:bottom w:w="0" w:type="dxa"/>
          </w:tblCellMar>
        </w:tblPrEx>
        <w:tc>
          <w:tcPr>
            <w:tcW w:w="1708" w:type="dxa"/>
          </w:tcPr>
          <w:p w:rsidR="00000000" w:rsidRDefault="00000000">
            <w:pPr>
              <w:spacing w:before="40" w:line="240" w:lineRule="auto"/>
              <w:ind w:left="57" w:right="57"/>
              <w:rPr>
                <w:rFonts w:hint="eastAsia"/>
                <w:snapToGrid/>
                <w:sz w:val="20"/>
              </w:rPr>
            </w:pPr>
            <w:r>
              <w:rPr>
                <w:rFonts w:hint="eastAsia"/>
                <w:snapToGrid/>
                <w:sz w:val="20"/>
              </w:rPr>
              <w:t>残废金</w:t>
            </w:r>
          </w:p>
        </w:tc>
        <w:tc>
          <w:tcPr>
            <w:tcW w:w="7702" w:type="dxa"/>
          </w:tcPr>
          <w:p w:rsidR="00000000" w:rsidRDefault="00000000">
            <w:pPr>
              <w:spacing w:before="40" w:line="240" w:lineRule="auto"/>
              <w:ind w:left="57" w:right="57"/>
              <w:rPr>
                <w:rFonts w:hint="eastAsia"/>
                <w:snapToGrid/>
                <w:sz w:val="20"/>
              </w:rPr>
            </w:pPr>
            <w:r>
              <w:rPr>
                <w:rFonts w:hint="eastAsia"/>
                <w:snapToGrid/>
                <w:sz w:val="20"/>
              </w:rPr>
              <w:t>年满</w:t>
            </w:r>
            <w:r>
              <w:rPr>
                <w:rFonts w:hint="eastAsia"/>
                <w:snapToGrid/>
                <w:sz w:val="20"/>
              </w:rPr>
              <w:t>18</w:t>
            </w:r>
            <w:r>
              <w:rPr>
                <w:rFonts w:hint="eastAsia"/>
                <w:snapToGrid/>
                <w:sz w:val="20"/>
              </w:rPr>
              <w:t>岁、在澳门特别行政区常居最少</w:t>
            </w:r>
            <w:r>
              <w:rPr>
                <w:rFonts w:hint="eastAsia"/>
                <w:snapToGrid/>
                <w:sz w:val="20"/>
              </w:rPr>
              <w:t>7</w:t>
            </w:r>
            <w:r>
              <w:rPr>
                <w:rFonts w:hint="eastAsia"/>
                <w:snapToGrid/>
                <w:sz w:val="20"/>
              </w:rPr>
              <w:t>年、已向社会保障基金供款最少</w:t>
            </w:r>
            <w:r>
              <w:rPr>
                <w:rFonts w:hint="eastAsia"/>
                <w:snapToGrid/>
                <w:sz w:val="20"/>
              </w:rPr>
              <w:t>36</w:t>
            </w:r>
            <w:r>
              <w:rPr>
                <w:rFonts w:hint="eastAsia"/>
                <w:snapToGrid/>
                <w:sz w:val="20"/>
              </w:rPr>
              <w:t>个月，且经社会保障基金会诊委员会宣告为丧失工作能力的社会保障基金受益人，每月可获发澳门币</w:t>
            </w:r>
            <w:r>
              <w:rPr>
                <w:rFonts w:hint="eastAsia"/>
                <w:snapToGrid/>
                <w:sz w:val="20"/>
              </w:rPr>
              <w:t>1,150</w:t>
            </w:r>
            <w:r>
              <w:rPr>
                <w:rFonts w:hint="eastAsia"/>
                <w:snapToGrid/>
                <w:sz w:val="20"/>
              </w:rPr>
              <w:t>元的养老金</w:t>
            </w:r>
          </w:p>
        </w:tc>
      </w:tr>
      <w:tr w:rsidR="00000000">
        <w:tblPrEx>
          <w:tblCellMar>
            <w:top w:w="0" w:type="dxa"/>
            <w:bottom w:w="0" w:type="dxa"/>
          </w:tblCellMar>
        </w:tblPrEx>
        <w:tc>
          <w:tcPr>
            <w:tcW w:w="1708" w:type="dxa"/>
          </w:tcPr>
          <w:p w:rsidR="00000000" w:rsidRDefault="00000000">
            <w:pPr>
              <w:spacing w:before="40" w:line="240" w:lineRule="auto"/>
              <w:ind w:left="57" w:right="57"/>
              <w:rPr>
                <w:rFonts w:hint="eastAsia"/>
                <w:snapToGrid/>
                <w:sz w:val="20"/>
              </w:rPr>
            </w:pPr>
            <w:r>
              <w:rPr>
                <w:rFonts w:hint="eastAsia"/>
                <w:snapToGrid/>
                <w:sz w:val="20"/>
              </w:rPr>
              <w:t>丧葬津贴</w:t>
            </w:r>
          </w:p>
        </w:tc>
        <w:tc>
          <w:tcPr>
            <w:tcW w:w="7702" w:type="dxa"/>
          </w:tcPr>
          <w:p w:rsidR="00000000" w:rsidRDefault="00000000">
            <w:pPr>
              <w:spacing w:before="40" w:line="240" w:lineRule="auto"/>
              <w:ind w:left="57" w:right="57"/>
              <w:rPr>
                <w:rFonts w:hint="eastAsia"/>
                <w:snapToGrid/>
                <w:sz w:val="20"/>
              </w:rPr>
            </w:pPr>
            <w:r>
              <w:rPr>
                <w:rFonts w:hint="eastAsia"/>
                <w:snapToGrid/>
                <w:sz w:val="20"/>
              </w:rPr>
              <w:t>丧葬津贴是在社会保障基金受益人或补助金受领人死亡的情况下发放能证明已承担丧葬费的人士，津贴金额为澳门币</w:t>
            </w:r>
            <w:r>
              <w:rPr>
                <w:rFonts w:hint="eastAsia"/>
                <w:snapToGrid/>
                <w:sz w:val="20"/>
              </w:rPr>
              <w:t>1,300</w:t>
            </w:r>
            <w:r>
              <w:rPr>
                <w:rFonts w:hint="eastAsia"/>
                <w:snapToGrid/>
                <w:sz w:val="20"/>
              </w:rPr>
              <w:t>元</w:t>
            </w:r>
          </w:p>
        </w:tc>
      </w:tr>
      <w:tr w:rsidR="00000000">
        <w:tblPrEx>
          <w:tblCellMar>
            <w:top w:w="0" w:type="dxa"/>
            <w:bottom w:w="0" w:type="dxa"/>
          </w:tblCellMar>
        </w:tblPrEx>
        <w:tc>
          <w:tcPr>
            <w:tcW w:w="1708" w:type="dxa"/>
          </w:tcPr>
          <w:p w:rsidR="00000000" w:rsidRDefault="00000000">
            <w:pPr>
              <w:spacing w:before="40" w:line="240" w:lineRule="auto"/>
              <w:ind w:left="57" w:right="57"/>
              <w:rPr>
                <w:rFonts w:hint="eastAsia"/>
                <w:snapToGrid/>
                <w:sz w:val="20"/>
              </w:rPr>
            </w:pPr>
            <w:r>
              <w:rPr>
                <w:rFonts w:hint="eastAsia"/>
                <w:snapToGrid/>
                <w:sz w:val="20"/>
              </w:rPr>
              <w:t>因感染肺尘埃沉着病而发放的津贴</w:t>
            </w:r>
          </w:p>
        </w:tc>
        <w:tc>
          <w:tcPr>
            <w:tcW w:w="7702" w:type="dxa"/>
          </w:tcPr>
          <w:p w:rsidR="00000000" w:rsidRDefault="00000000">
            <w:pPr>
              <w:spacing w:before="40" w:line="240" w:lineRule="auto"/>
              <w:ind w:left="57" w:right="57"/>
              <w:rPr>
                <w:rFonts w:hint="eastAsia"/>
                <w:snapToGrid/>
                <w:sz w:val="20"/>
              </w:rPr>
            </w:pPr>
            <w:r>
              <w:rPr>
                <w:rFonts w:hint="eastAsia"/>
                <w:snapToGrid/>
                <w:sz w:val="20"/>
              </w:rPr>
              <w:t>津贴是发放予在法律设定的情况下感染肺尘埃沉着病的人士。</w:t>
            </w:r>
          </w:p>
        </w:tc>
      </w:tr>
      <w:tr w:rsidR="00000000">
        <w:tblPrEx>
          <w:tblCellMar>
            <w:top w:w="0" w:type="dxa"/>
            <w:bottom w:w="0" w:type="dxa"/>
          </w:tblCellMar>
        </w:tblPrEx>
        <w:tc>
          <w:tcPr>
            <w:tcW w:w="1708" w:type="dxa"/>
            <w:tcBorders>
              <w:bottom w:val="nil"/>
            </w:tcBorders>
          </w:tcPr>
          <w:p w:rsidR="00000000" w:rsidRDefault="00000000">
            <w:pPr>
              <w:spacing w:before="40" w:line="240" w:lineRule="auto"/>
              <w:ind w:left="57" w:right="57"/>
              <w:rPr>
                <w:rFonts w:hint="eastAsia"/>
                <w:snapToGrid/>
                <w:sz w:val="20"/>
              </w:rPr>
            </w:pPr>
            <w:r>
              <w:rPr>
                <w:rFonts w:hint="eastAsia"/>
                <w:snapToGrid/>
                <w:sz w:val="20"/>
              </w:rPr>
              <w:t>救济金</w:t>
            </w:r>
          </w:p>
        </w:tc>
        <w:tc>
          <w:tcPr>
            <w:tcW w:w="7702" w:type="dxa"/>
          </w:tcPr>
          <w:p w:rsidR="00000000" w:rsidRDefault="00000000">
            <w:pPr>
              <w:spacing w:before="40" w:line="240" w:lineRule="auto"/>
              <w:ind w:left="57" w:right="57"/>
              <w:rPr>
                <w:rFonts w:hint="eastAsia"/>
                <w:snapToGrid/>
                <w:sz w:val="20"/>
              </w:rPr>
            </w:pPr>
            <w:r>
              <w:rPr>
                <w:rFonts w:hint="eastAsia"/>
                <w:snapToGrid/>
                <w:sz w:val="20"/>
              </w:rPr>
              <w:t>发放澳门币</w:t>
            </w:r>
            <w:r>
              <w:rPr>
                <w:rFonts w:hint="eastAsia"/>
                <w:snapToGrid/>
                <w:sz w:val="20"/>
              </w:rPr>
              <w:t>750</w:t>
            </w:r>
            <w:r>
              <w:rPr>
                <w:rFonts w:hint="eastAsia"/>
                <w:snapToGrid/>
                <w:sz w:val="20"/>
              </w:rPr>
              <w:t>元的救济金的目的是保护在澳门特别行政区居民中缺乏生活资源以满足基本需要，但无权领取养老金</w:t>
            </w:r>
            <w:r>
              <w:rPr>
                <w:rFonts w:hint="eastAsia"/>
                <w:snapToGrid/>
                <w:sz w:val="20"/>
              </w:rPr>
              <w:t>(</w:t>
            </w:r>
            <w:r>
              <w:rPr>
                <w:rFonts w:hint="eastAsia"/>
                <w:snapToGrid/>
                <w:sz w:val="20"/>
              </w:rPr>
              <w:t>年满</w:t>
            </w:r>
            <w:r>
              <w:rPr>
                <w:rFonts w:hint="eastAsia"/>
                <w:snapToGrid/>
                <w:sz w:val="20"/>
              </w:rPr>
              <w:t>65</w:t>
            </w:r>
            <w:r>
              <w:rPr>
                <w:rFonts w:hint="eastAsia"/>
                <w:snapToGrid/>
                <w:sz w:val="20"/>
              </w:rPr>
              <w:t>岁</w:t>
            </w:r>
            <w:r>
              <w:rPr>
                <w:rFonts w:hint="eastAsia"/>
                <w:snapToGrid/>
                <w:sz w:val="20"/>
              </w:rPr>
              <w:t>)</w:t>
            </w:r>
            <w:r>
              <w:rPr>
                <w:rFonts w:hint="eastAsia"/>
                <w:snapToGrid/>
                <w:sz w:val="20"/>
              </w:rPr>
              <w:t>或残废金</w:t>
            </w:r>
            <w:r>
              <w:rPr>
                <w:rFonts w:hint="eastAsia"/>
                <w:snapToGrid/>
                <w:sz w:val="20"/>
              </w:rPr>
              <w:t>(</w:t>
            </w:r>
            <w:r>
              <w:rPr>
                <w:rFonts w:hint="eastAsia"/>
                <w:snapToGrid/>
                <w:sz w:val="20"/>
              </w:rPr>
              <w:t>年满</w:t>
            </w:r>
            <w:r>
              <w:rPr>
                <w:rFonts w:hint="eastAsia"/>
                <w:snapToGrid/>
                <w:sz w:val="20"/>
              </w:rPr>
              <w:t>18</w:t>
            </w:r>
            <w:r>
              <w:rPr>
                <w:rFonts w:hint="eastAsia"/>
                <w:snapToGrid/>
                <w:sz w:val="20"/>
              </w:rPr>
              <w:t>岁</w:t>
            </w:r>
            <w:r>
              <w:rPr>
                <w:rFonts w:hint="eastAsia"/>
                <w:snapToGrid/>
                <w:sz w:val="20"/>
              </w:rPr>
              <w:t>)</w:t>
            </w:r>
            <w:r>
              <w:rPr>
                <w:rFonts w:hint="eastAsia"/>
                <w:snapToGrid/>
                <w:sz w:val="20"/>
              </w:rPr>
              <w:t>的长者和残废者。</w:t>
            </w:r>
          </w:p>
        </w:tc>
      </w:tr>
      <w:tr w:rsidR="00000000">
        <w:tblPrEx>
          <w:tblCellMar>
            <w:top w:w="0" w:type="dxa"/>
            <w:bottom w:w="0" w:type="dxa"/>
          </w:tblCellMar>
        </w:tblPrEx>
        <w:tc>
          <w:tcPr>
            <w:tcW w:w="1708" w:type="dxa"/>
            <w:tcBorders>
              <w:top w:val="nil"/>
            </w:tcBorders>
          </w:tcPr>
          <w:p w:rsidR="00000000" w:rsidRDefault="00000000">
            <w:pPr>
              <w:spacing w:before="40" w:line="240" w:lineRule="auto"/>
              <w:ind w:left="57" w:right="57"/>
              <w:rPr>
                <w:rFonts w:hint="eastAsia"/>
                <w:snapToGrid/>
                <w:sz w:val="20"/>
              </w:rPr>
            </w:pPr>
          </w:p>
        </w:tc>
        <w:tc>
          <w:tcPr>
            <w:tcW w:w="7702" w:type="dxa"/>
          </w:tcPr>
          <w:p w:rsidR="00000000" w:rsidRDefault="00000000">
            <w:pPr>
              <w:spacing w:before="40" w:line="240" w:lineRule="auto"/>
              <w:ind w:left="57" w:right="57"/>
              <w:rPr>
                <w:rFonts w:hint="eastAsia"/>
                <w:snapToGrid/>
                <w:sz w:val="20"/>
              </w:rPr>
            </w:pPr>
            <w:r>
              <w:rPr>
                <w:rFonts w:hint="eastAsia"/>
                <w:snapToGrid/>
                <w:sz w:val="20"/>
              </w:rPr>
              <w:t>补充补助金：如证实养老金、残废金或救济金受益人所领取的补助金金额不足以应付其基本需要，可向其发放一项补充补助金；补充金由澳门社会工作局发放和支付。</w:t>
            </w:r>
          </w:p>
        </w:tc>
      </w:tr>
      <w:tr w:rsidR="00000000">
        <w:tblPrEx>
          <w:tblCellMar>
            <w:top w:w="0" w:type="dxa"/>
            <w:bottom w:w="0" w:type="dxa"/>
          </w:tblCellMar>
        </w:tblPrEx>
        <w:tc>
          <w:tcPr>
            <w:tcW w:w="1708" w:type="dxa"/>
          </w:tcPr>
          <w:p w:rsidR="00000000" w:rsidRDefault="00000000">
            <w:pPr>
              <w:spacing w:before="40" w:line="240" w:lineRule="auto"/>
              <w:ind w:left="57" w:right="57"/>
              <w:rPr>
                <w:rFonts w:hint="eastAsia"/>
                <w:snapToGrid/>
                <w:sz w:val="20"/>
              </w:rPr>
            </w:pPr>
            <w:r>
              <w:rPr>
                <w:rFonts w:hint="eastAsia"/>
                <w:snapToGrid/>
                <w:sz w:val="20"/>
              </w:rPr>
              <w:t>额外津贴</w:t>
            </w:r>
          </w:p>
        </w:tc>
        <w:tc>
          <w:tcPr>
            <w:tcW w:w="7702" w:type="dxa"/>
          </w:tcPr>
          <w:p w:rsidR="00000000" w:rsidRDefault="00000000">
            <w:pPr>
              <w:spacing w:before="40" w:line="240" w:lineRule="auto"/>
              <w:ind w:left="57" w:right="57"/>
              <w:rPr>
                <w:rFonts w:hint="eastAsia"/>
                <w:snapToGrid/>
                <w:sz w:val="20"/>
              </w:rPr>
            </w:pPr>
            <w:r>
              <w:rPr>
                <w:rFonts w:hint="eastAsia"/>
                <w:snapToGrid/>
                <w:sz w:val="20"/>
              </w:rPr>
              <w:t>养老金、残废金和救济金受益人可于每年一月份领取相等于月补助金金额的额外津贴。</w:t>
            </w:r>
          </w:p>
        </w:tc>
      </w:tr>
      <w:tr w:rsidR="00000000">
        <w:tblPrEx>
          <w:tblCellMar>
            <w:top w:w="0" w:type="dxa"/>
            <w:bottom w:w="0" w:type="dxa"/>
          </w:tblCellMar>
        </w:tblPrEx>
        <w:tc>
          <w:tcPr>
            <w:tcW w:w="1708" w:type="dxa"/>
          </w:tcPr>
          <w:p w:rsidR="00000000" w:rsidRDefault="00000000">
            <w:pPr>
              <w:spacing w:before="40" w:line="240" w:lineRule="auto"/>
              <w:ind w:left="57" w:right="57"/>
              <w:rPr>
                <w:rFonts w:hint="eastAsia"/>
                <w:snapToGrid/>
                <w:sz w:val="20"/>
              </w:rPr>
            </w:pPr>
            <w:r>
              <w:rPr>
                <w:rFonts w:hint="eastAsia"/>
                <w:snapToGrid/>
                <w:sz w:val="20"/>
              </w:rPr>
              <w:t>失业津贴</w:t>
            </w:r>
          </w:p>
        </w:tc>
        <w:tc>
          <w:tcPr>
            <w:tcW w:w="7702" w:type="dxa"/>
          </w:tcPr>
          <w:p w:rsidR="00000000" w:rsidRDefault="00000000">
            <w:pPr>
              <w:spacing w:before="40" w:line="240" w:lineRule="auto"/>
              <w:ind w:left="57" w:right="57"/>
              <w:rPr>
                <w:rFonts w:hint="eastAsia"/>
                <w:snapToGrid/>
                <w:sz w:val="20"/>
              </w:rPr>
            </w:pPr>
            <w:r>
              <w:rPr>
                <w:rFonts w:hint="eastAsia"/>
                <w:snapToGrid/>
                <w:sz w:val="20"/>
              </w:rPr>
              <w:t>失业津贴是一项按日发放予处于非自愿失业状况的受益人的金钱给付，但该受益人必须已在劳工暨就业局登录、在劳工暨就业局就业辅导组作出登录的季度开始前的</w:t>
            </w:r>
            <w:r>
              <w:rPr>
                <w:rFonts w:hint="eastAsia"/>
                <w:snapToGrid/>
                <w:sz w:val="20"/>
              </w:rPr>
              <w:t>12</w:t>
            </w:r>
            <w:r>
              <w:rPr>
                <w:rFonts w:hint="eastAsia"/>
                <w:snapToGrid/>
                <w:sz w:val="20"/>
              </w:rPr>
              <w:t>个月期间有供款。失业津贴为每日澳门币</w:t>
            </w:r>
            <w:r>
              <w:rPr>
                <w:rFonts w:hint="eastAsia"/>
                <w:snapToGrid/>
                <w:sz w:val="20"/>
              </w:rPr>
              <w:t>70</w:t>
            </w:r>
            <w:r>
              <w:rPr>
                <w:rFonts w:hint="eastAsia"/>
                <w:snapToGrid/>
                <w:sz w:val="20"/>
              </w:rPr>
              <w:t>元，每年最多可发放</w:t>
            </w:r>
            <w:r>
              <w:rPr>
                <w:rFonts w:hint="eastAsia"/>
                <w:snapToGrid/>
                <w:sz w:val="20"/>
              </w:rPr>
              <w:t>90</w:t>
            </w:r>
            <w:r>
              <w:rPr>
                <w:rFonts w:hint="eastAsia"/>
                <w:snapToGrid/>
                <w:sz w:val="20"/>
              </w:rPr>
              <w:t>日的津贴。</w:t>
            </w:r>
          </w:p>
        </w:tc>
      </w:tr>
    </w:tbl>
    <w:p w:rsidR="00000000" w:rsidRDefault="00000000">
      <w:pPr>
        <w:spacing w:before="240" w:after="32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：社会保障基金，</w:t>
      </w:r>
      <w:r>
        <w:rPr>
          <w:rFonts w:eastAsia="KaiTi_GB2312" w:hint="eastAsia"/>
          <w:snapToGrid/>
          <w:spacing w:val="0"/>
        </w:rPr>
        <w:t>2002</w:t>
      </w:r>
      <w:r>
        <w:rPr>
          <w:rFonts w:eastAsia="KaiTi_GB2312" w:hint="eastAsia"/>
          <w:snapToGrid/>
          <w:spacing w:val="0"/>
        </w:rPr>
        <w:t>年</w:t>
      </w:r>
    </w:p>
    <w:p w:rsidR="00000000" w:rsidRDefault="00000000">
      <w:pPr>
        <w:rPr>
          <w:rFonts w:hint="eastAsia"/>
          <w:snapToGrid/>
        </w:rPr>
      </w:pPr>
      <w:r>
        <w:rPr>
          <w:rFonts w:hint="eastAsia"/>
          <w:snapToGrid/>
        </w:rPr>
        <w:tab/>
        <w:t xml:space="preserve">914.  </w:t>
      </w:r>
      <w:r>
        <w:rPr>
          <w:rFonts w:hint="eastAsia"/>
          <w:snapToGrid/>
        </w:rPr>
        <w:t>社会保障基金的三个收入来源为：</w:t>
      </w:r>
      <w:r>
        <w:rPr>
          <w:rFonts w:hint="eastAsia"/>
          <w:snapToGrid/>
        </w:rPr>
        <w:t xml:space="preserve">(1) </w:t>
      </w:r>
      <w:r>
        <w:rPr>
          <w:rFonts w:hint="eastAsia"/>
          <w:snapToGrid/>
        </w:rPr>
        <w:t>政府拨款。</w:t>
      </w:r>
      <w:r>
        <w:rPr>
          <w:rFonts w:hint="eastAsia"/>
          <w:snapToGrid/>
        </w:rPr>
        <w:t xml:space="preserve">(2 </w:t>
      </w:r>
      <w:r>
        <w:rPr>
          <w:rFonts w:hint="eastAsia"/>
          <w:snapToGrid/>
        </w:rPr>
        <w:t>雇主和雇员的社会保障供款。</w:t>
      </w:r>
      <w:r>
        <w:rPr>
          <w:rFonts w:hint="eastAsia"/>
          <w:snapToGrid/>
        </w:rPr>
        <w:t xml:space="preserve">(3) </w:t>
      </w:r>
      <w:r>
        <w:rPr>
          <w:rFonts w:hint="eastAsia"/>
          <w:snapToGrid/>
        </w:rPr>
        <w:t>投资所得。每年，政府须将收入的</w:t>
      </w:r>
      <w:r>
        <w:rPr>
          <w:rFonts w:hint="eastAsia"/>
          <w:snapToGrid/>
        </w:rPr>
        <w:t>1%</w:t>
      </w:r>
      <w:r>
        <w:rPr>
          <w:rFonts w:hint="eastAsia"/>
          <w:snapToGrid/>
        </w:rPr>
        <w:t>拨给社会保障基金</w:t>
      </w:r>
      <w:r>
        <w:rPr>
          <w:rFonts w:hint="eastAsia"/>
          <w:snapToGrid/>
        </w:rPr>
        <w:t>(10</w:t>
      </w:r>
      <w:r>
        <w:rPr>
          <w:rFonts w:hint="eastAsia"/>
          <w:snapToGrid/>
        </w:rPr>
        <w:t>月</w:t>
      </w:r>
      <w:r>
        <w:rPr>
          <w:rFonts w:hint="eastAsia"/>
          <w:snapToGrid/>
        </w:rPr>
        <w:t>18</w:t>
      </w:r>
      <w:r>
        <w:rPr>
          <w:rFonts w:hint="eastAsia"/>
          <w:snapToGrid/>
        </w:rPr>
        <w:t>日第</w:t>
      </w:r>
      <w:r>
        <w:rPr>
          <w:rFonts w:hint="eastAsia"/>
          <w:snapToGrid/>
        </w:rPr>
        <w:t>59/93/M</w:t>
      </w:r>
      <w:r>
        <w:rPr>
          <w:rFonts w:hint="eastAsia"/>
          <w:snapToGrid/>
        </w:rPr>
        <w:t>号法令</w:t>
      </w:r>
      <w:r>
        <w:rPr>
          <w:rFonts w:hint="eastAsia"/>
          <w:snapToGrid/>
        </w:rPr>
        <w:t>)</w:t>
      </w:r>
      <w:r>
        <w:rPr>
          <w:rFonts w:hint="eastAsia"/>
          <w:snapToGrid/>
        </w:rPr>
        <w:t>。</w:t>
      </w:r>
    </w:p>
    <w:p w:rsidR="00000000" w:rsidRDefault="00000000">
      <w:pPr>
        <w:spacing w:after="320"/>
        <w:rPr>
          <w:rFonts w:hint="eastAsia"/>
          <w:snapToGrid/>
        </w:rPr>
      </w:pPr>
      <w:r>
        <w:rPr>
          <w:rFonts w:hint="eastAsia"/>
          <w:snapToGrid/>
        </w:rPr>
        <w:tab/>
        <w:t xml:space="preserve">915.  </w:t>
      </w:r>
      <w:r>
        <w:rPr>
          <w:rFonts w:hint="eastAsia"/>
          <w:snapToGrid/>
        </w:rPr>
        <w:t>每一劳工每月供款澳门币</w:t>
      </w:r>
      <w:r>
        <w:rPr>
          <w:rFonts w:hint="eastAsia"/>
          <w:snapToGrid/>
        </w:rPr>
        <w:t>15</w:t>
      </w:r>
      <w:r>
        <w:rPr>
          <w:rFonts w:hint="eastAsia"/>
          <w:snapToGrid/>
        </w:rPr>
        <w:t>元；每一雇主每月供款澳门币</w:t>
      </w:r>
      <w:r>
        <w:rPr>
          <w:rFonts w:hint="eastAsia"/>
          <w:snapToGrid/>
        </w:rPr>
        <w:t>30</w:t>
      </w:r>
      <w:r>
        <w:rPr>
          <w:rFonts w:hint="eastAsia"/>
          <w:snapToGrid/>
        </w:rPr>
        <w:t>元或</w:t>
      </w:r>
      <w:r>
        <w:rPr>
          <w:rFonts w:hint="eastAsia"/>
          <w:snapToGrid/>
        </w:rPr>
        <w:t>45</w:t>
      </w:r>
      <w:r>
        <w:rPr>
          <w:rFonts w:hint="eastAsia"/>
          <w:snapToGrid/>
        </w:rPr>
        <w:t>元，视乎其雇员属本地雇员或非本地雇员而定；自雇劳工每月须供款澳门币</w:t>
      </w:r>
      <w:r>
        <w:rPr>
          <w:rFonts w:hint="eastAsia"/>
          <w:snapToGrid/>
        </w:rPr>
        <w:t>45</w:t>
      </w:r>
      <w:r>
        <w:rPr>
          <w:rFonts w:hint="eastAsia"/>
          <w:snapToGrid/>
        </w:rPr>
        <w:t>元。</w:t>
      </w:r>
    </w:p>
    <w:p w:rsidR="00000000" w:rsidRDefault="00000000">
      <w:pPr>
        <w:pStyle w:val="Heading3"/>
        <w:rPr>
          <w:rFonts w:hint="eastAsia"/>
          <w:snapToGrid/>
          <w:kern w:val="0"/>
        </w:rPr>
      </w:pPr>
      <w:bookmarkStart w:id="78" w:name="_Toc78772987"/>
      <w:r>
        <w:rPr>
          <w:rFonts w:hint="eastAsia"/>
          <w:snapToGrid/>
          <w:kern w:val="0"/>
        </w:rPr>
        <w:t>本地居民的失业津贴</w:t>
      </w:r>
      <w:bookmarkEnd w:id="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8"/>
        <w:gridCol w:w="7282"/>
      </w:tblGrid>
      <w:tr w:rsidR="00000000">
        <w:tblPrEx>
          <w:tblCellMar>
            <w:top w:w="0" w:type="dxa"/>
            <w:bottom w:w="0" w:type="dxa"/>
          </w:tblCellMar>
        </w:tblPrEx>
        <w:tc>
          <w:tcPr>
            <w:tcW w:w="2128" w:type="dxa"/>
          </w:tcPr>
          <w:p w:rsidR="00000000" w:rsidRDefault="00000000">
            <w:pPr>
              <w:spacing w:before="120"/>
              <w:ind w:left="57" w:right="57"/>
              <w:jc w:val="center"/>
              <w:rPr>
                <w:rFonts w:hint="eastAsia"/>
                <w:snapToGrid/>
                <w:sz w:val="22"/>
              </w:rPr>
            </w:pPr>
            <w:r>
              <w:rPr>
                <w:rFonts w:hint="eastAsia"/>
                <w:snapToGrid/>
                <w:sz w:val="22"/>
              </w:rPr>
              <w:t>失业津贴种类</w:t>
            </w:r>
          </w:p>
        </w:tc>
        <w:tc>
          <w:tcPr>
            <w:tcW w:w="7282" w:type="dxa"/>
          </w:tcPr>
          <w:p w:rsidR="00000000" w:rsidRDefault="00000000">
            <w:pPr>
              <w:spacing w:before="120"/>
              <w:ind w:left="57" w:right="57"/>
              <w:jc w:val="center"/>
              <w:rPr>
                <w:rFonts w:hint="eastAsia"/>
                <w:snapToGrid/>
                <w:sz w:val="22"/>
              </w:rPr>
            </w:pPr>
            <w:r>
              <w:rPr>
                <w:rFonts w:hint="eastAsia"/>
                <w:snapToGrid/>
                <w:sz w:val="22"/>
              </w:rPr>
              <w:t>主</w:t>
            </w:r>
            <w:r>
              <w:rPr>
                <w:snapToGrid/>
                <w:sz w:val="22"/>
              </w:rPr>
              <w:t xml:space="preserve"> </w:t>
            </w:r>
            <w:r>
              <w:rPr>
                <w:rFonts w:hint="eastAsia"/>
                <w:snapToGrid/>
                <w:sz w:val="22"/>
              </w:rPr>
              <w:t>要</w:t>
            </w:r>
            <w:r>
              <w:rPr>
                <w:snapToGrid/>
                <w:sz w:val="22"/>
              </w:rPr>
              <w:t xml:space="preserve"> </w:t>
            </w:r>
            <w:r>
              <w:rPr>
                <w:rFonts w:hint="eastAsia"/>
                <w:snapToGrid/>
                <w:sz w:val="22"/>
              </w:rPr>
              <w:t>特</w:t>
            </w:r>
            <w:r>
              <w:rPr>
                <w:snapToGrid/>
                <w:sz w:val="22"/>
              </w:rPr>
              <w:t xml:space="preserve"> </w:t>
            </w:r>
            <w:r>
              <w:rPr>
                <w:rFonts w:hint="eastAsia"/>
                <w:snapToGrid/>
                <w:sz w:val="22"/>
              </w:rPr>
              <w:t>点</w:t>
            </w:r>
          </w:p>
        </w:tc>
      </w:tr>
      <w:tr w:rsidR="00000000">
        <w:tblPrEx>
          <w:tblCellMar>
            <w:top w:w="0" w:type="dxa"/>
            <w:bottom w:w="0" w:type="dxa"/>
          </w:tblCellMar>
        </w:tblPrEx>
        <w:tc>
          <w:tcPr>
            <w:tcW w:w="2128" w:type="dxa"/>
          </w:tcPr>
          <w:p w:rsidR="00000000" w:rsidRDefault="00000000">
            <w:pPr>
              <w:spacing w:before="80" w:after="20" w:line="288" w:lineRule="auto"/>
              <w:ind w:left="57" w:right="57"/>
              <w:rPr>
                <w:rFonts w:hint="eastAsia"/>
                <w:snapToGrid/>
                <w:sz w:val="22"/>
              </w:rPr>
            </w:pPr>
            <w:r>
              <w:rPr>
                <w:rFonts w:hint="eastAsia"/>
                <w:snapToGrid/>
                <w:sz w:val="22"/>
              </w:rPr>
              <w:t>职业培训津贴</w:t>
            </w:r>
          </w:p>
        </w:tc>
        <w:tc>
          <w:tcPr>
            <w:tcW w:w="7282" w:type="dxa"/>
          </w:tcPr>
          <w:p w:rsidR="00000000" w:rsidRDefault="00000000">
            <w:pPr>
              <w:spacing w:before="80" w:after="20" w:line="288" w:lineRule="auto"/>
              <w:ind w:left="57" w:right="57"/>
              <w:rPr>
                <w:rFonts w:hint="eastAsia"/>
                <w:snapToGrid/>
                <w:sz w:val="22"/>
              </w:rPr>
            </w:pPr>
            <w:r>
              <w:rPr>
                <w:rFonts w:hint="eastAsia"/>
                <w:snapToGrid/>
                <w:sz w:val="22"/>
              </w:rPr>
              <w:t>职业培训津贴是发放予修读由指定机构开办的培训课程的失业者。学员每月的课堂出席率达</w:t>
            </w:r>
            <w:r>
              <w:rPr>
                <w:rFonts w:hint="eastAsia"/>
                <w:snapToGrid/>
                <w:sz w:val="22"/>
              </w:rPr>
              <w:t>80%</w:t>
            </w:r>
            <w:r>
              <w:rPr>
                <w:rFonts w:hint="eastAsia"/>
                <w:snapToGrid/>
                <w:sz w:val="22"/>
              </w:rPr>
              <w:t>或以上，可获发放每日澳门币</w:t>
            </w:r>
            <w:r>
              <w:rPr>
                <w:rFonts w:hint="eastAsia"/>
                <w:snapToGrid/>
                <w:sz w:val="22"/>
              </w:rPr>
              <w:t>80</w:t>
            </w:r>
            <w:r>
              <w:rPr>
                <w:rFonts w:hint="eastAsia"/>
                <w:snapToGrid/>
                <w:sz w:val="22"/>
              </w:rPr>
              <w:t>元的津贴，每月最高金额为澳门币</w:t>
            </w:r>
            <w:r>
              <w:rPr>
                <w:rFonts w:hint="eastAsia"/>
                <w:snapToGrid/>
                <w:sz w:val="22"/>
              </w:rPr>
              <w:t>1,800</w:t>
            </w:r>
            <w:r>
              <w:rPr>
                <w:rFonts w:hint="eastAsia"/>
                <w:snapToGrid/>
                <w:sz w:val="22"/>
              </w:rPr>
              <w:t>元。</w:t>
            </w:r>
          </w:p>
        </w:tc>
      </w:tr>
      <w:tr w:rsidR="00000000">
        <w:tblPrEx>
          <w:tblCellMar>
            <w:top w:w="0" w:type="dxa"/>
            <w:bottom w:w="0" w:type="dxa"/>
          </w:tblCellMar>
        </w:tblPrEx>
        <w:tc>
          <w:tcPr>
            <w:tcW w:w="2128" w:type="dxa"/>
          </w:tcPr>
          <w:p w:rsidR="00000000" w:rsidRDefault="00000000">
            <w:pPr>
              <w:spacing w:before="80" w:after="20" w:line="288" w:lineRule="auto"/>
              <w:ind w:left="57" w:right="57"/>
              <w:rPr>
                <w:rFonts w:hint="eastAsia"/>
                <w:snapToGrid/>
                <w:sz w:val="22"/>
              </w:rPr>
            </w:pPr>
            <w:r>
              <w:rPr>
                <w:rFonts w:hint="eastAsia"/>
                <w:snapToGrid/>
                <w:sz w:val="22"/>
              </w:rPr>
              <w:t>失业救助金</w:t>
            </w:r>
          </w:p>
        </w:tc>
        <w:tc>
          <w:tcPr>
            <w:tcW w:w="7282" w:type="dxa"/>
          </w:tcPr>
          <w:p w:rsidR="00000000" w:rsidRDefault="00000000">
            <w:pPr>
              <w:spacing w:before="80" w:after="20" w:line="288" w:lineRule="auto"/>
              <w:ind w:left="57" w:right="57"/>
              <w:rPr>
                <w:rFonts w:hint="eastAsia"/>
                <w:snapToGrid/>
                <w:sz w:val="22"/>
              </w:rPr>
            </w:pPr>
            <w:r>
              <w:rPr>
                <w:rFonts w:hint="eastAsia"/>
                <w:snapToGrid/>
                <w:sz w:val="22"/>
              </w:rPr>
              <w:t>失业救助金是发放予修读文化进修课程的失业者。学员每月的课堂出席率达</w:t>
            </w:r>
            <w:r>
              <w:rPr>
                <w:rFonts w:hint="eastAsia"/>
                <w:snapToGrid/>
                <w:sz w:val="22"/>
              </w:rPr>
              <w:t>80%</w:t>
            </w:r>
            <w:r>
              <w:rPr>
                <w:rFonts w:hint="eastAsia"/>
                <w:snapToGrid/>
                <w:sz w:val="22"/>
              </w:rPr>
              <w:t>或以上，每月可获发放失业救助金。失业救助金按照家团成员人数计算：</w:t>
            </w:r>
            <w:r>
              <w:rPr>
                <w:rFonts w:hint="eastAsia"/>
                <w:snapToGrid/>
                <w:sz w:val="22"/>
              </w:rPr>
              <w:t>1</w:t>
            </w:r>
            <w:r>
              <w:rPr>
                <w:rFonts w:hint="eastAsia"/>
                <w:snapToGrid/>
                <w:sz w:val="22"/>
              </w:rPr>
              <w:t>人家庭获发澳门币</w:t>
            </w:r>
            <w:r>
              <w:rPr>
                <w:rFonts w:hint="eastAsia"/>
                <w:snapToGrid/>
                <w:sz w:val="22"/>
              </w:rPr>
              <w:t>1,800</w:t>
            </w:r>
            <w:r>
              <w:rPr>
                <w:rFonts w:hint="eastAsia"/>
                <w:snapToGrid/>
                <w:sz w:val="22"/>
              </w:rPr>
              <w:t>元，</w:t>
            </w:r>
            <w:r>
              <w:rPr>
                <w:rFonts w:hint="eastAsia"/>
                <w:snapToGrid/>
                <w:sz w:val="22"/>
              </w:rPr>
              <w:t>6</w:t>
            </w:r>
            <w:r>
              <w:rPr>
                <w:rFonts w:hint="eastAsia"/>
                <w:snapToGrid/>
                <w:sz w:val="22"/>
              </w:rPr>
              <w:t>人或以上的家庭则获发澳门币</w:t>
            </w:r>
            <w:r>
              <w:rPr>
                <w:rFonts w:hint="eastAsia"/>
                <w:snapToGrid/>
                <w:sz w:val="22"/>
              </w:rPr>
              <w:t>6,800</w:t>
            </w:r>
            <w:r>
              <w:rPr>
                <w:rFonts w:hint="eastAsia"/>
                <w:snapToGrid/>
                <w:sz w:val="22"/>
              </w:rPr>
              <w:t>元。</w:t>
            </w:r>
          </w:p>
        </w:tc>
      </w:tr>
      <w:tr w:rsidR="00000000">
        <w:tblPrEx>
          <w:tblCellMar>
            <w:top w:w="0" w:type="dxa"/>
            <w:bottom w:w="0" w:type="dxa"/>
          </w:tblCellMar>
        </w:tblPrEx>
        <w:tc>
          <w:tcPr>
            <w:tcW w:w="2128" w:type="dxa"/>
          </w:tcPr>
          <w:p w:rsidR="00000000" w:rsidRDefault="00000000">
            <w:pPr>
              <w:spacing w:before="80" w:after="20" w:line="288" w:lineRule="auto"/>
              <w:ind w:left="57" w:right="57"/>
              <w:rPr>
                <w:rFonts w:hint="eastAsia"/>
                <w:snapToGrid/>
                <w:sz w:val="22"/>
              </w:rPr>
            </w:pPr>
            <w:r>
              <w:rPr>
                <w:rFonts w:hint="eastAsia"/>
                <w:snapToGrid/>
                <w:sz w:val="22"/>
              </w:rPr>
              <w:t>失业者的就业津贴</w:t>
            </w:r>
          </w:p>
        </w:tc>
        <w:tc>
          <w:tcPr>
            <w:tcW w:w="7282" w:type="dxa"/>
          </w:tcPr>
          <w:p w:rsidR="00000000" w:rsidRDefault="00000000">
            <w:pPr>
              <w:spacing w:before="80" w:after="20" w:line="288" w:lineRule="auto"/>
              <w:ind w:left="57" w:right="57"/>
              <w:rPr>
                <w:rFonts w:hint="eastAsia"/>
                <w:snapToGrid/>
                <w:sz w:val="22"/>
              </w:rPr>
            </w:pPr>
            <w:r>
              <w:rPr>
                <w:rFonts w:hint="eastAsia"/>
                <w:snapToGrid/>
                <w:sz w:val="22"/>
              </w:rPr>
              <w:t>雇主每聘用一名已在劳工暨就业局登记的失业者，可获发澳门币</w:t>
            </w:r>
            <w:r>
              <w:rPr>
                <w:rFonts w:hint="eastAsia"/>
                <w:snapToGrid/>
                <w:sz w:val="22"/>
              </w:rPr>
              <w:t>13,800</w:t>
            </w:r>
            <w:r>
              <w:rPr>
                <w:rFonts w:hint="eastAsia"/>
                <w:snapToGrid/>
                <w:sz w:val="22"/>
              </w:rPr>
              <w:t>元的津贴</w:t>
            </w:r>
            <w:r>
              <w:rPr>
                <w:rFonts w:hint="eastAsia"/>
                <w:snapToGrid/>
                <w:sz w:val="22"/>
              </w:rPr>
              <w:t>(</w:t>
            </w:r>
            <w:r>
              <w:rPr>
                <w:rFonts w:hint="eastAsia"/>
                <w:snapToGrid/>
                <w:sz w:val="22"/>
              </w:rPr>
              <w:t>分</w:t>
            </w:r>
            <w:r>
              <w:rPr>
                <w:rFonts w:hint="eastAsia"/>
                <w:snapToGrid/>
                <w:sz w:val="22"/>
              </w:rPr>
              <w:t>6</w:t>
            </w:r>
            <w:r>
              <w:rPr>
                <w:rFonts w:hint="eastAsia"/>
                <w:snapToGrid/>
                <w:sz w:val="22"/>
              </w:rPr>
              <w:t>个月支付</w:t>
            </w:r>
            <w:r>
              <w:rPr>
                <w:rFonts w:hint="eastAsia"/>
                <w:snapToGrid/>
                <w:sz w:val="22"/>
              </w:rPr>
              <w:t>)</w:t>
            </w:r>
            <w:r>
              <w:rPr>
                <w:rFonts w:hint="eastAsia"/>
                <w:snapToGrid/>
                <w:sz w:val="22"/>
              </w:rPr>
              <w:t>。</w:t>
            </w:r>
          </w:p>
        </w:tc>
      </w:tr>
      <w:tr w:rsidR="00000000">
        <w:tblPrEx>
          <w:tblCellMar>
            <w:top w:w="0" w:type="dxa"/>
            <w:bottom w:w="0" w:type="dxa"/>
          </w:tblCellMar>
        </w:tblPrEx>
        <w:tc>
          <w:tcPr>
            <w:tcW w:w="2128" w:type="dxa"/>
          </w:tcPr>
          <w:p w:rsidR="00000000" w:rsidRDefault="00000000">
            <w:pPr>
              <w:spacing w:before="80" w:after="20" w:line="288" w:lineRule="auto"/>
              <w:ind w:left="57" w:right="57"/>
              <w:rPr>
                <w:rFonts w:hint="eastAsia"/>
                <w:snapToGrid/>
                <w:sz w:val="22"/>
              </w:rPr>
            </w:pPr>
            <w:r>
              <w:rPr>
                <w:rFonts w:hint="eastAsia"/>
                <w:snapToGrid/>
                <w:sz w:val="22"/>
              </w:rPr>
              <w:t>对残疾失业者的津贴</w:t>
            </w:r>
          </w:p>
        </w:tc>
        <w:tc>
          <w:tcPr>
            <w:tcW w:w="7282" w:type="dxa"/>
          </w:tcPr>
          <w:p w:rsidR="00000000" w:rsidRDefault="00000000">
            <w:pPr>
              <w:spacing w:before="80" w:after="20" w:line="288" w:lineRule="auto"/>
              <w:ind w:left="57" w:right="57"/>
              <w:rPr>
                <w:rFonts w:hint="eastAsia"/>
                <w:snapToGrid/>
                <w:sz w:val="22"/>
              </w:rPr>
            </w:pPr>
            <w:r>
              <w:rPr>
                <w:rFonts w:hint="eastAsia"/>
                <w:snapToGrid/>
                <w:sz w:val="22"/>
              </w:rPr>
              <w:t>该项津贴是发放予为残疾失业者提供特定协助</w:t>
            </w:r>
            <w:r>
              <w:rPr>
                <w:rFonts w:hint="eastAsia"/>
                <w:snapToGrid/>
                <w:sz w:val="22"/>
              </w:rPr>
              <w:t>(</w:t>
            </w:r>
            <w:r>
              <w:rPr>
                <w:rFonts w:hint="eastAsia"/>
                <w:snapToGrid/>
                <w:sz w:val="22"/>
              </w:rPr>
              <w:t>例如职业培训、工作坊、工作安排、消除建筑障碍的计划等</w:t>
            </w:r>
            <w:r>
              <w:rPr>
                <w:rFonts w:hint="eastAsia"/>
                <w:snapToGrid/>
                <w:sz w:val="22"/>
              </w:rPr>
              <w:t>)</w:t>
            </w:r>
            <w:r>
              <w:rPr>
                <w:rFonts w:hint="eastAsia"/>
                <w:snapToGrid/>
                <w:sz w:val="22"/>
              </w:rPr>
              <w:t>的组织和民间实体，最高金额为澳门币</w:t>
            </w:r>
            <w:r>
              <w:rPr>
                <w:rFonts w:hint="eastAsia"/>
                <w:snapToGrid/>
                <w:sz w:val="22"/>
              </w:rPr>
              <w:t>500,000</w:t>
            </w:r>
            <w:r>
              <w:rPr>
                <w:rFonts w:hint="eastAsia"/>
                <w:snapToGrid/>
                <w:sz w:val="22"/>
              </w:rPr>
              <w:t>元。</w:t>
            </w:r>
          </w:p>
        </w:tc>
      </w:tr>
      <w:tr w:rsidR="00000000">
        <w:tblPrEx>
          <w:tblCellMar>
            <w:top w:w="0" w:type="dxa"/>
            <w:bottom w:w="0" w:type="dxa"/>
          </w:tblCellMar>
        </w:tblPrEx>
        <w:tc>
          <w:tcPr>
            <w:tcW w:w="2128" w:type="dxa"/>
          </w:tcPr>
          <w:p w:rsidR="00000000" w:rsidRDefault="00000000">
            <w:pPr>
              <w:spacing w:before="80" w:after="20" w:line="288" w:lineRule="auto"/>
              <w:ind w:left="57" w:right="57"/>
              <w:rPr>
                <w:rFonts w:hint="eastAsia"/>
                <w:snapToGrid/>
                <w:sz w:val="22"/>
              </w:rPr>
            </w:pPr>
            <w:r>
              <w:rPr>
                <w:rFonts w:hint="eastAsia"/>
                <w:snapToGrid/>
                <w:sz w:val="22"/>
              </w:rPr>
              <w:t>聘用初次求职青年的津贴</w:t>
            </w:r>
          </w:p>
        </w:tc>
        <w:tc>
          <w:tcPr>
            <w:tcW w:w="7282" w:type="dxa"/>
          </w:tcPr>
          <w:p w:rsidR="00000000" w:rsidRDefault="00000000">
            <w:pPr>
              <w:spacing w:before="80" w:after="20" w:line="288" w:lineRule="auto"/>
              <w:ind w:left="57" w:right="57"/>
              <w:rPr>
                <w:rFonts w:hint="eastAsia"/>
                <w:snapToGrid/>
                <w:sz w:val="22"/>
              </w:rPr>
            </w:pPr>
            <w:r>
              <w:rPr>
                <w:rFonts w:hint="eastAsia"/>
                <w:snapToGrid/>
                <w:sz w:val="22"/>
              </w:rPr>
              <w:t>雇主聘用年龄不超过</w:t>
            </w:r>
            <w:r>
              <w:rPr>
                <w:rFonts w:hint="eastAsia"/>
                <w:snapToGrid/>
                <w:sz w:val="22"/>
              </w:rPr>
              <w:t>26</w:t>
            </w:r>
            <w:r>
              <w:rPr>
                <w:rFonts w:hint="eastAsia"/>
                <w:snapToGrid/>
                <w:sz w:val="22"/>
              </w:rPr>
              <w:t>岁、已在劳工暨就业局登记，且属初次求职的青年，可获发澳门币</w:t>
            </w:r>
            <w:r>
              <w:rPr>
                <w:rFonts w:hint="eastAsia"/>
                <w:snapToGrid/>
                <w:sz w:val="22"/>
              </w:rPr>
              <w:t>12,000</w:t>
            </w:r>
            <w:r>
              <w:rPr>
                <w:rFonts w:hint="eastAsia"/>
                <w:snapToGrid/>
                <w:sz w:val="22"/>
              </w:rPr>
              <w:t>元的津贴</w:t>
            </w:r>
            <w:r>
              <w:rPr>
                <w:rFonts w:hint="eastAsia"/>
                <w:snapToGrid/>
                <w:sz w:val="22"/>
              </w:rPr>
              <w:t>(</w:t>
            </w:r>
            <w:r>
              <w:rPr>
                <w:rFonts w:hint="eastAsia"/>
                <w:snapToGrid/>
                <w:sz w:val="22"/>
              </w:rPr>
              <w:t>分</w:t>
            </w:r>
            <w:r>
              <w:rPr>
                <w:rFonts w:hint="eastAsia"/>
                <w:snapToGrid/>
                <w:sz w:val="22"/>
              </w:rPr>
              <w:t>6</w:t>
            </w:r>
            <w:r>
              <w:rPr>
                <w:rFonts w:hint="eastAsia"/>
                <w:snapToGrid/>
                <w:sz w:val="22"/>
              </w:rPr>
              <w:t>个月支付</w:t>
            </w:r>
            <w:r>
              <w:rPr>
                <w:rFonts w:hint="eastAsia"/>
                <w:snapToGrid/>
                <w:sz w:val="22"/>
              </w:rPr>
              <w:t>)</w:t>
            </w:r>
            <w:r>
              <w:rPr>
                <w:rFonts w:hint="eastAsia"/>
                <w:snapToGrid/>
                <w:sz w:val="22"/>
              </w:rPr>
              <w:t>。</w:t>
            </w:r>
          </w:p>
        </w:tc>
      </w:tr>
    </w:tbl>
    <w:p w:rsidR="00000000" w:rsidRDefault="00000000">
      <w:pPr>
        <w:spacing w:before="240" w:after="18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：社会保障基金，</w:t>
      </w:r>
      <w:r>
        <w:rPr>
          <w:rFonts w:eastAsia="KaiTi_GB2312" w:hint="eastAsia"/>
          <w:snapToGrid/>
          <w:spacing w:val="0"/>
        </w:rPr>
        <w:t>2002</w:t>
      </w:r>
      <w:r>
        <w:rPr>
          <w:rFonts w:eastAsia="KaiTi_GB2312" w:hint="eastAsia"/>
          <w:snapToGrid/>
          <w:spacing w:val="0"/>
        </w:rPr>
        <w:t>年</w:t>
      </w:r>
    </w:p>
    <w:p w:rsidR="00000000" w:rsidRDefault="00000000">
      <w:pPr>
        <w:pStyle w:val="Heading3"/>
        <w:spacing w:after="180"/>
        <w:rPr>
          <w:rFonts w:hint="eastAsia"/>
          <w:snapToGrid/>
          <w:kern w:val="0"/>
        </w:rPr>
      </w:pPr>
      <w:bookmarkStart w:id="79" w:name="_Toc78772988"/>
      <w:r>
        <w:rPr>
          <w:rFonts w:hint="eastAsia"/>
          <w:snapToGrid/>
          <w:kern w:val="0"/>
          <w:u w:val="none"/>
        </w:rPr>
        <w:t xml:space="preserve">C.  </w:t>
      </w:r>
      <w:r>
        <w:rPr>
          <w:rFonts w:hint="eastAsia"/>
          <w:snapToGrid/>
          <w:kern w:val="0"/>
        </w:rPr>
        <w:t>用于社会保障的国民生产总值</w:t>
      </w:r>
      <w:bookmarkEnd w:id="79"/>
    </w:p>
    <w:p w:rsidR="00000000" w:rsidRDefault="00000000">
      <w:pPr>
        <w:spacing w:after="160"/>
        <w:rPr>
          <w:rFonts w:hint="eastAsia"/>
          <w:snapToGrid/>
        </w:rPr>
      </w:pPr>
      <w:r>
        <w:rPr>
          <w:rFonts w:hint="eastAsia"/>
          <w:snapToGrid/>
        </w:rPr>
        <w:tab/>
        <w:t xml:space="preserve">916.  </w:t>
      </w:r>
      <w:r>
        <w:rPr>
          <w:rFonts w:hint="eastAsia"/>
          <w:snapToGrid/>
        </w:rPr>
        <w:t>在最近十年，用于社会保障的支出相当稳定。然而，近年出现的经济衰退导致</w:t>
      </w:r>
      <w:r>
        <w:rPr>
          <w:rFonts w:hint="eastAsia"/>
          <w:snapToGrid/>
        </w:rPr>
        <w:t>2000/2001</w:t>
      </w:r>
      <w:r>
        <w:rPr>
          <w:rFonts w:hint="eastAsia"/>
          <w:snapToGrid/>
        </w:rPr>
        <w:t>年的支出骤增。因此，澳门特别行政区政府向社会保障基金提供特别拨款，以便其推行多项援助本地失业者的临时计划。</w:t>
      </w:r>
    </w:p>
    <w:p w:rsidR="00000000" w:rsidRDefault="00000000">
      <w:pPr>
        <w:pStyle w:val="Heading3"/>
        <w:spacing w:after="160"/>
        <w:rPr>
          <w:rFonts w:hint="eastAsia"/>
          <w:snapToGrid/>
          <w:kern w:val="0"/>
        </w:rPr>
      </w:pPr>
      <w:bookmarkStart w:id="80" w:name="_Toc78772989"/>
      <w:r>
        <w:rPr>
          <w:rFonts w:hint="eastAsia"/>
          <w:snapToGrid/>
          <w:kern w:val="0"/>
        </w:rPr>
        <w:t>社会保障的支出在总预算中所占百分比</w:t>
      </w:r>
      <w:r>
        <w:rPr>
          <w:snapToGrid/>
          <w:kern w:val="0"/>
        </w:rPr>
        <w:br/>
      </w:r>
      <w:r>
        <w:rPr>
          <w:rFonts w:hint="eastAsia"/>
          <w:snapToGrid/>
          <w:kern w:val="0"/>
          <w:u w:val="none"/>
        </w:rPr>
        <w:t>(</w:t>
      </w:r>
      <w:r>
        <w:rPr>
          <w:rFonts w:hint="eastAsia"/>
          <w:snapToGrid/>
          <w:kern w:val="0"/>
          <w:u w:val="none"/>
        </w:rPr>
        <w:t>千元澳门币</w:t>
      </w:r>
      <w:r>
        <w:rPr>
          <w:rFonts w:hint="eastAsia"/>
          <w:snapToGrid/>
          <w:kern w:val="0"/>
          <w:u w:val="none"/>
        </w:rPr>
        <w:t>)</w:t>
      </w:r>
      <w:bookmarkEnd w:id="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91"/>
        <w:gridCol w:w="1607"/>
        <w:gridCol w:w="1607"/>
        <w:gridCol w:w="1605"/>
      </w:tblGrid>
      <w:tr w:rsidR="00000000">
        <w:tblPrEx>
          <w:tblCellMar>
            <w:top w:w="0" w:type="dxa"/>
            <w:bottom w:w="0" w:type="dxa"/>
          </w:tblCellMar>
        </w:tblPrEx>
        <w:tc>
          <w:tcPr>
            <w:tcW w:w="2439" w:type="pct"/>
          </w:tcPr>
          <w:p w:rsidR="00000000" w:rsidRDefault="00000000">
            <w:pPr>
              <w:spacing w:before="120"/>
              <w:ind w:left="57"/>
              <w:jc w:val="center"/>
              <w:rPr>
                <w:rFonts w:hint="eastAsia"/>
                <w:snapToGrid/>
                <w:sz w:val="22"/>
              </w:rPr>
            </w:pPr>
            <w:r>
              <w:rPr>
                <w:rFonts w:hint="eastAsia"/>
                <w:snapToGrid/>
                <w:sz w:val="22"/>
              </w:rPr>
              <w:t>年</w:t>
            </w:r>
            <w:r>
              <w:rPr>
                <w:rFonts w:hint="eastAsia"/>
                <w:snapToGrid/>
                <w:sz w:val="22"/>
              </w:rPr>
              <w:t xml:space="preserve">  </w:t>
            </w:r>
            <w:r>
              <w:rPr>
                <w:rFonts w:hint="eastAsia"/>
                <w:snapToGrid/>
                <w:sz w:val="22"/>
              </w:rPr>
              <w:t>份</w:t>
            </w:r>
          </w:p>
        </w:tc>
        <w:tc>
          <w:tcPr>
            <w:tcW w:w="854" w:type="pct"/>
          </w:tcPr>
          <w:p w:rsidR="00000000" w:rsidRDefault="00000000">
            <w:pPr>
              <w:spacing w:before="120"/>
              <w:ind w:left="57"/>
              <w:jc w:val="center"/>
              <w:rPr>
                <w:rFonts w:hint="eastAsia"/>
                <w:snapToGrid/>
              </w:rPr>
            </w:pPr>
            <w:r>
              <w:rPr>
                <w:rFonts w:hint="eastAsia"/>
                <w:snapToGrid/>
              </w:rPr>
              <w:t>1999</w:t>
            </w:r>
          </w:p>
        </w:tc>
        <w:tc>
          <w:tcPr>
            <w:tcW w:w="854" w:type="pct"/>
          </w:tcPr>
          <w:p w:rsidR="00000000" w:rsidRDefault="00000000">
            <w:pPr>
              <w:spacing w:before="120"/>
              <w:ind w:left="57"/>
              <w:jc w:val="center"/>
              <w:rPr>
                <w:rFonts w:hint="eastAsia"/>
                <w:snapToGrid/>
              </w:rPr>
            </w:pPr>
            <w:r>
              <w:rPr>
                <w:rFonts w:hint="eastAsia"/>
                <w:snapToGrid/>
              </w:rPr>
              <w:t>2000</w:t>
            </w:r>
          </w:p>
        </w:tc>
        <w:tc>
          <w:tcPr>
            <w:tcW w:w="854" w:type="pct"/>
          </w:tcPr>
          <w:p w:rsidR="00000000" w:rsidRDefault="00000000">
            <w:pPr>
              <w:spacing w:before="120"/>
              <w:ind w:left="57"/>
              <w:jc w:val="center"/>
              <w:rPr>
                <w:rFonts w:hint="eastAsia"/>
                <w:snapToGrid/>
              </w:rPr>
            </w:pPr>
            <w:r>
              <w:rPr>
                <w:rFonts w:hint="eastAsia"/>
                <w:snapToGrid/>
              </w:rPr>
              <w:t>2001</w:t>
            </w:r>
          </w:p>
        </w:tc>
      </w:tr>
      <w:tr w:rsidR="00000000">
        <w:tblPrEx>
          <w:tblCellMar>
            <w:top w:w="0" w:type="dxa"/>
            <w:bottom w:w="0" w:type="dxa"/>
          </w:tblCellMar>
        </w:tblPrEx>
        <w:tc>
          <w:tcPr>
            <w:tcW w:w="2439" w:type="pct"/>
          </w:tcPr>
          <w:p w:rsidR="00000000" w:rsidRDefault="00000000">
            <w:pPr>
              <w:spacing w:before="60" w:line="288" w:lineRule="auto"/>
              <w:ind w:left="57"/>
              <w:rPr>
                <w:rFonts w:hint="eastAsia"/>
                <w:snapToGrid/>
                <w:sz w:val="22"/>
              </w:rPr>
            </w:pPr>
            <w:r>
              <w:rPr>
                <w:rFonts w:hint="eastAsia"/>
                <w:snapToGrid/>
                <w:sz w:val="22"/>
              </w:rPr>
              <w:t>社会保障的支出</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349,577</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382,803</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513,446</w:t>
            </w:r>
          </w:p>
        </w:tc>
      </w:tr>
      <w:tr w:rsidR="00000000">
        <w:tblPrEx>
          <w:tblCellMar>
            <w:top w:w="0" w:type="dxa"/>
            <w:bottom w:w="0" w:type="dxa"/>
          </w:tblCellMar>
        </w:tblPrEx>
        <w:tc>
          <w:tcPr>
            <w:tcW w:w="2439" w:type="pct"/>
          </w:tcPr>
          <w:p w:rsidR="00000000" w:rsidRDefault="00000000">
            <w:pPr>
              <w:spacing w:before="60" w:line="288" w:lineRule="auto"/>
              <w:ind w:left="57"/>
              <w:rPr>
                <w:rFonts w:hint="eastAsia"/>
                <w:snapToGrid/>
                <w:sz w:val="22"/>
              </w:rPr>
            </w:pPr>
            <w:r>
              <w:rPr>
                <w:rFonts w:hint="eastAsia"/>
                <w:snapToGrid/>
                <w:sz w:val="22"/>
              </w:rPr>
              <w:t>政府对退休基金会的拨款</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318,076</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316,617</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323,420</w:t>
            </w:r>
          </w:p>
        </w:tc>
      </w:tr>
      <w:tr w:rsidR="00000000">
        <w:tblPrEx>
          <w:tblCellMar>
            <w:top w:w="0" w:type="dxa"/>
            <w:bottom w:w="0" w:type="dxa"/>
          </w:tblCellMar>
        </w:tblPrEx>
        <w:tc>
          <w:tcPr>
            <w:tcW w:w="2439" w:type="pct"/>
          </w:tcPr>
          <w:p w:rsidR="00000000" w:rsidRDefault="00000000">
            <w:pPr>
              <w:spacing w:before="60" w:line="288" w:lineRule="auto"/>
              <w:ind w:left="57"/>
              <w:rPr>
                <w:rFonts w:hint="eastAsia"/>
                <w:snapToGrid/>
                <w:sz w:val="22"/>
              </w:rPr>
            </w:pPr>
            <w:r>
              <w:rPr>
                <w:rFonts w:hint="eastAsia"/>
                <w:snapToGrid/>
                <w:sz w:val="22"/>
              </w:rPr>
              <w:t>合</w:t>
            </w:r>
            <w:r>
              <w:rPr>
                <w:rFonts w:hint="eastAsia"/>
                <w:snapToGrid/>
                <w:sz w:val="22"/>
              </w:rPr>
              <w:t xml:space="preserve">  </w:t>
            </w:r>
            <w:r>
              <w:rPr>
                <w:rFonts w:hint="eastAsia"/>
                <w:snapToGrid/>
                <w:sz w:val="22"/>
              </w:rPr>
              <w:t>共</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667,653</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699,420</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836,866</w:t>
            </w:r>
          </w:p>
        </w:tc>
      </w:tr>
      <w:tr w:rsidR="00000000">
        <w:tblPrEx>
          <w:tblCellMar>
            <w:top w:w="0" w:type="dxa"/>
            <w:bottom w:w="0" w:type="dxa"/>
          </w:tblCellMar>
        </w:tblPrEx>
        <w:tc>
          <w:tcPr>
            <w:tcW w:w="2439" w:type="pct"/>
          </w:tcPr>
          <w:p w:rsidR="00000000" w:rsidRDefault="00000000">
            <w:pPr>
              <w:spacing w:before="60" w:line="288" w:lineRule="auto"/>
              <w:ind w:left="57"/>
              <w:rPr>
                <w:rFonts w:hint="eastAsia"/>
                <w:snapToGrid/>
                <w:sz w:val="22"/>
              </w:rPr>
            </w:pPr>
            <w:r>
              <w:rPr>
                <w:rFonts w:hint="eastAsia"/>
                <w:snapToGrid/>
                <w:sz w:val="22"/>
              </w:rPr>
              <w:t>在总预算中所占百分比</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6.81%</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7.98%</w:t>
            </w:r>
          </w:p>
        </w:tc>
        <w:tc>
          <w:tcPr>
            <w:tcW w:w="854" w:type="pct"/>
          </w:tcPr>
          <w:p w:rsidR="00000000" w:rsidRDefault="00000000">
            <w:pPr>
              <w:spacing w:before="60" w:line="288" w:lineRule="auto"/>
              <w:ind w:left="57"/>
              <w:jc w:val="center"/>
              <w:rPr>
                <w:rFonts w:hint="eastAsia"/>
                <w:snapToGrid/>
                <w:sz w:val="22"/>
              </w:rPr>
            </w:pPr>
            <w:r>
              <w:rPr>
                <w:rFonts w:hint="eastAsia"/>
                <w:snapToGrid/>
                <w:sz w:val="22"/>
              </w:rPr>
              <w:t>8.9%</w:t>
            </w:r>
          </w:p>
        </w:tc>
      </w:tr>
    </w:tbl>
    <w:p w:rsidR="00000000" w:rsidRDefault="00000000">
      <w:pPr>
        <w:spacing w:before="120" w:after="16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：财政局，</w:t>
      </w:r>
      <w:r>
        <w:rPr>
          <w:rFonts w:eastAsia="KaiTi_GB2312" w:hint="eastAsia"/>
          <w:snapToGrid/>
          <w:spacing w:val="0"/>
        </w:rPr>
        <w:t>2002</w:t>
      </w:r>
      <w:r>
        <w:rPr>
          <w:rFonts w:eastAsia="KaiTi_GB2312" w:hint="eastAsia"/>
          <w:snapToGrid/>
          <w:spacing w:val="0"/>
        </w:rPr>
        <w:t>年</w:t>
      </w:r>
    </w:p>
    <w:p w:rsidR="00000000" w:rsidRDefault="00000000">
      <w:pPr>
        <w:pStyle w:val="Heading3"/>
        <w:spacing w:after="120"/>
        <w:rPr>
          <w:rFonts w:hint="eastAsia"/>
          <w:snapToGrid/>
          <w:kern w:val="0"/>
        </w:rPr>
      </w:pPr>
      <w:bookmarkStart w:id="81" w:name="_Toc78772990"/>
      <w:r>
        <w:rPr>
          <w:rFonts w:hint="eastAsia"/>
          <w:snapToGrid/>
          <w:kern w:val="0"/>
        </w:rPr>
        <w:t>政府对社会保障基金的拨款</w:t>
      </w:r>
      <w:r>
        <w:rPr>
          <w:snapToGrid/>
          <w:kern w:val="0"/>
        </w:rPr>
        <w:br/>
      </w:r>
      <w:r>
        <w:rPr>
          <w:rFonts w:hint="eastAsia"/>
          <w:snapToGrid/>
          <w:kern w:val="0"/>
          <w:u w:val="none"/>
        </w:rPr>
        <w:t>(</w:t>
      </w:r>
      <w:r>
        <w:rPr>
          <w:rFonts w:hint="eastAsia"/>
          <w:snapToGrid/>
          <w:kern w:val="0"/>
          <w:u w:val="none"/>
        </w:rPr>
        <w:t>千元澳门币</w:t>
      </w:r>
      <w:r>
        <w:rPr>
          <w:rFonts w:hint="eastAsia"/>
          <w:snapToGrid/>
          <w:kern w:val="0"/>
          <w:u w:val="none"/>
        </w:rPr>
        <w:t>)</w:t>
      </w:r>
      <w:bookmarkEnd w:id="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352"/>
        <w:gridCol w:w="2353"/>
        <w:gridCol w:w="2353"/>
      </w:tblGrid>
      <w:tr w:rsidR="00000000">
        <w:tblPrEx>
          <w:tblCellMar>
            <w:top w:w="0" w:type="dxa"/>
            <w:bottom w:w="0" w:type="dxa"/>
          </w:tblCellMar>
        </w:tblPrEx>
        <w:tc>
          <w:tcPr>
            <w:tcW w:w="2352" w:type="dxa"/>
          </w:tcPr>
          <w:p w:rsidR="00000000" w:rsidRDefault="00000000">
            <w:pPr>
              <w:spacing w:before="120"/>
              <w:ind w:left="57"/>
              <w:jc w:val="center"/>
              <w:rPr>
                <w:rFonts w:hint="eastAsia"/>
                <w:snapToGrid/>
                <w:sz w:val="22"/>
              </w:rPr>
            </w:pPr>
            <w:r>
              <w:rPr>
                <w:rFonts w:hint="eastAsia"/>
                <w:snapToGrid/>
                <w:sz w:val="22"/>
              </w:rPr>
              <w:t>年</w:t>
            </w:r>
            <w:r>
              <w:rPr>
                <w:rFonts w:hint="eastAsia"/>
                <w:snapToGrid/>
                <w:sz w:val="22"/>
              </w:rPr>
              <w:t xml:space="preserve">  </w:t>
            </w:r>
            <w:r>
              <w:rPr>
                <w:rFonts w:hint="eastAsia"/>
                <w:snapToGrid/>
                <w:sz w:val="22"/>
              </w:rPr>
              <w:t>份</w:t>
            </w:r>
          </w:p>
        </w:tc>
        <w:tc>
          <w:tcPr>
            <w:tcW w:w="2352" w:type="dxa"/>
          </w:tcPr>
          <w:p w:rsidR="00000000" w:rsidRDefault="00000000">
            <w:pPr>
              <w:spacing w:before="120"/>
              <w:ind w:left="57"/>
              <w:jc w:val="center"/>
              <w:rPr>
                <w:rFonts w:hint="eastAsia"/>
                <w:snapToGrid/>
                <w:sz w:val="22"/>
              </w:rPr>
            </w:pPr>
            <w:r>
              <w:rPr>
                <w:rFonts w:hint="eastAsia"/>
                <w:snapToGrid/>
                <w:sz w:val="22"/>
              </w:rPr>
              <w:t>1999</w:t>
            </w:r>
          </w:p>
        </w:tc>
        <w:tc>
          <w:tcPr>
            <w:tcW w:w="2353" w:type="dxa"/>
          </w:tcPr>
          <w:p w:rsidR="00000000" w:rsidRDefault="00000000">
            <w:pPr>
              <w:spacing w:before="120"/>
              <w:ind w:left="57"/>
              <w:jc w:val="center"/>
              <w:rPr>
                <w:rFonts w:hint="eastAsia"/>
                <w:snapToGrid/>
                <w:sz w:val="22"/>
              </w:rPr>
            </w:pPr>
            <w:r>
              <w:rPr>
                <w:rFonts w:hint="eastAsia"/>
                <w:snapToGrid/>
                <w:sz w:val="22"/>
              </w:rPr>
              <w:t>2000</w:t>
            </w:r>
          </w:p>
        </w:tc>
        <w:tc>
          <w:tcPr>
            <w:tcW w:w="2353" w:type="dxa"/>
          </w:tcPr>
          <w:p w:rsidR="00000000" w:rsidRDefault="00000000">
            <w:pPr>
              <w:spacing w:before="120"/>
              <w:ind w:left="57"/>
              <w:jc w:val="center"/>
              <w:rPr>
                <w:rFonts w:hint="eastAsia"/>
                <w:snapToGrid/>
                <w:sz w:val="22"/>
              </w:rPr>
            </w:pPr>
            <w:r>
              <w:rPr>
                <w:rFonts w:hint="eastAsia"/>
                <w:snapToGrid/>
                <w:sz w:val="22"/>
              </w:rPr>
              <w:t>2001</w:t>
            </w:r>
          </w:p>
        </w:tc>
      </w:tr>
      <w:tr w:rsidR="00000000">
        <w:tblPrEx>
          <w:tblCellMar>
            <w:top w:w="0" w:type="dxa"/>
            <w:bottom w:w="0" w:type="dxa"/>
          </w:tblCellMar>
        </w:tblPrEx>
        <w:tc>
          <w:tcPr>
            <w:tcW w:w="2352" w:type="dxa"/>
          </w:tcPr>
          <w:p w:rsidR="00000000" w:rsidRDefault="00000000">
            <w:pPr>
              <w:spacing w:before="60" w:line="288" w:lineRule="auto"/>
              <w:ind w:left="57"/>
              <w:rPr>
                <w:rFonts w:hint="eastAsia"/>
                <w:snapToGrid/>
                <w:sz w:val="22"/>
              </w:rPr>
            </w:pPr>
            <w:r>
              <w:rPr>
                <w:rFonts w:hint="eastAsia"/>
                <w:snapToGrid/>
                <w:sz w:val="22"/>
              </w:rPr>
              <w:t>政府预算的百分之一</w:t>
            </w:r>
          </w:p>
        </w:tc>
        <w:tc>
          <w:tcPr>
            <w:tcW w:w="2352" w:type="dxa"/>
          </w:tcPr>
          <w:p w:rsidR="00000000" w:rsidRDefault="00000000">
            <w:pPr>
              <w:spacing w:before="60" w:line="288" w:lineRule="auto"/>
              <w:ind w:left="57"/>
              <w:jc w:val="center"/>
              <w:rPr>
                <w:rFonts w:hint="eastAsia"/>
                <w:snapToGrid/>
                <w:sz w:val="22"/>
              </w:rPr>
            </w:pPr>
            <w:r>
              <w:rPr>
                <w:rFonts w:hint="eastAsia"/>
                <w:snapToGrid/>
                <w:sz w:val="22"/>
              </w:rPr>
              <w:t>81,746</w:t>
            </w:r>
          </w:p>
        </w:tc>
        <w:tc>
          <w:tcPr>
            <w:tcW w:w="2353" w:type="dxa"/>
          </w:tcPr>
          <w:p w:rsidR="00000000" w:rsidRDefault="00000000">
            <w:pPr>
              <w:spacing w:before="60" w:line="288" w:lineRule="auto"/>
              <w:ind w:left="57"/>
              <w:jc w:val="center"/>
              <w:rPr>
                <w:rFonts w:hint="eastAsia"/>
                <w:snapToGrid/>
                <w:sz w:val="22"/>
              </w:rPr>
            </w:pPr>
            <w:r>
              <w:rPr>
                <w:rFonts w:hint="eastAsia"/>
                <w:snapToGrid/>
                <w:sz w:val="22"/>
              </w:rPr>
              <w:t>84,571</w:t>
            </w:r>
          </w:p>
        </w:tc>
        <w:tc>
          <w:tcPr>
            <w:tcW w:w="2353" w:type="dxa"/>
          </w:tcPr>
          <w:p w:rsidR="00000000" w:rsidRDefault="00000000">
            <w:pPr>
              <w:spacing w:before="60" w:line="288" w:lineRule="auto"/>
              <w:ind w:left="57"/>
              <w:jc w:val="center"/>
              <w:rPr>
                <w:rFonts w:hint="eastAsia"/>
                <w:snapToGrid/>
                <w:sz w:val="22"/>
              </w:rPr>
            </w:pPr>
            <w:r>
              <w:rPr>
                <w:rFonts w:hint="eastAsia"/>
                <w:snapToGrid/>
                <w:sz w:val="22"/>
              </w:rPr>
              <w:t>78,553</w:t>
            </w:r>
          </w:p>
        </w:tc>
      </w:tr>
      <w:tr w:rsidR="00000000">
        <w:tblPrEx>
          <w:tblCellMar>
            <w:top w:w="0" w:type="dxa"/>
            <w:bottom w:w="0" w:type="dxa"/>
          </w:tblCellMar>
        </w:tblPrEx>
        <w:tc>
          <w:tcPr>
            <w:tcW w:w="2352" w:type="dxa"/>
          </w:tcPr>
          <w:p w:rsidR="00000000" w:rsidRDefault="00000000">
            <w:pPr>
              <w:spacing w:before="60" w:line="288" w:lineRule="auto"/>
              <w:ind w:left="57"/>
              <w:rPr>
                <w:rFonts w:hint="eastAsia"/>
                <w:snapToGrid/>
                <w:sz w:val="22"/>
              </w:rPr>
            </w:pPr>
            <w:r>
              <w:rPr>
                <w:rFonts w:hint="eastAsia"/>
                <w:snapToGrid/>
                <w:sz w:val="22"/>
              </w:rPr>
              <w:t>特别津贴</w:t>
            </w:r>
          </w:p>
        </w:tc>
        <w:tc>
          <w:tcPr>
            <w:tcW w:w="2352" w:type="dxa"/>
          </w:tcPr>
          <w:p w:rsidR="00000000" w:rsidRDefault="00000000">
            <w:pPr>
              <w:spacing w:before="60" w:line="288" w:lineRule="auto"/>
              <w:ind w:left="57"/>
              <w:jc w:val="center"/>
              <w:rPr>
                <w:rFonts w:hint="eastAsia"/>
                <w:snapToGrid/>
                <w:sz w:val="22"/>
              </w:rPr>
            </w:pPr>
            <w:r>
              <w:rPr>
                <w:rFonts w:hint="eastAsia"/>
                <w:snapToGrid/>
                <w:spacing w:val="-40"/>
                <w:sz w:val="22"/>
              </w:rPr>
              <w:t>――</w:t>
            </w:r>
            <w:r>
              <w:rPr>
                <w:rFonts w:hint="eastAsia"/>
                <w:snapToGrid/>
                <w:spacing w:val="-40"/>
                <w:sz w:val="22"/>
              </w:rPr>
              <w:t xml:space="preserve"> </w:t>
            </w:r>
          </w:p>
        </w:tc>
        <w:tc>
          <w:tcPr>
            <w:tcW w:w="2353" w:type="dxa"/>
          </w:tcPr>
          <w:p w:rsidR="00000000" w:rsidRDefault="00000000">
            <w:pPr>
              <w:spacing w:before="60" w:line="288" w:lineRule="auto"/>
              <w:ind w:left="57"/>
              <w:jc w:val="center"/>
              <w:rPr>
                <w:rFonts w:hint="eastAsia"/>
                <w:snapToGrid/>
                <w:sz w:val="22"/>
              </w:rPr>
            </w:pPr>
            <w:r>
              <w:rPr>
                <w:rFonts w:hint="eastAsia"/>
                <w:snapToGrid/>
                <w:sz w:val="22"/>
              </w:rPr>
              <w:t>12,000</w:t>
            </w:r>
          </w:p>
        </w:tc>
        <w:tc>
          <w:tcPr>
            <w:tcW w:w="2353" w:type="dxa"/>
          </w:tcPr>
          <w:p w:rsidR="00000000" w:rsidRDefault="00000000">
            <w:pPr>
              <w:spacing w:before="60" w:line="288" w:lineRule="auto"/>
              <w:ind w:left="57"/>
              <w:jc w:val="center"/>
              <w:rPr>
                <w:rFonts w:hint="eastAsia"/>
                <w:snapToGrid/>
                <w:sz w:val="22"/>
              </w:rPr>
            </w:pPr>
            <w:r>
              <w:rPr>
                <w:rFonts w:hint="eastAsia"/>
                <w:snapToGrid/>
                <w:sz w:val="22"/>
              </w:rPr>
              <w:t>122,540</w:t>
            </w:r>
          </w:p>
        </w:tc>
      </w:tr>
      <w:tr w:rsidR="00000000">
        <w:tblPrEx>
          <w:tblCellMar>
            <w:top w:w="0" w:type="dxa"/>
            <w:bottom w:w="0" w:type="dxa"/>
          </w:tblCellMar>
        </w:tblPrEx>
        <w:tc>
          <w:tcPr>
            <w:tcW w:w="2352" w:type="dxa"/>
          </w:tcPr>
          <w:p w:rsidR="00000000" w:rsidRDefault="00000000">
            <w:pPr>
              <w:spacing w:before="60" w:line="288" w:lineRule="auto"/>
              <w:ind w:left="57"/>
              <w:rPr>
                <w:snapToGrid/>
                <w:sz w:val="22"/>
              </w:rPr>
            </w:pPr>
            <w:r>
              <w:rPr>
                <w:rFonts w:hint="eastAsia"/>
                <w:snapToGrid/>
                <w:sz w:val="22"/>
              </w:rPr>
              <w:t>合　计</w:t>
            </w:r>
          </w:p>
        </w:tc>
        <w:tc>
          <w:tcPr>
            <w:tcW w:w="2352" w:type="dxa"/>
          </w:tcPr>
          <w:p w:rsidR="00000000" w:rsidRDefault="00000000">
            <w:pPr>
              <w:spacing w:before="60" w:line="288" w:lineRule="auto"/>
              <w:ind w:left="57"/>
              <w:jc w:val="center"/>
              <w:rPr>
                <w:rFonts w:hint="eastAsia"/>
                <w:snapToGrid/>
                <w:sz w:val="22"/>
              </w:rPr>
            </w:pPr>
            <w:r>
              <w:rPr>
                <w:rFonts w:hint="eastAsia"/>
                <w:snapToGrid/>
                <w:sz w:val="22"/>
              </w:rPr>
              <w:t>81,746</w:t>
            </w:r>
          </w:p>
        </w:tc>
        <w:tc>
          <w:tcPr>
            <w:tcW w:w="2353" w:type="dxa"/>
          </w:tcPr>
          <w:p w:rsidR="00000000" w:rsidRDefault="00000000">
            <w:pPr>
              <w:spacing w:before="60" w:line="288" w:lineRule="auto"/>
              <w:ind w:left="57"/>
              <w:jc w:val="center"/>
              <w:rPr>
                <w:rFonts w:hint="eastAsia"/>
                <w:snapToGrid/>
                <w:sz w:val="22"/>
              </w:rPr>
            </w:pPr>
            <w:r>
              <w:rPr>
                <w:rFonts w:hint="eastAsia"/>
                <w:snapToGrid/>
                <w:sz w:val="22"/>
              </w:rPr>
              <w:t>96,571</w:t>
            </w:r>
          </w:p>
        </w:tc>
        <w:tc>
          <w:tcPr>
            <w:tcW w:w="2353" w:type="dxa"/>
          </w:tcPr>
          <w:p w:rsidR="00000000" w:rsidRDefault="00000000">
            <w:pPr>
              <w:spacing w:before="60" w:line="288" w:lineRule="auto"/>
              <w:ind w:left="57"/>
              <w:jc w:val="center"/>
              <w:rPr>
                <w:rFonts w:hint="eastAsia"/>
                <w:snapToGrid/>
                <w:sz w:val="22"/>
              </w:rPr>
            </w:pPr>
            <w:r>
              <w:rPr>
                <w:rFonts w:hint="eastAsia"/>
                <w:snapToGrid/>
                <w:sz w:val="22"/>
              </w:rPr>
              <w:t>201,093</w:t>
            </w:r>
          </w:p>
        </w:tc>
      </w:tr>
    </w:tbl>
    <w:p w:rsidR="00000000" w:rsidRDefault="00000000">
      <w:pPr>
        <w:spacing w:before="12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：财政局，</w:t>
      </w:r>
      <w:r>
        <w:rPr>
          <w:rFonts w:eastAsia="KaiTi_GB2312" w:hint="eastAsia"/>
          <w:snapToGrid/>
          <w:spacing w:val="0"/>
        </w:rPr>
        <w:t>2002</w:t>
      </w:r>
      <w:r>
        <w:rPr>
          <w:rFonts w:eastAsia="KaiTi_GB2312" w:hint="eastAsia"/>
          <w:snapToGrid/>
          <w:spacing w:val="0"/>
        </w:rPr>
        <w:t>年</w:t>
      </w:r>
    </w:p>
    <w:p w:rsidR="00000000" w:rsidRDefault="00000000">
      <w:pPr>
        <w:pStyle w:val="Heading3"/>
        <w:spacing w:before="240"/>
        <w:rPr>
          <w:rFonts w:hint="eastAsia"/>
          <w:snapToGrid/>
          <w:kern w:val="0"/>
        </w:rPr>
      </w:pPr>
      <w:bookmarkStart w:id="82" w:name="_Toc78772991"/>
      <w:r>
        <w:rPr>
          <w:rFonts w:hint="eastAsia"/>
          <w:snapToGrid/>
          <w:kern w:val="0"/>
          <w:u w:val="none"/>
        </w:rPr>
        <w:t xml:space="preserve">D.  </w:t>
      </w:r>
      <w:r>
        <w:rPr>
          <w:rFonts w:hint="eastAsia"/>
          <w:snapToGrid/>
          <w:kern w:val="0"/>
        </w:rPr>
        <w:t>公共社会保障制度的补充安排</w:t>
      </w:r>
      <w:bookmarkEnd w:id="82"/>
    </w:p>
    <w:p w:rsidR="00000000" w:rsidRDefault="00000000">
      <w:pPr>
        <w:spacing w:after="320"/>
        <w:rPr>
          <w:rFonts w:hint="eastAsia"/>
          <w:snapToGrid/>
        </w:rPr>
      </w:pPr>
      <w:r>
        <w:rPr>
          <w:rFonts w:hint="eastAsia"/>
          <w:snapToGrid/>
        </w:rPr>
        <w:tab/>
        <w:t xml:space="preserve">917.  </w:t>
      </w:r>
      <w:r>
        <w:rPr>
          <w:rFonts w:hint="eastAsia"/>
          <w:snapToGrid/>
        </w:rPr>
        <w:t>社会保障基金为劳工提供社会保障制度。然而，私人企业亦可为其雇员建立本身的福利基金</w:t>
      </w:r>
      <w:r>
        <w:rPr>
          <w:rFonts w:hint="eastAsia"/>
          <w:snapToGrid/>
        </w:rPr>
        <w:t>(</w:t>
      </w:r>
      <w:r>
        <w:rPr>
          <w:rFonts w:hint="eastAsia"/>
          <w:snapToGrid/>
        </w:rPr>
        <w:t>经</w:t>
      </w:r>
      <w:r>
        <w:rPr>
          <w:rFonts w:hint="eastAsia"/>
          <w:snapToGrid/>
        </w:rPr>
        <w:t>7</w:t>
      </w:r>
      <w:r>
        <w:rPr>
          <w:rFonts w:hint="eastAsia"/>
          <w:snapToGrid/>
        </w:rPr>
        <w:t>月</w:t>
      </w:r>
      <w:r>
        <w:rPr>
          <w:rFonts w:hint="eastAsia"/>
          <w:snapToGrid/>
        </w:rPr>
        <w:t>2</w:t>
      </w:r>
      <w:r>
        <w:rPr>
          <w:rFonts w:hint="eastAsia"/>
          <w:snapToGrid/>
        </w:rPr>
        <w:t>日第</w:t>
      </w:r>
      <w:r>
        <w:rPr>
          <w:rFonts w:hint="eastAsia"/>
          <w:snapToGrid/>
        </w:rPr>
        <w:t>10/2002</w:t>
      </w:r>
      <w:r>
        <w:rPr>
          <w:rFonts w:hint="eastAsia"/>
          <w:snapToGrid/>
        </w:rPr>
        <w:t>号法律修改的</w:t>
      </w:r>
      <w:r>
        <w:rPr>
          <w:rFonts w:hint="eastAsia"/>
          <w:snapToGrid/>
        </w:rPr>
        <w:t>2</w:t>
      </w:r>
      <w:r>
        <w:rPr>
          <w:rFonts w:hint="eastAsia"/>
          <w:snapToGrid/>
        </w:rPr>
        <w:t>月</w:t>
      </w:r>
      <w:r>
        <w:rPr>
          <w:rFonts w:hint="eastAsia"/>
          <w:snapToGrid/>
        </w:rPr>
        <w:t>8</w:t>
      </w:r>
      <w:r>
        <w:rPr>
          <w:rFonts w:hint="eastAsia"/>
          <w:snapToGrid/>
        </w:rPr>
        <w:t>日第</w:t>
      </w:r>
      <w:r>
        <w:rPr>
          <w:rFonts w:hint="eastAsia"/>
          <w:snapToGrid/>
        </w:rPr>
        <w:t>6/99/M</w:t>
      </w:r>
      <w:r>
        <w:rPr>
          <w:rFonts w:hint="eastAsia"/>
          <w:snapToGrid/>
        </w:rPr>
        <w:t>号法令</w:t>
      </w:r>
      <w:r>
        <w:rPr>
          <w:rFonts w:hint="eastAsia"/>
          <w:snapToGrid/>
        </w:rPr>
        <w:t>)</w:t>
      </w:r>
      <w:r>
        <w:rPr>
          <w:rFonts w:hint="eastAsia"/>
          <w:snapToGrid/>
        </w:rPr>
        <w:t>。另一方面，雇员亦可选择参加保险公司推出的退休计划，从而扩大本身的社会保障范围。</w:t>
      </w:r>
    </w:p>
    <w:p w:rsidR="00000000" w:rsidRDefault="00000000">
      <w:pPr>
        <w:pStyle w:val="Heading3"/>
        <w:rPr>
          <w:rFonts w:hint="eastAsia"/>
        </w:rPr>
      </w:pPr>
      <w:bookmarkStart w:id="83" w:name="_Toc78772992"/>
      <w:r>
        <w:rPr>
          <w:u w:val="none"/>
        </w:rPr>
        <w:t xml:space="preserve">E.  </w:t>
      </w:r>
      <w:r>
        <w:rPr>
          <w:rFonts w:hint="eastAsia"/>
        </w:rPr>
        <w:t>未享受社会保障的情况</w:t>
      </w:r>
      <w:bookmarkEnd w:id="83"/>
    </w:p>
    <w:p w:rsidR="00000000" w:rsidRDefault="00000000">
      <w:pPr>
        <w:rPr>
          <w:rFonts w:hint="eastAsia"/>
        </w:rPr>
      </w:pPr>
      <w:r>
        <w:rPr>
          <w:rFonts w:hint="eastAsia"/>
        </w:rPr>
        <w:tab/>
        <w:t xml:space="preserve">918.  </w:t>
      </w:r>
      <w:r>
        <w:rPr>
          <w:rFonts w:hint="eastAsia"/>
        </w:rPr>
        <w:t>澳门特别行政区所有居民均可享受社会保障，且不存在性别或种族歧视。</w:t>
      </w:r>
    </w:p>
    <w:p w:rsidR="00000000" w:rsidRDefault="00000000">
      <w:pPr>
        <w:rPr>
          <w:rFonts w:hint="eastAsia"/>
        </w:rPr>
      </w:pPr>
      <w:r>
        <w:rPr>
          <w:rFonts w:hint="eastAsia"/>
        </w:rPr>
        <w:tab/>
        <w:t xml:space="preserve">919.  </w:t>
      </w:r>
      <w:r>
        <w:rPr>
          <w:rFonts w:hint="eastAsia"/>
        </w:rPr>
        <w:t>公务员如不在退休基金会登记，则必须向社会保障基金供款</w:t>
      </w:r>
      <w:r>
        <w:rPr>
          <w:rFonts w:hint="eastAsia"/>
        </w:rPr>
        <w:t>(</w:t>
      </w:r>
      <w:r>
        <w:rPr>
          <w:rFonts w:hint="eastAsia"/>
        </w:rPr>
        <w:t>《澳门公共行政工作人员通则》第二百五十九条第九款</w:t>
      </w:r>
      <w:r>
        <w:rPr>
          <w:rFonts w:hint="eastAsia"/>
        </w:rPr>
        <w:t>)</w:t>
      </w:r>
      <w:r>
        <w:rPr>
          <w:rFonts w:hint="eastAsia"/>
        </w:rPr>
        <w:t>。</w:t>
      </w:r>
    </w:p>
    <w:p w:rsidR="00000000" w:rsidRDefault="00000000">
      <w:pPr>
        <w:spacing w:after="320"/>
        <w:rPr>
          <w:rFonts w:hint="eastAsia"/>
        </w:rPr>
      </w:pPr>
      <w:r>
        <w:rPr>
          <w:rFonts w:hint="eastAsia"/>
        </w:rPr>
        <w:tab/>
        <w:t xml:space="preserve">920.  </w:t>
      </w:r>
      <w:r>
        <w:rPr>
          <w:rFonts w:hint="eastAsia"/>
        </w:rPr>
        <w:t>按照</w:t>
      </w:r>
      <w:r>
        <w:rPr>
          <w:rFonts w:hint="eastAsia"/>
        </w:rPr>
        <w:t>10</w:t>
      </w:r>
      <w:r>
        <w:rPr>
          <w:rFonts w:hint="eastAsia"/>
        </w:rPr>
        <w:t>月</w:t>
      </w:r>
      <w:r>
        <w:rPr>
          <w:rFonts w:hint="eastAsia"/>
        </w:rPr>
        <w:t>15</w:t>
      </w:r>
      <w:r>
        <w:rPr>
          <w:rFonts w:hint="eastAsia"/>
        </w:rPr>
        <w:t>日第</w:t>
      </w:r>
      <w:r>
        <w:rPr>
          <w:rFonts w:hint="eastAsia"/>
        </w:rPr>
        <w:t>227/2002</w:t>
      </w:r>
      <w:r>
        <w:rPr>
          <w:rFonts w:hint="eastAsia"/>
        </w:rPr>
        <w:t>号行政长官批示，社会保障制度已扩展至自雇劳工，以便达到澳门特别行政区确保所有受雇和自雇劳工均能享受社会保障的目标。</w:t>
      </w:r>
    </w:p>
    <w:p w:rsidR="00000000" w:rsidRDefault="00000000">
      <w:pPr>
        <w:pStyle w:val="Heading3"/>
        <w:rPr>
          <w:rFonts w:ascii="Time New Roman" w:eastAsia="SimHei" w:hAnsi="Time New Roman" w:hint="eastAsia"/>
          <w:u w:val="none"/>
        </w:rPr>
      </w:pPr>
      <w:bookmarkStart w:id="84" w:name="_Toc78772993"/>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对家庭的保护</w:t>
      </w:r>
      <w:bookmarkEnd w:id="84"/>
    </w:p>
    <w:p w:rsidR="00000000" w:rsidRDefault="00000000">
      <w:pPr>
        <w:pStyle w:val="Heading3"/>
        <w:rPr>
          <w:rFonts w:hint="eastAsia"/>
        </w:rPr>
      </w:pPr>
      <w:bookmarkStart w:id="85" w:name="_Toc78772994"/>
      <w:r>
        <w:rPr>
          <w:rFonts w:hint="eastAsia"/>
          <w:u w:val="none"/>
        </w:rPr>
        <w:t xml:space="preserve">A.  </w:t>
      </w:r>
      <w:r>
        <w:rPr>
          <w:rFonts w:hint="eastAsia"/>
        </w:rPr>
        <w:t>法律体制</w:t>
      </w:r>
      <w:bookmarkEnd w:id="85"/>
    </w:p>
    <w:p w:rsidR="00000000" w:rsidRDefault="00000000">
      <w:pPr>
        <w:rPr>
          <w:rFonts w:hint="eastAsia"/>
        </w:rPr>
      </w:pPr>
      <w:r>
        <w:rPr>
          <w:rFonts w:hint="eastAsia"/>
        </w:rPr>
        <w:tab/>
        <w:t xml:space="preserve">921.  </w:t>
      </w:r>
      <w:r>
        <w:rPr>
          <w:rFonts w:hint="eastAsia"/>
        </w:rPr>
        <w:t>在澳门特别行政区，家庭被视为社会的基本单位。男女在婚姻方面完全平等，有权自由和按己意结婚。母亲身份和父亲身份成为受法律尊重和保护的人类价值与社会价值。</w:t>
      </w:r>
    </w:p>
    <w:p w:rsidR="00000000" w:rsidRDefault="00000000">
      <w:pPr>
        <w:rPr>
          <w:rFonts w:hint="eastAsia"/>
        </w:rPr>
      </w:pPr>
      <w:r>
        <w:rPr>
          <w:rFonts w:hint="eastAsia"/>
        </w:rPr>
        <w:tab/>
        <w:t xml:space="preserve">922.  </w:t>
      </w:r>
      <w:r>
        <w:rPr>
          <w:rFonts w:hint="eastAsia"/>
        </w:rPr>
        <w:t>《基本法》第三十八条第一款规定了澳门居民的婚姻自由和成立家庭的权利。这一百零三条则承认私人和法人取得、使用、处置和继承财产的权利。</w:t>
      </w:r>
    </w:p>
    <w:p w:rsidR="00000000" w:rsidRDefault="00000000">
      <w:pPr>
        <w:rPr>
          <w:rFonts w:hint="eastAsia"/>
        </w:rPr>
      </w:pPr>
      <w:r>
        <w:rPr>
          <w:rFonts w:hint="eastAsia"/>
        </w:rPr>
        <w:tab/>
        <w:t xml:space="preserve">923.  </w:t>
      </w:r>
      <w:r>
        <w:rPr>
          <w:rFonts w:hint="eastAsia"/>
        </w:rPr>
        <w:t>经</w:t>
      </w:r>
      <w:r>
        <w:rPr>
          <w:rFonts w:hint="eastAsia"/>
        </w:rPr>
        <w:t>8</w:t>
      </w:r>
      <w:r>
        <w:rPr>
          <w:rFonts w:hint="eastAsia"/>
        </w:rPr>
        <w:t>月</w:t>
      </w:r>
      <w:r>
        <w:rPr>
          <w:rFonts w:hint="eastAsia"/>
        </w:rPr>
        <w:t>1</w:t>
      </w:r>
      <w:r>
        <w:rPr>
          <w:rFonts w:hint="eastAsia"/>
        </w:rPr>
        <w:t>日第</w:t>
      </w:r>
      <w:r>
        <w:rPr>
          <w:rFonts w:hint="eastAsia"/>
        </w:rPr>
        <w:t>6/94/M</w:t>
      </w:r>
      <w:r>
        <w:rPr>
          <w:rFonts w:hint="eastAsia"/>
        </w:rPr>
        <w:t>号法律通过的《家庭政策纲要法》订定了家庭政策的基础制度，而澳门特别行政区《民法典》则规定家庭方面的权利。两项法规均重申在完全平等的条件下自由成立家庭和结婚的权利。</w:t>
      </w:r>
    </w:p>
    <w:p w:rsidR="00000000" w:rsidRDefault="00000000">
      <w:pPr>
        <w:rPr>
          <w:rFonts w:hint="eastAsia"/>
        </w:rPr>
      </w:pPr>
      <w:r>
        <w:rPr>
          <w:rFonts w:hint="eastAsia"/>
        </w:rPr>
        <w:tab/>
        <w:t xml:space="preserve">924.  </w:t>
      </w:r>
      <w:r>
        <w:rPr>
          <w:rFonts w:hint="eastAsia"/>
        </w:rPr>
        <w:t>按照《家庭政策纲要法》的规定，家庭政策的目标如下：</w:t>
      </w:r>
      <w:r>
        <w:rPr>
          <w:rFonts w:hint="eastAsia"/>
        </w:rPr>
        <w:t xml:space="preserve">(1) </w:t>
      </w:r>
      <w:r>
        <w:rPr>
          <w:rFonts w:hint="eastAsia"/>
        </w:rPr>
        <w:t>保证成立家庭的权利，保护作为崇高的人类和社会价值的母亲身份和父亲身份；</w:t>
      </w:r>
      <w:r>
        <w:rPr>
          <w:rFonts w:hint="eastAsia"/>
        </w:rPr>
        <w:t xml:space="preserve">(2) </w:t>
      </w:r>
      <w:r>
        <w:rPr>
          <w:rFonts w:hint="eastAsia"/>
        </w:rPr>
        <w:t>确保儿童受保护、发展和获得教育的权利；</w:t>
      </w:r>
      <w:r>
        <w:rPr>
          <w:rFonts w:hint="eastAsia"/>
        </w:rPr>
        <w:t xml:space="preserve">(3) </w:t>
      </w:r>
      <w:r>
        <w:rPr>
          <w:rFonts w:hint="eastAsia"/>
        </w:rPr>
        <w:t>提高有关工作、房屋、卫生和教育方面的生活条件，务求使家庭及其每一成员能全面发展；</w:t>
      </w:r>
      <w:r>
        <w:rPr>
          <w:rFonts w:hint="eastAsia"/>
        </w:rPr>
        <w:t xml:space="preserve">(4) </w:t>
      </w:r>
      <w:r>
        <w:rPr>
          <w:rFonts w:hint="eastAsia"/>
        </w:rPr>
        <w:t>特别辅助贫穷的家庭，以及单亲家庭；</w:t>
      </w:r>
      <w:r>
        <w:rPr>
          <w:rFonts w:hint="eastAsia"/>
        </w:rPr>
        <w:t xml:space="preserve">(5) </w:t>
      </w:r>
      <w:r>
        <w:rPr>
          <w:rFonts w:hint="eastAsia"/>
        </w:rPr>
        <w:t>协助父母教育子女，促使家庭履行其在教育上的全部责任；</w:t>
      </w:r>
      <w:r>
        <w:rPr>
          <w:rFonts w:hint="eastAsia"/>
        </w:rPr>
        <w:t xml:space="preserve">(6) </w:t>
      </w:r>
      <w:r>
        <w:rPr>
          <w:rFonts w:hint="eastAsia"/>
        </w:rPr>
        <w:t>支援长者融入和参与家庭生活，并鼓励数代间团结和互助；</w:t>
      </w:r>
      <w:r>
        <w:rPr>
          <w:rFonts w:hint="eastAsia"/>
        </w:rPr>
        <w:t xml:space="preserve">(7) </w:t>
      </w:r>
      <w:r>
        <w:rPr>
          <w:rFonts w:hint="eastAsia"/>
        </w:rPr>
        <w:t>确保家庭在影响其精神和物质存在的决策上作实际参与，以及其组织的代表性；</w:t>
      </w:r>
      <w:r>
        <w:rPr>
          <w:rFonts w:hint="eastAsia"/>
        </w:rPr>
        <w:t xml:space="preserve">(8) </w:t>
      </w:r>
      <w:r>
        <w:rPr>
          <w:rFonts w:hint="eastAsia"/>
        </w:rPr>
        <w:t>鼓励家庭参与社群的发展进程。</w:t>
      </w:r>
    </w:p>
    <w:p w:rsidR="00000000" w:rsidRDefault="00000000">
      <w:pPr>
        <w:rPr>
          <w:rFonts w:hint="eastAsia"/>
        </w:rPr>
      </w:pPr>
      <w:r>
        <w:rPr>
          <w:rFonts w:hint="eastAsia"/>
        </w:rPr>
        <w:tab/>
        <w:t xml:space="preserve">925.  </w:t>
      </w:r>
      <w:r>
        <w:rPr>
          <w:rFonts w:hint="eastAsia"/>
        </w:rPr>
        <w:t>家庭一词可以有不同的意思，最普遍的意思是因结婚和收养而产生的关系。然而，家庭亦可指共同居住及</w:t>
      </w:r>
      <w:r>
        <w:rPr>
          <w:rFonts w:hint="eastAsia"/>
        </w:rPr>
        <w:t>/</w:t>
      </w:r>
      <w:r>
        <w:rPr>
          <w:rFonts w:hint="eastAsia"/>
        </w:rPr>
        <w:t>或分享同一经济资源的人、事实婚和事实婚者的子女、单亲家庭，等等。</w:t>
      </w:r>
    </w:p>
    <w:p w:rsidR="00000000" w:rsidRDefault="00000000">
      <w:pPr>
        <w:rPr>
          <w:rFonts w:hint="eastAsia"/>
        </w:rPr>
      </w:pPr>
      <w:r>
        <w:rPr>
          <w:rFonts w:hint="eastAsia"/>
        </w:rPr>
        <w:tab/>
        <w:t xml:space="preserve">926.  </w:t>
      </w:r>
      <w:r>
        <w:rPr>
          <w:rFonts w:hint="eastAsia"/>
        </w:rPr>
        <w:t>夫妻双方均有管理家庭事务的责任，并应以家庭幸福和彼此利益为前提，就如何共同生活达成协议</w:t>
      </w:r>
      <w:r>
        <w:rPr>
          <w:rFonts w:hint="eastAsia"/>
        </w:rPr>
        <w:t>(</w:t>
      </w:r>
      <w:r>
        <w:rPr>
          <w:rFonts w:hint="eastAsia"/>
        </w:rPr>
        <w:t>《民法典》第一千五百三十二条第二款和第</w:t>
      </w:r>
      <w:r>
        <w:rPr>
          <w:rFonts w:hint="eastAsia"/>
        </w:rPr>
        <w:t>6/94/M</w:t>
      </w:r>
      <w:r>
        <w:rPr>
          <w:rFonts w:hint="eastAsia"/>
        </w:rPr>
        <w:t>号法律第二条</w:t>
      </w:r>
      <w:r>
        <w:rPr>
          <w:rFonts w:hint="eastAsia"/>
        </w:rPr>
        <w:t>)</w:t>
      </w:r>
      <w:r>
        <w:rPr>
          <w:rFonts w:hint="eastAsia"/>
        </w:rPr>
        <w:t>。</w:t>
      </w:r>
    </w:p>
    <w:p w:rsidR="00000000" w:rsidRDefault="00000000">
      <w:pPr>
        <w:rPr>
          <w:rFonts w:hint="eastAsia"/>
        </w:rPr>
      </w:pPr>
      <w:r>
        <w:rPr>
          <w:rFonts w:hint="eastAsia"/>
        </w:rPr>
        <w:tab/>
        <w:t xml:space="preserve">927.  </w:t>
      </w:r>
      <w:r>
        <w:rPr>
          <w:rFonts w:hint="eastAsia"/>
        </w:rPr>
        <w:t>《民法典》规定</w:t>
      </w:r>
      <w:r>
        <w:rPr>
          <w:rFonts w:hint="eastAsia"/>
        </w:rPr>
        <w:t>18</w:t>
      </w:r>
      <w:r>
        <w:rPr>
          <w:rFonts w:hint="eastAsia"/>
        </w:rPr>
        <w:t>岁为法定的成年年龄</w:t>
      </w:r>
      <w:r>
        <w:rPr>
          <w:rFonts w:hint="eastAsia"/>
        </w:rPr>
        <w:t>(</w:t>
      </w:r>
      <w:r>
        <w:rPr>
          <w:rFonts w:hint="eastAsia"/>
        </w:rPr>
        <w:t>第一百一十八条</w:t>
      </w:r>
      <w:r>
        <w:rPr>
          <w:rFonts w:hint="eastAsia"/>
        </w:rPr>
        <w:t>)</w:t>
      </w:r>
      <w:r>
        <w:rPr>
          <w:rFonts w:hint="eastAsia"/>
        </w:rPr>
        <w:t>。然而，按照《民法典》第一百二十条的规定，未成年人结婚，亲权即予解除。</w:t>
      </w:r>
    </w:p>
    <w:p w:rsidR="00000000" w:rsidRDefault="00000000">
      <w:pPr>
        <w:spacing w:after="320"/>
        <w:rPr>
          <w:rFonts w:hint="eastAsia"/>
        </w:rPr>
      </w:pPr>
      <w:r>
        <w:rPr>
          <w:rFonts w:hint="eastAsia"/>
        </w:rPr>
        <w:tab/>
        <w:t xml:space="preserve">928.  </w:t>
      </w:r>
      <w:r>
        <w:rPr>
          <w:rFonts w:hint="eastAsia"/>
        </w:rPr>
        <w:t>原则上，结婚的最低年龄与法定成年年龄相同。然而，只要获行使亲权的父母许可或获监护人许可，满</w:t>
      </w:r>
      <w:r>
        <w:rPr>
          <w:rFonts w:hint="eastAsia"/>
        </w:rPr>
        <w:t>16</w:t>
      </w:r>
      <w:r>
        <w:rPr>
          <w:rFonts w:hint="eastAsia"/>
        </w:rPr>
        <w:t>岁而未满</w:t>
      </w:r>
      <w:r>
        <w:rPr>
          <w:rFonts w:hint="eastAsia"/>
        </w:rPr>
        <w:t>18</w:t>
      </w:r>
      <w:r>
        <w:rPr>
          <w:rFonts w:hint="eastAsia"/>
        </w:rPr>
        <w:t>岁的未成年人亦可结婚</w:t>
      </w:r>
      <w:r>
        <w:rPr>
          <w:rFonts w:hint="eastAsia"/>
        </w:rPr>
        <w:t>(</w:t>
      </w:r>
      <w:r>
        <w:rPr>
          <w:rFonts w:hint="eastAsia"/>
        </w:rPr>
        <w:t>《民法典》第一千四百八十七条</w:t>
      </w:r>
      <w:r>
        <w:rPr>
          <w:rFonts w:hint="eastAsia"/>
        </w:rPr>
        <w:t>)</w:t>
      </w:r>
      <w:r>
        <w:rPr>
          <w:rFonts w:hint="eastAsia"/>
        </w:rPr>
        <w:t>。如无上述的许可，法院亦可许可结婚，法院的决定取决于存在显示婚姻的缔结为合理的应予考虑的理由，且能证明未成年人的身心已足够成熟以面对未来的生活。</w:t>
      </w:r>
    </w:p>
    <w:p w:rsidR="00000000" w:rsidRDefault="00000000">
      <w:pPr>
        <w:pStyle w:val="Heading3"/>
        <w:rPr>
          <w:rFonts w:hint="eastAsia"/>
        </w:rPr>
      </w:pPr>
      <w:bookmarkStart w:id="86" w:name="_Toc78772995"/>
      <w:r>
        <w:rPr>
          <w:rFonts w:hint="eastAsia"/>
          <w:u w:val="none"/>
        </w:rPr>
        <w:t xml:space="preserve">B.  </w:t>
      </w:r>
      <w:r>
        <w:rPr>
          <w:rFonts w:hint="eastAsia"/>
        </w:rPr>
        <w:t>对家庭的协助</w:t>
      </w:r>
      <w:bookmarkEnd w:id="86"/>
    </w:p>
    <w:p w:rsidR="00000000" w:rsidRDefault="00000000">
      <w:pPr>
        <w:rPr>
          <w:rFonts w:hint="eastAsia"/>
        </w:rPr>
      </w:pPr>
      <w:r>
        <w:rPr>
          <w:rFonts w:hint="eastAsia"/>
        </w:rPr>
        <w:tab/>
        <w:t xml:space="preserve">929.  </w:t>
      </w:r>
      <w:r>
        <w:rPr>
          <w:rFonts w:hint="eastAsia"/>
        </w:rPr>
        <w:t>澳门特别行政区政府有责任与家庭利益有关的团体紧密合作，以促进改善生活质素，以及家庭及其成员在精神和物质上的实践</w:t>
      </w:r>
      <w:r>
        <w:rPr>
          <w:rFonts w:hint="eastAsia"/>
        </w:rPr>
        <w:t>(</w:t>
      </w:r>
      <w:r>
        <w:rPr>
          <w:rFonts w:hint="eastAsia"/>
        </w:rPr>
        <w:t>第</w:t>
      </w:r>
      <w:r>
        <w:rPr>
          <w:rFonts w:hint="eastAsia"/>
        </w:rPr>
        <w:t>6/94/M</w:t>
      </w:r>
      <w:r>
        <w:rPr>
          <w:rFonts w:hint="eastAsia"/>
        </w:rPr>
        <w:t>号法律第一条第二款</w:t>
      </w:r>
      <w:r>
        <w:rPr>
          <w:rFonts w:hint="eastAsia"/>
        </w:rPr>
        <w:t>)</w:t>
      </w:r>
      <w:r>
        <w:rPr>
          <w:rFonts w:hint="eastAsia"/>
        </w:rPr>
        <w:t>。</w:t>
      </w:r>
    </w:p>
    <w:p w:rsidR="00000000" w:rsidRDefault="00000000">
      <w:pPr>
        <w:rPr>
          <w:rFonts w:hint="eastAsia"/>
        </w:rPr>
      </w:pPr>
      <w:r>
        <w:rPr>
          <w:rFonts w:hint="eastAsia"/>
        </w:rPr>
        <w:tab/>
        <w:t xml:space="preserve">930.  </w:t>
      </w:r>
      <w:r>
        <w:rPr>
          <w:rFonts w:hint="eastAsia"/>
        </w:rPr>
        <w:t>为达到上述目标，澳门特别行政区政府自行或与私人团体合作，设立了不同的家庭支援中心，以协助处于特殊状况的家庭，例如：妇女收容中心、家庭服务中心和日间服务中心。</w:t>
      </w:r>
    </w:p>
    <w:p w:rsidR="00000000" w:rsidRDefault="00000000">
      <w:pPr>
        <w:rPr>
          <w:rFonts w:hint="eastAsia"/>
        </w:rPr>
      </w:pPr>
      <w:r>
        <w:rPr>
          <w:rFonts w:hint="eastAsia"/>
        </w:rPr>
        <w:tab/>
        <w:t xml:space="preserve">931.  </w:t>
      </w:r>
      <w:r>
        <w:rPr>
          <w:rFonts w:hint="eastAsia"/>
        </w:rPr>
        <w:t>除了提供其他服务之外，上述的中心特别向单亲家庭和囚犯的家庭提供援助，并建立有效的机制解决由家庭成员对家庭造成的危险情况，特别是婚姻或家庭破裂和家庭暴力等，尤其是涉及儿童的情况。</w:t>
      </w:r>
    </w:p>
    <w:p w:rsidR="00000000" w:rsidRDefault="00000000">
      <w:pPr>
        <w:rPr>
          <w:rFonts w:hint="eastAsia"/>
        </w:rPr>
      </w:pPr>
      <w:r>
        <w:rPr>
          <w:rFonts w:hint="eastAsia"/>
        </w:rPr>
        <w:tab/>
        <w:t>932.  1998</w:t>
      </w:r>
      <w:r>
        <w:rPr>
          <w:rFonts w:hint="eastAsia"/>
        </w:rPr>
        <w:t>年</w:t>
      </w:r>
      <w:r>
        <w:rPr>
          <w:rFonts w:hint="eastAsia"/>
        </w:rPr>
        <w:t>11</w:t>
      </w:r>
      <w:r>
        <w:rPr>
          <w:rFonts w:hint="eastAsia"/>
        </w:rPr>
        <w:t>月，社会工作局设立了一个新的工作单位，名为家庭辅导办公室，以协助陷于困境的家庭。该办公室拥有一支具专业技术的人员队伍，包括社会工作者、心理辅导员、幼儿教师、法律顾问，等等。</w:t>
      </w:r>
    </w:p>
    <w:p w:rsidR="00000000" w:rsidRDefault="00000000">
      <w:pPr>
        <w:rPr>
          <w:rFonts w:hint="eastAsia"/>
        </w:rPr>
      </w:pPr>
      <w:r>
        <w:rPr>
          <w:rFonts w:hint="eastAsia"/>
        </w:rPr>
        <w:tab/>
        <w:t xml:space="preserve">933.  </w:t>
      </w:r>
      <w:r>
        <w:rPr>
          <w:rFonts w:hint="eastAsia"/>
        </w:rPr>
        <w:t>社会工作局向贫困、弱势或陷于困境的家庭提供各种支援，如经济援助、婚姻辅导、教育和膳食服务。</w:t>
      </w:r>
    </w:p>
    <w:p w:rsidR="00000000" w:rsidRDefault="00000000">
      <w:pPr>
        <w:spacing w:after="320"/>
        <w:rPr>
          <w:rFonts w:hint="eastAsia"/>
        </w:rPr>
      </w:pPr>
      <w:r>
        <w:rPr>
          <w:rFonts w:hint="eastAsia"/>
        </w:rPr>
        <w:tab/>
        <w:t xml:space="preserve">934.  </w:t>
      </w:r>
      <w:r>
        <w:rPr>
          <w:rFonts w:hint="eastAsia"/>
        </w:rPr>
        <w:t>正如本报告在谈及公约第九条规范的事宜时所述，贫困的家庭透过社会保障制度得到援助。</w:t>
      </w:r>
    </w:p>
    <w:p w:rsidR="00000000" w:rsidRDefault="00000000">
      <w:pPr>
        <w:pStyle w:val="Heading3"/>
        <w:rPr>
          <w:rFonts w:hint="eastAsia"/>
        </w:rPr>
      </w:pPr>
      <w:bookmarkStart w:id="87" w:name="_Toc78772996"/>
      <w:r>
        <w:rPr>
          <w:rFonts w:hint="eastAsia"/>
          <w:u w:val="none"/>
        </w:rPr>
        <w:t xml:space="preserve">C.  </w:t>
      </w:r>
      <w:r>
        <w:rPr>
          <w:rFonts w:hint="eastAsia"/>
        </w:rPr>
        <w:t>对母亲和儿童的保护</w:t>
      </w:r>
      <w:bookmarkEnd w:id="87"/>
    </w:p>
    <w:p w:rsidR="00000000" w:rsidRDefault="00000000">
      <w:pPr>
        <w:pStyle w:val="Heading4"/>
        <w:rPr>
          <w:rFonts w:hint="eastAsia"/>
        </w:rPr>
      </w:pPr>
      <w:r>
        <w:rPr>
          <w:rFonts w:hint="eastAsia"/>
        </w:rPr>
        <w:t>保护孕、产妇的制度</w:t>
      </w:r>
    </w:p>
    <w:p w:rsidR="00000000" w:rsidRDefault="00000000">
      <w:pPr>
        <w:rPr>
          <w:rFonts w:hint="eastAsia"/>
        </w:rPr>
      </w:pPr>
      <w:r>
        <w:rPr>
          <w:rFonts w:hint="eastAsia"/>
        </w:rPr>
        <w:tab/>
        <w:t xml:space="preserve">935.  </w:t>
      </w:r>
      <w:r>
        <w:rPr>
          <w:rFonts w:hint="eastAsia"/>
        </w:rPr>
        <w:t>在公立医院和各卫生中心，有专业人员和护理部门为母亲和儿童提供各类卫生护理服务。</w:t>
      </w:r>
    </w:p>
    <w:p w:rsidR="00000000" w:rsidRDefault="00000000">
      <w:pPr>
        <w:rPr>
          <w:rFonts w:hint="eastAsia"/>
        </w:rPr>
      </w:pPr>
      <w:r>
        <w:rPr>
          <w:rFonts w:hint="eastAsia"/>
        </w:rPr>
        <w:tab/>
        <w:t xml:space="preserve">936.  </w:t>
      </w:r>
      <w:r>
        <w:rPr>
          <w:rFonts w:hint="eastAsia"/>
        </w:rPr>
        <w:t>在妇女怀孕前和怀孕期间，上述的护理服务包括提供与家庭计划、预防传染病和可透过性接触传染的疾病，以及破伤风免疫接种有关的资讯和服务、产前检查、怀孕期间提供最少</w:t>
      </w:r>
      <w:r>
        <w:rPr>
          <w:rFonts w:hint="eastAsia"/>
        </w:rPr>
        <w:t>6</w:t>
      </w:r>
      <w:r>
        <w:rPr>
          <w:rFonts w:hint="eastAsia"/>
        </w:rPr>
        <w:t>次诊察、就营养和饮食问题提供意见、检测并跟进产后母亲和婴孩可能出现的病症。医院确保分娩能在安全的条件下进行。</w:t>
      </w:r>
    </w:p>
    <w:p w:rsidR="00000000" w:rsidRDefault="00000000">
      <w:pPr>
        <w:rPr>
          <w:rFonts w:hint="eastAsia"/>
        </w:rPr>
      </w:pPr>
      <w:r>
        <w:rPr>
          <w:rFonts w:hint="eastAsia"/>
        </w:rPr>
        <w:tab/>
        <w:t xml:space="preserve">937.  </w:t>
      </w:r>
      <w:r>
        <w:rPr>
          <w:rFonts w:hint="eastAsia"/>
        </w:rPr>
        <w:t>在产后，医院</w:t>
      </w:r>
      <w:r>
        <w:rPr>
          <w:rFonts w:hint="eastAsia"/>
        </w:rPr>
        <w:t>/</w:t>
      </w:r>
      <w:r>
        <w:rPr>
          <w:rFonts w:hint="eastAsia"/>
        </w:rPr>
        <w:t>卫生中心会为母亲检测产后可能出现的病症、提供产后检查和护理、提倡喂哺母乳并为喂哺母乳而可能出现的病症提供治疗、提供与家庭计划和破伤风免疫接种有关的资讯。</w:t>
      </w:r>
    </w:p>
    <w:p w:rsidR="00000000" w:rsidRDefault="00000000">
      <w:pPr>
        <w:rPr>
          <w:rFonts w:hint="eastAsia"/>
        </w:rPr>
      </w:pPr>
      <w:r>
        <w:rPr>
          <w:rFonts w:hint="eastAsia"/>
        </w:rPr>
        <w:tab/>
        <w:t xml:space="preserve">938.  </w:t>
      </w:r>
      <w:r>
        <w:rPr>
          <w:rFonts w:hint="eastAsia"/>
        </w:rPr>
        <w:t>在产后，亦会为新生婴儿进行检测和预防新生儿感染、防肺结核的疫苗接种、提供与喂哺母乳有关的资讯和辅助、在卫生中心接受健康检查，作疫苗接种和成长纪录。</w:t>
      </w:r>
    </w:p>
    <w:p w:rsidR="00000000" w:rsidRDefault="00000000">
      <w:pPr>
        <w:rPr>
          <w:rFonts w:hint="eastAsia"/>
        </w:rPr>
      </w:pPr>
      <w:r>
        <w:rPr>
          <w:rFonts w:hint="eastAsia"/>
        </w:rPr>
        <w:tab/>
        <w:t>939.  2001</w:t>
      </w:r>
      <w:r>
        <w:rPr>
          <w:rFonts w:hint="eastAsia"/>
        </w:rPr>
        <w:t>年，各卫生中心平均为每名孕妇进行了八次诊察。</w:t>
      </w:r>
      <w:r>
        <w:rPr>
          <w:rFonts w:hint="eastAsia"/>
        </w:rPr>
        <w:t>72.8%</w:t>
      </w:r>
      <w:r>
        <w:rPr>
          <w:rFonts w:hint="eastAsia"/>
        </w:rPr>
        <w:t>育龄女性曾使用妇产医护计划的服务。</w:t>
      </w:r>
    </w:p>
    <w:p w:rsidR="00000000" w:rsidRDefault="00000000">
      <w:pPr>
        <w:rPr>
          <w:rFonts w:hint="eastAsia"/>
        </w:rPr>
      </w:pPr>
      <w:r>
        <w:rPr>
          <w:rFonts w:hint="eastAsia"/>
        </w:rPr>
        <w:tab/>
        <w:t xml:space="preserve">940.  </w:t>
      </w:r>
      <w:r>
        <w:rPr>
          <w:rFonts w:hint="eastAsia"/>
        </w:rPr>
        <w:t>澳门特别行政区政府促进母</w:t>
      </w:r>
      <w:r>
        <w:rPr>
          <w:rFonts w:hint="eastAsia"/>
          <w:spacing w:val="-40"/>
        </w:rPr>
        <w:t>――</w:t>
      </w:r>
      <w:r>
        <w:rPr>
          <w:rFonts w:hint="eastAsia"/>
          <w:spacing w:val="-40"/>
        </w:rPr>
        <w:t xml:space="preserve"> </w:t>
      </w:r>
      <w:r>
        <w:rPr>
          <w:rFonts w:hint="eastAsia"/>
        </w:rPr>
        <w:t>婴扶助网络和托儿所的设立与运作。设立托儿所的目的是接收</w:t>
      </w:r>
      <w:r>
        <w:rPr>
          <w:rFonts w:hint="eastAsia"/>
        </w:rPr>
        <w:t>3</w:t>
      </w:r>
      <w:r>
        <w:rPr>
          <w:rFonts w:hint="eastAsia"/>
        </w:rPr>
        <w:t>个月至</w:t>
      </w:r>
      <w:r>
        <w:rPr>
          <w:rFonts w:hint="eastAsia"/>
        </w:rPr>
        <w:t>3</w:t>
      </w:r>
      <w:r>
        <w:rPr>
          <w:rFonts w:hint="eastAsia"/>
        </w:rPr>
        <w:t>岁的儿童，为其成长提供适当条件，并为有关家庭提供帮助</w:t>
      </w:r>
      <w:r>
        <w:rPr>
          <w:rFonts w:hint="eastAsia"/>
        </w:rPr>
        <w:t>(9</w:t>
      </w:r>
      <w:r>
        <w:rPr>
          <w:rFonts w:hint="eastAsia"/>
        </w:rPr>
        <w:t>月</w:t>
      </w:r>
      <w:r>
        <w:rPr>
          <w:rFonts w:hint="eastAsia"/>
        </w:rPr>
        <w:t>27</w:t>
      </w:r>
      <w:r>
        <w:rPr>
          <w:rFonts w:hint="eastAsia"/>
        </w:rPr>
        <w:t>日第</w:t>
      </w:r>
      <w:r>
        <w:rPr>
          <w:rFonts w:hint="eastAsia"/>
        </w:rPr>
        <w:t>90/88/M</w:t>
      </w:r>
      <w:r>
        <w:rPr>
          <w:rFonts w:hint="eastAsia"/>
        </w:rPr>
        <w:t>号法令第三条第一款</w:t>
      </w:r>
      <w:r>
        <w:t>a</w:t>
      </w:r>
      <w:r>
        <w:rPr>
          <w:rFonts w:hint="eastAsia"/>
        </w:rPr>
        <w:t>项</w:t>
      </w:r>
      <w:r>
        <w:rPr>
          <w:rFonts w:hint="eastAsia"/>
        </w:rPr>
        <w:t>)</w:t>
      </w:r>
      <w:r>
        <w:rPr>
          <w:rFonts w:hint="eastAsia"/>
        </w:rPr>
        <w:t>。</w:t>
      </w:r>
    </w:p>
    <w:p w:rsidR="00000000" w:rsidRDefault="00000000">
      <w:pPr>
        <w:rPr>
          <w:rFonts w:hint="eastAsia"/>
        </w:rPr>
      </w:pPr>
      <w:r>
        <w:rPr>
          <w:rFonts w:hint="eastAsia"/>
        </w:rPr>
        <w:tab/>
        <w:t xml:space="preserve">941.  </w:t>
      </w:r>
      <w:r>
        <w:rPr>
          <w:rFonts w:hint="eastAsia"/>
        </w:rPr>
        <w:t>澳门特别行政区政府全面支援确保计划生育的培训工作和家庭计划。</w:t>
      </w:r>
    </w:p>
    <w:p w:rsidR="00000000" w:rsidRDefault="00000000">
      <w:pPr>
        <w:rPr>
          <w:rFonts w:hint="eastAsia"/>
        </w:rPr>
      </w:pPr>
      <w:r>
        <w:rPr>
          <w:rFonts w:hint="eastAsia"/>
        </w:rPr>
        <w:tab/>
        <w:t xml:space="preserve">942.  </w:t>
      </w:r>
      <w:r>
        <w:rPr>
          <w:rFonts w:hint="eastAsia"/>
        </w:rPr>
        <w:t>家庭计划旨在改善家庭的健康卫生状况与生活环境，向人们或夫妇提供适当的资讯、知识和方法，使他们有能力自由、负责任地决定希望生育子女的数目和时间。家庭计划项目亦有在学校和社团内进行。家庭计划包括婚前、夫妇间和遗传方面的指导、怀孕控制方法的咨询、不育的处理、遗传病和性传染疾病的预防等工作</w:t>
      </w:r>
      <w:r>
        <w:rPr>
          <w:rFonts w:hint="eastAsia"/>
        </w:rPr>
        <w:t>(</w:t>
      </w:r>
      <w:r>
        <w:rPr>
          <w:rFonts w:hint="eastAsia"/>
        </w:rPr>
        <w:t>第</w:t>
      </w:r>
      <w:r>
        <w:rPr>
          <w:rFonts w:hint="eastAsia"/>
        </w:rPr>
        <w:t>6/94/M</w:t>
      </w:r>
      <w:r>
        <w:rPr>
          <w:rFonts w:hint="eastAsia"/>
        </w:rPr>
        <w:t>号法律第十条第二款</w:t>
      </w:r>
      <w:r>
        <w:rPr>
          <w:rFonts w:hint="eastAsia"/>
        </w:rPr>
        <w:t>)</w:t>
      </w:r>
      <w:r>
        <w:rPr>
          <w:rFonts w:hint="eastAsia"/>
        </w:rPr>
        <w:t>。</w:t>
      </w:r>
    </w:p>
    <w:p w:rsidR="00000000" w:rsidRDefault="00000000">
      <w:pPr>
        <w:rPr>
          <w:rFonts w:hint="eastAsia"/>
        </w:rPr>
      </w:pPr>
      <w:r>
        <w:rPr>
          <w:rFonts w:hint="eastAsia"/>
        </w:rPr>
        <w:tab/>
        <w:t xml:space="preserve">943.  </w:t>
      </w:r>
      <w:r>
        <w:rPr>
          <w:rFonts w:hint="eastAsia"/>
        </w:rPr>
        <w:t>卫生中心提供家庭计划项目。用于家庭计划方面的诊疗的所有医药和其他用具均属免费提供，支出由澳门特别行政区政府承担</w:t>
      </w:r>
      <w:r>
        <w:rPr>
          <w:rFonts w:hint="eastAsia"/>
        </w:rPr>
        <w:t>(3</w:t>
      </w:r>
      <w:r>
        <w:rPr>
          <w:rFonts w:hint="eastAsia"/>
        </w:rPr>
        <w:t>月</w:t>
      </w:r>
      <w:r>
        <w:rPr>
          <w:rFonts w:hint="eastAsia"/>
        </w:rPr>
        <w:t>15</w:t>
      </w:r>
      <w:r>
        <w:rPr>
          <w:rFonts w:hint="eastAsia"/>
        </w:rPr>
        <w:t>日第</w:t>
      </w:r>
      <w:r>
        <w:rPr>
          <w:rFonts w:hint="eastAsia"/>
        </w:rPr>
        <w:t>24/86/M</w:t>
      </w:r>
      <w:r>
        <w:rPr>
          <w:rFonts w:hint="eastAsia"/>
        </w:rPr>
        <w:t>号法令第六条第二款和第七条第一款</w:t>
      </w:r>
      <w:r>
        <w:t>d</w:t>
      </w:r>
      <w:r>
        <w:rPr>
          <w:rFonts w:hint="eastAsia"/>
        </w:rPr>
        <w:t>项</w:t>
      </w:r>
      <w:r>
        <w:rPr>
          <w:rFonts w:hint="eastAsia"/>
        </w:rPr>
        <w:t>)</w:t>
      </w:r>
      <w:r>
        <w:rPr>
          <w:rFonts w:hint="eastAsia"/>
        </w:rPr>
        <w:t>。</w:t>
      </w:r>
    </w:p>
    <w:p w:rsidR="00000000" w:rsidRDefault="00000000">
      <w:pPr>
        <w:rPr>
          <w:rFonts w:hint="eastAsia"/>
        </w:rPr>
      </w:pPr>
      <w:r>
        <w:rPr>
          <w:rFonts w:hint="eastAsia"/>
        </w:rPr>
        <w:tab/>
        <w:t xml:space="preserve">944.  </w:t>
      </w:r>
      <w:r>
        <w:rPr>
          <w:rFonts w:hint="eastAsia"/>
        </w:rPr>
        <w:t>在私人工作方面，劳资关系法规定，工作满</w:t>
      </w:r>
      <w:r>
        <w:rPr>
          <w:rFonts w:hint="eastAsia"/>
        </w:rPr>
        <w:t>1</w:t>
      </w:r>
      <w:r>
        <w:rPr>
          <w:rFonts w:hint="eastAsia"/>
        </w:rPr>
        <w:t>年的怀孕妇女有权享受</w:t>
      </w:r>
      <w:r>
        <w:rPr>
          <w:rFonts w:hint="eastAsia"/>
        </w:rPr>
        <w:t>35</w:t>
      </w:r>
      <w:r>
        <w:rPr>
          <w:rFonts w:hint="eastAsia"/>
        </w:rPr>
        <w:t>日有薪产假，其中</w:t>
      </w:r>
      <w:r>
        <w:rPr>
          <w:rFonts w:hint="eastAsia"/>
        </w:rPr>
        <w:t>30</w:t>
      </w:r>
      <w:r>
        <w:rPr>
          <w:rFonts w:hint="eastAsia"/>
        </w:rPr>
        <w:t>日须在产后立即享受，其余</w:t>
      </w:r>
      <w:r>
        <w:rPr>
          <w:rFonts w:hint="eastAsia"/>
        </w:rPr>
        <w:t>5</w:t>
      </w:r>
      <w:r>
        <w:rPr>
          <w:rFonts w:hint="eastAsia"/>
        </w:rPr>
        <w:t>日可在产前或产后享受。然而，在享受有薪产假方面，每一工作者仅以三胎为限</w:t>
      </w:r>
      <w:r>
        <w:rPr>
          <w:rFonts w:hint="eastAsia"/>
        </w:rPr>
        <w:t>(</w:t>
      </w:r>
      <w:r>
        <w:rPr>
          <w:rFonts w:hint="eastAsia"/>
        </w:rPr>
        <w:t>第</w:t>
      </w:r>
      <w:r>
        <w:rPr>
          <w:rFonts w:hint="eastAsia"/>
        </w:rPr>
        <w:t>24/89/M</w:t>
      </w:r>
      <w:r>
        <w:rPr>
          <w:rFonts w:hint="eastAsia"/>
        </w:rPr>
        <w:t>号法令第三十七条</w:t>
      </w:r>
      <w:r>
        <w:rPr>
          <w:rFonts w:hint="eastAsia"/>
        </w:rPr>
        <w:t>)</w:t>
      </w:r>
      <w:r>
        <w:rPr>
          <w:rFonts w:hint="eastAsia"/>
        </w:rPr>
        <w:t>。在怀孕期和产后至多</w:t>
      </w:r>
      <w:r>
        <w:rPr>
          <w:rFonts w:hint="eastAsia"/>
        </w:rPr>
        <w:t>3</w:t>
      </w:r>
      <w:r>
        <w:rPr>
          <w:rFonts w:hint="eastAsia"/>
        </w:rPr>
        <w:t>个月，妇女不应担任对其身体状况属不适宜的工作</w:t>
      </w:r>
      <w:r>
        <w:rPr>
          <w:rFonts w:hint="eastAsia"/>
        </w:rPr>
        <w:t>(</w:t>
      </w:r>
      <w:r>
        <w:rPr>
          <w:rFonts w:hint="eastAsia"/>
        </w:rPr>
        <w:t>第</w:t>
      </w:r>
      <w:r>
        <w:rPr>
          <w:rFonts w:hint="eastAsia"/>
        </w:rPr>
        <w:t>24/89/M</w:t>
      </w:r>
      <w:r>
        <w:rPr>
          <w:rFonts w:hint="eastAsia"/>
        </w:rPr>
        <w:t>号法令第三十五条第二款</w:t>
      </w:r>
      <w:r>
        <w:rPr>
          <w:rFonts w:hint="eastAsia"/>
        </w:rPr>
        <w:t>)</w:t>
      </w:r>
      <w:r>
        <w:rPr>
          <w:rFonts w:hint="eastAsia"/>
        </w:rPr>
        <w:t>。</w:t>
      </w:r>
    </w:p>
    <w:p w:rsidR="00000000" w:rsidRDefault="00000000">
      <w:pPr>
        <w:rPr>
          <w:rFonts w:hint="eastAsia"/>
        </w:rPr>
      </w:pPr>
      <w:r>
        <w:rPr>
          <w:rFonts w:hint="eastAsia"/>
        </w:rPr>
        <w:tab/>
        <w:t xml:space="preserve">945.  </w:t>
      </w:r>
      <w:r>
        <w:rPr>
          <w:rFonts w:hint="eastAsia"/>
        </w:rPr>
        <w:t>在公职方面，工作人员有权因分娩而缺勤</w:t>
      </w:r>
      <w:r>
        <w:rPr>
          <w:rFonts w:hint="eastAsia"/>
        </w:rPr>
        <w:t>90</w:t>
      </w:r>
      <w:r>
        <w:rPr>
          <w:rFonts w:hint="eastAsia"/>
        </w:rPr>
        <w:t>日，其中</w:t>
      </w:r>
      <w:r>
        <w:rPr>
          <w:rFonts w:hint="eastAsia"/>
        </w:rPr>
        <w:t>60</w:t>
      </w:r>
      <w:r>
        <w:rPr>
          <w:rFonts w:hint="eastAsia"/>
        </w:rPr>
        <w:t>日须在分娩后立即享受，其余</w:t>
      </w:r>
      <w:r>
        <w:rPr>
          <w:rFonts w:hint="eastAsia"/>
        </w:rPr>
        <w:t>30</w:t>
      </w:r>
      <w:r>
        <w:rPr>
          <w:rFonts w:hint="eastAsia"/>
        </w:rPr>
        <w:t>日可在分娩前或紧随分娩后享受，且无胎数限制。以母乳哺育子女的母亲，在每个工作日有权获免除上班</w:t>
      </w:r>
      <w:r>
        <w:rPr>
          <w:rFonts w:hint="eastAsia"/>
        </w:rPr>
        <w:t>1</w:t>
      </w:r>
      <w:r>
        <w:rPr>
          <w:rFonts w:hint="eastAsia"/>
        </w:rPr>
        <w:t>个小时，直至该子女满</w:t>
      </w:r>
      <w:r>
        <w:rPr>
          <w:rFonts w:hint="eastAsia"/>
        </w:rPr>
        <w:t>1</w:t>
      </w:r>
      <w:r>
        <w:rPr>
          <w:rFonts w:hint="eastAsia"/>
        </w:rPr>
        <w:t>周岁为止</w:t>
      </w:r>
      <w:r>
        <w:rPr>
          <w:rFonts w:hint="eastAsia"/>
        </w:rPr>
        <w:t>(</w:t>
      </w:r>
      <w:r>
        <w:rPr>
          <w:rFonts w:hint="eastAsia"/>
        </w:rPr>
        <w:t>《澳门公共行政工作人员通则》第九十二条</w:t>
      </w:r>
      <w:r>
        <w:rPr>
          <w:rFonts w:hint="eastAsia"/>
        </w:rPr>
        <w:t>)</w:t>
      </w:r>
      <w:r>
        <w:rPr>
          <w:rFonts w:hint="eastAsia"/>
        </w:rPr>
        <w:t>。</w:t>
      </w:r>
    </w:p>
    <w:p w:rsidR="00000000" w:rsidRDefault="00000000">
      <w:pPr>
        <w:rPr>
          <w:rFonts w:hint="eastAsia"/>
        </w:rPr>
      </w:pPr>
      <w:r>
        <w:rPr>
          <w:rFonts w:hint="eastAsia"/>
        </w:rPr>
        <w:tab/>
        <w:t xml:space="preserve">946.  </w:t>
      </w:r>
      <w:r>
        <w:rPr>
          <w:rFonts w:hint="eastAsia"/>
        </w:rPr>
        <w:t>在公职方面，男性工作人员有权因子女出生而缺勤</w:t>
      </w:r>
      <w:r>
        <w:rPr>
          <w:rFonts w:hint="eastAsia"/>
        </w:rPr>
        <w:t>5</w:t>
      </w:r>
      <w:r>
        <w:rPr>
          <w:rFonts w:hint="eastAsia"/>
        </w:rPr>
        <w:t>日，但须在子女出生后享受该权利</w:t>
      </w:r>
      <w:r>
        <w:rPr>
          <w:rFonts w:hint="eastAsia"/>
        </w:rPr>
        <w:t>(</w:t>
      </w:r>
      <w:r>
        <w:rPr>
          <w:rFonts w:hint="eastAsia"/>
        </w:rPr>
        <w:t>《澳门公共行政工作人员通则》第九十三条</w:t>
      </w:r>
      <w:r>
        <w:rPr>
          <w:rFonts w:hint="eastAsia"/>
        </w:rPr>
        <w:t>)</w:t>
      </w:r>
      <w:r>
        <w:rPr>
          <w:rFonts w:hint="eastAsia"/>
        </w:rPr>
        <w:t>。</w:t>
      </w:r>
    </w:p>
    <w:p w:rsidR="00000000" w:rsidRDefault="00000000">
      <w:pPr>
        <w:rPr>
          <w:rFonts w:hint="eastAsia"/>
        </w:rPr>
      </w:pPr>
      <w:r>
        <w:rPr>
          <w:rFonts w:hint="eastAsia"/>
        </w:rPr>
        <w:tab/>
        <w:t xml:space="preserve">947.  </w:t>
      </w:r>
      <w:r>
        <w:rPr>
          <w:rFonts w:hint="eastAsia"/>
        </w:rPr>
        <w:t>如上文所述，现正进行公职方面和私人工作方面的劳动法例的检讨工作。澳门特别行政区政府就私人工作方面的劳动法的改革提出了多项建议，其中包括取消享受产假仅以三胎为限的这一限制，以及增加产假日数。</w:t>
      </w:r>
    </w:p>
    <w:p w:rsidR="00000000" w:rsidRDefault="00000000">
      <w:pPr>
        <w:spacing w:after="320"/>
        <w:rPr>
          <w:rFonts w:hint="eastAsia"/>
        </w:rPr>
      </w:pPr>
      <w:r>
        <w:rPr>
          <w:rFonts w:hint="eastAsia"/>
        </w:rPr>
        <w:tab/>
        <w:t xml:space="preserve">948.  </w:t>
      </w:r>
      <w:r>
        <w:rPr>
          <w:rFonts w:hint="eastAsia"/>
        </w:rPr>
        <w:t>更多的关于孕、产妇社会保障的资料，载于本报告谈及公约第九条所规范事宜的部分。</w:t>
      </w:r>
    </w:p>
    <w:p w:rsidR="00000000" w:rsidRDefault="00000000">
      <w:pPr>
        <w:pStyle w:val="Heading3"/>
        <w:rPr>
          <w:rFonts w:hint="eastAsia"/>
        </w:rPr>
      </w:pPr>
      <w:bookmarkStart w:id="88" w:name="_Toc78772997"/>
      <w:r>
        <w:rPr>
          <w:rFonts w:hint="eastAsia"/>
          <w:u w:val="none"/>
        </w:rPr>
        <w:t xml:space="preserve">D.  </w:t>
      </w:r>
      <w:r>
        <w:rPr>
          <w:rFonts w:hint="eastAsia"/>
        </w:rPr>
        <w:t>对儿童和青少年的保护</w:t>
      </w:r>
      <w:bookmarkEnd w:id="88"/>
    </w:p>
    <w:p w:rsidR="00000000" w:rsidRDefault="00000000">
      <w:pPr>
        <w:rPr>
          <w:rFonts w:hint="eastAsia"/>
        </w:rPr>
      </w:pPr>
      <w:r>
        <w:rPr>
          <w:rFonts w:hint="eastAsia"/>
        </w:rPr>
        <w:tab/>
        <w:t xml:space="preserve">949.  </w:t>
      </w:r>
      <w:r>
        <w:rPr>
          <w:rFonts w:hint="eastAsia"/>
        </w:rPr>
        <w:t>《基本法》明确规定，未成年人受澳门特别行政区的关怀和保护</w:t>
      </w:r>
      <w:r>
        <w:rPr>
          <w:rFonts w:hint="eastAsia"/>
        </w:rPr>
        <w:t>(</w:t>
      </w:r>
      <w:r>
        <w:rPr>
          <w:rFonts w:hint="eastAsia"/>
        </w:rPr>
        <w:t>《基本法》第三十八条</w:t>
      </w:r>
      <w:r>
        <w:rPr>
          <w:rFonts w:hint="eastAsia"/>
        </w:rPr>
        <w:t>)</w:t>
      </w:r>
      <w:r>
        <w:rPr>
          <w:rFonts w:hint="eastAsia"/>
        </w:rPr>
        <w:t>。</w:t>
      </w:r>
    </w:p>
    <w:p w:rsidR="00000000" w:rsidRDefault="00000000">
      <w:pPr>
        <w:rPr>
          <w:rFonts w:hint="eastAsia"/>
        </w:rPr>
      </w:pPr>
      <w:r>
        <w:rPr>
          <w:rFonts w:hint="eastAsia"/>
        </w:rPr>
        <w:tab/>
        <w:t xml:space="preserve">950.  </w:t>
      </w:r>
      <w:r>
        <w:rPr>
          <w:rFonts w:hint="eastAsia"/>
        </w:rPr>
        <w:t>除了</w:t>
      </w:r>
      <w:r>
        <w:rPr>
          <w:rFonts w:hint="eastAsia"/>
        </w:rPr>
        <w:t>1989</w:t>
      </w:r>
      <w:r>
        <w:rPr>
          <w:rFonts w:hint="eastAsia"/>
        </w:rPr>
        <w:t>年《儿童权利公约》和</w:t>
      </w:r>
      <w:r>
        <w:rPr>
          <w:rFonts w:hint="eastAsia"/>
        </w:rPr>
        <w:t>1973</w:t>
      </w:r>
      <w:r>
        <w:rPr>
          <w:rFonts w:hint="eastAsia"/>
        </w:rPr>
        <w:t>年《准予就业最低年龄公约》</w:t>
      </w:r>
      <w:r>
        <w:rPr>
          <w:rFonts w:hint="eastAsia"/>
        </w:rPr>
        <w:t>(</w:t>
      </w:r>
      <w:r>
        <w:rPr>
          <w:rFonts w:hint="eastAsia"/>
        </w:rPr>
        <w:t>国际劳工组织第</w:t>
      </w:r>
      <w:r>
        <w:rPr>
          <w:rFonts w:hint="eastAsia"/>
        </w:rPr>
        <w:t>138</w:t>
      </w:r>
      <w:r>
        <w:rPr>
          <w:rFonts w:hint="eastAsia"/>
        </w:rPr>
        <w:t>号公约</w:t>
      </w:r>
      <w:r>
        <w:rPr>
          <w:rFonts w:hint="eastAsia"/>
        </w:rPr>
        <w:t>)</w:t>
      </w:r>
      <w:r>
        <w:rPr>
          <w:rFonts w:hint="eastAsia"/>
        </w:rPr>
        <w:t>之外，尚有关于保护儿童的其他重要公约适用于澳门特别行政区，例如：</w:t>
      </w:r>
      <w:r>
        <w:rPr>
          <w:rFonts w:hint="eastAsia"/>
        </w:rPr>
        <w:t>1919</w:t>
      </w:r>
      <w:r>
        <w:rPr>
          <w:rFonts w:hint="eastAsia"/>
        </w:rPr>
        <w:t>年《在工业中雇用年轻人夜间工作公约》</w:t>
      </w:r>
      <w:r>
        <w:rPr>
          <w:rFonts w:hint="eastAsia"/>
        </w:rPr>
        <w:t>(</w:t>
      </w:r>
      <w:r>
        <w:rPr>
          <w:rFonts w:hint="eastAsia"/>
        </w:rPr>
        <w:t>国际劳工组织第</w:t>
      </w:r>
      <w:r>
        <w:rPr>
          <w:rFonts w:hint="eastAsia"/>
        </w:rPr>
        <w:t>6</w:t>
      </w:r>
      <w:r>
        <w:rPr>
          <w:rFonts w:hint="eastAsia"/>
        </w:rPr>
        <w:t>号公约</w:t>
      </w:r>
      <w:r>
        <w:rPr>
          <w:rFonts w:hint="eastAsia"/>
        </w:rPr>
        <w:t>)</w:t>
      </w:r>
      <w:r>
        <w:rPr>
          <w:rFonts w:hint="eastAsia"/>
        </w:rPr>
        <w:t>、</w:t>
      </w:r>
      <w:r>
        <w:rPr>
          <w:rFonts w:hint="eastAsia"/>
        </w:rPr>
        <w:t>1956</w:t>
      </w:r>
      <w:r>
        <w:rPr>
          <w:rFonts w:hint="eastAsia"/>
        </w:rPr>
        <w:t>年海牙《扶养儿童义务法律适用公约》、</w:t>
      </w:r>
      <w:r>
        <w:rPr>
          <w:rFonts w:hint="eastAsia"/>
        </w:rPr>
        <w:t>1958</w:t>
      </w:r>
      <w:r>
        <w:rPr>
          <w:rFonts w:hint="eastAsia"/>
        </w:rPr>
        <w:t>年海牙《扶养儿童义务判决的承认与执行公约》、</w:t>
      </w:r>
      <w:r>
        <w:rPr>
          <w:rFonts w:hint="eastAsia"/>
        </w:rPr>
        <w:t>1961</w:t>
      </w:r>
      <w:r>
        <w:rPr>
          <w:rFonts w:hint="eastAsia"/>
        </w:rPr>
        <w:t>年海牙《未成年人保护的管辖权和准据法公约》，以及</w:t>
      </w:r>
      <w:r>
        <w:rPr>
          <w:rFonts w:hint="eastAsia"/>
        </w:rPr>
        <w:t>1980</w:t>
      </w:r>
      <w:r>
        <w:rPr>
          <w:rFonts w:hint="eastAsia"/>
        </w:rPr>
        <w:t>年海牙《国际性诱拐儿童民事方面公约》。</w:t>
      </w:r>
    </w:p>
    <w:p w:rsidR="00000000" w:rsidRDefault="00000000">
      <w:pPr>
        <w:rPr>
          <w:rFonts w:hint="eastAsia"/>
        </w:rPr>
      </w:pPr>
      <w:r>
        <w:rPr>
          <w:rFonts w:hint="eastAsia"/>
        </w:rPr>
        <w:tab/>
        <w:t xml:space="preserve">951.  </w:t>
      </w:r>
      <w:r>
        <w:rPr>
          <w:rFonts w:hint="eastAsia"/>
        </w:rPr>
        <w:t>澳门特别行政区政府同与家庭利益有关的团体和社会福利机构合作，推行保护缺乏正常家庭生活环境的未成年人，务求令他们拥有更好的生活条件、完整的家庭，并能融入社会。</w:t>
      </w:r>
    </w:p>
    <w:p w:rsidR="00000000" w:rsidRDefault="00000000">
      <w:pPr>
        <w:rPr>
          <w:rFonts w:hint="eastAsia"/>
        </w:rPr>
      </w:pPr>
      <w:r>
        <w:rPr>
          <w:rFonts w:hint="eastAsia"/>
        </w:rPr>
        <w:tab/>
        <w:t xml:space="preserve">952.  </w:t>
      </w:r>
      <w:r>
        <w:rPr>
          <w:rFonts w:hint="eastAsia"/>
        </w:rPr>
        <w:t>教育暨青年局与社会工作局共同开展关于儿童的健康与权利的教育和社区活动计划，这两个政府部门，以至其他实体亦有进行儿童和家庭权利的推广工作。</w:t>
      </w:r>
    </w:p>
    <w:p w:rsidR="00000000" w:rsidRDefault="00000000">
      <w:pPr>
        <w:rPr>
          <w:rFonts w:hint="eastAsia"/>
        </w:rPr>
      </w:pPr>
      <w:r>
        <w:rPr>
          <w:rFonts w:hint="eastAsia"/>
        </w:rPr>
        <w:tab/>
        <w:t xml:space="preserve">953.  </w:t>
      </w:r>
      <w:r>
        <w:rPr>
          <w:rFonts w:hint="eastAsia"/>
        </w:rPr>
        <w:t>澳门特别行政区政府尤其关注和照顾孤儿、非与生父母一起生活的儿童、少女、遭家庭遗弃或缺乏正常家庭生活环境的儿童，以及身体或精神有缺陷的儿童。</w:t>
      </w:r>
    </w:p>
    <w:p w:rsidR="00000000" w:rsidRDefault="00000000">
      <w:pPr>
        <w:rPr>
          <w:rFonts w:hint="eastAsia"/>
        </w:rPr>
      </w:pPr>
      <w:r>
        <w:rPr>
          <w:rFonts w:hint="eastAsia"/>
        </w:rPr>
        <w:tab/>
        <w:t xml:space="preserve">954.  </w:t>
      </w:r>
      <w:r>
        <w:rPr>
          <w:rFonts w:hint="eastAsia"/>
        </w:rPr>
        <w:t>在这方面，多个社会福利机构为基于任何原因而被迫离开家园的不同年龄的未成年人提供庇护和援助。收容儿童的部门会向易受伤害的儿童和无法得到家庭的适当照顾的青少年提供辅导和照料。</w:t>
      </w:r>
    </w:p>
    <w:p w:rsidR="00000000" w:rsidRDefault="00000000">
      <w:pPr>
        <w:rPr>
          <w:rFonts w:hint="eastAsia"/>
        </w:rPr>
      </w:pPr>
      <w:r>
        <w:rPr>
          <w:rFonts w:hint="eastAsia"/>
        </w:rPr>
        <w:tab/>
        <w:t xml:space="preserve">955.  </w:t>
      </w:r>
      <w:r>
        <w:rPr>
          <w:rFonts w:hint="eastAsia"/>
        </w:rPr>
        <w:t>在澳门特别行政区，</w:t>
      </w:r>
      <w:r>
        <w:rPr>
          <w:rFonts w:hint="eastAsia"/>
        </w:rPr>
        <w:t>0</w:t>
      </w:r>
      <w:r>
        <w:rPr>
          <w:rFonts w:hint="eastAsia"/>
        </w:rPr>
        <w:t>至</w:t>
      </w:r>
      <w:r>
        <w:rPr>
          <w:rFonts w:hint="eastAsia"/>
        </w:rPr>
        <w:t>3</w:t>
      </w:r>
      <w:r>
        <w:rPr>
          <w:rFonts w:hint="eastAsia"/>
        </w:rPr>
        <w:t>岁的儿童有</w:t>
      </w:r>
      <w:r>
        <w:rPr>
          <w:rFonts w:hint="eastAsia"/>
        </w:rPr>
        <w:t>15,437</w:t>
      </w:r>
      <w:r>
        <w:rPr>
          <w:rFonts w:hint="eastAsia"/>
        </w:rPr>
        <w:t>人</w:t>
      </w:r>
      <w:r>
        <w:rPr>
          <w:rFonts w:hint="eastAsia"/>
        </w:rPr>
        <w:t>(</w:t>
      </w:r>
      <w:r>
        <w:rPr>
          <w:rFonts w:hint="eastAsia"/>
        </w:rPr>
        <w:t>占总人口的</w:t>
      </w:r>
      <w:r>
        <w:rPr>
          <w:rFonts w:hint="eastAsia"/>
        </w:rPr>
        <w:t>3.7%)</w:t>
      </w:r>
      <w:r>
        <w:rPr>
          <w:rFonts w:hint="eastAsia"/>
        </w:rPr>
        <w:t>，他们或由本身的家庭照顾，或由社会工作局所监管的</w:t>
      </w:r>
      <w:r>
        <w:rPr>
          <w:rFonts w:hint="eastAsia"/>
        </w:rPr>
        <w:t>51</w:t>
      </w:r>
      <w:r>
        <w:rPr>
          <w:rFonts w:hint="eastAsia"/>
        </w:rPr>
        <w:t>家托儿所照顾。</w:t>
      </w:r>
      <w:r>
        <w:rPr>
          <w:rFonts w:hint="eastAsia"/>
        </w:rPr>
        <w:t>2002</w:t>
      </w:r>
      <w:r>
        <w:rPr>
          <w:rFonts w:hint="eastAsia"/>
        </w:rPr>
        <w:t>年</w:t>
      </w:r>
      <w:r>
        <w:rPr>
          <w:rFonts w:hint="eastAsia"/>
        </w:rPr>
        <w:t>6</w:t>
      </w:r>
      <w:r>
        <w:rPr>
          <w:rFonts w:hint="eastAsia"/>
        </w:rPr>
        <w:t>月底，共有</w:t>
      </w:r>
      <w:r>
        <w:rPr>
          <w:rFonts w:hint="eastAsia"/>
        </w:rPr>
        <w:t>3,673</w:t>
      </w:r>
      <w:r>
        <w:rPr>
          <w:rFonts w:hint="eastAsia"/>
        </w:rPr>
        <w:t>名儿童接受过该等托儿所的服务和照顾。</w:t>
      </w:r>
    </w:p>
    <w:p w:rsidR="00000000" w:rsidRDefault="00000000">
      <w:pPr>
        <w:rPr>
          <w:rFonts w:hint="eastAsia"/>
        </w:rPr>
      </w:pPr>
      <w:r>
        <w:rPr>
          <w:rFonts w:hint="eastAsia"/>
        </w:rPr>
        <w:tab/>
        <w:t xml:space="preserve">956.  </w:t>
      </w:r>
      <w:r>
        <w:rPr>
          <w:rFonts w:hint="eastAsia"/>
        </w:rPr>
        <w:t>澳门特别行政区法例规定采取旨在消除童工的措施，并订定关于最低工作年龄的规定；在公职方面，最低工作年龄为</w:t>
      </w:r>
      <w:r>
        <w:rPr>
          <w:rFonts w:hint="eastAsia"/>
        </w:rPr>
        <w:t>18</w:t>
      </w:r>
      <w:r>
        <w:rPr>
          <w:rFonts w:hint="eastAsia"/>
        </w:rPr>
        <w:t>岁，在私人工作方面则为</w:t>
      </w:r>
      <w:r>
        <w:rPr>
          <w:rFonts w:hint="eastAsia"/>
        </w:rPr>
        <w:t>16</w:t>
      </w:r>
      <w:r>
        <w:rPr>
          <w:rFonts w:hint="eastAsia"/>
        </w:rPr>
        <w:t>岁。</w:t>
      </w:r>
    </w:p>
    <w:p w:rsidR="00000000" w:rsidRDefault="00000000">
      <w:pPr>
        <w:spacing w:after="320"/>
        <w:rPr>
          <w:rFonts w:hint="eastAsia"/>
        </w:rPr>
      </w:pPr>
      <w:r>
        <w:rPr>
          <w:rFonts w:hint="eastAsia"/>
        </w:rPr>
        <w:tab/>
        <w:t xml:space="preserve">957.  </w:t>
      </w:r>
      <w:r>
        <w:rPr>
          <w:rFonts w:hint="eastAsia"/>
        </w:rPr>
        <w:t>在私人工作方面，法律例外许可年龄介乎</w:t>
      </w:r>
      <w:r>
        <w:rPr>
          <w:rFonts w:hint="eastAsia"/>
        </w:rPr>
        <w:t>14</w:t>
      </w:r>
      <w:r>
        <w:rPr>
          <w:rFonts w:hint="eastAsia"/>
        </w:rPr>
        <w:t>至</w:t>
      </w:r>
      <w:r>
        <w:rPr>
          <w:rFonts w:hint="eastAsia"/>
        </w:rPr>
        <w:t>16</w:t>
      </w:r>
      <w:r>
        <w:rPr>
          <w:rFonts w:hint="eastAsia"/>
        </w:rPr>
        <w:t>岁的未成年人工作，但必须事先证明其有担任工作所需的体格。未成年人每年最少须接受一次体格测试和健康检查</w:t>
      </w:r>
      <w:r>
        <w:rPr>
          <w:rFonts w:hint="eastAsia"/>
        </w:rPr>
        <w:t>(</w:t>
      </w:r>
      <w:r>
        <w:rPr>
          <w:rFonts w:hint="eastAsia"/>
        </w:rPr>
        <w:t>第</w:t>
      </w:r>
      <w:r>
        <w:rPr>
          <w:rFonts w:hint="eastAsia"/>
        </w:rPr>
        <w:t>24/89/M</w:t>
      </w:r>
      <w:r>
        <w:rPr>
          <w:rFonts w:hint="eastAsia"/>
        </w:rPr>
        <w:t>号法令第三十八条、第三十九条、第四十条和第四十二条</w:t>
      </w:r>
      <w:r>
        <w:rPr>
          <w:rFonts w:hint="eastAsia"/>
        </w:rPr>
        <w:t>)</w:t>
      </w:r>
      <w:r>
        <w:rPr>
          <w:rFonts w:hint="eastAsia"/>
        </w:rPr>
        <w:t>。关于这问题，可参阅本报告谈及公约第六条和第七条所规范的事宜时提供的资料。</w:t>
      </w:r>
    </w:p>
    <w:p w:rsidR="00000000" w:rsidRDefault="00000000">
      <w:pPr>
        <w:pStyle w:val="Heading4"/>
        <w:rPr>
          <w:rFonts w:hint="eastAsia"/>
        </w:rPr>
      </w:pPr>
      <w:r>
        <w:rPr>
          <w:rFonts w:hint="eastAsia"/>
        </w:rPr>
        <w:t>少年犯的培训和惩教</w:t>
      </w:r>
    </w:p>
    <w:p w:rsidR="00000000" w:rsidRDefault="00000000">
      <w:pPr>
        <w:rPr>
          <w:rFonts w:hint="eastAsia"/>
        </w:rPr>
      </w:pPr>
      <w:r>
        <w:rPr>
          <w:rFonts w:hint="eastAsia"/>
        </w:rPr>
        <w:tab/>
        <w:t xml:space="preserve">958.  </w:t>
      </w:r>
      <w:r>
        <w:rPr>
          <w:rFonts w:hint="eastAsia"/>
        </w:rPr>
        <w:t>在澳门特别行政区，承担刑事现任的最低年龄为</w:t>
      </w:r>
      <w:r>
        <w:rPr>
          <w:rFonts w:hint="eastAsia"/>
        </w:rPr>
        <w:t>16</w:t>
      </w:r>
      <w:r>
        <w:rPr>
          <w:rFonts w:hint="eastAsia"/>
        </w:rPr>
        <w:t>岁。年满</w:t>
      </w:r>
      <w:r>
        <w:rPr>
          <w:rFonts w:hint="eastAsia"/>
        </w:rPr>
        <w:t>16</w:t>
      </w:r>
      <w:r>
        <w:rPr>
          <w:rFonts w:hint="eastAsia"/>
        </w:rPr>
        <w:t>岁的未成年人亦须为实施刑事不法行为承担刑事责任。按照《刑法典》第十八条的规定，未满</w:t>
      </w:r>
      <w:r>
        <w:rPr>
          <w:rFonts w:hint="eastAsia"/>
        </w:rPr>
        <w:t>16</w:t>
      </w:r>
      <w:r>
        <w:rPr>
          <w:rFonts w:hint="eastAsia"/>
        </w:rPr>
        <w:t>岁的未成年人在刑事上属不可归责者。</w:t>
      </w:r>
    </w:p>
    <w:p w:rsidR="00000000" w:rsidRDefault="00000000">
      <w:pPr>
        <w:rPr>
          <w:rFonts w:hint="eastAsia"/>
        </w:rPr>
      </w:pPr>
      <w:r>
        <w:rPr>
          <w:rFonts w:hint="eastAsia"/>
        </w:rPr>
        <w:tab/>
        <w:t xml:space="preserve">959.  </w:t>
      </w:r>
      <w:r>
        <w:rPr>
          <w:rFonts w:hint="eastAsia"/>
        </w:rPr>
        <w:t>澳门特别行政区未成年人司法管辖制度规定，年满</w:t>
      </w:r>
      <w:r>
        <w:rPr>
          <w:rFonts w:hint="eastAsia"/>
        </w:rPr>
        <w:t>16</w:t>
      </w:r>
      <w:r>
        <w:rPr>
          <w:rFonts w:hint="eastAsia"/>
        </w:rPr>
        <w:t>岁的未成年人如实施法律定为犯罪的行为，须接受一特殊的教育制度，根据其教育和社会需要而对其采取适当的措施</w:t>
      </w:r>
      <w:r>
        <w:rPr>
          <w:rFonts w:hint="eastAsia"/>
        </w:rPr>
        <w:t>(10</w:t>
      </w:r>
      <w:r>
        <w:rPr>
          <w:rFonts w:hint="eastAsia"/>
        </w:rPr>
        <w:t>月</w:t>
      </w:r>
      <w:r>
        <w:rPr>
          <w:rFonts w:hint="eastAsia"/>
        </w:rPr>
        <w:t>25</w:t>
      </w:r>
      <w:r>
        <w:rPr>
          <w:rFonts w:hint="eastAsia"/>
        </w:rPr>
        <w:t>日第</w:t>
      </w:r>
      <w:r>
        <w:rPr>
          <w:rFonts w:hint="eastAsia"/>
        </w:rPr>
        <w:t>65/99/M</w:t>
      </w:r>
      <w:r>
        <w:rPr>
          <w:rFonts w:hint="eastAsia"/>
        </w:rPr>
        <w:t>号法令第六条和第六十七条</w:t>
      </w:r>
      <w:r>
        <w:rPr>
          <w:rFonts w:hint="eastAsia"/>
        </w:rPr>
        <w:t>)</w:t>
      </w:r>
      <w:r>
        <w:rPr>
          <w:rFonts w:hint="eastAsia"/>
        </w:rPr>
        <w:t>。</w:t>
      </w:r>
    </w:p>
    <w:p w:rsidR="00000000" w:rsidRDefault="00000000">
      <w:pPr>
        <w:spacing w:after="320"/>
        <w:rPr>
          <w:rFonts w:hint="eastAsia"/>
        </w:rPr>
      </w:pPr>
      <w:r>
        <w:rPr>
          <w:rFonts w:hint="eastAsia"/>
        </w:rPr>
        <w:tab/>
        <w:t xml:space="preserve">960.  </w:t>
      </w:r>
      <w:r>
        <w:rPr>
          <w:rFonts w:hint="eastAsia"/>
        </w:rPr>
        <w:t>法务局辖下的少年感化院是负责向少年犯提供教学、教育、再教育、职业辅导和职业培训的实体。在基础教育方面，由教育暨青年局向少年感化院提供协助。</w:t>
      </w:r>
    </w:p>
    <w:p w:rsidR="00000000" w:rsidRDefault="00000000">
      <w:pPr>
        <w:pStyle w:val="Heading3"/>
        <w:rPr>
          <w:rFonts w:hint="eastAsia"/>
        </w:rPr>
      </w:pPr>
      <w:bookmarkStart w:id="89" w:name="_Toc78772998"/>
      <w:r>
        <w:rPr>
          <w:rFonts w:hint="eastAsia"/>
          <w:u w:val="none"/>
        </w:rPr>
        <w:t xml:space="preserve">E.  </w:t>
      </w:r>
      <w:r>
        <w:rPr>
          <w:rFonts w:hint="eastAsia"/>
        </w:rPr>
        <w:t>对长者的保护</w:t>
      </w:r>
      <w:bookmarkEnd w:id="89"/>
    </w:p>
    <w:p w:rsidR="00000000" w:rsidRDefault="00000000">
      <w:pPr>
        <w:rPr>
          <w:rFonts w:hint="eastAsia"/>
        </w:rPr>
      </w:pPr>
      <w:r>
        <w:rPr>
          <w:rFonts w:hint="eastAsia"/>
        </w:rPr>
        <w:tab/>
        <w:t xml:space="preserve">961.  </w:t>
      </w:r>
      <w:r>
        <w:rPr>
          <w:rFonts w:hint="eastAsia"/>
        </w:rPr>
        <w:t>澳门特别行政区政府极度关注人口老化为澳门特别行政区带来的冲击。</w:t>
      </w:r>
      <w:r>
        <w:rPr>
          <w:rFonts w:hint="eastAsia"/>
        </w:rPr>
        <w:t>1998</w:t>
      </w:r>
      <w:r>
        <w:rPr>
          <w:rFonts w:hint="eastAsia"/>
        </w:rPr>
        <w:t>年，推出了亚太地区经济社会发展委员会的“澳门在亚太地区人口老化问题上的行动计划”，这是首项集中于人口老化问题的区域性行动计划。目前，正在准备有关方面的调查报告以便确立一个长期发展策略。</w:t>
      </w:r>
    </w:p>
    <w:p w:rsidR="00000000" w:rsidRDefault="00000000">
      <w:pPr>
        <w:rPr>
          <w:rFonts w:hint="eastAsia"/>
        </w:rPr>
      </w:pPr>
      <w:r>
        <w:rPr>
          <w:rFonts w:hint="eastAsia"/>
        </w:rPr>
        <w:tab/>
        <w:t xml:space="preserve">962.  </w:t>
      </w:r>
      <w:r>
        <w:rPr>
          <w:rFonts w:hint="eastAsia"/>
        </w:rPr>
        <w:t>在其他政府部门和私人机构的协助下，社会工作局向长者提供教育和卫生护理服务。该等援助是由物理治疗师、社会工作者和辅助人员所组成的全职专业人员队伍透过提供适当服务而予以确保，他们保证了长者能得到家务助理和日间护理服务。</w:t>
      </w:r>
    </w:p>
    <w:p w:rsidR="00000000" w:rsidRDefault="00000000">
      <w:pPr>
        <w:rPr>
          <w:rFonts w:hint="eastAsia"/>
        </w:rPr>
      </w:pPr>
      <w:r>
        <w:rPr>
          <w:rFonts w:hint="eastAsia"/>
        </w:rPr>
        <w:tab/>
        <w:t xml:space="preserve">963.  </w:t>
      </w:r>
      <w:r>
        <w:rPr>
          <w:rFonts w:hint="eastAsia"/>
        </w:rPr>
        <w:t>卫生局与社会工作局合作紧密，为长者，尤其为独居者和长期病患者提供初级卫生护理服务和照料。</w:t>
      </w:r>
    </w:p>
    <w:p w:rsidR="00000000" w:rsidRDefault="00000000">
      <w:pPr>
        <w:rPr>
          <w:rFonts w:hint="eastAsia"/>
        </w:rPr>
      </w:pPr>
      <w:r>
        <w:rPr>
          <w:rFonts w:hint="eastAsia"/>
        </w:rPr>
        <w:tab/>
        <w:t xml:space="preserve">964.  </w:t>
      </w:r>
      <w:r>
        <w:rPr>
          <w:rFonts w:hint="eastAsia"/>
        </w:rPr>
        <w:t>社会工作局透过提供新的服务，如家务助理和送餐等，向家庭提供旨在协助其照顾体弱长者的特别援助。</w:t>
      </w:r>
    </w:p>
    <w:p w:rsidR="00000000" w:rsidRDefault="00000000">
      <w:pPr>
        <w:spacing w:after="320"/>
        <w:rPr>
          <w:rFonts w:hint="eastAsia"/>
        </w:rPr>
      </w:pPr>
      <w:r>
        <w:rPr>
          <w:rFonts w:hint="eastAsia"/>
        </w:rPr>
        <w:tab/>
        <w:t xml:space="preserve">965.  </w:t>
      </w:r>
      <w:r>
        <w:rPr>
          <w:rFonts w:hint="eastAsia"/>
        </w:rPr>
        <w:t>此外，澳门特别行政区政府深知有需要组织和推动长者参与的活动，以加强社群的团结和维护家庭价值，因此，一直有为长者提供娱乐、文化和消闲活动。</w:t>
      </w:r>
    </w:p>
    <w:p w:rsidR="00000000" w:rsidRDefault="00000000">
      <w:pPr>
        <w:pStyle w:val="Heading3"/>
        <w:rPr>
          <w:rFonts w:ascii="Time New Roman" w:eastAsia="SimHei" w:hAnsi="Time New Roman" w:hint="eastAsia"/>
          <w:u w:val="none"/>
        </w:rPr>
      </w:pPr>
      <w:bookmarkStart w:id="90" w:name="_Toc78772999"/>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十一</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享有适当生活水准的权利</w:t>
      </w:r>
      <w:bookmarkEnd w:id="90"/>
    </w:p>
    <w:p w:rsidR="00000000" w:rsidRDefault="00000000">
      <w:pPr>
        <w:pStyle w:val="Heading3"/>
        <w:rPr>
          <w:rFonts w:hint="eastAsia"/>
        </w:rPr>
      </w:pPr>
      <w:bookmarkStart w:id="91" w:name="_Toc78773000"/>
      <w:r>
        <w:rPr>
          <w:rFonts w:hint="eastAsia"/>
          <w:u w:val="none"/>
        </w:rPr>
        <w:t xml:space="preserve">A.  </w:t>
      </w:r>
      <w:r>
        <w:rPr>
          <w:rFonts w:hint="eastAsia"/>
        </w:rPr>
        <w:t>概</w:t>
      </w:r>
      <w:r>
        <w:rPr>
          <w:rFonts w:hint="eastAsia"/>
        </w:rPr>
        <w:t xml:space="preserve">  </w:t>
      </w:r>
      <w:r>
        <w:rPr>
          <w:rFonts w:hint="eastAsia"/>
        </w:rPr>
        <w:t>述</w:t>
      </w:r>
      <w:bookmarkEnd w:id="91"/>
    </w:p>
    <w:p w:rsidR="00000000" w:rsidRDefault="00000000">
      <w:pPr>
        <w:rPr>
          <w:rFonts w:hint="eastAsia"/>
        </w:rPr>
      </w:pPr>
      <w:r>
        <w:rPr>
          <w:rFonts w:hint="eastAsia"/>
        </w:rPr>
        <w:tab/>
        <w:t xml:space="preserve">966.  </w:t>
      </w:r>
      <w:r>
        <w:rPr>
          <w:rFonts w:hint="eastAsia"/>
        </w:rPr>
        <w:t>澳门特别行政区的法律规定了各种机制，令居民能有尊严地生活，即使是有特殊困难或处于逆境的居民亦然，因此，在澳门特别行政区，贫穷问题并不严重。然而，澳门特别行政区仍竭尽所能，尤其是透过各种各样的社会福利和广泛的社会保障制度，尽量减少贫穷和社会排斥等问题。</w:t>
      </w:r>
    </w:p>
    <w:p w:rsidR="00000000" w:rsidRDefault="00000000">
      <w:pPr>
        <w:rPr>
          <w:rFonts w:hint="eastAsia"/>
        </w:rPr>
      </w:pPr>
      <w:r>
        <w:rPr>
          <w:rFonts w:hint="eastAsia"/>
        </w:rPr>
        <w:tab/>
        <w:t xml:space="preserve">967.  </w:t>
      </w:r>
      <w:r>
        <w:rPr>
          <w:rFonts w:hint="eastAsia"/>
        </w:rPr>
        <w:t>社会工作局有职责保护生活条件差劣的个人</w:t>
      </w:r>
      <w:r>
        <w:rPr>
          <w:rFonts w:hint="eastAsia"/>
        </w:rPr>
        <w:t>/</w:t>
      </w:r>
      <w:r>
        <w:rPr>
          <w:rFonts w:hint="eastAsia"/>
        </w:rPr>
        <w:t>家庭，为其提供更好的生活条件和在社会上发展的条件</w:t>
      </w:r>
      <w:r>
        <w:rPr>
          <w:rFonts w:hint="eastAsia"/>
        </w:rPr>
        <w:t>(11</w:t>
      </w:r>
      <w:r>
        <w:rPr>
          <w:rFonts w:hint="eastAsia"/>
        </w:rPr>
        <w:t>月</w:t>
      </w:r>
      <w:r>
        <w:rPr>
          <w:rFonts w:hint="eastAsia"/>
        </w:rPr>
        <w:t>17</w:t>
      </w:r>
      <w:r>
        <w:rPr>
          <w:rFonts w:hint="eastAsia"/>
        </w:rPr>
        <w:t>日第</w:t>
      </w:r>
      <w:r>
        <w:rPr>
          <w:rFonts w:hint="eastAsia"/>
        </w:rPr>
        <w:t>52/86/M</w:t>
      </w:r>
      <w:r>
        <w:rPr>
          <w:rFonts w:hint="eastAsia"/>
        </w:rPr>
        <w:t>号法令</w:t>
      </w:r>
      <w:r>
        <w:rPr>
          <w:rFonts w:hint="eastAsia"/>
        </w:rPr>
        <w:t>)</w:t>
      </w:r>
      <w:r>
        <w:rPr>
          <w:rFonts w:hint="eastAsia"/>
        </w:rPr>
        <w:t>。</w:t>
      </w:r>
    </w:p>
    <w:p w:rsidR="00000000" w:rsidRDefault="00000000">
      <w:pPr>
        <w:rPr>
          <w:rFonts w:hint="eastAsia"/>
        </w:rPr>
      </w:pPr>
      <w:r>
        <w:rPr>
          <w:rFonts w:hint="eastAsia"/>
        </w:rPr>
        <w:tab/>
        <w:t xml:space="preserve">968.  </w:t>
      </w:r>
      <w:r>
        <w:rPr>
          <w:rFonts w:hint="eastAsia"/>
        </w:rPr>
        <w:t>社会工作局按照平等、高效、团结和分工等原则运作，以供应设施及</w:t>
      </w:r>
      <w:r>
        <w:rPr>
          <w:rFonts w:hint="eastAsia"/>
        </w:rPr>
        <w:t>/</w:t>
      </w:r>
      <w:r>
        <w:rPr>
          <w:rFonts w:hint="eastAsia"/>
        </w:rPr>
        <w:t>或服务的方式提供社会和经济援助，例如，社会房屋、庇护所、免费卫生护理、教育、膳食和医护服务，等等。社会工作局透过其分布于澳门半岛和两个离岛的社会工作中心，向生活在贫穷线之下的个人</w:t>
      </w:r>
      <w:r>
        <w:rPr>
          <w:rFonts w:hint="eastAsia"/>
        </w:rPr>
        <w:t>/</w:t>
      </w:r>
      <w:r>
        <w:rPr>
          <w:rFonts w:hint="eastAsia"/>
        </w:rPr>
        <w:t>家庭提供经济援助等服务。</w:t>
      </w:r>
    </w:p>
    <w:p w:rsidR="00000000" w:rsidRDefault="00000000">
      <w:pPr>
        <w:rPr>
          <w:rFonts w:hint="eastAsia"/>
        </w:rPr>
      </w:pPr>
      <w:r>
        <w:rPr>
          <w:rFonts w:hint="eastAsia"/>
        </w:rPr>
        <w:tab/>
        <w:t xml:space="preserve">969.  </w:t>
      </w:r>
      <w:r>
        <w:rPr>
          <w:rFonts w:hint="eastAsia"/>
        </w:rPr>
        <w:t>澳门特别行政区共有</w:t>
      </w:r>
      <w:r>
        <w:rPr>
          <w:rFonts w:hint="eastAsia"/>
        </w:rPr>
        <w:t>3</w:t>
      </w:r>
      <w:r>
        <w:rPr>
          <w:rFonts w:hint="eastAsia"/>
        </w:rPr>
        <w:t>所膳食服务中心，在</w:t>
      </w:r>
      <w:r>
        <w:rPr>
          <w:rFonts w:hint="eastAsia"/>
        </w:rPr>
        <w:t>2001</w:t>
      </w:r>
      <w:r>
        <w:rPr>
          <w:rFonts w:hint="eastAsia"/>
        </w:rPr>
        <w:t>年，为大约</w:t>
      </w:r>
      <w:r>
        <w:rPr>
          <w:rFonts w:hint="eastAsia"/>
        </w:rPr>
        <w:t>1,170</w:t>
      </w:r>
      <w:r>
        <w:rPr>
          <w:rFonts w:hint="eastAsia"/>
        </w:rPr>
        <w:t>人提供服务。</w:t>
      </w:r>
    </w:p>
    <w:p w:rsidR="00000000" w:rsidRDefault="00000000">
      <w:pPr>
        <w:rPr>
          <w:rFonts w:hint="eastAsia"/>
        </w:rPr>
      </w:pPr>
      <w:r>
        <w:rPr>
          <w:rFonts w:hint="eastAsia"/>
        </w:rPr>
        <w:tab/>
        <w:t xml:space="preserve">970.  </w:t>
      </w:r>
      <w:r>
        <w:rPr>
          <w:rFonts w:hint="eastAsia"/>
        </w:rPr>
        <w:t>如上文所述，给予个人</w:t>
      </w:r>
      <w:r>
        <w:rPr>
          <w:rFonts w:hint="eastAsia"/>
        </w:rPr>
        <w:t>/</w:t>
      </w:r>
      <w:r>
        <w:rPr>
          <w:rFonts w:hint="eastAsia"/>
        </w:rPr>
        <w:t>家庭的经济援助是向不被社会保障制度所包括的长者、有需要的家庭和残疾人，以及不属社会保障受益人的所有人士提供的。有关的资助可分为定期资助</w:t>
      </w:r>
      <w:r>
        <w:rPr>
          <w:rFonts w:hint="eastAsia"/>
        </w:rPr>
        <w:t>(</w:t>
      </w:r>
      <w:r>
        <w:rPr>
          <w:rFonts w:hint="eastAsia"/>
        </w:rPr>
        <w:t>以年为基础</w:t>
      </w:r>
      <w:r>
        <w:rPr>
          <w:rFonts w:hint="eastAsia"/>
        </w:rPr>
        <w:t>)</w:t>
      </w:r>
      <w:r>
        <w:rPr>
          <w:rFonts w:hint="eastAsia"/>
        </w:rPr>
        <w:t>和偶发性资助。</w:t>
      </w:r>
    </w:p>
    <w:p w:rsidR="00000000" w:rsidRDefault="00000000">
      <w:pPr>
        <w:rPr>
          <w:rFonts w:hint="eastAsia"/>
        </w:rPr>
      </w:pPr>
      <w:r>
        <w:rPr>
          <w:rFonts w:hint="eastAsia"/>
        </w:rPr>
        <w:tab/>
        <w:t xml:space="preserve">971.  </w:t>
      </w:r>
      <w:r>
        <w:rPr>
          <w:rFonts w:hint="eastAsia"/>
        </w:rPr>
        <w:t>定期资助包括：老人援助金或补充老人援助金、给予有严重经济困难的个人</w:t>
      </w:r>
      <w:r>
        <w:rPr>
          <w:rFonts w:hint="eastAsia"/>
        </w:rPr>
        <w:t>/</w:t>
      </w:r>
      <w:r>
        <w:rPr>
          <w:rFonts w:hint="eastAsia"/>
        </w:rPr>
        <w:t>家庭、残疾人、失业者、病者和肺尘埃沈著病患者的资助，以及给予单亲家庭的资助。</w:t>
      </w:r>
    </w:p>
    <w:p w:rsidR="00000000" w:rsidRDefault="00000000">
      <w:pPr>
        <w:rPr>
          <w:rFonts w:hint="eastAsia"/>
        </w:rPr>
      </w:pPr>
      <w:r>
        <w:rPr>
          <w:rFonts w:hint="eastAsia"/>
        </w:rPr>
        <w:tab/>
        <w:t xml:space="preserve">972.  </w:t>
      </w:r>
      <w:r>
        <w:rPr>
          <w:rFonts w:hint="eastAsia"/>
        </w:rPr>
        <w:t>偶发性资助包括：丧葬资助、家居维修工程资助、给予灾祸受害人的资助、购置家具、义肢和其他特殊设备资助、入住院舍或住院费用资助，以及学费和公共交通费用资助。目前，每月向每一人发放的定期资助上限为澳门币</w:t>
      </w:r>
      <w:r>
        <w:rPr>
          <w:rFonts w:hint="eastAsia"/>
        </w:rPr>
        <w:t>1,300</w:t>
      </w:r>
      <w:r>
        <w:rPr>
          <w:rFonts w:hint="eastAsia"/>
        </w:rPr>
        <w:t>元。</w:t>
      </w:r>
    </w:p>
    <w:p w:rsidR="00000000" w:rsidRDefault="00000000">
      <w:pPr>
        <w:rPr>
          <w:rFonts w:hint="eastAsia"/>
        </w:rPr>
      </w:pPr>
      <w:r>
        <w:rPr>
          <w:rFonts w:hint="eastAsia"/>
        </w:rPr>
        <w:tab/>
        <w:t>973.  2001</w:t>
      </w:r>
      <w:r>
        <w:rPr>
          <w:rFonts w:hint="eastAsia"/>
        </w:rPr>
        <w:t>年，社会工作局共向</w:t>
      </w:r>
      <w:r>
        <w:rPr>
          <w:rFonts w:hint="eastAsia"/>
        </w:rPr>
        <w:t>5,035</w:t>
      </w:r>
      <w:r>
        <w:rPr>
          <w:rFonts w:hint="eastAsia"/>
        </w:rPr>
        <w:t>个个人</w:t>
      </w:r>
      <w:r>
        <w:rPr>
          <w:rFonts w:hint="eastAsia"/>
        </w:rPr>
        <w:t>/</w:t>
      </w:r>
      <w:r>
        <w:rPr>
          <w:rFonts w:hint="eastAsia"/>
        </w:rPr>
        <w:t>家庭</w:t>
      </w:r>
      <w:r>
        <w:rPr>
          <w:rFonts w:hint="eastAsia"/>
        </w:rPr>
        <w:t>(</w:t>
      </w:r>
      <w:r>
        <w:rPr>
          <w:rFonts w:hint="eastAsia"/>
        </w:rPr>
        <w:t>涉及</w:t>
      </w:r>
      <w:r>
        <w:rPr>
          <w:rFonts w:hint="eastAsia"/>
        </w:rPr>
        <w:t>13,069</w:t>
      </w:r>
      <w:r>
        <w:rPr>
          <w:rFonts w:hint="eastAsia"/>
        </w:rPr>
        <w:t>人</w:t>
      </w:r>
      <w:r>
        <w:rPr>
          <w:rFonts w:hint="eastAsia"/>
        </w:rPr>
        <w:t>)</w:t>
      </w:r>
      <w:r>
        <w:rPr>
          <w:rFonts w:hint="eastAsia"/>
        </w:rPr>
        <w:t>发放资助，总额为澳门币</w:t>
      </w:r>
      <w:r>
        <w:rPr>
          <w:rFonts w:hint="eastAsia"/>
        </w:rPr>
        <w:t>65,686,144</w:t>
      </w:r>
      <w:r>
        <w:rPr>
          <w:rFonts w:hint="eastAsia"/>
        </w:rPr>
        <w:t>元，而在</w:t>
      </w:r>
      <w:r>
        <w:rPr>
          <w:rFonts w:hint="eastAsia"/>
        </w:rPr>
        <w:t>2000</w:t>
      </w:r>
      <w:r>
        <w:rPr>
          <w:rFonts w:hint="eastAsia"/>
        </w:rPr>
        <w:t>年，共向</w:t>
      </w:r>
      <w:r>
        <w:rPr>
          <w:rFonts w:hint="eastAsia"/>
        </w:rPr>
        <w:t>4,235</w:t>
      </w:r>
      <w:r>
        <w:rPr>
          <w:rFonts w:hint="eastAsia"/>
        </w:rPr>
        <w:t>个个人</w:t>
      </w:r>
      <w:r>
        <w:rPr>
          <w:rFonts w:hint="eastAsia"/>
        </w:rPr>
        <w:t>/</w:t>
      </w:r>
      <w:r>
        <w:rPr>
          <w:rFonts w:hint="eastAsia"/>
        </w:rPr>
        <w:t>家庭</w:t>
      </w:r>
      <w:r>
        <w:rPr>
          <w:rFonts w:hint="eastAsia"/>
        </w:rPr>
        <w:t>(</w:t>
      </w:r>
      <w:r>
        <w:rPr>
          <w:rFonts w:hint="eastAsia"/>
        </w:rPr>
        <w:t>涉及</w:t>
      </w:r>
      <w:r>
        <w:rPr>
          <w:rFonts w:hint="eastAsia"/>
        </w:rPr>
        <w:t>12,029</w:t>
      </w:r>
      <w:r>
        <w:rPr>
          <w:rFonts w:hint="eastAsia"/>
        </w:rPr>
        <w:t>人</w:t>
      </w:r>
      <w:r>
        <w:rPr>
          <w:rFonts w:hint="eastAsia"/>
        </w:rPr>
        <w:t>)</w:t>
      </w:r>
      <w:r>
        <w:rPr>
          <w:rFonts w:hint="eastAsia"/>
        </w:rPr>
        <w:t>发放资助，总额为澳门币</w:t>
      </w:r>
      <w:r>
        <w:rPr>
          <w:rFonts w:hint="eastAsia"/>
        </w:rPr>
        <w:t>47,606,226</w:t>
      </w:r>
      <w:r>
        <w:rPr>
          <w:rFonts w:hint="eastAsia"/>
        </w:rPr>
        <w:t>元。</w:t>
      </w:r>
      <w:r>
        <w:rPr>
          <w:rFonts w:hint="eastAsia"/>
        </w:rPr>
        <w:t>2001</w:t>
      </w:r>
      <w:r>
        <w:rPr>
          <w:rFonts w:hint="eastAsia"/>
        </w:rPr>
        <w:t>年，共</w:t>
      </w:r>
      <w:r>
        <w:rPr>
          <w:rFonts w:hint="eastAsia"/>
        </w:rPr>
        <w:t>315</w:t>
      </w:r>
      <w:r>
        <w:rPr>
          <w:rFonts w:hint="eastAsia"/>
        </w:rPr>
        <w:t>个个人</w:t>
      </w:r>
      <w:r>
        <w:rPr>
          <w:rFonts w:hint="eastAsia"/>
        </w:rPr>
        <w:t>/</w:t>
      </w:r>
      <w:r>
        <w:rPr>
          <w:rFonts w:hint="eastAsia"/>
        </w:rPr>
        <w:t>家庭</w:t>
      </w:r>
      <w:r>
        <w:rPr>
          <w:rFonts w:hint="eastAsia"/>
        </w:rPr>
        <w:t>(</w:t>
      </w:r>
      <w:r>
        <w:rPr>
          <w:rFonts w:hint="eastAsia"/>
        </w:rPr>
        <w:t>涉及</w:t>
      </w:r>
      <w:r>
        <w:rPr>
          <w:rFonts w:hint="eastAsia"/>
        </w:rPr>
        <w:t>831</w:t>
      </w:r>
      <w:r>
        <w:rPr>
          <w:rFonts w:hint="eastAsia"/>
        </w:rPr>
        <w:t>人</w:t>
      </w:r>
      <w:r>
        <w:rPr>
          <w:rFonts w:hint="eastAsia"/>
        </w:rPr>
        <w:t>)</w:t>
      </w:r>
      <w:r>
        <w:rPr>
          <w:rFonts w:hint="eastAsia"/>
        </w:rPr>
        <w:t>获社会工作局给予偶发性资助，总额为澳门币</w:t>
      </w:r>
      <w:r>
        <w:rPr>
          <w:rFonts w:hint="eastAsia"/>
        </w:rPr>
        <w:t>791,822</w:t>
      </w:r>
      <w:r>
        <w:rPr>
          <w:rFonts w:hint="eastAsia"/>
        </w:rPr>
        <w:t>元，而在</w:t>
      </w:r>
      <w:r>
        <w:rPr>
          <w:rFonts w:hint="eastAsia"/>
        </w:rPr>
        <w:t>2000</w:t>
      </w:r>
      <w:r>
        <w:rPr>
          <w:rFonts w:hint="eastAsia"/>
        </w:rPr>
        <w:t>年，共</w:t>
      </w:r>
      <w:r>
        <w:rPr>
          <w:rFonts w:hint="eastAsia"/>
        </w:rPr>
        <w:t>258</w:t>
      </w:r>
      <w:r>
        <w:rPr>
          <w:rFonts w:hint="eastAsia"/>
        </w:rPr>
        <w:t>个个人</w:t>
      </w:r>
      <w:r>
        <w:rPr>
          <w:rFonts w:hint="eastAsia"/>
        </w:rPr>
        <w:t>/</w:t>
      </w:r>
      <w:r>
        <w:rPr>
          <w:rFonts w:hint="eastAsia"/>
        </w:rPr>
        <w:t>家庭</w:t>
      </w:r>
      <w:r>
        <w:rPr>
          <w:rFonts w:hint="eastAsia"/>
        </w:rPr>
        <w:t>(</w:t>
      </w:r>
      <w:r>
        <w:rPr>
          <w:rFonts w:hint="eastAsia"/>
        </w:rPr>
        <w:t>涉及</w:t>
      </w:r>
      <w:r>
        <w:rPr>
          <w:rFonts w:hint="eastAsia"/>
        </w:rPr>
        <w:t>724</w:t>
      </w:r>
      <w:r>
        <w:rPr>
          <w:rFonts w:hint="eastAsia"/>
        </w:rPr>
        <w:t>人</w:t>
      </w:r>
      <w:r>
        <w:rPr>
          <w:rFonts w:hint="eastAsia"/>
        </w:rPr>
        <w:t>)</w:t>
      </w:r>
      <w:r>
        <w:rPr>
          <w:rFonts w:hint="eastAsia"/>
        </w:rPr>
        <w:t>获给予偶发性资助，总额为澳门币</w:t>
      </w:r>
      <w:r>
        <w:rPr>
          <w:rFonts w:hint="eastAsia"/>
        </w:rPr>
        <w:t>755,778</w:t>
      </w:r>
      <w:r>
        <w:rPr>
          <w:rFonts w:hint="eastAsia"/>
        </w:rPr>
        <w:t>元。</w:t>
      </w:r>
    </w:p>
    <w:p w:rsidR="00000000" w:rsidRDefault="00000000">
      <w:pPr>
        <w:rPr>
          <w:rFonts w:hint="eastAsia"/>
        </w:rPr>
      </w:pPr>
      <w:r>
        <w:rPr>
          <w:rFonts w:hint="eastAsia"/>
        </w:rPr>
        <w:tab/>
        <w:t xml:space="preserve">974.  </w:t>
      </w:r>
      <w:r>
        <w:rPr>
          <w:rFonts w:hint="eastAsia"/>
        </w:rPr>
        <w:t>为获得上述资助，须符合以下条件：申请人须为澳门特别行政区居民或在提出申请前最少在澳门特别行政区居住满</w:t>
      </w:r>
      <w:r>
        <w:rPr>
          <w:rFonts w:hint="eastAsia"/>
        </w:rPr>
        <w:t>18</w:t>
      </w:r>
      <w:r>
        <w:rPr>
          <w:rFonts w:hint="eastAsia"/>
        </w:rPr>
        <w:t>个月。之后，社会工作局会进行评审并核实个人</w:t>
      </w:r>
      <w:r>
        <w:rPr>
          <w:rFonts w:hint="eastAsia"/>
        </w:rPr>
        <w:t>/</w:t>
      </w:r>
      <w:r>
        <w:rPr>
          <w:rFonts w:hint="eastAsia"/>
        </w:rPr>
        <w:t>家庭是否生活在贫穷线之下</w:t>
      </w:r>
      <w:r>
        <w:rPr>
          <w:rFonts w:hint="eastAsia"/>
        </w:rPr>
        <w:t>(</w:t>
      </w:r>
      <w:r>
        <w:rPr>
          <w:rFonts w:hint="eastAsia"/>
        </w:rPr>
        <w:t>即家庭入息低于最低维生指数的标准</w:t>
      </w:r>
      <w:r>
        <w:rPr>
          <w:rFonts w:hint="eastAsia"/>
        </w:rPr>
        <w:t>)</w:t>
      </w:r>
      <w:r>
        <w:rPr>
          <w:rFonts w:hint="eastAsia"/>
        </w:rPr>
        <w:t>。</w:t>
      </w:r>
    </w:p>
    <w:p w:rsidR="00000000" w:rsidRDefault="00000000">
      <w:pPr>
        <w:rPr>
          <w:rFonts w:hint="eastAsia"/>
        </w:rPr>
      </w:pPr>
      <w:r>
        <w:rPr>
          <w:rFonts w:hint="eastAsia"/>
        </w:rPr>
        <w:tab/>
        <w:t xml:space="preserve">975.  </w:t>
      </w:r>
      <w:r>
        <w:rPr>
          <w:rFonts w:hint="eastAsia"/>
        </w:rPr>
        <w:t>自</w:t>
      </w:r>
      <w:r>
        <w:rPr>
          <w:rFonts w:hint="eastAsia"/>
        </w:rPr>
        <w:t>2002</w:t>
      </w:r>
      <w:r>
        <w:rPr>
          <w:rFonts w:hint="eastAsia"/>
        </w:rPr>
        <w:t>年</w:t>
      </w:r>
      <w:r>
        <w:rPr>
          <w:rFonts w:hint="eastAsia"/>
        </w:rPr>
        <w:t>5</w:t>
      </w:r>
      <w:r>
        <w:rPr>
          <w:rFonts w:hint="eastAsia"/>
        </w:rPr>
        <w:t>月起，社会工作局向下列有需要的家庭发放特别补助：单亲家庭、成员中有长期病患者或残疾人的家庭。透过发放补助，舒缓该等家庭的经济压力</w:t>
      </w:r>
      <w:r>
        <w:rPr>
          <w:rFonts w:hint="eastAsia"/>
        </w:rPr>
        <w:t>(4</w:t>
      </w:r>
      <w:r>
        <w:rPr>
          <w:rFonts w:hint="eastAsia"/>
        </w:rPr>
        <w:t>月</w:t>
      </w:r>
      <w:r>
        <w:rPr>
          <w:rFonts w:hint="eastAsia"/>
        </w:rPr>
        <w:t>8</w:t>
      </w:r>
      <w:r>
        <w:rPr>
          <w:rFonts w:hint="eastAsia"/>
        </w:rPr>
        <w:t>日第</w:t>
      </w:r>
      <w:r>
        <w:rPr>
          <w:rFonts w:hint="eastAsia"/>
        </w:rPr>
        <w:t>21/2002</w:t>
      </w:r>
      <w:r>
        <w:rPr>
          <w:rFonts w:hint="eastAsia"/>
        </w:rPr>
        <w:t>号社会文化司司长批示</w:t>
      </w:r>
      <w:r>
        <w:rPr>
          <w:rFonts w:hint="eastAsia"/>
        </w:rPr>
        <w:t>)</w:t>
      </w:r>
      <w:r>
        <w:rPr>
          <w:rFonts w:hint="eastAsia"/>
        </w:rPr>
        <w:t>。</w:t>
      </w:r>
    </w:p>
    <w:p w:rsidR="00000000" w:rsidRDefault="00000000">
      <w:pPr>
        <w:rPr>
          <w:rFonts w:hint="eastAsia"/>
        </w:rPr>
      </w:pPr>
      <w:r>
        <w:rPr>
          <w:rFonts w:hint="eastAsia"/>
        </w:rPr>
        <w:tab/>
        <w:t xml:space="preserve">976.  </w:t>
      </w:r>
      <w:r>
        <w:rPr>
          <w:rFonts w:hint="eastAsia"/>
        </w:rPr>
        <w:t>如收取资助的个人或其家庭继续有需要获得援助，社会工作局可按照具体情况延长资助发放期最多</w:t>
      </w:r>
      <w:r>
        <w:rPr>
          <w:rFonts w:hint="eastAsia"/>
        </w:rPr>
        <w:t>1</w:t>
      </w:r>
      <w:r>
        <w:rPr>
          <w:rFonts w:hint="eastAsia"/>
        </w:rPr>
        <w:t>年。同样，如有关的个人或家庭不符合收取资助的条件</w:t>
      </w:r>
      <w:r>
        <w:rPr>
          <w:rFonts w:hint="eastAsia"/>
        </w:rPr>
        <w:t>(</w:t>
      </w:r>
      <w:r>
        <w:rPr>
          <w:rFonts w:hint="eastAsia"/>
        </w:rPr>
        <w:t>例如，虽持有澳门特别行政区居民身份证，但尚未成年</w:t>
      </w:r>
      <w:r>
        <w:rPr>
          <w:rFonts w:hint="eastAsia"/>
        </w:rPr>
        <w:t>)</w:t>
      </w:r>
      <w:r>
        <w:rPr>
          <w:rFonts w:hint="eastAsia"/>
        </w:rPr>
        <w:t>，社会工作局可分析具体情况而决定给予适当援助。</w:t>
      </w:r>
    </w:p>
    <w:p w:rsidR="00000000" w:rsidRDefault="00000000">
      <w:pPr>
        <w:spacing w:after="320"/>
        <w:rPr>
          <w:rFonts w:hint="eastAsia"/>
        </w:rPr>
      </w:pPr>
      <w:r>
        <w:rPr>
          <w:rFonts w:hint="eastAsia"/>
        </w:rPr>
        <w:tab/>
        <w:t xml:space="preserve">977.  </w:t>
      </w:r>
      <w:r>
        <w:rPr>
          <w:rFonts w:hint="eastAsia"/>
        </w:rPr>
        <w:t>总括而言，社会工作局给予资助的目的是确保满足有需要的人在生活上的最基本需要，如食物、住宿和其他日常生活需要。如有特殊需要，个人或家庭可直接向社会工作局或私人机构申请援助。</w:t>
      </w:r>
    </w:p>
    <w:p w:rsidR="00000000" w:rsidRDefault="00000000">
      <w:pPr>
        <w:pStyle w:val="Heading3"/>
        <w:rPr>
          <w:rFonts w:hint="eastAsia"/>
        </w:rPr>
      </w:pPr>
      <w:bookmarkStart w:id="92" w:name="_Toc78773001"/>
      <w:r>
        <w:rPr>
          <w:rFonts w:hint="eastAsia"/>
          <w:u w:val="none"/>
        </w:rPr>
        <w:t xml:space="preserve">B.  </w:t>
      </w:r>
      <w:r>
        <w:rPr>
          <w:rFonts w:hint="eastAsia"/>
        </w:rPr>
        <w:t>获得足够食物的权利</w:t>
      </w:r>
      <w:bookmarkEnd w:id="92"/>
    </w:p>
    <w:p w:rsidR="00000000" w:rsidRDefault="00000000">
      <w:pPr>
        <w:rPr>
          <w:rFonts w:hint="eastAsia"/>
        </w:rPr>
      </w:pPr>
      <w:r>
        <w:rPr>
          <w:rFonts w:hint="eastAsia"/>
        </w:rPr>
        <w:tab/>
        <w:t xml:space="preserve">978.  </w:t>
      </w:r>
      <w:r>
        <w:rPr>
          <w:rFonts w:hint="eastAsia"/>
        </w:rPr>
        <w:t>至今，并无任何关于营养不良的资料。然而，体重偏低的初生婴儿所占比率低，可作为有用的参考指数。</w:t>
      </w:r>
      <w:r>
        <w:rPr>
          <w:rFonts w:hint="eastAsia"/>
        </w:rPr>
        <w:t>1999</w:t>
      </w:r>
      <w:r>
        <w:rPr>
          <w:rFonts w:hint="eastAsia"/>
        </w:rPr>
        <w:t>年，体重偏低</w:t>
      </w:r>
      <w:r>
        <w:rPr>
          <w:rFonts w:hint="eastAsia"/>
        </w:rPr>
        <w:t>(&lt;2,500</w:t>
      </w:r>
      <w:r>
        <w:t>g</w:t>
      </w:r>
      <w:r>
        <w:rPr>
          <w:rFonts w:hint="eastAsia"/>
        </w:rPr>
        <w:t>.)</w:t>
      </w:r>
      <w:r>
        <w:rPr>
          <w:rFonts w:hint="eastAsia"/>
        </w:rPr>
        <w:t>的初生婴儿所占比率为</w:t>
      </w:r>
      <w:r>
        <w:rPr>
          <w:rFonts w:hint="eastAsia"/>
        </w:rPr>
        <w:t>5.4%</w:t>
      </w:r>
      <w:r>
        <w:rPr>
          <w:rFonts w:hint="eastAsia"/>
        </w:rPr>
        <w:t>，</w:t>
      </w:r>
      <w:r>
        <w:rPr>
          <w:rFonts w:hint="eastAsia"/>
        </w:rPr>
        <w:t>2000</w:t>
      </w:r>
      <w:r>
        <w:rPr>
          <w:rFonts w:hint="eastAsia"/>
        </w:rPr>
        <w:t>年为</w:t>
      </w:r>
      <w:r>
        <w:rPr>
          <w:rFonts w:hint="eastAsia"/>
        </w:rPr>
        <w:t>5.3%</w:t>
      </w:r>
      <w:r>
        <w:rPr>
          <w:rFonts w:hint="eastAsia"/>
        </w:rPr>
        <w:t>，而</w:t>
      </w:r>
      <w:r>
        <w:rPr>
          <w:rFonts w:hint="eastAsia"/>
        </w:rPr>
        <w:t>2001</w:t>
      </w:r>
      <w:r>
        <w:rPr>
          <w:rFonts w:hint="eastAsia"/>
        </w:rPr>
        <w:t>年为</w:t>
      </w:r>
      <w:r>
        <w:rPr>
          <w:rFonts w:hint="eastAsia"/>
        </w:rPr>
        <w:t>5.6%</w:t>
      </w:r>
      <w:r>
        <w:rPr>
          <w:rFonts w:hint="eastAsia"/>
        </w:rPr>
        <w:t>。</w:t>
      </w:r>
    </w:p>
    <w:p w:rsidR="00000000" w:rsidRDefault="00000000">
      <w:pPr>
        <w:rPr>
          <w:rFonts w:hint="eastAsia"/>
        </w:rPr>
      </w:pPr>
      <w:r>
        <w:rPr>
          <w:rFonts w:hint="eastAsia"/>
        </w:rPr>
        <w:tab/>
        <w:t xml:space="preserve">979.  </w:t>
      </w:r>
      <w:r>
        <w:rPr>
          <w:rFonts w:hint="eastAsia"/>
        </w:rPr>
        <w:t>澳门特别行政区政府承认健康和均衡的饮食对儿童和青少年的身心发展极为重要。</w:t>
      </w:r>
    </w:p>
    <w:p w:rsidR="00000000" w:rsidRDefault="00000000">
      <w:pPr>
        <w:rPr>
          <w:rFonts w:hint="eastAsia"/>
        </w:rPr>
      </w:pPr>
      <w:r>
        <w:rPr>
          <w:rFonts w:hint="eastAsia"/>
        </w:rPr>
        <w:tab/>
        <w:t xml:space="preserve">980.  </w:t>
      </w:r>
      <w:r>
        <w:rPr>
          <w:rFonts w:hint="eastAsia"/>
        </w:rPr>
        <w:t>因此，在进行产科和儿科范围的健康检查时，均有向母亲强调喂哺母乳和均衡饮食的重要性，并鼓励她们在婴儿出生后立即开始以母乳喂哺。在医院的产科和各卫生中心进行诊察时，亦会继续提供有关方面的指引和协助。</w:t>
      </w:r>
    </w:p>
    <w:p w:rsidR="00000000" w:rsidRDefault="00000000">
      <w:pPr>
        <w:rPr>
          <w:rFonts w:hint="eastAsia"/>
        </w:rPr>
      </w:pPr>
      <w:r>
        <w:rPr>
          <w:rFonts w:hint="eastAsia"/>
        </w:rPr>
        <w:tab/>
        <w:t xml:space="preserve">981.  </w:t>
      </w:r>
      <w:r>
        <w:rPr>
          <w:rFonts w:hint="eastAsia"/>
        </w:rPr>
        <w:t>儿童保健计划是一项免费向所有儿童提供的计划，包括评估儿童成长情况的定期诊察、营养学方面的教育和指引、供应多种维他命和其他补充物品。</w:t>
      </w:r>
    </w:p>
    <w:p w:rsidR="00000000" w:rsidRDefault="00000000">
      <w:pPr>
        <w:rPr>
          <w:rFonts w:hint="eastAsia"/>
        </w:rPr>
      </w:pPr>
      <w:r>
        <w:rPr>
          <w:rFonts w:hint="eastAsia"/>
        </w:rPr>
        <w:tab/>
        <w:t xml:space="preserve">982.  </w:t>
      </w:r>
      <w:r>
        <w:rPr>
          <w:rFonts w:hint="eastAsia"/>
        </w:rPr>
        <w:t>在托儿所和幼稚园，膳食的准备必须妥善，在质和量方面应与儿童的年龄配合</w:t>
      </w:r>
      <w:r>
        <w:rPr>
          <w:rFonts w:hint="eastAsia"/>
        </w:rPr>
        <w:t>(5</w:t>
      </w:r>
      <w:r>
        <w:rPr>
          <w:rFonts w:hint="eastAsia"/>
        </w:rPr>
        <w:t>月</w:t>
      </w:r>
      <w:r>
        <w:rPr>
          <w:rFonts w:hint="eastAsia"/>
        </w:rPr>
        <w:t>24</w:t>
      </w:r>
      <w:r>
        <w:rPr>
          <w:rFonts w:hint="eastAsia"/>
        </w:rPr>
        <w:t>日第</w:t>
      </w:r>
      <w:r>
        <w:rPr>
          <w:rFonts w:hint="eastAsia"/>
        </w:rPr>
        <w:t>156/99/M</w:t>
      </w:r>
      <w:r>
        <w:rPr>
          <w:rFonts w:hint="eastAsia"/>
        </w:rPr>
        <w:t>号训令第二十条</w:t>
      </w:r>
      <w:r>
        <w:rPr>
          <w:rFonts w:hint="eastAsia"/>
        </w:rPr>
        <w:t>)</w:t>
      </w:r>
      <w:r>
        <w:rPr>
          <w:rFonts w:hint="eastAsia"/>
        </w:rPr>
        <w:t>。</w:t>
      </w:r>
    </w:p>
    <w:p w:rsidR="00000000" w:rsidRDefault="00000000">
      <w:pPr>
        <w:rPr>
          <w:rFonts w:hint="eastAsia"/>
        </w:rPr>
      </w:pPr>
      <w:r>
        <w:rPr>
          <w:rFonts w:hint="eastAsia"/>
        </w:rPr>
        <w:tab/>
        <w:t xml:space="preserve">983.  </w:t>
      </w:r>
      <w:r>
        <w:rPr>
          <w:rFonts w:hint="eastAsia"/>
        </w:rPr>
        <w:t>在儿童和青少年院舍，膳食必须均衡，并应根据使用者的年龄选择不同的食物</w:t>
      </w:r>
      <w:r>
        <w:rPr>
          <w:rFonts w:hint="eastAsia"/>
        </w:rPr>
        <w:t>(5</w:t>
      </w:r>
      <w:r>
        <w:rPr>
          <w:rFonts w:hint="eastAsia"/>
        </w:rPr>
        <w:t>月</w:t>
      </w:r>
      <w:r>
        <w:rPr>
          <w:rFonts w:hint="eastAsia"/>
        </w:rPr>
        <w:t>24</w:t>
      </w:r>
      <w:r>
        <w:rPr>
          <w:rFonts w:hint="eastAsia"/>
        </w:rPr>
        <w:t>日第</w:t>
      </w:r>
      <w:r>
        <w:rPr>
          <w:rFonts w:hint="eastAsia"/>
        </w:rPr>
        <w:t>160/99/M</w:t>
      </w:r>
      <w:r>
        <w:rPr>
          <w:rFonts w:hint="eastAsia"/>
        </w:rPr>
        <w:t>号训令第二十六条第一款</w:t>
      </w:r>
      <w:r>
        <w:rPr>
          <w:rFonts w:hint="eastAsia"/>
        </w:rPr>
        <w:t>)</w:t>
      </w:r>
      <w:r>
        <w:rPr>
          <w:rFonts w:hint="eastAsia"/>
        </w:rPr>
        <w:t>。</w:t>
      </w:r>
    </w:p>
    <w:p w:rsidR="00000000" w:rsidRDefault="00000000">
      <w:pPr>
        <w:rPr>
          <w:rFonts w:hint="eastAsia"/>
        </w:rPr>
      </w:pPr>
      <w:r>
        <w:rPr>
          <w:rFonts w:hint="eastAsia"/>
        </w:rPr>
        <w:tab/>
        <w:t xml:space="preserve">984.  </w:t>
      </w:r>
      <w:r>
        <w:rPr>
          <w:rFonts w:hint="eastAsia"/>
        </w:rPr>
        <w:t>社会工作局每日为来自有经济困难家庭的学生提供膳食。膳食属免费提供或仅作象征式收费。此外，社会工作局亦为</w:t>
      </w:r>
      <w:r>
        <w:rPr>
          <w:rFonts w:hint="eastAsia"/>
        </w:rPr>
        <w:t>7</w:t>
      </w:r>
      <w:r>
        <w:rPr>
          <w:rFonts w:hint="eastAsia"/>
        </w:rPr>
        <w:t>所不同的教学机构的学生提供补充食物</w:t>
      </w:r>
      <w:r>
        <w:rPr>
          <w:rFonts w:hint="eastAsia"/>
        </w:rPr>
        <w:t>(2001</w:t>
      </w:r>
      <w:r>
        <w:rPr>
          <w:rFonts w:hint="eastAsia"/>
        </w:rPr>
        <w:t>年接受该服务的学生共</w:t>
      </w:r>
      <w:r>
        <w:rPr>
          <w:rFonts w:hint="eastAsia"/>
        </w:rPr>
        <w:t>1,193</w:t>
      </w:r>
      <w:r>
        <w:rPr>
          <w:rFonts w:hint="eastAsia"/>
        </w:rPr>
        <w:t>人，支出为澳门币</w:t>
      </w:r>
      <w:r>
        <w:rPr>
          <w:rFonts w:hint="eastAsia"/>
        </w:rPr>
        <w:t>1,149,526</w:t>
      </w:r>
      <w:r>
        <w:rPr>
          <w:rFonts w:hint="eastAsia"/>
        </w:rPr>
        <w:t>元</w:t>
      </w:r>
      <w:r>
        <w:rPr>
          <w:rFonts w:hint="eastAsia"/>
        </w:rPr>
        <w:t>)</w:t>
      </w:r>
      <w:r>
        <w:rPr>
          <w:rFonts w:hint="eastAsia"/>
        </w:rPr>
        <w:t>。</w:t>
      </w:r>
    </w:p>
    <w:p w:rsidR="00000000" w:rsidRDefault="00000000">
      <w:pPr>
        <w:rPr>
          <w:rFonts w:hint="eastAsia"/>
        </w:rPr>
      </w:pPr>
      <w:r>
        <w:rPr>
          <w:rFonts w:hint="eastAsia"/>
        </w:rPr>
        <w:tab/>
        <w:t xml:space="preserve">985.  </w:t>
      </w:r>
      <w:r>
        <w:rPr>
          <w:rFonts w:hint="eastAsia"/>
        </w:rPr>
        <w:t>另一方面，教育暨青年局联同社会工作局和卫生局，在各学校和卫生中心开展教育和社区活动计划，所涉内容包括食品安全，健康饮食和生活方式、慢性疾病和危害健康的行为等。</w:t>
      </w:r>
    </w:p>
    <w:p w:rsidR="00000000" w:rsidRDefault="00000000">
      <w:pPr>
        <w:rPr>
          <w:rFonts w:hint="eastAsia"/>
        </w:rPr>
      </w:pPr>
      <w:r>
        <w:rPr>
          <w:rFonts w:hint="eastAsia"/>
        </w:rPr>
        <w:tab/>
        <w:t xml:space="preserve">986.  </w:t>
      </w:r>
      <w:r>
        <w:rPr>
          <w:rFonts w:hint="eastAsia"/>
        </w:rPr>
        <w:t>民政总署有特定的权限，以监管本地市场的食物卫生和安全，以及食品制造业的卫生条件。</w:t>
      </w:r>
    </w:p>
    <w:p w:rsidR="00000000" w:rsidRDefault="00000000">
      <w:pPr>
        <w:rPr>
          <w:rFonts w:hint="eastAsia"/>
        </w:rPr>
      </w:pPr>
      <w:r>
        <w:rPr>
          <w:rFonts w:hint="eastAsia"/>
        </w:rPr>
        <w:tab/>
        <w:t xml:space="preserve">987.  </w:t>
      </w:r>
      <w:r>
        <w:rPr>
          <w:rFonts w:hint="eastAsia"/>
        </w:rPr>
        <w:t>民政总署透过常规的检查工作监管食物质量。此外，民政总署亦引入各种机制，利用科技方法确保食物在制造、保存和分销的全过程中的卫生条件，从而提高食物安全标准，有助居民实际享受到获得适当食物的权利。</w:t>
      </w:r>
    </w:p>
    <w:p w:rsidR="00000000" w:rsidRDefault="00000000">
      <w:pPr>
        <w:spacing w:after="320"/>
        <w:rPr>
          <w:rFonts w:hint="eastAsia"/>
        </w:rPr>
      </w:pPr>
      <w:r>
        <w:rPr>
          <w:rFonts w:hint="eastAsia"/>
        </w:rPr>
        <w:tab/>
        <w:t xml:space="preserve">988.  </w:t>
      </w:r>
      <w:r>
        <w:rPr>
          <w:rFonts w:hint="eastAsia"/>
        </w:rPr>
        <w:t>在最近</w:t>
      </w:r>
      <w:r>
        <w:rPr>
          <w:rFonts w:hint="eastAsia"/>
        </w:rPr>
        <w:t>3</w:t>
      </w:r>
      <w:r>
        <w:rPr>
          <w:rFonts w:hint="eastAsia"/>
        </w:rPr>
        <w:t>年，民政总署多次为业界的专业人员、食物卫生稽查人员和食物供应商举办关于食物卫生的培训课程和研讨会</w:t>
      </w:r>
      <w:r>
        <w:rPr>
          <w:rFonts w:hint="eastAsia"/>
        </w:rPr>
        <w:t>(2000</w:t>
      </w:r>
      <w:r>
        <w:rPr>
          <w:rFonts w:hint="eastAsia"/>
        </w:rPr>
        <w:t>年</w:t>
      </w:r>
      <w:r>
        <w:rPr>
          <w:rFonts w:hint="eastAsia"/>
        </w:rPr>
        <w:t>4</w:t>
      </w:r>
      <w:r>
        <w:rPr>
          <w:rFonts w:hint="eastAsia"/>
        </w:rPr>
        <w:t>次、</w:t>
      </w:r>
      <w:r>
        <w:rPr>
          <w:rFonts w:hint="eastAsia"/>
        </w:rPr>
        <w:t>2001</w:t>
      </w:r>
      <w:r>
        <w:rPr>
          <w:rFonts w:hint="eastAsia"/>
        </w:rPr>
        <w:t>年</w:t>
      </w:r>
      <w:r>
        <w:rPr>
          <w:rFonts w:hint="eastAsia"/>
        </w:rPr>
        <w:t>3</w:t>
      </w:r>
      <w:r>
        <w:rPr>
          <w:rFonts w:hint="eastAsia"/>
        </w:rPr>
        <w:t>次、</w:t>
      </w:r>
      <w:r>
        <w:rPr>
          <w:rFonts w:hint="eastAsia"/>
        </w:rPr>
        <w:t>2002</w:t>
      </w:r>
      <w:r>
        <w:rPr>
          <w:rFonts w:hint="eastAsia"/>
        </w:rPr>
        <w:t>年</w:t>
      </w:r>
      <w:r>
        <w:rPr>
          <w:rFonts w:hint="eastAsia"/>
        </w:rPr>
        <w:t>2</w:t>
      </w:r>
      <w:r>
        <w:rPr>
          <w:rFonts w:hint="eastAsia"/>
        </w:rPr>
        <w:t>次</w:t>
      </w:r>
      <w:r>
        <w:rPr>
          <w:rFonts w:hint="eastAsia"/>
        </w:rPr>
        <w:t>)</w:t>
      </w:r>
      <w:r>
        <w:rPr>
          <w:rFonts w:hint="eastAsia"/>
        </w:rPr>
        <w:t>。</w:t>
      </w:r>
    </w:p>
    <w:p w:rsidR="00000000" w:rsidRDefault="00000000">
      <w:pPr>
        <w:pStyle w:val="Heading3"/>
        <w:rPr>
          <w:rFonts w:hint="eastAsia"/>
        </w:rPr>
      </w:pPr>
      <w:bookmarkStart w:id="93" w:name="_Toc78773002"/>
      <w:r>
        <w:rPr>
          <w:rFonts w:hint="eastAsia"/>
          <w:u w:val="none"/>
        </w:rPr>
        <w:t xml:space="preserve">C.  </w:t>
      </w:r>
      <w:r>
        <w:rPr>
          <w:rFonts w:hint="eastAsia"/>
        </w:rPr>
        <w:t>获得适当住房的权利</w:t>
      </w:r>
      <w:bookmarkEnd w:id="93"/>
    </w:p>
    <w:p w:rsidR="00000000" w:rsidRDefault="00000000">
      <w:pPr>
        <w:rPr>
          <w:rFonts w:hint="eastAsia"/>
        </w:rPr>
      </w:pPr>
      <w:r>
        <w:rPr>
          <w:rFonts w:hint="eastAsia"/>
        </w:rPr>
        <w:tab/>
        <w:t xml:space="preserve">989.  </w:t>
      </w:r>
      <w:r>
        <w:rPr>
          <w:rFonts w:hint="eastAsia"/>
        </w:rPr>
        <w:t>澳门特别行政区政府为有经济困难、无能力购买或租住房屋，又或有搬迁困难的人提供社会房屋或临时房屋。</w:t>
      </w:r>
    </w:p>
    <w:p w:rsidR="00000000" w:rsidRDefault="00000000">
      <w:pPr>
        <w:rPr>
          <w:rFonts w:hint="eastAsia"/>
        </w:rPr>
      </w:pPr>
      <w:r>
        <w:rPr>
          <w:rFonts w:hint="eastAsia"/>
        </w:rPr>
        <w:tab/>
        <w:t xml:space="preserve">990.  </w:t>
      </w:r>
      <w:r>
        <w:rPr>
          <w:rFonts w:hint="eastAsia"/>
        </w:rPr>
        <w:t>社会房屋制度分成两大类别：经济房屋和社会房屋。</w:t>
      </w:r>
    </w:p>
    <w:p w:rsidR="00000000" w:rsidRDefault="00000000">
      <w:pPr>
        <w:rPr>
          <w:rFonts w:hint="eastAsia"/>
        </w:rPr>
      </w:pPr>
      <w:r>
        <w:rPr>
          <w:rFonts w:hint="eastAsia"/>
        </w:rPr>
        <w:tab/>
        <w:t xml:space="preserve">991.  </w:t>
      </w:r>
      <w:r>
        <w:rPr>
          <w:rFonts w:hint="eastAsia"/>
        </w:rPr>
        <w:t>经济房屋是在澳门特别行政区政府与建筑商签订的特别土地批给合同范围内兴建的。主要目的是透过按本地需要而增加廉价或价格较私人市场为低的房屋的供应量，以舒缓本地在住房方面的需求和协助本地建筑业的发展。</w:t>
      </w:r>
    </w:p>
    <w:p w:rsidR="00000000" w:rsidRDefault="00000000">
      <w:pPr>
        <w:rPr>
          <w:rFonts w:hint="eastAsia"/>
        </w:rPr>
      </w:pPr>
      <w:r>
        <w:rPr>
          <w:rFonts w:hint="eastAsia"/>
        </w:rPr>
        <w:tab/>
        <w:t xml:space="preserve">992.  </w:t>
      </w:r>
      <w:r>
        <w:rPr>
          <w:rFonts w:hint="eastAsia"/>
        </w:rPr>
        <w:t>购买经济房屋的申请由房屋局负责处理，每</w:t>
      </w:r>
      <w:r>
        <w:rPr>
          <w:rFonts w:hint="eastAsia"/>
        </w:rPr>
        <w:t>3</w:t>
      </w:r>
      <w:r>
        <w:rPr>
          <w:rFonts w:hint="eastAsia"/>
        </w:rPr>
        <w:t>年进行</w:t>
      </w:r>
      <w:r>
        <w:rPr>
          <w:rFonts w:hint="eastAsia"/>
        </w:rPr>
        <w:t>1</w:t>
      </w:r>
      <w:r>
        <w:rPr>
          <w:rFonts w:hint="eastAsia"/>
        </w:rPr>
        <w:t>次。申请人须为年满</w:t>
      </w:r>
      <w:r>
        <w:rPr>
          <w:rFonts w:hint="eastAsia"/>
        </w:rPr>
        <w:t>18</w:t>
      </w:r>
      <w:r>
        <w:rPr>
          <w:rFonts w:hint="eastAsia"/>
        </w:rPr>
        <w:t>岁、在澳门居留最少</w:t>
      </w:r>
      <w:r>
        <w:rPr>
          <w:rFonts w:hint="eastAsia"/>
        </w:rPr>
        <w:t>5</w:t>
      </w:r>
      <w:r>
        <w:rPr>
          <w:rFonts w:hint="eastAsia"/>
        </w:rPr>
        <w:t>年的本地居民</w:t>
      </w:r>
      <w:r>
        <w:rPr>
          <w:rFonts w:hint="eastAsia"/>
        </w:rPr>
        <w:t>(6</w:t>
      </w:r>
      <w:r>
        <w:rPr>
          <w:rFonts w:hint="eastAsia"/>
        </w:rPr>
        <w:t>月</w:t>
      </w:r>
      <w:r>
        <w:rPr>
          <w:rFonts w:hint="eastAsia"/>
        </w:rPr>
        <w:t>26</w:t>
      </w:r>
      <w:r>
        <w:rPr>
          <w:rFonts w:hint="eastAsia"/>
        </w:rPr>
        <w:t>日第</w:t>
      </w:r>
      <w:r>
        <w:rPr>
          <w:rFonts w:hint="eastAsia"/>
        </w:rPr>
        <w:t>26/95/M</w:t>
      </w:r>
      <w:r>
        <w:rPr>
          <w:rFonts w:hint="eastAsia"/>
        </w:rPr>
        <w:t>号法令</w:t>
      </w:r>
      <w:r>
        <w:rPr>
          <w:rFonts w:hint="eastAsia"/>
        </w:rPr>
        <w:t>)</w:t>
      </w:r>
      <w:r>
        <w:rPr>
          <w:rFonts w:hint="eastAsia"/>
        </w:rPr>
        <w:t>。</w:t>
      </w:r>
    </w:p>
    <w:p w:rsidR="00000000" w:rsidRDefault="00000000">
      <w:pPr>
        <w:rPr>
          <w:rFonts w:hint="eastAsia"/>
        </w:rPr>
      </w:pPr>
      <w:r>
        <w:rPr>
          <w:rFonts w:hint="eastAsia"/>
        </w:rPr>
        <w:tab/>
        <w:t>993.  1999</w:t>
      </w:r>
      <w:r>
        <w:rPr>
          <w:rFonts w:hint="eastAsia"/>
        </w:rPr>
        <w:t>年，</w:t>
      </w:r>
      <w:r>
        <w:rPr>
          <w:rFonts w:hint="eastAsia"/>
        </w:rPr>
        <w:t>7,309</w:t>
      </w:r>
      <w:r>
        <w:rPr>
          <w:rFonts w:hint="eastAsia"/>
        </w:rPr>
        <w:t>份申请中，获接纳的有</w:t>
      </w:r>
      <w:r>
        <w:rPr>
          <w:rFonts w:hint="eastAsia"/>
        </w:rPr>
        <w:t>6,835</w:t>
      </w:r>
      <w:r>
        <w:rPr>
          <w:rFonts w:hint="eastAsia"/>
        </w:rPr>
        <w:t>份。截至</w:t>
      </w:r>
      <w:r>
        <w:rPr>
          <w:rFonts w:hint="eastAsia"/>
        </w:rPr>
        <w:t>2002</w:t>
      </w:r>
      <w:r>
        <w:rPr>
          <w:rFonts w:hint="eastAsia"/>
        </w:rPr>
        <w:t>年</w:t>
      </w:r>
      <w:r>
        <w:rPr>
          <w:rFonts w:hint="eastAsia"/>
        </w:rPr>
        <w:t>9</w:t>
      </w:r>
      <w:r>
        <w:rPr>
          <w:rFonts w:hint="eastAsia"/>
        </w:rPr>
        <w:t>月，约有</w:t>
      </w:r>
      <w:r>
        <w:rPr>
          <w:rFonts w:hint="eastAsia"/>
        </w:rPr>
        <w:t>3,800</w:t>
      </w:r>
      <w:r>
        <w:rPr>
          <w:rFonts w:hint="eastAsia"/>
        </w:rPr>
        <w:t>份申请在轮候名单中。</w:t>
      </w:r>
    </w:p>
    <w:p w:rsidR="00000000" w:rsidRDefault="00000000">
      <w:pPr>
        <w:rPr>
          <w:rFonts w:hint="eastAsia"/>
        </w:rPr>
      </w:pPr>
      <w:r>
        <w:rPr>
          <w:rFonts w:hint="eastAsia"/>
        </w:rPr>
        <w:tab/>
        <w:t xml:space="preserve">994.  </w:t>
      </w:r>
      <w:r>
        <w:rPr>
          <w:rFonts w:hint="eastAsia"/>
        </w:rPr>
        <w:t>社会房屋属澳门特别行政区政府的财产，供经济状况较差的本地家庭租赁。分配社会房屋时，须考虑申请人的社会经济条件、家团成员数目及</w:t>
      </w:r>
      <w:r>
        <w:rPr>
          <w:rFonts w:hint="eastAsia"/>
        </w:rPr>
        <w:t>/</w:t>
      </w:r>
      <w:r>
        <w:rPr>
          <w:rFonts w:hint="eastAsia"/>
        </w:rPr>
        <w:t>或有否患病或有身体或精神缺陷的家庭成员等因素</w:t>
      </w:r>
      <w:r>
        <w:rPr>
          <w:rFonts w:hint="eastAsia"/>
        </w:rPr>
        <w:t>(8</w:t>
      </w:r>
      <w:r>
        <w:rPr>
          <w:rFonts w:hint="eastAsia"/>
        </w:rPr>
        <w:t>月</w:t>
      </w:r>
      <w:r>
        <w:rPr>
          <w:rFonts w:hint="eastAsia"/>
        </w:rPr>
        <w:t>8</w:t>
      </w:r>
      <w:r>
        <w:rPr>
          <w:rFonts w:hint="eastAsia"/>
        </w:rPr>
        <w:t>日第</w:t>
      </w:r>
      <w:r>
        <w:rPr>
          <w:rFonts w:hint="eastAsia"/>
        </w:rPr>
        <w:t>69/88/M</w:t>
      </w:r>
      <w:r>
        <w:rPr>
          <w:rFonts w:hint="eastAsia"/>
        </w:rPr>
        <w:t>号法令</w:t>
      </w:r>
      <w:r>
        <w:rPr>
          <w:rFonts w:hint="eastAsia"/>
        </w:rPr>
        <w:t>)</w:t>
      </w:r>
      <w:r>
        <w:rPr>
          <w:rFonts w:hint="eastAsia"/>
        </w:rPr>
        <w:t>。</w:t>
      </w:r>
    </w:p>
    <w:p w:rsidR="00000000" w:rsidRDefault="00000000">
      <w:pPr>
        <w:rPr>
          <w:rFonts w:hint="eastAsia"/>
        </w:rPr>
      </w:pPr>
      <w:r>
        <w:rPr>
          <w:rFonts w:hint="eastAsia"/>
        </w:rPr>
        <w:tab/>
        <w:t xml:space="preserve">995.  </w:t>
      </w:r>
      <w:r>
        <w:rPr>
          <w:rFonts w:hint="eastAsia"/>
        </w:rPr>
        <w:t>租赁社会房屋的公开竞投同样每</w:t>
      </w:r>
      <w:r>
        <w:rPr>
          <w:rFonts w:hint="eastAsia"/>
        </w:rPr>
        <w:t>3</w:t>
      </w:r>
      <w:r>
        <w:rPr>
          <w:rFonts w:hint="eastAsia"/>
        </w:rPr>
        <w:t>年进行</w:t>
      </w:r>
      <w:r>
        <w:rPr>
          <w:rFonts w:hint="eastAsia"/>
        </w:rPr>
        <w:t>1</w:t>
      </w:r>
      <w:r>
        <w:rPr>
          <w:rFonts w:hint="eastAsia"/>
        </w:rPr>
        <w:t>次，亦是由房屋局负责。</w:t>
      </w:r>
    </w:p>
    <w:p w:rsidR="00000000" w:rsidRDefault="00000000">
      <w:pPr>
        <w:rPr>
          <w:rFonts w:hint="eastAsia"/>
        </w:rPr>
      </w:pPr>
      <w:r>
        <w:rPr>
          <w:rFonts w:hint="eastAsia"/>
        </w:rPr>
        <w:tab/>
        <w:t>996.  2000</w:t>
      </w:r>
      <w:r>
        <w:rPr>
          <w:rFonts w:hint="eastAsia"/>
        </w:rPr>
        <w:t>年，</w:t>
      </w:r>
      <w:r>
        <w:rPr>
          <w:rFonts w:hint="eastAsia"/>
        </w:rPr>
        <w:t>3,986</w:t>
      </w:r>
      <w:r>
        <w:rPr>
          <w:rFonts w:hint="eastAsia"/>
        </w:rPr>
        <w:t>份申请中，获接纳的有</w:t>
      </w:r>
      <w:r>
        <w:rPr>
          <w:rFonts w:hint="eastAsia"/>
        </w:rPr>
        <w:t>3,628</w:t>
      </w:r>
      <w:r>
        <w:rPr>
          <w:rFonts w:hint="eastAsia"/>
        </w:rPr>
        <w:t>份。截至</w:t>
      </w:r>
      <w:r>
        <w:rPr>
          <w:rFonts w:hint="eastAsia"/>
        </w:rPr>
        <w:t>2002</w:t>
      </w:r>
      <w:r>
        <w:rPr>
          <w:rFonts w:hint="eastAsia"/>
        </w:rPr>
        <w:t>年</w:t>
      </w:r>
      <w:r>
        <w:rPr>
          <w:rFonts w:hint="eastAsia"/>
        </w:rPr>
        <w:t>9</w:t>
      </w:r>
      <w:r>
        <w:rPr>
          <w:rFonts w:hint="eastAsia"/>
        </w:rPr>
        <w:t>月，约有</w:t>
      </w:r>
      <w:r>
        <w:rPr>
          <w:rFonts w:hint="eastAsia"/>
        </w:rPr>
        <w:t>800</w:t>
      </w:r>
      <w:r>
        <w:rPr>
          <w:rFonts w:hint="eastAsia"/>
        </w:rPr>
        <w:t>份申请在轮候名单中。租赁社会房屋的轮候时间通常不超过</w:t>
      </w:r>
      <w:r>
        <w:rPr>
          <w:rFonts w:hint="eastAsia"/>
        </w:rPr>
        <w:t>3</w:t>
      </w:r>
      <w:r>
        <w:rPr>
          <w:rFonts w:hint="eastAsia"/>
        </w:rPr>
        <w:t>年。</w:t>
      </w:r>
    </w:p>
    <w:p w:rsidR="00000000" w:rsidRDefault="00000000">
      <w:pPr>
        <w:rPr>
          <w:rFonts w:hint="eastAsia"/>
        </w:rPr>
      </w:pPr>
      <w:r>
        <w:rPr>
          <w:rFonts w:hint="eastAsia"/>
        </w:rPr>
        <w:tab/>
        <w:t xml:space="preserve">997.  </w:t>
      </w:r>
      <w:r>
        <w:rPr>
          <w:rFonts w:hint="eastAsia"/>
        </w:rPr>
        <w:t>在例外情况下，家庭可以无须经过正常的申请程序而获安排社会房屋，尤其当发现家庭面临社会、身体或精神危险，又或有紧急搬迁的需要时</w:t>
      </w:r>
      <w:r>
        <w:rPr>
          <w:rFonts w:hint="eastAsia"/>
        </w:rPr>
        <w:t>(6</w:t>
      </w:r>
      <w:r>
        <w:rPr>
          <w:rFonts w:hint="eastAsia"/>
        </w:rPr>
        <w:t>月</w:t>
      </w:r>
      <w:r>
        <w:rPr>
          <w:rFonts w:hint="eastAsia"/>
        </w:rPr>
        <w:t>13</w:t>
      </w:r>
      <w:r>
        <w:rPr>
          <w:rFonts w:hint="eastAsia"/>
        </w:rPr>
        <w:t>日第</w:t>
      </w:r>
      <w:r>
        <w:rPr>
          <w:rFonts w:hint="eastAsia"/>
        </w:rPr>
        <w:t>45/88/M</w:t>
      </w:r>
      <w:r>
        <w:rPr>
          <w:rFonts w:hint="eastAsia"/>
        </w:rPr>
        <w:t>号法令</w:t>
      </w:r>
      <w:r>
        <w:rPr>
          <w:rFonts w:hint="eastAsia"/>
        </w:rPr>
        <w:t>)</w:t>
      </w:r>
      <w:r>
        <w:rPr>
          <w:rFonts w:hint="eastAsia"/>
        </w:rPr>
        <w:t>。</w:t>
      </w:r>
    </w:p>
    <w:p w:rsidR="00000000" w:rsidRDefault="00000000">
      <w:pPr>
        <w:rPr>
          <w:rFonts w:hint="eastAsia"/>
        </w:rPr>
      </w:pPr>
      <w:r>
        <w:rPr>
          <w:rFonts w:hint="eastAsia"/>
        </w:rPr>
        <w:tab/>
        <w:t xml:space="preserve">998.  </w:t>
      </w:r>
      <w:r>
        <w:rPr>
          <w:rFonts w:hint="eastAsia"/>
        </w:rPr>
        <w:t>整体而言，房屋局所关注的是如何缩短轮候时间，使社会房屋的供求达到平衡。截至</w:t>
      </w:r>
      <w:r>
        <w:rPr>
          <w:rFonts w:hint="eastAsia"/>
        </w:rPr>
        <w:t>2002</w:t>
      </w:r>
      <w:r>
        <w:rPr>
          <w:rFonts w:hint="eastAsia"/>
        </w:rPr>
        <w:t>年</w:t>
      </w:r>
      <w:r>
        <w:rPr>
          <w:rFonts w:hint="eastAsia"/>
        </w:rPr>
        <w:t>9</w:t>
      </w:r>
      <w:r>
        <w:rPr>
          <w:rFonts w:hint="eastAsia"/>
        </w:rPr>
        <w:t>月，</w:t>
      </w:r>
      <w:r>
        <w:rPr>
          <w:rFonts w:hint="eastAsia"/>
        </w:rPr>
        <w:t>28,200</w:t>
      </w:r>
      <w:r>
        <w:rPr>
          <w:rFonts w:hint="eastAsia"/>
        </w:rPr>
        <w:t>个家庭租住约</w:t>
      </w:r>
      <w:r>
        <w:rPr>
          <w:rFonts w:hint="eastAsia"/>
        </w:rPr>
        <w:t>30,000</w:t>
      </w:r>
      <w:r>
        <w:rPr>
          <w:rFonts w:hint="eastAsia"/>
        </w:rPr>
        <w:t>个社会房屋单位，所涉居民人数共</w:t>
      </w:r>
      <w:r>
        <w:rPr>
          <w:rFonts w:hint="eastAsia"/>
        </w:rPr>
        <w:t>79,400</w:t>
      </w:r>
      <w:r>
        <w:rPr>
          <w:rFonts w:hint="eastAsia"/>
        </w:rPr>
        <w:t>人</w:t>
      </w:r>
      <w:r>
        <w:rPr>
          <w:rFonts w:hint="eastAsia"/>
        </w:rPr>
        <w:t>(</w:t>
      </w:r>
      <w:r>
        <w:rPr>
          <w:rFonts w:hint="eastAsia"/>
        </w:rPr>
        <w:t>占澳门特别行政区人口的</w:t>
      </w:r>
      <w:r>
        <w:rPr>
          <w:rFonts w:hint="eastAsia"/>
        </w:rPr>
        <w:t>18%)</w:t>
      </w:r>
      <w:r>
        <w:rPr>
          <w:rFonts w:hint="eastAsia"/>
        </w:rPr>
        <w:t>。</w:t>
      </w:r>
    </w:p>
    <w:p w:rsidR="00000000" w:rsidRDefault="00000000">
      <w:pPr>
        <w:rPr>
          <w:rFonts w:hint="eastAsia"/>
        </w:rPr>
      </w:pPr>
      <w:r>
        <w:rPr>
          <w:rFonts w:hint="eastAsia"/>
        </w:rPr>
        <w:tab/>
        <w:t xml:space="preserve">999.  </w:t>
      </w:r>
      <w:r>
        <w:rPr>
          <w:rFonts w:hint="eastAsia"/>
        </w:rPr>
        <w:t>木屋属不符合最低居住条件的建筑，例如欠缺垃圾存放和卫生设施等。对木屋加以规范的法例为</w:t>
      </w:r>
      <w:r>
        <w:rPr>
          <w:rFonts w:hint="eastAsia"/>
        </w:rPr>
        <w:t>2</w:t>
      </w:r>
      <w:r>
        <w:rPr>
          <w:rFonts w:hint="eastAsia"/>
        </w:rPr>
        <w:t>月</w:t>
      </w:r>
      <w:r>
        <w:rPr>
          <w:rFonts w:hint="eastAsia"/>
        </w:rPr>
        <w:t>15</w:t>
      </w:r>
      <w:r>
        <w:rPr>
          <w:rFonts w:hint="eastAsia"/>
        </w:rPr>
        <w:t>日第</w:t>
      </w:r>
      <w:r>
        <w:rPr>
          <w:rFonts w:hint="eastAsia"/>
        </w:rPr>
        <w:t>6/93/M</w:t>
      </w:r>
      <w:r>
        <w:rPr>
          <w:rFonts w:hint="eastAsia"/>
        </w:rPr>
        <w:t>号法令。</w:t>
      </w:r>
    </w:p>
    <w:p w:rsidR="00000000" w:rsidRDefault="00000000">
      <w:pPr>
        <w:rPr>
          <w:rFonts w:hint="eastAsia"/>
        </w:rPr>
      </w:pPr>
      <w:r>
        <w:rPr>
          <w:rFonts w:hint="eastAsia"/>
        </w:rPr>
        <w:tab/>
        <w:t xml:space="preserve">1000.  </w:t>
      </w:r>
      <w:r>
        <w:rPr>
          <w:rFonts w:hint="eastAsia"/>
        </w:rPr>
        <w:t>目前，约有木屋</w:t>
      </w:r>
      <w:r>
        <w:rPr>
          <w:rFonts w:hint="eastAsia"/>
        </w:rPr>
        <w:t>1,000</w:t>
      </w:r>
      <w:r>
        <w:rPr>
          <w:rFonts w:hint="eastAsia"/>
        </w:rPr>
        <w:t>间，居住人数约</w:t>
      </w:r>
      <w:r>
        <w:rPr>
          <w:rFonts w:hint="eastAsia"/>
        </w:rPr>
        <w:t>3,600</w:t>
      </w:r>
      <w:r>
        <w:rPr>
          <w:rFonts w:hint="eastAsia"/>
        </w:rPr>
        <w:t>人。部分木屋区的居民由于不愿离开自己的家园，故不接受由房屋局的搬迁安排。</w:t>
      </w:r>
    </w:p>
    <w:p w:rsidR="00000000" w:rsidRDefault="00000000">
      <w:pPr>
        <w:rPr>
          <w:rFonts w:hint="eastAsia"/>
        </w:rPr>
      </w:pPr>
      <w:r>
        <w:rPr>
          <w:rFonts w:hint="eastAsia"/>
        </w:rPr>
        <w:tab/>
        <w:t xml:space="preserve">1001.  </w:t>
      </w:r>
      <w:r>
        <w:rPr>
          <w:rFonts w:hint="eastAsia"/>
        </w:rPr>
        <w:t>由于大部分木屋均建于私人土地上，增加了要求居民搬迁和清拆木屋的困难。</w:t>
      </w:r>
    </w:p>
    <w:p w:rsidR="00000000" w:rsidRDefault="00000000">
      <w:pPr>
        <w:rPr>
          <w:rFonts w:hint="eastAsia"/>
        </w:rPr>
      </w:pPr>
      <w:r>
        <w:rPr>
          <w:rFonts w:hint="eastAsia"/>
        </w:rPr>
        <w:tab/>
        <w:t xml:space="preserve">1002.  </w:t>
      </w:r>
      <w:r>
        <w:rPr>
          <w:rFonts w:hint="eastAsia"/>
        </w:rPr>
        <w:t>事实上，澳门特别行政区政府决意为真正有需要的人提供住房，并向拟购买自住房屋的人提供资助。</w:t>
      </w:r>
    </w:p>
    <w:p w:rsidR="00000000" w:rsidRDefault="00000000">
      <w:pPr>
        <w:rPr>
          <w:rFonts w:hint="eastAsia"/>
        </w:rPr>
      </w:pPr>
      <w:r>
        <w:rPr>
          <w:rFonts w:hint="eastAsia"/>
        </w:rPr>
        <w:tab/>
        <w:t xml:space="preserve">1003.  </w:t>
      </w:r>
      <w:r>
        <w:rPr>
          <w:rFonts w:hint="eastAsia"/>
        </w:rPr>
        <w:t>经</w:t>
      </w:r>
      <w:r>
        <w:rPr>
          <w:rFonts w:hint="eastAsia"/>
        </w:rPr>
        <w:t>6</w:t>
      </w:r>
      <w:r>
        <w:rPr>
          <w:rFonts w:hint="eastAsia"/>
        </w:rPr>
        <w:t>月</w:t>
      </w:r>
      <w:r>
        <w:rPr>
          <w:rFonts w:hint="eastAsia"/>
        </w:rPr>
        <w:t>26</w:t>
      </w:r>
      <w:r>
        <w:rPr>
          <w:rFonts w:hint="eastAsia"/>
        </w:rPr>
        <w:t>日第</w:t>
      </w:r>
      <w:r>
        <w:rPr>
          <w:rFonts w:hint="eastAsia"/>
        </w:rPr>
        <w:t>24/2000</w:t>
      </w:r>
      <w:r>
        <w:rPr>
          <w:rFonts w:hint="eastAsia"/>
        </w:rPr>
        <w:t>号行政法规修改的</w:t>
      </w:r>
      <w:r>
        <w:rPr>
          <w:rFonts w:hint="eastAsia"/>
        </w:rPr>
        <w:t>7</w:t>
      </w:r>
      <w:r>
        <w:rPr>
          <w:rFonts w:hint="eastAsia"/>
        </w:rPr>
        <w:t>月</w:t>
      </w:r>
      <w:r>
        <w:rPr>
          <w:rFonts w:hint="eastAsia"/>
        </w:rPr>
        <w:t>8</w:t>
      </w:r>
      <w:r>
        <w:rPr>
          <w:rFonts w:hint="eastAsia"/>
        </w:rPr>
        <w:t>日第</w:t>
      </w:r>
      <w:r>
        <w:rPr>
          <w:rFonts w:hint="eastAsia"/>
        </w:rPr>
        <w:t>35/96/M</w:t>
      </w:r>
      <w:r>
        <w:rPr>
          <w:rFonts w:hint="eastAsia"/>
        </w:rPr>
        <w:t>号法令核准了在购买或融资租赁自住房屋方面的补贴贷款制度。该制度的主要目的是透过向购买自住房屋的本地居民发放</w:t>
      </w:r>
      <w:r>
        <w:rPr>
          <w:rFonts w:hint="eastAsia"/>
        </w:rPr>
        <w:t>4</w:t>
      </w:r>
      <w:r>
        <w:rPr>
          <w:rFonts w:hint="eastAsia"/>
        </w:rPr>
        <w:t>厘利息补贴，协助居民购买自住房屋和刺激房地产市场</w:t>
      </w:r>
      <w:r>
        <w:rPr>
          <w:rFonts w:hint="eastAsia"/>
        </w:rPr>
        <w:t>(</w:t>
      </w:r>
      <w:r>
        <w:rPr>
          <w:rFonts w:hint="eastAsia"/>
        </w:rPr>
        <w:t>空置单位过剩</w:t>
      </w:r>
      <w:r>
        <w:rPr>
          <w:rFonts w:hint="eastAsia"/>
        </w:rPr>
        <w:t>)</w:t>
      </w:r>
      <w:r>
        <w:rPr>
          <w:rFonts w:hint="eastAsia"/>
        </w:rPr>
        <w:t>。</w:t>
      </w:r>
    </w:p>
    <w:p w:rsidR="00000000" w:rsidRDefault="00000000">
      <w:pPr>
        <w:spacing w:after="320"/>
        <w:rPr>
          <w:rFonts w:hint="eastAsia"/>
        </w:rPr>
      </w:pPr>
      <w:r>
        <w:rPr>
          <w:rFonts w:hint="eastAsia"/>
        </w:rPr>
        <w:tab/>
        <w:t xml:space="preserve">1004.  </w:t>
      </w:r>
      <w:r>
        <w:rPr>
          <w:rFonts w:hint="eastAsia"/>
        </w:rPr>
        <w:t>上述计划的首阶段在</w:t>
      </w:r>
      <w:r>
        <w:rPr>
          <w:rFonts w:hint="eastAsia"/>
        </w:rPr>
        <w:t>(1996</w:t>
      </w:r>
      <w:r>
        <w:rPr>
          <w:rFonts w:hint="eastAsia"/>
        </w:rPr>
        <w:t>年至</w:t>
      </w:r>
      <w:r>
        <w:rPr>
          <w:rFonts w:hint="eastAsia"/>
        </w:rPr>
        <w:t>1999</w:t>
      </w:r>
      <w:r>
        <w:rPr>
          <w:rFonts w:hint="eastAsia"/>
        </w:rPr>
        <w:t>年</w:t>
      </w:r>
      <w:r>
        <w:rPr>
          <w:rFonts w:hint="eastAsia"/>
        </w:rPr>
        <w:t>)1999</w:t>
      </w:r>
      <w:r>
        <w:rPr>
          <w:rFonts w:hint="eastAsia"/>
        </w:rPr>
        <w:t>年</w:t>
      </w:r>
      <w:r>
        <w:rPr>
          <w:rFonts w:hint="eastAsia"/>
        </w:rPr>
        <w:t>12</w:t>
      </w:r>
      <w:r>
        <w:rPr>
          <w:rFonts w:hint="eastAsia"/>
        </w:rPr>
        <w:t>月结束，其间，约</w:t>
      </w:r>
      <w:r>
        <w:rPr>
          <w:rFonts w:hint="eastAsia"/>
        </w:rPr>
        <w:t>8,300</w:t>
      </w:r>
      <w:r>
        <w:rPr>
          <w:rFonts w:hint="eastAsia"/>
        </w:rPr>
        <w:t>个家庭获发补贴。第二阶段由</w:t>
      </w:r>
      <w:r>
        <w:rPr>
          <w:rFonts w:hint="eastAsia"/>
        </w:rPr>
        <w:t>2000</w:t>
      </w:r>
      <w:r>
        <w:rPr>
          <w:rFonts w:hint="eastAsia"/>
        </w:rPr>
        <w:t>年</w:t>
      </w:r>
      <w:r>
        <w:rPr>
          <w:rFonts w:hint="eastAsia"/>
        </w:rPr>
        <w:t>7</w:t>
      </w:r>
      <w:r>
        <w:rPr>
          <w:rFonts w:hint="eastAsia"/>
        </w:rPr>
        <w:t>月开始，至</w:t>
      </w:r>
      <w:r>
        <w:rPr>
          <w:rFonts w:hint="eastAsia"/>
        </w:rPr>
        <w:t>2002</w:t>
      </w:r>
      <w:r>
        <w:rPr>
          <w:rFonts w:hint="eastAsia"/>
        </w:rPr>
        <w:t>年</w:t>
      </w:r>
      <w:r>
        <w:rPr>
          <w:rFonts w:hint="eastAsia"/>
        </w:rPr>
        <w:t>6</w:t>
      </w:r>
      <w:r>
        <w:rPr>
          <w:rFonts w:hint="eastAsia"/>
        </w:rPr>
        <w:t>月结束，其间，约</w:t>
      </w:r>
      <w:r>
        <w:rPr>
          <w:rFonts w:hint="eastAsia"/>
        </w:rPr>
        <w:t>5,800</w:t>
      </w:r>
      <w:r>
        <w:rPr>
          <w:rFonts w:hint="eastAsia"/>
        </w:rPr>
        <w:t>个家庭购买了自住房屋。</w:t>
      </w:r>
    </w:p>
    <w:p w:rsidR="00000000" w:rsidRDefault="00000000">
      <w:pPr>
        <w:pStyle w:val="Heading4"/>
        <w:rPr>
          <w:rFonts w:hint="eastAsia"/>
        </w:rPr>
      </w:pPr>
      <w:r>
        <w:rPr>
          <w:rFonts w:hint="eastAsia"/>
        </w:rPr>
        <w:t>弱势社群和有困难者的住房情况</w:t>
      </w:r>
    </w:p>
    <w:p w:rsidR="00000000" w:rsidRDefault="00000000">
      <w:pPr>
        <w:rPr>
          <w:rFonts w:hint="eastAsia"/>
        </w:rPr>
      </w:pPr>
      <w:r>
        <w:rPr>
          <w:rFonts w:hint="eastAsia"/>
        </w:rPr>
        <w:tab/>
        <w:t xml:space="preserve">1005.  </w:t>
      </w:r>
      <w:r>
        <w:rPr>
          <w:rFonts w:hint="eastAsia"/>
        </w:rPr>
        <w:t>正如世界各地的情况一样，澳门特别行政区尽管设有三所庇护中心，每所可收容</w:t>
      </w:r>
      <w:r>
        <w:rPr>
          <w:rFonts w:hint="eastAsia"/>
        </w:rPr>
        <w:t>34</w:t>
      </w:r>
      <w:r>
        <w:rPr>
          <w:rFonts w:hint="eastAsia"/>
        </w:rPr>
        <w:t>人，但仍然有露宿者的出现。</w:t>
      </w:r>
      <w:r>
        <w:rPr>
          <w:rFonts w:hint="eastAsia"/>
        </w:rPr>
        <w:t>2001</w:t>
      </w:r>
      <w:r>
        <w:rPr>
          <w:rFonts w:hint="eastAsia"/>
        </w:rPr>
        <w:t>年，庇护中心共收容过</w:t>
      </w:r>
      <w:r>
        <w:rPr>
          <w:rFonts w:hint="eastAsia"/>
        </w:rPr>
        <w:t>71</w:t>
      </w:r>
      <w:r>
        <w:rPr>
          <w:rFonts w:hint="eastAsia"/>
        </w:rPr>
        <w:t>人，据社会工作局表示，有部分露宿者拒绝入住庇护中心。</w:t>
      </w:r>
    </w:p>
    <w:p w:rsidR="00000000" w:rsidRDefault="00000000">
      <w:pPr>
        <w:rPr>
          <w:rFonts w:hint="eastAsia"/>
        </w:rPr>
      </w:pPr>
      <w:r>
        <w:rPr>
          <w:rFonts w:hint="eastAsia"/>
        </w:rPr>
        <w:tab/>
        <w:t xml:space="preserve">1006.  </w:t>
      </w:r>
      <w:r>
        <w:rPr>
          <w:rFonts w:hint="eastAsia"/>
        </w:rPr>
        <w:t>社会工作局向私人团体提供财政和技术支援，更鼓励该等团体为处于危险状况的儿童和青少年</w:t>
      </w:r>
      <w:r>
        <w:rPr>
          <w:rFonts w:hint="eastAsia"/>
        </w:rPr>
        <w:t>(</w:t>
      </w:r>
      <w:r>
        <w:rPr>
          <w:rFonts w:hint="eastAsia"/>
        </w:rPr>
        <w:t>如无家庭或缺乏家庭支持的未成年人、因家庭或社会纠纷而处于危险状况的青少年</w:t>
      </w:r>
      <w:r>
        <w:rPr>
          <w:rFonts w:hint="eastAsia"/>
        </w:rPr>
        <w:t>)</w:t>
      </w:r>
      <w:r>
        <w:rPr>
          <w:rFonts w:hint="eastAsia"/>
        </w:rPr>
        <w:t>建立院舍，收容并协助他们健康成长和融入社会。</w:t>
      </w:r>
    </w:p>
    <w:p w:rsidR="00000000" w:rsidRDefault="00000000">
      <w:pPr>
        <w:rPr>
          <w:rFonts w:hint="eastAsia"/>
        </w:rPr>
      </w:pPr>
      <w:r>
        <w:rPr>
          <w:rFonts w:hint="eastAsia"/>
        </w:rPr>
        <w:tab/>
        <w:t xml:space="preserve">1007.  </w:t>
      </w:r>
      <w:r>
        <w:rPr>
          <w:rFonts w:hint="eastAsia"/>
        </w:rPr>
        <w:t>目前，共有</w:t>
      </w:r>
      <w:r>
        <w:rPr>
          <w:rFonts w:hint="eastAsia"/>
        </w:rPr>
        <w:t>7</w:t>
      </w:r>
      <w:r>
        <w:rPr>
          <w:rFonts w:hint="eastAsia"/>
        </w:rPr>
        <w:t>所儿童和青少年院舍及</w:t>
      </w:r>
      <w:r>
        <w:rPr>
          <w:rFonts w:hint="eastAsia"/>
        </w:rPr>
        <w:t>1</w:t>
      </w:r>
      <w:r>
        <w:rPr>
          <w:rFonts w:hint="eastAsia"/>
        </w:rPr>
        <w:t>所寄宿学校，可容纳</w:t>
      </w:r>
      <w:r>
        <w:rPr>
          <w:rFonts w:hint="eastAsia"/>
        </w:rPr>
        <w:t>540</w:t>
      </w:r>
      <w:r>
        <w:rPr>
          <w:rFonts w:hint="eastAsia"/>
        </w:rPr>
        <w:t>名儿童和青少年。截至</w:t>
      </w:r>
      <w:r>
        <w:rPr>
          <w:rFonts w:hint="eastAsia"/>
        </w:rPr>
        <w:t>2002</w:t>
      </w:r>
      <w:r>
        <w:rPr>
          <w:rFonts w:hint="eastAsia"/>
        </w:rPr>
        <w:t>年</w:t>
      </w:r>
      <w:r>
        <w:rPr>
          <w:rFonts w:hint="eastAsia"/>
        </w:rPr>
        <w:t>6</w:t>
      </w:r>
      <w:r>
        <w:rPr>
          <w:rFonts w:hint="eastAsia"/>
        </w:rPr>
        <w:t>月底，共有</w:t>
      </w:r>
      <w:r>
        <w:rPr>
          <w:rFonts w:hint="eastAsia"/>
        </w:rPr>
        <w:t>392</w:t>
      </w:r>
      <w:r>
        <w:rPr>
          <w:rFonts w:hint="eastAsia"/>
        </w:rPr>
        <w:t>名儿童和青少年入住该等院舍和寄宿学校。</w:t>
      </w:r>
    </w:p>
    <w:p w:rsidR="00000000" w:rsidRDefault="00000000">
      <w:pPr>
        <w:rPr>
          <w:rFonts w:hint="eastAsia"/>
        </w:rPr>
      </w:pPr>
      <w:r>
        <w:rPr>
          <w:rFonts w:hint="eastAsia"/>
        </w:rPr>
        <w:tab/>
        <w:t xml:space="preserve">1008.  </w:t>
      </w:r>
      <w:r>
        <w:rPr>
          <w:rFonts w:hint="eastAsia"/>
        </w:rPr>
        <w:t>上述关于建立院舍和提供专门照顾的政策，亦适用于无独立能力、无法自理和无法在社区生活的长者。</w:t>
      </w:r>
    </w:p>
    <w:p w:rsidR="00000000" w:rsidRDefault="00000000">
      <w:pPr>
        <w:rPr>
          <w:rFonts w:hint="eastAsia"/>
        </w:rPr>
      </w:pPr>
      <w:r>
        <w:rPr>
          <w:rFonts w:hint="eastAsia"/>
        </w:rPr>
        <w:tab/>
        <w:t xml:space="preserve">1009.  </w:t>
      </w:r>
      <w:r>
        <w:rPr>
          <w:rFonts w:hint="eastAsia"/>
        </w:rPr>
        <w:t>目前，共有</w:t>
      </w:r>
      <w:r>
        <w:rPr>
          <w:rFonts w:hint="eastAsia"/>
        </w:rPr>
        <w:t>8</w:t>
      </w:r>
      <w:r>
        <w:rPr>
          <w:rFonts w:hint="eastAsia"/>
        </w:rPr>
        <w:t>所老人中心和</w:t>
      </w:r>
      <w:r>
        <w:rPr>
          <w:rFonts w:hint="eastAsia"/>
        </w:rPr>
        <w:t>1</w:t>
      </w:r>
      <w:r>
        <w:rPr>
          <w:rFonts w:hint="eastAsia"/>
        </w:rPr>
        <w:t>所特殊护理院舍，可接待</w:t>
      </w:r>
      <w:r>
        <w:rPr>
          <w:rFonts w:hint="eastAsia"/>
        </w:rPr>
        <w:t>784</w:t>
      </w:r>
      <w:r>
        <w:rPr>
          <w:rFonts w:hint="eastAsia"/>
        </w:rPr>
        <w:t>名长者。截至</w:t>
      </w:r>
      <w:r>
        <w:rPr>
          <w:rFonts w:hint="eastAsia"/>
        </w:rPr>
        <w:t>2002</w:t>
      </w:r>
      <w:r>
        <w:rPr>
          <w:rFonts w:hint="eastAsia"/>
        </w:rPr>
        <w:t>年</w:t>
      </w:r>
      <w:r>
        <w:rPr>
          <w:rFonts w:hint="eastAsia"/>
        </w:rPr>
        <w:t>6</w:t>
      </w:r>
      <w:r>
        <w:rPr>
          <w:rFonts w:hint="eastAsia"/>
        </w:rPr>
        <w:t>月底，共有</w:t>
      </w:r>
      <w:r>
        <w:rPr>
          <w:rFonts w:hint="eastAsia"/>
        </w:rPr>
        <w:t>662</w:t>
      </w:r>
      <w:r>
        <w:rPr>
          <w:rFonts w:hint="eastAsia"/>
        </w:rPr>
        <w:t>名长者入住该等中心和院舍。此外，澳门特别行政区政府兴建了</w:t>
      </w:r>
      <w:r>
        <w:rPr>
          <w:rFonts w:hint="eastAsia"/>
        </w:rPr>
        <w:t>5</w:t>
      </w:r>
      <w:r>
        <w:rPr>
          <w:rFonts w:hint="eastAsia"/>
        </w:rPr>
        <w:t>幢公共楼宇，收容独居长者或年老夫妇。现有</w:t>
      </w:r>
      <w:r>
        <w:rPr>
          <w:rFonts w:hint="eastAsia"/>
        </w:rPr>
        <w:t>600</w:t>
      </w:r>
      <w:r>
        <w:rPr>
          <w:rFonts w:hint="eastAsia"/>
        </w:rPr>
        <w:t>名长者入住该等楼宇。</w:t>
      </w:r>
    </w:p>
    <w:p w:rsidR="00000000" w:rsidRDefault="00000000">
      <w:pPr>
        <w:rPr>
          <w:rFonts w:hint="eastAsia"/>
        </w:rPr>
      </w:pPr>
      <w:r>
        <w:rPr>
          <w:rFonts w:hint="eastAsia"/>
        </w:rPr>
        <w:tab/>
        <w:t xml:space="preserve">1010.  </w:t>
      </w:r>
      <w:r>
        <w:rPr>
          <w:rFonts w:hint="eastAsia"/>
        </w:rPr>
        <w:t>上述援助的对象亦包括无独立能力或需他人照料和无法在社区生活的残疾人士。至今，共有</w:t>
      </w:r>
      <w:r>
        <w:rPr>
          <w:rFonts w:hint="eastAsia"/>
        </w:rPr>
        <w:t>4</w:t>
      </w:r>
      <w:r>
        <w:rPr>
          <w:rFonts w:hint="eastAsia"/>
        </w:rPr>
        <w:t>所残疾人士的复康院舍，可收容残疾儿童、智障人士或长期精神病患者。</w:t>
      </w:r>
    </w:p>
    <w:p w:rsidR="00000000" w:rsidRDefault="00000000">
      <w:pPr>
        <w:spacing w:after="320"/>
        <w:rPr>
          <w:rFonts w:hint="eastAsia"/>
        </w:rPr>
      </w:pPr>
      <w:r>
        <w:rPr>
          <w:rFonts w:hint="eastAsia"/>
        </w:rPr>
        <w:tab/>
        <w:t xml:space="preserve">1011.  </w:t>
      </w:r>
      <w:r>
        <w:rPr>
          <w:rFonts w:hint="eastAsia"/>
        </w:rPr>
        <w:t>此外，尚有</w:t>
      </w:r>
      <w:r>
        <w:rPr>
          <w:rFonts w:hint="eastAsia"/>
        </w:rPr>
        <w:t>1</w:t>
      </w:r>
      <w:r>
        <w:rPr>
          <w:rFonts w:hint="eastAsia"/>
        </w:rPr>
        <w:t>所中途宿舍，临时收容康复中的精神失常患者。上述</w:t>
      </w:r>
      <w:r>
        <w:rPr>
          <w:rFonts w:hint="eastAsia"/>
        </w:rPr>
        <w:t>5</w:t>
      </w:r>
      <w:r>
        <w:rPr>
          <w:rFonts w:hint="eastAsia"/>
        </w:rPr>
        <w:t>所院舍可容纳</w:t>
      </w:r>
      <w:r>
        <w:rPr>
          <w:rFonts w:hint="eastAsia"/>
        </w:rPr>
        <w:t>355</w:t>
      </w:r>
      <w:r>
        <w:rPr>
          <w:rFonts w:hint="eastAsia"/>
        </w:rPr>
        <w:t>人，截至</w:t>
      </w:r>
      <w:r>
        <w:rPr>
          <w:rFonts w:hint="eastAsia"/>
        </w:rPr>
        <w:t>2002</w:t>
      </w:r>
      <w:r>
        <w:rPr>
          <w:rFonts w:hint="eastAsia"/>
        </w:rPr>
        <w:t>年</w:t>
      </w:r>
      <w:r>
        <w:rPr>
          <w:rFonts w:hint="eastAsia"/>
        </w:rPr>
        <w:t>6</w:t>
      </w:r>
      <w:r>
        <w:rPr>
          <w:rFonts w:hint="eastAsia"/>
        </w:rPr>
        <w:t>月底，共有</w:t>
      </w:r>
      <w:r>
        <w:rPr>
          <w:rFonts w:hint="eastAsia"/>
        </w:rPr>
        <w:t>329</w:t>
      </w:r>
      <w:r>
        <w:rPr>
          <w:rFonts w:hint="eastAsia"/>
        </w:rPr>
        <w:t>名残疾人士入住。</w:t>
      </w:r>
    </w:p>
    <w:p w:rsidR="00000000" w:rsidRDefault="00000000">
      <w:pPr>
        <w:pStyle w:val="Heading4"/>
        <w:rPr>
          <w:rFonts w:hint="eastAsia"/>
        </w:rPr>
      </w:pPr>
      <w:r>
        <w:rPr>
          <w:rFonts w:hint="eastAsia"/>
        </w:rPr>
        <w:t>土地法例</w:t>
      </w:r>
    </w:p>
    <w:p w:rsidR="00000000" w:rsidRDefault="00000000">
      <w:pPr>
        <w:rPr>
          <w:rFonts w:hint="eastAsia"/>
        </w:rPr>
      </w:pPr>
      <w:r>
        <w:rPr>
          <w:rFonts w:hint="eastAsia"/>
        </w:rPr>
        <w:tab/>
        <w:t xml:space="preserve">1012.  </w:t>
      </w:r>
      <w:r>
        <w:rPr>
          <w:rFonts w:hint="eastAsia"/>
        </w:rPr>
        <w:t>土地的使用由</w:t>
      </w:r>
      <w:r>
        <w:rPr>
          <w:rFonts w:hint="eastAsia"/>
        </w:rPr>
        <w:t>7</w:t>
      </w:r>
      <w:r>
        <w:rPr>
          <w:rFonts w:hint="eastAsia"/>
        </w:rPr>
        <w:t>月</w:t>
      </w:r>
      <w:r>
        <w:rPr>
          <w:rFonts w:hint="eastAsia"/>
        </w:rPr>
        <w:t>5</w:t>
      </w:r>
      <w:r>
        <w:rPr>
          <w:rFonts w:hint="eastAsia"/>
        </w:rPr>
        <w:t>日第</w:t>
      </w:r>
      <w:r>
        <w:rPr>
          <w:rFonts w:hint="eastAsia"/>
        </w:rPr>
        <w:t>6/80/M</w:t>
      </w:r>
      <w:r>
        <w:rPr>
          <w:rFonts w:hint="eastAsia"/>
        </w:rPr>
        <w:t>号法律规范、都市建筑由</w:t>
      </w:r>
      <w:r>
        <w:rPr>
          <w:rFonts w:hint="eastAsia"/>
        </w:rPr>
        <w:t>1963</w:t>
      </w:r>
      <w:r>
        <w:rPr>
          <w:rFonts w:hint="eastAsia"/>
        </w:rPr>
        <w:t>年</w:t>
      </w:r>
      <w:r>
        <w:rPr>
          <w:rFonts w:hint="eastAsia"/>
        </w:rPr>
        <w:t>7</w:t>
      </w:r>
      <w:r>
        <w:rPr>
          <w:rFonts w:hint="eastAsia"/>
        </w:rPr>
        <w:t>月</w:t>
      </w:r>
      <w:r>
        <w:rPr>
          <w:rFonts w:hint="eastAsia"/>
        </w:rPr>
        <w:t>13</w:t>
      </w:r>
      <w:r>
        <w:rPr>
          <w:rFonts w:hint="eastAsia"/>
        </w:rPr>
        <w:t>日第</w:t>
      </w:r>
      <w:r>
        <w:rPr>
          <w:rFonts w:hint="eastAsia"/>
        </w:rPr>
        <w:t>1600</w:t>
      </w:r>
      <w:r>
        <w:rPr>
          <w:rFonts w:hint="eastAsia"/>
        </w:rPr>
        <w:t>号立法性法规规范、公用征收由</w:t>
      </w:r>
      <w:r>
        <w:rPr>
          <w:rFonts w:hint="eastAsia"/>
        </w:rPr>
        <w:t>8</w:t>
      </w:r>
      <w:r>
        <w:rPr>
          <w:rFonts w:hint="eastAsia"/>
        </w:rPr>
        <w:t>月</w:t>
      </w:r>
      <w:r>
        <w:rPr>
          <w:rFonts w:hint="eastAsia"/>
        </w:rPr>
        <w:t>17</w:t>
      </w:r>
      <w:r>
        <w:rPr>
          <w:rFonts w:hint="eastAsia"/>
        </w:rPr>
        <w:t>日第</w:t>
      </w:r>
      <w:r>
        <w:rPr>
          <w:rFonts w:hint="eastAsia"/>
        </w:rPr>
        <w:t>12/92/M</w:t>
      </w:r>
      <w:r>
        <w:rPr>
          <w:rFonts w:hint="eastAsia"/>
        </w:rPr>
        <w:t>号法律和</w:t>
      </w:r>
      <w:r>
        <w:rPr>
          <w:rFonts w:hint="eastAsia"/>
        </w:rPr>
        <w:t>10</w:t>
      </w:r>
      <w:r>
        <w:rPr>
          <w:rFonts w:hint="eastAsia"/>
        </w:rPr>
        <w:t>月</w:t>
      </w:r>
      <w:r>
        <w:rPr>
          <w:rFonts w:hint="eastAsia"/>
        </w:rPr>
        <w:t>20</w:t>
      </w:r>
      <w:r>
        <w:rPr>
          <w:rFonts w:hint="eastAsia"/>
        </w:rPr>
        <w:t>日第</w:t>
      </w:r>
      <w:r>
        <w:rPr>
          <w:rFonts w:hint="eastAsia"/>
        </w:rPr>
        <w:t>43/97/M</w:t>
      </w:r>
      <w:r>
        <w:rPr>
          <w:rFonts w:hint="eastAsia"/>
        </w:rPr>
        <w:t>号法令规范、分层所有权由</w:t>
      </w:r>
      <w:r>
        <w:rPr>
          <w:rFonts w:hint="eastAsia"/>
        </w:rPr>
        <w:t>9</w:t>
      </w:r>
      <w:r>
        <w:rPr>
          <w:rFonts w:hint="eastAsia"/>
        </w:rPr>
        <w:t>月</w:t>
      </w:r>
      <w:r>
        <w:rPr>
          <w:rFonts w:hint="eastAsia"/>
        </w:rPr>
        <w:t>9</w:t>
      </w:r>
      <w:r>
        <w:rPr>
          <w:rFonts w:hint="eastAsia"/>
        </w:rPr>
        <w:t>日第</w:t>
      </w:r>
      <w:r>
        <w:rPr>
          <w:rFonts w:hint="eastAsia"/>
        </w:rPr>
        <w:t>25/96/M</w:t>
      </w:r>
      <w:r>
        <w:rPr>
          <w:rFonts w:hint="eastAsia"/>
        </w:rPr>
        <w:t>号法律规范。</w:t>
      </w:r>
    </w:p>
    <w:p w:rsidR="00000000" w:rsidRDefault="00000000">
      <w:pPr>
        <w:rPr>
          <w:rFonts w:hint="eastAsia"/>
        </w:rPr>
      </w:pPr>
      <w:r>
        <w:rPr>
          <w:rFonts w:hint="eastAsia"/>
        </w:rPr>
        <w:tab/>
        <w:t xml:space="preserve">1013.  </w:t>
      </w:r>
      <w:r>
        <w:rPr>
          <w:rFonts w:hint="eastAsia"/>
        </w:rPr>
        <w:t>值得强调的是，澳门特别行政区有一系列关于都市建筑和基础设施的准则、标准和规则等事宜的法例，尤其是关于消除建筑障碍的规定</w:t>
      </w:r>
      <w:r>
        <w:rPr>
          <w:rFonts w:hint="eastAsia"/>
        </w:rPr>
        <w:t>(10</w:t>
      </w:r>
      <w:r>
        <w:rPr>
          <w:rFonts w:hint="eastAsia"/>
        </w:rPr>
        <w:t>月</w:t>
      </w:r>
      <w:r>
        <w:rPr>
          <w:rFonts w:hint="eastAsia"/>
        </w:rPr>
        <w:t>3</w:t>
      </w:r>
      <w:r>
        <w:rPr>
          <w:rFonts w:hint="eastAsia"/>
        </w:rPr>
        <w:t>日第</w:t>
      </w:r>
      <w:r>
        <w:rPr>
          <w:rFonts w:hint="eastAsia"/>
        </w:rPr>
        <w:t>9/83/M</w:t>
      </w:r>
      <w:r>
        <w:rPr>
          <w:rFonts w:hint="eastAsia"/>
        </w:rPr>
        <w:t>号法律</w:t>
      </w:r>
      <w:r>
        <w:rPr>
          <w:rFonts w:hint="eastAsia"/>
        </w:rPr>
        <w:t>)</w:t>
      </w:r>
      <w:r>
        <w:rPr>
          <w:rFonts w:hint="eastAsia"/>
        </w:rPr>
        <w:t>、关于楼宇内专供车辆停泊区域的规定</w:t>
      </w:r>
      <w:r>
        <w:rPr>
          <w:rFonts w:hint="eastAsia"/>
        </w:rPr>
        <w:t>(6</w:t>
      </w:r>
      <w:r>
        <w:rPr>
          <w:rFonts w:hint="eastAsia"/>
        </w:rPr>
        <w:t>月</w:t>
      </w:r>
      <w:r>
        <w:rPr>
          <w:rFonts w:hint="eastAsia"/>
        </w:rPr>
        <w:t>26</w:t>
      </w:r>
      <w:r>
        <w:rPr>
          <w:rFonts w:hint="eastAsia"/>
        </w:rPr>
        <w:t>日第</w:t>
      </w:r>
      <w:r>
        <w:rPr>
          <w:rFonts w:hint="eastAsia"/>
        </w:rPr>
        <w:t>42/89/M</w:t>
      </w:r>
      <w:r>
        <w:rPr>
          <w:rFonts w:hint="eastAsia"/>
        </w:rPr>
        <w:t>号法令</w:t>
      </w:r>
      <w:r>
        <w:rPr>
          <w:rFonts w:hint="eastAsia"/>
        </w:rPr>
        <w:t>)</w:t>
      </w:r>
      <w:r>
        <w:rPr>
          <w:rFonts w:hint="eastAsia"/>
        </w:rPr>
        <w:t>、防火规章</w:t>
      </w:r>
      <w:r>
        <w:rPr>
          <w:rFonts w:hint="eastAsia"/>
        </w:rPr>
        <w:t>(6</w:t>
      </w:r>
      <w:r>
        <w:rPr>
          <w:rFonts w:hint="eastAsia"/>
        </w:rPr>
        <w:t>月</w:t>
      </w:r>
      <w:r>
        <w:rPr>
          <w:rFonts w:hint="eastAsia"/>
        </w:rPr>
        <w:t>9</w:t>
      </w:r>
      <w:r>
        <w:rPr>
          <w:rFonts w:hint="eastAsia"/>
        </w:rPr>
        <w:t>日第</w:t>
      </w:r>
      <w:r>
        <w:rPr>
          <w:rFonts w:hint="eastAsia"/>
        </w:rPr>
        <w:t>24/95/M</w:t>
      </w:r>
      <w:r>
        <w:rPr>
          <w:rFonts w:hint="eastAsia"/>
        </w:rPr>
        <w:t>号法令</w:t>
      </w:r>
      <w:r>
        <w:rPr>
          <w:rFonts w:hint="eastAsia"/>
        </w:rPr>
        <w:t>)</w:t>
      </w:r>
      <w:r>
        <w:rPr>
          <w:rFonts w:hint="eastAsia"/>
        </w:rPr>
        <w:t>、供排水规章</w:t>
      </w:r>
      <w:r>
        <w:rPr>
          <w:rFonts w:hint="eastAsia"/>
        </w:rPr>
        <w:t>(8</w:t>
      </w:r>
      <w:r>
        <w:rPr>
          <w:rFonts w:hint="eastAsia"/>
        </w:rPr>
        <w:t>月</w:t>
      </w:r>
      <w:r>
        <w:rPr>
          <w:rFonts w:hint="eastAsia"/>
        </w:rPr>
        <w:t>19</w:t>
      </w:r>
      <w:r>
        <w:rPr>
          <w:rFonts w:hint="eastAsia"/>
        </w:rPr>
        <w:t>日第</w:t>
      </w:r>
      <w:r>
        <w:rPr>
          <w:rFonts w:hint="eastAsia"/>
        </w:rPr>
        <w:t>46/96/M</w:t>
      </w:r>
      <w:r>
        <w:rPr>
          <w:rFonts w:hint="eastAsia"/>
        </w:rPr>
        <w:t>号法令</w:t>
      </w:r>
      <w:r>
        <w:rPr>
          <w:rFonts w:hint="eastAsia"/>
        </w:rPr>
        <w:t>)</w:t>
      </w:r>
      <w:r>
        <w:rPr>
          <w:rFonts w:hint="eastAsia"/>
        </w:rPr>
        <w:t>、屋宇结构和桥梁结构的安全和荷载</w:t>
      </w:r>
      <w:r>
        <w:rPr>
          <w:rFonts w:hint="eastAsia"/>
        </w:rPr>
        <w:t>(9</w:t>
      </w:r>
      <w:r>
        <w:rPr>
          <w:rFonts w:hint="eastAsia"/>
        </w:rPr>
        <w:t>月</w:t>
      </w:r>
      <w:r>
        <w:rPr>
          <w:rFonts w:hint="eastAsia"/>
        </w:rPr>
        <w:t>16</w:t>
      </w:r>
      <w:r>
        <w:rPr>
          <w:rFonts w:hint="eastAsia"/>
        </w:rPr>
        <w:t>日第</w:t>
      </w:r>
      <w:r>
        <w:rPr>
          <w:rFonts w:hint="eastAsia"/>
        </w:rPr>
        <w:t>56/96/M</w:t>
      </w:r>
      <w:r>
        <w:rPr>
          <w:rFonts w:hint="eastAsia"/>
        </w:rPr>
        <w:t>号法令</w:t>
      </w:r>
      <w:r>
        <w:rPr>
          <w:rFonts w:hint="eastAsia"/>
        </w:rPr>
        <w:t>)</w:t>
      </w:r>
      <w:r>
        <w:rPr>
          <w:rFonts w:hint="eastAsia"/>
        </w:rPr>
        <w:t>、水泥标准</w:t>
      </w:r>
      <w:r>
        <w:rPr>
          <w:rFonts w:hint="eastAsia"/>
        </w:rPr>
        <w:t>(10</w:t>
      </w:r>
      <w:r>
        <w:rPr>
          <w:rFonts w:hint="eastAsia"/>
        </w:rPr>
        <w:t>月</w:t>
      </w:r>
      <w:r>
        <w:rPr>
          <w:rFonts w:hint="eastAsia"/>
        </w:rPr>
        <w:t>14</w:t>
      </w:r>
      <w:r>
        <w:rPr>
          <w:rFonts w:hint="eastAsia"/>
        </w:rPr>
        <w:t>日第</w:t>
      </w:r>
      <w:r>
        <w:rPr>
          <w:rFonts w:hint="eastAsia"/>
        </w:rPr>
        <w:t>63/96/M</w:t>
      </w:r>
      <w:r>
        <w:rPr>
          <w:rFonts w:hint="eastAsia"/>
        </w:rPr>
        <w:t>号法令</w:t>
      </w:r>
      <w:r>
        <w:rPr>
          <w:rFonts w:hint="eastAsia"/>
        </w:rPr>
        <w:t>)</w:t>
      </w:r>
      <w:r>
        <w:rPr>
          <w:rFonts w:hint="eastAsia"/>
        </w:rPr>
        <w:t>，以及钢筋混凝土用热轧钢筋标准</w:t>
      </w:r>
      <w:r>
        <w:rPr>
          <w:rFonts w:hint="eastAsia"/>
        </w:rPr>
        <w:t>(10</w:t>
      </w:r>
      <w:r>
        <w:rPr>
          <w:rFonts w:hint="eastAsia"/>
        </w:rPr>
        <w:t>月</w:t>
      </w:r>
      <w:r>
        <w:rPr>
          <w:rFonts w:hint="eastAsia"/>
        </w:rPr>
        <w:t>14</w:t>
      </w:r>
      <w:r>
        <w:rPr>
          <w:rFonts w:hint="eastAsia"/>
        </w:rPr>
        <w:t>日第</w:t>
      </w:r>
      <w:r>
        <w:rPr>
          <w:rFonts w:hint="eastAsia"/>
        </w:rPr>
        <w:t>64/96/M</w:t>
      </w:r>
      <w:r>
        <w:rPr>
          <w:rFonts w:hint="eastAsia"/>
        </w:rPr>
        <w:t>号法令</w:t>
      </w:r>
      <w:r>
        <w:rPr>
          <w:rFonts w:hint="eastAsia"/>
        </w:rPr>
        <w:t>)</w:t>
      </w:r>
      <w:r>
        <w:rPr>
          <w:rFonts w:hint="eastAsia"/>
        </w:rPr>
        <w:t>。</w:t>
      </w:r>
    </w:p>
    <w:p w:rsidR="00000000" w:rsidRDefault="00000000">
      <w:pPr>
        <w:spacing w:after="320"/>
        <w:rPr>
          <w:rFonts w:hint="eastAsia"/>
        </w:rPr>
      </w:pPr>
      <w:r>
        <w:rPr>
          <w:rFonts w:hint="eastAsia"/>
        </w:rPr>
        <w:tab/>
        <w:t xml:space="preserve">1014  </w:t>
      </w:r>
      <w:r>
        <w:rPr>
          <w:rFonts w:hint="eastAsia"/>
        </w:rPr>
        <w:t>在环境保护、卫生和都市化规划方面，值得指出的是关于固体废料和城市清洁规划方面的法例、《环境政策纲要法》</w:t>
      </w:r>
      <w:r>
        <w:rPr>
          <w:rFonts w:hint="eastAsia"/>
        </w:rPr>
        <w:t>(3</w:t>
      </w:r>
      <w:r>
        <w:rPr>
          <w:rFonts w:hint="eastAsia"/>
        </w:rPr>
        <w:t>月</w:t>
      </w:r>
      <w:r>
        <w:rPr>
          <w:rFonts w:hint="eastAsia"/>
        </w:rPr>
        <w:t>11</w:t>
      </w:r>
      <w:r>
        <w:rPr>
          <w:rFonts w:hint="eastAsia"/>
        </w:rPr>
        <w:t>日第</w:t>
      </w:r>
      <w:r>
        <w:rPr>
          <w:rFonts w:hint="eastAsia"/>
        </w:rPr>
        <w:t>2/91/M</w:t>
      </w:r>
      <w:r>
        <w:rPr>
          <w:rFonts w:hint="eastAsia"/>
        </w:rPr>
        <w:t>号法律</w:t>
      </w:r>
      <w:r>
        <w:rPr>
          <w:rFonts w:hint="eastAsia"/>
        </w:rPr>
        <w:t>)</w:t>
      </w:r>
      <w:r>
        <w:rPr>
          <w:rFonts w:hint="eastAsia"/>
        </w:rPr>
        <w:t>和噪音防护法</w:t>
      </w:r>
      <w:r>
        <w:rPr>
          <w:rFonts w:hint="eastAsia"/>
        </w:rPr>
        <w:t>(11</w:t>
      </w:r>
      <w:r>
        <w:rPr>
          <w:rFonts w:hint="eastAsia"/>
        </w:rPr>
        <w:t>月</w:t>
      </w:r>
      <w:r>
        <w:rPr>
          <w:rFonts w:hint="eastAsia"/>
        </w:rPr>
        <w:t>14</w:t>
      </w:r>
      <w:r>
        <w:rPr>
          <w:rFonts w:hint="eastAsia"/>
        </w:rPr>
        <w:t>日第</w:t>
      </w:r>
      <w:r>
        <w:rPr>
          <w:rFonts w:hint="eastAsia"/>
        </w:rPr>
        <w:t>54/94/M</w:t>
      </w:r>
      <w:r>
        <w:rPr>
          <w:rFonts w:hint="eastAsia"/>
        </w:rPr>
        <w:t>号法令</w:t>
      </w:r>
      <w:r>
        <w:rPr>
          <w:rFonts w:hint="eastAsia"/>
        </w:rPr>
        <w:t>)</w:t>
      </w:r>
      <w:r>
        <w:rPr>
          <w:rFonts w:hint="eastAsia"/>
        </w:rPr>
        <w:t>。</w:t>
      </w:r>
    </w:p>
    <w:p w:rsidR="00000000" w:rsidRDefault="00000000">
      <w:pPr>
        <w:pStyle w:val="Heading4"/>
        <w:rPr>
          <w:rFonts w:hint="eastAsia"/>
        </w:rPr>
      </w:pPr>
      <w:r>
        <w:rPr>
          <w:rFonts w:hint="eastAsia"/>
        </w:rPr>
        <w:t>都市管理和规划</w:t>
      </w:r>
    </w:p>
    <w:p w:rsidR="00000000" w:rsidRDefault="00000000">
      <w:pPr>
        <w:rPr>
          <w:rFonts w:hint="eastAsia"/>
        </w:rPr>
      </w:pPr>
      <w:r>
        <w:rPr>
          <w:rFonts w:hint="eastAsia"/>
        </w:rPr>
        <w:tab/>
        <w:t xml:space="preserve">1015.  </w:t>
      </w:r>
      <w:r>
        <w:rPr>
          <w:rFonts w:hint="eastAsia"/>
        </w:rPr>
        <w:t>民政总署是本地负责推行和推广环保计划、家居和生活卫生，以及都市化计划的部门。</w:t>
      </w:r>
    </w:p>
    <w:p w:rsidR="00000000" w:rsidRDefault="00000000">
      <w:pPr>
        <w:rPr>
          <w:rFonts w:hint="eastAsia"/>
        </w:rPr>
      </w:pPr>
      <w:r>
        <w:rPr>
          <w:rFonts w:hint="eastAsia"/>
        </w:rPr>
        <w:tab/>
        <w:t xml:space="preserve">1016.  </w:t>
      </w:r>
      <w:r>
        <w:rPr>
          <w:rFonts w:hint="eastAsia"/>
        </w:rPr>
        <w:t>为改善环境，民政总署致力于扩充绿化和休闲区域。近年来，澳门特别行政区的绿化面积有所扩大：</w:t>
      </w:r>
      <w:r>
        <w:rPr>
          <w:rFonts w:hint="eastAsia"/>
        </w:rPr>
        <w:t>1999</w:t>
      </w:r>
      <w:r>
        <w:rPr>
          <w:rFonts w:hint="eastAsia"/>
        </w:rPr>
        <w:t>年有</w:t>
      </w:r>
      <w:r>
        <w:rPr>
          <w:rFonts w:hint="eastAsia"/>
        </w:rPr>
        <w:t>5,538,275</w:t>
      </w:r>
      <w:r>
        <w:rPr>
          <w:rFonts w:hint="eastAsia"/>
        </w:rPr>
        <w:t>平方米，</w:t>
      </w:r>
      <w:r>
        <w:rPr>
          <w:rFonts w:hint="eastAsia"/>
        </w:rPr>
        <w:t>2000</w:t>
      </w:r>
      <w:r>
        <w:rPr>
          <w:rFonts w:hint="eastAsia"/>
        </w:rPr>
        <w:t>年有</w:t>
      </w:r>
      <w:r>
        <w:rPr>
          <w:rFonts w:hint="eastAsia"/>
        </w:rPr>
        <w:t>5,690,489</w:t>
      </w:r>
      <w:r>
        <w:rPr>
          <w:rFonts w:hint="eastAsia"/>
        </w:rPr>
        <w:t>平方米，</w:t>
      </w:r>
      <w:r>
        <w:rPr>
          <w:rFonts w:hint="eastAsia"/>
        </w:rPr>
        <w:t>2001</w:t>
      </w:r>
      <w:r>
        <w:rPr>
          <w:rFonts w:hint="eastAsia"/>
        </w:rPr>
        <w:t>年有</w:t>
      </w:r>
      <w:r>
        <w:rPr>
          <w:rFonts w:hint="eastAsia"/>
        </w:rPr>
        <w:t>5,669,870</w:t>
      </w:r>
      <w:r>
        <w:rPr>
          <w:rFonts w:hint="eastAsia"/>
        </w:rPr>
        <w:t>平方米。</w:t>
      </w:r>
    </w:p>
    <w:p w:rsidR="00000000" w:rsidRDefault="00000000">
      <w:pPr>
        <w:rPr>
          <w:rFonts w:hint="eastAsia"/>
        </w:rPr>
      </w:pPr>
      <w:r>
        <w:rPr>
          <w:rFonts w:hint="eastAsia"/>
        </w:rPr>
        <w:tab/>
        <w:t xml:space="preserve">1017.  </w:t>
      </w:r>
      <w:r>
        <w:rPr>
          <w:rFonts w:hint="eastAsia"/>
        </w:rPr>
        <w:t>人口最多的澳门半岛北区在</w:t>
      </w:r>
      <w:r>
        <w:rPr>
          <w:rFonts w:hint="eastAsia"/>
        </w:rPr>
        <w:t>2002</w:t>
      </w:r>
      <w:r>
        <w:rPr>
          <w:rFonts w:hint="eastAsia"/>
        </w:rPr>
        <w:t>年成为环境改善计划的重点地区，除已有的绿化和休闲区域外，再为居民增建了</w:t>
      </w:r>
      <w:r>
        <w:rPr>
          <w:rFonts w:hint="eastAsia"/>
        </w:rPr>
        <w:t>5</w:t>
      </w:r>
      <w:r>
        <w:rPr>
          <w:rFonts w:hint="eastAsia"/>
        </w:rPr>
        <w:t>个临时公园。</w:t>
      </w:r>
    </w:p>
    <w:p w:rsidR="00000000" w:rsidRDefault="00000000">
      <w:pPr>
        <w:rPr>
          <w:rFonts w:hint="eastAsia"/>
        </w:rPr>
      </w:pPr>
      <w:r>
        <w:rPr>
          <w:rFonts w:hint="eastAsia"/>
        </w:rPr>
        <w:tab/>
        <w:t xml:space="preserve">1018.  </w:t>
      </w:r>
      <w:r>
        <w:rPr>
          <w:rFonts w:hint="eastAsia"/>
        </w:rPr>
        <w:t>民政总署亦有在旧城区推行都市修葺计划，以刺激有关区域的经济发展。例如凼仔市中心的修缮计划，包括为旧楼房油漆、重铺商业区街巷、为全区安设花盘花圃、安装吉雅街灯等，此外，在凼仔市中心有富特色的周日市集。整项计划既能吸引澳门其他区域的居民和游客前往凼仔，亦能改善该区居民的生活素质。</w:t>
      </w:r>
    </w:p>
    <w:p w:rsidR="00000000" w:rsidRDefault="00000000">
      <w:pPr>
        <w:spacing w:after="320"/>
        <w:rPr>
          <w:rFonts w:hint="eastAsia"/>
        </w:rPr>
      </w:pPr>
      <w:r>
        <w:rPr>
          <w:rFonts w:hint="eastAsia"/>
        </w:rPr>
        <w:tab/>
        <w:t xml:space="preserve">1019.  </w:t>
      </w:r>
      <w:r>
        <w:rPr>
          <w:rFonts w:hint="eastAsia"/>
        </w:rPr>
        <w:t>此外，由于澳门特别行政区在</w:t>
      </w:r>
      <w:r>
        <w:rPr>
          <w:rFonts w:hint="eastAsia"/>
        </w:rPr>
        <w:t>2005</w:t>
      </w:r>
      <w:r>
        <w:rPr>
          <w:rFonts w:hint="eastAsia"/>
        </w:rPr>
        <w:t>年将作为第</w:t>
      </w:r>
      <w:r>
        <w:rPr>
          <w:rFonts w:hint="eastAsia"/>
        </w:rPr>
        <w:t>4</w:t>
      </w:r>
      <w:r>
        <w:rPr>
          <w:rFonts w:hint="eastAsia"/>
        </w:rPr>
        <w:t>届东亚运动会的东道主，现正致力于若干区域的都市重建计划。为此，民政总署成立了一支在环境美化方面具专长的建筑师和工程师的队伍，以推行美化、绿化城市等计划。</w:t>
      </w:r>
    </w:p>
    <w:p w:rsidR="00000000" w:rsidRDefault="00000000">
      <w:pPr>
        <w:pStyle w:val="Heading3"/>
        <w:rPr>
          <w:rFonts w:ascii="Time New Roman" w:eastAsia="SimHei" w:hAnsi="Time New Roman" w:hint="eastAsia"/>
          <w:u w:val="none"/>
        </w:rPr>
      </w:pPr>
      <w:bookmarkStart w:id="94" w:name="_Toc78773003"/>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十二</w:t>
      </w:r>
      <w:r>
        <w:rPr>
          <w:rFonts w:ascii="Time New Roman" w:eastAsia="SimHei" w:hAnsi="Time New Roman" w:hint="eastAsia"/>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享受卫生保健的权利</w:t>
      </w:r>
      <w:bookmarkEnd w:id="94"/>
    </w:p>
    <w:p w:rsidR="00000000" w:rsidRDefault="00000000">
      <w:pPr>
        <w:pStyle w:val="Heading3"/>
        <w:rPr>
          <w:rFonts w:hint="eastAsia"/>
        </w:rPr>
      </w:pPr>
      <w:bookmarkStart w:id="95" w:name="_Toc78773004"/>
      <w:r>
        <w:rPr>
          <w:rFonts w:hint="eastAsia"/>
          <w:u w:val="none"/>
        </w:rPr>
        <w:t xml:space="preserve">A.  </w:t>
      </w:r>
      <w:r>
        <w:rPr>
          <w:rFonts w:hint="eastAsia"/>
        </w:rPr>
        <w:t>居民的体质和心理健康状况</w:t>
      </w:r>
      <w:bookmarkEnd w:id="95"/>
    </w:p>
    <w:p w:rsidR="00000000" w:rsidRDefault="00000000">
      <w:pPr>
        <w:rPr>
          <w:rFonts w:hint="eastAsia"/>
        </w:rPr>
      </w:pPr>
      <w:r>
        <w:rPr>
          <w:rFonts w:hint="eastAsia"/>
        </w:rPr>
        <w:tab/>
        <w:t>1020.  2001</w:t>
      </w:r>
      <w:r>
        <w:rPr>
          <w:rFonts w:hint="eastAsia"/>
        </w:rPr>
        <w:t>年关于健康的统计资料显示，澳门人口的年增长率，相对上一年而言，为</w:t>
      </w:r>
      <w:r>
        <w:rPr>
          <w:rFonts w:hint="eastAsia"/>
        </w:rPr>
        <w:t>1.2%(2001</w:t>
      </w:r>
      <w:r>
        <w:rPr>
          <w:rFonts w:hint="eastAsia"/>
        </w:rPr>
        <w:t>年的人口为</w:t>
      </w:r>
      <w:r>
        <w:rPr>
          <w:rFonts w:hint="eastAsia"/>
        </w:rPr>
        <w:t>436,686</w:t>
      </w:r>
      <w:r>
        <w:rPr>
          <w:rFonts w:hint="eastAsia"/>
        </w:rPr>
        <w:t>人，</w:t>
      </w:r>
      <w:r>
        <w:rPr>
          <w:rFonts w:hint="eastAsia"/>
        </w:rPr>
        <w:t>2000</w:t>
      </w:r>
      <w:r>
        <w:rPr>
          <w:rFonts w:hint="eastAsia"/>
        </w:rPr>
        <w:t>年则为</w:t>
      </w:r>
      <w:r>
        <w:rPr>
          <w:rFonts w:hint="eastAsia"/>
        </w:rPr>
        <w:t>431,506</w:t>
      </w:r>
      <w:r>
        <w:rPr>
          <w:rFonts w:hint="eastAsia"/>
        </w:rPr>
        <w:t>人</w:t>
      </w:r>
      <w:r>
        <w:rPr>
          <w:rFonts w:hint="eastAsia"/>
        </w:rPr>
        <w:t>)</w:t>
      </w:r>
      <w:r>
        <w:rPr>
          <w:rFonts w:hint="eastAsia"/>
        </w:rPr>
        <w:t>。当中，</w:t>
      </w:r>
      <w:r>
        <w:rPr>
          <w:rFonts w:hint="eastAsia"/>
        </w:rPr>
        <w:t>48%</w:t>
      </w:r>
      <w:r>
        <w:rPr>
          <w:rFonts w:hint="eastAsia"/>
        </w:rPr>
        <w:t>为男性，</w:t>
      </w:r>
      <w:r>
        <w:rPr>
          <w:rFonts w:hint="eastAsia"/>
        </w:rPr>
        <w:t>52%</w:t>
      </w:r>
      <w:r>
        <w:rPr>
          <w:rFonts w:hint="eastAsia"/>
        </w:rPr>
        <w:t>为女性。</w:t>
      </w:r>
    </w:p>
    <w:p w:rsidR="00000000" w:rsidRDefault="00000000">
      <w:pPr>
        <w:rPr>
          <w:rFonts w:hint="eastAsia"/>
        </w:rPr>
      </w:pPr>
      <w:r>
        <w:rPr>
          <w:rFonts w:hint="eastAsia"/>
        </w:rPr>
        <w:tab/>
        <w:t xml:space="preserve">1021.  </w:t>
      </w:r>
      <w:r>
        <w:rPr>
          <w:rFonts w:hint="eastAsia"/>
        </w:rPr>
        <w:t>由于生育率下降</w:t>
      </w:r>
      <w:r>
        <w:rPr>
          <w:rFonts w:hint="eastAsia"/>
        </w:rPr>
        <w:t>(2000</w:t>
      </w:r>
      <w:r>
        <w:rPr>
          <w:rFonts w:hint="eastAsia"/>
        </w:rPr>
        <w:t>年为</w:t>
      </w:r>
      <w:r>
        <w:rPr>
          <w:rFonts w:hint="eastAsia"/>
        </w:rPr>
        <w:t>8.9</w:t>
      </w:r>
      <w:r>
        <w:rPr>
          <w:rFonts w:ascii="SimSun" w:hAnsi="SimSun" w:hint="eastAsia"/>
          <w:sz w:val="20"/>
        </w:rPr>
        <w:t>‰</w:t>
      </w:r>
      <w:r>
        <w:rPr>
          <w:rFonts w:hint="eastAsia"/>
        </w:rPr>
        <w:t>，而</w:t>
      </w:r>
      <w:r>
        <w:rPr>
          <w:rFonts w:hint="eastAsia"/>
        </w:rPr>
        <w:t>2001</w:t>
      </w:r>
      <w:r>
        <w:rPr>
          <w:rFonts w:hint="eastAsia"/>
        </w:rPr>
        <w:t>年则为</w:t>
      </w:r>
      <w:r>
        <w:rPr>
          <w:rFonts w:hint="eastAsia"/>
        </w:rPr>
        <w:t>7.5</w:t>
      </w:r>
      <w:r>
        <w:rPr>
          <w:rFonts w:ascii="SimSun" w:hAnsi="SimSun" w:hint="eastAsia"/>
          <w:sz w:val="20"/>
        </w:rPr>
        <w:t>‰</w:t>
      </w:r>
      <w:r>
        <w:rPr>
          <w:rFonts w:hint="eastAsia"/>
        </w:rPr>
        <w:t>)</w:t>
      </w:r>
      <w:r>
        <w:rPr>
          <w:rFonts w:hint="eastAsia"/>
        </w:rPr>
        <w:t>和在近</w:t>
      </w:r>
      <w:r>
        <w:rPr>
          <w:rFonts w:hint="eastAsia"/>
        </w:rPr>
        <w:t>10</w:t>
      </w:r>
      <w:r>
        <w:rPr>
          <w:rFonts w:hint="eastAsia"/>
        </w:rPr>
        <w:t>年的平均寿命有所提高，澳门的人口正在老化。</w:t>
      </w:r>
    </w:p>
    <w:p w:rsidR="00000000" w:rsidRDefault="00000000">
      <w:pPr>
        <w:spacing w:after="320"/>
        <w:rPr>
          <w:rFonts w:hint="eastAsia"/>
        </w:rPr>
      </w:pPr>
      <w:r>
        <w:rPr>
          <w:rFonts w:hint="eastAsia"/>
        </w:rPr>
        <w:tab/>
        <w:t xml:space="preserve">1022.  </w:t>
      </w:r>
      <w:r>
        <w:rPr>
          <w:rFonts w:hint="eastAsia"/>
        </w:rPr>
        <w:t>澳门特别行政区在</w:t>
      </w:r>
      <w:r>
        <w:rPr>
          <w:rFonts w:hint="eastAsia"/>
        </w:rPr>
        <w:t>1996</w:t>
      </w:r>
      <w:r>
        <w:rPr>
          <w:rFonts w:hint="eastAsia"/>
        </w:rPr>
        <w:t>年至</w:t>
      </w:r>
      <w:r>
        <w:rPr>
          <w:rFonts w:hint="eastAsia"/>
        </w:rPr>
        <w:t>1999</w:t>
      </w:r>
      <w:r>
        <w:rPr>
          <w:rFonts w:hint="eastAsia"/>
        </w:rPr>
        <w:t>年期间的男性平均寿命为</w:t>
      </w:r>
      <w:r>
        <w:rPr>
          <w:rFonts w:hint="eastAsia"/>
        </w:rPr>
        <w:t>76.2</w:t>
      </w:r>
      <w:r>
        <w:rPr>
          <w:rFonts w:hint="eastAsia"/>
        </w:rPr>
        <w:t>岁，而女性则为</w:t>
      </w:r>
      <w:r>
        <w:rPr>
          <w:rFonts w:hint="eastAsia"/>
        </w:rPr>
        <w:t>80.2</w:t>
      </w:r>
      <w:r>
        <w:rPr>
          <w:rFonts w:hint="eastAsia"/>
        </w:rPr>
        <w:t>岁。</w:t>
      </w:r>
    </w:p>
    <w:p w:rsidR="00000000" w:rsidRDefault="00000000">
      <w:pPr>
        <w:pStyle w:val="a3"/>
        <w:rPr>
          <w:rFonts w:hint="eastAsia"/>
        </w:rPr>
      </w:pPr>
      <w:r>
        <w:br w:type="page"/>
      </w:r>
      <w:r>
        <w:rPr>
          <w:rFonts w:hint="eastAsia"/>
        </w:rPr>
        <w:t>主要人口指标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3764" w:type="dxa"/>
            <w:gridSpan w:val="2"/>
          </w:tcPr>
          <w:p w:rsidR="00000000" w:rsidRDefault="00000000">
            <w:pPr>
              <w:spacing w:before="80" w:line="320" w:lineRule="exact"/>
              <w:jc w:val="center"/>
              <w:rPr>
                <w:rFonts w:hint="eastAsia"/>
                <w:sz w:val="20"/>
              </w:rPr>
            </w:pPr>
            <w:r>
              <w:rPr>
                <w:rFonts w:hint="eastAsia"/>
                <w:sz w:val="20"/>
              </w:rPr>
              <w:t>指</w:t>
            </w:r>
            <w:r>
              <w:rPr>
                <w:rFonts w:hint="eastAsia"/>
                <w:sz w:val="20"/>
              </w:rPr>
              <w:t xml:space="preserve">  </w:t>
            </w:r>
            <w:r>
              <w:rPr>
                <w:rFonts w:hint="eastAsia"/>
                <w:sz w:val="20"/>
              </w:rPr>
              <w:t>数</w:t>
            </w:r>
          </w:p>
        </w:tc>
        <w:tc>
          <w:tcPr>
            <w:tcW w:w="1882" w:type="dxa"/>
          </w:tcPr>
          <w:p w:rsidR="00000000" w:rsidRDefault="00000000">
            <w:pPr>
              <w:spacing w:before="80" w:line="320" w:lineRule="exact"/>
              <w:jc w:val="center"/>
              <w:rPr>
                <w:rFonts w:hint="eastAsia"/>
                <w:sz w:val="20"/>
              </w:rPr>
            </w:pPr>
            <w:r>
              <w:rPr>
                <w:rFonts w:hint="eastAsia"/>
                <w:sz w:val="20"/>
              </w:rPr>
              <w:t>1999</w:t>
            </w:r>
          </w:p>
        </w:tc>
        <w:tc>
          <w:tcPr>
            <w:tcW w:w="1882" w:type="dxa"/>
          </w:tcPr>
          <w:p w:rsidR="00000000" w:rsidRDefault="00000000">
            <w:pPr>
              <w:spacing w:before="80" w:line="320" w:lineRule="exact"/>
              <w:jc w:val="center"/>
              <w:rPr>
                <w:rFonts w:hint="eastAsia"/>
                <w:sz w:val="20"/>
              </w:rPr>
            </w:pPr>
            <w:r>
              <w:rPr>
                <w:rFonts w:hint="eastAsia"/>
                <w:sz w:val="20"/>
              </w:rPr>
              <w:t>2000</w:t>
            </w:r>
          </w:p>
        </w:tc>
        <w:tc>
          <w:tcPr>
            <w:tcW w:w="1882" w:type="dxa"/>
          </w:tcPr>
          <w:p w:rsidR="00000000" w:rsidRDefault="00000000">
            <w:pPr>
              <w:spacing w:before="80" w:line="320" w:lineRule="exact"/>
              <w:jc w:val="center"/>
              <w:rPr>
                <w:rFonts w:hint="eastAsia"/>
                <w:sz w:val="20"/>
              </w:rPr>
            </w:pPr>
            <w:r>
              <w:rPr>
                <w:rFonts w:hint="eastAsia"/>
                <w:sz w:val="20"/>
              </w:rPr>
              <w:t>2001</w:t>
            </w:r>
          </w:p>
        </w:tc>
      </w:tr>
      <w:tr w:rsidR="00000000">
        <w:tblPrEx>
          <w:tblCellMar>
            <w:top w:w="0" w:type="dxa"/>
            <w:bottom w:w="0" w:type="dxa"/>
          </w:tblCellMar>
        </w:tblPrEx>
        <w:tc>
          <w:tcPr>
            <w:tcW w:w="1882" w:type="dxa"/>
          </w:tcPr>
          <w:p w:rsidR="00000000" w:rsidRDefault="00000000">
            <w:pPr>
              <w:spacing w:before="80" w:line="320" w:lineRule="exact"/>
              <w:ind w:left="113"/>
              <w:rPr>
                <w:rFonts w:hint="eastAsia"/>
                <w:sz w:val="20"/>
              </w:rPr>
            </w:pPr>
            <w:r>
              <w:rPr>
                <w:rFonts w:hint="eastAsia"/>
                <w:sz w:val="20"/>
              </w:rPr>
              <w:t>自然增长率</w:t>
            </w:r>
          </w:p>
        </w:tc>
        <w:tc>
          <w:tcPr>
            <w:tcW w:w="1882" w:type="dxa"/>
          </w:tcPr>
          <w:p w:rsidR="00000000" w:rsidRDefault="00000000">
            <w:pPr>
              <w:spacing w:before="80" w:line="320" w:lineRule="exact"/>
              <w:jc w:val="center"/>
              <w:rPr>
                <w:rFonts w:hint="eastAsia"/>
                <w:sz w:val="20"/>
              </w:rPr>
            </w:pPr>
            <w:r>
              <w:rPr>
                <w:rFonts w:ascii="SimSun" w:hAnsi="SimSun" w:hint="eastAsia"/>
                <w:sz w:val="20"/>
              </w:rPr>
              <w:t>‰</w:t>
            </w:r>
          </w:p>
        </w:tc>
        <w:tc>
          <w:tcPr>
            <w:tcW w:w="1882" w:type="dxa"/>
          </w:tcPr>
          <w:p w:rsidR="00000000" w:rsidRDefault="00000000">
            <w:pPr>
              <w:spacing w:before="80" w:line="320" w:lineRule="exact"/>
              <w:ind w:right="655"/>
              <w:jc w:val="right"/>
              <w:rPr>
                <w:rFonts w:hint="eastAsia"/>
                <w:sz w:val="20"/>
              </w:rPr>
            </w:pPr>
            <w:r>
              <w:rPr>
                <w:rFonts w:hint="eastAsia"/>
                <w:sz w:val="20"/>
              </w:rPr>
              <w:t>6.5</w:t>
            </w:r>
          </w:p>
        </w:tc>
        <w:tc>
          <w:tcPr>
            <w:tcW w:w="1882" w:type="dxa"/>
          </w:tcPr>
          <w:p w:rsidR="00000000" w:rsidRDefault="00000000">
            <w:pPr>
              <w:spacing w:before="80" w:line="320" w:lineRule="exact"/>
              <w:ind w:right="655"/>
              <w:jc w:val="right"/>
              <w:rPr>
                <w:rFonts w:hint="eastAsia"/>
                <w:sz w:val="20"/>
              </w:rPr>
            </w:pPr>
            <w:r>
              <w:rPr>
                <w:rFonts w:hint="eastAsia"/>
                <w:sz w:val="20"/>
              </w:rPr>
              <w:t>5.8</w:t>
            </w:r>
          </w:p>
        </w:tc>
        <w:tc>
          <w:tcPr>
            <w:tcW w:w="1882" w:type="dxa"/>
          </w:tcPr>
          <w:p w:rsidR="00000000" w:rsidRDefault="00000000">
            <w:pPr>
              <w:spacing w:before="80" w:line="320" w:lineRule="exact"/>
              <w:ind w:right="655"/>
              <w:jc w:val="right"/>
              <w:rPr>
                <w:rFonts w:hint="eastAsia"/>
                <w:sz w:val="20"/>
              </w:rPr>
            </w:pPr>
            <w:r>
              <w:rPr>
                <w:rFonts w:hint="eastAsia"/>
                <w:sz w:val="20"/>
              </w:rPr>
              <w:t>4.4</w:t>
            </w:r>
          </w:p>
        </w:tc>
      </w:tr>
      <w:tr w:rsidR="00000000">
        <w:tblPrEx>
          <w:tblCellMar>
            <w:top w:w="0" w:type="dxa"/>
            <w:bottom w:w="0" w:type="dxa"/>
          </w:tblCellMar>
        </w:tblPrEx>
        <w:tc>
          <w:tcPr>
            <w:tcW w:w="1882" w:type="dxa"/>
          </w:tcPr>
          <w:p w:rsidR="00000000" w:rsidRDefault="00000000">
            <w:pPr>
              <w:spacing w:before="80" w:line="320" w:lineRule="exact"/>
              <w:ind w:left="113"/>
              <w:rPr>
                <w:rFonts w:hint="eastAsia"/>
                <w:sz w:val="20"/>
              </w:rPr>
            </w:pPr>
            <w:r>
              <w:rPr>
                <w:rFonts w:hint="eastAsia"/>
                <w:sz w:val="20"/>
              </w:rPr>
              <w:t>出生率</w:t>
            </w:r>
          </w:p>
        </w:tc>
        <w:tc>
          <w:tcPr>
            <w:tcW w:w="1882" w:type="dxa"/>
          </w:tcPr>
          <w:p w:rsidR="00000000" w:rsidRDefault="00000000">
            <w:pPr>
              <w:spacing w:before="80" w:line="320" w:lineRule="exact"/>
              <w:jc w:val="center"/>
              <w:rPr>
                <w:rFonts w:hint="eastAsia"/>
                <w:sz w:val="20"/>
              </w:rPr>
            </w:pPr>
            <w:r>
              <w:rPr>
                <w:rFonts w:ascii="SimSun" w:hAnsi="SimSun" w:hint="eastAsia"/>
                <w:sz w:val="20"/>
              </w:rPr>
              <w:t>‰</w:t>
            </w:r>
          </w:p>
        </w:tc>
        <w:tc>
          <w:tcPr>
            <w:tcW w:w="1882" w:type="dxa"/>
          </w:tcPr>
          <w:p w:rsidR="00000000" w:rsidRDefault="00000000">
            <w:pPr>
              <w:spacing w:before="80" w:line="320" w:lineRule="exact"/>
              <w:ind w:right="655"/>
              <w:jc w:val="right"/>
              <w:rPr>
                <w:rFonts w:hint="eastAsia"/>
                <w:sz w:val="20"/>
              </w:rPr>
            </w:pPr>
            <w:r>
              <w:rPr>
                <w:rFonts w:hint="eastAsia"/>
                <w:sz w:val="20"/>
              </w:rPr>
              <w:t>9.7</w:t>
            </w:r>
          </w:p>
        </w:tc>
        <w:tc>
          <w:tcPr>
            <w:tcW w:w="1882" w:type="dxa"/>
          </w:tcPr>
          <w:p w:rsidR="00000000" w:rsidRDefault="00000000">
            <w:pPr>
              <w:spacing w:before="80" w:line="320" w:lineRule="exact"/>
              <w:ind w:right="655"/>
              <w:jc w:val="right"/>
              <w:rPr>
                <w:rFonts w:hint="eastAsia"/>
                <w:sz w:val="20"/>
              </w:rPr>
            </w:pPr>
            <w:r>
              <w:rPr>
                <w:rFonts w:hint="eastAsia"/>
                <w:sz w:val="20"/>
              </w:rPr>
              <w:t>8.9</w:t>
            </w:r>
          </w:p>
        </w:tc>
        <w:tc>
          <w:tcPr>
            <w:tcW w:w="1882" w:type="dxa"/>
          </w:tcPr>
          <w:p w:rsidR="00000000" w:rsidRDefault="00000000">
            <w:pPr>
              <w:spacing w:before="80" w:line="320" w:lineRule="exact"/>
              <w:ind w:right="655"/>
              <w:jc w:val="right"/>
              <w:rPr>
                <w:rFonts w:hint="eastAsia"/>
                <w:sz w:val="20"/>
              </w:rPr>
            </w:pPr>
            <w:r>
              <w:rPr>
                <w:rFonts w:hint="eastAsia"/>
                <w:sz w:val="20"/>
              </w:rPr>
              <w:t>7.5</w:t>
            </w:r>
          </w:p>
        </w:tc>
      </w:tr>
      <w:tr w:rsidR="00000000">
        <w:tblPrEx>
          <w:tblCellMar>
            <w:top w:w="0" w:type="dxa"/>
            <w:bottom w:w="0" w:type="dxa"/>
          </w:tblCellMar>
        </w:tblPrEx>
        <w:tc>
          <w:tcPr>
            <w:tcW w:w="1882" w:type="dxa"/>
          </w:tcPr>
          <w:p w:rsidR="00000000" w:rsidRDefault="00000000">
            <w:pPr>
              <w:spacing w:before="80" w:line="320" w:lineRule="exact"/>
              <w:ind w:left="113"/>
              <w:rPr>
                <w:rFonts w:hint="eastAsia"/>
                <w:sz w:val="20"/>
              </w:rPr>
            </w:pPr>
            <w:r>
              <w:rPr>
                <w:rFonts w:hint="eastAsia"/>
                <w:sz w:val="20"/>
              </w:rPr>
              <w:t>活婴出生性别比</w:t>
            </w:r>
          </w:p>
        </w:tc>
        <w:tc>
          <w:tcPr>
            <w:tcW w:w="1882" w:type="dxa"/>
          </w:tcPr>
          <w:p w:rsidR="00000000" w:rsidRDefault="00000000">
            <w:pPr>
              <w:spacing w:before="80" w:line="320" w:lineRule="exact"/>
              <w:jc w:val="center"/>
              <w:rPr>
                <w:rFonts w:hint="eastAsia"/>
                <w:sz w:val="20"/>
              </w:rPr>
            </w:pPr>
            <w:r>
              <w:rPr>
                <w:rFonts w:ascii="SimSun" w:hAnsi="SimSun" w:hint="eastAsia"/>
                <w:sz w:val="20"/>
              </w:rPr>
              <w:t>‰</w:t>
            </w:r>
          </w:p>
        </w:tc>
        <w:tc>
          <w:tcPr>
            <w:tcW w:w="1882" w:type="dxa"/>
          </w:tcPr>
          <w:p w:rsidR="00000000" w:rsidRDefault="00000000">
            <w:pPr>
              <w:spacing w:before="80" w:line="320" w:lineRule="exact"/>
              <w:ind w:right="655"/>
              <w:jc w:val="right"/>
              <w:rPr>
                <w:rFonts w:hint="eastAsia"/>
                <w:sz w:val="20"/>
              </w:rPr>
            </w:pPr>
            <w:r>
              <w:rPr>
                <w:rFonts w:hint="eastAsia"/>
                <w:sz w:val="20"/>
              </w:rPr>
              <w:t>103.4</w:t>
            </w:r>
          </w:p>
        </w:tc>
        <w:tc>
          <w:tcPr>
            <w:tcW w:w="1882" w:type="dxa"/>
          </w:tcPr>
          <w:p w:rsidR="00000000" w:rsidRDefault="00000000">
            <w:pPr>
              <w:spacing w:before="80" w:line="320" w:lineRule="exact"/>
              <w:ind w:right="655"/>
              <w:jc w:val="right"/>
              <w:rPr>
                <w:rFonts w:hint="eastAsia"/>
                <w:sz w:val="20"/>
              </w:rPr>
            </w:pPr>
            <w:r>
              <w:rPr>
                <w:rFonts w:hint="eastAsia"/>
                <w:sz w:val="20"/>
              </w:rPr>
              <w:t>111.7</w:t>
            </w:r>
          </w:p>
        </w:tc>
        <w:tc>
          <w:tcPr>
            <w:tcW w:w="1882" w:type="dxa"/>
          </w:tcPr>
          <w:p w:rsidR="00000000" w:rsidRDefault="00000000">
            <w:pPr>
              <w:spacing w:before="80" w:line="320" w:lineRule="exact"/>
              <w:ind w:right="655"/>
              <w:jc w:val="right"/>
              <w:rPr>
                <w:rFonts w:hint="eastAsia"/>
                <w:sz w:val="20"/>
              </w:rPr>
            </w:pPr>
            <w:r>
              <w:rPr>
                <w:rFonts w:hint="eastAsia"/>
                <w:sz w:val="20"/>
              </w:rPr>
              <w:t>103.1</w:t>
            </w:r>
          </w:p>
        </w:tc>
      </w:tr>
      <w:tr w:rsidR="00000000">
        <w:tblPrEx>
          <w:tblCellMar>
            <w:top w:w="0" w:type="dxa"/>
            <w:bottom w:w="0" w:type="dxa"/>
          </w:tblCellMar>
        </w:tblPrEx>
        <w:tc>
          <w:tcPr>
            <w:tcW w:w="1882" w:type="dxa"/>
          </w:tcPr>
          <w:p w:rsidR="00000000" w:rsidRDefault="00000000">
            <w:pPr>
              <w:spacing w:before="80" w:line="320" w:lineRule="exact"/>
              <w:ind w:left="113"/>
              <w:rPr>
                <w:rFonts w:hint="eastAsia"/>
                <w:sz w:val="20"/>
              </w:rPr>
            </w:pPr>
            <w:r>
              <w:rPr>
                <w:rFonts w:hint="eastAsia"/>
                <w:sz w:val="20"/>
              </w:rPr>
              <w:t>死亡率</w:t>
            </w:r>
          </w:p>
        </w:tc>
        <w:tc>
          <w:tcPr>
            <w:tcW w:w="1882" w:type="dxa"/>
          </w:tcPr>
          <w:p w:rsidR="00000000" w:rsidRDefault="00000000">
            <w:pPr>
              <w:spacing w:before="80" w:line="320" w:lineRule="exact"/>
              <w:jc w:val="center"/>
              <w:rPr>
                <w:rFonts w:hint="eastAsia"/>
                <w:sz w:val="20"/>
              </w:rPr>
            </w:pPr>
            <w:r>
              <w:rPr>
                <w:rFonts w:ascii="SimSun" w:hAnsi="SimSun" w:hint="eastAsia"/>
                <w:sz w:val="20"/>
              </w:rPr>
              <w:t>‰</w:t>
            </w:r>
          </w:p>
        </w:tc>
        <w:tc>
          <w:tcPr>
            <w:tcW w:w="1882" w:type="dxa"/>
          </w:tcPr>
          <w:p w:rsidR="00000000" w:rsidRDefault="00000000">
            <w:pPr>
              <w:spacing w:before="80" w:line="320" w:lineRule="exact"/>
              <w:ind w:right="655"/>
              <w:jc w:val="right"/>
              <w:rPr>
                <w:rFonts w:hint="eastAsia"/>
                <w:sz w:val="20"/>
              </w:rPr>
            </w:pPr>
            <w:r>
              <w:rPr>
                <w:rFonts w:hint="eastAsia"/>
                <w:sz w:val="20"/>
              </w:rPr>
              <w:t>3.2</w:t>
            </w:r>
          </w:p>
        </w:tc>
        <w:tc>
          <w:tcPr>
            <w:tcW w:w="1882" w:type="dxa"/>
          </w:tcPr>
          <w:p w:rsidR="00000000" w:rsidRDefault="00000000">
            <w:pPr>
              <w:spacing w:before="80" w:line="320" w:lineRule="exact"/>
              <w:ind w:right="655"/>
              <w:jc w:val="right"/>
              <w:rPr>
                <w:rFonts w:hint="eastAsia"/>
                <w:sz w:val="20"/>
              </w:rPr>
            </w:pPr>
            <w:r>
              <w:rPr>
                <w:rFonts w:hint="eastAsia"/>
                <w:sz w:val="20"/>
              </w:rPr>
              <w:t>3.1</w:t>
            </w:r>
          </w:p>
        </w:tc>
        <w:tc>
          <w:tcPr>
            <w:tcW w:w="1882" w:type="dxa"/>
          </w:tcPr>
          <w:p w:rsidR="00000000" w:rsidRDefault="00000000">
            <w:pPr>
              <w:spacing w:before="80" w:line="320" w:lineRule="exact"/>
              <w:ind w:right="655"/>
              <w:jc w:val="right"/>
              <w:rPr>
                <w:rFonts w:hint="eastAsia"/>
                <w:sz w:val="20"/>
              </w:rPr>
            </w:pPr>
            <w:r>
              <w:rPr>
                <w:rFonts w:hint="eastAsia"/>
                <w:sz w:val="20"/>
              </w:rPr>
              <w:t>3.1</w:t>
            </w:r>
          </w:p>
        </w:tc>
      </w:tr>
      <w:tr w:rsidR="00000000">
        <w:tblPrEx>
          <w:tblCellMar>
            <w:top w:w="0" w:type="dxa"/>
            <w:bottom w:w="0" w:type="dxa"/>
          </w:tblCellMar>
        </w:tblPrEx>
        <w:tc>
          <w:tcPr>
            <w:tcW w:w="1882" w:type="dxa"/>
          </w:tcPr>
          <w:p w:rsidR="00000000" w:rsidRDefault="00000000">
            <w:pPr>
              <w:spacing w:before="80" w:line="320" w:lineRule="exact"/>
              <w:ind w:left="113"/>
              <w:rPr>
                <w:rFonts w:hint="eastAsia"/>
                <w:sz w:val="20"/>
              </w:rPr>
            </w:pPr>
            <w:r>
              <w:rPr>
                <w:rFonts w:hint="eastAsia"/>
                <w:sz w:val="20"/>
              </w:rPr>
              <w:t>婴儿死亡率</w:t>
            </w:r>
          </w:p>
        </w:tc>
        <w:tc>
          <w:tcPr>
            <w:tcW w:w="1882" w:type="dxa"/>
          </w:tcPr>
          <w:p w:rsidR="00000000" w:rsidRDefault="00000000">
            <w:pPr>
              <w:spacing w:before="80" w:line="320" w:lineRule="exact"/>
              <w:jc w:val="center"/>
              <w:rPr>
                <w:rFonts w:hint="eastAsia"/>
                <w:sz w:val="20"/>
              </w:rPr>
            </w:pPr>
            <w:r>
              <w:rPr>
                <w:rFonts w:ascii="SimSun" w:hAnsi="SimSun" w:hint="eastAsia"/>
                <w:sz w:val="20"/>
              </w:rPr>
              <w:t>‰</w:t>
            </w:r>
          </w:p>
        </w:tc>
        <w:tc>
          <w:tcPr>
            <w:tcW w:w="1882" w:type="dxa"/>
          </w:tcPr>
          <w:p w:rsidR="00000000" w:rsidRDefault="00000000">
            <w:pPr>
              <w:spacing w:before="80" w:line="320" w:lineRule="exact"/>
              <w:ind w:right="655"/>
              <w:jc w:val="right"/>
              <w:rPr>
                <w:rFonts w:hint="eastAsia"/>
                <w:sz w:val="20"/>
              </w:rPr>
            </w:pPr>
            <w:r>
              <w:rPr>
                <w:rFonts w:hint="eastAsia"/>
                <w:sz w:val="20"/>
              </w:rPr>
              <w:t>4.1</w:t>
            </w:r>
          </w:p>
        </w:tc>
        <w:tc>
          <w:tcPr>
            <w:tcW w:w="1882" w:type="dxa"/>
          </w:tcPr>
          <w:p w:rsidR="00000000" w:rsidRDefault="00000000">
            <w:pPr>
              <w:spacing w:before="80" w:line="320" w:lineRule="exact"/>
              <w:ind w:right="655"/>
              <w:jc w:val="right"/>
              <w:rPr>
                <w:rFonts w:hint="eastAsia"/>
                <w:sz w:val="20"/>
              </w:rPr>
            </w:pPr>
            <w:r>
              <w:rPr>
                <w:rFonts w:hint="eastAsia"/>
                <w:sz w:val="20"/>
              </w:rPr>
              <w:t>2.9</w:t>
            </w:r>
          </w:p>
        </w:tc>
        <w:tc>
          <w:tcPr>
            <w:tcW w:w="1882" w:type="dxa"/>
          </w:tcPr>
          <w:p w:rsidR="00000000" w:rsidRDefault="00000000">
            <w:pPr>
              <w:spacing w:before="80" w:line="320" w:lineRule="exact"/>
              <w:ind w:right="655"/>
              <w:jc w:val="right"/>
              <w:rPr>
                <w:rFonts w:hint="eastAsia"/>
                <w:sz w:val="20"/>
              </w:rPr>
            </w:pPr>
            <w:r>
              <w:rPr>
                <w:rFonts w:hint="eastAsia"/>
                <w:sz w:val="20"/>
              </w:rPr>
              <w:t>4.3</w:t>
            </w:r>
          </w:p>
        </w:tc>
      </w:tr>
      <w:tr w:rsidR="00000000">
        <w:tblPrEx>
          <w:tblCellMar>
            <w:top w:w="0" w:type="dxa"/>
            <w:bottom w:w="0" w:type="dxa"/>
          </w:tblCellMar>
        </w:tblPrEx>
        <w:tc>
          <w:tcPr>
            <w:tcW w:w="1882" w:type="dxa"/>
          </w:tcPr>
          <w:p w:rsidR="00000000" w:rsidRDefault="00000000">
            <w:pPr>
              <w:spacing w:before="80" w:line="320" w:lineRule="exact"/>
              <w:ind w:left="113"/>
              <w:rPr>
                <w:rFonts w:hint="eastAsia"/>
                <w:sz w:val="20"/>
              </w:rPr>
            </w:pPr>
            <w:r>
              <w:rPr>
                <w:rFonts w:hint="eastAsia"/>
                <w:sz w:val="20"/>
              </w:rPr>
              <w:t>初生儿死亡率</w:t>
            </w:r>
          </w:p>
        </w:tc>
        <w:tc>
          <w:tcPr>
            <w:tcW w:w="1882" w:type="dxa"/>
          </w:tcPr>
          <w:p w:rsidR="00000000" w:rsidRDefault="00000000">
            <w:pPr>
              <w:spacing w:before="80" w:line="320" w:lineRule="exact"/>
              <w:jc w:val="center"/>
              <w:rPr>
                <w:rFonts w:hint="eastAsia"/>
                <w:sz w:val="20"/>
              </w:rPr>
            </w:pPr>
            <w:r>
              <w:rPr>
                <w:rFonts w:ascii="SimSun" w:hAnsi="SimSun" w:hint="eastAsia"/>
                <w:sz w:val="20"/>
              </w:rPr>
              <w:t>‰</w:t>
            </w:r>
          </w:p>
        </w:tc>
        <w:tc>
          <w:tcPr>
            <w:tcW w:w="1882" w:type="dxa"/>
          </w:tcPr>
          <w:p w:rsidR="00000000" w:rsidRDefault="00000000">
            <w:pPr>
              <w:spacing w:before="80" w:line="320" w:lineRule="exact"/>
              <w:ind w:right="655"/>
              <w:jc w:val="right"/>
              <w:rPr>
                <w:rFonts w:hint="eastAsia"/>
                <w:sz w:val="20"/>
              </w:rPr>
            </w:pPr>
            <w:r>
              <w:rPr>
                <w:rFonts w:hint="eastAsia"/>
                <w:sz w:val="20"/>
              </w:rPr>
              <w:t>3.4</w:t>
            </w:r>
          </w:p>
        </w:tc>
        <w:tc>
          <w:tcPr>
            <w:tcW w:w="1882" w:type="dxa"/>
          </w:tcPr>
          <w:p w:rsidR="00000000" w:rsidRDefault="00000000">
            <w:pPr>
              <w:spacing w:before="80" w:line="320" w:lineRule="exact"/>
              <w:ind w:right="655"/>
              <w:jc w:val="right"/>
              <w:rPr>
                <w:rFonts w:hint="eastAsia"/>
                <w:sz w:val="20"/>
              </w:rPr>
            </w:pPr>
            <w:r>
              <w:rPr>
                <w:rFonts w:hint="eastAsia"/>
                <w:sz w:val="20"/>
              </w:rPr>
              <w:t>2.1</w:t>
            </w:r>
          </w:p>
        </w:tc>
        <w:tc>
          <w:tcPr>
            <w:tcW w:w="1882" w:type="dxa"/>
          </w:tcPr>
          <w:p w:rsidR="00000000" w:rsidRDefault="00000000">
            <w:pPr>
              <w:spacing w:before="80" w:line="320" w:lineRule="exact"/>
              <w:ind w:right="655"/>
              <w:jc w:val="right"/>
              <w:rPr>
                <w:rFonts w:hint="eastAsia"/>
                <w:sz w:val="20"/>
              </w:rPr>
            </w:pPr>
            <w:r>
              <w:rPr>
                <w:rFonts w:hint="eastAsia"/>
                <w:sz w:val="20"/>
              </w:rPr>
              <w:t>2.5</w:t>
            </w:r>
          </w:p>
        </w:tc>
      </w:tr>
      <w:tr w:rsidR="00000000">
        <w:tblPrEx>
          <w:tblCellMar>
            <w:top w:w="0" w:type="dxa"/>
            <w:bottom w:w="0" w:type="dxa"/>
          </w:tblCellMar>
        </w:tblPrEx>
        <w:tc>
          <w:tcPr>
            <w:tcW w:w="1882" w:type="dxa"/>
          </w:tcPr>
          <w:p w:rsidR="00000000" w:rsidRDefault="00000000">
            <w:pPr>
              <w:spacing w:before="80" w:line="320" w:lineRule="exact"/>
              <w:ind w:left="113"/>
              <w:rPr>
                <w:rFonts w:hint="eastAsia"/>
                <w:sz w:val="20"/>
              </w:rPr>
            </w:pPr>
            <w:r>
              <w:rPr>
                <w:rFonts w:hint="eastAsia"/>
                <w:sz w:val="20"/>
              </w:rPr>
              <w:t>围产期死亡率</w:t>
            </w:r>
            <w:r>
              <w:rPr>
                <w:rFonts w:hint="eastAsia"/>
                <w:sz w:val="20"/>
              </w:rPr>
              <w:t xml:space="preserve"> </w:t>
            </w:r>
            <w:r>
              <w:rPr>
                <w:rFonts w:hint="eastAsia"/>
                <w:sz w:val="20"/>
                <w:vertAlign w:val="superscript"/>
              </w:rPr>
              <w:t>(</w:t>
            </w:r>
            <w:r>
              <w:rPr>
                <w:sz w:val="20"/>
                <w:vertAlign w:val="superscript"/>
              </w:rPr>
              <w:t>a</w:t>
            </w:r>
            <w:r>
              <w:rPr>
                <w:rFonts w:hint="eastAsia"/>
                <w:sz w:val="20"/>
                <w:vertAlign w:val="superscript"/>
              </w:rPr>
              <w:t>)</w:t>
            </w:r>
          </w:p>
        </w:tc>
        <w:tc>
          <w:tcPr>
            <w:tcW w:w="1882" w:type="dxa"/>
          </w:tcPr>
          <w:p w:rsidR="00000000" w:rsidRDefault="00000000">
            <w:pPr>
              <w:spacing w:before="80" w:line="320" w:lineRule="exact"/>
              <w:jc w:val="center"/>
              <w:rPr>
                <w:rFonts w:hint="eastAsia"/>
                <w:sz w:val="20"/>
              </w:rPr>
            </w:pPr>
            <w:r>
              <w:rPr>
                <w:rFonts w:ascii="SimSun" w:hAnsi="SimSun" w:hint="eastAsia"/>
                <w:sz w:val="20"/>
              </w:rPr>
              <w:t>‰</w:t>
            </w:r>
          </w:p>
        </w:tc>
        <w:tc>
          <w:tcPr>
            <w:tcW w:w="1882" w:type="dxa"/>
          </w:tcPr>
          <w:p w:rsidR="00000000" w:rsidRDefault="00000000">
            <w:pPr>
              <w:spacing w:before="80" w:line="320" w:lineRule="exact"/>
              <w:ind w:right="655"/>
              <w:jc w:val="right"/>
              <w:rPr>
                <w:rFonts w:hint="eastAsia"/>
                <w:sz w:val="20"/>
              </w:rPr>
            </w:pPr>
            <w:r>
              <w:rPr>
                <w:rFonts w:hint="eastAsia"/>
                <w:sz w:val="20"/>
              </w:rPr>
              <w:t>6.0</w:t>
            </w:r>
          </w:p>
        </w:tc>
        <w:tc>
          <w:tcPr>
            <w:tcW w:w="1882" w:type="dxa"/>
          </w:tcPr>
          <w:p w:rsidR="00000000" w:rsidRDefault="00000000">
            <w:pPr>
              <w:spacing w:before="80" w:line="320" w:lineRule="exact"/>
              <w:ind w:right="655"/>
              <w:jc w:val="right"/>
              <w:rPr>
                <w:rFonts w:hint="eastAsia"/>
                <w:sz w:val="20"/>
              </w:rPr>
            </w:pPr>
            <w:r>
              <w:rPr>
                <w:rFonts w:hint="eastAsia"/>
                <w:sz w:val="20"/>
              </w:rPr>
              <w:t>6.7</w:t>
            </w:r>
          </w:p>
        </w:tc>
        <w:tc>
          <w:tcPr>
            <w:tcW w:w="1882" w:type="dxa"/>
          </w:tcPr>
          <w:p w:rsidR="00000000" w:rsidRDefault="00000000">
            <w:pPr>
              <w:spacing w:before="80" w:line="320" w:lineRule="exact"/>
              <w:ind w:right="655"/>
              <w:jc w:val="right"/>
              <w:rPr>
                <w:rFonts w:hint="eastAsia"/>
                <w:sz w:val="20"/>
              </w:rPr>
            </w:pPr>
            <w:r>
              <w:rPr>
                <w:rFonts w:hint="eastAsia"/>
                <w:sz w:val="20"/>
              </w:rPr>
              <w:t>5.8</w:t>
            </w:r>
          </w:p>
        </w:tc>
      </w:tr>
      <w:tr w:rsidR="00000000">
        <w:tblPrEx>
          <w:tblCellMar>
            <w:top w:w="0" w:type="dxa"/>
            <w:bottom w:w="0" w:type="dxa"/>
          </w:tblCellMar>
        </w:tblPrEx>
        <w:tc>
          <w:tcPr>
            <w:tcW w:w="1882" w:type="dxa"/>
          </w:tcPr>
          <w:p w:rsidR="00000000" w:rsidRDefault="00000000">
            <w:pPr>
              <w:spacing w:before="80" w:line="320" w:lineRule="exact"/>
              <w:ind w:left="113"/>
              <w:rPr>
                <w:rFonts w:hint="eastAsia"/>
                <w:sz w:val="20"/>
              </w:rPr>
            </w:pPr>
            <w:r>
              <w:rPr>
                <w:rFonts w:hint="eastAsia"/>
                <w:sz w:val="20"/>
              </w:rPr>
              <w:t>死胎率</w:t>
            </w:r>
          </w:p>
        </w:tc>
        <w:tc>
          <w:tcPr>
            <w:tcW w:w="1882" w:type="dxa"/>
          </w:tcPr>
          <w:p w:rsidR="00000000" w:rsidRDefault="00000000">
            <w:pPr>
              <w:spacing w:before="80" w:line="320" w:lineRule="exact"/>
              <w:jc w:val="center"/>
              <w:rPr>
                <w:rFonts w:hint="eastAsia"/>
                <w:sz w:val="20"/>
              </w:rPr>
            </w:pPr>
            <w:r>
              <w:rPr>
                <w:rFonts w:ascii="SimSun" w:hAnsi="SimSun" w:hint="eastAsia"/>
                <w:sz w:val="20"/>
              </w:rPr>
              <w:t>‰</w:t>
            </w:r>
          </w:p>
        </w:tc>
        <w:tc>
          <w:tcPr>
            <w:tcW w:w="1882" w:type="dxa"/>
          </w:tcPr>
          <w:p w:rsidR="00000000" w:rsidRDefault="00000000">
            <w:pPr>
              <w:spacing w:before="80" w:line="320" w:lineRule="exact"/>
              <w:ind w:right="655"/>
              <w:jc w:val="right"/>
              <w:rPr>
                <w:rFonts w:hint="eastAsia"/>
                <w:sz w:val="20"/>
              </w:rPr>
            </w:pPr>
            <w:r>
              <w:rPr>
                <w:rFonts w:hint="eastAsia"/>
                <w:sz w:val="20"/>
              </w:rPr>
              <w:t>2.4</w:t>
            </w:r>
          </w:p>
        </w:tc>
        <w:tc>
          <w:tcPr>
            <w:tcW w:w="1882" w:type="dxa"/>
          </w:tcPr>
          <w:p w:rsidR="00000000" w:rsidRDefault="00000000">
            <w:pPr>
              <w:spacing w:before="80" w:line="320" w:lineRule="exact"/>
              <w:ind w:right="655"/>
              <w:jc w:val="right"/>
              <w:rPr>
                <w:rFonts w:hint="eastAsia"/>
                <w:sz w:val="20"/>
              </w:rPr>
            </w:pPr>
            <w:r>
              <w:rPr>
                <w:rFonts w:hint="eastAsia"/>
                <w:sz w:val="20"/>
              </w:rPr>
              <w:t>3.1</w:t>
            </w:r>
          </w:p>
        </w:tc>
        <w:tc>
          <w:tcPr>
            <w:tcW w:w="1882" w:type="dxa"/>
          </w:tcPr>
          <w:p w:rsidR="00000000" w:rsidRDefault="00000000">
            <w:pPr>
              <w:spacing w:before="80" w:line="320" w:lineRule="exact"/>
              <w:ind w:right="655"/>
              <w:jc w:val="right"/>
              <w:rPr>
                <w:rFonts w:hint="eastAsia"/>
                <w:sz w:val="20"/>
              </w:rPr>
            </w:pPr>
            <w:r>
              <w:rPr>
                <w:rFonts w:hint="eastAsia"/>
                <w:sz w:val="20"/>
              </w:rPr>
              <w:t>2.5</w:t>
            </w:r>
          </w:p>
        </w:tc>
      </w:tr>
    </w:tbl>
    <w:p w:rsidR="00000000" w:rsidRDefault="00000000">
      <w:pPr>
        <w:pStyle w:val="EndnoteText"/>
        <w:rPr>
          <w:rFonts w:hint="eastAsia"/>
          <w:sz w:val="20"/>
        </w:rPr>
      </w:pPr>
    </w:p>
    <w:p w:rsidR="00000000" w:rsidRDefault="00000000">
      <w:pPr>
        <w:pStyle w:val="EndnoteText"/>
        <w:rPr>
          <w:rFonts w:hint="eastAsia"/>
        </w:rPr>
      </w:pPr>
      <w:r>
        <w:rPr>
          <w:vertAlign w:val="superscript"/>
        </w:rPr>
        <w:tab/>
        <w:t xml:space="preserve">   (a)</w:t>
      </w:r>
      <w:r>
        <w:t xml:space="preserve">  </w:t>
      </w:r>
      <w:r>
        <w:rPr>
          <w:rFonts w:hint="eastAsia"/>
        </w:rPr>
        <w:t>重量</w:t>
      </w:r>
      <w:r>
        <w:rPr>
          <w:rFonts w:hint="eastAsia"/>
        </w:rPr>
        <w:t>500</w:t>
      </w:r>
      <w:r>
        <w:rPr>
          <w:rFonts w:hint="eastAsia"/>
        </w:rPr>
        <w:t>克或以上者。</w:t>
      </w:r>
    </w:p>
    <w:p w:rsidR="00000000" w:rsidRDefault="00000000">
      <w:pPr>
        <w:pStyle w:val="EndnoteText"/>
        <w:spacing w:after="320"/>
        <w:rPr>
          <w:rFonts w:hint="eastAsia"/>
        </w:rPr>
      </w:pPr>
      <w:r>
        <w:rPr>
          <w:rFonts w:hint="eastAsia"/>
          <w:u w:val="single"/>
        </w:rPr>
        <w:t>资料来源</w:t>
      </w:r>
      <w:r>
        <w:rPr>
          <w:rFonts w:hint="eastAsia"/>
        </w:rPr>
        <w:t>：统计暨普查局，</w:t>
      </w:r>
      <w:r>
        <w:rPr>
          <w:rFonts w:hint="eastAsia"/>
          <w:spacing w:val="-40"/>
        </w:rPr>
        <w:t>２００１</w:t>
      </w:r>
      <w:r>
        <w:rPr>
          <w:rFonts w:hint="eastAsia"/>
        </w:rPr>
        <w:t>年统计年鉴。</w:t>
      </w:r>
    </w:p>
    <w:p w:rsidR="00000000" w:rsidRDefault="00000000">
      <w:pPr>
        <w:pStyle w:val="a3"/>
        <w:rPr>
          <w:rFonts w:hint="eastAsia"/>
        </w:rPr>
      </w:pPr>
      <w:r>
        <w:rPr>
          <w:rFonts w:hint="eastAsia"/>
        </w:rPr>
        <w:t>按疾病分类的主要死亡原因和演变情况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283"/>
        <w:gridCol w:w="1785"/>
        <w:gridCol w:w="2310"/>
        <w:gridCol w:w="2032"/>
      </w:tblGrid>
      <w:tr w:rsidR="00000000">
        <w:tblPrEx>
          <w:tblCellMar>
            <w:top w:w="0" w:type="dxa"/>
            <w:bottom w:w="0" w:type="dxa"/>
          </w:tblCellMar>
        </w:tblPrEx>
        <w:tc>
          <w:tcPr>
            <w:tcW w:w="3283" w:type="dxa"/>
          </w:tcPr>
          <w:p w:rsidR="00000000" w:rsidRDefault="00000000">
            <w:pPr>
              <w:spacing w:before="60" w:line="320" w:lineRule="exact"/>
              <w:jc w:val="center"/>
              <w:rPr>
                <w:rFonts w:hint="eastAsia"/>
                <w:sz w:val="20"/>
              </w:rPr>
            </w:pPr>
            <w:r>
              <w:rPr>
                <w:rFonts w:hint="eastAsia"/>
                <w:sz w:val="20"/>
              </w:rPr>
              <w:t>年</w:t>
            </w:r>
            <w:r>
              <w:rPr>
                <w:rFonts w:hint="eastAsia"/>
                <w:sz w:val="20"/>
              </w:rPr>
              <w:t xml:space="preserve">  </w:t>
            </w:r>
            <w:r>
              <w:rPr>
                <w:rFonts w:hint="eastAsia"/>
                <w:sz w:val="20"/>
              </w:rPr>
              <w:t>份</w:t>
            </w:r>
          </w:p>
        </w:tc>
        <w:tc>
          <w:tcPr>
            <w:tcW w:w="1785" w:type="dxa"/>
          </w:tcPr>
          <w:p w:rsidR="00000000" w:rsidRDefault="00000000">
            <w:pPr>
              <w:spacing w:before="60" w:line="320" w:lineRule="exact"/>
              <w:jc w:val="center"/>
              <w:rPr>
                <w:rFonts w:hint="eastAsia"/>
                <w:sz w:val="20"/>
              </w:rPr>
            </w:pPr>
            <w:r>
              <w:rPr>
                <w:rFonts w:hint="eastAsia"/>
                <w:sz w:val="20"/>
              </w:rPr>
              <w:t>1999</w:t>
            </w:r>
          </w:p>
        </w:tc>
        <w:tc>
          <w:tcPr>
            <w:tcW w:w="2310" w:type="dxa"/>
          </w:tcPr>
          <w:p w:rsidR="00000000" w:rsidRDefault="00000000">
            <w:pPr>
              <w:spacing w:before="60" w:line="320" w:lineRule="exact"/>
              <w:jc w:val="center"/>
              <w:rPr>
                <w:rFonts w:hint="eastAsia"/>
                <w:sz w:val="20"/>
              </w:rPr>
            </w:pPr>
            <w:r>
              <w:rPr>
                <w:rFonts w:hint="eastAsia"/>
                <w:sz w:val="20"/>
              </w:rPr>
              <w:t>2000</w:t>
            </w:r>
          </w:p>
        </w:tc>
        <w:tc>
          <w:tcPr>
            <w:tcW w:w="2032" w:type="dxa"/>
          </w:tcPr>
          <w:p w:rsidR="00000000" w:rsidRDefault="00000000">
            <w:pPr>
              <w:spacing w:before="60" w:line="320" w:lineRule="exact"/>
              <w:jc w:val="center"/>
              <w:rPr>
                <w:rFonts w:hint="eastAsia"/>
                <w:sz w:val="20"/>
              </w:rPr>
            </w:pPr>
            <w:r>
              <w:rPr>
                <w:rFonts w:hint="eastAsia"/>
                <w:sz w:val="20"/>
              </w:rPr>
              <w:t>2001</w:t>
            </w:r>
          </w:p>
        </w:tc>
      </w:tr>
      <w:tr w:rsidR="00000000">
        <w:tblPrEx>
          <w:tblCellMar>
            <w:top w:w="0" w:type="dxa"/>
            <w:bottom w:w="0" w:type="dxa"/>
          </w:tblCellMar>
        </w:tblPrEx>
        <w:tc>
          <w:tcPr>
            <w:tcW w:w="3283" w:type="dxa"/>
          </w:tcPr>
          <w:p w:rsidR="00000000" w:rsidRDefault="00000000">
            <w:pPr>
              <w:spacing w:before="60" w:line="320" w:lineRule="exact"/>
              <w:ind w:left="113" w:right="113"/>
              <w:rPr>
                <w:rFonts w:hint="eastAsia"/>
                <w:sz w:val="20"/>
              </w:rPr>
            </w:pPr>
            <w:r>
              <w:rPr>
                <w:rFonts w:hint="eastAsia"/>
                <w:sz w:val="20"/>
              </w:rPr>
              <w:t>心力衰竭</w:t>
            </w:r>
          </w:p>
        </w:tc>
        <w:tc>
          <w:tcPr>
            <w:tcW w:w="1785" w:type="dxa"/>
          </w:tcPr>
          <w:p w:rsidR="00000000" w:rsidRDefault="00000000">
            <w:pPr>
              <w:spacing w:before="60" w:line="320" w:lineRule="exact"/>
              <w:ind w:left="113" w:right="602"/>
              <w:jc w:val="right"/>
              <w:rPr>
                <w:rFonts w:hint="eastAsia"/>
                <w:sz w:val="20"/>
              </w:rPr>
            </w:pPr>
            <w:r>
              <w:rPr>
                <w:rFonts w:hint="eastAsia"/>
                <w:sz w:val="20"/>
              </w:rPr>
              <w:t>94</w:t>
            </w:r>
          </w:p>
        </w:tc>
        <w:tc>
          <w:tcPr>
            <w:tcW w:w="2310" w:type="dxa"/>
          </w:tcPr>
          <w:p w:rsidR="00000000" w:rsidRDefault="00000000">
            <w:pPr>
              <w:spacing w:before="60" w:line="320" w:lineRule="exact"/>
              <w:ind w:left="113" w:right="602"/>
              <w:jc w:val="right"/>
              <w:rPr>
                <w:rFonts w:hint="eastAsia"/>
                <w:sz w:val="20"/>
              </w:rPr>
            </w:pPr>
            <w:r>
              <w:rPr>
                <w:rFonts w:hint="eastAsia"/>
                <w:sz w:val="20"/>
              </w:rPr>
              <w:t>156</w:t>
            </w:r>
          </w:p>
        </w:tc>
        <w:tc>
          <w:tcPr>
            <w:tcW w:w="2032" w:type="dxa"/>
          </w:tcPr>
          <w:p w:rsidR="00000000" w:rsidRDefault="00000000">
            <w:pPr>
              <w:spacing w:before="60" w:line="320" w:lineRule="exact"/>
              <w:ind w:left="113" w:right="602"/>
              <w:jc w:val="right"/>
              <w:rPr>
                <w:rFonts w:hint="eastAsia"/>
                <w:sz w:val="20"/>
              </w:rPr>
            </w:pPr>
            <w:r>
              <w:rPr>
                <w:rFonts w:hint="eastAsia"/>
                <w:sz w:val="20"/>
              </w:rPr>
              <w:t>104</w:t>
            </w:r>
          </w:p>
        </w:tc>
      </w:tr>
      <w:tr w:rsidR="00000000">
        <w:tblPrEx>
          <w:tblCellMar>
            <w:top w:w="0" w:type="dxa"/>
            <w:bottom w:w="0" w:type="dxa"/>
          </w:tblCellMar>
        </w:tblPrEx>
        <w:tc>
          <w:tcPr>
            <w:tcW w:w="3283" w:type="dxa"/>
          </w:tcPr>
          <w:p w:rsidR="00000000" w:rsidRDefault="00000000">
            <w:pPr>
              <w:spacing w:before="60" w:line="320" w:lineRule="exact"/>
              <w:ind w:left="113" w:right="113"/>
              <w:rPr>
                <w:rFonts w:hint="eastAsia"/>
                <w:sz w:val="20"/>
              </w:rPr>
            </w:pPr>
            <w:r>
              <w:rPr>
                <w:rFonts w:hint="eastAsia"/>
                <w:sz w:val="20"/>
              </w:rPr>
              <w:t>气管、支气管和肺的恶性肿瘤</w:t>
            </w:r>
          </w:p>
        </w:tc>
        <w:tc>
          <w:tcPr>
            <w:tcW w:w="1785" w:type="dxa"/>
          </w:tcPr>
          <w:p w:rsidR="00000000" w:rsidRDefault="00000000">
            <w:pPr>
              <w:spacing w:before="60" w:line="320" w:lineRule="exact"/>
              <w:ind w:left="113" w:right="602"/>
              <w:jc w:val="right"/>
              <w:rPr>
                <w:rFonts w:hint="eastAsia"/>
                <w:sz w:val="20"/>
              </w:rPr>
            </w:pPr>
            <w:r>
              <w:rPr>
                <w:rFonts w:hint="eastAsia"/>
                <w:sz w:val="20"/>
              </w:rPr>
              <w:t>85</w:t>
            </w:r>
          </w:p>
        </w:tc>
        <w:tc>
          <w:tcPr>
            <w:tcW w:w="2310" w:type="dxa"/>
          </w:tcPr>
          <w:p w:rsidR="00000000" w:rsidRDefault="00000000">
            <w:pPr>
              <w:spacing w:before="60" w:line="320" w:lineRule="exact"/>
              <w:ind w:left="113" w:right="602"/>
              <w:jc w:val="right"/>
              <w:rPr>
                <w:rFonts w:hint="eastAsia"/>
                <w:sz w:val="20"/>
              </w:rPr>
            </w:pPr>
            <w:r>
              <w:rPr>
                <w:rFonts w:hint="eastAsia"/>
                <w:sz w:val="20"/>
              </w:rPr>
              <w:t>96</w:t>
            </w:r>
          </w:p>
        </w:tc>
        <w:tc>
          <w:tcPr>
            <w:tcW w:w="2032" w:type="dxa"/>
          </w:tcPr>
          <w:p w:rsidR="00000000" w:rsidRDefault="00000000">
            <w:pPr>
              <w:spacing w:before="60" w:line="320" w:lineRule="exact"/>
              <w:ind w:left="113" w:right="602"/>
              <w:jc w:val="right"/>
              <w:rPr>
                <w:rFonts w:hint="eastAsia"/>
                <w:sz w:val="20"/>
              </w:rPr>
            </w:pPr>
            <w:r>
              <w:rPr>
                <w:rFonts w:hint="eastAsia"/>
                <w:sz w:val="20"/>
              </w:rPr>
              <w:t>125</w:t>
            </w:r>
          </w:p>
        </w:tc>
      </w:tr>
      <w:tr w:rsidR="00000000">
        <w:tblPrEx>
          <w:tblCellMar>
            <w:top w:w="0" w:type="dxa"/>
            <w:bottom w:w="0" w:type="dxa"/>
          </w:tblCellMar>
        </w:tblPrEx>
        <w:tc>
          <w:tcPr>
            <w:tcW w:w="3283" w:type="dxa"/>
          </w:tcPr>
          <w:p w:rsidR="00000000" w:rsidRDefault="00000000">
            <w:pPr>
              <w:spacing w:before="60" w:line="320" w:lineRule="exact"/>
              <w:ind w:left="113" w:right="113"/>
              <w:rPr>
                <w:rFonts w:hint="eastAsia"/>
                <w:sz w:val="20"/>
              </w:rPr>
            </w:pPr>
            <w:r>
              <w:rPr>
                <w:rFonts w:hint="eastAsia"/>
                <w:sz w:val="20"/>
              </w:rPr>
              <w:t>肝和肝内胆管的恶性肿瘤</w:t>
            </w:r>
          </w:p>
        </w:tc>
        <w:tc>
          <w:tcPr>
            <w:tcW w:w="1785" w:type="dxa"/>
          </w:tcPr>
          <w:p w:rsidR="00000000" w:rsidRDefault="00000000">
            <w:pPr>
              <w:spacing w:before="60" w:line="320" w:lineRule="exact"/>
              <w:ind w:left="113" w:right="602"/>
              <w:jc w:val="right"/>
              <w:rPr>
                <w:rFonts w:hint="eastAsia"/>
                <w:sz w:val="20"/>
              </w:rPr>
            </w:pPr>
            <w:r>
              <w:rPr>
                <w:rFonts w:hint="eastAsia"/>
                <w:sz w:val="20"/>
              </w:rPr>
              <w:t>59</w:t>
            </w:r>
          </w:p>
        </w:tc>
        <w:tc>
          <w:tcPr>
            <w:tcW w:w="2310" w:type="dxa"/>
          </w:tcPr>
          <w:p w:rsidR="00000000" w:rsidRDefault="00000000">
            <w:pPr>
              <w:spacing w:before="60" w:line="320" w:lineRule="exact"/>
              <w:ind w:left="113" w:right="602"/>
              <w:jc w:val="right"/>
              <w:rPr>
                <w:rFonts w:hint="eastAsia"/>
                <w:sz w:val="20"/>
              </w:rPr>
            </w:pPr>
            <w:r>
              <w:rPr>
                <w:rFonts w:hint="eastAsia"/>
                <w:sz w:val="20"/>
              </w:rPr>
              <w:t>69</w:t>
            </w:r>
          </w:p>
        </w:tc>
        <w:tc>
          <w:tcPr>
            <w:tcW w:w="2032" w:type="dxa"/>
          </w:tcPr>
          <w:p w:rsidR="00000000" w:rsidRDefault="00000000">
            <w:pPr>
              <w:spacing w:before="60" w:line="320" w:lineRule="exact"/>
              <w:ind w:left="113" w:right="602"/>
              <w:jc w:val="right"/>
              <w:rPr>
                <w:rFonts w:hint="eastAsia"/>
                <w:sz w:val="20"/>
              </w:rPr>
            </w:pPr>
            <w:r>
              <w:rPr>
                <w:rFonts w:hint="eastAsia"/>
                <w:sz w:val="20"/>
              </w:rPr>
              <w:t>44</w:t>
            </w:r>
          </w:p>
        </w:tc>
      </w:tr>
      <w:tr w:rsidR="00000000">
        <w:tblPrEx>
          <w:tblCellMar>
            <w:top w:w="0" w:type="dxa"/>
            <w:bottom w:w="0" w:type="dxa"/>
          </w:tblCellMar>
        </w:tblPrEx>
        <w:tc>
          <w:tcPr>
            <w:tcW w:w="3283" w:type="dxa"/>
          </w:tcPr>
          <w:p w:rsidR="00000000" w:rsidRDefault="00000000">
            <w:pPr>
              <w:spacing w:before="60" w:line="320" w:lineRule="exact"/>
              <w:ind w:left="113" w:right="113"/>
              <w:rPr>
                <w:rFonts w:hint="eastAsia"/>
                <w:sz w:val="20"/>
              </w:rPr>
            </w:pPr>
            <w:r>
              <w:rPr>
                <w:rFonts w:hint="eastAsia"/>
                <w:sz w:val="20"/>
              </w:rPr>
              <w:t>肺炎，未特指病原生物体</w:t>
            </w:r>
          </w:p>
        </w:tc>
        <w:tc>
          <w:tcPr>
            <w:tcW w:w="1785" w:type="dxa"/>
          </w:tcPr>
          <w:p w:rsidR="00000000" w:rsidRDefault="00000000">
            <w:pPr>
              <w:spacing w:before="60" w:line="320" w:lineRule="exact"/>
              <w:ind w:left="113" w:right="602"/>
              <w:jc w:val="right"/>
              <w:rPr>
                <w:rFonts w:hint="eastAsia"/>
                <w:sz w:val="20"/>
              </w:rPr>
            </w:pPr>
            <w:r>
              <w:rPr>
                <w:rFonts w:hint="eastAsia"/>
                <w:sz w:val="20"/>
              </w:rPr>
              <w:t>28</w:t>
            </w:r>
          </w:p>
        </w:tc>
        <w:tc>
          <w:tcPr>
            <w:tcW w:w="2310" w:type="dxa"/>
          </w:tcPr>
          <w:p w:rsidR="00000000" w:rsidRDefault="00000000">
            <w:pPr>
              <w:spacing w:before="60" w:line="320" w:lineRule="exact"/>
              <w:ind w:left="113" w:right="602"/>
              <w:jc w:val="right"/>
              <w:rPr>
                <w:rFonts w:hint="eastAsia"/>
                <w:sz w:val="20"/>
              </w:rPr>
            </w:pPr>
            <w:r>
              <w:rPr>
                <w:rFonts w:hint="eastAsia"/>
                <w:sz w:val="20"/>
              </w:rPr>
              <w:t>37</w:t>
            </w:r>
          </w:p>
        </w:tc>
        <w:tc>
          <w:tcPr>
            <w:tcW w:w="2032" w:type="dxa"/>
          </w:tcPr>
          <w:p w:rsidR="00000000" w:rsidRDefault="00000000">
            <w:pPr>
              <w:spacing w:before="60" w:line="320" w:lineRule="exact"/>
              <w:ind w:left="113" w:right="602"/>
              <w:jc w:val="right"/>
              <w:rPr>
                <w:rFonts w:hint="eastAsia"/>
                <w:sz w:val="20"/>
              </w:rPr>
            </w:pPr>
            <w:r>
              <w:rPr>
                <w:rFonts w:hint="eastAsia"/>
                <w:sz w:val="20"/>
              </w:rPr>
              <w:t>40</w:t>
            </w:r>
          </w:p>
        </w:tc>
      </w:tr>
      <w:tr w:rsidR="00000000">
        <w:tblPrEx>
          <w:tblCellMar>
            <w:top w:w="0" w:type="dxa"/>
            <w:bottom w:w="0" w:type="dxa"/>
          </w:tblCellMar>
        </w:tblPrEx>
        <w:tc>
          <w:tcPr>
            <w:tcW w:w="3283" w:type="dxa"/>
          </w:tcPr>
          <w:p w:rsidR="00000000" w:rsidRDefault="00000000">
            <w:pPr>
              <w:spacing w:before="60" w:line="320" w:lineRule="exact"/>
              <w:ind w:left="113" w:right="113"/>
              <w:rPr>
                <w:rFonts w:hint="eastAsia"/>
                <w:sz w:val="20"/>
              </w:rPr>
            </w:pPr>
            <w:r>
              <w:rPr>
                <w:rFonts w:hint="eastAsia"/>
                <w:sz w:val="20"/>
              </w:rPr>
              <w:t>其他慢性缺血性心脏病</w:t>
            </w:r>
          </w:p>
        </w:tc>
        <w:tc>
          <w:tcPr>
            <w:tcW w:w="1785" w:type="dxa"/>
          </w:tcPr>
          <w:p w:rsidR="00000000" w:rsidRDefault="00000000">
            <w:pPr>
              <w:spacing w:before="60" w:line="320" w:lineRule="exact"/>
              <w:ind w:left="113" w:right="602"/>
              <w:jc w:val="right"/>
              <w:rPr>
                <w:rFonts w:hint="eastAsia"/>
                <w:sz w:val="20"/>
              </w:rPr>
            </w:pPr>
            <w:r>
              <w:rPr>
                <w:rFonts w:hint="eastAsia"/>
                <w:sz w:val="20"/>
              </w:rPr>
              <w:t>47</w:t>
            </w:r>
          </w:p>
        </w:tc>
        <w:tc>
          <w:tcPr>
            <w:tcW w:w="2310" w:type="dxa"/>
          </w:tcPr>
          <w:p w:rsidR="00000000" w:rsidRDefault="00000000">
            <w:pPr>
              <w:spacing w:before="60" w:line="320" w:lineRule="exact"/>
              <w:ind w:left="113" w:right="602"/>
              <w:jc w:val="right"/>
              <w:rPr>
                <w:rFonts w:hint="eastAsia"/>
                <w:sz w:val="20"/>
              </w:rPr>
            </w:pPr>
            <w:r>
              <w:rPr>
                <w:rFonts w:hint="eastAsia"/>
                <w:sz w:val="20"/>
              </w:rPr>
              <w:t>44</w:t>
            </w:r>
          </w:p>
        </w:tc>
        <w:tc>
          <w:tcPr>
            <w:tcW w:w="2032" w:type="dxa"/>
          </w:tcPr>
          <w:p w:rsidR="00000000" w:rsidRDefault="00000000">
            <w:pPr>
              <w:spacing w:before="60" w:line="320" w:lineRule="exact"/>
              <w:ind w:left="113" w:right="602"/>
              <w:jc w:val="right"/>
              <w:rPr>
                <w:rFonts w:hint="eastAsia"/>
                <w:sz w:val="20"/>
              </w:rPr>
            </w:pPr>
            <w:r>
              <w:rPr>
                <w:rFonts w:hint="eastAsia"/>
                <w:sz w:val="20"/>
              </w:rPr>
              <w:t>38</w:t>
            </w:r>
          </w:p>
        </w:tc>
      </w:tr>
    </w:tbl>
    <w:p w:rsidR="00000000" w:rsidRDefault="00000000">
      <w:pPr>
        <w:spacing w:before="120" w:after="12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：统计暨普查局</w:t>
      </w:r>
      <w:r>
        <w:rPr>
          <w:rFonts w:eastAsia="KaiTi_GB2312" w:hint="eastAsia"/>
          <w:snapToGrid/>
          <w:spacing w:val="-40"/>
        </w:rPr>
        <w:t>２００１</w:t>
      </w:r>
      <w:r>
        <w:rPr>
          <w:rFonts w:eastAsia="KaiTi_GB2312" w:hint="eastAsia"/>
          <w:snapToGrid/>
          <w:spacing w:val="0"/>
        </w:rPr>
        <w:t>年人口统计。</w:t>
      </w:r>
    </w:p>
    <w:p w:rsidR="00000000" w:rsidRDefault="00000000">
      <w:pPr>
        <w:rPr>
          <w:rFonts w:hint="eastAsia"/>
          <w:snapToGrid/>
        </w:rPr>
      </w:pPr>
      <w:r>
        <w:rPr>
          <w:rFonts w:eastAsia="KaiTi_GB2312" w:hint="eastAsia"/>
          <w:snapToGrid/>
          <w:spacing w:val="0"/>
        </w:rPr>
        <w:tab/>
      </w:r>
      <w:r>
        <w:rPr>
          <w:rFonts w:hint="eastAsia"/>
          <w:snapToGrid/>
        </w:rPr>
        <w:t xml:space="preserve">1023.  </w:t>
      </w:r>
      <w:r>
        <w:rPr>
          <w:rFonts w:hint="eastAsia"/>
          <w:snapToGrid/>
        </w:rPr>
        <w:t>于</w:t>
      </w:r>
      <w:r>
        <w:rPr>
          <w:rFonts w:hint="eastAsia"/>
          <w:snapToGrid/>
        </w:rPr>
        <w:t>2002</w:t>
      </w:r>
      <w:r>
        <w:rPr>
          <w:rFonts w:hint="eastAsia"/>
          <w:snapToGrid/>
        </w:rPr>
        <w:t>年设立了健康条件评估中心，由该中心负责就人口的健康条件作出研究和评估。为促进公共卫生和体育发展，该中心免费为市民提供身体状态、功能和素质的检验服务。为改善市民生活素质，有关方面将科学程式、体育治疗器械和服务、医疗护理、复康医疗措施、物理治疗等结合一起为市民提供服务。</w:t>
      </w:r>
    </w:p>
    <w:p w:rsidR="00000000" w:rsidRDefault="00000000">
      <w:pPr>
        <w:rPr>
          <w:rFonts w:hint="eastAsia"/>
          <w:snapToGrid/>
        </w:rPr>
      </w:pPr>
      <w:r>
        <w:rPr>
          <w:rFonts w:hint="eastAsia"/>
          <w:snapToGrid/>
        </w:rPr>
        <w:tab/>
        <w:t xml:space="preserve">1024.  </w:t>
      </w:r>
      <w:r>
        <w:rPr>
          <w:rFonts w:hint="eastAsia"/>
          <w:snapToGrid/>
        </w:rPr>
        <w:t>所有市民均得到自来水供应。食水的质量和安全监测工作，是透过对食水进行两项层次不同的严格化验分析而进行，其中一层次的化验由民政总署负责，另一层次的化验则由卫生局负责。</w:t>
      </w:r>
    </w:p>
    <w:p w:rsidR="00000000" w:rsidRDefault="00000000">
      <w:pPr>
        <w:rPr>
          <w:rFonts w:hint="eastAsia"/>
          <w:snapToGrid/>
        </w:rPr>
      </w:pPr>
      <w:r>
        <w:rPr>
          <w:rFonts w:hint="eastAsia"/>
          <w:snapToGrid/>
        </w:rPr>
        <w:tab/>
        <w:t xml:space="preserve">1025.  </w:t>
      </w:r>
      <w:r>
        <w:rPr>
          <w:rFonts w:hint="eastAsia"/>
          <w:snapToGrid/>
        </w:rPr>
        <w:t>民政总署负责对公共食水供应系统的水质进行监察和控制，而食水供应系统则由澳门自来水有限公司</w:t>
      </w:r>
      <w:r>
        <w:rPr>
          <w:rFonts w:hint="eastAsia"/>
          <w:snapToGrid/>
        </w:rPr>
        <w:t>(MWSC)</w:t>
      </w:r>
      <w:r>
        <w:rPr>
          <w:rFonts w:hint="eastAsia"/>
          <w:snapToGrid/>
        </w:rPr>
        <w:t>负责管理。为确保供水能符合质量标准，有关方面收集食水处理厂和供水网的原水样本，以及经处理食水样本进行细菌学和化学物理分析。</w:t>
      </w:r>
    </w:p>
    <w:p w:rsidR="00000000" w:rsidRDefault="00000000">
      <w:pPr>
        <w:spacing w:after="320"/>
        <w:rPr>
          <w:rFonts w:hint="eastAsia"/>
          <w:snapToGrid/>
        </w:rPr>
      </w:pPr>
      <w:r>
        <w:rPr>
          <w:rFonts w:hint="eastAsia"/>
          <w:snapToGrid/>
        </w:rPr>
        <w:tab/>
        <w:t xml:space="preserve">1026.  </w:t>
      </w:r>
      <w:r>
        <w:rPr>
          <w:rFonts w:hint="eastAsia"/>
          <w:snapToGrid/>
        </w:rPr>
        <w:t>民政总署更负责对公共泳池、酒店泳池和向公众开放的私人楼宇泳池进行卫生检验。每年平均收集和化验约</w:t>
      </w:r>
      <w:r>
        <w:rPr>
          <w:rFonts w:hint="eastAsia"/>
          <w:snapToGrid/>
        </w:rPr>
        <w:t>1,600</w:t>
      </w:r>
      <w:r>
        <w:rPr>
          <w:rFonts w:hint="eastAsia"/>
          <w:snapToGrid/>
        </w:rPr>
        <w:t>个食水样本和约</w:t>
      </w:r>
      <w:r>
        <w:rPr>
          <w:rFonts w:hint="eastAsia"/>
          <w:snapToGrid/>
        </w:rPr>
        <w:t>1,300</w:t>
      </w:r>
      <w:r>
        <w:rPr>
          <w:rFonts w:hint="eastAsia"/>
          <w:snapToGrid/>
        </w:rPr>
        <w:t>个泳池水样本。</w:t>
      </w:r>
    </w:p>
    <w:p w:rsidR="00000000" w:rsidRDefault="00000000">
      <w:pPr>
        <w:pStyle w:val="Heading3"/>
        <w:rPr>
          <w:rFonts w:hint="eastAsia"/>
        </w:rPr>
      </w:pPr>
      <w:bookmarkStart w:id="96" w:name="_Toc78773005"/>
      <w:r>
        <w:rPr>
          <w:rFonts w:hint="eastAsia"/>
          <w:u w:val="none"/>
        </w:rPr>
        <w:t xml:space="preserve">B.  </w:t>
      </w:r>
      <w:r>
        <w:rPr>
          <w:rFonts w:hint="eastAsia"/>
        </w:rPr>
        <w:t>卫生政策</w:t>
      </w:r>
      <w:bookmarkEnd w:id="96"/>
    </w:p>
    <w:p w:rsidR="00000000" w:rsidRDefault="00000000">
      <w:pPr>
        <w:rPr>
          <w:rFonts w:hint="eastAsia"/>
        </w:rPr>
      </w:pPr>
      <w:r>
        <w:rPr>
          <w:rFonts w:hint="eastAsia"/>
        </w:rPr>
        <w:tab/>
        <w:t xml:space="preserve">1027.  </w:t>
      </w:r>
      <w:r>
        <w:rPr>
          <w:rFonts w:hint="eastAsia"/>
        </w:rPr>
        <w:t>按照《基本法》第一百二十三条的规定，澳门特别行政区政府须制定卫生政策以促进公共卫生，并须为达致此目标而向市民提供医疗卫生服务。卫生系统提供范围广阔的预防、治疗和康复的服务。其中一项重要的措施是提供医疗护理服务和方便市民使用卫生中心。</w:t>
      </w:r>
    </w:p>
    <w:p w:rsidR="00000000" w:rsidRDefault="00000000">
      <w:pPr>
        <w:rPr>
          <w:rFonts w:hint="eastAsia"/>
        </w:rPr>
      </w:pPr>
      <w:r>
        <w:rPr>
          <w:rFonts w:hint="eastAsia"/>
        </w:rPr>
        <w:tab/>
        <w:t xml:space="preserve">1028.  </w:t>
      </w:r>
      <w:r>
        <w:rPr>
          <w:rFonts w:hint="eastAsia"/>
        </w:rPr>
        <w:t>所有市民均可享用卫生中心提供的初级卫生保健和公立医院就一般疾病和创伤而提供的紧急卫生护理和医院卫生护理。然而，初级卫生保健主要是提供予育龄女性和幼儿</w:t>
      </w:r>
      <w:r>
        <w:rPr>
          <w:rFonts w:hint="eastAsia"/>
        </w:rPr>
        <w:t>/</w:t>
      </w:r>
      <w:r>
        <w:rPr>
          <w:rFonts w:hint="eastAsia"/>
        </w:rPr>
        <w:t>儿童。</w:t>
      </w:r>
    </w:p>
    <w:p w:rsidR="00000000" w:rsidRDefault="00000000">
      <w:pPr>
        <w:rPr>
          <w:rFonts w:hint="eastAsia"/>
        </w:rPr>
      </w:pPr>
      <w:r>
        <w:rPr>
          <w:rFonts w:hint="eastAsia"/>
        </w:rPr>
        <w:tab/>
        <w:t xml:space="preserve">1029.  </w:t>
      </w:r>
      <w:r>
        <w:rPr>
          <w:rFonts w:hint="eastAsia"/>
        </w:rPr>
        <w:t>向长者提供的初级卫生护理，是为长者作出依赖程度</w:t>
      </w:r>
      <w:r>
        <w:rPr>
          <w:rFonts w:hint="eastAsia"/>
        </w:rPr>
        <w:t>(</w:t>
      </w:r>
      <w:r>
        <w:rPr>
          <w:rFonts w:hint="eastAsia"/>
        </w:rPr>
        <w:t>功能依赖</w:t>
      </w:r>
      <w:r>
        <w:rPr>
          <w:rFonts w:hint="eastAsia"/>
        </w:rPr>
        <w:t>)</w:t>
      </w:r>
      <w:r>
        <w:rPr>
          <w:rFonts w:hint="eastAsia"/>
        </w:rPr>
        <w:t>的评估，以及透过与社会工作局合作，为行动不便的长者提供护士</w:t>
      </w:r>
      <w:r>
        <w:rPr>
          <w:rFonts w:hint="eastAsia"/>
        </w:rPr>
        <w:t>/</w:t>
      </w:r>
      <w:r>
        <w:rPr>
          <w:rFonts w:hint="eastAsia"/>
        </w:rPr>
        <w:t>医生上门服务，从而改善长者的生活素质。</w:t>
      </w:r>
    </w:p>
    <w:p w:rsidR="00000000" w:rsidRDefault="00000000">
      <w:pPr>
        <w:rPr>
          <w:rFonts w:hint="eastAsia"/>
        </w:rPr>
      </w:pPr>
      <w:r>
        <w:rPr>
          <w:rFonts w:hint="eastAsia"/>
        </w:rPr>
        <w:tab/>
        <w:t xml:space="preserve">1030.  </w:t>
      </w:r>
      <w:r>
        <w:rPr>
          <w:rFonts w:hint="eastAsia"/>
        </w:rPr>
        <w:t>对弱势和贫困社群的服务，同样是在社会工作局的合作下，由卫生中心提供。精神和身体不健全人士可使用精神病科提供的精神病专科护理和社会照料。</w:t>
      </w:r>
    </w:p>
    <w:p w:rsidR="00000000" w:rsidRDefault="00000000">
      <w:pPr>
        <w:rPr>
          <w:rFonts w:hint="eastAsia"/>
        </w:rPr>
      </w:pPr>
      <w:r>
        <w:rPr>
          <w:rFonts w:hint="eastAsia"/>
        </w:rPr>
        <w:tab/>
        <w:t xml:space="preserve">1031.  </w:t>
      </w:r>
      <w:r>
        <w:rPr>
          <w:rFonts w:hint="eastAsia"/>
        </w:rPr>
        <w:t>在整体卫生政策下，澳门特别行政区政府致力促进卫生和开展关于预防登革热、免疫缺陷病毒</w:t>
      </w:r>
      <w:r>
        <w:rPr>
          <w:rFonts w:hint="eastAsia"/>
        </w:rPr>
        <w:t>/</w:t>
      </w:r>
      <w:r>
        <w:rPr>
          <w:rFonts w:hint="eastAsia"/>
        </w:rPr>
        <w:t>艾滋病</w:t>
      </w:r>
      <w:r>
        <w:rPr>
          <w:rFonts w:hint="eastAsia"/>
        </w:rPr>
        <w:t>(HIV/SIDA)</w:t>
      </w:r>
      <w:r>
        <w:rPr>
          <w:rFonts w:hint="eastAsia"/>
        </w:rPr>
        <w:t>、吸毒和吸烟、糖尿病、肺结核和乙型肝炎等主要卫生问题的教育活动。</w:t>
      </w:r>
    </w:p>
    <w:p w:rsidR="00000000" w:rsidRDefault="00000000">
      <w:pPr>
        <w:rPr>
          <w:rFonts w:hint="eastAsia"/>
        </w:rPr>
      </w:pPr>
      <w:r>
        <w:rPr>
          <w:rFonts w:hint="eastAsia"/>
        </w:rPr>
        <w:tab/>
        <w:t xml:space="preserve">1032.  </w:t>
      </w:r>
      <w:r>
        <w:rPr>
          <w:rFonts w:hint="eastAsia"/>
        </w:rPr>
        <w:t>此外，更为弱势社群和危险群在遇到下列健康问题时采取特别措施：身体</w:t>
      </w:r>
      <w:r>
        <w:rPr>
          <w:rFonts w:hint="eastAsia"/>
        </w:rPr>
        <w:t>/</w:t>
      </w:r>
      <w:r>
        <w:rPr>
          <w:rFonts w:hint="eastAsia"/>
        </w:rPr>
        <w:t>精神的健康问题</w:t>
      </w:r>
      <w:r>
        <w:rPr>
          <w:rFonts w:hint="eastAsia"/>
        </w:rPr>
        <w:t>(</w:t>
      </w:r>
      <w:r>
        <w:rPr>
          <w:rFonts w:hint="eastAsia"/>
        </w:rPr>
        <w:t>家庭</w:t>
      </w:r>
      <w:r>
        <w:rPr>
          <w:rFonts w:hint="eastAsia"/>
        </w:rPr>
        <w:t>/</w:t>
      </w:r>
      <w:r>
        <w:rPr>
          <w:rFonts w:hint="eastAsia"/>
        </w:rPr>
        <w:t>社会援助团体的预防援助，精神病科的辅助预防和心理辅助</w:t>
      </w:r>
      <w:r>
        <w:rPr>
          <w:rFonts w:hint="eastAsia"/>
        </w:rPr>
        <w:t>)</w:t>
      </w:r>
      <w:r>
        <w:rPr>
          <w:rFonts w:hint="eastAsia"/>
        </w:rPr>
        <w:t>；功能衰退问题</w:t>
      </w:r>
      <w:r>
        <w:rPr>
          <w:rFonts w:hint="eastAsia"/>
        </w:rPr>
        <w:t>(</w:t>
      </w:r>
      <w:r>
        <w:rPr>
          <w:rFonts w:hint="eastAsia"/>
        </w:rPr>
        <w:t>通过上门护理，作出认知能力评估以至身体状况的早期诊断</w:t>
      </w:r>
      <w:r>
        <w:rPr>
          <w:rFonts w:hint="eastAsia"/>
        </w:rPr>
        <w:t>)</w:t>
      </w:r>
      <w:r>
        <w:rPr>
          <w:rFonts w:hint="eastAsia"/>
        </w:rPr>
        <w:t>；传染病；肺结核病</w:t>
      </w:r>
      <w:r>
        <w:rPr>
          <w:rFonts w:hint="eastAsia"/>
        </w:rPr>
        <w:t>(</w:t>
      </w:r>
      <w:r>
        <w:rPr>
          <w:rFonts w:hint="eastAsia"/>
        </w:rPr>
        <w:t>向高危群提供肺结核检查、早期诊断和治疗</w:t>
      </w:r>
      <w:r>
        <w:rPr>
          <w:rFonts w:hint="eastAsia"/>
        </w:rPr>
        <w:t>)</w:t>
      </w:r>
      <w:r>
        <w:rPr>
          <w:rFonts w:hint="eastAsia"/>
        </w:rPr>
        <w:t>，乙型肝炎；慢性病</w:t>
      </w:r>
      <w:r>
        <w:rPr>
          <w:rFonts w:hint="eastAsia"/>
        </w:rPr>
        <w:t>/</w:t>
      </w:r>
      <w:r>
        <w:rPr>
          <w:rFonts w:hint="eastAsia"/>
        </w:rPr>
        <w:t>衰退疾病；骨质疏松症和乳癌</w:t>
      </w:r>
      <w:r>
        <w:rPr>
          <w:rFonts w:hint="eastAsia"/>
        </w:rPr>
        <w:t>/</w:t>
      </w:r>
      <w:r>
        <w:rPr>
          <w:rFonts w:hint="eastAsia"/>
        </w:rPr>
        <w:t>子宫癌</w:t>
      </w:r>
      <w:r>
        <w:rPr>
          <w:rFonts w:hint="eastAsia"/>
        </w:rPr>
        <w:t>(</w:t>
      </w:r>
      <w:r>
        <w:rPr>
          <w:rFonts w:hint="eastAsia"/>
        </w:rPr>
        <w:t>女性</w:t>
      </w:r>
      <w:r>
        <w:rPr>
          <w:rFonts w:hint="eastAsia"/>
        </w:rPr>
        <w:t>)</w:t>
      </w:r>
      <w:r>
        <w:rPr>
          <w:rFonts w:hint="eastAsia"/>
        </w:rPr>
        <w:t>；心脏病</w:t>
      </w:r>
      <w:r>
        <w:rPr>
          <w:rFonts w:hint="eastAsia"/>
        </w:rPr>
        <w:t>(</w:t>
      </w:r>
      <w:r>
        <w:rPr>
          <w:rFonts w:hint="eastAsia"/>
        </w:rPr>
        <w:t>成年人</w:t>
      </w:r>
      <w:r>
        <w:rPr>
          <w:rFonts w:hint="eastAsia"/>
        </w:rPr>
        <w:t>)</w:t>
      </w:r>
      <w:r>
        <w:rPr>
          <w:rFonts w:hint="eastAsia"/>
        </w:rPr>
        <w:t>。</w:t>
      </w:r>
    </w:p>
    <w:p w:rsidR="00000000" w:rsidRDefault="00000000">
      <w:pPr>
        <w:rPr>
          <w:rFonts w:hint="eastAsia"/>
        </w:rPr>
      </w:pPr>
      <w:r>
        <w:rPr>
          <w:rFonts w:hint="eastAsia"/>
        </w:rPr>
        <w:tab/>
        <w:t xml:space="preserve">1033.  </w:t>
      </w:r>
      <w:r>
        <w:rPr>
          <w:rFonts w:hint="eastAsia"/>
        </w:rPr>
        <w:t>为育龄女性和幼儿</w:t>
      </w:r>
      <w:r>
        <w:rPr>
          <w:rFonts w:hint="eastAsia"/>
        </w:rPr>
        <w:t>/</w:t>
      </w:r>
      <w:r>
        <w:rPr>
          <w:rFonts w:hint="eastAsia"/>
        </w:rPr>
        <w:t>儿童而制定的健康计划包括不同方面，例如营养、家庭计划、预防接种和卫生教育等。密切关注怀孕妇女和幼儿</w:t>
      </w:r>
      <w:r>
        <w:rPr>
          <w:rFonts w:hint="eastAsia"/>
        </w:rPr>
        <w:t>/</w:t>
      </w:r>
      <w:r>
        <w:rPr>
          <w:rFonts w:hint="eastAsia"/>
        </w:rPr>
        <w:t>儿童的状况、由专业人员在医院中提供分娩辅助，以及推行免疫计划等，是所采取的有助减低幼儿死亡和有助提高怀孕安全的措施。</w:t>
      </w:r>
    </w:p>
    <w:p w:rsidR="00000000" w:rsidRDefault="00000000">
      <w:pPr>
        <w:spacing w:after="320"/>
        <w:rPr>
          <w:rFonts w:hint="eastAsia"/>
        </w:rPr>
      </w:pPr>
      <w:r>
        <w:rPr>
          <w:rFonts w:hint="eastAsia"/>
        </w:rPr>
        <w:tab/>
        <w:t xml:space="preserve">1034.  </w:t>
      </w:r>
      <w:r>
        <w:rPr>
          <w:rFonts w:hint="eastAsia"/>
        </w:rPr>
        <w:t>澳门特别行政区政府制定了一套专为</w:t>
      </w:r>
      <w:r>
        <w:rPr>
          <w:rFonts w:hint="eastAsia"/>
        </w:rPr>
        <w:t>6</w:t>
      </w:r>
      <w:r>
        <w:rPr>
          <w:rFonts w:hint="eastAsia"/>
        </w:rPr>
        <w:t>岁以下的儿童而设的免疫计划。就多发生于儿童的传染病而实行的预防接种，其统计资料如下：</w:t>
      </w:r>
    </w:p>
    <w:p w:rsidR="00000000" w:rsidRDefault="00000000">
      <w:pPr>
        <w:pStyle w:val="a3"/>
        <w:rPr>
          <w:rFonts w:hint="eastAsia"/>
        </w:rPr>
      </w:pPr>
      <w:r>
        <w:rPr>
          <w:rFonts w:hint="eastAsia"/>
        </w:rPr>
        <w:t>预防接种纪录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93"/>
        <w:gridCol w:w="1890"/>
        <w:gridCol w:w="2205"/>
        <w:gridCol w:w="1822"/>
      </w:tblGrid>
      <w:tr w:rsidR="00000000">
        <w:tblPrEx>
          <w:tblCellMar>
            <w:top w:w="0" w:type="dxa"/>
            <w:bottom w:w="0" w:type="dxa"/>
          </w:tblCellMar>
        </w:tblPrEx>
        <w:tc>
          <w:tcPr>
            <w:tcW w:w="3493" w:type="dxa"/>
          </w:tcPr>
          <w:p w:rsidR="00000000" w:rsidRDefault="00000000">
            <w:pPr>
              <w:spacing w:before="120" w:line="320" w:lineRule="exact"/>
              <w:ind w:left="113" w:right="113"/>
              <w:jc w:val="center"/>
              <w:rPr>
                <w:rFonts w:hint="eastAsia"/>
                <w:sz w:val="20"/>
              </w:rPr>
            </w:pPr>
            <w:r>
              <w:rPr>
                <w:rFonts w:hint="eastAsia"/>
                <w:sz w:val="20"/>
              </w:rPr>
              <w:t>预防接种</w:t>
            </w:r>
          </w:p>
        </w:tc>
        <w:tc>
          <w:tcPr>
            <w:tcW w:w="1890" w:type="dxa"/>
          </w:tcPr>
          <w:p w:rsidR="00000000" w:rsidRDefault="00000000">
            <w:pPr>
              <w:spacing w:before="120" w:line="320" w:lineRule="exact"/>
              <w:ind w:left="113" w:right="113"/>
              <w:jc w:val="center"/>
              <w:rPr>
                <w:rFonts w:hint="eastAsia"/>
                <w:sz w:val="20"/>
              </w:rPr>
            </w:pPr>
            <w:r>
              <w:rPr>
                <w:rFonts w:hint="eastAsia"/>
                <w:sz w:val="20"/>
              </w:rPr>
              <w:t>1999</w:t>
            </w:r>
          </w:p>
        </w:tc>
        <w:tc>
          <w:tcPr>
            <w:tcW w:w="2205" w:type="dxa"/>
          </w:tcPr>
          <w:p w:rsidR="00000000" w:rsidRDefault="00000000">
            <w:pPr>
              <w:spacing w:before="120" w:line="320" w:lineRule="exact"/>
              <w:ind w:left="113" w:right="113"/>
              <w:jc w:val="center"/>
              <w:rPr>
                <w:rFonts w:hint="eastAsia"/>
                <w:sz w:val="20"/>
              </w:rPr>
            </w:pPr>
            <w:r>
              <w:rPr>
                <w:rFonts w:hint="eastAsia"/>
                <w:sz w:val="20"/>
              </w:rPr>
              <w:t>2000</w:t>
            </w:r>
          </w:p>
        </w:tc>
        <w:tc>
          <w:tcPr>
            <w:tcW w:w="1822" w:type="dxa"/>
          </w:tcPr>
          <w:p w:rsidR="00000000" w:rsidRDefault="00000000">
            <w:pPr>
              <w:spacing w:before="120" w:line="320" w:lineRule="exact"/>
              <w:ind w:left="113" w:right="113"/>
              <w:jc w:val="center"/>
              <w:rPr>
                <w:rFonts w:hint="eastAsia"/>
                <w:sz w:val="20"/>
              </w:rPr>
            </w:pPr>
            <w:r>
              <w:rPr>
                <w:rFonts w:hint="eastAsia"/>
                <w:sz w:val="20"/>
              </w:rPr>
              <w:t>2001</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白喉及破伤风</w:t>
            </w:r>
            <w:r>
              <w:rPr>
                <w:rFonts w:hint="eastAsia"/>
                <w:sz w:val="20"/>
              </w:rPr>
              <w:t>(</w:t>
            </w:r>
            <w:r>
              <w:rPr>
                <w:rFonts w:hint="eastAsia"/>
                <w:sz w:val="20"/>
              </w:rPr>
              <w:t>双联针</w:t>
            </w:r>
            <w:r>
              <w:rPr>
                <w:rFonts w:hint="eastAsia"/>
                <w:sz w:val="20"/>
              </w:rPr>
              <w:t>)</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5,881</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5,949</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5,616</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麻</w:t>
            </w:r>
            <w:r>
              <w:rPr>
                <w:rFonts w:hint="eastAsia"/>
                <w:sz w:val="20"/>
              </w:rPr>
              <w:t xml:space="preserve">  </w:t>
            </w:r>
            <w:r>
              <w:rPr>
                <w:rFonts w:hint="eastAsia"/>
                <w:sz w:val="20"/>
              </w:rPr>
              <w:t>疹</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3,723</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3,823</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3,486</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卡介苗</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4,315</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4,440</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1,902</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德国麻疹</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993</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41</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20</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麻疹、腮腺炎及德国麻疹</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14,158</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14,330</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15,962</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白喉、破伤风及百日咳</w:t>
            </w:r>
            <w:r>
              <w:rPr>
                <w:rFonts w:hint="eastAsia"/>
                <w:sz w:val="20"/>
              </w:rPr>
              <w:t>(</w:t>
            </w:r>
            <w:r>
              <w:rPr>
                <w:rFonts w:hint="eastAsia"/>
                <w:sz w:val="20"/>
              </w:rPr>
              <w:t>三联针</w:t>
            </w:r>
            <w:r>
              <w:rPr>
                <w:rFonts w:hint="eastAsia"/>
                <w:sz w:val="20"/>
              </w:rPr>
              <w:t>)</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15,550</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14,367</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13,618</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抗脊髓灰质炎</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24,321</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22,773</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21,941</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破伤风</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21,275</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24,612</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19,797</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黄</w:t>
            </w:r>
            <w:r>
              <w:rPr>
                <w:rFonts w:hint="eastAsia"/>
                <w:sz w:val="20"/>
              </w:rPr>
              <w:t xml:space="preserve">  </w:t>
            </w:r>
            <w:r>
              <w:rPr>
                <w:rFonts w:hint="eastAsia"/>
                <w:sz w:val="20"/>
              </w:rPr>
              <w:t>热</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5</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24</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18</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甲型肝炎</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60</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20</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85</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乙型肝炎</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25,612</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28,680</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23,271</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水</w:t>
            </w:r>
            <w:r>
              <w:rPr>
                <w:rFonts w:hint="eastAsia"/>
                <w:sz w:val="20"/>
              </w:rPr>
              <w:t xml:space="preserve">  </w:t>
            </w:r>
            <w:r>
              <w:rPr>
                <w:rFonts w:hint="eastAsia"/>
                <w:sz w:val="20"/>
              </w:rPr>
              <w:t>痘</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2</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147</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306</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流行性感冒</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133</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603</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2,221</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其</w:t>
            </w:r>
            <w:r>
              <w:rPr>
                <w:rFonts w:hint="eastAsia"/>
                <w:sz w:val="20"/>
              </w:rPr>
              <w:t xml:space="preserve">  </w:t>
            </w:r>
            <w:r>
              <w:rPr>
                <w:rFonts w:hint="eastAsia"/>
                <w:sz w:val="20"/>
              </w:rPr>
              <w:t>他</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1,201</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2,793</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 xml:space="preserve">5,289 </w:t>
            </w:r>
            <w:r>
              <w:rPr>
                <w:b/>
                <w:bCs/>
                <w:sz w:val="20"/>
                <w:vertAlign w:val="superscript"/>
              </w:rPr>
              <w:t>a</w:t>
            </w:r>
          </w:p>
        </w:tc>
      </w:tr>
      <w:tr w:rsidR="00000000">
        <w:tblPrEx>
          <w:tblCellMar>
            <w:top w:w="0" w:type="dxa"/>
            <w:bottom w:w="0" w:type="dxa"/>
          </w:tblCellMar>
        </w:tblPrEx>
        <w:tc>
          <w:tcPr>
            <w:tcW w:w="3493" w:type="dxa"/>
          </w:tcPr>
          <w:p w:rsidR="00000000" w:rsidRDefault="00000000">
            <w:pPr>
              <w:spacing w:before="120" w:line="320" w:lineRule="exact"/>
              <w:ind w:left="113" w:right="113"/>
              <w:rPr>
                <w:rFonts w:hint="eastAsia"/>
                <w:sz w:val="20"/>
              </w:rPr>
            </w:pPr>
            <w:r>
              <w:rPr>
                <w:rFonts w:hint="eastAsia"/>
                <w:sz w:val="20"/>
              </w:rPr>
              <w:t>总</w:t>
            </w:r>
            <w:r>
              <w:rPr>
                <w:rFonts w:hint="eastAsia"/>
                <w:sz w:val="20"/>
              </w:rPr>
              <w:t xml:space="preserve">  </w:t>
            </w:r>
            <w:r>
              <w:rPr>
                <w:rFonts w:hint="eastAsia"/>
                <w:sz w:val="20"/>
              </w:rPr>
              <w:t>计</w:t>
            </w:r>
          </w:p>
        </w:tc>
        <w:tc>
          <w:tcPr>
            <w:tcW w:w="1890" w:type="dxa"/>
          </w:tcPr>
          <w:p w:rsidR="00000000" w:rsidRDefault="00000000">
            <w:pPr>
              <w:tabs>
                <w:tab w:val="decimal" w:pos="1232"/>
              </w:tabs>
              <w:spacing w:before="120" w:line="320" w:lineRule="exact"/>
              <w:ind w:left="113" w:right="113"/>
              <w:rPr>
                <w:rFonts w:hint="eastAsia"/>
                <w:sz w:val="20"/>
              </w:rPr>
            </w:pPr>
            <w:r>
              <w:rPr>
                <w:rFonts w:hint="eastAsia"/>
                <w:sz w:val="20"/>
              </w:rPr>
              <w:t>117,179</w:t>
            </w:r>
          </w:p>
        </w:tc>
        <w:tc>
          <w:tcPr>
            <w:tcW w:w="2205" w:type="dxa"/>
          </w:tcPr>
          <w:p w:rsidR="00000000" w:rsidRDefault="00000000">
            <w:pPr>
              <w:tabs>
                <w:tab w:val="decimal" w:pos="1232"/>
              </w:tabs>
              <w:spacing w:before="120" w:line="320" w:lineRule="exact"/>
              <w:ind w:left="113" w:right="113"/>
              <w:rPr>
                <w:rFonts w:hint="eastAsia"/>
                <w:sz w:val="20"/>
              </w:rPr>
            </w:pPr>
            <w:r>
              <w:rPr>
                <w:rFonts w:hint="eastAsia"/>
                <w:sz w:val="20"/>
              </w:rPr>
              <w:t>122,602</w:t>
            </w:r>
          </w:p>
        </w:tc>
        <w:tc>
          <w:tcPr>
            <w:tcW w:w="1822" w:type="dxa"/>
          </w:tcPr>
          <w:p w:rsidR="00000000" w:rsidRDefault="00000000">
            <w:pPr>
              <w:tabs>
                <w:tab w:val="decimal" w:pos="1232"/>
              </w:tabs>
              <w:spacing w:before="120" w:line="320" w:lineRule="exact"/>
              <w:ind w:left="113" w:right="113"/>
              <w:rPr>
                <w:rFonts w:hint="eastAsia"/>
                <w:sz w:val="20"/>
              </w:rPr>
            </w:pPr>
            <w:r>
              <w:rPr>
                <w:rFonts w:hint="eastAsia"/>
                <w:sz w:val="20"/>
              </w:rPr>
              <w:t>113,532</w:t>
            </w:r>
          </w:p>
        </w:tc>
      </w:tr>
    </w:tbl>
    <w:p w:rsidR="00000000" w:rsidRDefault="00000000">
      <w:pPr>
        <w:spacing w:before="240"/>
        <w:rPr>
          <w:rFonts w:eastAsia="KaiTi_GB2312" w:hint="eastAsia"/>
          <w:snapToGrid/>
          <w:spacing w:val="0"/>
        </w:rPr>
      </w:pPr>
      <w:r>
        <w:rPr>
          <w:rFonts w:eastAsia="KaiTi_GB2312" w:hint="eastAsia"/>
          <w:snapToGrid/>
          <w:spacing w:val="0"/>
          <w:vertAlign w:val="superscript"/>
        </w:rPr>
        <w:tab/>
      </w:r>
      <w:r>
        <w:rPr>
          <w:rFonts w:eastAsia="KaiTi_GB2312"/>
          <w:snapToGrid/>
          <w:spacing w:val="0"/>
          <w:vertAlign w:val="superscript"/>
        </w:rPr>
        <w:tab/>
        <w:t xml:space="preserve">    </w:t>
      </w:r>
      <w:r>
        <w:rPr>
          <w:rFonts w:eastAsia="KaiTi_GB2312"/>
          <w:b/>
          <w:bCs/>
          <w:snapToGrid/>
          <w:spacing w:val="0"/>
          <w:vertAlign w:val="superscript"/>
        </w:rPr>
        <w:t>a</w:t>
      </w:r>
      <w:r>
        <w:rPr>
          <w:rFonts w:eastAsia="KaiTi_GB2312"/>
          <w:snapToGrid/>
          <w:spacing w:val="0"/>
        </w:rPr>
        <w:t xml:space="preserve">  </w:t>
      </w:r>
      <w:r>
        <w:rPr>
          <w:rFonts w:eastAsia="KaiTi_GB2312" w:hint="eastAsia"/>
          <w:snapToGrid/>
          <w:spacing w:val="0"/>
        </w:rPr>
        <w:t>包括</w:t>
      </w:r>
      <w:r>
        <w:rPr>
          <w:rFonts w:eastAsia="KaiTi_GB2312" w:hint="eastAsia"/>
          <w:snapToGrid/>
          <w:spacing w:val="0"/>
        </w:rPr>
        <w:t>5,087</w:t>
      </w:r>
      <w:r>
        <w:rPr>
          <w:rFonts w:eastAsia="KaiTi_GB2312" w:hint="eastAsia"/>
          <w:snapToGrid/>
          <w:spacing w:val="0"/>
        </w:rPr>
        <w:t>宗结核菌试验和</w:t>
      </w:r>
      <w:r>
        <w:rPr>
          <w:rFonts w:eastAsia="KaiTi_GB2312" w:hint="eastAsia"/>
          <w:snapToGrid/>
          <w:spacing w:val="0"/>
        </w:rPr>
        <w:t>141</w:t>
      </w:r>
      <w:r>
        <w:rPr>
          <w:rFonts w:eastAsia="KaiTi_GB2312" w:hint="eastAsia"/>
          <w:snapToGrid/>
          <w:spacing w:val="0"/>
        </w:rPr>
        <w:t>宗抗乙型肝炎免疫球蛋白。</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：统计暨普查局，</w:t>
      </w:r>
      <w:r>
        <w:rPr>
          <w:rFonts w:eastAsia="KaiTi_GB2312" w:hint="eastAsia"/>
          <w:snapToGrid/>
          <w:spacing w:val="0"/>
        </w:rPr>
        <w:t>2001</w:t>
      </w:r>
      <w:r>
        <w:rPr>
          <w:rFonts w:eastAsia="KaiTi_GB2312" w:hint="eastAsia"/>
          <w:snapToGrid/>
          <w:spacing w:val="0"/>
        </w:rPr>
        <w:t>年统计年鉴。</w:t>
      </w:r>
    </w:p>
    <w:p w:rsidR="00000000" w:rsidRDefault="00000000">
      <w:pPr>
        <w:spacing w:before="120"/>
        <w:rPr>
          <w:rFonts w:hint="eastAsia"/>
          <w:snapToGrid/>
        </w:rPr>
      </w:pPr>
      <w:r>
        <w:rPr>
          <w:rFonts w:eastAsia="KaiTi_GB2312" w:hint="eastAsia"/>
          <w:snapToGrid/>
          <w:spacing w:val="0"/>
        </w:rPr>
        <w:tab/>
        <w:t xml:space="preserve">1035.  </w:t>
      </w:r>
      <w:r>
        <w:rPr>
          <w:rFonts w:hint="eastAsia"/>
          <w:snapToGrid/>
        </w:rPr>
        <w:t>关于儿童卫生护理的问题，在澳门特别行政区就《儿童权利公约》的实施而提出的报告中有详细阐述。</w:t>
      </w:r>
    </w:p>
    <w:p w:rsidR="00000000" w:rsidRDefault="00000000">
      <w:pPr>
        <w:rPr>
          <w:rFonts w:hint="eastAsia"/>
          <w:snapToGrid/>
        </w:rPr>
      </w:pPr>
      <w:r>
        <w:rPr>
          <w:rFonts w:hint="eastAsia"/>
          <w:snapToGrid/>
        </w:rPr>
        <w:tab/>
        <w:t>1036.  2001</w:t>
      </w:r>
      <w:r>
        <w:rPr>
          <w:rFonts w:hint="eastAsia"/>
          <w:snapToGrid/>
        </w:rPr>
        <w:t>年，卫生当局诊断出</w:t>
      </w:r>
      <w:r>
        <w:rPr>
          <w:rFonts w:hint="eastAsia"/>
          <w:snapToGrid/>
        </w:rPr>
        <w:t>3,655</w:t>
      </w:r>
      <w:r>
        <w:rPr>
          <w:rFonts w:hint="eastAsia"/>
          <w:snapToGrid/>
        </w:rPr>
        <w:t>宗传染病例，其中包括水痘</w:t>
      </w:r>
      <w:r>
        <w:rPr>
          <w:rFonts w:hint="eastAsia"/>
          <w:snapToGrid/>
        </w:rPr>
        <w:t>1,490</w:t>
      </w:r>
      <w:r>
        <w:rPr>
          <w:rFonts w:hint="eastAsia"/>
          <w:snapToGrid/>
        </w:rPr>
        <w:t>宗、登革热</w:t>
      </w:r>
      <w:r>
        <w:rPr>
          <w:rFonts w:hint="eastAsia"/>
          <w:snapToGrid/>
        </w:rPr>
        <w:t>1,418</w:t>
      </w:r>
      <w:r>
        <w:rPr>
          <w:rFonts w:hint="eastAsia"/>
          <w:snapToGrid/>
        </w:rPr>
        <w:t>宗、肺结核</w:t>
      </w:r>
      <w:r>
        <w:rPr>
          <w:rFonts w:hint="eastAsia"/>
          <w:snapToGrid/>
        </w:rPr>
        <w:t>410</w:t>
      </w:r>
      <w:r>
        <w:rPr>
          <w:rFonts w:hint="eastAsia"/>
          <w:snapToGrid/>
        </w:rPr>
        <w:t>宗、急性丙型肝炎</w:t>
      </w:r>
      <w:r>
        <w:rPr>
          <w:rFonts w:hint="eastAsia"/>
          <w:snapToGrid/>
        </w:rPr>
        <w:t>92</w:t>
      </w:r>
      <w:r>
        <w:rPr>
          <w:rFonts w:hint="eastAsia"/>
          <w:snapToGrid/>
        </w:rPr>
        <w:t>宗。</w:t>
      </w:r>
    </w:p>
    <w:p w:rsidR="00000000" w:rsidRDefault="00000000">
      <w:pPr>
        <w:spacing w:after="320"/>
        <w:rPr>
          <w:rFonts w:hint="eastAsia"/>
          <w:snapToGrid/>
        </w:rPr>
      </w:pPr>
      <w:r>
        <w:rPr>
          <w:rFonts w:hint="eastAsia"/>
          <w:snapToGrid/>
        </w:rPr>
        <w:tab/>
        <w:t xml:space="preserve">1037.  </w:t>
      </w:r>
      <w:r>
        <w:rPr>
          <w:rFonts w:hint="eastAsia"/>
          <w:snapToGrid/>
        </w:rPr>
        <w:t>民政总署、环境委员会等多个不同实体，与卫生局合作推行了多次宣传预防和控制由动物传播的疾病，例如登革热病的活动</w:t>
      </w:r>
      <w:r>
        <w:rPr>
          <w:rFonts w:hint="eastAsia"/>
          <w:snapToGrid/>
        </w:rPr>
        <w:t>/</w:t>
      </w:r>
      <w:r>
        <w:rPr>
          <w:rFonts w:hint="eastAsia"/>
          <w:snapToGrid/>
        </w:rPr>
        <w:t>计划，以及进行了多项环境卫生工作。</w:t>
      </w:r>
    </w:p>
    <w:p w:rsidR="00000000" w:rsidRDefault="00000000">
      <w:pPr>
        <w:pStyle w:val="Heading4"/>
        <w:rPr>
          <w:rFonts w:hint="eastAsia"/>
        </w:rPr>
      </w:pPr>
      <w:r>
        <w:rPr>
          <w:rFonts w:hint="eastAsia"/>
        </w:rPr>
        <w:t>免疫缺陷病毒</w:t>
      </w:r>
      <w:r>
        <w:rPr>
          <w:rFonts w:hint="eastAsia"/>
        </w:rPr>
        <w:t>/</w:t>
      </w:r>
      <w:r>
        <w:rPr>
          <w:rFonts w:hint="eastAsia"/>
        </w:rPr>
        <w:t>艾滋病</w:t>
      </w:r>
      <w:r>
        <w:rPr>
          <w:rFonts w:hint="eastAsia"/>
        </w:rPr>
        <w:t>(HIV/SIDA)</w:t>
      </w:r>
      <w:r>
        <w:rPr>
          <w:rFonts w:hint="eastAsia"/>
        </w:rPr>
        <w:t>的预防和控制</w:t>
      </w:r>
    </w:p>
    <w:p w:rsidR="00000000" w:rsidRDefault="00000000">
      <w:pPr>
        <w:rPr>
          <w:rFonts w:hint="eastAsia"/>
        </w:rPr>
      </w:pPr>
      <w:r>
        <w:rPr>
          <w:rFonts w:hint="eastAsia"/>
        </w:rPr>
        <w:tab/>
        <w:t xml:space="preserve">1038.  </w:t>
      </w:r>
      <w:r>
        <w:rPr>
          <w:rFonts w:hint="eastAsia"/>
        </w:rPr>
        <w:t>到目前为止，艾滋病在澳门特别行政区的病发率是低的，但艾滋病毒在亚洲地区仍继续快速扩散。进出边境活动的增加，以及年青人和防疾能力低的社群</w:t>
      </w:r>
      <w:r>
        <w:rPr>
          <w:rFonts w:hint="eastAsia"/>
        </w:rPr>
        <w:t>/</w:t>
      </w:r>
      <w:r>
        <w:rPr>
          <w:rFonts w:hint="eastAsia"/>
        </w:rPr>
        <w:t>危险群的行为习惯的改变，是令人大感忧虑的原因。卫生局针对免疫缺陷病毒</w:t>
      </w:r>
      <w:r>
        <w:rPr>
          <w:rFonts w:hint="eastAsia"/>
        </w:rPr>
        <w:t>/</w:t>
      </w:r>
      <w:r>
        <w:rPr>
          <w:rFonts w:hint="eastAsia"/>
        </w:rPr>
        <w:t>艾滋病的问题，推行了多次宣传活动，向特定的社群以至广大市民灌输基本知识。卫生局亦向感染免疫缺陷病毒</w:t>
      </w:r>
      <w:r>
        <w:rPr>
          <w:rFonts w:hint="eastAsia"/>
        </w:rPr>
        <w:t>/</w:t>
      </w:r>
      <w:r>
        <w:rPr>
          <w:rFonts w:hint="eastAsia"/>
        </w:rPr>
        <w:t>艾滋病的病人及其家庭提供援助。在对抗免疫缺陷病毒</w:t>
      </w:r>
      <w:r>
        <w:rPr>
          <w:rFonts w:hint="eastAsia"/>
        </w:rPr>
        <w:t>/</w:t>
      </w:r>
      <w:r>
        <w:rPr>
          <w:rFonts w:hint="eastAsia"/>
        </w:rPr>
        <w:t>艾滋病的策略方面，灌输知识、提供资讯和由专业人士作出呼吁等被列为基本工作。</w:t>
      </w:r>
    </w:p>
    <w:p w:rsidR="00000000" w:rsidRDefault="00000000">
      <w:pPr>
        <w:rPr>
          <w:rFonts w:hint="eastAsia"/>
        </w:rPr>
      </w:pPr>
      <w:r>
        <w:rPr>
          <w:rFonts w:hint="eastAsia"/>
        </w:rPr>
        <w:tab/>
        <w:t xml:space="preserve">1039.  </w:t>
      </w:r>
      <w:r>
        <w:rPr>
          <w:rFonts w:hint="eastAsia"/>
        </w:rPr>
        <w:t>卫生局与其他机构合作，推行了一项</w:t>
      </w:r>
      <w:r>
        <w:rPr>
          <w:rFonts w:hint="eastAsia"/>
        </w:rPr>
        <w:t>2002-2003</w:t>
      </w:r>
      <w:r>
        <w:rPr>
          <w:rFonts w:hint="eastAsia"/>
        </w:rPr>
        <w:t>年度的活动</w:t>
      </w:r>
      <w:r>
        <w:rPr>
          <w:rFonts w:hint="eastAsia"/>
        </w:rPr>
        <w:t>(</w:t>
      </w:r>
      <w:r>
        <w:rPr>
          <w:rFonts w:hint="eastAsia"/>
        </w:rPr>
        <w:t>属世界艾滋病日的活动</w:t>
      </w:r>
      <w:r>
        <w:rPr>
          <w:rFonts w:hint="eastAsia"/>
        </w:rPr>
        <w:t>)</w:t>
      </w:r>
      <w:r>
        <w:rPr>
          <w:rFonts w:hint="eastAsia"/>
        </w:rPr>
        <w:t>，呼吁不歧视免疫缺陷病毒</w:t>
      </w:r>
      <w:r>
        <w:rPr>
          <w:rFonts w:hint="eastAsia"/>
        </w:rPr>
        <w:t>/</w:t>
      </w:r>
      <w:r>
        <w:rPr>
          <w:rFonts w:hint="eastAsia"/>
        </w:rPr>
        <w:t>艾滋病病患者和保护其基本人权。该项活动的目的在于唤起社会的互助精神和对病患者的尊重，以及促进该等病患者的福祉。</w:t>
      </w:r>
    </w:p>
    <w:p w:rsidR="00000000" w:rsidRDefault="00000000">
      <w:pPr>
        <w:rPr>
          <w:rFonts w:hint="eastAsia"/>
        </w:rPr>
      </w:pPr>
      <w:r>
        <w:rPr>
          <w:rFonts w:hint="eastAsia"/>
        </w:rPr>
        <w:tab/>
        <w:t xml:space="preserve">1040.  </w:t>
      </w:r>
      <w:r>
        <w:rPr>
          <w:rFonts w:hint="eastAsia"/>
        </w:rPr>
        <w:t>至</w:t>
      </w:r>
      <w:r>
        <w:rPr>
          <w:rFonts w:hint="eastAsia"/>
        </w:rPr>
        <w:t>2002</w:t>
      </w:r>
      <w:r>
        <w:rPr>
          <w:rFonts w:hint="eastAsia"/>
        </w:rPr>
        <w:t>年</w:t>
      </w:r>
      <w:r>
        <w:rPr>
          <w:rFonts w:hint="eastAsia"/>
        </w:rPr>
        <w:t>10</w:t>
      </w:r>
      <w:r>
        <w:rPr>
          <w:rFonts w:hint="eastAsia"/>
        </w:rPr>
        <w:t>月底为止，在澳门特别行政区检测到的受免疫缺陷病毒感染的个案为</w:t>
      </w:r>
      <w:r>
        <w:rPr>
          <w:rFonts w:hint="eastAsia"/>
        </w:rPr>
        <w:t>255</w:t>
      </w:r>
      <w:r>
        <w:rPr>
          <w:rFonts w:hint="eastAsia"/>
        </w:rPr>
        <w:t>宗，其中</w:t>
      </w:r>
      <w:r>
        <w:rPr>
          <w:rFonts w:hint="eastAsia"/>
        </w:rPr>
        <w:t>21</w:t>
      </w:r>
      <w:r>
        <w:rPr>
          <w:rFonts w:hint="eastAsia"/>
        </w:rPr>
        <w:t>宗演变为艾滋病，现正由卫生局跟进。</w:t>
      </w:r>
    </w:p>
    <w:p w:rsidR="00000000" w:rsidRDefault="00000000">
      <w:pPr>
        <w:rPr>
          <w:rFonts w:hint="eastAsia"/>
        </w:rPr>
      </w:pPr>
      <w:r>
        <w:rPr>
          <w:rFonts w:hint="eastAsia"/>
        </w:rPr>
        <w:tab/>
        <w:t xml:space="preserve">1041.  </w:t>
      </w:r>
      <w:r>
        <w:rPr>
          <w:rFonts w:hint="eastAsia"/>
        </w:rPr>
        <w:t>受免疫缺陷病毒感染的市民中，大部分为从事娱乐性行业的临时居民</w:t>
      </w:r>
      <w:r>
        <w:rPr>
          <w:rFonts w:hint="eastAsia"/>
        </w:rPr>
        <w:t>(67.8%)</w:t>
      </w:r>
      <w:r>
        <w:rPr>
          <w:rFonts w:hint="eastAsia"/>
        </w:rPr>
        <w:t>。疾病的主要传播途径是性接触</w:t>
      </w:r>
      <w:r>
        <w:rPr>
          <w:rFonts w:hint="eastAsia"/>
        </w:rPr>
        <w:t>(78.4%)</w:t>
      </w:r>
      <w:r>
        <w:rPr>
          <w:rFonts w:hint="eastAsia"/>
        </w:rPr>
        <w:t>，其中通过异性性行为而传播的占大部分</w:t>
      </w:r>
      <w:r>
        <w:rPr>
          <w:rFonts w:hint="eastAsia"/>
        </w:rPr>
        <w:t>(69.4%)</w:t>
      </w:r>
      <w:r>
        <w:rPr>
          <w:rFonts w:hint="eastAsia"/>
        </w:rPr>
        <w:t>，其次是通过同性性行为的传播</w:t>
      </w:r>
      <w:r>
        <w:rPr>
          <w:rFonts w:hint="eastAsia"/>
        </w:rPr>
        <w:t>(9%)</w:t>
      </w:r>
      <w:r>
        <w:rPr>
          <w:rFonts w:hint="eastAsia"/>
        </w:rPr>
        <w:t>和吸毒者将毒品作静脉注射而引起的传播</w:t>
      </w:r>
      <w:r>
        <w:rPr>
          <w:rFonts w:hint="eastAsia"/>
        </w:rPr>
        <w:t>(5.1%)</w:t>
      </w:r>
      <w:r>
        <w:rPr>
          <w:rFonts w:hint="eastAsia"/>
        </w:rPr>
        <w:t>。</w:t>
      </w:r>
    </w:p>
    <w:p w:rsidR="00000000" w:rsidRDefault="00000000">
      <w:pPr>
        <w:spacing w:after="320"/>
        <w:rPr>
          <w:rFonts w:hint="eastAsia"/>
        </w:rPr>
      </w:pPr>
      <w:r>
        <w:rPr>
          <w:rFonts w:hint="eastAsia"/>
        </w:rPr>
        <w:tab/>
        <w:t xml:space="preserve">1042.  </w:t>
      </w:r>
      <w:r>
        <w:rPr>
          <w:rFonts w:hint="eastAsia"/>
        </w:rPr>
        <w:t>卫生局和公共卫生化验室</w:t>
      </w:r>
      <w:r>
        <w:rPr>
          <w:rFonts w:hint="eastAsia"/>
        </w:rPr>
        <w:t>(PHL)</w:t>
      </w:r>
      <w:r>
        <w:rPr>
          <w:rFonts w:hint="eastAsia"/>
        </w:rPr>
        <w:t>最近设立了多个特别单位。此外，亦设立电话热线，为免疫缺陷病毒</w:t>
      </w:r>
      <w:r>
        <w:rPr>
          <w:rFonts w:hint="eastAsia"/>
        </w:rPr>
        <w:t>/</w:t>
      </w:r>
      <w:r>
        <w:rPr>
          <w:rFonts w:hint="eastAsia"/>
        </w:rPr>
        <w:t>艾滋病病患者及其家属提供社会心理辅导。与此同时，亦提供诊前诊后的咨询服务、讲解、社会援助和社会保障。免疫缺陷病毒的血液抗体测试属保密和免费。</w:t>
      </w:r>
    </w:p>
    <w:p w:rsidR="00000000" w:rsidRDefault="00000000">
      <w:pPr>
        <w:pStyle w:val="Heading4"/>
        <w:rPr>
          <w:rFonts w:hint="eastAsia"/>
        </w:rPr>
      </w:pPr>
      <w:r>
        <w:rPr>
          <w:rFonts w:hint="eastAsia"/>
        </w:rPr>
        <w:t>药物依赖</w:t>
      </w:r>
    </w:p>
    <w:p w:rsidR="00000000" w:rsidRDefault="00000000">
      <w:pPr>
        <w:rPr>
          <w:rFonts w:hint="eastAsia"/>
        </w:rPr>
      </w:pPr>
      <w:r>
        <w:rPr>
          <w:rFonts w:hint="eastAsia"/>
        </w:rPr>
        <w:tab/>
        <w:t xml:space="preserve">1043.  </w:t>
      </w:r>
      <w:r>
        <w:rPr>
          <w:rFonts w:hint="eastAsia"/>
        </w:rPr>
        <w:t>药物依赖是澳门特别行政区特别关注的问题。澳门特别行政区政府针对毒品问题采取了综合的平衡对策，一方面通过有助减低危险</w:t>
      </w:r>
      <w:r>
        <w:rPr>
          <w:rFonts w:hint="eastAsia"/>
        </w:rPr>
        <w:t>/</w:t>
      </w:r>
      <w:r>
        <w:rPr>
          <w:rFonts w:hint="eastAsia"/>
        </w:rPr>
        <w:t>损害的措施和免费戒毒计划作出预防，另一方面加强检控和立法工作，打击非法运毒。</w:t>
      </w:r>
    </w:p>
    <w:p w:rsidR="00000000" w:rsidRDefault="00000000">
      <w:pPr>
        <w:rPr>
          <w:rFonts w:hint="eastAsia"/>
        </w:rPr>
      </w:pPr>
      <w:r>
        <w:rPr>
          <w:rFonts w:hint="eastAsia"/>
        </w:rPr>
        <w:tab/>
        <w:t xml:space="preserve">1044.  </w:t>
      </w:r>
      <w:r>
        <w:rPr>
          <w:rFonts w:hint="eastAsia"/>
        </w:rPr>
        <w:t>向染有毒瘾的人提供免费医疗援助服务，包括全身检验</w:t>
      </w:r>
      <w:r>
        <w:rPr>
          <w:rFonts w:hint="eastAsia"/>
        </w:rPr>
        <w:t>(</w:t>
      </w:r>
      <w:r>
        <w:rPr>
          <w:rFonts w:hint="eastAsia"/>
        </w:rPr>
        <w:t>例如检验免疫缺陷病毒、乙型和丙型肝炎、肺结核和对血液、尿液作物理化学化验等</w:t>
      </w:r>
      <w:r>
        <w:rPr>
          <w:rFonts w:hint="eastAsia"/>
        </w:rPr>
        <w:t>)</w:t>
      </w:r>
      <w:r>
        <w:rPr>
          <w:rFonts w:hint="eastAsia"/>
        </w:rPr>
        <w:t>、治疗和复康计划。</w:t>
      </w:r>
    </w:p>
    <w:p w:rsidR="00000000" w:rsidRDefault="00000000">
      <w:pPr>
        <w:rPr>
          <w:rFonts w:hint="eastAsia"/>
        </w:rPr>
      </w:pPr>
      <w:r>
        <w:rPr>
          <w:rFonts w:hint="eastAsia"/>
        </w:rPr>
        <w:tab/>
        <w:t xml:space="preserve">1045.  </w:t>
      </w:r>
      <w:r>
        <w:rPr>
          <w:rFonts w:hint="eastAsia"/>
        </w:rPr>
        <w:t>染有毒瘾的人的健康状况比一般市民明显恶劣，染上乙型和丙型肝炎、性传播疾病</w:t>
      </w:r>
      <w:r>
        <w:rPr>
          <w:rFonts w:hint="eastAsia"/>
        </w:rPr>
        <w:t>(</w:t>
      </w:r>
      <w:r>
        <w:rPr>
          <w:rFonts w:hint="eastAsia"/>
        </w:rPr>
        <w:t>发生于注射毒品的吸毒者</w:t>
      </w:r>
      <w:r>
        <w:rPr>
          <w:rFonts w:hint="eastAsia"/>
        </w:rPr>
        <w:t>)</w:t>
      </w:r>
      <w:r>
        <w:rPr>
          <w:rFonts w:hint="eastAsia"/>
        </w:rPr>
        <w:t>以及其他传染病的比率十分高。</w:t>
      </w:r>
    </w:p>
    <w:p w:rsidR="00000000" w:rsidRDefault="00000000">
      <w:pPr>
        <w:rPr>
          <w:rFonts w:hint="eastAsia"/>
        </w:rPr>
      </w:pPr>
      <w:r>
        <w:rPr>
          <w:rFonts w:hint="eastAsia"/>
        </w:rPr>
        <w:tab/>
        <w:t xml:space="preserve">1046.  </w:t>
      </w:r>
      <w:r>
        <w:rPr>
          <w:rFonts w:hint="eastAsia"/>
        </w:rPr>
        <w:t>在大部分治疗计划中均采取了旨在减低损害的方案，包括预防共用针筒和呼吁安全性行为。此等措施旨在控制和减低传染病在该群体中的传播率。</w:t>
      </w:r>
    </w:p>
    <w:p w:rsidR="00000000" w:rsidRDefault="00000000">
      <w:pPr>
        <w:rPr>
          <w:rFonts w:hint="eastAsia"/>
        </w:rPr>
      </w:pPr>
      <w:r>
        <w:rPr>
          <w:rFonts w:hint="eastAsia"/>
        </w:rPr>
        <w:tab/>
        <w:t xml:space="preserve">1047.  </w:t>
      </w:r>
      <w:r>
        <w:rPr>
          <w:rFonts w:hint="eastAsia"/>
        </w:rPr>
        <w:t>上述所有措施仅向自愿寻求协助的染有毒瘾的人实施</w:t>
      </w:r>
      <w:r>
        <w:rPr>
          <w:rFonts w:hint="eastAsia"/>
        </w:rPr>
        <w:t>(</w:t>
      </w:r>
      <w:r>
        <w:rPr>
          <w:rFonts w:hint="eastAsia"/>
        </w:rPr>
        <w:t>尽管强烈劝谕吸毒者接受戒毒治疗，但戒毒治疗非属强制性</w:t>
      </w:r>
      <w:r>
        <w:rPr>
          <w:rFonts w:hint="eastAsia"/>
        </w:rPr>
        <w:t>)</w:t>
      </w:r>
      <w:r>
        <w:rPr>
          <w:rFonts w:hint="eastAsia"/>
        </w:rPr>
        <w:t>。</w:t>
      </w:r>
    </w:p>
    <w:p w:rsidR="00000000" w:rsidRDefault="00000000">
      <w:pPr>
        <w:spacing w:after="320"/>
        <w:rPr>
          <w:rFonts w:hint="eastAsia"/>
        </w:rPr>
      </w:pPr>
      <w:r>
        <w:rPr>
          <w:rFonts w:hint="eastAsia"/>
        </w:rPr>
        <w:tab/>
        <w:t>1048.  2001</w:t>
      </w:r>
      <w:r>
        <w:rPr>
          <w:rFonts w:hint="eastAsia"/>
        </w:rPr>
        <w:t>年，约</w:t>
      </w:r>
      <w:r>
        <w:rPr>
          <w:rFonts w:hint="eastAsia"/>
        </w:rPr>
        <w:t>330</w:t>
      </w:r>
      <w:r>
        <w:rPr>
          <w:rFonts w:hint="eastAsia"/>
        </w:rPr>
        <w:t>名染有毒瘾的人自愿参与戒毒治疗计划</w:t>
      </w:r>
      <w:r>
        <w:rPr>
          <w:rFonts w:hint="eastAsia"/>
        </w:rPr>
        <w:t>(85%</w:t>
      </w:r>
      <w:r>
        <w:rPr>
          <w:rFonts w:hint="eastAsia"/>
        </w:rPr>
        <w:t>为男性，年龄介乎</w:t>
      </w:r>
      <w:r>
        <w:rPr>
          <w:rFonts w:hint="eastAsia"/>
        </w:rPr>
        <w:t>30-35</w:t>
      </w:r>
      <w:r>
        <w:rPr>
          <w:rFonts w:hint="eastAsia"/>
        </w:rPr>
        <w:t>岁，无业，依赖海洛英，教育程度低</w:t>
      </w:r>
      <w:r>
        <w:rPr>
          <w:rFonts w:hint="eastAsia"/>
        </w:rPr>
        <w:t>)</w:t>
      </w:r>
      <w:r>
        <w:rPr>
          <w:rFonts w:hint="eastAsia"/>
        </w:rPr>
        <w:t>。</w:t>
      </w:r>
    </w:p>
    <w:p w:rsidR="00000000" w:rsidRDefault="00000000">
      <w:pPr>
        <w:pStyle w:val="Heading4"/>
        <w:rPr>
          <w:rFonts w:hint="eastAsia"/>
        </w:rPr>
      </w:pPr>
      <w:r>
        <w:rPr>
          <w:rFonts w:hint="eastAsia"/>
        </w:rPr>
        <w:t>卫生教育</w:t>
      </w:r>
    </w:p>
    <w:p w:rsidR="00000000" w:rsidRDefault="00000000">
      <w:pPr>
        <w:rPr>
          <w:rFonts w:hint="eastAsia"/>
        </w:rPr>
      </w:pPr>
      <w:r>
        <w:rPr>
          <w:rFonts w:hint="eastAsia"/>
        </w:rPr>
        <w:tab/>
        <w:t xml:space="preserve">1049.  </w:t>
      </w:r>
      <w:r>
        <w:rPr>
          <w:rFonts w:hint="eastAsia"/>
        </w:rPr>
        <w:t>如上文所述，卫生教育在政府的卫生政策中担当着重要角色。自</w:t>
      </w:r>
      <w:r>
        <w:rPr>
          <w:rFonts w:hint="eastAsia"/>
        </w:rPr>
        <w:t>1994</w:t>
      </w:r>
      <w:r>
        <w:rPr>
          <w:rFonts w:hint="eastAsia"/>
        </w:rPr>
        <w:t>年起，卫生教育已成为学前教育、小学和中学的教学内容之一，主要集中于卫生预防、治疗和教育。此外，亦在各学校推广社区教育和举办课外活动。</w:t>
      </w:r>
    </w:p>
    <w:p w:rsidR="00000000" w:rsidRDefault="00000000">
      <w:pPr>
        <w:rPr>
          <w:rFonts w:hint="eastAsia"/>
        </w:rPr>
      </w:pPr>
      <w:r>
        <w:rPr>
          <w:rFonts w:hint="eastAsia"/>
        </w:rPr>
        <w:tab/>
        <w:t xml:space="preserve">1050.  </w:t>
      </w:r>
      <w:r>
        <w:rPr>
          <w:rFonts w:hint="eastAsia"/>
        </w:rPr>
        <w:t>为预防高危行为和推广健康生活方式，卫生机构、学校和民间社团加强在学校活动和工作地点中的社区参与。</w:t>
      </w:r>
    </w:p>
    <w:p w:rsidR="00000000" w:rsidRDefault="00000000">
      <w:pPr>
        <w:spacing w:after="320"/>
        <w:rPr>
          <w:rFonts w:hint="eastAsia"/>
        </w:rPr>
      </w:pPr>
      <w:r>
        <w:rPr>
          <w:rFonts w:hint="eastAsia"/>
        </w:rPr>
        <w:tab/>
        <w:t xml:space="preserve">1051.  </w:t>
      </w:r>
      <w:r>
        <w:rPr>
          <w:rFonts w:hint="eastAsia"/>
        </w:rPr>
        <w:t>关于卫生的资讯，是通过传播媒介，以小册子、报章和光碟等方式，向广大市民和特定群体发送。</w:t>
      </w:r>
    </w:p>
    <w:p w:rsidR="00000000" w:rsidRDefault="00000000">
      <w:pPr>
        <w:pStyle w:val="Heading3"/>
        <w:rPr>
          <w:rFonts w:hint="eastAsia"/>
        </w:rPr>
      </w:pPr>
      <w:bookmarkStart w:id="97" w:name="_Toc78773006"/>
      <w:r>
        <w:rPr>
          <w:rFonts w:hint="eastAsia"/>
          <w:u w:val="none"/>
        </w:rPr>
        <w:t xml:space="preserve">C.  </w:t>
      </w:r>
      <w:r>
        <w:rPr>
          <w:rFonts w:hint="eastAsia"/>
        </w:rPr>
        <w:t>医疗系统</w:t>
      </w:r>
      <w:bookmarkEnd w:id="97"/>
    </w:p>
    <w:p w:rsidR="00000000" w:rsidRDefault="00000000">
      <w:pPr>
        <w:spacing w:after="320"/>
        <w:rPr>
          <w:rFonts w:hint="eastAsia"/>
        </w:rPr>
      </w:pPr>
      <w:r>
        <w:rPr>
          <w:rFonts w:hint="eastAsia"/>
        </w:rPr>
        <w:tab/>
        <w:t xml:space="preserve">1052.  </w:t>
      </w:r>
      <w:r>
        <w:rPr>
          <w:rFonts w:hint="eastAsia"/>
        </w:rPr>
        <w:t>在澳门特别行政区共有</w:t>
      </w:r>
      <w:r>
        <w:rPr>
          <w:rFonts w:hint="eastAsia"/>
        </w:rPr>
        <w:t>367</w:t>
      </w:r>
      <w:r>
        <w:rPr>
          <w:rFonts w:hint="eastAsia"/>
        </w:rPr>
        <w:t>所公立和私立医护场所向市民提供医疗护理。在</w:t>
      </w:r>
      <w:r>
        <w:rPr>
          <w:rFonts w:hint="eastAsia"/>
        </w:rPr>
        <w:t>365</w:t>
      </w:r>
      <w:r>
        <w:rPr>
          <w:rFonts w:hint="eastAsia"/>
        </w:rPr>
        <w:t>所卫生中心中，</w:t>
      </w:r>
      <w:r>
        <w:rPr>
          <w:rFonts w:hint="eastAsia"/>
        </w:rPr>
        <w:t>95.9%</w:t>
      </w:r>
      <w:r>
        <w:rPr>
          <w:rFonts w:hint="eastAsia"/>
        </w:rPr>
        <w:t>为私立，</w:t>
      </w:r>
      <w:r>
        <w:rPr>
          <w:rFonts w:hint="eastAsia"/>
        </w:rPr>
        <w:t>4.1%</w:t>
      </w:r>
      <w:r>
        <w:rPr>
          <w:rFonts w:hint="eastAsia"/>
        </w:rPr>
        <w:t>为公立。</w:t>
      </w:r>
    </w:p>
    <w:p w:rsidR="00000000" w:rsidRDefault="00000000">
      <w:pPr>
        <w:pStyle w:val="a3"/>
        <w:rPr>
          <w:rFonts w:hint="eastAsia"/>
        </w:rPr>
      </w:pPr>
      <w:r>
        <w:rPr>
          <w:rFonts w:hint="eastAsia"/>
        </w:rPr>
        <w:t>医护场所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78"/>
        <w:gridCol w:w="804"/>
        <w:gridCol w:w="941"/>
        <w:gridCol w:w="941"/>
        <w:gridCol w:w="941"/>
        <w:gridCol w:w="941"/>
        <w:gridCol w:w="941"/>
        <w:gridCol w:w="941"/>
        <w:gridCol w:w="941"/>
        <w:gridCol w:w="941"/>
      </w:tblGrid>
      <w:tr w:rsidR="00000000">
        <w:tblPrEx>
          <w:tblCellMar>
            <w:top w:w="0" w:type="dxa"/>
            <w:bottom w:w="0" w:type="dxa"/>
          </w:tblCellMar>
        </w:tblPrEx>
        <w:trPr>
          <w:cantSplit/>
        </w:trPr>
        <w:tc>
          <w:tcPr>
            <w:tcW w:w="1078" w:type="dxa"/>
            <w:vMerge w:val="restart"/>
          </w:tcPr>
          <w:p w:rsidR="00000000" w:rsidRDefault="00000000">
            <w:pPr>
              <w:spacing w:before="300"/>
              <w:jc w:val="center"/>
              <w:rPr>
                <w:rFonts w:hint="eastAsia"/>
                <w:sz w:val="20"/>
              </w:rPr>
            </w:pPr>
            <w:r>
              <w:rPr>
                <w:rFonts w:hint="eastAsia"/>
                <w:sz w:val="20"/>
              </w:rPr>
              <w:t>分</w:t>
            </w:r>
            <w:r>
              <w:rPr>
                <w:rFonts w:hint="eastAsia"/>
                <w:sz w:val="20"/>
              </w:rPr>
              <w:t xml:space="preserve">  </w:t>
            </w:r>
            <w:r>
              <w:rPr>
                <w:rFonts w:hint="eastAsia"/>
                <w:sz w:val="20"/>
              </w:rPr>
              <w:t>类</w:t>
            </w:r>
          </w:p>
        </w:tc>
        <w:tc>
          <w:tcPr>
            <w:tcW w:w="2686" w:type="dxa"/>
            <w:gridSpan w:val="3"/>
          </w:tcPr>
          <w:p w:rsidR="00000000" w:rsidRDefault="00000000">
            <w:pPr>
              <w:spacing w:before="80"/>
              <w:jc w:val="center"/>
              <w:rPr>
                <w:rFonts w:hint="eastAsia"/>
                <w:sz w:val="20"/>
              </w:rPr>
            </w:pPr>
            <w:r>
              <w:rPr>
                <w:rFonts w:hint="eastAsia"/>
                <w:sz w:val="20"/>
              </w:rPr>
              <w:t>1999</w:t>
            </w:r>
          </w:p>
        </w:tc>
        <w:tc>
          <w:tcPr>
            <w:tcW w:w="2823" w:type="dxa"/>
            <w:gridSpan w:val="3"/>
          </w:tcPr>
          <w:p w:rsidR="00000000" w:rsidRDefault="00000000">
            <w:pPr>
              <w:spacing w:before="80"/>
              <w:jc w:val="center"/>
              <w:rPr>
                <w:rFonts w:hint="eastAsia"/>
                <w:sz w:val="20"/>
              </w:rPr>
            </w:pPr>
            <w:r>
              <w:rPr>
                <w:rFonts w:hint="eastAsia"/>
                <w:sz w:val="20"/>
              </w:rPr>
              <w:t>2000</w:t>
            </w:r>
          </w:p>
        </w:tc>
        <w:tc>
          <w:tcPr>
            <w:tcW w:w="2823" w:type="dxa"/>
            <w:gridSpan w:val="3"/>
          </w:tcPr>
          <w:p w:rsidR="00000000" w:rsidRDefault="00000000">
            <w:pPr>
              <w:spacing w:before="80"/>
              <w:jc w:val="center"/>
              <w:rPr>
                <w:rFonts w:hint="eastAsia"/>
                <w:sz w:val="20"/>
              </w:rPr>
            </w:pPr>
            <w:r>
              <w:rPr>
                <w:rFonts w:hint="eastAsia"/>
                <w:sz w:val="20"/>
              </w:rPr>
              <w:t>2001</w:t>
            </w:r>
          </w:p>
        </w:tc>
      </w:tr>
      <w:tr w:rsidR="00000000">
        <w:tblPrEx>
          <w:tblCellMar>
            <w:top w:w="0" w:type="dxa"/>
            <w:bottom w:w="0" w:type="dxa"/>
          </w:tblCellMar>
        </w:tblPrEx>
        <w:trPr>
          <w:cantSplit/>
        </w:trPr>
        <w:tc>
          <w:tcPr>
            <w:tcW w:w="1078" w:type="dxa"/>
            <w:vMerge/>
          </w:tcPr>
          <w:p w:rsidR="00000000" w:rsidRDefault="00000000">
            <w:pPr>
              <w:spacing w:before="80"/>
              <w:rPr>
                <w:rFonts w:hint="eastAsia"/>
                <w:sz w:val="20"/>
              </w:rPr>
            </w:pPr>
          </w:p>
        </w:tc>
        <w:tc>
          <w:tcPr>
            <w:tcW w:w="804" w:type="dxa"/>
          </w:tcPr>
          <w:p w:rsidR="00000000" w:rsidRDefault="00000000">
            <w:pPr>
              <w:spacing w:before="80"/>
              <w:jc w:val="center"/>
              <w:rPr>
                <w:rFonts w:hint="eastAsia"/>
                <w:sz w:val="20"/>
              </w:rPr>
            </w:pPr>
            <w:r>
              <w:rPr>
                <w:rFonts w:hint="eastAsia"/>
                <w:sz w:val="20"/>
              </w:rPr>
              <w:t>总</w:t>
            </w:r>
            <w:r>
              <w:rPr>
                <w:rFonts w:hint="eastAsia"/>
                <w:sz w:val="20"/>
              </w:rPr>
              <w:t xml:space="preserve"> </w:t>
            </w:r>
            <w:r>
              <w:rPr>
                <w:rFonts w:hint="eastAsia"/>
                <w:sz w:val="20"/>
              </w:rPr>
              <w:t>数</w:t>
            </w:r>
          </w:p>
        </w:tc>
        <w:tc>
          <w:tcPr>
            <w:tcW w:w="941" w:type="dxa"/>
          </w:tcPr>
          <w:p w:rsidR="00000000" w:rsidRDefault="00000000">
            <w:pPr>
              <w:spacing w:before="80"/>
              <w:jc w:val="center"/>
              <w:rPr>
                <w:rFonts w:hint="eastAsia"/>
                <w:sz w:val="20"/>
              </w:rPr>
            </w:pPr>
            <w:r>
              <w:rPr>
                <w:rFonts w:hint="eastAsia"/>
                <w:sz w:val="20"/>
              </w:rPr>
              <w:t>公</w:t>
            </w:r>
            <w:r>
              <w:rPr>
                <w:rFonts w:hint="eastAsia"/>
                <w:sz w:val="20"/>
              </w:rPr>
              <w:t xml:space="preserve"> </w:t>
            </w:r>
            <w:r>
              <w:rPr>
                <w:rFonts w:hint="eastAsia"/>
                <w:sz w:val="20"/>
              </w:rPr>
              <w:t>立</w:t>
            </w:r>
          </w:p>
        </w:tc>
        <w:tc>
          <w:tcPr>
            <w:tcW w:w="941" w:type="dxa"/>
          </w:tcPr>
          <w:p w:rsidR="00000000" w:rsidRDefault="00000000">
            <w:pPr>
              <w:spacing w:before="80"/>
              <w:jc w:val="center"/>
              <w:rPr>
                <w:rFonts w:hint="eastAsia"/>
                <w:sz w:val="20"/>
              </w:rPr>
            </w:pPr>
            <w:r>
              <w:rPr>
                <w:rFonts w:hint="eastAsia"/>
                <w:sz w:val="20"/>
              </w:rPr>
              <w:t>私</w:t>
            </w:r>
            <w:r>
              <w:rPr>
                <w:rFonts w:hint="eastAsia"/>
                <w:sz w:val="20"/>
              </w:rPr>
              <w:t xml:space="preserve"> </w:t>
            </w:r>
            <w:r>
              <w:rPr>
                <w:rFonts w:hint="eastAsia"/>
                <w:sz w:val="20"/>
              </w:rPr>
              <w:t>立</w:t>
            </w:r>
          </w:p>
        </w:tc>
        <w:tc>
          <w:tcPr>
            <w:tcW w:w="941" w:type="dxa"/>
          </w:tcPr>
          <w:p w:rsidR="00000000" w:rsidRDefault="00000000">
            <w:pPr>
              <w:spacing w:before="80"/>
              <w:jc w:val="center"/>
              <w:rPr>
                <w:rFonts w:hint="eastAsia"/>
                <w:sz w:val="20"/>
              </w:rPr>
            </w:pPr>
            <w:r>
              <w:rPr>
                <w:rFonts w:hint="eastAsia"/>
                <w:sz w:val="20"/>
              </w:rPr>
              <w:t>总</w:t>
            </w:r>
            <w:r>
              <w:rPr>
                <w:rFonts w:hint="eastAsia"/>
                <w:sz w:val="20"/>
              </w:rPr>
              <w:t xml:space="preserve"> </w:t>
            </w:r>
            <w:r>
              <w:rPr>
                <w:rFonts w:hint="eastAsia"/>
                <w:sz w:val="20"/>
              </w:rPr>
              <w:t>数</w:t>
            </w:r>
          </w:p>
        </w:tc>
        <w:tc>
          <w:tcPr>
            <w:tcW w:w="941" w:type="dxa"/>
          </w:tcPr>
          <w:p w:rsidR="00000000" w:rsidRDefault="00000000">
            <w:pPr>
              <w:spacing w:before="80"/>
              <w:jc w:val="center"/>
              <w:rPr>
                <w:rFonts w:hint="eastAsia"/>
                <w:sz w:val="20"/>
              </w:rPr>
            </w:pPr>
            <w:r>
              <w:rPr>
                <w:rFonts w:hint="eastAsia"/>
                <w:sz w:val="20"/>
              </w:rPr>
              <w:t>公</w:t>
            </w:r>
            <w:r>
              <w:rPr>
                <w:rFonts w:hint="eastAsia"/>
                <w:sz w:val="20"/>
              </w:rPr>
              <w:t xml:space="preserve"> </w:t>
            </w:r>
            <w:r>
              <w:rPr>
                <w:rFonts w:hint="eastAsia"/>
                <w:sz w:val="20"/>
              </w:rPr>
              <w:t>立</w:t>
            </w:r>
          </w:p>
        </w:tc>
        <w:tc>
          <w:tcPr>
            <w:tcW w:w="941" w:type="dxa"/>
          </w:tcPr>
          <w:p w:rsidR="00000000" w:rsidRDefault="00000000">
            <w:pPr>
              <w:spacing w:before="80"/>
              <w:jc w:val="center"/>
              <w:rPr>
                <w:rFonts w:hint="eastAsia"/>
                <w:sz w:val="20"/>
              </w:rPr>
            </w:pPr>
            <w:r>
              <w:rPr>
                <w:rFonts w:hint="eastAsia"/>
                <w:sz w:val="20"/>
              </w:rPr>
              <w:t>私</w:t>
            </w:r>
            <w:r>
              <w:rPr>
                <w:rFonts w:hint="eastAsia"/>
                <w:sz w:val="20"/>
              </w:rPr>
              <w:t xml:space="preserve"> </w:t>
            </w:r>
            <w:r>
              <w:rPr>
                <w:rFonts w:hint="eastAsia"/>
                <w:sz w:val="20"/>
              </w:rPr>
              <w:t>立</w:t>
            </w:r>
          </w:p>
        </w:tc>
        <w:tc>
          <w:tcPr>
            <w:tcW w:w="941" w:type="dxa"/>
          </w:tcPr>
          <w:p w:rsidR="00000000" w:rsidRDefault="00000000">
            <w:pPr>
              <w:spacing w:before="80"/>
              <w:jc w:val="center"/>
              <w:rPr>
                <w:rFonts w:hint="eastAsia"/>
                <w:sz w:val="20"/>
              </w:rPr>
            </w:pPr>
            <w:r>
              <w:rPr>
                <w:rFonts w:hint="eastAsia"/>
                <w:sz w:val="20"/>
              </w:rPr>
              <w:t>总</w:t>
            </w:r>
            <w:r>
              <w:rPr>
                <w:rFonts w:hint="eastAsia"/>
                <w:sz w:val="20"/>
              </w:rPr>
              <w:t xml:space="preserve"> </w:t>
            </w:r>
            <w:r>
              <w:rPr>
                <w:rFonts w:hint="eastAsia"/>
                <w:sz w:val="20"/>
              </w:rPr>
              <w:t>数</w:t>
            </w:r>
          </w:p>
        </w:tc>
        <w:tc>
          <w:tcPr>
            <w:tcW w:w="941" w:type="dxa"/>
          </w:tcPr>
          <w:p w:rsidR="00000000" w:rsidRDefault="00000000">
            <w:pPr>
              <w:spacing w:before="80"/>
              <w:jc w:val="center"/>
              <w:rPr>
                <w:rFonts w:hint="eastAsia"/>
                <w:sz w:val="20"/>
              </w:rPr>
            </w:pPr>
            <w:r>
              <w:rPr>
                <w:rFonts w:hint="eastAsia"/>
                <w:sz w:val="20"/>
              </w:rPr>
              <w:t>公</w:t>
            </w:r>
            <w:r>
              <w:rPr>
                <w:rFonts w:hint="eastAsia"/>
                <w:sz w:val="20"/>
              </w:rPr>
              <w:t xml:space="preserve"> </w:t>
            </w:r>
            <w:r>
              <w:rPr>
                <w:rFonts w:hint="eastAsia"/>
                <w:sz w:val="20"/>
              </w:rPr>
              <w:t>立</w:t>
            </w:r>
          </w:p>
        </w:tc>
        <w:tc>
          <w:tcPr>
            <w:tcW w:w="941" w:type="dxa"/>
          </w:tcPr>
          <w:p w:rsidR="00000000" w:rsidRDefault="00000000">
            <w:pPr>
              <w:spacing w:before="80"/>
              <w:jc w:val="center"/>
              <w:rPr>
                <w:rFonts w:hint="eastAsia"/>
                <w:sz w:val="20"/>
              </w:rPr>
            </w:pPr>
            <w:r>
              <w:rPr>
                <w:rFonts w:hint="eastAsia"/>
                <w:sz w:val="20"/>
              </w:rPr>
              <w:t>私立</w:t>
            </w:r>
          </w:p>
        </w:tc>
      </w:tr>
      <w:tr w:rsidR="00000000">
        <w:tblPrEx>
          <w:tblCellMar>
            <w:top w:w="0" w:type="dxa"/>
            <w:bottom w:w="0" w:type="dxa"/>
          </w:tblCellMar>
        </w:tblPrEx>
        <w:tc>
          <w:tcPr>
            <w:tcW w:w="1078" w:type="dxa"/>
          </w:tcPr>
          <w:p w:rsidR="00000000" w:rsidRDefault="00000000">
            <w:pPr>
              <w:spacing w:before="120" w:line="288" w:lineRule="auto"/>
              <w:ind w:left="113"/>
              <w:rPr>
                <w:rFonts w:hint="eastAsia"/>
                <w:sz w:val="20"/>
              </w:rPr>
            </w:pPr>
            <w:r>
              <w:rPr>
                <w:rFonts w:hint="eastAsia"/>
                <w:sz w:val="20"/>
              </w:rPr>
              <w:t>总</w:t>
            </w:r>
            <w:r>
              <w:rPr>
                <w:rFonts w:hint="eastAsia"/>
                <w:sz w:val="20"/>
              </w:rPr>
              <w:t xml:space="preserve">  </w:t>
            </w:r>
            <w:r>
              <w:rPr>
                <w:rFonts w:hint="eastAsia"/>
                <w:sz w:val="20"/>
              </w:rPr>
              <w:t>数</w:t>
            </w:r>
          </w:p>
        </w:tc>
        <w:tc>
          <w:tcPr>
            <w:tcW w:w="804" w:type="dxa"/>
          </w:tcPr>
          <w:p w:rsidR="00000000" w:rsidRDefault="00000000">
            <w:pPr>
              <w:spacing w:before="120" w:line="288" w:lineRule="auto"/>
              <w:ind w:left="113" w:right="227"/>
              <w:jc w:val="right"/>
              <w:rPr>
                <w:rFonts w:hint="eastAsia"/>
                <w:sz w:val="20"/>
              </w:rPr>
            </w:pPr>
            <w:r>
              <w:rPr>
                <w:rFonts w:hint="eastAsia"/>
                <w:sz w:val="20"/>
              </w:rPr>
              <w:t>368</w:t>
            </w:r>
          </w:p>
        </w:tc>
        <w:tc>
          <w:tcPr>
            <w:tcW w:w="941" w:type="dxa"/>
          </w:tcPr>
          <w:p w:rsidR="00000000" w:rsidRDefault="00000000">
            <w:pPr>
              <w:spacing w:before="120" w:line="288" w:lineRule="auto"/>
              <w:ind w:left="113" w:right="227"/>
              <w:jc w:val="right"/>
              <w:rPr>
                <w:rFonts w:hint="eastAsia"/>
                <w:sz w:val="20"/>
              </w:rPr>
            </w:pPr>
            <w:r>
              <w:rPr>
                <w:rFonts w:hint="eastAsia"/>
                <w:sz w:val="20"/>
              </w:rPr>
              <w:t>14</w:t>
            </w:r>
          </w:p>
        </w:tc>
        <w:tc>
          <w:tcPr>
            <w:tcW w:w="941" w:type="dxa"/>
          </w:tcPr>
          <w:p w:rsidR="00000000" w:rsidRDefault="00000000">
            <w:pPr>
              <w:spacing w:before="120" w:line="288" w:lineRule="auto"/>
              <w:ind w:left="113" w:right="227"/>
              <w:jc w:val="right"/>
              <w:rPr>
                <w:rFonts w:hint="eastAsia"/>
                <w:sz w:val="20"/>
              </w:rPr>
            </w:pPr>
            <w:r>
              <w:rPr>
                <w:rFonts w:hint="eastAsia"/>
                <w:sz w:val="20"/>
              </w:rPr>
              <w:t>372</w:t>
            </w:r>
          </w:p>
        </w:tc>
        <w:tc>
          <w:tcPr>
            <w:tcW w:w="941" w:type="dxa"/>
          </w:tcPr>
          <w:p w:rsidR="00000000" w:rsidRDefault="00000000">
            <w:pPr>
              <w:spacing w:before="120" w:line="288" w:lineRule="auto"/>
              <w:ind w:left="113" w:right="227"/>
              <w:jc w:val="right"/>
              <w:rPr>
                <w:rFonts w:hint="eastAsia"/>
                <w:sz w:val="20"/>
              </w:rPr>
            </w:pPr>
            <w:r>
              <w:rPr>
                <w:rFonts w:hint="eastAsia"/>
                <w:sz w:val="20"/>
              </w:rPr>
              <w:t>360</w:t>
            </w:r>
          </w:p>
        </w:tc>
        <w:tc>
          <w:tcPr>
            <w:tcW w:w="941" w:type="dxa"/>
          </w:tcPr>
          <w:p w:rsidR="00000000" w:rsidRDefault="00000000">
            <w:pPr>
              <w:spacing w:before="120" w:line="288" w:lineRule="auto"/>
              <w:ind w:left="113" w:right="227"/>
              <w:jc w:val="right"/>
              <w:rPr>
                <w:rFonts w:hint="eastAsia"/>
                <w:sz w:val="20"/>
              </w:rPr>
            </w:pPr>
            <w:r>
              <w:rPr>
                <w:rFonts w:hint="eastAsia"/>
                <w:sz w:val="20"/>
              </w:rPr>
              <w:t>13</w:t>
            </w:r>
          </w:p>
        </w:tc>
        <w:tc>
          <w:tcPr>
            <w:tcW w:w="941" w:type="dxa"/>
          </w:tcPr>
          <w:p w:rsidR="00000000" w:rsidRDefault="00000000">
            <w:pPr>
              <w:spacing w:before="120" w:line="288" w:lineRule="auto"/>
              <w:ind w:left="113" w:right="227"/>
              <w:jc w:val="right"/>
              <w:rPr>
                <w:rFonts w:hint="eastAsia"/>
                <w:sz w:val="20"/>
              </w:rPr>
            </w:pPr>
            <w:r>
              <w:rPr>
                <w:rFonts w:hint="eastAsia"/>
                <w:sz w:val="20"/>
              </w:rPr>
              <w:t>347</w:t>
            </w:r>
          </w:p>
        </w:tc>
        <w:tc>
          <w:tcPr>
            <w:tcW w:w="941" w:type="dxa"/>
          </w:tcPr>
          <w:p w:rsidR="00000000" w:rsidRDefault="00000000">
            <w:pPr>
              <w:spacing w:before="120" w:line="288" w:lineRule="auto"/>
              <w:ind w:left="113" w:right="227"/>
              <w:jc w:val="right"/>
              <w:rPr>
                <w:rFonts w:hint="eastAsia"/>
                <w:sz w:val="20"/>
              </w:rPr>
            </w:pPr>
            <w:r>
              <w:rPr>
                <w:rFonts w:hint="eastAsia"/>
                <w:sz w:val="20"/>
              </w:rPr>
              <w:t>367</w:t>
            </w:r>
          </w:p>
        </w:tc>
        <w:tc>
          <w:tcPr>
            <w:tcW w:w="941" w:type="dxa"/>
          </w:tcPr>
          <w:p w:rsidR="00000000" w:rsidRDefault="00000000">
            <w:pPr>
              <w:spacing w:before="120" w:line="288" w:lineRule="auto"/>
              <w:ind w:left="113" w:right="227"/>
              <w:jc w:val="right"/>
              <w:rPr>
                <w:rFonts w:hint="eastAsia"/>
                <w:sz w:val="20"/>
              </w:rPr>
            </w:pPr>
            <w:r>
              <w:rPr>
                <w:rFonts w:hint="eastAsia"/>
                <w:sz w:val="20"/>
              </w:rPr>
              <w:t>16</w:t>
            </w:r>
          </w:p>
        </w:tc>
        <w:tc>
          <w:tcPr>
            <w:tcW w:w="941" w:type="dxa"/>
          </w:tcPr>
          <w:p w:rsidR="00000000" w:rsidRDefault="00000000">
            <w:pPr>
              <w:spacing w:before="120" w:line="288" w:lineRule="auto"/>
              <w:ind w:left="113" w:right="227"/>
              <w:jc w:val="right"/>
              <w:rPr>
                <w:rFonts w:hint="eastAsia"/>
                <w:sz w:val="20"/>
              </w:rPr>
            </w:pPr>
            <w:r>
              <w:rPr>
                <w:rFonts w:hint="eastAsia"/>
                <w:sz w:val="20"/>
              </w:rPr>
              <w:t>351</w:t>
            </w:r>
          </w:p>
        </w:tc>
      </w:tr>
      <w:tr w:rsidR="00000000">
        <w:tblPrEx>
          <w:tblCellMar>
            <w:top w:w="0" w:type="dxa"/>
            <w:bottom w:w="0" w:type="dxa"/>
          </w:tblCellMar>
        </w:tblPrEx>
        <w:tc>
          <w:tcPr>
            <w:tcW w:w="1078" w:type="dxa"/>
          </w:tcPr>
          <w:p w:rsidR="00000000" w:rsidRDefault="00000000">
            <w:pPr>
              <w:spacing w:before="120" w:line="288" w:lineRule="auto"/>
              <w:ind w:left="113"/>
              <w:rPr>
                <w:rFonts w:hint="eastAsia"/>
                <w:sz w:val="20"/>
              </w:rPr>
            </w:pPr>
            <w:r>
              <w:rPr>
                <w:rFonts w:hint="eastAsia"/>
                <w:sz w:val="20"/>
              </w:rPr>
              <w:t>医</w:t>
            </w:r>
            <w:r>
              <w:rPr>
                <w:rFonts w:hint="eastAsia"/>
                <w:sz w:val="20"/>
              </w:rPr>
              <w:t xml:space="preserve">  </w:t>
            </w:r>
            <w:r>
              <w:rPr>
                <w:rFonts w:hint="eastAsia"/>
                <w:sz w:val="20"/>
              </w:rPr>
              <w:t>院</w:t>
            </w:r>
          </w:p>
        </w:tc>
        <w:tc>
          <w:tcPr>
            <w:tcW w:w="804" w:type="dxa"/>
          </w:tcPr>
          <w:p w:rsidR="00000000" w:rsidRDefault="00000000">
            <w:pPr>
              <w:spacing w:before="120" w:line="288" w:lineRule="auto"/>
              <w:ind w:left="113" w:right="227"/>
              <w:jc w:val="right"/>
              <w:rPr>
                <w:rFonts w:hint="eastAsia"/>
                <w:sz w:val="20"/>
              </w:rPr>
            </w:pPr>
            <w:r>
              <w:rPr>
                <w:rFonts w:hint="eastAsia"/>
                <w:sz w:val="20"/>
              </w:rPr>
              <w:t>2</w:t>
            </w:r>
          </w:p>
        </w:tc>
        <w:tc>
          <w:tcPr>
            <w:tcW w:w="941" w:type="dxa"/>
          </w:tcPr>
          <w:p w:rsidR="00000000" w:rsidRDefault="00000000">
            <w:pPr>
              <w:spacing w:before="120" w:line="288" w:lineRule="auto"/>
              <w:ind w:left="113" w:right="227"/>
              <w:jc w:val="right"/>
              <w:rPr>
                <w:rFonts w:hint="eastAsia"/>
                <w:sz w:val="20"/>
              </w:rPr>
            </w:pPr>
            <w:r>
              <w:rPr>
                <w:rFonts w:hint="eastAsia"/>
                <w:sz w:val="20"/>
              </w:rPr>
              <w:t>1</w:t>
            </w:r>
          </w:p>
        </w:tc>
        <w:tc>
          <w:tcPr>
            <w:tcW w:w="941" w:type="dxa"/>
          </w:tcPr>
          <w:p w:rsidR="00000000" w:rsidRDefault="00000000">
            <w:pPr>
              <w:spacing w:before="120" w:line="288" w:lineRule="auto"/>
              <w:ind w:left="113" w:right="227"/>
              <w:jc w:val="right"/>
              <w:rPr>
                <w:rFonts w:hint="eastAsia"/>
                <w:sz w:val="20"/>
              </w:rPr>
            </w:pPr>
            <w:r>
              <w:rPr>
                <w:rFonts w:hint="eastAsia"/>
                <w:sz w:val="20"/>
              </w:rPr>
              <w:t>1</w:t>
            </w:r>
          </w:p>
        </w:tc>
        <w:tc>
          <w:tcPr>
            <w:tcW w:w="941" w:type="dxa"/>
          </w:tcPr>
          <w:p w:rsidR="00000000" w:rsidRDefault="00000000">
            <w:pPr>
              <w:spacing w:before="120" w:line="288" w:lineRule="auto"/>
              <w:ind w:left="113" w:right="227"/>
              <w:jc w:val="right"/>
              <w:rPr>
                <w:rFonts w:hint="eastAsia"/>
                <w:sz w:val="20"/>
              </w:rPr>
            </w:pPr>
            <w:r>
              <w:rPr>
                <w:rFonts w:hint="eastAsia"/>
                <w:sz w:val="20"/>
              </w:rPr>
              <w:t>2</w:t>
            </w:r>
          </w:p>
        </w:tc>
        <w:tc>
          <w:tcPr>
            <w:tcW w:w="941" w:type="dxa"/>
          </w:tcPr>
          <w:p w:rsidR="00000000" w:rsidRDefault="00000000">
            <w:pPr>
              <w:spacing w:before="120" w:line="288" w:lineRule="auto"/>
              <w:ind w:left="113" w:right="227"/>
              <w:jc w:val="right"/>
              <w:rPr>
                <w:rFonts w:hint="eastAsia"/>
                <w:sz w:val="20"/>
              </w:rPr>
            </w:pPr>
            <w:r>
              <w:rPr>
                <w:rFonts w:hint="eastAsia"/>
                <w:sz w:val="20"/>
              </w:rPr>
              <w:t>1</w:t>
            </w:r>
          </w:p>
        </w:tc>
        <w:tc>
          <w:tcPr>
            <w:tcW w:w="941" w:type="dxa"/>
          </w:tcPr>
          <w:p w:rsidR="00000000" w:rsidRDefault="00000000">
            <w:pPr>
              <w:spacing w:before="120" w:line="288" w:lineRule="auto"/>
              <w:ind w:left="113" w:right="227"/>
              <w:jc w:val="right"/>
              <w:rPr>
                <w:rFonts w:hint="eastAsia"/>
                <w:sz w:val="20"/>
              </w:rPr>
            </w:pPr>
            <w:r>
              <w:rPr>
                <w:rFonts w:hint="eastAsia"/>
                <w:sz w:val="20"/>
              </w:rPr>
              <w:t>1</w:t>
            </w:r>
          </w:p>
        </w:tc>
        <w:tc>
          <w:tcPr>
            <w:tcW w:w="941" w:type="dxa"/>
          </w:tcPr>
          <w:p w:rsidR="00000000" w:rsidRDefault="00000000">
            <w:pPr>
              <w:spacing w:before="120" w:line="288" w:lineRule="auto"/>
              <w:ind w:left="113" w:right="227"/>
              <w:jc w:val="right"/>
              <w:rPr>
                <w:rFonts w:hint="eastAsia"/>
                <w:sz w:val="20"/>
              </w:rPr>
            </w:pPr>
            <w:r>
              <w:rPr>
                <w:rFonts w:hint="eastAsia"/>
                <w:sz w:val="20"/>
              </w:rPr>
              <w:t>2</w:t>
            </w:r>
          </w:p>
        </w:tc>
        <w:tc>
          <w:tcPr>
            <w:tcW w:w="941" w:type="dxa"/>
          </w:tcPr>
          <w:p w:rsidR="00000000" w:rsidRDefault="00000000">
            <w:pPr>
              <w:spacing w:before="120" w:line="288" w:lineRule="auto"/>
              <w:ind w:left="113" w:right="227"/>
              <w:jc w:val="right"/>
              <w:rPr>
                <w:rFonts w:hint="eastAsia"/>
                <w:sz w:val="20"/>
              </w:rPr>
            </w:pPr>
            <w:r>
              <w:rPr>
                <w:rFonts w:hint="eastAsia"/>
                <w:sz w:val="20"/>
              </w:rPr>
              <w:t>1</w:t>
            </w:r>
          </w:p>
        </w:tc>
        <w:tc>
          <w:tcPr>
            <w:tcW w:w="941" w:type="dxa"/>
          </w:tcPr>
          <w:p w:rsidR="00000000" w:rsidRDefault="00000000">
            <w:pPr>
              <w:spacing w:before="120" w:line="288" w:lineRule="auto"/>
              <w:ind w:left="113" w:right="227"/>
              <w:jc w:val="right"/>
              <w:rPr>
                <w:rFonts w:hint="eastAsia"/>
                <w:sz w:val="20"/>
              </w:rPr>
            </w:pPr>
            <w:r>
              <w:rPr>
                <w:rFonts w:hint="eastAsia"/>
                <w:sz w:val="20"/>
              </w:rPr>
              <w:t>1</w:t>
            </w:r>
          </w:p>
        </w:tc>
      </w:tr>
      <w:tr w:rsidR="00000000">
        <w:tblPrEx>
          <w:tblCellMar>
            <w:top w:w="0" w:type="dxa"/>
            <w:bottom w:w="0" w:type="dxa"/>
          </w:tblCellMar>
        </w:tblPrEx>
        <w:tc>
          <w:tcPr>
            <w:tcW w:w="1078" w:type="dxa"/>
          </w:tcPr>
          <w:p w:rsidR="00000000" w:rsidRDefault="00000000">
            <w:pPr>
              <w:spacing w:before="120" w:line="288" w:lineRule="auto"/>
              <w:ind w:left="113"/>
              <w:rPr>
                <w:rFonts w:hint="eastAsia"/>
                <w:sz w:val="20"/>
              </w:rPr>
            </w:pPr>
            <w:r>
              <w:rPr>
                <w:rFonts w:hint="eastAsia"/>
                <w:sz w:val="20"/>
              </w:rPr>
              <w:t>卫生中心</w:t>
            </w:r>
          </w:p>
        </w:tc>
        <w:tc>
          <w:tcPr>
            <w:tcW w:w="804" w:type="dxa"/>
          </w:tcPr>
          <w:p w:rsidR="00000000" w:rsidRDefault="00000000">
            <w:pPr>
              <w:spacing w:before="120" w:line="288" w:lineRule="auto"/>
              <w:ind w:left="113" w:right="227"/>
              <w:jc w:val="right"/>
              <w:rPr>
                <w:rFonts w:hint="eastAsia"/>
                <w:sz w:val="20"/>
              </w:rPr>
            </w:pPr>
            <w:r>
              <w:rPr>
                <w:rFonts w:hint="eastAsia"/>
                <w:sz w:val="20"/>
              </w:rPr>
              <w:t>384</w:t>
            </w:r>
          </w:p>
        </w:tc>
        <w:tc>
          <w:tcPr>
            <w:tcW w:w="941" w:type="dxa"/>
          </w:tcPr>
          <w:p w:rsidR="00000000" w:rsidRDefault="00000000">
            <w:pPr>
              <w:spacing w:before="120" w:line="288" w:lineRule="auto"/>
              <w:ind w:left="113" w:right="227"/>
              <w:jc w:val="right"/>
              <w:rPr>
                <w:rFonts w:hint="eastAsia"/>
                <w:sz w:val="20"/>
              </w:rPr>
            </w:pPr>
            <w:r>
              <w:rPr>
                <w:rFonts w:hint="eastAsia"/>
                <w:sz w:val="20"/>
              </w:rPr>
              <w:t>13</w:t>
            </w:r>
          </w:p>
        </w:tc>
        <w:tc>
          <w:tcPr>
            <w:tcW w:w="941" w:type="dxa"/>
          </w:tcPr>
          <w:p w:rsidR="00000000" w:rsidRDefault="00000000">
            <w:pPr>
              <w:spacing w:before="120" w:line="288" w:lineRule="auto"/>
              <w:ind w:left="113" w:right="227"/>
              <w:jc w:val="right"/>
              <w:rPr>
                <w:rFonts w:hint="eastAsia"/>
                <w:sz w:val="20"/>
              </w:rPr>
            </w:pPr>
            <w:r>
              <w:rPr>
                <w:rFonts w:hint="eastAsia"/>
                <w:sz w:val="20"/>
              </w:rPr>
              <w:t>371</w:t>
            </w:r>
          </w:p>
        </w:tc>
        <w:tc>
          <w:tcPr>
            <w:tcW w:w="941" w:type="dxa"/>
          </w:tcPr>
          <w:p w:rsidR="00000000" w:rsidRDefault="00000000">
            <w:pPr>
              <w:spacing w:before="120" w:line="288" w:lineRule="auto"/>
              <w:ind w:left="113" w:right="227"/>
              <w:jc w:val="right"/>
              <w:rPr>
                <w:rFonts w:hint="eastAsia"/>
                <w:sz w:val="20"/>
              </w:rPr>
            </w:pPr>
            <w:r>
              <w:rPr>
                <w:rFonts w:hint="eastAsia"/>
                <w:sz w:val="20"/>
              </w:rPr>
              <w:t>358</w:t>
            </w:r>
          </w:p>
        </w:tc>
        <w:tc>
          <w:tcPr>
            <w:tcW w:w="941" w:type="dxa"/>
          </w:tcPr>
          <w:p w:rsidR="00000000" w:rsidRDefault="00000000">
            <w:pPr>
              <w:spacing w:before="120" w:line="288" w:lineRule="auto"/>
              <w:ind w:left="113" w:right="227"/>
              <w:jc w:val="right"/>
              <w:rPr>
                <w:rFonts w:hint="eastAsia"/>
                <w:sz w:val="20"/>
              </w:rPr>
            </w:pPr>
            <w:r>
              <w:rPr>
                <w:rFonts w:hint="eastAsia"/>
                <w:sz w:val="20"/>
              </w:rPr>
              <w:t>12</w:t>
            </w:r>
          </w:p>
        </w:tc>
        <w:tc>
          <w:tcPr>
            <w:tcW w:w="941" w:type="dxa"/>
          </w:tcPr>
          <w:p w:rsidR="00000000" w:rsidRDefault="00000000">
            <w:pPr>
              <w:spacing w:before="120" w:line="288" w:lineRule="auto"/>
              <w:ind w:left="113" w:right="227"/>
              <w:jc w:val="right"/>
              <w:rPr>
                <w:rFonts w:hint="eastAsia"/>
                <w:sz w:val="20"/>
              </w:rPr>
            </w:pPr>
            <w:r>
              <w:rPr>
                <w:rFonts w:hint="eastAsia"/>
                <w:sz w:val="20"/>
              </w:rPr>
              <w:t>346</w:t>
            </w:r>
          </w:p>
        </w:tc>
        <w:tc>
          <w:tcPr>
            <w:tcW w:w="941" w:type="dxa"/>
          </w:tcPr>
          <w:p w:rsidR="00000000" w:rsidRDefault="00000000">
            <w:pPr>
              <w:spacing w:before="120" w:line="288" w:lineRule="auto"/>
              <w:ind w:left="113" w:right="227"/>
              <w:jc w:val="right"/>
              <w:rPr>
                <w:rFonts w:hint="eastAsia"/>
                <w:sz w:val="20"/>
              </w:rPr>
            </w:pPr>
            <w:r>
              <w:rPr>
                <w:rFonts w:hint="eastAsia"/>
                <w:sz w:val="20"/>
              </w:rPr>
              <w:t>365</w:t>
            </w:r>
          </w:p>
        </w:tc>
        <w:tc>
          <w:tcPr>
            <w:tcW w:w="941" w:type="dxa"/>
          </w:tcPr>
          <w:p w:rsidR="00000000" w:rsidRDefault="00000000">
            <w:pPr>
              <w:spacing w:before="120" w:line="288" w:lineRule="auto"/>
              <w:ind w:left="113" w:right="227"/>
              <w:jc w:val="right"/>
              <w:rPr>
                <w:rFonts w:hint="eastAsia"/>
                <w:sz w:val="20"/>
              </w:rPr>
            </w:pPr>
            <w:r>
              <w:rPr>
                <w:rFonts w:hint="eastAsia"/>
                <w:sz w:val="20"/>
              </w:rPr>
              <w:t>15</w:t>
            </w:r>
          </w:p>
        </w:tc>
        <w:tc>
          <w:tcPr>
            <w:tcW w:w="941" w:type="dxa"/>
          </w:tcPr>
          <w:p w:rsidR="00000000" w:rsidRDefault="00000000">
            <w:pPr>
              <w:spacing w:before="120" w:line="288" w:lineRule="auto"/>
              <w:ind w:left="113" w:right="227"/>
              <w:jc w:val="right"/>
              <w:rPr>
                <w:rFonts w:hint="eastAsia"/>
                <w:sz w:val="20"/>
              </w:rPr>
            </w:pPr>
            <w:r>
              <w:rPr>
                <w:rFonts w:hint="eastAsia"/>
                <w:sz w:val="20"/>
              </w:rPr>
              <w:t>350</w:t>
            </w:r>
          </w:p>
        </w:tc>
      </w:tr>
    </w:tbl>
    <w:p w:rsidR="00000000" w:rsidRDefault="00000000">
      <w:pPr>
        <w:spacing w:before="24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：统计暨普查局，</w:t>
      </w:r>
      <w:r>
        <w:rPr>
          <w:rFonts w:eastAsia="KaiTi_GB2312" w:hint="eastAsia"/>
          <w:snapToGrid/>
          <w:spacing w:val="0"/>
        </w:rPr>
        <w:t>2001</w:t>
      </w:r>
      <w:r>
        <w:rPr>
          <w:rFonts w:eastAsia="KaiTi_GB2312" w:hint="eastAsia"/>
          <w:snapToGrid/>
          <w:spacing w:val="0"/>
        </w:rPr>
        <w:t>年统计年鉴。</w:t>
      </w:r>
    </w:p>
    <w:p w:rsidR="00000000" w:rsidRDefault="00000000">
      <w:pPr>
        <w:spacing w:before="120"/>
        <w:rPr>
          <w:rFonts w:hint="eastAsia"/>
          <w:snapToGrid/>
        </w:rPr>
      </w:pPr>
      <w:r>
        <w:rPr>
          <w:rFonts w:eastAsia="KaiTi_GB2312" w:hint="eastAsia"/>
          <w:snapToGrid/>
          <w:spacing w:val="0"/>
        </w:rPr>
        <w:tab/>
        <w:t xml:space="preserve">1053.  </w:t>
      </w:r>
      <w:r>
        <w:rPr>
          <w:rFonts w:hint="eastAsia"/>
          <w:snapToGrid/>
        </w:rPr>
        <w:t>两所医院共有</w:t>
      </w:r>
      <w:r>
        <w:rPr>
          <w:rFonts w:hint="eastAsia"/>
          <w:snapToGrid/>
        </w:rPr>
        <w:t>1,099</w:t>
      </w:r>
      <w:r>
        <w:rPr>
          <w:rFonts w:hint="eastAsia"/>
          <w:snapToGrid/>
        </w:rPr>
        <w:t>张病床</w:t>
      </w:r>
      <w:r>
        <w:rPr>
          <w:rFonts w:hint="eastAsia"/>
          <w:snapToGrid/>
        </w:rPr>
        <w:t>(980</w:t>
      </w:r>
      <w:r>
        <w:rPr>
          <w:rFonts w:hint="eastAsia"/>
          <w:snapToGrid/>
        </w:rPr>
        <w:t>张供住院之用，</w:t>
      </w:r>
      <w:r>
        <w:rPr>
          <w:rFonts w:hint="eastAsia"/>
          <w:snapToGrid/>
        </w:rPr>
        <w:t>119</w:t>
      </w:r>
      <w:r>
        <w:rPr>
          <w:rFonts w:hint="eastAsia"/>
          <w:snapToGrid/>
        </w:rPr>
        <w:t>张供紧急情况之用</w:t>
      </w:r>
      <w:r>
        <w:rPr>
          <w:rFonts w:hint="eastAsia"/>
          <w:snapToGrid/>
        </w:rPr>
        <w:t>)</w:t>
      </w:r>
      <w:r>
        <w:rPr>
          <w:rFonts w:hint="eastAsia"/>
          <w:snapToGrid/>
        </w:rPr>
        <w:t>、</w:t>
      </w:r>
      <w:r>
        <w:rPr>
          <w:rFonts w:hint="eastAsia"/>
          <w:snapToGrid/>
        </w:rPr>
        <w:t>4</w:t>
      </w:r>
      <w:r>
        <w:rPr>
          <w:rFonts w:hint="eastAsia"/>
          <w:snapToGrid/>
        </w:rPr>
        <w:t>个产房和</w:t>
      </w:r>
      <w:r>
        <w:rPr>
          <w:rFonts w:hint="eastAsia"/>
          <w:snapToGrid/>
        </w:rPr>
        <w:t>15</w:t>
      </w:r>
      <w:r>
        <w:rPr>
          <w:rFonts w:hint="eastAsia"/>
          <w:snapToGrid/>
        </w:rPr>
        <w:t>个手术室。医院入住率为</w:t>
      </w:r>
      <w:r>
        <w:rPr>
          <w:rFonts w:hint="eastAsia"/>
          <w:snapToGrid/>
        </w:rPr>
        <w:t>71.2%(</w:t>
      </w:r>
      <w:r>
        <w:rPr>
          <w:rFonts w:hint="eastAsia"/>
          <w:snapToGrid/>
        </w:rPr>
        <w:t>相对</w:t>
      </w:r>
      <w:r>
        <w:rPr>
          <w:rFonts w:hint="eastAsia"/>
          <w:snapToGrid/>
        </w:rPr>
        <w:t>2000</w:t>
      </w:r>
      <w:r>
        <w:rPr>
          <w:rFonts w:hint="eastAsia"/>
          <w:snapToGrid/>
        </w:rPr>
        <w:t>年增长</w:t>
      </w:r>
      <w:r>
        <w:rPr>
          <w:rFonts w:hint="eastAsia"/>
          <w:snapToGrid/>
        </w:rPr>
        <w:t>3.4%)</w:t>
      </w:r>
      <w:r>
        <w:rPr>
          <w:rFonts w:hint="eastAsia"/>
          <w:snapToGrid/>
        </w:rPr>
        <w:t>。</w:t>
      </w:r>
    </w:p>
    <w:p w:rsidR="00000000" w:rsidRDefault="00000000">
      <w:pPr>
        <w:rPr>
          <w:rFonts w:hint="eastAsia"/>
          <w:snapToGrid/>
        </w:rPr>
      </w:pPr>
      <w:r>
        <w:rPr>
          <w:rFonts w:hint="eastAsia"/>
          <w:snapToGrid/>
        </w:rPr>
        <w:tab/>
        <w:t xml:space="preserve">1054.  </w:t>
      </w:r>
      <w:r>
        <w:rPr>
          <w:rFonts w:hint="eastAsia"/>
          <w:snapToGrid/>
        </w:rPr>
        <w:t>对医院服务的需求不断增加。两所医院的急症室在</w:t>
      </w:r>
      <w:r>
        <w:rPr>
          <w:rFonts w:hint="eastAsia"/>
          <w:snapToGrid/>
        </w:rPr>
        <w:t>2001</w:t>
      </w:r>
      <w:r>
        <w:rPr>
          <w:rFonts w:hint="eastAsia"/>
          <w:snapToGrid/>
        </w:rPr>
        <w:t>年共处理了</w:t>
      </w:r>
      <w:r>
        <w:rPr>
          <w:rFonts w:hint="eastAsia"/>
          <w:snapToGrid/>
        </w:rPr>
        <w:t>250,073</w:t>
      </w:r>
      <w:r>
        <w:rPr>
          <w:rFonts w:hint="eastAsia"/>
          <w:snapToGrid/>
        </w:rPr>
        <w:t>宗求诊个案，较前一年增加了</w:t>
      </w:r>
      <w:r>
        <w:rPr>
          <w:rFonts w:hint="eastAsia"/>
          <w:snapToGrid/>
        </w:rPr>
        <w:t>13.8%</w:t>
      </w:r>
      <w:r>
        <w:rPr>
          <w:rFonts w:hint="eastAsia"/>
          <w:snapToGrid/>
        </w:rPr>
        <w:t>。其中大部分为病症个案</w:t>
      </w:r>
      <w:r>
        <w:rPr>
          <w:rFonts w:hint="eastAsia"/>
          <w:snapToGrid/>
        </w:rPr>
        <w:t>(94.5%)</w:t>
      </w:r>
      <w:r>
        <w:rPr>
          <w:rFonts w:hint="eastAsia"/>
          <w:snapToGrid/>
        </w:rPr>
        <w:t>，其次是怀孕个案</w:t>
      </w:r>
      <w:r>
        <w:rPr>
          <w:rFonts w:hint="eastAsia"/>
          <w:snapToGrid/>
        </w:rPr>
        <w:t>(1.6%)</w:t>
      </w:r>
      <w:r>
        <w:rPr>
          <w:rFonts w:hint="eastAsia"/>
          <w:snapToGrid/>
        </w:rPr>
        <w:t>。公共医院处理的门诊共有</w:t>
      </w:r>
      <w:r>
        <w:rPr>
          <w:rFonts w:hint="eastAsia"/>
          <w:snapToGrid/>
        </w:rPr>
        <w:t>175,360</w:t>
      </w:r>
      <w:r>
        <w:rPr>
          <w:rFonts w:hint="eastAsia"/>
          <w:snapToGrid/>
        </w:rPr>
        <w:t>宗，大部分属妇产科、眼科、矫形和创伤科。</w:t>
      </w:r>
    </w:p>
    <w:p w:rsidR="00000000" w:rsidRDefault="00000000">
      <w:pPr>
        <w:rPr>
          <w:rFonts w:hint="eastAsia"/>
          <w:snapToGrid/>
        </w:rPr>
      </w:pPr>
      <w:r>
        <w:rPr>
          <w:rFonts w:hint="eastAsia"/>
          <w:snapToGrid/>
        </w:rPr>
        <w:tab/>
        <w:t xml:space="preserve">1055.  </w:t>
      </w:r>
      <w:r>
        <w:rPr>
          <w:rFonts w:hint="eastAsia"/>
          <w:snapToGrid/>
        </w:rPr>
        <w:t>此外，尚设有一疾病预防控制中心，该中心分为</w:t>
      </w:r>
      <w:r>
        <w:rPr>
          <w:rFonts w:hint="eastAsia"/>
          <w:snapToGrid/>
        </w:rPr>
        <w:t>5</w:t>
      </w:r>
      <w:r>
        <w:rPr>
          <w:rFonts w:hint="eastAsia"/>
          <w:snapToGrid/>
        </w:rPr>
        <w:t>个功能部分：传染病防制部、环境和食物卫生部、卫生计划部、慢性病防制暨健康促进部和职业健康部。</w:t>
      </w:r>
    </w:p>
    <w:p w:rsidR="00000000" w:rsidRDefault="00000000">
      <w:pPr>
        <w:rPr>
          <w:rFonts w:hint="eastAsia"/>
          <w:snapToGrid/>
        </w:rPr>
      </w:pPr>
      <w:r>
        <w:rPr>
          <w:rFonts w:hint="eastAsia"/>
          <w:snapToGrid/>
        </w:rPr>
        <w:tab/>
        <w:t xml:space="preserve">1056.  </w:t>
      </w:r>
      <w:r>
        <w:rPr>
          <w:rFonts w:hint="eastAsia"/>
          <w:snapToGrid/>
        </w:rPr>
        <w:t>澳门特别行政区共有</w:t>
      </w:r>
      <w:r>
        <w:rPr>
          <w:rFonts w:hint="eastAsia"/>
          <w:snapToGrid/>
        </w:rPr>
        <w:t>891</w:t>
      </w:r>
      <w:r>
        <w:rPr>
          <w:rFonts w:hint="eastAsia"/>
          <w:snapToGrid/>
        </w:rPr>
        <w:t>名医生</w:t>
      </w:r>
      <w:r>
        <w:rPr>
          <w:rFonts w:hint="eastAsia"/>
          <w:snapToGrid/>
        </w:rPr>
        <w:t>(</w:t>
      </w:r>
      <w:r>
        <w:rPr>
          <w:rFonts w:hint="eastAsia"/>
          <w:snapToGrid/>
        </w:rPr>
        <w:t>包括各类专科医生</w:t>
      </w:r>
      <w:r>
        <w:rPr>
          <w:rFonts w:hint="eastAsia"/>
          <w:snapToGrid/>
        </w:rPr>
        <w:t>)</w:t>
      </w:r>
      <w:r>
        <w:rPr>
          <w:rFonts w:hint="eastAsia"/>
          <w:snapToGrid/>
        </w:rPr>
        <w:t>和</w:t>
      </w:r>
      <w:r>
        <w:rPr>
          <w:rFonts w:hint="eastAsia"/>
          <w:snapToGrid/>
        </w:rPr>
        <w:t>960</w:t>
      </w:r>
      <w:r>
        <w:rPr>
          <w:rFonts w:hint="eastAsia"/>
          <w:snapToGrid/>
        </w:rPr>
        <w:t>名护士。</w:t>
      </w:r>
      <w:r>
        <w:rPr>
          <w:rFonts w:hint="eastAsia"/>
          <w:snapToGrid/>
        </w:rPr>
        <w:t>2001</w:t>
      </w:r>
      <w:r>
        <w:rPr>
          <w:rFonts w:hint="eastAsia"/>
          <w:snapToGrid/>
        </w:rPr>
        <w:t>年，医护人员的总人数为</w:t>
      </w:r>
      <w:r>
        <w:rPr>
          <w:rFonts w:hint="eastAsia"/>
          <w:snapToGrid/>
        </w:rPr>
        <w:t>2,874</w:t>
      </w:r>
      <w:r>
        <w:rPr>
          <w:rFonts w:hint="eastAsia"/>
          <w:snapToGrid/>
        </w:rPr>
        <w:t>人。</w:t>
      </w:r>
    </w:p>
    <w:p w:rsidR="00000000" w:rsidRDefault="00000000">
      <w:pPr>
        <w:rPr>
          <w:rFonts w:hint="eastAsia"/>
          <w:snapToGrid/>
        </w:rPr>
      </w:pPr>
      <w:r>
        <w:rPr>
          <w:rFonts w:hint="eastAsia"/>
          <w:snapToGrid/>
        </w:rPr>
        <w:tab/>
        <w:t xml:space="preserve">1057.  </w:t>
      </w:r>
      <w:r>
        <w:rPr>
          <w:rFonts w:hint="eastAsia"/>
          <w:snapToGrid/>
        </w:rPr>
        <w:t>卫生局为专业医护人员的持续培训提供支持，并直接与社会工作者合作。卫生局现正推行改革，例如重组某些部门、重新调配技术资源、将实际运作合理化、更新资讯系统和改善公众接待服务等。</w:t>
      </w:r>
    </w:p>
    <w:p w:rsidR="00000000" w:rsidRDefault="00000000">
      <w:pPr>
        <w:spacing w:after="320"/>
        <w:rPr>
          <w:rFonts w:hint="eastAsia"/>
          <w:snapToGrid/>
        </w:rPr>
      </w:pPr>
      <w:r>
        <w:rPr>
          <w:rFonts w:hint="eastAsia"/>
          <w:snapToGrid/>
        </w:rPr>
        <w:tab/>
        <w:t xml:space="preserve">1058.  </w:t>
      </w:r>
      <w:r>
        <w:rPr>
          <w:rFonts w:hint="eastAsia"/>
          <w:snapToGrid/>
        </w:rPr>
        <w:t>紧急医疗护理属免费服务。门诊收费亦是大部分市民都能够承担的。</w:t>
      </w:r>
    </w:p>
    <w:p w:rsidR="00000000" w:rsidRDefault="00000000">
      <w:pPr>
        <w:pStyle w:val="Heading3"/>
        <w:rPr>
          <w:rFonts w:hint="eastAsia"/>
        </w:rPr>
      </w:pPr>
      <w:bookmarkStart w:id="98" w:name="_Toc78773007"/>
      <w:r>
        <w:rPr>
          <w:rFonts w:hint="eastAsia"/>
          <w:u w:val="none"/>
        </w:rPr>
        <w:t xml:space="preserve">D.  </w:t>
      </w:r>
      <w:r>
        <w:rPr>
          <w:rFonts w:hint="eastAsia"/>
        </w:rPr>
        <w:t>用于卫生方面的国民生产总值</w:t>
      </w:r>
      <w:bookmarkEnd w:id="98"/>
    </w:p>
    <w:p w:rsidR="00000000" w:rsidRDefault="00000000">
      <w:pPr>
        <w:rPr>
          <w:rFonts w:hint="eastAsia"/>
        </w:rPr>
      </w:pPr>
      <w:r>
        <w:rPr>
          <w:rFonts w:hint="eastAsia"/>
        </w:rPr>
        <w:tab/>
        <w:t xml:space="preserve">1059.  </w:t>
      </w:r>
      <w:r>
        <w:rPr>
          <w:rFonts w:hint="eastAsia"/>
        </w:rPr>
        <w:t>卫生局确保全体澳门特别行政区市民均可享用卫生护理服务，并负责提供免费卫生护理。法律确立了普及免费卫生护理的原则。卫生护理的费用，视乎疾病的类别、服务使用者的经济条件或是否受其他私人卫生护理计划保障，而部分或全部由澳门特别行政区的预算支付</w:t>
      </w:r>
      <w:r>
        <w:rPr>
          <w:rFonts w:hint="eastAsia"/>
        </w:rPr>
        <w:t>(</w:t>
      </w:r>
      <w:r>
        <w:rPr>
          <w:rFonts w:hint="eastAsia"/>
        </w:rPr>
        <w:t>第</w:t>
      </w:r>
      <w:r>
        <w:rPr>
          <w:rFonts w:hint="eastAsia"/>
        </w:rPr>
        <w:t>24/86/M</w:t>
      </w:r>
      <w:r>
        <w:rPr>
          <w:rFonts w:hint="eastAsia"/>
        </w:rPr>
        <w:t>号法令第三条和第十四条</w:t>
      </w:r>
      <w:r>
        <w:rPr>
          <w:rFonts w:hint="eastAsia"/>
        </w:rPr>
        <w:t>)</w:t>
      </w:r>
      <w:r>
        <w:rPr>
          <w:rFonts w:hint="eastAsia"/>
        </w:rPr>
        <w:t>。</w:t>
      </w:r>
    </w:p>
    <w:p w:rsidR="00000000" w:rsidRDefault="00000000">
      <w:pPr>
        <w:spacing w:after="320"/>
        <w:rPr>
          <w:rFonts w:hint="eastAsia"/>
        </w:rPr>
      </w:pPr>
      <w:r>
        <w:rPr>
          <w:rFonts w:hint="eastAsia"/>
        </w:rPr>
        <w:tab/>
        <w:t xml:space="preserve">1060.  </w:t>
      </w:r>
      <w:r>
        <w:rPr>
          <w:rFonts w:hint="eastAsia"/>
        </w:rPr>
        <w:t>下列卫生护理服务属免费：由公共卫生中心提供的</w:t>
      </w:r>
      <w:r>
        <w:rPr>
          <w:rFonts w:hint="eastAsia"/>
        </w:rPr>
        <w:t>(</w:t>
      </w:r>
      <w:r>
        <w:rPr>
          <w:rFonts w:hint="eastAsia"/>
        </w:rPr>
        <w:t>医疗、护理和药物服务</w:t>
      </w:r>
      <w:r>
        <w:rPr>
          <w:rFonts w:hint="eastAsia"/>
        </w:rPr>
        <w:t>)</w:t>
      </w:r>
      <w:r>
        <w:rPr>
          <w:rFonts w:hint="eastAsia"/>
        </w:rPr>
        <w:t>；基于公共卫生理由而向怀疑属传染病患者提供的；向染有毒瘾的人提供的；向癌症病患者或需要协助的精神病患者提供的；属家庭计划的；向危险群，例如孕妇、初生婴儿和接受产后护理的妇女、就读中、小学的儿童、囚犯、生活于贫穷线以下的个人</w:t>
      </w:r>
      <w:r>
        <w:rPr>
          <w:rFonts w:hint="eastAsia"/>
        </w:rPr>
        <w:t>/</w:t>
      </w:r>
      <w:r>
        <w:rPr>
          <w:rFonts w:hint="eastAsia"/>
        </w:rPr>
        <w:t>家庭和年龄大于</w:t>
      </w:r>
      <w:r>
        <w:rPr>
          <w:rFonts w:hint="eastAsia"/>
        </w:rPr>
        <w:t>65</w:t>
      </w:r>
      <w:r>
        <w:rPr>
          <w:rFonts w:hint="eastAsia"/>
        </w:rPr>
        <w:t>岁的长者提供的。</w:t>
      </w:r>
    </w:p>
    <w:p w:rsidR="00000000" w:rsidRDefault="00000000">
      <w:pPr>
        <w:pStyle w:val="a3"/>
        <w:rPr>
          <w:rFonts w:hint="eastAsia"/>
        </w:rPr>
      </w:pPr>
      <w:r>
        <w:rPr>
          <w:rFonts w:hint="eastAsia"/>
        </w:rPr>
        <w:t>澳门特别行政区预算中卫生范畴的支出的百分比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43"/>
        <w:gridCol w:w="1575"/>
        <w:gridCol w:w="1785"/>
        <w:gridCol w:w="1890"/>
        <w:gridCol w:w="1717"/>
      </w:tblGrid>
      <w:tr w:rsidR="00000000">
        <w:tblPrEx>
          <w:tblCellMar>
            <w:top w:w="0" w:type="dxa"/>
            <w:bottom w:w="0" w:type="dxa"/>
          </w:tblCellMar>
        </w:tblPrEx>
        <w:tc>
          <w:tcPr>
            <w:tcW w:w="2443" w:type="dxa"/>
          </w:tcPr>
          <w:p w:rsidR="00000000" w:rsidRDefault="00000000">
            <w:pPr>
              <w:spacing w:before="80"/>
              <w:jc w:val="center"/>
              <w:rPr>
                <w:rFonts w:hint="eastAsia"/>
                <w:sz w:val="20"/>
              </w:rPr>
            </w:pPr>
            <w:r>
              <w:rPr>
                <w:rFonts w:hint="eastAsia"/>
                <w:sz w:val="20"/>
              </w:rPr>
              <w:t>年</w:t>
            </w:r>
            <w:r>
              <w:rPr>
                <w:rFonts w:hint="eastAsia"/>
                <w:sz w:val="20"/>
              </w:rPr>
              <w:t xml:space="preserve">  </w:t>
            </w:r>
            <w:r>
              <w:rPr>
                <w:rFonts w:hint="eastAsia"/>
                <w:sz w:val="20"/>
              </w:rPr>
              <w:t>份</w:t>
            </w:r>
          </w:p>
        </w:tc>
        <w:tc>
          <w:tcPr>
            <w:tcW w:w="1575" w:type="dxa"/>
          </w:tcPr>
          <w:p w:rsidR="00000000" w:rsidRDefault="00000000">
            <w:pPr>
              <w:spacing w:before="80"/>
              <w:jc w:val="center"/>
              <w:rPr>
                <w:rFonts w:hint="eastAsia"/>
                <w:sz w:val="20"/>
              </w:rPr>
            </w:pPr>
            <w:r>
              <w:rPr>
                <w:rFonts w:hint="eastAsia"/>
                <w:sz w:val="20"/>
              </w:rPr>
              <w:t>1999</w:t>
            </w:r>
          </w:p>
        </w:tc>
        <w:tc>
          <w:tcPr>
            <w:tcW w:w="1785" w:type="dxa"/>
          </w:tcPr>
          <w:p w:rsidR="00000000" w:rsidRDefault="00000000">
            <w:pPr>
              <w:spacing w:before="80"/>
              <w:jc w:val="center"/>
              <w:rPr>
                <w:rFonts w:hint="eastAsia"/>
                <w:sz w:val="20"/>
              </w:rPr>
            </w:pPr>
            <w:r>
              <w:rPr>
                <w:rFonts w:hint="eastAsia"/>
                <w:sz w:val="20"/>
              </w:rPr>
              <w:t>2000</w:t>
            </w:r>
          </w:p>
        </w:tc>
        <w:tc>
          <w:tcPr>
            <w:tcW w:w="1890" w:type="dxa"/>
          </w:tcPr>
          <w:p w:rsidR="00000000" w:rsidRDefault="00000000">
            <w:pPr>
              <w:spacing w:before="80"/>
              <w:jc w:val="center"/>
              <w:rPr>
                <w:rFonts w:hint="eastAsia"/>
                <w:sz w:val="20"/>
              </w:rPr>
            </w:pPr>
            <w:r>
              <w:rPr>
                <w:rFonts w:hint="eastAsia"/>
                <w:sz w:val="20"/>
              </w:rPr>
              <w:t>2001</w:t>
            </w:r>
          </w:p>
        </w:tc>
        <w:tc>
          <w:tcPr>
            <w:tcW w:w="1717" w:type="dxa"/>
          </w:tcPr>
          <w:p w:rsidR="00000000" w:rsidRDefault="00000000">
            <w:pPr>
              <w:spacing w:before="80"/>
              <w:jc w:val="center"/>
              <w:rPr>
                <w:rFonts w:hint="eastAsia"/>
                <w:sz w:val="20"/>
              </w:rPr>
            </w:pPr>
            <w:r>
              <w:rPr>
                <w:rFonts w:hint="eastAsia"/>
                <w:sz w:val="20"/>
              </w:rPr>
              <w:t>2002</w:t>
            </w:r>
          </w:p>
        </w:tc>
      </w:tr>
      <w:tr w:rsidR="00000000">
        <w:tblPrEx>
          <w:tblCellMar>
            <w:top w:w="0" w:type="dxa"/>
            <w:bottom w:w="0" w:type="dxa"/>
          </w:tblCellMar>
        </w:tblPrEx>
        <w:tc>
          <w:tcPr>
            <w:tcW w:w="2443" w:type="dxa"/>
          </w:tcPr>
          <w:p w:rsidR="00000000" w:rsidRDefault="00000000">
            <w:pPr>
              <w:spacing w:before="80"/>
              <w:ind w:left="113"/>
              <w:rPr>
                <w:rFonts w:hint="eastAsia"/>
                <w:sz w:val="20"/>
              </w:rPr>
            </w:pPr>
            <w:r>
              <w:rPr>
                <w:rFonts w:hint="eastAsia"/>
                <w:sz w:val="20"/>
              </w:rPr>
              <w:t>卫生范畴的支出</w:t>
            </w:r>
          </w:p>
        </w:tc>
        <w:tc>
          <w:tcPr>
            <w:tcW w:w="1575" w:type="dxa"/>
          </w:tcPr>
          <w:p w:rsidR="00000000" w:rsidRDefault="00000000">
            <w:pPr>
              <w:spacing w:before="80"/>
              <w:ind w:left="113" w:right="287"/>
              <w:jc w:val="right"/>
              <w:rPr>
                <w:rFonts w:hint="eastAsia"/>
                <w:sz w:val="20"/>
              </w:rPr>
            </w:pPr>
            <w:r>
              <w:rPr>
                <w:rFonts w:hint="eastAsia"/>
                <w:sz w:val="20"/>
              </w:rPr>
              <w:t>954,614</w:t>
            </w:r>
          </w:p>
        </w:tc>
        <w:tc>
          <w:tcPr>
            <w:tcW w:w="1785" w:type="dxa"/>
          </w:tcPr>
          <w:p w:rsidR="00000000" w:rsidRDefault="00000000">
            <w:pPr>
              <w:spacing w:before="80"/>
              <w:ind w:left="113" w:right="287"/>
              <w:jc w:val="right"/>
              <w:rPr>
                <w:rFonts w:hint="eastAsia"/>
                <w:sz w:val="20"/>
              </w:rPr>
            </w:pPr>
            <w:r>
              <w:rPr>
                <w:rFonts w:hint="eastAsia"/>
                <w:sz w:val="20"/>
              </w:rPr>
              <w:t>1,133,583</w:t>
            </w:r>
          </w:p>
        </w:tc>
        <w:tc>
          <w:tcPr>
            <w:tcW w:w="1890" w:type="dxa"/>
          </w:tcPr>
          <w:p w:rsidR="00000000" w:rsidRDefault="00000000">
            <w:pPr>
              <w:spacing w:before="80"/>
              <w:ind w:left="113" w:right="287"/>
              <w:jc w:val="right"/>
              <w:rPr>
                <w:rFonts w:hint="eastAsia"/>
                <w:sz w:val="20"/>
              </w:rPr>
            </w:pPr>
            <w:r>
              <w:rPr>
                <w:rFonts w:hint="eastAsia"/>
                <w:sz w:val="20"/>
              </w:rPr>
              <w:t>798,988</w:t>
            </w:r>
          </w:p>
        </w:tc>
        <w:tc>
          <w:tcPr>
            <w:tcW w:w="1717" w:type="dxa"/>
          </w:tcPr>
          <w:p w:rsidR="00000000" w:rsidRDefault="00000000">
            <w:pPr>
              <w:spacing w:before="80"/>
              <w:ind w:left="113" w:right="287"/>
              <w:jc w:val="right"/>
              <w:rPr>
                <w:rFonts w:hint="eastAsia"/>
                <w:sz w:val="20"/>
              </w:rPr>
            </w:pPr>
            <w:r>
              <w:rPr>
                <w:rFonts w:hint="eastAsia"/>
                <w:sz w:val="20"/>
              </w:rPr>
              <w:t>639,208</w:t>
            </w:r>
          </w:p>
        </w:tc>
      </w:tr>
      <w:tr w:rsidR="00000000">
        <w:tblPrEx>
          <w:tblCellMar>
            <w:top w:w="0" w:type="dxa"/>
            <w:bottom w:w="0" w:type="dxa"/>
          </w:tblCellMar>
        </w:tblPrEx>
        <w:tc>
          <w:tcPr>
            <w:tcW w:w="2443" w:type="dxa"/>
          </w:tcPr>
          <w:p w:rsidR="00000000" w:rsidRDefault="00000000">
            <w:pPr>
              <w:spacing w:before="80"/>
              <w:ind w:left="113"/>
              <w:rPr>
                <w:rFonts w:hint="eastAsia"/>
                <w:sz w:val="20"/>
              </w:rPr>
            </w:pPr>
            <w:r>
              <w:rPr>
                <w:rFonts w:hint="eastAsia"/>
                <w:sz w:val="20"/>
              </w:rPr>
              <w:t>占总预算的百分比</w:t>
            </w:r>
            <w:r>
              <w:rPr>
                <w:rFonts w:hint="eastAsia"/>
                <w:sz w:val="20"/>
              </w:rPr>
              <w:t>(%)</w:t>
            </w:r>
          </w:p>
        </w:tc>
        <w:tc>
          <w:tcPr>
            <w:tcW w:w="1575" w:type="dxa"/>
          </w:tcPr>
          <w:p w:rsidR="00000000" w:rsidRDefault="00000000">
            <w:pPr>
              <w:spacing w:before="80"/>
              <w:ind w:left="113" w:right="287"/>
              <w:jc w:val="right"/>
              <w:rPr>
                <w:rFonts w:hint="eastAsia"/>
                <w:sz w:val="20"/>
              </w:rPr>
            </w:pPr>
            <w:r>
              <w:rPr>
                <w:rFonts w:hint="eastAsia"/>
                <w:sz w:val="20"/>
              </w:rPr>
              <w:t>9.74</w:t>
            </w:r>
          </w:p>
        </w:tc>
        <w:tc>
          <w:tcPr>
            <w:tcW w:w="1785" w:type="dxa"/>
          </w:tcPr>
          <w:p w:rsidR="00000000" w:rsidRDefault="00000000">
            <w:pPr>
              <w:spacing w:before="80"/>
              <w:ind w:left="113" w:right="287"/>
              <w:jc w:val="right"/>
              <w:rPr>
                <w:rFonts w:hint="eastAsia"/>
                <w:sz w:val="20"/>
              </w:rPr>
            </w:pPr>
            <w:r>
              <w:rPr>
                <w:rFonts w:hint="eastAsia"/>
                <w:sz w:val="20"/>
              </w:rPr>
              <w:t>12.93</w:t>
            </w:r>
          </w:p>
        </w:tc>
        <w:tc>
          <w:tcPr>
            <w:tcW w:w="1890" w:type="dxa"/>
          </w:tcPr>
          <w:p w:rsidR="00000000" w:rsidRDefault="00000000">
            <w:pPr>
              <w:spacing w:before="80"/>
              <w:ind w:left="113" w:right="287"/>
              <w:jc w:val="right"/>
              <w:rPr>
                <w:rFonts w:hint="eastAsia"/>
                <w:sz w:val="20"/>
              </w:rPr>
            </w:pPr>
            <w:r>
              <w:rPr>
                <w:rFonts w:hint="eastAsia"/>
                <w:sz w:val="20"/>
              </w:rPr>
              <w:t>8.5</w:t>
            </w:r>
          </w:p>
        </w:tc>
        <w:tc>
          <w:tcPr>
            <w:tcW w:w="1717" w:type="dxa"/>
          </w:tcPr>
          <w:p w:rsidR="00000000" w:rsidRDefault="00000000">
            <w:pPr>
              <w:spacing w:before="80"/>
              <w:ind w:left="113" w:right="287"/>
              <w:jc w:val="right"/>
              <w:rPr>
                <w:rFonts w:hint="eastAsia"/>
                <w:sz w:val="20"/>
              </w:rPr>
            </w:pPr>
            <w:r>
              <w:rPr>
                <w:rFonts w:hint="eastAsia"/>
                <w:sz w:val="20"/>
              </w:rPr>
              <w:t>6.7</w:t>
            </w:r>
          </w:p>
        </w:tc>
      </w:tr>
    </w:tbl>
    <w:p w:rsidR="00000000" w:rsidRDefault="00000000">
      <w:pPr>
        <w:spacing w:before="240" w:after="32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：财政局，</w:t>
      </w:r>
      <w:r>
        <w:rPr>
          <w:rFonts w:eastAsia="KaiTi_GB2312" w:hint="eastAsia"/>
          <w:snapToGrid/>
          <w:spacing w:val="0"/>
        </w:rPr>
        <w:t>2003</w:t>
      </w:r>
      <w:r>
        <w:rPr>
          <w:rFonts w:eastAsia="KaiTi_GB2312" w:hint="eastAsia"/>
          <w:snapToGrid/>
          <w:spacing w:val="0"/>
        </w:rPr>
        <w:t>年。</w:t>
      </w:r>
    </w:p>
    <w:p w:rsidR="00000000" w:rsidRDefault="00000000">
      <w:pPr>
        <w:pStyle w:val="Heading3"/>
        <w:rPr>
          <w:rFonts w:hint="eastAsia"/>
        </w:rPr>
      </w:pPr>
      <w:bookmarkStart w:id="99" w:name="_Toc78773008"/>
      <w:r>
        <w:rPr>
          <w:rFonts w:hint="eastAsia"/>
          <w:u w:val="none"/>
        </w:rPr>
        <w:t xml:space="preserve">E.  </w:t>
      </w:r>
      <w:r>
        <w:rPr>
          <w:rFonts w:hint="eastAsia"/>
        </w:rPr>
        <w:t>预防和控制疾病的其他政策和措施</w:t>
      </w:r>
      <w:bookmarkEnd w:id="99"/>
    </w:p>
    <w:p w:rsidR="00000000" w:rsidRDefault="00000000">
      <w:pPr>
        <w:pStyle w:val="Heading4"/>
        <w:rPr>
          <w:rFonts w:hint="eastAsia"/>
        </w:rPr>
      </w:pPr>
      <w:r>
        <w:rPr>
          <w:rFonts w:hint="eastAsia"/>
        </w:rPr>
        <w:t>工业和环境卫生的改善</w:t>
      </w:r>
    </w:p>
    <w:p w:rsidR="00000000" w:rsidRDefault="00000000">
      <w:pPr>
        <w:spacing w:after="320"/>
        <w:rPr>
          <w:rFonts w:hint="eastAsia"/>
        </w:rPr>
      </w:pPr>
      <w:r>
        <w:rPr>
          <w:rFonts w:hint="eastAsia"/>
        </w:rPr>
        <w:tab/>
        <w:t xml:space="preserve">1061.  </w:t>
      </w:r>
      <w:r>
        <w:rPr>
          <w:rFonts w:hint="eastAsia"/>
        </w:rPr>
        <w:t>卫生局和民政总署就改善工业和环境卫生的各个方面作出了显著的努力，包括对食肆和食物供应商实行卫生预防措施。为此，有关部门定期进行查验，确保食物产品的安全和检查工业活动在环境污染和工作条件方面是否符合卫生标准。</w:t>
      </w:r>
    </w:p>
    <w:p w:rsidR="00000000" w:rsidRDefault="00000000">
      <w:pPr>
        <w:pStyle w:val="Heading4"/>
        <w:rPr>
          <w:rFonts w:hint="eastAsia"/>
        </w:rPr>
      </w:pPr>
      <w:r>
        <w:rPr>
          <w:rFonts w:hint="eastAsia"/>
        </w:rPr>
        <w:t>固体废料的处理</w:t>
      </w:r>
    </w:p>
    <w:p w:rsidR="00000000" w:rsidRDefault="00000000">
      <w:pPr>
        <w:rPr>
          <w:rFonts w:hint="eastAsia"/>
        </w:rPr>
      </w:pPr>
      <w:r>
        <w:rPr>
          <w:rFonts w:hint="eastAsia"/>
        </w:rPr>
        <w:tab/>
        <w:t xml:space="preserve">1062.  </w:t>
      </w:r>
      <w:r>
        <w:rPr>
          <w:rFonts w:hint="eastAsia"/>
        </w:rPr>
        <w:t>民政总署负责固体废料的处理，即是负责监控对来自焚化炉的废料的处置、监察垃圾收集工作和执行市政卫生规则。</w:t>
      </w:r>
    </w:p>
    <w:p w:rsidR="00000000" w:rsidRDefault="00000000">
      <w:pPr>
        <w:spacing w:after="320"/>
        <w:rPr>
          <w:rFonts w:hint="eastAsia"/>
        </w:rPr>
      </w:pPr>
      <w:r>
        <w:rPr>
          <w:rFonts w:hint="eastAsia"/>
        </w:rPr>
        <w:tab/>
        <w:t xml:space="preserve">1063.  </w:t>
      </w:r>
      <w:r>
        <w:rPr>
          <w:rFonts w:hint="eastAsia"/>
        </w:rPr>
        <w:t>在废料处理上，回收、再造和再使用并不足以抵消不断增加的废料量。尽管人口增长率有所下降，但垃圾量却有所增加，这说明了居民所制造的垃圾正不断增多。废料主要是来自家居生活、商业和服务业</w:t>
      </w:r>
      <w:r>
        <w:rPr>
          <w:rFonts w:hint="eastAsia"/>
        </w:rPr>
        <w:t>(</w:t>
      </w:r>
      <w:r>
        <w:rPr>
          <w:rFonts w:hint="eastAsia"/>
        </w:rPr>
        <w:t>商店、酒店和办公室</w:t>
      </w:r>
      <w:r>
        <w:rPr>
          <w:rFonts w:hint="eastAsia"/>
        </w:rPr>
        <w:t>)</w:t>
      </w:r>
      <w:r>
        <w:rPr>
          <w:rFonts w:hint="eastAsia"/>
        </w:rPr>
        <w:t>、工业和卫生服务</w:t>
      </w:r>
      <w:r>
        <w:rPr>
          <w:rFonts w:hint="eastAsia"/>
        </w:rPr>
        <w:t>(</w:t>
      </w:r>
      <w:r>
        <w:rPr>
          <w:rFonts w:hint="eastAsia"/>
        </w:rPr>
        <w:t>医院和卫生中心</w:t>
      </w:r>
      <w:r>
        <w:rPr>
          <w:rFonts w:hint="eastAsia"/>
        </w:rPr>
        <w:t>)</w:t>
      </w:r>
      <w:r>
        <w:rPr>
          <w:rFonts w:hint="eastAsia"/>
        </w:rPr>
        <w:t>。</w:t>
      </w:r>
    </w:p>
    <w:p w:rsidR="00000000" w:rsidRDefault="00000000">
      <w:pPr>
        <w:pStyle w:val="Heading4"/>
        <w:rPr>
          <w:rFonts w:hint="eastAsia"/>
        </w:rPr>
      </w:pPr>
      <w:r>
        <w:rPr>
          <w:rFonts w:hint="eastAsia"/>
        </w:rPr>
        <w:t>气体排放造成的污染和燃料标准</w:t>
      </w:r>
    </w:p>
    <w:p w:rsidR="00000000" w:rsidRDefault="00000000">
      <w:pPr>
        <w:rPr>
          <w:rFonts w:hint="eastAsia"/>
        </w:rPr>
      </w:pPr>
      <w:r>
        <w:rPr>
          <w:rFonts w:hint="eastAsia"/>
        </w:rPr>
        <w:tab/>
        <w:t xml:space="preserve">1064.  </w:t>
      </w:r>
      <w:r>
        <w:rPr>
          <w:rFonts w:hint="eastAsia"/>
        </w:rPr>
        <w:t>资料显示，由人类活动所造成的污染，主要是来自发电和道路运输。</w:t>
      </w:r>
    </w:p>
    <w:p w:rsidR="00000000" w:rsidRDefault="00000000">
      <w:pPr>
        <w:rPr>
          <w:rFonts w:hint="eastAsia"/>
        </w:rPr>
      </w:pPr>
      <w:r>
        <w:rPr>
          <w:rFonts w:hint="eastAsia"/>
        </w:rPr>
        <w:tab/>
        <w:t xml:space="preserve">1065.  </w:t>
      </w:r>
      <w:r>
        <w:rPr>
          <w:rFonts w:hint="eastAsia"/>
        </w:rPr>
        <w:t>澳门特别行政区地理面积狭窄，加上属典型城市格局，在欠缺燃料代替品</w:t>
      </w:r>
      <w:r>
        <w:rPr>
          <w:rFonts w:hint="eastAsia"/>
        </w:rPr>
        <w:t>(</w:t>
      </w:r>
      <w:r>
        <w:rPr>
          <w:rFonts w:hint="eastAsia"/>
        </w:rPr>
        <w:t>风力、太阳能、水力和生物能</w:t>
      </w:r>
      <w:r>
        <w:rPr>
          <w:rFonts w:hint="eastAsia"/>
        </w:rPr>
        <w:t>)</w:t>
      </w:r>
      <w:r>
        <w:rPr>
          <w:rFonts w:hint="eastAsia"/>
        </w:rPr>
        <w:t>的情况下，是以燃料发电来满足能源需求。这构成主要的废气排放来源。</w:t>
      </w:r>
    </w:p>
    <w:p w:rsidR="00000000" w:rsidRDefault="00000000">
      <w:pPr>
        <w:rPr>
          <w:rFonts w:hint="eastAsia"/>
        </w:rPr>
      </w:pPr>
      <w:r>
        <w:rPr>
          <w:rFonts w:hint="eastAsia"/>
        </w:rPr>
        <w:tab/>
        <w:t xml:space="preserve">1066.  </w:t>
      </w:r>
      <w:r>
        <w:rPr>
          <w:rFonts w:hint="eastAsia"/>
        </w:rPr>
        <w:t>关于铅排放的分析资料显示，自从将无铅汽油引进市场后</w:t>
      </w:r>
      <w:r>
        <w:rPr>
          <w:rFonts w:hint="eastAsia"/>
        </w:rPr>
        <w:t>(8</w:t>
      </w:r>
      <w:r>
        <w:rPr>
          <w:rFonts w:hint="eastAsia"/>
        </w:rPr>
        <w:t>月</w:t>
      </w:r>
      <w:r>
        <w:rPr>
          <w:rFonts w:hint="eastAsia"/>
        </w:rPr>
        <w:t>22</w:t>
      </w:r>
      <w:r>
        <w:rPr>
          <w:rFonts w:hint="eastAsia"/>
        </w:rPr>
        <w:t>日第</w:t>
      </w:r>
      <w:r>
        <w:rPr>
          <w:rFonts w:hint="eastAsia"/>
        </w:rPr>
        <w:t>44/94/M</w:t>
      </w:r>
      <w:r>
        <w:rPr>
          <w:rFonts w:hint="eastAsia"/>
        </w:rPr>
        <w:t>号法令</w:t>
      </w:r>
      <w:r>
        <w:rPr>
          <w:rFonts w:hint="eastAsia"/>
        </w:rPr>
        <w:t>)</w:t>
      </w:r>
      <w:r>
        <w:rPr>
          <w:rFonts w:hint="eastAsia"/>
        </w:rPr>
        <w:t>，铅排放量有所减低。将机动车辆用轻柴油的含硫量限于</w:t>
      </w:r>
      <w:r>
        <w:rPr>
          <w:rFonts w:hint="eastAsia"/>
        </w:rPr>
        <w:t>0.05%</w:t>
      </w:r>
      <w:r>
        <w:rPr>
          <w:rFonts w:hint="eastAsia"/>
        </w:rPr>
        <w:t>的比重的</w:t>
      </w:r>
      <w:r>
        <w:rPr>
          <w:rFonts w:hint="eastAsia"/>
        </w:rPr>
        <w:t>8</w:t>
      </w:r>
      <w:r>
        <w:rPr>
          <w:rFonts w:hint="eastAsia"/>
        </w:rPr>
        <w:t>月</w:t>
      </w:r>
      <w:r>
        <w:rPr>
          <w:rFonts w:hint="eastAsia"/>
        </w:rPr>
        <w:t>7</w:t>
      </w:r>
      <w:r>
        <w:rPr>
          <w:rFonts w:hint="eastAsia"/>
        </w:rPr>
        <w:t>日第</w:t>
      </w:r>
      <w:r>
        <w:rPr>
          <w:rFonts w:hint="eastAsia"/>
        </w:rPr>
        <w:t>49/2000</w:t>
      </w:r>
      <w:r>
        <w:rPr>
          <w:rFonts w:hint="eastAsia"/>
        </w:rPr>
        <w:t>号行政命令，其实施所带来的效果，肯定会在未来的分析中显示出来。</w:t>
      </w:r>
    </w:p>
    <w:p w:rsidR="00000000" w:rsidRDefault="00000000">
      <w:pPr>
        <w:rPr>
          <w:rFonts w:hint="eastAsia"/>
        </w:rPr>
      </w:pPr>
      <w:r>
        <w:rPr>
          <w:rFonts w:hint="eastAsia"/>
        </w:rPr>
        <w:tab/>
        <w:t xml:space="preserve">1067.  </w:t>
      </w:r>
      <w:r>
        <w:rPr>
          <w:rFonts w:hint="eastAsia"/>
        </w:rPr>
        <w:t>尽管先进的汽车制造技术</w:t>
      </w:r>
      <w:r>
        <w:rPr>
          <w:rFonts w:hint="eastAsia"/>
        </w:rPr>
        <w:t>(</w:t>
      </w:r>
      <w:r>
        <w:rPr>
          <w:rFonts w:hint="eastAsia"/>
        </w:rPr>
        <w:t>例如引起催化器和减低燃油的硫、铅含量</w:t>
      </w:r>
      <w:r>
        <w:rPr>
          <w:rFonts w:hint="eastAsia"/>
        </w:rPr>
        <w:t>)</w:t>
      </w:r>
      <w:r>
        <w:rPr>
          <w:rFonts w:hint="eastAsia"/>
        </w:rPr>
        <w:t>有助减低某些对环境的负面影响，但汽车污染的问题仍然存在。</w:t>
      </w:r>
    </w:p>
    <w:p w:rsidR="00000000" w:rsidRDefault="00000000">
      <w:pPr>
        <w:spacing w:after="320"/>
        <w:rPr>
          <w:rFonts w:hint="eastAsia"/>
        </w:rPr>
      </w:pPr>
      <w:r>
        <w:rPr>
          <w:rFonts w:hint="eastAsia"/>
        </w:rPr>
        <w:tab/>
        <w:t xml:space="preserve">1068.  </w:t>
      </w:r>
      <w:r>
        <w:rPr>
          <w:rFonts w:hint="eastAsia"/>
        </w:rPr>
        <w:t>为改善生态环境和交通安全，澳门特别行政区政府颁布了相关法例和技术标准，与此同时，亦就燃料税、燃料价格和泊车问题制定新政策。事实上，兴建了适当的停车场，并为减低机动车辆的增加对环境、卫生和生活素质造成的负面影响，加强向市民宣传使用公共交通网络和步行区所带来的好处。</w:t>
      </w:r>
    </w:p>
    <w:p w:rsidR="00000000" w:rsidRDefault="00000000">
      <w:pPr>
        <w:pStyle w:val="Heading4"/>
        <w:rPr>
          <w:rFonts w:hint="eastAsia"/>
        </w:rPr>
      </w:pPr>
      <w:r>
        <w:rPr>
          <w:rFonts w:hint="eastAsia"/>
        </w:rPr>
        <w:t>空气污染的控制</w:t>
      </w:r>
    </w:p>
    <w:p w:rsidR="00000000" w:rsidRDefault="00000000">
      <w:pPr>
        <w:rPr>
          <w:rFonts w:hint="eastAsia"/>
        </w:rPr>
      </w:pPr>
      <w:r>
        <w:rPr>
          <w:rFonts w:hint="eastAsia"/>
        </w:rPr>
        <w:tab/>
        <w:t xml:space="preserve">1069.  </w:t>
      </w:r>
      <w:r>
        <w:rPr>
          <w:rFonts w:hint="eastAsia"/>
        </w:rPr>
        <w:t>气象局过去十年来不断对大气污染作出监测。一般情况下，所收集的大气污染数值是与国际</w:t>
      </w:r>
      <w:r>
        <w:rPr>
          <w:rFonts w:hint="eastAsia"/>
        </w:rPr>
        <w:t>(</w:t>
      </w:r>
      <w:r>
        <w:rPr>
          <w:rFonts w:hint="eastAsia"/>
        </w:rPr>
        <w:t>例如世界卫生组织和欧盟</w:t>
      </w:r>
      <w:r>
        <w:rPr>
          <w:rFonts w:hint="eastAsia"/>
        </w:rPr>
        <w:t>)</w:t>
      </w:r>
      <w:r>
        <w:rPr>
          <w:rFonts w:hint="eastAsia"/>
        </w:rPr>
        <w:t>建议的尺度作出比较。</w:t>
      </w:r>
    </w:p>
    <w:p w:rsidR="00000000" w:rsidRDefault="00000000">
      <w:pPr>
        <w:rPr>
          <w:rFonts w:hint="eastAsia"/>
        </w:rPr>
      </w:pPr>
      <w:r>
        <w:rPr>
          <w:rFonts w:hint="eastAsia"/>
        </w:rPr>
        <w:tab/>
        <w:t xml:space="preserve">1070.  </w:t>
      </w:r>
      <w:r>
        <w:rPr>
          <w:rFonts w:hint="eastAsia"/>
        </w:rPr>
        <w:t>凝聚不散的二氧化硫和烟尘，加上工业排放的过量的尘粒和乘风流动的悬浮粒子，令空气素质受到影响，导致酸雨的出现。</w:t>
      </w:r>
    </w:p>
    <w:p w:rsidR="00000000" w:rsidRDefault="00000000">
      <w:pPr>
        <w:rPr>
          <w:rFonts w:hint="eastAsia"/>
        </w:rPr>
      </w:pPr>
      <w:r>
        <w:rPr>
          <w:rFonts w:hint="eastAsia"/>
        </w:rPr>
        <w:tab/>
        <w:t xml:space="preserve">1071.  </w:t>
      </w:r>
      <w:r>
        <w:rPr>
          <w:rFonts w:hint="eastAsia"/>
        </w:rPr>
        <w:t>禁止生产能破坏臭氧层的物质</w:t>
      </w:r>
      <w:r>
        <w:rPr>
          <w:rFonts w:hint="eastAsia"/>
        </w:rPr>
        <w:t>(12</w:t>
      </w:r>
      <w:r>
        <w:rPr>
          <w:rFonts w:hint="eastAsia"/>
        </w:rPr>
        <w:t>月</w:t>
      </w:r>
      <w:r>
        <w:rPr>
          <w:rFonts w:hint="eastAsia"/>
        </w:rPr>
        <w:t>4</w:t>
      </w:r>
      <w:r>
        <w:rPr>
          <w:rFonts w:hint="eastAsia"/>
        </w:rPr>
        <w:t>日第</w:t>
      </w:r>
      <w:r>
        <w:rPr>
          <w:rFonts w:hint="eastAsia"/>
        </w:rPr>
        <w:t>62/95/M</w:t>
      </w:r>
      <w:r>
        <w:rPr>
          <w:rFonts w:hint="eastAsia"/>
        </w:rPr>
        <w:t>号法令</w:t>
      </w:r>
      <w:r>
        <w:rPr>
          <w:rFonts w:hint="eastAsia"/>
        </w:rPr>
        <w:t>)</w:t>
      </w:r>
      <w:r>
        <w:rPr>
          <w:rFonts w:hint="eastAsia"/>
        </w:rPr>
        <w:t>。</w:t>
      </w:r>
    </w:p>
    <w:p w:rsidR="00000000" w:rsidRDefault="00000000">
      <w:pPr>
        <w:spacing w:after="320"/>
        <w:rPr>
          <w:rFonts w:hint="eastAsia"/>
        </w:rPr>
      </w:pPr>
      <w:r>
        <w:rPr>
          <w:rFonts w:hint="eastAsia"/>
        </w:rPr>
        <w:tab/>
        <w:t xml:space="preserve">1072.  </w:t>
      </w:r>
      <w:r>
        <w:rPr>
          <w:rFonts w:hint="eastAsia"/>
        </w:rPr>
        <w:t>经济局监察可影响臭氧层的物质和设备</w:t>
      </w:r>
      <w:r>
        <w:rPr>
          <w:rFonts w:hint="eastAsia"/>
        </w:rPr>
        <w:t>(</w:t>
      </w:r>
      <w:r>
        <w:rPr>
          <w:rFonts w:hint="eastAsia"/>
        </w:rPr>
        <w:t>喷雾剂、冷气机、电冰箱、灭火筒等</w:t>
      </w:r>
      <w:r>
        <w:rPr>
          <w:rFonts w:hint="eastAsia"/>
        </w:rPr>
        <w:t>)</w:t>
      </w:r>
      <w:r>
        <w:rPr>
          <w:rFonts w:hint="eastAsia"/>
        </w:rPr>
        <w:t>的进出口。当情况涉及环境问题时，该局须向环境委员会作出通知，并征询其意见。</w:t>
      </w:r>
    </w:p>
    <w:p w:rsidR="00000000" w:rsidRDefault="00000000">
      <w:pPr>
        <w:pStyle w:val="Heading4"/>
        <w:rPr>
          <w:rFonts w:hint="eastAsia"/>
        </w:rPr>
      </w:pPr>
      <w:r>
        <w:rPr>
          <w:rFonts w:hint="eastAsia"/>
        </w:rPr>
        <w:t>噪音污染的控制</w:t>
      </w:r>
    </w:p>
    <w:p w:rsidR="00000000" w:rsidRDefault="00000000">
      <w:pPr>
        <w:rPr>
          <w:rFonts w:hint="eastAsia"/>
        </w:rPr>
      </w:pPr>
      <w:r>
        <w:rPr>
          <w:rFonts w:hint="eastAsia"/>
        </w:rPr>
        <w:tab/>
        <w:t xml:space="preserve">1073.  </w:t>
      </w:r>
      <w:r>
        <w:rPr>
          <w:rFonts w:hint="eastAsia"/>
        </w:rPr>
        <w:t>澳门虽然细小，却是一个人口稠密的城市。随着经济增长而不断增加的车辆，令交通问题加剧，难以解决。</w:t>
      </w:r>
    </w:p>
    <w:p w:rsidR="00000000" w:rsidRDefault="00000000">
      <w:pPr>
        <w:rPr>
          <w:rFonts w:hint="eastAsia"/>
        </w:rPr>
      </w:pPr>
      <w:r>
        <w:rPr>
          <w:rFonts w:hint="eastAsia"/>
        </w:rPr>
        <w:tab/>
        <w:t xml:space="preserve">1074.  </w:t>
      </w:r>
      <w:r>
        <w:rPr>
          <w:rFonts w:hint="eastAsia"/>
        </w:rPr>
        <w:t>为减低交通噪音，有关方面采取了直接和间接的措施。直接措施包括研究实施车辆噪音标准、安装隔音屏和兴建防噪音路面。间接措施则包括对交通作出规划和管理，以及重组道路网等。</w:t>
      </w:r>
    </w:p>
    <w:p w:rsidR="00000000" w:rsidRDefault="00000000">
      <w:pPr>
        <w:rPr>
          <w:rFonts w:hint="eastAsia"/>
        </w:rPr>
      </w:pPr>
      <w:r>
        <w:rPr>
          <w:rFonts w:hint="eastAsia"/>
        </w:rPr>
        <w:tab/>
        <w:t xml:space="preserve">1075.  </w:t>
      </w:r>
      <w:r>
        <w:rPr>
          <w:rFonts w:hint="eastAsia"/>
        </w:rPr>
        <w:t>有关方面在澳门其中两条主要街道的高架路安装了长</w:t>
      </w:r>
      <w:r>
        <w:rPr>
          <w:rFonts w:hint="eastAsia"/>
        </w:rPr>
        <w:t>511</w:t>
      </w:r>
      <w:r>
        <w:rPr>
          <w:rFonts w:hint="eastAsia"/>
        </w:rPr>
        <w:t>米的隔音屏，以减低交通噪音对居民的滋扰。是项计划由土地工务运输局负责，于</w:t>
      </w:r>
      <w:r>
        <w:rPr>
          <w:rFonts w:hint="eastAsia"/>
        </w:rPr>
        <w:t>2000</w:t>
      </w:r>
      <w:r>
        <w:rPr>
          <w:rFonts w:hint="eastAsia"/>
        </w:rPr>
        <w:t>年动工，并于</w:t>
      </w:r>
      <w:r>
        <w:rPr>
          <w:rFonts w:hint="eastAsia"/>
        </w:rPr>
        <w:t>2001</w:t>
      </w:r>
      <w:r>
        <w:rPr>
          <w:rFonts w:hint="eastAsia"/>
        </w:rPr>
        <w:t>年竣工。</w:t>
      </w:r>
    </w:p>
    <w:p w:rsidR="00000000" w:rsidRDefault="00000000">
      <w:pPr>
        <w:rPr>
          <w:rFonts w:hint="eastAsia"/>
        </w:rPr>
      </w:pPr>
      <w:r>
        <w:rPr>
          <w:rFonts w:hint="eastAsia"/>
        </w:rPr>
        <w:tab/>
        <w:t xml:space="preserve">1076.  </w:t>
      </w:r>
      <w:r>
        <w:rPr>
          <w:rFonts w:hint="eastAsia"/>
        </w:rPr>
        <w:t>减低噪音，有赖在各方面进行的工作，尤其是颁布适当的环境法例</w:t>
      </w:r>
      <w:r>
        <w:rPr>
          <w:rFonts w:hint="eastAsia"/>
        </w:rPr>
        <w:t>(</w:t>
      </w:r>
      <w:r>
        <w:rPr>
          <w:rFonts w:hint="eastAsia"/>
        </w:rPr>
        <w:t>例如第</w:t>
      </w:r>
      <w:r>
        <w:rPr>
          <w:rFonts w:hint="eastAsia"/>
        </w:rPr>
        <w:t>54/94/M</w:t>
      </w:r>
      <w:r>
        <w:rPr>
          <w:rFonts w:hint="eastAsia"/>
        </w:rPr>
        <w:t>号法令</w:t>
      </w:r>
      <w:r>
        <w:rPr>
          <w:rFonts w:hint="eastAsia"/>
        </w:rPr>
        <w:t>)</w:t>
      </w:r>
      <w:r>
        <w:rPr>
          <w:rFonts w:hint="eastAsia"/>
        </w:rPr>
        <w:t>、引进严格的特定评估标准、提供专业人员和技术资源、推广公民教育和环境教育等工作。</w:t>
      </w:r>
    </w:p>
    <w:p w:rsidR="00000000" w:rsidRDefault="00000000">
      <w:pPr>
        <w:spacing w:after="320"/>
        <w:rPr>
          <w:rFonts w:hint="eastAsia"/>
        </w:rPr>
      </w:pPr>
      <w:r>
        <w:rPr>
          <w:rFonts w:hint="eastAsia"/>
        </w:rPr>
        <w:tab/>
        <w:t xml:space="preserve">1077.  </w:t>
      </w:r>
      <w:r>
        <w:rPr>
          <w:rFonts w:hint="eastAsia"/>
        </w:rPr>
        <w:t>监测噪音水平，以及设立一个供评估可在澳门实行的噪音标准之用的资料库等工作，由民政总署和环境委员会负责。</w:t>
      </w:r>
    </w:p>
    <w:p w:rsidR="00000000" w:rsidRDefault="00000000">
      <w:pPr>
        <w:spacing w:after="320"/>
        <w:rPr>
          <w:rFonts w:hint="eastAsia"/>
          <w:u w:val="single"/>
        </w:rPr>
      </w:pPr>
      <w:r>
        <w:rPr>
          <w:rFonts w:hint="eastAsia"/>
          <w:u w:val="single"/>
        </w:rPr>
        <w:t>沿海水域的水质</w:t>
      </w:r>
    </w:p>
    <w:p w:rsidR="00000000" w:rsidRDefault="00000000">
      <w:pPr>
        <w:rPr>
          <w:rFonts w:hint="eastAsia"/>
        </w:rPr>
      </w:pPr>
      <w:r>
        <w:rPr>
          <w:rFonts w:hint="eastAsia"/>
        </w:rPr>
        <w:tab/>
        <w:t xml:space="preserve">1078.  </w:t>
      </w:r>
      <w:r>
        <w:rPr>
          <w:rFonts w:hint="eastAsia"/>
        </w:rPr>
        <w:t>澳门沿岸海水的污染，主要是外来因素所致。然而，亦有由本地直接将污水排放到港湾的情况，尤其是在雨季，排水渠和排水沟不敷应付大量污水和雨水时，情况更为明显。此外，部分渠网未连接到污水处理厂亦是原因之一。</w:t>
      </w:r>
    </w:p>
    <w:p w:rsidR="00000000" w:rsidRDefault="00000000">
      <w:pPr>
        <w:spacing w:after="320"/>
        <w:rPr>
          <w:rFonts w:hint="eastAsia"/>
        </w:rPr>
      </w:pPr>
      <w:r>
        <w:rPr>
          <w:rFonts w:hint="eastAsia"/>
        </w:rPr>
        <w:tab/>
        <w:t>1079.  2000</w:t>
      </w:r>
      <w:r>
        <w:rPr>
          <w:rFonts w:hint="eastAsia"/>
        </w:rPr>
        <w:t>年，卫生局</w:t>
      </w:r>
      <w:r>
        <w:rPr>
          <w:rFonts w:hint="eastAsia"/>
        </w:rPr>
        <w:t>(</w:t>
      </w:r>
      <w:r>
        <w:rPr>
          <w:rFonts w:hint="eastAsia"/>
        </w:rPr>
        <w:t>负责检验沿海水域水质的部门</w:t>
      </w:r>
      <w:r>
        <w:rPr>
          <w:rFonts w:hint="eastAsia"/>
        </w:rPr>
        <w:t>)</w:t>
      </w:r>
      <w:r>
        <w:rPr>
          <w:rFonts w:hint="eastAsia"/>
        </w:rPr>
        <w:t>引进了一套新式的评估沿海水域水质指标的系统。就沿岸海水污染指数所作的分析显示，澳门的污染情况令人忧虑，某些指数已达危险值。因此，有必要与邻近地区的当事部门合作，以及就环境问题研究解决方法，并控制污染源。</w:t>
      </w:r>
    </w:p>
    <w:p w:rsidR="00000000" w:rsidRDefault="00000000">
      <w:pPr>
        <w:spacing w:after="320"/>
        <w:rPr>
          <w:rFonts w:hint="eastAsia"/>
          <w:u w:val="single"/>
        </w:rPr>
      </w:pPr>
      <w:r>
        <w:rPr>
          <w:rFonts w:hint="eastAsia"/>
          <w:u w:val="single"/>
        </w:rPr>
        <w:t>泳滩水质</w:t>
      </w:r>
    </w:p>
    <w:p w:rsidR="00000000" w:rsidRDefault="00000000">
      <w:pPr>
        <w:spacing w:after="320"/>
        <w:rPr>
          <w:rFonts w:hint="eastAsia"/>
        </w:rPr>
      </w:pPr>
      <w:r>
        <w:rPr>
          <w:rFonts w:hint="eastAsia"/>
        </w:rPr>
        <w:tab/>
        <w:t xml:space="preserve">1080.  </w:t>
      </w:r>
      <w:r>
        <w:rPr>
          <w:rFonts w:hint="eastAsia"/>
        </w:rPr>
        <w:t>监测泳滩水质的工作由公共卫生化验室</w:t>
      </w:r>
      <w:r>
        <w:rPr>
          <w:rFonts w:hint="eastAsia"/>
        </w:rPr>
        <w:t>(PHL)</w:t>
      </w:r>
      <w:r>
        <w:rPr>
          <w:rFonts w:hint="eastAsia"/>
        </w:rPr>
        <w:t>负责。每年</w:t>
      </w:r>
      <w:r>
        <w:rPr>
          <w:rFonts w:hint="eastAsia"/>
        </w:rPr>
        <w:t>4</w:t>
      </w:r>
      <w:r>
        <w:rPr>
          <w:rFonts w:hint="eastAsia"/>
        </w:rPr>
        <w:t>月到</w:t>
      </w:r>
      <w:r>
        <w:rPr>
          <w:rFonts w:hint="eastAsia"/>
        </w:rPr>
        <w:t>10</w:t>
      </w:r>
      <w:r>
        <w:rPr>
          <w:rFonts w:hint="eastAsia"/>
        </w:rPr>
        <w:t>月期间，每周均在各泳滩的两个地点抽取水质样本两次</w:t>
      </w:r>
      <w:r>
        <w:rPr>
          <w:rFonts w:hint="eastAsia"/>
        </w:rPr>
        <w:t>(</w:t>
      </w:r>
      <w:r>
        <w:rPr>
          <w:rFonts w:hint="eastAsia"/>
        </w:rPr>
        <w:t>如微生物水平超出标准，还会在同一周多抽取一个样本</w:t>
      </w:r>
      <w:r>
        <w:rPr>
          <w:rFonts w:hint="eastAsia"/>
        </w:rPr>
        <w:t>)</w:t>
      </w:r>
      <w:r>
        <w:rPr>
          <w:rFonts w:hint="eastAsia"/>
        </w:rPr>
        <w:t>。对水质样本会进行微生物学和物理化学分析，在可能的情况下，分析结果会与中国内地、香港特别行政区和欧盟所定的标准作出比较。</w:t>
      </w:r>
    </w:p>
    <w:p w:rsidR="00000000" w:rsidRDefault="00000000">
      <w:pPr>
        <w:spacing w:after="320"/>
        <w:rPr>
          <w:rFonts w:hint="eastAsia"/>
          <w:u w:val="single"/>
        </w:rPr>
      </w:pPr>
      <w:r>
        <w:rPr>
          <w:rFonts w:hint="eastAsia"/>
          <w:u w:val="single"/>
        </w:rPr>
        <w:t>环境管理</w:t>
      </w:r>
    </w:p>
    <w:p w:rsidR="00000000" w:rsidRDefault="00000000">
      <w:pPr>
        <w:rPr>
          <w:rFonts w:hint="eastAsia"/>
        </w:rPr>
      </w:pPr>
      <w:r>
        <w:rPr>
          <w:rFonts w:hint="eastAsia"/>
        </w:rPr>
        <w:tab/>
        <w:t xml:space="preserve">1081.  </w:t>
      </w:r>
      <w:r>
        <w:rPr>
          <w:rFonts w:hint="eastAsia"/>
        </w:rPr>
        <w:t>澳门特别行政区政府特别关注环境问题。为改善环境，引进了适当标准和有效的环境保护、环境教育措施。此等环境政策亦旨在达致向市民灌输环保意识和改善市民消费模式。</w:t>
      </w:r>
    </w:p>
    <w:p w:rsidR="00000000" w:rsidRDefault="00000000">
      <w:pPr>
        <w:rPr>
          <w:rFonts w:hint="eastAsia"/>
        </w:rPr>
      </w:pPr>
      <w:r>
        <w:rPr>
          <w:rFonts w:hint="eastAsia"/>
        </w:rPr>
        <w:tab/>
        <w:t xml:space="preserve">1082.  </w:t>
      </w:r>
      <w:r>
        <w:rPr>
          <w:rFonts w:hint="eastAsia"/>
        </w:rPr>
        <w:t>民政总署、环境委员会和卫生局是负责环境管理的实体。环境委员会负责分析城市规划和研究环境影响。该委员会设有特别的部门负责研究发展计划。</w:t>
      </w:r>
    </w:p>
    <w:p w:rsidR="00000000" w:rsidRDefault="00000000">
      <w:pPr>
        <w:rPr>
          <w:rFonts w:hint="eastAsia"/>
        </w:rPr>
      </w:pPr>
      <w:r>
        <w:rPr>
          <w:rFonts w:hint="eastAsia"/>
        </w:rPr>
        <w:tab/>
        <w:t xml:space="preserve">1083.  </w:t>
      </w:r>
      <w:r>
        <w:rPr>
          <w:rFonts w:hint="eastAsia"/>
        </w:rPr>
        <w:t>例如，民政部署和环境委员会目前正着手设立一环境地理资讯系统</w:t>
      </w:r>
      <w:r>
        <w:rPr>
          <w:rFonts w:hint="eastAsia"/>
        </w:rPr>
        <w:t>(</w:t>
      </w:r>
      <w:r>
        <w:rPr>
          <w:rFonts w:hint="eastAsia"/>
        </w:rPr>
        <w:t>资料库</w:t>
      </w:r>
      <w:r>
        <w:rPr>
          <w:rFonts w:hint="eastAsia"/>
        </w:rPr>
        <w:t>)</w:t>
      </w:r>
      <w:r>
        <w:rPr>
          <w:rFonts w:hint="eastAsia"/>
        </w:rPr>
        <w:t>，以及实施各项环境管理制度</w:t>
      </w:r>
      <w:r>
        <w:rPr>
          <w:rFonts w:hint="eastAsia"/>
        </w:rPr>
        <w:t>(</w:t>
      </w:r>
      <w:r>
        <w:rPr>
          <w:rFonts w:hint="eastAsia"/>
        </w:rPr>
        <w:t>以更低的中期或长期生产成本对资源和原料的使用、污水和所产生的废料作出控制，保存自然资源。</w:t>
      </w:r>
      <w:r>
        <w:rPr>
          <w:rFonts w:hint="eastAsia"/>
        </w:rPr>
        <w:t>)</w:t>
      </w:r>
      <w:r>
        <w:rPr>
          <w:rFonts w:hint="eastAsia"/>
        </w:rPr>
        <w:t>通过电子媒介</w:t>
      </w:r>
      <w:r>
        <w:rPr>
          <w:rFonts w:hint="eastAsia"/>
        </w:rPr>
        <w:t>(VCD</w:t>
      </w:r>
      <w:r>
        <w:rPr>
          <w:rFonts w:hint="eastAsia"/>
        </w:rPr>
        <w:t>和互联网</w:t>
      </w:r>
      <w:r>
        <w:rPr>
          <w:rFonts w:hint="eastAsia"/>
        </w:rPr>
        <w:t>)</w:t>
      </w:r>
      <w:r>
        <w:rPr>
          <w:rFonts w:hint="eastAsia"/>
        </w:rPr>
        <w:t>，将环境资讯提供予广大市民。</w:t>
      </w:r>
    </w:p>
    <w:p w:rsidR="00000000" w:rsidRDefault="00000000">
      <w:pPr>
        <w:rPr>
          <w:rFonts w:hint="eastAsia"/>
        </w:rPr>
      </w:pPr>
      <w:r>
        <w:rPr>
          <w:rFonts w:hint="eastAsia"/>
        </w:rPr>
        <w:tab/>
        <w:t xml:space="preserve">1084.  </w:t>
      </w:r>
      <w:r>
        <w:rPr>
          <w:rFonts w:hint="eastAsia"/>
        </w:rPr>
        <w:t>澳门特别行政区除实施各项重大的环保条约外，亦制定了多项规范关于环境的各个不同方面的法律。《环境政策纲要法》订定了保护环境的一般原则和基本政策。产生污染而对他人生命、他人身体完整性或他人财产造成严重危险者，构成《刑法典》第二百六十八条所规定的并予以处罚的犯罪。</w:t>
      </w:r>
    </w:p>
    <w:p w:rsidR="00000000" w:rsidRDefault="00000000">
      <w:pPr>
        <w:rPr>
          <w:rFonts w:hint="eastAsia"/>
        </w:rPr>
      </w:pPr>
      <w:r>
        <w:rPr>
          <w:rFonts w:hint="eastAsia"/>
        </w:rPr>
        <w:tab/>
        <w:t xml:space="preserve">1085.  </w:t>
      </w:r>
      <w:r>
        <w:rPr>
          <w:rFonts w:hint="eastAsia"/>
        </w:rPr>
        <w:t>此外，国际合作和区际合作属必不可少，因此，澳门特别行政区政府致力与香港、广州、深圳、珠海和中国其他城市合作，以建立可持续发展的区际环境。</w:t>
      </w:r>
    </w:p>
    <w:p w:rsidR="00000000" w:rsidRDefault="00000000">
      <w:pPr>
        <w:spacing w:after="320"/>
        <w:rPr>
          <w:rFonts w:hint="eastAsia"/>
        </w:rPr>
      </w:pPr>
      <w:r>
        <w:rPr>
          <w:rFonts w:hint="eastAsia"/>
        </w:rPr>
        <w:tab/>
        <w:t xml:space="preserve">1086.  </w:t>
      </w:r>
      <w:r>
        <w:rPr>
          <w:rFonts w:hint="eastAsia"/>
        </w:rPr>
        <w:t>另一重要因素，是澳门特别行政区的市民越发关注环境问题和对生活素质有更高要求，因此，近年来有关当局</w:t>
      </w:r>
      <w:r>
        <w:rPr>
          <w:rFonts w:hint="eastAsia"/>
        </w:rPr>
        <w:t>(</w:t>
      </w:r>
      <w:r>
        <w:rPr>
          <w:rFonts w:hint="eastAsia"/>
        </w:rPr>
        <w:t>民政总署、环境委员会</w:t>
      </w:r>
      <w:r>
        <w:rPr>
          <w:rFonts w:hint="eastAsia"/>
        </w:rPr>
        <w:t>)</w:t>
      </w:r>
      <w:r>
        <w:rPr>
          <w:rFonts w:hint="eastAsia"/>
        </w:rPr>
        <w:t>收到的投诉不断增加。</w:t>
      </w:r>
    </w:p>
    <w:p w:rsidR="00000000" w:rsidRDefault="00000000">
      <w:pPr>
        <w:spacing w:after="320"/>
        <w:rPr>
          <w:rFonts w:hint="eastAsia"/>
          <w:u w:val="single"/>
        </w:rPr>
      </w:pPr>
      <w:r>
        <w:rPr>
          <w:rFonts w:hint="eastAsia"/>
          <w:u w:val="single"/>
        </w:rPr>
        <w:t>环境教育</w:t>
      </w:r>
    </w:p>
    <w:p w:rsidR="00000000" w:rsidRDefault="00000000">
      <w:pPr>
        <w:rPr>
          <w:rFonts w:hint="eastAsia"/>
        </w:rPr>
      </w:pPr>
      <w:r>
        <w:rPr>
          <w:rFonts w:hint="eastAsia"/>
        </w:rPr>
        <w:tab/>
        <w:t xml:space="preserve">1087.  </w:t>
      </w:r>
      <w:r>
        <w:rPr>
          <w:rFonts w:hint="eastAsia"/>
        </w:rPr>
        <w:t>鉴于环境与人类活动和社会发展息息相关，民政总署和环境委员会致力通过教育和环保推广工作，增加市民的意识、改变市民的生活方式和令市民关注生态平衡的必要性。</w:t>
      </w:r>
    </w:p>
    <w:p w:rsidR="00000000" w:rsidRDefault="00000000">
      <w:pPr>
        <w:rPr>
          <w:rFonts w:hint="eastAsia"/>
        </w:rPr>
      </w:pPr>
      <w:r>
        <w:rPr>
          <w:rFonts w:hint="eastAsia"/>
        </w:rPr>
        <w:tab/>
        <w:t xml:space="preserve">1088.  </w:t>
      </w:r>
      <w:r>
        <w:rPr>
          <w:rFonts w:hint="eastAsia"/>
        </w:rPr>
        <w:t>环境问题被纳入学校的教学内容。教育暨青年局在民政总署和环境委员会的合作下，为学生举办了多项推广和重视环保的活动。</w:t>
      </w:r>
    </w:p>
    <w:p w:rsidR="00000000" w:rsidRDefault="00000000">
      <w:pPr>
        <w:rPr>
          <w:rFonts w:hint="eastAsia"/>
        </w:rPr>
      </w:pPr>
      <w:r>
        <w:rPr>
          <w:rFonts w:hint="eastAsia"/>
        </w:rPr>
        <w:tab/>
        <w:t xml:space="preserve">1089.  </w:t>
      </w:r>
      <w:r>
        <w:rPr>
          <w:rFonts w:hint="eastAsia"/>
        </w:rPr>
        <w:t>例如在</w:t>
      </w:r>
      <w:r>
        <w:rPr>
          <w:rFonts w:hint="eastAsia"/>
        </w:rPr>
        <w:t>2000/2001</w:t>
      </w:r>
      <w:r>
        <w:rPr>
          <w:rFonts w:hint="eastAsia"/>
        </w:rPr>
        <w:t>年就举办了以下活动：“垃圾先生历险记”、“生存之道</w:t>
      </w:r>
      <w:r>
        <w:rPr>
          <w:rFonts w:hint="eastAsia"/>
          <w:spacing w:val="-40"/>
        </w:rPr>
        <w:t>――</w:t>
      </w:r>
      <w:r>
        <w:rPr>
          <w:rFonts w:hint="eastAsia"/>
          <w:spacing w:val="-40"/>
        </w:rPr>
        <w:t xml:space="preserve"> </w:t>
      </w:r>
      <w:r>
        <w:rPr>
          <w:rFonts w:hint="eastAsia"/>
        </w:rPr>
        <w:t>拯救地球”、“能量发放”、“环境保护营”和“科学夏令营”。</w:t>
      </w:r>
    </w:p>
    <w:p w:rsidR="00000000" w:rsidRDefault="00000000">
      <w:pPr>
        <w:spacing w:after="320"/>
        <w:rPr>
          <w:rFonts w:hint="eastAsia"/>
        </w:rPr>
      </w:pPr>
      <w:r>
        <w:rPr>
          <w:rFonts w:hint="eastAsia"/>
        </w:rPr>
        <w:tab/>
        <w:t xml:space="preserve">1090.  </w:t>
      </w:r>
      <w:r>
        <w:rPr>
          <w:rFonts w:hint="eastAsia"/>
        </w:rPr>
        <w:t>民政总署亦在</w:t>
      </w:r>
      <w:r>
        <w:rPr>
          <w:rFonts w:hint="eastAsia"/>
        </w:rPr>
        <w:t>23</w:t>
      </w:r>
      <w:r>
        <w:rPr>
          <w:rFonts w:hint="eastAsia"/>
        </w:rPr>
        <w:t>所学校和</w:t>
      </w:r>
      <w:r>
        <w:rPr>
          <w:rFonts w:hint="eastAsia"/>
        </w:rPr>
        <w:t>6</w:t>
      </w:r>
      <w:r>
        <w:rPr>
          <w:rFonts w:hint="eastAsia"/>
        </w:rPr>
        <w:t>个公园举办了“资源垃圾分类回收迎夏日”的系列活动。从所收集到的可循环再造的垃圾有所增加，以及新型垃圾箱被采用等，可见该项活动取得了成功。</w:t>
      </w:r>
    </w:p>
    <w:p w:rsidR="00000000" w:rsidRDefault="00000000">
      <w:pPr>
        <w:pStyle w:val="Heading3"/>
        <w:rPr>
          <w:rFonts w:hint="eastAsia"/>
        </w:rPr>
      </w:pPr>
      <w:bookmarkStart w:id="100" w:name="_Toc78773009"/>
      <w:r>
        <w:rPr>
          <w:rFonts w:hint="eastAsia"/>
          <w:u w:val="none"/>
        </w:rPr>
        <w:t xml:space="preserve">F.  </w:t>
      </w:r>
      <w:r>
        <w:rPr>
          <w:rFonts w:hint="eastAsia"/>
        </w:rPr>
        <w:t>促进与国际联系和合作的措施</w:t>
      </w:r>
      <w:bookmarkEnd w:id="100"/>
    </w:p>
    <w:p w:rsidR="00000000" w:rsidRDefault="00000000">
      <w:pPr>
        <w:rPr>
          <w:rFonts w:hint="eastAsia"/>
        </w:rPr>
      </w:pPr>
      <w:r>
        <w:rPr>
          <w:rFonts w:hint="eastAsia"/>
        </w:rPr>
        <w:tab/>
        <w:t xml:space="preserve">1091.  </w:t>
      </w:r>
      <w:r>
        <w:rPr>
          <w:rFonts w:hint="eastAsia"/>
        </w:rPr>
        <w:t>如上文所述，各项重大卫生和环境条约在澳门特别行政区得到实施。澳门特别行政区的代表参加了多项国际科学会议、研讨会、座谈会、不同层面的交流和合作，以及专门培训活动。</w:t>
      </w:r>
    </w:p>
    <w:p w:rsidR="00000000" w:rsidRDefault="00000000">
      <w:pPr>
        <w:spacing w:after="320"/>
        <w:rPr>
          <w:rFonts w:hint="eastAsia"/>
        </w:rPr>
      </w:pPr>
      <w:r>
        <w:rPr>
          <w:rFonts w:hint="eastAsia"/>
        </w:rPr>
        <w:tab/>
        <w:t xml:space="preserve">1092.  </w:t>
      </w:r>
      <w:r>
        <w:rPr>
          <w:rFonts w:hint="eastAsia"/>
        </w:rPr>
        <w:t>此外，澳门特别行政区政府亦是国际体育医学联合会</w:t>
      </w:r>
      <w:r>
        <w:rPr>
          <w:rFonts w:hint="eastAsia"/>
        </w:rPr>
        <w:t>(IFSM)</w:t>
      </w:r>
      <w:r>
        <w:rPr>
          <w:rFonts w:hint="eastAsia"/>
        </w:rPr>
        <w:t>、国际体育科学与体育教育理事会</w:t>
      </w:r>
      <w:r>
        <w:rPr>
          <w:rFonts w:hint="eastAsia"/>
        </w:rPr>
        <w:t>(ICSSPE)</w:t>
      </w:r>
      <w:r>
        <w:rPr>
          <w:rFonts w:hint="eastAsia"/>
        </w:rPr>
        <w:t>和亚洲运动医学会</w:t>
      </w:r>
      <w:r>
        <w:rPr>
          <w:rFonts w:hint="eastAsia"/>
        </w:rPr>
        <w:t>(AFSM)</w:t>
      </w:r>
      <w:r>
        <w:rPr>
          <w:rFonts w:hint="eastAsia"/>
        </w:rPr>
        <w:t>的成员。所出版的科研文章，亦为科学领域的发展作出贡献。</w:t>
      </w:r>
    </w:p>
    <w:p w:rsidR="00000000" w:rsidRDefault="00000000">
      <w:pPr>
        <w:pStyle w:val="Heading3"/>
        <w:rPr>
          <w:rFonts w:ascii="Time New Roman" w:eastAsia="SimHei" w:hAnsi="Time New Roman" w:hint="eastAsia"/>
          <w:kern w:val="0"/>
          <w:u w:val="none"/>
        </w:rPr>
      </w:pPr>
      <w:bookmarkStart w:id="101" w:name="_Toc78773010"/>
      <w:r>
        <w:rPr>
          <w:rFonts w:ascii="Time New Roman" w:eastAsia="SimHei" w:hAnsi="Time New Roman" w:hint="eastAsia"/>
          <w:kern w:val="0"/>
          <w:u w:val="none"/>
        </w:rPr>
        <w:t>第十三条和第十四条</w:t>
      </w:r>
      <w:r>
        <w:rPr>
          <w:rFonts w:ascii="Time New Roman" w:eastAsia="SimHei" w:hAnsi="Time New Roman"/>
          <w:kern w:val="0"/>
          <w:u w:val="none"/>
        </w:rPr>
        <w:br/>
      </w:r>
      <w:r>
        <w:rPr>
          <w:rFonts w:ascii="Time New Roman" w:eastAsia="SimHei" w:hAnsi="Time New Roman" w:hint="eastAsia"/>
          <w:kern w:val="0"/>
          <w:u w:val="none"/>
        </w:rPr>
        <w:t>受教育的权利</w:t>
      </w:r>
      <w:bookmarkEnd w:id="101"/>
    </w:p>
    <w:p w:rsidR="00000000" w:rsidRDefault="00000000">
      <w:pPr>
        <w:pStyle w:val="Heading3"/>
        <w:rPr>
          <w:rFonts w:hint="eastAsia"/>
        </w:rPr>
      </w:pPr>
      <w:bookmarkStart w:id="102" w:name="_Toc78773011"/>
      <w:r>
        <w:rPr>
          <w:rFonts w:hint="eastAsia"/>
          <w:u w:val="none"/>
        </w:rPr>
        <w:t xml:space="preserve">A.  </w:t>
      </w:r>
      <w:r>
        <w:rPr>
          <w:rFonts w:hint="eastAsia"/>
        </w:rPr>
        <w:t>法律体制</w:t>
      </w:r>
      <w:bookmarkEnd w:id="102"/>
    </w:p>
    <w:p w:rsidR="00000000" w:rsidRDefault="00000000">
      <w:pPr>
        <w:rPr>
          <w:rFonts w:hint="eastAsia"/>
        </w:rPr>
      </w:pPr>
      <w:r>
        <w:rPr>
          <w:rFonts w:hint="eastAsia"/>
        </w:rPr>
        <w:tab/>
        <w:t xml:space="preserve">1093.  </w:t>
      </w:r>
      <w:r>
        <w:rPr>
          <w:rFonts w:hint="eastAsia"/>
        </w:rPr>
        <w:t>按照《基本法》第三十七条和</w:t>
      </w:r>
      <w:r>
        <w:rPr>
          <w:rFonts w:hint="eastAsia"/>
        </w:rPr>
        <w:t>8</w:t>
      </w:r>
      <w:r>
        <w:rPr>
          <w:rFonts w:hint="eastAsia"/>
        </w:rPr>
        <w:t>月</w:t>
      </w:r>
      <w:r>
        <w:rPr>
          <w:rFonts w:hint="eastAsia"/>
        </w:rPr>
        <w:t>29</w:t>
      </w:r>
      <w:r>
        <w:rPr>
          <w:rFonts w:hint="eastAsia"/>
        </w:rPr>
        <w:t>日第</w:t>
      </w:r>
      <w:r>
        <w:rPr>
          <w:rFonts w:hint="eastAsia"/>
        </w:rPr>
        <w:t>11/91/M</w:t>
      </w:r>
      <w:r>
        <w:rPr>
          <w:rFonts w:hint="eastAsia"/>
        </w:rPr>
        <w:t>号法律，即《教育制度纲要法》第二条的规定，人人享有受教育的权利，不受任何形式的歧视。</w:t>
      </w:r>
    </w:p>
    <w:p w:rsidR="00000000" w:rsidRDefault="00000000">
      <w:pPr>
        <w:rPr>
          <w:rFonts w:hint="eastAsia"/>
        </w:rPr>
      </w:pPr>
      <w:r>
        <w:rPr>
          <w:rFonts w:hint="eastAsia"/>
        </w:rPr>
        <w:tab/>
        <w:t xml:space="preserve">1094.  </w:t>
      </w:r>
      <w:r>
        <w:rPr>
          <w:rFonts w:hint="eastAsia"/>
        </w:rPr>
        <w:t>《基本法》第一百二十二条第二款和《家庭政策纲要法》第十五条第二款确立了选择院校的自由和在澳门特别行政区以外求学的自由。</w:t>
      </w:r>
    </w:p>
    <w:p w:rsidR="00000000" w:rsidRDefault="00000000">
      <w:pPr>
        <w:rPr>
          <w:rFonts w:hint="eastAsia"/>
        </w:rPr>
      </w:pPr>
      <w:r>
        <w:rPr>
          <w:rFonts w:hint="eastAsia"/>
        </w:rPr>
        <w:tab/>
        <w:t xml:space="preserve">1095.  </w:t>
      </w:r>
      <w:r>
        <w:rPr>
          <w:rFonts w:hint="eastAsia"/>
        </w:rPr>
        <w:t>《基本法》第一百二十二条第一款亦规定各类学校，包括私立学校，均有办学的自主性，依法享有教学自由和学术自由。</w:t>
      </w:r>
    </w:p>
    <w:p w:rsidR="00000000" w:rsidRDefault="00000000">
      <w:pPr>
        <w:rPr>
          <w:rFonts w:hint="eastAsia"/>
        </w:rPr>
      </w:pPr>
      <w:r>
        <w:rPr>
          <w:rFonts w:hint="eastAsia"/>
        </w:rPr>
        <w:tab/>
        <w:t xml:space="preserve">1096.  </w:t>
      </w:r>
      <w:r>
        <w:rPr>
          <w:rFonts w:hint="eastAsia"/>
        </w:rPr>
        <w:t>政府尊重私立学校的办学自主性，不干预学校的教学计划</w:t>
      </w:r>
      <w:r>
        <w:rPr>
          <w:rFonts w:hint="eastAsia"/>
        </w:rPr>
        <w:t>(</w:t>
      </w:r>
      <w:r>
        <w:rPr>
          <w:rFonts w:hint="eastAsia"/>
        </w:rPr>
        <w:t>第</w:t>
      </w:r>
      <w:r>
        <w:rPr>
          <w:rFonts w:hint="eastAsia"/>
        </w:rPr>
        <w:t>11/91/M</w:t>
      </w:r>
      <w:r>
        <w:rPr>
          <w:rFonts w:hint="eastAsia"/>
        </w:rPr>
        <w:t>号法律第二条第一款和第三条</w:t>
      </w:r>
      <w:r>
        <w:rPr>
          <w:rFonts w:hint="eastAsia"/>
        </w:rPr>
        <w:t>)</w:t>
      </w:r>
      <w:r>
        <w:rPr>
          <w:rFonts w:hint="eastAsia"/>
        </w:rPr>
        <w:t>。政府严格遵守入学和学业成功方面的均等机会原则。</w:t>
      </w:r>
    </w:p>
    <w:p w:rsidR="00000000" w:rsidRDefault="00000000">
      <w:pPr>
        <w:rPr>
          <w:rFonts w:hint="eastAsia"/>
        </w:rPr>
      </w:pPr>
      <w:r>
        <w:rPr>
          <w:rFonts w:hint="eastAsia"/>
        </w:rPr>
        <w:tab/>
        <w:t xml:space="preserve">1097.  </w:t>
      </w:r>
      <w:r>
        <w:rPr>
          <w:rFonts w:hint="eastAsia"/>
        </w:rPr>
        <w:t>澳门特别行政区教育政策的主要目标有两项，一是建立一套义务教育制度</w:t>
      </w:r>
      <w:r>
        <w:rPr>
          <w:rFonts w:hint="eastAsia"/>
        </w:rPr>
        <w:t>(</w:t>
      </w:r>
      <w:r>
        <w:rPr>
          <w:rFonts w:hint="eastAsia"/>
        </w:rPr>
        <w:t>《基本法》第一百二十一条第二款和</w:t>
      </w:r>
      <w:r>
        <w:rPr>
          <w:rFonts w:hint="eastAsia"/>
        </w:rPr>
        <w:t>8</w:t>
      </w:r>
      <w:r>
        <w:rPr>
          <w:rFonts w:hint="eastAsia"/>
        </w:rPr>
        <w:t>月</w:t>
      </w:r>
      <w:r>
        <w:rPr>
          <w:rFonts w:hint="eastAsia"/>
        </w:rPr>
        <w:t>16</w:t>
      </w:r>
      <w:r>
        <w:rPr>
          <w:rFonts w:hint="eastAsia"/>
        </w:rPr>
        <w:t>日第</w:t>
      </w:r>
      <w:r>
        <w:rPr>
          <w:rFonts w:hint="eastAsia"/>
        </w:rPr>
        <w:t>42/99/M</w:t>
      </w:r>
      <w:r>
        <w:rPr>
          <w:rFonts w:hint="eastAsia"/>
        </w:rPr>
        <w:t>号法令</w:t>
      </w:r>
      <w:r>
        <w:rPr>
          <w:rFonts w:hint="eastAsia"/>
        </w:rPr>
        <w:t>)</w:t>
      </w:r>
      <w:r>
        <w:rPr>
          <w:rFonts w:hint="eastAsia"/>
        </w:rPr>
        <w:t>，其次是推广普及和免费教育</w:t>
      </w:r>
      <w:r>
        <w:rPr>
          <w:rFonts w:hint="eastAsia"/>
        </w:rPr>
        <w:t>(</w:t>
      </w:r>
      <w:r>
        <w:rPr>
          <w:rFonts w:hint="eastAsia"/>
        </w:rPr>
        <w:t>第</w:t>
      </w:r>
      <w:r>
        <w:rPr>
          <w:rFonts w:hint="eastAsia"/>
        </w:rPr>
        <w:t>11/91/M</w:t>
      </w:r>
      <w:r>
        <w:rPr>
          <w:rFonts w:hint="eastAsia"/>
        </w:rPr>
        <w:t>号法律第六条第二款和</w:t>
      </w:r>
      <w:r>
        <w:rPr>
          <w:rFonts w:hint="eastAsia"/>
        </w:rPr>
        <w:t>12</w:t>
      </w:r>
      <w:r>
        <w:rPr>
          <w:rFonts w:hint="eastAsia"/>
        </w:rPr>
        <w:t>月</w:t>
      </w:r>
      <w:r>
        <w:rPr>
          <w:rFonts w:hint="eastAsia"/>
        </w:rPr>
        <w:t>19</w:t>
      </w:r>
      <w:r>
        <w:rPr>
          <w:rFonts w:hint="eastAsia"/>
        </w:rPr>
        <w:t>日第</w:t>
      </w:r>
      <w:r>
        <w:rPr>
          <w:rFonts w:hint="eastAsia"/>
        </w:rPr>
        <w:t>62/94/M</w:t>
      </w:r>
      <w:r>
        <w:rPr>
          <w:rFonts w:hint="eastAsia"/>
        </w:rPr>
        <w:t>号法令第十三条</w:t>
      </w:r>
      <w:r>
        <w:rPr>
          <w:rFonts w:hint="eastAsia"/>
        </w:rPr>
        <w:t>)</w:t>
      </w:r>
      <w:r>
        <w:rPr>
          <w:rFonts w:hint="eastAsia"/>
        </w:rPr>
        <w:t>。</w:t>
      </w:r>
    </w:p>
    <w:p w:rsidR="00000000" w:rsidRDefault="00000000">
      <w:pPr>
        <w:rPr>
          <w:rFonts w:hint="eastAsia"/>
        </w:rPr>
      </w:pPr>
      <w:r>
        <w:rPr>
          <w:rFonts w:hint="eastAsia"/>
        </w:rPr>
        <w:tab/>
        <w:t xml:space="preserve">1098.  </w:t>
      </w:r>
      <w:r>
        <w:rPr>
          <w:rFonts w:hint="eastAsia"/>
        </w:rPr>
        <w:t>教育暨青年局是政府推行教育的主要部门，其工作包括维护入学机会平等、制定方针和规则、确保普及免费教育、建立有效义务教育制度、与私立教育机构和其他政府部门、民间团体，以及家长和监护人紧密合作等。</w:t>
      </w:r>
    </w:p>
    <w:p w:rsidR="00000000" w:rsidRDefault="00000000">
      <w:pPr>
        <w:rPr>
          <w:rFonts w:hint="eastAsia"/>
        </w:rPr>
      </w:pPr>
      <w:r>
        <w:rPr>
          <w:rFonts w:hint="eastAsia"/>
        </w:rPr>
        <w:tab/>
        <w:t xml:space="preserve">1099.  </w:t>
      </w:r>
      <w:r>
        <w:rPr>
          <w:rFonts w:hint="eastAsia"/>
        </w:rPr>
        <w:t>教育制度包括学前教育、小学预备班、小学、中学、高等教育、特殊教育、成人教育和职业技术教育。</w:t>
      </w:r>
    </w:p>
    <w:p w:rsidR="00000000" w:rsidRDefault="00000000">
      <w:pPr>
        <w:spacing w:after="320"/>
        <w:rPr>
          <w:rFonts w:hint="eastAsia"/>
        </w:rPr>
      </w:pPr>
      <w:r>
        <w:rPr>
          <w:rFonts w:hint="eastAsia"/>
        </w:rPr>
        <w:tab/>
        <w:t xml:space="preserve">1100.  </w:t>
      </w:r>
      <w:r>
        <w:rPr>
          <w:rFonts w:hint="eastAsia"/>
        </w:rPr>
        <w:t>澳门特别行政区的义务教育范围包括学前教育、小学和初中，</w:t>
      </w:r>
      <w:r>
        <w:rPr>
          <w:rFonts w:hint="eastAsia"/>
        </w:rPr>
        <w:t xml:space="preserve"> </w:t>
      </w:r>
      <w:r>
        <w:rPr>
          <w:rFonts w:hint="eastAsia"/>
        </w:rPr>
        <w:t>由公立或私立教育机构负责提供。对象为</w:t>
      </w:r>
      <w:r>
        <w:rPr>
          <w:rFonts w:hint="eastAsia"/>
        </w:rPr>
        <w:t>5</w:t>
      </w:r>
      <w:r>
        <w:rPr>
          <w:rFonts w:hint="eastAsia"/>
        </w:rPr>
        <w:t>至</w:t>
      </w:r>
      <w:r>
        <w:rPr>
          <w:rFonts w:hint="eastAsia"/>
        </w:rPr>
        <w:t>15</w:t>
      </w:r>
      <w:r>
        <w:rPr>
          <w:rFonts w:hint="eastAsia"/>
        </w:rPr>
        <w:t>岁的儿童和青少年</w:t>
      </w:r>
      <w:r>
        <w:rPr>
          <w:rFonts w:hint="eastAsia"/>
        </w:rPr>
        <w:t>(</w:t>
      </w:r>
      <w:r>
        <w:rPr>
          <w:rFonts w:hint="eastAsia"/>
        </w:rPr>
        <w:t>第</w:t>
      </w:r>
      <w:r>
        <w:rPr>
          <w:rFonts w:hint="eastAsia"/>
        </w:rPr>
        <w:t>42/99/M</w:t>
      </w:r>
      <w:r>
        <w:rPr>
          <w:rFonts w:hint="eastAsia"/>
        </w:rPr>
        <w:t>号法令</w:t>
      </w:r>
      <w:r>
        <w:rPr>
          <w:rFonts w:hint="eastAsia"/>
        </w:rPr>
        <w:t>)</w:t>
      </w:r>
      <w:r>
        <w:rPr>
          <w:rFonts w:hint="eastAsia"/>
        </w:rPr>
        <w:t>。</w:t>
      </w:r>
    </w:p>
    <w:p w:rsidR="00000000" w:rsidRDefault="00000000">
      <w:pPr>
        <w:pStyle w:val="Heading3"/>
        <w:rPr>
          <w:rFonts w:hint="eastAsia"/>
        </w:rPr>
      </w:pPr>
      <w:bookmarkStart w:id="103" w:name="_Toc78773012"/>
      <w:r>
        <w:rPr>
          <w:rFonts w:hint="eastAsia"/>
          <w:u w:val="none"/>
        </w:rPr>
        <w:t xml:space="preserve">B.  </w:t>
      </w:r>
      <w:r>
        <w:rPr>
          <w:rFonts w:hint="eastAsia"/>
        </w:rPr>
        <w:t>教育制度</w:t>
      </w:r>
      <w:bookmarkEnd w:id="103"/>
    </w:p>
    <w:p w:rsidR="00000000" w:rsidRDefault="00000000">
      <w:pPr>
        <w:rPr>
          <w:rFonts w:hint="eastAsia"/>
        </w:rPr>
      </w:pPr>
      <w:r>
        <w:rPr>
          <w:rFonts w:hint="eastAsia"/>
        </w:rPr>
        <w:tab/>
        <w:t xml:space="preserve">1101.  </w:t>
      </w:r>
      <w:r>
        <w:rPr>
          <w:rFonts w:hint="eastAsia"/>
        </w:rPr>
        <w:t>关于这方面的详细情况，请参阅中国就《儿童权利公约》的实施情况而作的报告中的第三部分。以下是教育方面的最新资料。</w:t>
      </w:r>
    </w:p>
    <w:p w:rsidR="00000000" w:rsidRDefault="00000000">
      <w:pPr>
        <w:rPr>
          <w:rFonts w:hint="eastAsia"/>
        </w:rPr>
      </w:pPr>
      <w:r>
        <w:rPr>
          <w:rFonts w:hint="eastAsia"/>
        </w:rPr>
        <w:tab/>
        <w:t xml:space="preserve">1102.  </w:t>
      </w:r>
      <w:r>
        <w:rPr>
          <w:rFonts w:hint="eastAsia"/>
        </w:rPr>
        <w:t>在</w:t>
      </w:r>
      <w:r>
        <w:rPr>
          <w:rFonts w:hint="eastAsia"/>
        </w:rPr>
        <w:t>2001/2002</w:t>
      </w:r>
      <w:r>
        <w:rPr>
          <w:rFonts w:hint="eastAsia"/>
        </w:rPr>
        <w:t>学年，澳门共有</w:t>
      </w:r>
      <w:r>
        <w:rPr>
          <w:rFonts w:hint="eastAsia"/>
        </w:rPr>
        <w:t>17</w:t>
      </w:r>
      <w:r>
        <w:rPr>
          <w:rFonts w:hint="eastAsia"/>
        </w:rPr>
        <w:t>所公立和</w:t>
      </w:r>
      <w:r>
        <w:rPr>
          <w:rFonts w:hint="eastAsia"/>
        </w:rPr>
        <w:t>73</w:t>
      </w:r>
      <w:r>
        <w:rPr>
          <w:rFonts w:hint="eastAsia"/>
        </w:rPr>
        <w:t>所私立的幼稚园、小学、中学和职业技术学校。基于历史和社会原因，公立学校在学校网所占的百分比很小</w:t>
      </w:r>
      <w:r>
        <w:rPr>
          <w:rFonts w:hint="eastAsia"/>
        </w:rPr>
        <w:t>(90</w:t>
      </w:r>
      <w:r>
        <w:rPr>
          <w:rFonts w:hint="eastAsia"/>
        </w:rPr>
        <w:t>所学校中占</w:t>
      </w:r>
      <w:r>
        <w:rPr>
          <w:rFonts w:hint="eastAsia"/>
        </w:rPr>
        <w:t>17</w:t>
      </w:r>
      <w:r>
        <w:rPr>
          <w:rFonts w:hint="eastAsia"/>
        </w:rPr>
        <w:t>所</w:t>
      </w:r>
      <w:r>
        <w:rPr>
          <w:rFonts w:hint="eastAsia"/>
        </w:rPr>
        <w:t>)</w:t>
      </w:r>
      <w:r>
        <w:rPr>
          <w:rFonts w:hint="eastAsia"/>
        </w:rPr>
        <w:t>。在</w:t>
      </w:r>
      <w:r>
        <w:rPr>
          <w:rFonts w:hint="eastAsia"/>
        </w:rPr>
        <w:t>2001/2002</w:t>
      </w:r>
      <w:r>
        <w:rPr>
          <w:rFonts w:hint="eastAsia"/>
        </w:rPr>
        <w:t>学年开始时，私立学校的注册学生有</w:t>
      </w:r>
      <w:r>
        <w:rPr>
          <w:rFonts w:hint="eastAsia"/>
        </w:rPr>
        <w:t>93,691</w:t>
      </w:r>
      <w:r>
        <w:rPr>
          <w:rFonts w:hint="eastAsia"/>
        </w:rPr>
        <w:t>人，占学生人口总数</w:t>
      </w:r>
      <w:r>
        <w:rPr>
          <w:rFonts w:hint="eastAsia"/>
        </w:rPr>
        <w:t>94%</w:t>
      </w:r>
      <w:r>
        <w:rPr>
          <w:rFonts w:hint="eastAsia"/>
        </w:rPr>
        <w:t>。</w:t>
      </w:r>
    </w:p>
    <w:p w:rsidR="00000000" w:rsidRDefault="00000000">
      <w:pPr>
        <w:rPr>
          <w:rFonts w:hint="eastAsia"/>
        </w:rPr>
      </w:pPr>
      <w:r>
        <w:rPr>
          <w:rFonts w:hint="eastAsia"/>
        </w:rPr>
        <w:tab/>
        <w:t xml:space="preserve">1103.  </w:t>
      </w:r>
      <w:r>
        <w:rPr>
          <w:rFonts w:hint="eastAsia"/>
        </w:rPr>
        <w:t>按照教育暨青年局在</w:t>
      </w:r>
      <w:r>
        <w:rPr>
          <w:rFonts w:hint="eastAsia"/>
        </w:rPr>
        <w:t>2001</w:t>
      </w:r>
      <w:r>
        <w:rPr>
          <w:rFonts w:hint="eastAsia"/>
        </w:rPr>
        <w:t>年所作的研究，在</w:t>
      </w:r>
      <w:r>
        <w:rPr>
          <w:rFonts w:hint="eastAsia"/>
        </w:rPr>
        <w:t>2001/2002</w:t>
      </w:r>
      <w:r>
        <w:rPr>
          <w:rFonts w:hint="eastAsia"/>
        </w:rPr>
        <w:t>学年的学生中，有</w:t>
      </w:r>
      <w:r>
        <w:rPr>
          <w:rFonts w:hint="eastAsia"/>
        </w:rPr>
        <w:t>75.8%</w:t>
      </w:r>
      <w:r>
        <w:rPr>
          <w:rFonts w:hint="eastAsia"/>
        </w:rPr>
        <w:t>的学生成功完成高中教育，并在澳门或外地继续接受高等教育。</w:t>
      </w:r>
    </w:p>
    <w:p w:rsidR="00000000" w:rsidRDefault="00000000">
      <w:pPr>
        <w:spacing w:after="320"/>
        <w:rPr>
          <w:rFonts w:hint="eastAsia"/>
        </w:rPr>
      </w:pPr>
      <w:r>
        <w:rPr>
          <w:rFonts w:hint="eastAsia"/>
        </w:rPr>
        <w:tab/>
        <w:t xml:space="preserve">1104.  </w:t>
      </w:r>
      <w:r>
        <w:rPr>
          <w:rFonts w:hint="eastAsia"/>
        </w:rPr>
        <w:t>关于高等教育方面，在</w:t>
      </w:r>
      <w:r>
        <w:rPr>
          <w:rFonts w:hint="eastAsia"/>
        </w:rPr>
        <w:t>2001/2002</w:t>
      </w:r>
      <w:r>
        <w:rPr>
          <w:rFonts w:hint="eastAsia"/>
        </w:rPr>
        <w:t>学年，有</w:t>
      </w:r>
      <w:r>
        <w:rPr>
          <w:rFonts w:hint="eastAsia"/>
        </w:rPr>
        <w:t>7,769</w:t>
      </w:r>
      <w:r>
        <w:rPr>
          <w:rFonts w:hint="eastAsia"/>
        </w:rPr>
        <w:t>名本地学生报读</w:t>
      </w:r>
      <w:r>
        <w:rPr>
          <w:rFonts w:hint="eastAsia"/>
        </w:rPr>
        <w:t>11</w:t>
      </w:r>
      <w:r>
        <w:rPr>
          <w:rFonts w:hint="eastAsia"/>
        </w:rPr>
        <w:t>所高等院校举办的博士、硕士、学士和</w:t>
      </w:r>
      <w:r>
        <w:rPr>
          <w:rFonts w:hint="eastAsia"/>
        </w:rPr>
        <w:t>3</w:t>
      </w:r>
      <w:r>
        <w:rPr>
          <w:rFonts w:hint="eastAsia"/>
        </w:rPr>
        <w:t>年高等专课程。</w:t>
      </w:r>
    </w:p>
    <w:p w:rsidR="00000000" w:rsidRDefault="00000000">
      <w:pPr>
        <w:spacing w:after="320"/>
        <w:rPr>
          <w:rFonts w:hint="eastAsia"/>
          <w:u w:val="single"/>
        </w:rPr>
      </w:pPr>
      <w:r>
        <w:rPr>
          <w:rFonts w:hint="eastAsia"/>
          <w:u w:val="single"/>
        </w:rPr>
        <w:t>弱势和有困难的社群</w:t>
      </w:r>
    </w:p>
    <w:p w:rsidR="00000000" w:rsidRDefault="00000000">
      <w:pPr>
        <w:spacing w:after="320"/>
        <w:rPr>
          <w:rFonts w:hint="eastAsia"/>
        </w:rPr>
      </w:pPr>
      <w:r>
        <w:rPr>
          <w:rFonts w:hint="eastAsia"/>
        </w:rPr>
        <w:tab/>
        <w:t xml:space="preserve">1105.  </w:t>
      </w:r>
      <w:r>
        <w:rPr>
          <w:rFonts w:hint="eastAsia"/>
        </w:rPr>
        <w:t>教育暨青年局的其中一项重要职能，是扫除文盲和确保向成年人提供教育机会</w:t>
      </w:r>
      <w:r>
        <w:rPr>
          <w:rFonts w:hint="eastAsia"/>
        </w:rPr>
        <w:t>(</w:t>
      </w:r>
      <w:r>
        <w:rPr>
          <w:rFonts w:hint="eastAsia"/>
        </w:rPr>
        <w:t>第</w:t>
      </w:r>
      <w:r>
        <w:rPr>
          <w:rFonts w:hint="eastAsia"/>
        </w:rPr>
        <w:t>11/91/M</w:t>
      </w:r>
      <w:r>
        <w:rPr>
          <w:rFonts w:hint="eastAsia"/>
        </w:rPr>
        <w:t>号法律第十四条</w:t>
      </w:r>
      <w:r>
        <w:rPr>
          <w:rFonts w:hint="eastAsia"/>
        </w:rPr>
        <w:t>)</w:t>
      </w:r>
      <w:r>
        <w:rPr>
          <w:rFonts w:hint="eastAsia"/>
        </w:rPr>
        <w:t>。</w:t>
      </w:r>
      <w:r>
        <w:rPr>
          <w:rFonts w:hint="eastAsia"/>
        </w:rPr>
        <w:t>7</w:t>
      </w:r>
      <w:r>
        <w:rPr>
          <w:rFonts w:hint="eastAsia"/>
        </w:rPr>
        <w:t>月</w:t>
      </w:r>
      <w:r>
        <w:rPr>
          <w:rFonts w:hint="eastAsia"/>
        </w:rPr>
        <w:t>17</w:t>
      </w:r>
      <w:r>
        <w:rPr>
          <w:rFonts w:hint="eastAsia"/>
        </w:rPr>
        <w:t>日第</w:t>
      </w:r>
      <w:r>
        <w:rPr>
          <w:rFonts w:hint="eastAsia"/>
        </w:rPr>
        <w:t>32/95/M</w:t>
      </w:r>
      <w:r>
        <w:rPr>
          <w:rFonts w:hint="eastAsia"/>
        </w:rPr>
        <w:t>号法令就持续教育和成人教育制度作出了规定。回归教育的内容包括澳门特别行政区免费教育制度中的各种教育程度。</w:t>
      </w:r>
    </w:p>
    <w:p w:rsidR="00000000" w:rsidRDefault="00000000">
      <w:pPr>
        <w:pStyle w:val="a3"/>
        <w:rPr>
          <w:rFonts w:hint="eastAsia"/>
        </w:rPr>
      </w:pPr>
      <w:r>
        <w:rPr>
          <w:rFonts w:hint="eastAsia"/>
        </w:rPr>
        <w:t>成人教育学校的数目和按性别计算的教师、学生人数和学习结果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78"/>
        <w:gridCol w:w="945"/>
        <w:gridCol w:w="945"/>
        <w:gridCol w:w="735"/>
        <w:gridCol w:w="735"/>
        <w:gridCol w:w="840"/>
        <w:gridCol w:w="735"/>
        <w:gridCol w:w="840"/>
        <w:gridCol w:w="945"/>
        <w:gridCol w:w="840"/>
        <w:gridCol w:w="772"/>
      </w:tblGrid>
      <w:tr w:rsidR="00000000">
        <w:tblPrEx>
          <w:tblCellMar>
            <w:top w:w="0" w:type="dxa"/>
            <w:bottom w:w="0" w:type="dxa"/>
          </w:tblCellMar>
        </w:tblPrEx>
        <w:trPr>
          <w:cantSplit/>
        </w:trPr>
        <w:tc>
          <w:tcPr>
            <w:tcW w:w="1078" w:type="dxa"/>
            <w:vMerge w:val="restart"/>
            <w:vAlign w:val="center"/>
          </w:tcPr>
          <w:p w:rsidR="00000000" w:rsidRDefault="00000000">
            <w:pPr>
              <w:pStyle w:val="a2"/>
              <w:spacing w:line="336" w:lineRule="auto"/>
              <w:jc w:val="center"/>
              <w:rPr>
                <w:rFonts w:hint="eastAsia"/>
              </w:rPr>
            </w:pPr>
            <w:r>
              <w:rPr>
                <w:rFonts w:hint="eastAsia"/>
              </w:rPr>
              <w:t>年</w:t>
            </w:r>
            <w:r>
              <w:rPr>
                <w:rFonts w:hint="eastAsia"/>
              </w:rPr>
              <w:t xml:space="preserve"> </w:t>
            </w:r>
            <w:r>
              <w:rPr>
                <w:rFonts w:hint="eastAsia"/>
              </w:rPr>
              <w:t>份</w:t>
            </w:r>
          </w:p>
        </w:tc>
        <w:tc>
          <w:tcPr>
            <w:tcW w:w="945" w:type="dxa"/>
            <w:vMerge w:val="restart"/>
            <w:vAlign w:val="center"/>
          </w:tcPr>
          <w:p w:rsidR="00000000" w:rsidRDefault="00000000">
            <w:pPr>
              <w:pStyle w:val="a2"/>
              <w:spacing w:line="336" w:lineRule="auto"/>
              <w:jc w:val="center"/>
              <w:rPr>
                <w:rFonts w:hint="eastAsia"/>
              </w:rPr>
            </w:pPr>
            <w:r>
              <w:rPr>
                <w:rFonts w:hint="eastAsia"/>
              </w:rPr>
              <w:t>学校</w:t>
            </w:r>
            <w:r>
              <w:br/>
            </w:r>
            <w:r>
              <w:rPr>
                <w:rFonts w:hint="eastAsia"/>
              </w:rPr>
              <w:t>数目</w:t>
            </w:r>
          </w:p>
        </w:tc>
        <w:tc>
          <w:tcPr>
            <w:tcW w:w="2415" w:type="dxa"/>
            <w:gridSpan w:val="3"/>
            <w:vMerge w:val="restart"/>
            <w:vAlign w:val="center"/>
          </w:tcPr>
          <w:p w:rsidR="00000000" w:rsidRDefault="00000000">
            <w:pPr>
              <w:pStyle w:val="a2"/>
              <w:spacing w:line="336" w:lineRule="auto"/>
              <w:jc w:val="center"/>
              <w:rPr>
                <w:rFonts w:hint="eastAsia"/>
              </w:rPr>
            </w:pPr>
            <w:r>
              <w:rPr>
                <w:rFonts w:hint="eastAsia"/>
              </w:rPr>
              <w:t>教</w:t>
            </w:r>
            <w:r>
              <w:rPr>
                <w:rFonts w:hint="eastAsia"/>
              </w:rPr>
              <w:t xml:space="preserve"> </w:t>
            </w:r>
            <w:r>
              <w:rPr>
                <w:rFonts w:hint="eastAsia"/>
              </w:rPr>
              <w:t>师</w:t>
            </w:r>
          </w:p>
        </w:tc>
        <w:tc>
          <w:tcPr>
            <w:tcW w:w="4972" w:type="dxa"/>
            <w:gridSpan w:val="6"/>
          </w:tcPr>
          <w:p w:rsidR="00000000" w:rsidRDefault="00000000">
            <w:pPr>
              <w:pStyle w:val="a2"/>
              <w:spacing w:before="40" w:line="336" w:lineRule="auto"/>
              <w:jc w:val="center"/>
              <w:rPr>
                <w:rFonts w:hint="eastAsia"/>
              </w:rPr>
            </w:pPr>
            <w:r>
              <w:rPr>
                <w:rFonts w:hint="eastAsia"/>
              </w:rPr>
              <w:t>学</w:t>
            </w:r>
            <w:r>
              <w:rPr>
                <w:rFonts w:hint="eastAsia"/>
              </w:rPr>
              <w:t xml:space="preserve">  </w:t>
            </w:r>
            <w:r>
              <w:rPr>
                <w:rFonts w:hint="eastAsia"/>
              </w:rPr>
              <w:t>生</w:t>
            </w:r>
          </w:p>
        </w:tc>
      </w:tr>
      <w:tr w:rsidR="00000000">
        <w:tblPrEx>
          <w:tblCellMar>
            <w:top w:w="0" w:type="dxa"/>
            <w:bottom w:w="0" w:type="dxa"/>
          </w:tblCellMar>
        </w:tblPrEx>
        <w:trPr>
          <w:cantSplit/>
        </w:trPr>
        <w:tc>
          <w:tcPr>
            <w:tcW w:w="1078" w:type="dxa"/>
            <w:vMerge/>
          </w:tcPr>
          <w:p w:rsidR="00000000" w:rsidRDefault="00000000">
            <w:pPr>
              <w:pStyle w:val="a2"/>
              <w:spacing w:line="336" w:lineRule="auto"/>
              <w:jc w:val="center"/>
              <w:rPr>
                <w:rFonts w:hint="eastAsia"/>
              </w:rPr>
            </w:pPr>
          </w:p>
        </w:tc>
        <w:tc>
          <w:tcPr>
            <w:tcW w:w="945" w:type="dxa"/>
            <w:vMerge/>
          </w:tcPr>
          <w:p w:rsidR="00000000" w:rsidRDefault="00000000">
            <w:pPr>
              <w:pStyle w:val="a2"/>
              <w:spacing w:line="336" w:lineRule="auto"/>
              <w:jc w:val="center"/>
              <w:rPr>
                <w:rFonts w:hint="eastAsia"/>
              </w:rPr>
            </w:pPr>
          </w:p>
        </w:tc>
        <w:tc>
          <w:tcPr>
            <w:tcW w:w="2415" w:type="dxa"/>
            <w:gridSpan w:val="3"/>
            <w:vMerge/>
          </w:tcPr>
          <w:p w:rsidR="00000000" w:rsidRDefault="00000000">
            <w:pPr>
              <w:pStyle w:val="a2"/>
              <w:spacing w:line="336" w:lineRule="auto"/>
              <w:jc w:val="center"/>
              <w:rPr>
                <w:rFonts w:hint="eastAsia"/>
              </w:rPr>
            </w:pPr>
          </w:p>
        </w:tc>
        <w:tc>
          <w:tcPr>
            <w:tcW w:w="2415" w:type="dxa"/>
            <w:gridSpan w:val="3"/>
          </w:tcPr>
          <w:p w:rsidR="00000000" w:rsidRDefault="00000000">
            <w:pPr>
              <w:pStyle w:val="a2"/>
              <w:spacing w:before="40" w:line="336" w:lineRule="auto"/>
              <w:jc w:val="center"/>
              <w:rPr>
                <w:rFonts w:hint="eastAsia"/>
              </w:rPr>
            </w:pPr>
            <w:r>
              <w:rPr>
                <w:rFonts w:hint="eastAsia"/>
              </w:rPr>
              <w:t>注册</w:t>
            </w:r>
          </w:p>
        </w:tc>
        <w:tc>
          <w:tcPr>
            <w:tcW w:w="2557" w:type="dxa"/>
            <w:gridSpan w:val="3"/>
          </w:tcPr>
          <w:p w:rsidR="00000000" w:rsidRDefault="00000000">
            <w:pPr>
              <w:pStyle w:val="a2"/>
              <w:spacing w:before="40" w:line="336" w:lineRule="auto"/>
              <w:jc w:val="center"/>
              <w:rPr>
                <w:rFonts w:hint="eastAsia"/>
              </w:rPr>
            </w:pPr>
            <w:r>
              <w:rPr>
                <w:rFonts w:hint="eastAsia"/>
              </w:rPr>
              <w:t>完成课程</w:t>
            </w:r>
          </w:p>
        </w:tc>
      </w:tr>
      <w:tr w:rsidR="00000000">
        <w:tblPrEx>
          <w:tblCellMar>
            <w:top w:w="0" w:type="dxa"/>
            <w:bottom w:w="0" w:type="dxa"/>
          </w:tblCellMar>
        </w:tblPrEx>
        <w:trPr>
          <w:cantSplit/>
        </w:trPr>
        <w:tc>
          <w:tcPr>
            <w:tcW w:w="1078" w:type="dxa"/>
            <w:vMerge/>
          </w:tcPr>
          <w:p w:rsidR="00000000" w:rsidRDefault="00000000">
            <w:pPr>
              <w:pStyle w:val="a2"/>
              <w:spacing w:line="336" w:lineRule="auto"/>
              <w:jc w:val="center"/>
              <w:rPr>
                <w:rFonts w:hint="eastAsia"/>
              </w:rPr>
            </w:pPr>
          </w:p>
        </w:tc>
        <w:tc>
          <w:tcPr>
            <w:tcW w:w="945" w:type="dxa"/>
            <w:vMerge/>
          </w:tcPr>
          <w:p w:rsidR="00000000" w:rsidRDefault="00000000">
            <w:pPr>
              <w:pStyle w:val="a2"/>
              <w:spacing w:line="336" w:lineRule="auto"/>
              <w:jc w:val="center"/>
              <w:rPr>
                <w:rFonts w:hint="eastAsia"/>
              </w:rPr>
            </w:pPr>
          </w:p>
        </w:tc>
        <w:tc>
          <w:tcPr>
            <w:tcW w:w="945" w:type="dxa"/>
          </w:tcPr>
          <w:p w:rsidR="00000000" w:rsidRDefault="00000000">
            <w:pPr>
              <w:pStyle w:val="a2"/>
              <w:spacing w:before="40" w:line="336" w:lineRule="auto"/>
              <w:jc w:val="center"/>
              <w:rPr>
                <w:rFonts w:hint="eastAsia"/>
              </w:rPr>
            </w:pPr>
            <w:r>
              <w:rPr>
                <w:rFonts w:hint="eastAsia"/>
              </w:rPr>
              <w:t>男女</w:t>
            </w:r>
          </w:p>
        </w:tc>
        <w:tc>
          <w:tcPr>
            <w:tcW w:w="735" w:type="dxa"/>
          </w:tcPr>
          <w:p w:rsidR="00000000" w:rsidRDefault="00000000">
            <w:pPr>
              <w:pStyle w:val="a2"/>
              <w:spacing w:before="40" w:line="336" w:lineRule="auto"/>
              <w:jc w:val="center"/>
              <w:rPr>
                <w:rFonts w:hint="eastAsia"/>
              </w:rPr>
            </w:pPr>
            <w:r>
              <w:rPr>
                <w:rFonts w:hint="eastAsia"/>
              </w:rPr>
              <w:t>男</w:t>
            </w:r>
          </w:p>
        </w:tc>
        <w:tc>
          <w:tcPr>
            <w:tcW w:w="735" w:type="dxa"/>
          </w:tcPr>
          <w:p w:rsidR="00000000" w:rsidRDefault="00000000">
            <w:pPr>
              <w:pStyle w:val="a2"/>
              <w:spacing w:before="40" w:line="336" w:lineRule="auto"/>
              <w:jc w:val="center"/>
              <w:rPr>
                <w:rFonts w:hint="eastAsia"/>
              </w:rPr>
            </w:pPr>
            <w:r>
              <w:rPr>
                <w:rFonts w:hint="eastAsia"/>
              </w:rPr>
              <w:t>女</w:t>
            </w:r>
          </w:p>
        </w:tc>
        <w:tc>
          <w:tcPr>
            <w:tcW w:w="840" w:type="dxa"/>
          </w:tcPr>
          <w:p w:rsidR="00000000" w:rsidRDefault="00000000">
            <w:pPr>
              <w:pStyle w:val="a2"/>
              <w:spacing w:before="40" w:line="336" w:lineRule="auto"/>
              <w:jc w:val="center"/>
              <w:rPr>
                <w:rFonts w:hint="eastAsia"/>
              </w:rPr>
            </w:pPr>
            <w:r>
              <w:rPr>
                <w:rFonts w:hint="eastAsia"/>
              </w:rPr>
              <w:t>男女</w:t>
            </w:r>
          </w:p>
        </w:tc>
        <w:tc>
          <w:tcPr>
            <w:tcW w:w="735" w:type="dxa"/>
          </w:tcPr>
          <w:p w:rsidR="00000000" w:rsidRDefault="00000000">
            <w:pPr>
              <w:pStyle w:val="a2"/>
              <w:spacing w:before="40" w:line="336" w:lineRule="auto"/>
              <w:jc w:val="center"/>
              <w:rPr>
                <w:rFonts w:hint="eastAsia"/>
              </w:rPr>
            </w:pPr>
            <w:r>
              <w:rPr>
                <w:rFonts w:hint="eastAsia"/>
              </w:rPr>
              <w:t>男</w:t>
            </w:r>
          </w:p>
        </w:tc>
        <w:tc>
          <w:tcPr>
            <w:tcW w:w="840" w:type="dxa"/>
          </w:tcPr>
          <w:p w:rsidR="00000000" w:rsidRDefault="00000000">
            <w:pPr>
              <w:pStyle w:val="a2"/>
              <w:spacing w:before="40" w:line="336" w:lineRule="auto"/>
              <w:jc w:val="center"/>
              <w:rPr>
                <w:rFonts w:hint="eastAsia"/>
              </w:rPr>
            </w:pPr>
            <w:r>
              <w:rPr>
                <w:rFonts w:hint="eastAsia"/>
              </w:rPr>
              <w:t>女</w:t>
            </w:r>
          </w:p>
        </w:tc>
        <w:tc>
          <w:tcPr>
            <w:tcW w:w="945" w:type="dxa"/>
          </w:tcPr>
          <w:p w:rsidR="00000000" w:rsidRDefault="00000000">
            <w:pPr>
              <w:pStyle w:val="a2"/>
              <w:spacing w:before="40" w:line="336" w:lineRule="auto"/>
              <w:jc w:val="center"/>
              <w:rPr>
                <w:rFonts w:hint="eastAsia"/>
              </w:rPr>
            </w:pPr>
            <w:r>
              <w:rPr>
                <w:rFonts w:hint="eastAsia"/>
              </w:rPr>
              <w:t>男女</w:t>
            </w:r>
          </w:p>
        </w:tc>
        <w:tc>
          <w:tcPr>
            <w:tcW w:w="840" w:type="dxa"/>
          </w:tcPr>
          <w:p w:rsidR="00000000" w:rsidRDefault="00000000">
            <w:pPr>
              <w:pStyle w:val="a2"/>
              <w:spacing w:before="40" w:line="336" w:lineRule="auto"/>
              <w:jc w:val="center"/>
              <w:rPr>
                <w:rFonts w:hint="eastAsia"/>
              </w:rPr>
            </w:pPr>
            <w:r>
              <w:rPr>
                <w:rFonts w:hint="eastAsia"/>
              </w:rPr>
              <w:t>男</w:t>
            </w:r>
          </w:p>
        </w:tc>
        <w:tc>
          <w:tcPr>
            <w:tcW w:w="772" w:type="dxa"/>
          </w:tcPr>
          <w:p w:rsidR="00000000" w:rsidRDefault="00000000">
            <w:pPr>
              <w:pStyle w:val="a2"/>
              <w:spacing w:before="40" w:line="336" w:lineRule="auto"/>
              <w:jc w:val="center"/>
              <w:rPr>
                <w:rFonts w:hint="eastAsia"/>
              </w:rPr>
            </w:pPr>
            <w:r>
              <w:rPr>
                <w:rFonts w:hint="eastAsia"/>
              </w:rPr>
              <w:t>女</w:t>
            </w:r>
          </w:p>
        </w:tc>
      </w:tr>
      <w:tr w:rsidR="00000000">
        <w:tblPrEx>
          <w:tblCellMar>
            <w:top w:w="0" w:type="dxa"/>
            <w:bottom w:w="0" w:type="dxa"/>
          </w:tblCellMar>
        </w:tblPrEx>
        <w:trPr>
          <w:cantSplit/>
          <w:trHeight w:val="315"/>
        </w:trPr>
        <w:tc>
          <w:tcPr>
            <w:tcW w:w="1078" w:type="dxa"/>
          </w:tcPr>
          <w:p w:rsidR="00000000" w:rsidRDefault="00000000">
            <w:pPr>
              <w:pStyle w:val="a2"/>
              <w:spacing w:before="60" w:after="40" w:line="336" w:lineRule="auto"/>
              <w:rPr>
                <w:rFonts w:hint="eastAsia"/>
              </w:rPr>
            </w:pPr>
            <w:r>
              <w:rPr>
                <w:rFonts w:hint="eastAsia"/>
              </w:rPr>
              <w:t>1999/2000</w:t>
            </w:r>
          </w:p>
        </w:tc>
        <w:tc>
          <w:tcPr>
            <w:tcW w:w="945" w:type="dxa"/>
          </w:tcPr>
          <w:p w:rsidR="00000000" w:rsidRDefault="00000000">
            <w:pPr>
              <w:pStyle w:val="a2"/>
              <w:spacing w:before="60" w:after="40" w:line="336" w:lineRule="auto"/>
              <w:jc w:val="center"/>
              <w:rPr>
                <w:rFonts w:hint="eastAsia"/>
              </w:rPr>
            </w:pPr>
            <w:r>
              <w:rPr>
                <w:rFonts w:hint="eastAsia"/>
              </w:rPr>
              <w:t>124</w:t>
            </w:r>
          </w:p>
        </w:tc>
        <w:tc>
          <w:tcPr>
            <w:tcW w:w="945" w:type="dxa"/>
          </w:tcPr>
          <w:p w:rsidR="00000000" w:rsidRDefault="00000000">
            <w:pPr>
              <w:pStyle w:val="a2"/>
              <w:spacing w:before="60" w:after="40" w:line="336" w:lineRule="auto"/>
              <w:jc w:val="center"/>
              <w:rPr>
                <w:rFonts w:hint="eastAsia"/>
              </w:rPr>
            </w:pPr>
            <w:r>
              <w:rPr>
                <w:rFonts w:hint="eastAsia"/>
              </w:rPr>
              <w:t>1,091</w:t>
            </w:r>
          </w:p>
        </w:tc>
        <w:tc>
          <w:tcPr>
            <w:tcW w:w="735" w:type="dxa"/>
          </w:tcPr>
          <w:p w:rsidR="00000000" w:rsidRDefault="00000000">
            <w:pPr>
              <w:pStyle w:val="a2"/>
              <w:spacing w:before="60" w:after="40" w:line="336" w:lineRule="auto"/>
              <w:jc w:val="center"/>
              <w:rPr>
                <w:rFonts w:hint="eastAsia"/>
              </w:rPr>
            </w:pPr>
            <w:r>
              <w:rPr>
                <w:rFonts w:hint="eastAsia"/>
              </w:rPr>
              <w:t>644</w:t>
            </w:r>
          </w:p>
        </w:tc>
        <w:tc>
          <w:tcPr>
            <w:tcW w:w="735" w:type="dxa"/>
          </w:tcPr>
          <w:p w:rsidR="00000000" w:rsidRDefault="00000000">
            <w:pPr>
              <w:pStyle w:val="a2"/>
              <w:spacing w:before="60" w:after="40" w:line="336" w:lineRule="auto"/>
              <w:jc w:val="center"/>
              <w:rPr>
                <w:rFonts w:hint="eastAsia"/>
              </w:rPr>
            </w:pPr>
            <w:r>
              <w:rPr>
                <w:rFonts w:hint="eastAsia"/>
              </w:rPr>
              <w:t>477</w:t>
            </w:r>
          </w:p>
        </w:tc>
        <w:tc>
          <w:tcPr>
            <w:tcW w:w="840" w:type="dxa"/>
          </w:tcPr>
          <w:p w:rsidR="00000000" w:rsidRDefault="00000000">
            <w:pPr>
              <w:pStyle w:val="a2"/>
              <w:spacing w:before="60" w:after="40" w:line="336" w:lineRule="auto"/>
              <w:jc w:val="center"/>
              <w:rPr>
                <w:rFonts w:hint="eastAsia"/>
              </w:rPr>
            </w:pPr>
            <w:r>
              <w:rPr>
                <w:rFonts w:hint="eastAsia"/>
              </w:rPr>
              <w:t>46,432</w:t>
            </w:r>
          </w:p>
        </w:tc>
        <w:tc>
          <w:tcPr>
            <w:tcW w:w="735" w:type="dxa"/>
          </w:tcPr>
          <w:p w:rsidR="00000000" w:rsidRDefault="00000000">
            <w:pPr>
              <w:pStyle w:val="a2"/>
              <w:spacing w:before="60" w:after="40" w:line="336" w:lineRule="auto"/>
              <w:jc w:val="center"/>
              <w:rPr>
                <w:rFonts w:hint="eastAsia"/>
              </w:rPr>
            </w:pPr>
            <w:r>
              <w:rPr>
                <w:rFonts w:hint="eastAsia"/>
              </w:rPr>
              <w:t>19,396</w:t>
            </w:r>
          </w:p>
        </w:tc>
        <w:tc>
          <w:tcPr>
            <w:tcW w:w="840" w:type="dxa"/>
          </w:tcPr>
          <w:p w:rsidR="00000000" w:rsidRDefault="00000000">
            <w:pPr>
              <w:pStyle w:val="a2"/>
              <w:spacing w:before="60" w:after="40" w:line="336" w:lineRule="auto"/>
              <w:jc w:val="center"/>
              <w:rPr>
                <w:rFonts w:hint="eastAsia"/>
              </w:rPr>
            </w:pPr>
            <w:r>
              <w:rPr>
                <w:rFonts w:hint="eastAsia"/>
              </w:rPr>
              <w:t>27,036</w:t>
            </w:r>
          </w:p>
        </w:tc>
        <w:tc>
          <w:tcPr>
            <w:tcW w:w="945" w:type="dxa"/>
          </w:tcPr>
          <w:p w:rsidR="00000000" w:rsidRDefault="00000000">
            <w:pPr>
              <w:pStyle w:val="a2"/>
              <w:spacing w:before="60" w:after="40" w:line="336" w:lineRule="auto"/>
              <w:jc w:val="center"/>
              <w:rPr>
                <w:rFonts w:hint="eastAsia"/>
              </w:rPr>
            </w:pPr>
            <w:r>
              <w:rPr>
                <w:rFonts w:hint="eastAsia"/>
              </w:rPr>
              <w:t>38,946</w:t>
            </w:r>
          </w:p>
        </w:tc>
        <w:tc>
          <w:tcPr>
            <w:tcW w:w="840" w:type="dxa"/>
          </w:tcPr>
          <w:p w:rsidR="00000000" w:rsidRDefault="00000000">
            <w:pPr>
              <w:pStyle w:val="a2"/>
              <w:spacing w:before="60" w:after="40" w:line="336" w:lineRule="auto"/>
              <w:jc w:val="center"/>
              <w:rPr>
                <w:rFonts w:hint="eastAsia"/>
              </w:rPr>
            </w:pPr>
            <w:r>
              <w:rPr>
                <w:rFonts w:hint="eastAsia"/>
              </w:rPr>
              <w:t>16,584</w:t>
            </w:r>
          </w:p>
        </w:tc>
        <w:tc>
          <w:tcPr>
            <w:tcW w:w="772" w:type="dxa"/>
          </w:tcPr>
          <w:p w:rsidR="00000000" w:rsidRDefault="00000000">
            <w:pPr>
              <w:pStyle w:val="a2"/>
              <w:spacing w:before="60" w:after="40" w:line="336" w:lineRule="auto"/>
              <w:jc w:val="center"/>
              <w:rPr>
                <w:rFonts w:hint="eastAsia"/>
              </w:rPr>
            </w:pPr>
            <w:r>
              <w:rPr>
                <w:rFonts w:hint="eastAsia"/>
              </w:rPr>
              <w:t>22,362</w:t>
            </w:r>
          </w:p>
        </w:tc>
      </w:tr>
      <w:tr w:rsidR="00000000">
        <w:tblPrEx>
          <w:tblCellMar>
            <w:top w:w="0" w:type="dxa"/>
            <w:bottom w:w="0" w:type="dxa"/>
          </w:tblCellMar>
        </w:tblPrEx>
        <w:trPr>
          <w:cantSplit/>
          <w:trHeight w:val="315"/>
        </w:trPr>
        <w:tc>
          <w:tcPr>
            <w:tcW w:w="1078" w:type="dxa"/>
          </w:tcPr>
          <w:p w:rsidR="00000000" w:rsidRDefault="00000000">
            <w:pPr>
              <w:pStyle w:val="a2"/>
              <w:spacing w:before="60" w:after="40" w:line="336" w:lineRule="auto"/>
              <w:rPr>
                <w:rFonts w:hint="eastAsia"/>
              </w:rPr>
            </w:pPr>
            <w:r>
              <w:rPr>
                <w:rFonts w:hint="eastAsia"/>
              </w:rPr>
              <w:t>2000/2001</w:t>
            </w:r>
          </w:p>
        </w:tc>
        <w:tc>
          <w:tcPr>
            <w:tcW w:w="945" w:type="dxa"/>
          </w:tcPr>
          <w:p w:rsidR="00000000" w:rsidRDefault="00000000">
            <w:pPr>
              <w:pStyle w:val="a2"/>
              <w:spacing w:before="60" w:after="40" w:line="336" w:lineRule="auto"/>
              <w:jc w:val="center"/>
              <w:rPr>
                <w:rFonts w:hint="eastAsia"/>
              </w:rPr>
            </w:pPr>
            <w:r>
              <w:rPr>
                <w:rFonts w:hint="eastAsia"/>
              </w:rPr>
              <w:t>122</w:t>
            </w:r>
          </w:p>
        </w:tc>
        <w:tc>
          <w:tcPr>
            <w:tcW w:w="945" w:type="dxa"/>
          </w:tcPr>
          <w:p w:rsidR="00000000" w:rsidRDefault="00000000">
            <w:pPr>
              <w:pStyle w:val="a2"/>
              <w:spacing w:before="60" w:after="40" w:line="336" w:lineRule="auto"/>
              <w:jc w:val="center"/>
              <w:rPr>
                <w:rFonts w:hint="eastAsia"/>
              </w:rPr>
            </w:pPr>
            <w:r>
              <w:rPr>
                <w:rFonts w:hint="eastAsia"/>
              </w:rPr>
              <w:t>1,234</w:t>
            </w:r>
          </w:p>
        </w:tc>
        <w:tc>
          <w:tcPr>
            <w:tcW w:w="735" w:type="dxa"/>
          </w:tcPr>
          <w:p w:rsidR="00000000" w:rsidRDefault="00000000">
            <w:pPr>
              <w:pStyle w:val="a2"/>
              <w:spacing w:before="60" w:after="40" w:line="336" w:lineRule="auto"/>
              <w:jc w:val="center"/>
              <w:rPr>
                <w:rFonts w:hint="eastAsia"/>
              </w:rPr>
            </w:pPr>
            <w:r>
              <w:rPr>
                <w:rFonts w:hint="eastAsia"/>
              </w:rPr>
              <w:t>775</w:t>
            </w:r>
          </w:p>
        </w:tc>
        <w:tc>
          <w:tcPr>
            <w:tcW w:w="735" w:type="dxa"/>
          </w:tcPr>
          <w:p w:rsidR="00000000" w:rsidRDefault="00000000">
            <w:pPr>
              <w:pStyle w:val="a2"/>
              <w:spacing w:before="60" w:after="40" w:line="336" w:lineRule="auto"/>
              <w:jc w:val="center"/>
              <w:rPr>
                <w:rFonts w:hint="eastAsia"/>
              </w:rPr>
            </w:pPr>
            <w:r>
              <w:rPr>
                <w:rFonts w:hint="eastAsia"/>
              </w:rPr>
              <w:t>495</w:t>
            </w:r>
          </w:p>
        </w:tc>
        <w:tc>
          <w:tcPr>
            <w:tcW w:w="840" w:type="dxa"/>
          </w:tcPr>
          <w:p w:rsidR="00000000" w:rsidRDefault="00000000">
            <w:pPr>
              <w:pStyle w:val="a2"/>
              <w:spacing w:before="60" w:after="40" w:line="336" w:lineRule="auto"/>
              <w:jc w:val="center"/>
            </w:pPr>
            <w:r>
              <w:rPr>
                <w:rFonts w:hint="eastAsia"/>
              </w:rPr>
              <w:t>65,695</w:t>
            </w:r>
            <w:r>
              <w:rPr>
                <w:sz w:val="24"/>
                <w:vertAlign w:val="superscript"/>
              </w:rPr>
              <w:t>a</w:t>
            </w:r>
          </w:p>
        </w:tc>
        <w:tc>
          <w:tcPr>
            <w:tcW w:w="735" w:type="dxa"/>
          </w:tcPr>
          <w:p w:rsidR="00000000" w:rsidRDefault="00000000">
            <w:pPr>
              <w:pStyle w:val="a2"/>
              <w:spacing w:before="60" w:after="40" w:line="336" w:lineRule="auto"/>
              <w:jc w:val="center"/>
              <w:rPr>
                <w:rFonts w:hint="eastAsia"/>
              </w:rPr>
            </w:pPr>
            <w:r>
              <w:rPr>
                <w:rFonts w:hint="eastAsia"/>
              </w:rPr>
              <w:t>22,307</w:t>
            </w:r>
          </w:p>
        </w:tc>
        <w:tc>
          <w:tcPr>
            <w:tcW w:w="840" w:type="dxa"/>
          </w:tcPr>
          <w:p w:rsidR="00000000" w:rsidRDefault="00000000">
            <w:pPr>
              <w:pStyle w:val="a2"/>
              <w:spacing w:before="60" w:after="40" w:line="336" w:lineRule="auto"/>
              <w:jc w:val="center"/>
              <w:rPr>
                <w:rFonts w:hint="eastAsia"/>
              </w:rPr>
            </w:pPr>
            <w:r>
              <w:rPr>
                <w:rFonts w:hint="eastAsia"/>
              </w:rPr>
              <w:t>32,162</w:t>
            </w:r>
          </w:p>
        </w:tc>
        <w:tc>
          <w:tcPr>
            <w:tcW w:w="945" w:type="dxa"/>
          </w:tcPr>
          <w:p w:rsidR="00000000" w:rsidRDefault="00000000">
            <w:pPr>
              <w:pStyle w:val="a2"/>
              <w:spacing w:before="60" w:after="40" w:line="336" w:lineRule="auto"/>
              <w:jc w:val="center"/>
            </w:pPr>
            <w:r>
              <w:rPr>
                <w:rFonts w:hint="eastAsia"/>
              </w:rPr>
              <w:t>49,795</w:t>
            </w:r>
            <w:r>
              <w:rPr>
                <w:sz w:val="24"/>
                <w:vertAlign w:val="superscript"/>
              </w:rPr>
              <w:t xml:space="preserve"> a</w:t>
            </w:r>
          </w:p>
        </w:tc>
        <w:tc>
          <w:tcPr>
            <w:tcW w:w="840" w:type="dxa"/>
          </w:tcPr>
          <w:p w:rsidR="00000000" w:rsidRDefault="00000000">
            <w:pPr>
              <w:pStyle w:val="a2"/>
              <w:spacing w:before="60" w:after="40" w:line="336" w:lineRule="auto"/>
              <w:jc w:val="center"/>
              <w:rPr>
                <w:rFonts w:hint="eastAsia"/>
              </w:rPr>
            </w:pPr>
            <w:r>
              <w:rPr>
                <w:rFonts w:hint="eastAsia"/>
              </w:rPr>
              <w:t>17,481</w:t>
            </w:r>
          </w:p>
        </w:tc>
        <w:tc>
          <w:tcPr>
            <w:tcW w:w="772" w:type="dxa"/>
          </w:tcPr>
          <w:p w:rsidR="00000000" w:rsidRDefault="00000000">
            <w:pPr>
              <w:pStyle w:val="a2"/>
              <w:spacing w:before="60" w:after="40" w:line="336" w:lineRule="auto"/>
              <w:jc w:val="center"/>
              <w:rPr>
                <w:rFonts w:hint="eastAsia"/>
              </w:rPr>
            </w:pPr>
            <w:r>
              <w:rPr>
                <w:rFonts w:hint="eastAsia"/>
              </w:rPr>
              <w:t>24,503</w:t>
            </w:r>
          </w:p>
        </w:tc>
      </w:tr>
    </w:tbl>
    <w:p w:rsidR="00000000" w:rsidRDefault="00000000">
      <w:pPr>
        <w:pStyle w:val="EndnoteText"/>
        <w:spacing w:before="240"/>
        <w:ind w:left="1820" w:hanging="780"/>
        <w:rPr>
          <w:rFonts w:hint="eastAsia"/>
          <w:snapToGrid/>
        </w:rPr>
      </w:pPr>
      <w:r>
        <w:rPr>
          <w:rFonts w:hint="eastAsia"/>
          <w:snapToGrid/>
        </w:rPr>
        <w:t>﹡</w:t>
      </w:r>
      <w:r>
        <w:rPr>
          <w:snapToGrid/>
          <w:u w:val="single"/>
        </w:rPr>
        <w:t>a</w:t>
      </w:r>
      <w:r>
        <w:rPr>
          <w:snapToGrid/>
        </w:rPr>
        <w:t>/</w:t>
      </w:r>
      <w:r>
        <w:rPr>
          <w:snapToGrid/>
        </w:rPr>
        <w:tab/>
      </w:r>
      <w:r>
        <w:rPr>
          <w:rFonts w:hint="eastAsia"/>
          <w:snapToGrid/>
        </w:rPr>
        <w:t>“由于某些学校未有提供所需资料，因此小计的数目与总计数目不同”。</w:t>
      </w:r>
    </w:p>
    <w:p w:rsidR="00000000" w:rsidRDefault="00000000">
      <w:pPr>
        <w:pStyle w:val="EndnoteText"/>
        <w:spacing w:after="160"/>
        <w:rPr>
          <w:rFonts w:hint="eastAsia"/>
          <w:snapToGrid/>
        </w:rPr>
      </w:pPr>
      <w:r>
        <w:rPr>
          <w:rFonts w:hint="eastAsia"/>
          <w:snapToGrid/>
          <w:u w:val="single"/>
        </w:rPr>
        <w:t>资料来源</w:t>
      </w:r>
      <w:r>
        <w:rPr>
          <w:rFonts w:hint="eastAsia"/>
          <w:snapToGrid/>
        </w:rPr>
        <w:t>：统计暨普查局，</w:t>
      </w:r>
      <w:r>
        <w:rPr>
          <w:rFonts w:hint="eastAsia"/>
          <w:snapToGrid/>
        </w:rPr>
        <w:t>2001</w:t>
      </w:r>
      <w:r>
        <w:rPr>
          <w:rFonts w:hint="eastAsia"/>
          <w:snapToGrid/>
        </w:rPr>
        <w:t>年统计年鉴。</w:t>
      </w:r>
    </w:p>
    <w:p w:rsidR="00000000" w:rsidRDefault="00000000">
      <w:pPr>
        <w:rPr>
          <w:rFonts w:hint="eastAsia"/>
        </w:rPr>
      </w:pPr>
      <w:r>
        <w:rPr>
          <w:rFonts w:hint="eastAsia"/>
        </w:rPr>
        <w:tab/>
        <w:t>1106.  2001</w:t>
      </w:r>
      <w:r>
        <w:rPr>
          <w:rFonts w:hint="eastAsia"/>
        </w:rPr>
        <w:t>年，渔民互助会和妇女联合会在教育制度以外举办了多个识字班和文化班，藉此鼓励会员参与回归教育中程度更高的学习。</w:t>
      </w:r>
    </w:p>
    <w:p w:rsidR="00000000" w:rsidRDefault="00000000">
      <w:pPr>
        <w:rPr>
          <w:rFonts w:hint="eastAsia"/>
        </w:rPr>
      </w:pPr>
      <w:r>
        <w:rPr>
          <w:rFonts w:hint="eastAsia"/>
        </w:rPr>
        <w:tab/>
        <w:t xml:space="preserve">1107.  </w:t>
      </w:r>
      <w:r>
        <w:rPr>
          <w:rFonts w:hint="eastAsia"/>
        </w:rPr>
        <w:t>在</w:t>
      </w:r>
      <w:r>
        <w:rPr>
          <w:rFonts w:hint="eastAsia"/>
        </w:rPr>
        <w:t>2001/2002</w:t>
      </w:r>
      <w:r>
        <w:rPr>
          <w:rFonts w:hint="eastAsia"/>
        </w:rPr>
        <w:t>年出版了为成人而设的中文写读基础、算术和个人财务管理技巧等教材。对某些成人而言，缺乏自信是妨碍他们报读识字班和放弃学习的主要原因。</w:t>
      </w:r>
    </w:p>
    <w:p w:rsidR="00000000" w:rsidRDefault="00000000">
      <w:pPr>
        <w:rPr>
          <w:rFonts w:hint="eastAsia"/>
        </w:rPr>
      </w:pPr>
      <w:r>
        <w:rPr>
          <w:rFonts w:hint="eastAsia"/>
        </w:rPr>
        <w:tab/>
        <w:t xml:space="preserve">1108.  </w:t>
      </w:r>
      <w:r>
        <w:rPr>
          <w:rFonts w:hint="eastAsia"/>
        </w:rPr>
        <w:t>在特殊教育方面，</w:t>
      </w:r>
      <w:r>
        <w:rPr>
          <w:rFonts w:hint="eastAsia"/>
        </w:rPr>
        <w:t>2001/2002</w:t>
      </w:r>
      <w:r>
        <w:rPr>
          <w:rFonts w:hint="eastAsia"/>
        </w:rPr>
        <w:t>学年有</w:t>
      </w:r>
      <w:r>
        <w:rPr>
          <w:rFonts w:hint="eastAsia"/>
        </w:rPr>
        <w:t>644</w:t>
      </w:r>
      <w:r>
        <w:rPr>
          <w:rFonts w:hint="eastAsia"/>
        </w:rPr>
        <w:t>名需接受特殊教育的学生，包括临时或永久身体或精神残缺，又或有情绪问题或对环境难于适应的学生在学校办理了注册。在有特殊需要的学生中，若干被安排到常规学校或独立场所的常规教育班，其余的则被安排到特殊训练班。</w:t>
      </w:r>
    </w:p>
    <w:p w:rsidR="00000000" w:rsidRDefault="00000000">
      <w:pPr>
        <w:rPr>
          <w:rFonts w:hint="eastAsia"/>
        </w:rPr>
      </w:pPr>
      <w:r>
        <w:rPr>
          <w:rFonts w:hint="eastAsia"/>
        </w:rPr>
        <w:tab/>
        <w:t xml:space="preserve">1109.  </w:t>
      </w:r>
      <w:r>
        <w:rPr>
          <w:rFonts w:hint="eastAsia"/>
        </w:rPr>
        <w:t>在公共学校网络中，有</w:t>
      </w:r>
      <w:r>
        <w:rPr>
          <w:rFonts w:hint="eastAsia"/>
        </w:rPr>
        <w:t>1</w:t>
      </w:r>
      <w:r>
        <w:rPr>
          <w:rFonts w:hint="eastAsia"/>
        </w:rPr>
        <w:t>所公立学校和</w:t>
      </w:r>
      <w:r>
        <w:rPr>
          <w:rFonts w:hint="eastAsia"/>
        </w:rPr>
        <w:t>4</w:t>
      </w:r>
      <w:r>
        <w:rPr>
          <w:rFonts w:hint="eastAsia"/>
        </w:rPr>
        <w:t>所私立机构专门接收有特殊需要的学生。教育暨青年局与本地和外地的高等教育机构合作，向所有被分派从事特殊教育工作的人员提供特殊教育方面的专业培训。</w:t>
      </w:r>
    </w:p>
    <w:p w:rsidR="00000000" w:rsidRDefault="00000000">
      <w:pPr>
        <w:rPr>
          <w:rFonts w:hint="eastAsia"/>
        </w:rPr>
      </w:pPr>
      <w:r>
        <w:rPr>
          <w:rFonts w:hint="eastAsia"/>
        </w:rPr>
        <w:tab/>
        <w:t xml:space="preserve">1110.  </w:t>
      </w:r>
      <w:r>
        <w:rPr>
          <w:rFonts w:hint="eastAsia"/>
        </w:rPr>
        <w:t>关于在监狱内进行的教育方面，年龄未满</w:t>
      </w:r>
      <w:r>
        <w:rPr>
          <w:rFonts w:hint="eastAsia"/>
        </w:rPr>
        <w:t>25</w:t>
      </w:r>
      <w:r>
        <w:rPr>
          <w:rFonts w:hint="eastAsia"/>
        </w:rPr>
        <w:t>岁的囚犯，如属文盲或属未完成义务教育者，有权报读为他们而设的教育计划中的中文班或葡文班，又或参加由狱方举办的教育活动。狱方亦协助囚犯就读透过函授、电台或电视授课的课程</w:t>
      </w:r>
      <w:r>
        <w:rPr>
          <w:rFonts w:hint="eastAsia"/>
        </w:rPr>
        <w:t>(</w:t>
      </w:r>
      <w:r>
        <w:rPr>
          <w:rFonts w:hint="eastAsia"/>
        </w:rPr>
        <w:t>第</w:t>
      </w:r>
      <w:r>
        <w:rPr>
          <w:rFonts w:hint="eastAsia"/>
        </w:rPr>
        <w:t>40/94/M</w:t>
      </w:r>
      <w:r>
        <w:rPr>
          <w:rFonts w:hint="eastAsia"/>
        </w:rPr>
        <w:t>号法令第五十八条</w:t>
      </w:r>
      <w:r>
        <w:rPr>
          <w:rFonts w:hint="eastAsia"/>
        </w:rPr>
        <w:t>)</w:t>
      </w:r>
      <w:r>
        <w:rPr>
          <w:rFonts w:hint="eastAsia"/>
        </w:rPr>
        <w:t>。</w:t>
      </w:r>
    </w:p>
    <w:p w:rsidR="00000000" w:rsidRDefault="00000000">
      <w:pPr>
        <w:spacing w:after="320"/>
        <w:rPr>
          <w:rFonts w:hint="eastAsia"/>
        </w:rPr>
      </w:pPr>
      <w:r>
        <w:rPr>
          <w:rFonts w:hint="eastAsia"/>
        </w:rPr>
        <w:tab/>
        <w:t xml:space="preserve">1111.  </w:t>
      </w:r>
      <w:r>
        <w:rPr>
          <w:rFonts w:hint="eastAsia"/>
        </w:rPr>
        <w:t>对问题青少年实行的教育，由专责青少年社会重返工作的部门负责</w:t>
      </w:r>
      <w:r>
        <w:rPr>
          <w:rFonts w:hint="eastAsia"/>
        </w:rPr>
        <w:t>(</w:t>
      </w:r>
      <w:r>
        <w:rPr>
          <w:rFonts w:hint="eastAsia"/>
        </w:rPr>
        <w:t>第</w:t>
      </w:r>
      <w:r>
        <w:rPr>
          <w:rFonts w:hint="eastAsia"/>
        </w:rPr>
        <w:t>65/99/M</w:t>
      </w:r>
      <w:r>
        <w:rPr>
          <w:rFonts w:hint="eastAsia"/>
        </w:rPr>
        <w:t>号法令</w:t>
      </w:r>
      <w:r>
        <w:rPr>
          <w:rFonts w:hint="eastAsia"/>
        </w:rPr>
        <w:t>)</w:t>
      </w:r>
      <w:r>
        <w:rPr>
          <w:rFonts w:hint="eastAsia"/>
        </w:rPr>
        <w:t>。</w:t>
      </w:r>
    </w:p>
    <w:p w:rsidR="00000000" w:rsidRDefault="00000000">
      <w:pPr>
        <w:pStyle w:val="Heading3"/>
        <w:rPr>
          <w:rFonts w:hint="eastAsia"/>
        </w:rPr>
      </w:pPr>
      <w:bookmarkStart w:id="104" w:name="_Toc78773013"/>
      <w:r>
        <w:rPr>
          <w:rFonts w:hint="eastAsia"/>
          <w:u w:val="none"/>
        </w:rPr>
        <w:t xml:space="preserve">C.  </w:t>
      </w:r>
      <w:r>
        <w:rPr>
          <w:rFonts w:hint="eastAsia"/>
        </w:rPr>
        <w:t>用于教育方面的国民生产总值</w:t>
      </w:r>
      <w:bookmarkEnd w:id="104"/>
    </w:p>
    <w:p w:rsidR="00000000" w:rsidRDefault="00000000">
      <w:pPr>
        <w:spacing w:after="320"/>
        <w:rPr>
          <w:rFonts w:hint="eastAsia"/>
        </w:rPr>
      </w:pPr>
      <w:r>
        <w:rPr>
          <w:rFonts w:hint="eastAsia"/>
        </w:rPr>
        <w:tab/>
      </w:r>
      <w:r>
        <w:rPr>
          <w:rFonts w:hint="eastAsia"/>
        </w:rPr>
        <w:t>澳门特别行政区预算中用于教育方面的百分比，由</w:t>
      </w:r>
      <w:r>
        <w:rPr>
          <w:rFonts w:hint="eastAsia"/>
        </w:rPr>
        <w:t>1991</w:t>
      </w:r>
      <w:r>
        <w:rPr>
          <w:rFonts w:hint="eastAsia"/>
        </w:rPr>
        <w:t>年的</w:t>
      </w:r>
      <w:r>
        <w:rPr>
          <w:rFonts w:hint="eastAsia"/>
        </w:rPr>
        <w:t>7.44%</w:t>
      </w:r>
      <w:r>
        <w:rPr>
          <w:rFonts w:hint="eastAsia"/>
        </w:rPr>
        <w:t>上升至</w:t>
      </w:r>
      <w:r>
        <w:rPr>
          <w:rFonts w:hint="eastAsia"/>
        </w:rPr>
        <w:t>2001</w:t>
      </w:r>
      <w:r>
        <w:rPr>
          <w:rFonts w:hint="eastAsia"/>
        </w:rPr>
        <w:t>年的</w:t>
      </w:r>
      <w:r>
        <w:rPr>
          <w:rFonts w:hint="eastAsia"/>
        </w:rPr>
        <w:t>15.19%</w:t>
      </w:r>
      <w:r>
        <w:rPr>
          <w:rFonts w:hint="eastAsia"/>
        </w:rPr>
        <w:t>，这是澳门特别行政区政府近年推行免费教育制度所致。</w:t>
      </w:r>
    </w:p>
    <w:p w:rsidR="00000000" w:rsidRDefault="00000000">
      <w:pPr>
        <w:pStyle w:val="a3"/>
        <w:rPr>
          <w:rFonts w:ascii="Times New Roman" w:eastAsia="SimSun" w:hAnsi="Times New Roman" w:hint="eastAsia"/>
          <w:kern w:val="0"/>
        </w:rPr>
      </w:pPr>
      <w:r>
        <w:rPr>
          <w:rFonts w:hint="eastAsia"/>
        </w:rPr>
        <w:t>澳门特别行政区预算中教育支出的百分比</w:t>
      </w:r>
      <w:r>
        <w:br/>
      </w:r>
      <w:r>
        <w:rPr>
          <w:rFonts w:ascii="Times New Roman" w:eastAsia="SimSun" w:hAnsi="Times New Roman" w:hint="eastAsia"/>
          <w:kern w:val="0"/>
        </w:rPr>
        <w:t>(</w:t>
      </w:r>
      <w:r>
        <w:rPr>
          <w:rFonts w:ascii="Times New Roman" w:eastAsia="SimSun" w:hAnsi="Times New Roman" w:hint="eastAsia"/>
          <w:kern w:val="0"/>
        </w:rPr>
        <w:t>以澳门币千元为单位</w:t>
      </w:r>
      <w:r>
        <w:rPr>
          <w:rFonts w:ascii="Times New Roman" w:eastAsia="SimSun" w:hAnsi="Times New Roman" w:hint="eastAsia"/>
          <w:kern w:val="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43"/>
        <w:gridCol w:w="1785"/>
        <w:gridCol w:w="1785"/>
        <w:gridCol w:w="1785"/>
        <w:gridCol w:w="1612"/>
      </w:tblGrid>
      <w:tr w:rsidR="00000000">
        <w:tblPrEx>
          <w:tblCellMar>
            <w:top w:w="0" w:type="dxa"/>
            <w:bottom w:w="0" w:type="dxa"/>
          </w:tblCellMar>
        </w:tblPrEx>
        <w:tc>
          <w:tcPr>
            <w:tcW w:w="2443" w:type="dxa"/>
          </w:tcPr>
          <w:p w:rsidR="00000000" w:rsidRDefault="00000000">
            <w:pPr>
              <w:pStyle w:val="a2"/>
              <w:spacing w:before="60" w:line="336" w:lineRule="auto"/>
              <w:jc w:val="center"/>
              <w:rPr>
                <w:rFonts w:hint="eastAsia"/>
              </w:rPr>
            </w:pPr>
            <w:r>
              <w:rPr>
                <w:rFonts w:hint="eastAsia"/>
              </w:rPr>
              <w:t>年</w:t>
            </w:r>
            <w:r>
              <w:t xml:space="preserve">  </w:t>
            </w:r>
            <w:r>
              <w:rPr>
                <w:rFonts w:hint="eastAsia"/>
              </w:rPr>
              <w:t>份</w:t>
            </w:r>
          </w:p>
        </w:tc>
        <w:tc>
          <w:tcPr>
            <w:tcW w:w="1785" w:type="dxa"/>
          </w:tcPr>
          <w:p w:rsidR="00000000" w:rsidRDefault="00000000">
            <w:pPr>
              <w:pStyle w:val="a2"/>
              <w:spacing w:before="60" w:line="336" w:lineRule="auto"/>
              <w:jc w:val="center"/>
              <w:rPr>
                <w:rFonts w:hint="eastAsia"/>
              </w:rPr>
            </w:pPr>
            <w:r>
              <w:rPr>
                <w:rFonts w:hint="eastAsia"/>
              </w:rPr>
              <w:t>1999</w:t>
            </w:r>
          </w:p>
        </w:tc>
        <w:tc>
          <w:tcPr>
            <w:tcW w:w="1785" w:type="dxa"/>
          </w:tcPr>
          <w:p w:rsidR="00000000" w:rsidRDefault="00000000">
            <w:pPr>
              <w:pStyle w:val="a2"/>
              <w:spacing w:before="60" w:line="336" w:lineRule="auto"/>
              <w:jc w:val="center"/>
              <w:rPr>
                <w:rFonts w:hint="eastAsia"/>
              </w:rPr>
            </w:pPr>
            <w:r>
              <w:rPr>
                <w:rFonts w:hint="eastAsia"/>
              </w:rPr>
              <w:t>2000</w:t>
            </w:r>
          </w:p>
        </w:tc>
        <w:tc>
          <w:tcPr>
            <w:tcW w:w="1785" w:type="dxa"/>
          </w:tcPr>
          <w:p w:rsidR="00000000" w:rsidRDefault="00000000">
            <w:pPr>
              <w:pStyle w:val="a2"/>
              <w:spacing w:before="60" w:line="336" w:lineRule="auto"/>
              <w:jc w:val="center"/>
              <w:rPr>
                <w:rFonts w:hint="eastAsia"/>
              </w:rPr>
            </w:pPr>
            <w:r>
              <w:rPr>
                <w:rFonts w:hint="eastAsia"/>
              </w:rPr>
              <w:t>2001</w:t>
            </w:r>
          </w:p>
        </w:tc>
        <w:tc>
          <w:tcPr>
            <w:tcW w:w="1612" w:type="dxa"/>
          </w:tcPr>
          <w:p w:rsidR="00000000" w:rsidRDefault="00000000">
            <w:pPr>
              <w:pStyle w:val="a2"/>
              <w:spacing w:before="60" w:line="336" w:lineRule="auto"/>
              <w:jc w:val="center"/>
              <w:rPr>
                <w:rFonts w:hint="eastAsia"/>
              </w:rPr>
            </w:pPr>
            <w:r>
              <w:rPr>
                <w:rFonts w:hint="eastAsia"/>
              </w:rPr>
              <w:t>2002</w:t>
            </w:r>
          </w:p>
        </w:tc>
      </w:tr>
      <w:tr w:rsidR="00000000">
        <w:tblPrEx>
          <w:tblCellMar>
            <w:top w:w="0" w:type="dxa"/>
            <w:bottom w:w="0" w:type="dxa"/>
          </w:tblCellMar>
        </w:tblPrEx>
        <w:tc>
          <w:tcPr>
            <w:tcW w:w="2443" w:type="dxa"/>
          </w:tcPr>
          <w:p w:rsidR="00000000" w:rsidRDefault="00000000">
            <w:pPr>
              <w:pStyle w:val="a2"/>
              <w:spacing w:before="60" w:after="40" w:line="336" w:lineRule="auto"/>
              <w:ind w:left="227"/>
              <w:rPr>
                <w:rFonts w:hint="eastAsia"/>
              </w:rPr>
            </w:pPr>
            <w:r>
              <w:rPr>
                <w:rFonts w:hint="eastAsia"/>
              </w:rPr>
              <w:t>教育支出</w:t>
            </w:r>
          </w:p>
        </w:tc>
        <w:tc>
          <w:tcPr>
            <w:tcW w:w="1785" w:type="dxa"/>
          </w:tcPr>
          <w:p w:rsidR="00000000" w:rsidRDefault="00000000">
            <w:pPr>
              <w:pStyle w:val="a2"/>
              <w:spacing w:before="60" w:after="40" w:line="336" w:lineRule="auto"/>
              <w:ind w:right="497"/>
              <w:jc w:val="right"/>
              <w:rPr>
                <w:rFonts w:hint="eastAsia"/>
              </w:rPr>
            </w:pPr>
            <w:r>
              <w:rPr>
                <w:rFonts w:hint="eastAsia"/>
              </w:rPr>
              <w:t>1,210,461</w:t>
            </w:r>
          </w:p>
        </w:tc>
        <w:tc>
          <w:tcPr>
            <w:tcW w:w="1785" w:type="dxa"/>
          </w:tcPr>
          <w:p w:rsidR="00000000" w:rsidRDefault="00000000">
            <w:pPr>
              <w:pStyle w:val="a2"/>
              <w:spacing w:before="60" w:after="40" w:line="336" w:lineRule="auto"/>
              <w:ind w:right="497"/>
              <w:jc w:val="right"/>
              <w:rPr>
                <w:rFonts w:hint="eastAsia"/>
              </w:rPr>
            </w:pPr>
            <w:r>
              <w:rPr>
                <w:rFonts w:hint="eastAsia"/>
              </w:rPr>
              <w:t>1,317,878</w:t>
            </w:r>
          </w:p>
        </w:tc>
        <w:tc>
          <w:tcPr>
            <w:tcW w:w="1785" w:type="dxa"/>
          </w:tcPr>
          <w:p w:rsidR="00000000" w:rsidRDefault="00000000">
            <w:pPr>
              <w:pStyle w:val="a2"/>
              <w:spacing w:before="60" w:after="40" w:line="336" w:lineRule="auto"/>
              <w:ind w:right="497"/>
              <w:jc w:val="right"/>
              <w:rPr>
                <w:rFonts w:hint="eastAsia"/>
              </w:rPr>
            </w:pPr>
            <w:r>
              <w:rPr>
                <w:rFonts w:hint="eastAsia"/>
              </w:rPr>
              <w:t>1,426,563</w:t>
            </w:r>
          </w:p>
        </w:tc>
        <w:tc>
          <w:tcPr>
            <w:tcW w:w="1612" w:type="dxa"/>
          </w:tcPr>
          <w:p w:rsidR="00000000" w:rsidRDefault="00000000">
            <w:pPr>
              <w:pStyle w:val="a2"/>
              <w:spacing w:before="60" w:after="40" w:line="336" w:lineRule="auto"/>
              <w:rPr>
                <w:rFonts w:hint="eastAsia"/>
              </w:rPr>
            </w:pPr>
          </w:p>
        </w:tc>
      </w:tr>
      <w:tr w:rsidR="00000000">
        <w:tblPrEx>
          <w:tblCellMar>
            <w:top w:w="0" w:type="dxa"/>
            <w:bottom w:w="0" w:type="dxa"/>
          </w:tblCellMar>
        </w:tblPrEx>
        <w:tc>
          <w:tcPr>
            <w:tcW w:w="2443" w:type="dxa"/>
          </w:tcPr>
          <w:p w:rsidR="00000000" w:rsidRDefault="00000000">
            <w:pPr>
              <w:pStyle w:val="a2"/>
              <w:spacing w:before="60" w:after="40" w:line="336" w:lineRule="auto"/>
              <w:ind w:left="227"/>
              <w:rPr>
                <w:rFonts w:hint="eastAsia"/>
              </w:rPr>
            </w:pPr>
            <w:r>
              <w:rPr>
                <w:rFonts w:hint="eastAsia"/>
              </w:rPr>
              <w:t>在总预算中的百分比</w:t>
            </w:r>
          </w:p>
        </w:tc>
        <w:tc>
          <w:tcPr>
            <w:tcW w:w="1785" w:type="dxa"/>
          </w:tcPr>
          <w:p w:rsidR="00000000" w:rsidRDefault="00000000">
            <w:pPr>
              <w:pStyle w:val="a2"/>
              <w:spacing w:before="60" w:after="40" w:line="336" w:lineRule="auto"/>
              <w:ind w:right="497"/>
              <w:jc w:val="right"/>
              <w:rPr>
                <w:rFonts w:hint="eastAsia"/>
              </w:rPr>
            </w:pPr>
            <w:r>
              <w:rPr>
                <w:rFonts w:hint="eastAsia"/>
              </w:rPr>
              <w:t>12.35%</w:t>
            </w:r>
          </w:p>
        </w:tc>
        <w:tc>
          <w:tcPr>
            <w:tcW w:w="1785" w:type="dxa"/>
          </w:tcPr>
          <w:p w:rsidR="00000000" w:rsidRDefault="00000000">
            <w:pPr>
              <w:pStyle w:val="a2"/>
              <w:spacing w:before="60" w:after="40" w:line="336" w:lineRule="auto"/>
              <w:ind w:right="497"/>
              <w:jc w:val="right"/>
              <w:rPr>
                <w:rFonts w:hint="eastAsia"/>
              </w:rPr>
            </w:pPr>
            <w:r>
              <w:rPr>
                <w:rFonts w:hint="eastAsia"/>
              </w:rPr>
              <w:t>15.04%</w:t>
            </w:r>
          </w:p>
        </w:tc>
        <w:tc>
          <w:tcPr>
            <w:tcW w:w="1785" w:type="dxa"/>
          </w:tcPr>
          <w:p w:rsidR="00000000" w:rsidRDefault="00000000">
            <w:pPr>
              <w:pStyle w:val="a2"/>
              <w:spacing w:before="60" w:after="40" w:line="336" w:lineRule="auto"/>
              <w:ind w:right="497"/>
              <w:jc w:val="right"/>
              <w:rPr>
                <w:rFonts w:hint="eastAsia"/>
              </w:rPr>
            </w:pPr>
            <w:r>
              <w:rPr>
                <w:rFonts w:hint="eastAsia"/>
              </w:rPr>
              <w:t>15.19%</w:t>
            </w:r>
          </w:p>
        </w:tc>
        <w:tc>
          <w:tcPr>
            <w:tcW w:w="1612" w:type="dxa"/>
          </w:tcPr>
          <w:p w:rsidR="00000000" w:rsidRDefault="00000000">
            <w:pPr>
              <w:pStyle w:val="a2"/>
              <w:spacing w:before="60" w:after="40" w:line="336" w:lineRule="auto"/>
              <w:rPr>
                <w:rFonts w:hint="eastAsia"/>
              </w:rPr>
            </w:pPr>
          </w:p>
        </w:tc>
      </w:tr>
    </w:tbl>
    <w:p w:rsidR="00000000" w:rsidRDefault="00000000">
      <w:pPr>
        <w:pStyle w:val="EndnoteText"/>
        <w:spacing w:before="120" w:after="320"/>
        <w:rPr>
          <w:rFonts w:hint="eastAsia"/>
          <w:snapToGrid/>
        </w:rPr>
      </w:pPr>
      <w:r>
        <w:rPr>
          <w:rFonts w:hint="eastAsia"/>
          <w:snapToGrid/>
          <w:u w:val="single"/>
        </w:rPr>
        <w:t>资料来源</w:t>
      </w:r>
      <w:r>
        <w:rPr>
          <w:rFonts w:hint="eastAsia"/>
          <w:snapToGrid/>
        </w:rPr>
        <w:t>：财政局，</w:t>
      </w:r>
      <w:r>
        <w:rPr>
          <w:rFonts w:hint="eastAsia"/>
          <w:snapToGrid/>
        </w:rPr>
        <w:t>2002</w:t>
      </w:r>
      <w:r>
        <w:rPr>
          <w:rFonts w:hint="eastAsia"/>
          <w:snapToGrid/>
        </w:rPr>
        <w:t>年。</w:t>
      </w:r>
    </w:p>
    <w:p w:rsidR="00000000" w:rsidRDefault="00000000">
      <w:pPr>
        <w:pStyle w:val="Heading3"/>
        <w:rPr>
          <w:rFonts w:hint="eastAsia"/>
        </w:rPr>
      </w:pPr>
      <w:bookmarkStart w:id="105" w:name="_Toc78773014"/>
      <w:r>
        <w:rPr>
          <w:rFonts w:hint="eastAsia"/>
          <w:u w:val="none"/>
        </w:rPr>
        <w:t>D.</w:t>
      </w:r>
      <w:r>
        <w:rPr>
          <w:u w:val="none"/>
        </w:rPr>
        <w:t xml:space="preserve">  </w:t>
      </w:r>
      <w:r>
        <w:rPr>
          <w:rFonts w:hint="eastAsia"/>
        </w:rPr>
        <w:t>教育的提倡</w:t>
      </w:r>
      <w:bookmarkEnd w:id="105"/>
    </w:p>
    <w:p w:rsidR="00000000" w:rsidRDefault="00000000">
      <w:pPr>
        <w:rPr>
          <w:rFonts w:hint="eastAsia"/>
        </w:rPr>
      </w:pPr>
      <w:r>
        <w:rPr>
          <w:rFonts w:hint="eastAsia"/>
        </w:rPr>
        <w:tab/>
        <w:t xml:space="preserve">1112.  </w:t>
      </w:r>
      <w:r>
        <w:rPr>
          <w:rFonts w:hint="eastAsia"/>
        </w:rPr>
        <w:t>为确保所有澳门特别行政区的学生，当中包括女孩、低收入一群的子女、身体或精神不健全的儿童、移民的子女、在语言、种族、宗教或其他方面属少数社群的儿童，能完全享有受教育的权利，政府实施了不同的措施。例如兴建新学校、对贫困学生</w:t>
      </w:r>
      <w:r>
        <w:rPr>
          <w:rFonts w:hint="eastAsia"/>
        </w:rPr>
        <w:t>/</w:t>
      </w:r>
      <w:r>
        <w:rPr>
          <w:rFonts w:hint="eastAsia"/>
        </w:rPr>
        <w:t>家庭提供经济援助、就新抵澳人士</w:t>
      </w:r>
      <w:r>
        <w:rPr>
          <w:rFonts w:hint="eastAsia"/>
        </w:rPr>
        <w:t>(</w:t>
      </w:r>
      <w:r>
        <w:rPr>
          <w:rFonts w:hint="eastAsia"/>
        </w:rPr>
        <w:t>尤其是新移民</w:t>
      </w:r>
      <w:r>
        <w:rPr>
          <w:rFonts w:hint="eastAsia"/>
        </w:rPr>
        <w:t>)</w:t>
      </w:r>
      <w:r>
        <w:rPr>
          <w:rFonts w:hint="eastAsia"/>
        </w:rPr>
        <w:t>融入社会和接受教育提供协助、对教师进行持续培训以应付有不同需要和不同文化背景的学生等。</w:t>
      </w:r>
    </w:p>
    <w:p w:rsidR="00000000" w:rsidRDefault="00000000">
      <w:pPr>
        <w:rPr>
          <w:rFonts w:hint="eastAsia"/>
        </w:rPr>
      </w:pPr>
      <w:r>
        <w:rPr>
          <w:rFonts w:hint="eastAsia"/>
        </w:rPr>
        <w:tab/>
        <w:t xml:space="preserve">1113.  </w:t>
      </w:r>
      <w:r>
        <w:rPr>
          <w:rFonts w:hint="eastAsia"/>
        </w:rPr>
        <w:t>若干移民，主要是来自中国内地的移民的子女在适应生活和适应澳门特别行政区的教育条件方面遇到了困难。教育暨青年局特别为移民儿童举办了多项以认识本地文化为目的的活动和学习繁体字、粤语和英语的课程，帮助他们融入本地学校。</w:t>
      </w:r>
    </w:p>
    <w:p w:rsidR="00000000" w:rsidRDefault="00000000">
      <w:pPr>
        <w:rPr>
          <w:rFonts w:hint="eastAsia"/>
        </w:rPr>
      </w:pPr>
      <w:r>
        <w:rPr>
          <w:rFonts w:hint="eastAsia"/>
        </w:rPr>
        <w:tab/>
        <w:t xml:space="preserve">1114.  </w:t>
      </w:r>
      <w:r>
        <w:rPr>
          <w:rFonts w:hint="eastAsia"/>
        </w:rPr>
        <w:t>必须指出，中国内地所使用的文字是简体字，教学语言是普通话，而澳门特别行政区的教学语言是粤语。</w:t>
      </w:r>
    </w:p>
    <w:p w:rsidR="00000000" w:rsidRDefault="00000000">
      <w:pPr>
        <w:rPr>
          <w:rFonts w:hint="eastAsia"/>
        </w:rPr>
      </w:pPr>
      <w:r>
        <w:rPr>
          <w:rFonts w:hint="eastAsia"/>
        </w:rPr>
        <w:tab/>
        <w:t xml:space="preserve">1115.  </w:t>
      </w:r>
      <w:r>
        <w:rPr>
          <w:rFonts w:hint="eastAsia"/>
        </w:rPr>
        <w:t>出境活动亦为查访和辅助离校儿童的工作带来困难。</w:t>
      </w:r>
    </w:p>
    <w:p w:rsidR="00000000" w:rsidRDefault="00000000">
      <w:pPr>
        <w:rPr>
          <w:rFonts w:hint="eastAsia"/>
        </w:rPr>
      </w:pPr>
      <w:r>
        <w:rPr>
          <w:rFonts w:hint="eastAsia"/>
        </w:rPr>
        <w:tab/>
        <w:t xml:space="preserve">1116.  </w:t>
      </w:r>
      <w:r>
        <w:rPr>
          <w:rFonts w:hint="eastAsia"/>
        </w:rPr>
        <w:t>教育暨青年局亦发展了一套特别机制，帮助被开除的学生寻找新学校以及对新移民学生提供协助。该局在</w:t>
      </w:r>
      <w:r>
        <w:rPr>
          <w:rFonts w:hint="eastAsia"/>
        </w:rPr>
        <w:t>2000</w:t>
      </w:r>
      <w:r>
        <w:rPr>
          <w:rFonts w:hint="eastAsia"/>
        </w:rPr>
        <w:t>年和</w:t>
      </w:r>
      <w:r>
        <w:rPr>
          <w:rFonts w:hint="eastAsia"/>
        </w:rPr>
        <w:t>2002</w:t>
      </w:r>
      <w:r>
        <w:rPr>
          <w:rFonts w:hint="eastAsia"/>
        </w:rPr>
        <w:t>年间成功就超过</w:t>
      </w:r>
      <w:r>
        <w:rPr>
          <w:rFonts w:hint="eastAsia"/>
        </w:rPr>
        <w:t>1,600</w:t>
      </w:r>
      <w:r>
        <w:rPr>
          <w:rFonts w:hint="eastAsia"/>
        </w:rPr>
        <w:t>个个案提供协助。</w:t>
      </w:r>
    </w:p>
    <w:p w:rsidR="00000000" w:rsidRDefault="00000000">
      <w:pPr>
        <w:spacing w:after="320"/>
      </w:pPr>
      <w:r>
        <w:rPr>
          <w:rFonts w:hint="eastAsia"/>
        </w:rPr>
        <w:tab/>
        <w:t xml:space="preserve">1117.  </w:t>
      </w:r>
      <w:r>
        <w:rPr>
          <w:rFonts w:hint="eastAsia"/>
        </w:rPr>
        <w:t>澳门特别行政区政府的其中一项重要工作是改善学校的条件和学生的学习效率，确保学生受到教育和有满意的学业表现。</w:t>
      </w:r>
    </w:p>
    <w:p w:rsidR="00000000" w:rsidRDefault="00000000">
      <w:pPr>
        <w:pStyle w:val="Heading3"/>
        <w:rPr>
          <w:rFonts w:hint="eastAsia"/>
        </w:rPr>
      </w:pPr>
      <w:bookmarkStart w:id="106" w:name="_Toc78773015"/>
      <w:r>
        <w:rPr>
          <w:u w:val="none"/>
        </w:rPr>
        <w:t>E.</w:t>
      </w:r>
      <w:r>
        <w:rPr>
          <w:rFonts w:hint="eastAsia"/>
          <w:u w:val="none"/>
        </w:rPr>
        <w:t xml:space="preserve">  </w:t>
      </w:r>
      <w:r>
        <w:rPr>
          <w:rFonts w:hint="eastAsia"/>
        </w:rPr>
        <w:t>学费和对学生的资助</w:t>
      </w:r>
      <w:bookmarkEnd w:id="106"/>
    </w:p>
    <w:p w:rsidR="00000000" w:rsidRDefault="00000000">
      <w:pPr>
        <w:rPr>
          <w:rFonts w:hint="eastAsia"/>
        </w:rPr>
      </w:pPr>
      <w:r>
        <w:rPr>
          <w:rFonts w:hint="eastAsia"/>
        </w:rPr>
        <w:tab/>
        <w:t xml:space="preserve">1118.  </w:t>
      </w:r>
      <w:r>
        <w:rPr>
          <w:rFonts w:hint="eastAsia"/>
        </w:rPr>
        <w:t>在公立学校或受澳门特别行政区资助的学校进行的基础教育，属免费和普及的义务教育。在这方面提供的帮助，包括免缴学费和其他任何与报名、就读和证书方面有关的费用，并包括对非受资助私立学校的学生给予学费津贴</w:t>
      </w:r>
      <w:r>
        <w:rPr>
          <w:rFonts w:hint="eastAsia"/>
        </w:rPr>
        <w:t>(</w:t>
      </w:r>
      <w:r>
        <w:rPr>
          <w:rFonts w:hint="eastAsia"/>
        </w:rPr>
        <w:t>第</w:t>
      </w:r>
      <w:r>
        <w:rPr>
          <w:rFonts w:hint="eastAsia"/>
        </w:rPr>
        <w:t>11/91/M</w:t>
      </w:r>
      <w:r>
        <w:rPr>
          <w:rFonts w:hint="eastAsia"/>
        </w:rPr>
        <w:t>号法律第六条和第</w:t>
      </w:r>
      <w:r>
        <w:rPr>
          <w:rFonts w:hint="eastAsia"/>
        </w:rPr>
        <w:t>42/99/M</w:t>
      </w:r>
      <w:r>
        <w:rPr>
          <w:rFonts w:hint="eastAsia"/>
        </w:rPr>
        <w:t>号法令第一条</w:t>
      </w:r>
      <w:r>
        <w:rPr>
          <w:rFonts w:hint="eastAsia"/>
        </w:rPr>
        <w:t>)</w:t>
      </w:r>
      <w:r>
        <w:rPr>
          <w:rFonts w:hint="eastAsia"/>
        </w:rPr>
        <w:t>。</w:t>
      </w:r>
    </w:p>
    <w:p w:rsidR="00000000" w:rsidRDefault="00000000">
      <w:pPr>
        <w:rPr>
          <w:rFonts w:hint="eastAsia"/>
        </w:rPr>
      </w:pPr>
      <w:r>
        <w:rPr>
          <w:rFonts w:hint="eastAsia"/>
        </w:rPr>
        <w:tab/>
        <w:t xml:space="preserve">1119.  </w:t>
      </w:r>
      <w:r>
        <w:rPr>
          <w:rFonts w:hint="eastAsia"/>
        </w:rPr>
        <w:t>澳门特别行政区政府负责对受公共学校网络免费教育制度覆盖的各个级别提供资助。公共学校网络由公立学校和按照与教育当局</w:t>
      </w:r>
      <w:r>
        <w:rPr>
          <w:rFonts w:hint="eastAsia"/>
        </w:rPr>
        <w:t>(</w:t>
      </w:r>
      <w:r>
        <w:rPr>
          <w:rFonts w:hint="eastAsia"/>
        </w:rPr>
        <w:t>教育暨青年局</w:t>
      </w:r>
      <w:r>
        <w:rPr>
          <w:rFonts w:hint="eastAsia"/>
        </w:rPr>
        <w:t>)</w:t>
      </w:r>
      <w:r>
        <w:rPr>
          <w:rFonts w:hint="eastAsia"/>
        </w:rPr>
        <w:t>所定协议而提供免费教育的私立学校组成。因此，澳门特别行政区居民可视乎课程和就读的学校而享有</w:t>
      </w:r>
      <w:r>
        <w:rPr>
          <w:rFonts w:hint="eastAsia"/>
        </w:rPr>
        <w:t>40%</w:t>
      </w:r>
      <w:r>
        <w:rPr>
          <w:rFonts w:hint="eastAsia"/>
        </w:rPr>
        <w:t>至</w:t>
      </w:r>
      <w:r>
        <w:rPr>
          <w:rFonts w:hint="eastAsia"/>
        </w:rPr>
        <w:t>85%</w:t>
      </w:r>
      <w:r>
        <w:rPr>
          <w:rFonts w:hint="eastAsia"/>
        </w:rPr>
        <w:t>的学费减免。</w:t>
      </w:r>
    </w:p>
    <w:p w:rsidR="00000000" w:rsidRDefault="00000000">
      <w:pPr>
        <w:rPr>
          <w:rFonts w:hint="eastAsia"/>
        </w:rPr>
      </w:pPr>
      <w:r>
        <w:rPr>
          <w:rFonts w:hint="eastAsia"/>
        </w:rPr>
        <w:tab/>
        <w:t xml:space="preserve">1120.  </w:t>
      </w:r>
      <w:r>
        <w:rPr>
          <w:rFonts w:hint="eastAsia"/>
        </w:rPr>
        <w:t>属低收入家庭的学生就读未纳入公共学校网络的私立学校，可申请学费资助和购买学校用品资助</w:t>
      </w:r>
      <w:r>
        <w:rPr>
          <w:rFonts w:hint="eastAsia"/>
        </w:rPr>
        <w:t>(</w:t>
      </w:r>
      <w:r>
        <w:rPr>
          <w:rFonts w:hint="eastAsia"/>
        </w:rPr>
        <w:t>课本、文具、校服、残障人士用的特别器材等</w:t>
      </w:r>
      <w:r>
        <w:rPr>
          <w:rFonts w:hint="eastAsia"/>
        </w:rPr>
        <w:t>)</w:t>
      </w:r>
      <w:r>
        <w:rPr>
          <w:rFonts w:hint="eastAsia"/>
        </w:rPr>
        <w:t>。此外，高等教育的学生亦可申请助学金。</w:t>
      </w:r>
    </w:p>
    <w:p w:rsidR="00000000" w:rsidRDefault="00000000">
      <w:pPr>
        <w:rPr>
          <w:rFonts w:hint="eastAsia"/>
        </w:rPr>
      </w:pPr>
      <w:r>
        <w:rPr>
          <w:rFonts w:hint="eastAsia"/>
        </w:rPr>
        <w:tab/>
        <w:t xml:space="preserve">1121.  </w:t>
      </w:r>
      <w:r>
        <w:rPr>
          <w:rFonts w:hint="eastAsia"/>
        </w:rPr>
        <w:t>在小学教育方面，澳门特别行政区政府在</w:t>
      </w:r>
      <w:r>
        <w:rPr>
          <w:rFonts w:hint="eastAsia"/>
        </w:rPr>
        <w:t>2002/2003</w:t>
      </w:r>
      <w:r>
        <w:rPr>
          <w:rFonts w:hint="eastAsia"/>
        </w:rPr>
        <w:t>学年对每名就读私立学校的学前教育和小学学生发放最高澳门币</w:t>
      </w:r>
      <w:r>
        <w:rPr>
          <w:rFonts w:hint="eastAsia"/>
        </w:rPr>
        <w:t>1,600</w:t>
      </w:r>
      <w:r>
        <w:rPr>
          <w:rFonts w:hint="eastAsia"/>
        </w:rPr>
        <w:t>元的学费津贴。加入公立学校网络的私立学校每学年可就每名学生收取最高澳门币</w:t>
      </w:r>
      <w:r>
        <w:rPr>
          <w:rFonts w:hint="eastAsia"/>
        </w:rPr>
        <w:t>1,160</w:t>
      </w:r>
      <w:r>
        <w:rPr>
          <w:rFonts w:hint="eastAsia"/>
        </w:rPr>
        <w:t>元的津贴，作为补充服务收费</w:t>
      </w:r>
      <w:r>
        <w:rPr>
          <w:rFonts w:hint="eastAsia"/>
        </w:rPr>
        <w:t>(9</w:t>
      </w:r>
      <w:r>
        <w:rPr>
          <w:rFonts w:hint="eastAsia"/>
        </w:rPr>
        <w:t>月</w:t>
      </w:r>
      <w:r>
        <w:rPr>
          <w:rFonts w:hint="eastAsia"/>
        </w:rPr>
        <w:t>9</w:t>
      </w:r>
      <w:r>
        <w:rPr>
          <w:rFonts w:hint="eastAsia"/>
        </w:rPr>
        <w:t>日第</w:t>
      </w:r>
      <w:r>
        <w:rPr>
          <w:rFonts w:hint="eastAsia"/>
        </w:rPr>
        <w:t>20/2002</w:t>
      </w:r>
      <w:r>
        <w:rPr>
          <w:rFonts w:hint="eastAsia"/>
        </w:rPr>
        <w:t>号行政法规</w:t>
      </w:r>
      <w:r>
        <w:rPr>
          <w:rFonts w:hint="eastAsia"/>
        </w:rPr>
        <w:t>)</w:t>
      </w:r>
      <w:r>
        <w:rPr>
          <w:rFonts w:hint="eastAsia"/>
        </w:rPr>
        <w:t>。</w:t>
      </w:r>
    </w:p>
    <w:p w:rsidR="00000000" w:rsidRDefault="00000000">
      <w:pPr>
        <w:rPr>
          <w:rFonts w:hint="eastAsia"/>
        </w:rPr>
      </w:pPr>
      <w:r>
        <w:rPr>
          <w:rFonts w:hint="eastAsia"/>
        </w:rPr>
        <w:tab/>
        <w:t xml:space="preserve">1122.  </w:t>
      </w:r>
      <w:r>
        <w:rPr>
          <w:rFonts w:hint="eastAsia"/>
        </w:rPr>
        <w:t>非属公共学校网络的学校有向学前教育和小学教育的学生收取学费和补充服务费。在该等学校注册的学生有权每年从澳门特别行政区政府收取澳门币</w:t>
      </w:r>
      <w:r>
        <w:rPr>
          <w:rFonts w:hint="eastAsia"/>
        </w:rPr>
        <w:t>2,900</w:t>
      </w:r>
      <w:r>
        <w:rPr>
          <w:rFonts w:hint="eastAsia"/>
        </w:rPr>
        <w:t>元的津贴。这是最低津贴，除此之外，经济有困难的学生可申请其他津贴，金额由澳门币</w:t>
      </w:r>
      <w:r>
        <w:rPr>
          <w:rFonts w:hint="eastAsia"/>
        </w:rPr>
        <w:t>1,600</w:t>
      </w:r>
      <w:r>
        <w:rPr>
          <w:rFonts w:hint="eastAsia"/>
        </w:rPr>
        <w:t>元至</w:t>
      </w:r>
      <w:r>
        <w:rPr>
          <w:rFonts w:hint="eastAsia"/>
        </w:rPr>
        <w:t>3,200</w:t>
      </w:r>
      <w:r>
        <w:rPr>
          <w:rFonts w:hint="eastAsia"/>
        </w:rPr>
        <w:t>元不等。该等津贴延伸至学前教育。</w:t>
      </w:r>
    </w:p>
    <w:p w:rsidR="00000000" w:rsidRDefault="00000000">
      <w:pPr>
        <w:rPr>
          <w:rFonts w:hint="eastAsia"/>
        </w:rPr>
      </w:pPr>
      <w:r>
        <w:rPr>
          <w:rFonts w:hint="eastAsia"/>
        </w:rPr>
        <w:tab/>
        <w:t xml:space="preserve">1123.  </w:t>
      </w:r>
      <w:r>
        <w:rPr>
          <w:rFonts w:hint="eastAsia"/>
        </w:rPr>
        <w:t>有需要的学生尚可申请购买学校用品</w:t>
      </w:r>
      <w:r>
        <w:rPr>
          <w:rFonts w:hint="eastAsia"/>
        </w:rPr>
        <w:t>(</w:t>
      </w:r>
      <w:r>
        <w:rPr>
          <w:rFonts w:hint="eastAsia"/>
        </w:rPr>
        <w:t>包括校服</w:t>
      </w:r>
      <w:r>
        <w:rPr>
          <w:rFonts w:hint="eastAsia"/>
        </w:rPr>
        <w:t>)</w:t>
      </w:r>
      <w:r>
        <w:rPr>
          <w:rFonts w:hint="eastAsia"/>
        </w:rPr>
        <w:t>的津贴，金额由澳门币</w:t>
      </w:r>
      <w:r>
        <w:rPr>
          <w:rFonts w:hint="eastAsia"/>
        </w:rPr>
        <w:t>425</w:t>
      </w:r>
      <w:r>
        <w:rPr>
          <w:rFonts w:hint="eastAsia"/>
        </w:rPr>
        <w:t>元至</w:t>
      </w:r>
      <w:r>
        <w:rPr>
          <w:rFonts w:hint="eastAsia"/>
        </w:rPr>
        <w:t>850</w:t>
      </w:r>
      <w:r>
        <w:rPr>
          <w:rFonts w:hint="eastAsia"/>
        </w:rPr>
        <w:t>元不等。残障学生可从一基金中获发不设金额限制的津贴。对每项申请均会独立作出考虑。</w:t>
      </w:r>
    </w:p>
    <w:p w:rsidR="00000000" w:rsidRDefault="00000000">
      <w:pPr>
        <w:rPr>
          <w:rFonts w:hint="eastAsia"/>
        </w:rPr>
      </w:pPr>
      <w:r>
        <w:rPr>
          <w:rFonts w:hint="eastAsia"/>
        </w:rPr>
        <w:tab/>
        <w:t xml:space="preserve">1124.  </w:t>
      </w:r>
      <w:r>
        <w:rPr>
          <w:rFonts w:hint="eastAsia"/>
        </w:rPr>
        <w:t>所有属公共学校网络的初中学生，包括在职业技术学校注册的初中学生，有权接受免费教育和取得补充服务费。在</w:t>
      </w:r>
      <w:r>
        <w:rPr>
          <w:rFonts w:hint="eastAsia"/>
        </w:rPr>
        <w:t>2002/2003</w:t>
      </w:r>
      <w:r>
        <w:rPr>
          <w:rFonts w:hint="eastAsia"/>
        </w:rPr>
        <w:t>学年，澳门特别行政区政府以在校初中学生人数每人澳门币</w:t>
      </w:r>
      <w:r>
        <w:rPr>
          <w:rFonts w:hint="eastAsia"/>
        </w:rPr>
        <w:t>9,200</w:t>
      </w:r>
      <w:r>
        <w:rPr>
          <w:rFonts w:hint="eastAsia"/>
        </w:rPr>
        <w:t>元计算，向加入公共学校网络的私立学校发放了学费津贴。该等学校每学年可就每名学生收取最高澳门币</w:t>
      </w:r>
      <w:r>
        <w:rPr>
          <w:rFonts w:hint="eastAsia"/>
        </w:rPr>
        <w:t>1,760</w:t>
      </w:r>
      <w:r>
        <w:rPr>
          <w:rFonts w:hint="eastAsia"/>
        </w:rPr>
        <w:t>元的补充服务费。</w:t>
      </w:r>
    </w:p>
    <w:p w:rsidR="00000000" w:rsidRDefault="00000000">
      <w:pPr>
        <w:rPr>
          <w:rFonts w:hint="eastAsia"/>
        </w:rPr>
      </w:pPr>
      <w:r>
        <w:rPr>
          <w:rFonts w:hint="eastAsia"/>
        </w:rPr>
        <w:tab/>
        <w:t xml:space="preserve">1125.  </w:t>
      </w:r>
      <w:r>
        <w:rPr>
          <w:rFonts w:hint="eastAsia"/>
        </w:rPr>
        <w:t>在未加入公共学校网络的学校注册的初中学生每学年有权收取澳门币</w:t>
      </w:r>
      <w:r>
        <w:rPr>
          <w:rFonts w:hint="eastAsia"/>
        </w:rPr>
        <w:t>4,300</w:t>
      </w:r>
      <w:r>
        <w:rPr>
          <w:rFonts w:hint="eastAsia"/>
        </w:rPr>
        <w:t>元作为基本津贴。</w:t>
      </w:r>
    </w:p>
    <w:p w:rsidR="00000000" w:rsidRDefault="00000000">
      <w:pPr>
        <w:rPr>
          <w:rFonts w:hint="eastAsia"/>
        </w:rPr>
      </w:pPr>
      <w:r>
        <w:rPr>
          <w:rFonts w:hint="eastAsia"/>
        </w:rPr>
        <w:tab/>
        <w:t xml:space="preserve">1126.  </w:t>
      </w:r>
      <w:r>
        <w:rPr>
          <w:rFonts w:hint="eastAsia"/>
        </w:rPr>
        <w:t>有需要的学生尚可获发用于支付学费的补充津贴</w:t>
      </w:r>
      <w:r>
        <w:rPr>
          <w:rFonts w:hint="eastAsia"/>
        </w:rPr>
        <w:t>(</w:t>
      </w:r>
      <w:r>
        <w:rPr>
          <w:rFonts w:hint="eastAsia"/>
        </w:rPr>
        <w:t>澳门币</w:t>
      </w:r>
      <w:r>
        <w:rPr>
          <w:rFonts w:hint="eastAsia"/>
        </w:rPr>
        <w:t>2,475</w:t>
      </w:r>
      <w:r>
        <w:rPr>
          <w:rFonts w:hint="eastAsia"/>
        </w:rPr>
        <w:t>元至</w:t>
      </w:r>
      <w:r>
        <w:rPr>
          <w:rFonts w:hint="eastAsia"/>
        </w:rPr>
        <w:t>4,800</w:t>
      </w:r>
      <w:r>
        <w:rPr>
          <w:rFonts w:hint="eastAsia"/>
        </w:rPr>
        <w:t>元</w:t>
      </w:r>
      <w:r>
        <w:rPr>
          <w:rFonts w:hint="eastAsia"/>
        </w:rPr>
        <w:t>)</w:t>
      </w:r>
      <w:r>
        <w:rPr>
          <w:rFonts w:hint="eastAsia"/>
        </w:rPr>
        <w:t>和购买学校用品津贴</w:t>
      </w:r>
      <w:r>
        <w:rPr>
          <w:rFonts w:hint="eastAsia"/>
        </w:rPr>
        <w:t>(</w:t>
      </w:r>
      <w:r>
        <w:rPr>
          <w:rFonts w:hint="eastAsia"/>
        </w:rPr>
        <w:t>澳门币</w:t>
      </w:r>
      <w:r>
        <w:rPr>
          <w:rFonts w:hint="eastAsia"/>
        </w:rPr>
        <w:t>625</w:t>
      </w:r>
      <w:r>
        <w:rPr>
          <w:rFonts w:hint="eastAsia"/>
        </w:rPr>
        <w:t>元至</w:t>
      </w:r>
      <w:r>
        <w:rPr>
          <w:rFonts w:hint="eastAsia"/>
        </w:rPr>
        <w:t>1,300</w:t>
      </w:r>
      <w:r>
        <w:rPr>
          <w:rFonts w:hint="eastAsia"/>
        </w:rPr>
        <w:t>元</w:t>
      </w:r>
      <w:r>
        <w:rPr>
          <w:rFonts w:hint="eastAsia"/>
        </w:rPr>
        <w:t>)</w:t>
      </w:r>
      <w:r>
        <w:rPr>
          <w:rFonts w:hint="eastAsia"/>
        </w:rPr>
        <w:t>。</w:t>
      </w:r>
    </w:p>
    <w:p w:rsidR="00000000" w:rsidRDefault="00000000">
      <w:pPr>
        <w:rPr>
          <w:rFonts w:hint="eastAsia"/>
        </w:rPr>
      </w:pPr>
      <w:r>
        <w:rPr>
          <w:rFonts w:hint="eastAsia"/>
        </w:rPr>
        <w:tab/>
        <w:t xml:space="preserve">1127.  </w:t>
      </w:r>
      <w:r>
        <w:rPr>
          <w:rFonts w:hint="eastAsia"/>
        </w:rPr>
        <w:t>近年来，受惠于公共学校网络的中学生的人数出现实质增长。</w:t>
      </w:r>
    </w:p>
    <w:p w:rsidR="00000000" w:rsidRDefault="00000000">
      <w:pPr>
        <w:spacing w:after="320"/>
        <w:rPr>
          <w:rFonts w:hint="eastAsia"/>
        </w:rPr>
      </w:pPr>
      <w:r>
        <w:rPr>
          <w:rFonts w:hint="eastAsia"/>
        </w:rPr>
        <w:tab/>
        <w:t xml:space="preserve">1128.  </w:t>
      </w:r>
      <w:r>
        <w:rPr>
          <w:rFonts w:hint="eastAsia"/>
        </w:rPr>
        <w:t>高等教育的学生亦受惠于财政支助</w:t>
      </w:r>
      <w:r>
        <w:rPr>
          <w:rFonts w:hint="eastAsia"/>
        </w:rPr>
        <w:t>(5</w:t>
      </w:r>
      <w:r>
        <w:rPr>
          <w:rFonts w:hint="eastAsia"/>
        </w:rPr>
        <w:t>月</w:t>
      </w:r>
      <w:r>
        <w:rPr>
          <w:rFonts w:hint="eastAsia"/>
        </w:rPr>
        <w:t>14</w:t>
      </w:r>
      <w:r>
        <w:rPr>
          <w:rFonts w:hint="eastAsia"/>
        </w:rPr>
        <w:t>日第</w:t>
      </w:r>
      <w:r>
        <w:rPr>
          <w:rFonts w:hint="eastAsia"/>
        </w:rPr>
        <w:t>18/2001</w:t>
      </w:r>
      <w:r>
        <w:rPr>
          <w:rFonts w:hint="eastAsia"/>
        </w:rPr>
        <w:t>号社会文化司司长批示</w:t>
      </w:r>
      <w:r>
        <w:rPr>
          <w:rFonts w:hint="eastAsia"/>
        </w:rPr>
        <w:t>)</w:t>
      </w:r>
      <w:r>
        <w:rPr>
          <w:rFonts w:hint="eastAsia"/>
        </w:rPr>
        <w:t>。教育暨青年局</w:t>
      </w:r>
      <w:r>
        <w:rPr>
          <w:rFonts w:hint="eastAsia"/>
        </w:rPr>
        <w:t>2002</w:t>
      </w:r>
      <w:r>
        <w:rPr>
          <w:rFonts w:hint="eastAsia"/>
        </w:rPr>
        <w:t>年的资料显示，</w:t>
      </w:r>
      <w:r>
        <w:rPr>
          <w:rFonts w:hint="eastAsia"/>
        </w:rPr>
        <w:t>1999/2000</w:t>
      </w:r>
      <w:r>
        <w:rPr>
          <w:rFonts w:hint="eastAsia"/>
        </w:rPr>
        <w:t>学年向高等教育学生发放的助学金、贷学金、特别贷学金、旅费津贴和住宿津贴的总额为澳门币</w:t>
      </w:r>
      <w:r>
        <w:rPr>
          <w:rFonts w:hint="eastAsia"/>
        </w:rPr>
        <w:t>59,888,967</w:t>
      </w:r>
      <w:r>
        <w:rPr>
          <w:rFonts w:hint="eastAsia"/>
        </w:rPr>
        <w:t>元，共</w:t>
      </w:r>
      <w:r>
        <w:rPr>
          <w:rFonts w:hint="eastAsia"/>
        </w:rPr>
        <w:t>2,905</w:t>
      </w:r>
      <w:r>
        <w:rPr>
          <w:rFonts w:hint="eastAsia"/>
        </w:rPr>
        <w:t>名学生受惠；</w:t>
      </w:r>
      <w:r>
        <w:rPr>
          <w:rFonts w:hint="eastAsia"/>
        </w:rPr>
        <w:t>2000/2001</w:t>
      </w:r>
      <w:r>
        <w:rPr>
          <w:rFonts w:hint="eastAsia"/>
        </w:rPr>
        <w:t>学年的总额为澳门币</w:t>
      </w:r>
      <w:r>
        <w:rPr>
          <w:rFonts w:hint="eastAsia"/>
        </w:rPr>
        <w:t>61,874,179</w:t>
      </w:r>
      <w:r>
        <w:rPr>
          <w:rFonts w:hint="eastAsia"/>
        </w:rPr>
        <w:t>元，受惠学生人数</w:t>
      </w:r>
      <w:r>
        <w:rPr>
          <w:rFonts w:hint="eastAsia"/>
        </w:rPr>
        <w:t>3,040</w:t>
      </w:r>
      <w:r>
        <w:rPr>
          <w:rFonts w:hint="eastAsia"/>
        </w:rPr>
        <w:t>人，而</w:t>
      </w:r>
      <w:r>
        <w:rPr>
          <w:rFonts w:hint="eastAsia"/>
        </w:rPr>
        <w:t>2001/2002</w:t>
      </w:r>
      <w:r>
        <w:rPr>
          <w:rFonts w:hint="eastAsia"/>
        </w:rPr>
        <w:t>学年的总额则为澳门币</w:t>
      </w:r>
      <w:r>
        <w:rPr>
          <w:rFonts w:hint="eastAsia"/>
        </w:rPr>
        <w:t>59,701,332</w:t>
      </w:r>
      <w:r>
        <w:rPr>
          <w:rFonts w:hint="eastAsia"/>
        </w:rPr>
        <w:t>元，受惠人数</w:t>
      </w:r>
      <w:r>
        <w:rPr>
          <w:rFonts w:hint="eastAsia"/>
        </w:rPr>
        <w:t>3,060</w:t>
      </w:r>
      <w:r>
        <w:rPr>
          <w:rFonts w:hint="eastAsia"/>
        </w:rPr>
        <w:t>人。</w:t>
      </w:r>
    </w:p>
    <w:p w:rsidR="00000000" w:rsidRDefault="00000000">
      <w:pPr>
        <w:pStyle w:val="a3"/>
        <w:rPr>
          <w:rFonts w:hint="eastAsia"/>
        </w:rPr>
      </w:pPr>
      <w:r>
        <w:rPr>
          <w:rFonts w:hint="eastAsia"/>
        </w:rPr>
        <w:t>高等教育助学金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76"/>
        <w:gridCol w:w="1176"/>
        <w:gridCol w:w="1176"/>
        <w:gridCol w:w="1176"/>
        <w:gridCol w:w="1176"/>
        <w:gridCol w:w="1176"/>
        <w:gridCol w:w="1177"/>
        <w:gridCol w:w="1177"/>
      </w:tblGrid>
      <w:tr w:rsidR="00000000">
        <w:tblPrEx>
          <w:tblCellMar>
            <w:top w:w="0" w:type="dxa"/>
            <w:bottom w:w="0" w:type="dxa"/>
          </w:tblCellMar>
        </w:tblPrEx>
        <w:tc>
          <w:tcPr>
            <w:tcW w:w="1176" w:type="dxa"/>
          </w:tcPr>
          <w:p w:rsidR="00000000" w:rsidRDefault="00000000">
            <w:pPr>
              <w:pStyle w:val="a2"/>
              <w:spacing w:before="120" w:line="288" w:lineRule="auto"/>
              <w:jc w:val="center"/>
              <w:rPr>
                <w:rFonts w:hint="eastAsia"/>
              </w:rPr>
            </w:pPr>
            <w:r>
              <w:rPr>
                <w:rFonts w:hint="eastAsia"/>
              </w:rPr>
              <w:t>年</w:t>
            </w:r>
            <w:r>
              <w:rPr>
                <w:rFonts w:hint="eastAsia"/>
              </w:rPr>
              <w:t xml:space="preserve">  </w:t>
            </w:r>
            <w:r>
              <w:rPr>
                <w:rFonts w:hint="eastAsia"/>
              </w:rPr>
              <w:t>份</w:t>
            </w:r>
          </w:p>
        </w:tc>
        <w:tc>
          <w:tcPr>
            <w:tcW w:w="1176" w:type="dxa"/>
          </w:tcPr>
          <w:p w:rsidR="00000000" w:rsidRDefault="00000000">
            <w:pPr>
              <w:pStyle w:val="a2"/>
              <w:spacing w:before="120" w:line="288" w:lineRule="auto"/>
              <w:jc w:val="center"/>
              <w:rPr>
                <w:rFonts w:hint="eastAsia"/>
              </w:rPr>
            </w:pPr>
            <w:r>
              <w:rPr>
                <w:rFonts w:hint="eastAsia"/>
              </w:rPr>
              <w:t>总人数</w:t>
            </w:r>
          </w:p>
        </w:tc>
        <w:tc>
          <w:tcPr>
            <w:tcW w:w="1176" w:type="dxa"/>
          </w:tcPr>
          <w:p w:rsidR="00000000" w:rsidRDefault="00000000">
            <w:pPr>
              <w:pStyle w:val="a2"/>
              <w:spacing w:before="120" w:line="288" w:lineRule="auto"/>
              <w:jc w:val="center"/>
              <w:rPr>
                <w:rFonts w:hint="eastAsia"/>
              </w:rPr>
            </w:pPr>
            <w:r>
              <w:rPr>
                <w:rFonts w:hint="eastAsia"/>
              </w:rPr>
              <w:t>中国内地</w:t>
            </w:r>
          </w:p>
        </w:tc>
        <w:tc>
          <w:tcPr>
            <w:tcW w:w="1176" w:type="dxa"/>
          </w:tcPr>
          <w:p w:rsidR="00000000" w:rsidRDefault="00000000">
            <w:pPr>
              <w:pStyle w:val="a2"/>
              <w:spacing w:before="120" w:line="288" w:lineRule="auto"/>
              <w:jc w:val="center"/>
              <w:rPr>
                <w:rFonts w:hint="eastAsia"/>
              </w:rPr>
            </w:pPr>
            <w:r>
              <w:rPr>
                <w:rFonts w:hint="eastAsia"/>
              </w:rPr>
              <w:t>澳</w:t>
            </w:r>
            <w:r>
              <w:rPr>
                <w:rFonts w:hint="eastAsia"/>
              </w:rPr>
              <w:t xml:space="preserve">  </w:t>
            </w:r>
            <w:r>
              <w:rPr>
                <w:rFonts w:hint="eastAsia"/>
              </w:rPr>
              <w:t>门</w:t>
            </w:r>
          </w:p>
        </w:tc>
        <w:tc>
          <w:tcPr>
            <w:tcW w:w="1176" w:type="dxa"/>
          </w:tcPr>
          <w:p w:rsidR="00000000" w:rsidRDefault="00000000">
            <w:pPr>
              <w:pStyle w:val="a2"/>
              <w:spacing w:before="120" w:line="288" w:lineRule="auto"/>
              <w:jc w:val="center"/>
              <w:rPr>
                <w:rFonts w:hint="eastAsia"/>
              </w:rPr>
            </w:pPr>
            <w:r>
              <w:rPr>
                <w:rFonts w:hint="eastAsia"/>
              </w:rPr>
              <w:t>台</w:t>
            </w:r>
            <w:r>
              <w:rPr>
                <w:rFonts w:hint="eastAsia"/>
              </w:rPr>
              <w:t xml:space="preserve">  </w:t>
            </w:r>
            <w:r>
              <w:rPr>
                <w:rFonts w:hint="eastAsia"/>
              </w:rPr>
              <w:t>湾</w:t>
            </w:r>
          </w:p>
        </w:tc>
        <w:tc>
          <w:tcPr>
            <w:tcW w:w="1176" w:type="dxa"/>
          </w:tcPr>
          <w:p w:rsidR="00000000" w:rsidRDefault="00000000">
            <w:pPr>
              <w:pStyle w:val="a2"/>
              <w:spacing w:before="120" w:line="288" w:lineRule="auto"/>
              <w:jc w:val="center"/>
              <w:rPr>
                <w:rFonts w:hint="eastAsia"/>
              </w:rPr>
            </w:pPr>
            <w:r>
              <w:rPr>
                <w:rFonts w:hint="eastAsia"/>
              </w:rPr>
              <w:t>葡萄牙</w:t>
            </w:r>
          </w:p>
        </w:tc>
        <w:tc>
          <w:tcPr>
            <w:tcW w:w="1177" w:type="dxa"/>
          </w:tcPr>
          <w:p w:rsidR="00000000" w:rsidRDefault="00000000">
            <w:pPr>
              <w:pStyle w:val="a2"/>
              <w:spacing w:before="120" w:line="288" w:lineRule="auto"/>
              <w:jc w:val="center"/>
              <w:rPr>
                <w:rFonts w:hint="eastAsia"/>
              </w:rPr>
            </w:pPr>
            <w:r>
              <w:rPr>
                <w:rFonts w:hint="eastAsia"/>
              </w:rPr>
              <w:t>美</w:t>
            </w:r>
            <w:r>
              <w:rPr>
                <w:rFonts w:hint="eastAsia"/>
              </w:rPr>
              <w:t xml:space="preserve">  </w:t>
            </w:r>
            <w:r>
              <w:rPr>
                <w:rFonts w:hint="eastAsia"/>
              </w:rPr>
              <w:t>国</w:t>
            </w:r>
          </w:p>
        </w:tc>
        <w:tc>
          <w:tcPr>
            <w:tcW w:w="1177" w:type="dxa"/>
          </w:tcPr>
          <w:p w:rsidR="00000000" w:rsidRDefault="00000000">
            <w:pPr>
              <w:pStyle w:val="a2"/>
              <w:spacing w:before="120" w:line="288" w:lineRule="auto"/>
              <w:jc w:val="center"/>
              <w:rPr>
                <w:rFonts w:hint="eastAsia"/>
              </w:rPr>
            </w:pPr>
            <w:r>
              <w:rPr>
                <w:rFonts w:hint="eastAsia"/>
              </w:rPr>
              <w:t>其</w:t>
            </w:r>
            <w:r>
              <w:rPr>
                <w:rFonts w:hint="eastAsia"/>
              </w:rPr>
              <w:t xml:space="preserve">  </w:t>
            </w:r>
            <w:r>
              <w:rPr>
                <w:rFonts w:hint="eastAsia"/>
              </w:rPr>
              <w:t>他</w:t>
            </w:r>
          </w:p>
        </w:tc>
      </w:tr>
      <w:tr w:rsidR="00000000">
        <w:tblPrEx>
          <w:tblCellMar>
            <w:top w:w="0" w:type="dxa"/>
            <w:bottom w:w="0" w:type="dxa"/>
          </w:tblCellMar>
        </w:tblPrEx>
        <w:tc>
          <w:tcPr>
            <w:tcW w:w="1176" w:type="dxa"/>
          </w:tcPr>
          <w:p w:rsidR="00000000" w:rsidRDefault="00000000">
            <w:pPr>
              <w:pStyle w:val="a2"/>
              <w:spacing w:before="80" w:line="288" w:lineRule="auto"/>
              <w:jc w:val="center"/>
              <w:rPr>
                <w:rFonts w:hint="eastAsia"/>
              </w:rPr>
            </w:pPr>
            <w:r>
              <w:rPr>
                <w:rFonts w:hint="eastAsia"/>
              </w:rPr>
              <w:t>1999/2000</w:t>
            </w:r>
          </w:p>
        </w:tc>
        <w:tc>
          <w:tcPr>
            <w:tcW w:w="1176" w:type="dxa"/>
          </w:tcPr>
          <w:p w:rsidR="00000000" w:rsidRDefault="00000000">
            <w:pPr>
              <w:pStyle w:val="a2"/>
              <w:spacing w:before="80" w:line="288" w:lineRule="auto"/>
              <w:jc w:val="center"/>
              <w:rPr>
                <w:rFonts w:hint="eastAsia"/>
              </w:rPr>
            </w:pPr>
            <w:r>
              <w:rPr>
                <w:rFonts w:hint="eastAsia"/>
              </w:rPr>
              <w:t>2,905</w:t>
            </w:r>
          </w:p>
        </w:tc>
        <w:tc>
          <w:tcPr>
            <w:tcW w:w="1176" w:type="dxa"/>
          </w:tcPr>
          <w:p w:rsidR="00000000" w:rsidRDefault="00000000">
            <w:pPr>
              <w:pStyle w:val="a2"/>
              <w:spacing w:before="80" w:line="288" w:lineRule="auto"/>
              <w:jc w:val="center"/>
              <w:rPr>
                <w:rFonts w:hint="eastAsia"/>
              </w:rPr>
            </w:pPr>
            <w:r>
              <w:rPr>
                <w:rFonts w:hint="eastAsia"/>
              </w:rPr>
              <w:t>1,130</w:t>
            </w:r>
          </w:p>
        </w:tc>
        <w:tc>
          <w:tcPr>
            <w:tcW w:w="1176" w:type="dxa"/>
          </w:tcPr>
          <w:p w:rsidR="00000000" w:rsidRDefault="00000000">
            <w:pPr>
              <w:pStyle w:val="a2"/>
              <w:spacing w:before="80" w:line="288" w:lineRule="auto"/>
              <w:jc w:val="center"/>
              <w:rPr>
                <w:rFonts w:hint="eastAsia"/>
              </w:rPr>
            </w:pPr>
            <w:r>
              <w:rPr>
                <w:rFonts w:hint="eastAsia"/>
              </w:rPr>
              <w:t>1,208</w:t>
            </w:r>
          </w:p>
        </w:tc>
        <w:tc>
          <w:tcPr>
            <w:tcW w:w="1176" w:type="dxa"/>
          </w:tcPr>
          <w:p w:rsidR="00000000" w:rsidRDefault="00000000">
            <w:pPr>
              <w:pStyle w:val="a2"/>
              <w:spacing w:before="80" w:line="288" w:lineRule="auto"/>
              <w:jc w:val="center"/>
              <w:rPr>
                <w:rFonts w:hint="eastAsia"/>
              </w:rPr>
            </w:pPr>
            <w:r>
              <w:rPr>
                <w:rFonts w:hint="eastAsia"/>
              </w:rPr>
              <w:t>475</w:t>
            </w:r>
          </w:p>
        </w:tc>
        <w:tc>
          <w:tcPr>
            <w:tcW w:w="1176" w:type="dxa"/>
          </w:tcPr>
          <w:p w:rsidR="00000000" w:rsidRDefault="00000000">
            <w:pPr>
              <w:pStyle w:val="a2"/>
              <w:spacing w:before="80" w:line="288" w:lineRule="auto"/>
              <w:jc w:val="center"/>
              <w:rPr>
                <w:rFonts w:hint="eastAsia"/>
              </w:rPr>
            </w:pPr>
            <w:r>
              <w:rPr>
                <w:rFonts w:hint="eastAsia"/>
              </w:rPr>
              <w:t>36</w:t>
            </w:r>
          </w:p>
        </w:tc>
        <w:tc>
          <w:tcPr>
            <w:tcW w:w="1177" w:type="dxa"/>
          </w:tcPr>
          <w:p w:rsidR="00000000" w:rsidRDefault="00000000">
            <w:pPr>
              <w:pStyle w:val="a2"/>
              <w:spacing w:before="80" w:line="288" w:lineRule="auto"/>
              <w:jc w:val="center"/>
              <w:rPr>
                <w:rFonts w:hint="eastAsia"/>
              </w:rPr>
            </w:pPr>
            <w:r>
              <w:rPr>
                <w:rFonts w:hint="eastAsia"/>
              </w:rPr>
              <w:t>26</w:t>
            </w:r>
          </w:p>
        </w:tc>
        <w:tc>
          <w:tcPr>
            <w:tcW w:w="1177" w:type="dxa"/>
          </w:tcPr>
          <w:p w:rsidR="00000000" w:rsidRDefault="00000000">
            <w:pPr>
              <w:pStyle w:val="a2"/>
              <w:spacing w:before="80" w:line="288" w:lineRule="auto"/>
              <w:jc w:val="center"/>
              <w:rPr>
                <w:rFonts w:hint="eastAsia"/>
              </w:rPr>
            </w:pPr>
            <w:r>
              <w:rPr>
                <w:rFonts w:hint="eastAsia"/>
              </w:rPr>
              <w:t>30</w:t>
            </w:r>
          </w:p>
        </w:tc>
      </w:tr>
      <w:tr w:rsidR="00000000">
        <w:tblPrEx>
          <w:tblCellMar>
            <w:top w:w="0" w:type="dxa"/>
            <w:bottom w:w="0" w:type="dxa"/>
          </w:tblCellMar>
        </w:tblPrEx>
        <w:tc>
          <w:tcPr>
            <w:tcW w:w="1176" w:type="dxa"/>
          </w:tcPr>
          <w:p w:rsidR="00000000" w:rsidRDefault="00000000">
            <w:pPr>
              <w:pStyle w:val="a2"/>
              <w:spacing w:before="80" w:line="288" w:lineRule="auto"/>
              <w:jc w:val="center"/>
              <w:rPr>
                <w:rFonts w:hint="eastAsia"/>
              </w:rPr>
            </w:pPr>
            <w:r>
              <w:rPr>
                <w:rFonts w:hint="eastAsia"/>
              </w:rPr>
              <w:t>2000/2001</w:t>
            </w:r>
          </w:p>
        </w:tc>
        <w:tc>
          <w:tcPr>
            <w:tcW w:w="1176" w:type="dxa"/>
          </w:tcPr>
          <w:p w:rsidR="00000000" w:rsidRDefault="00000000">
            <w:pPr>
              <w:pStyle w:val="a2"/>
              <w:spacing w:before="80" w:line="288" w:lineRule="auto"/>
              <w:jc w:val="center"/>
              <w:rPr>
                <w:rFonts w:hint="eastAsia"/>
              </w:rPr>
            </w:pPr>
            <w:r>
              <w:rPr>
                <w:rFonts w:hint="eastAsia"/>
              </w:rPr>
              <w:t>3,040</w:t>
            </w:r>
          </w:p>
        </w:tc>
        <w:tc>
          <w:tcPr>
            <w:tcW w:w="1176" w:type="dxa"/>
          </w:tcPr>
          <w:p w:rsidR="00000000" w:rsidRDefault="00000000">
            <w:pPr>
              <w:pStyle w:val="a2"/>
              <w:spacing w:before="80" w:line="288" w:lineRule="auto"/>
              <w:jc w:val="center"/>
              <w:rPr>
                <w:rFonts w:hint="eastAsia"/>
              </w:rPr>
            </w:pPr>
            <w:r>
              <w:rPr>
                <w:rFonts w:hint="eastAsia"/>
              </w:rPr>
              <w:t>1,120</w:t>
            </w:r>
          </w:p>
        </w:tc>
        <w:tc>
          <w:tcPr>
            <w:tcW w:w="1176" w:type="dxa"/>
          </w:tcPr>
          <w:p w:rsidR="00000000" w:rsidRDefault="00000000">
            <w:pPr>
              <w:pStyle w:val="a2"/>
              <w:spacing w:before="80" w:line="288" w:lineRule="auto"/>
              <w:jc w:val="center"/>
              <w:rPr>
                <w:rFonts w:hint="eastAsia"/>
              </w:rPr>
            </w:pPr>
            <w:r>
              <w:rPr>
                <w:rFonts w:hint="eastAsia"/>
              </w:rPr>
              <w:t>1,392</w:t>
            </w:r>
          </w:p>
        </w:tc>
        <w:tc>
          <w:tcPr>
            <w:tcW w:w="1176" w:type="dxa"/>
          </w:tcPr>
          <w:p w:rsidR="00000000" w:rsidRDefault="00000000">
            <w:pPr>
              <w:pStyle w:val="a2"/>
              <w:spacing w:before="80" w:line="288" w:lineRule="auto"/>
              <w:jc w:val="center"/>
              <w:rPr>
                <w:rFonts w:hint="eastAsia"/>
              </w:rPr>
            </w:pPr>
            <w:r>
              <w:rPr>
                <w:rFonts w:hint="eastAsia"/>
              </w:rPr>
              <w:t>437</w:t>
            </w:r>
          </w:p>
        </w:tc>
        <w:tc>
          <w:tcPr>
            <w:tcW w:w="1176" w:type="dxa"/>
          </w:tcPr>
          <w:p w:rsidR="00000000" w:rsidRDefault="00000000">
            <w:pPr>
              <w:pStyle w:val="a2"/>
              <w:spacing w:before="80" w:line="288" w:lineRule="auto"/>
              <w:jc w:val="center"/>
              <w:rPr>
                <w:rFonts w:hint="eastAsia"/>
              </w:rPr>
            </w:pPr>
            <w:r>
              <w:rPr>
                <w:rFonts w:hint="eastAsia"/>
              </w:rPr>
              <w:t>31</w:t>
            </w:r>
          </w:p>
        </w:tc>
        <w:tc>
          <w:tcPr>
            <w:tcW w:w="1177" w:type="dxa"/>
          </w:tcPr>
          <w:p w:rsidR="00000000" w:rsidRDefault="00000000">
            <w:pPr>
              <w:pStyle w:val="a2"/>
              <w:spacing w:before="80" w:line="288" w:lineRule="auto"/>
              <w:jc w:val="center"/>
              <w:rPr>
                <w:rFonts w:hint="eastAsia"/>
              </w:rPr>
            </w:pPr>
            <w:r>
              <w:rPr>
                <w:rFonts w:hint="eastAsia"/>
              </w:rPr>
              <w:t>25</w:t>
            </w:r>
          </w:p>
        </w:tc>
        <w:tc>
          <w:tcPr>
            <w:tcW w:w="1177" w:type="dxa"/>
          </w:tcPr>
          <w:p w:rsidR="00000000" w:rsidRDefault="00000000">
            <w:pPr>
              <w:pStyle w:val="a2"/>
              <w:spacing w:before="80" w:line="288" w:lineRule="auto"/>
              <w:jc w:val="center"/>
              <w:rPr>
                <w:rFonts w:hint="eastAsia"/>
              </w:rPr>
            </w:pPr>
            <w:r>
              <w:rPr>
                <w:rFonts w:hint="eastAsia"/>
              </w:rPr>
              <w:t>35</w:t>
            </w:r>
          </w:p>
        </w:tc>
      </w:tr>
      <w:tr w:rsidR="00000000">
        <w:tblPrEx>
          <w:tblCellMar>
            <w:top w:w="0" w:type="dxa"/>
            <w:bottom w:w="0" w:type="dxa"/>
          </w:tblCellMar>
        </w:tblPrEx>
        <w:tc>
          <w:tcPr>
            <w:tcW w:w="1176" w:type="dxa"/>
          </w:tcPr>
          <w:p w:rsidR="00000000" w:rsidRDefault="00000000">
            <w:pPr>
              <w:pStyle w:val="a2"/>
              <w:spacing w:before="80" w:line="288" w:lineRule="auto"/>
              <w:jc w:val="center"/>
              <w:rPr>
                <w:rFonts w:hint="eastAsia"/>
              </w:rPr>
            </w:pPr>
            <w:r>
              <w:rPr>
                <w:rFonts w:hint="eastAsia"/>
              </w:rPr>
              <w:t>2001/2002</w:t>
            </w:r>
          </w:p>
        </w:tc>
        <w:tc>
          <w:tcPr>
            <w:tcW w:w="1176" w:type="dxa"/>
          </w:tcPr>
          <w:p w:rsidR="00000000" w:rsidRDefault="00000000">
            <w:pPr>
              <w:pStyle w:val="a2"/>
              <w:spacing w:before="80" w:line="288" w:lineRule="auto"/>
              <w:jc w:val="center"/>
              <w:rPr>
                <w:rFonts w:hint="eastAsia"/>
              </w:rPr>
            </w:pPr>
            <w:r>
              <w:rPr>
                <w:rFonts w:hint="eastAsia"/>
              </w:rPr>
              <w:t>3,060</w:t>
            </w:r>
          </w:p>
        </w:tc>
        <w:tc>
          <w:tcPr>
            <w:tcW w:w="1176" w:type="dxa"/>
          </w:tcPr>
          <w:p w:rsidR="00000000" w:rsidRDefault="00000000">
            <w:pPr>
              <w:pStyle w:val="a2"/>
              <w:spacing w:before="80" w:line="288" w:lineRule="auto"/>
              <w:jc w:val="center"/>
              <w:rPr>
                <w:rFonts w:hint="eastAsia"/>
              </w:rPr>
            </w:pPr>
            <w:r>
              <w:rPr>
                <w:rFonts w:hint="eastAsia"/>
              </w:rPr>
              <w:t>1,020</w:t>
            </w:r>
          </w:p>
        </w:tc>
        <w:tc>
          <w:tcPr>
            <w:tcW w:w="1176" w:type="dxa"/>
          </w:tcPr>
          <w:p w:rsidR="00000000" w:rsidRDefault="00000000">
            <w:pPr>
              <w:pStyle w:val="a2"/>
              <w:spacing w:before="80" w:line="288" w:lineRule="auto"/>
              <w:jc w:val="center"/>
              <w:rPr>
                <w:rFonts w:hint="eastAsia"/>
              </w:rPr>
            </w:pPr>
            <w:r>
              <w:rPr>
                <w:rFonts w:hint="eastAsia"/>
              </w:rPr>
              <w:t>1,524</w:t>
            </w:r>
          </w:p>
        </w:tc>
        <w:tc>
          <w:tcPr>
            <w:tcW w:w="1176" w:type="dxa"/>
          </w:tcPr>
          <w:p w:rsidR="00000000" w:rsidRDefault="00000000">
            <w:pPr>
              <w:pStyle w:val="a2"/>
              <w:spacing w:before="80" w:line="288" w:lineRule="auto"/>
              <w:jc w:val="center"/>
              <w:rPr>
                <w:rFonts w:hint="eastAsia"/>
              </w:rPr>
            </w:pPr>
            <w:r>
              <w:rPr>
                <w:rFonts w:hint="eastAsia"/>
              </w:rPr>
              <w:t>452</w:t>
            </w:r>
          </w:p>
        </w:tc>
        <w:tc>
          <w:tcPr>
            <w:tcW w:w="1176" w:type="dxa"/>
          </w:tcPr>
          <w:p w:rsidR="00000000" w:rsidRDefault="00000000">
            <w:pPr>
              <w:pStyle w:val="a2"/>
              <w:spacing w:before="80" w:line="288" w:lineRule="auto"/>
              <w:jc w:val="center"/>
              <w:rPr>
                <w:rFonts w:hint="eastAsia"/>
              </w:rPr>
            </w:pPr>
            <w:r>
              <w:rPr>
                <w:rFonts w:hint="eastAsia"/>
              </w:rPr>
              <w:t>18</w:t>
            </w:r>
          </w:p>
        </w:tc>
        <w:tc>
          <w:tcPr>
            <w:tcW w:w="1177" w:type="dxa"/>
          </w:tcPr>
          <w:p w:rsidR="00000000" w:rsidRDefault="00000000">
            <w:pPr>
              <w:pStyle w:val="a2"/>
              <w:spacing w:before="80" w:line="288" w:lineRule="auto"/>
              <w:jc w:val="center"/>
              <w:rPr>
                <w:rFonts w:hint="eastAsia"/>
              </w:rPr>
            </w:pPr>
            <w:r>
              <w:rPr>
                <w:rFonts w:hint="eastAsia"/>
              </w:rPr>
              <w:t>18</w:t>
            </w:r>
          </w:p>
        </w:tc>
        <w:tc>
          <w:tcPr>
            <w:tcW w:w="1177" w:type="dxa"/>
          </w:tcPr>
          <w:p w:rsidR="00000000" w:rsidRDefault="00000000">
            <w:pPr>
              <w:pStyle w:val="a2"/>
              <w:spacing w:before="80" w:line="288" w:lineRule="auto"/>
              <w:jc w:val="center"/>
              <w:rPr>
                <w:rFonts w:hint="eastAsia"/>
              </w:rPr>
            </w:pPr>
            <w:r>
              <w:rPr>
                <w:rFonts w:hint="eastAsia"/>
              </w:rPr>
              <w:t>28</w:t>
            </w:r>
          </w:p>
        </w:tc>
      </w:tr>
    </w:tbl>
    <w:p w:rsidR="00000000" w:rsidRDefault="00000000">
      <w:pPr>
        <w:pStyle w:val="EndnoteText"/>
        <w:spacing w:before="240" w:after="320"/>
        <w:rPr>
          <w:snapToGrid/>
        </w:rPr>
      </w:pPr>
      <w:r>
        <w:rPr>
          <w:rFonts w:hint="eastAsia"/>
          <w:snapToGrid/>
          <w:u w:val="single"/>
        </w:rPr>
        <w:t>资料来源</w:t>
      </w:r>
      <w:r>
        <w:rPr>
          <w:rFonts w:hint="eastAsia"/>
          <w:snapToGrid/>
        </w:rPr>
        <w:t>：教育暨青年局，</w:t>
      </w:r>
      <w:r>
        <w:rPr>
          <w:rFonts w:hint="eastAsia"/>
          <w:snapToGrid/>
        </w:rPr>
        <w:t>2002</w:t>
      </w:r>
      <w:r>
        <w:rPr>
          <w:rFonts w:hint="eastAsia"/>
          <w:snapToGrid/>
        </w:rPr>
        <w:t>年。</w:t>
      </w:r>
    </w:p>
    <w:p w:rsidR="00000000" w:rsidRDefault="00000000">
      <w:pPr>
        <w:pStyle w:val="Heading3"/>
        <w:rPr>
          <w:rFonts w:hint="eastAsia"/>
        </w:rPr>
      </w:pPr>
      <w:bookmarkStart w:id="107" w:name="_Toc78773016"/>
      <w:r>
        <w:rPr>
          <w:rFonts w:hint="eastAsia"/>
          <w:u w:val="none"/>
        </w:rPr>
        <w:t xml:space="preserve">F.  </w:t>
      </w:r>
      <w:r>
        <w:rPr>
          <w:rFonts w:hint="eastAsia"/>
        </w:rPr>
        <w:t>语言政策</w:t>
      </w:r>
      <w:bookmarkEnd w:id="107"/>
    </w:p>
    <w:p w:rsidR="00000000" w:rsidRDefault="00000000">
      <w:pPr>
        <w:rPr>
          <w:rFonts w:hint="eastAsia"/>
          <w:snapToGrid/>
        </w:rPr>
      </w:pPr>
      <w:r>
        <w:rPr>
          <w:rFonts w:hint="eastAsia"/>
          <w:snapToGrid/>
        </w:rPr>
        <w:tab/>
        <w:t xml:space="preserve">1129.  </w:t>
      </w:r>
      <w:r>
        <w:rPr>
          <w:rFonts w:hint="eastAsia"/>
          <w:snapToGrid/>
        </w:rPr>
        <w:t>澳门特别行政区的正式语文为中文和葡文。因此，公立学校只能以中文和葡文作为教学语言，以中文作为教学语言的学校须采用葡文作为第二语言，反之亦然</w:t>
      </w:r>
      <w:r>
        <w:rPr>
          <w:rFonts w:hint="eastAsia"/>
          <w:snapToGrid/>
        </w:rPr>
        <w:t>(</w:t>
      </w:r>
      <w:r>
        <w:rPr>
          <w:rFonts w:hint="eastAsia"/>
          <w:snapToGrid/>
        </w:rPr>
        <w:t>第</w:t>
      </w:r>
      <w:r>
        <w:rPr>
          <w:rFonts w:hint="eastAsia"/>
          <w:snapToGrid/>
        </w:rPr>
        <w:t>11/91/M</w:t>
      </w:r>
      <w:r>
        <w:rPr>
          <w:rFonts w:hint="eastAsia"/>
          <w:snapToGrid/>
        </w:rPr>
        <w:t>号法律第三十五条第七款和第八款</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1130.  </w:t>
      </w:r>
      <w:r>
        <w:rPr>
          <w:rFonts w:hint="eastAsia"/>
          <w:snapToGrid/>
        </w:rPr>
        <w:t>私立学校在行使其教学自主时，在决定采用教学语言，以及决定采用被</w:t>
      </w:r>
      <w:r>
        <w:rPr>
          <w:rFonts w:hint="eastAsia"/>
          <w:snapToGrid/>
        </w:rPr>
        <w:t xml:space="preserve"> </w:t>
      </w:r>
      <w:r>
        <w:rPr>
          <w:rFonts w:hint="eastAsia"/>
          <w:snapToGrid/>
        </w:rPr>
        <w:t>包括在教学内容的第二语言方面享有完全自由</w:t>
      </w:r>
      <w:r>
        <w:rPr>
          <w:rFonts w:hint="eastAsia"/>
          <w:snapToGrid/>
        </w:rPr>
        <w:t>(</w:t>
      </w:r>
      <w:r>
        <w:rPr>
          <w:rFonts w:hint="eastAsia"/>
          <w:snapToGrid/>
        </w:rPr>
        <w:t>第</w:t>
      </w:r>
      <w:r>
        <w:rPr>
          <w:rFonts w:hint="eastAsia"/>
          <w:snapToGrid/>
        </w:rPr>
        <w:t>11/91/M</w:t>
      </w:r>
      <w:r>
        <w:rPr>
          <w:rFonts w:hint="eastAsia"/>
          <w:snapToGrid/>
        </w:rPr>
        <w:t>号法律第三十五条第六款</w:t>
      </w:r>
      <w:r>
        <w:rPr>
          <w:rFonts w:hint="eastAsia"/>
          <w:snapToGrid/>
        </w:rPr>
        <w:t>)</w:t>
      </w:r>
      <w:r>
        <w:rPr>
          <w:rFonts w:hint="eastAsia"/>
          <w:snapToGrid/>
        </w:rPr>
        <w:t>。</w:t>
      </w:r>
    </w:p>
    <w:p w:rsidR="00000000" w:rsidRDefault="00000000">
      <w:pPr>
        <w:spacing w:after="320"/>
        <w:rPr>
          <w:rFonts w:hint="eastAsia"/>
          <w:snapToGrid/>
        </w:rPr>
      </w:pPr>
      <w:r>
        <w:rPr>
          <w:rFonts w:hint="eastAsia"/>
          <w:snapToGrid/>
        </w:rPr>
        <w:tab/>
        <w:t xml:space="preserve">1131.  </w:t>
      </w:r>
      <w:r>
        <w:rPr>
          <w:rFonts w:hint="eastAsia"/>
          <w:snapToGrid/>
        </w:rPr>
        <w:t>粤语是较多人使用的沟通语言和学习语言。</w:t>
      </w:r>
    </w:p>
    <w:p w:rsidR="00000000" w:rsidRDefault="00000000">
      <w:pPr>
        <w:pStyle w:val="a3"/>
        <w:rPr>
          <w:rFonts w:hint="eastAsia"/>
        </w:rPr>
      </w:pPr>
      <w:r>
        <w:rPr>
          <w:rFonts w:hint="eastAsia"/>
        </w:rPr>
        <w:t>按学习语言统计的学生人数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Pr>
          <w:p w:rsidR="00000000" w:rsidRDefault="00000000">
            <w:pPr>
              <w:pStyle w:val="a2"/>
              <w:spacing w:before="120" w:after="20" w:line="288" w:lineRule="auto"/>
              <w:jc w:val="center"/>
              <w:rPr>
                <w:rFonts w:hint="eastAsia"/>
                <w:snapToGrid/>
              </w:rPr>
            </w:pPr>
            <w:r>
              <w:rPr>
                <w:rFonts w:hint="eastAsia"/>
                <w:snapToGrid/>
              </w:rPr>
              <w:t>2000/2001</w:t>
            </w:r>
            <w:r>
              <w:rPr>
                <w:rFonts w:hint="eastAsia"/>
                <w:snapToGrid/>
              </w:rPr>
              <w:t>学年</w:t>
            </w:r>
          </w:p>
        </w:tc>
        <w:tc>
          <w:tcPr>
            <w:tcW w:w="1882" w:type="dxa"/>
          </w:tcPr>
          <w:p w:rsidR="00000000" w:rsidRDefault="00000000">
            <w:pPr>
              <w:pStyle w:val="a2"/>
              <w:spacing w:before="120" w:after="20" w:line="288" w:lineRule="auto"/>
              <w:jc w:val="center"/>
              <w:rPr>
                <w:rFonts w:hint="eastAsia"/>
                <w:snapToGrid/>
              </w:rPr>
            </w:pPr>
            <w:r>
              <w:rPr>
                <w:rFonts w:hint="eastAsia"/>
                <w:snapToGrid/>
              </w:rPr>
              <w:t>中</w:t>
            </w:r>
            <w:r>
              <w:rPr>
                <w:rFonts w:hint="eastAsia"/>
                <w:snapToGrid/>
              </w:rPr>
              <w:t xml:space="preserve">  </w:t>
            </w:r>
            <w:r>
              <w:rPr>
                <w:rFonts w:hint="eastAsia"/>
                <w:snapToGrid/>
              </w:rPr>
              <w:t>文</w:t>
            </w:r>
          </w:p>
        </w:tc>
        <w:tc>
          <w:tcPr>
            <w:tcW w:w="1882" w:type="dxa"/>
          </w:tcPr>
          <w:p w:rsidR="00000000" w:rsidRDefault="00000000">
            <w:pPr>
              <w:pStyle w:val="a2"/>
              <w:spacing w:before="120" w:after="20" w:line="288" w:lineRule="auto"/>
              <w:jc w:val="center"/>
              <w:rPr>
                <w:rFonts w:hint="eastAsia"/>
                <w:snapToGrid/>
              </w:rPr>
            </w:pPr>
            <w:r>
              <w:rPr>
                <w:rFonts w:hint="eastAsia"/>
                <w:snapToGrid/>
              </w:rPr>
              <w:t>葡</w:t>
            </w:r>
            <w:r>
              <w:rPr>
                <w:rFonts w:hint="eastAsia"/>
                <w:snapToGrid/>
              </w:rPr>
              <w:t xml:space="preserve">  </w:t>
            </w:r>
            <w:r>
              <w:rPr>
                <w:rFonts w:hint="eastAsia"/>
                <w:snapToGrid/>
              </w:rPr>
              <w:t>文</w:t>
            </w:r>
          </w:p>
        </w:tc>
        <w:tc>
          <w:tcPr>
            <w:tcW w:w="1882" w:type="dxa"/>
          </w:tcPr>
          <w:p w:rsidR="00000000" w:rsidRDefault="00000000">
            <w:pPr>
              <w:pStyle w:val="a2"/>
              <w:spacing w:before="120" w:after="20" w:line="288" w:lineRule="auto"/>
              <w:jc w:val="center"/>
              <w:rPr>
                <w:rFonts w:hint="eastAsia"/>
                <w:snapToGrid/>
              </w:rPr>
            </w:pPr>
            <w:r>
              <w:rPr>
                <w:rFonts w:hint="eastAsia"/>
                <w:snapToGrid/>
              </w:rPr>
              <w:t>英</w:t>
            </w:r>
            <w:r>
              <w:rPr>
                <w:rFonts w:hint="eastAsia"/>
                <w:snapToGrid/>
              </w:rPr>
              <w:t xml:space="preserve">  </w:t>
            </w:r>
            <w:r>
              <w:rPr>
                <w:rFonts w:hint="eastAsia"/>
                <w:snapToGrid/>
              </w:rPr>
              <w:t>文</w:t>
            </w:r>
          </w:p>
        </w:tc>
        <w:tc>
          <w:tcPr>
            <w:tcW w:w="1882" w:type="dxa"/>
          </w:tcPr>
          <w:p w:rsidR="00000000" w:rsidRDefault="00000000">
            <w:pPr>
              <w:pStyle w:val="a2"/>
              <w:spacing w:before="120" w:after="20" w:line="288" w:lineRule="auto"/>
              <w:jc w:val="center"/>
              <w:rPr>
                <w:rFonts w:hint="eastAsia"/>
                <w:snapToGrid/>
              </w:rPr>
            </w:pPr>
            <w:r>
              <w:rPr>
                <w:rFonts w:hint="eastAsia"/>
                <w:snapToGrid/>
              </w:rPr>
              <w:t>其</w:t>
            </w:r>
            <w:r>
              <w:rPr>
                <w:rFonts w:hint="eastAsia"/>
                <w:snapToGrid/>
              </w:rPr>
              <w:t xml:space="preserve">  </w:t>
            </w:r>
            <w:r>
              <w:rPr>
                <w:rFonts w:hint="eastAsia"/>
                <w:snapToGrid/>
              </w:rPr>
              <w:t>他</w:t>
            </w:r>
          </w:p>
        </w:tc>
      </w:tr>
      <w:tr w:rsidR="00000000">
        <w:tblPrEx>
          <w:tblCellMar>
            <w:top w:w="0" w:type="dxa"/>
            <w:bottom w:w="0" w:type="dxa"/>
          </w:tblCellMar>
        </w:tblPrEx>
        <w:tc>
          <w:tcPr>
            <w:tcW w:w="1882" w:type="dxa"/>
          </w:tcPr>
          <w:p w:rsidR="00000000" w:rsidRDefault="00000000">
            <w:pPr>
              <w:pStyle w:val="a2"/>
              <w:spacing w:before="120" w:after="20" w:line="288" w:lineRule="auto"/>
              <w:ind w:left="227"/>
              <w:rPr>
                <w:rFonts w:hint="eastAsia"/>
                <w:snapToGrid/>
              </w:rPr>
            </w:pPr>
            <w:r>
              <w:rPr>
                <w:rFonts w:hint="eastAsia"/>
                <w:snapToGrid/>
              </w:rPr>
              <w:t>学前教育</w:t>
            </w:r>
          </w:p>
        </w:tc>
        <w:tc>
          <w:tcPr>
            <w:tcW w:w="1882" w:type="dxa"/>
          </w:tcPr>
          <w:p w:rsidR="00000000" w:rsidRDefault="00000000">
            <w:pPr>
              <w:pStyle w:val="a2"/>
              <w:spacing w:before="120" w:after="20" w:line="288" w:lineRule="auto"/>
              <w:ind w:right="558"/>
              <w:jc w:val="right"/>
              <w:rPr>
                <w:rFonts w:hint="eastAsia"/>
                <w:snapToGrid/>
              </w:rPr>
            </w:pPr>
            <w:r>
              <w:rPr>
                <w:rFonts w:hint="eastAsia"/>
                <w:snapToGrid/>
              </w:rPr>
              <w:t>14,775</w:t>
            </w:r>
          </w:p>
        </w:tc>
        <w:tc>
          <w:tcPr>
            <w:tcW w:w="1882" w:type="dxa"/>
          </w:tcPr>
          <w:p w:rsidR="00000000" w:rsidRDefault="00000000">
            <w:pPr>
              <w:pStyle w:val="a2"/>
              <w:spacing w:before="120" w:after="20" w:line="288" w:lineRule="auto"/>
              <w:ind w:right="655"/>
              <w:jc w:val="right"/>
              <w:rPr>
                <w:rFonts w:hint="eastAsia"/>
                <w:snapToGrid/>
              </w:rPr>
            </w:pPr>
            <w:r>
              <w:rPr>
                <w:rFonts w:hint="eastAsia"/>
                <w:snapToGrid/>
              </w:rPr>
              <w:t>107</w:t>
            </w:r>
          </w:p>
        </w:tc>
        <w:tc>
          <w:tcPr>
            <w:tcW w:w="1882" w:type="dxa"/>
          </w:tcPr>
          <w:p w:rsidR="00000000" w:rsidRDefault="00000000">
            <w:pPr>
              <w:pStyle w:val="a2"/>
              <w:spacing w:before="120" w:after="20" w:line="288" w:lineRule="auto"/>
              <w:ind w:right="647"/>
              <w:jc w:val="right"/>
              <w:rPr>
                <w:rFonts w:hint="eastAsia"/>
                <w:snapToGrid/>
              </w:rPr>
            </w:pPr>
            <w:r>
              <w:rPr>
                <w:rFonts w:hint="eastAsia"/>
                <w:snapToGrid/>
              </w:rPr>
              <w:t>96</w:t>
            </w:r>
          </w:p>
        </w:tc>
        <w:tc>
          <w:tcPr>
            <w:tcW w:w="1882" w:type="dxa"/>
          </w:tcPr>
          <w:p w:rsidR="00000000" w:rsidRDefault="00000000">
            <w:pPr>
              <w:pStyle w:val="a2"/>
              <w:tabs>
                <w:tab w:val="left" w:pos="767"/>
              </w:tabs>
              <w:spacing w:before="120" w:after="20" w:line="288" w:lineRule="auto"/>
              <w:ind w:right="639"/>
              <w:jc w:val="right"/>
              <w:rPr>
                <w:rFonts w:hint="eastAsia"/>
                <w:snapToGrid/>
              </w:rPr>
            </w:pPr>
            <w:r>
              <w:rPr>
                <w:rFonts w:hint="eastAsia"/>
                <w:snapToGrid/>
                <w:spacing w:val="-40"/>
              </w:rPr>
              <w:t>――</w:t>
            </w:r>
            <w:r>
              <w:rPr>
                <w:rFonts w:hint="eastAsia"/>
                <w:snapToGrid/>
                <w:spacing w:val="-40"/>
              </w:rPr>
              <w:t xml:space="preserve"> </w:t>
            </w:r>
          </w:p>
        </w:tc>
      </w:tr>
      <w:tr w:rsidR="00000000">
        <w:tblPrEx>
          <w:tblCellMar>
            <w:top w:w="0" w:type="dxa"/>
            <w:bottom w:w="0" w:type="dxa"/>
          </w:tblCellMar>
        </w:tblPrEx>
        <w:tc>
          <w:tcPr>
            <w:tcW w:w="1882" w:type="dxa"/>
          </w:tcPr>
          <w:p w:rsidR="00000000" w:rsidRDefault="00000000">
            <w:pPr>
              <w:pStyle w:val="a2"/>
              <w:spacing w:before="120" w:after="20" w:line="288" w:lineRule="auto"/>
              <w:ind w:left="227"/>
              <w:rPr>
                <w:rFonts w:hint="eastAsia"/>
                <w:snapToGrid/>
              </w:rPr>
            </w:pPr>
            <w:r>
              <w:rPr>
                <w:rFonts w:hint="eastAsia"/>
                <w:snapToGrid/>
              </w:rPr>
              <w:t>小学</w:t>
            </w:r>
          </w:p>
        </w:tc>
        <w:tc>
          <w:tcPr>
            <w:tcW w:w="1882" w:type="dxa"/>
          </w:tcPr>
          <w:p w:rsidR="00000000" w:rsidRDefault="00000000">
            <w:pPr>
              <w:pStyle w:val="a2"/>
              <w:spacing w:before="120" w:after="20" w:line="288" w:lineRule="auto"/>
              <w:ind w:right="558"/>
              <w:jc w:val="right"/>
              <w:rPr>
                <w:rFonts w:hint="eastAsia"/>
                <w:snapToGrid/>
              </w:rPr>
            </w:pPr>
            <w:r>
              <w:rPr>
                <w:rFonts w:hint="eastAsia"/>
                <w:snapToGrid/>
              </w:rPr>
              <w:t>42,350</w:t>
            </w:r>
          </w:p>
        </w:tc>
        <w:tc>
          <w:tcPr>
            <w:tcW w:w="1882" w:type="dxa"/>
          </w:tcPr>
          <w:p w:rsidR="00000000" w:rsidRDefault="00000000">
            <w:pPr>
              <w:pStyle w:val="a2"/>
              <w:spacing w:before="120" w:after="20" w:line="288" w:lineRule="auto"/>
              <w:ind w:right="655"/>
              <w:jc w:val="right"/>
              <w:rPr>
                <w:rFonts w:hint="eastAsia"/>
                <w:snapToGrid/>
              </w:rPr>
            </w:pPr>
            <w:r>
              <w:rPr>
                <w:rFonts w:hint="eastAsia"/>
                <w:snapToGrid/>
              </w:rPr>
              <w:t>339</w:t>
            </w:r>
          </w:p>
        </w:tc>
        <w:tc>
          <w:tcPr>
            <w:tcW w:w="1882" w:type="dxa"/>
          </w:tcPr>
          <w:p w:rsidR="00000000" w:rsidRDefault="00000000">
            <w:pPr>
              <w:pStyle w:val="a2"/>
              <w:spacing w:before="120" w:after="20" w:line="288" w:lineRule="auto"/>
              <w:ind w:right="647"/>
              <w:jc w:val="right"/>
              <w:rPr>
                <w:rFonts w:hint="eastAsia"/>
                <w:snapToGrid/>
              </w:rPr>
            </w:pPr>
            <w:r>
              <w:rPr>
                <w:rFonts w:hint="eastAsia"/>
                <w:snapToGrid/>
              </w:rPr>
              <w:t>2,785</w:t>
            </w:r>
          </w:p>
        </w:tc>
        <w:tc>
          <w:tcPr>
            <w:tcW w:w="1882" w:type="dxa"/>
          </w:tcPr>
          <w:p w:rsidR="00000000" w:rsidRDefault="00000000">
            <w:pPr>
              <w:pStyle w:val="a2"/>
              <w:tabs>
                <w:tab w:val="left" w:pos="767"/>
              </w:tabs>
              <w:spacing w:before="120" w:after="20" w:line="288" w:lineRule="auto"/>
              <w:ind w:right="639"/>
              <w:jc w:val="right"/>
              <w:rPr>
                <w:rFonts w:hint="eastAsia"/>
                <w:snapToGrid/>
              </w:rPr>
            </w:pPr>
            <w:r>
              <w:rPr>
                <w:rFonts w:hint="eastAsia"/>
                <w:snapToGrid/>
                <w:spacing w:val="-40"/>
              </w:rPr>
              <w:t>――</w:t>
            </w:r>
            <w:r>
              <w:rPr>
                <w:rFonts w:hint="eastAsia"/>
                <w:snapToGrid/>
                <w:spacing w:val="-40"/>
              </w:rPr>
              <w:t xml:space="preserve"> </w:t>
            </w:r>
          </w:p>
        </w:tc>
      </w:tr>
      <w:tr w:rsidR="00000000">
        <w:tblPrEx>
          <w:tblCellMar>
            <w:top w:w="0" w:type="dxa"/>
            <w:bottom w:w="0" w:type="dxa"/>
          </w:tblCellMar>
        </w:tblPrEx>
        <w:tc>
          <w:tcPr>
            <w:tcW w:w="1882" w:type="dxa"/>
          </w:tcPr>
          <w:p w:rsidR="00000000" w:rsidRDefault="00000000">
            <w:pPr>
              <w:pStyle w:val="a2"/>
              <w:spacing w:before="120" w:after="20" w:line="288" w:lineRule="auto"/>
              <w:ind w:left="227"/>
              <w:rPr>
                <w:rFonts w:hint="eastAsia"/>
                <w:snapToGrid/>
              </w:rPr>
            </w:pPr>
            <w:r>
              <w:rPr>
                <w:rFonts w:hint="eastAsia"/>
                <w:snapToGrid/>
              </w:rPr>
              <w:t>中学</w:t>
            </w:r>
          </w:p>
        </w:tc>
        <w:tc>
          <w:tcPr>
            <w:tcW w:w="1882" w:type="dxa"/>
          </w:tcPr>
          <w:p w:rsidR="00000000" w:rsidRDefault="00000000">
            <w:pPr>
              <w:pStyle w:val="a2"/>
              <w:spacing w:before="120" w:after="20" w:line="288" w:lineRule="auto"/>
              <w:ind w:right="558"/>
              <w:jc w:val="right"/>
              <w:rPr>
                <w:rFonts w:hint="eastAsia"/>
                <w:snapToGrid/>
              </w:rPr>
            </w:pPr>
            <w:r>
              <w:rPr>
                <w:rFonts w:hint="eastAsia"/>
                <w:snapToGrid/>
              </w:rPr>
              <w:t>31,328</w:t>
            </w:r>
          </w:p>
        </w:tc>
        <w:tc>
          <w:tcPr>
            <w:tcW w:w="1882" w:type="dxa"/>
          </w:tcPr>
          <w:p w:rsidR="00000000" w:rsidRDefault="00000000">
            <w:pPr>
              <w:pStyle w:val="a2"/>
              <w:spacing w:before="120" w:after="20" w:line="288" w:lineRule="auto"/>
              <w:ind w:right="655"/>
              <w:jc w:val="right"/>
              <w:rPr>
                <w:rFonts w:hint="eastAsia"/>
                <w:snapToGrid/>
              </w:rPr>
            </w:pPr>
            <w:r>
              <w:rPr>
                <w:rFonts w:hint="eastAsia"/>
                <w:snapToGrid/>
              </w:rPr>
              <w:t>561</w:t>
            </w:r>
          </w:p>
        </w:tc>
        <w:tc>
          <w:tcPr>
            <w:tcW w:w="1882" w:type="dxa"/>
          </w:tcPr>
          <w:p w:rsidR="00000000" w:rsidRDefault="00000000">
            <w:pPr>
              <w:pStyle w:val="a2"/>
              <w:spacing w:before="120" w:after="20" w:line="288" w:lineRule="auto"/>
              <w:ind w:right="647"/>
              <w:jc w:val="right"/>
              <w:rPr>
                <w:rFonts w:hint="eastAsia"/>
                <w:snapToGrid/>
              </w:rPr>
            </w:pPr>
            <w:r>
              <w:rPr>
                <w:rFonts w:hint="eastAsia"/>
                <w:snapToGrid/>
              </w:rPr>
              <w:t>3,721</w:t>
            </w:r>
          </w:p>
        </w:tc>
        <w:tc>
          <w:tcPr>
            <w:tcW w:w="1882" w:type="dxa"/>
          </w:tcPr>
          <w:p w:rsidR="00000000" w:rsidRDefault="00000000">
            <w:pPr>
              <w:pStyle w:val="a2"/>
              <w:tabs>
                <w:tab w:val="left" w:pos="767"/>
              </w:tabs>
              <w:spacing w:before="120" w:after="20" w:line="288" w:lineRule="auto"/>
              <w:ind w:right="639"/>
              <w:jc w:val="right"/>
              <w:rPr>
                <w:rFonts w:hint="eastAsia"/>
                <w:snapToGrid/>
              </w:rPr>
            </w:pPr>
            <w:r>
              <w:rPr>
                <w:rFonts w:hint="eastAsia"/>
                <w:snapToGrid/>
              </w:rPr>
              <w:t>240</w:t>
            </w:r>
          </w:p>
        </w:tc>
      </w:tr>
      <w:tr w:rsidR="00000000">
        <w:tblPrEx>
          <w:tblCellMar>
            <w:top w:w="0" w:type="dxa"/>
            <w:bottom w:w="0" w:type="dxa"/>
          </w:tblCellMar>
        </w:tblPrEx>
        <w:tc>
          <w:tcPr>
            <w:tcW w:w="1882" w:type="dxa"/>
          </w:tcPr>
          <w:p w:rsidR="00000000" w:rsidRDefault="00000000">
            <w:pPr>
              <w:pStyle w:val="a2"/>
              <w:spacing w:before="120" w:after="20" w:line="288" w:lineRule="auto"/>
              <w:ind w:left="227"/>
              <w:rPr>
                <w:rFonts w:hint="eastAsia"/>
                <w:snapToGrid/>
              </w:rPr>
            </w:pPr>
            <w:r>
              <w:rPr>
                <w:rFonts w:hint="eastAsia"/>
                <w:snapToGrid/>
              </w:rPr>
              <w:t>职业技术</w:t>
            </w:r>
          </w:p>
        </w:tc>
        <w:tc>
          <w:tcPr>
            <w:tcW w:w="1882" w:type="dxa"/>
          </w:tcPr>
          <w:p w:rsidR="00000000" w:rsidRDefault="00000000">
            <w:pPr>
              <w:pStyle w:val="a2"/>
              <w:spacing w:before="120" w:after="20" w:line="288" w:lineRule="auto"/>
              <w:ind w:right="558"/>
              <w:jc w:val="right"/>
              <w:rPr>
                <w:rFonts w:hint="eastAsia"/>
                <w:snapToGrid/>
              </w:rPr>
            </w:pPr>
            <w:r>
              <w:rPr>
                <w:rFonts w:hint="eastAsia"/>
                <w:snapToGrid/>
              </w:rPr>
              <w:t>2,306</w:t>
            </w:r>
          </w:p>
        </w:tc>
        <w:tc>
          <w:tcPr>
            <w:tcW w:w="1882" w:type="dxa"/>
          </w:tcPr>
          <w:p w:rsidR="00000000" w:rsidRDefault="00000000">
            <w:pPr>
              <w:pStyle w:val="a2"/>
              <w:spacing w:before="120" w:after="20" w:line="288" w:lineRule="auto"/>
              <w:ind w:right="655"/>
              <w:jc w:val="right"/>
              <w:rPr>
                <w:rFonts w:hint="eastAsia"/>
                <w:snapToGrid/>
              </w:rPr>
            </w:pPr>
            <w:r>
              <w:rPr>
                <w:rFonts w:hint="eastAsia"/>
                <w:snapToGrid/>
                <w:spacing w:val="-40"/>
              </w:rPr>
              <w:t>――</w:t>
            </w:r>
            <w:r>
              <w:rPr>
                <w:rFonts w:hint="eastAsia"/>
                <w:snapToGrid/>
                <w:spacing w:val="-40"/>
              </w:rPr>
              <w:t xml:space="preserve"> </w:t>
            </w:r>
          </w:p>
        </w:tc>
        <w:tc>
          <w:tcPr>
            <w:tcW w:w="1882" w:type="dxa"/>
          </w:tcPr>
          <w:p w:rsidR="00000000" w:rsidRDefault="00000000">
            <w:pPr>
              <w:pStyle w:val="a2"/>
              <w:spacing w:before="120" w:after="20" w:line="288" w:lineRule="auto"/>
              <w:ind w:right="647"/>
              <w:jc w:val="right"/>
              <w:rPr>
                <w:rFonts w:hint="eastAsia"/>
                <w:snapToGrid/>
              </w:rPr>
            </w:pPr>
            <w:r>
              <w:rPr>
                <w:rFonts w:hint="eastAsia"/>
                <w:snapToGrid/>
                <w:spacing w:val="-40"/>
              </w:rPr>
              <w:t>――</w:t>
            </w:r>
            <w:r>
              <w:rPr>
                <w:rFonts w:hint="eastAsia"/>
                <w:snapToGrid/>
                <w:spacing w:val="-40"/>
              </w:rPr>
              <w:t xml:space="preserve"> </w:t>
            </w:r>
          </w:p>
        </w:tc>
        <w:tc>
          <w:tcPr>
            <w:tcW w:w="1882" w:type="dxa"/>
          </w:tcPr>
          <w:p w:rsidR="00000000" w:rsidRDefault="00000000">
            <w:pPr>
              <w:pStyle w:val="a2"/>
              <w:tabs>
                <w:tab w:val="left" w:pos="767"/>
              </w:tabs>
              <w:spacing w:before="120" w:after="20" w:line="288" w:lineRule="auto"/>
              <w:ind w:right="639"/>
              <w:jc w:val="right"/>
              <w:rPr>
                <w:rFonts w:hint="eastAsia"/>
                <w:snapToGrid/>
              </w:rPr>
            </w:pPr>
            <w:r>
              <w:rPr>
                <w:rFonts w:hint="eastAsia"/>
                <w:snapToGrid/>
                <w:spacing w:val="-40"/>
              </w:rPr>
              <w:t>――</w:t>
            </w:r>
            <w:r>
              <w:rPr>
                <w:rFonts w:hint="eastAsia"/>
                <w:snapToGrid/>
                <w:spacing w:val="-40"/>
              </w:rPr>
              <w:t xml:space="preserve"> </w:t>
            </w:r>
          </w:p>
        </w:tc>
      </w:tr>
    </w:tbl>
    <w:p w:rsidR="00000000" w:rsidRDefault="00000000">
      <w:pPr>
        <w:pStyle w:val="EndnoteText"/>
        <w:spacing w:before="360" w:after="320"/>
        <w:rPr>
          <w:rFonts w:hint="eastAsia"/>
          <w:snapToGrid/>
        </w:rPr>
      </w:pPr>
      <w:r>
        <w:rPr>
          <w:rFonts w:hint="eastAsia"/>
          <w:snapToGrid/>
          <w:u w:val="single"/>
        </w:rPr>
        <w:t>资料来源</w:t>
      </w:r>
      <w:r>
        <w:rPr>
          <w:rFonts w:hint="eastAsia"/>
          <w:snapToGrid/>
        </w:rPr>
        <w:t>：统计暨普查局，</w:t>
      </w:r>
      <w:r>
        <w:rPr>
          <w:rFonts w:hint="eastAsia"/>
          <w:snapToGrid/>
        </w:rPr>
        <w:t>2001</w:t>
      </w:r>
      <w:r>
        <w:rPr>
          <w:rFonts w:hint="eastAsia"/>
          <w:snapToGrid/>
        </w:rPr>
        <w:t>年人口普查。</w:t>
      </w:r>
    </w:p>
    <w:p w:rsidR="00000000" w:rsidRDefault="00000000">
      <w:pPr>
        <w:spacing w:after="320"/>
        <w:rPr>
          <w:rFonts w:hint="eastAsia"/>
          <w:snapToGrid/>
        </w:rPr>
      </w:pPr>
      <w:r>
        <w:rPr>
          <w:rFonts w:hint="eastAsia"/>
          <w:snapToGrid/>
        </w:rPr>
        <w:tab/>
        <w:t xml:space="preserve">1132.  </w:t>
      </w:r>
      <w:r>
        <w:rPr>
          <w:rFonts w:hint="eastAsia"/>
          <w:snapToGrid/>
        </w:rPr>
        <w:t>在推动语言培训方面，澳门特别行政区政府透过澳门理工学院的成人教育及特别计划中心和语言暨翻译高等学校，以学生的母语，例如中文和葡文，为学生提供了各项课程。</w:t>
      </w:r>
    </w:p>
    <w:p w:rsidR="00000000" w:rsidRDefault="00000000">
      <w:pPr>
        <w:pStyle w:val="Heading3"/>
        <w:rPr>
          <w:rFonts w:hint="eastAsia"/>
        </w:rPr>
      </w:pPr>
      <w:bookmarkStart w:id="108" w:name="_Toc78773017"/>
      <w:r>
        <w:rPr>
          <w:rFonts w:hint="eastAsia"/>
          <w:u w:val="none"/>
        </w:rPr>
        <w:t xml:space="preserve">G.  </w:t>
      </w:r>
      <w:r>
        <w:rPr>
          <w:rFonts w:hint="eastAsia"/>
        </w:rPr>
        <w:t>教学人员</w:t>
      </w:r>
      <w:bookmarkEnd w:id="108"/>
    </w:p>
    <w:p w:rsidR="00000000" w:rsidRDefault="00000000">
      <w:pPr>
        <w:rPr>
          <w:rFonts w:hint="eastAsia"/>
          <w:snapToGrid/>
        </w:rPr>
      </w:pPr>
      <w:r>
        <w:rPr>
          <w:rFonts w:hint="eastAsia"/>
          <w:snapToGrid/>
        </w:rPr>
        <w:tab/>
        <w:t xml:space="preserve">1133.  </w:t>
      </w:r>
      <w:r>
        <w:rPr>
          <w:rFonts w:hint="eastAsia"/>
          <w:snapToGrid/>
        </w:rPr>
        <w:t>按照澳门特别行政区的教育制度，教师和其他教育工作者所从事的活动，属公共利益的活动，彼等享有堪当于及相应于其专业资格和社会责任的地位</w:t>
      </w:r>
      <w:r>
        <w:rPr>
          <w:rFonts w:hint="eastAsia"/>
          <w:snapToGrid/>
        </w:rPr>
        <w:t>(</w:t>
      </w:r>
      <w:r>
        <w:rPr>
          <w:rFonts w:hint="eastAsia"/>
          <w:snapToGrid/>
        </w:rPr>
        <w:t>第</w:t>
      </w:r>
      <w:r>
        <w:rPr>
          <w:rFonts w:hint="eastAsia"/>
          <w:snapToGrid/>
        </w:rPr>
        <w:t>11/91/M</w:t>
      </w:r>
      <w:r>
        <w:rPr>
          <w:rFonts w:hint="eastAsia"/>
          <w:snapToGrid/>
        </w:rPr>
        <w:t>号法律第二十五条和</w:t>
      </w:r>
      <w:r>
        <w:rPr>
          <w:rFonts w:hint="eastAsia"/>
          <w:snapToGrid/>
        </w:rPr>
        <w:t>3</w:t>
      </w:r>
      <w:r>
        <w:rPr>
          <w:rFonts w:hint="eastAsia"/>
          <w:snapToGrid/>
        </w:rPr>
        <w:t>月</w:t>
      </w:r>
      <w:r>
        <w:rPr>
          <w:rFonts w:hint="eastAsia"/>
          <w:snapToGrid/>
        </w:rPr>
        <w:t>25</w:t>
      </w:r>
      <w:r>
        <w:rPr>
          <w:rFonts w:hint="eastAsia"/>
          <w:snapToGrid/>
        </w:rPr>
        <w:t>日第</w:t>
      </w:r>
      <w:r>
        <w:rPr>
          <w:rFonts w:hint="eastAsia"/>
          <w:snapToGrid/>
        </w:rPr>
        <w:t>15/96/M</w:t>
      </w:r>
      <w:r>
        <w:rPr>
          <w:rFonts w:hint="eastAsia"/>
          <w:snapToGrid/>
        </w:rPr>
        <w:t>号法令</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1134.  </w:t>
      </w:r>
      <w:r>
        <w:rPr>
          <w:rFonts w:hint="eastAsia"/>
          <w:snapToGrid/>
        </w:rPr>
        <w:t>教师和其他教育工作者依法有接受职业培训的权利和义务，为此，澳门特别行政区政府须提供条件和必需的资源。教师培训灵活而多样化，范围包括职前培训、在职培训和持续培训</w:t>
      </w:r>
      <w:r>
        <w:rPr>
          <w:rFonts w:hint="eastAsia"/>
          <w:snapToGrid/>
        </w:rPr>
        <w:t>(</w:t>
      </w:r>
      <w:r>
        <w:rPr>
          <w:rFonts w:hint="eastAsia"/>
          <w:snapToGrid/>
        </w:rPr>
        <w:t>第</w:t>
      </w:r>
      <w:r>
        <w:rPr>
          <w:rFonts w:hint="eastAsia"/>
          <w:snapToGrid/>
        </w:rPr>
        <w:t>11/91M</w:t>
      </w:r>
      <w:r>
        <w:rPr>
          <w:rFonts w:hint="eastAsia"/>
          <w:snapToGrid/>
        </w:rPr>
        <w:t>号法律第二十五条第二款和第二十六条</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1135.  </w:t>
      </w:r>
      <w:r>
        <w:rPr>
          <w:rFonts w:hint="eastAsia"/>
          <w:snapToGrid/>
        </w:rPr>
        <w:t>所有向教师提供的培训均确保教师获得学术和教学方面的知识与技巧。此外，培训尚须包括与相关教育和授课级别的要求相应的个人和社会培训单元。</w:t>
      </w:r>
    </w:p>
    <w:p w:rsidR="00000000" w:rsidRDefault="00000000">
      <w:pPr>
        <w:rPr>
          <w:rFonts w:hint="eastAsia"/>
          <w:snapToGrid/>
        </w:rPr>
      </w:pPr>
      <w:r>
        <w:rPr>
          <w:rFonts w:hint="eastAsia"/>
          <w:snapToGrid/>
        </w:rPr>
        <w:tab/>
        <w:t xml:space="preserve">1136.  </w:t>
      </w:r>
      <w:r>
        <w:rPr>
          <w:rFonts w:hint="eastAsia"/>
          <w:snapToGrid/>
        </w:rPr>
        <w:t>教育暨青年局在</w:t>
      </w:r>
      <w:r>
        <w:rPr>
          <w:rFonts w:hint="eastAsia"/>
          <w:snapToGrid/>
        </w:rPr>
        <w:t>2001</w:t>
      </w:r>
      <w:r>
        <w:rPr>
          <w:rFonts w:hint="eastAsia"/>
          <w:snapToGrid/>
        </w:rPr>
        <w:t>年为教学人员举办了</w:t>
      </w:r>
      <w:r>
        <w:rPr>
          <w:rFonts w:hint="eastAsia"/>
          <w:snapToGrid/>
        </w:rPr>
        <w:t>133</w:t>
      </w:r>
      <w:r>
        <w:rPr>
          <w:rFonts w:hint="eastAsia"/>
          <w:snapToGrid/>
        </w:rPr>
        <w:t>个课程，有</w:t>
      </w:r>
      <w:r>
        <w:rPr>
          <w:rFonts w:hint="eastAsia"/>
          <w:snapToGrid/>
        </w:rPr>
        <w:t>8,873</w:t>
      </w:r>
      <w:r>
        <w:rPr>
          <w:rFonts w:hint="eastAsia"/>
          <w:snapToGrid/>
        </w:rPr>
        <w:t>名教师参加。在</w:t>
      </w:r>
      <w:r>
        <w:rPr>
          <w:rFonts w:hint="eastAsia"/>
          <w:snapToGrid/>
        </w:rPr>
        <w:t>2001/2002</w:t>
      </w:r>
      <w:r>
        <w:rPr>
          <w:rFonts w:hint="eastAsia"/>
          <w:snapToGrid/>
        </w:rPr>
        <w:t>学年，教育暨青年局为职前教师和在职教师提供了澳门币</w:t>
      </w:r>
      <w:r>
        <w:rPr>
          <w:rFonts w:hint="eastAsia"/>
          <w:snapToGrid/>
        </w:rPr>
        <w:t>3,427,310</w:t>
      </w:r>
      <w:r>
        <w:rPr>
          <w:rFonts w:hint="eastAsia"/>
          <w:snapToGrid/>
        </w:rPr>
        <w:t>元的资助，供彼等参与由多个高等教育机构主办的培训活动。</w:t>
      </w:r>
    </w:p>
    <w:p w:rsidR="00000000" w:rsidRDefault="00000000">
      <w:pPr>
        <w:spacing w:after="320"/>
        <w:rPr>
          <w:rFonts w:hint="eastAsia"/>
          <w:snapToGrid/>
        </w:rPr>
      </w:pPr>
      <w:r>
        <w:rPr>
          <w:rFonts w:hint="eastAsia"/>
          <w:snapToGrid/>
        </w:rPr>
        <w:tab/>
        <w:t xml:space="preserve">1137.  </w:t>
      </w:r>
      <w:r>
        <w:rPr>
          <w:rFonts w:hint="eastAsia"/>
          <w:snapToGrid/>
        </w:rPr>
        <w:t>最近数学年，教师的人数有所增加，从而令学生与教师的人数比例逐渐下降。教育暨青年局的资料</w:t>
      </w:r>
      <w:r>
        <w:rPr>
          <w:rFonts w:hint="eastAsia"/>
          <w:snapToGrid/>
        </w:rPr>
        <w:t>(</w:t>
      </w:r>
      <w:r>
        <w:rPr>
          <w:rFonts w:hint="eastAsia"/>
          <w:snapToGrid/>
        </w:rPr>
        <w:t>不包括高等教育</w:t>
      </w:r>
      <w:r>
        <w:rPr>
          <w:rFonts w:hint="eastAsia"/>
          <w:snapToGrid/>
        </w:rPr>
        <w:t>)</w:t>
      </w:r>
      <w:r>
        <w:rPr>
          <w:rFonts w:hint="eastAsia"/>
          <w:snapToGrid/>
        </w:rPr>
        <w:t>显示，</w:t>
      </w:r>
      <w:r>
        <w:rPr>
          <w:rFonts w:hint="eastAsia"/>
          <w:snapToGrid/>
        </w:rPr>
        <w:t>2000/2001</w:t>
      </w:r>
      <w:r>
        <w:rPr>
          <w:rFonts w:hint="eastAsia"/>
          <w:snapToGrid/>
        </w:rPr>
        <w:t>学年教师总人数为</w:t>
      </w:r>
      <w:r>
        <w:rPr>
          <w:rFonts w:hint="eastAsia"/>
          <w:snapToGrid/>
        </w:rPr>
        <w:t>3,983</w:t>
      </w:r>
      <w:r>
        <w:rPr>
          <w:rFonts w:hint="eastAsia"/>
          <w:snapToGrid/>
        </w:rPr>
        <w:t>人，而</w:t>
      </w:r>
      <w:r>
        <w:rPr>
          <w:rFonts w:hint="eastAsia"/>
          <w:snapToGrid/>
        </w:rPr>
        <w:t>2001/2002</w:t>
      </w:r>
      <w:r>
        <w:rPr>
          <w:rFonts w:hint="eastAsia"/>
          <w:snapToGrid/>
        </w:rPr>
        <w:t>学年则为</w:t>
      </w:r>
      <w:r>
        <w:rPr>
          <w:rFonts w:hint="eastAsia"/>
          <w:snapToGrid/>
        </w:rPr>
        <w:t>4,050</w:t>
      </w:r>
      <w:r>
        <w:rPr>
          <w:rFonts w:hint="eastAsia"/>
          <w:snapToGrid/>
        </w:rPr>
        <w:t>人；在学生总人数方面，</w:t>
      </w:r>
      <w:r>
        <w:rPr>
          <w:rFonts w:hint="eastAsia"/>
          <w:snapToGrid/>
        </w:rPr>
        <w:t>2000/2001</w:t>
      </w:r>
      <w:r>
        <w:rPr>
          <w:rFonts w:hint="eastAsia"/>
          <w:snapToGrid/>
        </w:rPr>
        <w:t>学年为</w:t>
      </w:r>
      <w:r>
        <w:rPr>
          <w:rFonts w:hint="eastAsia"/>
          <w:snapToGrid/>
        </w:rPr>
        <w:t>99,576</w:t>
      </w:r>
      <w:r>
        <w:rPr>
          <w:rFonts w:hint="eastAsia"/>
          <w:snapToGrid/>
        </w:rPr>
        <w:t>人，而</w:t>
      </w:r>
      <w:r>
        <w:rPr>
          <w:rFonts w:hint="eastAsia"/>
          <w:snapToGrid/>
        </w:rPr>
        <w:t>2001/2002</w:t>
      </w:r>
      <w:r>
        <w:rPr>
          <w:rFonts w:hint="eastAsia"/>
          <w:snapToGrid/>
        </w:rPr>
        <w:t>学年则为</w:t>
      </w:r>
      <w:r>
        <w:rPr>
          <w:rFonts w:hint="eastAsia"/>
          <w:snapToGrid/>
        </w:rPr>
        <w:t>99,990</w:t>
      </w:r>
      <w:r>
        <w:rPr>
          <w:rFonts w:hint="eastAsia"/>
          <w:snapToGrid/>
        </w:rPr>
        <w:t>人。</w:t>
      </w:r>
    </w:p>
    <w:p w:rsidR="00000000" w:rsidRDefault="00000000">
      <w:pPr>
        <w:pStyle w:val="a3"/>
        <w:rPr>
          <w:rFonts w:hint="eastAsia"/>
        </w:rPr>
      </w:pPr>
      <w:r>
        <w:rPr>
          <w:rFonts w:hint="eastAsia"/>
        </w:rPr>
        <w:t>按教学级别的教师人数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352"/>
        <w:gridCol w:w="2353"/>
        <w:gridCol w:w="2353"/>
      </w:tblGrid>
      <w:tr w:rsidR="00000000">
        <w:tblPrEx>
          <w:tblCellMar>
            <w:top w:w="0" w:type="dxa"/>
            <w:bottom w:w="0" w:type="dxa"/>
          </w:tblCellMar>
        </w:tblPrEx>
        <w:tc>
          <w:tcPr>
            <w:tcW w:w="2352" w:type="dxa"/>
          </w:tcPr>
          <w:p w:rsidR="00000000" w:rsidRDefault="00000000">
            <w:pPr>
              <w:pStyle w:val="a2"/>
              <w:spacing w:before="60"/>
              <w:jc w:val="center"/>
              <w:rPr>
                <w:rFonts w:hint="eastAsia"/>
                <w:snapToGrid/>
              </w:rPr>
            </w:pPr>
            <w:r>
              <w:rPr>
                <w:rFonts w:hint="eastAsia"/>
                <w:snapToGrid/>
              </w:rPr>
              <w:t>教育级别</w:t>
            </w:r>
          </w:p>
        </w:tc>
        <w:tc>
          <w:tcPr>
            <w:tcW w:w="2352" w:type="dxa"/>
          </w:tcPr>
          <w:p w:rsidR="00000000" w:rsidRDefault="00000000">
            <w:pPr>
              <w:pStyle w:val="a2"/>
              <w:spacing w:before="60"/>
              <w:jc w:val="center"/>
              <w:rPr>
                <w:rFonts w:hint="eastAsia"/>
                <w:snapToGrid/>
              </w:rPr>
            </w:pPr>
            <w:r>
              <w:rPr>
                <w:rFonts w:hint="eastAsia"/>
                <w:snapToGrid/>
              </w:rPr>
              <w:t>1999/2000</w:t>
            </w:r>
          </w:p>
        </w:tc>
        <w:tc>
          <w:tcPr>
            <w:tcW w:w="2353" w:type="dxa"/>
          </w:tcPr>
          <w:p w:rsidR="00000000" w:rsidRDefault="00000000">
            <w:pPr>
              <w:pStyle w:val="a2"/>
              <w:spacing w:before="60"/>
              <w:jc w:val="center"/>
              <w:rPr>
                <w:rFonts w:hint="eastAsia"/>
                <w:snapToGrid/>
              </w:rPr>
            </w:pPr>
            <w:r>
              <w:rPr>
                <w:rFonts w:hint="eastAsia"/>
                <w:snapToGrid/>
              </w:rPr>
              <w:t>2000/2001</w:t>
            </w:r>
          </w:p>
        </w:tc>
        <w:tc>
          <w:tcPr>
            <w:tcW w:w="2353" w:type="dxa"/>
          </w:tcPr>
          <w:p w:rsidR="00000000" w:rsidRDefault="00000000">
            <w:pPr>
              <w:pStyle w:val="a2"/>
              <w:spacing w:before="60"/>
              <w:jc w:val="center"/>
              <w:rPr>
                <w:rFonts w:hint="eastAsia"/>
                <w:snapToGrid/>
              </w:rPr>
            </w:pPr>
            <w:r>
              <w:rPr>
                <w:rFonts w:hint="eastAsia"/>
                <w:snapToGrid/>
              </w:rPr>
              <w:t>2001/2002</w:t>
            </w:r>
          </w:p>
        </w:tc>
      </w:tr>
      <w:tr w:rsidR="00000000">
        <w:tblPrEx>
          <w:tblCellMar>
            <w:top w:w="0" w:type="dxa"/>
            <w:bottom w:w="0" w:type="dxa"/>
          </w:tblCellMar>
        </w:tblPrEx>
        <w:tc>
          <w:tcPr>
            <w:tcW w:w="2352" w:type="dxa"/>
          </w:tcPr>
          <w:p w:rsidR="00000000" w:rsidRDefault="00000000">
            <w:pPr>
              <w:pStyle w:val="a2"/>
              <w:spacing w:before="60"/>
              <w:ind w:left="227"/>
              <w:jc w:val="left"/>
              <w:rPr>
                <w:rFonts w:hint="eastAsia"/>
                <w:snapToGrid/>
              </w:rPr>
            </w:pPr>
            <w:r>
              <w:rPr>
                <w:rFonts w:hint="eastAsia"/>
                <w:snapToGrid/>
              </w:rPr>
              <w:t>学前</w:t>
            </w:r>
            <w:r>
              <w:rPr>
                <w:rFonts w:hint="eastAsia"/>
                <w:snapToGrid/>
              </w:rPr>
              <w:t>(</w:t>
            </w:r>
            <w:r>
              <w:rPr>
                <w:rFonts w:hint="eastAsia"/>
                <w:snapToGrid/>
              </w:rPr>
              <w:t>幼稚园</w:t>
            </w:r>
            <w:r>
              <w:rPr>
                <w:rFonts w:hint="eastAsia"/>
                <w:snapToGrid/>
              </w:rPr>
              <w:t>)</w:t>
            </w:r>
          </w:p>
        </w:tc>
        <w:tc>
          <w:tcPr>
            <w:tcW w:w="2352" w:type="dxa"/>
          </w:tcPr>
          <w:p w:rsidR="00000000" w:rsidRDefault="00000000">
            <w:pPr>
              <w:pStyle w:val="a2"/>
              <w:spacing w:before="60"/>
              <w:ind w:right="763"/>
              <w:jc w:val="right"/>
              <w:rPr>
                <w:rFonts w:hint="eastAsia"/>
                <w:snapToGrid/>
              </w:rPr>
            </w:pPr>
            <w:r>
              <w:rPr>
                <w:rFonts w:hint="eastAsia"/>
                <w:snapToGrid/>
              </w:rPr>
              <w:t>531</w:t>
            </w:r>
          </w:p>
        </w:tc>
        <w:tc>
          <w:tcPr>
            <w:tcW w:w="2353" w:type="dxa"/>
          </w:tcPr>
          <w:p w:rsidR="00000000" w:rsidRDefault="00000000">
            <w:pPr>
              <w:pStyle w:val="a2"/>
              <w:spacing w:before="60"/>
              <w:ind w:right="701"/>
              <w:jc w:val="right"/>
              <w:rPr>
                <w:rFonts w:hint="eastAsia"/>
                <w:snapToGrid/>
              </w:rPr>
            </w:pPr>
            <w:r>
              <w:rPr>
                <w:rFonts w:hint="eastAsia"/>
                <w:snapToGrid/>
              </w:rPr>
              <w:t>494</w:t>
            </w:r>
          </w:p>
        </w:tc>
        <w:tc>
          <w:tcPr>
            <w:tcW w:w="2353" w:type="dxa"/>
          </w:tcPr>
          <w:p w:rsidR="00000000" w:rsidRDefault="00000000">
            <w:pPr>
              <w:pStyle w:val="a2"/>
              <w:spacing w:before="60"/>
              <w:ind w:right="639"/>
              <w:jc w:val="right"/>
              <w:rPr>
                <w:rFonts w:hint="eastAsia"/>
                <w:snapToGrid/>
              </w:rPr>
            </w:pPr>
            <w:r>
              <w:rPr>
                <w:rFonts w:hint="eastAsia"/>
                <w:snapToGrid/>
              </w:rPr>
              <w:t>472 *</w:t>
            </w:r>
          </w:p>
        </w:tc>
      </w:tr>
      <w:tr w:rsidR="00000000">
        <w:tblPrEx>
          <w:tblCellMar>
            <w:top w:w="0" w:type="dxa"/>
            <w:bottom w:w="0" w:type="dxa"/>
          </w:tblCellMar>
        </w:tblPrEx>
        <w:tc>
          <w:tcPr>
            <w:tcW w:w="2352" w:type="dxa"/>
          </w:tcPr>
          <w:p w:rsidR="00000000" w:rsidRDefault="00000000">
            <w:pPr>
              <w:pStyle w:val="a2"/>
              <w:spacing w:before="60"/>
              <w:ind w:left="227"/>
              <w:jc w:val="left"/>
              <w:rPr>
                <w:rFonts w:hint="eastAsia"/>
                <w:snapToGrid/>
              </w:rPr>
            </w:pPr>
            <w:r>
              <w:rPr>
                <w:rFonts w:hint="eastAsia"/>
                <w:snapToGrid/>
              </w:rPr>
              <w:t>小学</w:t>
            </w:r>
          </w:p>
        </w:tc>
        <w:tc>
          <w:tcPr>
            <w:tcW w:w="2352" w:type="dxa"/>
          </w:tcPr>
          <w:p w:rsidR="00000000" w:rsidRDefault="00000000">
            <w:pPr>
              <w:pStyle w:val="a2"/>
              <w:spacing w:before="60"/>
              <w:ind w:right="763"/>
              <w:jc w:val="right"/>
              <w:rPr>
                <w:rFonts w:hint="eastAsia"/>
                <w:snapToGrid/>
              </w:rPr>
            </w:pPr>
            <w:r>
              <w:rPr>
                <w:rFonts w:hint="eastAsia"/>
                <w:snapToGrid/>
              </w:rPr>
              <w:t>1,496</w:t>
            </w:r>
          </w:p>
        </w:tc>
        <w:tc>
          <w:tcPr>
            <w:tcW w:w="2353" w:type="dxa"/>
          </w:tcPr>
          <w:p w:rsidR="00000000" w:rsidRDefault="00000000">
            <w:pPr>
              <w:pStyle w:val="a2"/>
              <w:spacing w:before="60"/>
              <w:ind w:right="701"/>
              <w:jc w:val="right"/>
              <w:rPr>
                <w:rFonts w:hint="eastAsia"/>
                <w:snapToGrid/>
              </w:rPr>
            </w:pPr>
            <w:r>
              <w:rPr>
                <w:rFonts w:hint="eastAsia"/>
                <w:snapToGrid/>
              </w:rPr>
              <w:t>1,530</w:t>
            </w:r>
          </w:p>
        </w:tc>
        <w:tc>
          <w:tcPr>
            <w:tcW w:w="2353" w:type="dxa"/>
          </w:tcPr>
          <w:p w:rsidR="00000000" w:rsidRDefault="00000000">
            <w:pPr>
              <w:pStyle w:val="a2"/>
              <w:spacing w:before="60"/>
              <w:ind w:right="639"/>
              <w:jc w:val="right"/>
              <w:rPr>
                <w:rFonts w:hint="eastAsia"/>
                <w:snapToGrid/>
              </w:rPr>
            </w:pPr>
            <w:r>
              <w:rPr>
                <w:rFonts w:hint="eastAsia"/>
                <w:snapToGrid/>
              </w:rPr>
              <w:t>1,527 *</w:t>
            </w:r>
          </w:p>
        </w:tc>
      </w:tr>
      <w:tr w:rsidR="00000000">
        <w:tblPrEx>
          <w:tblCellMar>
            <w:top w:w="0" w:type="dxa"/>
            <w:bottom w:w="0" w:type="dxa"/>
          </w:tblCellMar>
        </w:tblPrEx>
        <w:tc>
          <w:tcPr>
            <w:tcW w:w="2352" w:type="dxa"/>
          </w:tcPr>
          <w:p w:rsidR="00000000" w:rsidRDefault="00000000">
            <w:pPr>
              <w:pStyle w:val="a2"/>
              <w:spacing w:before="60"/>
              <w:ind w:left="227"/>
              <w:jc w:val="left"/>
              <w:rPr>
                <w:rFonts w:hint="eastAsia"/>
                <w:snapToGrid/>
              </w:rPr>
            </w:pPr>
            <w:r>
              <w:rPr>
                <w:rFonts w:hint="eastAsia"/>
                <w:snapToGrid/>
              </w:rPr>
              <w:t>中学</w:t>
            </w:r>
          </w:p>
        </w:tc>
        <w:tc>
          <w:tcPr>
            <w:tcW w:w="2352" w:type="dxa"/>
          </w:tcPr>
          <w:p w:rsidR="00000000" w:rsidRDefault="00000000">
            <w:pPr>
              <w:pStyle w:val="a2"/>
              <w:spacing w:before="60"/>
              <w:ind w:right="763"/>
              <w:jc w:val="right"/>
              <w:rPr>
                <w:rFonts w:hint="eastAsia"/>
                <w:snapToGrid/>
              </w:rPr>
            </w:pPr>
            <w:r>
              <w:rPr>
                <w:rFonts w:hint="eastAsia"/>
                <w:snapToGrid/>
              </w:rPr>
              <w:t>1,465</w:t>
            </w:r>
          </w:p>
        </w:tc>
        <w:tc>
          <w:tcPr>
            <w:tcW w:w="2353" w:type="dxa"/>
          </w:tcPr>
          <w:p w:rsidR="00000000" w:rsidRDefault="00000000">
            <w:pPr>
              <w:pStyle w:val="a2"/>
              <w:spacing w:before="60"/>
              <w:ind w:right="701"/>
              <w:jc w:val="right"/>
              <w:rPr>
                <w:rFonts w:hint="eastAsia"/>
                <w:snapToGrid/>
              </w:rPr>
            </w:pPr>
            <w:r>
              <w:rPr>
                <w:rFonts w:hint="eastAsia"/>
                <w:snapToGrid/>
              </w:rPr>
              <w:t>1,599</w:t>
            </w:r>
          </w:p>
        </w:tc>
        <w:tc>
          <w:tcPr>
            <w:tcW w:w="2353" w:type="dxa"/>
          </w:tcPr>
          <w:p w:rsidR="00000000" w:rsidRDefault="00000000">
            <w:pPr>
              <w:pStyle w:val="a2"/>
              <w:spacing w:before="60"/>
              <w:ind w:right="849"/>
              <w:jc w:val="right"/>
              <w:rPr>
                <w:rFonts w:hint="eastAsia"/>
                <w:snapToGrid/>
              </w:rPr>
            </w:pPr>
            <w:r>
              <w:rPr>
                <w:rFonts w:hint="eastAsia"/>
                <w:snapToGrid/>
              </w:rPr>
              <w:t>1,716</w:t>
            </w:r>
          </w:p>
        </w:tc>
      </w:tr>
      <w:tr w:rsidR="00000000">
        <w:tblPrEx>
          <w:tblCellMar>
            <w:top w:w="0" w:type="dxa"/>
            <w:bottom w:w="0" w:type="dxa"/>
          </w:tblCellMar>
        </w:tblPrEx>
        <w:tc>
          <w:tcPr>
            <w:tcW w:w="2352" w:type="dxa"/>
          </w:tcPr>
          <w:p w:rsidR="00000000" w:rsidRDefault="00000000">
            <w:pPr>
              <w:pStyle w:val="a2"/>
              <w:spacing w:before="60"/>
              <w:ind w:left="227"/>
              <w:jc w:val="left"/>
              <w:rPr>
                <w:rFonts w:hint="eastAsia"/>
                <w:snapToGrid/>
              </w:rPr>
            </w:pPr>
            <w:r>
              <w:rPr>
                <w:rFonts w:hint="eastAsia"/>
                <w:snapToGrid/>
              </w:rPr>
              <w:t>特殊教育</w:t>
            </w:r>
          </w:p>
        </w:tc>
        <w:tc>
          <w:tcPr>
            <w:tcW w:w="2352" w:type="dxa"/>
          </w:tcPr>
          <w:p w:rsidR="00000000" w:rsidRDefault="00000000">
            <w:pPr>
              <w:pStyle w:val="a2"/>
              <w:spacing w:before="60"/>
              <w:ind w:right="763"/>
              <w:jc w:val="right"/>
              <w:rPr>
                <w:rFonts w:hint="eastAsia"/>
                <w:snapToGrid/>
              </w:rPr>
            </w:pPr>
            <w:r>
              <w:rPr>
                <w:rFonts w:hint="eastAsia"/>
                <w:snapToGrid/>
              </w:rPr>
              <w:t>83</w:t>
            </w:r>
          </w:p>
        </w:tc>
        <w:tc>
          <w:tcPr>
            <w:tcW w:w="2353" w:type="dxa"/>
          </w:tcPr>
          <w:p w:rsidR="00000000" w:rsidRDefault="00000000">
            <w:pPr>
              <w:pStyle w:val="a2"/>
              <w:spacing w:before="60"/>
              <w:ind w:right="701"/>
              <w:jc w:val="right"/>
              <w:rPr>
                <w:rFonts w:hint="eastAsia"/>
                <w:snapToGrid/>
              </w:rPr>
            </w:pPr>
            <w:r>
              <w:rPr>
                <w:rFonts w:hint="eastAsia"/>
                <w:snapToGrid/>
              </w:rPr>
              <w:t>83</w:t>
            </w:r>
          </w:p>
        </w:tc>
        <w:tc>
          <w:tcPr>
            <w:tcW w:w="2353" w:type="dxa"/>
          </w:tcPr>
          <w:p w:rsidR="00000000" w:rsidRDefault="00000000">
            <w:pPr>
              <w:pStyle w:val="a2"/>
              <w:spacing w:before="60"/>
              <w:ind w:right="849"/>
              <w:jc w:val="right"/>
              <w:rPr>
                <w:rFonts w:hint="eastAsia"/>
                <w:snapToGrid/>
              </w:rPr>
            </w:pPr>
            <w:r>
              <w:rPr>
                <w:rFonts w:hint="eastAsia"/>
                <w:snapToGrid/>
              </w:rPr>
              <w:t>89</w:t>
            </w:r>
          </w:p>
        </w:tc>
      </w:tr>
      <w:tr w:rsidR="00000000">
        <w:tblPrEx>
          <w:tblCellMar>
            <w:top w:w="0" w:type="dxa"/>
            <w:bottom w:w="0" w:type="dxa"/>
          </w:tblCellMar>
        </w:tblPrEx>
        <w:tc>
          <w:tcPr>
            <w:tcW w:w="2352" w:type="dxa"/>
          </w:tcPr>
          <w:p w:rsidR="00000000" w:rsidRDefault="00000000">
            <w:pPr>
              <w:pStyle w:val="a2"/>
              <w:spacing w:before="60"/>
              <w:ind w:left="227"/>
              <w:jc w:val="left"/>
              <w:rPr>
                <w:rFonts w:hint="eastAsia"/>
                <w:snapToGrid/>
              </w:rPr>
            </w:pPr>
            <w:r>
              <w:rPr>
                <w:rFonts w:hint="eastAsia"/>
                <w:snapToGrid/>
              </w:rPr>
              <w:t>其他</w:t>
            </w:r>
          </w:p>
        </w:tc>
        <w:tc>
          <w:tcPr>
            <w:tcW w:w="2352" w:type="dxa"/>
          </w:tcPr>
          <w:p w:rsidR="00000000" w:rsidRDefault="00000000">
            <w:pPr>
              <w:pStyle w:val="a2"/>
              <w:spacing w:before="60"/>
              <w:ind w:right="763"/>
              <w:jc w:val="right"/>
              <w:rPr>
                <w:rFonts w:hint="eastAsia"/>
                <w:snapToGrid/>
              </w:rPr>
            </w:pPr>
            <w:r>
              <w:rPr>
                <w:rFonts w:hint="eastAsia"/>
                <w:snapToGrid/>
              </w:rPr>
              <w:t>271</w:t>
            </w:r>
          </w:p>
        </w:tc>
        <w:tc>
          <w:tcPr>
            <w:tcW w:w="2353" w:type="dxa"/>
          </w:tcPr>
          <w:p w:rsidR="00000000" w:rsidRDefault="00000000">
            <w:pPr>
              <w:pStyle w:val="a2"/>
              <w:spacing w:before="60"/>
              <w:ind w:right="701"/>
              <w:jc w:val="right"/>
              <w:rPr>
                <w:rFonts w:hint="eastAsia"/>
                <w:snapToGrid/>
              </w:rPr>
            </w:pPr>
            <w:r>
              <w:rPr>
                <w:rFonts w:hint="eastAsia"/>
                <w:snapToGrid/>
              </w:rPr>
              <w:t>277</w:t>
            </w:r>
          </w:p>
        </w:tc>
        <w:tc>
          <w:tcPr>
            <w:tcW w:w="2353" w:type="dxa"/>
          </w:tcPr>
          <w:p w:rsidR="00000000" w:rsidRDefault="00000000">
            <w:pPr>
              <w:pStyle w:val="a2"/>
              <w:spacing w:before="60"/>
              <w:ind w:right="849"/>
              <w:jc w:val="right"/>
              <w:rPr>
                <w:rFonts w:hint="eastAsia"/>
                <w:snapToGrid/>
              </w:rPr>
            </w:pPr>
            <w:r>
              <w:rPr>
                <w:rFonts w:hint="eastAsia"/>
                <w:snapToGrid/>
              </w:rPr>
              <w:t>246</w:t>
            </w:r>
          </w:p>
        </w:tc>
      </w:tr>
      <w:tr w:rsidR="00000000">
        <w:tblPrEx>
          <w:tblCellMar>
            <w:top w:w="0" w:type="dxa"/>
            <w:bottom w:w="0" w:type="dxa"/>
          </w:tblCellMar>
        </w:tblPrEx>
        <w:tc>
          <w:tcPr>
            <w:tcW w:w="2352" w:type="dxa"/>
          </w:tcPr>
          <w:p w:rsidR="00000000" w:rsidRDefault="00000000">
            <w:pPr>
              <w:pStyle w:val="a2"/>
              <w:spacing w:before="60"/>
              <w:ind w:left="227"/>
              <w:jc w:val="left"/>
              <w:rPr>
                <w:rFonts w:hint="eastAsia"/>
                <w:snapToGrid/>
              </w:rPr>
            </w:pPr>
            <w:r>
              <w:rPr>
                <w:rFonts w:hint="eastAsia"/>
                <w:snapToGrid/>
              </w:rPr>
              <w:t>总人数</w:t>
            </w:r>
          </w:p>
        </w:tc>
        <w:tc>
          <w:tcPr>
            <w:tcW w:w="2352" w:type="dxa"/>
          </w:tcPr>
          <w:p w:rsidR="00000000" w:rsidRDefault="00000000">
            <w:pPr>
              <w:pStyle w:val="a2"/>
              <w:spacing w:before="60"/>
              <w:ind w:right="763"/>
              <w:jc w:val="right"/>
              <w:rPr>
                <w:rFonts w:hint="eastAsia"/>
                <w:snapToGrid/>
              </w:rPr>
            </w:pPr>
            <w:r>
              <w:rPr>
                <w:rFonts w:hint="eastAsia"/>
                <w:snapToGrid/>
              </w:rPr>
              <w:t>3,846</w:t>
            </w:r>
          </w:p>
        </w:tc>
        <w:tc>
          <w:tcPr>
            <w:tcW w:w="2353" w:type="dxa"/>
          </w:tcPr>
          <w:p w:rsidR="00000000" w:rsidRDefault="00000000">
            <w:pPr>
              <w:pStyle w:val="a2"/>
              <w:spacing w:before="60"/>
              <w:ind w:right="701"/>
              <w:jc w:val="right"/>
              <w:rPr>
                <w:rFonts w:hint="eastAsia"/>
                <w:snapToGrid/>
              </w:rPr>
            </w:pPr>
            <w:r>
              <w:rPr>
                <w:rFonts w:hint="eastAsia"/>
                <w:snapToGrid/>
              </w:rPr>
              <w:t>3,983</w:t>
            </w:r>
          </w:p>
        </w:tc>
        <w:tc>
          <w:tcPr>
            <w:tcW w:w="2353" w:type="dxa"/>
          </w:tcPr>
          <w:p w:rsidR="00000000" w:rsidRDefault="00000000">
            <w:pPr>
              <w:pStyle w:val="a2"/>
              <w:spacing w:before="60"/>
              <w:ind w:right="849"/>
              <w:jc w:val="right"/>
              <w:rPr>
                <w:rFonts w:hint="eastAsia"/>
                <w:snapToGrid/>
              </w:rPr>
            </w:pPr>
            <w:r>
              <w:rPr>
                <w:rFonts w:hint="eastAsia"/>
                <w:snapToGrid/>
              </w:rPr>
              <w:t>4,050</w:t>
            </w:r>
          </w:p>
        </w:tc>
      </w:tr>
    </w:tbl>
    <w:p w:rsidR="00000000" w:rsidRDefault="00000000">
      <w:pPr>
        <w:pStyle w:val="EndnoteText"/>
        <w:spacing w:before="240"/>
        <w:ind w:left="510" w:firstLine="920"/>
        <w:rPr>
          <w:rFonts w:hint="eastAsia"/>
          <w:snapToGrid/>
        </w:rPr>
      </w:pPr>
      <w:r>
        <w:rPr>
          <w:rFonts w:hint="eastAsia"/>
          <w:snapToGrid/>
          <w:u w:val="single"/>
        </w:rPr>
        <w:t>注</w:t>
      </w:r>
      <w:r>
        <w:rPr>
          <w:rFonts w:hint="eastAsia"/>
          <w:snapToGrid/>
        </w:rPr>
        <w:t>：</w:t>
      </w:r>
      <w:r>
        <w:rPr>
          <w:rFonts w:hint="eastAsia"/>
          <w:snapToGrid/>
        </w:rPr>
        <w:t xml:space="preserve">*  </w:t>
      </w:r>
      <w:r>
        <w:rPr>
          <w:rFonts w:hint="eastAsia"/>
          <w:snapToGrid/>
        </w:rPr>
        <w:t>幼稚园和小学学生的人数正在减少。</w:t>
      </w:r>
    </w:p>
    <w:p w:rsidR="00000000" w:rsidRDefault="00000000">
      <w:pPr>
        <w:pStyle w:val="EndnoteText"/>
        <w:spacing w:after="320"/>
        <w:ind w:left="510"/>
        <w:rPr>
          <w:rFonts w:hint="eastAsia"/>
          <w:snapToGrid/>
        </w:rPr>
      </w:pPr>
      <w:r>
        <w:rPr>
          <w:rFonts w:hint="eastAsia"/>
          <w:snapToGrid/>
          <w:u w:val="single"/>
        </w:rPr>
        <w:t>资源来源</w:t>
      </w:r>
      <w:r>
        <w:rPr>
          <w:rFonts w:hint="eastAsia"/>
          <w:snapToGrid/>
        </w:rPr>
        <w:t>：教育暨青年局，</w:t>
      </w:r>
      <w:r>
        <w:rPr>
          <w:rFonts w:hint="eastAsia"/>
          <w:snapToGrid/>
        </w:rPr>
        <w:t>2002</w:t>
      </w:r>
      <w:r>
        <w:rPr>
          <w:rFonts w:hint="eastAsia"/>
          <w:snapToGrid/>
        </w:rPr>
        <w:t>年。</w:t>
      </w:r>
    </w:p>
    <w:p w:rsidR="00000000" w:rsidRDefault="00000000">
      <w:pPr>
        <w:spacing w:after="320"/>
        <w:rPr>
          <w:rFonts w:hint="eastAsia"/>
        </w:rPr>
      </w:pPr>
      <w:r>
        <w:rPr>
          <w:rFonts w:hint="eastAsia"/>
        </w:rPr>
        <w:tab/>
        <w:t xml:space="preserve">1138.  </w:t>
      </w:r>
      <w:r>
        <w:rPr>
          <w:rFonts w:hint="eastAsia"/>
        </w:rPr>
        <w:t>公立和私立学校教师的平均月薪约为澳门币</w:t>
      </w:r>
      <w:r>
        <w:rPr>
          <w:rFonts w:hint="eastAsia"/>
        </w:rPr>
        <w:t>10,000</w:t>
      </w:r>
      <w:r>
        <w:rPr>
          <w:rFonts w:hint="eastAsia"/>
        </w:rPr>
        <w:t>元，并享有免费医疗。</w:t>
      </w:r>
    </w:p>
    <w:p w:rsidR="00000000" w:rsidRDefault="00000000">
      <w:pPr>
        <w:spacing w:after="320"/>
        <w:rPr>
          <w:rFonts w:hint="eastAsia"/>
          <w:u w:val="single"/>
        </w:rPr>
      </w:pPr>
      <w:r>
        <w:rPr>
          <w:rFonts w:hint="eastAsia"/>
          <w:u w:val="single"/>
        </w:rPr>
        <w:t>教育标准</w:t>
      </w:r>
    </w:p>
    <w:p w:rsidR="00000000" w:rsidRDefault="00000000">
      <w:pPr>
        <w:rPr>
          <w:rFonts w:hint="eastAsia"/>
        </w:rPr>
      </w:pPr>
      <w:r>
        <w:rPr>
          <w:rFonts w:hint="eastAsia"/>
        </w:rPr>
        <w:tab/>
        <w:t xml:space="preserve">1139.  </w:t>
      </w:r>
      <w:r>
        <w:rPr>
          <w:rFonts w:hint="eastAsia"/>
        </w:rPr>
        <w:t>《教育制度纲要法》体现了对人权和基本自由的尊重。同样重要的是，尊重人权和各种文化的独特性和价值，以及重视环境和健康生活方式等，在作为教学内容的“个人和社会发展”科目中占有重要地位。</w:t>
      </w:r>
    </w:p>
    <w:p w:rsidR="00000000" w:rsidRDefault="00000000">
      <w:pPr>
        <w:rPr>
          <w:rFonts w:hint="eastAsia"/>
        </w:rPr>
      </w:pPr>
      <w:r>
        <w:rPr>
          <w:rFonts w:hint="eastAsia"/>
        </w:rPr>
        <w:tab/>
        <w:t xml:space="preserve">1140.  </w:t>
      </w:r>
      <w:r>
        <w:rPr>
          <w:rFonts w:hint="eastAsia"/>
        </w:rPr>
        <w:t>该等原则和价值观在澳门特别行政区的育教政策中得到确认，因此在各教育层面均获得发展和加强</w:t>
      </w:r>
      <w:r>
        <w:rPr>
          <w:rFonts w:hint="eastAsia"/>
        </w:rPr>
        <w:t>(</w:t>
      </w:r>
      <w:r>
        <w:rPr>
          <w:rFonts w:hint="eastAsia"/>
        </w:rPr>
        <w:t>《教育制度纲要法》</w:t>
      </w:r>
      <w:r>
        <w:rPr>
          <w:rFonts w:hint="eastAsia"/>
        </w:rPr>
        <w:t>)</w:t>
      </w:r>
      <w:r>
        <w:rPr>
          <w:rFonts w:hint="eastAsia"/>
        </w:rPr>
        <w:t>和</w:t>
      </w:r>
      <w:r>
        <w:rPr>
          <w:rFonts w:hint="eastAsia"/>
        </w:rPr>
        <w:t>2</w:t>
      </w:r>
      <w:r>
        <w:rPr>
          <w:rFonts w:hint="eastAsia"/>
        </w:rPr>
        <w:t>月</w:t>
      </w:r>
      <w:r>
        <w:rPr>
          <w:rFonts w:hint="eastAsia"/>
        </w:rPr>
        <w:t>4</w:t>
      </w:r>
      <w:r>
        <w:rPr>
          <w:rFonts w:hint="eastAsia"/>
        </w:rPr>
        <w:t>日第</w:t>
      </w:r>
      <w:r>
        <w:rPr>
          <w:rFonts w:hint="eastAsia"/>
        </w:rPr>
        <w:t>11/91/M</w:t>
      </w:r>
      <w:r>
        <w:rPr>
          <w:rFonts w:hint="eastAsia"/>
        </w:rPr>
        <w:t>号法令第二条</w:t>
      </w:r>
      <w:r>
        <w:rPr>
          <w:rFonts w:hint="eastAsia"/>
        </w:rPr>
        <w:t>)</w:t>
      </w:r>
      <w:r>
        <w:rPr>
          <w:rFonts w:hint="eastAsia"/>
        </w:rPr>
        <w:t>。</w:t>
      </w:r>
    </w:p>
    <w:p w:rsidR="00000000" w:rsidRDefault="00000000">
      <w:pPr>
        <w:rPr>
          <w:rFonts w:hint="eastAsia"/>
        </w:rPr>
      </w:pPr>
      <w:r>
        <w:rPr>
          <w:rFonts w:hint="eastAsia"/>
        </w:rPr>
        <w:tab/>
        <w:t xml:space="preserve">1141.  </w:t>
      </w:r>
      <w:r>
        <w:rPr>
          <w:rFonts w:hint="eastAsia"/>
        </w:rPr>
        <w:t>基于上述理由，有关方面定期推行对学校的公民和文化教育、体育、美术和有助学生融入社群的教育起补充作用的活动。</w:t>
      </w:r>
    </w:p>
    <w:p w:rsidR="00000000" w:rsidRDefault="00000000">
      <w:pPr>
        <w:spacing w:after="320"/>
        <w:rPr>
          <w:rFonts w:hint="eastAsia"/>
        </w:rPr>
      </w:pPr>
      <w:r>
        <w:rPr>
          <w:rFonts w:hint="eastAsia"/>
        </w:rPr>
        <w:tab/>
        <w:t xml:space="preserve">1142.  </w:t>
      </w:r>
      <w:r>
        <w:rPr>
          <w:rFonts w:hint="eastAsia"/>
        </w:rPr>
        <w:t>必须指出的是，按照第</w:t>
      </w:r>
      <w:r>
        <w:rPr>
          <w:rFonts w:hint="eastAsia"/>
        </w:rPr>
        <w:t>11/91/M</w:t>
      </w:r>
      <w:r>
        <w:rPr>
          <w:rFonts w:hint="eastAsia"/>
        </w:rPr>
        <w:t>号法律第四十九条第二款的规定，学校应容许教师、家长、学生和团体对学校的管理有不同方式的参与。家长和监护人的角色，亦得到</w:t>
      </w:r>
      <w:r>
        <w:rPr>
          <w:rFonts w:hint="eastAsia"/>
        </w:rPr>
        <w:t>12</w:t>
      </w:r>
      <w:r>
        <w:rPr>
          <w:rFonts w:hint="eastAsia"/>
        </w:rPr>
        <w:t>月</w:t>
      </w:r>
      <w:r>
        <w:rPr>
          <w:rFonts w:hint="eastAsia"/>
        </w:rPr>
        <w:t>27</w:t>
      </w:r>
      <w:r>
        <w:rPr>
          <w:rFonts w:hint="eastAsia"/>
        </w:rPr>
        <w:t>日第</w:t>
      </w:r>
      <w:r>
        <w:rPr>
          <w:rFonts w:hint="eastAsia"/>
        </w:rPr>
        <w:t>72/93/M</w:t>
      </w:r>
      <w:r>
        <w:rPr>
          <w:rFonts w:hint="eastAsia"/>
        </w:rPr>
        <w:t>号法令的确认。</w:t>
      </w:r>
    </w:p>
    <w:p w:rsidR="00000000" w:rsidRDefault="00000000">
      <w:pPr>
        <w:pStyle w:val="Heading3"/>
        <w:rPr>
          <w:rFonts w:hint="eastAsia"/>
        </w:rPr>
      </w:pPr>
      <w:bookmarkStart w:id="109" w:name="_Toc78773018"/>
      <w:r>
        <w:rPr>
          <w:rFonts w:hint="eastAsia"/>
          <w:u w:val="none"/>
        </w:rPr>
        <w:t xml:space="preserve">H.  </w:t>
      </w:r>
      <w:r>
        <w:rPr>
          <w:rFonts w:hint="eastAsia"/>
        </w:rPr>
        <w:t>促进与国际联系和合作的措施</w:t>
      </w:r>
      <w:bookmarkEnd w:id="109"/>
    </w:p>
    <w:p w:rsidR="00000000" w:rsidRDefault="00000000">
      <w:pPr>
        <w:rPr>
          <w:rFonts w:hint="eastAsia"/>
        </w:rPr>
      </w:pPr>
      <w:r>
        <w:tab/>
        <w:t xml:space="preserve">1143.  </w:t>
      </w:r>
      <w:r>
        <w:rPr>
          <w:rFonts w:hint="eastAsia"/>
        </w:rPr>
        <w:t>在教育和青年事务方面，澳门特别行政区政府鼓励政府部门、教育机构和私人团体参与国际和区际活动。</w:t>
      </w:r>
    </w:p>
    <w:p w:rsidR="00000000" w:rsidRDefault="00000000">
      <w:pPr>
        <w:rPr>
          <w:rFonts w:hint="eastAsia"/>
        </w:rPr>
      </w:pPr>
      <w:r>
        <w:rPr>
          <w:rFonts w:hint="eastAsia"/>
        </w:rPr>
        <w:tab/>
        <w:t xml:space="preserve">1144.  </w:t>
      </w:r>
      <w:r>
        <w:rPr>
          <w:rFonts w:hint="eastAsia"/>
        </w:rPr>
        <w:t>例如，澳门大学是多个国际高等教育协会，包括国际大学协会、亚太大学协会的成员。该大学举办了多次研讨会和国际会议，并邀请国际著名学者参与。目前为止，澳门大学已与超过</w:t>
      </w:r>
      <w:r>
        <w:rPr>
          <w:rFonts w:hint="eastAsia"/>
        </w:rPr>
        <w:t>50</w:t>
      </w:r>
      <w:r>
        <w:rPr>
          <w:rFonts w:hint="eastAsia"/>
        </w:rPr>
        <w:t>所外国大学</w:t>
      </w:r>
      <w:r>
        <w:rPr>
          <w:rFonts w:hint="eastAsia"/>
        </w:rPr>
        <w:t>/</w:t>
      </w:r>
      <w:r>
        <w:rPr>
          <w:rFonts w:hint="eastAsia"/>
        </w:rPr>
        <w:t>机构定下了伙伴和合作协定。</w:t>
      </w:r>
    </w:p>
    <w:p w:rsidR="00000000" w:rsidRDefault="00000000">
      <w:pPr>
        <w:rPr>
          <w:rFonts w:hint="eastAsia"/>
        </w:rPr>
      </w:pPr>
      <w:r>
        <w:rPr>
          <w:rFonts w:hint="eastAsia"/>
        </w:rPr>
        <w:tab/>
        <w:t xml:space="preserve">1145.  </w:t>
      </w:r>
      <w:r>
        <w:rPr>
          <w:rFonts w:hint="eastAsia"/>
        </w:rPr>
        <w:t>此外，亦有各类学生交流计划。在</w:t>
      </w:r>
      <w:r>
        <w:rPr>
          <w:rFonts w:hint="eastAsia"/>
        </w:rPr>
        <w:t>2001-2002</w:t>
      </w:r>
      <w:r>
        <w:rPr>
          <w:rFonts w:hint="eastAsia"/>
        </w:rPr>
        <w:t>学年，澳门大学接待了来自</w:t>
      </w:r>
      <w:r>
        <w:rPr>
          <w:rFonts w:hint="eastAsia"/>
        </w:rPr>
        <w:t>11</w:t>
      </w:r>
      <w:r>
        <w:rPr>
          <w:rFonts w:hint="eastAsia"/>
        </w:rPr>
        <w:t>个国家的</w:t>
      </w:r>
      <w:r>
        <w:rPr>
          <w:rFonts w:hint="eastAsia"/>
        </w:rPr>
        <w:t>40</w:t>
      </w:r>
      <w:r>
        <w:rPr>
          <w:rFonts w:hint="eastAsia"/>
        </w:rPr>
        <w:t>所大学的</w:t>
      </w:r>
      <w:r>
        <w:rPr>
          <w:rFonts w:hint="eastAsia"/>
        </w:rPr>
        <w:t>91</w:t>
      </w:r>
      <w:r>
        <w:rPr>
          <w:rFonts w:hint="eastAsia"/>
        </w:rPr>
        <w:t>名学生，并安排</w:t>
      </w:r>
      <w:r>
        <w:rPr>
          <w:rFonts w:hint="eastAsia"/>
        </w:rPr>
        <w:t>87</w:t>
      </w:r>
      <w:r>
        <w:rPr>
          <w:rFonts w:hint="eastAsia"/>
        </w:rPr>
        <w:t>名本地学生到外地交流。澳门大学每年为约</w:t>
      </w:r>
      <w:r>
        <w:rPr>
          <w:rFonts w:hint="eastAsia"/>
        </w:rPr>
        <w:t>150</w:t>
      </w:r>
      <w:r>
        <w:rPr>
          <w:rFonts w:hint="eastAsia"/>
        </w:rPr>
        <w:t>名亚洲学生举办葡语暑期课程，此外，亦有举办其他活动，例如“国际周”和“国际文化交流日”等。</w:t>
      </w:r>
    </w:p>
    <w:p w:rsidR="00000000" w:rsidRDefault="00000000">
      <w:pPr>
        <w:rPr>
          <w:rFonts w:hint="eastAsia"/>
        </w:rPr>
      </w:pPr>
    </w:p>
    <w:p w:rsidR="00000000" w:rsidRDefault="00000000">
      <w:pPr>
        <w:pStyle w:val="Heading3"/>
        <w:spacing w:line="432" w:lineRule="auto"/>
        <w:rPr>
          <w:rFonts w:ascii="Time New Roman" w:eastAsia="SimHei" w:hAnsi="Time New Roman" w:hint="eastAsia"/>
          <w:u w:val="none"/>
        </w:rPr>
      </w:pPr>
      <w:bookmarkStart w:id="110" w:name="_Toc78773019"/>
      <w:r>
        <w:rPr>
          <w:rFonts w:ascii="Time New Roman" w:eastAsia="SimHei" w:hAnsi="Time New Roman" w:hint="eastAsia"/>
          <w:u w:val="none"/>
        </w:rPr>
        <w:t>第</w:t>
      </w:r>
      <w:r>
        <w:rPr>
          <w:rFonts w:ascii="Time New Roman" w:eastAsia="SimHei" w:hAnsi="Time New Roman"/>
          <w:u w:val="none"/>
        </w:rPr>
        <w:t xml:space="preserve"> </w:t>
      </w:r>
      <w:r>
        <w:rPr>
          <w:rFonts w:ascii="Time New Roman" w:eastAsia="SimHei" w:hAnsi="Time New Roman" w:hint="eastAsia"/>
          <w:u w:val="none"/>
        </w:rPr>
        <w:t>十五</w:t>
      </w:r>
      <w:r>
        <w:rPr>
          <w:rFonts w:ascii="Time New Roman" w:eastAsia="SimHei" w:hAnsi="Time New Roman"/>
          <w:u w:val="none"/>
        </w:rPr>
        <w:t xml:space="preserve"> </w:t>
      </w:r>
      <w:r>
        <w:rPr>
          <w:rFonts w:ascii="Time New Roman" w:eastAsia="SimHei" w:hAnsi="Time New Roman" w:hint="eastAsia"/>
          <w:u w:val="none"/>
        </w:rPr>
        <w:t>条</w:t>
      </w:r>
      <w:r>
        <w:rPr>
          <w:rFonts w:ascii="Time New Roman" w:eastAsia="SimHei" w:hAnsi="Time New Roman"/>
          <w:u w:val="none"/>
        </w:rPr>
        <w:br/>
      </w:r>
      <w:r>
        <w:rPr>
          <w:rFonts w:ascii="Time New Roman" w:eastAsia="SimHei" w:hAnsi="Time New Roman" w:hint="eastAsia"/>
          <w:u w:val="none"/>
        </w:rPr>
        <w:t>参加文化生活和享受科学进步所产生的利益的权利</w:t>
      </w:r>
      <w:bookmarkEnd w:id="110"/>
    </w:p>
    <w:p w:rsidR="00000000" w:rsidRDefault="00000000">
      <w:pPr>
        <w:pStyle w:val="Heading3"/>
        <w:rPr>
          <w:rFonts w:hint="eastAsia"/>
          <w:u w:val="none"/>
        </w:rPr>
      </w:pPr>
      <w:bookmarkStart w:id="111" w:name="_Toc78773020"/>
      <w:r>
        <w:rPr>
          <w:rFonts w:hint="eastAsia"/>
          <w:u w:val="none"/>
        </w:rPr>
        <w:t xml:space="preserve">A. </w:t>
      </w:r>
      <w:r>
        <w:rPr>
          <w:u w:val="none"/>
        </w:rPr>
        <w:t xml:space="preserve"> </w:t>
      </w:r>
      <w:r>
        <w:rPr>
          <w:rFonts w:hint="eastAsia"/>
        </w:rPr>
        <w:t>参加文化生活的权利</w:t>
      </w:r>
      <w:bookmarkEnd w:id="111"/>
    </w:p>
    <w:p w:rsidR="00000000" w:rsidRDefault="00000000">
      <w:pPr>
        <w:rPr>
          <w:rFonts w:hint="eastAsia"/>
        </w:rPr>
      </w:pPr>
      <w:r>
        <w:rPr>
          <w:rFonts w:hint="eastAsia"/>
        </w:rPr>
        <w:tab/>
        <w:t xml:space="preserve">1146.  </w:t>
      </w:r>
      <w:r>
        <w:rPr>
          <w:rFonts w:hint="eastAsia"/>
        </w:rPr>
        <w:t>《基本法》第三十七条规定“澳门居民有从事教育、学术研究、文学艺术创作和其他文化活动的自由”。此外，《基本法》第二十七条亦保障了言论、新闻、出版的自由。</w:t>
      </w:r>
    </w:p>
    <w:p w:rsidR="00000000" w:rsidRDefault="00000000">
      <w:pPr>
        <w:rPr>
          <w:rFonts w:hint="eastAsia"/>
        </w:rPr>
      </w:pPr>
      <w:r>
        <w:rPr>
          <w:rFonts w:hint="eastAsia"/>
        </w:rPr>
        <w:tab/>
        <w:t xml:space="preserve">1147.  </w:t>
      </w:r>
      <w:r>
        <w:rPr>
          <w:rFonts w:hint="eastAsia"/>
        </w:rPr>
        <w:t>澳门特别行政区的宝贵文化财产，是</w:t>
      </w:r>
      <w:r>
        <w:rPr>
          <w:rFonts w:hint="eastAsia"/>
        </w:rPr>
        <w:t>500</w:t>
      </w:r>
      <w:r>
        <w:rPr>
          <w:rFonts w:hint="eastAsia"/>
        </w:rPr>
        <w:t>年东、西方文化交流的成果。回归后，为肯定和巩固该等财产的文化价值，澳门的文化独特性被原封不动地保存下来，并得到加强。</w:t>
      </w:r>
    </w:p>
    <w:p w:rsidR="00000000" w:rsidRDefault="00000000">
      <w:pPr>
        <w:rPr>
          <w:rFonts w:hint="eastAsia"/>
        </w:rPr>
      </w:pPr>
      <w:r>
        <w:rPr>
          <w:rFonts w:hint="eastAsia"/>
        </w:rPr>
        <w:tab/>
        <w:t xml:space="preserve">1148.  </w:t>
      </w:r>
      <w:r>
        <w:rPr>
          <w:rFonts w:hint="eastAsia"/>
        </w:rPr>
        <w:t>澳门特别行政区政府致力促进和保护市民的文化权利，并为此负责制定文化政策，包括文学和艺术政策</w:t>
      </w:r>
      <w:r>
        <w:rPr>
          <w:rFonts w:hint="eastAsia"/>
        </w:rPr>
        <w:t>(</w:t>
      </w:r>
      <w:r>
        <w:rPr>
          <w:rFonts w:hint="eastAsia"/>
        </w:rPr>
        <w:t>《基本法》第一百二十五条第一款</w:t>
      </w:r>
      <w:r>
        <w:rPr>
          <w:rFonts w:hint="eastAsia"/>
        </w:rPr>
        <w:t>)</w:t>
      </w:r>
      <w:r>
        <w:rPr>
          <w:rFonts w:hint="eastAsia"/>
        </w:rPr>
        <w:t>。</w:t>
      </w:r>
    </w:p>
    <w:p w:rsidR="00000000" w:rsidRDefault="00000000">
      <w:pPr>
        <w:rPr>
          <w:rFonts w:hint="eastAsia"/>
        </w:rPr>
      </w:pPr>
      <w:r>
        <w:rPr>
          <w:rFonts w:hint="eastAsia"/>
        </w:rPr>
        <w:tab/>
        <w:t xml:space="preserve">1149.  </w:t>
      </w:r>
      <w:r>
        <w:rPr>
          <w:rFonts w:hint="eastAsia"/>
        </w:rPr>
        <w:t>文化局是负责巩固澳门特别行政区的文化独特性和文化特色的政府部门，专门负责关于文化财产、文化活动、培训和研究等领域的工作</w:t>
      </w:r>
      <w:r>
        <w:rPr>
          <w:rFonts w:hint="eastAsia"/>
        </w:rPr>
        <w:t>(12</w:t>
      </w:r>
      <w:r>
        <w:rPr>
          <w:rFonts w:hint="eastAsia"/>
        </w:rPr>
        <w:t>月</w:t>
      </w:r>
      <w:r>
        <w:rPr>
          <w:rFonts w:hint="eastAsia"/>
        </w:rPr>
        <w:t>19</w:t>
      </w:r>
      <w:r>
        <w:rPr>
          <w:rFonts w:hint="eastAsia"/>
        </w:rPr>
        <w:t>日第</w:t>
      </w:r>
      <w:r>
        <w:rPr>
          <w:rFonts w:hint="eastAsia"/>
        </w:rPr>
        <w:t>63/94/M</w:t>
      </w:r>
      <w:r>
        <w:rPr>
          <w:rFonts w:hint="eastAsia"/>
        </w:rPr>
        <w:t>号法令</w:t>
      </w:r>
      <w:r>
        <w:rPr>
          <w:rFonts w:hint="eastAsia"/>
        </w:rPr>
        <w:t>)</w:t>
      </w:r>
      <w:r>
        <w:rPr>
          <w:rFonts w:hint="eastAsia"/>
        </w:rPr>
        <w:t>。</w:t>
      </w:r>
    </w:p>
    <w:p w:rsidR="00000000" w:rsidRDefault="00000000">
      <w:pPr>
        <w:rPr>
          <w:rFonts w:hint="eastAsia"/>
        </w:rPr>
      </w:pPr>
      <w:r>
        <w:rPr>
          <w:rFonts w:hint="eastAsia"/>
        </w:rPr>
        <w:tab/>
        <w:t xml:space="preserve">1150.  </w:t>
      </w:r>
      <w:r>
        <w:rPr>
          <w:rFonts w:hint="eastAsia"/>
        </w:rPr>
        <w:t>上述领域包括各方面不同事宜，例如维护和复原历史、文化和建筑财产、进行研究和出版工作、组织和管理图书馆、档案库、促进和支持文化艺术活动、促进音乐、舞蹈和戏剧的教授等。</w:t>
      </w:r>
    </w:p>
    <w:p w:rsidR="00000000" w:rsidRDefault="00000000">
      <w:pPr>
        <w:rPr>
          <w:rFonts w:hint="eastAsia"/>
        </w:rPr>
      </w:pPr>
      <w:r>
        <w:rPr>
          <w:rFonts w:hint="eastAsia"/>
        </w:rPr>
        <w:tab/>
        <w:t xml:space="preserve">1151.  </w:t>
      </w:r>
      <w:r>
        <w:rPr>
          <w:rFonts w:hint="eastAsia"/>
        </w:rPr>
        <w:t>此外，其他政府部门</w:t>
      </w:r>
      <w:r>
        <w:rPr>
          <w:rFonts w:hint="eastAsia"/>
        </w:rPr>
        <w:t>(</w:t>
      </w:r>
      <w:r>
        <w:rPr>
          <w:rFonts w:hint="eastAsia"/>
        </w:rPr>
        <w:t>例如旅游局、民政总署</w:t>
      </w:r>
      <w:r>
        <w:rPr>
          <w:rFonts w:hint="eastAsia"/>
        </w:rPr>
        <w:t>)</w:t>
      </w:r>
      <w:r>
        <w:rPr>
          <w:rFonts w:hint="eastAsia"/>
        </w:rPr>
        <w:t>、公共实体</w:t>
      </w:r>
      <w:r>
        <w:rPr>
          <w:rFonts w:hint="eastAsia"/>
        </w:rPr>
        <w:t>(</w:t>
      </w:r>
      <w:r>
        <w:rPr>
          <w:rFonts w:hint="eastAsia"/>
        </w:rPr>
        <w:t>例如澳门基金会</w:t>
      </w:r>
      <w:r>
        <w:rPr>
          <w:rFonts w:hint="eastAsia"/>
        </w:rPr>
        <w:t>)</w:t>
      </w:r>
      <w:r>
        <w:rPr>
          <w:rFonts w:hint="eastAsia"/>
        </w:rPr>
        <w:t>和民间社团亦通过举办各项重要活动，促进和推广文化权利。</w:t>
      </w:r>
    </w:p>
    <w:p w:rsidR="00000000" w:rsidRDefault="00000000">
      <w:pPr>
        <w:rPr>
          <w:rFonts w:hint="eastAsia"/>
        </w:rPr>
      </w:pPr>
      <w:r>
        <w:rPr>
          <w:rFonts w:hint="eastAsia"/>
        </w:rPr>
        <w:tab/>
        <w:t xml:space="preserve">1152.  </w:t>
      </w:r>
      <w:r>
        <w:rPr>
          <w:rFonts w:hint="eastAsia"/>
        </w:rPr>
        <w:t>无论现在或将来，澳门特别行政区政府均重视保护文化财产的教育工作，尤其是对青少年的教育工作。</w:t>
      </w:r>
    </w:p>
    <w:p w:rsidR="00000000" w:rsidRDefault="00000000">
      <w:pPr>
        <w:rPr>
          <w:rFonts w:hint="eastAsia"/>
        </w:rPr>
      </w:pPr>
      <w:r>
        <w:rPr>
          <w:rFonts w:hint="eastAsia"/>
        </w:rPr>
        <w:tab/>
        <w:t>1153.  1</w:t>
      </w:r>
      <w:r>
        <w:rPr>
          <w:rFonts w:hint="eastAsia"/>
        </w:rPr>
        <w:t>月</w:t>
      </w:r>
      <w:r>
        <w:rPr>
          <w:rFonts w:hint="eastAsia"/>
        </w:rPr>
        <w:t>26</w:t>
      </w:r>
      <w:r>
        <w:rPr>
          <w:rFonts w:hint="eastAsia"/>
        </w:rPr>
        <w:t>日第</w:t>
      </w:r>
      <w:r>
        <w:rPr>
          <w:rFonts w:hint="eastAsia"/>
        </w:rPr>
        <w:t>4/98/M</w:t>
      </w:r>
      <w:r>
        <w:rPr>
          <w:rFonts w:hint="eastAsia"/>
        </w:rPr>
        <w:t>号法令确立了在澳门教育制度范畴内实行艺术教育和发展艺术创作自由的原则、架构和总方针。文化、科学和艺术学习，是正规幼稚园、小学预备班、小学、中学和职业技术教育</w:t>
      </w:r>
      <w:r>
        <w:rPr>
          <w:rFonts w:hint="eastAsia"/>
        </w:rPr>
        <w:t>(</w:t>
      </w:r>
      <w:r>
        <w:rPr>
          <w:rFonts w:hint="eastAsia"/>
        </w:rPr>
        <w:t>以视觉艺术和商业艺术为主</w:t>
      </w:r>
      <w:r>
        <w:rPr>
          <w:rFonts w:hint="eastAsia"/>
        </w:rPr>
        <w:t>)</w:t>
      </w:r>
      <w:r>
        <w:rPr>
          <w:rFonts w:hint="eastAsia"/>
        </w:rPr>
        <w:t>的教学内容，并见诸于各种课外活动。</w:t>
      </w:r>
    </w:p>
    <w:p w:rsidR="00000000" w:rsidRDefault="00000000">
      <w:pPr>
        <w:rPr>
          <w:rFonts w:hint="eastAsia"/>
        </w:rPr>
      </w:pPr>
      <w:r>
        <w:rPr>
          <w:rFonts w:hint="eastAsia"/>
        </w:rPr>
        <w:tab/>
        <w:t xml:space="preserve">1154.  </w:t>
      </w:r>
      <w:r>
        <w:rPr>
          <w:rFonts w:hint="eastAsia"/>
        </w:rPr>
        <w:t>教育暨青年局连同各青年团体开展不同类型的活动，例如“全澳青少年歌唱及歌曲创作比赛”、“愿世界更美好</w:t>
      </w:r>
      <w:r>
        <w:rPr>
          <w:rFonts w:hint="eastAsia"/>
          <w:spacing w:val="-40"/>
        </w:rPr>
        <w:t>――</w:t>
      </w:r>
      <w:r>
        <w:rPr>
          <w:rFonts w:hint="eastAsia"/>
          <w:spacing w:val="-40"/>
        </w:rPr>
        <w:t xml:space="preserve"> </w:t>
      </w:r>
      <w:r>
        <w:rPr>
          <w:rFonts w:hint="eastAsia"/>
        </w:rPr>
        <w:t>青少年户外绘画系列”。教育暨青年局亦资助多项由不同社团举办的文化艺术活动，例如小提琴、合唱、古筝、陶瓷、摄影、国画、书法、芭蕾舞、武术、狮艺、插花等学习班。</w:t>
      </w:r>
    </w:p>
    <w:p w:rsidR="00000000" w:rsidRDefault="00000000">
      <w:pPr>
        <w:rPr>
          <w:rFonts w:hint="eastAsia"/>
        </w:rPr>
      </w:pPr>
      <w:r>
        <w:rPr>
          <w:rFonts w:hint="eastAsia"/>
        </w:rPr>
        <w:tab/>
        <w:t xml:space="preserve">1155.  </w:t>
      </w:r>
      <w:r>
        <w:rPr>
          <w:rFonts w:hint="eastAsia"/>
        </w:rPr>
        <w:t>此外，民政总署亦透过与各团体合作和邀请知名专业人士在学校举行工作坊，为文化教育和艺术活动提供支援。此外，亦透过对业余性质的戏剧、视觉艺术和舞蹈等团体提供赞助，鼓励该等团体经常举办比赛和互动表演，例如剧场竞技演出和澳门艺穗节。</w:t>
      </w:r>
    </w:p>
    <w:p w:rsidR="00000000" w:rsidRDefault="00000000">
      <w:pPr>
        <w:rPr>
          <w:rFonts w:hint="eastAsia"/>
        </w:rPr>
      </w:pPr>
      <w:r>
        <w:rPr>
          <w:rFonts w:hint="eastAsia"/>
        </w:rPr>
        <w:tab/>
        <w:t xml:space="preserve">1156.  </w:t>
      </w:r>
      <w:r>
        <w:rPr>
          <w:rFonts w:hint="eastAsia"/>
        </w:rPr>
        <w:t>在职业文化教育方面，澳门演艺学院是文化局辖下的专业学校，负责有系统地提供音乐、舞蹈和戏剧方面的训练</w:t>
      </w:r>
      <w:r>
        <w:rPr>
          <w:rFonts w:hint="eastAsia"/>
        </w:rPr>
        <w:t>(10</w:t>
      </w:r>
      <w:r>
        <w:rPr>
          <w:rFonts w:hint="eastAsia"/>
        </w:rPr>
        <w:t>月</w:t>
      </w:r>
      <w:r>
        <w:rPr>
          <w:rFonts w:hint="eastAsia"/>
        </w:rPr>
        <w:t>31</w:t>
      </w:r>
      <w:r>
        <w:rPr>
          <w:rFonts w:hint="eastAsia"/>
        </w:rPr>
        <w:t>日第</w:t>
      </w:r>
      <w:r>
        <w:rPr>
          <w:rFonts w:hint="eastAsia"/>
        </w:rPr>
        <w:t>184/89/M</w:t>
      </w:r>
      <w:r>
        <w:rPr>
          <w:rFonts w:hint="eastAsia"/>
        </w:rPr>
        <w:t>号训令</w:t>
      </w:r>
      <w:r>
        <w:rPr>
          <w:rFonts w:hint="eastAsia"/>
        </w:rPr>
        <w:t>)</w:t>
      </w:r>
      <w:r>
        <w:rPr>
          <w:rFonts w:hint="eastAsia"/>
        </w:rPr>
        <w:t>。文化局对有才华而希望在澳门特别行政区或外地发展其文化专长和就读的人士发放助学金。</w:t>
      </w:r>
    </w:p>
    <w:p w:rsidR="00000000" w:rsidRDefault="00000000">
      <w:pPr>
        <w:rPr>
          <w:rFonts w:hint="eastAsia"/>
        </w:rPr>
      </w:pPr>
      <w:r>
        <w:rPr>
          <w:rFonts w:hint="eastAsia"/>
        </w:rPr>
        <w:tab/>
        <w:t xml:space="preserve">1157.  </w:t>
      </w:r>
      <w:r>
        <w:rPr>
          <w:rFonts w:hint="eastAsia"/>
        </w:rPr>
        <w:t>此外，澳门理工学院设有一所艺术高等学校，而澳门欧洲研究学会则开办了两项学位课程，内容是关于文化旅游和艺术管理。关于文化旅游的学位课程是与旅游学院合作举办，这项课程在亚洲属首见，因是针对亚洲的独特情况和文化资源而设计，目的是提高专业能力之余，又加强旅游文化知识。</w:t>
      </w:r>
    </w:p>
    <w:p w:rsidR="00000000" w:rsidRDefault="00000000">
      <w:pPr>
        <w:rPr>
          <w:rFonts w:hint="eastAsia"/>
        </w:rPr>
      </w:pPr>
      <w:r>
        <w:rPr>
          <w:rFonts w:hint="eastAsia"/>
        </w:rPr>
        <w:tab/>
        <w:t xml:space="preserve">1158.  </w:t>
      </w:r>
      <w:r>
        <w:rPr>
          <w:rFonts w:hint="eastAsia"/>
        </w:rPr>
        <w:t>澳门文化中心虽不以提供专业教育为工作基础，但每年亦举办</w:t>
      </w:r>
      <w:r>
        <w:rPr>
          <w:rFonts w:hint="eastAsia"/>
        </w:rPr>
        <w:t>30</w:t>
      </w:r>
      <w:r>
        <w:rPr>
          <w:rFonts w:hint="eastAsia"/>
        </w:rPr>
        <w:t>项艺术表演和视听艺术方面的教育活动，类型包括小型讲座、艺术家座谈会，以至工作坊。该等教育活动由艺术家或导师主持，对象为儿童、青少年和长者。</w:t>
      </w:r>
    </w:p>
    <w:p w:rsidR="00000000" w:rsidRDefault="00000000">
      <w:pPr>
        <w:rPr>
          <w:rFonts w:hint="eastAsia"/>
        </w:rPr>
      </w:pPr>
      <w:r>
        <w:rPr>
          <w:rFonts w:hint="eastAsia"/>
        </w:rPr>
        <w:tab/>
        <w:t xml:space="preserve">1159.  </w:t>
      </w:r>
      <w:r>
        <w:rPr>
          <w:rFonts w:hint="eastAsia"/>
        </w:rPr>
        <w:t>澳门艺术博物馆提供培训服务和举办教育和推广活动，以满足聋哑人士和其他社会阶层的需求。</w:t>
      </w:r>
    </w:p>
    <w:p w:rsidR="00000000" w:rsidRDefault="00000000">
      <w:pPr>
        <w:rPr>
          <w:rFonts w:hint="eastAsia"/>
        </w:rPr>
      </w:pPr>
      <w:r>
        <w:rPr>
          <w:rFonts w:hint="eastAsia"/>
        </w:rPr>
        <w:tab/>
        <w:t xml:space="preserve">1160.  </w:t>
      </w:r>
      <w:r>
        <w:rPr>
          <w:rFonts w:hint="eastAsia"/>
        </w:rPr>
        <w:t>为鼓励市民全情参与澳门特别行政区的文化活动，以及为培养市民保护文化财产和尊重他人的价值，例如尊重少数族群的文化权利等社会意识，民政总署举办了一连串的活动，其中包括表演、音乐会、展览、电影欣赏、会议和研讨会。</w:t>
      </w:r>
    </w:p>
    <w:p w:rsidR="00000000" w:rsidRDefault="00000000">
      <w:pPr>
        <w:rPr>
          <w:rFonts w:hint="eastAsia"/>
        </w:rPr>
      </w:pPr>
      <w:r>
        <w:rPr>
          <w:rFonts w:hint="eastAsia"/>
        </w:rPr>
        <w:tab/>
        <w:t>1161.  2002</w:t>
      </w:r>
      <w:r>
        <w:rPr>
          <w:rFonts w:hint="eastAsia"/>
        </w:rPr>
        <w:t>年，民政总署与其他实体合作举办了多项活动，内容见下表：</w:t>
      </w:r>
    </w:p>
    <w:p w:rsidR="00000000" w:rsidRDefault="00000000">
      <w:pPr>
        <w:pStyle w:val="a3"/>
        <w:rPr>
          <w:rFonts w:hint="eastAsia"/>
        </w:rPr>
      </w:pPr>
      <w:r>
        <w:rPr>
          <w:rFonts w:hint="eastAsia"/>
        </w:rPr>
        <w:t>演出</w:t>
      </w:r>
      <w:r>
        <w:rPr>
          <w:rFonts w:hint="eastAsia"/>
        </w:rPr>
        <w:t>/</w:t>
      </w:r>
      <w:r>
        <w:rPr>
          <w:rFonts w:hint="eastAsia"/>
        </w:rPr>
        <w:t>展览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13"/>
        <w:gridCol w:w="1260"/>
        <w:gridCol w:w="1155"/>
        <w:gridCol w:w="1148"/>
        <w:gridCol w:w="1344"/>
        <w:gridCol w:w="1345"/>
        <w:gridCol w:w="1345"/>
      </w:tblGrid>
      <w:tr w:rsidR="00000000">
        <w:tblPrEx>
          <w:tblCellMar>
            <w:top w:w="0" w:type="dxa"/>
            <w:bottom w:w="0" w:type="dxa"/>
          </w:tblCellMar>
        </w:tblPrEx>
        <w:trPr>
          <w:cantSplit/>
        </w:trPr>
        <w:tc>
          <w:tcPr>
            <w:tcW w:w="1813" w:type="dxa"/>
            <w:vMerge w:val="restart"/>
            <w:tcBorders>
              <w:right w:val="single" w:sz="4" w:space="0" w:color="auto"/>
            </w:tcBorders>
          </w:tcPr>
          <w:p w:rsidR="00000000" w:rsidRDefault="00000000">
            <w:pPr>
              <w:pStyle w:val="a2"/>
              <w:spacing w:before="160"/>
              <w:jc w:val="center"/>
              <w:rPr>
                <w:rFonts w:hint="eastAsia"/>
              </w:rPr>
            </w:pPr>
            <w:r>
              <w:rPr>
                <w:rFonts w:hint="eastAsia"/>
              </w:rPr>
              <w:t>活动类型</w:t>
            </w:r>
          </w:p>
        </w:tc>
        <w:tc>
          <w:tcPr>
            <w:tcW w:w="3563" w:type="dxa"/>
            <w:gridSpan w:val="3"/>
            <w:tcBorders>
              <w:top w:val="single" w:sz="4" w:space="0" w:color="auto"/>
              <w:left w:val="single" w:sz="4" w:space="0" w:color="auto"/>
              <w:bottom w:val="single" w:sz="4" w:space="0" w:color="auto"/>
              <w:right w:val="single" w:sz="4" w:space="0" w:color="auto"/>
            </w:tcBorders>
          </w:tcPr>
          <w:p w:rsidR="00000000" w:rsidRDefault="00000000">
            <w:pPr>
              <w:pStyle w:val="a2"/>
              <w:spacing w:before="60"/>
              <w:jc w:val="center"/>
              <w:rPr>
                <w:rFonts w:hint="eastAsia"/>
              </w:rPr>
            </w:pPr>
            <w:r>
              <w:rPr>
                <w:rFonts w:hint="eastAsia"/>
              </w:rPr>
              <w:t>演出次数</w:t>
            </w:r>
          </w:p>
        </w:tc>
        <w:tc>
          <w:tcPr>
            <w:tcW w:w="4034" w:type="dxa"/>
            <w:gridSpan w:val="3"/>
            <w:tcBorders>
              <w:left w:val="single" w:sz="4" w:space="0" w:color="auto"/>
            </w:tcBorders>
          </w:tcPr>
          <w:p w:rsidR="00000000" w:rsidRDefault="00000000">
            <w:pPr>
              <w:pStyle w:val="a2"/>
              <w:spacing w:before="60"/>
              <w:jc w:val="center"/>
              <w:rPr>
                <w:rFonts w:hint="eastAsia"/>
              </w:rPr>
            </w:pPr>
            <w:r>
              <w:rPr>
                <w:rFonts w:hint="eastAsia"/>
              </w:rPr>
              <w:t>入场人数</w:t>
            </w:r>
          </w:p>
        </w:tc>
      </w:tr>
      <w:tr w:rsidR="00000000">
        <w:tblPrEx>
          <w:tblCellMar>
            <w:top w:w="0" w:type="dxa"/>
            <w:bottom w:w="0" w:type="dxa"/>
          </w:tblCellMar>
        </w:tblPrEx>
        <w:trPr>
          <w:cantSplit/>
        </w:trPr>
        <w:tc>
          <w:tcPr>
            <w:tcW w:w="1813" w:type="dxa"/>
            <w:vMerge/>
            <w:tcBorders>
              <w:right w:val="single" w:sz="4" w:space="0" w:color="auto"/>
            </w:tcBorders>
          </w:tcPr>
          <w:p w:rsidR="00000000" w:rsidRDefault="00000000">
            <w:pPr>
              <w:spacing w:before="60"/>
              <w:rPr>
                <w:rFonts w:hint="eastAsia"/>
              </w:rPr>
            </w:pPr>
          </w:p>
        </w:tc>
        <w:tc>
          <w:tcPr>
            <w:tcW w:w="1260" w:type="dxa"/>
            <w:tcBorders>
              <w:top w:val="single" w:sz="4" w:space="0" w:color="auto"/>
              <w:left w:val="single" w:sz="4" w:space="0" w:color="auto"/>
            </w:tcBorders>
          </w:tcPr>
          <w:p w:rsidR="00000000" w:rsidRDefault="00000000">
            <w:pPr>
              <w:pStyle w:val="a2"/>
              <w:spacing w:before="60"/>
              <w:jc w:val="center"/>
              <w:rPr>
                <w:rFonts w:hint="eastAsia"/>
                <w:b/>
                <w:bCs/>
              </w:rPr>
            </w:pPr>
            <w:r>
              <w:rPr>
                <w:rFonts w:hint="eastAsia"/>
                <w:b/>
                <w:bCs/>
              </w:rPr>
              <w:t>1999</w:t>
            </w:r>
          </w:p>
        </w:tc>
        <w:tc>
          <w:tcPr>
            <w:tcW w:w="1155" w:type="dxa"/>
            <w:tcBorders>
              <w:top w:val="single" w:sz="4" w:space="0" w:color="auto"/>
            </w:tcBorders>
          </w:tcPr>
          <w:p w:rsidR="00000000" w:rsidRDefault="00000000">
            <w:pPr>
              <w:pStyle w:val="a2"/>
              <w:spacing w:before="60"/>
              <w:jc w:val="center"/>
              <w:rPr>
                <w:rFonts w:hint="eastAsia"/>
                <w:b/>
                <w:bCs/>
              </w:rPr>
            </w:pPr>
            <w:r>
              <w:rPr>
                <w:rFonts w:hint="eastAsia"/>
                <w:b/>
                <w:bCs/>
              </w:rPr>
              <w:t>2000</w:t>
            </w:r>
          </w:p>
        </w:tc>
        <w:tc>
          <w:tcPr>
            <w:tcW w:w="1148" w:type="dxa"/>
            <w:tcBorders>
              <w:top w:val="single" w:sz="4" w:space="0" w:color="auto"/>
            </w:tcBorders>
          </w:tcPr>
          <w:p w:rsidR="00000000" w:rsidRDefault="00000000">
            <w:pPr>
              <w:pStyle w:val="a2"/>
              <w:spacing w:before="60"/>
              <w:jc w:val="center"/>
              <w:rPr>
                <w:rFonts w:hint="eastAsia"/>
                <w:b/>
                <w:bCs/>
              </w:rPr>
            </w:pPr>
            <w:r>
              <w:rPr>
                <w:rFonts w:hint="eastAsia"/>
                <w:b/>
                <w:bCs/>
              </w:rPr>
              <w:t>2001</w:t>
            </w:r>
          </w:p>
        </w:tc>
        <w:tc>
          <w:tcPr>
            <w:tcW w:w="1344" w:type="dxa"/>
          </w:tcPr>
          <w:p w:rsidR="00000000" w:rsidRDefault="00000000">
            <w:pPr>
              <w:pStyle w:val="a2"/>
              <w:spacing w:before="60"/>
              <w:jc w:val="center"/>
              <w:rPr>
                <w:rFonts w:hint="eastAsia"/>
                <w:b/>
                <w:bCs/>
              </w:rPr>
            </w:pPr>
            <w:r>
              <w:rPr>
                <w:rFonts w:hint="eastAsia"/>
                <w:b/>
                <w:bCs/>
              </w:rPr>
              <w:t>1999</w:t>
            </w:r>
          </w:p>
        </w:tc>
        <w:tc>
          <w:tcPr>
            <w:tcW w:w="1345" w:type="dxa"/>
          </w:tcPr>
          <w:p w:rsidR="00000000" w:rsidRDefault="00000000">
            <w:pPr>
              <w:pStyle w:val="a2"/>
              <w:spacing w:before="60"/>
              <w:jc w:val="center"/>
              <w:rPr>
                <w:rFonts w:hint="eastAsia"/>
                <w:b/>
                <w:bCs/>
              </w:rPr>
            </w:pPr>
            <w:r>
              <w:rPr>
                <w:rFonts w:hint="eastAsia"/>
                <w:b/>
                <w:bCs/>
              </w:rPr>
              <w:t>2000</w:t>
            </w:r>
          </w:p>
        </w:tc>
        <w:tc>
          <w:tcPr>
            <w:tcW w:w="1345" w:type="dxa"/>
          </w:tcPr>
          <w:p w:rsidR="00000000" w:rsidRDefault="00000000">
            <w:pPr>
              <w:pStyle w:val="a2"/>
              <w:spacing w:before="60"/>
              <w:jc w:val="center"/>
              <w:rPr>
                <w:rFonts w:hint="eastAsia"/>
                <w:b/>
                <w:bCs/>
              </w:rPr>
            </w:pPr>
            <w:r>
              <w:rPr>
                <w:rFonts w:hint="eastAsia"/>
                <w:b/>
                <w:bCs/>
              </w:rPr>
              <w:t>2001</w:t>
            </w:r>
          </w:p>
        </w:tc>
      </w:tr>
      <w:tr w:rsidR="00000000">
        <w:tblPrEx>
          <w:tblCellMar>
            <w:top w:w="0" w:type="dxa"/>
            <w:bottom w:w="0" w:type="dxa"/>
          </w:tblCellMar>
        </w:tblPrEx>
        <w:tc>
          <w:tcPr>
            <w:tcW w:w="1813" w:type="dxa"/>
          </w:tcPr>
          <w:p w:rsidR="00000000" w:rsidRDefault="00000000">
            <w:pPr>
              <w:pStyle w:val="a2"/>
              <w:spacing w:before="120"/>
              <w:ind w:left="227"/>
              <w:rPr>
                <w:rFonts w:hint="eastAsia"/>
              </w:rPr>
            </w:pPr>
            <w:r>
              <w:rPr>
                <w:rFonts w:hint="eastAsia"/>
              </w:rPr>
              <w:t>芭蕾舞</w:t>
            </w:r>
          </w:p>
        </w:tc>
        <w:tc>
          <w:tcPr>
            <w:tcW w:w="1260" w:type="dxa"/>
          </w:tcPr>
          <w:p w:rsidR="00000000" w:rsidRDefault="00000000">
            <w:pPr>
              <w:pStyle w:val="a2"/>
              <w:tabs>
                <w:tab w:val="decimal" w:pos="812"/>
              </w:tabs>
              <w:spacing w:before="120"/>
              <w:rPr>
                <w:rFonts w:hint="eastAsia"/>
              </w:rPr>
            </w:pPr>
            <w:r>
              <w:rPr>
                <w:rFonts w:hint="eastAsia"/>
              </w:rPr>
              <w:t>15</w:t>
            </w:r>
          </w:p>
        </w:tc>
        <w:tc>
          <w:tcPr>
            <w:tcW w:w="1155" w:type="dxa"/>
          </w:tcPr>
          <w:p w:rsidR="00000000" w:rsidRDefault="00000000">
            <w:pPr>
              <w:pStyle w:val="a2"/>
              <w:tabs>
                <w:tab w:val="decimal" w:pos="812"/>
              </w:tabs>
              <w:spacing w:before="120"/>
              <w:rPr>
                <w:rFonts w:hint="eastAsia"/>
              </w:rPr>
            </w:pPr>
            <w:r>
              <w:rPr>
                <w:rFonts w:hint="eastAsia"/>
              </w:rPr>
              <w:t>18</w:t>
            </w:r>
          </w:p>
        </w:tc>
        <w:tc>
          <w:tcPr>
            <w:tcW w:w="1148" w:type="dxa"/>
          </w:tcPr>
          <w:p w:rsidR="00000000" w:rsidRDefault="00000000">
            <w:pPr>
              <w:pStyle w:val="a2"/>
              <w:tabs>
                <w:tab w:val="decimal" w:pos="812"/>
              </w:tabs>
              <w:spacing w:before="120"/>
              <w:rPr>
                <w:rFonts w:hint="eastAsia"/>
              </w:rPr>
            </w:pPr>
            <w:r>
              <w:rPr>
                <w:rFonts w:hint="eastAsia"/>
              </w:rPr>
              <w:t>13</w:t>
            </w:r>
          </w:p>
        </w:tc>
        <w:tc>
          <w:tcPr>
            <w:tcW w:w="1344" w:type="dxa"/>
          </w:tcPr>
          <w:p w:rsidR="00000000" w:rsidRDefault="00000000">
            <w:pPr>
              <w:pStyle w:val="a2"/>
              <w:tabs>
                <w:tab w:val="decimal" w:pos="924"/>
              </w:tabs>
              <w:spacing w:before="120"/>
              <w:rPr>
                <w:rFonts w:hint="eastAsia"/>
              </w:rPr>
            </w:pPr>
            <w:r>
              <w:rPr>
                <w:rFonts w:hint="eastAsia"/>
              </w:rPr>
              <w:t>8,848</w:t>
            </w:r>
          </w:p>
        </w:tc>
        <w:tc>
          <w:tcPr>
            <w:tcW w:w="1345" w:type="dxa"/>
          </w:tcPr>
          <w:p w:rsidR="00000000" w:rsidRDefault="00000000">
            <w:pPr>
              <w:pStyle w:val="a2"/>
              <w:tabs>
                <w:tab w:val="decimal" w:pos="924"/>
              </w:tabs>
              <w:spacing w:before="120"/>
              <w:rPr>
                <w:rFonts w:hint="eastAsia"/>
              </w:rPr>
            </w:pPr>
            <w:r>
              <w:rPr>
                <w:rFonts w:hint="eastAsia"/>
              </w:rPr>
              <w:t>11,515</w:t>
            </w:r>
          </w:p>
        </w:tc>
        <w:tc>
          <w:tcPr>
            <w:tcW w:w="1345" w:type="dxa"/>
          </w:tcPr>
          <w:p w:rsidR="00000000" w:rsidRDefault="00000000">
            <w:pPr>
              <w:pStyle w:val="a2"/>
              <w:tabs>
                <w:tab w:val="decimal" w:pos="924"/>
              </w:tabs>
              <w:spacing w:before="120"/>
              <w:rPr>
                <w:rFonts w:hint="eastAsia"/>
              </w:rPr>
            </w:pPr>
            <w:r>
              <w:rPr>
                <w:rFonts w:hint="eastAsia"/>
              </w:rPr>
              <w:t>10,387</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音乐会</w:t>
            </w:r>
          </w:p>
        </w:tc>
        <w:tc>
          <w:tcPr>
            <w:tcW w:w="1260" w:type="dxa"/>
          </w:tcPr>
          <w:p w:rsidR="00000000" w:rsidRDefault="00000000">
            <w:pPr>
              <w:pStyle w:val="a2"/>
              <w:tabs>
                <w:tab w:val="decimal" w:pos="812"/>
              </w:tabs>
              <w:rPr>
                <w:rFonts w:hint="eastAsia"/>
              </w:rPr>
            </w:pPr>
            <w:r>
              <w:rPr>
                <w:rFonts w:hint="eastAsia"/>
              </w:rPr>
              <w:t>167</w:t>
            </w:r>
          </w:p>
        </w:tc>
        <w:tc>
          <w:tcPr>
            <w:tcW w:w="1155" w:type="dxa"/>
          </w:tcPr>
          <w:p w:rsidR="00000000" w:rsidRDefault="00000000">
            <w:pPr>
              <w:pStyle w:val="a2"/>
              <w:tabs>
                <w:tab w:val="decimal" w:pos="812"/>
              </w:tabs>
              <w:rPr>
                <w:rFonts w:hint="eastAsia"/>
              </w:rPr>
            </w:pPr>
            <w:r>
              <w:rPr>
                <w:rFonts w:hint="eastAsia"/>
              </w:rPr>
              <w:t>210</w:t>
            </w:r>
          </w:p>
        </w:tc>
        <w:tc>
          <w:tcPr>
            <w:tcW w:w="1148" w:type="dxa"/>
          </w:tcPr>
          <w:p w:rsidR="00000000" w:rsidRDefault="00000000">
            <w:pPr>
              <w:pStyle w:val="a2"/>
              <w:tabs>
                <w:tab w:val="decimal" w:pos="812"/>
              </w:tabs>
              <w:rPr>
                <w:rFonts w:hint="eastAsia"/>
              </w:rPr>
            </w:pPr>
            <w:r>
              <w:rPr>
                <w:rFonts w:hint="eastAsia"/>
              </w:rPr>
              <w:t>216</w:t>
            </w:r>
          </w:p>
        </w:tc>
        <w:tc>
          <w:tcPr>
            <w:tcW w:w="1344" w:type="dxa"/>
          </w:tcPr>
          <w:p w:rsidR="00000000" w:rsidRDefault="00000000">
            <w:pPr>
              <w:pStyle w:val="a2"/>
              <w:tabs>
                <w:tab w:val="decimal" w:pos="924"/>
              </w:tabs>
              <w:rPr>
                <w:rFonts w:hint="eastAsia"/>
              </w:rPr>
            </w:pPr>
            <w:r>
              <w:rPr>
                <w:rFonts w:hint="eastAsia"/>
              </w:rPr>
              <w:t>121,120</w:t>
            </w:r>
          </w:p>
        </w:tc>
        <w:tc>
          <w:tcPr>
            <w:tcW w:w="1345" w:type="dxa"/>
          </w:tcPr>
          <w:p w:rsidR="00000000" w:rsidRDefault="00000000">
            <w:pPr>
              <w:pStyle w:val="a2"/>
              <w:tabs>
                <w:tab w:val="decimal" w:pos="924"/>
              </w:tabs>
              <w:rPr>
                <w:rFonts w:hint="eastAsia"/>
              </w:rPr>
            </w:pPr>
            <w:r>
              <w:rPr>
                <w:rFonts w:hint="eastAsia"/>
              </w:rPr>
              <w:t>105,015</w:t>
            </w:r>
          </w:p>
        </w:tc>
        <w:tc>
          <w:tcPr>
            <w:tcW w:w="1345" w:type="dxa"/>
          </w:tcPr>
          <w:p w:rsidR="00000000" w:rsidRDefault="00000000">
            <w:pPr>
              <w:pStyle w:val="a2"/>
              <w:tabs>
                <w:tab w:val="decimal" w:pos="924"/>
              </w:tabs>
              <w:rPr>
                <w:rFonts w:hint="eastAsia"/>
              </w:rPr>
            </w:pPr>
            <w:r>
              <w:rPr>
                <w:rFonts w:hint="eastAsia"/>
              </w:rPr>
              <w:t>88,495</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歌剧</w:t>
            </w:r>
            <w:r>
              <w:rPr>
                <w:rFonts w:hint="eastAsia"/>
              </w:rPr>
              <w:t>/</w:t>
            </w:r>
            <w:r>
              <w:rPr>
                <w:rFonts w:hint="eastAsia"/>
              </w:rPr>
              <w:t>综合表演</w:t>
            </w:r>
          </w:p>
        </w:tc>
        <w:tc>
          <w:tcPr>
            <w:tcW w:w="1260" w:type="dxa"/>
          </w:tcPr>
          <w:p w:rsidR="00000000" w:rsidRDefault="00000000">
            <w:pPr>
              <w:pStyle w:val="a2"/>
              <w:tabs>
                <w:tab w:val="decimal" w:pos="812"/>
              </w:tabs>
              <w:rPr>
                <w:rFonts w:hint="eastAsia"/>
              </w:rPr>
            </w:pPr>
            <w:r>
              <w:rPr>
                <w:rFonts w:hint="eastAsia"/>
              </w:rPr>
              <w:t>84</w:t>
            </w:r>
          </w:p>
        </w:tc>
        <w:tc>
          <w:tcPr>
            <w:tcW w:w="1155" w:type="dxa"/>
          </w:tcPr>
          <w:p w:rsidR="00000000" w:rsidRDefault="00000000">
            <w:pPr>
              <w:pStyle w:val="a2"/>
              <w:tabs>
                <w:tab w:val="decimal" w:pos="812"/>
              </w:tabs>
              <w:rPr>
                <w:rFonts w:hint="eastAsia"/>
              </w:rPr>
            </w:pPr>
            <w:r>
              <w:rPr>
                <w:rFonts w:hint="eastAsia"/>
              </w:rPr>
              <w:t>77</w:t>
            </w:r>
          </w:p>
        </w:tc>
        <w:tc>
          <w:tcPr>
            <w:tcW w:w="1148" w:type="dxa"/>
          </w:tcPr>
          <w:p w:rsidR="00000000" w:rsidRDefault="00000000">
            <w:pPr>
              <w:pStyle w:val="a2"/>
              <w:tabs>
                <w:tab w:val="decimal" w:pos="812"/>
              </w:tabs>
              <w:rPr>
                <w:rFonts w:hint="eastAsia"/>
              </w:rPr>
            </w:pPr>
            <w:r>
              <w:rPr>
                <w:rFonts w:hint="eastAsia"/>
              </w:rPr>
              <w:t>116</w:t>
            </w:r>
          </w:p>
        </w:tc>
        <w:tc>
          <w:tcPr>
            <w:tcW w:w="1344" w:type="dxa"/>
          </w:tcPr>
          <w:p w:rsidR="00000000" w:rsidRDefault="00000000">
            <w:pPr>
              <w:pStyle w:val="a2"/>
              <w:tabs>
                <w:tab w:val="decimal" w:pos="924"/>
              </w:tabs>
              <w:rPr>
                <w:rFonts w:hint="eastAsia"/>
              </w:rPr>
            </w:pPr>
            <w:r>
              <w:rPr>
                <w:rFonts w:hint="eastAsia"/>
              </w:rPr>
              <w:t>173,146</w:t>
            </w:r>
          </w:p>
        </w:tc>
        <w:tc>
          <w:tcPr>
            <w:tcW w:w="1345" w:type="dxa"/>
          </w:tcPr>
          <w:p w:rsidR="00000000" w:rsidRDefault="00000000">
            <w:pPr>
              <w:pStyle w:val="a2"/>
              <w:tabs>
                <w:tab w:val="decimal" w:pos="924"/>
              </w:tabs>
              <w:rPr>
                <w:rFonts w:hint="eastAsia"/>
              </w:rPr>
            </w:pPr>
            <w:r>
              <w:rPr>
                <w:rFonts w:hint="eastAsia"/>
              </w:rPr>
              <w:t>169,093</w:t>
            </w:r>
          </w:p>
        </w:tc>
        <w:tc>
          <w:tcPr>
            <w:tcW w:w="1345" w:type="dxa"/>
          </w:tcPr>
          <w:p w:rsidR="00000000" w:rsidRDefault="00000000">
            <w:pPr>
              <w:pStyle w:val="a2"/>
              <w:tabs>
                <w:tab w:val="decimal" w:pos="924"/>
              </w:tabs>
              <w:rPr>
                <w:rFonts w:hint="eastAsia"/>
              </w:rPr>
            </w:pPr>
            <w:r>
              <w:rPr>
                <w:rFonts w:hint="eastAsia"/>
              </w:rPr>
              <w:t>171,408</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粤剧</w:t>
            </w:r>
          </w:p>
        </w:tc>
        <w:tc>
          <w:tcPr>
            <w:tcW w:w="1260" w:type="dxa"/>
          </w:tcPr>
          <w:p w:rsidR="00000000" w:rsidRDefault="00000000">
            <w:pPr>
              <w:pStyle w:val="a2"/>
              <w:tabs>
                <w:tab w:val="decimal" w:pos="812"/>
              </w:tabs>
              <w:rPr>
                <w:rFonts w:hint="eastAsia"/>
              </w:rPr>
            </w:pPr>
            <w:r>
              <w:rPr>
                <w:rFonts w:hint="eastAsia"/>
              </w:rPr>
              <w:t>59</w:t>
            </w:r>
          </w:p>
        </w:tc>
        <w:tc>
          <w:tcPr>
            <w:tcW w:w="1155" w:type="dxa"/>
          </w:tcPr>
          <w:p w:rsidR="00000000" w:rsidRDefault="00000000">
            <w:pPr>
              <w:pStyle w:val="a2"/>
              <w:tabs>
                <w:tab w:val="decimal" w:pos="812"/>
              </w:tabs>
              <w:rPr>
                <w:rFonts w:hint="eastAsia"/>
              </w:rPr>
            </w:pPr>
            <w:r>
              <w:rPr>
                <w:rFonts w:hint="eastAsia"/>
              </w:rPr>
              <w:t>51</w:t>
            </w:r>
          </w:p>
        </w:tc>
        <w:tc>
          <w:tcPr>
            <w:tcW w:w="1148" w:type="dxa"/>
          </w:tcPr>
          <w:p w:rsidR="00000000" w:rsidRDefault="00000000">
            <w:pPr>
              <w:pStyle w:val="a2"/>
              <w:tabs>
                <w:tab w:val="decimal" w:pos="812"/>
              </w:tabs>
              <w:rPr>
                <w:rFonts w:hint="eastAsia"/>
              </w:rPr>
            </w:pPr>
            <w:r>
              <w:rPr>
                <w:rFonts w:hint="eastAsia"/>
              </w:rPr>
              <w:t>72</w:t>
            </w:r>
          </w:p>
        </w:tc>
        <w:tc>
          <w:tcPr>
            <w:tcW w:w="1344" w:type="dxa"/>
          </w:tcPr>
          <w:p w:rsidR="00000000" w:rsidRDefault="00000000">
            <w:pPr>
              <w:pStyle w:val="a2"/>
              <w:tabs>
                <w:tab w:val="decimal" w:pos="924"/>
              </w:tabs>
              <w:rPr>
                <w:rFonts w:hint="eastAsia"/>
              </w:rPr>
            </w:pPr>
            <w:r>
              <w:rPr>
                <w:rFonts w:hint="eastAsia"/>
              </w:rPr>
              <w:t>22,401</w:t>
            </w:r>
          </w:p>
        </w:tc>
        <w:tc>
          <w:tcPr>
            <w:tcW w:w="1345" w:type="dxa"/>
          </w:tcPr>
          <w:p w:rsidR="00000000" w:rsidRDefault="00000000">
            <w:pPr>
              <w:pStyle w:val="a2"/>
              <w:tabs>
                <w:tab w:val="decimal" w:pos="924"/>
              </w:tabs>
              <w:rPr>
                <w:rFonts w:hint="eastAsia"/>
              </w:rPr>
            </w:pPr>
            <w:r>
              <w:rPr>
                <w:rFonts w:hint="eastAsia"/>
              </w:rPr>
              <w:t>19,505</w:t>
            </w:r>
          </w:p>
        </w:tc>
        <w:tc>
          <w:tcPr>
            <w:tcW w:w="1345" w:type="dxa"/>
          </w:tcPr>
          <w:p w:rsidR="00000000" w:rsidRDefault="00000000">
            <w:pPr>
              <w:pStyle w:val="a2"/>
              <w:tabs>
                <w:tab w:val="decimal" w:pos="924"/>
              </w:tabs>
              <w:rPr>
                <w:rFonts w:hint="eastAsia"/>
              </w:rPr>
            </w:pPr>
            <w:r>
              <w:rPr>
                <w:rFonts w:hint="eastAsia"/>
              </w:rPr>
              <w:t>28,960</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戏剧</w:t>
            </w:r>
          </w:p>
        </w:tc>
        <w:tc>
          <w:tcPr>
            <w:tcW w:w="1260" w:type="dxa"/>
          </w:tcPr>
          <w:p w:rsidR="00000000" w:rsidRDefault="00000000">
            <w:pPr>
              <w:pStyle w:val="a2"/>
              <w:tabs>
                <w:tab w:val="decimal" w:pos="812"/>
              </w:tabs>
              <w:rPr>
                <w:rFonts w:hint="eastAsia"/>
              </w:rPr>
            </w:pPr>
            <w:r>
              <w:rPr>
                <w:rFonts w:hint="eastAsia"/>
              </w:rPr>
              <w:t>81</w:t>
            </w:r>
          </w:p>
        </w:tc>
        <w:tc>
          <w:tcPr>
            <w:tcW w:w="1155" w:type="dxa"/>
          </w:tcPr>
          <w:p w:rsidR="00000000" w:rsidRDefault="00000000">
            <w:pPr>
              <w:pStyle w:val="a2"/>
              <w:tabs>
                <w:tab w:val="decimal" w:pos="812"/>
              </w:tabs>
              <w:rPr>
                <w:rFonts w:hint="eastAsia"/>
              </w:rPr>
            </w:pPr>
            <w:r>
              <w:rPr>
                <w:rFonts w:hint="eastAsia"/>
              </w:rPr>
              <w:t>54</w:t>
            </w:r>
          </w:p>
        </w:tc>
        <w:tc>
          <w:tcPr>
            <w:tcW w:w="1148" w:type="dxa"/>
          </w:tcPr>
          <w:p w:rsidR="00000000" w:rsidRDefault="00000000">
            <w:pPr>
              <w:pStyle w:val="a2"/>
              <w:tabs>
                <w:tab w:val="decimal" w:pos="812"/>
              </w:tabs>
              <w:rPr>
                <w:rFonts w:hint="eastAsia"/>
              </w:rPr>
            </w:pPr>
            <w:r>
              <w:rPr>
                <w:rFonts w:hint="eastAsia"/>
              </w:rPr>
              <w:t>40</w:t>
            </w:r>
          </w:p>
        </w:tc>
        <w:tc>
          <w:tcPr>
            <w:tcW w:w="1344" w:type="dxa"/>
          </w:tcPr>
          <w:p w:rsidR="00000000" w:rsidRDefault="00000000">
            <w:pPr>
              <w:pStyle w:val="a2"/>
              <w:tabs>
                <w:tab w:val="decimal" w:pos="924"/>
              </w:tabs>
              <w:rPr>
                <w:rFonts w:hint="eastAsia"/>
              </w:rPr>
            </w:pPr>
            <w:r>
              <w:rPr>
                <w:rFonts w:hint="eastAsia"/>
              </w:rPr>
              <w:t>19,336</w:t>
            </w:r>
          </w:p>
        </w:tc>
        <w:tc>
          <w:tcPr>
            <w:tcW w:w="1345" w:type="dxa"/>
          </w:tcPr>
          <w:p w:rsidR="00000000" w:rsidRDefault="00000000">
            <w:pPr>
              <w:pStyle w:val="a2"/>
              <w:tabs>
                <w:tab w:val="decimal" w:pos="924"/>
              </w:tabs>
              <w:rPr>
                <w:rFonts w:hint="eastAsia"/>
              </w:rPr>
            </w:pPr>
            <w:r>
              <w:rPr>
                <w:rFonts w:hint="eastAsia"/>
              </w:rPr>
              <w:t>23,001</w:t>
            </w:r>
          </w:p>
        </w:tc>
        <w:tc>
          <w:tcPr>
            <w:tcW w:w="1345" w:type="dxa"/>
          </w:tcPr>
          <w:p w:rsidR="00000000" w:rsidRDefault="00000000">
            <w:pPr>
              <w:pStyle w:val="a2"/>
              <w:tabs>
                <w:tab w:val="decimal" w:pos="924"/>
              </w:tabs>
              <w:rPr>
                <w:rFonts w:hint="eastAsia"/>
              </w:rPr>
            </w:pPr>
            <w:r>
              <w:rPr>
                <w:rFonts w:hint="eastAsia"/>
              </w:rPr>
              <w:t>31,772</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比赛</w:t>
            </w:r>
          </w:p>
        </w:tc>
        <w:tc>
          <w:tcPr>
            <w:tcW w:w="1260" w:type="dxa"/>
          </w:tcPr>
          <w:p w:rsidR="00000000" w:rsidRDefault="00000000">
            <w:pPr>
              <w:pStyle w:val="a2"/>
              <w:tabs>
                <w:tab w:val="decimal" w:pos="812"/>
              </w:tabs>
              <w:rPr>
                <w:rFonts w:hint="eastAsia"/>
              </w:rPr>
            </w:pPr>
            <w:r>
              <w:rPr>
                <w:rFonts w:hint="eastAsia"/>
              </w:rPr>
              <w:t>42</w:t>
            </w:r>
          </w:p>
        </w:tc>
        <w:tc>
          <w:tcPr>
            <w:tcW w:w="1155" w:type="dxa"/>
          </w:tcPr>
          <w:p w:rsidR="00000000" w:rsidRDefault="00000000">
            <w:pPr>
              <w:pStyle w:val="a2"/>
              <w:tabs>
                <w:tab w:val="decimal" w:pos="812"/>
              </w:tabs>
              <w:rPr>
                <w:rFonts w:hint="eastAsia"/>
              </w:rPr>
            </w:pPr>
            <w:r>
              <w:rPr>
                <w:rFonts w:hint="eastAsia"/>
              </w:rPr>
              <w:t>32</w:t>
            </w:r>
          </w:p>
        </w:tc>
        <w:tc>
          <w:tcPr>
            <w:tcW w:w="1148" w:type="dxa"/>
          </w:tcPr>
          <w:p w:rsidR="00000000" w:rsidRDefault="00000000">
            <w:pPr>
              <w:pStyle w:val="a2"/>
              <w:tabs>
                <w:tab w:val="decimal" w:pos="812"/>
              </w:tabs>
              <w:rPr>
                <w:rFonts w:hint="eastAsia"/>
              </w:rPr>
            </w:pPr>
            <w:r>
              <w:rPr>
                <w:rFonts w:hint="eastAsia"/>
              </w:rPr>
              <w:t>36*</w:t>
            </w:r>
          </w:p>
        </w:tc>
        <w:tc>
          <w:tcPr>
            <w:tcW w:w="1344" w:type="dxa"/>
          </w:tcPr>
          <w:p w:rsidR="00000000" w:rsidRDefault="00000000">
            <w:pPr>
              <w:pStyle w:val="a2"/>
              <w:tabs>
                <w:tab w:val="decimal" w:pos="924"/>
              </w:tabs>
              <w:rPr>
                <w:rFonts w:hint="eastAsia"/>
              </w:rPr>
            </w:pPr>
            <w:r>
              <w:rPr>
                <w:rFonts w:hint="eastAsia"/>
              </w:rPr>
              <w:t>10,214</w:t>
            </w:r>
          </w:p>
        </w:tc>
        <w:tc>
          <w:tcPr>
            <w:tcW w:w="1345" w:type="dxa"/>
          </w:tcPr>
          <w:p w:rsidR="00000000" w:rsidRDefault="00000000">
            <w:pPr>
              <w:pStyle w:val="a2"/>
              <w:tabs>
                <w:tab w:val="decimal" w:pos="924"/>
              </w:tabs>
              <w:rPr>
                <w:rFonts w:hint="eastAsia"/>
              </w:rPr>
            </w:pPr>
            <w:r>
              <w:rPr>
                <w:rFonts w:hint="eastAsia"/>
              </w:rPr>
              <w:t>16,511</w:t>
            </w:r>
          </w:p>
        </w:tc>
        <w:tc>
          <w:tcPr>
            <w:tcW w:w="1345" w:type="dxa"/>
          </w:tcPr>
          <w:p w:rsidR="00000000" w:rsidRDefault="00000000">
            <w:pPr>
              <w:pStyle w:val="a2"/>
              <w:tabs>
                <w:tab w:val="decimal" w:pos="924"/>
              </w:tabs>
              <w:rPr>
                <w:rFonts w:hint="eastAsia"/>
              </w:rPr>
            </w:pPr>
            <w:r>
              <w:rPr>
                <w:rFonts w:hint="eastAsia"/>
              </w:rPr>
              <w:t>6,038*</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电影</w:t>
            </w:r>
          </w:p>
        </w:tc>
        <w:tc>
          <w:tcPr>
            <w:tcW w:w="1260" w:type="dxa"/>
          </w:tcPr>
          <w:p w:rsidR="00000000" w:rsidRDefault="00000000">
            <w:pPr>
              <w:pStyle w:val="a2"/>
              <w:tabs>
                <w:tab w:val="decimal" w:pos="812"/>
              </w:tabs>
              <w:rPr>
                <w:rFonts w:hint="eastAsia"/>
              </w:rPr>
            </w:pPr>
            <w:r>
              <w:rPr>
                <w:rFonts w:hint="eastAsia"/>
              </w:rPr>
              <w:t>9,525</w:t>
            </w:r>
          </w:p>
        </w:tc>
        <w:tc>
          <w:tcPr>
            <w:tcW w:w="1155" w:type="dxa"/>
          </w:tcPr>
          <w:p w:rsidR="00000000" w:rsidRDefault="00000000">
            <w:pPr>
              <w:pStyle w:val="a2"/>
              <w:tabs>
                <w:tab w:val="decimal" w:pos="812"/>
              </w:tabs>
              <w:rPr>
                <w:rFonts w:hint="eastAsia"/>
              </w:rPr>
            </w:pPr>
            <w:r>
              <w:rPr>
                <w:rFonts w:hint="eastAsia"/>
              </w:rPr>
              <w:t>9,920</w:t>
            </w:r>
          </w:p>
        </w:tc>
        <w:tc>
          <w:tcPr>
            <w:tcW w:w="1148" w:type="dxa"/>
          </w:tcPr>
          <w:p w:rsidR="00000000" w:rsidRDefault="00000000">
            <w:pPr>
              <w:pStyle w:val="a2"/>
              <w:tabs>
                <w:tab w:val="decimal" w:pos="812"/>
              </w:tabs>
              <w:rPr>
                <w:rFonts w:hint="eastAsia"/>
              </w:rPr>
            </w:pPr>
            <w:r>
              <w:rPr>
                <w:rFonts w:hint="eastAsia"/>
              </w:rPr>
              <w:t>10,233</w:t>
            </w:r>
          </w:p>
        </w:tc>
        <w:tc>
          <w:tcPr>
            <w:tcW w:w="1344" w:type="dxa"/>
          </w:tcPr>
          <w:p w:rsidR="00000000" w:rsidRDefault="00000000">
            <w:pPr>
              <w:pStyle w:val="a2"/>
              <w:tabs>
                <w:tab w:val="decimal" w:pos="924"/>
              </w:tabs>
              <w:rPr>
                <w:rFonts w:hint="eastAsia"/>
              </w:rPr>
            </w:pPr>
            <w:r>
              <w:rPr>
                <w:rFonts w:hint="eastAsia"/>
              </w:rPr>
              <w:t>155,410</w:t>
            </w:r>
          </w:p>
        </w:tc>
        <w:tc>
          <w:tcPr>
            <w:tcW w:w="1345" w:type="dxa"/>
          </w:tcPr>
          <w:p w:rsidR="00000000" w:rsidRDefault="00000000">
            <w:pPr>
              <w:pStyle w:val="a2"/>
              <w:tabs>
                <w:tab w:val="decimal" w:pos="924"/>
              </w:tabs>
              <w:rPr>
                <w:rFonts w:hint="eastAsia"/>
              </w:rPr>
            </w:pPr>
            <w:r>
              <w:rPr>
                <w:rFonts w:hint="eastAsia"/>
              </w:rPr>
              <w:t>207,191</w:t>
            </w:r>
          </w:p>
        </w:tc>
        <w:tc>
          <w:tcPr>
            <w:tcW w:w="1345" w:type="dxa"/>
          </w:tcPr>
          <w:p w:rsidR="00000000" w:rsidRDefault="00000000">
            <w:pPr>
              <w:pStyle w:val="a2"/>
              <w:tabs>
                <w:tab w:val="decimal" w:pos="924"/>
              </w:tabs>
              <w:rPr>
                <w:rFonts w:hint="eastAsia"/>
              </w:rPr>
            </w:pPr>
            <w:r>
              <w:rPr>
                <w:rFonts w:hint="eastAsia"/>
              </w:rPr>
              <w:t>215,744</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展览</w:t>
            </w:r>
            <w:r>
              <w:rPr>
                <w:rFonts w:hint="eastAsia"/>
              </w:rPr>
              <w:t>**</w:t>
            </w:r>
          </w:p>
        </w:tc>
        <w:tc>
          <w:tcPr>
            <w:tcW w:w="1260" w:type="dxa"/>
          </w:tcPr>
          <w:p w:rsidR="00000000" w:rsidRDefault="00000000">
            <w:pPr>
              <w:pStyle w:val="a2"/>
              <w:tabs>
                <w:tab w:val="decimal" w:pos="812"/>
              </w:tabs>
              <w:rPr>
                <w:rFonts w:hint="eastAsia"/>
              </w:rPr>
            </w:pPr>
            <w:r>
              <w:rPr>
                <w:rFonts w:hint="eastAsia"/>
              </w:rPr>
              <w:t>111</w:t>
            </w:r>
          </w:p>
        </w:tc>
        <w:tc>
          <w:tcPr>
            <w:tcW w:w="1155" w:type="dxa"/>
          </w:tcPr>
          <w:p w:rsidR="00000000" w:rsidRDefault="00000000">
            <w:pPr>
              <w:pStyle w:val="a2"/>
              <w:tabs>
                <w:tab w:val="decimal" w:pos="812"/>
              </w:tabs>
              <w:rPr>
                <w:rFonts w:hint="eastAsia"/>
              </w:rPr>
            </w:pPr>
            <w:r>
              <w:rPr>
                <w:rFonts w:hint="eastAsia"/>
              </w:rPr>
              <w:t>120</w:t>
            </w:r>
          </w:p>
        </w:tc>
        <w:tc>
          <w:tcPr>
            <w:tcW w:w="1148" w:type="dxa"/>
          </w:tcPr>
          <w:p w:rsidR="00000000" w:rsidRDefault="00000000">
            <w:pPr>
              <w:pStyle w:val="a2"/>
              <w:tabs>
                <w:tab w:val="decimal" w:pos="812"/>
              </w:tabs>
              <w:rPr>
                <w:rFonts w:hint="eastAsia"/>
              </w:rPr>
            </w:pPr>
            <w:r>
              <w:rPr>
                <w:rFonts w:hint="eastAsia"/>
              </w:rPr>
              <w:t>125</w:t>
            </w:r>
          </w:p>
        </w:tc>
        <w:tc>
          <w:tcPr>
            <w:tcW w:w="1344" w:type="dxa"/>
          </w:tcPr>
          <w:p w:rsidR="00000000" w:rsidRDefault="00000000">
            <w:pPr>
              <w:pStyle w:val="a2"/>
              <w:tabs>
                <w:tab w:val="decimal" w:pos="924"/>
              </w:tabs>
              <w:rPr>
                <w:rFonts w:hint="eastAsia"/>
              </w:rPr>
            </w:pPr>
            <w:r>
              <w:rPr>
                <w:rFonts w:hint="eastAsia"/>
              </w:rPr>
              <w:t>196,646</w:t>
            </w:r>
          </w:p>
        </w:tc>
        <w:tc>
          <w:tcPr>
            <w:tcW w:w="1345" w:type="dxa"/>
          </w:tcPr>
          <w:p w:rsidR="00000000" w:rsidRDefault="00000000">
            <w:pPr>
              <w:pStyle w:val="a2"/>
              <w:tabs>
                <w:tab w:val="decimal" w:pos="924"/>
              </w:tabs>
              <w:rPr>
                <w:rFonts w:hint="eastAsia"/>
              </w:rPr>
            </w:pPr>
            <w:r>
              <w:rPr>
                <w:rFonts w:hint="eastAsia"/>
              </w:rPr>
              <w:t>273,286</w:t>
            </w:r>
          </w:p>
        </w:tc>
        <w:tc>
          <w:tcPr>
            <w:tcW w:w="1345" w:type="dxa"/>
          </w:tcPr>
          <w:p w:rsidR="00000000" w:rsidRDefault="00000000">
            <w:pPr>
              <w:pStyle w:val="a2"/>
              <w:tabs>
                <w:tab w:val="decimal" w:pos="924"/>
              </w:tabs>
              <w:rPr>
                <w:rFonts w:hint="eastAsia"/>
              </w:rPr>
            </w:pPr>
            <w:r>
              <w:rPr>
                <w:rFonts w:hint="eastAsia"/>
              </w:rPr>
              <w:t>415,758</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其他</w:t>
            </w:r>
          </w:p>
        </w:tc>
        <w:tc>
          <w:tcPr>
            <w:tcW w:w="1260" w:type="dxa"/>
          </w:tcPr>
          <w:p w:rsidR="00000000" w:rsidRDefault="00000000">
            <w:pPr>
              <w:pStyle w:val="a2"/>
              <w:tabs>
                <w:tab w:val="decimal" w:pos="812"/>
              </w:tabs>
              <w:rPr>
                <w:rFonts w:hint="eastAsia"/>
              </w:rPr>
            </w:pPr>
            <w:r>
              <w:rPr>
                <w:rFonts w:hint="eastAsia"/>
              </w:rPr>
              <w:t>196</w:t>
            </w:r>
          </w:p>
        </w:tc>
        <w:tc>
          <w:tcPr>
            <w:tcW w:w="1155" w:type="dxa"/>
          </w:tcPr>
          <w:p w:rsidR="00000000" w:rsidRDefault="00000000">
            <w:pPr>
              <w:pStyle w:val="a2"/>
              <w:tabs>
                <w:tab w:val="decimal" w:pos="812"/>
              </w:tabs>
              <w:rPr>
                <w:rFonts w:hint="eastAsia"/>
              </w:rPr>
            </w:pPr>
            <w:r>
              <w:rPr>
                <w:rFonts w:hint="eastAsia"/>
              </w:rPr>
              <w:t>214</w:t>
            </w:r>
          </w:p>
        </w:tc>
        <w:tc>
          <w:tcPr>
            <w:tcW w:w="1148" w:type="dxa"/>
          </w:tcPr>
          <w:p w:rsidR="00000000" w:rsidRDefault="00000000">
            <w:pPr>
              <w:pStyle w:val="a2"/>
              <w:tabs>
                <w:tab w:val="decimal" w:pos="812"/>
              </w:tabs>
              <w:rPr>
                <w:rFonts w:hint="eastAsia"/>
              </w:rPr>
            </w:pPr>
            <w:r>
              <w:rPr>
                <w:rFonts w:hint="eastAsia"/>
              </w:rPr>
              <w:t>188</w:t>
            </w:r>
          </w:p>
        </w:tc>
        <w:tc>
          <w:tcPr>
            <w:tcW w:w="1344" w:type="dxa"/>
          </w:tcPr>
          <w:p w:rsidR="00000000" w:rsidRDefault="00000000">
            <w:pPr>
              <w:pStyle w:val="a2"/>
              <w:tabs>
                <w:tab w:val="decimal" w:pos="924"/>
              </w:tabs>
              <w:rPr>
                <w:rFonts w:hint="eastAsia"/>
              </w:rPr>
            </w:pPr>
            <w:r>
              <w:rPr>
                <w:rFonts w:hint="eastAsia"/>
              </w:rPr>
              <w:t>62,583</w:t>
            </w:r>
          </w:p>
        </w:tc>
        <w:tc>
          <w:tcPr>
            <w:tcW w:w="1345" w:type="dxa"/>
          </w:tcPr>
          <w:p w:rsidR="00000000" w:rsidRDefault="00000000">
            <w:pPr>
              <w:pStyle w:val="a2"/>
              <w:tabs>
                <w:tab w:val="decimal" w:pos="924"/>
              </w:tabs>
              <w:rPr>
                <w:rFonts w:hint="eastAsia"/>
              </w:rPr>
            </w:pPr>
            <w:r>
              <w:rPr>
                <w:rFonts w:hint="eastAsia"/>
              </w:rPr>
              <w:t>40,536</w:t>
            </w:r>
          </w:p>
        </w:tc>
        <w:tc>
          <w:tcPr>
            <w:tcW w:w="1345" w:type="dxa"/>
          </w:tcPr>
          <w:p w:rsidR="00000000" w:rsidRDefault="00000000">
            <w:pPr>
              <w:pStyle w:val="a2"/>
              <w:tabs>
                <w:tab w:val="decimal" w:pos="924"/>
              </w:tabs>
              <w:rPr>
                <w:rFonts w:hint="eastAsia"/>
              </w:rPr>
            </w:pPr>
            <w:r>
              <w:rPr>
                <w:rFonts w:hint="eastAsia"/>
              </w:rPr>
              <w:t>29,057</w:t>
            </w:r>
          </w:p>
        </w:tc>
      </w:tr>
      <w:tr w:rsidR="00000000">
        <w:tblPrEx>
          <w:tblCellMar>
            <w:top w:w="0" w:type="dxa"/>
            <w:bottom w:w="0" w:type="dxa"/>
          </w:tblCellMar>
        </w:tblPrEx>
        <w:tc>
          <w:tcPr>
            <w:tcW w:w="1813" w:type="dxa"/>
          </w:tcPr>
          <w:p w:rsidR="00000000" w:rsidRDefault="00000000">
            <w:pPr>
              <w:pStyle w:val="a2"/>
              <w:ind w:left="227"/>
              <w:rPr>
                <w:rFonts w:hint="eastAsia"/>
              </w:rPr>
            </w:pPr>
            <w:r>
              <w:rPr>
                <w:rFonts w:hint="eastAsia"/>
              </w:rPr>
              <w:t>总计</w:t>
            </w:r>
          </w:p>
        </w:tc>
        <w:tc>
          <w:tcPr>
            <w:tcW w:w="1260" w:type="dxa"/>
          </w:tcPr>
          <w:p w:rsidR="00000000" w:rsidRDefault="00000000">
            <w:pPr>
              <w:pStyle w:val="a2"/>
              <w:tabs>
                <w:tab w:val="decimal" w:pos="812"/>
              </w:tabs>
              <w:rPr>
                <w:rFonts w:hint="eastAsia"/>
              </w:rPr>
            </w:pPr>
            <w:r>
              <w:rPr>
                <w:rFonts w:hint="eastAsia"/>
              </w:rPr>
              <w:t>10,280</w:t>
            </w:r>
          </w:p>
        </w:tc>
        <w:tc>
          <w:tcPr>
            <w:tcW w:w="1155" w:type="dxa"/>
          </w:tcPr>
          <w:p w:rsidR="00000000" w:rsidRDefault="00000000">
            <w:pPr>
              <w:pStyle w:val="a2"/>
              <w:tabs>
                <w:tab w:val="decimal" w:pos="812"/>
              </w:tabs>
              <w:rPr>
                <w:rFonts w:hint="eastAsia"/>
              </w:rPr>
            </w:pPr>
            <w:r>
              <w:rPr>
                <w:rFonts w:hint="eastAsia"/>
              </w:rPr>
              <w:t>10,696</w:t>
            </w:r>
          </w:p>
        </w:tc>
        <w:tc>
          <w:tcPr>
            <w:tcW w:w="1148" w:type="dxa"/>
          </w:tcPr>
          <w:p w:rsidR="00000000" w:rsidRDefault="00000000">
            <w:pPr>
              <w:pStyle w:val="a2"/>
              <w:tabs>
                <w:tab w:val="decimal" w:pos="812"/>
              </w:tabs>
              <w:rPr>
                <w:rFonts w:hint="eastAsia"/>
              </w:rPr>
            </w:pPr>
            <w:r>
              <w:rPr>
                <w:rFonts w:hint="eastAsia"/>
              </w:rPr>
              <w:t>11,039</w:t>
            </w:r>
          </w:p>
        </w:tc>
        <w:tc>
          <w:tcPr>
            <w:tcW w:w="1344" w:type="dxa"/>
          </w:tcPr>
          <w:p w:rsidR="00000000" w:rsidRDefault="00000000">
            <w:pPr>
              <w:pStyle w:val="a2"/>
              <w:tabs>
                <w:tab w:val="decimal" w:pos="924"/>
              </w:tabs>
              <w:rPr>
                <w:rFonts w:hint="eastAsia"/>
              </w:rPr>
            </w:pPr>
            <w:r>
              <w:rPr>
                <w:rFonts w:hint="eastAsia"/>
              </w:rPr>
              <w:t>769,704</w:t>
            </w:r>
          </w:p>
        </w:tc>
        <w:tc>
          <w:tcPr>
            <w:tcW w:w="1345" w:type="dxa"/>
          </w:tcPr>
          <w:p w:rsidR="00000000" w:rsidRDefault="00000000">
            <w:pPr>
              <w:pStyle w:val="a2"/>
              <w:tabs>
                <w:tab w:val="decimal" w:pos="924"/>
              </w:tabs>
              <w:rPr>
                <w:rFonts w:hint="eastAsia"/>
              </w:rPr>
            </w:pPr>
            <w:r>
              <w:rPr>
                <w:rFonts w:hint="eastAsia"/>
              </w:rPr>
              <w:t>829,653</w:t>
            </w:r>
          </w:p>
        </w:tc>
        <w:tc>
          <w:tcPr>
            <w:tcW w:w="1345" w:type="dxa"/>
          </w:tcPr>
          <w:p w:rsidR="00000000" w:rsidRDefault="00000000">
            <w:pPr>
              <w:pStyle w:val="a2"/>
              <w:tabs>
                <w:tab w:val="decimal" w:pos="924"/>
              </w:tabs>
              <w:rPr>
                <w:rFonts w:hint="eastAsia"/>
              </w:rPr>
            </w:pPr>
            <w:r>
              <w:rPr>
                <w:rFonts w:hint="eastAsia"/>
              </w:rPr>
              <w:t>997,619</w:t>
            </w:r>
          </w:p>
        </w:tc>
      </w:tr>
    </w:tbl>
    <w:p w:rsidR="00000000" w:rsidRDefault="00000000">
      <w:pPr>
        <w:spacing w:before="240" w:line="288" w:lineRule="auto"/>
        <w:ind w:left="1815" w:hanging="525"/>
        <w:rPr>
          <w:rFonts w:eastAsia="KaiTi_GB2312" w:hint="eastAsia"/>
        </w:rPr>
      </w:pPr>
      <w:r>
        <w:rPr>
          <w:rFonts w:eastAsia="KaiTi_GB2312" w:hint="eastAsia"/>
        </w:rPr>
        <w:t xml:space="preserve">*  </w:t>
      </w:r>
      <w:r>
        <w:rPr>
          <w:rFonts w:eastAsia="KaiTi_GB2312"/>
        </w:rPr>
        <w:tab/>
      </w:r>
      <w:r>
        <w:rPr>
          <w:rFonts w:eastAsia="KaiTi_GB2312" w:hint="eastAsia"/>
        </w:rPr>
        <w:t>当中</w:t>
      </w:r>
      <w:r>
        <w:rPr>
          <w:rFonts w:eastAsia="KaiTi_GB2312" w:hint="eastAsia"/>
        </w:rPr>
        <w:t>21</w:t>
      </w:r>
      <w:r>
        <w:rPr>
          <w:rFonts w:eastAsia="KaiTi_GB2312" w:hint="eastAsia"/>
        </w:rPr>
        <w:t>场比赛未能提供有关入场人次资料。</w:t>
      </w:r>
    </w:p>
    <w:p w:rsidR="00000000" w:rsidRDefault="00000000">
      <w:pPr>
        <w:spacing w:line="288" w:lineRule="auto"/>
        <w:ind w:left="1815" w:hanging="525"/>
        <w:rPr>
          <w:rFonts w:eastAsia="KaiTi_GB2312" w:hint="eastAsia"/>
        </w:rPr>
      </w:pPr>
      <w:r>
        <w:rPr>
          <w:rFonts w:eastAsia="KaiTi_GB2312" w:hint="eastAsia"/>
        </w:rPr>
        <w:t xml:space="preserve">** </w:t>
      </w:r>
      <w:r>
        <w:rPr>
          <w:rFonts w:eastAsia="KaiTi_GB2312"/>
        </w:rPr>
        <w:tab/>
      </w:r>
      <w:r>
        <w:rPr>
          <w:rFonts w:eastAsia="KaiTi_GB2312" w:hint="eastAsia"/>
        </w:rPr>
        <w:t>1999</w:t>
      </w:r>
      <w:r>
        <w:rPr>
          <w:rFonts w:eastAsia="KaiTi_GB2312" w:hint="eastAsia"/>
        </w:rPr>
        <w:t>年、</w:t>
      </w:r>
      <w:r>
        <w:rPr>
          <w:rFonts w:eastAsia="KaiTi_GB2312" w:hint="eastAsia"/>
        </w:rPr>
        <w:t>2000</w:t>
      </w:r>
      <w:r>
        <w:rPr>
          <w:rFonts w:eastAsia="KaiTi_GB2312" w:hint="eastAsia"/>
        </w:rPr>
        <w:t>年和</w:t>
      </w:r>
      <w:r>
        <w:rPr>
          <w:rFonts w:eastAsia="KaiTi_GB2312" w:hint="eastAsia"/>
        </w:rPr>
        <w:t>2001</w:t>
      </w:r>
      <w:r>
        <w:rPr>
          <w:rFonts w:eastAsia="KaiTi_GB2312" w:hint="eastAsia"/>
        </w:rPr>
        <w:t>年分别有</w:t>
      </w:r>
      <w:r>
        <w:rPr>
          <w:rFonts w:eastAsia="KaiTi_GB2312" w:hint="eastAsia"/>
        </w:rPr>
        <w:t>16</w:t>
      </w:r>
      <w:r>
        <w:rPr>
          <w:rFonts w:eastAsia="KaiTi_GB2312" w:hint="eastAsia"/>
        </w:rPr>
        <w:t>场、</w:t>
      </w:r>
      <w:r>
        <w:rPr>
          <w:rFonts w:eastAsia="KaiTi_GB2312" w:hint="eastAsia"/>
        </w:rPr>
        <w:t>7</w:t>
      </w:r>
      <w:r>
        <w:rPr>
          <w:rFonts w:eastAsia="KaiTi_GB2312" w:hint="eastAsia"/>
        </w:rPr>
        <w:t>场和</w:t>
      </w:r>
      <w:r>
        <w:rPr>
          <w:rFonts w:eastAsia="KaiTi_GB2312" w:hint="eastAsia"/>
        </w:rPr>
        <w:t>15</w:t>
      </w:r>
      <w:r>
        <w:rPr>
          <w:rFonts w:eastAsia="KaiTi_GB2312" w:hint="eastAsia"/>
        </w:rPr>
        <w:t>场展览未有入场人次资料。</w:t>
      </w:r>
    </w:p>
    <w:p w:rsidR="00000000" w:rsidRDefault="00000000">
      <w:pPr>
        <w:spacing w:line="288" w:lineRule="auto"/>
        <w:ind w:left="510"/>
        <w:rPr>
          <w:rFonts w:eastAsia="KaiTi_GB2312" w:hint="eastAsia"/>
        </w:rPr>
      </w:pPr>
      <w:r>
        <w:rPr>
          <w:rFonts w:eastAsia="KaiTi_GB2312" w:hint="eastAsia"/>
          <w:u w:val="single"/>
        </w:rPr>
        <w:t>资料来源</w:t>
      </w:r>
      <w:r>
        <w:rPr>
          <w:rFonts w:eastAsia="KaiTi_GB2312" w:hint="eastAsia"/>
        </w:rPr>
        <w:t>：统计暨普查局，</w:t>
      </w:r>
      <w:r>
        <w:rPr>
          <w:rFonts w:eastAsia="KaiTi_GB2312" w:hint="eastAsia"/>
        </w:rPr>
        <w:t>2001</w:t>
      </w:r>
      <w:r>
        <w:rPr>
          <w:rFonts w:eastAsia="KaiTi_GB2312" w:hint="eastAsia"/>
        </w:rPr>
        <w:t>年统计年鉴。</w:t>
      </w:r>
    </w:p>
    <w:p w:rsidR="00000000" w:rsidRDefault="00000000">
      <w:pPr>
        <w:rPr>
          <w:rFonts w:eastAsia="KaiTi_GB2312" w:hint="eastAsia"/>
        </w:rPr>
      </w:pPr>
    </w:p>
    <w:p w:rsidR="00000000" w:rsidRDefault="00000000">
      <w:pPr>
        <w:rPr>
          <w:rFonts w:hint="eastAsia"/>
        </w:rPr>
      </w:pPr>
      <w:r>
        <w:rPr>
          <w:rFonts w:hint="eastAsia"/>
        </w:rPr>
        <w:tab/>
        <w:t xml:space="preserve">1162.  </w:t>
      </w:r>
      <w:r>
        <w:rPr>
          <w:rFonts w:hint="eastAsia"/>
        </w:rPr>
        <w:t>除了为广大市民举办了大量文化活动外，亦组织了多个例如绘画、陶瓷、舞蹈、默剧等专题工作坊、视像课程，以及关于流行文化、历史文化、水墨画、书法、文学的研讨会，此外，更举办了澳门艺术家联展，以推广本地的艺术。</w:t>
      </w:r>
    </w:p>
    <w:p w:rsidR="00000000" w:rsidRDefault="00000000">
      <w:pPr>
        <w:rPr>
          <w:rFonts w:hint="eastAsia"/>
        </w:rPr>
      </w:pPr>
      <w:r>
        <w:rPr>
          <w:rFonts w:hint="eastAsia"/>
        </w:rPr>
        <w:tab/>
        <w:t xml:space="preserve">1163.  </w:t>
      </w:r>
      <w:r>
        <w:rPr>
          <w:rFonts w:hint="eastAsia"/>
        </w:rPr>
        <w:t>民政总署亦设有一专门负责文娱活动的部门，该部门尤其负责保护文物、管理博物馆、布置对澳门具有内在文物价值的历史景点、举办展览、出版刊物、推广民族文化和安排每年的民间节日庆祝活动，以及组织娱乐和体育活动、工作坊、市集、表演和管理基础设施、公园等。</w:t>
      </w:r>
    </w:p>
    <w:p w:rsidR="00000000" w:rsidRDefault="00000000">
      <w:pPr>
        <w:rPr>
          <w:rFonts w:hint="eastAsia"/>
        </w:rPr>
      </w:pPr>
      <w:r>
        <w:rPr>
          <w:rFonts w:hint="eastAsia"/>
        </w:rPr>
        <w:tab/>
        <w:t xml:space="preserve">1164.  </w:t>
      </w:r>
      <w:r>
        <w:rPr>
          <w:rFonts w:hint="eastAsia"/>
        </w:rPr>
        <w:t>每年均举办体现和突出市民不同民族特征的文化盛事和庆祝活动。农历中的各项中国传统节日均有庆祝活动。该等活动有：农历新年、重阳节、民谣和粤剧、绿化周活动，荷花节、中秋节、龙舟竞渡、中国传统武术、中医工作坊、传统游戏和各项文学活动等。</w:t>
      </w:r>
    </w:p>
    <w:p w:rsidR="00000000" w:rsidRDefault="00000000">
      <w:pPr>
        <w:rPr>
          <w:rFonts w:hint="eastAsia"/>
        </w:rPr>
      </w:pPr>
      <w:r>
        <w:rPr>
          <w:rFonts w:hint="eastAsia"/>
        </w:rPr>
        <w:tab/>
        <w:t xml:space="preserve">1165.  </w:t>
      </w:r>
      <w:r>
        <w:rPr>
          <w:rFonts w:hint="eastAsia"/>
        </w:rPr>
        <w:t>本地社群亦有举办其他文化活动，例如土生葡人文化周、葡人社群聚会、民族美食节、戏剧、游览历史景点等。</w:t>
      </w:r>
    </w:p>
    <w:p w:rsidR="00000000" w:rsidRDefault="00000000">
      <w:pPr>
        <w:rPr>
          <w:rFonts w:hint="eastAsia"/>
        </w:rPr>
      </w:pPr>
      <w:r>
        <w:rPr>
          <w:rFonts w:hint="eastAsia"/>
        </w:rPr>
        <w:tab/>
        <w:t xml:space="preserve">1166.  </w:t>
      </w:r>
      <w:r>
        <w:rPr>
          <w:rFonts w:hint="eastAsia"/>
        </w:rPr>
        <w:t>以旅游业作为桥梁，有关方面以“文化之都”作为口号推广澳门特别行政区的文化财产。这个构思在于一方面推广在亚洲独一无二的澳门历史文化特色，另一方面得以在发展旅游活动的同时，使澳门的文化财产得到保存和更富生气。</w:t>
      </w:r>
    </w:p>
    <w:p w:rsidR="00000000" w:rsidRDefault="00000000">
      <w:pPr>
        <w:rPr>
          <w:rFonts w:hint="eastAsia"/>
        </w:rPr>
      </w:pPr>
      <w:r>
        <w:rPr>
          <w:rFonts w:hint="eastAsia"/>
        </w:rPr>
        <w:tab/>
        <w:t xml:space="preserve">1167.  </w:t>
      </w:r>
      <w:r>
        <w:rPr>
          <w:rFonts w:hint="eastAsia"/>
        </w:rPr>
        <w:t>文化局的工作包括促进、组织和支援研究项目、就澳门文化作出研究、对艺术培训提供资助、举办比赛、就历史、文学、文化财产、人类学和社会学等领域的研究提供助学金、组织和赞助研讨会、会议和讲座等。此外，亦出版刊物、论文和杂志，如《文化杂志》。</w:t>
      </w:r>
    </w:p>
    <w:p w:rsidR="00000000" w:rsidRDefault="00000000">
      <w:pPr>
        <w:rPr>
          <w:rFonts w:hint="eastAsia"/>
        </w:rPr>
      </w:pPr>
      <w:r>
        <w:rPr>
          <w:rFonts w:hint="eastAsia"/>
        </w:rPr>
        <w:tab/>
        <w:t xml:space="preserve">1168.  </w:t>
      </w:r>
      <w:r>
        <w:rPr>
          <w:rFonts w:hint="eastAsia"/>
        </w:rPr>
        <w:t>为鼓励市民参与文化活动，报章、若干定期刊物和电台均有进行文化工作和报道文化消息。</w:t>
      </w:r>
      <w:r>
        <w:rPr>
          <w:rFonts w:hint="eastAsia"/>
        </w:rPr>
        <w:t>11</w:t>
      </w:r>
      <w:r>
        <w:rPr>
          <w:rFonts w:hint="eastAsia"/>
        </w:rPr>
        <w:t>份中、葡日报、</w:t>
      </w:r>
      <w:r>
        <w:rPr>
          <w:rFonts w:hint="eastAsia"/>
        </w:rPr>
        <w:t>7</w:t>
      </w:r>
      <w:r>
        <w:rPr>
          <w:rFonts w:hint="eastAsia"/>
        </w:rPr>
        <w:t>份中、葡、英周报</w:t>
      </w:r>
      <w:r>
        <w:rPr>
          <w:rFonts w:hint="eastAsia"/>
        </w:rPr>
        <w:t>/</w:t>
      </w:r>
      <w:r>
        <w:rPr>
          <w:rFonts w:hint="eastAsia"/>
        </w:rPr>
        <w:t>周刊、两个电台和一个无线电视台均举办了多项文化活动，当中包括征文比赛、音乐和戏剧表演等。</w:t>
      </w:r>
    </w:p>
    <w:p w:rsidR="00000000" w:rsidRDefault="00000000">
      <w:pPr>
        <w:rPr>
          <w:rFonts w:hint="eastAsia"/>
        </w:rPr>
      </w:pPr>
      <w:r>
        <w:rPr>
          <w:rFonts w:hint="eastAsia"/>
        </w:rPr>
        <w:tab/>
        <w:t xml:space="preserve">1169.  </w:t>
      </w:r>
      <w:r>
        <w:rPr>
          <w:rFonts w:hint="eastAsia"/>
        </w:rPr>
        <w:t>澳门特别行政区虽然细小，却拥有先进和健全的传媒业。</w:t>
      </w:r>
    </w:p>
    <w:p w:rsidR="00000000" w:rsidRDefault="00000000">
      <w:pPr>
        <w:rPr>
          <w:rFonts w:hint="eastAsia"/>
        </w:rPr>
      </w:pPr>
      <w:r>
        <w:rPr>
          <w:rFonts w:hint="eastAsia"/>
        </w:rPr>
        <w:tab/>
        <w:t xml:space="preserve">1170.  </w:t>
      </w:r>
      <w:r>
        <w:rPr>
          <w:rFonts w:hint="eastAsia"/>
        </w:rPr>
        <w:t>新闻局</w:t>
      </w:r>
      <w:r>
        <w:rPr>
          <w:rFonts w:hint="eastAsia"/>
        </w:rPr>
        <w:t>(GCS)</w:t>
      </w:r>
      <w:r>
        <w:rPr>
          <w:rFonts w:hint="eastAsia"/>
        </w:rPr>
        <w:t>的工作是通过发布消息和安排采访，向政府机关和传媒提供协助。</w:t>
      </w:r>
    </w:p>
    <w:p w:rsidR="00000000" w:rsidRDefault="00000000">
      <w:pPr>
        <w:spacing w:after="240"/>
        <w:rPr>
          <w:rFonts w:hint="eastAsia"/>
        </w:rPr>
      </w:pPr>
      <w:r>
        <w:rPr>
          <w:rFonts w:hint="eastAsia"/>
        </w:rPr>
        <w:tab/>
        <w:t xml:space="preserve">1171.  </w:t>
      </w:r>
      <w:r>
        <w:rPr>
          <w:rFonts w:hint="eastAsia"/>
        </w:rPr>
        <w:t>政府建立了一个官方网站</w:t>
      </w:r>
      <w:r>
        <w:rPr>
          <w:rFonts w:hint="eastAsia"/>
        </w:rPr>
        <w:t>(</w:t>
      </w:r>
      <w:r>
        <w:t>http://www.macau.gov.mo</w:t>
      </w:r>
      <w:r>
        <w:rPr>
          <w:rFonts w:hint="eastAsia"/>
        </w:rPr>
        <w:t>)</w:t>
      </w:r>
      <w:r>
        <w:rPr>
          <w:rFonts w:hint="eastAsia"/>
        </w:rPr>
        <w:t>，以两种正式语文和英语提供关于澳门特别行政区的最新资讯，并与多个公共部门和公共实体的网站建立连结。</w:t>
      </w:r>
    </w:p>
    <w:p w:rsidR="00000000" w:rsidRDefault="00000000">
      <w:pPr>
        <w:pStyle w:val="Heading4"/>
        <w:rPr>
          <w:rFonts w:hint="eastAsia"/>
        </w:rPr>
      </w:pPr>
      <w:r>
        <w:rPr>
          <w:rFonts w:hint="eastAsia"/>
        </w:rPr>
        <w:t>基本文化设施</w:t>
      </w:r>
    </w:p>
    <w:p w:rsidR="00000000" w:rsidRDefault="00000000">
      <w:pPr>
        <w:rPr>
          <w:rFonts w:hint="eastAsia"/>
        </w:rPr>
      </w:pPr>
      <w:r>
        <w:rPr>
          <w:rFonts w:hint="eastAsia"/>
        </w:rPr>
        <w:tab/>
        <w:t xml:space="preserve">1172.  </w:t>
      </w:r>
      <w:r>
        <w:rPr>
          <w:rFonts w:hint="eastAsia"/>
        </w:rPr>
        <w:t>近年来，澳门特别行政区政府大力建设供文化活动之用的基本设施，与此同时，亦对原有的其他设施进行维护，确保广大市民，尤其是儿童和青少年具备所需的条件以有效行使和发展其文化权利。</w:t>
      </w:r>
    </w:p>
    <w:p w:rsidR="00000000" w:rsidRDefault="00000000">
      <w:pPr>
        <w:rPr>
          <w:rFonts w:hint="eastAsia"/>
        </w:rPr>
      </w:pPr>
      <w:r>
        <w:rPr>
          <w:rFonts w:hint="eastAsia"/>
        </w:rPr>
        <w:tab/>
        <w:t xml:space="preserve">1173.  </w:t>
      </w:r>
      <w:r>
        <w:rPr>
          <w:rFonts w:hint="eastAsia"/>
        </w:rPr>
        <w:t>投资澳门币</w:t>
      </w:r>
      <w:r>
        <w:rPr>
          <w:rFonts w:hint="eastAsia"/>
        </w:rPr>
        <w:t>9</w:t>
      </w:r>
      <w:r>
        <w:rPr>
          <w:rFonts w:hint="eastAsia"/>
        </w:rPr>
        <w:t>亿</w:t>
      </w:r>
      <w:r>
        <w:rPr>
          <w:rFonts w:hint="eastAsia"/>
        </w:rPr>
        <w:t>6,000</w:t>
      </w:r>
      <w:r>
        <w:rPr>
          <w:rFonts w:hint="eastAsia"/>
        </w:rPr>
        <w:t>万元的首个文化中心于</w:t>
      </w:r>
      <w:r>
        <w:rPr>
          <w:rFonts w:hint="eastAsia"/>
        </w:rPr>
        <w:t>1999</w:t>
      </w:r>
      <w:r>
        <w:rPr>
          <w:rFonts w:hint="eastAsia"/>
        </w:rPr>
        <w:t>年开幕，该中心的建筑面积达</w:t>
      </w:r>
      <w:r>
        <w:rPr>
          <w:rFonts w:hint="eastAsia"/>
        </w:rPr>
        <w:t>45,000</w:t>
      </w:r>
      <w:r>
        <w:rPr>
          <w:rFonts w:hint="eastAsia"/>
        </w:rPr>
        <w:t>平方米，设施面积有</w:t>
      </w:r>
      <w:r>
        <w:rPr>
          <w:rFonts w:hint="eastAsia"/>
        </w:rPr>
        <w:t>15,000</w:t>
      </w:r>
      <w:r>
        <w:rPr>
          <w:rFonts w:hint="eastAsia"/>
        </w:rPr>
        <w:t>平方米，设有一座剧院大楼、一个艺术博物馆，以及一个提供中、西文化艺术资讯的多媒体艺术图书馆。</w:t>
      </w:r>
    </w:p>
    <w:p w:rsidR="00000000" w:rsidRDefault="00000000">
      <w:pPr>
        <w:rPr>
          <w:rFonts w:hint="eastAsia"/>
        </w:rPr>
      </w:pPr>
      <w:r>
        <w:rPr>
          <w:rFonts w:hint="eastAsia"/>
        </w:rPr>
        <w:tab/>
        <w:t xml:space="preserve">1174.  </w:t>
      </w:r>
      <w:r>
        <w:rPr>
          <w:rFonts w:hint="eastAsia"/>
        </w:rPr>
        <w:t>剧院大楼设有</w:t>
      </w:r>
      <w:r>
        <w:rPr>
          <w:rFonts w:hint="eastAsia"/>
        </w:rPr>
        <w:t>1</w:t>
      </w:r>
      <w:r>
        <w:rPr>
          <w:rFonts w:hint="eastAsia"/>
        </w:rPr>
        <w:t>个综合剧院和</w:t>
      </w:r>
      <w:r>
        <w:rPr>
          <w:rFonts w:hint="eastAsia"/>
        </w:rPr>
        <w:t>1</w:t>
      </w:r>
      <w:r>
        <w:rPr>
          <w:rFonts w:hint="eastAsia"/>
        </w:rPr>
        <w:t>个小剧院，能容纳</w:t>
      </w:r>
      <w:r>
        <w:rPr>
          <w:rFonts w:hint="eastAsia"/>
        </w:rPr>
        <w:t>1,500</w:t>
      </w:r>
      <w:r>
        <w:rPr>
          <w:rFonts w:hint="eastAsia"/>
        </w:rPr>
        <w:t>名观众且设备先进。艺术博物馆的总面积为</w:t>
      </w:r>
      <w:r>
        <w:rPr>
          <w:rFonts w:hint="eastAsia"/>
        </w:rPr>
        <w:t>20,000</w:t>
      </w:r>
      <w:r>
        <w:rPr>
          <w:rFonts w:hint="eastAsia"/>
        </w:rPr>
        <w:t>平方米，其中</w:t>
      </w:r>
      <w:r>
        <w:rPr>
          <w:rFonts w:hint="eastAsia"/>
        </w:rPr>
        <w:t>5,000</w:t>
      </w:r>
      <w:r>
        <w:rPr>
          <w:rFonts w:hint="eastAsia"/>
        </w:rPr>
        <w:t>米为向公众开放的展览场区，有</w:t>
      </w:r>
      <w:r>
        <w:rPr>
          <w:rFonts w:hint="eastAsia"/>
        </w:rPr>
        <w:t>7</w:t>
      </w:r>
      <w:r>
        <w:rPr>
          <w:rFonts w:hint="eastAsia"/>
        </w:rPr>
        <w:t>个展厅。</w:t>
      </w:r>
    </w:p>
    <w:p w:rsidR="00000000" w:rsidRDefault="00000000">
      <w:pPr>
        <w:rPr>
          <w:rFonts w:hint="eastAsia"/>
        </w:rPr>
      </w:pPr>
      <w:r>
        <w:rPr>
          <w:rFonts w:hint="eastAsia"/>
        </w:rPr>
        <w:tab/>
        <w:t xml:space="preserve">1175.  </w:t>
      </w:r>
      <w:r>
        <w:rPr>
          <w:rFonts w:hint="eastAsia"/>
        </w:rPr>
        <w:t>澳门文化中心是为进行艺术、视觉和视听表演而设计，上演的节目由古典艺术到现代艺术都有，体现出文化节目的安排能照顾到各个阶层的需要。</w:t>
      </w:r>
    </w:p>
    <w:p w:rsidR="00000000" w:rsidRDefault="00000000">
      <w:pPr>
        <w:rPr>
          <w:rFonts w:hint="eastAsia"/>
        </w:rPr>
      </w:pPr>
      <w:r>
        <w:rPr>
          <w:rFonts w:hint="eastAsia"/>
        </w:rPr>
        <w:tab/>
        <w:t xml:space="preserve">1176.  </w:t>
      </w:r>
      <w:r>
        <w:rPr>
          <w:rFonts w:hint="eastAsia"/>
        </w:rPr>
        <w:t>此外，市民亦可享用其他基础设施，如</w:t>
      </w:r>
      <w:r>
        <w:rPr>
          <w:rFonts w:hint="eastAsia"/>
        </w:rPr>
        <w:t>9</w:t>
      </w:r>
      <w:r>
        <w:rPr>
          <w:rFonts w:hint="eastAsia"/>
        </w:rPr>
        <w:t>个图书馆、</w:t>
      </w:r>
      <w:r>
        <w:rPr>
          <w:rFonts w:hint="eastAsia"/>
        </w:rPr>
        <w:t>3</w:t>
      </w:r>
      <w:r>
        <w:rPr>
          <w:rFonts w:hint="eastAsia"/>
        </w:rPr>
        <w:t>个能容纳</w:t>
      </w:r>
      <w:r>
        <w:rPr>
          <w:rFonts w:hint="eastAsia"/>
        </w:rPr>
        <w:t>2,727</w:t>
      </w:r>
      <w:r>
        <w:rPr>
          <w:rFonts w:hint="eastAsia"/>
        </w:rPr>
        <w:t>人的电影院、画廊、传统艺术和手工艺市集和其他流动设施等。</w:t>
      </w:r>
    </w:p>
    <w:p w:rsidR="00000000" w:rsidRDefault="00000000">
      <w:pPr>
        <w:rPr>
          <w:rFonts w:hint="eastAsia"/>
        </w:rPr>
      </w:pPr>
      <w:r>
        <w:rPr>
          <w:rFonts w:hint="eastAsia"/>
        </w:rPr>
        <w:tab/>
        <w:t xml:space="preserve">1177.  </w:t>
      </w:r>
      <w:r>
        <w:rPr>
          <w:rFonts w:hint="eastAsia"/>
        </w:rPr>
        <w:t>澳门特别行政区的另一重要设施，是历史档案馆，该馆负责保存具历史价值的文献和负责公共机关档案系统的运作。历史档案馆现有的设备能为妥善保存缩微胶卷档案，尤其是稀有作品的缩微胶卷档案提供优秀条件，有关档案可透过电脑系统查阅。历史档案馆的馆藏是研究人员的宝库。</w:t>
      </w:r>
    </w:p>
    <w:p w:rsidR="00000000" w:rsidRDefault="00000000">
      <w:pPr>
        <w:rPr>
          <w:rFonts w:hint="eastAsia"/>
        </w:rPr>
      </w:pPr>
      <w:r>
        <w:rPr>
          <w:rFonts w:hint="eastAsia"/>
        </w:rPr>
        <w:tab/>
        <w:t xml:space="preserve">1178.  </w:t>
      </w:r>
      <w:r>
        <w:rPr>
          <w:rFonts w:hint="eastAsia"/>
        </w:rPr>
        <w:t>澳门亦设有海事博物馆，馆内设有图书馆和档案室，展出大量关于航海历史的藏品。</w:t>
      </w:r>
    </w:p>
    <w:p w:rsidR="00000000" w:rsidRDefault="00000000">
      <w:pPr>
        <w:spacing w:after="320"/>
        <w:rPr>
          <w:rFonts w:hint="eastAsia"/>
        </w:rPr>
      </w:pPr>
      <w:r>
        <w:rPr>
          <w:rFonts w:hint="eastAsia"/>
        </w:rPr>
        <w:tab/>
        <w:t xml:space="preserve">1179.  </w:t>
      </w:r>
      <w:r>
        <w:rPr>
          <w:rFonts w:hint="eastAsia"/>
        </w:rPr>
        <w:t>澳门博物馆占地</w:t>
      </w:r>
      <w:r>
        <w:rPr>
          <w:rFonts w:hint="eastAsia"/>
        </w:rPr>
        <w:t>2,800</w:t>
      </w:r>
      <w:r>
        <w:rPr>
          <w:rFonts w:hint="eastAsia"/>
        </w:rPr>
        <w:t>平方米，设有一演讲厅。博物馆位于</w:t>
      </w:r>
      <w:r>
        <w:rPr>
          <w:rFonts w:hint="eastAsia"/>
        </w:rPr>
        <w:t>1626</w:t>
      </w:r>
      <w:r>
        <w:rPr>
          <w:rFonts w:hint="eastAsia"/>
        </w:rPr>
        <w:t>年由耶稣会士兴建的大炮台上，是保存历史文化财产的典范，展出大量与澳门历史背景和传统文化有关的藏品。</w:t>
      </w:r>
    </w:p>
    <w:p w:rsidR="00000000" w:rsidRDefault="00000000">
      <w:pPr>
        <w:pStyle w:val="Heading3"/>
        <w:rPr>
          <w:rFonts w:hint="eastAsia"/>
        </w:rPr>
      </w:pPr>
      <w:bookmarkStart w:id="112" w:name="_Toc78773021"/>
      <w:r>
        <w:rPr>
          <w:rFonts w:hint="eastAsia"/>
          <w:u w:val="none"/>
        </w:rPr>
        <w:t xml:space="preserve">B.  </w:t>
      </w:r>
      <w:r>
        <w:rPr>
          <w:rFonts w:hint="eastAsia"/>
        </w:rPr>
        <w:t>对文化活动的资助</w:t>
      </w:r>
      <w:bookmarkEnd w:id="112"/>
    </w:p>
    <w:p w:rsidR="00000000" w:rsidRDefault="00000000">
      <w:pPr>
        <w:rPr>
          <w:rFonts w:hint="eastAsia"/>
        </w:rPr>
      </w:pPr>
      <w:r>
        <w:rPr>
          <w:rFonts w:hint="eastAsia"/>
        </w:rPr>
        <w:tab/>
        <w:t xml:space="preserve">1180.  </w:t>
      </w:r>
      <w:r>
        <w:rPr>
          <w:rFonts w:hint="eastAsia"/>
        </w:rPr>
        <w:t>澳门设立了一项特别公共基金，即文化基金，对推广和发展文化活动，以及推动市民对文化生活的参与提供资助。基金的主要工作是为文化活动和民间发起的工作提供资助，而近年来，基金的预算大幅增加。</w:t>
      </w:r>
      <w:r>
        <w:rPr>
          <w:rFonts w:hint="eastAsia"/>
        </w:rPr>
        <w:t>2000</w:t>
      </w:r>
      <w:r>
        <w:rPr>
          <w:rFonts w:hint="eastAsia"/>
        </w:rPr>
        <w:t>年，有关预算为澳门币</w:t>
      </w:r>
      <w:r>
        <w:rPr>
          <w:rFonts w:hint="eastAsia"/>
        </w:rPr>
        <w:t>67,669,000</w:t>
      </w:r>
      <w:r>
        <w:rPr>
          <w:rFonts w:hint="eastAsia"/>
        </w:rPr>
        <w:t>元，而在</w:t>
      </w:r>
      <w:r>
        <w:rPr>
          <w:rFonts w:hint="eastAsia"/>
        </w:rPr>
        <w:t>2001</w:t>
      </w:r>
      <w:r>
        <w:rPr>
          <w:rFonts w:hint="eastAsia"/>
        </w:rPr>
        <w:t>年和</w:t>
      </w:r>
      <w:r>
        <w:rPr>
          <w:rFonts w:hint="eastAsia"/>
        </w:rPr>
        <w:t>2002</w:t>
      </w:r>
      <w:r>
        <w:rPr>
          <w:rFonts w:hint="eastAsia"/>
        </w:rPr>
        <w:t>年则分别为澳门币</w:t>
      </w:r>
      <w:r>
        <w:rPr>
          <w:rFonts w:hint="eastAsia"/>
        </w:rPr>
        <w:t>72,122,000</w:t>
      </w:r>
      <w:r>
        <w:rPr>
          <w:rFonts w:hint="eastAsia"/>
        </w:rPr>
        <w:t>元和澳门币</w:t>
      </w:r>
      <w:r>
        <w:rPr>
          <w:rFonts w:hint="eastAsia"/>
        </w:rPr>
        <w:t>83,920,000</w:t>
      </w:r>
      <w:r>
        <w:rPr>
          <w:rFonts w:hint="eastAsia"/>
        </w:rPr>
        <w:t>元。</w:t>
      </w:r>
    </w:p>
    <w:p w:rsidR="00000000" w:rsidRDefault="00000000">
      <w:pPr>
        <w:rPr>
          <w:rFonts w:hint="eastAsia"/>
        </w:rPr>
      </w:pPr>
      <w:r>
        <w:rPr>
          <w:rFonts w:hint="eastAsia"/>
        </w:rPr>
        <w:tab/>
        <w:t>1181.  2001</w:t>
      </w:r>
      <w:r>
        <w:rPr>
          <w:rFonts w:hint="eastAsia"/>
        </w:rPr>
        <w:t>年，民政总署在文化领域的预算为澳门币</w:t>
      </w:r>
      <w:r>
        <w:rPr>
          <w:rFonts w:hint="eastAsia"/>
        </w:rPr>
        <w:t>11,500,000</w:t>
      </w:r>
      <w:r>
        <w:rPr>
          <w:rFonts w:hint="eastAsia"/>
        </w:rPr>
        <w:t>元，其中包括对民间活动的资助。事实上，民政总署所资助的对象，包括本地团体、个人或团体艺术表演者、范围由戏剧到爵士艺术的传统和现代演艺社团，以及青少年的消闲活动和无分对象的体育活动。</w:t>
      </w:r>
    </w:p>
    <w:p w:rsidR="00000000" w:rsidRDefault="00000000">
      <w:pPr>
        <w:rPr>
          <w:rFonts w:hint="eastAsia"/>
        </w:rPr>
      </w:pPr>
      <w:r>
        <w:rPr>
          <w:rFonts w:hint="eastAsia"/>
        </w:rPr>
        <w:tab/>
        <w:t xml:space="preserve">1182.  </w:t>
      </w:r>
      <w:r>
        <w:rPr>
          <w:rFonts w:hint="eastAsia"/>
        </w:rPr>
        <w:t>澳门文化中心</w:t>
      </w:r>
      <w:r>
        <w:rPr>
          <w:rFonts w:hint="eastAsia"/>
        </w:rPr>
        <w:t>2001</w:t>
      </w:r>
      <w:r>
        <w:rPr>
          <w:rFonts w:hint="eastAsia"/>
        </w:rPr>
        <w:t>年的总预算为澳门币</w:t>
      </w:r>
      <w:r>
        <w:rPr>
          <w:rFonts w:hint="eastAsia"/>
        </w:rPr>
        <w:t>56,000,000</w:t>
      </w:r>
      <w:r>
        <w:rPr>
          <w:rFonts w:hint="eastAsia"/>
        </w:rPr>
        <w:t>元，而用在艺术表演和视听节目文化范畴的金额为澳门币</w:t>
      </w:r>
      <w:r>
        <w:rPr>
          <w:rFonts w:hint="eastAsia"/>
        </w:rPr>
        <w:t>14,000,000</w:t>
      </w:r>
      <w:r>
        <w:rPr>
          <w:rFonts w:hint="eastAsia"/>
        </w:rPr>
        <w:t>元。</w:t>
      </w:r>
    </w:p>
    <w:p w:rsidR="00000000" w:rsidRDefault="00000000">
      <w:pPr>
        <w:rPr>
          <w:rFonts w:hint="eastAsia"/>
        </w:rPr>
      </w:pPr>
      <w:r>
        <w:rPr>
          <w:rFonts w:hint="eastAsia"/>
        </w:rPr>
        <w:tab/>
        <w:t xml:space="preserve">1183. </w:t>
      </w:r>
      <w:r>
        <w:rPr>
          <w:rFonts w:hint="eastAsia"/>
        </w:rPr>
        <w:t>此外，文化局亦每年为进行文化领域的学习、研究和其他创作活动的个人</w:t>
      </w:r>
      <w:r>
        <w:rPr>
          <w:rFonts w:hint="eastAsia"/>
        </w:rPr>
        <w:t>/</w:t>
      </w:r>
      <w:r>
        <w:rPr>
          <w:rFonts w:hint="eastAsia"/>
        </w:rPr>
        <w:t>团体提供助学金、资助或其他方式的援助。</w:t>
      </w:r>
    </w:p>
    <w:p w:rsidR="00000000" w:rsidRDefault="00000000">
      <w:pPr>
        <w:spacing w:after="320"/>
        <w:rPr>
          <w:rFonts w:hint="eastAsia"/>
        </w:rPr>
      </w:pPr>
      <w:r>
        <w:rPr>
          <w:rFonts w:hint="eastAsia"/>
        </w:rPr>
        <w:tab/>
        <w:t xml:space="preserve">1184.  </w:t>
      </w:r>
      <w:r>
        <w:rPr>
          <w:rFonts w:hint="eastAsia"/>
        </w:rPr>
        <w:t>诸如旅游局，体育发展局和澳门基金会等其他机构，亦为与文化和科学活动有关的民间活动提供资助。澳门基金会所担当的重要角色，从下表可看到：</w:t>
      </w:r>
    </w:p>
    <w:p w:rsidR="00000000" w:rsidRDefault="00000000">
      <w:pPr>
        <w:pStyle w:val="a3"/>
        <w:rPr>
          <w:rFonts w:hint="eastAsia"/>
          <w:b/>
          <w:bCs/>
        </w:rPr>
      </w:pPr>
      <w:r>
        <w:rPr>
          <w:rFonts w:hint="eastAsia"/>
        </w:rPr>
        <w:t>澳门基金会的资助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3"/>
        <w:gridCol w:w="3675"/>
        <w:gridCol w:w="3712"/>
      </w:tblGrid>
      <w:tr w:rsidR="00000000">
        <w:tblPrEx>
          <w:tblCellMar>
            <w:top w:w="0" w:type="dxa"/>
            <w:bottom w:w="0" w:type="dxa"/>
          </w:tblCellMar>
        </w:tblPrEx>
        <w:tc>
          <w:tcPr>
            <w:tcW w:w="2023" w:type="dxa"/>
          </w:tcPr>
          <w:p w:rsidR="00000000" w:rsidRDefault="00000000">
            <w:pPr>
              <w:pStyle w:val="a2"/>
              <w:spacing w:before="300" w:after="120"/>
              <w:jc w:val="center"/>
              <w:rPr>
                <w:rFonts w:hint="eastAsia"/>
              </w:rPr>
            </w:pPr>
            <w:r>
              <w:rPr>
                <w:rFonts w:hint="eastAsia"/>
              </w:rPr>
              <w:t>资助领域</w:t>
            </w:r>
          </w:p>
        </w:tc>
        <w:tc>
          <w:tcPr>
            <w:tcW w:w="3675" w:type="dxa"/>
          </w:tcPr>
          <w:p w:rsidR="00000000" w:rsidRDefault="00000000">
            <w:pPr>
              <w:pStyle w:val="a2"/>
              <w:spacing w:before="180" w:after="120"/>
              <w:jc w:val="center"/>
              <w:rPr>
                <w:rFonts w:hint="eastAsia"/>
              </w:rPr>
            </w:pPr>
            <w:r>
              <w:rPr>
                <w:rFonts w:hint="eastAsia"/>
              </w:rPr>
              <w:t>2001</w:t>
            </w:r>
            <w:r>
              <w:rPr>
                <w:rFonts w:hint="eastAsia"/>
              </w:rPr>
              <w:t>年</w:t>
            </w:r>
            <w:r>
              <w:br/>
            </w:r>
            <w:r>
              <w:rPr>
                <w:rFonts w:hint="eastAsia"/>
              </w:rPr>
              <w:t>(11/07/2001 - 31/12/2001)</w:t>
            </w:r>
          </w:p>
        </w:tc>
        <w:tc>
          <w:tcPr>
            <w:tcW w:w="3712" w:type="dxa"/>
          </w:tcPr>
          <w:p w:rsidR="00000000" w:rsidRDefault="00000000">
            <w:pPr>
              <w:pStyle w:val="a2"/>
              <w:spacing w:before="180" w:after="120"/>
              <w:jc w:val="center"/>
              <w:rPr>
                <w:rFonts w:hint="eastAsia"/>
              </w:rPr>
            </w:pPr>
            <w:r>
              <w:rPr>
                <w:rFonts w:hint="eastAsia"/>
              </w:rPr>
              <w:t>2002</w:t>
            </w:r>
            <w:r>
              <w:rPr>
                <w:rFonts w:hint="eastAsia"/>
              </w:rPr>
              <w:t>年</w:t>
            </w:r>
            <w:r>
              <w:br/>
            </w:r>
            <w:r>
              <w:rPr>
                <w:rFonts w:hint="eastAsia"/>
              </w:rPr>
              <w:t>(1/01/2002 - 30/09/2002)</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文化</w:t>
            </w:r>
          </w:p>
        </w:tc>
        <w:tc>
          <w:tcPr>
            <w:tcW w:w="3675" w:type="dxa"/>
          </w:tcPr>
          <w:p w:rsidR="00000000" w:rsidRDefault="00000000">
            <w:pPr>
              <w:pStyle w:val="a2"/>
              <w:ind w:right="917"/>
              <w:jc w:val="right"/>
              <w:rPr>
                <w:rFonts w:hint="eastAsia"/>
              </w:rPr>
            </w:pPr>
            <w:r>
              <w:rPr>
                <w:rFonts w:hint="eastAsia"/>
              </w:rPr>
              <w:t>5,241,800</w:t>
            </w:r>
          </w:p>
        </w:tc>
        <w:tc>
          <w:tcPr>
            <w:tcW w:w="3712" w:type="dxa"/>
          </w:tcPr>
          <w:p w:rsidR="00000000" w:rsidRDefault="00000000">
            <w:pPr>
              <w:pStyle w:val="a2"/>
              <w:ind w:right="917"/>
              <w:jc w:val="right"/>
              <w:rPr>
                <w:rFonts w:hint="eastAsia"/>
              </w:rPr>
            </w:pPr>
            <w:r>
              <w:rPr>
                <w:rFonts w:hint="eastAsia"/>
              </w:rPr>
              <w:t>4,895,700</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社会</w:t>
            </w:r>
          </w:p>
        </w:tc>
        <w:tc>
          <w:tcPr>
            <w:tcW w:w="3675" w:type="dxa"/>
          </w:tcPr>
          <w:p w:rsidR="00000000" w:rsidRDefault="00000000">
            <w:pPr>
              <w:pStyle w:val="a2"/>
              <w:ind w:right="917"/>
              <w:jc w:val="right"/>
              <w:rPr>
                <w:rFonts w:hint="eastAsia"/>
              </w:rPr>
            </w:pPr>
            <w:r>
              <w:rPr>
                <w:rFonts w:hint="eastAsia"/>
              </w:rPr>
              <w:t>1,480,000</w:t>
            </w:r>
          </w:p>
        </w:tc>
        <w:tc>
          <w:tcPr>
            <w:tcW w:w="3712" w:type="dxa"/>
          </w:tcPr>
          <w:p w:rsidR="00000000" w:rsidRDefault="00000000">
            <w:pPr>
              <w:pStyle w:val="a2"/>
              <w:ind w:right="917"/>
              <w:jc w:val="right"/>
              <w:rPr>
                <w:rFonts w:hint="eastAsia"/>
              </w:rPr>
            </w:pPr>
            <w:r>
              <w:rPr>
                <w:rFonts w:hint="eastAsia"/>
              </w:rPr>
              <w:t>3,266,025</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经济</w:t>
            </w:r>
          </w:p>
        </w:tc>
        <w:tc>
          <w:tcPr>
            <w:tcW w:w="3675" w:type="dxa"/>
          </w:tcPr>
          <w:p w:rsidR="00000000" w:rsidRDefault="00000000">
            <w:pPr>
              <w:pStyle w:val="a2"/>
              <w:ind w:right="917"/>
              <w:jc w:val="right"/>
              <w:rPr>
                <w:rFonts w:hint="eastAsia"/>
              </w:rPr>
            </w:pPr>
            <w:r>
              <w:rPr>
                <w:rFonts w:hint="eastAsia"/>
              </w:rPr>
              <w:t>60,000</w:t>
            </w:r>
          </w:p>
        </w:tc>
        <w:tc>
          <w:tcPr>
            <w:tcW w:w="3712" w:type="dxa"/>
          </w:tcPr>
          <w:p w:rsidR="00000000" w:rsidRDefault="00000000">
            <w:pPr>
              <w:pStyle w:val="a2"/>
              <w:ind w:right="917"/>
              <w:jc w:val="right"/>
              <w:rPr>
                <w:rFonts w:hint="eastAsia"/>
              </w:rPr>
            </w:pPr>
            <w:r>
              <w:rPr>
                <w:rFonts w:hint="eastAsia"/>
              </w:rPr>
              <w:t>4,169,384</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教育</w:t>
            </w:r>
          </w:p>
        </w:tc>
        <w:tc>
          <w:tcPr>
            <w:tcW w:w="3675" w:type="dxa"/>
          </w:tcPr>
          <w:p w:rsidR="00000000" w:rsidRDefault="00000000">
            <w:pPr>
              <w:pStyle w:val="a2"/>
              <w:ind w:right="917"/>
              <w:jc w:val="right"/>
              <w:rPr>
                <w:rFonts w:hint="eastAsia"/>
              </w:rPr>
            </w:pPr>
            <w:r>
              <w:rPr>
                <w:rFonts w:hint="eastAsia"/>
              </w:rPr>
              <w:t>18,216,400</w:t>
            </w:r>
          </w:p>
        </w:tc>
        <w:tc>
          <w:tcPr>
            <w:tcW w:w="3712" w:type="dxa"/>
          </w:tcPr>
          <w:p w:rsidR="00000000" w:rsidRDefault="00000000">
            <w:pPr>
              <w:pStyle w:val="a2"/>
              <w:ind w:right="917"/>
              <w:jc w:val="right"/>
              <w:rPr>
                <w:rFonts w:hint="eastAsia"/>
              </w:rPr>
            </w:pPr>
            <w:r>
              <w:rPr>
                <w:rFonts w:hint="eastAsia"/>
              </w:rPr>
              <w:t>24,035,900</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科学</w:t>
            </w:r>
          </w:p>
        </w:tc>
        <w:tc>
          <w:tcPr>
            <w:tcW w:w="3675" w:type="dxa"/>
          </w:tcPr>
          <w:p w:rsidR="00000000" w:rsidRDefault="00000000">
            <w:pPr>
              <w:pStyle w:val="a2"/>
              <w:ind w:right="917"/>
              <w:jc w:val="right"/>
              <w:rPr>
                <w:rFonts w:hint="eastAsia"/>
              </w:rPr>
            </w:pPr>
            <w:r>
              <w:rPr>
                <w:rFonts w:hint="eastAsia"/>
              </w:rPr>
              <w:t>388,700</w:t>
            </w:r>
          </w:p>
        </w:tc>
        <w:tc>
          <w:tcPr>
            <w:tcW w:w="3712" w:type="dxa"/>
          </w:tcPr>
          <w:p w:rsidR="00000000" w:rsidRDefault="00000000">
            <w:pPr>
              <w:pStyle w:val="a2"/>
              <w:ind w:right="917"/>
              <w:jc w:val="right"/>
              <w:rPr>
                <w:rFonts w:hint="eastAsia"/>
              </w:rPr>
            </w:pPr>
            <w:r>
              <w:rPr>
                <w:rFonts w:hint="eastAsia"/>
              </w:rPr>
              <w:t>1,489,000</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学术</w:t>
            </w:r>
          </w:p>
        </w:tc>
        <w:tc>
          <w:tcPr>
            <w:tcW w:w="3675" w:type="dxa"/>
          </w:tcPr>
          <w:p w:rsidR="00000000" w:rsidRDefault="00000000">
            <w:pPr>
              <w:pStyle w:val="a2"/>
              <w:ind w:right="917"/>
              <w:jc w:val="right"/>
              <w:rPr>
                <w:rFonts w:hint="eastAsia"/>
              </w:rPr>
            </w:pPr>
            <w:r>
              <w:rPr>
                <w:rFonts w:hint="eastAsia"/>
              </w:rPr>
              <w:t>91,000</w:t>
            </w:r>
          </w:p>
        </w:tc>
        <w:tc>
          <w:tcPr>
            <w:tcW w:w="3712" w:type="dxa"/>
          </w:tcPr>
          <w:p w:rsidR="00000000" w:rsidRDefault="00000000">
            <w:pPr>
              <w:pStyle w:val="a2"/>
              <w:ind w:right="917"/>
              <w:jc w:val="right"/>
              <w:rPr>
                <w:rFonts w:hint="eastAsia"/>
              </w:rPr>
            </w:pPr>
            <w:r>
              <w:rPr>
                <w:rFonts w:hint="eastAsia"/>
              </w:rPr>
              <w:t>3,645,945</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慈善</w:t>
            </w:r>
          </w:p>
        </w:tc>
        <w:tc>
          <w:tcPr>
            <w:tcW w:w="3675" w:type="dxa"/>
          </w:tcPr>
          <w:p w:rsidR="00000000" w:rsidRDefault="00000000">
            <w:pPr>
              <w:pStyle w:val="a2"/>
              <w:ind w:right="917"/>
              <w:jc w:val="right"/>
              <w:rPr>
                <w:rFonts w:hint="eastAsia"/>
              </w:rPr>
            </w:pPr>
            <w:r>
              <w:rPr>
                <w:rFonts w:hint="eastAsia"/>
              </w:rPr>
              <w:t>30,000</w:t>
            </w:r>
          </w:p>
        </w:tc>
        <w:tc>
          <w:tcPr>
            <w:tcW w:w="3712" w:type="dxa"/>
          </w:tcPr>
          <w:p w:rsidR="00000000" w:rsidRDefault="00000000">
            <w:pPr>
              <w:pStyle w:val="a2"/>
              <w:ind w:right="917"/>
              <w:jc w:val="right"/>
              <w:rPr>
                <w:rFonts w:hint="eastAsia"/>
              </w:rPr>
            </w:pPr>
            <w:r>
              <w:rPr>
                <w:rFonts w:hint="eastAsia"/>
              </w:rPr>
              <w:t>1,495,000</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推广澳门</w:t>
            </w:r>
          </w:p>
        </w:tc>
        <w:tc>
          <w:tcPr>
            <w:tcW w:w="3675" w:type="dxa"/>
          </w:tcPr>
          <w:p w:rsidR="00000000" w:rsidRDefault="00000000">
            <w:pPr>
              <w:pStyle w:val="a2"/>
              <w:ind w:right="917"/>
              <w:jc w:val="right"/>
              <w:rPr>
                <w:rFonts w:hint="eastAsia"/>
              </w:rPr>
            </w:pPr>
            <w:r>
              <w:rPr>
                <w:rFonts w:hint="eastAsia"/>
              </w:rPr>
              <w:t>2,455,000</w:t>
            </w:r>
          </w:p>
        </w:tc>
        <w:tc>
          <w:tcPr>
            <w:tcW w:w="3712" w:type="dxa"/>
          </w:tcPr>
          <w:p w:rsidR="00000000" w:rsidRDefault="00000000">
            <w:pPr>
              <w:pStyle w:val="a2"/>
              <w:ind w:right="917"/>
              <w:jc w:val="right"/>
              <w:rPr>
                <w:rFonts w:hint="eastAsia"/>
              </w:rPr>
            </w:pPr>
            <w:r>
              <w:rPr>
                <w:rFonts w:hint="eastAsia"/>
              </w:rPr>
              <w:t>3,235,295</w:t>
            </w:r>
          </w:p>
        </w:tc>
      </w:tr>
      <w:tr w:rsidR="00000000">
        <w:tblPrEx>
          <w:tblCellMar>
            <w:top w:w="0" w:type="dxa"/>
            <w:bottom w:w="0" w:type="dxa"/>
          </w:tblCellMar>
        </w:tblPrEx>
        <w:tc>
          <w:tcPr>
            <w:tcW w:w="2023" w:type="dxa"/>
          </w:tcPr>
          <w:p w:rsidR="00000000" w:rsidRDefault="00000000">
            <w:pPr>
              <w:pStyle w:val="a2"/>
              <w:ind w:left="227"/>
              <w:rPr>
                <w:rFonts w:hint="eastAsia"/>
              </w:rPr>
            </w:pPr>
            <w:r>
              <w:rPr>
                <w:rFonts w:hint="eastAsia"/>
              </w:rPr>
              <w:t>总计</w:t>
            </w:r>
          </w:p>
        </w:tc>
        <w:tc>
          <w:tcPr>
            <w:tcW w:w="3675" w:type="dxa"/>
          </w:tcPr>
          <w:p w:rsidR="00000000" w:rsidRDefault="00000000">
            <w:pPr>
              <w:pStyle w:val="a2"/>
              <w:ind w:right="917"/>
              <w:jc w:val="right"/>
              <w:rPr>
                <w:rFonts w:hint="eastAsia"/>
              </w:rPr>
            </w:pPr>
            <w:r>
              <w:rPr>
                <w:rFonts w:hint="eastAsia"/>
              </w:rPr>
              <w:t>27,962,900</w:t>
            </w:r>
          </w:p>
        </w:tc>
        <w:tc>
          <w:tcPr>
            <w:tcW w:w="3712" w:type="dxa"/>
          </w:tcPr>
          <w:p w:rsidR="00000000" w:rsidRDefault="00000000">
            <w:pPr>
              <w:pStyle w:val="a2"/>
              <w:ind w:right="917"/>
              <w:jc w:val="right"/>
              <w:rPr>
                <w:rFonts w:hint="eastAsia"/>
              </w:rPr>
            </w:pPr>
            <w:r>
              <w:rPr>
                <w:rFonts w:hint="eastAsia"/>
              </w:rPr>
              <w:t>46,232,249</w:t>
            </w:r>
          </w:p>
        </w:tc>
      </w:tr>
    </w:tbl>
    <w:p w:rsidR="00000000" w:rsidRDefault="00000000">
      <w:pPr>
        <w:spacing w:before="240" w:after="320"/>
        <w:ind w:left="510"/>
        <w:rPr>
          <w:rFonts w:eastAsia="KaiTi_GB2312" w:hint="eastAsia"/>
        </w:rPr>
      </w:pPr>
      <w:r>
        <w:rPr>
          <w:rFonts w:eastAsia="KaiTi_GB2312" w:hint="eastAsia"/>
          <w:u w:val="single"/>
        </w:rPr>
        <w:t>资料来源</w:t>
      </w:r>
      <w:r>
        <w:rPr>
          <w:rFonts w:eastAsia="KaiTi_GB2312" w:hint="eastAsia"/>
        </w:rPr>
        <w:t>：澳门基金会，</w:t>
      </w:r>
      <w:r>
        <w:rPr>
          <w:rFonts w:eastAsia="KaiTi_GB2312" w:hint="eastAsia"/>
        </w:rPr>
        <w:t>2002</w:t>
      </w:r>
      <w:r>
        <w:rPr>
          <w:rFonts w:eastAsia="KaiTi_GB2312" w:hint="eastAsia"/>
        </w:rPr>
        <w:t>年。</w:t>
      </w:r>
    </w:p>
    <w:p w:rsidR="00000000" w:rsidRDefault="00000000">
      <w:pPr>
        <w:pStyle w:val="Heading3"/>
        <w:rPr>
          <w:rFonts w:hint="eastAsia"/>
          <w:u w:val="none"/>
        </w:rPr>
      </w:pPr>
      <w:bookmarkStart w:id="113" w:name="_Toc78773022"/>
      <w:r>
        <w:rPr>
          <w:rFonts w:hint="eastAsia"/>
          <w:u w:val="none"/>
        </w:rPr>
        <w:t xml:space="preserve">C.  </w:t>
      </w:r>
      <w:r>
        <w:rPr>
          <w:rFonts w:hint="eastAsia"/>
        </w:rPr>
        <w:t>对文化和科学的保存与传播</w:t>
      </w:r>
      <w:bookmarkEnd w:id="113"/>
    </w:p>
    <w:p w:rsidR="00000000" w:rsidRDefault="00000000">
      <w:pPr>
        <w:rPr>
          <w:rFonts w:hint="eastAsia"/>
        </w:rPr>
      </w:pPr>
      <w:r>
        <w:rPr>
          <w:rFonts w:hint="eastAsia"/>
        </w:rPr>
        <w:tab/>
        <w:t xml:space="preserve">1185.  </w:t>
      </w:r>
      <w:r>
        <w:rPr>
          <w:rFonts w:hint="eastAsia"/>
        </w:rPr>
        <w:t>澳门特别行政区政府致力按照《基本法》第一百二十五条第三款的规定，“保护名胜、古迹和其他历史文物，并保护文物所有者的合法权益”。</w:t>
      </w:r>
    </w:p>
    <w:p w:rsidR="00000000" w:rsidRDefault="00000000">
      <w:pPr>
        <w:rPr>
          <w:rFonts w:hint="eastAsia"/>
        </w:rPr>
      </w:pPr>
      <w:r>
        <w:rPr>
          <w:rFonts w:hint="eastAsia"/>
        </w:rPr>
        <w:tab/>
        <w:t xml:space="preserve">1186.  </w:t>
      </w:r>
      <w:r>
        <w:rPr>
          <w:rFonts w:hint="eastAsia"/>
        </w:rPr>
        <w:t>澳门的文物和历史建筑，亦透过普通法律而受到保护，例如</w:t>
      </w:r>
      <w:r>
        <w:rPr>
          <w:rFonts w:hint="eastAsia"/>
        </w:rPr>
        <w:t>6</w:t>
      </w:r>
      <w:r>
        <w:rPr>
          <w:rFonts w:hint="eastAsia"/>
        </w:rPr>
        <w:t>月</w:t>
      </w:r>
      <w:r>
        <w:rPr>
          <w:rFonts w:hint="eastAsia"/>
        </w:rPr>
        <w:t>30</w:t>
      </w:r>
      <w:r>
        <w:rPr>
          <w:rFonts w:hint="eastAsia"/>
        </w:rPr>
        <w:t>日第</w:t>
      </w:r>
      <w:r>
        <w:rPr>
          <w:rFonts w:hint="eastAsia"/>
        </w:rPr>
        <w:t>56/84/M</w:t>
      </w:r>
      <w:r>
        <w:rPr>
          <w:rFonts w:hint="eastAsia"/>
        </w:rPr>
        <w:t>号法令。</w:t>
      </w:r>
    </w:p>
    <w:p w:rsidR="00000000" w:rsidRDefault="00000000">
      <w:pPr>
        <w:rPr>
          <w:rFonts w:hint="eastAsia"/>
        </w:rPr>
      </w:pPr>
      <w:r>
        <w:rPr>
          <w:rFonts w:hint="eastAsia"/>
        </w:rPr>
        <w:tab/>
        <w:t xml:space="preserve">1187.  </w:t>
      </w:r>
      <w:r>
        <w:rPr>
          <w:rFonts w:hint="eastAsia"/>
        </w:rPr>
        <w:t>为数共</w:t>
      </w:r>
      <w:r>
        <w:rPr>
          <w:rFonts w:hint="eastAsia"/>
        </w:rPr>
        <w:t>128</w:t>
      </w:r>
      <w:r>
        <w:rPr>
          <w:rFonts w:hint="eastAsia"/>
        </w:rPr>
        <w:t>项的遗迹、历史建筑和景点被列为文物，从而按照</w:t>
      </w:r>
      <w:r>
        <w:rPr>
          <w:rFonts w:hint="eastAsia"/>
        </w:rPr>
        <w:t>12</w:t>
      </w:r>
      <w:r>
        <w:rPr>
          <w:rFonts w:hint="eastAsia"/>
        </w:rPr>
        <w:t>月</w:t>
      </w:r>
      <w:r>
        <w:rPr>
          <w:rFonts w:hint="eastAsia"/>
        </w:rPr>
        <w:t>28</w:t>
      </w:r>
      <w:r>
        <w:rPr>
          <w:rFonts w:hint="eastAsia"/>
        </w:rPr>
        <w:t>日第</w:t>
      </w:r>
      <w:r>
        <w:rPr>
          <w:rFonts w:hint="eastAsia"/>
        </w:rPr>
        <w:t>83/92/M</w:t>
      </w:r>
      <w:r>
        <w:rPr>
          <w:rFonts w:hint="eastAsia"/>
        </w:rPr>
        <w:t>号法令的规定，成为受特别保护的地点。</w:t>
      </w:r>
    </w:p>
    <w:p w:rsidR="00000000" w:rsidRDefault="00000000">
      <w:pPr>
        <w:rPr>
          <w:rFonts w:hint="eastAsia"/>
        </w:rPr>
      </w:pPr>
      <w:r>
        <w:rPr>
          <w:rFonts w:hint="eastAsia"/>
        </w:rPr>
        <w:tab/>
        <w:t xml:space="preserve">1188.  </w:t>
      </w:r>
      <w:r>
        <w:rPr>
          <w:rFonts w:hint="eastAsia"/>
        </w:rPr>
        <w:t>文化局透过文化财产厅致力保存不同族群的文化财产，以及对澳门的文化财产，包括属建筑物和属工艺的文化财产进行分类、修复、翻新和维护等工作。</w:t>
      </w:r>
    </w:p>
    <w:p w:rsidR="00000000" w:rsidRDefault="00000000">
      <w:pPr>
        <w:rPr>
          <w:rFonts w:hint="eastAsia"/>
        </w:rPr>
      </w:pPr>
      <w:r>
        <w:rPr>
          <w:rFonts w:hint="eastAsia"/>
        </w:rPr>
        <w:tab/>
        <w:t xml:space="preserve">1189.  </w:t>
      </w:r>
      <w:r>
        <w:rPr>
          <w:rFonts w:hint="eastAsia"/>
        </w:rPr>
        <w:t>近二十年来，保存文物的工作一直受到重视。澳门特别行政区政府为取得文物保存与社会和经济发展之间的持续平衡，制定了指引方针。</w:t>
      </w:r>
    </w:p>
    <w:p w:rsidR="00000000" w:rsidRDefault="00000000">
      <w:pPr>
        <w:rPr>
          <w:rFonts w:hint="eastAsia"/>
        </w:rPr>
      </w:pPr>
      <w:r>
        <w:rPr>
          <w:rFonts w:hint="eastAsia"/>
        </w:rPr>
        <w:tab/>
        <w:t xml:space="preserve">1190.  </w:t>
      </w:r>
      <w:r>
        <w:rPr>
          <w:rFonts w:hint="eastAsia"/>
        </w:rPr>
        <w:t>此外，亦采取了各项重要措施，例如订定有效的监管制度、对景点或被列为文化财产或受保护城区的组成部分的地点作出分类和保护、对具考古价值的遗迹和艺术遗迹进行修复和维护、对具考古价值的文化财产作出宣传和研究等。</w:t>
      </w:r>
    </w:p>
    <w:p w:rsidR="00000000" w:rsidRDefault="00000000">
      <w:pPr>
        <w:spacing w:after="320"/>
        <w:rPr>
          <w:rFonts w:hint="eastAsia"/>
        </w:rPr>
      </w:pPr>
      <w:r>
        <w:rPr>
          <w:rFonts w:hint="eastAsia"/>
        </w:rPr>
        <w:tab/>
        <w:t>1191.  2001</w:t>
      </w:r>
      <w:r>
        <w:rPr>
          <w:rFonts w:hint="eastAsia"/>
        </w:rPr>
        <w:t>年，为了向其他国家推广澳门和澳门的文化遗产，文化局培训了</w:t>
      </w:r>
      <w:r>
        <w:rPr>
          <w:rFonts w:hint="eastAsia"/>
        </w:rPr>
        <w:t>58</w:t>
      </w:r>
      <w:r>
        <w:rPr>
          <w:rFonts w:hint="eastAsia"/>
        </w:rPr>
        <w:t>名年青人担任“青年文化大使”。</w:t>
      </w:r>
    </w:p>
    <w:p w:rsidR="00000000" w:rsidRDefault="00000000">
      <w:pPr>
        <w:pStyle w:val="Heading3"/>
        <w:rPr>
          <w:rFonts w:hint="eastAsia"/>
          <w:u w:val="none"/>
        </w:rPr>
      </w:pPr>
      <w:bookmarkStart w:id="114" w:name="_Toc78773023"/>
      <w:r>
        <w:rPr>
          <w:rFonts w:hint="eastAsia"/>
          <w:u w:val="none"/>
        </w:rPr>
        <w:t xml:space="preserve">D.  </w:t>
      </w:r>
      <w:r>
        <w:rPr>
          <w:rFonts w:hint="eastAsia"/>
        </w:rPr>
        <w:t>享受科学进步所产生的利益的权利</w:t>
      </w:r>
      <w:bookmarkEnd w:id="114"/>
    </w:p>
    <w:p w:rsidR="00000000" w:rsidRDefault="00000000">
      <w:pPr>
        <w:rPr>
          <w:rFonts w:hint="eastAsia"/>
        </w:rPr>
      </w:pPr>
      <w:r>
        <w:rPr>
          <w:rFonts w:hint="eastAsia"/>
        </w:rPr>
        <w:tab/>
        <w:t xml:space="preserve">1192.  </w:t>
      </w:r>
      <w:r>
        <w:rPr>
          <w:rFonts w:hint="eastAsia"/>
        </w:rPr>
        <w:t>《基本法》第三十七条确立了自由从事科学和技术研究活动的权利。</w:t>
      </w:r>
      <w:r>
        <w:rPr>
          <w:rFonts w:hint="eastAsia"/>
        </w:rPr>
        <w:t>7</w:t>
      </w:r>
      <w:r>
        <w:rPr>
          <w:rFonts w:hint="eastAsia"/>
        </w:rPr>
        <w:t>月</w:t>
      </w:r>
      <w:r>
        <w:rPr>
          <w:rFonts w:hint="eastAsia"/>
        </w:rPr>
        <w:t>17</w:t>
      </w:r>
      <w:r>
        <w:rPr>
          <w:rFonts w:hint="eastAsia"/>
        </w:rPr>
        <w:t>日第</w:t>
      </w:r>
      <w:r>
        <w:rPr>
          <w:rFonts w:hint="eastAsia"/>
        </w:rPr>
        <w:t>9/2000</w:t>
      </w:r>
      <w:r>
        <w:rPr>
          <w:rFonts w:hint="eastAsia"/>
        </w:rPr>
        <w:t>号法律，即《科学技术纲要法》第二条亦重申了此一权利。</w:t>
      </w:r>
    </w:p>
    <w:p w:rsidR="00000000" w:rsidRDefault="00000000">
      <w:pPr>
        <w:rPr>
          <w:rFonts w:hint="eastAsia"/>
        </w:rPr>
      </w:pPr>
      <w:r>
        <w:rPr>
          <w:rFonts w:hint="eastAsia"/>
        </w:rPr>
        <w:tab/>
        <w:t xml:space="preserve">1193.  </w:t>
      </w:r>
      <w:r>
        <w:rPr>
          <w:rFonts w:hint="eastAsia"/>
        </w:rPr>
        <w:t>此外，按照《基本法》第一百二十四条的规定，澳门特别行政区政府获赋予自行制定科学技术政策，依法保护科学技术的研究成果、专利和发明创造的权利。</w:t>
      </w:r>
    </w:p>
    <w:p w:rsidR="00000000" w:rsidRDefault="00000000">
      <w:pPr>
        <w:rPr>
          <w:rFonts w:hint="eastAsia"/>
        </w:rPr>
      </w:pPr>
      <w:r>
        <w:rPr>
          <w:rFonts w:hint="eastAsia"/>
        </w:rPr>
        <w:tab/>
        <w:t xml:space="preserve">1194.  </w:t>
      </w:r>
      <w:r>
        <w:rPr>
          <w:rFonts w:hint="eastAsia"/>
        </w:rPr>
        <w:t>澳门特别行政区政府定立了适用于澳门的科学技术标准和规格。有关政策的目标在于开拓和发展科学技术知识、利用本地资源、增加生产力和竞争力、推动社会经济发展和资讯技术与电脑网络的应用、促进保护知识产权和环境、推动科学技术研究等</w:t>
      </w:r>
      <w:r>
        <w:rPr>
          <w:rFonts w:hint="eastAsia"/>
        </w:rPr>
        <w:t>(</w:t>
      </w:r>
      <w:r>
        <w:rPr>
          <w:rFonts w:hint="eastAsia"/>
        </w:rPr>
        <w:t>第</w:t>
      </w:r>
      <w:r>
        <w:rPr>
          <w:rFonts w:hint="eastAsia"/>
        </w:rPr>
        <w:t>9/2000</w:t>
      </w:r>
      <w:r>
        <w:rPr>
          <w:rFonts w:hint="eastAsia"/>
        </w:rPr>
        <w:t>号法律第三条</w:t>
      </w:r>
      <w:r>
        <w:rPr>
          <w:rFonts w:hint="eastAsia"/>
        </w:rPr>
        <w:t>)</w:t>
      </w:r>
      <w:r>
        <w:rPr>
          <w:rFonts w:hint="eastAsia"/>
        </w:rPr>
        <w:t>。</w:t>
      </w:r>
    </w:p>
    <w:p w:rsidR="00000000" w:rsidRDefault="00000000">
      <w:pPr>
        <w:rPr>
          <w:rFonts w:hint="eastAsia"/>
        </w:rPr>
      </w:pPr>
      <w:r>
        <w:rPr>
          <w:rFonts w:hint="eastAsia"/>
        </w:rPr>
        <w:tab/>
        <w:t xml:space="preserve">1195.  </w:t>
      </w:r>
      <w:r>
        <w:rPr>
          <w:rFonts w:hint="eastAsia"/>
        </w:rPr>
        <w:t>上述目标已透过采取各项不同措施而得以实现，例如对设立旨在研究和发展科学技术机构的计划给予特别鼓励、对合资格的人员作出调配、对私人实体进行的专科培训工作提供协助、将科学技术教育纳入教学内容，以及设立科学技术发展基金等</w:t>
      </w:r>
      <w:r>
        <w:rPr>
          <w:rFonts w:hint="eastAsia"/>
        </w:rPr>
        <w:t>(</w:t>
      </w:r>
      <w:r>
        <w:rPr>
          <w:rFonts w:hint="eastAsia"/>
        </w:rPr>
        <w:t>第</w:t>
      </w:r>
      <w:r>
        <w:rPr>
          <w:rFonts w:hint="eastAsia"/>
        </w:rPr>
        <w:t>9/2000</w:t>
      </w:r>
      <w:r>
        <w:rPr>
          <w:rFonts w:hint="eastAsia"/>
        </w:rPr>
        <w:t>号法律</w:t>
      </w:r>
      <w:r>
        <w:rPr>
          <w:rFonts w:hint="eastAsia"/>
        </w:rPr>
        <w:t>)</w:t>
      </w:r>
      <w:r>
        <w:rPr>
          <w:rFonts w:hint="eastAsia"/>
        </w:rPr>
        <w:t>。</w:t>
      </w:r>
    </w:p>
    <w:p w:rsidR="00000000" w:rsidRDefault="00000000">
      <w:pPr>
        <w:rPr>
          <w:rFonts w:hint="eastAsia"/>
        </w:rPr>
      </w:pPr>
      <w:r>
        <w:rPr>
          <w:rFonts w:hint="eastAsia"/>
        </w:rPr>
        <w:tab/>
        <w:t xml:space="preserve">1196.  </w:t>
      </w:r>
      <w:r>
        <w:rPr>
          <w:rFonts w:hint="eastAsia"/>
        </w:rPr>
        <w:t>澳门特别行政区政府亦透过将优先领域作出定位、协助技术转移和发展、提供合资格人员，以及对各项计划提供资助等措施，鼓励发展高科技和高增值行业。</w:t>
      </w:r>
    </w:p>
    <w:p w:rsidR="00000000" w:rsidRDefault="00000000">
      <w:pPr>
        <w:rPr>
          <w:rFonts w:hint="eastAsia"/>
        </w:rPr>
      </w:pPr>
      <w:r>
        <w:rPr>
          <w:rFonts w:hint="eastAsia"/>
        </w:rPr>
        <w:tab/>
        <w:t>1197.  2000</w:t>
      </w:r>
      <w:r>
        <w:rPr>
          <w:rFonts w:hint="eastAsia"/>
        </w:rPr>
        <w:t>年</w:t>
      </w:r>
      <w:r>
        <w:rPr>
          <w:rFonts w:hint="eastAsia"/>
        </w:rPr>
        <w:t>3</w:t>
      </w:r>
      <w:r>
        <w:rPr>
          <w:rFonts w:hint="eastAsia"/>
        </w:rPr>
        <w:t>月设立了澳门科技大学。该所私立大学特别专注于本地人才的培训和科学技术的研究和发展</w:t>
      </w:r>
      <w:r>
        <w:rPr>
          <w:rFonts w:hint="eastAsia"/>
        </w:rPr>
        <w:t>(3</w:t>
      </w:r>
      <w:r>
        <w:rPr>
          <w:rFonts w:hint="eastAsia"/>
        </w:rPr>
        <w:t>月</w:t>
      </w:r>
      <w:r>
        <w:rPr>
          <w:rFonts w:hint="eastAsia"/>
        </w:rPr>
        <w:t>27</w:t>
      </w:r>
      <w:r>
        <w:rPr>
          <w:rFonts w:hint="eastAsia"/>
        </w:rPr>
        <w:t>日第</w:t>
      </w:r>
      <w:r>
        <w:rPr>
          <w:rFonts w:hint="eastAsia"/>
        </w:rPr>
        <w:t>20/2000</w:t>
      </w:r>
      <w:r>
        <w:rPr>
          <w:rFonts w:hint="eastAsia"/>
        </w:rPr>
        <w:t>号行政命令</w:t>
      </w:r>
      <w:r>
        <w:rPr>
          <w:rFonts w:hint="eastAsia"/>
        </w:rPr>
        <w:t>)</w:t>
      </w:r>
      <w:r>
        <w:rPr>
          <w:rFonts w:hint="eastAsia"/>
        </w:rPr>
        <w:t>。</w:t>
      </w:r>
    </w:p>
    <w:p w:rsidR="00000000" w:rsidRDefault="00000000">
      <w:pPr>
        <w:rPr>
          <w:rFonts w:hint="eastAsia"/>
        </w:rPr>
      </w:pPr>
      <w:r>
        <w:rPr>
          <w:rFonts w:hint="eastAsia"/>
        </w:rPr>
        <w:tab/>
        <w:t>1198.  2001</w:t>
      </w:r>
      <w:r>
        <w:rPr>
          <w:rFonts w:hint="eastAsia"/>
        </w:rPr>
        <w:t>年，按照</w:t>
      </w:r>
      <w:r>
        <w:rPr>
          <w:rFonts w:hint="eastAsia"/>
        </w:rPr>
        <w:t>8</w:t>
      </w:r>
      <w:r>
        <w:rPr>
          <w:rFonts w:hint="eastAsia"/>
        </w:rPr>
        <w:t>月</w:t>
      </w:r>
      <w:r>
        <w:rPr>
          <w:rFonts w:hint="eastAsia"/>
        </w:rPr>
        <w:t>27</w:t>
      </w:r>
      <w:r>
        <w:rPr>
          <w:rFonts w:hint="eastAsia"/>
        </w:rPr>
        <w:t>日第</w:t>
      </w:r>
      <w:r>
        <w:rPr>
          <w:rFonts w:hint="eastAsia"/>
        </w:rPr>
        <w:t>16/2001</w:t>
      </w:r>
      <w:r>
        <w:rPr>
          <w:rFonts w:hint="eastAsia"/>
        </w:rPr>
        <w:t>号行政法规的规定设立了科技委员会，该委员会的宗旨为协助澳门特别行政区政府制定本地科学技术现代化和发展政策。</w:t>
      </w:r>
    </w:p>
    <w:p w:rsidR="00000000" w:rsidRDefault="00000000">
      <w:pPr>
        <w:rPr>
          <w:rFonts w:hint="eastAsia"/>
        </w:rPr>
      </w:pPr>
      <w:r>
        <w:rPr>
          <w:rFonts w:hint="eastAsia"/>
        </w:rPr>
        <w:tab/>
        <w:t xml:space="preserve">1199.  </w:t>
      </w:r>
      <w:r>
        <w:rPr>
          <w:rFonts w:hint="eastAsia"/>
        </w:rPr>
        <w:t>澳门生产力暨科技转移中心鼓励企业采用现代技术和讯息社会的有效措施、新概念和新标准，以及运用有关资源，从而令产品和服务增值，达致提高生产力和竞争力的效果。</w:t>
      </w:r>
    </w:p>
    <w:p w:rsidR="00000000" w:rsidRDefault="00000000">
      <w:pPr>
        <w:rPr>
          <w:rFonts w:hint="eastAsia"/>
        </w:rPr>
      </w:pPr>
      <w:r>
        <w:rPr>
          <w:rFonts w:hint="eastAsia"/>
        </w:rPr>
        <w:tab/>
        <w:t xml:space="preserve">1200.  </w:t>
      </w:r>
      <w:r>
        <w:rPr>
          <w:rFonts w:hint="eastAsia"/>
        </w:rPr>
        <w:t>在基础教育的教学内容中，设有“科学”此一科目以教授科学技术知识。</w:t>
      </w:r>
    </w:p>
    <w:p w:rsidR="00000000" w:rsidRDefault="00000000">
      <w:pPr>
        <w:rPr>
          <w:rFonts w:hint="eastAsia"/>
        </w:rPr>
      </w:pPr>
      <w:r>
        <w:rPr>
          <w:rFonts w:hint="eastAsia"/>
        </w:rPr>
        <w:tab/>
        <w:t xml:space="preserve">1201.  </w:t>
      </w:r>
      <w:r>
        <w:rPr>
          <w:rFonts w:hint="eastAsia"/>
        </w:rPr>
        <w:t>教育暨青年局致力在学校唤起学生关注科学和技术发展的意识，鼓励师生参与例如“资技科技周”、科技周年博览会等课外活动。</w:t>
      </w:r>
    </w:p>
    <w:p w:rsidR="00000000" w:rsidRDefault="00000000">
      <w:pPr>
        <w:rPr>
          <w:rFonts w:hint="eastAsia"/>
        </w:rPr>
      </w:pPr>
      <w:r>
        <w:rPr>
          <w:rFonts w:hint="eastAsia"/>
        </w:rPr>
        <w:tab/>
        <w:t xml:space="preserve">1202.  </w:t>
      </w:r>
      <w:r>
        <w:rPr>
          <w:rFonts w:hint="eastAsia"/>
        </w:rPr>
        <w:t>此外，自</w:t>
      </w:r>
      <w:r>
        <w:rPr>
          <w:rFonts w:hint="eastAsia"/>
        </w:rPr>
        <w:t>2001</w:t>
      </w:r>
      <w:r>
        <w:rPr>
          <w:rFonts w:hint="eastAsia"/>
        </w:rPr>
        <w:t>年起，澳门特别行政区政府拨出一项为数澳门币</w:t>
      </w:r>
      <w:r>
        <w:rPr>
          <w:rFonts w:hint="eastAsia"/>
        </w:rPr>
        <w:t>26,723,192</w:t>
      </w:r>
      <w:r>
        <w:rPr>
          <w:rFonts w:hint="eastAsia"/>
        </w:rPr>
        <w:t>元的特别基金，供学校进行资讯和通信新技术的教学之用。</w:t>
      </w:r>
    </w:p>
    <w:p w:rsidR="00000000" w:rsidRDefault="00000000">
      <w:pPr>
        <w:rPr>
          <w:rFonts w:hint="eastAsia"/>
        </w:rPr>
      </w:pPr>
      <w:r>
        <w:rPr>
          <w:rFonts w:hint="eastAsia"/>
        </w:rPr>
        <w:tab/>
        <w:t xml:space="preserve">1203.  </w:t>
      </w:r>
      <w:r>
        <w:rPr>
          <w:rFonts w:hint="eastAsia"/>
        </w:rPr>
        <w:t>教育暨青年局亦致力促进科学、文学和艺术活动，以及透过组织青少年活动，例如“青少年公民教育比赛”等，推广保护知识产权和安排参加国内和国际科学交流计划和联系。</w:t>
      </w:r>
    </w:p>
    <w:p w:rsidR="00000000" w:rsidRDefault="00000000">
      <w:pPr>
        <w:rPr>
          <w:rFonts w:hint="eastAsia"/>
        </w:rPr>
      </w:pPr>
      <w:r>
        <w:rPr>
          <w:rFonts w:hint="eastAsia"/>
        </w:rPr>
        <w:tab/>
        <w:t xml:space="preserve">1204.  </w:t>
      </w:r>
      <w:r>
        <w:rPr>
          <w:rFonts w:hint="eastAsia"/>
        </w:rPr>
        <w:t>现简略介绍高等教育方面的情况。澳门大学办有一项科技课程，</w:t>
      </w:r>
      <w:r>
        <w:rPr>
          <w:rFonts w:hint="eastAsia"/>
        </w:rPr>
        <w:t xml:space="preserve"> </w:t>
      </w:r>
      <w:r>
        <w:rPr>
          <w:rFonts w:hint="eastAsia"/>
        </w:rPr>
        <w:t>而澳门科技大学则提供一项资讯科技课程和一项中医药课程。两所大学均提供研究生学习。澳门理工学院设有多所高等学校，高等卫生学校是其中之一。除澳门理工学院的高等卫生学校外，澳门尚有镜湖护理学院。</w:t>
      </w:r>
    </w:p>
    <w:p w:rsidR="00000000" w:rsidRDefault="00000000">
      <w:pPr>
        <w:rPr>
          <w:rFonts w:hint="eastAsia"/>
        </w:rPr>
      </w:pPr>
      <w:r>
        <w:rPr>
          <w:rFonts w:hint="eastAsia"/>
        </w:rPr>
        <w:tab/>
        <w:t xml:space="preserve">1205.  </w:t>
      </w:r>
      <w:r>
        <w:rPr>
          <w:rFonts w:hint="eastAsia"/>
        </w:rPr>
        <w:t>主动协助青少年求取知识和增加他们的科学常识，是澳门特别行政区政府的政策。教育暨青年局按照此一政策开展了多项促进科学进步的措施，尤其是资助青少年团体安装电脑的措施。透过这些措施，教育暨青年局确保青少年能在资讯技术中心使用电脑和浏览互联网。</w:t>
      </w:r>
    </w:p>
    <w:p w:rsidR="00000000" w:rsidRDefault="00000000">
      <w:pPr>
        <w:rPr>
          <w:rFonts w:hint="eastAsia"/>
        </w:rPr>
      </w:pPr>
      <w:r>
        <w:rPr>
          <w:rFonts w:hint="eastAsia"/>
        </w:rPr>
        <w:tab/>
        <w:t xml:space="preserve">1206.  </w:t>
      </w:r>
      <w:r>
        <w:rPr>
          <w:rFonts w:hint="eastAsia"/>
        </w:rPr>
        <w:t>于</w:t>
      </w:r>
      <w:r>
        <w:rPr>
          <w:rFonts w:hint="eastAsia"/>
        </w:rPr>
        <w:t>2002</w:t>
      </w:r>
      <w:r>
        <w:rPr>
          <w:rFonts w:hint="eastAsia"/>
        </w:rPr>
        <w:t>年</w:t>
      </w:r>
      <w:r>
        <w:rPr>
          <w:rFonts w:hint="eastAsia"/>
        </w:rPr>
        <w:t>11</w:t>
      </w:r>
      <w:r>
        <w:rPr>
          <w:rFonts w:hint="eastAsia"/>
        </w:rPr>
        <w:t>月</w:t>
      </w:r>
      <w:r>
        <w:rPr>
          <w:rFonts w:hint="eastAsia"/>
        </w:rPr>
        <w:t>6</w:t>
      </w:r>
      <w:r>
        <w:rPr>
          <w:rFonts w:hint="eastAsia"/>
        </w:rPr>
        <w:t>至</w:t>
      </w:r>
      <w:r>
        <w:rPr>
          <w:rFonts w:hint="eastAsia"/>
        </w:rPr>
        <w:t>11</w:t>
      </w:r>
      <w:r>
        <w:rPr>
          <w:rFonts w:hint="eastAsia"/>
        </w:rPr>
        <w:t>日，澳门举办了“第四届全国计算机与网络物理教学成果大奖赛暨新世纪物理教育改革论坛”。此外，亦举办了多个工作坊和展览，例如“互联网多面睇系列工作坊”等。</w:t>
      </w:r>
    </w:p>
    <w:p w:rsidR="00000000" w:rsidRDefault="00000000">
      <w:pPr>
        <w:rPr>
          <w:rFonts w:hint="eastAsia"/>
        </w:rPr>
      </w:pPr>
      <w:r>
        <w:rPr>
          <w:rFonts w:hint="eastAsia"/>
        </w:rPr>
        <w:tab/>
        <w:t xml:space="preserve">1207. </w:t>
      </w:r>
      <w:r>
        <w:rPr>
          <w:rFonts w:hint="eastAsia"/>
        </w:rPr>
        <w:t>研究论文和刊物亦是推广和宣传科技知识的重要一环。澳门特别行政区有多个政府实体和民间机构进行科技研究工作。</w:t>
      </w:r>
    </w:p>
    <w:p w:rsidR="00000000" w:rsidRDefault="00000000">
      <w:pPr>
        <w:spacing w:after="320"/>
        <w:rPr>
          <w:rFonts w:hint="eastAsia"/>
        </w:rPr>
      </w:pPr>
      <w:r>
        <w:rPr>
          <w:rFonts w:hint="eastAsia"/>
        </w:rPr>
        <w:tab/>
        <w:t xml:space="preserve">1208.  </w:t>
      </w:r>
      <w:r>
        <w:rPr>
          <w:rFonts w:hint="eastAsia"/>
        </w:rPr>
        <w:t>例如，澳门大学在</w:t>
      </w:r>
      <w:r>
        <w:rPr>
          <w:rFonts w:hint="eastAsia"/>
        </w:rPr>
        <w:t>2001-2002</w:t>
      </w:r>
      <w:r>
        <w:rPr>
          <w:rFonts w:hint="eastAsia"/>
        </w:rPr>
        <w:t>年共资助了</w:t>
      </w:r>
      <w:r>
        <w:rPr>
          <w:rFonts w:hint="eastAsia"/>
        </w:rPr>
        <w:t>74</w:t>
      </w:r>
      <w:r>
        <w:rPr>
          <w:rFonts w:hint="eastAsia"/>
        </w:rPr>
        <w:t>个研究项目，研究结果中有</w:t>
      </w:r>
      <w:r>
        <w:rPr>
          <w:rFonts w:hint="eastAsia"/>
        </w:rPr>
        <w:t>60</w:t>
      </w:r>
      <w:r>
        <w:rPr>
          <w:rFonts w:hint="eastAsia"/>
        </w:rPr>
        <w:t>篇论文在国际杂志上刊载，以及在各国际研究会中作出了</w:t>
      </w:r>
      <w:r>
        <w:rPr>
          <w:rFonts w:hint="eastAsia"/>
        </w:rPr>
        <w:t>140</w:t>
      </w:r>
      <w:r>
        <w:rPr>
          <w:rFonts w:hint="eastAsia"/>
        </w:rPr>
        <w:t>个论文发表。</w:t>
      </w:r>
      <w:r>
        <w:rPr>
          <w:rFonts w:hint="eastAsia"/>
        </w:rPr>
        <w:t>2002</w:t>
      </w:r>
      <w:r>
        <w:rPr>
          <w:rFonts w:hint="eastAsia"/>
        </w:rPr>
        <w:t>年上半年，澳门大学资助了</w:t>
      </w:r>
      <w:r>
        <w:rPr>
          <w:rFonts w:hint="eastAsia"/>
        </w:rPr>
        <w:t>32</w:t>
      </w:r>
      <w:r>
        <w:rPr>
          <w:rFonts w:hint="eastAsia"/>
        </w:rPr>
        <w:t>个项目和赞助</w:t>
      </w:r>
      <w:r>
        <w:rPr>
          <w:rFonts w:hint="eastAsia"/>
        </w:rPr>
        <w:t>39</w:t>
      </w:r>
      <w:r>
        <w:rPr>
          <w:rFonts w:hint="eastAsia"/>
        </w:rPr>
        <w:t>人次出席国际研究会。该大学亦与华盛顿大学、欧洲和国内的大学合作开展项目，已完成了</w:t>
      </w:r>
      <w:r>
        <w:rPr>
          <w:rFonts w:hint="eastAsia"/>
        </w:rPr>
        <w:t>4</w:t>
      </w:r>
      <w:r>
        <w:rPr>
          <w:rFonts w:hint="eastAsia"/>
        </w:rPr>
        <w:t>个“尤里卡”项目。</w:t>
      </w:r>
    </w:p>
    <w:p w:rsidR="00000000" w:rsidRDefault="00000000">
      <w:pPr>
        <w:pStyle w:val="Heading3"/>
        <w:rPr>
          <w:rFonts w:hint="eastAsia"/>
          <w:u w:val="none"/>
        </w:rPr>
      </w:pPr>
      <w:bookmarkStart w:id="115" w:name="_Toc78773024"/>
      <w:r>
        <w:rPr>
          <w:rFonts w:hint="eastAsia"/>
          <w:u w:val="none"/>
        </w:rPr>
        <w:t xml:space="preserve">E.  </w:t>
      </w:r>
      <w:r>
        <w:rPr>
          <w:rFonts w:hint="eastAsia"/>
        </w:rPr>
        <w:t>知识产权</w:t>
      </w:r>
      <w:bookmarkEnd w:id="115"/>
    </w:p>
    <w:p w:rsidR="00000000" w:rsidRDefault="00000000">
      <w:pPr>
        <w:rPr>
          <w:rFonts w:hint="eastAsia"/>
        </w:rPr>
      </w:pPr>
      <w:r>
        <w:rPr>
          <w:rFonts w:hint="eastAsia"/>
        </w:rPr>
        <w:tab/>
        <w:t xml:space="preserve">1209.  </w:t>
      </w:r>
      <w:r>
        <w:rPr>
          <w:rFonts w:hint="eastAsia"/>
        </w:rPr>
        <w:t>《基本法》第一百二十五条第二款确立了科学、文学或艺术的创作成果和合法权益受到保护的权利。</w:t>
      </w:r>
    </w:p>
    <w:p w:rsidR="00000000" w:rsidRDefault="00000000">
      <w:pPr>
        <w:rPr>
          <w:rFonts w:hint="eastAsia"/>
        </w:rPr>
      </w:pPr>
      <w:r>
        <w:rPr>
          <w:rFonts w:hint="eastAsia"/>
        </w:rPr>
        <w:tab/>
        <w:t xml:space="preserve">1210.  </w:t>
      </w:r>
      <w:r>
        <w:rPr>
          <w:rFonts w:hint="eastAsia"/>
        </w:rPr>
        <w:t>知识产权在澳门特别行政区的法制中得到全面保护。事实上，作为世界贸易组织的全权创始成员，以及为全面执行《与贸易有关的知识产权协定</w:t>
      </w:r>
      <w:r>
        <w:rPr>
          <w:rFonts w:hint="eastAsia"/>
        </w:rPr>
        <w:t>(TRIPS)</w:t>
      </w:r>
      <w:r>
        <w:rPr>
          <w:rFonts w:hint="eastAsia"/>
        </w:rPr>
        <w:t>》的规定，澳门各项重要法例均按照现代国际标准拟就。</w:t>
      </w:r>
    </w:p>
    <w:p w:rsidR="00000000" w:rsidRDefault="00000000">
      <w:pPr>
        <w:rPr>
          <w:rFonts w:hint="eastAsia"/>
        </w:rPr>
      </w:pPr>
      <w:r>
        <w:rPr>
          <w:rFonts w:hint="eastAsia"/>
        </w:rPr>
        <w:tab/>
        <w:t xml:space="preserve">1211.  </w:t>
      </w:r>
      <w:r>
        <w:rPr>
          <w:rFonts w:hint="eastAsia"/>
        </w:rPr>
        <w:t>保护知识产权的法律框架由多个不同法规组成。</w:t>
      </w:r>
      <w:r>
        <w:rPr>
          <w:rFonts w:hint="eastAsia"/>
        </w:rPr>
        <w:t>8</w:t>
      </w:r>
      <w:r>
        <w:rPr>
          <w:rFonts w:hint="eastAsia"/>
        </w:rPr>
        <w:t>月</w:t>
      </w:r>
      <w:r>
        <w:rPr>
          <w:rFonts w:hint="eastAsia"/>
        </w:rPr>
        <w:t>16</w:t>
      </w:r>
      <w:r>
        <w:rPr>
          <w:rFonts w:hint="eastAsia"/>
        </w:rPr>
        <w:t>日第</w:t>
      </w:r>
      <w:r>
        <w:rPr>
          <w:rFonts w:hint="eastAsia"/>
        </w:rPr>
        <w:t>43/99/M</w:t>
      </w:r>
      <w:r>
        <w:rPr>
          <w:rFonts w:hint="eastAsia"/>
        </w:rPr>
        <w:t>号法令确立了著作权和相关权利，而《工业产权法律制度》则载于</w:t>
      </w:r>
      <w:r>
        <w:rPr>
          <w:rFonts w:hint="eastAsia"/>
        </w:rPr>
        <w:t>12</w:t>
      </w:r>
      <w:r>
        <w:rPr>
          <w:rFonts w:hint="eastAsia"/>
        </w:rPr>
        <w:t>月</w:t>
      </w:r>
      <w:r>
        <w:rPr>
          <w:rFonts w:hint="eastAsia"/>
        </w:rPr>
        <w:t>13</w:t>
      </w:r>
      <w:r>
        <w:rPr>
          <w:rFonts w:hint="eastAsia"/>
        </w:rPr>
        <w:t>日第</w:t>
      </w:r>
      <w:r>
        <w:rPr>
          <w:rFonts w:hint="eastAsia"/>
        </w:rPr>
        <w:t>97/99/M</w:t>
      </w:r>
      <w:r>
        <w:rPr>
          <w:rFonts w:hint="eastAsia"/>
        </w:rPr>
        <w:t>号法令，此外，关于不正当竞争和消费者权益的规定，载于澳门特别行政区《商法典》第一百五十六条至第一百七十三条。</w:t>
      </w:r>
    </w:p>
    <w:p w:rsidR="00000000" w:rsidRDefault="00000000">
      <w:pPr>
        <w:rPr>
          <w:rFonts w:hint="eastAsia"/>
        </w:rPr>
      </w:pPr>
      <w:r>
        <w:rPr>
          <w:rFonts w:hint="eastAsia"/>
        </w:rPr>
        <w:tab/>
        <w:t xml:space="preserve">1212.  </w:t>
      </w:r>
      <w:r>
        <w:rPr>
          <w:rFonts w:hint="eastAsia"/>
        </w:rPr>
        <w:t>对知识产权的有效保护，亦透过行政处罚和刑事制裁而得到加强，例如第</w:t>
      </w:r>
      <w:r>
        <w:rPr>
          <w:rFonts w:hint="eastAsia"/>
        </w:rPr>
        <w:t>43/99/M</w:t>
      </w:r>
      <w:r>
        <w:rPr>
          <w:rFonts w:hint="eastAsia"/>
        </w:rPr>
        <w:t>号法令</w:t>
      </w:r>
      <w:r>
        <w:rPr>
          <w:rFonts w:hint="eastAsia"/>
        </w:rPr>
        <w:t>(</w:t>
      </w:r>
      <w:r>
        <w:rPr>
          <w:rFonts w:hint="eastAsia"/>
        </w:rPr>
        <w:t>《著作权及相关权利制度》</w:t>
      </w:r>
      <w:r>
        <w:rPr>
          <w:rFonts w:hint="eastAsia"/>
        </w:rPr>
        <w:t>)</w:t>
      </w:r>
      <w:r>
        <w:rPr>
          <w:rFonts w:hint="eastAsia"/>
        </w:rPr>
        <w:t>第二百一十五条至第二百一十八条和第</w:t>
      </w:r>
      <w:r>
        <w:rPr>
          <w:rFonts w:hint="eastAsia"/>
        </w:rPr>
        <w:t>97/99/M</w:t>
      </w:r>
      <w:r>
        <w:rPr>
          <w:rFonts w:hint="eastAsia"/>
        </w:rPr>
        <w:t>号法令</w:t>
      </w:r>
      <w:r>
        <w:rPr>
          <w:rFonts w:hint="eastAsia"/>
        </w:rPr>
        <w:t>(</w:t>
      </w:r>
      <w:r>
        <w:rPr>
          <w:rFonts w:hint="eastAsia"/>
        </w:rPr>
        <w:t>《工业产权法律制度》</w:t>
      </w:r>
      <w:r>
        <w:rPr>
          <w:rFonts w:hint="eastAsia"/>
        </w:rPr>
        <w:t>)</w:t>
      </w:r>
      <w:r>
        <w:rPr>
          <w:rFonts w:hint="eastAsia"/>
        </w:rPr>
        <w:t>第二百九十九条至第三百零四条。</w:t>
      </w:r>
    </w:p>
    <w:p w:rsidR="00000000" w:rsidRDefault="00000000">
      <w:pPr>
        <w:rPr>
          <w:rFonts w:hint="eastAsia"/>
        </w:rPr>
      </w:pPr>
      <w:r>
        <w:rPr>
          <w:rFonts w:hint="eastAsia"/>
        </w:rPr>
        <w:tab/>
        <w:t xml:space="preserve">1213.  </w:t>
      </w:r>
      <w:r>
        <w:rPr>
          <w:rFonts w:hint="eastAsia"/>
        </w:rPr>
        <w:t>打击侵犯知识产权的工作，尤其是打击盗版和假冒的工作近年来有所加强。该等工作近年来由澳门特别行政区海关负责，并取得了良好成果。</w:t>
      </w:r>
    </w:p>
    <w:p w:rsidR="00000000" w:rsidRDefault="00000000">
      <w:pPr>
        <w:rPr>
          <w:rFonts w:hint="eastAsia"/>
        </w:rPr>
      </w:pPr>
    </w:p>
    <w:p w:rsidR="00000000" w:rsidRDefault="00000000">
      <w:pPr>
        <w:pStyle w:val="Heading3"/>
        <w:rPr>
          <w:rFonts w:hint="eastAsia"/>
          <w:u w:val="none"/>
        </w:rPr>
      </w:pPr>
      <w:bookmarkStart w:id="116" w:name="_Toc78773025"/>
      <w:r>
        <w:rPr>
          <w:rFonts w:hint="eastAsia"/>
          <w:u w:val="none"/>
        </w:rPr>
        <w:t xml:space="preserve">F.  </w:t>
      </w:r>
      <w:r>
        <w:rPr>
          <w:rFonts w:hint="eastAsia"/>
        </w:rPr>
        <w:t>促进与国际联系和合作的措施</w:t>
      </w:r>
      <w:bookmarkEnd w:id="116"/>
    </w:p>
    <w:p w:rsidR="00000000" w:rsidRDefault="00000000">
      <w:pPr>
        <w:rPr>
          <w:rFonts w:hint="eastAsia"/>
        </w:rPr>
      </w:pPr>
      <w:r>
        <w:rPr>
          <w:rFonts w:hint="eastAsia"/>
        </w:rPr>
        <w:tab/>
        <w:t>1214.  2002</w:t>
      </w:r>
      <w:r>
        <w:rPr>
          <w:rFonts w:hint="eastAsia"/>
        </w:rPr>
        <w:t>年</w:t>
      </w:r>
      <w:r>
        <w:rPr>
          <w:rFonts w:hint="eastAsia"/>
        </w:rPr>
        <w:t>2</w:t>
      </w:r>
      <w:r>
        <w:rPr>
          <w:rFonts w:hint="eastAsia"/>
        </w:rPr>
        <w:t>月，有关方面正式向联合国教科文组织提交世界文化遗产申报清单，范围包括由旧内港到中区旧城区的各项名胜古迹</w:t>
      </w:r>
      <w:r>
        <w:rPr>
          <w:rFonts w:hint="eastAsia"/>
        </w:rPr>
        <w:t>(12</w:t>
      </w:r>
      <w:r>
        <w:rPr>
          <w:rFonts w:hint="eastAsia"/>
        </w:rPr>
        <w:t>项</w:t>
      </w:r>
      <w:r>
        <w:rPr>
          <w:rFonts w:hint="eastAsia"/>
        </w:rPr>
        <w:t>)</w:t>
      </w:r>
      <w:r>
        <w:rPr>
          <w:rFonts w:hint="eastAsia"/>
        </w:rPr>
        <w:t>。目前，澳门的各项古迹被列于中国古迹申报清单中的前列，并等待联合国教科文组织作出评估。</w:t>
      </w:r>
    </w:p>
    <w:p w:rsidR="00000000" w:rsidRDefault="00000000">
      <w:pPr>
        <w:rPr>
          <w:rFonts w:hint="eastAsia"/>
        </w:rPr>
      </w:pPr>
      <w:r>
        <w:rPr>
          <w:rFonts w:hint="eastAsia"/>
        </w:rPr>
        <w:tab/>
        <w:t xml:space="preserve">1215.  </w:t>
      </w:r>
      <w:r>
        <w:rPr>
          <w:rFonts w:hint="eastAsia"/>
        </w:rPr>
        <w:t>澳门特别行政区加入了各个不同国际组织，例如国际旅游组织、国际大会及会议协会、亚太经济合作工作小组、国际图书馆协会联合会</w:t>
      </w:r>
      <w:r>
        <w:rPr>
          <w:rFonts w:hint="eastAsia"/>
        </w:rPr>
        <w:t>(IFLA)</w:t>
      </w:r>
      <w:r>
        <w:rPr>
          <w:rFonts w:hint="eastAsia"/>
        </w:rPr>
        <w:t>、国际博物馆协会等。</w:t>
      </w:r>
    </w:p>
    <w:p w:rsidR="00000000" w:rsidRDefault="00000000">
      <w:pPr>
        <w:rPr>
          <w:rFonts w:hint="eastAsia"/>
        </w:rPr>
      </w:pPr>
      <w:r>
        <w:rPr>
          <w:rFonts w:hint="eastAsia"/>
        </w:rPr>
        <w:tab/>
        <w:t xml:space="preserve">1216.  </w:t>
      </w:r>
      <w:r>
        <w:rPr>
          <w:rFonts w:hint="eastAsia"/>
        </w:rPr>
        <w:t>澳门特别行政区有关当局经常邀请与科学研究和创作工作有关的人士，包括科学家、作家、艺术家或其他相关人士参加科学和文化方面的会议、研讨会、专题讨论、座谈会和论坛。</w:t>
      </w:r>
    </w:p>
    <w:p w:rsidR="00000000" w:rsidRDefault="00000000">
      <w:pPr>
        <w:rPr>
          <w:rFonts w:hint="eastAsia"/>
        </w:rPr>
      </w:pPr>
      <w:r>
        <w:rPr>
          <w:rFonts w:hint="eastAsia"/>
        </w:rPr>
        <w:tab/>
        <w:t xml:space="preserve">1217.  </w:t>
      </w:r>
      <w:r>
        <w:rPr>
          <w:rFonts w:hint="eastAsia"/>
        </w:rPr>
        <w:t>与教育、科学、技术、文化、新闻等领域有关的团体和组织的角色，得到《基本法》的承认。有关团体的组织以互不隶属、互不干涉、互相尊重的原则为基础，与其他国家和地区的团体以及国际组织发展关系</w:t>
      </w:r>
      <w:r>
        <w:rPr>
          <w:rFonts w:hint="eastAsia"/>
        </w:rPr>
        <w:t>(</w:t>
      </w:r>
      <w:r>
        <w:rPr>
          <w:rFonts w:hint="eastAsia"/>
        </w:rPr>
        <w:t>《基本法》第一百三十三条和第一百三十四条</w:t>
      </w:r>
      <w:r>
        <w:rPr>
          <w:rFonts w:hint="eastAsia"/>
        </w:rPr>
        <w:t>)</w:t>
      </w:r>
      <w:r>
        <w:rPr>
          <w:rFonts w:hint="eastAsia"/>
        </w:rPr>
        <w:t>。</w:t>
      </w:r>
    </w:p>
    <w:p w:rsidR="00000000" w:rsidRDefault="00000000">
      <w:pPr>
        <w:rPr>
          <w:rFonts w:hint="eastAsia"/>
        </w:rPr>
      </w:pPr>
    </w:p>
    <w:p w:rsidR="00000000" w:rsidRDefault="00000000">
      <w:pPr>
        <w:rPr>
          <w:rFonts w:hint="eastAsia"/>
        </w:rPr>
      </w:pPr>
    </w:p>
    <w:p w:rsidR="00000000" w:rsidRDefault="00000000">
      <w:pPr>
        <w:jc w:val="center"/>
      </w:pPr>
      <w:r>
        <w:t>--  --  --  --  --</w:t>
      </w:r>
    </w:p>
    <w:sectPr w:rsidR="00000000">
      <w:headerReference w:type="even" r:id="rId19"/>
      <w:headerReference w:type="default" r:id="rId20"/>
      <w:headerReference w:type="first" r:id="rId21"/>
      <w:footerReference w:type="first" r:id="rId22"/>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Univers Bold">
    <w:altName w:val="Arial"/>
    <w:panose1 w:val="00000000000000000000"/>
    <w:charset w:val="00"/>
    <w:family w:val="swiss"/>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華康細明體">
    <w:altName w:val="MS Mincho"/>
    <w:charset w:val="88"/>
    <w:family w:val="modern"/>
    <w:pitch w:val="fixed"/>
    <w:sig w:usb0="F1007BFF" w:usb1="29FFFFFF" w:usb2="00000037" w:usb3="00000000" w:csb0="003F00FF" w:csb1="00000000"/>
  </w:font>
  <w:font w:name="華康中黑體">
    <w:altName w:val="MS Mincho"/>
    <w:charset w:val="88"/>
    <w:family w:val="modern"/>
    <w:pitch w:val="fixed"/>
    <w:sig w:usb0="F1007BFF" w:usb1="29FFFFFF" w:usb2="00000037" w:usb3="00000000" w:csb0="003F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-40655 (C)</w:t>
          </w:r>
        </w:p>
      </w:tc>
      <w:tc>
        <w:tcPr>
          <w:tcW w:w="1050" w:type="dxa"/>
        </w:tcPr>
        <w:p w:rsidR="00000000" w:rsidRDefault="00000000">
          <w:pPr>
            <w:pStyle w:val="Footer"/>
            <w:rPr>
              <w:rFonts w:hint="eastAsia"/>
            </w:rPr>
          </w:pPr>
          <w:r>
            <w:t>19050</w:t>
          </w:r>
          <w:r>
            <w:rPr>
              <w:rFonts w:hint="eastAsia"/>
            </w:rPr>
            <w:t>4</w:t>
          </w:r>
        </w:p>
      </w:tc>
      <w:tc>
        <w:tcPr>
          <w:tcW w:w="6061" w:type="dxa"/>
        </w:tcPr>
        <w:p w:rsidR="00000000" w:rsidRDefault="00000000">
          <w:pPr>
            <w:pStyle w:val="Footer"/>
            <w:rPr>
              <w:rFonts w:hint="eastAsia"/>
            </w:rPr>
          </w:pPr>
          <w:r>
            <w:rPr>
              <w:rFonts w:hint="eastAsia"/>
            </w:rPr>
            <w:t>0508</w:t>
          </w:r>
          <w:r>
            <w:t>0</w:t>
          </w:r>
          <w:r>
            <w:rPr>
              <w:rFonts w:hint="eastAsia"/>
            </w:rPr>
            <w:t>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after="240"/>
        <w:rPr>
          <w:rFonts w:hint="eastAsia"/>
        </w:rPr>
      </w:pPr>
      <w:r>
        <w:rPr>
          <w:rStyle w:val="FootnoteReference"/>
          <w:b w:val="0"/>
          <w:bCs/>
          <w:vertAlign w:val="baseline"/>
        </w:rPr>
        <w:t>*</w:t>
      </w:r>
      <w:r>
        <w:t xml:space="preserve"> </w:t>
      </w:r>
      <w:r>
        <w:tab/>
      </w:r>
      <w:r>
        <w:rPr>
          <w:rFonts w:hint="eastAsia"/>
        </w:rPr>
        <w:t>有关《公约》第一至第十五条所载权利的首份报告（</w:t>
      </w:r>
      <w:r>
        <w:rPr>
          <w:rFonts w:hint="eastAsia"/>
        </w:rPr>
        <w:t>E</w:t>
      </w:r>
      <w:r>
        <w:t xml:space="preserve">/1990/5/Add.43), </w:t>
      </w:r>
      <w:r>
        <w:rPr>
          <w:rFonts w:hint="eastAsia"/>
        </w:rPr>
        <w:t>经济、社会、文化权利委员会已在</w:t>
      </w:r>
      <w:r>
        <w:rPr>
          <w:rFonts w:hint="eastAsia"/>
        </w:rPr>
        <w:t>2001</w:t>
      </w:r>
      <w:r>
        <w:rPr>
          <w:rFonts w:hint="eastAsia"/>
        </w:rPr>
        <w:t>年</w:t>
      </w:r>
      <w:r>
        <w:rPr>
          <w:rFonts w:hint="eastAsia"/>
        </w:rPr>
        <w:t>5</w:t>
      </w:r>
      <w:r>
        <w:rPr>
          <w:rFonts w:hint="eastAsia"/>
        </w:rPr>
        <w:t>月的第二十五届会议上审议（见</w:t>
      </w:r>
      <w:r>
        <w:rPr>
          <w:rFonts w:hint="eastAsia"/>
        </w:rPr>
        <w:t>E</w:t>
      </w:r>
      <w:r>
        <w:t>/C.12/ 2001/SR.9-11</w:t>
      </w:r>
      <w:r>
        <w:rPr>
          <w:rFonts w:hint="eastAsia"/>
        </w:rPr>
        <w:t>及结论性意见（</w:t>
      </w:r>
      <w:r>
        <w:rPr>
          <w:rFonts w:hint="eastAsia"/>
        </w:rPr>
        <w:t>E</w:t>
      </w:r>
      <w:r>
        <w:t>/C.12/1/</w:t>
      </w:r>
      <w:r>
        <w:rPr>
          <w:rFonts w:hint="eastAsia"/>
        </w:rPr>
        <w:t>A</w:t>
      </w:r>
      <w:r>
        <w:t>dd.58)</w:t>
      </w:r>
      <w:r>
        <w:rPr>
          <w:rFonts w:hint="eastAsia"/>
        </w:rPr>
        <w:t>。</w:t>
      </w:r>
    </w:p>
  </w:footnote>
  <w:footnote w:id="2">
    <w:p w:rsidR="00000000" w:rsidRDefault="00000000">
      <w:pPr>
        <w:pStyle w:val="FootnoteText"/>
        <w:rPr>
          <w:rFonts w:hint="eastAsia"/>
        </w:rPr>
      </w:pPr>
      <w:r>
        <w:rPr>
          <w:rStyle w:val="FootnoteReference"/>
          <w:b w:val="0"/>
          <w:bCs/>
          <w:vertAlign w:val="baseline"/>
        </w:rPr>
        <w:t>*</w:t>
      </w:r>
      <w:r>
        <w:tab/>
      </w:r>
      <w:r>
        <w:rPr>
          <w:rFonts w:hint="eastAsia"/>
        </w:rPr>
        <w:t>可向经济、社会、文化权利委员会秘书处档案查阅。</w:t>
      </w:r>
    </w:p>
  </w:footnote>
  <w:footnote w:id="3">
    <w:p w:rsidR="00000000" w:rsidRDefault="00000000">
      <w:pPr>
        <w:pStyle w:val="FootnoteText"/>
        <w:rPr>
          <w:rFonts w:hint="eastAsia"/>
        </w:rPr>
      </w:pPr>
      <w:r>
        <w:rPr>
          <w:rStyle w:val="FootnoteReference"/>
          <w:b w:val="0"/>
          <w:bCs/>
          <w:vertAlign w:val="baseline"/>
        </w:rPr>
        <w:t>*</w:t>
      </w:r>
      <w:r>
        <w:tab/>
      </w:r>
      <w:r>
        <w:rPr>
          <w:rFonts w:hint="eastAsia"/>
        </w:rPr>
        <w:t>可向经济、社会、文化权利委员会秘书处档案查阅。</w:t>
      </w:r>
    </w:p>
  </w:footnote>
  <w:footnote w:id="4">
    <w:p w:rsidR="00000000" w:rsidRDefault="00000000">
      <w:pPr>
        <w:pStyle w:val="EndnoteText"/>
        <w:rPr>
          <w:rFonts w:hint="eastAsia"/>
        </w:rPr>
      </w:pPr>
      <w:r>
        <w:rPr>
          <w:rStyle w:val="FootnoteReference"/>
        </w:rPr>
        <w:t>1</w:t>
      </w:r>
      <w:r>
        <w:t xml:space="preserve"> </w:t>
      </w:r>
      <w:r>
        <w:rPr>
          <w:rFonts w:hint="eastAsia"/>
        </w:rPr>
        <w:tab/>
      </w:r>
      <w:r>
        <w:rPr>
          <w:rFonts w:hint="eastAsia"/>
        </w:rPr>
        <w:t>“种子工程”是“九五”以来中国组织实施的农业重点工程。目的是建立现代种子产业体系和科学的管理制度</w:t>
      </w:r>
      <w:r>
        <w:t>，</w:t>
      </w:r>
      <w:r>
        <w:rPr>
          <w:rFonts w:hint="eastAsia"/>
        </w:rPr>
        <w:t>实现</w:t>
      </w:r>
      <w:r>
        <w:rPr>
          <w:rFonts w:hint="eastAsia"/>
          <w:szCs w:val="16"/>
        </w:rPr>
        <w:t>种子生产专业化、经营集团化、管理规范化、繁育推广一体化、大田用种商品化。</w:t>
      </w:r>
    </w:p>
  </w:footnote>
  <w:footnote w:id="5">
    <w:p w:rsidR="00000000" w:rsidRDefault="00000000">
      <w:pPr>
        <w:pStyle w:val="FootnoteText"/>
        <w:rPr>
          <w:rFonts w:hint="eastAsia"/>
        </w:rPr>
      </w:pPr>
      <w:r>
        <w:rPr>
          <w:rStyle w:val="FootnoteReference"/>
        </w:rPr>
        <w:t>2</w:t>
      </w:r>
      <w:r>
        <w:t xml:space="preserve"> </w:t>
      </w:r>
      <w:r>
        <w:rPr>
          <w:rFonts w:hint="eastAsia"/>
        </w:rPr>
        <w:tab/>
      </w:r>
      <w:r>
        <w:rPr>
          <w:rFonts w:hint="eastAsia"/>
          <w:szCs w:val="16"/>
        </w:rPr>
        <w:t>“五纵七横”</w:t>
      </w:r>
      <w:r>
        <w:rPr>
          <w:szCs w:val="16"/>
        </w:rPr>
        <w:t>，</w:t>
      </w:r>
      <w:r>
        <w:rPr>
          <w:rFonts w:hint="eastAsia"/>
          <w:szCs w:val="16"/>
        </w:rPr>
        <w:t>即同江－三亚、北京－珠海、重庆－湛江、北京－福州、二连浩特－河口、连云港－霍尔果斯、上海</w:t>
      </w:r>
      <w:r>
        <w:rPr>
          <w:szCs w:val="16"/>
        </w:rPr>
        <w:t>－</w:t>
      </w:r>
      <w:r>
        <w:rPr>
          <w:rFonts w:hint="eastAsia"/>
          <w:szCs w:val="16"/>
        </w:rPr>
        <w:t>成都、上海</w:t>
      </w:r>
      <w:r>
        <w:rPr>
          <w:szCs w:val="16"/>
        </w:rPr>
        <w:t>－</w:t>
      </w:r>
      <w:r>
        <w:rPr>
          <w:rFonts w:hint="eastAsia"/>
          <w:szCs w:val="16"/>
        </w:rPr>
        <w:t>瑞丽、衡阳</w:t>
      </w:r>
      <w:r>
        <w:rPr>
          <w:szCs w:val="16"/>
        </w:rPr>
        <w:t>－</w:t>
      </w:r>
      <w:r>
        <w:rPr>
          <w:rFonts w:hint="eastAsia"/>
          <w:szCs w:val="16"/>
        </w:rPr>
        <w:t>昆明、青岛</w:t>
      </w:r>
      <w:r>
        <w:rPr>
          <w:szCs w:val="16"/>
        </w:rPr>
        <w:t>－</w:t>
      </w:r>
      <w:r>
        <w:rPr>
          <w:rFonts w:hint="eastAsia"/>
          <w:szCs w:val="16"/>
        </w:rPr>
        <w:t>银川、丹东</w:t>
      </w:r>
      <w:r>
        <w:rPr>
          <w:szCs w:val="16"/>
        </w:rPr>
        <w:t>－</w:t>
      </w:r>
      <w:r>
        <w:rPr>
          <w:rFonts w:hint="eastAsia"/>
          <w:szCs w:val="16"/>
        </w:rPr>
        <w:t>拉萨、绥芬河</w:t>
      </w:r>
      <w:r>
        <w:rPr>
          <w:szCs w:val="16"/>
        </w:rPr>
        <w:t>－</w:t>
      </w:r>
      <w:r>
        <w:rPr>
          <w:rFonts w:hint="eastAsia"/>
          <w:szCs w:val="16"/>
        </w:rPr>
        <w:t>满洲里</w:t>
      </w:r>
      <w:r>
        <w:rPr>
          <w:szCs w:val="16"/>
        </w:rPr>
        <w:t>12</w:t>
      </w:r>
      <w:r>
        <w:rPr>
          <w:rFonts w:hint="eastAsia"/>
          <w:szCs w:val="16"/>
        </w:rPr>
        <w:t>公公路组成的国道主干线规划。</w:t>
      </w:r>
    </w:p>
  </w:footnote>
  <w:footnote w:id="6">
    <w:p w:rsidR="00000000" w:rsidRDefault="00000000">
      <w:pPr>
        <w:pStyle w:val="FootnoteText"/>
      </w:pPr>
      <w:r>
        <w:rPr>
          <w:rStyle w:val="FootnoteReference"/>
        </w:rPr>
        <w:t>3</w:t>
      </w:r>
      <w:r>
        <w:t xml:space="preserve"> </w:t>
      </w:r>
      <w:r>
        <w:tab/>
      </w:r>
      <w:r>
        <w:rPr>
          <w:rFonts w:hint="eastAsia"/>
          <w:szCs w:val="16"/>
        </w:rPr>
        <w:t>“三纵两横”</w:t>
      </w:r>
      <w:r>
        <w:rPr>
          <w:szCs w:val="16"/>
        </w:rPr>
        <w:t>，</w:t>
      </w:r>
      <w:r>
        <w:rPr>
          <w:rFonts w:hint="eastAsia"/>
          <w:szCs w:val="16"/>
        </w:rPr>
        <w:t>指“五纵三横”中先期建设的部分。“三纵”指同江</w:t>
      </w:r>
      <w:r>
        <w:rPr>
          <w:szCs w:val="16"/>
        </w:rPr>
        <w:t>－</w:t>
      </w:r>
      <w:r>
        <w:rPr>
          <w:rFonts w:hint="eastAsia"/>
          <w:szCs w:val="16"/>
        </w:rPr>
        <w:t>三亚、北京</w:t>
      </w:r>
      <w:r>
        <w:rPr>
          <w:szCs w:val="16"/>
        </w:rPr>
        <w:t>－</w:t>
      </w:r>
      <w:r>
        <w:rPr>
          <w:rFonts w:hint="eastAsia"/>
          <w:szCs w:val="16"/>
        </w:rPr>
        <w:t>珠海、重庆</w:t>
      </w:r>
      <w:r>
        <w:rPr>
          <w:szCs w:val="16"/>
        </w:rPr>
        <w:t>－</w:t>
      </w:r>
      <w:r>
        <w:rPr>
          <w:rFonts w:hint="eastAsia"/>
          <w:szCs w:val="16"/>
        </w:rPr>
        <w:t>湛江。“两横”指上海</w:t>
      </w:r>
      <w:r>
        <w:rPr>
          <w:szCs w:val="16"/>
        </w:rPr>
        <w:t>－</w:t>
      </w:r>
      <w:r>
        <w:rPr>
          <w:rFonts w:hint="eastAsia"/>
          <w:szCs w:val="16"/>
        </w:rPr>
        <w:t>成都、连云港－霍尔果斯</w:t>
      </w:r>
      <w:r>
        <w:rPr>
          <w:rFonts w:hint="eastAsia"/>
          <w:szCs w:val="22"/>
        </w:rPr>
        <w:t>。</w:t>
      </w:r>
    </w:p>
  </w:footnote>
  <w:footnote w:id="7">
    <w:p w:rsidR="00000000" w:rsidRDefault="00000000">
      <w:pPr>
        <w:pStyle w:val="FootnoteText"/>
        <w:rPr>
          <w:rFonts w:hint="eastAsia"/>
        </w:rPr>
      </w:pPr>
      <w:r>
        <w:rPr>
          <w:rStyle w:val="FootnoteReference"/>
        </w:rPr>
        <w:t>4</w:t>
      </w:r>
      <w:r>
        <w:t xml:space="preserve"> </w:t>
      </w:r>
      <w:r>
        <w:rPr>
          <w:rFonts w:hint="eastAsia"/>
        </w:rPr>
        <w:tab/>
      </w:r>
      <w:r>
        <w:rPr>
          <w:rFonts w:hint="eastAsia"/>
        </w:rPr>
        <w:t>“</w:t>
      </w:r>
      <w:r>
        <w:rPr>
          <w:szCs w:val="16"/>
        </w:rPr>
        <w:t>211</w:t>
      </w:r>
      <w:r>
        <w:rPr>
          <w:rFonts w:hint="eastAsia"/>
          <w:szCs w:val="16"/>
        </w:rPr>
        <w:t>工程”是中国政府面向</w:t>
      </w:r>
      <w:r>
        <w:rPr>
          <w:szCs w:val="16"/>
        </w:rPr>
        <w:t>21</w:t>
      </w:r>
      <w:r>
        <w:rPr>
          <w:rFonts w:hint="eastAsia"/>
          <w:szCs w:val="16"/>
        </w:rPr>
        <w:t>世纪</w:t>
      </w:r>
      <w:r>
        <w:rPr>
          <w:szCs w:val="16"/>
        </w:rPr>
        <w:t>，</w:t>
      </w:r>
      <w:r>
        <w:rPr>
          <w:rFonts w:hint="eastAsia"/>
          <w:szCs w:val="16"/>
        </w:rPr>
        <w:t>重点建设</w:t>
      </w:r>
      <w:r>
        <w:rPr>
          <w:szCs w:val="16"/>
        </w:rPr>
        <w:t>100</w:t>
      </w:r>
      <w:r>
        <w:rPr>
          <w:rFonts w:hint="eastAsia"/>
          <w:szCs w:val="16"/>
        </w:rPr>
        <w:t>所左右高等学校和重点学校的建设工程。</w:t>
      </w:r>
    </w:p>
  </w:footnote>
  <w:footnote w:id="8">
    <w:p w:rsidR="00000000" w:rsidRDefault="00000000">
      <w:pPr>
        <w:pStyle w:val="FootnoteText"/>
        <w:rPr>
          <w:rFonts w:hint="eastAsia"/>
        </w:rPr>
      </w:pPr>
      <w:r>
        <w:rPr>
          <w:rStyle w:val="FootnoteReference"/>
        </w:rPr>
        <w:t>5</w:t>
      </w:r>
      <w:r>
        <w:t xml:space="preserve"> </w:t>
      </w:r>
      <w:r>
        <w:rPr>
          <w:rFonts w:hint="eastAsia"/>
        </w:rPr>
        <w:tab/>
      </w:r>
      <w:r>
        <w:rPr>
          <w:rFonts w:hint="eastAsia"/>
          <w:szCs w:val="30"/>
        </w:rPr>
        <w:t>建制镇</w:t>
      </w:r>
      <w:r>
        <w:rPr>
          <w:szCs w:val="30"/>
        </w:rPr>
        <w:t>，</w:t>
      </w:r>
      <w:r>
        <w:rPr>
          <w:rFonts w:hint="eastAsia"/>
          <w:szCs w:val="30"/>
        </w:rPr>
        <w:t>是指国家按行政建制设立的镇</w:t>
      </w:r>
      <w:r>
        <w:rPr>
          <w:szCs w:val="30"/>
        </w:rPr>
        <w:t>。</w:t>
      </w:r>
    </w:p>
  </w:footnote>
  <w:footnote w:id="9">
    <w:p w:rsidR="00000000" w:rsidRDefault="00000000">
      <w:pPr>
        <w:pStyle w:val="FootnoteText"/>
      </w:pPr>
      <w:r>
        <w:rPr>
          <w:rStyle w:val="FootnoteReference"/>
        </w:rPr>
        <w:t>6</w:t>
      </w:r>
      <w:r>
        <w:rPr>
          <w:rFonts w:hint="eastAsia"/>
        </w:rPr>
        <w:tab/>
      </w:r>
      <w:r>
        <w:rPr>
          <w:rFonts w:hint="eastAsia"/>
          <w:szCs w:val="30"/>
        </w:rPr>
        <w:t>城关镇</w:t>
      </w:r>
      <w:r>
        <w:rPr>
          <w:szCs w:val="30"/>
        </w:rPr>
        <w:t>，</w:t>
      </w:r>
      <w:r>
        <w:rPr>
          <w:rFonts w:hint="eastAsia"/>
          <w:szCs w:val="30"/>
        </w:rPr>
        <w:t>指县政府所在地的建制镇。</w:t>
      </w:r>
    </w:p>
  </w:footnote>
  <w:footnote w:id="10">
    <w:p w:rsidR="00000000" w:rsidRDefault="00000000">
      <w:pPr>
        <w:pStyle w:val="FootnoteText"/>
        <w:rPr>
          <w:rStyle w:val="FootnoteReference"/>
          <w:b w:val="0"/>
          <w:bCs/>
          <w:color w:val="000000"/>
          <w:vertAlign w:val="baseline"/>
        </w:rPr>
      </w:pPr>
      <w:r>
        <w:rPr>
          <w:rStyle w:val="FootnoteReference"/>
          <w:b w:val="0"/>
          <w:bCs/>
          <w:vertAlign w:val="baseline"/>
        </w:rPr>
        <w:t>*</w:t>
      </w:r>
      <w:r>
        <w:rPr>
          <w:rStyle w:val="FootnoteReference"/>
          <w:b w:val="0"/>
          <w:bCs/>
          <w:color w:val="000000"/>
          <w:vertAlign w:val="baseline"/>
        </w:rPr>
        <w:t xml:space="preserve"> </w:t>
      </w:r>
      <w:r>
        <w:rPr>
          <w:rStyle w:val="FootnoteReference"/>
          <w:b w:val="0"/>
          <w:bCs/>
          <w:color w:val="000000"/>
          <w:vertAlign w:val="baseline"/>
        </w:rPr>
        <w:tab/>
      </w:r>
      <w:r>
        <w:rPr>
          <w:rStyle w:val="FootnoteReference"/>
          <w:rFonts w:hint="eastAsia"/>
          <w:b w:val="0"/>
          <w:bCs/>
          <w:color w:val="000000"/>
          <w:vertAlign w:val="baseline"/>
        </w:rPr>
        <w:t>自</w:t>
      </w:r>
      <w:r>
        <w:rPr>
          <w:rStyle w:val="FootnoteReference"/>
          <w:b w:val="0"/>
          <w:bCs/>
          <w:color w:val="000000"/>
          <w:vertAlign w:val="baseline"/>
        </w:rPr>
        <w:t>2000</w:t>
      </w:r>
      <w:r>
        <w:rPr>
          <w:rStyle w:val="FootnoteReference"/>
          <w:rFonts w:hint="eastAsia"/>
          <w:b w:val="0"/>
          <w:bCs/>
          <w:color w:val="000000"/>
          <w:vertAlign w:val="baseline"/>
        </w:rPr>
        <w:t>年</w:t>
      </w:r>
      <w:r>
        <w:rPr>
          <w:rStyle w:val="FootnoteReference"/>
          <w:b w:val="0"/>
          <w:bCs/>
          <w:color w:val="000000"/>
          <w:vertAlign w:val="baseline"/>
        </w:rPr>
        <w:t>8</w:t>
      </w:r>
      <w:r>
        <w:rPr>
          <w:rStyle w:val="FootnoteReference"/>
          <w:rFonts w:hint="eastAsia"/>
          <w:b w:val="0"/>
          <w:bCs/>
          <w:color w:val="000000"/>
          <w:vertAlign w:val="baseline"/>
        </w:rPr>
        <w:t>月起，本港以“居港人口”作为人口估计的根据。</w:t>
      </w:r>
      <w:r>
        <w:rPr>
          <w:rStyle w:val="FootnoteReference"/>
          <w:b w:val="0"/>
          <w:bCs/>
          <w:color w:val="000000"/>
          <w:vertAlign w:val="baseline"/>
        </w:rPr>
        <w:t>(</w:t>
      </w:r>
      <w:r>
        <w:rPr>
          <w:rStyle w:val="FootnoteReference"/>
          <w:rFonts w:hint="eastAsia"/>
          <w:b w:val="0"/>
          <w:bCs/>
          <w:color w:val="000000"/>
          <w:vertAlign w:val="baseline"/>
        </w:rPr>
        <w:t>过去则采用“广义时点”的方法</w:t>
      </w:r>
      <w:r>
        <w:rPr>
          <w:rStyle w:val="FootnoteReference"/>
          <w:rFonts w:eastAsia="SimSun" w:hint="eastAsia"/>
          <w:b w:val="0"/>
          <w:bCs/>
          <w:color w:val="000000"/>
          <w:spacing w:val="-50"/>
          <w:vertAlign w:val="baseline"/>
        </w:rPr>
        <w:t>―</w:t>
      </w:r>
      <w:r>
        <w:rPr>
          <w:rStyle w:val="FootnoteReference"/>
          <w:rFonts w:eastAsia="SimSun" w:hint="eastAsia"/>
          <w:b w:val="0"/>
          <w:bCs/>
          <w:color w:val="000000"/>
          <w:vertAlign w:val="baseline"/>
        </w:rPr>
        <w:t>―</w:t>
      </w:r>
      <w:r>
        <w:rPr>
          <w:rStyle w:val="FootnoteReference"/>
          <w:rFonts w:hint="eastAsia"/>
          <w:b w:val="0"/>
          <w:bCs/>
          <w:color w:val="000000"/>
          <w:vertAlign w:val="baseline"/>
        </w:rPr>
        <w:t>在某个参考时点计及所有香港永久居民、非永久居民和访客，作为人口估计的根据。</w:t>
      </w:r>
      <w:r>
        <w:rPr>
          <w:rStyle w:val="FootnoteReference"/>
          <w:b w:val="0"/>
          <w:bCs/>
          <w:color w:val="000000"/>
          <w:vertAlign w:val="baseline"/>
        </w:rPr>
        <w:t>)</w:t>
      </w:r>
      <w:r>
        <w:rPr>
          <w:rStyle w:val="FootnoteReference"/>
          <w:rFonts w:hint="eastAsia"/>
          <w:b w:val="0"/>
          <w:bCs/>
          <w:color w:val="000000"/>
          <w:vertAlign w:val="baseline"/>
        </w:rPr>
        <w:t>我们以此为根据，修订了</w:t>
      </w:r>
      <w:r>
        <w:rPr>
          <w:rStyle w:val="FootnoteReference"/>
          <w:b w:val="0"/>
          <w:bCs/>
          <w:color w:val="000000"/>
          <w:vertAlign w:val="baseline"/>
        </w:rPr>
        <w:t>1996</w:t>
      </w:r>
      <w:r>
        <w:rPr>
          <w:rStyle w:val="FootnoteReference"/>
          <w:rFonts w:hint="eastAsia"/>
          <w:b w:val="0"/>
          <w:bCs/>
          <w:color w:val="000000"/>
          <w:vertAlign w:val="baseline"/>
        </w:rPr>
        <w:t>年及以后的人口和有关的统计数字。</w:t>
      </w:r>
    </w:p>
  </w:footnote>
  <w:footnote w:id="11">
    <w:p w:rsidR="00000000" w:rsidRDefault="00000000">
      <w:pPr>
        <w:pStyle w:val="FootnoteText"/>
        <w:rPr>
          <w:rStyle w:val="FootnoteReference"/>
          <w:b w:val="0"/>
          <w:bCs/>
          <w:color w:val="000000"/>
          <w:vertAlign w:val="baseline"/>
        </w:rPr>
      </w:pPr>
      <w:r>
        <w:rPr>
          <w:rStyle w:val="FootnoteReference"/>
          <w:b w:val="0"/>
          <w:bCs/>
          <w:color w:val="000000"/>
          <w:vertAlign w:val="baseline"/>
        </w:rPr>
        <w:t xml:space="preserve">* </w:t>
      </w:r>
      <w:r>
        <w:rPr>
          <w:bCs/>
          <w:color w:val="000000"/>
        </w:rPr>
        <w:tab/>
      </w:r>
      <w:r>
        <w:rPr>
          <w:rStyle w:val="FootnoteReference"/>
          <w:b w:val="0"/>
          <w:bCs/>
          <w:color w:val="000000"/>
          <w:vertAlign w:val="baseline"/>
        </w:rPr>
        <w:t>1991</w:t>
      </w:r>
      <w:r>
        <w:rPr>
          <w:rStyle w:val="FootnoteReference"/>
          <w:rFonts w:hint="eastAsia"/>
          <w:b w:val="0"/>
          <w:bCs/>
          <w:color w:val="000000"/>
          <w:vertAlign w:val="baseline"/>
        </w:rPr>
        <w:t>年及</w:t>
      </w:r>
      <w:r>
        <w:rPr>
          <w:rStyle w:val="FootnoteReference"/>
          <w:b w:val="0"/>
          <w:bCs/>
          <w:color w:val="000000"/>
          <w:vertAlign w:val="baseline"/>
        </w:rPr>
        <w:t>2000</w:t>
      </w:r>
      <w:r>
        <w:rPr>
          <w:rStyle w:val="FootnoteReference"/>
          <w:rFonts w:hint="eastAsia"/>
          <w:b w:val="0"/>
          <w:bCs/>
          <w:color w:val="000000"/>
          <w:vertAlign w:val="baseline"/>
        </w:rPr>
        <w:t>年的数字取自当年的人口普查</w:t>
      </w:r>
      <w:r>
        <w:rPr>
          <w:rStyle w:val="FootnoteReference"/>
          <w:b w:val="0"/>
          <w:bCs/>
          <w:color w:val="000000"/>
          <w:vertAlign w:val="baseline"/>
        </w:rPr>
        <w:t>；</w:t>
      </w:r>
      <w:r>
        <w:rPr>
          <w:rStyle w:val="FootnoteReference"/>
          <w:b w:val="0"/>
          <w:bCs/>
          <w:color w:val="000000"/>
          <w:vertAlign w:val="baseline"/>
        </w:rPr>
        <w:t>1986</w:t>
      </w:r>
      <w:r>
        <w:rPr>
          <w:rStyle w:val="FootnoteReference"/>
          <w:rFonts w:hint="eastAsia"/>
          <w:b w:val="0"/>
          <w:bCs/>
          <w:color w:val="000000"/>
          <w:vertAlign w:val="baseline"/>
        </w:rPr>
        <w:t>年及</w:t>
      </w:r>
      <w:r>
        <w:rPr>
          <w:rStyle w:val="FootnoteReference"/>
          <w:b w:val="0"/>
          <w:bCs/>
          <w:color w:val="000000"/>
          <w:vertAlign w:val="baseline"/>
        </w:rPr>
        <w:t>1996</w:t>
      </w:r>
      <w:r>
        <w:rPr>
          <w:rStyle w:val="FootnoteReference"/>
          <w:rFonts w:hint="eastAsia"/>
          <w:b w:val="0"/>
          <w:bCs/>
          <w:color w:val="000000"/>
          <w:vertAlign w:val="baseline"/>
        </w:rPr>
        <w:t>年的数字取自当年的中期人口统计。而</w:t>
      </w:r>
      <w:r>
        <w:rPr>
          <w:rStyle w:val="FootnoteReference"/>
          <w:b w:val="0"/>
          <w:bCs/>
          <w:color w:val="000000"/>
          <w:vertAlign w:val="baseline"/>
        </w:rPr>
        <w:t>2002</w:t>
      </w:r>
      <w:r>
        <w:rPr>
          <w:rStyle w:val="FootnoteReference"/>
          <w:rFonts w:hint="eastAsia"/>
          <w:b w:val="0"/>
          <w:bCs/>
          <w:color w:val="000000"/>
          <w:vertAlign w:val="baseline"/>
        </w:rPr>
        <w:t>年的数字则取自综合住户统计调查。</w:t>
      </w:r>
    </w:p>
  </w:footnote>
  <w:footnote w:id="12">
    <w:p w:rsidR="00000000" w:rsidRDefault="00000000">
      <w:pPr>
        <w:pStyle w:val="FootnoteText"/>
        <w:rPr>
          <w:rStyle w:val="FootnoteReference"/>
          <w:b w:val="0"/>
          <w:bCs/>
          <w:color w:val="000000"/>
          <w:vertAlign w:val="baseline"/>
        </w:rPr>
      </w:pPr>
      <w:r>
        <w:rPr>
          <w:rStyle w:val="FootnoteReference"/>
          <w:b w:val="0"/>
          <w:bCs/>
          <w:color w:val="000000"/>
          <w:vertAlign w:val="baseline"/>
        </w:rPr>
        <w:t xml:space="preserve">** </w:t>
      </w:r>
      <w:r>
        <w:rPr>
          <w:rStyle w:val="FootnoteReference"/>
          <w:b w:val="0"/>
          <w:bCs/>
          <w:color w:val="000000"/>
          <w:vertAlign w:val="baseline"/>
        </w:rPr>
        <w:tab/>
      </w:r>
      <w:r>
        <w:rPr>
          <w:rStyle w:val="FootnoteReference"/>
          <w:rFonts w:hint="eastAsia"/>
          <w:b w:val="0"/>
          <w:bCs/>
          <w:color w:val="000000"/>
          <w:vertAlign w:val="baseline"/>
        </w:rPr>
        <w:t>有读写能力的人口比率指具有小学或以上教育程度的</w:t>
      </w:r>
      <w:r>
        <w:rPr>
          <w:rStyle w:val="FootnoteReference"/>
          <w:b w:val="0"/>
          <w:bCs/>
          <w:color w:val="000000"/>
          <w:vertAlign w:val="baseline"/>
        </w:rPr>
        <w:t>15</w:t>
      </w:r>
      <w:r>
        <w:rPr>
          <w:rStyle w:val="FootnoteReference"/>
          <w:rFonts w:hint="eastAsia"/>
          <w:b w:val="0"/>
          <w:bCs/>
          <w:color w:val="000000"/>
          <w:vertAlign w:val="baseline"/>
        </w:rPr>
        <w:t>岁及以上人口。有关数字取自综合住户统计调查。</w:t>
      </w:r>
    </w:p>
  </w:footnote>
  <w:footnote w:id="13">
    <w:p w:rsidR="00000000" w:rsidRDefault="00000000">
      <w:pPr>
        <w:pStyle w:val="FootnoteText"/>
        <w:rPr>
          <w:rStyle w:val="FootnoteReference"/>
          <w:b w:val="0"/>
          <w:bCs/>
          <w:color w:val="000000"/>
          <w:vertAlign w:val="baseline"/>
        </w:rPr>
      </w:pPr>
      <w:r>
        <w:rPr>
          <w:rStyle w:val="FootnoteReference"/>
          <w:b w:val="0"/>
          <w:bCs/>
          <w:color w:val="000000"/>
          <w:vertAlign w:val="baseline"/>
        </w:rPr>
        <w:t>***</w:t>
      </w:r>
      <w:r>
        <w:rPr>
          <w:rStyle w:val="FootnoteReference"/>
          <w:b w:val="0"/>
          <w:bCs/>
          <w:color w:val="000000"/>
          <w:vertAlign w:val="baseline"/>
        </w:rPr>
        <w:tab/>
      </w:r>
      <w:r>
        <w:rPr>
          <w:rStyle w:val="FootnoteReference"/>
          <w:rFonts w:hint="eastAsia"/>
          <w:b w:val="0"/>
          <w:bCs/>
          <w:color w:val="000000"/>
          <w:vertAlign w:val="baseline"/>
        </w:rPr>
        <w:t>我们现时没有</w:t>
      </w:r>
      <w:r>
        <w:rPr>
          <w:rStyle w:val="FootnoteReference"/>
          <w:b w:val="0"/>
          <w:bCs/>
          <w:color w:val="000000"/>
          <w:vertAlign w:val="baseline"/>
        </w:rPr>
        <w:t>2002</w:t>
      </w:r>
      <w:r>
        <w:rPr>
          <w:rStyle w:val="FootnoteReference"/>
          <w:rFonts w:hint="eastAsia"/>
          <w:b w:val="0"/>
          <w:bCs/>
          <w:color w:val="000000"/>
          <w:vertAlign w:val="baseline"/>
        </w:rPr>
        <w:t>年的有关数字。</w:t>
      </w:r>
    </w:p>
  </w:footnote>
  <w:footnote w:id="14">
    <w:p w:rsidR="00000000" w:rsidRDefault="00000000">
      <w:pPr>
        <w:pStyle w:val="FootnoteText"/>
        <w:rPr>
          <w:color w:val="000000"/>
          <w:sz w:val="16"/>
        </w:rPr>
      </w:pPr>
      <w:r>
        <w:rPr>
          <w:rStyle w:val="FootnoteReference"/>
          <w:b w:val="0"/>
          <w:bCs/>
          <w:vertAlign w:val="baseline"/>
        </w:rPr>
        <w:t>*</w:t>
      </w:r>
      <w:r>
        <w:tab/>
      </w:r>
      <w:r>
        <w:rPr>
          <w:color w:val="000000"/>
        </w:rPr>
        <w:t>2000</w:t>
      </w:r>
      <w:r>
        <w:rPr>
          <w:rFonts w:hint="eastAsia"/>
          <w:color w:val="000000"/>
        </w:rPr>
        <w:t>年的百分率在表面上有较大的增长是与一些非常低的统计数字有关。在</w:t>
      </w:r>
      <w:r>
        <w:rPr>
          <w:color w:val="000000"/>
        </w:rPr>
        <w:t>1999</w:t>
      </w:r>
      <w:r>
        <w:rPr>
          <w:rFonts w:hint="eastAsia"/>
          <w:color w:val="000000"/>
        </w:rPr>
        <w:t>年，分别有</w:t>
      </w:r>
      <w:r>
        <w:rPr>
          <w:color w:val="000000"/>
        </w:rPr>
        <w:t>50,513</w:t>
      </w:r>
      <w:r>
        <w:rPr>
          <w:rFonts w:hint="eastAsia"/>
          <w:color w:val="000000"/>
        </w:rPr>
        <w:t>宗出生和一宗死亡个案。在</w:t>
      </w:r>
      <w:r>
        <w:rPr>
          <w:color w:val="000000"/>
        </w:rPr>
        <w:t>2000</w:t>
      </w:r>
      <w:r>
        <w:rPr>
          <w:rFonts w:hint="eastAsia"/>
          <w:color w:val="000000"/>
        </w:rPr>
        <w:t>年，有</w:t>
      </w:r>
      <w:r>
        <w:rPr>
          <w:color w:val="000000"/>
        </w:rPr>
        <w:t>53,720</w:t>
      </w:r>
      <w:r>
        <w:rPr>
          <w:rFonts w:hint="eastAsia"/>
          <w:color w:val="000000"/>
        </w:rPr>
        <w:t>宗出生和三宗死亡个案。在</w:t>
      </w:r>
      <w:r>
        <w:rPr>
          <w:color w:val="000000"/>
        </w:rPr>
        <w:t>2001</w:t>
      </w:r>
      <w:r>
        <w:rPr>
          <w:rFonts w:hint="eastAsia"/>
          <w:color w:val="000000"/>
        </w:rPr>
        <w:t>年，有</w:t>
      </w:r>
      <w:r>
        <w:rPr>
          <w:color w:val="000000"/>
        </w:rPr>
        <w:t>49,144</w:t>
      </w:r>
      <w:r>
        <w:rPr>
          <w:rFonts w:hint="eastAsia"/>
          <w:color w:val="000000"/>
        </w:rPr>
        <w:t>宗出生和一宗死亡。而在</w:t>
      </w:r>
      <w:r>
        <w:rPr>
          <w:color w:val="000000"/>
        </w:rPr>
        <w:t>2002</w:t>
      </w:r>
      <w:r>
        <w:rPr>
          <w:rFonts w:hint="eastAsia"/>
          <w:color w:val="000000"/>
        </w:rPr>
        <w:t>年</w:t>
      </w:r>
      <w:r>
        <w:rPr>
          <w:color w:val="000000"/>
        </w:rPr>
        <w:t>，</w:t>
      </w:r>
      <w:r>
        <w:rPr>
          <w:color w:val="000000"/>
        </w:rPr>
        <w:t xml:space="preserve"> </w:t>
      </w:r>
      <w:r>
        <w:rPr>
          <w:rFonts w:hint="eastAsia"/>
          <w:color w:val="000000"/>
        </w:rPr>
        <w:t>则有</w:t>
      </w:r>
      <w:r>
        <w:rPr>
          <w:color w:val="000000"/>
        </w:rPr>
        <w:t>48,119</w:t>
      </w:r>
      <w:r>
        <w:rPr>
          <w:rFonts w:hint="eastAsia"/>
          <w:color w:val="000000"/>
        </w:rPr>
        <w:t>宗出生和两宗死亡。</w:t>
      </w:r>
    </w:p>
  </w:footnote>
  <w:footnote w:id="15">
    <w:p w:rsidR="00000000" w:rsidRDefault="00000000">
      <w:pPr>
        <w:pStyle w:val="FootnoteText"/>
        <w:tabs>
          <w:tab w:val="left" w:pos="140"/>
        </w:tabs>
        <w:rPr>
          <w:color w:val="000000"/>
        </w:rPr>
      </w:pPr>
      <w:r>
        <w:rPr>
          <w:rStyle w:val="FootnoteReference"/>
          <w:b w:val="0"/>
          <w:bCs/>
          <w:vertAlign w:val="baseline"/>
        </w:rPr>
        <w:t>*</w:t>
      </w:r>
      <w:r>
        <w:rPr>
          <w:color w:val="000000"/>
        </w:rPr>
        <w:t xml:space="preserve"> </w:t>
      </w:r>
      <w:r>
        <w:rPr>
          <w:color w:val="000000"/>
        </w:rPr>
        <w:tab/>
      </w:r>
      <w:r>
        <w:rPr>
          <w:rFonts w:hint="eastAsia"/>
          <w:color w:val="000000"/>
        </w:rPr>
        <w:t>整体生育率在一九八七至二零零一年间下降，原因很多，包括迟婚、低产次活产情况减慢，高产次活产情况减少，及经济不景。我们现时没有二零零二年的有关数字。</w:t>
      </w:r>
    </w:p>
  </w:footnote>
  <w:footnote w:id="16">
    <w:p w:rsidR="00000000" w:rsidRDefault="00000000">
      <w:pPr>
        <w:pStyle w:val="FootnoteText"/>
        <w:rPr>
          <w:color w:val="000000"/>
        </w:rPr>
      </w:pPr>
      <w:r>
        <w:rPr>
          <w:rStyle w:val="FootnoteReference"/>
          <w:b w:val="0"/>
          <w:bCs/>
          <w:vertAlign w:val="baseline"/>
        </w:rPr>
        <w:t>**</w:t>
      </w:r>
      <w:r>
        <w:rPr>
          <w:color w:val="000000"/>
        </w:rPr>
        <w:tab/>
      </w:r>
      <w:r>
        <w:rPr>
          <w:rFonts w:hint="eastAsia"/>
          <w:color w:val="000000"/>
        </w:rPr>
        <w:t>我们现时没有二零零二年的有关数字。</w:t>
      </w:r>
    </w:p>
  </w:footnote>
  <w:footnote w:id="17">
    <w:p w:rsidR="00000000" w:rsidRDefault="00000000">
      <w:pPr>
        <w:pStyle w:val="FootnoteText"/>
        <w:rPr>
          <w:color w:val="000000"/>
        </w:rPr>
      </w:pPr>
      <w:r>
        <w:rPr>
          <w:rStyle w:val="FootnoteReference"/>
          <w:b w:val="0"/>
          <w:bCs/>
          <w:vertAlign w:val="baseline"/>
        </w:rPr>
        <w:t>***</w:t>
      </w:r>
      <w:r>
        <w:rPr>
          <w:color w:val="000000"/>
        </w:rPr>
        <w:tab/>
      </w:r>
      <w:r>
        <w:rPr>
          <w:rFonts w:hint="eastAsia"/>
          <w:color w:val="000000"/>
        </w:rPr>
        <w:t>有关数字为该年各季住户统计调查所得估计数字的平均数。</w:t>
      </w:r>
    </w:p>
  </w:footnote>
  <w:footnote w:id="18">
    <w:p w:rsidR="00000000" w:rsidRDefault="00000000">
      <w:pPr>
        <w:pStyle w:val="FootnoteText"/>
        <w:rPr>
          <w:color w:val="000000"/>
        </w:rPr>
      </w:pPr>
      <w:r>
        <w:rPr>
          <w:rStyle w:val="FootnoteReference"/>
          <w:b w:val="0"/>
          <w:bCs/>
          <w:vertAlign w:val="baseline"/>
        </w:rPr>
        <w:t>*</w:t>
      </w:r>
      <w:r>
        <w:rPr>
          <w:color w:val="000000"/>
        </w:rPr>
        <w:tab/>
      </w:r>
      <w:r>
        <w:rPr>
          <w:rFonts w:hint="eastAsia"/>
          <w:color w:val="000000"/>
        </w:rPr>
        <w:t>综合消费物价指数是根据本港约九成住户的开支模式而编制的。这些住户在</w:t>
      </w:r>
      <w:r>
        <w:rPr>
          <w:color w:val="000000"/>
        </w:rPr>
        <w:t>1999</w:t>
      </w:r>
      <w:r>
        <w:rPr>
          <w:rFonts w:hint="eastAsia"/>
          <w:color w:val="000000"/>
        </w:rPr>
        <w:t>年</w:t>
      </w:r>
      <w:r>
        <w:rPr>
          <w:color w:val="000000"/>
        </w:rPr>
        <w:t>10</w:t>
      </w:r>
      <w:r>
        <w:rPr>
          <w:rFonts w:hint="eastAsia"/>
          <w:color w:val="000000"/>
        </w:rPr>
        <w:t>月至</w:t>
      </w:r>
      <w:r>
        <w:rPr>
          <w:color w:val="000000"/>
        </w:rPr>
        <w:t>2000</w:t>
      </w:r>
      <w:r>
        <w:rPr>
          <w:rFonts w:hint="eastAsia"/>
          <w:color w:val="000000"/>
        </w:rPr>
        <w:t>年</w:t>
      </w:r>
      <w:r>
        <w:rPr>
          <w:color w:val="000000"/>
        </w:rPr>
        <w:t>9</w:t>
      </w:r>
      <w:r>
        <w:rPr>
          <w:rFonts w:hint="eastAsia"/>
          <w:color w:val="000000"/>
        </w:rPr>
        <w:t>月期间，每月平均开支介于</w:t>
      </w:r>
      <w:r>
        <w:rPr>
          <w:color w:val="000000"/>
        </w:rPr>
        <w:t>4,500</w:t>
      </w:r>
      <w:r>
        <w:rPr>
          <w:rFonts w:hint="eastAsia"/>
          <w:color w:val="000000"/>
        </w:rPr>
        <w:t>至</w:t>
      </w:r>
      <w:r>
        <w:rPr>
          <w:color w:val="000000"/>
        </w:rPr>
        <w:t>65,999</w:t>
      </w:r>
      <w:r>
        <w:rPr>
          <w:rFonts w:hint="eastAsia"/>
          <w:color w:val="000000"/>
        </w:rPr>
        <w:t>港元之间；以</w:t>
      </w:r>
      <w:r>
        <w:rPr>
          <w:color w:val="000000"/>
        </w:rPr>
        <w:t>2002</w:t>
      </w:r>
      <w:r>
        <w:rPr>
          <w:rFonts w:hint="eastAsia"/>
          <w:color w:val="000000"/>
        </w:rPr>
        <w:t>年的价格计算，每月平均开支相当于</w:t>
      </w:r>
      <w:r>
        <w:rPr>
          <w:color w:val="000000"/>
        </w:rPr>
        <w:t>4,300</w:t>
      </w:r>
      <w:r>
        <w:rPr>
          <w:rFonts w:hint="eastAsia"/>
          <w:color w:val="000000"/>
        </w:rPr>
        <w:t>至</w:t>
      </w:r>
      <w:r>
        <w:rPr>
          <w:color w:val="000000"/>
        </w:rPr>
        <w:t>62,700</w:t>
      </w:r>
      <w:r>
        <w:rPr>
          <w:rFonts w:hint="eastAsia"/>
          <w:color w:val="000000"/>
        </w:rPr>
        <w:t>港元。</w:t>
      </w:r>
    </w:p>
  </w:footnote>
  <w:footnote w:id="19">
    <w:p w:rsidR="00000000" w:rsidRDefault="00000000">
      <w:pPr>
        <w:spacing w:line="264" w:lineRule="auto"/>
        <w:ind w:firstLine="510"/>
        <w:rPr>
          <w:rFonts w:eastAsia="KaiTi_GB2312"/>
          <w:snapToGrid/>
          <w:color w:val="000000"/>
          <w:spacing w:val="0"/>
        </w:rPr>
      </w:pPr>
      <w:r>
        <w:rPr>
          <w:rStyle w:val="FootnoteReference"/>
          <w:b w:val="0"/>
          <w:bCs/>
          <w:snapToGrid/>
          <w:vertAlign w:val="baseline"/>
        </w:rPr>
        <w:t>*</w:t>
      </w:r>
      <w:r>
        <w:rPr>
          <w:rFonts w:eastAsia="KaiTi_GB2312"/>
          <w:snapToGrid/>
          <w:color w:val="000000"/>
          <w:spacing w:val="0"/>
        </w:rPr>
        <w:t xml:space="preserve"> </w:t>
      </w:r>
      <w:r>
        <w:rPr>
          <w:rFonts w:eastAsia="KaiTi_GB2312"/>
          <w:snapToGrid/>
          <w:color w:val="000000"/>
          <w:spacing w:val="0"/>
        </w:rPr>
        <w:tab/>
      </w:r>
      <w:r>
        <w:rPr>
          <w:rFonts w:eastAsia="KaiTi_GB2312" w:hint="eastAsia"/>
          <w:snapToGrid/>
          <w:color w:val="000000"/>
          <w:spacing w:val="0"/>
        </w:rPr>
        <w:t>当局在</w:t>
      </w:r>
      <w:r>
        <w:rPr>
          <w:rFonts w:eastAsia="KaiTi_GB2312"/>
          <w:snapToGrid/>
          <w:color w:val="000000"/>
          <w:spacing w:val="0"/>
        </w:rPr>
        <w:t>2002</w:t>
      </w:r>
      <w:r>
        <w:rPr>
          <w:rFonts w:eastAsia="KaiTi_GB2312" w:hint="eastAsia"/>
          <w:snapToGrid/>
          <w:color w:val="000000"/>
          <w:spacing w:val="0"/>
        </w:rPr>
        <w:t>年</w:t>
      </w:r>
      <w:r>
        <w:rPr>
          <w:rFonts w:eastAsia="KaiTi_GB2312"/>
          <w:snapToGrid/>
          <w:color w:val="000000"/>
          <w:spacing w:val="0"/>
        </w:rPr>
        <w:t>8</w:t>
      </w:r>
      <w:r>
        <w:rPr>
          <w:rFonts w:eastAsia="KaiTi_GB2312" w:hint="eastAsia"/>
          <w:snapToGrid/>
          <w:color w:val="000000"/>
          <w:spacing w:val="0"/>
        </w:rPr>
        <w:t>月进行检讨工作后，大幅修订了有关本地生产总值的一系列数据。在计算按固定市价计算的本地</w:t>
      </w:r>
      <w:r>
        <w:rPr>
          <w:rFonts w:eastAsia="KaiTi_GB2312"/>
          <w:snapToGrid/>
          <w:color w:val="000000"/>
          <w:spacing w:val="0"/>
        </w:rPr>
        <w:t xml:space="preserve"> </w:t>
      </w:r>
      <w:r>
        <w:rPr>
          <w:rFonts w:eastAsia="KaiTi_GB2312" w:hint="eastAsia"/>
          <w:snapToGrid/>
          <w:color w:val="000000"/>
          <w:spacing w:val="0"/>
        </w:rPr>
        <w:t>生</w:t>
      </w:r>
      <w:r>
        <w:rPr>
          <w:rFonts w:eastAsia="KaiTi_GB2312"/>
          <w:snapToGrid/>
          <w:color w:val="000000"/>
          <w:spacing w:val="0"/>
        </w:rPr>
        <w:t xml:space="preserve"> </w:t>
      </w:r>
      <w:r>
        <w:rPr>
          <w:rFonts w:eastAsia="KaiTi_GB2312" w:hint="eastAsia"/>
          <w:snapToGrid/>
          <w:color w:val="000000"/>
          <w:spacing w:val="0"/>
        </w:rPr>
        <w:t>产总值方面，基准年由</w:t>
      </w:r>
      <w:r>
        <w:rPr>
          <w:rFonts w:eastAsia="KaiTi_GB2312"/>
          <w:snapToGrid/>
          <w:color w:val="000000"/>
          <w:spacing w:val="0"/>
        </w:rPr>
        <w:t>1999</w:t>
      </w:r>
      <w:r>
        <w:rPr>
          <w:rFonts w:eastAsia="KaiTi_GB2312" w:hint="eastAsia"/>
          <w:snapToGrid/>
          <w:color w:val="000000"/>
          <w:spacing w:val="0"/>
        </w:rPr>
        <w:t>年改为</w:t>
      </w:r>
      <w:r>
        <w:rPr>
          <w:rFonts w:eastAsia="KaiTi_GB2312"/>
          <w:snapToGrid/>
          <w:color w:val="000000"/>
          <w:spacing w:val="0"/>
        </w:rPr>
        <w:t>2000</w:t>
      </w:r>
      <w:r>
        <w:rPr>
          <w:rFonts w:eastAsia="KaiTi_GB2312" w:hint="eastAsia"/>
          <w:snapToGrid/>
          <w:color w:val="000000"/>
          <w:spacing w:val="0"/>
        </w:rPr>
        <w:t>年。</w:t>
      </w:r>
    </w:p>
  </w:footnote>
  <w:footnote w:id="20">
    <w:p w:rsidR="00000000" w:rsidRDefault="00000000">
      <w:pPr>
        <w:tabs>
          <w:tab w:val="left" w:pos="284"/>
          <w:tab w:val="left" w:pos="567"/>
          <w:tab w:val="left" w:pos="1134"/>
          <w:tab w:val="left" w:pos="2268"/>
          <w:tab w:val="left" w:pos="2835"/>
          <w:tab w:val="left" w:pos="3402"/>
          <w:tab w:val="left" w:pos="3969"/>
          <w:tab w:val="left" w:pos="4536"/>
          <w:tab w:val="left" w:pos="5103"/>
          <w:tab w:val="left" w:pos="5670"/>
          <w:tab w:val="left" w:pos="6237"/>
          <w:tab w:val="left" w:pos="6804"/>
        </w:tabs>
        <w:spacing w:line="264" w:lineRule="auto"/>
        <w:ind w:firstLine="510"/>
        <w:rPr>
          <w:rFonts w:eastAsia="KaiTi_GB2312"/>
          <w:snapToGrid/>
          <w:spacing w:val="0"/>
        </w:rPr>
      </w:pPr>
      <w:r>
        <w:rPr>
          <w:rStyle w:val="FootnoteReference"/>
          <w:b w:val="0"/>
          <w:bCs/>
          <w:snapToGrid/>
          <w:vertAlign w:val="baseline"/>
        </w:rPr>
        <w:t>**</w:t>
      </w:r>
      <w:r>
        <w:rPr>
          <w:rFonts w:eastAsia="KaiTi_GB2312"/>
          <w:snapToGrid/>
          <w:spacing w:val="0"/>
        </w:rPr>
        <w:t xml:space="preserve">  1990</w:t>
      </w:r>
      <w:r>
        <w:rPr>
          <w:rFonts w:eastAsia="KaiTi_GB2312" w:hint="eastAsia"/>
          <w:snapToGrid/>
          <w:spacing w:val="0"/>
        </w:rPr>
        <w:t>至</w:t>
      </w:r>
      <w:r>
        <w:rPr>
          <w:rFonts w:eastAsia="KaiTi_GB2312"/>
          <w:snapToGrid/>
          <w:spacing w:val="0"/>
        </w:rPr>
        <w:t>2002</w:t>
      </w:r>
      <w:r>
        <w:rPr>
          <w:rFonts w:eastAsia="KaiTi_GB2312" w:hint="eastAsia"/>
          <w:snapToGrid/>
          <w:spacing w:val="0"/>
        </w:rPr>
        <w:t>年的本地生产总值</w:t>
      </w:r>
      <w:r>
        <w:rPr>
          <w:rFonts w:eastAsia="KaiTi_GB2312"/>
          <w:snapToGrid/>
          <w:spacing w:val="0"/>
        </w:rPr>
        <w:t>(</w:t>
      </w:r>
      <w:r>
        <w:rPr>
          <w:rFonts w:eastAsia="KaiTi_GB2312" w:hint="eastAsia"/>
          <w:snapToGrid/>
          <w:spacing w:val="0"/>
        </w:rPr>
        <w:t>按</w:t>
      </w:r>
      <w:r>
        <w:rPr>
          <w:rFonts w:eastAsia="KaiTi_GB2312"/>
          <w:snapToGrid/>
          <w:spacing w:val="0"/>
        </w:rPr>
        <w:t>2000</w:t>
      </w:r>
      <w:r>
        <w:rPr>
          <w:rFonts w:eastAsia="KaiTi_GB2312" w:hint="eastAsia"/>
          <w:snapToGrid/>
          <w:spacing w:val="0"/>
        </w:rPr>
        <w:t>年的固定市价计算</w:t>
      </w:r>
      <w:r>
        <w:rPr>
          <w:rFonts w:eastAsia="KaiTi_GB2312"/>
          <w:snapToGrid/>
          <w:spacing w:val="0"/>
        </w:rPr>
        <w:t>)</w:t>
      </w:r>
      <w:r>
        <w:rPr>
          <w:rFonts w:eastAsia="KaiTi_GB2312" w:hint="eastAsia"/>
          <w:snapToGrid/>
          <w:spacing w:val="0"/>
        </w:rPr>
        <w:t>按有关年份的汇率兑换。</w:t>
      </w:r>
    </w:p>
  </w:footnote>
  <w:footnote w:id="21">
    <w:p w:rsidR="00000000" w:rsidRDefault="00000000">
      <w:pPr>
        <w:pStyle w:val="FootnoteText"/>
        <w:tabs>
          <w:tab w:val="left" w:pos="840"/>
        </w:tabs>
        <w:spacing w:line="264" w:lineRule="auto"/>
        <w:rPr>
          <w:color w:val="000000"/>
        </w:rPr>
      </w:pPr>
      <w:r>
        <w:rPr>
          <w:rStyle w:val="FootnoteReference"/>
        </w:rPr>
        <w:t>8</w:t>
      </w:r>
      <w:r>
        <w:rPr>
          <w:color w:val="000000"/>
        </w:rPr>
        <w:t xml:space="preserve"> </w:t>
      </w:r>
      <w:r>
        <w:rPr>
          <w:rFonts w:hint="eastAsia"/>
          <w:color w:val="000000"/>
        </w:rPr>
        <w:tab/>
      </w:r>
      <w:r>
        <w:rPr>
          <w:rFonts w:hint="eastAsia"/>
          <w:color w:val="000000"/>
        </w:rPr>
        <w:t>举例来说，当局早前制定《刑事罪行</w:t>
      </w:r>
      <w:r>
        <w:rPr>
          <w:color w:val="000000"/>
        </w:rPr>
        <w:t>(</w:t>
      </w:r>
      <w:r>
        <w:rPr>
          <w:rFonts w:hint="eastAsia"/>
          <w:color w:val="000000"/>
        </w:rPr>
        <w:t>酷刑</w:t>
      </w:r>
      <w:r>
        <w:rPr>
          <w:color w:val="000000"/>
        </w:rPr>
        <w:t>)</w:t>
      </w:r>
      <w:r>
        <w:rPr>
          <w:rFonts w:hint="eastAsia"/>
          <w:color w:val="000000"/>
        </w:rPr>
        <w:t>条例》</w:t>
      </w:r>
      <w:r>
        <w:rPr>
          <w:color w:val="000000"/>
        </w:rPr>
        <w:t>(</w:t>
      </w:r>
      <w:r>
        <w:rPr>
          <w:rFonts w:hint="eastAsia"/>
          <w:color w:val="000000"/>
        </w:rPr>
        <w:t>香港特区法例第</w:t>
      </w:r>
      <w:r>
        <w:rPr>
          <w:color w:val="000000"/>
        </w:rPr>
        <w:t>427</w:t>
      </w:r>
      <w:r>
        <w:rPr>
          <w:rFonts w:hint="eastAsia"/>
          <w:color w:val="000000"/>
        </w:rPr>
        <w:t>章</w:t>
      </w:r>
      <w:r>
        <w:rPr>
          <w:color w:val="000000"/>
        </w:rPr>
        <w:t>)</w:t>
      </w:r>
      <w:r>
        <w:rPr>
          <w:rFonts w:hint="eastAsia"/>
          <w:color w:val="000000"/>
        </w:rPr>
        <w:t>，正是为了使《禁止酷刑和其他残忍、不人道或有辱人格的待遇或处罚公约》在香港特区具备法律效力。</w:t>
      </w:r>
    </w:p>
  </w:footnote>
  <w:footnote w:id="22">
    <w:p w:rsidR="00000000" w:rsidRDefault="00000000">
      <w:pPr>
        <w:tabs>
          <w:tab w:val="left" w:pos="360"/>
          <w:tab w:val="left" w:pos="840"/>
          <w:tab w:val="left" w:pos="1985"/>
        </w:tabs>
        <w:spacing w:line="264" w:lineRule="auto"/>
        <w:ind w:firstLine="390"/>
        <w:rPr>
          <w:rFonts w:eastAsia="KaiTi_GB2312"/>
          <w:snapToGrid/>
          <w:color w:val="000000"/>
          <w:spacing w:val="0"/>
        </w:rPr>
      </w:pPr>
      <w:r>
        <w:rPr>
          <w:rStyle w:val="FootnoteReference"/>
          <w:snapToGrid/>
        </w:rPr>
        <w:t>9</w:t>
      </w:r>
      <w:r>
        <w:rPr>
          <w:rFonts w:eastAsia="KaiTi_GB2312" w:hint="eastAsia"/>
          <w:snapToGrid/>
          <w:color w:val="000000"/>
          <w:spacing w:val="0"/>
        </w:rPr>
        <w:tab/>
      </w:r>
      <w:r>
        <w:rPr>
          <w:rFonts w:eastAsia="KaiTi_GB2312" w:hint="eastAsia"/>
          <w:snapToGrid/>
          <w:color w:val="000000"/>
          <w:spacing w:val="0"/>
        </w:rPr>
        <w:t>该三项条文是：</w:t>
      </w:r>
    </w:p>
    <w:p w:rsidR="00000000" w:rsidRDefault="00000000">
      <w:pPr>
        <w:tabs>
          <w:tab w:val="left" w:pos="284"/>
          <w:tab w:val="left" w:pos="709"/>
        </w:tabs>
        <w:spacing w:line="264" w:lineRule="auto"/>
        <w:ind w:left="1415" w:hanging="645"/>
        <w:rPr>
          <w:rFonts w:eastAsia="KaiTi_GB2312"/>
          <w:snapToGrid/>
          <w:color w:val="000000"/>
          <w:spacing w:val="0"/>
        </w:rPr>
      </w:pPr>
      <w:r>
        <w:rPr>
          <w:rFonts w:eastAsia="KaiTi_GB2312"/>
          <w:snapToGrid/>
          <w:color w:val="000000"/>
          <w:spacing w:val="0"/>
        </w:rPr>
        <w:t>(a)</w:t>
      </w:r>
      <w:r>
        <w:rPr>
          <w:rFonts w:eastAsia="KaiTi_GB2312"/>
          <w:snapToGrid/>
          <w:color w:val="000000"/>
          <w:spacing w:val="0"/>
        </w:rPr>
        <w:tab/>
      </w:r>
      <w:r>
        <w:rPr>
          <w:rFonts w:eastAsia="KaiTi_GB2312" w:hint="eastAsia"/>
          <w:snapToGrid/>
          <w:color w:val="000000"/>
          <w:spacing w:val="0"/>
        </w:rPr>
        <w:t>第</w:t>
      </w:r>
      <w:r>
        <w:rPr>
          <w:rFonts w:eastAsia="KaiTi_GB2312"/>
          <w:snapToGrid/>
          <w:color w:val="000000"/>
          <w:spacing w:val="0"/>
        </w:rPr>
        <w:t>2(3)</w:t>
      </w:r>
      <w:r>
        <w:rPr>
          <w:rFonts w:eastAsia="KaiTi_GB2312" w:hint="eastAsia"/>
          <w:snapToGrid/>
          <w:color w:val="000000"/>
          <w:spacing w:val="0"/>
        </w:rPr>
        <w:t>条：“在解释及应用本条例时，须考虑本条例的目的是将《公民权利和政治权利国际公约》中适用于香港的规定收纳入香港法律，并对附带及有关连的事项作出规定。”</w:t>
      </w:r>
    </w:p>
    <w:p w:rsidR="00000000" w:rsidRDefault="00000000">
      <w:pPr>
        <w:tabs>
          <w:tab w:val="left" w:pos="709"/>
        </w:tabs>
        <w:spacing w:line="264" w:lineRule="auto"/>
        <w:ind w:left="1415" w:hanging="645"/>
        <w:rPr>
          <w:rFonts w:eastAsia="KaiTi_GB2312" w:hint="eastAsia"/>
          <w:snapToGrid/>
          <w:color w:val="000000"/>
          <w:spacing w:val="0"/>
        </w:rPr>
      </w:pPr>
      <w:r>
        <w:rPr>
          <w:rFonts w:eastAsia="KaiTi_GB2312"/>
          <w:snapToGrid/>
          <w:color w:val="000000"/>
          <w:spacing w:val="0"/>
        </w:rPr>
        <w:t>(b)</w:t>
      </w:r>
      <w:r>
        <w:rPr>
          <w:rFonts w:eastAsia="KaiTi_GB2312"/>
          <w:snapToGrid/>
          <w:color w:val="000000"/>
          <w:spacing w:val="0"/>
        </w:rPr>
        <w:tab/>
      </w:r>
      <w:r>
        <w:rPr>
          <w:rFonts w:eastAsia="KaiTi_GB2312" w:hint="eastAsia"/>
          <w:snapToGrid/>
          <w:color w:val="000000"/>
          <w:spacing w:val="0"/>
        </w:rPr>
        <w:t>第</w:t>
      </w:r>
      <w:r>
        <w:rPr>
          <w:rFonts w:eastAsia="KaiTi_GB2312"/>
          <w:snapToGrid/>
          <w:color w:val="000000"/>
          <w:spacing w:val="0"/>
        </w:rPr>
        <w:t>3</w:t>
      </w:r>
      <w:r>
        <w:rPr>
          <w:rFonts w:eastAsia="KaiTi_GB2312" w:hint="eastAsia"/>
          <w:snapToGrid/>
          <w:color w:val="000000"/>
          <w:spacing w:val="0"/>
        </w:rPr>
        <w:t>条：“对先前法例的影响：</w:t>
      </w:r>
    </w:p>
    <w:p w:rsidR="00000000" w:rsidRDefault="00000000">
      <w:pPr>
        <w:tabs>
          <w:tab w:val="left" w:pos="709"/>
          <w:tab w:val="left" w:pos="851"/>
        </w:tabs>
        <w:spacing w:line="264" w:lineRule="auto"/>
        <w:ind w:left="1835" w:hanging="420"/>
        <w:rPr>
          <w:rFonts w:eastAsia="KaiTi_GB2312"/>
          <w:snapToGrid/>
          <w:color w:val="000000"/>
          <w:spacing w:val="0"/>
        </w:rPr>
      </w:pPr>
      <w:r>
        <w:rPr>
          <w:rFonts w:eastAsia="KaiTi_GB2312"/>
          <w:snapToGrid/>
          <w:color w:val="000000"/>
          <w:spacing w:val="0"/>
        </w:rPr>
        <w:t>(1)</w:t>
      </w:r>
      <w:r>
        <w:rPr>
          <w:rFonts w:eastAsia="KaiTi_GB2312"/>
          <w:snapToGrid/>
          <w:color w:val="000000"/>
          <w:spacing w:val="0"/>
        </w:rPr>
        <w:tab/>
      </w:r>
      <w:r>
        <w:rPr>
          <w:rFonts w:eastAsia="KaiTi_GB2312" w:hint="eastAsia"/>
          <w:snapToGrid/>
          <w:color w:val="000000"/>
          <w:spacing w:val="0"/>
        </w:rPr>
        <w:t>所有先前法例，凡可作出与本条例没有抵触的解释的，须作如是解释。</w:t>
      </w:r>
    </w:p>
    <w:p w:rsidR="00000000" w:rsidRDefault="00000000">
      <w:pPr>
        <w:tabs>
          <w:tab w:val="left" w:pos="709"/>
          <w:tab w:val="left" w:pos="851"/>
          <w:tab w:val="left" w:pos="900"/>
        </w:tabs>
        <w:spacing w:line="264" w:lineRule="auto"/>
        <w:ind w:left="1835" w:hanging="420"/>
        <w:rPr>
          <w:rFonts w:eastAsia="KaiTi_GB2312"/>
          <w:snapToGrid/>
          <w:color w:val="000000"/>
          <w:spacing w:val="0"/>
        </w:rPr>
      </w:pPr>
      <w:r>
        <w:rPr>
          <w:rFonts w:eastAsia="KaiTi_GB2312"/>
          <w:snapToGrid/>
          <w:color w:val="000000"/>
          <w:spacing w:val="0"/>
        </w:rPr>
        <w:t>(2)</w:t>
      </w:r>
      <w:r>
        <w:rPr>
          <w:rFonts w:eastAsia="KaiTi_GB2312"/>
          <w:snapToGrid/>
          <w:color w:val="000000"/>
          <w:spacing w:val="0"/>
        </w:rPr>
        <w:tab/>
      </w:r>
      <w:r>
        <w:rPr>
          <w:rFonts w:eastAsia="KaiTi_GB2312" w:hint="eastAsia"/>
          <w:snapToGrid/>
          <w:color w:val="000000"/>
          <w:spacing w:val="0"/>
        </w:rPr>
        <w:t>所有先前法例，凡不可作出与本条例没有抵触的解释的，其与本条例抵触的部分现予废除。”</w:t>
      </w:r>
    </w:p>
    <w:p w:rsidR="00000000" w:rsidRDefault="00000000">
      <w:pPr>
        <w:tabs>
          <w:tab w:val="left" w:pos="709"/>
        </w:tabs>
        <w:spacing w:line="264" w:lineRule="auto"/>
        <w:ind w:left="1415" w:hanging="645"/>
        <w:rPr>
          <w:rFonts w:eastAsia="KaiTi_GB2312"/>
          <w:snapToGrid/>
          <w:color w:val="000000"/>
          <w:spacing w:val="0"/>
        </w:rPr>
      </w:pPr>
      <w:r>
        <w:rPr>
          <w:rFonts w:eastAsia="KaiTi_GB2312"/>
          <w:snapToGrid/>
          <w:color w:val="000000"/>
          <w:spacing w:val="0"/>
        </w:rPr>
        <w:t>(c)</w:t>
      </w:r>
      <w:r>
        <w:rPr>
          <w:rFonts w:eastAsia="KaiTi_GB2312"/>
          <w:snapToGrid/>
          <w:color w:val="000000"/>
          <w:spacing w:val="0"/>
        </w:rPr>
        <w:tab/>
      </w:r>
      <w:r>
        <w:rPr>
          <w:rFonts w:eastAsia="KaiTi_GB2312" w:hint="eastAsia"/>
          <w:snapToGrid/>
          <w:color w:val="000000"/>
          <w:spacing w:val="0"/>
        </w:rPr>
        <w:t>第</w:t>
      </w:r>
      <w:r>
        <w:rPr>
          <w:rFonts w:eastAsia="KaiTi_GB2312"/>
          <w:snapToGrid/>
          <w:color w:val="000000"/>
          <w:spacing w:val="0"/>
        </w:rPr>
        <w:t>4</w:t>
      </w:r>
      <w:r>
        <w:rPr>
          <w:rFonts w:eastAsia="KaiTi_GB2312" w:hint="eastAsia"/>
          <w:snapToGrid/>
          <w:color w:val="000000"/>
          <w:spacing w:val="0"/>
        </w:rPr>
        <w:t>条：“日后的法例的释义</w:t>
      </w:r>
      <w:r>
        <w:rPr>
          <w:rFonts w:hint="eastAsia"/>
          <w:snapToGrid/>
          <w:color w:val="000000"/>
          <w:spacing w:val="-50"/>
        </w:rPr>
        <w:t>―</w:t>
      </w:r>
      <w:r>
        <w:rPr>
          <w:rFonts w:hint="eastAsia"/>
          <w:snapToGrid/>
          <w:color w:val="000000"/>
        </w:rPr>
        <w:t>―</w:t>
      </w:r>
      <w:r>
        <w:rPr>
          <w:rFonts w:eastAsia="KaiTi_GB2312" w:hint="eastAsia"/>
          <w:snapToGrid/>
          <w:color w:val="000000"/>
          <w:spacing w:val="0"/>
        </w:rPr>
        <w:t>在生效日期或其后制定的所有法例，凡可解释为与《公民权利和政治权利国际公约》中适用于香港的规定没有抵触的，须作如是解释。”</w:t>
      </w:r>
    </w:p>
  </w:footnote>
  <w:footnote w:id="23">
    <w:p w:rsidR="00000000" w:rsidRDefault="00000000">
      <w:pPr>
        <w:tabs>
          <w:tab w:val="left" w:pos="709"/>
        </w:tabs>
        <w:spacing w:line="288" w:lineRule="auto"/>
        <w:ind w:left="1155" w:hanging="645"/>
        <w:rPr>
          <w:color w:val="000000"/>
        </w:rPr>
      </w:pPr>
      <w:r>
        <w:rPr>
          <w:b/>
          <w:snapToGrid/>
          <w:color w:val="000000"/>
          <w:vertAlign w:val="superscript"/>
        </w:rPr>
        <w:t>10</w:t>
      </w:r>
      <w:r>
        <w:rPr>
          <w:rFonts w:eastAsia="KaiTi_GB2312" w:hint="eastAsia"/>
          <w:snapToGrid/>
          <w:color w:val="000000"/>
          <w:spacing w:val="0"/>
        </w:rPr>
        <w:tab/>
      </w:r>
      <w:r>
        <w:rPr>
          <w:rFonts w:eastAsia="KaiTi_GB2312" w:hint="eastAsia"/>
          <w:snapToGrid/>
          <w:color w:val="000000"/>
          <w:spacing w:val="0"/>
        </w:rPr>
        <w:tab/>
      </w:r>
      <w:r>
        <w:rPr>
          <w:rFonts w:eastAsia="KaiTi_GB2312" w:hint="eastAsia"/>
          <w:snapToGrid/>
          <w:color w:val="000000"/>
          <w:spacing w:val="0"/>
        </w:rPr>
        <w:t>前称《行政事务申诉专员条例》。</w:t>
      </w:r>
    </w:p>
  </w:footnote>
  <w:footnote w:id="24">
    <w:p w:rsidR="00000000" w:rsidRDefault="00000000">
      <w:pPr>
        <w:pStyle w:val="FootnoteText"/>
        <w:tabs>
          <w:tab w:val="left" w:pos="140"/>
        </w:tabs>
        <w:rPr>
          <w:rFonts w:hint="eastAsia"/>
          <w:color w:val="000000"/>
        </w:rPr>
      </w:pPr>
      <w:r>
        <w:rPr>
          <w:rStyle w:val="FootnoteReference"/>
        </w:rPr>
        <w:t>11</w:t>
      </w:r>
      <w:r>
        <w:rPr>
          <w:color w:val="000000"/>
        </w:rPr>
        <w:t xml:space="preserve"> </w:t>
      </w:r>
      <w:r>
        <w:rPr>
          <w:rFonts w:hint="eastAsia"/>
          <w:color w:val="000000"/>
        </w:rPr>
        <w:tab/>
      </w:r>
      <w:r>
        <w:rPr>
          <w:rFonts w:hint="eastAsia"/>
          <w:color w:val="000000"/>
        </w:rPr>
        <w:t>《法律援助条例》</w:t>
      </w:r>
      <w:r>
        <w:rPr>
          <w:color w:val="000000"/>
        </w:rPr>
        <w:t>(</w:t>
      </w:r>
      <w:r>
        <w:rPr>
          <w:rFonts w:hint="eastAsia"/>
          <w:color w:val="000000"/>
        </w:rPr>
        <w:t>第</w:t>
      </w:r>
      <w:r>
        <w:rPr>
          <w:color w:val="000000"/>
        </w:rPr>
        <w:t>91</w:t>
      </w:r>
      <w:r>
        <w:rPr>
          <w:rFonts w:hint="eastAsia"/>
          <w:color w:val="000000"/>
        </w:rPr>
        <w:t>章</w:t>
      </w:r>
      <w:r>
        <w:rPr>
          <w:color w:val="000000"/>
        </w:rPr>
        <w:t>)</w:t>
      </w:r>
      <w:r>
        <w:rPr>
          <w:rFonts w:hint="eastAsia"/>
          <w:color w:val="000000"/>
        </w:rPr>
        <w:t>第</w:t>
      </w:r>
      <w:r>
        <w:rPr>
          <w:color w:val="000000"/>
        </w:rPr>
        <w:t>5AA</w:t>
      </w:r>
      <w:r>
        <w:rPr>
          <w:rFonts w:hint="eastAsia"/>
          <w:color w:val="000000"/>
        </w:rPr>
        <w:t>条。</w:t>
      </w:r>
    </w:p>
  </w:footnote>
  <w:footnote w:id="25">
    <w:p w:rsidR="00000000" w:rsidRDefault="00000000">
      <w:pPr>
        <w:pStyle w:val="FootnoteText"/>
        <w:rPr>
          <w:rFonts w:ascii="華康細明體" w:hint="eastAsia"/>
          <w:color w:val="000000"/>
        </w:rPr>
      </w:pPr>
      <w:r>
        <w:rPr>
          <w:rStyle w:val="FootnoteReference"/>
        </w:rPr>
        <w:t>12</w:t>
      </w:r>
      <w:r>
        <w:tab/>
      </w:r>
      <w:r>
        <w:rPr>
          <w:rFonts w:ascii="華康細明體" w:hint="eastAsia"/>
          <w:color w:val="000000"/>
        </w:rPr>
        <w:t>对“委员会审议中国香港特别行政区就《经济、社会与文化权利的国际公约》提交的首份报告时将提出的讨论事项一览表”第</w:t>
      </w:r>
      <w:r>
        <w:rPr>
          <w:color w:val="000000"/>
        </w:rPr>
        <w:t>7</w:t>
      </w:r>
      <w:r>
        <w:rPr>
          <w:rFonts w:ascii="華康細明體" w:hint="eastAsia"/>
          <w:color w:val="000000"/>
        </w:rPr>
        <w:t>条问题作出的回应。</w:t>
      </w:r>
    </w:p>
  </w:footnote>
  <w:footnote w:id="26">
    <w:p w:rsidR="00000000" w:rsidRDefault="00000000">
      <w:pPr>
        <w:pStyle w:val="FootnoteText"/>
        <w:rPr>
          <w:color w:val="000000"/>
        </w:rPr>
      </w:pPr>
      <w:r>
        <w:rPr>
          <w:rStyle w:val="FootnoteReference"/>
        </w:rPr>
        <w:t>13</w:t>
      </w:r>
      <w:r>
        <w:tab/>
      </w:r>
      <w:r>
        <w:rPr>
          <w:rFonts w:hint="eastAsia"/>
          <w:color w:val="000000"/>
        </w:rPr>
        <w:t>“第</w:t>
      </w:r>
      <w:r>
        <w:rPr>
          <w:color w:val="000000"/>
        </w:rPr>
        <w:t>22</w:t>
      </w:r>
      <w:r>
        <w:rPr>
          <w:rFonts w:hint="eastAsia"/>
          <w:color w:val="000000"/>
        </w:rPr>
        <w:t>条报告”指根据《国际劳工组织章程》第</w:t>
      </w:r>
      <w:r>
        <w:rPr>
          <w:color w:val="000000"/>
        </w:rPr>
        <w:t>22</w:t>
      </w:r>
      <w:r>
        <w:rPr>
          <w:rFonts w:hint="eastAsia"/>
          <w:color w:val="000000"/>
        </w:rPr>
        <w:t>条，向国际劳工组织提交的报告。</w:t>
      </w:r>
    </w:p>
  </w:footnote>
  <w:footnote w:id="27">
    <w:p w:rsidR="00000000" w:rsidRDefault="00000000">
      <w:pPr>
        <w:pStyle w:val="FootnoteText"/>
        <w:tabs>
          <w:tab w:val="left" w:pos="140"/>
        </w:tabs>
        <w:rPr>
          <w:rFonts w:hint="eastAsia"/>
          <w:color w:val="000000"/>
        </w:rPr>
      </w:pPr>
      <w:r>
        <w:rPr>
          <w:rStyle w:val="FootnoteReference"/>
        </w:rPr>
        <w:t>14</w:t>
      </w:r>
      <w:r>
        <w:t xml:space="preserve"> </w:t>
      </w:r>
      <w:r>
        <w:rPr>
          <w:rFonts w:hint="eastAsia"/>
        </w:rPr>
        <w:tab/>
      </w:r>
      <w:r>
        <w:rPr>
          <w:rFonts w:hint="eastAsia"/>
          <w:color w:val="000000"/>
        </w:rPr>
        <w:t>“新来港定居人士”指新近来香港定居的人士。这个名词原先仅指来自中国内地的人士，但我们现已把它的定义扩大至包括由其他国家来香港定居的人士。劳工处的服务一视同仁，本港所有人士均可享用。</w:t>
      </w:r>
    </w:p>
  </w:footnote>
  <w:footnote w:id="28">
    <w:p w:rsidR="00000000" w:rsidRDefault="00000000">
      <w:pPr>
        <w:pStyle w:val="FootnoteText"/>
        <w:tabs>
          <w:tab w:val="left" w:pos="140"/>
        </w:tabs>
        <w:rPr>
          <w:rFonts w:hint="eastAsia"/>
          <w:color w:val="000000"/>
        </w:rPr>
      </w:pPr>
      <w:r>
        <w:rPr>
          <w:rStyle w:val="FootnoteReference"/>
        </w:rPr>
        <w:t>15</w:t>
      </w:r>
      <w:r>
        <w:t xml:space="preserve"> </w:t>
      </w:r>
      <w:r>
        <w:tab/>
      </w:r>
      <w:r>
        <w:rPr>
          <w:rFonts w:hint="eastAsia"/>
          <w:color w:val="000000"/>
        </w:rPr>
        <w:t>由于尼泊尔人的语言和文化与我们差别很大，因此他们是本港的少数族裔人士中，最难适应本地生活的。所以，他们一直是我们为非华裔少数族裔人士提供外展服务的主要对象。</w:t>
      </w:r>
    </w:p>
  </w:footnote>
  <w:footnote w:id="29">
    <w:p w:rsidR="00000000" w:rsidRDefault="00000000">
      <w:pPr>
        <w:pStyle w:val="FootnoteText"/>
        <w:tabs>
          <w:tab w:val="left" w:pos="140"/>
        </w:tabs>
        <w:rPr>
          <w:rFonts w:hint="eastAsia"/>
          <w:color w:val="000000"/>
        </w:rPr>
      </w:pPr>
      <w:r>
        <w:rPr>
          <w:rStyle w:val="FootnoteReference"/>
        </w:rPr>
        <w:t>16</w:t>
      </w:r>
      <w:r>
        <w:rPr>
          <w:color w:val="000000"/>
        </w:rPr>
        <w:t xml:space="preserve"> </w:t>
      </w:r>
      <w:r>
        <w:rPr>
          <w:color w:val="000000"/>
        </w:rPr>
        <w:tab/>
      </w:r>
      <w:r>
        <w:rPr>
          <w:rFonts w:hint="eastAsia"/>
          <w:color w:val="000000"/>
        </w:rPr>
        <w:t>那些聘用</w:t>
      </w:r>
      <w:r>
        <w:rPr>
          <w:color w:val="000000"/>
        </w:rPr>
        <w:t>“</w:t>
      </w:r>
      <w:r>
        <w:rPr>
          <w:rFonts w:hint="eastAsia"/>
          <w:color w:val="000000"/>
        </w:rPr>
        <w:t>在职培训计划</w:t>
      </w:r>
      <w:r>
        <w:rPr>
          <w:color w:val="000000"/>
        </w:rPr>
        <w:t>”</w:t>
      </w:r>
      <w:r>
        <w:rPr>
          <w:rFonts w:hint="eastAsia"/>
          <w:color w:val="000000"/>
        </w:rPr>
        <w:t>学员的雇主，承诺会向学员提供全面在职训练。没有参加这项计划的雇主并无作出同样承诺。</w:t>
      </w:r>
    </w:p>
  </w:footnote>
  <w:footnote w:id="30">
    <w:p w:rsidR="00000000" w:rsidRDefault="00000000">
      <w:pPr>
        <w:pStyle w:val="FootnoteText"/>
        <w:tabs>
          <w:tab w:val="left" w:pos="140"/>
        </w:tabs>
        <w:rPr>
          <w:rFonts w:hint="eastAsia"/>
          <w:color w:val="000000"/>
        </w:rPr>
      </w:pPr>
      <w:r>
        <w:rPr>
          <w:rStyle w:val="FootnoteReference"/>
        </w:rPr>
        <w:t>17</w:t>
      </w:r>
      <w:r>
        <w:rPr>
          <w:color w:val="000000"/>
        </w:rPr>
        <w:t xml:space="preserve"> </w:t>
      </w:r>
      <w:r>
        <w:rPr>
          <w:color w:val="000000"/>
        </w:rPr>
        <w:tab/>
      </w:r>
      <w:r>
        <w:rPr>
          <w:rFonts w:hint="eastAsia"/>
          <w:color w:val="000000"/>
        </w:rPr>
        <w:t>委员会在对英国根据公约所提交第三次定期报告的审议结论第</w:t>
      </w:r>
      <w:r>
        <w:rPr>
          <w:color w:val="000000"/>
        </w:rPr>
        <w:t>15</w:t>
      </w:r>
      <w:r>
        <w:rPr>
          <w:rFonts w:hint="eastAsia"/>
          <w:color w:val="000000"/>
        </w:rPr>
        <w:t>段表达这些关注。本地论者也认同这些关注。</w:t>
      </w:r>
    </w:p>
  </w:footnote>
  <w:footnote w:id="31">
    <w:p w:rsidR="00000000" w:rsidRDefault="00000000">
      <w:pPr>
        <w:pStyle w:val="FootnoteText"/>
        <w:tabs>
          <w:tab w:val="left" w:pos="140"/>
        </w:tabs>
        <w:rPr>
          <w:rFonts w:hint="eastAsia"/>
          <w:color w:val="000000"/>
        </w:rPr>
      </w:pPr>
      <w:r>
        <w:rPr>
          <w:rStyle w:val="FootnoteReference"/>
        </w:rPr>
        <w:t>18</w:t>
      </w:r>
      <w:r>
        <w:rPr>
          <w:color w:val="000000"/>
        </w:rPr>
        <w:t xml:space="preserve"> </w:t>
      </w:r>
      <w:r>
        <w:rPr>
          <w:color w:val="000000"/>
        </w:rPr>
        <w:tab/>
      </w:r>
      <w:r>
        <w:rPr>
          <w:rFonts w:hint="eastAsia"/>
          <w:color w:val="000000"/>
        </w:rPr>
        <w:t>强制性公积金计划会在公约第九条第</w:t>
      </w:r>
      <w:r>
        <w:rPr>
          <w:color w:val="000000"/>
        </w:rPr>
        <w:t>460</w:t>
      </w:r>
      <w:r>
        <w:rPr>
          <w:rFonts w:hint="eastAsia"/>
          <w:color w:val="000000"/>
        </w:rPr>
        <w:t>至</w:t>
      </w:r>
      <w:r>
        <w:rPr>
          <w:color w:val="000000"/>
        </w:rPr>
        <w:t>462</w:t>
      </w:r>
      <w:r>
        <w:rPr>
          <w:rFonts w:hint="eastAsia"/>
          <w:color w:val="000000"/>
        </w:rPr>
        <w:t>段论述。</w:t>
      </w:r>
    </w:p>
  </w:footnote>
  <w:footnote w:id="32">
    <w:p w:rsidR="00000000" w:rsidRDefault="00000000">
      <w:pPr>
        <w:pStyle w:val="FootnoteText"/>
        <w:tabs>
          <w:tab w:val="left" w:pos="140"/>
        </w:tabs>
        <w:rPr>
          <w:rFonts w:hint="eastAsia"/>
          <w:color w:val="000000"/>
        </w:rPr>
      </w:pPr>
      <w:r>
        <w:rPr>
          <w:rStyle w:val="FootnoteReference"/>
        </w:rPr>
        <w:t>19</w:t>
      </w:r>
      <w:r>
        <w:rPr>
          <w:color w:val="000000"/>
        </w:rPr>
        <w:t xml:space="preserve"> </w:t>
      </w:r>
      <w:r>
        <w:rPr>
          <w:color w:val="000000"/>
        </w:rPr>
        <w:tab/>
      </w:r>
      <w:r>
        <w:rPr>
          <w:rFonts w:hint="eastAsia"/>
          <w:color w:val="000000"/>
        </w:rPr>
        <w:t>如雇员受雇至少四星期，且每星期工作至少</w:t>
      </w:r>
      <w:r>
        <w:rPr>
          <w:color w:val="000000"/>
        </w:rPr>
        <w:t>18</w:t>
      </w:r>
      <w:r>
        <w:rPr>
          <w:rFonts w:hint="eastAsia"/>
          <w:color w:val="000000"/>
        </w:rPr>
        <w:t>小时，即为根据连续性合约受雇。</w:t>
      </w:r>
    </w:p>
  </w:footnote>
  <w:footnote w:id="33">
    <w:p w:rsidR="00000000" w:rsidRDefault="00000000">
      <w:pPr>
        <w:pStyle w:val="FootnoteText"/>
        <w:tabs>
          <w:tab w:val="left" w:pos="140"/>
        </w:tabs>
        <w:rPr>
          <w:rFonts w:hint="eastAsia"/>
          <w:color w:val="000000"/>
        </w:rPr>
      </w:pPr>
      <w:r>
        <w:rPr>
          <w:rStyle w:val="FootnoteReference"/>
        </w:rPr>
        <w:t>20</w:t>
      </w:r>
      <w:r>
        <w:rPr>
          <w:color w:val="000000"/>
        </w:rPr>
        <w:t xml:space="preserve"> </w:t>
      </w:r>
      <w:r>
        <w:rPr>
          <w:rFonts w:hint="eastAsia"/>
          <w:color w:val="000000"/>
        </w:rPr>
        <w:tab/>
      </w:r>
      <w:r>
        <w:rPr>
          <w:rFonts w:ascii="華康細明體" w:hint="eastAsia"/>
          <w:color w:val="000000"/>
        </w:rPr>
        <w:t>《</w:t>
      </w:r>
      <w:r>
        <w:rPr>
          <w:rFonts w:hint="eastAsia"/>
          <w:color w:val="000000"/>
        </w:rPr>
        <w:t>雇佣条例</w:t>
      </w:r>
      <w:r>
        <w:rPr>
          <w:rFonts w:ascii="華康細明體" w:hint="eastAsia"/>
          <w:color w:val="000000"/>
        </w:rPr>
        <w:t>》</w:t>
      </w:r>
      <w:r>
        <w:rPr>
          <w:color w:val="000000"/>
        </w:rPr>
        <w:t>(</w:t>
      </w:r>
      <w:r>
        <w:rPr>
          <w:rFonts w:hint="eastAsia"/>
          <w:color w:val="000000"/>
        </w:rPr>
        <w:t>第</w:t>
      </w:r>
      <w:r>
        <w:rPr>
          <w:color w:val="000000"/>
        </w:rPr>
        <w:t>57</w:t>
      </w:r>
      <w:r>
        <w:rPr>
          <w:rFonts w:hint="eastAsia"/>
          <w:color w:val="000000"/>
        </w:rPr>
        <w:t>章</w:t>
      </w:r>
      <w:r>
        <w:rPr>
          <w:color w:val="000000"/>
        </w:rPr>
        <w:t>)</w:t>
      </w:r>
      <w:r>
        <w:rPr>
          <w:rFonts w:hint="eastAsia"/>
          <w:color w:val="000000"/>
        </w:rPr>
        <w:t>第</w:t>
      </w:r>
      <w:r>
        <w:rPr>
          <w:color w:val="000000"/>
        </w:rPr>
        <w:t>23</w:t>
      </w:r>
      <w:r>
        <w:rPr>
          <w:rFonts w:hint="eastAsia"/>
          <w:color w:val="000000"/>
        </w:rPr>
        <w:t>至</w:t>
      </w:r>
      <w:r>
        <w:rPr>
          <w:color w:val="000000"/>
        </w:rPr>
        <w:t>25</w:t>
      </w:r>
      <w:r>
        <w:rPr>
          <w:rFonts w:hint="eastAsia"/>
          <w:color w:val="000000"/>
        </w:rPr>
        <w:t>条、第</w:t>
      </w:r>
      <w:r>
        <w:rPr>
          <w:color w:val="000000"/>
        </w:rPr>
        <w:t>25A</w:t>
      </w:r>
      <w:r>
        <w:rPr>
          <w:rFonts w:hint="eastAsia"/>
          <w:color w:val="000000"/>
        </w:rPr>
        <w:t>、</w:t>
      </w:r>
      <w:r>
        <w:rPr>
          <w:color w:val="000000"/>
        </w:rPr>
        <w:t>63C</w:t>
      </w:r>
      <w:r>
        <w:rPr>
          <w:rFonts w:hint="eastAsia"/>
          <w:color w:val="000000"/>
        </w:rPr>
        <w:t>和</w:t>
      </w:r>
      <w:r>
        <w:rPr>
          <w:color w:val="000000"/>
        </w:rPr>
        <w:t>63CA</w:t>
      </w:r>
      <w:r>
        <w:rPr>
          <w:rFonts w:hint="eastAsia"/>
          <w:color w:val="000000"/>
        </w:rPr>
        <w:t>条。另外，第</w:t>
      </w:r>
      <w:r>
        <w:rPr>
          <w:color w:val="000000"/>
        </w:rPr>
        <w:t>32</w:t>
      </w:r>
      <w:r>
        <w:rPr>
          <w:rFonts w:hint="eastAsia"/>
          <w:color w:val="000000"/>
        </w:rPr>
        <w:t>和</w:t>
      </w:r>
      <w:r>
        <w:rPr>
          <w:color w:val="000000"/>
        </w:rPr>
        <w:t>63B</w:t>
      </w:r>
      <w:r>
        <w:rPr>
          <w:rFonts w:hint="eastAsia"/>
          <w:color w:val="000000"/>
        </w:rPr>
        <w:t>条就雇主少付工资而为雇员提供保障。第</w:t>
      </w:r>
      <w:r>
        <w:rPr>
          <w:color w:val="000000"/>
        </w:rPr>
        <w:t>32</w:t>
      </w:r>
      <w:r>
        <w:rPr>
          <w:rFonts w:hint="eastAsia"/>
          <w:color w:val="000000"/>
        </w:rPr>
        <w:t>条规定，</w:t>
      </w:r>
      <w:r>
        <w:rPr>
          <w:rFonts w:ascii="華康細明體" w:hint="eastAsia"/>
          <w:color w:val="000000"/>
        </w:rPr>
        <w:t>“</w:t>
      </w:r>
      <w:r>
        <w:rPr>
          <w:rFonts w:hint="eastAsia"/>
          <w:color w:val="000000"/>
        </w:rPr>
        <w:t>除按照本条例所规定外，雇主不得从雇员的工资</w:t>
      </w:r>
      <w:r>
        <w:rPr>
          <w:rFonts w:ascii="華康細明體" w:hint="eastAsia"/>
          <w:color w:val="000000"/>
        </w:rPr>
        <w:t>……</w:t>
      </w:r>
      <w:r>
        <w:rPr>
          <w:rFonts w:hint="eastAsia"/>
          <w:color w:val="000000"/>
        </w:rPr>
        <w:t>中扣除任何款项。</w:t>
      </w:r>
      <w:r>
        <w:rPr>
          <w:rFonts w:ascii="華康細明體" w:hint="eastAsia"/>
          <w:color w:val="000000"/>
        </w:rPr>
        <w:t>”第</w:t>
      </w:r>
      <w:r>
        <w:rPr>
          <w:color w:val="000000"/>
        </w:rPr>
        <w:t>63B</w:t>
      </w:r>
      <w:r>
        <w:rPr>
          <w:rFonts w:hint="eastAsia"/>
          <w:color w:val="000000"/>
        </w:rPr>
        <w:t>条则规定，任何人如违反第</w:t>
      </w:r>
      <w:r>
        <w:rPr>
          <w:color w:val="000000"/>
        </w:rPr>
        <w:t>32</w:t>
      </w:r>
      <w:r>
        <w:rPr>
          <w:rFonts w:hint="eastAsia"/>
          <w:color w:val="000000"/>
        </w:rPr>
        <w:t>条的规定，可处第</w:t>
      </w:r>
      <w:r>
        <w:rPr>
          <w:color w:val="000000"/>
        </w:rPr>
        <w:t>6</w:t>
      </w:r>
      <w:r>
        <w:rPr>
          <w:rFonts w:hint="eastAsia"/>
          <w:color w:val="000000"/>
        </w:rPr>
        <w:t>级罚款及监禁一年。</w:t>
      </w:r>
    </w:p>
  </w:footnote>
  <w:footnote w:id="34">
    <w:p w:rsidR="00000000" w:rsidRDefault="00000000">
      <w:pPr>
        <w:pStyle w:val="FootnoteText"/>
      </w:pPr>
      <w:r>
        <w:rPr>
          <w:rStyle w:val="FootnoteReference"/>
        </w:rPr>
        <w:t>21</w:t>
      </w:r>
      <w:r>
        <w:t xml:space="preserve"> </w:t>
      </w:r>
      <w:r>
        <w:tab/>
      </w:r>
      <w:r>
        <w:rPr>
          <w:rFonts w:hint="eastAsia"/>
        </w:rPr>
        <w:t>《基本法》第二十七条规定：</w:t>
      </w:r>
      <w:r>
        <w:t>“</w:t>
      </w:r>
      <w:r>
        <w:rPr>
          <w:rFonts w:hint="eastAsia"/>
        </w:rPr>
        <w:t>香港居民享有言论、新闻、出版的自由，结社、集会、游行、示威的自由，组织和参加工会、罢工的权利和自由。</w:t>
      </w:r>
      <w:r>
        <w:t>”</w:t>
      </w:r>
    </w:p>
  </w:footnote>
  <w:footnote w:id="35">
    <w:p w:rsidR="00000000" w:rsidRDefault="00000000">
      <w:pPr>
        <w:pStyle w:val="FootnoteText"/>
        <w:rPr>
          <w:rFonts w:hint="eastAsia"/>
        </w:rPr>
      </w:pPr>
      <w:r>
        <w:rPr>
          <w:rStyle w:val="FootnoteReference"/>
        </w:rPr>
        <w:t>22</w:t>
      </w:r>
      <w:r>
        <w:t xml:space="preserve"> </w:t>
      </w:r>
      <w:r>
        <w:tab/>
      </w:r>
      <w:r>
        <w:rPr>
          <w:rFonts w:hint="eastAsia"/>
        </w:rPr>
        <w:t>有关条文保障雇员在享有遣散费和长期服务金方面的权利，以及为参与罢工行动而遭即时解雇的雇员提供有关就业保障的补救安排。</w:t>
      </w:r>
    </w:p>
  </w:footnote>
  <w:footnote w:id="36">
    <w:p w:rsidR="00000000" w:rsidRDefault="00000000">
      <w:pPr>
        <w:pStyle w:val="FootnoteText"/>
        <w:rPr>
          <w:rFonts w:hint="eastAsia"/>
        </w:rPr>
      </w:pPr>
      <w:r>
        <w:rPr>
          <w:rStyle w:val="FootnoteReference"/>
        </w:rPr>
        <w:t>23</w:t>
      </w:r>
      <w:r>
        <w:t xml:space="preserve"> </w:t>
      </w:r>
      <w:r>
        <w:rPr>
          <w:sz w:val="20"/>
        </w:rPr>
        <w:tab/>
      </w:r>
      <w:r>
        <w:rPr>
          <w:rFonts w:hint="eastAsia"/>
        </w:rPr>
        <w:t>联合国经济、社会与文化权利委员会审议中国香港特别行政区就《经济、社会与文化权利的国际公约》第一至第十五条所涵盖权利而提交的首份报告时提出的讨论事项一览表。</w:t>
      </w:r>
    </w:p>
  </w:footnote>
  <w:footnote w:id="37">
    <w:p w:rsidR="00000000" w:rsidRDefault="00000000">
      <w:pPr>
        <w:pStyle w:val="FootnoteText"/>
        <w:rPr>
          <w:rFonts w:hint="eastAsia"/>
        </w:rPr>
      </w:pPr>
      <w:r>
        <w:rPr>
          <w:rStyle w:val="FootnoteReference"/>
        </w:rPr>
        <w:t>24</w:t>
      </w:r>
      <w:r>
        <w:t xml:space="preserve"> </w:t>
      </w:r>
      <w:r>
        <w:tab/>
      </w:r>
      <w:r>
        <w:rPr>
          <w:rFonts w:hint="eastAsia"/>
        </w:rPr>
        <w:t>社会保障援助价格指数</w:t>
      </w:r>
      <w:r>
        <w:t>(</w:t>
      </w:r>
      <w:r>
        <w:rPr>
          <w:rFonts w:hint="eastAsia"/>
        </w:rPr>
        <w:t>由政府统计处每月编制</w:t>
      </w:r>
      <w:r>
        <w:t>)</w:t>
      </w:r>
      <w:r>
        <w:rPr>
          <w:rFonts w:hint="eastAsia"/>
        </w:rPr>
        <w:t>是按综援受助家庭的开支模式计算，以得出通胀</w:t>
      </w:r>
      <w:r>
        <w:rPr>
          <w:rFonts w:hint="eastAsia"/>
        </w:rPr>
        <w:t>/</w:t>
      </w:r>
      <w:r>
        <w:rPr>
          <w:rFonts w:hint="eastAsia"/>
        </w:rPr>
        <w:t>通缩幅度。除根据综援计划获发放特别津贴的项目</w:t>
      </w:r>
      <w:r>
        <w:t>(</w:t>
      </w:r>
      <w:r>
        <w:rPr>
          <w:rFonts w:hint="eastAsia"/>
        </w:rPr>
        <w:t>如租金</w:t>
      </w:r>
      <w:r>
        <w:t>)</w:t>
      </w:r>
      <w:r>
        <w:rPr>
          <w:rFonts w:hint="eastAsia"/>
        </w:rPr>
        <w:t>外，该指数所涵盖的项目与消费物价指数的相同。该指数的变动，可为按价格变动而调整的综援及福利金下的标准金额提供依据。</w:t>
      </w:r>
    </w:p>
  </w:footnote>
  <w:footnote w:id="38">
    <w:p w:rsidR="00000000" w:rsidRDefault="00000000">
      <w:pPr>
        <w:pStyle w:val="FootnoteText"/>
      </w:pPr>
      <w:r>
        <w:rPr>
          <w:rStyle w:val="FootnoteReference"/>
        </w:rPr>
        <w:t>25</w:t>
      </w:r>
      <w:r>
        <w:t xml:space="preserve"> </w:t>
      </w:r>
      <w:r>
        <w:rPr>
          <w:rFonts w:hint="eastAsia"/>
        </w:rPr>
        <w:tab/>
      </w:r>
      <w:r>
        <w:rPr>
          <w:rFonts w:hint="eastAsia"/>
        </w:rPr>
        <w:t>牛津大学出版社，纽约，一九九四年。</w:t>
      </w:r>
    </w:p>
  </w:footnote>
  <w:footnote w:id="39">
    <w:p w:rsidR="00000000" w:rsidRDefault="00000000">
      <w:pPr>
        <w:pStyle w:val="FootnoteText"/>
        <w:rPr>
          <w:rFonts w:hint="eastAsia"/>
        </w:rPr>
      </w:pPr>
      <w:r>
        <w:rPr>
          <w:rStyle w:val="FootnoteReference"/>
        </w:rPr>
        <w:t>26</w:t>
      </w:r>
      <w:r>
        <w:t xml:space="preserve"> </w:t>
      </w:r>
      <w:r>
        <w:tab/>
      </w:r>
      <w:r>
        <w:rPr>
          <w:rFonts w:hint="eastAsia"/>
        </w:rPr>
        <w:t>因为负责应付边缘青少年问题的专业人士认为，儿童在成长期间的需要必须尽早识别，并在其后采取所需的辅助工作，防止问题恶化。</w:t>
      </w:r>
    </w:p>
  </w:footnote>
  <w:footnote w:id="40">
    <w:p w:rsidR="00000000" w:rsidRDefault="00000000">
      <w:pPr>
        <w:pStyle w:val="FootnoteText"/>
        <w:rPr>
          <w:rFonts w:hint="eastAsia"/>
        </w:rPr>
      </w:pPr>
      <w:r>
        <w:rPr>
          <w:rStyle w:val="FootnoteReference"/>
        </w:rPr>
        <w:t>27</w:t>
      </w:r>
      <w:r>
        <w:t xml:space="preserve"> </w:t>
      </w:r>
      <w:r>
        <w:rPr>
          <w:rFonts w:hint="eastAsia"/>
        </w:rPr>
        <w:tab/>
      </w:r>
      <w:r>
        <w:rPr>
          <w:rFonts w:hint="eastAsia"/>
        </w:rPr>
        <w:t>有关“工具”是一份问卷，有一部分由学生填写，另一部分则由教师填写。</w:t>
      </w:r>
    </w:p>
  </w:footnote>
  <w:footnote w:id="41">
    <w:p w:rsidR="00000000" w:rsidRDefault="00000000">
      <w:pPr>
        <w:pStyle w:val="FootnoteText"/>
        <w:rPr>
          <w:rFonts w:hint="eastAsia"/>
        </w:rPr>
      </w:pPr>
      <w:r>
        <w:rPr>
          <w:rStyle w:val="FootnoteReference"/>
        </w:rPr>
        <w:t>28</w:t>
      </w:r>
      <w:r>
        <w:t xml:space="preserve"> </w:t>
      </w:r>
      <w:r>
        <w:rPr>
          <w:rFonts w:hint="eastAsia"/>
        </w:rPr>
        <w:tab/>
      </w:r>
      <w:r>
        <w:rPr>
          <w:rFonts w:hint="eastAsia"/>
        </w:rPr>
        <w:t>香港赛马会慈善信托基金拨款资助该中心。</w:t>
      </w:r>
    </w:p>
  </w:footnote>
  <w:footnote w:id="42">
    <w:p w:rsidR="00000000" w:rsidRDefault="00000000">
      <w:pPr>
        <w:pStyle w:val="EndnoteText"/>
        <w:rPr>
          <w:rFonts w:hint="eastAsia"/>
        </w:rPr>
      </w:pPr>
      <w:r>
        <w:rPr>
          <w:rStyle w:val="FootnoteReference"/>
        </w:rPr>
        <w:t>29</w:t>
      </w:r>
      <w:r>
        <w:t xml:space="preserve"> </w:t>
      </w:r>
      <w:r>
        <w:rPr>
          <w:rFonts w:hint="eastAsia"/>
        </w:rPr>
        <w:tab/>
      </w:r>
      <w:r>
        <w:rPr>
          <w:rFonts w:hint="eastAsia"/>
        </w:rPr>
        <w:t>《处理虐待儿童个案工作程序</w:t>
      </w:r>
      <w:r>
        <w:rPr>
          <w:rFonts w:eastAsia="SimSun" w:hint="eastAsia"/>
          <w:spacing w:val="-50"/>
        </w:rPr>
        <w:t>―</w:t>
      </w:r>
      <w:r>
        <w:rPr>
          <w:rFonts w:eastAsia="SimSun" w:hint="eastAsia"/>
        </w:rPr>
        <w:t>―</w:t>
      </w:r>
      <w:r>
        <w:rPr>
          <w:rFonts w:hint="eastAsia"/>
        </w:rPr>
        <w:t>一九九八年修订本》；《跨部门处理虐待配偶个案工作程序指引》</w:t>
      </w:r>
      <w:r>
        <w:t>(</w:t>
      </w:r>
      <w:r>
        <w:rPr>
          <w:rFonts w:hint="eastAsia"/>
        </w:rPr>
        <w:t>一九九六年</w:t>
      </w:r>
      <w:r>
        <w:t>)</w:t>
      </w:r>
      <w:r>
        <w:rPr>
          <w:rFonts w:hint="eastAsia"/>
        </w:rPr>
        <w:t>和《处理性暴力个案程序指引》</w:t>
      </w:r>
      <w:r>
        <w:t>(</w:t>
      </w:r>
      <w:r>
        <w:rPr>
          <w:rFonts w:hint="eastAsia"/>
        </w:rPr>
        <w:t>二零零二年</w:t>
      </w:r>
      <w:r>
        <w:t>)</w:t>
      </w:r>
      <w:r>
        <w:rPr>
          <w:rFonts w:hint="eastAsia"/>
        </w:rPr>
        <w:t>。</w:t>
      </w:r>
    </w:p>
  </w:footnote>
  <w:footnote w:id="43">
    <w:p w:rsidR="00000000" w:rsidRDefault="00000000">
      <w:pPr>
        <w:pStyle w:val="FootnoteText"/>
        <w:rPr>
          <w:rFonts w:hint="eastAsia"/>
        </w:rPr>
      </w:pPr>
      <w:r>
        <w:rPr>
          <w:rStyle w:val="FootnoteReference"/>
        </w:rPr>
        <w:t>30</w:t>
      </w:r>
      <w:r>
        <w:t xml:space="preserve"> </w:t>
      </w:r>
      <w:r>
        <w:tab/>
      </w:r>
      <w:r>
        <w:rPr>
          <w:rFonts w:hint="eastAsia"/>
        </w:rPr>
        <w:t>二零零二年的数据所代表的实际人数为</w:t>
      </w:r>
      <w:r>
        <w:t>1,501</w:t>
      </w:r>
      <w:r>
        <w:rPr>
          <w:rFonts w:hint="eastAsia"/>
        </w:rPr>
        <w:t>人：占药物滥用资料中央档案室</w:t>
      </w:r>
      <w:r>
        <w:t xml:space="preserve">  </w:t>
      </w:r>
      <w:r>
        <w:rPr>
          <w:rFonts w:hint="eastAsia"/>
        </w:rPr>
        <w:t>所接报的全部个案的</w:t>
      </w:r>
      <w:r>
        <w:t>8%</w:t>
      </w:r>
      <w:r>
        <w:rPr>
          <w:rFonts w:hint="eastAsia"/>
        </w:rPr>
        <w:t>。</w:t>
      </w:r>
    </w:p>
  </w:footnote>
  <w:footnote w:id="44">
    <w:p w:rsidR="00000000" w:rsidRDefault="00000000">
      <w:pPr>
        <w:pStyle w:val="EndnoteText"/>
      </w:pPr>
      <w:r>
        <w:rPr>
          <w:rStyle w:val="FootnoteReference"/>
        </w:rPr>
        <w:t>31</w:t>
      </w:r>
      <w:r>
        <w:rPr>
          <w:rFonts w:hint="eastAsia"/>
        </w:rPr>
        <w:tab/>
      </w:r>
      <w:r>
        <w:rPr>
          <w:rFonts w:hint="eastAsia"/>
          <w:spacing w:val="16"/>
        </w:rPr>
        <w:t>其中一项研究由扑灭罪行委员会辖下的青少年罪犯问题常务委员会委托香</w:t>
      </w:r>
      <w:r>
        <w:rPr>
          <w:rFonts w:hint="eastAsia"/>
        </w:rPr>
        <w:t>港城市理工大学进行。研究旨在探讨</w:t>
      </w:r>
      <w:r>
        <w:rPr>
          <w:rFonts w:ascii="華康細明體" w:hint="eastAsia"/>
        </w:rPr>
        <w:t>“</w:t>
      </w:r>
      <w:r>
        <w:rPr>
          <w:rFonts w:hint="eastAsia"/>
        </w:rPr>
        <w:t>青少年罪犯自新计划成效</w:t>
      </w:r>
      <w:r>
        <w:rPr>
          <w:rFonts w:ascii="華康細明體" w:hint="eastAsia"/>
        </w:rPr>
        <w:t>”</w:t>
      </w:r>
      <w:r>
        <w:rPr>
          <w:rFonts w:hint="eastAsia"/>
        </w:rPr>
        <w:t>。另一项研究在一九九八至九九年由政府管理参议署进行，目的是改善儿童院的管理和运作方式。</w:t>
      </w:r>
    </w:p>
  </w:footnote>
  <w:footnote w:id="45">
    <w:p w:rsidR="00000000" w:rsidRDefault="00000000">
      <w:pPr>
        <w:pStyle w:val="FootnoteText"/>
        <w:rPr>
          <w:rFonts w:hint="eastAsia"/>
        </w:rPr>
      </w:pPr>
      <w:r>
        <w:rPr>
          <w:rStyle w:val="FootnoteReference"/>
        </w:rPr>
        <w:t>32</w:t>
      </w:r>
      <w:r>
        <w:t xml:space="preserve"> </w:t>
      </w:r>
      <w:r>
        <w:rPr>
          <w:rFonts w:hint="eastAsia"/>
        </w:rPr>
        <w:tab/>
      </w:r>
      <w:r>
        <w:rPr>
          <w:rFonts w:hint="eastAsia"/>
        </w:rPr>
        <w:t>它们的服务包括为困乏的长者提供外展和网络支援服务、动员义工和辅导服务。长者地区中心和长者邻舍中心的职能相近，不过前者的运作规模较大。</w:t>
      </w:r>
    </w:p>
  </w:footnote>
  <w:footnote w:id="46">
    <w:p w:rsidR="00000000" w:rsidRDefault="00000000">
      <w:pPr>
        <w:pStyle w:val="FootnoteText"/>
        <w:rPr>
          <w:rFonts w:hint="eastAsia"/>
        </w:rPr>
      </w:pPr>
      <w:r>
        <w:rPr>
          <w:rStyle w:val="FootnoteReference"/>
        </w:rPr>
        <w:t>33</w:t>
      </w:r>
      <w:r>
        <w:t xml:space="preserve"> </w:t>
      </w:r>
      <w:r>
        <w:tab/>
      </w:r>
      <w:r>
        <w:rPr>
          <w:rFonts w:hint="eastAsia"/>
        </w:rPr>
        <w:t>年满</w:t>
      </w:r>
      <w:r>
        <w:t>65</w:t>
      </w:r>
      <w:r>
        <w:rPr>
          <w:rFonts w:hint="eastAsia"/>
        </w:rPr>
        <w:t>岁或以上领取综援和高龄津贴人士占整个年</w:t>
      </w:r>
      <w:r>
        <w:rPr>
          <w:rFonts w:eastAsia="SimSun" w:hint="eastAsia"/>
        </w:rPr>
        <w:t>龄组别总</w:t>
      </w:r>
      <w:r>
        <w:rPr>
          <w:rFonts w:hint="eastAsia"/>
        </w:rPr>
        <w:t>人数约</w:t>
      </w:r>
      <w:r>
        <w:t>77%</w:t>
      </w:r>
      <w:r>
        <w:rPr>
          <w:rFonts w:hint="eastAsia"/>
        </w:rPr>
        <w:t>。</w:t>
      </w:r>
    </w:p>
  </w:footnote>
  <w:footnote w:id="47">
    <w:p w:rsidR="00000000" w:rsidRDefault="00000000">
      <w:pPr>
        <w:pStyle w:val="FootnoteText"/>
        <w:rPr>
          <w:rFonts w:hint="eastAsia"/>
        </w:rPr>
      </w:pPr>
      <w:r>
        <w:rPr>
          <w:rStyle w:val="FootnoteReference"/>
        </w:rPr>
        <w:t>34</w:t>
      </w:r>
      <w:r>
        <w:t xml:space="preserve"> </w:t>
      </w:r>
      <w:r>
        <w:tab/>
      </w:r>
      <w:r>
        <w:rPr>
          <w:rFonts w:hint="eastAsia"/>
        </w:rPr>
        <w:t>所提供的宿位数目分项如下：提供基本护理服务的长者宿舍</w:t>
      </w:r>
      <w:r>
        <w:rPr>
          <w:rFonts w:hint="eastAsia"/>
        </w:rPr>
        <w:t>/</w:t>
      </w:r>
      <w:r>
        <w:rPr>
          <w:rFonts w:hint="eastAsia"/>
        </w:rPr>
        <w:t>安老院：约</w:t>
      </w:r>
      <w:r>
        <w:t>7,600</w:t>
      </w:r>
      <w:r>
        <w:rPr>
          <w:rFonts w:hint="eastAsia"/>
        </w:rPr>
        <w:t>个宿位；提供起居照顾和有限度护理服务的护理安老院：约</w:t>
      </w:r>
      <w:r>
        <w:t>11,300</w:t>
      </w:r>
      <w:r>
        <w:rPr>
          <w:rFonts w:hint="eastAsia"/>
        </w:rPr>
        <w:t>个宿位；提供较全面护理服务的护养院：</w:t>
      </w:r>
      <w:r>
        <w:t>1,500</w:t>
      </w:r>
      <w:r>
        <w:rPr>
          <w:rFonts w:hint="eastAsia"/>
        </w:rPr>
        <w:t>个宿位。</w:t>
      </w:r>
    </w:p>
  </w:footnote>
  <w:footnote w:id="48">
    <w:p w:rsidR="00000000" w:rsidRDefault="00000000">
      <w:pPr>
        <w:pStyle w:val="FootnoteText"/>
      </w:pPr>
      <w:r>
        <w:rPr>
          <w:rStyle w:val="FootnoteReference"/>
        </w:rPr>
        <w:t>35</w:t>
      </w:r>
      <w:r>
        <w:t xml:space="preserve"> </w:t>
      </w:r>
      <w:r>
        <w:tab/>
      </w:r>
      <w:r>
        <w:rPr>
          <w:rFonts w:hint="eastAsia"/>
        </w:rPr>
        <w:t>有关拟稿载有政府对新法规的形式和内容的初步构思。</w:t>
      </w:r>
    </w:p>
  </w:footnote>
  <w:footnote w:id="49">
    <w:p w:rsidR="00000000" w:rsidRDefault="00000000">
      <w:pPr>
        <w:pStyle w:val="FootnoteText"/>
        <w:rPr>
          <w:rFonts w:hint="eastAsia"/>
        </w:rPr>
      </w:pPr>
      <w:r>
        <w:rPr>
          <w:rStyle w:val="FootnoteReference"/>
        </w:rPr>
        <w:t>36</w:t>
      </w:r>
      <w:r>
        <w:t xml:space="preserve"> </w:t>
      </w:r>
      <w:r>
        <w:tab/>
      </w:r>
      <w:r>
        <w:rPr>
          <w:rFonts w:hint="eastAsia"/>
        </w:rPr>
        <w:t>根据《床位寓所条例》</w:t>
      </w:r>
      <w:r>
        <w:t>(</w:t>
      </w:r>
      <w:r>
        <w:rPr>
          <w:rFonts w:hint="eastAsia"/>
        </w:rPr>
        <w:t>第</w:t>
      </w:r>
      <w:r>
        <w:t>447</w:t>
      </w:r>
      <w:r>
        <w:rPr>
          <w:rFonts w:hint="eastAsia"/>
        </w:rPr>
        <w:t>章</w:t>
      </w:r>
      <w:r>
        <w:t>)</w:t>
      </w:r>
      <w:r>
        <w:rPr>
          <w:rFonts w:hint="eastAsia"/>
        </w:rPr>
        <w:t>的规定。</w:t>
      </w:r>
    </w:p>
  </w:footnote>
  <w:footnote w:id="50">
    <w:p w:rsidR="00000000" w:rsidRDefault="00000000">
      <w:pPr>
        <w:pStyle w:val="FootnoteText"/>
        <w:rPr>
          <w:rFonts w:hint="eastAsia"/>
        </w:rPr>
      </w:pPr>
      <w:r>
        <w:rPr>
          <w:rStyle w:val="FootnoteReference"/>
        </w:rPr>
        <w:t>37</w:t>
      </w:r>
      <w:r>
        <w:t xml:space="preserve"> </w:t>
      </w:r>
      <w:r>
        <w:tab/>
      </w:r>
      <w:r>
        <w:rPr>
          <w:rFonts w:hint="eastAsia"/>
        </w:rPr>
        <w:t>这些措施的例子包括“中年就业培训计划”和深入就业援助计划。</w:t>
      </w:r>
    </w:p>
  </w:footnote>
  <w:footnote w:id="51">
    <w:p w:rsidR="00000000" w:rsidRDefault="00000000">
      <w:pPr>
        <w:pStyle w:val="FootnoteText"/>
        <w:rPr>
          <w:rFonts w:hint="eastAsia"/>
        </w:rPr>
      </w:pPr>
      <w:r>
        <w:rPr>
          <w:rStyle w:val="FootnoteReference"/>
        </w:rPr>
        <w:t>38</w:t>
      </w:r>
      <w:r>
        <w:t xml:space="preserve"> </w:t>
      </w:r>
      <w:r>
        <w:tab/>
      </w:r>
      <w:r>
        <w:rPr>
          <w:rFonts w:hint="eastAsia"/>
        </w:rPr>
        <w:t>政府统计处在二零零一年八月出版的社会统计《第二十八号专题报告书：残疾人士及长期病患者》第三十五页。</w:t>
      </w:r>
    </w:p>
  </w:footnote>
  <w:footnote w:id="52">
    <w:p w:rsidR="00000000" w:rsidRDefault="00000000">
      <w:pPr>
        <w:pStyle w:val="FootnoteText"/>
        <w:rPr>
          <w:rFonts w:hint="eastAsia"/>
        </w:rPr>
      </w:pPr>
      <w:r>
        <w:rPr>
          <w:rStyle w:val="FootnoteReference"/>
        </w:rPr>
        <w:t>39</w:t>
      </w:r>
      <w:r>
        <w:t xml:space="preserve"> </w:t>
      </w:r>
      <w:r>
        <w:tab/>
      </w:r>
      <w:r>
        <w:rPr>
          <w:rFonts w:hint="eastAsia"/>
        </w:rPr>
        <w:t>我们很多谢平等机会委员会提供有关资料。</w:t>
      </w:r>
    </w:p>
  </w:footnote>
  <w:footnote w:id="53">
    <w:p w:rsidR="00000000" w:rsidRDefault="00000000">
      <w:pPr>
        <w:pStyle w:val="FootnoteText"/>
        <w:rPr>
          <w:rFonts w:hint="eastAsia"/>
        </w:rPr>
      </w:pPr>
      <w:r>
        <w:rPr>
          <w:rStyle w:val="FootnoteReference"/>
        </w:rPr>
        <w:t>40</w:t>
      </w:r>
      <w:r>
        <w:t xml:space="preserve"> </w:t>
      </w:r>
      <w:r>
        <w:tab/>
      </w:r>
      <w:r>
        <w:rPr>
          <w:rFonts w:hint="eastAsia"/>
        </w:rPr>
        <w:t>与《儿童权利公约》第</w:t>
      </w:r>
      <w:r>
        <w:t>6(2)</w:t>
      </w:r>
      <w:r>
        <w:rPr>
          <w:rFonts w:hint="eastAsia"/>
        </w:rPr>
        <w:t>条有关。</w:t>
      </w:r>
    </w:p>
  </w:footnote>
  <w:footnote w:id="54">
    <w:p w:rsidR="00000000" w:rsidRDefault="00000000">
      <w:pPr>
        <w:pStyle w:val="FootnoteText"/>
        <w:rPr>
          <w:rFonts w:hint="eastAsia"/>
        </w:rPr>
      </w:pPr>
      <w:r>
        <w:rPr>
          <w:rStyle w:val="FootnoteReference"/>
        </w:rPr>
        <w:t>41</w:t>
      </w:r>
      <w:r>
        <w:t xml:space="preserve"> </w:t>
      </w:r>
      <w:r>
        <w:tab/>
      </w:r>
      <w:r>
        <w:rPr>
          <w:rFonts w:hint="eastAsia"/>
        </w:rPr>
        <w:t>政府的财政年度在三月三十一日完结。</w:t>
      </w:r>
    </w:p>
  </w:footnote>
  <w:footnote w:id="55">
    <w:p w:rsidR="00000000" w:rsidRDefault="00000000">
      <w:pPr>
        <w:pStyle w:val="FootnoteText"/>
        <w:rPr>
          <w:rFonts w:hint="eastAsia"/>
        </w:rPr>
      </w:pPr>
      <w:r>
        <w:rPr>
          <w:rStyle w:val="FootnoteReference"/>
        </w:rPr>
        <w:t>42</w:t>
      </w:r>
      <w:r>
        <w:t xml:space="preserve"> </w:t>
      </w:r>
      <w:r>
        <w:tab/>
      </w:r>
      <w:r>
        <w:rPr>
          <w:rFonts w:hint="eastAsia"/>
        </w:rPr>
        <w:t>这些科目包括临床心理学、物理治疗及职业治疗。</w:t>
      </w:r>
    </w:p>
  </w:footnote>
  <w:footnote w:id="56">
    <w:p w:rsidR="00000000" w:rsidRDefault="00000000">
      <w:pPr>
        <w:pStyle w:val="FootnoteText"/>
        <w:rPr>
          <w:rFonts w:hint="eastAsia"/>
        </w:rPr>
      </w:pPr>
      <w:r>
        <w:rPr>
          <w:rStyle w:val="FootnoteReference"/>
        </w:rPr>
        <w:t>43</w:t>
      </w:r>
      <w:r>
        <w:t xml:space="preserve"> </w:t>
      </w:r>
      <w:r>
        <w:tab/>
      </w:r>
      <w:r>
        <w:rPr>
          <w:rFonts w:hint="eastAsia"/>
        </w:rPr>
        <w:t>例如《医院、护养院及留产院注册条例》</w:t>
      </w:r>
      <w:r>
        <w:t>(</w:t>
      </w:r>
      <w:r>
        <w:rPr>
          <w:rFonts w:hint="eastAsia"/>
        </w:rPr>
        <w:t>第</w:t>
      </w:r>
      <w:r>
        <w:t>165</w:t>
      </w:r>
      <w:r>
        <w:rPr>
          <w:rFonts w:hint="eastAsia"/>
        </w:rPr>
        <w:t>章</w:t>
      </w:r>
      <w:r>
        <w:t xml:space="preserve">) </w:t>
      </w:r>
      <w:r>
        <w:rPr>
          <w:rFonts w:hint="eastAsia"/>
        </w:rPr>
        <w:t>。</w:t>
      </w:r>
    </w:p>
  </w:footnote>
  <w:footnote w:id="57">
    <w:p w:rsidR="00000000" w:rsidRDefault="00000000">
      <w:pPr>
        <w:pStyle w:val="FootnoteText"/>
        <w:rPr>
          <w:rFonts w:hint="eastAsia"/>
        </w:rPr>
      </w:pPr>
      <w:r>
        <w:rPr>
          <w:rStyle w:val="FootnoteReference"/>
        </w:rPr>
        <w:t>44</w:t>
      </w:r>
      <w:r>
        <w:t xml:space="preserve"> </w:t>
      </w:r>
      <w:r>
        <w:tab/>
      </w:r>
      <w:r>
        <w:rPr>
          <w:rFonts w:hint="eastAsia"/>
        </w:rPr>
        <w:t>联合国爱滋病规划署就全球爱滋病毒</w:t>
      </w:r>
      <w:r>
        <w:rPr>
          <w:rFonts w:hint="eastAsia"/>
        </w:rPr>
        <w:t>/</w:t>
      </w:r>
      <w:r>
        <w:rPr>
          <w:rFonts w:hint="eastAsia"/>
        </w:rPr>
        <w:t>爱滋病感染者的报告</w:t>
      </w:r>
      <w:r>
        <w:t>(2002</w:t>
      </w:r>
      <w:r>
        <w:rPr>
          <w:rFonts w:hint="eastAsia"/>
        </w:rPr>
        <w:t>年</w:t>
      </w:r>
      <w:r>
        <w:t xml:space="preserve">) </w:t>
      </w:r>
      <w:r>
        <w:rPr>
          <w:rFonts w:hint="eastAsia"/>
        </w:rPr>
        <w:t>。</w:t>
      </w:r>
    </w:p>
  </w:footnote>
  <w:footnote w:id="58">
    <w:p w:rsidR="00000000" w:rsidRDefault="00000000">
      <w:pPr>
        <w:pStyle w:val="FootnoteText"/>
        <w:rPr>
          <w:rFonts w:hint="eastAsia"/>
        </w:rPr>
      </w:pPr>
      <w:r>
        <w:rPr>
          <w:rStyle w:val="FootnoteReference"/>
        </w:rPr>
        <w:t>45</w:t>
      </w:r>
      <w:r>
        <w:t xml:space="preserve"> </w:t>
      </w:r>
      <w:r>
        <w:tab/>
      </w:r>
      <w:r>
        <w:rPr>
          <w:rFonts w:hint="eastAsia"/>
        </w:rPr>
        <w:t>当中包括规管和发展中药、在普通科门诊诊所推广“家庭医疗”模式、进一步减少成本以控制医疗费用增长，以及全面检讨公众医护架构的各级收费。</w:t>
      </w:r>
    </w:p>
  </w:footnote>
  <w:footnote w:id="59">
    <w:p w:rsidR="00000000" w:rsidRDefault="00000000">
      <w:pPr>
        <w:pStyle w:val="FootnoteText"/>
        <w:rPr>
          <w:rFonts w:hint="eastAsia"/>
        </w:rPr>
      </w:pPr>
      <w:r>
        <w:rPr>
          <w:rStyle w:val="FootnoteReference"/>
        </w:rPr>
        <w:t>46</w:t>
      </w:r>
      <w:r>
        <w:t xml:space="preserve"> </w:t>
      </w:r>
      <w:r>
        <w:tab/>
      </w:r>
      <w:r>
        <w:rPr>
          <w:rFonts w:hint="eastAsia"/>
        </w:rPr>
        <w:t>根据这个模式，“风险分析”包括风险评估、风险管理及风险传达。</w:t>
      </w:r>
    </w:p>
  </w:footnote>
  <w:footnote w:id="60">
    <w:p w:rsidR="00000000" w:rsidRDefault="00000000">
      <w:pPr>
        <w:pStyle w:val="FootnoteText"/>
        <w:rPr>
          <w:rFonts w:hint="eastAsia"/>
        </w:rPr>
      </w:pPr>
      <w:r>
        <w:rPr>
          <w:rStyle w:val="FootnoteReference"/>
        </w:rPr>
        <w:t>47</w:t>
      </w:r>
      <w:r>
        <w:t xml:space="preserve"> </w:t>
      </w:r>
      <w:r>
        <w:tab/>
      </w:r>
      <w:r>
        <w:rPr>
          <w:rFonts w:hint="eastAsia"/>
        </w:rPr>
        <w:t>在咨询期间额外分发了</w:t>
      </w:r>
      <w:r>
        <w:t>4</w:t>
      </w:r>
      <w:r>
        <w:rPr>
          <w:rFonts w:hint="eastAsia"/>
        </w:rPr>
        <w:t>万份。</w:t>
      </w:r>
    </w:p>
  </w:footnote>
  <w:footnote w:id="61">
    <w:p w:rsidR="00000000" w:rsidRDefault="00000000">
      <w:pPr>
        <w:pStyle w:val="FootnoteText"/>
        <w:rPr>
          <w:rFonts w:hint="eastAsia"/>
        </w:rPr>
      </w:pPr>
      <w:r>
        <w:rPr>
          <w:rStyle w:val="FootnoteReference"/>
        </w:rPr>
        <w:t>48</w:t>
      </w:r>
      <w:r>
        <w:t xml:space="preserve"> </w:t>
      </w:r>
      <w:r>
        <w:tab/>
      </w:r>
      <w:r>
        <w:rPr>
          <w:rFonts w:hint="eastAsia"/>
        </w:rPr>
        <w:t>指宣传短片或声带。我们会在二零零三年三月制作一辑专题宣传短片</w:t>
      </w:r>
      <w:r>
        <w:rPr>
          <w:rFonts w:hint="eastAsia"/>
        </w:rPr>
        <w:t>/</w:t>
      </w:r>
      <w:r>
        <w:rPr>
          <w:rFonts w:hint="eastAsia"/>
        </w:rPr>
        <w:t>声带，呼吁市民接纳精神病康复者及</w:t>
      </w:r>
      <w:r>
        <w:rPr>
          <w:rFonts w:hint="eastAsia"/>
        </w:rPr>
        <w:t>/</w:t>
      </w:r>
      <w:r>
        <w:rPr>
          <w:rFonts w:hint="eastAsia"/>
        </w:rPr>
        <w:t>或精神病患者。</w:t>
      </w:r>
    </w:p>
  </w:footnote>
  <w:footnote w:id="62">
    <w:p w:rsidR="00000000" w:rsidRDefault="00000000">
      <w:pPr>
        <w:pStyle w:val="FootnoteText"/>
        <w:rPr>
          <w:rFonts w:hint="eastAsia"/>
        </w:rPr>
      </w:pPr>
      <w:r>
        <w:rPr>
          <w:rStyle w:val="FootnoteReference"/>
        </w:rPr>
        <w:t>49</w:t>
      </w:r>
      <w:r>
        <w:t xml:space="preserve"> </w:t>
      </w:r>
      <w:r>
        <w:tab/>
      </w:r>
      <w:r>
        <w:rPr>
          <w:rFonts w:hint="eastAsia"/>
        </w:rPr>
        <w:t>政策委员会由决策局局长组成，并且是政府架构内最终政策仲裁人。政策建议书在提交行政会议前须先获批核。</w:t>
      </w:r>
    </w:p>
  </w:footnote>
  <w:footnote w:id="63">
    <w:p w:rsidR="00000000" w:rsidRDefault="00000000">
      <w:pPr>
        <w:pStyle w:val="FootnoteText"/>
        <w:rPr>
          <w:rFonts w:ascii="華康細明體" w:hint="eastAsia"/>
        </w:rPr>
      </w:pPr>
      <w:r>
        <w:rPr>
          <w:rStyle w:val="FootnoteReference"/>
        </w:rPr>
        <w:t>50</w:t>
      </w:r>
      <w:r>
        <w:t xml:space="preserve"> </w:t>
      </w:r>
      <w:r>
        <w:tab/>
      </w:r>
      <w:r>
        <w:rPr>
          <w:rFonts w:hint="eastAsia"/>
        </w:rPr>
        <w:t>教育委员会学校教育检讨小组</w:t>
      </w:r>
      <w:r>
        <w:t>(</w:t>
      </w:r>
      <w:r>
        <w:rPr>
          <w:rFonts w:hint="eastAsia"/>
        </w:rPr>
        <w:t>为检讨九年强迫教育制度而设立</w:t>
      </w:r>
      <w:r>
        <w:t>)</w:t>
      </w:r>
      <w:r>
        <w:rPr>
          <w:rFonts w:hint="eastAsia"/>
        </w:rPr>
        <w:t>在一九九七年发表的检讨报告中指出，由于</w:t>
      </w:r>
      <w:r>
        <w:t>“</w:t>
      </w:r>
      <w:r>
        <w:rPr>
          <w:rFonts w:hint="eastAsia"/>
        </w:rPr>
        <w:t>强迫教育</w:t>
      </w:r>
      <w:r>
        <w:t>”</w:t>
      </w:r>
      <w:r>
        <w:rPr>
          <w:rFonts w:hint="eastAsia"/>
        </w:rPr>
        <w:t>一词带有迫使青年入学就读的负面意义，同时也为了表明当局肩负为所有儿童提供普及教育的使命，所以该词可能须作修改。不过，为顾及本公约第十三</w:t>
      </w:r>
      <w:r>
        <w:t>(</w:t>
      </w:r>
      <w:r>
        <w:rPr>
          <w:rFonts w:hint="eastAsia"/>
        </w:rPr>
        <w:t>二</w:t>
      </w:r>
      <w:r>
        <w:t>)(</w:t>
      </w:r>
      <w:r>
        <w:rPr>
          <w:rFonts w:hint="eastAsia"/>
        </w:rPr>
        <w:t>甲</w:t>
      </w:r>
      <w:r>
        <w:t>)</w:t>
      </w:r>
      <w:r>
        <w:rPr>
          <w:rFonts w:hint="eastAsia"/>
        </w:rPr>
        <w:t>条的规定，我们在本报告内仍保留使用</w:t>
      </w:r>
      <w:r>
        <w:rPr>
          <w:rFonts w:ascii="PMingLiU" w:hint="eastAsia"/>
        </w:rPr>
        <w:t>“免费强迫教育”一词。</w:t>
      </w:r>
    </w:p>
  </w:footnote>
  <w:footnote w:id="64">
    <w:p w:rsidR="00000000" w:rsidRDefault="00000000">
      <w:pPr>
        <w:pStyle w:val="FootnoteText"/>
        <w:rPr>
          <w:rFonts w:ascii="華康細明體" w:hint="eastAsia"/>
        </w:rPr>
      </w:pPr>
      <w:r>
        <w:rPr>
          <w:rStyle w:val="FootnoteReference"/>
        </w:rPr>
        <w:t>51</w:t>
      </w:r>
      <w:r>
        <w:t xml:space="preserve"> </w:t>
      </w:r>
      <w:r>
        <w:rPr>
          <w:rFonts w:ascii="華康細明體"/>
        </w:rPr>
        <w:tab/>
      </w:r>
      <w:r>
        <w:rPr>
          <w:rFonts w:ascii="華康細明體" w:hint="eastAsia"/>
        </w:rPr>
        <w:t>政府由二零零二年九月</w:t>
      </w:r>
      <w:r>
        <w:rPr>
          <w:rFonts w:ascii="華康細明體"/>
        </w:rPr>
        <w:t>(</w:t>
      </w:r>
      <w:r>
        <w:rPr>
          <w:rFonts w:ascii="華康細明體" w:hint="eastAsia"/>
        </w:rPr>
        <w:t>即二零零二至零三学年</w:t>
      </w:r>
      <w:r>
        <w:rPr>
          <w:rFonts w:ascii="華康細明體"/>
        </w:rPr>
        <w:t>)</w:t>
      </w:r>
      <w:r>
        <w:rPr>
          <w:rFonts w:ascii="華康細明體" w:hint="eastAsia"/>
        </w:rPr>
        <w:t>起提供有关学额。</w:t>
      </w:r>
    </w:p>
  </w:footnote>
  <w:footnote w:id="65">
    <w:p w:rsidR="00000000" w:rsidRDefault="00000000">
      <w:pPr>
        <w:pStyle w:val="FootnoteText"/>
      </w:pPr>
      <w:r>
        <w:rPr>
          <w:rStyle w:val="FootnoteReference"/>
        </w:rPr>
        <w:t>52</w:t>
      </w:r>
      <w:r>
        <w:t xml:space="preserve"> </w:t>
      </w:r>
      <w:r>
        <w:tab/>
      </w:r>
      <w:r>
        <w:rPr>
          <w:rFonts w:hint="eastAsia"/>
        </w:rPr>
        <w:t>这是官立及资助学校的“基准”。私立学校所收取的学费须收回成本，部分学校更赚取利润。</w:t>
      </w:r>
    </w:p>
  </w:footnote>
  <w:footnote w:id="66">
    <w:p w:rsidR="00000000" w:rsidRDefault="00000000">
      <w:pPr>
        <w:pStyle w:val="FootnoteText"/>
        <w:rPr>
          <w:rFonts w:hint="eastAsia"/>
        </w:rPr>
      </w:pPr>
      <w:r>
        <w:rPr>
          <w:rStyle w:val="FootnoteReference"/>
        </w:rPr>
        <w:t>53</w:t>
      </w:r>
      <w:r>
        <w:t xml:space="preserve"> </w:t>
      </w:r>
      <w:r>
        <w:tab/>
      </w:r>
      <w:r>
        <w:rPr>
          <w:rFonts w:ascii="華康細明體" w:hint="eastAsia"/>
        </w:rPr>
        <w:t>请参阅本公约第六条第</w:t>
      </w:r>
      <w:r>
        <w:t>385</w:t>
      </w:r>
      <w:r>
        <w:rPr>
          <w:rFonts w:ascii="華康細明體" w:hint="eastAsia"/>
        </w:rPr>
        <w:t>至</w:t>
      </w:r>
      <w:r>
        <w:rPr>
          <w:rFonts w:ascii="華康細明體"/>
        </w:rPr>
        <w:t>396</w:t>
      </w:r>
      <w:r>
        <w:rPr>
          <w:rFonts w:ascii="華康細明體" w:hint="eastAsia"/>
        </w:rPr>
        <w:t>段。</w:t>
      </w:r>
    </w:p>
  </w:footnote>
  <w:footnote w:id="67">
    <w:p w:rsidR="00000000" w:rsidRDefault="00000000">
      <w:pPr>
        <w:pStyle w:val="FootnoteText"/>
        <w:rPr>
          <w:rFonts w:hint="eastAsia"/>
        </w:rPr>
      </w:pPr>
      <w:r>
        <w:rPr>
          <w:rStyle w:val="FootnoteReference"/>
        </w:rPr>
        <w:t>54</w:t>
      </w:r>
      <w:r>
        <w:t xml:space="preserve"> </w:t>
      </w:r>
      <w:r>
        <w:tab/>
      </w:r>
      <w:r>
        <w:rPr>
          <w:rFonts w:hint="eastAsia"/>
        </w:rPr>
        <w:t>在此要说明一点，就是中文文字与广东话分别甚大，中文文字基本上是划一的，所有能书写中文的人，无论是操哪一种中国方言，都能阅读中文。</w:t>
      </w:r>
    </w:p>
  </w:footnote>
  <w:footnote w:id="68">
    <w:p w:rsidR="00000000" w:rsidRDefault="00000000">
      <w:pPr>
        <w:pStyle w:val="FootnoteText"/>
        <w:rPr>
          <w:rFonts w:ascii="華康細明體"/>
        </w:rPr>
      </w:pPr>
      <w:r>
        <w:rPr>
          <w:rStyle w:val="FootnoteReference"/>
        </w:rPr>
        <w:t>55</w:t>
      </w:r>
      <w:r>
        <w:t xml:space="preserve"> </w:t>
      </w:r>
      <w:r>
        <w:tab/>
      </w:r>
      <w:r>
        <w:rPr>
          <w:rFonts w:hint="eastAsia"/>
        </w:rPr>
        <w:t>这</w:t>
      </w:r>
      <w:r>
        <w:rPr>
          <w:rFonts w:ascii="華康細明體" w:hint="eastAsia"/>
        </w:rPr>
        <w:t>包括一向都有录取已在港定居的少数族裔儿童的学校；有关详情亦可参阅第</w:t>
      </w:r>
      <w:r>
        <w:t>705</w:t>
      </w:r>
      <w:r>
        <w:rPr>
          <w:rFonts w:ascii="華康細明體" w:hint="eastAsia"/>
        </w:rPr>
        <w:t>段。</w:t>
      </w:r>
    </w:p>
  </w:footnote>
  <w:footnote w:id="69">
    <w:p w:rsidR="00000000" w:rsidRDefault="00000000">
      <w:pPr>
        <w:pStyle w:val="FootnoteText"/>
      </w:pPr>
      <w:r>
        <w:rPr>
          <w:rStyle w:val="FootnoteReference"/>
        </w:rPr>
        <w:t>56</w:t>
      </w:r>
      <w:r>
        <w:t xml:space="preserve"> </w:t>
      </w:r>
      <w:r>
        <w:tab/>
      </w:r>
      <w:r>
        <w:rPr>
          <w:rFonts w:hint="eastAsia"/>
        </w:rPr>
        <w:t>这些服务类似为内地新来港定居儿童提供的服务。</w:t>
      </w:r>
    </w:p>
  </w:footnote>
  <w:footnote w:id="70">
    <w:p w:rsidR="00000000" w:rsidRDefault="00000000">
      <w:pPr>
        <w:pStyle w:val="FootnoteText"/>
        <w:rPr>
          <w:rFonts w:ascii="華康細明體"/>
        </w:rPr>
      </w:pPr>
      <w:r>
        <w:rPr>
          <w:rStyle w:val="FootnoteReference"/>
        </w:rPr>
        <w:t>57</w:t>
      </w:r>
      <w:r>
        <w:t xml:space="preserve"> </w:t>
      </w:r>
      <w:r>
        <w:tab/>
      </w:r>
      <w:r>
        <w:rPr>
          <w:rFonts w:ascii="華康細明體" w:hint="eastAsia"/>
        </w:rPr>
        <w:t>普通教育文凭试</w:t>
      </w:r>
      <w:r>
        <w:rPr>
          <w:rFonts w:ascii="華康細明體"/>
        </w:rPr>
        <w:t>(</w:t>
      </w:r>
      <w:r>
        <w:rPr>
          <w:rFonts w:ascii="華康細明體" w:hint="eastAsia"/>
        </w:rPr>
        <w:t>普通程度</w:t>
      </w:r>
      <w:r>
        <w:rPr>
          <w:rFonts w:ascii="華康細明體"/>
        </w:rPr>
        <w:t>)</w:t>
      </w:r>
      <w:r>
        <w:rPr>
          <w:rFonts w:ascii="華康細明體" w:hint="eastAsia"/>
        </w:rPr>
        <w:t>是英国学童</w:t>
      </w:r>
      <w:r>
        <w:rPr>
          <w:rFonts w:ascii="華康細明體"/>
        </w:rPr>
        <w:t>(</w:t>
      </w:r>
      <w:r>
        <w:rPr>
          <w:rFonts w:ascii="華康細明體" w:hint="eastAsia"/>
        </w:rPr>
        <w:t>一般在</w:t>
      </w:r>
      <w:r>
        <w:t>16</w:t>
      </w:r>
      <w:r>
        <w:rPr>
          <w:rFonts w:ascii="華康細明體" w:hint="eastAsia"/>
        </w:rPr>
        <w:t>岁</w:t>
      </w:r>
      <w:r>
        <w:rPr>
          <w:rFonts w:ascii="華康細明體"/>
        </w:rPr>
        <w:t>)</w:t>
      </w:r>
      <w:r>
        <w:rPr>
          <w:rFonts w:ascii="華康細明體" w:hint="eastAsia"/>
        </w:rPr>
        <w:t>报考的考试。</w:t>
      </w:r>
    </w:p>
  </w:footnote>
  <w:footnote w:id="71">
    <w:p w:rsidR="00000000" w:rsidRDefault="00000000">
      <w:pPr>
        <w:pStyle w:val="FootnoteText"/>
      </w:pPr>
      <w:r>
        <w:rPr>
          <w:rStyle w:val="FootnoteReference"/>
        </w:rPr>
        <w:t>58</w:t>
      </w:r>
      <w:r>
        <w:t xml:space="preserve"> </w:t>
      </w:r>
      <w:r>
        <w:tab/>
      </w:r>
      <w:r>
        <w:rPr>
          <w:rFonts w:hint="eastAsia"/>
        </w:rPr>
        <w:t>港元与美元挂钩，汇率为</w:t>
      </w:r>
      <w:r>
        <w:t>7.8</w:t>
      </w:r>
      <w:r>
        <w:rPr>
          <w:rFonts w:hint="eastAsia"/>
        </w:rPr>
        <w:t>港元对</w:t>
      </w:r>
      <w:r>
        <w:t>1</w:t>
      </w:r>
      <w:r>
        <w:rPr>
          <w:rFonts w:hint="eastAsia"/>
        </w:rPr>
        <w:t>美元</w:t>
      </w:r>
      <w:r>
        <w:rPr>
          <w:rFonts w:ascii="華康細明體" w:hint="eastAsia"/>
        </w:rPr>
        <w:t>。</w:t>
      </w:r>
    </w:p>
  </w:footnote>
  <w:footnote w:id="72">
    <w:p w:rsidR="00000000" w:rsidRDefault="00000000">
      <w:pPr>
        <w:pStyle w:val="FootnoteText"/>
      </w:pPr>
      <w:r>
        <w:rPr>
          <w:rStyle w:val="FootnoteReference"/>
        </w:rPr>
        <w:t>59</w:t>
      </w:r>
      <w:r>
        <w:t xml:space="preserve"> </w:t>
      </w:r>
      <w:r>
        <w:tab/>
      </w:r>
      <w:r>
        <w:rPr>
          <w:rFonts w:hint="eastAsia"/>
        </w:rPr>
        <w:t>合资格人士指那些拥有香港居留权，或在课程开始前的连续三年已在香港居住或在香港有居所的人士。</w:t>
      </w:r>
    </w:p>
  </w:footnote>
  <w:footnote w:id="73">
    <w:p w:rsidR="00000000" w:rsidRDefault="00000000">
      <w:pPr>
        <w:pStyle w:val="FootnoteText"/>
        <w:rPr>
          <w:rFonts w:ascii="華康細明體"/>
        </w:rPr>
      </w:pPr>
      <w:r>
        <w:rPr>
          <w:rStyle w:val="FootnoteReference"/>
        </w:rPr>
        <w:t>60</w:t>
      </w:r>
      <w:r>
        <w:t xml:space="preserve"> </w:t>
      </w:r>
      <w:r>
        <w:tab/>
      </w:r>
      <w:r>
        <w:rPr>
          <w:rFonts w:ascii="華康細明體" w:hint="eastAsia"/>
        </w:rPr>
        <w:t>持续教育基金的宗旨，是资助年龄介乎</w:t>
      </w:r>
      <w:r>
        <w:rPr>
          <w:rFonts w:ascii="華康細明體"/>
        </w:rPr>
        <w:t>18</w:t>
      </w:r>
      <w:r>
        <w:rPr>
          <w:rFonts w:ascii="華康細明體" w:hint="eastAsia"/>
        </w:rPr>
        <w:t>至</w:t>
      </w:r>
      <w:r>
        <w:rPr>
          <w:rFonts w:ascii="華康細明體"/>
        </w:rPr>
        <w:t>60</w:t>
      </w:r>
      <w:r>
        <w:rPr>
          <w:rFonts w:ascii="華康細明體" w:hint="eastAsia"/>
        </w:rPr>
        <w:t>岁的人士修读一些有助香港经济发展的持续进修及训练课程。</w:t>
      </w:r>
    </w:p>
  </w:footnote>
  <w:footnote w:id="74">
    <w:p w:rsidR="00000000" w:rsidRDefault="00000000">
      <w:pPr>
        <w:pStyle w:val="FootnoteText"/>
        <w:rPr>
          <w:rFonts w:hint="eastAsia"/>
        </w:rPr>
      </w:pPr>
      <w:r>
        <w:rPr>
          <w:rStyle w:val="FootnoteReference"/>
        </w:rPr>
        <w:t>61</w:t>
      </w:r>
      <w:r>
        <w:t xml:space="preserve"> </w:t>
      </w:r>
      <w:r>
        <w:tab/>
      </w:r>
      <w:r>
        <w:rPr>
          <w:rFonts w:ascii="華康細明體" w:hint="eastAsia"/>
        </w:rPr>
        <w:t>有特殊教育需要的学生包括有特别学习困难的儿童。平机会认为，就《残疾歧视条例》而言，这些困难亦属于残疾的一种。因此，平机会要求我们制定学习方面的策略，以切合这些学童的教育需要。有关情况在第</w:t>
      </w:r>
      <w:r>
        <w:t>730</w:t>
      </w:r>
      <w:r>
        <w:rPr>
          <w:rFonts w:ascii="華康細明體" w:hint="eastAsia"/>
        </w:rPr>
        <w:t>段概述。</w:t>
      </w:r>
    </w:p>
  </w:footnote>
  <w:footnote w:id="75">
    <w:p w:rsidR="00000000" w:rsidRDefault="00000000">
      <w:pPr>
        <w:pStyle w:val="FootnoteText"/>
        <w:rPr>
          <w:rFonts w:hint="eastAsia"/>
        </w:rPr>
      </w:pPr>
      <w:r>
        <w:rPr>
          <w:rStyle w:val="FootnoteReference"/>
        </w:rPr>
        <w:t>62</w:t>
      </w:r>
      <w:r>
        <w:t xml:space="preserve"> </w:t>
      </w:r>
      <w:r>
        <w:tab/>
      </w:r>
      <w:r>
        <w:rPr>
          <w:rFonts w:hint="eastAsia"/>
        </w:rPr>
        <w:t>“合资格移民”指不获越南政府承认他们是越南国民的人。</w:t>
      </w:r>
    </w:p>
  </w:footnote>
  <w:footnote w:id="76">
    <w:p w:rsidR="00000000" w:rsidRDefault="00000000">
      <w:pPr>
        <w:pStyle w:val="FootnoteText"/>
        <w:rPr>
          <w:rFonts w:hint="eastAsia"/>
        </w:rPr>
      </w:pPr>
      <w:r>
        <w:rPr>
          <w:rStyle w:val="FootnoteReference"/>
        </w:rPr>
        <w:t>63</w:t>
      </w:r>
      <w:r>
        <w:t xml:space="preserve"> </w:t>
      </w:r>
      <w:r>
        <w:tab/>
      </w:r>
      <w:r>
        <w:rPr>
          <w:rFonts w:hint="eastAsia"/>
        </w:rPr>
        <w:t>有关这些非法在港或身份正待核实的儿童的教育事宜，我们在根据《儿童权利公约》所提交的首份报告第</w:t>
      </w:r>
      <w:r>
        <w:t>VIII A</w:t>
      </w:r>
      <w:r>
        <w:rPr>
          <w:rFonts w:hint="eastAsia"/>
        </w:rPr>
        <w:t>节</w:t>
      </w:r>
      <w:r>
        <w:t>(397</w:t>
      </w:r>
      <w:r>
        <w:rPr>
          <w:rFonts w:hint="eastAsia"/>
        </w:rPr>
        <w:t>至</w:t>
      </w:r>
      <w:r>
        <w:t>404</w:t>
      </w:r>
      <w:r>
        <w:rPr>
          <w:rFonts w:hint="eastAsia"/>
        </w:rPr>
        <w:t>段</w:t>
      </w:r>
      <w:r>
        <w:t>)</w:t>
      </w:r>
      <w:r>
        <w:rPr>
          <w:rFonts w:hint="eastAsia"/>
        </w:rPr>
        <w:t>中论述。</w:t>
      </w:r>
    </w:p>
  </w:footnote>
  <w:footnote w:id="77">
    <w:p w:rsidR="00000000" w:rsidRDefault="00000000">
      <w:pPr>
        <w:pStyle w:val="FootnoteText"/>
      </w:pPr>
      <w:r>
        <w:rPr>
          <w:rStyle w:val="FootnoteReference"/>
        </w:rPr>
        <w:t>64</w:t>
      </w:r>
      <w:r>
        <w:t xml:space="preserve"> </w:t>
      </w:r>
      <w:r>
        <w:tab/>
      </w:r>
      <w:r>
        <w:rPr>
          <w:rFonts w:hint="eastAsia"/>
        </w:rPr>
        <w:t>当中包括</w:t>
      </w:r>
      <w:r>
        <w:t>”</w:t>
      </w:r>
      <w:r>
        <w:rPr>
          <w:rFonts w:hint="eastAsia"/>
        </w:rPr>
        <w:t>反歧视</w:t>
      </w:r>
      <w:r>
        <w:t>”</w:t>
      </w:r>
      <w:r>
        <w:rPr>
          <w:rFonts w:hint="eastAsia"/>
        </w:rPr>
        <w:t>、自由、中国传统价值观与现代公民观念、人权与基本法、知识产权，以及</w:t>
      </w:r>
      <w:r>
        <w:t>”</w:t>
      </w:r>
      <w:r>
        <w:rPr>
          <w:rFonts w:hint="eastAsia"/>
        </w:rPr>
        <w:t>新闻与媒体自由</w:t>
      </w:r>
      <w:r>
        <w:t>”</w:t>
      </w:r>
      <w:r>
        <w:rPr>
          <w:rFonts w:hint="eastAsia"/>
        </w:rPr>
        <w:t>。</w:t>
      </w:r>
    </w:p>
  </w:footnote>
  <w:footnote w:id="78">
    <w:p w:rsidR="00000000" w:rsidRDefault="00000000">
      <w:pPr>
        <w:pStyle w:val="FootnoteText"/>
      </w:pPr>
      <w:r>
        <w:rPr>
          <w:rStyle w:val="FootnoteReference"/>
        </w:rPr>
        <w:t>65</w:t>
      </w:r>
      <w:r>
        <w:t xml:space="preserve"> </w:t>
      </w:r>
      <w:r>
        <w:tab/>
      </w:r>
      <w:r>
        <w:rPr>
          <w:rFonts w:hint="eastAsia"/>
        </w:rPr>
        <w:t>香港科技园为以科技为本的公司和活动，提供基建方面的一站式支援服务。</w:t>
      </w:r>
    </w:p>
  </w:footnote>
  <w:footnote w:id="79">
    <w:p w:rsidR="00000000" w:rsidRDefault="00000000">
      <w:pPr>
        <w:pStyle w:val="FootnoteText"/>
      </w:pPr>
      <w:r>
        <w:rPr>
          <w:rStyle w:val="FootnoteReference"/>
        </w:rPr>
        <w:t>66</w:t>
      </w:r>
      <w:r>
        <w:t xml:space="preserve"> </w:t>
      </w:r>
      <w:r>
        <w:tab/>
      </w:r>
      <w:r>
        <w:rPr>
          <w:rFonts w:hint="eastAsia"/>
        </w:rPr>
        <w:t>香港应用科技研究院进行研究发展工作，并把成果转移给工业界作商业用途，以期提升工业界的技术水平，以及鼓励科技为本的工业发展。</w:t>
      </w:r>
    </w:p>
  </w:footnote>
  <w:footnote w:id="80">
    <w:p w:rsidR="00000000" w:rsidRDefault="00000000">
      <w:pPr>
        <w:pStyle w:val="FootnoteText"/>
      </w:pPr>
      <w:r>
        <w:rPr>
          <w:rStyle w:val="FootnoteReference"/>
        </w:rPr>
        <w:t>67</w:t>
      </w:r>
      <w:r>
        <w:t xml:space="preserve"> </w:t>
      </w:r>
      <w:r>
        <w:tab/>
      </w:r>
      <w:r>
        <w:rPr>
          <w:rFonts w:hint="eastAsia"/>
        </w:rPr>
        <w:t>香港生产力促进局通过提供专业服务来促进工业生产力，以加强为产品和服务增值。</w:t>
      </w:r>
    </w:p>
  </w:footnote>
  <w:footnote w:id="81">
    <w:p w:rsidR="00000000" w:rsidRDefault="00000000">
      <w:pPr>
        <w:pStyle w:val="FootnoteText"/>
      </w:pPr>
      <w:r>
        <w:rPr>
          <w:rStyle w:val="FootnoteReference"/>
        </w:rPr>
        <w:t>68</w:t>
      </w:r>
      <w:r>
        <w:t xml:space="preserve"> </w:t>
      </w:r>
      <w:r>
        <w:tab/>
      </w:r>
      <w:r>
        <w:rPr>
          <w:rFonts w:hint="eastAsia"/>
        </w:rPr>
        <w:t>应用研究基金为有潜在商业价值的本地科技研究项目提供支援。</w:t>
      </w:r>
    </w:p>
  </w:footnote>
  <w:footnote w:id="82">
    <w:p w:rsidR="00000000" w:rsidRDefault="00000000">
      <w:pPr>
        <w:pStyle w:val="FootnoteText"/>
      </w:pPr>
      <w:r>
        <w:rPr>
          <w:rStyle w:val="FootnoteReference"/>
        </w:rPr>
        <w:t>69</w:t>
      </w:r>
      <w:r>
        <w:t xml:space="preserve"> </w:t>
      </w:r>
      <w:r>
        <w:tab/>
      </w:r>
      <w:r>
        <w:rPr>
          <w:rFonts w:hint="eastAsia"/>
        </w:rPr>
        <w:t>创新及科技基金为支援有助提升本地企业的创意和技术水平的计划提供支援。这基金取代了首份报告第</w:t>
      </w:r>
      <w:r>
        <w:t>606</w:t>
      </w:r>
      <w:r>
        <w:rPr>
          <w:rFonts w:hint="eastAsia"/>
        </w:rPr>
        <w:t>段所述的前工业支援资助计划和服务业支援资助计划。</w:t>
      </w:r>
    </w:p>
  </w:footnote>
  <w:footnote w:id="83">
    <w:p w:rsidR="00000000" w:rsidRDefault="00000000">
      <w:pPr>
        <w:rPr>
          <w:rStyle w:val="FootnoteReference"/>
          <w:b w:val="0"/>
          <w:bCs/>
          <w:color w:val="000000"/>
          <w:vertAlign w:val="baseline"/>
        </w:rPr>
      </w:pPr>
      <w:r>
        <w:rPr>
          <w:bCs/>
        </w:rPr>
        <w:tab/>
      </w:r>
      <w:r>
        <w:rPr>
          <w:rStyle w:val="FootnoteReference"/>
          <w:rFonts w:ascii="Time New Roman" w:eastAsia="SimHei" w:hAnsi="Time New Roman"/>
          <w:color w:val="000000"/>
        </w:rPr>
        <w:t>70</w:t>
      </w:r>
      <w:r>
        <w:rPr>
          <w:rStyle w:val="FootnoteReference"/>
          <w:b w:val="0"/>
          <w:bCs/>
          <w:color w:val="000000"/>
          <w:vertAlign w:val="baseline"/>
        </w:rPr>
        <w:t xml:space="preserve"> </w:t>
      </w:r>
      <w:r>
        <w:rPr>
          <w:rStyle w:val="FootnoteReference"/>
          <w:b w:val="0"/>
          <w:bCs/>
          <w:color w:val="000000"/>
          <w:vertAlign w:val="baseline"/>
        </w:rPr>
        <w:tab/>
      </w:r>
      <w:r>
        <w:rPr>
          <w:rStyle w:val="FootnoteReference"/>
          <w:rFonts w:hint="eastAsia"/>
          <w:b w:val="0"/>
          <w:bCs/>
          <w:color w:val="000000"/>
          <w:vertAlign w:val="baseline"/>
        </w:rPr>
        <w:t>公约文本公布于</w:t>
      </w:r>
      <w:r>
        <w:rPr>
          <w:rStyle w:val="FootnoteReference"/>
          <w:b w:val="0"/>
          <w:bCs/>
          <w:color w:val="000000"/>
          <w:vertAlign w:val="baseline"/>
        </w:rPr>
        <w:t>1992</w:t>
      </w:r>
      <w:r>
        <w:rPr>
          <w:rStyle w:val="FootnoteReference"/>
          <w:rFonts w:hint="eastAsia"/>
          <w:b w:val="0"/>
          <w:bCs/>
          <w:color w:val="000000"/>
          <w:vertAlign w:val="baseline"/>
        </w:rPr>
        <w:t>年</w:t>
      </w:r>
      <w:r>
        <w:rPr>
          <w:rStyle w:val="FootnoteReference"/>
          <w:b w:val="0"/>
          <w:bCs/>
          <w:color w:val="000000"/>
          <w:vertAlign w:val="baseline"/>
        </w:rPr>
        <w:t>12</w:t>
      </w:r>
      <w:r>
        <w:rPr>
          <w:rStyle w:val="FootnoteReference"/>
          <w:rFonts w:hint="eastAsia"/>
          <w:b w:val="0"/>
          <w:bCs/>
          <w:color w:val="000000"/>
          <w:vertAlign w:val="baseline"/>
        </w:rPr>
        <w:t>月</w:t>
      </w:r>
      <w:r>
        <w:rPr>
          <w:rStyle w:val="FootnoteReference"/>
          <w:b w:val="0"/>
          <w:bCs/>
          <w:color w:val="000000"/>
          <w:vertAlign w:val="baseline"/>
        </w:rPr>
        <w:t>31</w:t>
      </w:r>
      <w:r>
        <w:rPr>
          <w:rStyle w:val="FootnoteReference"/>
          <w:rFonts w:hint="eastAsia"/>
          <w:b w:val="0"/>
          <w:bCs/>
          <w:color w:val="000000"/>
          <w:vertAlign w:val="baseline"/>
        </w:rPr>
        <w:t>日第</w:t>
      </w:r>
      <w:r>
        <w:rPr>
          <w:rStyle w:val="FootnoteReference"/>
          <w:b w:val="0"/>
          <w:bCs/>
          <w:color w:val="000000"/>
          <w:vertAlign w:val="baseline"/>
        </w:rPr>
        <w:t>52</w:t>
      </w:r>
      <w:r>
        <w:rPr>
          <w:rStyle w:val="FootnoteReference"/>
          <w:rFonts w:hint="eastAsia"/>
          <w:b w:val="0"/>
          <w:bCs/>
          <w:color w:val="000000"/>
          <w:vertAlign w:val="baseline"/>
        </w:rPr>
        <w:t>期《澳门政府公报》第一组第三副刊；</w:t>
      </w:r>
      <w:r>
        <w:rPr>
          <w:rStyle w:val="FootnoteReference"/>
          <w:b w:val="0"/>
          <w:bCs/>
          <w:color w:val="000000"/>
          <w:vertAlign w:val="baseline"/>
        </w:rPr>
        <w:t>1993</w:t>
      </w:r>
      <w:r>
        <w:rPr>
          <w:rStyle w:val="FootnoteReference"/>
          <w:rFonts w:hint="eastAsia"/>
          <w:b w:val="0"/>
          <w:bCs/>
          <w:color w:val="000000"/>
          <w:vertAlign w:val="baseline"/>
        </w:rPr>
        <w:t>年</w:t>
      </w:r>
      <w:r>
        <w:rPr>
          <w:rStyle w:val="FootnoteReference"/>
          <w:b w:val="0"/>
          <w:bCs/>
          <w:color w:val="000000"/>
          <w:vertAlign w:val="baseline"/>
        </w:rPr>
        <w:t>4</w:t>
      </w:r>
      <w:r>
        <w:rPr>
          <w:rStyle w:val="FootnoteReference"/>
          <w:rFonts w:hint="eastAsia"/>
          <w:b w:val="0"/>
          <w:bCs/>
          <w:color w:val="000000"/>
          <w:vertAlign w:val="baseline"/>
        </w:rPr>
        <w:t>月</w:t>
      </w:r>
      <w:r>
        <w:rPr>
          <w:rStyle w:val="FootnoteReference"/>
          <w:b w:val="0"/>
          <w:bCs/>
          <w:color w:val="000000"/>
          <w:vertAlign w:val="baseline"/>
        </w:rPr>
        <w:t>27</w:t>
      </w:r>
      <w:r>
        <w:rPr>
          <w:rStyle w:val="FootnoteReference"/>
          <w:rFonts w:hint="eastAsia"/>
          <w:b w:val="0"/>
          <w:bCs/>
          <w:color w:val="000000"/>
          <w:vertAlign w:val="baseline"/>
        </w:rPr>
        <w:t>日，葡萄牙共和国己就公约延伸适用于澳门一事通知联合国秘书长。</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E/1990/5/Add.59</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 xml:space="preserve">  E/1990/5/Add.59</w:t>
    </w:r>
  </w:p>
  <w:p w:rsidR="00000000" w:rsidRDefault="00000000">
    <w:pPr>
      <w:pStyle w:val="Header"/>
    </w:pP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293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44.5pt;margin-top:2.8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E/1990/5/Add.59</w:t>
                </w:r>
              </w:p>
              <w:p w:rsidR="00000000" w:rsidRDefault="00000000">
                <w:pPr>
                  <w:pStyle w:val="Header"/>
                  <w:rPr>
                    <w:rFonts w:hint="eastAsia"/>
                  </w:rPr>
                </w:pPr>
                <w:r>
                  <w:t>9 March 200</w:t>
                </w:r>
                <w:r>
                  <w:rPr>
                    <w:rFonts w:hint="eastAsia"/>
                  </w:rPr>
                  <w:t>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11E1975"/>
    <w:multiLevelType w:val="hybridMultilevel"/>
    <w:tmpl w:val="9B989FE6"/>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36F5C6B"/>
    <w:multiLevelType w:val="hybridMultilevel"/>
    <w:tmpl w:val="7786B134"/>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7573914"/>
    <w:multiLevelType w:val="hybridMultilevel"/>
    <w:tmpl w:val="FD2E6E14"/>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80313E5"/>
    <w:multiLevelType w:val="hybridMultilevel"/>
    <w:tmpl w:val="DF7C582C"/>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8240789"/>
    <w:multiLevelType w:val="hybridMultilevel"/>
    <w:tmpl w:val="07DCF628"/>
    <w:lvl w:ilvl="0" w:tplc="DFC2A748">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8C236BD"/>
    <w:multiLevelType w:val="multilevel"/>
    <w:tmpl w:val="B476B130"/>
    <w:lvl w:ilvl="0">
      <w:start w:val="1"/>
      <w:numFmt w:val="bullet"/>
      <w:lvlText w:val=""/>
      <w:lvlJc w:val="left"/>
      <w:pPr>
        <w:tabs>
          <w:tab w:val="num" w:pos="480"/>
        </w:tabs>
        <w:ind w:left="480" w:hanging="480"/>
      </w:pPr>
      <w:rPr>
        <w:rFonts w:ascii="Wingdings" w:hAnsi="Wingdings" w:hint="default"/>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9">
    <w:nsid w:val="08D62827"/>
    <w:multiLevelType w:val="hybridMultilevel"/>
    <w:tmpl w:val="2C3AFF8E"/>
    <w:lvl w:ilvl="0" w:tplc="FFFFFFFF">
      <w:start w:val="1"/>
      <w:numFmt w:val="lowerLetter"/>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0">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11">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2">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0B9754C5"/>
    <w:multiLevelType w:val="hybridMultilevel"/>
    <w:tmpl w:val="9E802610"/>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6">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0DDA0D0E"/>
    <w:multiLevelType w:val="hybridMultilevel"/>
    <w:tmpl w:val="96F4A022"/>
    <w:lvl w:ilvl="0" w:tplc="FFFFFFFF">
      <w:start w:val="1"/>
      <w:numFmt w:val="bullet"/>
      <w:lvlText w:val=""/>
      <w:lvlJc w:val="left"/>
      <w:pPr>
        <w:tabs>
          <w:tab w:val="num" w:pos="480"/>
        </w:tabs>
        <w:ind w:left="480" w:hanging="480"/>
      </w:pPr>
      <w:rPr>
        <w:rFonts w:ascii="Wingdings 2" w:hAnsi="Wingdings 2" w:hint="default"/>
      </w:rPr>
    </w:lvl>
    <w:lvl w:ilvl="1" w:tplc="FFFFFFFF" w:tentative="1">
      <w:start w:val="1"/>
      <w:numFmt w:val="bullet"/>
      <w:lvlText w:val=""/>
      <w:lvlJc w:val="left"/>
      <w:pPr>
        <w:tabs>
          <w:tab w:val="num" w:pos="480"/>
        </w:tabs>
        <w:ind w:left="480" w:hanging="480"/>
      </w:pPr>
      <w:rPr>
        <w:rFonts w:ascii="Wingdings" w:hAnsi="Wingdings" w:hint="default"/>
      </w:rPr>
    </w:lvl>
    <w:lvl w:ilvl="2" w:tplc="FFFFFFFF" w:tentative="1">
      <w:start w:val="1"/>
      <w:numFmt w:val="bullet"/>
      <w:lvlText w:val=""/>
      <w:lvlJc w:val="left"/>
      <w:pPr>
        <w:tabs>
          <w:tab w:val="num" w:pos="960"/>
        </w:tabs>
        <w:ind w:left="960" w:hanging="480"/>
      </w:pPr>
      <w:rPr>
        <w:rFonts w:ascii="Wingdings" w:hAnsi="Wingdings" w:hint="default"/>
      </w:rPr>
    </w:lvl>
    <w:lvl w:ilvl="3" w:tplc="FFFFFFFF" w:tentative="1">
      <w:start w:val="1"/>
      <w:numFmt w:val="bullet"/>
      <w:lvlText w:val=""/>
      <w:lvlJc w:val="left"/>
      <w:pPr>
        <w:tabs>
          <w:tab w:val="num" w:pos="1440"/>
        </w:tabs>
        <w:ind w:left="1440" w:hanging="480"/>
      </w:pPr>
      <w:rPr>
        <w:rFonts w:ascii="Wingdings" w:hAnsi="Wingdings" w:hint="default"/>
      </w:rPr>
    </w:lvl>
    <w:lvl w:ilvl="4" w:tplc="FFFFFFFF" w:tentative="1">
      <w:start w:val="1"/>
      <w:numFmt w:val="bullet"/>
      <w:lvlText w:val=""/>
      <w:lvlJc w:val="left"/>
      <w:pPr>
        <w:tabs>
          <w:tab w:val="num" w:pos="1920"/>
        </w:tabs>
        <w:ind w:left="1920" w:hanging="480"/>
      </w:pPr>
      <w:rPr>
        <w:rFonts w:ascii="Wingdings" w:hAnsi="Wingdings" w:hint="default"/>
      </w:rPr>
    </w:lvl>
    <w:lvl w:ilvl="5" w:tplc="FFFFFFFF" w:tentative="1">
      <w:start w:val="1"/>
      <w:numFmt w:val="bullet"/>
      <w:lvlText w:val=""/>
      <w:lvlJc w:val="left"/>
      <w:pPr>
        <w:tabs>
          <w:tab w:val="num" w:pos="2400"/>
        </w:tabs>
        <w:ind w:left="2400" w:hanging="480"/>
      </w:pPr>
      <w:rPr>
        <w:rFonts w:ascii="Wingdings" w:hAnsi="Wingdings" w:hint="default"/>
      </w:rPr>
    </w:lvl>
    <w:lvl w:ilvl="6" w:tplc="FFFFFFFF" w:tentative="1">
      <w:start w:val="1"/>
      <w:numFmt w:val="bullet"/>
      <w:lvlText w:val=""/>
      <w:lvlJc w:val="left"/>
      <w:pPr>
        <w:tabs>
          <w:tab w:val="num" w:pos="2880"/>
        </w:tabs>
        <w:ind w:left="2880" w:hanging="480"/>
      </w:pPr>
      <w:rPr>
        <w:rFonts w:ascii="Wingdings" w:hAnsi="Wingdings" w:hint="default"/>
      </w:rPr>
    </w:lvl>
    <w:lvl w:ilvl="7" w:tplc="FFFFFFFF" w:tentative="1">
      <w:start w:val="1"/>
      <w:numFmt w:val="bullet"/>
      <w:lvlText w:val=""/>
      <w:lvlJc w:val="left"/>
      <w:pPr>
        <w:tabs>
          <w:tab w:val="num" w:pos="3360"/>
        </w:tabs>
        <w:ind w:left="3360" w:hanging="480"/>
      </w:pPr>
      <w:rPr>
        <w:rFonts w:ascii="Wingdings" w:hAnsi="Wingdings" w:hint="default"/>
      </w:rPr>
    </w:lvl>
    <w:lvl w:ilvl="8" w:tplc="FFFFFFFF" w:tentative="1">
      <w:start w:val="1"/>
      <w:numFmt w:val="bullet"/>
      <w:lvlText w:val=""/>
      <w:lvlJc w:val="left"/>
      <w:pPr>
        <w:tabs>
          <w:tab w:val="num" w:pos="3840"/>
        </w:tabs>
        <w:ind w:left="3840" w:hanging="480"/>
      </w:pPr>
      <w:rPr>
        <w:rFonts w:ascii="Wingdings" w:hAnsi="Wingdings" w:hint="default"/>
      </w:rPr>
    </w:lvl>
  </w:abstractNum>
  <w:abstractNum w:abstractNumId="18">
    <w:nsid w:val="0F014B7A"/>
    <w:multiLevelType w:val="hybridMultilevel"/>
    <w:tmpl w:val="4D9CB812"/>
    <w:lvl w:ilvl="0" w:tplc="E430BAD0">
      <w:start w:val="1"/>
      <w:numFmt w:val="lowerLetter"/>
      <w:lvlText w:val="(%1)"/>
      <w:lvlJc w:val="left"/>
      <w:pPr>
        <w:tabs>
          <w:tab w:val="num" w:pos="1020"/>
        </w:tabs>
        <w:ind w:left="1020" w:hanging="510"/>
      </w:pPr>
      <w:rPr>
        <w:rFonts w:hint="default"/>
        <w:b/>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9">
    <w:nsid w:val="0F1E1F3F"/>
    <w:multiLevelType w:val="hybridMultilevel"/>
    <w:tmpl w:val="76CA852A"/>
    <w:lvl w:ilvl="0" w:tplc="50600386">
      <w:start w:val="1"/>
      <w:numFmt w:val="lowerLetter"/>
      <w:lvlText w:val="(%1)"/>
      <w:lvlJc w:val="left"/>
      <w:pPr>
        <w:tabs>
          <w:tab w:val="num" w:pos="1020"/>
        </w:tabs>
        <w:ind w:left="1020" w:hanging="510"/>
      </w:pPr>
      <w:rPr>
        <w:rFonts w:hint="default"/>
        <w:b/>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0">
    <w:nsid w:val="0F32193A"/>
    <w:multiLevelType w:val="hybridMultilevel"/>
    <w:tmpl w:val="FA7C016E"/>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4">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5">
    <w:nsid w:val="15633E0F"/>
    <w:multiLevelType w:val="hybridMultilevel"/>
    <w:tmpl w:val="F2462640"/>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9">
    <w:nsid w:val="19340634"/>
    <w:multiLevelType w:val="hybridMultilevel"/>
    <w:tmpl w:val="64DE042E"/>
    <w:lvl w:ilvl="0" w:tplc="FFFFFFFF">
      <w:start w:val="1"/>
      <w:numFmt w:val="lowerLetter"/>
      <w:lvlText w:val="(%1)"/>
      <w:lvlJc w:val="left"/>
      <w:pPr>
        <w:tabs>
          <w:tab w:val="num" w:pos="585"/>
        </w:tabs>
        <w:ind w:left="585" w:hanging="585"/>
      </w:pPr>
      <w:rPr>
        <w:rFonts w:hint="eastAsia"/>
      </w:rPr>
    </w:lvl>
    <w:lvl w:ilvl="1" w:tplc="FFFFFFFF" w:tentative="1">
      <w:start w:val="1"/>
      <w:numFmt w:val="ideographTraditional"/>
      <w:lvlText w:val="%2、"/>
      <w:lvlJc w:val="left"/>
      <w:pPr>
        <w:tabs>
          <w:tab w:val="num" w:pos="400"/>
        </w:tabs>
        <w:ind w:left="400" w:hanging="480"/>
      </w:pPr>
    </w:lvl>
    <w:lvl w:ilvl="2" w:tplc="FFFFFFFF" w:tentative="1">
      <w:start w:val="1"/>
      <w:numFmt w:val="lowerRoman"/>
      <w:lvlText w:val="%3."/>
      <w:lvlJc w:val="right"/>
      <w:pPr>
        <w:tabs>
          <w:tab w:val="num" w:pos="880"/>
        </w:tabs>
        <w:ind w:left="880" w:hanging="480"/>
      </w:pPr>
    </w:lvl>
    <w:lvl w:ilvl="3" w:tplc="FFFFFFFF" w:tentative="1">
      <w:start w:val="1"/>
      <w:numFmt w:val="decimal"/>
      <w:lvlText w:val="%4."/>
      <w:lvlJc w:val="left"/>
      <w:pPr>
        <w:tabs>
          <w:tab w:val="num" w:pos="1360"/>
        </w:tabs>
        <w:ind w:left="1360" w:hanging="480"/>
      </w:pPr>
    </w:lvl>
    <w:lvl w:ilvl="4" w:tplc="FFFFFFFF" w:tentative="1">
      <w:start w:val="1"/>
      <w:numFmt w:val="ideographTraditional"/>
      <w:lvlText w:val="%5、"/>
      <w:lvlJc w:val="left"/>
      <w:pPr>
        <w:tabs>
          <w:tab w:val="num" w:pos="1840"/>
        </w:tabs>
        <w:ind w:left="1840" w:hanging="480"/>
      </w:pPr>
    </w:lvl>
    <w:lvl w:ilvl="5" w:tplc="FFFFFFFF" w:tentative="1">
      <w:start w:val="1"/>
      <w:numFmt w:val="lowerRoman"/>
      <w:lvlText w:val="%6."/>
      <w:lvlJc w:val="right"/>
      <w:pPr>
        <w:tabs>
          <w:tab w:val="num" w:pos="2320"/>
        </w:tabs>
        <w:ind w:left="2320" w:hanging="480"/>
      </w:pPr>
    </w:lvl>
    <w:lvl w:ilvl="6" w:tplc="FFFFFFFF" w:tentative="1">
      <w:start w:val="1"/>
      <w:numFmt w:val="decimal"/>
      <w:lvlText w:val="%7."/>
      <w:lvlJc w:val="left"/>
      <w:pPr>
        <w:tabs>
          <w:tab w:val="num" w:pos="2800"/>
        </w:tabs>
        <w:ind w:left="2800" w:hanging="480"/>
      </w:pPr>
    </w:lvl>
    <w:lvl w:ilvl="7" w:tplc="FFFFFFFF" w:tentative="1">
      <w:start w:val="1"/>
      <w:numFmt w:val="ideographTraditional"/>
      <w:lvlText w:val="%8、"/>
      <w:lvlJc w:val="left"/>
      <w:pPr>
        <w:tabs>
          <w:tab w:val="num" w:pos="3280"/>
        </w:tabs>
        <w:ind w:left="3280" w:hanging="480"/>
      </w:pPr>
    </w:lvl>
    <w:lvl w:ilvl="8" w:tplc="FFFFFFFF" w:tentative="1">
      <w:start w:val="1"/>
      <w:numFmt w:val="lowerRoman"/>
      <w:lvlText w:val="%9."/>
      <w:lvlJc w:val="right"/>
      <w:pPr>
        <w:tabs>
          <w:tab w:val="num" w:pos="3760"/>
        </w:tabs>
        <w:ind w:left="3760" w:hanging="480"/>
      </w:pPr>
    </w:lvl>
  </w:abstractNum>
  <w:abstractNum w:abstractNumId="30">
    <w:nsid w:val="1A2B1526"/>
    <w:multiLevelType w:val="hybridMultilevel"/>
    <w:tmpl w:val="EDECF5CA"/>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1CF50EF4"/>
    <w:multiLevelType w:val="hybridMultilevel"/>
    <w:tmpl w:val="A746AD22"/>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3">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1E7821BE"/>
    <w:multiLevelType w:val="hybridMultilevel"/>
    <w:tmpl w:val="4B5A4AAA"/>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1F314B8E"/>
    <w:multiLevelType w:val="hybridMultilevel"/>
    <w:tmpl w:val="AEC066CA"/>
    <w:lvl w:ilvl="0" w:tplc="FFFFFFFF">
      <w:start w:val="1"/>
      <w:numFmt w:val="bullet"/>
      <w:lvlText w:val=""/>
      <w:lvlJc w:val="left"/>
      <w:pPr>
        <w:tabs>
          <w:tab w:val="num" w:pos="480"/>
        </w:tabs>
        <w:ind w:left="480" w:hanging="480"/>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36">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205523A9"/>
    <w:multiLevelType w:val="hybridMultilevel"/>
    <w:tmpl w:val="B628C076"/>
    <w:lvl w:ilvl="0" w:tplc="306885D4">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21C70FE9"/>
    <w:multiLevelType w:val="hybridMultilevel"/>
    <w:tmpl w:val="1A882960"/>
    <w:lvl w:ilvl="0" w:tplc="EB584820">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21E75057"/>
    <w:multiLevelType w:val="hybridMultilevel"/>
    <w:tmpl w:val="35CC414E"/>
    <w:lvl w:ilvl="0" w:tplc="C9FA2FC0">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444782E"/>
    <w:multiLevelType w:val="hybridMultilevel"/>
    <w:tmpl w:val="CE807E6E"/>
    <w:lvl w:ilvl="0" w:tplc="0BCE3FA4">
      <w:start w:val="1"/>
      <w:numFmt w:val="lowerLetter"/>
      <w:lvlText w:val="(%1)"/>
      <w:lvlJc w:val="left"/>
      <w:pPr>
        <w:tabs>
          <w:tab w:val="num" w:pos="1020"/>
        </w:tabs>
        <w:ind w:left="1020" w:hanging="510"/>
      </w:pPr>
      <w:rPr>
        <w:rFonts w:hint="default"/>
        <w:b/>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3">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4">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29126213"/>
    <w:multiLevelType w:val="multilevel"/>
    <w:tmpl w:val="AEC066CA"/>
    <w:lvl w:ilvl="0">
      <w:start w:val="1"/>
      <w:numFmt w:val="bullet"/>
      <w:lvlText w:val=""/>
      <w:lvlJc w:val="left"/>
      <w:pPr>
        <w:tabs>
          <w:tab w:val="num" w:pos="480"/>
        </w:tabs>
        <w:ind w:left="480" w:hanging="480"/>
      </w:pPr>
      <w:rPr>
        <w:rFonts w:ascii="Wingdings" w:hAnsi="Wingdings" w:hint="default"/>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29D57FAE"/>
    <w:multiLevelType w:val="hybridMultilevel"/>
    <w:tmpl w:val="682CE32C"/>
    <w:lvl w:ilvl="0" w:tplc="B980E8B0">
      <w:start w:val="2"/>
      <w:numFmt w:val="decimal"/>
      <w:lvlText w:val="%1"/>
      <w:lvlJc w:val="left"/>
      <w:pPr>
        <w:tabs>
          <w:tab w:val="num" w:pos="735"/>
        </w:tabs>
        <w:ind w:left="735" w:hanging="420"/>
      </w:pPr>
      <w:rPr>
        <w:rFonts w:hint="eastAsia"/>
      </w:rPr>
    </w:lvl>
    <w:lvl w:ilvl="1" w:tplc="04090019" w:tentative="1">
      <w:start w:val="1"/>
      <w:numFmt w:val="ideographTraditional"/>
      <w:lvlText w:val="%2、"/>
      <w:lvlJc w:val="left"/>
      <w:pPr>
        <w:tabs>
          <w:tab w:val="num" w:pos="1275"/>
        </w:tabs>
        <w:ind w:left="1275" w:hanging="480"/>
      </w:pPr>
    </w:lvl>
    <w:lvl w:ilvl="2" w:tplc="0409001B" w:tentative="1">
      <w:start w:val="1"/>
      <w:numFmt w:val="lowerRoman"/>
      <w:lvlText w:val="%3."/>
      <w:lvlJc w:val="right"/>
      <w:pPr>
        <w:tabs>
          <w:tab w:val="num" w:pos="1755"/>
        </w:tabs>
        <w:ind w:left="1755" w:hanging="480"/>
      </w:pPr>
    </w:lvl>
    <w:lvl w:ilvl="3" w:tplc="0409000F" w:tentative="1">
      <w:start w:val="1"/>
      <w:numFmt w:val="decimal"/>
      <w:lvlText w:val="%4."/>
      <w:lvlJc w:val="left"/>
      <w:pPr>
        <w:tabs>
          <w:tab w:val="num" w:pos="2235"/>
        </w:tabs>
        <w:ind w:left="2235" w:hanging="480"/>
      </w:pPr>
    </w:lvl>
    <w:lvl w:ilvl="4" w:tplc="04090019" w:tentative="1">
      <w:start w:val="1"/>
      <w:numFmt w:val="ideographTraditional"/>
      <w:lvlText w:val="%5、"/>
      <w:lvlJc w:val="left"/>
      <w:pPr>
        <w:tabs>
          <w:tab w:val="num" w:pos="2715"/>
        </w:tabs>
        <w:ind w:left="2715" w:hanging="480"/>
      </w:pPr>
    </w:lvl>
    <w:lvl w:ilvl="5" w:tplc="0409001B" w:tentative="1">
      <w:start w:val="1"/>
      <w:numFmt w:val="lowerRoman"/>
      <w:lvlText w:val="%6."/>
      <w:lvlJc w:val="right"/>
      <w:pPr>
        <w:tabs>
          <w:tab w:val="num" w:pos="3195"/>
        </w:tabs>
        <w:ind w:left="3195" w:hanging="480"/>
      </w:pPr>
    </w:lvl>
    <w:lvl w:ilvl="6" w:tplc="0409000F" w:tentative="1">
      <w:start w:val="1"/>
      <w:numFmt w:val="decimal"/>
      <w:lvlText w:val="%7."/>
      <w:lvlJc w:val="left"/>
      <w:pPr>
        <w:tabs>
          <w:tab w:val="num" w:pos="3675"/>
        </w:tabs>
        <w:ind w:left="3675" w:hanging="480"/>
      </w:pPr>
    </w:lvl>
    <w:lvl w:ilvl="7" w:tplc="04090019" w:tentative="1">
      <w:start w:val="1"/>
      <w:numFmt w:val="ideographTraditional"/>
      <w:lvlText w:val="%8、"/>
      <w:lvlJc w:val="left"/>
      <w:pPr>
        <w:tabs>
          <w:tab w:val="num" w:pos="4155"/>
        </w:tabs>
        <w:ind w:left="4155" w:hanging="480"/>
      </w:pPr>
    </w:lvl>
    <w:lvl w:ilvl="8" w:tplc="0409001B" w:tentative="1">
      <w:start w:val="1"/>
      <w:numFmt w:val="lowerRoman"/>
      <w:lvlText w:val="%9."/>
      <w:lvlJc w:val="right"/>
      <w:pPr>
        <w:tabs>
          <w:tab w:val="num" w:pos="4635"/>
        </w:tabs>
        <w:ind w:left="4635" w:hanging="480"/>
      </w:pPr>
    </w:lvl>
  </w:abstractNum>
  <w:abstractNum w:abstractNumId="48">
    <w:nsid w:val="29FA19A2"/>
    <w:multiLevelType w:val="hybridMultilevel"/>
    <w:tmpl w:val="C55AB034"/>
    <w:lvl w:ilvl="0" w:tplc="14D0E7C2">
      <w:start w:val="1"/>
      <w:numFmt w:val="lowerLetter"/>
      <w:lvlText w:val="(%1)"/>
      <w:lvlJc w:val="left"/>
      <w:pPr>
        <w:tabs>
          <w:tab w:val="num" w:pos="1020"/>
        </w:tabs>
        <w:ind w:left="1020" w:hanging="510"/>
      </w:pPr>
      <w:rPr>
        <w:rFonts w:hint="default"/>
        <w:b/>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9">
    <w:nsid w:val="2C613641"/>
    <w:multiLevelType w:val="hybridMultilevel"/>
    <w:tmpl w:val="378A25F2"/>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2F6160D2"/>
    <w:multiLevelType w:val="hybridMultilevel"/>
    <w:tmpl w:val="A67E9F30"/>
    <w:lvl w:ilvl="0" w:tplc="881E78B2">
      <w:start w:val="6"/>
      <w:numFmt w:val="upperLetter"/>
      <w:lvlText w:val="%1."/>
      <w:lvlJc w:val="left"/>
      <w:pPr>
        <w:tabs>
          <w:tab w:val="num" w:pos="390"/>
        </w:tabs>
        <w:ind w:left="390" w:hanging="390"/>
      </w:pPr>
      <w:rPr>
        <w:rFonts w:eastAsia="KaiTi_GB2312"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303C2379"/>
    <w:multiLevelType w:val="hybridMultilevel"/>
    <w:tmpl w:val="0002CADC"/>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307A0394"/>
    <w:multiLevelType w:val="hybridMultilevel"/>
    <w:tmpl w:val="033A2372"/>
    <w:lvl w:ilvl="0" w:tplc="852EC99C">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30E865AF"/>
    <w:multiLevelType w:val="singleLevel"/>
    <w:tmpl w:val="8B20B7A6"/>
    <w:lvl w:ilvl="0">
      <w:start w:val="1"/>
      <w:numFmt w:val="decimal"/>
      <w:lvlText w:val="%1"/>
      <w:lvlJc w:val="left"/>
      <w:pPr>
        <w:tabs>
          <w:tab w:val="num" w:pos="360"/>
        </w:tabs>
        <w:ind w:left="360" w:hanging="360"/>
      </w:pPr>
      <w:rPr>
        <w:rFonts w:hint="eastAsia"/>
      </w:rPr>
    </w:lvl>
  </w:abstractNum>
  <w:abstractNum w:abstractNumId="54">
    <w:nsid w:val="3219208D"/>
    <w:multiLevelType w:val="hybridMultilevel"/>
    <w:tmpl w:val="ED5696CA"/>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nsid w:val="327623C8"/>
    <w:multiLevelType w:val="multilevel"/>
    <w:tmpl w:val="BEDA4234"/>
    <w:lvl w:ilvl="0">
      <w:start w:val="10"/>
      <w:numFmt w:val="decimal"/>
      <w:lvlText w:val="%1"/>
      <w:lvlJc w:val="left"/>
      <w:pPr>
        <w:tabs>
          <w:tab w:val="num" w:pos="1140"/>
        </w:tabs>
        <w:ind w:left="1140" w:hanging="1140"/>
      </w:pPr>
      <w:rPr>
        <w:rFonts w:hint="eastAsia"/>
      </w:rPr>
    </w:lvl>
    <w:lvl w:ilvl="1">
      <w:start w:val="32"/>
      <w:numFmt w:val="decimal"/>
      <w:lvlText w:val="%1.%2"/>
      <w:lvlJc w:val="left"/>
      <w:pPr>
        <w:tabs>
          <w:tab w:val="num" w:pos="1140"/>
        </w:tabs>
        <w:ind w:left="1140" w:hanging="1140"/>
      </w:pPr>
      <w:rPr>
        <w:rFonts w:hint="eastAsia"/>
      </w:rPr>
    </w:lvl>
    <w:lvl w:ilvl="2">
      <w:start w:val="1"/>
      <w:numFmt w:val="decimal"/>
      <w:lvlText w:val="%1.%2.%3"/>
      <w:lvlJc w:val="left"/>
      <w:pPr>
        <w:tabs>
          <w:tab w:val="num" w:pos="1140"/>
        </w:tabs>
        <w:ind w:left="1140" w:hanging="1140"/>
      </w:pPr>
      <w:rPr>
        <w:rFonts w:hint="eastAsia"/>
      </w:rPr>
    </w:lvl>
    <w:lvl w:ilvl="3">
      <w:start w:val="1"/>
      <w:numFmt w:val="decimal"/>
      <w:lvlText w:val="%1.%2.%3.%4"/>
      <w:lvlJc w:val="left"/>
      <w:pPr>
        <w:tabs>
          <w:tab w:val="num" w:pos="1140"/>
        </w:tabs>
        <w:ind w:left="1140" w:hanging="1140"/>
      </w:pPr>
      <w:rPr>
        <w:rFonts w:hint="eastAsia"/>
      </w:rPr>
    </w:lvl>
    <w:lvl w:ilvl="4">
      <w:start w:val="1"/>
      <w:numFmt w:val="decimal"/>
      <w:lvlText w:val="%1.%2.%3.%4.%5"/>
      <w:lvlJc w:val="left"/>
      <w:pPr>
        <w:tabs>
          <w:tab w:val="num" w:pos="1140"/>
        </w:tabs>
        <w:ind w:left="1140" w:hanging="1140"/>
      </w:pPr>
      <w:rPr>
        <w:rFonts w:hint="eastAsia"/>
      </w:rPr>
    </w:lvl>
    <w:lvl w:ilvl="5">
      <w:start w:val="1"/>
      <w:numFmt w:val="decimal"/>
      <w:lvlText w:val="%1.%2.%3.%4.%5.%6"/>
      <w:lvlJc w:val="left"/>
      <w:pPr>
        <w:tabs>
          <w:tab w:val="num" w:pos="1140"/>
        </w:tabs>
        <w:ind w:left="1140" w:hanging="1140"/>
      </w:pPr>
      <w:rPr>
        <w:rFonts w:hint="eastAsia"/>
      </w:rPr>
    </w:lvl>
    <w:lvl w:ilvl="6">
      <w:start w:val="1"/>
      <w:numFmt w:val="decimal"/>
      <w:lvlText w:val="%1.%2.%3.%4.%5.%6.%7"/>
      <w:lvlJc w:val="left"/>
      <w:pPr>
        <w:tabs>
          <w:tab w:val="num" w:pos="1140"/>
        </w:tabs>
        <w:ind w:left="1140" w:hanging="1140"/>
      </w:pPr>
      <w:rPr>
        <w:rFonts w:hint="eastAsia"/>
      </w:rPr>
    </w:lvl>
    <w:lvl w:ilvl="7">
      <w:start w:val="1"/>
      <w:numFmt w:val="decimal"/>
      <w:lvlText w:val="%1.%2.%3.%4.%5.%6.%7.%8"/>
      <w:lvlJc w:val="left"/>
      <w:pPr>
        <w:tabs>
          <w:tab w:val="num" w:pos="1140"/>
        </w:tabs>
        <w:ind w:left="1140" w:hanging="1140"/>
      </w:pPr>
      <w:rPr>
        <w:rFonts w:hint="eastAsia"/>
      </w:rPr>
    </w:lvl>
    <w:lvl w:ilvl="8">
      <w:start w:val="1"/>
      <w:numFmt w:val="decimal"/>
      <w:lvlText w:val="%1.%2.%3.%4.%5.%6.%7.%8.%9"/>
      <w:lvlJc w:val="left"/>
      <w:pPr>
        <w:tabs>
          <w:tab w:val="num" w:pos="1140"/>
        </w:tabs>
        <w:ind w:left="1140" w:hanging="1140"/>
      </w:pPr>
      <w:rPr>
        <w:rFonts w:hint="eastAsia"/>
      </w:rPr>
    </w:lvl>
  </w:abstractNum>
  <w:abstractNum w:abstractNumId="56">
    <w:nsid w:val="32D55E18"/>
    <w:multiLevelType w:val="hybridMultilevel"/>
    <w:tmpl w:val="072EC05A"/>
    <w:lvl w:ilvl="0" w:tplc="FFFFFFFF">
      <w:start w:val="1"/>
      <w:numFmt w:val="bullet"/>
      <w:lvlText w:val=""/>
      <w:lvlJc w:val="left"/>
      <w:pPr>
        <w:tabs>
          <w:tab w:val="num" w:pos="480"/>
        </w:tabs>
        <w:ind w:left="480" w:hanging="480"/>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57">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58">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59">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345848B3"/>
    <w:multiLevelType w:val="hybridMultilevel"/>
    <w:tmpl w:val="50A410FE"/>
    <w:lvl w:ilvl="0" w:tplc="872E6112">
      <w:start w:val="1"/>
      <w:numFmt w:val="lowerLetter"/>
      <w:lvlText w:val="(%1)"/>
      <w:lvlJc w:val="left"/>
      <w:pPr>
        <w:tabs>
          <w:tab w:val="num" w:pos="1020"/>
        </w:tabs>
        <w:ind w:left="1020" w:hanging="510"/>
      </w:pPr>
      <w:rPr>
        <w:rFonts w:hint="default"/>
        <w:b/>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1">
    <w:nsid w:val="365D4B88"/>
    <w:multiLevelType w:val="hybridMultilevel"/>
    <w:tmpl w:val="AADA0948"/>
    <w:lvl w:ilvl="0" w:tplc="2E1AE86A">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nsid w:val="369236A2"/>
    <w:multiLevelType w:val="hybridMultilevel"/>
    <w:tmpl w:val="A4AC0486"/>
    <w:lvl w:ilvl="0" w:tplc="FFFFFFFF">
      <w:start w:val="1"/>
      <w:numFmt w:val="bullet"/>
      <w:lvlText w:val=""/>
      <w:lvlJc w:val="left"/>
      <w:pPr>
        <w:tabs>
          <w:tab w:val="num" w:pos="480"/>
        </w:tabs>
        <w:ind w:left="480" w:hanging="480"/>
      </w:pPr>
      <w:rPr>
        <w:rFonts w:ascii="Wingdings 2" w:hAnsi="Wingdings 2" w:hint="default"/>
      </w:rPr>
    </w:lvl>
    <w:lvl w:ilvl="1" w:tplc="FFFFFFFF" w:tentative="1">
      <w:start w:val="1"/>
      <w:numFmt w:val="bullet"/>
      <w:lvlText w:val=""/>
      <w:lvlJc w:val="left"/>
      <w:pPr>
        <w:tabs>
          <w:tab w:val="num" w:pos="480"/>
        </w:tabs>
        <w:ind w:left="480" w:hanging="480"/>
      </w:pPr>
      <w:rPr>
        <w:rFonts w:ascii="Wingdings" w:hAnsi="Wingdings" w:hint="default"/>
      </w:rPr>
    </w:lvl>
    <w:lvl w:ilvl="2" w:tplc="FFFFFFFF" w:tentative="1">
      <w:start w:val="1"/>
      <w:numFmt w:val="bullet"/>
      <w:lvlText w:val=""/>
      <w:lvlJc w:val="left"/>
      <w:pPr>
        <w:tabs>
          <w:tab w:val="num" w:pos="960"/>
        </w:tabs>
        <w:ind w:left="960" w:hanging="480"/>
      </w:pPr>
      <w:rPr>
        <w:rFonts w:ascii="Wingdings" w:hAnsi="Wingdings" w:hint="default"/>
      </w:rPr>
    </w:lvl>
    <w:lvl w:ilvl="3" w:tplc="FFFFFFFF" w:tentative="1">
      <w:start w:val="1"/>
      <w:numFmt w:val="bullet"/>
      <w:lvlText w:val=""/>
      <w:lvlJc w:val="left"/>
      <w:pPr>
        <w:tabs>
          <w:tab w:val="num" w:pos="1440"/>
        </w:tabs>
        <w:ind w:left="1440" w:hanging="480"/>
      </w:pPr>
      <w:rPr>
        <w:rFonts w:ascii="Wingdings" w:hAnsi="Wingdings" w:hint="default"/>
      </w:rPr>
    </w:lvl>
    <w:lvl w:ilvl="4" w:tplc="FFFFFFFF" w:tentative="1">
      <w:start w:val="1"/>
      <w:numFmt w:val="bullet"/>
      <w:lvlText w:val=""/>
      <w:lvlJc w:val="left"/>
      <w:pPr>
        <w:tabs>
          <w:tab w:val="num" w:pos="1920"/>
        </w:tabs>
        <w:ind w:left="1920" w:hanging="480"/>
      </w:pPr>
      <w:rPr>
        <w:rFonts w:ascii="Wingdings" w:hAnsi="Wingdings" w:hint="default"/>
      </w:rPr>
    </w:lvl>
    <w:lvl w:ilvl="5" w:tplc="FFFFFFFF" w:tentative="1">
      <w:start w:val="1"/>
      <w:numFmt w:val="bullet"/>
      <w:lvlText w:val=""/>
      <w:lvlJc w:val="left"/>
      <w:pPr>
        <w:tabs>
          <w:tab w:val="num" w:pos="2400"/>
        </w:tabs>
        <w:ind w:left="2400" w:hanging="480"/>
      </w:pPr>
      <w:rPr>
        <w:rFonts w:ascii="Wingdings" w:hAnsi="Wingdings" w:hint="default"/>
      </w:rPr>
    </w:lvl>
    <w:lvl w:ilvl="6" w:tplc="FFFFFFFF" w:tentative="1">
      <w:start w:val="1"/>
      <w:numFmt w:val="bullet"/>
      <w:lvlText w:val=""/>
      <w:lvlJc w:val="left"/>
      <w:pPr>
        <w:tabs>
          <w:tab w:val="num" w:pos="2880"/>
        </w:tabs>
        <w:ind w:left="2880" w:hanging="480"/>
      </w:pPr>
      <w:rPr>
        <w:rFonts w:ascii="Wingdings" w:hAnsi="Wingdings" w:hint="default"/>
      </w:rPr>
    </w:lvl>
    <w:lvl w:ilvl="7" w:tplc="FFFFFFFF" w:tentative="1">
      <w:start w:val="1"/>
      <w:numFmt w:val="bullet"/>
      <w:lvlText w:val=""/>
      <w:lvlJc w:val="left"/>
      <w:pPr>
        <w:tabs>
          <w:tab w:val="num" w:pos="3360"/>
        </w:tabs>
        <w:ind w:left="3360" w:hanging="480"/>
      </w:pPr>
      <w:rPr>
        <w:rFonts w:ascii="Wingdings" w:hAnsi="Wingdings" w:hint="default"/>
      </w:rPr>
    </w:lvl>
    <w:lvl w:ilvl="8" w:tplc="FFFFFFFF" w:tentative="1">
      <w:start w:val="1"/>
      <w:numFmt w:val="bullet"/>
      <w:lvlText w:val=""/>
      <w:lvlJc w:val="left"/>
      <w:pPr>
        <w:tabs>
          <w:tab w:val="num" w:pos="3840"/>
        </w:tabs>
        <w:ind w:left="3840" w:hanging="480"/>
      </w:pPr>
      <w:rPr>
        <w:rFonts w:ascii="Wingdings" w:hAnsi="Wingdings" w:hint="default"/>
      </w:rPr>
    </w:lvl>
  </w:abstractNum>
  <w:abstractNum w:abstractNumId="6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373361BE"/>
    <w:multiLevelType w:val="hybridMultilevel"/>
    <w:tmpl w:val="FC1C84E2"/>
    <w:lvl w:ilvl="0" w:tplc="EB584820">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37F8667C"/>
    <w:multiLevelType w:val="singleLevel"/>
    <w:tmpl w:val="0450A99A"/>
    <w:lvl w:ilvl="0">
      <w:start w:val="1"/>
      <w:numFmt w:val="lowerRoman"/>
      <w:lvlText w:val="(%1)"/>
      <w:lvlJc w:val="left"/>
      <w:pPr>
        <w:tabs>
          <w:tab w:val="num" w:pos="1140"/>
        </w:tabs>
        <w:ind w:left="1140" w:hanging="570"/>
      </w:pPr>
      <w:rPr>
        <w:rFonts w:hint="default"/>
      </w:rPr>
    </w:lvl>
  </w:abstractNum>
  <w:abstractNum w:abstractNumId="66">
    <w:nsid w:val="38C47878"/>
    <w:multiLevelType w:val="hybridMultilevel"/>
    <w:tmpl w:val="E0BAEE1E"/>
    <w:lvl w:ilvl="0" w:tplc="F29AB50A">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7">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68">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69">
    <w:nsid w:val="39E26265"/>
    <w:multiLevelType w:val="hybridMultilevel"/>
    <w:tmpl w:val="D398242E"/>
    <w:lvl w:ilvl="0" w:tplc="FFFFFFFF">
      <w:start w:val="1"/>
      <w:numFmt w:val="bullet"/>
      <w:lvlText w:val=""/>
      <w:lvlJc w:val="left"/>
      <w:pPr>
        <w:tabs>
          <w:tab w:val="num" w:pos="851"/>
        </w:tabs>
        <w:ind w:left="851" w:hanging="851"/>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70">
    <w:nsid w:val="3A103A4A"/>
    <w:multiLevelType w:val="hybridMultilevel"/>
    <w:tmpl w:val="B67C59CC"/>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3A3F4925"/>
    <w:multiLevelType w:val="hybridMultilevel"/>
    <w:tmpl w:val="A9D29136"/>
    <w:lvl w:ilvl="0" w:tplc="E898B29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nsid w:val="3AAE6B04"/>
    <w:multiLevelType w:val="singleLevel"/>
    <w:tmpl w:val="45BA4ECC"/>
    <w:lvl w:ilvl="0">
      <w:start w:val="1"/>
      <w:numFmt w:val="bullet"/>
      <w:lvlText w:val=""/>
      <w:lvlJc w:val="left"/>
      <w:pPr>
        <w:tabs>
          <w:tab w:val="num" w:pos="425"/>
        </w:tabs>
        <w:ind w:left="425" w:hanging="425"/>
      </w:pPr>
      <w:rPr>
        <w:rFonts w:ascii="Symbol" w:hAnsi="Symbol" w:hint="default"/>
        <w:sz w:val="28"/>
      </w:rPr>
    </w:lvl>
  </w:abstractNum>
  <w:abstractNum w:abstractNumId="74">
    <w:nsid w:val="3CEB4FCB"/>
    <w:multiLevelType w:val="hybridMultilevel"/>
    <w:tmpl w:val="C5865B82"/>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76">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3D9425A2"/>
    <w:multiLevelType w:val="hybridMultilevel"/>
    <w:tmpl w:val="25C07E4A"/>
    <w:lvl w:ilvl="0" w:tplc="3DE84526">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8">
    <w:nsid w:val="3E5D3AA5"/>
    <w:multiLevelType w:val="hybridMultilevel"/>
    <w:tmpl w:val="69622E90"/>
    <w:lvl w:ilvl="0" w:tplc="8F181CF0">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9">
    <w:nsid w:val="3EBA38BE"/>
    <w:multiLevelType w:val="hybridMultilevel"/>
    <w:tmpl w:val="4620AA58"/>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81">
    <w:nsid w:val="410F270B"/>
    <w:multiLevelType w:val="hybridMultilevel"/>
    <w:tmpl w:val="B476B130"/>
    <w:lvl w:ilvl="0" w:tplc="FFFFFFFF">
      <w:start w:val="1"/>
      <w:numFmt w:val="bullet"/>
      <w:lvlText w:val=""/>
      <w:lvlJc w:val="left"/>
      <w:pPr>
        <w:tabs>
          <w:tab w:val="num" w:pos="480"/>
        </w:tabs>
        <w:ind w:left="480" w:hanging="480"/>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82">
    <w:nsid w:val="42201207"/>
    <w:multiLevelType w:val="hybridMultilevel"/>
    <w:tmpl w:val="915E6A56"/>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83">
    <w:nsid w:val="4387523C"/>
    <w:multiLevelType w:val="hybridMultilevel"/>
    <w:tmpl w:val="9A5413AA"/>
    <w:lvl w:ilvl="0" w:tplc="DC2C367C">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nsid w:val="43903BB2"/>
    <w:multiLevelType w:val="hybridMultilevel"/>
    <w:tmpl w:val="5AA00EB8"/>
    <w:lvl w:ilvl="0" w:tplc="A154BA22">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86">
    <w:nsid w:val="454826A5"/>
    <w:multiLevelType w:val="hybridMultilevel"/>
    <w:tmpl w:val="6E009540"/>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nsid w:val="463C3179"/>
    <w:multiLevelType w:val="hybridMultilevel"/>
    <w:tmpl w:val="68A4FA88"/>
    <w:lvl w:ilvl="0" w:tplc="D3C6F032">
      <w:start w:val="3"/>
      <w:numFmt w:val="decimal"/>
      <w:lvlText w:val="%1"/>
      <w:lvlJc w:val="left"/>
      <w:pPr>
        <w:tabs>
          <w:tab w:val="num" w:pos="675"/>
        </w:tabs>
        <w:ind w:left="675" w:hanging="360"/>
      </w:pPr>
      <w:rPr>
        <w:rFonts w:hint="eastAsia"/>
      </w:rPr>
    </w:lvl>
    <w:lvl w:ilvl="1" w:tplc="04090019" w:tentative="1">
      <w:start w:val="1"/>
      <w:numFmt w:val="ideographTraditional"/>
      <w:lvlText w:val="%2、"/>
      <w:lvlJc w:val="left"/>
      <w:pPr>
        <w:tabs>
          <w:tab w:val="num" w:pos="1275"/>
        </w:tabs>
        <w:ind w:left="1275" w:hanging="480"/>
      </w:pPr>
    </w:lvl>
    <w:lvl w:ilvl="2" w:tplc="0409001B" w:tentative="1">
      <w:start w:val="1"/>
      <w:numFmt w:val="lowerRoman"/>
      <w:lvlText w:val="%3."/>
      <w:lvlJc w:val="right"/>
      <w:pPr>
        <w:tabs>
          <w:tab w:val="num" w:pos="1755"/>
        </w:tabs>
        <w:ind w:left="1755" w:hanging="480"/>
      </w:pPr>
    </w:lvl>
    <w:lvl w:ilvl="3" w:tplc="0409000F" w:tentative="1">
      <w:start w:val="1"/>
      <w:numFmt w:val="decimal"/>
      <w:lvlText w:val="%4."/>
      <w:lvlJc w:val="left"/>
      <w:pPr>
        <w:tabs>
          <w:tab w:val="num" w:pos="2235"/>
        </w:tabs>
        <w:ind w:left="2235" w:hanging="480"/>
      </w:pPr>
    </w:lvl>
    <w:lvl w:ilvl="4" w:tplc="04090019" w:tentative="1">
      <w:start w:val="1"/>
      <w:numFmt w:val="ideographTraditional"/>
      <w:lvlText w:val="%5、"/>
      <w:lvlJc w:val="left"/>
      <w:pPr>
        <w:tabs>
          <w:tab w:val="num" w:pos="2715"/>
        </w:tabs>
        <w:ind w:left="2715" w:hanging="480"/>
      </w:pPr>
    </w:lvl>
    <w:lvl w:ilvl="5" w:tplc="0409001B" w:tentative="1">
      <w:start w:val="1"/>
      <w:numFmt w:val="lowerRoman"/>
      <w:lvlText w:val="%6."/>
      <w:lvlJc w:val="right"/>
      <w:pPr>
        <w:tabs>
          <w:tab w:val="num" w:pos="3195"/>
        </w:tabs>
        <w:ind w:left="3195" w:hanging="480"/>
      </w:pPr>
    </w:lvl>
    <w:lvl w:ilvl="6" w:tplc="0409000F" w:tentative="1">
      <w:start w:val="1"/>
      <w:numFmt w:val="decimal"/>
      <w:lvlText w:val="%7."/>
      <w:lvlJc w:val="left"/>
      <w:pPr>
        <w:tabs>
          <w:tab w:val="num" w:pos="3675"/>
        </w:tabs>
        <w:ind w:left="3675" w:hanging="480"/>
      </w:pPr>
    </w:lvl>
    <w:lvl w:ilvl="7" w:tplc="04090019" w:tentative="1">
      <w:start w:val="1"/>
      <w:numFmt w:val="ideographTraditional"/>
      <w:lvlText w:val="%8、"/>
      <w:lvlJc w:val="left"/>
      <w:pPr>
        <w:tabs>
          <w:tab w:val="num" w:pos="4155"/>
        </w:tabs>
        <w:ind w:left="4155" w:hanging="480"/>
      </w:pPr>
    </w:lvl>
    <w:lvl w:ilvl="8" w:tplc="0409001B" w:tentative="1">
      <w:start w:val="1"/>
      <w:numFmt w:val="lowerRoman"/>
      <w:lvlText w:val="%9."/>
      <w:lvlJc w:val="right"/>
      <w:pPr>
        <w:tabs>
          <w:tab w:val="num" w:pos="4635"/>
        </w:tabs>
        <w:ind w:left="4635" w:hanging="480"/>
      </w:pPr>
    </w:lvl>
  </w:abstractNum>
  <w:abstractNum w:abstractNumId="88">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89">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1">
    <w:nsid w:val="49C4372E"/>
    <w:multiLevelType w:val="hybridMultilevel"/>
    <w:tmpl w:val="54B4DB84"/>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3">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4">
    <w:nsid w:val="4BAA7329"/>
    <w:multiLevelType w:val="singleLevel"/>
    <w:tmpl w:val="45BA4ECC"/>
    <w:lvl w:ilvl="0">
      <w:start w:val="1"/>
      <w:numFmt w:val="bullet"/>
      <w:lvlText w:val=""/>
      <w:lvlJc w:val="left"/>
      <w:pPr>
        <w:tabs>
          <w:tab w:val="num" w:pos="425"/>
        </w:tabs>
        <w:ind w:left="425" w:hanging="425"/>
      </w:pPr>
      <w:rPr>
        <w:rFonts w:ascii="Symbol" w:hAnsi="Symbol" w:hint="default"/>
        <w:sz w:val="28"/>
      </w:rPr>
    </w:lvl>
  </w:abstractNum>
  <w:abstractNum w:abstractNumId="95">
    <w:nsid w:val="4BDB5728"/>
    <w:multiLevelType w:val="hybridMultilevel"/>
    <w:tmpl w:val="D812B4CE"/>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97">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98">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99">
    <w:nsid w:val="4ED03EA4"/>
    <w:multiLevelType w:val="hybridMultilevel"/>
    <w:tmpl w:val="D94A6AAA"/>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1">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10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103">
    <w:nsid w:val="50F34552"/>
    <w:multiLevelType w:val="hybridMultilevel"/>
    <w:tmpl w:val="495CC20C"/>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105">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06">
    <w:nsid w:val="51F279FA"/>
    <w:multiLevelType w:val="hybridMultilevel"/>
    <w:tmpl w:val="CC6CF848"/>
    <w:lvl w:ilvl="0" w:tplc="62086AE8">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07">
    <w:nsid w:val="53B4628B"/>
    <w:multiLevelType w:val="hybridMultilevel"/>
    <w:tmpl w:val="63B6DBD8"/>
    <w:lvl w:ilvl="0" w:tplc="89C85766">
      <w:start w:val="1"/>
      <w:numFmt w:val="lowerLetter"/>
      <w:lvlText w:val="(%1)"/>
      <w:lvlJc w:val="left"/>
      <w:pPr>
        <w:tabs>
          <w:tab w:val="num" w:pos="1130"/>
        </w:tabs>
        <w:ind w:left="1130" w:hanging="570"/>
      </w:pPr>
      <w:rPr>
        <w:rFonts w:hint="default"/>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108">
    <w:nsid w:val="53EA743F"/>
    <w:multiLevelType w:val="hybridMultilevel"/>
    <w:tmpl w:val="295E43F2"/>
    <w:lvl w:ilvl="0" w:tplc="C65E88C4">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10">
    <w:nsid w:val="5416080F"/>
    <w:multiLevelType w:val="singleLevel"/>
    <w:tmpl w:val="8E12D9C2"/>
    <w:lvl w:ilvl="0">
      <w:start w:val="3"/>
      <w:numFmt w:val="lowerLetter"/>
      <w:lvlText w:val="(%1)"/>
      <w:lvlJc w:val="left"/>
      <w:pPr>
        <w:tabs>
          <w:tab w:val="num" w:pos="1145"/>
        </w:tabs>
        <w:ind w:left="1145" w:hanging="585"/>
      </w:pPr>
      <w:rPr>
        <w:rFonts w:hint="eastAsia"/>
      </w:rPr>
    </w:lvl>
  </w:abstractNum>
  <w:abstractNum w:abstractNumId="111">
    <w:nsid w:val="558C1D9C"/>
    <w:multiLevelType w:val="singleLevel"/>
    <w:tmpl w:val="1F7E98BA"/>
    <w:lvl w:ilvl="0">
      <w:start w:val="2"/>
      <w:numFmt w:val="lowerLetter"/>
      <w:lvlText w:val="(%1)"/>
      <w:lvlJc w:val="left"/>
      <w:pPr>
        <w:tabs>
          <w:tab w:val="num" w:pos="1140"/>
        </w:tabs>
        <w:ind w:left="1140" w:hanging="570"/>
      </w:pPr>
      <w:rPr>
        <w:rFonts w:hint="default"/>
      </w:rPr>
    </w:lvl>
  </w:abstractNum>
  <w:abstractNum w:abstractNumId="112">
    <w:nsid w:val="560D7031"/>
    <w:multiLevelType w:val="hybridMultilevel"/>
    <w:tmpl w:val="B33693A0"/>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14">
    <w:nsid w:val="57970E5D"/>
    <w:multiLevelType w:val="hybridMultilevel"/>
    <w:tmpl w:val="72B89EE4"/>
    <w:lvl w:ilvl="0" w:tplc="0AFCA5B4">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15">
    <w:nsid w:val="583D58CC"/>
    <w:multiLevelType w:val="hybridMultilevel"/>
    <w:tmpl w:val="795AE56A"/>
    <w:lvl w:ilvl="0" w:tplc="5D98F7F0">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7">
    <w:nsid w:val="59BF3646"/>
    <w:multiLevelType w:val="hybridMultilevel"/>
    <w:tmpl w:val="C5D63A20"/>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19">
    <w:nsid w:val="5AA35B91"/>
    <w:multiLevelType w:val="multilevel"/>
    <w:tmpl w:val="76B6C502"/>
    <w:lvl w:ilvl="0">
      <w:start w:val="1"/>
      <w:numFmt w:val="decimal"/>
      <w:lvlText w:val="%1"/>
      <w:lvlJc w:val="left"/>
      <w:pPr>
        <w:tabs>
          <w:tab w:val="num" w:pos="425"/>
        </w:tabs>
        <w:ind w:left="425" w:hanging="425"/>
      </w:pPr>
      <w:rPr>
        <w:rFonts w:hint="eastAsia"/>
      </w:rPr>
    </w:lvl>
    <w:lvl w:ilvl="1">
      <w:start w:val="1"/>
      <w:numFmt w:val="decimal"/>
      <w:lvlText w:val="6.%2"/>
      <w:lvlJc w:val="left"/>
      <w:pPr>
        <w:tabs>
          <w:tab w:val="num" w:pos="992"/>
        </w:tabs>
        <w:ind w:left="992" w:hanging="567"/>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20">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21">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2">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3">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4">
    <w:nsid w:val="5DA43571"/>
    <w:multiLevelType w:val="hybridMultilevel"/>
    <w:tmpl w:val="A422150E"/>
    <w:lvl w:ilvl="0" w:tplc="F9721BD2">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26">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27">
    <w:nsid w:val="5F895B7B"/>
    <w:multiLevelType w:val="hybridMultilevel"/>
    <w:tmpl w:val="A3AC70A8"/>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nsid w:val="60655E5E"/>
    <w:multiLevelType w:val="singleLevel"/>
    <w:tmpl w:val="45BA4ECC"/>
    <w:lvl w:ilvl="0">
      <w:start w:val="1"/>
      <w:numFmt w:val="bullet"/>
      <w:lvlText w:val=""/>
      <w:lvlJc w:val="left"/>
      <w:pPr>
        <w:tabs>
          <w:tab w:val="num" w:pos="425"/>
        </w:tabs>
        <w:ind w:left="425" w:hanging="425"/>
      </w:pPr>
      <w:rPr>
        <w:rFonts w:ascii="Symbol" w:hAnsi="Symbol" w:hint="default"/>
        <w:sz w:val="28"/>
      </w:rPr>
    </w:lvl>
  </w:abstractNum>
  <w:abstractNum w:abstractNumId="129">
    <w:nsid w:val="627145F3"/>
    <w:multiLevelType w:val="hybridMultilevel"/>
    <w:tmpl w:val="618CD194"/>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1">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32">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33">
    <w:nsid w:val="64833CC8"/>
    <w:multiLevelType w:val="hybridMultilevel"/>
    <w:tmpl w:val="CB8A25C2"/>
    <w:lvl w:ilvl="0" w:tplc="308CB776">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34">
    <w:nsid w:val="64FF52EE"/>
    <w:multiLevelType w:val="hybridMultilevel"/>
    <w:tmpl w:val="73667EB2"/>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nsid w:val="674E72C8"/>
    <w:multiLevelType w:val="hybridMultilevel"/>
    <w:tmpl w:val="43DE27A0"/>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3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8">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3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40">
    <w:nsid w:val="6AA34590"/>
    <w:multiLevelType w:val="hybridMultilevel"/>
    <w:tmpl w:val="C9C875C6"/>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1">
    <w:nsid w:val="6BAA1E04"/>
    <w:multiLevelType w:val="singleLevel"/>
    <w:tmpl w:val="913AF6B4"/>
    <w:lvl w:ilvl="0">
      <w:start w:val="4"/>
      <w:numFmt w:val="lowerLetter"/>
      <w:lvlText w:val="(%1)"/>
      <w:lvlJc w:val="left"/>
      <w:pPr>
        <w:tabs>
          <w:tab w:val="num" w:pos="1140"/>
        </w:tabs>
        <w:ind w:left="1140" w:hanging="570"/>
      </w:pPr>
      <w:rPr>
        <w:rFonts w:hint="eastAsia"/>
      </w:rPr>
    </w:lvl>
  </w:abstractNum>
  <w:abstractNum w:abstractNumId="142">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3">
    <w:nsid w:val="6E075918"/>
    <w:multiLevelType w:val="hybridMultilevel"/>
    <w:tmpl w:val="50148FD8"/>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nsid w:val="6FDD49A4"/>
    <w:multiLevelType w:val="hybridMultilevel"/>
    <w:tmpl w:val="8C46E61A"/>
    <w:lvl w:ilvl="0" w:tplc="09A8D59E">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5">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6">
    <w:nsid w:val="71051409"/>
    <w:multiLevelType w:val="hybridMultilevel"/>
    <w:tmpl w:val="AEC066CA"/>
    <w:lvl w:ilvl="0" w:tplc="FFFFFFFF">
      <w:start w:val="1"/>
      <w:numFmt w:val="bullet"/>
      <w:lvlText w:val=""/>
      <w:lvlJc w:val="left"/>
      <w:pPr>
        <w:tabs>
          <w:tab w:val="num" w:pos="480"/>
        </w:tabs>
        <w:ind w:left="480" w:hanging="480"/>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14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8">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0">
    <w:nsid w:val="740D73F2"/>
    <w:multiLevelType w:val="hybridMultilevel"/>
    <w:tmpl w:val="AC9EA88A"/>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nsid w:val="749A7C70"/>
    <w:multiLevelType w:val="multilevel"/>
    <w:tmpl w:val="4BFEE26C"/>
    <w:lvl w:ilvl="0">
      <w:start w:val="12"/>
      <w:numFmt w:val="decimal"/>
      <w:lvlText w:val="%3......."/>
      <w:lvlJc w:val="left"/>
      <w:pPr>
        <w:tabs>
          <w:tab w:val="num" w:pos="2160"/>
        </w:tabs>
        <w:ind w:left="2160" w:hanging="2160"/>
      </w:pPr>
      <w:rPr>
        <w:rFonts w:hint="eastAsia"/>
      </w:rPr>
    </w:lvl>
    <w:lvl w:ilvl="1">
      <w:start w:val="82"/>
      <w:numFmt w:val="decimal"/>
      <w:lvlText w:val="%3.%4......"/>
      <w:lvlJc w:val="left"/>
      <w:pPr>
        <w:tabs>
          <w:tab w:val="num" w:pos="2520"/>
        </w:tabs>
        <w:ind w:left="2520" w:hanging="2520"/>
      </w:pPr>
      <w:rPr>
        <w:rFonts w:hint="eastAsia"/>
      </w:rPr>
    </w:lvl>
    <w:lvl w:ilvl="2">
      <w:start w:val="1"/>
      <w:numFmt w:val="decimal"/>
      <w:lvlText w:val="%3.%4.%5....."/>
      <w:lvlJc w:val="left"/>
      <w:pPr>
        <w:tabs>
          <w:tab w:val="num" w:pos="2880"/>
        </w:tabs>
        <w:ind w:left="2880" w:hanging="2880"/>
      </w:pPr>
      <w:rPr>
        <w:rFonts w:hint="eastAsia"/>
      </w:rPr>
    </w:lvl>
    <w:lvl w:ilvl="3">
      <w:start w:val="1"/>
      <w:numFmt w:val="decimal"/>
      <w:lvlText w:val="%3.%4.%5.%6....p䠀"/>
      <w:lvlJc w:val="left"/>
      <w:pPr>
        <w:tabs>
          <w:tab w:val="num" w:pos="3240"/>
        </w:tabs>
        <w:ind w:left="3240" w:hanging="3240"/>
      </w:pPr>
      <w:rPr>
        <w:rFonts w:hint="eastAsia"/>
      </w:rPr>
    </w:lvl>
    <w:lvl w:ilvl="4">
      <w:start w:val="1"/>
      <w:numFmt w:val="decimal"/>
      <w:lvlText w:val="%3.%4.%5.%6.%7...p䠀"/>
      <w:lvlJc w:val="left"/>
      <w:pPr>
        <w:tabs>
          <w:tab w:val="num" w:pos="3600"/>
        </w:tabs>
        <w:ind w:left="3600" w:hanging="3600"/>
      </w:pPr>
      <w:rPr>
        <w:rFonts w:hint="eastAsia"/>
      </w:rPr>
    </w:lvl>
    <w:lvl w:ilvl="5">
      <w:start w:val="1"/>
      <w:numFmt w:val="decimal"/>
      <w:lvlText w:val="%3.%4.%5.%6.%7.%8..p䠀"/>
      <w:lvlJc w:val="left"/>
      <w:pPr>
        <w:tabs>
          <w:tab w:val="num" w:pos="3960"/>
        </w:tabs>
        <w:ind w:left="3960" w:hanging="3960"/>
      </w:pPr>
      <w:rPr>
        <w:rFonts w:hint="eastAsia"/>
      </w:rPr>
    </w:lvl>
    <w:lvl w:ilvl="6">
      <w:start w:val="1"/>
      <w:numFmt w:val="decimal"/>
      <w:lvlText w:val="%3.%4.%5.%6.%7.%8.%9.p䠀筄ڤ"/>
      <w:lvlJc w:val="left"/>
      <w:pPr>
        <w:tabs>
          <w:tab w:val="num" w:pos="4320"/>
        </w:tabs>
        <w:ind w:left="4320" w:hanging="4320"/>
      </w:pPr>
      <w:rPr>
        <w:rFonts w:hint="eastAsia"/>
      </w:rPr>
    </w:lvl>
    <w:lvl w:ilvl="7">
      <w:start w:val="1"/>
      <w:numFmt w:val="decimal"/>
      <w:lvlText w:val="%3.%4.%5.%6.%7.%8.%9."/>
      <w:lvlJc w:val="left"/>
      <w:pPr>
        <w:tabs>
          <w:tab w:val="num" w:pos="1800"/>
        </w:tabs>
        <w:ind w:left="1800" w:hanging="1800"/>
      </w:pPr>
      <w:rPr>
        <w:rFonts w:hint="eastAsia"/>
      </w:rPr>
    </w:lvl>
    <w:lvl w:ilvl="8">
      <w:start w:val="1"/>
      <w:numFmt w:val="decimal"/>
      <w:lvlText w:val="%3.%4.%5.%6.%7.%8.%9."/>
      <w:lvlJc w:val="left"/>
      <w:pPr>
        <w:tabs>
          <w:tab w:val="num" w:pos="1800"/>
        </w:tabs>
        <w:ind w:left="1800" w:hanging="1800"/>
      </w:pPr>
      <w:rPr>
        <w:rFonts w:hint="eastAsia"/>
      </w:rPr>
    </w:lvl>
  </w:abstractNum>
  <w:abstractNum w:abstractNumId="152">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53">
    <w:nsid w:val="75045EFC"/>
    <w:multiLevelType w:val="singleLevel"/>
    <w:tmpl w:val="8A020E08"/>
    <w:lvl w:ilvl="0">
      <w:start w:val="4"/>
      <w:numFmt w:val="decimal"/>
      <w:lvlText w:val="%1"/>
      <w:lvlJc w:val="left"/>
      <w:pPr>
        <w:tabs>
          <w:tab w:val="num" w:pos="360"/>
        </w:tabs>
        <w:ind w:left="360" w:hanging="360"/>
      </w:pPr>
      <w:rPr>
        <w:rFonts w:hint="eastAsia"/>
        <w:sz w:val="14"/>
      </w:rPr>
    </w:lvl>
  </w:abstractNum>
  <w:abstractNum w:abstractNumId="154">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773D3E61"/>
    <w:multiLevelType w:val="hybridMultilevel"/>
    <w:tmpl w:val="C8D8C1FE"/>
    <w:lvl w:ilvl="0" w:tplc="2DA8F88C">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
    <w:nsid w:val="775F390E"/>
    <w:multiLevelType w:val="hybridMultilevel"/>
    <w:tmpl w:val="B164B8EE"/>
    <w:lvl w:ilvl="0" w:tplc="87925F98">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7">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8">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59">
    <w:nsid w:val="788D12AC"/>
    <w:multiLevelType w:val="hybridMultilevel"/>
    <w:tmpl w:val="CC1CF02E"/>
    <w:lvl w:ilvl="0" w:tplc="3E582932">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nsid w:val="791577D9"/>
    <w:multiLevelType w:val="hybridMultilevel"/>
    <w:tmpl w:val="3330474C"/>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1">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62">
    <w:nsid w:val="7B3F797E"/>
    <w:multiLevelType w:val="hybridMultilevel"/>
    <w:tmpl w:val="F1EC9924"/>
    <w:lvl w:ilvl="0" w:tplc="74020324">
      <w:start w:val="1"/>
      <w:numFmt w:val="lowerLetter"/>
      <w:lvlText w:val="(%1)"/>
      <w:lvlJc w:val="left"/>
      <w:pPr>
        <w:tabs>
          <w:tab w:val="num" w:pos="1020"/>
        </w:tabs>
        <w:ind w:left="1020" w:hanging="510"/>
      </w:pPr>
      <w:rPr>
        <w:rFonts w:hint="default"/>
        <w:b/>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63">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64">
    <w:nsid w:val="7B8F7C25"/>
    <w:multiLevelType w:val="singleLevel"/>
    <w:tmpl w:val="45BA4ECC"/>
    <w:lvl w:ilvl="0">
      <w:start w:val="1"/>
      <w:numFmt w:val="bullet"/>
      <w:lvlText w:val=""/>
      <w:lvlJc w:val="left"/>
      <w:pPr>
        <w:tabs>
          <w:tab w:val="num" w:pos="425"/>
        </w:tabs>
        <w:ind w:left="425" w:hanging="425"/>
      </w:pPr>
      <w:rPr>
        <w:rFonts w:ascii="Symbol" w:hAnsi="Symbol" w:hint="default"/>
        <w:sz w:val="28"/>
      </w:rPr>
    </w:lvl>
  </w:abstractNum>
  <w:abstractNum w:abstractNumId="165">
    <w:nsid w:val="7C801757"/>
    <w:multiLevelType w:val="hybridMultilevel"/>
    <w:tmpl w:val="48264A54"/>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6">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7">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68">
    <w:nsid w:val="7E8A590F"/>
    <w:multiLevelType w:val="hybridMultilevel"/>
    <w:tmpl w:val="AEBCE8A4"/>
    <w:lvl w:ilvl="0" w:tplc="FFFFFFFF">
      <w:start w:val="1"/>
      <w:numFmt w:val="lowerLetter"/>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9">
    <w:nsid w:val="7EA71078"/>
    <w:multiLevelType w:val="hybridMultilevel"/>
    <w:tmpl w:val="DEB42CD0"/>
    <w:lvl w:ilvl="0" w:tplc="0CEAEA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
    <w:nsid w:val="7EB37E34"/>
    <w:multiLevelType w:val="hybridMultilevel"/>
    <w:tmpl w:val="D6565662"/>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2"/>
  </w:num>
  <w:num w:numId="2">
    <w:abstractNumId w:val="68"/>
  </w:num>
  <w:num w:numId="3">
    <w:abstractNumId w:val="57"/>
  </w:num>
  <w:num w:numId="4">
    <w:abstractNumId w:val="58"/>
  </w:num>
  <w:num w:numId="5">
    <w:abstractNumId w:val="157"/>
  </w:num>
  <w:num w:numId="6">
    <w:abstractNumId w:val="0"/>
  </w:num>
  <w:num w:numId="7">
    <w:abstractNumId w:val="92"/>
  </w:num>
  <w:num w:numId="8">
    <w:abstractNumId w:val="44"/>
  </w:num>
  <w:num w:numId="9">
    <w:abstractNumId w:val="16"/>
  </w:num>
  <w:num w:numId="10">
    <w:abstractNumId w:val="26"/>
  </w:num>
  <w:num w:numId="11">
    <w:abstractNumId w:val="145"/>
  </w:num>
  <w:num w:numId="12">
    <w:abstractNumId w:val="32"/>
  </w:num>
  <w:num w:numId="13">
    <w:abstractNumId w:val="152"/>
  </w:num>
  <w:num w:numId="14">
    <w:abstractNumId w:val="98"/>
  </w:num>
  <w:num w:numId="15">
    <w:abstractNumId w:val="104"/>
  </w:num>
  <w:num w:numId="16">
    <w:abstractNumId w:val="11"/>
  </w:num>
  <w:num w:numId="17">
    <w:abstractNumId w:val="166"/>
  </w:num>
  <w:num w:numId="18">
    <w:abstractNumId w:val="142"/>
  </w:num>
  <w:num w:numId="19">
    <w:abstractNumId w:val="137"/>
  </w:num>
  <w:num w:numId="20">
    <w:abstractNumId w:val="13"/>
  </w:num>
  <w:num w:numId="21">
    <w:abstractNumId w:val="101"/>
  </w:num>
  <w:num w:numId="22">
    <w:abstractNumId w:val="109"/>
  </w:num>
  <w:num w:numId="23">
    <w:abstractNumId w:val="161"/>
  </w:num>
  <w:num w:numId="24">
    <w:abstractNumId w:val="125"/>
  </w:num>
  <w:num w:numId="25">
    <w:abstractNumId w:val="122"/>
  </w:num>
  <w:num w:numId="26">
    <w:abstractNumId w:val="90"/>
  </w:num>
  <w:num w:numId="27">
    <w:abstractNumId w:val="22"/>
  </w:num>
  <w:num w:numId="28">
    <w:abstractNumId w:val="15"/>
  </w:num>
  <w:num w:numId="29">
    <w:abstractNumId w:val="167"/>
  </w:num>
  <w:num w:numId="30">
    <w:abstractNumId w:val="2"/>
  </w:num>
  <w:num w:numId="31">
    <w:abstractNumId w:val="28"/>
  </w:num>
  <w:num w:numId="32">
    <w:abstractNumId w:val="149"/>
  </w:num>
  <w:num w:numId="33">
    <w:abstractNumId w:val="46"/>
  </w:num>
  <w:num w:numId="34">
    <w:abstractNumId w:val="136"/>
  </w:num>
  <w:num w:numId="35">
    <w:abstractNumId w:val="132"/>
  </w:num>
  <w:num w:numId="36">
    <w:abstractNumId w:val="71"/>
  </w:num>
  <w:num w:numId="37">
    <w:abstractNumId w:val="113"/>
  </w:num>
  <w:num w:numId="38">
    <w:abstractNumId w:val="121"/>
  </w:num>
  <w:num w:numId="39">
    <w:abstractNumId w:val="147"/>
  </w:num>
  <w:num w:numId="40">
    <w:abstractNumId w:val="12"/>
  </w:num>
  <w:num w:numId="41">
    <w:abstractNumId w:val="63"/>
  </w:num>
  <w:num w:numId="42">
    <w:abstractNumId w:val="163"/>
  </w:num>
  <w:num w:numId="43">
    <w:abstractNumId w:val="120"/>
  </w:num>
  <w:num w:numId="44">
    <w:abstractNumId w:val="138"/>
  </w:num>
  <w:num w:numId="45">
    <w:abstractNumId w:val="43"/>
  </w:num>
  <w:num w:numId="46">
    <w:abstractNumId w:val="67"/>
  </w:num>
  <w:num w:numId="47">
    <w:abstractNumId w:val="24"/>
  </w:num>
  <w:num w:numId="48">
    <w:abstractNumId w:val="126"/>
  </w:num>
  <w:num w:numId="49">
    <w:abstractNumId w:val="116"/>
  </w:num>
  <w:num w:numId="50">
    <w:abstractNumId w:val="76"/>
  </w:num>
  <w:num w:numId="51">
    <w:abstractNumId w:val="27"/>
  </w:num>
  <w:num w:numId="52">
    <w:abstractNumId w:val="118"/>
  </w:num>
  <w:num w:numId="53">
    <w:abstractNumId w:val="23"/>
  </w:num>
  <w:num w:numId="54">
    <w:abstractNumId w:val="75"/>
  </w:num>
  <w:num w:numId="55">
    <w:abstractNumId w:val="96"/>
  </w:num>
  <w:num w:numId="56">
    <w:abstractNumId w:val="158"/>
  </w:num>
  <w:num w:numId="57">
    <w:abstractNumId w:val="105"/>
  </w:num>
  <w:num w:numId="58">
    <w:abstractNumId w:val="80"/>
  </w:num>
  <w:num w:numId="59">
    <w:abstractNumId w:val="59"/>
  </w:num>
  <w:num w:numId="60">
    <w:abstractNumId w:val="10"/>
  </w:num>
  <w:num w:numId="61">
    <w:abstractNumId w:val="97"/>
  </w:num>
  <w:num w:numId="62">
    <w:abstractNumId w:val="36"/>
  </w:num>
  <w:num w:numId="63">
    <w:abstractNumId w:val="131"/>
  </w:num>
  <w:num w:numId="64">
    <w:abstractNumId w:val="130"/>
  </w:num>
  <w:num w:numId="65">
    <w:abstractNumId w:val="3"/>
  </w:num>
  <w:num w:numId="66">
    <w:abstractNumId w:val="100"/>
  </w:num>
  <w:num w:numId="67">
    <w:abstractNumId w:val="33"/>
  </w:num>
  <w:num w:numId="68">
    <w:abstractNumId w:val="93"/>
  </w:num>
  <w:num w:numId="69">
    <w:abstractNumId w:val="21"/>
  </w:num>
  <w:num w:numId="70">
    <w:abstractNumId w:val="123"/>
  </w:num>
  <w:num w:numId="71">
    <w:abstractNumId w:val="89"/>
  </w:num>
  <w:num w:numId="72">
    <w:abstractNumId w:val="148"/>
  </w:num>
  <w:num w:numId="73">
    <w:abstractNumId w:val="139"/>
  </w:num>
  <w:num w:numId="74">
    <w:abstractNumId w:val="40"/>
  </w:num>
  <w:num w:numId="75">
    <w:abstractNumId w:val="85"/>
  </w:num>
  <w:num w:numId="76">
    <w:abstractNumId w:val="88"/>
  </w:num>
  <w:num w:numId="77">
    <w:abstractNumId w:val="41"/>
  </w:num>
  <w:num w:numId="78">
    <w:abstractNumId w:val="154"/>
  </w:num>
  <w:num w:numId="79">
    <w:abstractNumId w:val="47"/>
  </w:num>
  <w:num w:numId="80">
    <w:abstractNumId w:val="87"/>
  </w:num>
  <w:num w:numId="81">
    <w:abstractNumId w:val="53"/>
  </w:num>
  <w:num w:numId="82">
    <w:abstractNumId w:val="65"/>
  </w:num>
  <w:num w:numId="83">
    <w:abstractNumId w:val="111"/>
  </w:num>
  <w:num w:numId="84">
    <w:abstractNumId w:val="143"/>
  </w:num>
  <w:num w:numId="85">
    <w:abstractNumId w:val="156"/>
  </w:num>
  <w:num w:numId="86">
    <w:abstractNumId w:val="165"/>
  </w:num>
  <w:num w:numId="87">
    <w:abstractNumId w:val="133"/>
  </w:num>
  <w:num w:numId="88">
    <w:abstractNumId w:val="1"/>
  </w:num>
  <w:num w:numId="89">
    <w:abstractNumId w:val="114"/>
  </w:num>
  <w:num w:numId="90">
    <w:abstractNumId w:val="169"/>
  </w:num>
  <w:num w:numId="91">
    <w:abstractNumId w:val="78"/>
  </w:num>
  <w:num w:numId="92">
    <w:abstractNumId w:val="99"/>
  </w:num>
  <w:num w:numId="93">
    <w:abstractNumId w:val="66"/>
  </w:num>
  <w:num w:numId="94">
    <w:abstractNumId w:val="79"/>
  </w:num>
  <w:num w:numId="95">
    <w:abstractNumId w:val="77"/>
  </w:num>
  <w:num w:numId="96">
    <w:abstractNumId w:val="31"/>
  </w:num>
  <w:num w:numId="97">
    <w:abstractNumId w:val="106"/>
  </w:num>
  <w:num w:numId="98">
    <w:abstractNumId w:val="86"/>
  </w:num>
  <w:num w:numId="99">
    <w:abstractNumId w:val="48"/>
  </w:num>
  <w:num w:numId="100">
    <w:abstractNumId w:val="51"/>
  </w:num>
  <w:num w:numId="101">
    <w:abstractNumId w:val="162"/>
  </w:num>
  <w:num w:numId="102">
    <w:abstractNumId w:val="70"/>
  </w:num>
  <w:num w:numId="103">
    <w:abstractNumId w:val="42"/>
  </w:num>
  <w:num w:numId="104">
    <w:abstractNumId w:val="135"/>
  </w:num>
  <w:num w:numId="105">
    <w:abstractNumId w:val="60"/>
  </w:num>
  <w:num w:numId="106">
    <w:abstractNumId w:val="49"/>
  </w:num>
  <w:num w:numId="107">
    <w:abstractNumId w:val="19"/>
  </w:num>
  <w:num w:numId="108">
    <w:abstractNumId w:val="6"/>
  </w:num>
  <w:num w:numId="109">
    <w:abstractNumId w:val="18"/>
  </w:num>
  <w:num w:numId="110">
    <w:abstractNumId w:val="69"/>
  </w:num>
  <w:num w:numId="111">
    <w:abstractNumId w:val="119"/>
  </w:num>
  <w:num w:numId="112">
    <w:abstractNumId w:val="9"/>
  </w:num>
  <w:num w:numId="113">
    <w:abstractNumId w:val="168"/>
  </w:num>
  <w:num w:numId="114">
    <w:abstractNumId w:val="110"/>
  </w:num>
  <w:num w:numId="115">
    <w:abstractNumId w:val="29"/>
  </w:num>
  <w:num w:numId="116">
    <w:abstractNumId w:val="82"/>
  </w:num>
  <w:num w:numId="117">
    <w:abstractNumId w:val="35"/>
  </w:num>
  <w:num w:numId="118">
    <w:abstractNumId w:val="146"/>
  </w:num>
  <w:num w:numId="119">
    <w:abstractNumId w:val="55"/>
  </w:num>
  <w:num w:numId="120">
    <w:abstractNumId w:val="141"/>
  </w:num>
  <w:num w:numId="121">
    <w:abstractNumId w:val="73"/>
  </w:num>
  <w:num w:numId="122">
    <w:abstractNumId w:val="94"/>
  </w:num>
  <w:num w:numId="123">
    <w:abstractNumId w:val="45"/>
  </w:num>
  <w:num w:numId="124">
    <w:abstractNumId w:val="81"/>
  </w:num>
  <w:num w:numId="125">
    <w:abstractNumId w:val="8"/>
  </w:num>
  <w:num w:numId="126">
    <w:abstractNumId w:val="56"/>
  </w:num>
  <w:num w:numId="127">
    <w:abstractNumId w:val="17"/>
  </w:num>
  <w:num w:numId="128">
    <w:abstractNumId w:val="62"/>
  </w:num>
  <w:num w:numId="129">
    <w:abstractNumId w:val="164"/>
  </w:num>
  <w:num w:numId="130">
    <w:abstractNumId w:val="128"/>
  </w:num>
  <w:num w:numId="131">
    <w:abstractNumId w:val="153"/>
  </w:num>
  <w:num w:numId="132">
    <w:abstractNumId w:val="30"/>
  </w:num>
  <w:num w:numId="133">
    <w:abstractNumId w:val="7"/>
  </w:num>
  <w:num w:numId="134">
    <w:abstractNumId w:val="4"/>
  </w:num>
  <w:num w:numId="135">
    <w:abstractNumId w:val="107"/>
  </w:num>
  <w:num w:numId="136">
    <w:abstractNumId w:val="54"/>
  </w:num>
  <w:num w:numId="137">
    <w:abstractNumId w:val="37"/>
  </w:num>
  <w:num w:numId="138">
    <w:abstractNumId w:val="20"/>
  </w:num>
  <w:num w:numId="139">
    <w:abstractNumId w:val="112"/>
  </w:num>
  <w:num w:numId="140">
    <w:abstractNumId w:val="159"/>
  </w:num>
  <w:num w:numId="141">
    <w:abstractNumId w:val="134"/>
  </w:num>
  <w:num w:numId="142">
    <w:abstractNumId w:val="144"/>
  </w:num>
  <w:num w:numId="143">
    <w:abstractNumId w:val="160"/>
  </w:num>
  <w:num w:numId="144">
    <w:abstractNumId w:val="115"/>
  </w:num>
  <w:num w:numId="145">
    <w:abstractNumId w:val="140"/>
  </w:num>
  <w:num w:numId="146">
    <w:abstractNumId w:val="84"/>
  </w:num>
  <w:num w:numId="147">
    <w:abstractNumId w:val="5"/>
  </w:num>
  <w:num w:numId="148">
    <w:abstractNumId w:val="61"/>
  </w:num>
  <w:num w:numId="149">
    <w:abstractNumId w:val="74"/>
  </w:num>
  <w:num w:numId="150">
    <w:abstractNumId w:val="155"/>
  </w:num>
  <w:num w:numId="151">
    <w:abstractNumId w:val="117"/>
  </w:num>
  <w:num w:numId="152">
    <w:abstractNumId w:val="39"/>
  </w:num>
  <w:num w:numId="153">
    <w:abstractNumId w:val="95"/>
  </w:num>
  <w:num w:numId="154">
    <w:abstractNumId w:val="129"/>
  </w:num>
  <w:num w:numId="155">
    <w:abstractNumId w:val="108"/>
  </w:num>
  <w:num w:numId="156">
    <w:abstractNumId w:val="170"/>
  </w:num>
  <w:num w:numId="157">
    <w:abstractNumId w:val="83"/>
  </w:num>
  <w:num w:numId="158">
    <w:abstractNumId w:val="150"/>
  </w:num>
  <w:num w:numId="159">
    <w:abstractNumId w:val="34"/>
  </w:num>
  <w:num w:numId="160">
    <w:abstractNumId w:val="127"/>
  </w:num>
  <w:num w:numId="161">
    <w:abstractNumId w:val="52"/>
  </w:num>
  <w:num w:numId="162">
    <w:abstractNumId w:val="14"/>
  </w:num>
  <w:num w:numId="163">
    <w:abstractNumId w:val="103"/>
  </w:num>
  <w:num w:numId="164">
    <w:abstractNumId w:val="124"/>
  </w:num>
  <w:num w:numId="165">
    <w:abstractNumId w:val="25"/>
  </w:num>
  <w:num w:numId="166">
    <w:abstractNumId w:val="91"/>
  </w:num>
  <w:num w:numId="167">
    <w:abstractNumId w:val="151"/>
  </w:num>
  <w:num w:numId="168">
    <w:abstractNumId w:val="64"/>
  </w:num>
  <w:num w:numId="169">
    <w:abstractNumId w:val="38"/>
  </w:num>
  <w:num w:numId="170">
    <w:abstractNumId w:val="72"/>
  </w:num>
  <w:num w:numId="17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paragraph" w:styleId="Heading5">
    <w:name w:val="heading 5"/>
    <w:basedOn w:val="Normal"/>
    <w:next w:val="Normal"/>
    <w:qFormat/>
    <w:pPr>
      <w:keepNext/>
      <w:keepLines/>
      <w:overflowPunct/>
      <w:spacing w:before="300" w:after="240"/>
      <w:ind w:left="510"/>
      <w:jc w:val="left"/>
      <w:outlineLvl w:val="4"/>
    </w:pPr>
    <w:rPr>
      <w:bCs/>
      <w:szCs w:val="28"/>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TOC1">
    <w:name w:val="toc 1"/>
    <w:basedOn w:val="Normal"/>
    <w:next w:val="Normal"/>
    <w:autoRedefine/>
    <w:semiHidden/>
  </w:style>
  <w:style w:type="paragraph" w:styleId="TOC2">
    <w:name w:val="toc 2"/>
    <w:basedOn w:val="Normal"/>
    <w:next w:val="Normal"/>
    <w:autoRedefine/>
    <w:semiHidden/>
    <w:pPr>
      <w:ind w:left="480"/>
    </w:pPr>
  </w:style>
  <w:style w:type="paragraph" w:styleId="TOC3">
    <w:name w:val="toc 3"/>
    <w:basedOn w:val="Normal"/>
    <w:next w:val="Normal"/>
    <w:autoRedefine/>
    <w:semiHidden/>
    <w:pPr>
      <w:ind w:left="960"/>
    </w:pPr>
  </w:style>
  <w:style w:type="paragraph" w:styleId="TOC4">
    <w:name w:val="toc 4"/>
    <w:basedOn w:val="Normal"/>
    <w:next w:val="Normal"/>
    <w:autoRedefine/>
    <w:semiHidden/>
    <w:pPr>
      <w:ind w:left="1440"/>
    </w:pPr>
  </w:style>
  <w:style w:type="paragraph" w:styleId="TOC5">
    <w:name w:val="toc 5"/>
    <w:basedOn w:val="Normal"/>
    <w:next w:val="Normal"/>
    <w:autoRedefine/>
    <w:semiHidden/>
    <w:pPr>
      <w:ind w:left="1920"/>
    </w:pPr>
  </w:style>
  <w:style w:type="paragraph" w:styleId="TOC6">
    <w:name w:val="toc 6"/>
    <w:basedOn w:val="Normal"/>
    <w:next w:val="Normal"/>
    <w:autoRedefine/>
    <w:semiHidden/>
    <w:pPr>
      <w:ind w:left="2400"/>
    </w:pPr>
  </w:style>
  <w:style w:type="paragraph" w:styleId="TOC7">
    <w:name w:val="toc 7"/>
    <w:basedOn w:val="Normal"/>
    <w:next w:val="Normal"/>
    <w:autoRedefine/>
    <w:semiHidden/>
    <w:pPr>
      <w:ind w:left="2880"/>
    </w:pPr>
  </w:style>
  <w:style w:type="paragraph" w:styleId="TOC8">
    <w:name w:val="toc 8"/>
    <w:basedOn w:val="Normal"/>
    <w:next w:val="Normal"/>
    <w:autoRedefine/>
    <w:semiHidden/>
    <w:pPr>
      <w:ind w:left="3360"/>
    </w:pPr>
  </w:style>
  <w:style w:type="paragraph" w:styleId="TOC9">
    <w:name w:val="toc 9"/>
    <w:basedOn w:val="Normal"/>
    <w:next w:val="Normal"/>
    <w:autoRedefine/>
    <w:semiHidden/>
    <w:pPr>
      <w:ind w:left="3840"/>
    </w:p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styleId="BodyText">
    <w:name w:val="Body Text"/>
    <w:basedOn w:val="Normal"/>
    <w:semiHidden/>
    <w:pPr>
      <w:widowControl w:val="0"/>
    </w:pPr>
    <w:rPr>
      <w:snapToGrid/>
    </w:rPr>
  </w:style>
  <w:style w:type="character" w:customStyle="1" w:styleId="normal1">
    <w:name w:val="normal1"/>
  </w:style>
  <w:style w:type="paragraph" w:styleId="Salutation">
    <w:name w:val="Salutation"/>
    <w:basedOn w:val="Normal"/>
    <w:next w:val="Normal"/>
    <w:semiHidden/>
    <w:pPr>
      <w:widowControl w:val="0"/>
      <w:overflowPunct/>
      <w:adjustRightInd/>
      <w:snapToGrid/>
      <w:spacing w:line="240" w:lineRule="auto"/>
      <w:jc w:val="left"/>
    </w:pPr>
    <w:rPr>
      <w:rFonts w:eastAsia="PMingLiU"/>
      <w:snapToGrid/>
      <w:spacing w:val="20"/>
      <w:kern w:val="2"/>
      <w:szCs w:val="24"/>
      <w:lang w:val="en-GB" w:eastAsia="zh-TW"/>
    </w:rPr>
  </w:style>
  <w:style w:type="paragraph" w:customStyle="1" w:styleId="cdL1">
    <w:name w:val="cdL1"/>
    <w:basedOn w:val="Normal"/>
    <w:pPr>
      <w:widowControl w:val="0"/>
      <w:tabs>
        <w:tab w:val="left" w:pos="510"/>
      </w:tabs>
    </w:pPr>
    <w:rPr>
      <w:snapToGrid/>
      <w:spacing w:val="0"/>
    </w:rPr>
  </w:style>
  <w:style w:type="paragraph" w:customStyle="1" w:styleId="UNLOGO">
    <w:name w:val="UNLOGO"/>
    <w:basedOn w:val="Normal"/>
    <w:pPr>
      <w:suppressAutoHyphens/>
    </w:pPr>
  </w:style>
  <w:style w:type="paragraph" w:customStyle="1" w:styleId="1R2">
    <w:name w:val="页眉1R2"/>
    <w:basedOn w:val="Normal"/>
    <w:autoRedefine/>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PlainText">
    <w:name w:val="Plain Text"/>
    <w:basedOn w:val="Normal"/>
    <w:semiHidden/>
    <w:rPr>
      <w:rFonts w:ascii="MingLiU" w:eastAsia="MingLiU"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97-2003_Worksheet1.xls"/><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7.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34114</Words>
  <Characters>194451</Characters>
  <Application>Microsoft Office Word</Application>
  <DocSecurity>4</DocSecurity>
  <Lines>1620</Lines>
  <Paragraphs>388</Paragraphs>
  <ScaleCrop>false</ScaleCrop>
  <HeadingPairs>
    <vt:vector size="4" baseType="variant">
      <vt:variant>
        <vt:lpstr>题目</vt:lpstr>
      </vt:variant>
      <vt:variant>
        <vt:i4>1</vt:i4>
      </vt:variant>
      <vt:variant>
        <vt:lpstr>标题</vt:lpstr>
      </vt:variant>
      <vt:variant>
        <vt:i4>23</vt:i4>
      </vt:variant>
    </vt:vector>
  </HeadingPairs>
  <TitlesOfParts>
    <vt:vector size="24" baseType="lpstr">
      <vt:lpstr>2004年实质性会议</vt:lpstr>
      <vt:lpstr>    《经济、社会、文化权利国际公约》 执 行 情 况</vt:lpstr>
      <vt:lpstr>    缔约国根据《公约》第十六条和第十七条 提交的初次报告</vt:lpstr>
      <vt:lpstr>第 一 部 分</vt:lpstr>
      <vt:lpstr>中  国</vt:lpstr>
      <vt:lpstr>    序  言</vt:lpstr>
      <vt:lpstr>        第 一 条 自  决  权</vt:lpstr>
      <vt:lpstr>        第 二 条 采取措施保障充分实现各项权利</vt:lpstr>
      <vt:lpstr>        第 三 条 男 女 平 等</vt:lpstr>
      <vt:lpstr>        第 六 条 工  作  权</vt:lpstr>
      <vt:lpstr>        第 七 条 享有良好工作条件的权利</vt:lpstr>
      <vt:lpstr>        第 八 条 参加工会的权利</vt:lpstr>
      <vt:lpstr>        第 九 条 享有社会保障的权利</vt:lpstr>
      <vt:lpstr>        第 十 条 对家庭的保护</vt:lpstr>
      <vt:lpstr>        第 十一 条 享有适当生活水准的权利</vt:lpstr>
      <vt:lpstr>        第 十二 条 健 康 权</vt:lpstr>
      <vt:lpstr>        第十三条和第十四条 受教育权</vt:lpstr>
      <vt:lpstr>        第 十五 条 参加文化生活、享受科学进步的权利</vt:lpstr>
      <vt:lpstr>    附  表</vt:lpstr>
      <vt:lpstr>附  图</vt:lpstr>
      <vt:lpstr>第 二 部 分</vt:lpstr>
      <vt:lpstr>香港特别行政区</vt:lpstr>
      <vt:lpstr>    序  言</vt:lpstr>
      <vt:lpstr>    一、土地和人口</vt:lpstr>
    </vt:vector>
  </TitlesOfParts>
  <Company>Chinese Unit - GE</Company>
  <LinksUpToDate>false</LinksUpToDate>
  <CharactersWithSpaces>238799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2004年实质性会议</dc:title>
  <dc:subject/>
  <dc:creator>CSD</dc:creator>
  <cp:keywords/>
  <dc:description>经济及社会理事会</dc:description>
  <cp:lastModifiedBy>LIN</cp:lastModifiedBy>
  <cp:revision>2</cp:revision>
  <cp:lastPrinted>2004-08-05T09:34:00Z</cp:lastPrinted>
  <dcterms:created xsi:type="dcterms:W3CDTF">2004-08-12T06:54:00Z</dcterms:created>
  <dcterms:modified xsi:type="dcterms:W3CDTF">2004-08-12T06:54:00Z</dcterms:modified>
  <cp:category>E</cp:category>
</cp:coreProperties>
</file>