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03C1" w:rsidRDefault="002603C1" w:rsidP="002603C1">
      <w:pPr>
        <w:spacing w:line="60" w:lineRule="exact"/>
        <w:rPr>
          <w:sz w:val="6"/>
        </w:rPr>
        <w:sectPr w:rsidR="002603C1" w:rsidSect="002603C1">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2603C1" w:rsidRDefault="002603C1" w:rsidP="002603C1">
      <w:pPr>
        <w:spacing w:line="60" w:lineRule="exact"/>
        <w:rPr>
          <w:sz w:val="6"/>
        </w:rPr>
      </w:pPr>
    </w:p>
    <w:p w:rsidR="000066D4" w:rsidRDefault="000066D4" w:rsidP="000066D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59" w:hanging="1267"/>
        <w:rPr>
          <w:rFonts w:hint="eastAsia"/>
        </w:rPr>
      </w:pPr>
      <w:r>
        <w:rPr>
          <w:rFonts w:hint="eastAsia"/>
        </w:rPr>
        <w:t>消除对妇女歧视委员会</w:t>
      </w:r>
    </w:p>
    <w:p w:rsidR="000066D4" w:rsidRDefault="000066D4" w:rsidP="000066D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59" w:hanging="1267"/>
        <w:rPr>
          <w:rFonts w:hint="eastAsia"/>
        </w:rPr>
      </w:pPr>
      <w:r>
        <w:rPr>
          <w:rFonts w:hint="eastAsia"/>
        </w:rPr>
        <w:t>会前工作组</w:t>
      </w:r>
    </w:p>
    <w:p w:rsidR="000066D4" w:rsidRDefault="000066D4" w:rsidP="000066D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59" w:hanging="1267"/>
        <w:rPr>
          <w:rFonts w:hint="eastAsia"/>
        </w:rPr>
      </w:pPr>
      <w:r>
        <w:rPr>
          <w:rFonts w:hint="eastAsia"/>
        </w:rPr>
        <w:t>第四十四届会议</w:t>
      </w:r>
    </w:p>
    <w:p w:rsidR="000066D4" w:rsidRDefault="000066D4" w:rsidP="000066D4">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right="1259"/>
        <w:rPr>
          <w:rFonts w:hint="eastAsia"/>
        </w:rPr>
      </w:pPr>
      <w:r>
        <w:rPr>
          <w:rFonts w:hint="eastAsia"/>
        </w:rPr>
        <w:t>2009年7月20日至8月7日</w:t>
      </w:r>
    </w:p>
    <w:p w:rsidR="000066D4" w:rsidRPr="000066D4" w:rsidRDefault="000066D4" w:rsidP="000066D4">
      <w:pPr>
        <w:pStyle w:val="SingleTxt"/>
        <w:spacing w:after="0" w:line="120" w:lineRule="exact"/>
        <w:rPr>
          <w:rFonts w:hint="eastAsia"/>
          <w:sz w:val="10"/>
        </w:rPr>
      </w:pPr>
    </w:p>
    <w:p w:rsidR="000066D4" w:rsidRPr="000066D4" w:rsidRDefault="000066D4" w:rsidP="000066D4">
      <w:pPr>
        <w:pStyle w:val="SingleTxt"/>
        <w:spacing w:after="0" w:line="120" w:lineRule="exact"/>
        <w:rPr>
          <w:rFonts w:hint="eastAsia"/>
          <w:sz w:val="10"/>
        </w:rPr>
      </w:pPr>
    </w:p>
    <w:p w:rsidR="000066D4" w:rsidRPr="000066D4" w:rsidRDefault="000066D4" w:rsidP="000066D4">
      <w:pPr>
        <w:pStyle w:val="SingleTxt"/>
        <w:spacing w:after="0" w:line="120" w:lineRule="exact"/>
        <w:rPr>
          <w:rFonts w:hint="eastAsia"/>
          <w:sz w:val="10"/>
        </w:rPr>
      </w:pPr>
    </w:p>
    <w:p w:rsidR="000066D4" w:rsidRDefault="000066D4" w:rsidP="000066D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与审议定期报告有关的议题和问题清单</w:t>
      </w:r>
    </w:p>
    <w:p w:rsidR="000066D4" w:rsidRPr="000066D4" w:rsidRDefault="000066D4" w:rsidP="000066D4">
      <w:pPr>
        <w:pStyle w:val="SingleTxt"/>
        <w:spacing w:after="0" w:line="120" w:lineRule="exact"/>
        <w:rPr>
          <w:rFonts w:hint="eastAsia"/>
          <w:sz w:val="10"/>
        </w:rPr>
      </w:pPr>
    </w:p>
    <w:p w:rsidR="000066D4" w:rsidRPr="000066D4" w:rsidRDefault="000066D4" w:rsidP="000066D4">
      <w:pPr>
        <w:pStyle w:val="SingleTxt"/>
        <w:spacing w:after="0" w:line="120" w:lineRule="exact"/>
        <w:rPr>
          <w:rFonts w:hint="eastAsia"/>
          <w:sz w:val="10"/>
        </w:rPr>
      </w:pPr>
    </w:p>
    <w:p w:rsidR="000066D4" w:rsidRDefault="000066D4" w:rsidP="000066D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西班牙</w:t>
      </w:r>
    </w:p>
    <w:p w:rsidR="000066D4" w:rsidRPr="000066D4" w:rsidRDefault="000066D4" w:rsidP="000066D4">
      <w:pPr>
        <w:pStyle w:val="SingleTxt"/>
        <w:spacing w:after="0" w:line="120" w:lineRule="exact"/>
        <w:rPr>
          <w:rFonts w:hint="eastAsia"/>
          <w:sz w:val="10"/>
        </w:rPr>
      </w:pPr>
    </w:p>
    <w:p w:rsidR="000066D4" w:rsidRPr="000066D4" w:rsidRDefault="000066D4" w:rsidP="000066D4">
      <w:pPr>
        <w:pStyle w:val="SingleTxt"/>
        <w:spacing w:after="0" w:line="120" w:lineRule="exact"/>
        <w:rPr>
          <w:rFonts w:hint="eastAsia"/>
          <w:sz w:val="10"/>
        </w:rPr>
      </w:pPr>
    </w:p>
    <w:p w:rsidR="000066D4" w:rsidRDefault="000066D4" w:rsidP="000066D4">
      <w:pPr>
        <w:pStyle w:val="SingleTxt"/>
        <w:rPr>
          <w:rFonts w:hint="eastAsia"/>
        </w:rPr>
      </w:pPr>
      <w:r>
        <w:rPr>
          <w:rFonts w:hint="eastAsia"/>
        </w:rPr>
        <w:tab/>
        <w:t>会前工作组审查了西班牙的第六次定期报告(CEDAW/C/ESP/6)。</w:t>
      </w:r>
    </w:p>
    <w:p w:rsidR="000066D4" w:rsidRPr="000066D4" w:rsidRDefault="000066D4" w:rsidP="000066D4">
      <w:pPr>
        <w:pStyle w:val="SingleTxt"/>
        <w:spacing w:after="0" w:line="120" w:lineRule="exact"/>
        <w:rPr>
          <w:rFonts w:hint="eastAsia"/>
          <w:sz w:val="10"/>
        </w:rPr>
      </w:pPr>
    </w:p>
    <w:p w:rsidR="000066D4" w:rsidRPr="000066D4" w:rsidRDefault="000066D4" w:rsidP="000066D4">
      <w:pPr>
        <w:pStyle w:val="SingleTxt"/>
        <w:rPr>
          <w:rFonts w:ascii="SimHei" w:eastAsia="SimHei" w:hint="eastAsia"/>
          <w:color w:val="FF0000"/>
        </w:rPr>
      </w:pPr>
      <w:r w:rsidRPr="000066D4">
        <w:rPr>
          <w:rFonts w:ascii="SimHei" w:eastAsia="SimHei" w:hint="eastAsia"/>
          <w:color w:val="FF0000"/>
        </w:rPr>
        <w:t>概要</w:t>
      </w:r>
    </w:p>
    <w:p w:rsidR="000066D4" w:rsidRDefault="000066D4" w:rsidP="000066D4">
      <w:pPr>
        <w:pStyle w:val="SingleTxt"/>
        <w:rPr>
          <w:rFonts w:hint="eastAsia"/>
        </w:rPr>
      </w:pPr>
      <w:r>
        <w:rPr>
          <w:rFonts w:hint="eastAsia"/>
        </w:rPr>
        <w:t>1.</w:t>
      </w:r>
      <w:r>
        <w:rPr>
          <w:rFonts w:hint="eastAsia"/>
        </w:rPr>
        <w:tab/>
        <w:t>请提供资料，说明报告的编写程序，包括是否与非政府组织，特别是妇女组织协商。还请说明报告是否得到政府的通过并提交议会。</w:t>
      </w:r>
    </w:p>
    <w:p w:rsidR="000066D4" w:rsidRPr="000066D4" w:rsidRDefault="000066D4" w:rsidP="000066D4">
      <w:pPr>
        <w:pStyle w:val="SingleTxt"/>
        <w:rPr>
          <w:rFonts w:ascii="SimHei" w:eastAsia="SimHei" w:hint="eastAsia"/>
          <w:color w:val="FF0000"/>
        </w:rPr>
      </w:pPr>
      <w:r w:rsidRPr="000066D4">
        <w:rPr>
          <w:rFonts w:ascii="SimHei" w:eastAsia="SimHei" w:hint="eastAsia"/>
          <w:color w:val="FF0000"/>
        </w:rPr>
        <w:t>宪法、立法和体制框架</w:t>
      </w:r>
    </w:p>
    <w:p w:rsidR="000066D4" w:rsidRDefault="000066D4" w:rsidP="000066D4">
      <w:pPr>
        <w:pStyle w:val="SingleTxt"/>
        <w:rPr>
          <w:rFonts w:hint="eastAsia"/>
        </w:rPr>
      </w:pPr>
      <w:r>
        <w:rPr>
          <w:rFonts w:hint="eastAsia"/>
        </w:rPr>
        <w:t>2.</w:t>
      </w:r>
      <w:r>
        <w:rPr>
          <w:rFonts w:hint="eastAsia"/>
        </w:rPr>
        <w:tab/>
        <w:t>缔约国在批准《公约》后提出一项保留，即西班牙批准《公约》不得影响其《宪法》中有关西班牙王位继承的规定，这项保留至今仍有效。请说明缔约国是否正在考虑撤销这项保留。</w:t>
      </w:r>
    </w:p>
    <w:p w:rsidR="000066D4" w:rsidRDefault="000066D4" w:rsidP="000066D4">
      <w:pPr>
        <w:pStyle w:val="SingleTxt"/>
        <w:rPr>
          <w:rFonts w:hint="eastAsia"/>
        </w:rPr>
      </w:pPr>
      <w:r>
        <w:rPr>
          <w:rFonts w:hint="eastAsia"/>
        </w:rPr>
        <w:t>3.</w:t>
      </w:r>
      <w:r>
        <w:rPr>
          <w:rFonts w:hint="eastAsia"/>
        </w:rPr>
        <w:tab/>
        <w:t>根据1978年《西班牙宪法》第96.1条，《公约》属于国内法令的一部分。请说明在法庭案件中是否直接引用《公约》条款和引用的程度。另外，请提供资料说明此类案件的结果，并说明有哪些行政或其他补救方法可向遭受歧视的妇女提供。</w:t>
      </w:r>
    </w:p>
    <w:p w:rsidR="000066D4" w:rsidRDefault="000066D4" w:rsidP="000066D4">
      <w:pPr>
        <w:pStyle w:val="SingleTxt"/>
        <w:rPr>
          <w:rFonts w:hint="eastAsia"/>
        </w:rPr>
      </w:pPr>
      <w:r>
        <w:rPr>
          <w:rFonts w:hint="eastAsia"/>
        </w:rPr>
        <w:t>4.</w:t>
      </w:r>
      <w:r>
        <w:rPr>
          <w:rFonts w:hint="eastAsia"/>
        </w:rPr>
        <w:tab/>
        <w:t>报告指出，关于实现男女真正平等的2007年3月22日第3/2007号组织法创建了新的体制化机制，包括部委间男女平等委员会、平等小组和妇女参与理事会，并要求制订机会平等战略规划(见第17至32段)。请说明这些机制在执行机会平等战略规划(2008-2011年)时的协调情况，以及它们与平等政策问题总秘书处和妇女机构的关系(见第16段)。</w:t>
      </w:r>
    </w:p>
    <w:p w:rsidR="000066D4" w:rsidRDefault="000066D4" w:rsidP="000066D4">
      <w:pPr>
        <w:pStyle w:val="SingleTxt"/>
        <w:rPr>
          <w:rFonts w:hint="eastAsia"/>
        </w:rPr>
      </w:pPr>
      <w:r>
        <w:rPr>
          <w:rFonts w:hint="eastAsia"/>
        </w:rPr>
        <w:t>5.</w:t>
      </w:r>
      <w:r>
        <w:rPr>
          <w:rFonts w:hint="eastAsia"/>
        </w:rPr>
        <w:tab/>
        <w:t>报告第40段提到，第3/2007号组织法中规定了“平权行动”的定义和采纳这个定义的一般框架。请说明这个术语是否与《公约》第4条第1款和委员会第25号一般建议提出的暂行特别措施含义相同。还请详述采取这些措施的程序。</w:t>
      </w:r>
    </w:p>
    <w:p w:rsidR="000066D4" w:rsidRPr="000066D4" w:rsidRDefault="000066D4" w:rsidP="000066D4">
      <w:pPr>
        <w:pStyle w:val="SingleTxt"/>
        <w:rPr>
          <w:rFonts w:ascii="SimHei" w:eastAsia="SimHei" w:hint="eastAsia"/>
          <w:color w:val="FF0000"/>
        </w:rPr>
      </w:pPr>
      <w:r w:rsidRPr="000066D4">
        <w:rPr>
          <w:rFonts w:ascii="SimHei" w:eastAsia="SimHei" w:hint="eastAsia"/>
          <w:color w:val="FF0000"/>
        </w:rPr>
        <w:t>参政和决策</w:t>
      </w:r>
    </w:p>
    <w:p w:rsidR="000066D4" w:rsidRDefault="000066D4" w:rsidP="000066D4">
      <w:pPr>
        <w:pStyle w:val="SingleTxt"/>
        <w:rPr>
          <w:rFonts w:hint="eastAsia"/>
        </w:rPr>
      </w:pPr>
      <w:r>
        <w:rPr>
          <w:rFonts w:hint="eastAsia"/>
        </w:rPr>
        <w:t>6.</w:t>
      </w:r>
      <w:r>
        <w:rPr>
          <w:rFonts w:hint="eastAsia"/>
        </w:rPr>
        <w:tab/>
        <w:t>请提供更多资料，说明报告第112段中提及的缔约国为实现国家行政和政府机构与企业负责岗位的男女平等所做的努力。</w:t>
      </w:r>
    </w:p>
    <w:p w:rsidR="000066D4" w:rsidRDefault="000066D4" w:rsidP="000066D4">
      <w:pPr>
        <w:pStyle w:val="SingleTxt"/>
        <w:rPr>
          <w:rFonts w:hint="eastAsia"/>
        </w:rPr>
      </w:pPr>
      <w:r>
        <w:rPr>
          <w:rFonts w:hint="eastAsia"/>
        </w:rPr>
        <w:t>7.</w:t>
      </w:r>
      <w:r>
        <w:rPr>
          <w:rFonts w:hint="eastAsia"/>
        </w:rPr>
        <w:tab/>
      </w:r>
      <w:r w:rsidRPr="001000A7">
        <w:rPr>
          <w:rFonts w:hint="eastAsia"/>
          <w:spacing w:val="2"/>
        </w:rPr>
        <w:t>报告指出，虽然法律要求众议院、市议会、欧洲议会和各自治区立法大会的候选人名单中男女所占比例均等，但是这条义务并不适用于居民人口不超过</w:t>
      </w:r>
      <w:r>
        <w:rPr>
          <w:rFonts w:hint="eastAsia"/>
        </w:rPr>
        <w:t>3</w:t>
      </w:r>
      <w:r w:rsidR="001000A7">
        <w:rPr>
          <w:rFonts w:hint="eastAsia"/>
        </w:rPr>
        <w:t xml:space="preserve"> </w:t>
      </w:r>
      <w:r>
        <w:rPr>
          <w:rFonts w:hint="eastAsia"/>
        </w:rPr>
        <w:t>000人的城市的民选机构候选人名单(第108段)。请提供资料，说明居住在此类城市的妇女参与政治生活的情况，包括妇女候选人的比例以及为保证她们参与政治生活而采取的措施。</w:t>
      </w:r>
    </w:p>
    <w:p w:rsidR="000066D4" w:rsidRDefault="000066D4" w:rsidP="000066D4">
      <w:pPr>
        <w:pStyle w:val="SingleTxt"/>
        <w:rPr>
          <w:rFonts w:hint="eastAsia"/>
        </w:rPr>
      </w:pPr>
      <w:r>
        <w:rPr>
          <w:rFonts w:hint="eastAsia"/>
        </w:rPr>
        <w:t>8.</w:t>
      </w:r>
      <w:r>
        <w:rPr>
          <w:rFonts w:hint="eastAsia"/>
        </w:rPr>
        <w:tab/>
        <w:t>请说明是否按照委员会以往结论意见(A/59/38,第二部分，第343段)的建议，根据《公约》第4条第1款和第25号一般性建议采取任何暂行特别措施，以加速提高妇女的地位，特别是在外交和司法等领域的高级职位方面。请提供统计数字，说明所有政府任命的理事会、公共机构和顾问机制的性别均衡情况。另外，请提供按性别分列的数据，说明武装部队中的妇女人数比例。</w:t>
      </w:r>
    </w:p>
    <w:p w:rsidR="000066D4" w:rsidRPr="000066D4" w:rsidRDefault="000066D4" w:rsidP="000066D4">
      <w:pPr>
        <w:pStyle w:val="SingleTxt"/>
        <w:rPr>
          <w:rFonts w:ascii="SimHei" w:eastAsia="SimHei" w:hint="eastAsia"/>
          <w:color w:val="FF0000"/>
        </w:rPr>
      </w:pPr>
      <w:r w:rsidRPr="000066D4">
        <w:rPr>
          <w:rFonts w:ascii="SimHei" w:eastAsia="SimHei" w:hint="eastAsia"/>
          <w:color w:val="FF0000"/>
        </w:rPr>
        <w:t>暴力侵害妇女行为</w:t>
      </w:r>
    </w:p>
    <w:p w:rsidR="000066D4" w:rsidRDefault="000066D4" w:rsidP="000066D4">
      <w:pPr>
        <w:pStyle w:val="SingleTxt"/>
        <w:rPr>
          <w:rFonts w:hint="eastAsia"/>
        </w:rPr>
      </w:pPr>
      <w:r>
        <w:rPr>
          <w:rFonts w:hint="eastAsia"/>
        </w:rPr>
        <w:t>9.</w:t>
      </w:r>
      <w:r>
        <w:rPr>
          <w:rFonts w:hint="eastAsia"/>
        </w:rPr>
        <w:tab/>
        <w:t>委员会在以往结论意见中对据报遭到现任或前任配偶或伴侣谋杀的妇女人数表示关切(A/59/38，第二部分，第334段)。尽管2004年12月28日通过了关于全面保护妇女不受性暴力伤害办法的第1/2004号组织法，但是报告指出，2007年被伴侣或前伴侣谋杀的妇女人数达到了与第1/2004号组织法之前类似的水平(第361段)。请说明缔约国采取的措施以及在消除暴力侵害妇女行为方面的成绩。</w:t>
      </w:r>
    </w:p>
    <w:p w:rsidR="000066D4" w:rsidRDefault="000066D4" w:rsidP="000066D4">
      <w:pPr>
        <w:pStyle w:val="SingleTxt"/>
        <w:rPr>
          <w:rFonts w:hint="eastAsia"/>
        </w:rPr>
      </w:pPr>
      <w:r>
        <w:rPr>
          <w:rFonts w:hint="eastAsia"/>
        </w:rPr>
        <w:t>10.</w:t>
      </w:r>
      <w:r>
        <w:rPr>
          <w:rFonts w:hint="eastAsia"/>
        </w:rPr>
        <w:tab/>
        <w:t>报告指出，针对性别暴力提出的保护令申请逐步增多(第363段)，并且2005年6月至2007年8月期间有18.65%的申请被拒绝。报告还指出，关于在西班牙的外籍人权利与自由及社会融合的第2394/2004号敕令允许持有保护令的受害者申请临时居留(第368段)。请提供资料，说明批准保护令的条件。还请说明外籍妇女的保护令申请获准的百分比。</w:t>
      </w:r>
    </w:p>
    <w:p w:rsidR="000066D4" w:rsidRDefault="000066D4" w:rsidP="000066D4">
      <w:pPr>
        <w:pStyle w:val="SingleTxt"/>
        <w:rPr>
          <w:rFonts w:hint="eastAsia"/>
        </w:rPr>
      </w:pPr>
      <w:r>
        <w:rPr>
          <w:rFonts w:hint="eastAsia"/>
        </w:rPr>
        <w:t>11.</w:t>
      </w:r>
      <w:r>
        <w:rPr>
          <w:rFonts w:hint="eastAsia"/>
        </w:rPr>
        <w:tab/>
        <w:t>报告提到2004年12月28日关于全面防止性别暴力行为措施的第1/2004号组织法，该法要求成立暴力侵害妇女行为特别检察官办公室和性别暴力法院。请说明这两个机制是否已经落实，并说明其职能和结构。</w:t>
      </w:r>
    </w:p>
    <w:p w:rsidR="000066D4" w:rsidRDefault="000066D4" w:rsidP="000066D4">
      <w:pPr>
        <w:pStyle w:val="SingleTxt"/>
        <w:rPr>
          <w:rFonts w:hint="eastAsia"/>
        </w:rPr>
      </w:pPr>
      <w:r>
        <w:rPr>
          <w:rFonts w:hint="eastAsia"/>
        </w:rPr>
        <w:t>12.</w:t>
      </w:r>
      <w:r>
        <w:rPr>
          <w:rFonts w:hint="eastAsia"/>
        </w:rPr>
        <w:tab/>
        <w:t>请提供资料，说明暴力侵害妇女问题政府特别代表团的特别代表在法院进行干预的任何案件(见第374段)。</w:t>
      </w:r>
    </w:p>
    <w:p w:rsidR="000066D4" w:rsidRPr="000066D4" w:rsidRDefault="000066D4" w:rsidP="000066D4">
      <w:pPr>
        <w:pStyle w:val="SingleTxt"/>
        <w:rPr>
          <w:rFonts w:ascii="SimHei" w:eastAsia="SimHei" w:hint="eastAsia"/>
          <w:color w:val="FF0000"/>
        </w:rPr>
      </w:pPr>
      <w:r w:rsidRPr="000066D4">
        <w:rPr>
          <w:rFonts w:ascii="SimHei" w:eastAsia="SimHei" w:hint="eastAsia"/>
          <w:color w:val="FF0000"/>
        </w:rPr>
        <w:t>贩运与利用卖淫营利</w:t>
      </w:r>
    </w:p>
    <w:p w:rsidR="000066D4" w:rsidRDefault="000066D4" w:rsidP="000066D4">
      <w:pPr>
        <w:pStyle w:val="SingleTxt"/>
        <w:rPr>
          <w:rFonts w:hint="eastAsia"/>
        </w:rPr>
      </w:pPr>
      <w:r>
        <w:rPr>
          <w:rFonts w:hint="eastAsia"/>
        </w:rPr>
        <w:t>13.</w:t>
      </w:r>
      <w:r>
        <w:rPr>
          <w:rFonts w:hint="eastAsia"/>
        </w:rPr>
        <w:tab/>
        <w:t>报告指出，在缔约国，“男性需求是驱动卖淫的主要原因(占99.7%)”(第77段)。请提供资料，说明按委员会以往结论意见的建议(A/59/38，第二部分，第337段)为禁止利用妇女卖淫营利的行为，包括遏制男子对卖淫的需要所采取的措施。</w:t>
      </w:r>
    </w:p>
    <w:p w:rsidR="000066D4" w:rsidRDefault="000066D4" w:rsidP="000066D4">
      <w:pPr>
        <w:pStyle w:val="SingleTxt"/>
        <w:rPr>
          <w:rFonts w:hint="eastAsia"/>
        </w:rPr>
      </w:pPr>
      <w:r>
        <w:rPr>
          <w:rFonts w:hint="eastAsia"/>
        </w:rPr>
        <w:t>14.</w:t>
      </w:r>
      <w:r>
        <w:rPr>
          <w:rFonts w:hint="eastAsia"/>
        </w:rPr>
        <w:tab/>
        <w:t>报告第87段提到《打击为性剥削目的贩卖人口综合计划》及其五个行动领域。请说明这个计划是否已获批准，如果已获批准，请提供资料，说明所取得的成绩。</w:t>
      </w:r>
    </w:p>
    <w:p w:rsidR="000066D4" w:rsidRPr="000066D4" w:rsidRDefault="000066D4" w:rsidP="000066D4">
      <w:pPr>
        <w:pStyle w:val="SingleTxt"/>
        <w:rPr>
          <w:rFonts w:ascii="SimHei" w:eastAsia="SimHei" w:hint="eastAsia"/>
          <w:color w:val="FF0000"/>
        </w:rPr>
      </w:pPr>
      <w:r w:rsidRPr="000066D4">
        <w:rPr>
          <w:rFonts w:ascii="SimHei" w:eastAsia="SimHei" w:hint="eastAsia"/>
          <w:color w:val="FF0000"/>
        </w:rPr>
        <w:t>性别角色和定型观念以及教育</w:t>
      </w:r>
    </w:p>
    <w:p w:rsidR="000066D4" w:rsidRDefault="000066D4" w:rsidP="000066D4">
      <w:pPr>
        <w:pStyle w:val="SingleTxt"/>
        <w:rPr>
          <w:rFonts w:hint="eastAsia"/>
        </w:rPr>
      </w:pPr>
      <w:r>
        <w:rPr>
          <w:rFonts w:hint="eastAsia"/>
        </w:rPr>
        <w:t>15.</w:t>
      </w:r>
      <w:r>
        <w:rPr>
          <w:rFonts w:hint="eastAsia"/>
        </w:rPr>
        <w:tab/>
        <w:t>报告指出，“要实现领导岗位上真正的男女均衡，达成男女同工同酬，协调好家庭生活和工作，还存在一定困难”(第47段)。请解释这些困难是否与委员会以往结论意见(A/59/38，第二部分，第332段)所关切的重男轻女态度和根深蒂固的成见有关，并提供资料，说明为克服这些困难，特别是按照《公约》第5条(a)款采取的措施。</w:t>
      </w:r>
    </w:p>
    <w:p w:rsidR="000066D4" w:rsidRDefault="000066D4" w:rsidP="000066D4">
      <w:pPr>
        <w:pStyle w:val="SingleTxt"/>
        <w:rPr>
          <w:rFonts w:hint="eastAsia"/>
        </w:rPr>
      </w:pPr>
      <w:r>
        <w:rPr>
          <w:rFonts w:hint="eastAsia"/>
        </w:rPr>
        <w:t>16.</w:t>
      </w:r>
      <w:r>
        <w:rPr>
          <w:rFonts w:hint="eastAsia"/>
        </w:rPr>
        <w:tab/>
        <w:t>关于报告第75段，请提供最新资料，说明广告委员会在编写议定书以“统一”缔约国避免“性别歧视广告”各项措施方面取得的进展。</w:t>
      </w:r>
    </w:p>
    <w:p w:rsidR="000066D4" w:rsidRDefault="000066D4" w:rsidP="000066D4">
      <w:pPr>
        <w:pStyle w:val="SingleTxt"/>
        <w:rPr>
          <w:rFonts w:hint="eastAsia"/>
        </w:rPr>
      </w:pPr>
      <w:r>
        <w:rPr>
          <w:rFonts w:hint="eastAsia"/>
        </w:rPr>
        <w:t>17.</w:t>
      </w:r>
      <w:r>
        <w:rPr>
          <w:rFonts w:hint="eastAsia"/>
        </w:rPr>
        <w:tab/>
        <w:t>关于报告第153段，请说明为消除中等职业教育中某些专业领域为纯女性领域或纯男性领域的成见，目前采取的行动或计划采取的行动。</w:t>
      </w:r>
    </w:p>
    <w:p w:rsidR="000066D4" w:rsidRDefault="000066D4" w:rsidP="000066D4">
      <w:pPr>
        <w:pStyle w:val="SingleTxt"/>
        <w:rPr>
          <w:rFonts w:hint="eastAsia"/>
        </w:rPr>
      </w:pPr>
      <w:r>
        <w:rPr>
          <w:rFonts w:hint="eastAsia"/>
        </w:rPr>
        <w:t>18.</w:t>
      </w:r>
      <w:r>
        <w:rPr>
          <w:rFonts w:hint="eastAsia"/>
        </w:rPr>
        <w:tab/>
        <w:t>报告指出，大学教师群体中在横向和纵向都存在差别(第158段)。请提供资料，说明妇女在不同级别的分布情况，包括教授、副教授、高级讲师和讲师等级别的妇女人数。还请说明为处理这种双重差异已经采取了哪些措施。另外，请提供按性别分列的数据，说明自上次报告以来罗姆妇女和女孩接受各级教育的进展情况。</w:t>
      </w:r>
    </w:p>
    <w:p w:rsidR="000066D4" w:rsidRPr="000066D4" w:rsidRDefault="000066D4" w:rsidP="000066D4">
      <w:pPr>
        <w:pStyle w:val="SingleTxt"/>
        <w:rPr>
          <w:rFonts w:ascii="SimHei" w:eastAsia="SimHei" w:hint="eastAsia"/>
          <w:color w:val="FF0000"/>
        </w:rPr>
      </w:pPr>
      <w:r w:rsidRPr="000066D4">
        <w:rPr>
          <w:rFonts w:ascii="SimHei" w:eastAsia="SimHei" w:hint="eastAsia"/>
          <w:color w:val="FF0000"/>
        </w:rPr>
        <w:t>就业以及兼顾工作与家庭生活</w:t>
      </w:r>
    </w:p>
    <w:p w:rsidR="000066D4" w:rsidRDefault="000066D4" w:rsidP="000066D4">
      <w:pPr>
        <w:pStyle w:val="SingleTxt"/>
        <w:rPr>
          <w:rFonts w:hint="eastAsia"/>
        </w:rPr>
      </w:pPr>
      <w:r>
        <w:rPr>
          <w:rFonts w:hint="eastAsia"/>
        </w:rPr>
        <w:t>19.</w:t>
      </w:r>
      <w:r>
        <w:rPr>
          <w:rFonts w:hint="eastAsia"/>
        </w:rPr>
        <w:tab/>
        <w:t>请提供资料，说明按委员会以往结论意见中的建议为处理妇女失业率问题采取的战略或措施。根据报告第175段，不论受教育程度如何，女性的失业率仍为男性的两倍左右。请说明贵国是否考虑采取暂行特别措施。</w:t>
      </w:r>
    </w:p>
    <w:p w:rsidR="000066D4" w:rsidRDefault="000066D4" w:rsidP="000066D4">
      <w:pPr>
        <w:pStyle w:val="SingleTxt"/>
        <w:rPr>
          <w:rFonts w:hint="eastAsia"/>
        </w:rPr>
      </w:pPr>
      <w:r>
        <w:rPr>
          <w:rFonts w:hint="eastAsia"/>
        </w:rPr>
        <w:t>20.</w:t>
      </w:r>
      <w:r>
        <w:rPr>
          <w:rFonts w:hint="eastAsia"/>
        </w:rPr>
        <w:tab/>
        <w:t>报告指出，薪金差异仍是劳动力市场上男女最大的差距之一(第181段)。请提供资料，说明劳动监察局是否收到有关雇主在为相同工作或等值工作支付薪金时歧视妇女的投诉，并请说明是否将这些投诉提交法院。还请说明对雇主的制裁类型(另见第219至221段)。</w:t>
      </w:r>
    </w:p>
    <w:p w:rsidR="000066D4" w:rsidRDefault="000066D4" w:rsidP="000066D4">
      <w:pPr>
        <w:pStyle w:val="SingleTxt"/>
        <w:rPr>
          <w:rFonts w:hint="eastAsia"/>
        </w:rPr>
      </w:pPr>
      <w:r>
        <w:rPr>
          <w:rFonts w:hint="eastAsia"/>
        </w:rPr>
        <w:t>21.</w:t>
      </w:r>
      <w:r>
        <w:rPr>
          <w:rFonts w:hint="eastAsia"/>
        </w:rPr>
        <w:tab/>
        <w:t>报告第39页的图表明，缔约国81%的临时雇员是妇女。请说明妇女临时工是否享有按比例支付的退休金和社会福利保障。请提供资料，说明这些妇女的年龄组以及为确保她们能够得到全日制和长期工作而采取的措施。</w:t>
      </w:r>
    </w:p>
    <w:p w:rsidR="000066D4" w:rsidRDefault="000066D4" w:rsidP="000066D4">
      <w:pPr>
        <w:pStyle w:val="SingleTxt"/>
        <w:rPr>
          <w:rFonts w:hint="eastAsia"/>
        </w:rPr>
      </w:pPr>
      <w:r>
        <w:rPr>
          <w:rFonts w:hint="eastAsia"/>
        </w:rPr>
        <w:t>22.</w:t>
      </w:r>
      <w:r>
        <w:rPr>
          <w:rFonts w:hint="eastAsia"/>
        </w:rPr>
        <w:tab/>
        <w:t>另外，请说明贵国为协助妇女平衡工作与家庭生活而提供的所有支持，如托儿和照顾老人以及灵活的工作时间。</w:t>
      </w:r>
    </w:p>
    <w:p w:rsidR="000066D4" w:rsidRDefault="000066D4" w:rsidP="000066D4">
      <w:pPr>
        <w:pStyle w:val="SingleTxt"/>
        <w:rPr>
          <w:rFonts w:hint="eastAsia"/>
        </w:rPr>
      </w:pPr>
      <w:r>
        <w:rPr>
          <w:rFonts w:hint="eastAsia"/>
        </w:rPr>
        <w:t>23.</w:t>
      </w:r>
      <w:r>
        <w:rPr>
          <w:rFonts w:hint="eastAsia"/>
        </w:rPr>
        <w:tab/>
        <w:t>关于平等原则和防止歧视的第3/2007号组织法要求雇主就平等计划进行谈判，以实现男女就业平等(见第194和195段)。请说明自第3/2007号组织法以来有多少平等计划生效，由哪一行政管理机构来监测这些计划的执行，以及对于违反此项法律的案件是否实施了制裁。</w:t>
      </w:r>
    </w:p>
    <w:p w:rsidR="000066D4" w:rsidRDefault="000066D4" w:rsidP="000066D4">
      <w:pPr>
        <w:pStyle w:val="SingleTxt"/>
        <w:rPr>
          <w:rFonts w:hint="eastAsia"/>
        </w:rPr>
      </w:pPr>
      <w:r>
        <w:rPr>
          <w:rFonts w:hint="eastAsia"/>
        </w:rPr>
        <w:t>24.</w:t>
      </w:r>
      <w:r>
        <w:rPr>
          <w:rFonts w:hint="eastAsia"/>
        </w:rPr>
        <w:tab/>
        <w:t>报告指出，男子依法有权享有育儿假(第193段)。请提供资料，说明这项规定的实际执行情况，特别是男子是否利用这项权利，以及为鼓励他们这样做而采取的措施。</w:t>
      </w:r>
    </w:p>
    <w:p w:rsidR="000066D4" w:rsidRPr="000066D4" w:rsidRDefault="000066D4" w:rsidP="000066D4">
      <w:pPr>
        <w:pStyle w:val="SingleTxt"/>
        <w:rPr>
          <w:rFonts w:ascii="SimHei" w:eastAsia="SimHei" w:hint="eastAsia"/>
          <w:color w:val="FF0000"/>
        </w:rPr>
      </w:pPr>
      <w:r w:rsidRPr="000066D4">
        <w:rPr>
          <w:rFonts w:ascii="SimHei" w:eastAsia="SimHei" w:hint="eastAsia"/>
          <w:color w:val="FF0000"/>
        </w:rPr>
        <w:t>卫生</w:t>
      </w:r>
    </w:p>
    <w:p w:rsidR="000066D4" w:rsidRDefault="000066D4" w:rsidP="000066D4">
      <w:pPr>
        <w:pStyle w:val="SingleTxt"/>
        <w:rPr>
          <w:rFonts w:hint="eastAsia"/>
        </w:rPr>
      </w:pPr>
      <w:r>
        <w:rPr>
          <w:rFonts w:hint="eastAsia"/>
        </w:rPr>
        <w:t>25.</w:t>
      </w:r>
      <w:r>
        <w:rPr>
          <w:rFonts w:hint="eastAsia"/>
        </w:rPr>
        <w:tab/>
        <w:t>报告指出，2004年感染艾滋病毒/艾滋病的妇女百分比上升(见第232段)。请提供最新数据，并说明感染艾滋病毒/艾滋病的妇女的状况，特别是她们获得卫生保健的情况。还请说明为提高公众对艾滋病毒/艾滋病风险和后果的认识采取了哪些措施，以及这些措施是否针对妇女和女孩。另外请提供资料，说明为防止母婴传播艾滋病毒/艾滋病而采取的措施。</w:t>
      </w:r>
    </w:p>
    <w:p w:rsidR="000066D4" w:rsidRPr="000066D4" w:rsidRDefault="000066D4" w:rsidP="000066D4">
      <w:pPr>
        <w:pStyle w:val="SingleTxt"/>
        <w:rPr>
          <w:rFonts w:ascii="SimHei" w:eastAsia="SimHei" w:hint="eastAsia"/>
          <w:color w:val="FF0000"/>
        </w:rPr>
      </w:pPr>
      <w:r w:rsidRPr="000066D4">
        <w:rPr>
          <w:rFonts w:ascii="SimHei" w:eastAsia="SimHei" w:hint="eastAsia"/>
          <w:color w:val="FF0000"/>
        </w:rPr>
        <w:t>极其脆弱的妇女群体状况</w:t>
      </w:r>
    </w:p>
    <w:p w:rsidR="000066D4" w:rsidRDefault="000066D4" w:rsidP="000066D4">
      <w:pPr>
        <w:pStyle w:val="SingleTxt"/>
        <w:rPr>
          <w:rFonts w:hint="eastAsia"/>
        </w:rPr>
      </w:pPr>
      <w:r>
        <w:rPr>
          <w:rFonts w:hint="eastAsia"/>
        </w:rPr>
        <w:t>26.</w:t>
      </w:r>
      <w:r>
        <w:rPr>
          <w:rFonts w:hint="eastAsia"/>
        </w:rPr>
        <w:tab/>
        <w:t>据报告称，在缔约国，残疾妇女占所有残疾人的58%。请提供详细资料，说明报告第341段提到的《2007年残疾妇女行动计划》列入的措施和政策，并说明这些措施和政策的执行情况与结果。还请说明缔约国是否已经通过了一个新的残疾妇女行动计划。</w:t>
      </w:r>
    </w:p>
    <w:p w:rsidR="000066D4" w:rsidRDefault="000066D4" w:rsidP="000066D4">
      <w:pPr>
        <w:pStyle w:val="SingleTxt"/>
        <w:rPr>
          <w:rFonts w:hint="eastAsia"/>
        </w:rPr>
      </w:pPr>
      <w:r>
        <w:rPr>
          <w:rFonts w:hint="eastAsia"/>
        </w:rPr>
        <w:t>27.</w:t>
      </w:r>
      <w:r>
        <w:rPr>
          <w:rFonts w:hint="eastAsia"/>
        </w:rPr>
        <w:tab/>
        <w:t>报告指出，农业食品业的女性移民工人数量激增(第276段)。请提供关于在农业部门就业的有证件和无证件移徙妇女人数的最新数据。还请说明她们的状况，并说明为增进她们在就业、卫生和获取现有社会服务方面的事实上的平等而制定的措施。</w:t>
      </w:r>
    </w:p>
    <w:p w:rsidR="000066D4" w:rsidRDefault="000066D4" w:rsidP="000066D4">
      <w:pPr>
        <w:pStyle w:val="SingleTxt"/>
        <w:rPr>
          <w:rFonts w:hint="eastAsia"/>
        </w:rPr>
      </w:pPr>
      <w:r>
        <w:rPr>
          <w:rFonts w:hint="eastAsia"/>
        </w:rPr>
        <w:t>28.</w:t>
      </w:r>
      <w:r>
        <w:rPr>
          <w:rFonts w:hint="eastAsia"/>
        </w:rPr>
        <w:tab/>
        <w:t>报告对罗姆妇女和女孩的情况提供了有限的信息(第165、346和354段)。请进一步说明罗姆妇女和女孩的状况，包括为保护她们的人权，特别是在获取教育、就业、住房和卫生方面的人权而制定的措施。</w:t>
      </w:r>
    </w:p>
    <w:p w:rsidR="000066D4" w:rsidRPr="000066D4" w:rsidRDefault="000066D4" w:rsidP="000066D4">
      <w:pPr>
        <w:pStyle w:val="SingleTxt"/>
        <w:rPr>
          <w:rFonts w:ascii="SimHei" w:eastAsia="SimHei" w:hint="eastAsia"/>
          <w:color w:val="FF0000"/>
        </w:rPr>
      </w:pPr>
      <w:r w:rsidRPr="000066D4">
        <w:rPr>
          <w:rFonts w:ascii="SimHei" w:eastAsia="SimHei" w:hint="eastAsia"/>
          <w:color w:val="FF0000"/>
        </w:rPr>
        <w:t>离婚的经济后果</w:t>
      </w:r>
    </w:p>
    <w:p w:rsidR="000066D4" w:rsidRDefault="000066D4" w:rsidP="000066D4">
      <w:pPr>
        <w:pStyle w:val="SingleTxt"/>
        <w:rPr>
          <w:rFonts w:hint="eastAsia"/>
        </w:rPr>
      </w:pPr>
      <w:r>
        <w:rPr>
          <w:rFonts w:hint="eastAsia"/>
        </w:rPr>
        <w:t>29.</w:t>
      </w:r>
      <w:r w:rsidR="001000A7">
        <w:rPr>
          <w:rFonts w:hint="eastAsia"/>
        </w:rPr>
        <w:tab/>
      </w:r>
      <w:r>
        <w:rPr>
          <w:rFonts w:hint="eastAsia"/>
        </w:rPr>
        <w:t>请提供资料，说明解除关系时分配财产的类型，尤其说明法律是否承认无形财产(即退休基金、离职金、保险金)。还请说明法律是否规定未来收入能力和人力资本的分配，或在解除关系分配财产时以任何方式考虑到收入能力的增加和人力资本的增强(即通过一次性总付体现配偶在此类资产中的预估份额，或者容许给予配偶补偿性付款)。</w:t>
      </w:r>
    </w:p>
    <w:p w:rsidR="000066D4" w:rsidRPr="000066D4" w:rsidRDefault="000066D4" w:rsidP="000066D4">
      <w:pPr>
        <w:pStyle w:val="SingleTxt"/>
        <w:rPr>
          <w:rFonts w:ascii="SimHei" w:eastAsia="SimHei" w:hint="eastAsia"/>
          <w:color w:val="FF0000"/>
        </w:rPr>
      </w:pPr>
      <w:r w:rsidRPr="000066D4">
        <w:rPr>
          <w:rFonts w:ascii="SimHei" w:eastAsia="SimHei" w:hint="eastAsia"/>
          <w:color w:val="FF0000"/>
        </w:rPr>
        <w:t>对《公约》第20条第1款的修正</w:t>
      </w:r>
    </w:p>
    <w:p w:rsidR="00EA31C3" w:rsidRDefault="000066D4" w:rsidP="000066D4">
      <w:pPr>
        <w:pStyle w:val="SingleTxt"/>
        <w:rPr>
          <w:rFonts w:hint="eastAsia"/>
        </w:rPr>
      </w:pPr>
      <w:r>
        <w:rPr>
          <w:rFonts w:hint="eastAsia"/>
        </w:rPr>
        <w:t>30.</w:t>
      </w:r>
      <w:r>
        <w:rPr>
          <w:rFonts w:hint="eastAsia"/>
        </w:rPr>
        <w:tab/>
        <w:t>请说明按照委员会以往结论意见(A/59/38，第二部分，第316-355段)第352段的建议，在接受对《公约》第20条第1款的修正方面取得的进展。</w:t>
      </w:r>
    </w:p>
    <w:p w:rsidR="000066D4" w:rsidRPr="000066D4" w:rsidRDefault="000066D4" w:rsidP="000066D4">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weight=".25pt"/>
        </w:pict>
      </w:r>
    </w:p>
    <w:sectPr w:rsidR="000066D4" w:rsidRPr="000066D4" w:rsidSect="002603C1">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2-18T16:30:00Z" w:initials="Start">
    <w:p w:rsidR="00A4481C" w:rsidRDefault="00A4481C">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NO&gt;&gt;N0862717C&lt;&lt;ODS JOB NO&gt;&gt;</w:t>
      </w:r>
    </w:p>
    <w:p w:rsidR="00A4481C" w:rsidRDefault="00A4481C">
      <w:pPr>
        <w:pStyle w:val="CommentText"/>
      </w:pPr>
      <w:r>
        <w:t>&lt;&lt;ODS DOC SYMBOL1&gt;&gt;CEDAW/C/ESP/Q/6&lt;&lt;ODS DOC SYMBOL1&gt;&gt;</w:t>
      </w:r>
    </w:p>
    <w:p w:rsidR="00A4481C" w:rsidRDefault="00A4481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5871" w:rsidRDefault="00385871" w:rsidP="002603C1">
      <w:r>
        <w:separator/>
      </w:r>
    </w:p>
  </w:endnote>
  <w:endnote w:type="continuationSeparator" w:id="0">
    <w:p w:rsidR="00385871" w:rsidRDefault="00385871" w:rsidP="002603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4481C" w:rsidTr="002603C1">
      <w:tblPrEx>
        <w:tblCellMar>
          <w:top w:w="0" w:type="dxa"/>
          <w:bottom w:w="0" w:type="dxa"/>
        </w:tblCellMar>
      </w:tblPrEx>
      <w:tc>
        <w:tcPr>
          <w:tcW w:w="5033" w:type="dxa"/>
          <w:shd w:val="clear" w:color="auto" w:fill="auto"/>
        </w:tcPr>
        <w:p w:rsidR="00A4481C" w:rsidRPr="002603C1" w:rsidRDefault="00A4481C" w:rsidP="002603C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08-62717 (C)</w:t>
          </w:r>
          <w:r>
            <w:rPr>
              <w:b w:val="0"/>
              <w:w w:val="103"/>
              <w:sz w:val="14"/>
            </w:rPr>
            <w:fldChar w:fldCharType="end"/>
          </w:r>
        </w:p>
      </w:tc>
      <w:tc>
        <w:tcPr>
          <w:tcW w:w="5033" w:type="dxa"/>
          <w:shd w:val="clear" w:color="auto" w:fill="auto"/>
        </w:tcPr>
        <w:p w:rsidR="00A4481C" w:rsidRPr="002603C1" w:rsidRDefault="00A4481C" w:rsidP="002603C1">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sidR="00877048">
            <w:rPr>
              <w:w w:val="103"/>
              <w:sz w:val="17"/>
            </w:rPr>
            <w:t>4</w:t>
          </w:r>
          <w:r>
            <w:rPr>
              <w:w w:val="103"/>
              <w:sz w:val="17"/>
            </w:rPr>
            <w:fldChar w:fldCharType="end"/>
          </w:r>
        </w:p>
      </w:tc>
    </w:tr>
  </w:tbl>
  <w:p w:rsidR="00A4481C" w:rsidRPr="002603C1" w:rsidRDefault="00A4481C" w:rsidP="002603C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4481C" w:rsidTr="002603C1">
      <w:tblPrEx>
        <w:tblCellMar>
          <w:top w:w="0" w:type="dxa"/>
          <w:bottom w:w="0" w:type="dxa"/>
        </w:tblCellMar>
      </w:tblPrEx>
      <w:tc>
        <w:tcPr>
          <w:tcW w:w="5033" w:type="dxa"/>
          <w:shd w:val="clear" w:color="auto" w:fill="auto"/>
        </w:tcPr>
        <w:p w:rsidR="00A4481C" w:rsidRPr="002603C1" w:rsidRDefault="00A4481C" w:rsidP="002603C1">
          <w:pPr>
            <w:pStyle w:val="Footer"/>
            <w:jc w:val="right"/>
          </w:pPr>
          <w:r>
            <w:fldChar w:fldCharType="begin"/>
          </w:r>
          <w:r>
            <w:instrText xml:space="preserve"> PAGE  \* MERGEFORMAT </w:instrText>
          </w:r>
          <w:r>
            <w:fldChar w:fldCharType="separate"/>
          </w:r>
          <w:r w:rsidR="00877048">
            <w:t>5</w:t>
          </w:r>
          <w:r>
            <w:fldChar w:fldCharType="end"/>
          </w:r>
        </w:p>
      </w:tc>
      <w:tc>
        <w:tcPr>
          <w:tcW w:w="5033" w:type="dxa"/>
          <w:shd w:val="clear" w:color="auto" w:fill="auto"/>
        </w:tcPr>
        <w:p w:rsidR="00A4481C" w:rsidRPr="002603C1" w:rsidRDefault="00A4481C" w:rsidP="002603C1">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08-62717 (C)</w:t>
          </w:r>
          <w:r>
            <w:rPr>
              <w:b w:val="0"/>
              <w:w w:val="103"/>
              <w:sz w:val="14"/>
            </w:rPr>
            <w:fldChar w:fldCharType="end"/>
          </w:r>
        </w:p>
      </w:tc>
    </w:tr>
  </w:tbl>
  <w:p w:rsidR="00A4481C" w:rsidRPr="002603C1" w:rsidRDefault="00A4481C" w:rsidP="002603C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481C" w:rsidRDefault="00A4481C" w:rsidP="002603C1">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08-62717 (C)</w:t>
    </w:r>
    <w:r>
      <w:rPr>
        <w:b w:val="0"/>
        <w:sz w:val="21"/>
      </w:rPr>
      <w:fldChar w:fldCharType="end"/>
    </w:r>
    <w:r>
      <w:rPr>
        <w:b w:val="0"/>
        <w:sz w:val="21"/>
      </w:rPr>
      <w:t xml:space="preserve">    181208    </w:t>
    </w:r>
    <w:r>
      <w:rPr>
        <w:rFonts w:hint="eastAsia"/>
        <w:b w:val="0"/>
        <w:sz w:val="21"/>
      </w:rPr>
      <w:t>23</w:t>
    </w:r>
    <w:r>
      <w:rPr>
        <w:b w:val="0"/>
        <w:sz w:val="21"/>
      </w:rPr>
      <w:t>1208</w:t>
    </w:r>
  </w:p>
  <w:p w:rsidR="00A4481C" w:rsidRPr="002603C1" w:rsidRDefault="00A4481C" w:rsidP="002603C1">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Pr>
        <w:rFonts w:ascii="Barcode 3 of 9 by request" w:hAnsi="Barcode 3 of 9 by request"/>
        <w:sz w:val="24"/>
      </w:rPr>
      <w:t>*0862717*</w:t>
    </w:r>
    <w:r>
      <w:rPr>
        <w:rFonts w:ascii="Barcode 3 of 9 by request" w:hAnsi="Barcode 3 of 9 by request"/>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5871" w:rsidRDefault="00385871" w:rsidP="002603C1">
      <w:r>
        <w:separator/>
      </w:r>
    </w:p>
  </w:footnote>
  <w:footnote w:type="continuationSeparator" w:id="0">
    <w:p w:rsidR="00385871" w:rsidRDefault="00385871" w:rsidP="002603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4481C" w:rsidTr="002603C1">
      <w:tblPrEx>
        <w:tblCellMar>
          <w:top w:w="0" w:type="dxa"/>
          <w:bottom w:w="0" w:type="dxa"/>
        </w:tblCellMar>
      </w:tblPrEx>
      <w:trPr>
        <w:trHeight w:hRule="exact" w:val="864"/>
      </w:trPr>
      <w:tc>
        <w:tcPr>
          <w:tcW w:w="4838" w:type="dxa"/>
          <w:shd w:val="clear" w:color="auto" w:fill="auto"/>
          <w:vAlign w:val="bottom"/>
        </w:tcPr>
        <w:p w:rsidR="00A4481C" w:rsidRPr="002603C1" w:rsidRDefault="00A4481C" w:rsidP="002603C1">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CEDAW/C/ESP/Q/6</w:t>
          </w:r>
          <w:r>
            <w:rPr>
              <w:b/>
              <w:sz w:val="17"/>
            </w:rPr>
            <w:fldChar w:fldCharType="end"/>
          </w:r>
        </w:p>
      </w:tc>
      <w:tc>
        <w:tcPr>
          <w:tcW w:w="5033" w:type="dxa"/>
          <w:shd w:val="clear" w:color="auto" w:fill="auto"/>
          <w:vAlign w:val="bottom"/>
        </w:tcPr>
        <w:p w:rsidR="00A4481C" w:rsidRDefault="00A4481C" w:rsidP="002603C1">
          <w:pPr>
            <w:pStyle w:val="Header"/>
          </w:pPr>
        </w:p>
      </w:tc>
    </w:tr>
  </w:tbl>
  <w:p w:rsidR="00A4481C" w:rsidRPr="002603C1" w:rsidRDefault="00A4481C" w:rsidP="002603C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4481C" w:rsidTr="002603C1">
      <w:tblPrEx>
        <w:tblCellMar>
          <w:top w:w="0" w:type="dxa"/>
          <w:bottom w:w="0" w:type="dxa"/>
        </w:tblCellMar>
      </w:tblPrEx>
      <w:trPr>
        <w:trHeight w:hRule="exact" w:val="864"/>
      </w:trPr>
      <w:tc>
        <w:tcPr>
          <w:tcW w:w="4838" w:type="dxa"/>
          <w:shd w:val="clear" w:color="auto" w:fill="auto"/>
          <w:vAlign w:val="bottom"/>
        </w:tcPr>
        <w:p w:rsidR="00A4481C" w:rsidRDefault="00A4481C" w:rsidP="002603C1">
          <w:pPr>
            <w:pStyle w:val="Header"/>
          </w:pPr>
        </w:p>
      </w:tc>
      <w:tc>
        <w:tcPr>
          <w:tcW w:w="5033" w:type="dxa"/>
          <w:shd w:val="clear" w:color="auto" w:fill="auto"/>
          <w:vAlign w:val="bottom"/>
        </w:tcPr>
        <w:p w:rsidR="00A4481C" w:rsidRPr="002603C1" w:rsidRDefault="00A4481C" w:rsidP="002603C1">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CEDAW/C/ESP/Q/6</w:t>
          </w:r>
          <w:r>
            <w:rPr>
              <w:b/>
              <w:sz w:val="17"/>
            </w:rPr>
            <w:fldChar w:fldCharType="end"/>
          </w:r>
        </w:p>
      </w:tc>
    </w:tr>
  </w:tbl>
  <w:p w:rsidR="00A4481C" w:rsidRPr="002603C1" w:rsidRDefault="00A4481C" w:rsidP="002603C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A4481C" w:rsidTr="002603C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A4481C" w:rsidRDefault="00A4481C" w:rsidP="002603C1">
          <w:pPr>
            <w:pStyle w:val="Header"/>
            <w:spacing w:after="120"/>
          </w:pPr>
        </w:p>
      </w:tc>
      <w:tc>
        <w:tcPr>
          <w:tcW w:w="1872" w:type="dxa"/>
          <w:tcBorders>
            <w:bottom w:val="single" w:sz="4" w:space="0" w:color="auto"/>
          </w:tcBorders>
          <w:shd w:val="clear" w:color="auto" w:fill="auto"/>
          <w:vAlign w:val="bottom"/>
        </w:tcPr>
        <w:p w:rsidR="00A4481C" w:rsidRPr="002603C1" w:rsidRDefault="00A4481C" w:rsidP="002603C1">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A4481C" w:rsidRDefault="00A4481C" w:rsidP="002603C1">
          <w:pPr>
            <w:pStyle w:val="Header"/>
            <w:spacing w:after="120"/>
          </w:pPr>
        </w:p>
      </w:tc>
      <w:tc>
        <w:tcPr>
          <w:tcW w:w="6523" w:type="dxa"/>
          <w:gridSpan w:val="3"/>
          <w:tcBorders>
            <w:bottom w:val="single" w:sz="4" w:space="0" w:color="auto"/>
          </w:tcBorders>
          <w:shd w:val="clear" w:color="auto" w:fill="auto"/>
          <w:vAlign w:val="bottom"/>
        </w:tcPr>
        <w:p w:rsidR="00A4481C" w:rsidRPr="002603C1" w:rsidRDefault="00A4481C" w:rsidP="002603C1">
          <w:pPr>
            <w:spacing w:after="80" w:line="240" w:lineRule="auto"/>
            <w:jc w:val="right"/>
            <w:rPr>
              <w:rFonts w:ascii="Times New Roman"/>
              <w:position w:val="-4"/>
            </w:rPr>
          </w:pPr>
          <w:r>
            <w:rPr>
              <w:rFonts w:ascii="Times New Roman"/>
              <w:position w:val="-4"/>
              <w:sz w:val="40"/>
            </w:rPr>
            <w:t>CEDAW</w:t>
          </w:r>
          <w:r>
            <w:rPr>
              <w:rFonts w:ascii="Times New Roman"/>
              <w:position w:val="-4"/>
            </w:rPr>
            <w:t>/C/ESP/Q/6</w:t>
          </w:r>
        </w:p>
      </w:tc>
    </w:tr>
    <w:tr w:rsidR="00A4481C" w:rsidRPr="002603C1" w:rsidTr="002603C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A4481C" w:rsidRDefault="00A4481C" w:rsidP="002603C1">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4481C" w:rsidRPr="002603C1" w:rsidRDefault="00A4481C" w:rsidP="002603C1">
          <w:pPr>
            <w:pStyle w:val="Header"/>
            <w:spacing w:before="109"/>
            <w:ind w:left="-72"/>
          </w:pPr>
        </w:p>
      </w:tc>
      <w:tc>
        <w:tcPr>
          <w:tcW w:w="5227" w:type="dxa"/>
          <w:gridSpan w:val="3"/>
          <w:tcBorders>
            <w:top w:val="single" w:sz="4" w:space="0" w:color="auto"/>
            <w:bottom w:val="single" w:sz="12" w:space="0" w:color="auto"/>
          </w:tcBorders>
          <w:shd w:val="clear" w:color="auto" w:fill="auto"/>
        </w:tcPr>
        <w:p w:rsidR="00A4481C" w:rsidRPr="002603C1" w:rsidRDefault="00A4481C" w:rsidP="002603C1">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A4481C" w:rsidRPr="002603C1" w:rsidRDefault="00A4481C" w:rsidP="002603C1">
          <w:pPr>
            <w:pStyle w:val="Header"/>
            <w:spacing w:before="109"/>
          </w:pPr>
        </w:p>
      </w:tc>
      <w:tc>
        <w:tcPr>
          <w:tcW w:w="3180" w:type="dxa"/>
          <w:gridSpan w:val="2"/>
          <w:tcBorders>
            <w:top w:val="single" w:sz="4" w:space="0" w:color="auto"/>
            <w:bottom w:val="single" w:sz="12" w:space="0" w:color="auto"/>
          </w:tcBorders>
          <w:shd w:val="clear" w:color="auto" w:fill="auto"/>
        </w:tcPr>
        <w:p w:rsidR="00A4481C" w:rsidRDefault="00A4481C" w:rsidP="002603C1">
          <w:pPr>
            <w:spacing w:before="240" w:line="240" w:lineRule="exact"/>
            <w:rPr>
              <w:rFonts w:ascii="Times New Roman"/>
            </w:rPr>
          </w:pPr>
          <w:r>
            <w:rPr>
              <w:rFonts w:ascii="Times New Roman"/>
            </w:rPr>
            <w:t>Distr.: General</w:t>
          </w:r>
        </w:p>
        <w:p w:rsidR="00A4481C" w:rsidRDefault="00A4481C" w:rsidP="002603C1">
          <w:pPr>
            <w:spacing w:line="240" w:lineRule="exact"/>
            <w:rPr>
              <w:rFonts w:ascii="Times New Roman"/>
            </w:rPr>
          </w:pPr>
          <w:r>
            <w:rPr>
              <w:rFonts w:ascii="Times New Roman"/>
            </w:rPr>
            <w:t>1 December 2008</w:t>
          </w:r>
        </w:p>
        <w:p w:rsidR="00A4481C" w:rsidRDefault="00A4481C" w:rsidP="002603C1">
          <w:pPr>
            <w:spacing w:line="240" w:lineRule="exact"/>
            <w:rPr>
              <w:rFonts w:ascii="Times New Roman"/>
            </w:rPr>
          </w:pPr>
          <w:r>
            <w:rPr>
              <w:rFonts w:ascii="Times New Roman"/>
            </w:rPr>
            <w:t>Chinese</w:t>
          </w:r>
        </w:p>
        <w:p w:rsidR="00A4481C" w:rsidRPr="002603C1" w:rsidRDefault="00A4481C" w:rsidP="002603C1">
          <w:pPr>
            <w:spacing w:line="240" w:lineRule="exact"/>
            <w:rPr>
              <w:rFonts w:ascii="Times New Roman"/>
            </w:rPr>
          </w:pPr>
          <w:r>
            <w:rPr>
              <w:rFonts w:ascii="Times New Roman"/>
            </w:rPr>
            <w:t>Original: English</w:t>
          </w:r>
        </w:p>
      </w:tc>
    </w:tr>
  </w:tbl>
  <w:p w:rsidR="00A4481C" w:rsidRPr="002603C1" w:rsidRDefault="00A4481C" w:rsidP="002603C1">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2717*"/>
    <w:docVar w:name="CreationDt" w:val="18/12/2008 16:16:14"/>
    <w:docVar w:name="DocCategory" w:val="Doc"/>
    <w:docVar w:name="DocType" w:val="Final"/>
    <w:docVar w:name="FooterJN" w:val="08-62717 (C)"/>
    <w:docVar w:name="jobn" w:val="08-62717 (C)"/>
    <w:docVar w:name="jobnDT" w:val="08-62717 (C)   181208"/>
    <w:docVar w:name="jobnDTDT" w:val="08-62717 (C)   181208   181208"/>
    <w:docVar w:name="JobNo" w:val="0862717C"/>
    <w:docVar w:name="OandT" w:val="DONG"/>
    <w:docVar w:name="sss1" w:val="CEDAW/C/ESP/Q/6"/>
    <w:docVar w:name="sss2" w:val="-"/>
    <w:docVar w:name="Symbol1" w:val="CEDAW/C/ESP/Q/6"/>
    <w:docVar w:name="Symbol2" w:val="-"/>
  </w:docVars>
  <w:rsids>
    <w:rsidRoot w:val="00C93C57"/>
    <w:rsid w:val="0000347C"/>
    <w:rsid w:val="000066D4"/>
    <w:rsid w:val="000125BC"/>
    <w:rsid w:val="00021A2B"/>
    <w:rsid w:val="00037B39"/>
    <w:rsid w:val="00044CA4"/>
    <w:rsid w:val="00045EFE"/>
    <w:rsid w:val="0007337D"/>
    <w:rsid w:val="000758DF"/>
    <w:rsid w:val="00076EB8"/>
    <w:rsid w:val="00095C67"/>
    <w:rsid w:val="000A31F9"/>
    <w:rsid w:val="000C1786"/>
    <w:rsid w:val="000E240F"/>
    <w:rsid w:val="000E49A4"/>
    <w:rsid w:val="000F1058"/>
    <w:rsid w:val="001000A7"/>
    <w:rsid w:val="001113F8"/>
    <w:rsid w:val="001212F9"/>
    <w:rsid w:val="00121328"/>
    <w:rsid w:val="0012708E"/>
    <w:rsid w:val="00141322"/>
    <w:rsid w:val="0015066B"/>
    <w:rsid w:val="00150D3A"/>
    <w:rsid w:val="00153D29"/>
    <w:rsid w:val="00161E69"/>
    <w:rsid w:val="00161F54"/>
    <w:rsid w:val="00170FBE"/>
    <w:rsid w:val="0017506F"/>
    <w:rsid w:val="00186B3E"/>
    <w:rsid w:val="001B2814"/>
    <w:rsid w:val="001B4F95"/>
    <w:rsid w:val="001C3F7F"/>
    <w:rsid w:val="001C5166"/>
    <w:rsid w:val="001D0354"/>
    <w:rsid w:val="001E20EC"/>
    <w:rsid w:val="001E4442"/>
    <w:rsid w:val="001E5A51"/>
    <w:rsid w:val="001F03A7"/>
    <w:rsid w:val="00207135"/>
    <w:rsid w:val="00231575"/>
    <w:rsid w:val="00247382"/>
    <w:rsid w:val="00252E35"/>
    <w:rsid w:val="00254858"/>
    <w:rsid w:val="00257053"/>
    <w:rsid w:val="002603C1"/>
    <w:rsid w:val="00266257"/>
    <w:rsid w:val="002669BC"/>
    <w:rsid w:val="00271BE6"/>
    <w:rsid w:val="0027454D"/>
    <w:rsid w:val="00280671"/>
    <w:rsid w:val="002814F9"/>
    <w:rsid w:val="00282D17"/>
    <w:rsid w:val="002A4AEF"/>
    <w:rsid w:val="002B305F"/>
    <w:rsid w:val="002B564F"/>
    <w:rsid w:val="002B5F5D"/>
    <w:rsid w:val="002C2254"/>
    <w:rsid w:val="002C3BC9"/>
    <w:rsid w:val="002C54DB"/>
    <w:rsid w:val="002D039F"/>
    <w:rsid w:val="002D0694"/>
    <w:rsid w:val="002D5503"/>
    <w:rsid w:val="002E66D5"/>
    <w:rsid w:val="002F41E2"/>
    <w:rsid w:val="00320C99"/>
    <w:rsid w:val="003274A9"/>
    <w:rsid w:val="00331221"/>
    <w:rsid w:val="003649EE"/>
    <w:rsid w:val="00371BC6"/>
    <w:rsid w:val="00373A15"/>
    <w:rsid w:val="00385871"/>
    <w:rsid w:val="00394A02"/>
    <w:rsid w:val="003C7B20"/>
    <w:rsid w:val="003E4565"/>
    <w:rsid w:val="003E748F"/>
    <w:rsid w:val="003E7612"/>
    <w:rsid w:val="00410F3A"/>
    <w:rsid w:val="00414423"/>
    <w:rsid w:val="004411AD"/>
    <w:rsid w:val="004424EF"/>
    <w:rsid w:val="00453BB0"/>
    <w:rsid w:val="00460162"/>
    <w:rsid w:val="004620A8"/>
    <w:rsid w:val="00466BB5"/>
    <w:rsid w:val="004700CF"/>
    <w:rsid w:val="00487444"/>
    <w:rsid w:val="004A06D1"/>
    <w:rsid w:val="004A11FC"/>
    <w:rsid w:val="004C0224"/>
    <w:rsid w:val="004C053E"/>
    <w:rsid w:val="004C3255"/>
    <w:rsid w:val="004D07E1"/>
    <w:rsid w:val="004D1C19"/>
    <w:rsid w:val="004F29B8"/>
    <w:rsid w:val="0050413E"/>
    <w:rsid w:val="00515657"/>
    <w:rsid w:val="00521275"/>
    <w:rsid w:val="0052216F"/>
    <w:rsid w:val="005232CA"/>
    <w:rsid w:val="00523636"/>
    <w:rsid w:val="005335B9"/>
    <w:rsid w:val="00536CCE"/>
    <w:rsid w:val="005541E4"/>
    <w:rsid w:val="00562FE7"/>
    <w:rsid w:val="0058302A"/>
    <w:rsid w:val="005B7338"/>
    <w:rsid w:val="005C02AB"/>
    <w:rsid w:val="005C5FC3"/>
    <w:rsid w:val="005D0F04"/>
    <w:rsid w:val="005F12F0"/>
    <w:rsid w:val="005F3273"/>
    <w:rsid w:val="005F34A3"/>
    <w:rsid w:val="00610CF2"/>
    <w:rsid w:val="0062250C"/>
    <w:rsid w:val="006328DE"/>
    <w:rsid w:val="006353DE"/>
    <w:rsid w:val="006479F1"/>
    <w:rsid w:val="00650BEE"/>
    <w:rsid w:val="006520FA"/>
    <w:rsid w:val="0065377D"/>
    <w:rsid w:val="00666F57"/>
    <w:rsid w:val="006740A7"/>
    <w:rsid w:val="00691524"/>
    <w:rsid w:val="006A654B"/>
    <w:rsid w:val="006E2924"/>
    <w:rsid w:val="006E7A26"/>
    <w:rsid w:val="006F2B3D"/>
    <w:rsid w:val="007052CC"/>
    <w:rsid w:val="007319E0"/>
    <w:rsid w:val="00737B00"/>
    <w:rsid w:val="0075155C"/>
    <w:rsid w:val="00753A05"/>
    <w:rsid w:val="00757193"/>
    <w:rsid w:val="00761190"/>
    <w:rsid w:val="00776537"/>
    <w:rsid w:val="00783A25"/>
    <w:rsid w:val="007877F4"/>
    <w:rsid w:val="007E1B5E"/>
    <w:rsid w:val="007E6253"/>
    <w:rsid w:val="007F2278"/>
    <w:rsid w:val="00805783"/>
    <w:rsid w:val="00806F57"/>
    <w:rsid w:val="00806F90"/>
    <w:rsid w:val="008246FC"/>
    <w:rsid w:val="00824C19"/>
    <w:rsid w:val="00826250"/>
    <w:rsid w:val="008378D1"/>
    <w:rsid w:val="00846462"/>
    <w:rsid w:val="0086691F"/>
    <w:rsid w:val="00877048"/>
    <w:rsid w:val="00883DB0"/>
    <w:rsid w:val="00884C8F"/>
    <w:rsid w:val="00896D38"/>
    <w:rsid w:val="008C3296"/>
    <w:rsid w:val="008E2D03"/>
    <w:rsid w:val="008F2BB5"/>
    <w:rsid w:val="008F425D"/>
    <w:rsid w:val="008F5472"/>
    <w:rsid w:val="008F5D0F"/>
    <w:rsid w:val="009122E0"/>
    <w:rsid w:val="00913351"/>
    <w:rsid w:val="0096193C"/>
    <w:rsid w:val="009769E1"/>
    <w:rsid w:val="00977E0D"/>
    <w:rsid w:val="00986C04"/>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4481C"/>
    <w:rsid w:val="00A5206D"/>
    <w:rsid w:val="00A72E47"/>
    <w:rsid w:val="00A95404"/>
    <w:rsid w:val="00A968C5"/>
    <w:rsid w:val="00AA3C28"/>
    <w:rsid w:val="00AA759D"/>
    <w:rsid w:val="00AB2786"/>
    <w:rsid w:val="00AD4308"/>
    <w:rsid w:val="00AF2A33"/>
    <w:rsid w:val="00B156C7"/>
    <w:rsid w:val="00B309DD"/>
    <w:rsid w:val="00B36621"/>
    <w:rsid w:val="00B36D64"/>
    <w:rsid w:val="00B41B48"/>
    <w:rsid w:val="00B56194"/>
    <w:rsid w:val="00B61A34"/>
    <w:rsid w:val="00B64E8E"/>
    <w:rsid w:val="00B65E8B"/>
    <w:rsid w:val="00B8025A"/>
    <w:rsid w:val="00B827B1"/>
    <w:rsid w:val="00BB23A4"/>
    <w:rsid w:val="00BC2276"/>
    <w:rsid w:val="00BD2150"/>
    <w:rsid w:val="00BE1CC3"/>
    <w:rsid w:val="00BE365A"/>
    <w:rsid w:val="00BE47C4"/>
    <w:rsid w:val="00C052A2"/>
    <w:rsid w:val="00C06A4A"/>
    <w:rsid w:val="00C1391A"/>
    <w:rsid w:val="00C14CE6"/>
    <w:rsid w:val="00C15218"/>
    <w:rsid w:val="00C2725D"/>
    <w:rsid w:val="00C42033"/>
    <w:rsid w:val="00C464DD"/>
    <w:rsid w:val="00C76854"/>
    <w:rsid w:val="00C92246"/>
    <w:rsid w:val="00C92AE0"/>
    <w:rsid w:val="00C93C57"/>
    <w:rsid w:val="00CB2B1E"/>
    <w:rsid w:val="00CC3E8B"/>
    <w:rsid w:val="00CC4E84"/>
    <w:rsid w:val="00CD5641"/>
    <w:rsid w:val="00CE64AC"/>
    <w:rsid w:val="00CF7718"/>
    <w:rsid w:val="00D177F1"/>
    <w:rsid w:val="00D323B5"/>
    <w:rsid w:val="00D42ACC"/>
    <w:rsid w:val="00D51DC5"/>
    <w:rsid w:val="00D676D7"/>
    <w:rsid w:val="00D71517"/>
    <w:rsid w:val="00D7168D"/>
    <w:rsid w:val="00D874E1"/>
    <w:rsid w:val="00D92838"/>
    <w:rsid w:val="00D9586D"/>
    <w:rsid w:val="00DB0932"/>
    <w:rsid w:val="00DC2506"/>
    <w:rsid w:val="00DC49FA"/>
    <w:rsid w:val="00DD3D6B"/>
    <w:rsid w:val="00DD4467"/>
    <w:rsid w:val="00DD61C8"/>
    <w:rsid w:val="00DD772B"/>
    <w:rsid w:val="00DF2842"/>
    <w:rsid w:val="00E050BA"/>
    <w:rsid w:val="00E25442"/>
    <w:rsid w:val="00E25A1F"/>
    <w:rsid w:val="00E31267"/>
    <w:rsid w:val="00E37EEB"/>
    <w:rsid w:val="00E710FB"/>
    <w:rsid w:val="00E806D9"/>
    <w:rsid w:val="00E82CA2"/>
    <w:rsid w:val="00E94E5A"/>
    <w:rsid w:val="00E95594"/>
    <w:rsid w:val="00EA31C3"/>
    <w:rsid w:val="00EB33AC"/>
    <w:rsid w:val="00EC6F21"/>
    <w:rsid w:val="00EE0913"/>
    <w:rsid w:val="00F01440"/>
    <w:rsid w:val="00F13305"/>
    <w:rsid w:val="00F40463"/>
    <w:rsid w:val="00F50336"/>
    <w:rsid w:val="00F62E3F"/>
    <w:rsid w:val="00F67F90"/>
    <w:rsid w:val="00F77B3E"/>
    <w:rsid w:val="00F833CB"/>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24</TotalTime>
  <Pages>1</Pages>
  <Words>542</Words>
  <Characters>3095</Characters>
  <Application>Microsoft Office Word</Application>
  <DocSecurity>4</DocSecurity>
  <Lines>25</Lines>
  <Paragraphs>7</Paragraphs>
  <ScaleCrop>false</ScaleCrop>
  <Company>United Nations</Company>
  <LinksUpToDate>false</LinksUpToDate>
  <CharactersWithSpaces>3630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CTPU User</cp:lastModifiedBy>
  <cp:revision>14</cp:revision>
  <cp:lastPrinted>2008-12-19T10:48:00Z</cp:lastPrinted>
  <dcterms:created xsi:type="dcterms:W3CDTF">2008-12-18T15:15:00Z</dcterms:created>
  <dcterms:modified xsi:type="dcterms:W3CDTF">2008-12-19T10:49:00Z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0862717</vt:lpwstr>
  </property>
  <property fmtid="{D5CDD505-2E9C-101B-9397-08002B2CF9AE}" pid="3" name="Symbol1">
    <vt:lpwstr>CEDAW/C/ESP/Q/6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5</vt:lpwstr>
  </property>
  <property fmtid="{D5CDD505-2E9C-101B-9397-08002B2CF9AE}" pid="8" name="Operator">
    <vt:lpwstr>DONG</vt:lpwstr>
  </property>
</Properties>
</file>