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Examen de los informes presentados por los Estados partes </w:t>
      </w:r>
      <w:r>
        <w:br/>
      </w:r>
      <w:r>
        <w:tab/>
      </w:r>
      <w:r>
        <w:tab/>
        <w:t>de conformidad con el artículo 18 de la Convención sobre la</w:t>
      </w:r>
      <w:r>
        <w:br/>
      </w:r>
      <w:r>
        <w:tab/>
      </w:r>
      <w:r>
        <w:tab/>
        <w:t xml:space="preserve">eliminación de todas las formas de discriminación contra </w:t>
      </w:r>
      <w:r>
        <w:br/>
      </w: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Informes iniciales e informes periódicos segundo y tercero combinados </w:t>
      </w:r>
      <w:r>
        <w:br/>
      </w:r>
      <w:r>
        <w:tab/>
      </w:r>
      <w:r>
        <w:tab/>
        <w:t>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vertAlign w:val="superscript"/>
        </w:rPr>
      </w:pPr>
      <w:r>
        <w:rPr>
          <w:sz w:val="17"/>
        </w:rPr>
        <w:tab/>
        <w:t>*</w:t>
      </w:r>
      <w:r>
        <w:rPr>
          <w:sz w:val="17"/>
        </w:rPr>
        <w:tab/>
        <w:t>El presente informe se publica sin revisión editorial. Fue recibido en la Secretaría de las Naciones Unidas el 11 de febrero de 2004.</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Camboya</w:t>
      </w:r>
      <w:r>
        <w:rPr>
          <w:b w:val="0"/>
          <w:spacing w:val="4"/>
          <w:sz w:val="20"/>
        </w:rPr>
        <w:t>*</w:t>
      </w:r>
    </w:p>
    <w:p w:rsidR="00000000" w:rsidRDefault="00000000">
      <w:pPr>
        <w:pStyle w:val="DualTxt"/>
        <w:jc w:val="center"/>
      </w:pPr>
      <w:r>
        <w:br w:type="page"/>
      </w:r>
    </w:p>
    <w:p w:rsidR="00000000" w:rsidRDefault="00000000">
      <w:pPr>
        <w:pStyle w:val="DualTxt"/>
        <w:jc w:val="center"/>
      </w:pPr>
    </w:p>
    <w:p w:rsidR="00000000" w:rsidRDefault="00000000">
      <w:pPr>
        <w:pStyle w:val="H1"/>
        <w:tabs>
          <w:tab w:val="left" w:pos="475"/>
          <w:tab w:val="left" w:pos="965"/>
          <w:tab w:val="left" w:pos="1440"/>
          <w:tab w:val="left" w:pos="1915"/>
          <w:tab w:val="left" w:pos="2405"/>
          <w:tab w:val="left" w:pos="2880"/>
          <w:tab w:val="left" w:pos="3355"/>
        </w:tabs>
        <w:jc w:val="center"/>
      </w:pPr>
      <w:r>
        <w:t>Real Gobierno de Camboya</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HCh"/>
        <w:tabs>
          <w:tab w:val="left" w:pos="475"/>
          <w:tab w:val="left" w:pos="965"/>
          <w:tab w:val="left" w:pos="1440"/>
          <w:tab w:val="left" w:pos="1915"/>
          <w:tab w:val="left" w:pos="2405"/>
          <w:tab w:val="left" w:pos="2880"/>
          <w:tab w:val="left" w:pos="3355"/>
        </w:tabs>
        <w:jc w:val="center"/>
      </w:pPr>
      <w:r>
        <w:t>Informe inicial e informes segundo y tercero combinados</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HCh"/>
        <w:tabs>
          <w:tab w:val="left" w:pos="475"/>
          <w:tab w:val="left" w:pos="965"/>
          <w:tab w:val="left" w:pos="1440"/>
          <w:tab w:val="left" w:pos="1915"/>
          <w:tab w:val="left" w:pos="2405"/>
          <w:tab w:val="left" w:pos="2880"/>
          <w:tab w:val="left" w:pos="3355"/>
        </w:tabs>
        <w:jc w:val="center"/>
      </w:pPr>
      <w:r>
        <w:t xml:space="preserve">relativos a la aplicación en Camboya de la Convención </w:t>
      </w:r>
      <w:r>
        <w:br/>
        <w:t xml:space="preserve">internacional sobre la eliminación de todas las formas </w:t>
      </w:r>
      <w:r>
        <w:br/>
        <w:t>de discriminación 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H1"/>
        <w:tabs>
          <w:tab w:val="left" w:pos="475"/>
          <w:tab w:val="left" w:pos="965"/>
          <w:tab w:val="left" w:pos="1440"/>
          <w:tab w:val="left" w:pos="1915"/>
          <w:tab w:val="left" w:pos="2405"/>
          <w:tab w:val="left" w:pos="2880"/>
          <w:tab w:val="left" w:pos="3355"/>
        </w:tabs>
        <w:jc w:val="center"/>
      </w:pPr>
      <w:r>
        <w:t xml:space="preserve">de conformidad con el artículo 18 de la Convención internacional </w:t>
      </w:r>
      <w:r>
        <w:br/>
        <w:t xml:space="preserve">sobre la eliminación de todas las formas de discriminación </w:t>
      </w:r>
      <w:r>
        <w:br/>
        <w:t>contra la mujer</w:t>
      </w: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0" w:right="0"/>
      </w:pPr>
    </w:p>
    <w:p w:rsidR="00000000" w:rsidRDefault="00000000">
      <w:pPr>
        <w:pStyle w:val="H23"/>
        <w:tabs>
          <w:tab w:val="left" w:pos="475"/>
          <w:tab w:val="left" w:pos="965"/>
          <w:tab w:val="left" w:pos="1440"/>
          <w:tab w:val="left" w:pos="1915"/>
          <w:tab w:val="left" w:pos="2405"/>
          <w:tab w:val="left" w:pos="2880"/>
          <w:tab w:val="left" w:pos="3355"/>
        </w:tabs>
        <w:jc w:val="center"/>
      </w:pPr>
      <w:r>
        <w:t>Octubre de 2003</w:t>
      </w:r>
    </w:p>
    <w:p w:rsidR="00000000" w:rsidRDefault="00000000">
      <w:pPr>
        <w:pStyle w:val="HCh"/>
        <w:spacing w:after="120"/>
        <w:rPr>
          <w:b w:val="0"/>
        </w:rPr>
      </w:pPr>
      <w:r>
        <w:br w:type="page"/>
      </w: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000000">
        <w:tblPrEx>
          <w:tblCellMar>
            <w:top w:w="0" w:type="dxa"/>
            <w:left w:w="0" w:type="dxa"/>
            <w:bottom w:w="0" w:type="dxa"/>
            <w:right w:w="0" w:type="dxa"/>
          </w:tblCellMar>
        </w:tblPrEx>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tcPr>
          <w:p w:rsidR="00000000" w:rsidRDefault="00000000">
            <w:pPr>
              <w:spacing w:after="120" w:line="240" w:lineRule="auto"/>
              <w:ind w:right="40"/>
              <w:jc w:val="right"/>
              <w:rPr>
                <w:i/>
                <w:sz w:val="14"/>
              </w:rPr>
            </w:pPr>
          </w:p>
        </w:tc>
        <w:tc>
          <w:tcPr>
            <w:tcW w:w="792" w:type="dxa"/>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Abreviaturas</w:t>
            </w:r>
            <w:r>
              <w:rPr>
                <w:spacing w:val="60"/>
                <w:sz w:val="17"/>
              </w:rPr>
              <w:tab/>
            </w:r>
          </w:p>
        </w:tc>
        <w:tc>
          <w:tcPr>
            <w:tcW w:w="792" w:type="dxa"/>
            <w:vAlign w:val="bottom"/>
          </w:tcPr>
          <w:p w:rsidR="00000000" w:rsidRDefault="00000000">
            <w:pPr>
              <w:spacing w:after="120"/>
              <w:ind w:right="40"/>
              <w:jc w:val="right"/>
            </w:pPr>
            <w:r>
              <w:t>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Primera Parte. Introducción</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I.</w:t>
            </w:r>
            <w:r>
              <w:tab/>
              <w:t>Información general</w:t>
            </w:r>
            <w:r>
              <w:rPr>
                <w:spacing w:val="60"/>
                <w:sz w:val="17"/>
              </w:rPr>
              <w:tab/>
            </w:r>
          </w:p>
        </w:tc>
        <w:tc>
          <w:tcPr>
            <w:tcW w:w="792" w:type="dxa"/>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t>II.</w:t>
            </w:r>
            <w:r>
              <w:tab/>
              <w:t>Resumen de la historia política</w:t>
            </w:r>
            <w:r>
              <w:rPr>
                <w:spacing w:val="60"/>
                <w:sz w:val="17"/>
              </w:rPr>
              <w:tab/>
            </w:r>
          </w:p>
        </w:tc>
        <w:tc>
          <w:tcPr>
            <w:tcW w:w="792" w:type="dxa"/>
            <w:vAlign w:val="bottom"/>
          </w:tcPr>
          <w:p w:rsidR="00000000" w:rsidRDefault="00000000">
            <w:pPr>
              <w:spacing w:after="120"/>
              <w:ind w:right="40"/>
              <w:jc w:val="right"/>
            </w:pPr>
            <w:r>
              <w:t>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right" w:leader="dot" w:pos="9101"/>
              </w:tabs>
              <w:spacing w:after="120"/>
              <w:rPr>
                <w:spacing w:val="60"/>
                <w:sz w:val="17"/>
              </w:rPr>
            </w:pPr>
            <w:r>
              <w:tab/>
              <w:t>III.</w:t>
            </w:r>
            <w:r>
              <w:tab/>
              <w:t>Estructura del Estado</w:t>
            </w:r>
            <w:r>
              <w:rPr>
                <w:spacing w:val="60"/>
                <w:sz w:val="17"/>
              </w:rPr>
              <w:tab/>
            </w:r>
          </w:p>
        </w:tc>
        <w:tc>
          <w:tcPr>
            <w:tcW w:w="792" w:type="dxa"/>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rPr>
                <w:spacing w:val="60"/>
                <w:sz w:val="17"/>
              </w:rPr>
            </w:pPr>
            <w:r>
              <w:tab/>
              <w:t>IV.</w:t>
            </w:r>
            <w:r>
              <w:tab/>
              <w:t>Forma de gobierno</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right" w:leader="dot" w:pos="9101"/>
              </w:tabs>
              <w:spacing w:after="120"/>
              <w:rPr>
                <w:spacing w:val="60"/>
                <w:sz w:val="17"/>
              </w:rPr>
            </w:pPr>
            <w:r>
              <w:tab/>
              <w:t>V.</w:t>
            </w:r>
            <w:r>
              <w:tab/>
              <w:t>Supremas atribuciones del Estado</w:t>
            </w:r>
            <w:r>
              <w:rPr>
                <w:spacing w:val="60"/>
                <w:sz w:val="17"/>
              </w:rPr>
              <w:tab/>
            </w:r>
          </w:p>
        </w:tc>
        <w:tc>
          <w:tcPr>
            <w:tcW w:w="792" w:type="dxa"/>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101"/>
              </w:tabs>
              <w:spacing w:after="120"/>
              <w:rPr>
                <w:spacing w:val="60"/>
                <w:sz w:val="17"/>
              </w:rPr>
            </w:pPr>
            <w:r>
              <w:tab/>
              <w:t>VI.</w:t>
            </w:r>
            <w:r>
              <w:tab/>
              <w:t>Marco general de competencia para la protección de los derechos humanos</w:t>
            </w:r>
            <w:r>
              <w:rPr>
                <w:spacing w:val="60"/>
                <w:sz w:val="17"/>
              </w:rPr>
              <w:tab/>
            </w:r>
          </w:p>
        </w:tc>
        <w:tc>
          <w:tcPr>
            <w:tcW w:w="792" w:type="dxa"/>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Segunda parte. Disposiciones fundamentales de la Convención</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 No discriminación</w:t>
            </w:r>
            <w:r>
              <w:rPr>
                <w:spacing w:val="60"/>
                <w:sz w:val="17"/>
              </w:rPr>
              <w:tab/>
            </w:r>
          </w:p>
        </w:tc>
        <w:tc>
          <w:tcPr>
            <w:tcW w:w="792" w:type="dxa"/>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Artículo 2. Obligación de eliminar todas las formas de discriminación contra la mujer</w:t>
            </w:r>
            <w:r>
              <w:rPr>
                <w:spacing w:val="60"/>
                <w:sz w:val="17"/>
              </w:rPr>
              <w:tab/>
            </w:r>
          </w:p>
        </w:tc>
        <w:tc>
          <w:tcPr>
            <w:tcW w:w="792" w:type="dxa"/>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Artículo 3. Medidas y disposiciones legales para asegurar el pleno desarrollo de la mujer</w:t>
            </w:r>
            <w:r>
              <w:rPr>
                <w:spacing w:val="60"/>
                <w:sz w:val="17"/>
              </w:rPr>
              <w:tab/>
            </w:r>
          </w:p>
        </w:tc>
        <w:tc>
          <w:tcPr>
            <w:tcW w:w="792" w:type="dxa"/>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right" w:leader="dot" w:pos="9101"/>
              </w:tabs>
              <w:spacing w:after="120"/>
              <w:ind w:left="1296" w:hanging="1296"/>
              <w:rPr>
                <w:spacing w:val="60"/>
                <w:sz w:val="17"/>
              </w:rPr>
            </w:pPr>
            <w:r>
              <w:tab/>
            </w:r>
            <w:r>
              <w:tab/>
              <w:t>Artículo 4. Medidas especiales de carácter temporal para promover la igualdad entre el hombre y la mujer</w:t>
            </w:r>
            <w:r>
              <w:rPr>
                <w:spacing w:val="60"/>
                <w:sz w:val="17"/>
              </w:rPr>
              <w:tab/>
            </w:r>
          </w:p>
        </w:tc>
        <w:tc>
          <w:tcPr>
            <w:tcW w:w="792" w:type="dxa"/>
            <w:vAlign w:val="bottom"/>
          </w:tcPr>
          <w:p w:rsidR="00000000" w:rsidRDefault="00000000">
            <w:pPr>
              <w:spacing w:after="120"/>
              <w:ind w:right="40"/>
              <w:jc w:val="right"/>
            </w:pPr>
            <w:r>
              <w:t>27</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Artículo 5. Modificación de los patrones socioculturales de conducta</w:t>
            </w:r>
            <w:r>
              <w:rPr>
                <w:spacing w:val="60"/>
                <w:sz w:val="17"/>
              </w:rPr>
              <w:tab/>
            </w:r>
          </w:p>
        </w:tc>
        <w:tc>
          <w:tcPr>
            <w:tcW w:w="792" w:type="dxa"/>
            <w:vAlign w:val="bottom"/>
          </w:tcPr>
          <w:p w:rsidR="00000000" w:rsidRDefault="00000000">
            <w:pPr>
              <w:spacing w:after="120"/>
              <w:ind w:right="40"/>
              <w:jc w:val="right"/>
            </w:pPr>
            <w:r>
              <w:t>30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101"/>
              </w:tabs>
              <w:spacing w:after="120"/>
              <w:rPr>
                <w:spacing w:val="60"/>
                <w:sz w:val="17"/>
              </w:rPr>
            </w:pPr>
            <w:r>
              <w:tab/>
            </w:r>
            <w:r>
              <w:tab/>
              <w:t>Artículo 6. Supresión de la explotación de la mujer</w:t>
            </w:r>
            <w:r>
              <w:rPr>
                <w:spacing w:val="60"/>
                <w:sz w:val="17"/>
              </w:rPr>
              <w:tab/>
            </w:r>
          </w:p>
        </w:tc>
        <w:tc>
          <w:tcPr>
            <w:tcW w:w="792" w:type="dxa"/>
            <w:vAlign w:val="bottom"/>
          </w:tcPr>
          <w:p w:rsidR="00000000" w:rsidRDefault="00000000">
            <w:pPr>
              <w:spacing w:after="120"/>
              <w:ind w:right="40"/>
              <w:jc w:val="right"/>
            </w:pPr>
            <w:r>
              <w:t>34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101"/>
              </w:tabs>
              <w:spacing w:after="120"/>
              <w:rPr>
                <w:spacing w:val="60"/>
                <w:sz w:val="17"/>
              </w:rPr>
            </w:pPr>
            <w:r>
              <w:tab/>
            </w:r>
            <w:r>
              <w:tab/>
              <w:t>Artículo 7. Igualdad en la vida política y pública</w:t>
            </w:r>
            <w:r>
              <w:rPr>
                <w:spacing w:val="60"/>
                <w:sz w:val="17"/>
              </w:rPr>
              <w:tab/>
            </w:r>
          </w:p>
        </w:tc>
        <w:tc>
          <w:tcPr>
            <w:tcW w:w="792" w:type="dxa"/>
            <w:vAlign w:val="bottom"/>
          </w:tcPr>
          <w:p w:rsidR="00000000" w:rsidRDefault="00000000">
            <w:pPr>
              <w:spacing w:after="120"/>
              <w:ind w:right="40"/>
              <w:jc w:val="right"/>
            </w:pPr>
            <w:r>
              <w:t>41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left" w:pos="8640"/>
                <w:tab w:val="right" w:leader="dot" w:pos="9101"/>
              </w:tabs>
              <w:spacing w:after="120"/>
              <w:rPr>
                <w:spacing w:val="60"/>
                <w:sz w:val="17"/>
              </w:rPr>
            </w:pPr>
            <w:r>
              <w:tab/>
            </w:r>
            <w:r>
              <w:tab/>
              <w:t>Artículo 8. Igualdad de oportunidades de representar al gobierno en el plano internacional</w:t>
            </w:r>
            <w:r>
              <w:rPr>
                <w:spacing w:val="60"/>
                <w:sz w:val="17"/>
              </w:rPr>
              <w:tab/>
            </w:r>
          </w:p>
        </w:tc>
        <w:tc>
          <w:tcPr>
            <w:tcW w:w="792" w:type="dxa"/>
            <w:vAlign w:val="bottom"/>
          </w:tcPr>
          <w:p w:rsidR="00000000" w:rsidRDefault="00000000">
            <w:pPr>
              <w:spacing w:after="120"/>
              <w:ind w:right="40"/>
              <w:jc w:val="right"/>
            </w:pPr>
            <w:r>
              <w:t>51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101"/>
              </w:tabs>
              <w:spacing w:after="120"/>
              <w:rPr>
                <w:spacing w:val="60"/>
                <w:sz w:val="17"/>
              </w:rPr>
            </w:pPr>
            <w:r>
              <w:tab/>
            </w:r>
            <w:r>
              <w:tab/>
              <w:t>Artículo 9. Igualdad de derechos en materia de nacionalidad</w:t>
            </w:r>
            <w:r>
              <w:rPr>
                <w:spacing w:val="60"/>
                <w:sz w:val="17"/>
              </w:rPr>
              <w:tab/>
            </w:r>
          </w:p>
        </w:tc>
        <w:tc>
          <w:tcPr>
            <w:tcW w:w="792" w:type="dxa"/>
            <w:vAlign w:val="bottom"/>
          </w:tcPr>
          <w:p w:rsidR="00000000" w:rsidRDefault="00000000">
            <w:pPr>
              <w:spacing w:after="120"/>
              <w:ind w:right="40"/>
              <w:jc w:val="right"/>
            </w:pPr>
            <w:r>
              <w:t>52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10. Igualdad de derechos en la esfera de la educación</w:t>
            </w:r>
            <w:r>
              <w:rPr>
                <w:spacing w:val="60"/>
                <w:sz w:val="17"/>
              </w:rPr>
              <w:tab/>
            </w:r>
          </w:p>
        </w:tc>
        <w:tc>
          <w:tcPr>
            <w:tcW w:w="792" w:type="dxa"/>
            <w:vAlign w:val="bottom"/>
          </w:tcPr>
          <w:p w:rsidR="00000000" w:rsidRDefault="00000000">
            <w:pPr>
              <w:spacing w:after="120"/>
              <w:ind w:right="40"/>
              <w:jc w:val="right"/>
            </w:pPr>
            <w:r>
              <w:t>54</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101"/>
              </w:tabs>
              <w:spacing w:after="120"/>
              <w:rPr>
                <w:spacing w:val="60"/>
                <w:sz w:val="17"/>
              </w:rPr>
            </w:pPr>
            <w:r>
              <w:tab/>
            </w:r>
            <w:r>
              <w:tab/>
              <w:t>Artículo 11. Igualdad de derechos en las cuestiones de empleo</w:t>
            </w:r>
            <w:r>
              <w:rPr>
                <w:spacing w:val="60"/>
                <w:sz w:val="17"/>
              </w:rPr>
              <w:tab/>
            </w:r>
          </w:p>
        </w:tc>
        <w:tc>
          <w:tcPr>
            <w:tcW w:w="792" w:type="dxa"/>
            <w:vAlign w:val="bottom"/>
          </w:tcPr>
          <w:p w:rsidR="00000000" w:rsidRDefault="00000000">
            <w:pPr>
              <w:spacing w:after="120"/>
              <w:ind w:right="40"/>
              <w:jc w:val="right"/>
            </w:pPr>
            <w:r>
              <w:t>73</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Artículo 12. Igualdad de acceso a los servicios de atención médica</w:t>
            </w:r>
            <w:r>
              <w:rPr>
                <w:spacing w:val="60"/>
                <w:sz w:val="17"/>
              </w:rPr>
              <w:tab/>
            </w:r>
          </w:p>
        </w:tc>
        <w:tc>
          <w:tcPr>
            <w:tcW w:w="792" w:type="dxa"/>
            <w:vAlign w:val="bottom"/>
          </w:tcPr>
          <w:p w:rsidR="00000000" w:rsidRDefault="00000000">
            <w:pPr>
              <w:spacing w:after="120"/>
              <w:ind w:right="40"/>
              <w:jc w:val="right"/>
            </w:pPr>
            <w:r>
              <w:t>81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101"/>
              </w:tabs>
              <w:spacing w:after="120"/>
              <w:rPr>
                <w:spacing w:val="60"/>
                <w:sz w:val="17"/>
              </w:rPr>
            </w:pPr>
            <w:r>
              <w:tab/>
            </w:r>
            <w:r>
              <w:tab/>
              <w:t>Artículo 13. Igualdad de derechos a las prestaciones sociales y al crédito financiero</w:t>
            </w:r>
            <w:r>
              <w:rPr>
                <w:spacing w:val="60"/>
                <w:sz w:val="17"/>
              </w:rPr>
              <w:tab/>
            </w:r>
          </w:p>
        </w:tc>
        <w:tc>
          <w:tcPr>
            <w:tcW w:w="792" w:type="dxa"/>
            <w:vAlign w:val="bottom"/>
          </w:tcPr>
          <w:p w:rsidR="00000000" w:rsidRDefault="00000000">
            <w:pPr>
              <w:spacing w:after="120"/>
              <w:ind w:right="40"/>
              <w:jc w:val="right"/>
            </w:pPr>
            <w:r>
              <w:t>90</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rPr>
                <w:spacing w:val="60"/>
                <w:sz w:val="17"/>
              </w:rPr>
            </w:pPr>
            <w:r>
              <w:tab/>
            </w:r>
            <w:r>
              <w:tab/>
              <w:t>Artículo 14. La mujer rural</w:t>
            </w:r>
            <w:r>
              <w:rPr>
                <w:spacing w:val="60"/>
                <w:sz w:val="17"/>
              </w:rPr>
              <w:tab/>
            </w:r>
          </w:p>
        </w:tc>
        <w:tc>
          <w:tcPr>
            <w:tcW w:w="792" w:type="dxa"/>
            <w:vAlign w:val="bottom"/>
          </w:tcPr>
          <w:p w:rsidR="00000000" w:rsidRDefault="00000000">
            <w:pPr>
              <w:spacing w:after="120"/>
              <w:ind w:right="40"/>
              <w:jc w:val="right"/>
            </w:pPr>
            <w:r>
              <w:t>92</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101"/>
              </w:tabs>
              <w:spacing w:after="120"/>
              <w:rPr>
                <w:spacing w:val="60"/>
                <w:sz w:val="17"/>
              </w:rPr>
            </w:pPr>
            <w:r>
              <w:tab/>
            </w:r>
            <w:r>
              <w:tab/>
              <w:t>Artículo 15. Igualdad ante la ley e idéntica capacidad jurídica en materias civiles</w:t>
            </w:r>
            <w:r>
              <w:rPr>
                <w:spacing w:val="60"/>
                <w:sz w:val="17"/>
              </w:rPr>
              <w:tab/>
            </w:r>
          </w:p>
        </w:tc>
        <w:tc>
          <w:tcPr>
            <w:tcW w:w="792" w:type="dxa"/>
            <w:vAlign w:val="bottom"/>
          </w:tcPr>
          <w:p w:rsidR="00000000" w:rsidRDefault="00000000">
            <w:pPr>
              <w:spacing w:after="120"/>
              <w:ind w:right="40"/>
              <w:jc w:val="right"/>
            </w:pPr>
            <w:r>
              <w:t>98</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101"/>
              </w:tabs>
              <w:spacing w:after="120"/>
              <w:rPr>
                <w:spacing w:val="60"/>
                <w:sz w:val="17"/>
              </w:rPr>
            </w:pPr>
            <w:r>
              <w:tab/>
            </w:r>
            <w:r>
              <w:tab/>
              <w:t>Artículo 16. Igualdad en la esfera del matrimonio y de la vida familiar</w:t>
            </w:r>
            <w:r>
              <w:rPr>
                <w:spacing w:val="60"/>
                <w:sz w:val="17"/>
              </w:rPr>
              <w:tab/>
            </w:r>
          </w:p>
        </w:tc>
        <w:tc>
          <w:tcPr>
            <w:tcW w:w="792" w:type="dxa"/>
            <w:vAlign w:val="bottom"/>
          </w:tcPr>
          <w:p w:rsidR="00000000" w:rsidRDefault="00000000">
            <w:pPr>
              <w:spacing w:after="120"/>
              <w:ind w:right="40"/>
              <w:jc w:val="right"/>
            </w:pPr>
            <w:r>
              <w:t>101</w:t>
            </w: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left" w:pos="2592"/>
                <w:tab w:val="left" w:pos="3024"/>
                <w:tab w:val="left" w:pos="3456"/>
                <w:tab w:val="right" w:leader="dot" w:pos="9101"/>
              </w:tabs>
              <w:spacing w:after="120"/>
            </w:pPr>
            <w:r>
              <w:tab/>
              <w:t>Anexo</w:t>
            </w:r>
          </w:p>
        </w:tc>
        <w:tc>
          <w:tcPr>
            <w:tcW w:w="792" w:type="dxa"/>
            <w:vAlign w:val="bottom"/>
          </w:tcPr>
          <w:p w:rsidR="00000000" w:rsidRDefault="00000000">
            <w:pPr>
              <w:spacing w:after="120"/>
              <w:ind w:right="40"/>
              <w:jc w:val="right"/>
            </w:pPr>
          </w:p>
        </w:tc>
      </w:tr>
      <w:tr w:rsidR="00000000">
        <w:tblPrEx>
          <w:tblCellMar>
            <w:top w:w="0" w:type="dxa"/>
            <w:left w:w="0" w:type="dxa"/>
            <w:bottom w:w="0" w:type="dxa"/>
            <w:right w:w="0" w:type="dxa"/>
          </w:tblCellMar>
        </w:tblPrEx>
        <w:trPr>
          <w:cantSplit/>
        </w:trPr>
        <w:tc>
          <w:tcPr>
            <w:tcW w:w="9110" w:type="dxa"/>
            <w:gridSpan w:val="3"/>
          </w:tcPr>
          <w:p w:rsidR="00000000" w:rsidRDefault="00000000">
            <w:pPr>
              <w:tabs>
                <w:tab w:val="right" w:pos="1080"/>
                <w:tab w:val="left" w:pos="1296"/>
                <w:tab w:val="left" w:pos="1728"/>
                <w:tab w:val="left" w:pos="2160"/>
                <w:tab w:val="right" w:leader="dot" w:pos="9101"/>
              </w:tabs>
              <w:spacing w:after="120"/>
              <w:rPr>
                <w:spacing w:val="60"/>
                <w:sz w:val="17"/>
              </w:rPr>
            </w:pPr>
            <w:r>
              <w:tab/>
            </w:r>
            <w:r>
              <w:tab/>
              <w:t>Bibliografía</w:t>
            </w:r>
            <w:r>
              <w:rPr>
                <w:spacing w:val="60"/>
                <w:sz w:val="17"/>
              </w:rPr>
              <w:tab/>
            </w:r>
          </w:p>
        </w:tc>
        <w:tc>
          <w:tcPr>
            <w:tcW w:w="792" w:type="dxa"/>
            <w:vAlign w:val="bottom"/>
          </w:tcPr>
          <w:p w:rsidR="00000000" w:rsidRDefault="00000000">
            <w:pPr>
              <w:spacing w:after="120"/>
              <w:ind w:right="40"/>
              <w:jc w:val="right"/>
            </w:pPr>
            <w:r>
              <w:t>106</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Abreviaturas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9" w:type="dxa"/>
        <w:tblLayout w:type="fixed"/>
        <w:tblCellMar>
          <w:left w:w="0" w:type="dxa"/>
          <w:right w:w="0" w:type="dxa"/>
        </w:tblCellMar>
        <w:tblLook w:val="0000" w:firstRow="0" w:lastRow="0" w:firstColumn="0" w:lastColumn="0" w:noHBand="0" w:noVBand="0"/>
      </w:tblPr>
      <w:tblGrid>
        <w:gridCol w:w="2063"/>
        <w:gridCol w:w="5253"/>
      </w:tblGrid>
      <w:tr w:rsidR="00000000">
        <w:tblPrEx>
          <w:tblCellMar>
            <w:top w:w="0" w:type="dxa"/>
            <w:left w:w="0" w:type="dxa"/>
            <w:bottom w:w="0" w:type="dxa"/>
            <w:right w:w="0" w:type="dxa"/>
          </w:tblCellMar>
        </w:tblPrEx>
        <w:tc>
          <w:tcPr>
            <w:tcW w:w="2063" w:type="dxa"/>
          </w:tcPr>
          <w:p w:rsidR="00000000" w:rsidRDefault="00000000">
            <w:pPr>
              <w:spacing w:after="120" w:line="240" w:lineRule="atLeast"/>
            </w:pPr>
            <w:r>
              <w:t>ACNUDH/Camboya</w:t>
            </w:r>
          </w:p>
        </w:tc>
        <w:tc>
          <w:tcPr>
            <w:tcW w:w="5253" w:type="dxa"/>
          </w:tcPr>
          <w:p w:rsidR="00000000" w:rsidRDefault="00000000">
            <w:pPr>
              <w:spacing w:after="120" w:line="240" w:lineRule="atLeast"/>
            </w:pPr>
            <w:r>
              <w:t>Oficina del Alto Comisionado de las Naciones Unidas para los Derechos Humanos en Camboya</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ACNUR</w:t>
            </w:r>
          </w:p>
        </w:tc>
        <w:tc>
          <w:tcPr>
            <w:tcW w:w="5253" w:type="dxa"/>
          </w:tcPr>
          <w:p w:rsidR="00000000" w:rsidRDefault="00000000">
            <w:pPr>
              <w:spacing w:after="120" w:line="240" w:lineRule="atLeast"/>
            </w:pPr>
            <w:r>
              <w:t xml:space="preserve">Oficina del Alto Comisionado de las Naciones Unidas para los Refugiados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ACSG</w:t>
            </w:r>
          </w:p>
        </w:tc>
        <w:tc>
          <w:tcPr>
            <w:tcW w:w="5253" w:type="dxa"/>
          </w:tcPr>
          <w:p w:rsidR="00000000" w:rsidRDefault="00000000">
            <w:pPr>
              <w:spacing w:after="120" w:line="240" w:lineRule="atLeast"/>
            </w:pPr>
            <w:r>
              <w:t xml:space="preserve">Asociación Camboyana pro Salud Genésica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AN</w:t>
            </w:r>
          </w:p>
        </w:tc>
        <w:tc>
          <w:tcPr>
            <w:tcW w:w="5253" w:type="dxa"/>
          </w:tcPr>
          <w:p w:rsidR="00000000" w:rsidRDefault="00000000">
            <w:pPr>
              <w:spacing w:after="120" w:line="240" w:lineRule="atLeast"/>
            </w:pPr>
            <w:r>
              <w:t xml:space="preserve">Asamblea Nacional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APD</w:t>
            </w:r>
          </w:p>
        </w:tc>
        <w:tc>
          <w:tcPr>
            <w:tcW w:w="5253" w:type="dxa"/>
          </w:tcPr>
          <w:p w:rsidR="00000000" w:rsidRDefault="00000000">
            <w:pPr>
              <w:spacing w:after="120" w:line="240" w:lineRule="atLeast"/>
            </w:pPr>
            <w:r>
              <w:t>Asociados para el Desarrollo</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AusAID</w:t>
            </w:r>
          </w:p>
        </w:tc>
        <w:tc>
          <w:tcPr>
            <w:tcW w:w="5253" w:type="dxa"/>
          </w:tcPr>
          <w:p w:rsidR="00000000" w:rsidRDefault="00000000">
            <w:pPr>
              <w:spacing w:after="120" w:line="240" w:lineRule="atLeast"/>
            </w:pPr>
            <w:r>
              <w:t xml:space="preserve">Organismo Australiano de Desarrollo Internacional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CCA</w:t>
            </w:r>
          </w:p>
        </w:tc>
        <w:tc>
          <w:tcPr>
            <w:tcW w:w="5253" w:type="dxa"/>
          </w:tcPr>
          <w:p w:rsidR="00000000" w:rsidRDefault="00000000">
            <w:pPr>
              <w:spacing w:after="120" w:line="240" w:lineRule="atLeast"/>
            </w:pPr>
            <w:r>
              <w:t xml:space="preserve">conjunto complementario de actividades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 xml:space="preserve">CCPDN </w:t>
            </w:r>
          </w:p>
        </w:tc>
        <w:tc>
          <w:tcPr>
            <w:tcW w:w="5253" w:type="dxa"/>
          </w:tcPr>
          <w:p w:rsidR="00000000" w:rsidRDefault="00000000">
            <w:pPr>
              <w:spacing w:after="120" w:line="240" w:lineRule="atLeast"/>
            </w:pPr>
            <w:r>
              <w:t>Centro Camboyano para la Protección de los Derechos del Niño</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CEDAW</w:t>
            </w:r>
          </w:p>
        </w:tc>
        <w:tc>
          <w:tcPr>
            <w:tcW w:w="5253" w:type="dxa"/>
          </w:tcPr>
          <w:p w:rsidR="00000000" w:rsidRDefault="00000000">
            <w:pPr>
              <w:spacing w:after="120" w:line="240" w:lineRule="atLeast"/>
            </w:pPr>
            <w:r>
              <w:t xml:space="preserve">Convención sobre la eliminación de todas las formas de discriminación contra la mujer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CI</w:t>
            </w:r>
          </w:p>
        </w:tc>
        <w:tc>
          <w:tcPr>
            <w:tcW w:w="5253" w:type="dxa"/>
          </w:tcPr>
          <w:p w:rsidR="00000000" w:rsidRDefault="00000000">
            <w:pPr>
              <w:spacing w:after="120" w:line="240" w:lineRule="atLeast"/>
            </w:pPr>
            <w:r>
              <w:t xml:space="preserve">coeficiente de inteligencia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CMA</w:t>
            </w:r>
          </w:p>
        </w:tc>
        <w:tc>
          <w:tcPr>
            <w:tcW w:w="5253" w:type="dxa"/>
          </w:tcPr>
          <w:p w:rsidR="00000000" w:rsidRDefault="00000000">
            <w:pPr>
              <w:spacing w:after="120" w:line="240" w:lineRule="atLeast"/>
            </w:pPr>
            <w:r>
              <w:t xml:space="preserve">conjunto mínimo de actividades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CNCM</w:t>
            </w:r>
          </w:p>
        </w:tc>
        <w:tc>
          <w:tcPr>
            <w:tcW w:w="5253" w:type="dxa"/>
          </w:tcPr>
          <w:p w:rsidR="00000000" w:rsidRDefault="00000000">
            <w:pPr>
              <w:spacing w:after="120" w:line="240" w:lineRule="atLeast"/>
            </w:pPr>
            <w:r>
              <w:t xml:space="preserve">Consejo Nacional de Camboya para la Mujer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DELP</w:t>
            </w:r>
          </w:p>
        </w:tc>
        <w:tc>
          <w:tcPr>
            <w:tcW w:w="5253" w:type="dxa"/>
          </w:tcPr>
          <w:p w:rsidR="00000000" w:rsidRDefault="00000000">
            <w:pPr>
              <w:spacing w:after="120" w:line="240" w:lineRule="atLeast"/>
            </w:pPr>
            <w:r>
              <w:t xml:space="preserve">documento de estrategia de lucha contra la pobreza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EDS</w:t>
            </w:r>
          </w:p>
        </w:tc>
        <w:tc>
          <w:tcPr>
            <w:tcW w:w="5253" w:type="dxa"/>
          </w:tcPr>
          <w:p w:rsidR="00000000" w:rsidRDefault="00000000">
            <w:pPr>
              <w:spacing w:after="120" w:line="240" w:lineRule="atLeast"/>
            </w:pPr>
            <w:r>
              <w:t xml:space="preserve">encuestas demográficas de salud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EPT</w:t>
            </w:r>
          </w:p>
        </w:tc>
        <w:tc>
          <w:tcPr>
            <w:tcW w:w="5253" w:type="dxa"/>
          </w:tcPr>
          <w:p w:rsidR="00000000" w:rsidRDefault="00000000">
            <w:pPr>
              <w:spacing w:after="120" w:line="240" w:lineRule="atLeast"/>
            </w:pPr>
            <w:r>
              <w:t xml:space="preserve">Educación para Todos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FNUAP</w:t>
            </w:r>
          </w:p>
        </w:tc>
        <w:tc>
          <w:tcPr>
            <w:tcW w:w="5253" w:type="dxa"/>
          </w:tcPr>
          <w:p w:rsidR="00000000" w:rsidRDefault="00000000">
            <w:pPr>
              <w:spacing w:after="120" w:line="240" w:lineRule="atLeast"/>
            </w:pPr>
            <w:r>
              <w:t xml:space="preserve">Fondo de Población de las Naciones Unidas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GIC</w:t>
            </w:r>
          </w:p>
        </w:tc>
        <w:tc>
          <w:tcPr>
            <w:tcW w:w="5253" w:type="dxa"/>
          </w:tcPr>
          <w:p w:rsidR="00000000" w:rsidRDefault="00000000">
            <w:pPr>
              <w:spacing w:after="120" w:line="240" w:lineRule="atLeast"/>
            </w:pPr>
            <w:r>
              <w:t xml:space="preserve">Gobierno Interino de Camboya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IAR</w:t>
            </w:r>
          </w:p>
        </w:tc>
        <w:tc>
          <w:tcPr>
            <w:tcW w:w="5253" w:type="dxa"/>
          </w:tcPr>
          <w:p w:rsidR="00000000" w:rsidRDefault="00000000">
            <w:pPr>
              <w:spacing w:after="120" w:line="240" w:lineRule="atLeast"/>
            </w:pPr>
            <w:r>
              <w:t xml:space="preserve">infecciones agudas de las vías respiratorias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IMD</w:t>
            </w:r>
          </w:p>
        </w:tc>
        <w:tc>
          <w:tcPr>
            <w:tcW w:w="5253" w:type="dxa"/>
          </w:tcPr>
          <w:p w:rsidR="00000000" w:rsidRDefault="00000000">
            <w:pPr>
              <w:spacing w:after="120" w:line="240" w:lineRule="atLeast"/>
            </w:pPr>
            <w:r>
              <w:t xml:space="preserve">integración de la mujer en el desarrollo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 xml:space="preserve">KHANA </w:t>
            </w:r>
          </w:p>
        </w:tc>
        <w:tc>
          <w:tcPr>
            <w:tcW w:w="5253" w:type="dxa"/>
          </w:tcPr>
          <w:p w:rsidR="00000000" w:rsidRDefault="00000000">
            <w:pPr>
              <w:spacing w:after="120" w:line="240" w:lineRule="atLeast"/>
            </w:pPr>
            <w:r>
              <w:t xml:space="preserve">Alianza de ONG VIH/SIDA Khmer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MoAECI</w:t>
            </w:r>
          </w:p>
        </w:tc>
        <w:tc>
          <w:tcPr>
            <w:tcW w:w="5253" w:type="dxa"/>
          </w:tcPr>
          <w:p w:rsidR="00000000" w:rsidRDefault="00000000">
            <w:pPr>
              <w:spacing w:after="120" w:line="240" w:lineRule="atLeast"/>
            </w:pPr>
            <w:r>
              <w:t xml:space="preserve">Ministerio de Asuntos Exteriores y Cooperación Internacional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MoAMEC</w:t>
            </w:r>
          </w:p>
        </w:tc>
        <w:tc>
          <w:tcPr>
            <w:tcW w:w="5253" w:type="dxa"/>
          </w:tcPr>
          <w:p w:rsidR="00000000" w:rsidRDefault="00000000">
            <w:pPr>
              <w:spacing w:after="120" w:line="240" w:lineRule="atLeast"/>
            </w:pPr>
            <w:r>
              <w:t xml:space="preserve">Ministerio de Asuntos de la Mujer y los Excombatientes </w:t>
            </w:r>
          </w:p>
        </w:tc>
      </w:tr>
      <w:tr w:rsidR="00000000">
        <w:tblPrEx>
          <w:tblCellMar>
            <w:top w:w="0" w:type="dxa"/>
            <w:left w:w="0" w:type="dxa"/>
            <w:bottom w:w="0" w:type="dxa"/>
            <w:right w:w="0" w:type="dxa"/>
          </w:tblCellMar>
        </w:tblPrEx>
        <w:tc>
          <w:tcPr>
            <w:tcW w:w="2063" w:type="dxa"/>
          </w:tcPr>
          <w:p w:rsidR="00000000" w:rsidRDefault="00000000">
            <w:pPr>
              <w:keepNext/>
              <w:keepLines/>
              <w:spacing w:after="120" w:line="240" w:lineRule="atLeast"/>
            </w:pPr>
            <w:r>
              <w:t>MoASTFPRJ</w:t>
            </w:r>
          </w:p>
        </w:tc>
        <w:tc>
          <w:tcPr>
            <w:tcW w:w="5253" w:type="dxa"/>
          </w:tcPr>
          <w:p w:rsidR="00000000" w:rsidRDefault="00000000">
            <w:pPr>
              <w:keepNext/>
              <w:keepLines/>
              <w:spacing w:after="120" w:line="240" w:lineRule="atLeast"/>
            </w:pPr>
            <w:r>
              <w:t xml:space="preserve">Ministerio de Asuntos Sociales, Trabajo, Formación Profesional y Rehabilitación de los Jóvenes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MoEJD</w:t>
            </w:r>
          </w:p>
        </w:tc>
        <w:tc>
          <w:tcPr>
            <w:tcW w:w="5253" w:type="dxa"/>
          </w:tcPr>
          <w:p w:rsidR="00000000" w:rsidRDefault="00000000">
            <w:pPr>
              <w:spacing w:after="120" w:line="240" w:lineRule="atLeast"/>
            </w:pPr>
            <w:r>
              <w:t xml:space="preserve">Ministerio de Educación, la Juventud y los Deportes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MoI</w:t>
            </w:r>
          </w:p>
        </w:tc>
        <w:tc>
          <w:tcPr>
            <w:tcW w:w="5253" w:type="dxa"/>
          </w:tcPr>
          <w:p w:rsidR="00000000" w:rsidRDefault="00000000">
            <w:pPr>
              <w:spacing w:after="120" w:line="240" w:lineRule="atLeast"/>
            </w:pPr>
            <w:r>
              <w:t xml:space="preserve">Ministerio del Interior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MoJ</w:t>
            </w:r>
          </w:p>
        </w:tc>
        <w:tc>
          <w:tcPr>
            <w:tcW w:w="5253" w:type="dxa"/>
          </w:tcPr>
          <w:p w:rsidR="00000000" w:rsidRDefault="00000000">
            <w:pPr>
              <w:spacing w:after="120" w:line="240" w:lineRule="atLeast"/>
            </w:pPr>
            <w:r>
              <w:t xml:space="preserve">Ministerio de Justicia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MOU</w:t>
            </w:r>
          </w:p>
        </w:tc>
        <w:tc>
          <w:tcPr>
            <w:tcW w:w="5253" w:type="dxa"/>
          </w:tcPr>
          <w:p w:rsidR="00000000" w:rsidRDefault="00000000">
            <w:pPr>
              <w:spacing w:after="120" w:line="240" w:lineRule="atLeast"/>
            </w:pPr>
            <w:r>
              <w:t>memorando de entendimiento</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OIM</w:t>
            </w:r>
          </w:p>
        </w:tc>
        <w:tc>
          <w:tcPr>
            <w:tcW w:w="5253" w:type="dxa"/>
          </w:tcPr>
          <w:p w:rsidR="00000000" w:rsidRDefault="00000000">
            <w:pPr>
              <w:spacing w:after="120" w:line="240" w:lineRule="atLeast"/>
            </w:pPr>
            <w:r>
              <w:t xml:space="preserve">Organización Internacional para las Migraciones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OJCI</w:t>
            </w:r>
          </w:p>
        </w:tc>
        <w:tc>
          <w:tcPr>
            <w:tcW w:w="5253" w:type="dxa"/>
          </w:tcPr>
          <w:p w:rsidR="00000000" w:rsidRDefault="00000000">
            <w:pPr>
              <w:spacing w:after="120" w:line="240" w:lineRule="atLeast"/>
            </w:pPr>
            <w:r>
              <w:t>Organismo Japonés de Cooperación Internacional</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OMS</w:t>
            </w:r>
          </w:p>
        </w:tc>
        <w:tc>
          <w:tcPr>
            <w:tcW w:w="5253" w:type="dxa"/>
          </w:tcPr>
          <w:p w:rsidR="00000000" w:rsidRDefault="00000000">
            <w:pPr>
              <w:spacing w:after="120" w:line="240" w:lineRule="atLeast"/>
            </w:pPr>
            <w:r>
              <w:t xml:space="preserve">Organización Mundial de la Salud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ONUSIDA</w:t>
            </w:r>
          </w:p>
        </w:tc>
        <w:tc>
          <w:tcPr>
            <w:tcW w:w="5253" w:type="dxa"/>
          </w:tcPr>
          <w:p w:rsidR="00000000" w:rsidRDefault="00000000">
            <w:pPr>
              <w:spacing w:after="120" w:line="240" w:lineRule="atLeast"/>
            </w:pPr>
            <w:r>
              <w:t xml:space="preserve">Programa conjunto de las Naciones Unidas sobre el VIH/SIDA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 xml:space="preserve">PASEDE </w:t>
            </w:r>
          </w:p>
        </w:tc>
        <w:tc>
          <w:tcPr>
            <w:tcW w:w="5253" w:type="dxa"/>
          </w:tcPr>
          <w:p w:rsidR="00000000" w:rsidRDefault="00000000">
            <w:pPr>
              <w:spacing w:after="120" w:line="240" w:lineRule="atLeast"/>
            </w:pPr>
            <w:r>
              <w:t xml:space="preserve">Pueblo Australiano por la Salud, la Educación y el Desarrollo en el Exterior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PMA</w:t>
            </w:r>
          </w:p>
        </w:tc>
        <w:tc>
          <w:tcPr>
            <w:tcW w:w="5253" w:type="dxa"/>
          </w:tcPr>
          <w:p w:rsidR="00000000" w:rsidRDefault="00000000">
            <w:pPr>
              <w:spacing w:after="120" w:line="240" w:lineRule="atLeast"/>
            </w:pPr>
            <w:r>
              <w:t xml:space="preserve">Programa Mundial de Alimentos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RFAC</w:t>
            </w:r>
          </w:p>
        </w:tc>
        <w:tc>
          <w:tcPr>
            <w:tcW w:w="5253" w:type="dxa"/>
          </w:tcPr>
          <w:p w:rsidR="00000000" w:rsidRDefault="00000000">
            <w:pPr>
              <w:spacing w:after="120" w:line="240" w:lineRule="atLeast"/>
            </w:pPr>
            <w:r>
              <w:t xml:space="preserve">Reales Fuerzas Armadas de Camboya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RGC</w:t>
            </w:r>
          </w:p>
        </w:tc>
        <w:tc>
          <w:tcPr>
            <w:tcW w:w="5253" w:type="dxa"/>
          </w:tcPr>
          <w:p w:rsidR="00000000" w:rsidRDefault="00000000">
            <w:pPr>
              <w:spacing w:after="120" w:line="240" w:lineRule="atLeast"/>
            </w:pPr>
            <w:r>
              <w:t>Real Gobierno de Camboya</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SCA</w:t>
            </w:r>
          </w:p>
        </w:tc>
        <w:tc>
          <w:tcPr>
            <w:tcW w:w="5253" w:type="dxa"/>
          </w:tcPr>
          <w:p w:rsidR="00000000" w:rsidRDefault="00000000">
            <w:pPr>
              <w:spacing w:after="120" w:line="240" w:lineRule="atLeast"/>
            </w:pPr>
            <w:r>
              <w:rPr>
                <w:i/>
              </w:rPr>
              <w:t>Save the Children Fund Australia</w:t>
            </w:r>
            <w:r>
              <w:t xml:space="preserve">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SCS</w:t>
            </w:r>
          </w:p>
        </w:tc>
        <w:tc>
          <w:tcPr>
            <w:tcW w:w="5253" w:type="dxa"/>
          </w:tcPr>
          <w:p w:rsidR="00000000" w:rsidRDefault="00000000">
            <w:pPr>
              <w:spacing w:after="120" w:line="240" w:lineRule="atLeast"/>
            </w:pPr>
            <w:r>
              <w:t>Servicios Católicos de Socorro</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UNESCO</w:t>
            </w:r>
          </w:p>
        </w:tc>
        <w:tc>
          <w:tcPr>
            <w:tcW w:w="5253" w:type="dxa"/>
          </w:tcPr>
          <w:p w:rsidR="00000000" w:rsidRDefault="00000000">
            <w:pPr>
              <w:spacing w:after="120" w:line="240" w:lineRule="atLeast"/>
            </w:pPr>
            <w:r>
              <w:t xml:space="preserve">Organización de las Naciones Unidas para la Educación, la Ciencia y la Cultura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UNICEF</w:t>
            </w:r>
          </w:p>
        </w:tc>
        <w:tc>
          <w:tcPr>
            <w:tcW w:w="5253" w:type="dxa"/>
          </w:tcPr>
          <w:p w:rsidR="00000000" w:rsidRDefault="00000000">
            <w:pPr>
              <w:spacing w:after="120" w:line="240" w:lineRule="atLeast"/>
            </w:pPr>
            <w:r>
              <w:t xml:space="preserve">Fondo de las Naciones Unidas para la Infancia </w:t>
            </w:r>
          </w:p>
        </w:tc>
      </w:tr>
      <w:tr w:rsidR="00000000">
        <w:tblPrEx>
          <w:tblCellMar>
            <w:top w:w="0" w:type="dxa"/>
            <w:left w:w="0" w:type="dxa"/>
            <w:bottom w:w="0" w:type="dxa"/>
            <w:right w:w="0" w:type="dxa"/>
          </w:tblCellMar>
        </w:tblPrEx>
        <w:tc>
          <w:tcPr>
            <w:tcW w:w="2063" w:type="dxa"/>
          </w:tcPr>
          <w:p w:rsidR="00000000" w:rsidRDefault="00000000">
            <w:pPr>
              <w:spacing w:after="120" w:line="240" w:lineRule="atLeast"/>
            </w:pPr>
            <w:r>
              <w:t>VMI</w:t>
            </w:r>
          </w:p>
        </w:tc>
        <w:tc>
          <w:tcPr>
            <w:tcW w:w="5253" w:type="dxa"/>
          </w:tcPr>
          <w:p w:rsidR="00000000" w:rsidRDefault="00000000">
            <w:pPr>
              <w:spacing w:after="120" w:line="240" w:lineRule="atLeast"/>
              <w:rPr>
                <w:i/>
              </w:rPr>
            </w:pPr>
            <w:r>
              <w:t xml:space="preserve">Visión Mundial Internacional </w:t>
            </w:r>
          </w:p>
        </w:tc>
      </w:tr>
    </w:tbl>
    <w:p w:rsidR="00000000" w:rsidRDefault="00000000">
      <w:pPr>
        <w:pStyle w:val="SingleTxt"/>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Primera parte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w:t>
      </w:r>
      <w:r>
        <w:tab/>
        <w:t>Camboya, que alguna vez gozó de gran renombre y de una civilización glori</w:t>
      </w:r>
      <w:r>
        <w:t>o</w:t>
      </w:r>
      <w:r>
        <w:t>sa y próspera, entró en una horrenda decadencia en todos los sectores del país como consecuencia de una terrible guerra intestina que duró más de 20 años. El proceso de reorganización y desarrollo debe pasar por numerosas etapas colmadas de dif</w:t>
      </w:r>
      <w:r>
        <w:t>i</w:t>
      </w:r>
      <w:r>
        <w:t>cult</w:t>
      </w:r>
      <w:r>
        <w:t>a</w:t>
      </w:r>
      <w:r>
        <w:t>des de gran complejidad y afrontar incontables obstáculos.</w:t>
      </w:r>
    </w:p>
    <w:p w:rsidR="00000000" w:rsidRDefault="00000000">
      <w:pPr>
        <w:pStyle w:val="SingleTxt"/>
      </w:pPr>
      <w:r>
        <w:t>2.</w:t>
      </w:r>
      <w:r>
        <w:tab/>
        <w:t>Bajo la supervisión de las Naciones Unidas y con el sistema de sufragio un</w:t>
      </w:r>
      <w:r>
        <w:t>i</w:t>
      </w:r>
      <w:r>
        <w:t>versal, el Real Gobierno de Camboya (RGC) celebró elecciones del 23 al 28 de m</w:t>
      </w:r>
      <w:r>
        <w:t>a</w:t>
      </w:r>
      <w:r>
        <w:t>yo de 1993 y cargó con la pesada carga de reconstruir y desarrollar el país en el marco de una democracia liberal y multipartidaria.</w:t>
      </w:r>
    </w:p>
    <w:p w:rsidR="00000000" w:rsidRDefault="00000000">
      <w:pPr>
        <w:pStyle w:val="SingleTxt"/>
      </w:pPr>
      <w:r>
        <w:t>3.</w:t>
      </w:r>
      <w:r>
        <w:tab/>
        <w:t>El 15 de octubre de 1992 Camboya ratificó sin reservas la Convención sobre la eliminación de todas las formas de discriminación contra la mujer. Al presentar su informe inicial y sus informes segundo y tercero combinados, de conformidad con el artículo 18 de la Convención, procura ofrecer al Comité un cuadro panorámico de la situación que vive actualmente la mujer camboyana desde el punto de vista de la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Información general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Características geográficas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w:t>
      </w:r>
      <w:r>
        <w:tab/>
        <w:t>El nombre oficial de Camboya es Reino de Camboya. Su sistema de gobierno es la democracia liberal y multipartidaria. Camboya, con una superficie de 181.035 km</w:t>
      </w:r>
      <w:r>
        <w:rPr>
          <w:vertAlign w:val="superscript"/>
        </w:rPr>
        <w:t>2</w:t>
      </w:r>
      <w:r>
        <w:t>, es un país del sudeste asiático situado en la península de Indochina.</w:t>
      </w:r>
    </w:p>
    <w:p w:rsidR="00000000" w:rsidRDefault="00000000">
      <w:pPr>
        <w:pStyle w:val="SingleTxt"/>
      </w:pPr>
      <w:r>
        <w:t>5.</w:t>
      </w:r>
      <w:r>
        <w:tab/>
        <w:t>El territorio del Reino de Camboya se divide en 24 provincias/municipios, d</w:t>
      </w:r>
      <w:r>
        <w:t>i</w:t>
      </w:r>
      <w:r>
        <w:t>vididos a su vez en 185 distritos/khans. Por su parte, estos distritos/khans se dividen en 1.621 comunas/sangkats con 13.706 pueblos. Phnom Penh es la ciudad capital de Camboya.</w:t>
      </w:r>
    </w:p>
    <w:p w:rsidR="00000000" w:rsidRDefault="00000000">
      <w:pPr>
        <w:pStyle w:val="SingleTxt"/>
      </w:pPr>
      <w:r>
        <w:t>6.</w:t>
      </w:r>
      <w:r>
        <w:tab/>
        <w:t>El relieve se clasifica en tres categorías: planicie central, montañas y altiplano costero.</w:t>
      </w:r>
    </w:p>
    <w:p w:rsidR="00000000" w:rsidRDefault="00000000">
      <w:pPr>
        <w:pStyle w:val="SingleTxt"/>
      </w:pPr>
      <w:r>
        <w:t>7.</w:t>
      </w:r>
      <w:r>
        <w:tab/>
        <w:t>El clima es tropical monzónico (seco y húmedo). La temperatura media es de 27ºC. Durante el decenio iniciado en 1960, los bosques cubrían 73% del país, que comprende 13.227.000 hectáreas. En la actualidad, los bosques cubren entre 50% y 60% del territorio.</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Características demográficas</w:t>
      </w:r>
    </w:p>
    <w:p w:rsidR="00000000" w:rsidRDefault="00000000">
      <w:pPr>
        <w:pStyle w:val="SingleTxt"/>
        <w:spacing w:after="0" w:line="120" w:lineRule="exact"/>
        <w:rPr>
          <w:b/>
          <w:sz w:val="10"/>
        </w:rPr>
      </w:pPr>
    </w:p>
    <w:p w:rsidR="00000000" w:rsidRDefault="00000000">
      <w:pPr>
        <w:pStyle w:val="SingleTxt"/>
      </w:pPr>
      <w:r>
        <w:t>8.</w:t>
      </w:r>
      <w:r>
        <w:tab/>
        <w:t>Camboya tiene una población de 12.251.098 habitantes (2002), de los cuales 51,8% son mujeres y 48,2%, hombres. La tasa de crecimiento anual es de 2,8% (2001). Del total de la población, 84,3% vive en zonas rurales y 15,7% en zonas u</w:t>
      </w:r>
      <w:r>
        <w:t>r</w:t>
      </w:r>
      <w:r>
        <w:t>banas. La densidad media de la población del país es de 64 habitantes por km</w:t>
      </w:r>
      <w:r>
        <w:rPr>
          <w:vertAlign w:val="superscript"/>
        </w:rPr>
        <w:t>2</w:t>
      </w:r>
      <w:r>
        <w:t>. Aproximadamente 42,8% de la población tiene menos de 15 años de edad (niños, 46,6% y niñas, 41,2%), 53,6% tiene entre 15 y 64 años (hombres, 3,6% y mujeres, 4,5%) y 3,7% tiene más de 64 años. La esperanza de vida es de 58 años para las mujeres y de 53 años para los hombres (cifras de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Mortalidad infantil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9.</w:t>
      </w:r>
      <w:r>
        <w:tab/>
        <w:t>En el año 2000, la tasa de mortalidad infantil era de 95 por 1.000 y la tasa de mortalidad de niños de menos de cinco años, de 125 por 1.000. Las causas fueron el alumbramiento prematuro y las complicaciones del parto en 31% y 28% de los casos respectivamente. Las principales causas de muerte de los niños de dos a cuatro años fueron las infecciones de las vías respiratorias (20%), la malaria (13%) y la diarrea (16%). La mortalidad materna se estima en 437 por 100.000 nacidos vivos. Las ca</w:t>
      </w:r>
      <w:r>
        <w:t>u</w:t>
      </w:r>
      <w:r>
        <w:t>sas de la mortalidad y la morbilidad maternas son la hemorragia, la eclampsia y el aborto peligroso u otras complicaciones.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Religiones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10.</w:t>
      </w:r>
      <w:r>
        <w:tab/>
        <w:t>El budismo es la religión del Estado, que profesan 95% de los ciudadanos camboyanos. También se practican otras religiones. Los ciudadanos tienen derecho a elegir la religión que deseen.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11.</w:t>
      </w:r>
      <w:r>
        <w:tab/>
        <w:t>Los niños de seis a 16 años de edad reciben enseñanza obligatoria durante nueve años como mínimo. La mayoría de los niños prosigue sus estudios en colegios secundarios durante otros cuatro años, aunque no en forma obligatoria. La escolar</w:t>
      </w:r>
      <w:r>
        <w:t>i</w:t>
      </w:r>
      <w:r>
        <w:t>dad primaria y secundaria es oficialmente gratuita. Algunos estudiantes pobres rec</w:t>
      </w:r>
      <w:r>
        <w:t>i</w:t>
      </w:r>
      <w:r>
        <w:t>ben becas del Estado para cursar sus estudios superiores. Actualmente, la tasa de a</w:t>
      </w:r>
      <w:r>
        <w:t>l</w:t>
      </w:r>
      <w:r>
        <w:t>fabetismo entre los adultos (más de 15 años) es de 57,7% para las mujeres y de 72% para los varones (</w:t>
      </w:r>
      <w:r>
        <w:rPr>
          <w:i/>
        </w:rPr>
        <w:t>Informe sobre Desarrollo Humano 2000</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Economía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w:t>
      </w:r>
      <w:r>
        <w:tab/>
        <w:t xml:space="preserve">Las mujeres constituyen 65% de la población económicamente activa. Según el </w:t>
      </w:r>
      <w:r>
        <w:rPr>
          <w:i/>
        </w:rPr>
        <w:t>Informe sobre Desarrollo Humano 2002</w:t>
      </w:r>
      <w:r>
        <w:t>, la tasa de actividad económica de la mujer es de 80,4%. Además, en Camboya son mujeres 19,6% de las cabezas de f</w:t>
      </w:r>
      <w:r>
        <w:t>a</w:t>
      </w:r>
      <w:r>
        <w:t>milia. Según el Informe sobre el Empleo en el Mundo 2001, la tasa de participación de la mujer en la fuerza de trabajo camboyana es una de las más altas de la región (73,5%). Se estimó que el producto interno bruto (PIB) per cápita era de 238 dólares de los EE.UU. en 2000 y que la tasa de inflación era de 3,2% en 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Resumen de la historia política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13.</w:t>
      </w:r>
      <w:r>
        <w:tab/>
        <w:t>Camboya fue alguna vez una gran nación con una civilización gloriosa y pró</w:t>
      </w:r>
      <w:r>
        <w:t>s</w:t>
      </w:r>
      <w:r>
        <w:t>pera. Sin embargo, esta renombrada, gloriosa y próspera civilización ha entrado en una persistente declinación tras una serie de guerras y divisiones del país. Después de conquistar la independencia del colonialismo francés (1863-1953), Camboya adoptó como régimen de gobierno la monarquía constitucional y Preah Bath Nor</w:t>
      </w:r>
      <w:r>
        <w:t>o</w:t>
      </w:r>
      <w:r>
        <w:t>dom Sihanuk fue Rey y Jefe de Estado. Durante ese período, logró acelerar su cr</w:t>
      </w:r>
      <w:r>
        <w:t>e</w:t>
      </w:r>
      <w:r>
        <w:t>cimiento económico y aumentar su prosperidad cultural en comparación con los pa</w:t>
      </w:r>
      <w:r>
        <w:t>í</w:t>
      </w:r>
      <w:r>
        <w:t>ses vecinos.</w:t>
      </w:r>
    </w:p>
    <w:p w:rsidR="00000000" w:rsidRDefault="00000000">
      <w:pPr>
        <w:pStyle w:val="SingleTxt"/>
      </w:pPr>
      <w:r>
        <w:t>14.</w:t>
      </w:r>
      <w:r>
        <w:tab/>
        <w:t>En 1970, el general Lon Nol encabezó un golpe de Estado que derrocó a Preah Bath Norodom Sihanuk y gobernó el país tras proclamar la República.</w:t>
      </w:r>
    </w:p>
    <w:p w:rsidR="00000000" w:rsidRDefault="00000000">
      <w:pPr>
        <w:pStyle w:val="SingleTxt"/>
      </w:pPr>
      <w:r>
        <w:tab/>
        <w:t>Entre 1975 y 1979 Camboya cayó en manos del régimen genocida de Pol Pot, que llevó la economía del país y la cultura nacional al punto cero y asesinó a mill</w:t>
      </w:r>
      <w:r>
        <w:t>o</w:t>
      </w:r>
      <w:r>
        <w:t>nes de camboyanos inocentes: estudiantes, intelectuales, funcionarios públicos, monjes y religiosos practicantes durante los tres años, ocho meses y 20 días que d</w:t>
      </w:r>
      <w:r>
        <w:t>u</w:t>
      </w:r>
      <w:r>
        <w:t>ró esa tir</w:t>
      </w:r>
      <w:r>
        <w:t>a</w:t>
      </w:r>
      <w:r>
        <w:t>nía.</w:t>
      </w:r>
    </w:p>
    <w:p w:rsidR="00000000" w:rsidRDefault="00000000">
      <w:pPr>
        <w:pStyle w:val="SingleTxt"/>
      </w:pPr>
      <w:r>
        <w:t>15.</w:t>
      </w:r>
      <w:r>
        <w:tab/>
        <w:t>Aunque Camboya se liberó del régimen de Pol Pot el 7 de enero de 1979, la guerra civil se prolongó hasta 1998.</w:t>
      </w:r>
    </w:p>
    <w:p w:rsidR="00000000" w:rsidRDefault="00000000">
      <w:pPr>
        <w:pStyle w:val="SingleTxt"/>
      </w:pPr>
      <w:r>
        <w:t>16.</w:t>
      </w:r>
      <w:r>
        <w:tab/>
        <w:t>En 1988, la comunidad internacional tomó cartas en la cuestión de Camboya y contribuyó a que las cuatro partes enfrentadas (el Estado de Camboya, el Frente de Liberación del Pueblo de Camboya, el Frente Unido Nacional para una Camboya Independiente, Neutral, Pacífica y Cooperativa (FUNCINPEC) y la Kampuchea Democrática) se reunieran ante una mesa de negociación para encontrar una sol</w:t>
      </w:r>
      <w:r>
        <w:t>u</w:t>
      </w:r>
      <w:r>
        <w:t>ción pacífica que pusiese fin a una guerra que se hacía interminable.</w:t>
      </w:r>
    </w:p>
    <w:p w:rsidR="00000000" w:rsidRDefault="00000000">
      <w:pPr>
        <w:pStyle w:val="SingleTxt"/>
      </w:pPr>
      <w:r>
        <w:t>17.</w:t>
      </w:r>
      <w:r>
        <w:tab/>
        <w:t>El 23 de octubre de 1991, las cuatro partes camboyanas suscribieron el Acue</w:t>
      </w:r>
      <w:r>
        <w:t>r</w:t>
      </w:r>
      <w:r>
        <w:t>do Internacional de París sobre un arreglo político amplio del conflicto de Camboya y, de conformidad con el espíritu del Acuerdo, se estableció el Supremo Consejo Nacional para que lograra la reunificación y la reconciliación del país y representara la soberanía n</w:t>
      </w:r>
      <w:r>
        <w:t>a</w:t>
      </w:r>
      <w:r>
        <w:t>cional.</w:t>
      </w:r>
    </w:p>
    <w:p w:rsidR="00000000" w:rsidRDefault="00000000">
      <w:pPr>
        <w:pStyle w:val="SingleTxt"/>
      </w:pPr>
      <w:r>
        <w:tab/>
        <w:t>Se estableció la Autoridad Provisional de las Naciones Unidas en Camboya (APRONUC) para supervisar el cumplimiento del Acuerdo y ayudar a organizar las elecciones generales del 23 al 28 de mayo de 1993.</w:t>
      </w:r>
    </w:p>
    <w:p w:rsidR="00000000" w:rsidRDefault="00000000">
      <w:pPr>
        <w:pStyle w:val="SingleTxt"/>
      </w:pPr>
      <w:r>
        <w:t>18.</w:t>
      </w:r>
      <w:r>
        <w:tab/>
        <w:t>El 14 de junio de 1993 se convocó una Asamblea Constituyente para que des</w:t>
      </w:r>
      <w:r>
        <w:t>a</w:t>
      </w:r>
      <w:r>
        <w:t>rrollara su labor bajo la presidencia de Samdech Preah Norodom Sihanuk, en su condición de Presidente del Supremo Consejo Nacional. La Asamblea Constituyente celebró su primera sesión plenaria para elegir a su Presidente y a sus Vicepreside</w:t>
      </w:r>
      <w:r>
        <w:t>n</w:t>
      </w:r>
      <w:r>
        <w:t>tes primero y segundo y, ese mismo día, formó una comisión para que redactara un proyecto de Constitución.</w:t>
      </w:r>
    </w:p>
    <w:p w:rsidR="00000000" w:rsidRDefault="00000000">
      <w:pPr>
        <w:pStyle w:val="SingleTxt"/>
      </w:pPr>
      <w:r>
        <w:tab/>
        <w:t>La Constitución fue promulgada el 24 de septiembre de 1993. Se formó la Asamblea Nacional, que posteriormente instituyó un Real Gobierno encabezado por dos Primeros Ministros que actúan conjunt</w:t>
      </w:r>
      <w:r>
        <w:t>a</w:t>
      </w:r>
      <w:r>
        <w:t>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Estructura del Estado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Estructura administrativa del Estado</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19.</w:t>
      </w:r>
      <w:r>
        <w:tab/>
        <w:t>Después de las elecciones generales de mayo de 1993, el Estado de Camboya se constituyó en Reino de Camboya. Su divisa es “N</w:t>
      </w:r>
      <w:r>
        <w:t>a</w:t>
      </w:r>
      <w:r>
        <w:t>ción, Religión, Rey”.</w:t>
      </w:r>
    </w:p>
    <w:p w:rsidR="00000000" w:rsidRDefault="00000000">
      <w:pPr>
        <w:pStyle w:val="SingleTxt"/>
      </w:pPr>
      <w:r>
        <w:tab/>
        <w:t>Camboya es un Reino en que Samdech Preah Norodom Sihanuk es Rey y Jefe de Estado con carácter vitalicio. El Rey reina pero no gobierna y debe cumplir la Constitución y atenerse a los principios de la democracia liberal y del pluralismo. El Reino de Camboya se rige y se administra de conformidad con la separación de los poderes legislat</w:t>
      </w:r>
      <w:r>
        <w:t>i</w:t>
      </w:r>
      <w:r>
        <w:t>vo, ejecutivo y judicial.</w:t>
      </w:r>
    </w:p>
    <w:p w:rsidR="00000000" w:rsidRDefault="00000000">
      <w:pPr>
        <w:pStyle w:val="SingleTxt"/>
      </w:pPr>
      <w:r>
        <w:tab/>
        <w:t>Los tres poderes tienen facultades y funciones diferentes que define la ley.</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Forma de administración del Estado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20.</w:t>
      </w:r>
      <w:r>
        <w:tab/>
        <w:t>Camboya es un Reino cuyo Rey ejerce sus funciones de conformidad con la Constitución y los principios de la democracia liberal y del pluralismo. El Reino de Camboya es un país independiente, soberano, pacífico, permanentemente neutral y no alineado (artículo 1 de la Constitución).</w:t>
      </w:r>
    </w:p>
    <w:p w:rsidR="00000000" w:rsidRDefault="00000000">
      <w:pPr>
        <w:pStyle w:val="SingleTxt"/>
      </w:pPr>
      <w:r>
        <w:tab/>
        <w:t>El Reino de Camboya es un Estado indivisible con un único territorio y con un sistema legislativo, un poder ejecutivo y una organización de la justicia que también son indivisibles.</w:t>
      </w:r>
    </w:p>
    <w:p w:rsidR="00000000" w:rsidRDefault="00000000">
      <w:pPr>
        <w:pStyle w:val="SingleTxt"/>
      </w:pPr>
      <w:r>
        <w:tab/>
        <w:t>El territorio del Reino de Camboya se divide en 24 provincias/municipios, que administran gobernadores provinciales/municipales. Las provincias/municipios se dividen en 185 distritos/khans, que administran gobernadores de distrito/khan. Los distritos/khans se dividen en 1.621 comunas/sangkats, que administran consejos comunales/de sangkat.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Forma política del Estado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21.</w:t>
      </w:r>
      <w:r>
        <w:tab/>
        <w:t>El Reino de Camboya es un Estado que observa y adopta una política de d</w:t>
      </w:r>
      <w:r>
        <w:t>e</w:t>
      </w:r>
      <w:r>
        <w:t>mocracia liberal y de pluralismo. Son los ciudadanos quienes eligen a sus represe</w:t>
      </w:r>
      <w:r>
        <w:t>n</w:t>
      </w:r>
      <w:r>
        <w:t>tantes por votación universal, libre y secreta.</w:t>
      </w:r>
    </w:p>
    <w:p w:rsidR="00000000" w:rsidRDefault="00000000">
      <w:pPr>
        <w:pStyle w:val="SingleTxt"/>
      </w:pPr>
      <w:r>
        <w:tab/>
        <w:t>Los ciudadanos ejercen sus derechos por conducto de la Asamblea Nacional, el Real Gobierno y los tribunales inferiores y superiores.</w:t>
      </w:r>
    </w:p>
    <w:p w:rsidR="00000000" w:rsidRDefault="00000000">
      <w:pPr>
        <w:pStyle w:val="SingleTxt"/>
      </w:pPr>
      <w:r>
        <w:tab/>
        <w:t>Los ciudadanos ejercen sus derechos por conducto de los tres poderes supr</w:t>
      </w:r>
      <w:r>
        <w:t>e</w:t>
      </w:r>
      <w:r>
        <w:t>mos: el ejecutivo, el legislativo y el judicial.</w:t>
      </w:r>
    </w:p>
    <w:p w:rsidR="00000000" w:rsidRDefault="00000000">
      <w:pPr>
        <w:pStyle w:val="SingleTxt"/>
      </w:pPr>
      <w:r>
        <w:tab/>
        <w:t>El Reino de Camboya garantiza el ejercicio y el goce de los derechos y las l</w:t>
      </w:r>
      <w:r>
        <w:t>i</w:t>
      </w:r>
      <w:r>
        <w:t>bertades de sus ciudadanos y éstos tienen derecho a participar activamente en la v</w:t>
      </w:r>
      <w:r>
        <w:t>i</w:t>
      </w:r>
      <w:r>
        <w:t>da política, económica, social y cultural de la 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Forma de gobierno</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22.</w:t>
      </w:r>
      <w:r>
        <w:tab/>
        <w:t>El Primer Ministro encabeza el Real Gobierno y es miembro de la Asamblea Nacional. Los demás integrantes del Real Gobierno son elegidos entre los afiliados a los partidos políticos con representación en la Asamblea Nacional, sean o no miembros de ésta. Todos los integrantes del Real Gobierno son designados por d</w:t>
      </w:r>
      <w:r>
        <w:t>e</w:t>
      </w:r>
      <w:r>
        <w:t>cretos reales una vez que obtienen los correspondientes votos de confianza de la Asamblea Nacional (artículo 5 de la Ley relativa a la organización y el funcion</w:t>
      </w:r>
      <w:r>
        <w:t>a</w:t>
      </w:r>
      <w:r>
        <w:t>miento del Consejo de Ministros). Los integrantes del Real Gobierno se responsab</w:t>
      </w:r>
      <w:r>
        <w:t>i</w:t>
      </w:r>
      <w:r>
        <w:t>lizan cole</w:t>
      </w:r>
      <w:r>
        <w:t>c</w:t>
      </w:r>
      <w:r>
        <w:t>tivamente de la política gubernativa general ante la Asamblea General.</w:t>
      </w:r>
    </w:p>
    <w:p w:rsidR="00000000" w:rsidRDefault="00000000">
      <w:pPr>
        <w:pStyle w:val="SingleTxt"/>
      </w:pPr>
      <w:r>
        <w:tab/>
        <w:t>Cada integrante del Real Gobierno, sea hombre o mujer, se responsabiliza i</w:t>
      </w:r>
      <w:r>
        <w:t>n</w:t>
      </w:r>
      <w:r>
        <w:t>dividualmente ante el Primer Ministro y la Asamblea Nacional de su propia co</w:t>
      </w:r>
      <w:r>
        <w:t>n</w:t>
      </w:r>
      <w:r>
        <w:t>ducta (artículo 121 de la Constitución).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Supremas atribuciones del Estado</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23.</w:t>
      </w:r>
      <w:r>
        <w:tab/>
        <w:t>Los poderes legislativo, ejecutivo y judicial ejercen por separado las supremas atribuciones del Estado.</w:t>
      </w: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Poder Legislativo</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24.</w:t>
      </w:r>
      <w:r>
        <w:tab/>
        <w:t>La Asamblea Nacional del Reino de Camboya es el órgano supremo del Poder Legislativo y no puede delegar sus atribuciones en ninguna otra institución o pers</w:t>
      </w:r>
      <w:r>
        <w:t>o</w:t>
      </w:r>
      <w:r>
        <w:t>na física. Cada legislatura de la Asamblea Nacional comprende un período de cinco años.</w:t>
      </w:r>
    </w:p>
    <w:p w:rsidR="00000000" w:rsidRDefault="00000000">
      <w:pPr>
        <w:pStyle w:val="SingleTxt"/>
      </w:pPr>
      <w:r>
        <w:tab/>
        <w:t>En su primera legislatura, la Asamblea Nacional constituida tras las elecciones universales, libres y limpias que patrocinó la APRONUC en mayo de 1993, quedó formada por 120 representantes de los cuatro partidos políticos que habían obtenido escaños: 58 procedían del FUNCINPEC, 51 del Partido Popular Camboyano (PPC), 10 del Partido Democrático Liberal Budista (PDLB) y uno del Partido por la Libe</w:t>
      </w:r>
      <w:r>
        <w:t>r</w:t>
      </w:r>
      <w:r>
        <w:t>tad (MOLINAKA).</w:t>
      </w:r>
    </w:p>
    <w:p w:rsidR="00000000" w:rsidRDefault="00000000">
      <w:pPr>
        <w:pStyle w:val="SingleTxt"/>
      </w:pPr>
      <w:r>
        <w:t>25.</w:t>
      </w:r>
      <w:r>
        <w:tab/>
        <w:t>Después de celebrarse elecciones universales similares, se constituyó la s</w:t>
      </w:r>
      <w:r>
        <w:t>e</w:t>
      </w:r>
      <w:r>
        <w:t>gunda legislatura de la Asamblea Nacional por el período 1998-2003. Durante esta segunda legislatura, la Asamblea Nacional estuvo formada por 122 miembros, de los cuales 14 eran mujeres.</w:t>
      </w:r>
    </w:p>
    <w:p w:rsidR="00000000" w:rsidRDefault="00000000">
      <w:pPr>
        <w:pStyle w:val="SingleTxt"/>
      </w:pPr>
      <w:r>
        <w:tab/>
        <w:t>Dirigen la Asamblea Nacional un presidente, un vicepresidente primero y un vic</w:t>
      </w:r>
      <w:r>
        <w:t>e</w:t>
      </w:r>
      <w:r>
        <w:t>presidente segundo.</w:t>
      </w:r>
    </w:p>
    <w:p w:rsidR="00000000" w:rsidRDefault="00000000">
      <w:pPr>
        <w:pStyle w:val="SingleTxt"/>
      </w:pPr>
      <w:r>
        <w:t>26.</w:t>
      </w:r>
      <w:r>
        <w:tab/>
        <w:t>A principios de marzo de 1999, la Asamblea Nacional reformó la Constitución a efectos de constituir otro órgano legislativo: el Senado. El Senado quedó co</w:t>
      </w:r>
      <w:r>
        <w:t>m</w:t>
      </w:r>
      <w:r>
        <w:t>puesto por 61 senadores, incluidas ocho senad</w:t>
      </w:r>
      <w:r>
        <w:t>o</w:t>
      </w:r>
      <w:r>
        <w:t>ras.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Poder Ejecutivo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w:t>
      </w:r>
      <w:r>
        <w:tab/>
        <w:t>El Real Gobierno es el Poder Ejecutivo. En el Reino de Camboya, está al frente del Real Gobierno un Primer Ministro que cuenta con la asistencia de los v</w:t>
      </w:r>
      <w:r>
        <w:t>i</w:t>
      </w:r>
      <w:r>
        <w:t>ceprimeros ministros y de un gabinete formado por los ministros principales, los ministros y los secretarios de Estado.</w:t>
      </w:r>
    </w:p>
    <w:p w:rsidR="00000000" w:rsidRDefault="00000000">
      <w:pPr>
        <w:pStyle w:val="SingleTxt"/>
      </w:pPr>
      <w:r>
        <w:tab/>
        <w:t>Los miembros del Real Gobierno se responsabilizan colectivamente de la pol</w:t>
      </w:r>
      <w:r>
        <w:t>í</w:t>
      </w:r>
      <w:r>
        <w:t>tica gubernativa general ante los dos órganos legislativos.</w:t>
      </w:r>
    </w:p>
    <w:p w:rsidR="00000000" w:rsidRDefault="00000000">
      <w:pPr>
        <w:pStyle w:val="SingleTxt"/>
      </w:pPr>
      <w:r>
        <w:tab/>
        <w:t>Cada miembro del Real Gobierno, sea hombre o mujer, se responsabiliza ind</w:t>
      </w:r>
      <w:r>
        <w:t>i</w:t>
      </w:r>
      <w:r>
        <w:t>v</w:t>
      </w:r>
      <w:r>
        <w:t>i</w:t>
      </w:r>
      <w:r>
        <w:t>dualmente ante el Primer Ministro y la Asamblea Nacional de su propia conducta.</w:t>
      </w:r>
    </w:p>
    <w:p w:rsidR="00000000" w:rsidRDefault="00000000">
      <w:pPr>
        <w:pStyle w:val="SingleTxt"/>
      </w:pPr>
      <w:r>
        <w:t>28.</w:t>
      </w:r>
      <w:r>
        <w:tab/>
        <w:t>El Real Gobierno del Reino de Camboya es un gobierno de coalición del que forman parte los partidos políticos elegidos y que ha venido practicando un régimen político de democracia liberal y de pluralismo, imbuido de un espíritu de indepe</w:t>
      </w:r>
      <w:r>
        <w:t>n</w:t>
      </w:r>
      <w:r>
        <w:t>dencia, integridad territorial, neutralidad y unidad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Poder Judicial</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29.</w:t>
      </w:r>
      <w:r>
        <w:tab/>
        <w:t>El Poder Judicial es uno de los tres supremos poderes del Estado y es el único órgano que se encarga de administrar justicia.</w:t>
      </w:r>
    </w:p>
    <w:p w:rsidR="00000000" w:rsidRDefault="00000000">
      <w:pPr>
        <w:pStyle w:val="SingleTxt"/>
      </w:pPr>
      <w:r>
        <w:tab/>
        <w:t>El Poder Judicial es un poder independiente, que garantiza y protege los der</w:t>
      </w:r>
      <w:r>
        <w:t>e</w:t>
      </w:r>
      <w:r>
        <w:t>chos y libertades de los ciudadanos.</w:t>
      </w:r>
    </w:p>
    <w:p w:rsidR="00000000" w:rsidRDefault="00000000">
      <w:pPr>
        <w:pStyle w:val="SingleTxt"/>
      </w:pPr>
      <w:r>
        <w:tab/>
        <w:t>Las facultades del Poder Judicial recaen en la Corte Suprema y en los tribun</w:t>
      </w:r>
      <w:r>
        <w:t>a</w:t>
      </w:r>
      <w:r>
        <w:t>les i</w:t>
      </w:r>
      <w:r>
        <w:t>n</w:t>
      </w:r>
      <w:r>
        <w:t>feriores de todo fuero y categoría.</w:t>
      </w:r>
    </w:p>
    <w:p w:rsidR="00000000" w:rsidRDefault="00000000">
      <w:pPr>
        <w:pStyle w:val="SingleTxt"/>
      </w:pPr>
      <w:r>
        <w:t>30.</w:t>
      </w:r>
      <w:r>
        <w:tab/>
        <w:t>Los tribunales del Reino de Camboya se dividen en dos categorías: la categ</w:t>
      </w:r>
      <w:r>
        <w:t>o</w:t>
      </w:r>
      <w:r>
        <w:t>ría I (tribunales inferiores) y la categoría II (tribunales superiores). Los tribunales de la categoría I son tribunales de primera instancia, conocidos como tribunales pr</w:t>
      </w:r>
      <w:r>
        <w:t>o</w:t>
      </w:r>
      <w:r>
        <w:t>vinciales/municipales y el tribunal militar, que se encargan de la celebración de los juicios y pe</w:t>
      </w:r>
      <w:r>
        <w:t>r</w:t>
      </w:r>
      <w:r>
        <w:t>miten la interposición de recursos de apelación.</w:t>
      </w:r>
    </w:p>
    <w:p w:rsidR="00000000" w:rsidRDefault="00000000">
      <w:pPr>
        <w:pStyle w:val="SingleTxt"/>
      </w:pPr>
      <w:r>
        <w:t>31.</w:t>
      </w:r>
      <w:r>
        <w:tab/>
        <w:t>Los tribunales de la categoría II son:</w:t>
      </w:r>
    </w:p>
    <w:p w:rsidR="00000000" w:rsidRDefault="00000000">
      <w:pPr>
        <w:pStyle w:val="SingleTxt"/>
        <w:tabs>
          <w:tab w:val="right" w:pos="1685"/>
        </w:tabs>
        <w:ind w:left="1742" w:hanging="475"/>
      </w:pPr>
      <w:r>
        <w:tab/>
        <w:t>–</w:t>
      </w:r>
      <w:r>
        <w:tab/>
        <w:t>La Cámara de Apelaciones, que tiene competencia para decidir sobre los r</w:t>
      </w:r>
      <w:r>
        <w:t>e</w:t>
      </w:r>
      <w:r>
        <w:t>cursos de apelación entablados contra sentencias de los tribunales provinci</w:t>
      </w:r>
      <w:r>
        <w:t>a</w:t>
      </w:r>
      <w:r>
        <w:t>les/municipales o del tribunal militar, permite la interposición de esos recu</w:t>
      </w:r>
      <w:r>
        <w:t>r</w:t>
      </w:r>
      <w:r>
        <w:t>sos.</w:t>
      </w:r>
    </w:p>
    <w:p w:rsidR="00000000" w:rsidRDefault="00000000">
      <w:pPr>
        <w:pStyle w:val="SingleTxt"/>
        <w:tabs>
          <w:tab w:val="right" w:pos="1685"/>
        </w:tabs>
        <w:ind w:left="1742" w:hanging="475"/>
      </w:pPr>
      <w:r>
        <w:tab/>
        <w:t>–</w:t>
      </w:r>
      <w:r>
        <w:tab/>
        <w:t>La Corte Suprema, que tiene competencia para decidir sobre los recursos de apelación entablados contra sentencias de la Cámara de Apelaciones, sólo t</w:t>
      </w:r>
      <w:r>
        <w:t>o</w:t>
      </w:r>
      <w:r>
        <w:t>ma en consideración los aspectos jurídicos —no los fácticos— de la causa. Sin embargo, en la segunda apelación se decide sobre las cuestiones tanto jurídicas como fácticas. La decisión de la Corte Suprema es la decisión soberana, es d</w:t>
      </w:r>
      <w:r>
        <w:t>e</w:t>
      </w:r>
      <w:r>
        <w:t>cir, una decisión que no puede ser impugnada salvo en el caso de que la ley permita una rev</w:t>
      </w:r>
      <w:r>
        <w:t>i</w:t>
      </w:r>
      <w:r>
        <w:t>sión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Marco general de competencia para la protección de los derechos hum</w:t>
      </w:r>
      <w:r>
        <w:t>a</w:t>
      </w:r>
      <w:r>
        <w:t>nos</w:t>
      </w: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Autoridad competente y otros órganos con competencia para hacer que se respeten los derechos humanos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32.</w:t>
      </w:r>
      <w:r>
        <w:tab/>
        <w:t>En el Reino de Camboya, la protección de los derechos humanos es una tarea vital a la que presta atención el Real Gobierno para adoptar medidas eficaces en consonancia con la postura gubernamental de aplicar los principios de la democracia liberal. Imbuido de este espíritu, el Real Gobierno de Camboya ha instituido una autoridad competente y otros órganos con competencia para impedir la violación de los derechos humanos en todas sus formas.</w:t>
      </w:r>
    </w:p>
    <w:p w:rsidR="00000000" w:rsidRDefault="00000000">
      <w:pPr>
        <w:pStyle w:val="SingleTxt"/>
        <w:keepNext/>
        <w:keepLines/>
      </w:pPr>
      <w:r>
        <w:tab/>
        <w:t>Esas instituciones jurídicas son, entre otras:</w:t>
      </w:r>
    </w:p>
    <w:p w:rsidR="00000000" w:rsidRDefault="00000000">
      <w:pPr>
        <w:pStyle w:val="SingleTxt"/>
        <w:spacing w:after="0" w:line="120" w:lineRule="exact"/>
        <w:rPr>
          <w:sz w:val="10"/>
        </w:rPr>
      </w:pPr>
    </w:p>
    <w:p w:rsidR="00000000" w:rsidRDefault="00000000">
      <w:pPr>
        <w:pStyle w:val="SingleTxt"/>
        <w:rPr>
          <w:b/>
        </w:rPr>
      </w:pPr>
      <w:r>
        <w:t>33.</w:t>
      </w:r>
      <w:r>
        <w:tab/>
      </w:r>
      <w:r>
        <w:rPr>
          <w:b/>
        </w:rPr>
        <w:t>Instituciones judiciales</w:t>
      </w:r>
    </w:p>
    <w:p w:rsidR="00000000" w:rsidRDefault="00000000">
      <w:pPr>
        <w:pStyle w:val="SingleTxt"/>
      </w:pPr>
      <w:r>
        <w:tab/>
        <w:t>Este órgano es el Poder Judicial, que es independiente e imparcial y protege los d</w:t>
      </w:r>
      <w:r>
        <w:t>e</w:t>
      </w:r>
      <w:r>
        <w:t>rechos y las libertades de los ciudadanos.</w:t>
      </w:r>
    </w:p>
    <w:p w:rsidR="00000000" w:rsidRDefault="00000000">
      <w:pPr>
        <w:pStyle w:val="SingleTxt"/>
      </w:pPr>
      <w:r>
        <w:tab/>
        <w:t>En el Reino de Camboya las instituciones judiciales son:</w:t>
      </w:r>
    </w:p>
    <w:p w:rsidR="00000000" w:rsidRDefault="00000000">
      <w:pPr>
        <w:pStyle w:val="SingleTxt"/>
        <w:tabs>
          <w:tab w:val="right" w:pos="1685"/>
        </w:tabs>
        <w:ind w:left="1742" w:hanging="475"/>
      </w:pPr>
      <w:r>
        <w:tab/>
        <w:t>–</w:t>
      </w:r>
      <w:r>
        <w:tab/>
        <w:t>Los tribunales provinciales/municipales y el tribunal militar, que son tribun</w:t>
      </w:r>
      <w:r>
        <w:t>a</w:t>
      </w:r>
      <w:r>
        <w:t>les inferiores. Los tribunales provinciales/municipales tienen jurisdicción en todo el territorio de las provincias/municipios. El tribunal militar, emplazado en Phnom Penh, tiene jurisdicción en todo el t</w:t>
      </w:r>
      <w:r>
        <w:t>e</w:t>
      </w:r>
      <w:r>
        <w:t>rritorio del Reino de Camboya.</w:t>
      </w:r>
    </w:p>
    <w:p w:rsidR="00000000" w:rsidRDefault="00000000">
      <w:pPr>
        <w:pStyle w:val="SingleTxt"/>
        <w:tabs>
          <w:tab w:val="right" w:pos="1685"/>
        </w:tabs>
        <w:ind w:left="1742" w:hanging="475"/>
      </w:pPr>
      <w:r>
        <w:tab/>
        <w:t>–</w:t>
      </w:r>
      <w:r>
        <w:tab/>
        <w:t>La Cámara de Apelaciones y la Corte Suprema son tribunales superiores que están emplazados en Phnom Penh y tienen jurisdicción en todo el territorio del Reino de Camboya.</w:t>
      </w:r>
    </w:p>
    <w:p w:rsidR="00000000" w:rsidRDefault="00000000">
      <w:pPr>
        <w:pStyle w:val="SingleTxt"/>
      </w:pPr>
      <w:r>
        <w:tab/>
        <w:t xml:space="preserve">Todos los tribunales mencionados </w:t>
      </w:r>
      <w:r>
        <w:rPr>
          <w:i/>
        </w:rPr>
        <w:t xml:space="preserve">supra </w:t>
      </w:r>
      <w:r>
        <w:t>tienen la obligación de dictar fallos en todos los juicios, incluidos los administrativos, de conformidad con la jurisdicción establecida y los procedimientos judiciales, con excepción del tribunal militar que sólo tiene competencia para entender en los delitos que tengan carácter militar co</w:t>
      </w:r>
      <w:r>
        <w:t>n</w:t>
      </w:r>
      <w:r>
        <w:t>forme a lo que dete</w:t>
      </w:r>
      <w:r>
        <w:t>r</w:t>
      </w:r>
      <w:r>
        <w:t>mine la ley.</w:t>
      </w:r>
    </w:p>
    <w:p w:rsidR="00000000" w:rsidRDefault="00000000">
      <w:pPr>
        <w:pStyle w:val="SingleTxt"/>
        <w:ind w:left="1742" w:hanging="475"/>
        <w:rPr>
          <w:b/>
        </w:rPr>
      </w:pPr>
      <w:r>
        <w:t>34.</w:t>
      </w:r>
      <w:r>
        <w:tab/>
      </w:r>
      <w:r>
        <w:rPr>
          <w:b/>
        </w:rPr>
        <w:t>Comisión de las Asambleas (Asamblea Nacional y Senado) para la Prote</w:t>
      </w:r>
      <w:r>
        <w:rPr>
          <w:b/>
        </w:rPr>
        <w:t>c</w:t>
      </w:r>
      <w:r>
        <w:rPr>
          <w:b/>
        </w:rPr>
        <w:t>ción de los Derechos Humanos y la Recepción de D</w:t>
      </w:r>
      <w:r>
        <w:rPr>
          <w:b/>
        </w:rPr>
        <w:t>e</w:t>
      </w:r>
      <w:r>
        <w:rPr>
          <w:b/>
        </w:rPr>
        <w:t>mandas</w:t>
      </w:r>
    </w:p>
    <w:p w:rsidR="00000000" w:rsidRDefault="00000000">
      <w:pPr>
        <w:pStyle w:val="SingleTxt"/>
      </w:pPr>
      <w:r>
        <w:tab/>
        <w:t>Esta Comisión es una de las nueve comisiones de las Asambleas, que tiene la obligación de proteger los derechos humanos. En nombre de las Asambleas, esta Comisión atiende todas las quejas de los ciudadanos cuyos derechos hayan sido violados por otras personas.</w:t>
      </w:r>
    </w:p>
    <w:p w:rsidR="00000000" w:rsidRDefault="00000000">
      <w:pPr>
        <w:pStyle w:val="SingleTxt"/>
        <w:rPr>
          <w:b/>
        </w:rPr>
      </w:pPr>
      <w:r>
        <w:t>35.</w:t>
      </w:r>
      <w:r>
        <w:tab/>
      </w:r>
      <w:r>
        <w:rPr>
          <w:b/>
        </w:rPr>
        <w:t>Comisión Camboyana de Derechos Humanos</w:t>
      </w:r>
    </w:p>
    <w:p w:rsidR="00000000" w:rsidRDefault="00000000">
      <w:pPr>
        <w:pStyle w:val="SingleTxt"/>
      </w:pPr>
      <w:r>
        <w:tab/>
        <w:t>La Comisión Camboyana de Derechos Humanos fue establecida por un Real Decreto a principios de 2000. Es un órgano que tiene la misión de asistir al Real Gobierno en el desarrollo de los derechos humanos en Camboya y que se encarga de redactar los informes preliminares sobre derechos humanos que se presentan ante las Naciones Unidas.</w:t>
      </w:r>
    </w:p>
    <w:p w:rsidR="00000000" w:rsidRDefault="00000000">
      <w:pPr>
        <w:pStyle w:val="SingleTxt"/>
        <w:keepNext/>
        <w:keepLines/>
        <w:rPr>
          <w:b/>
        </w:rPr>
      </w:pPr>
      <w:r>
        <w:t>36.</w:t>
      </w:r>
      <w:r>
        <w:tab/>
      </w:r>
      <w:r>
        <w:rPr>
          <w:b/>
        </w:rPr>
        <w:t>Organizaciones no gubernamentales nacionales e intern</w:t>
      </w:r>
      <w:r>
        <w:rPr>
          <w:b/>
        </w:rPr>
        <w:t>a</w:t>
      </w:r>
      <w:r>
        <w:rPr>
          <w:b/>
        </w:rPr>
        <w:t>cionales</w:t>
      </w:r>
    </w:p>
    <w:p w:rsidR="00000000" w:rsidRDefault="00000000">
      <w:pPr>
        <w:pStyle w:val="SingleTxt"/>
        <w:keepNext/>
        <w:keepLines/>
        <w:rPr>
          <w:spacing w:val="2"/>
          <w:w w:val="101"/>
        </w:rPr>
      </w:pPr>
      <w:r>
        <w:rPr>
          <w:spacing w:val="2"/>
          <w:w w:val="101"/>
        </w:rPr>
        <w:tab/>
        <w:t>Además de las instituciones gubernamentales, hay en Camboya gran número de organizaciones no gubernamentales que trabajan en la esfera de los derechos humanos, participan activamente en el seguimiento y la fiscalización de la puesta en práctica de los derechos humanos y suministran asistencia moral, material y técnica para lograr que se apliquen mejor en Camboya.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Protección de los derechos humanos mediante procedimientos jud</w:t>
      </w:r>
      <w:r>
        <w:t>i</w:t>
      </w:r>
      <w:r>
        <w:t>ciales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37.</w:t>
      </w:r>
      <w:r>
        <w:tab/>
        <w:t>Todos los ciudadanos gozan del derecho a la protección de sus libertades rec</w:t>
      </w:r>
      <w:r>
        <w:t>u</w:t>
      </w:r>
      <w:r>
        <w:t>rriendo a un procedimiento judicial. Todos los ciudadanos están facultados para e</w:t>
      </w:r>
      <w:r>
        <w:t>n</w:t>
      </w:r>
      <w:r>
        <w:t>tablar demandas ante un tribunal para defenderse en caso de maltratos físicos, agr</w:t>
      </w:r>
      <w:r>
        <w:t>a</w:t>
      </w:r>
      <w:r>
        <w:t>vios al honor o violación de sus derechos de propiedad o de cualquier otro derecho.</w:t>
      </w:r>
    </w:p>
    <w:p w:rsidR="00000000" w:rsidRDefault="00000000">
      <w:pPr>
        <w:pStyle w:val="SingleTxt"/>
        <w:keepNext/>
        <w:keepLines/>
      </w:pPr>
      <w:r>
        <w:tab/>
        <w:t>Las demandas se pueden presentar directamente ante un tribunal u otra instit</w:t>
      </w:r>
      <w:r>
        <w:t>u</w:t>
      </w:r>
      <w:r>
        <w:t>ción competente en la materia.</w:t>
      </w:r>
    </w:p>
    <w:p w:rsidR="00000000" w:rsidRDefault="00000000">
      <w:pPr>
        <w:pStyle w:val="SingleTxt"/>
      </w:pPr>
      <w:r>
        <w:tab/>
        <w:t>Los tribunales toman en consideración todas las demandas presentadas por los ciudadanos de conformidad con los procedimientos judiciales para encontrar una solución, castigar a los autores del delito e inde</w:t>
      </w:r>
      <w:r>
        <w:t>m</w:t>
      </w:r>
      <w:r>
        <w:t>nizar a las víctimas.</w:t>
      </w:r>
    </w:p>
    <w:p w:rsidR="00000000" w:rsidRDefault="00000000">
      <w:pPr>
        <w:pStyle w:val="SingleTxt"/>
        <w:keepNext/>
        <w:keepLines/>
      </w:pPr>
      <w:r>
        <w:t>38.</w:t>
      </w:r>
      <w:r>
        <w:tab/>
        <w:t>Los derechos humanos consagrados en los instrumentos internacionales están garantizados por la Constitución y otras leyes del Reino de Camboya. Procede de</w:t>
      </w:r>
      <w:r>
        <w:t>s</w:t>
      </w:r>
      <w:r>
        <w:t>tacar que ninguna disposición de la Constitución ni de las leyes del Reino de Ca</w:t>
      </w:r>
      <w:r>
        <w:t>m</w:t>
      </w:r>
      <w:r>
        <w:t>boya contradice los principios de derechos humanos que consagran los instrumentos internacionales.</w:t>
      </w:r>
    </w:p>
    <w:p w:rsidR="00000000" w:rsidRDefault="00000000">
      <w:pPr>
        <w:pStyle w:val="SingleTxt"/>
      </w:pPr>
      <w:r>
        <w:tab/>
        <w:t>Cualesquiera otras disposiciones que estén estipuladas en algunos instrume</w:t>
      </w:r>
      <w:r>
        <w:t>n</w:t>
      </w:r>
      <w:r>
        <w:t>tos internacionales y todavía no se apliquen por entero y con rigor como base para proteger los derechos humanos ante los tribunales y las autoridades administrativas, se incorporan en la legislación del Estado como base jurídica decisiva para proteger los derechos h</w:t>
      </w:r>
      <w:r>
        <w:t>u</w:t>
      </w:r>
      <w:r>
        <w:t>manos en Camboya.</w:t>
      </w:r>
    </w:p>
    <w:p w:rsidR="00000000" w:rsidRDefault="00000000">
      <w:pPr>
        <w:pStyle w:val="SingleTxt"/>
      </w:pPr>
      <w:r>
        <w:t>39.</w:t>
      </w:r>
      <w:r>
        <w:tab/>
        <w:t>Las fiscalías adscritas a los tribunales de cualquier categoría tienen la oblig</w:t>
      </w:r>
      <w:r>
        <w:t>a</w:t>
      </w:r>
      <w:r>
        <w:t>ción de vigilar la violación de los derechos humanos. El sistema judicial y procesal cuenta con mecanismos específicos para controlar e impedir los abusos que cometan las autoridades compete</w:t>
      </w:r>
      <w:r>
        <w:t>n</w:t>
      </w:r>
      <w:r>
        <w:t>tes.</w:t>
      </w:r>
    </w:p>
    <w:p w:rsidR="00000000" w:rsidRDefault="00000000">
      <w:pPr>
        <w:pStyle w:val="SingleTxt"/>
      </w:pPr>
      <w:r>
        <w:t>40.</w:t>
      </w:r>
      <w:r>
        <w:tab/>
        <w:t>En julio de 2003 trabajaban 126 jueces (12 juezas) en los tribunales de cua</w:t>
      </w:r>
      <w:r>
        <w:t>l</w:t>
      </w:r>
      <w:r>
        <w:t>quier categoría y siete jueces (dos juezas) en las instituciones del Estado. Hay 64 fiscales y fiscales auxiliares (entre los cuales figura una mujer) que trabajan en las fiscalías de cualquier categoría.</w:t>
      </w:r>
    </w:p>
    <w:p w:rsidR="00000000" w:rsidRDefault="00000000">
      <w:pPr>
        <w:pStyle w:val="SingleTxt"/>
      </w:pPr>
      <w:r>
        <w:t>41.</w:t>
      </w:r>
      <w:r>
        <w:tab/>
        <w:t>El Supremo Consejo de la Magistratura es una institución que supervisa la l</w:t>
      </w:r>
      <w:r>
        <w:t>a</w:t>
      </w:r>
      <w:r>
        <w:t>bor de los jueces y los fiscales en el Reino de Camboya y tiene el deber de proponer la designación, el traslado y el ascenso de jueces y fiscales, así como la imposición de sanciones disciplinarias a unos y otros.</w:t>
      </w:r>
    </w:p>
    <w:p w:rsidR="00000000" w:rsidRDefault="00000000">
      <w:pPr>
        <w:pStyle w:val="SingleTxt"/>
      </w:pPr>
      <w:r>
        <w:tab/>
        <w:t>El Rey es el Presidente del Supremo Consejo de la Magistratura y el garante de la independencia del Poder Judicial. El Rey tiene el deber de dictar los decretos reales de designación y traslado de jueces y fiscales.</w:t>
      </w:r>
    </w:p>
    <w:p w:rsidR="00000000" w:rsidRDefault="00000000">
      <w:pPr>
        <w:pStyle w:val="SingleTxt"/>
      </w:pPr>
      <w:r>
        <w:t>42.</w:t>
      </w:r>
      <w:r>
        <w:tab/>
        <w:t>Hay otra institución suprema en el Reino de Camboya: el Consejo Constit</w:t>
      </w:r>
      <w:r>
        <w:t>u</w:t>
      </w:r>
      <w:r>
        <w:t>cional (Tribunal Constitucional), que tiene competencia para decidir sobre la con</w:t>
      </w:r>
      <w:r>
        <w:t>s</w:t>
      </w:r>
      <w:r>
        <w:t>tit</w:t>
      </w:r>
      <w:r>
        <w:t>u</w:t>
      </w:r>
      <w:r>
        <w:t>cionalidad de las leyes y la legalidad de las elecciones parlamentarias.</w:t>
      </w:r>
    </w:p>
    <w:p w:rsidR="00000000" w:rsidRDefault="00000000">
      <w:pPr>
        <w:pStyle w:val="SingleTxt"/>
        <w:suppressAutoHyphens/>
      </w:pPr>
      <w:r>
        <w:t>43.</w:t>
      </w:r>
      <w:r>
        <w:tab/>
        <w:t>Con la autorización del Real Gobierno, la Oficina del Alto Comisionado de las Naciones Unidas para los Derechos Humanos en Camboya (ACNUDH/Camboya) ha contribuido a vigilar la observancia de los derechos humanos, en particular de los derechos de la mujer, para que no sean violados, así como a desarrollar actividades relacionadas con la protección de los derechos humanos en el país. En noviembre de 1993, el Secretario General de las Naciones Unidas designó a su Representante Especial para los Derechos Humanos en Camboya para que se mantuviese en contacto con el pueblo camboyano y asistiese al Real Gobierno de Camboya en la tarea de promover y proteger los d</w:t>
      </w:r>
      <w:r>
        <w:t>e</w:t>
      </w:r>
      <w:r>
        <w:t>rechos humanos.</w:t>
      </w:r>
    </w:p>
    <w:p w:rsidR="00000000" w:rsidRDefault="00000000">
      <w:pPr>
        <w:pStyle w:val="SingleTxt"/>
      </w:pPr>
      <w:r>
        <w:t>44.</w:t>
      </w:r>
      <w:r>
        <w:tab/>
        <w:t>En cooperación con la ACNUDHC/Camboya, el Real Gobierno de Camboya ha organizado una serie de cursos de capacitación en derechos humanos y derechos de la mujer para funcionarios públicos, la policía y las Reales Fuerzas Armadas de Camboya. El objetivo de los cursos es prevenir y eliminar las violaciones de todo t</w:t>
      </w:r>
      <w:r>
        <w:t>i</w:t>
      </w:r>
      <w:r>
        <w:t>po de los der</w:t>
      </w:r>
      <w:r>
        <w:t>e</w:t>
      </w:r>
      <w:r>
        <w:t>chos humanos y los derechos de la mujer.</w:t>
      </w:r>
    </w:p>
    <w:p w:rsidR="00000000" w:rsidRDefault="00000000">
      <w:pPr>
        <w:pStyle w:val="SingleTxt"/>
        <w:rPr>
          <w:spacing w:val="2"/>
          <w:w w:val="101"/>
        </w:rPr>
      </w:pPr>
      <w:r>
        <w:rPr>
          <w:spacing w:val="2"/>
          <w:w w:val="101"/>
        </w:rPr>
        <w:t>45.</w:t>
      </w:r>
      <w:r>
        <w:rPr>
          <w:spacing w:val="2"/>
          <w:w w:val="101"/>
        </w:rPr>
        <w:tab/>
        <w:t>Además, hay un gran número de organizaciones no gubernamentales que colab</w:t>
      </w:r>
      <w:r>
        <w:rPr>
          <w:spacing w:val="2"/>
          <w:w w:val="101"/>
        </w:rPr>
        <w:t>o</w:t>
      </w:r>
      <w:r>
        <w:rPr>
          <w:spacing w:val="2"/>
          <w:w w:val="101"/>
        </w:rPr>
        <w:t>ran intensamente y ponen de relieve su buena voluntad para erradicar todas las formas de discriminación contra la mujer y mejorar aún más la condición jurídica y social de ésta a fin de que pueda gozar de sus derechos en pie de plena igualdad con el hombre. Estas organizaciones asumen también el compromiso de ayudar a la gente a comprender mejor las leyes y a tomar más conciencia de sus derechos. Asisten a las víctimas a pr</w:t>
      </w:r>
      <w:r>
        <w:rPr>
          <w:spacing w:val="2"/>
          <w:w w:val="101"/>
        </w:rPr>
        <w:t>e</w:t>
      </w:r>
      <w:r>
        <w:rPr>
          <w:spacing w:val="2"/>
          <w:w w:val="101"/>
        </w:rPr>
        <w:t>sentar demandas ante las autoridades pertinentes y los tribunales.</w:t>
      </w:r>
    </w:p>
    <w:p w:rsidR="00000000" w:rsidRDefault="00000000">
      <w:pPr>
        <w:pStyle w:val="SingleTxt"/>
      </w:pPr>
      <w:r>
        <w:t>46.</w:t>
      </w:r>
      <w:r>
        <w:tab/>
        <w:t>También cuentan con oficinas en Camboya y participan intensamente en la protección de los derechos humanos y la promoción de una cultura de la paz otras organizaciones internacionales, tales como la Organización de las Naciones Unidas para la Educación, la Ciencia y la Cultura (UNESCO), la Oficina del Alto Comisi</w:t>
      </w:r>
      <w:r>
        <w:t>o</w:t>
      </w:r>
      <w:r>
        <w:t>nado de las Naciones Unidas para los Refugiados (ACNUR), la Organización Inte</w:t>
      </w:r>
      <w:r>
        <w:t>r</w:t>
      </w:r>
      <w:r>
        <w:t>nacional del Trabajo (OIT), Visión Mundial Internacional (VMI), el Comité Intern</w:t>
      </w:r>
      <w:r>
        <w:t>a</w:t>
      </w:r>
      <w:r>
        <w:t>cional de la Cruz Roja (CICR), la Federación Internacional de Sociedades de la Cruz Roja y de la Media Luna Roja y la Unión Europea. El Fondo de las Naciones Unidas para la Infancia (UNICEF) se ocupa especialmente de la protección de los derechos de la mujer y del niño.</w:t>
      </w:r>
    </w:p>
    <w:p w:rsidR="00000000" w:rsidRDefault="00000000">
      <w:pPr>
        <w:pStyle w:val="SingleTxt"/>
      </w:pPr>
      <w:r>
        <w:t>47.</w:t>
      </w:r>
      <w:r>
        <w:tab/>
        <w:t>El Reino de Camboya es parte en diversos instrumentos internacionales de d</w:t>
      </w:r>
      <w:r>
        <w:t>e</w:t>
      </w:r>
      <w:r>
        <w:t>rechos humanos (véase el Anexo): entre otros, la Convención Internacional sobre la Eliminación de todas las Formas de Discriminación Racial, la Convención contra la Tortura y Otros Tratos o Penas Crueles, Inhumanos o Degradantes, la Convención sobre la eliminación de todas las formas de discriminación contra la mujer, la Co</w:t>
      </w:r>
      <w:r>
        <w:t>n</w:t>
      </w:r>
      <w:r>
        <w:t>vención sobre el Estatuto de los Refugiados, la Convención sobre los Derechos del Niño, el Protocolo sobre el Estatuto de los Refugiados, el Pacto Internacional de D</w:t>
      </w:r>
      <w:r>
        <w:t>e</w:t>
      </w:r>
      <w:r>
        <w:t>rechos Civiles y Políticos, el Pacto Internacional de Derechos Económicos, Sociales y Culturales, la Convención suplementaria sobre la abolición de la esclavitud, la trata de esclavos y las instituciones y prácticas análogas a la esclavitud y el Prot</w:t>
      </w:r>
      <w:r>
        <w:t>o</w:t>
      </w:r>
      <w:r>
        <w:t>colo facultativo de la Convención sobre los Derechos del Niño relativo a la venta de niños, la prostitución infantil y la utilización de niños en la pornografía.</w:t>
      </w:r>
    </w:p>
    <w:p w:rsidR="00000000" w:rsidRDefault="00000000">
      <w:pPr>
        <w:pStyle w:val="SingleTxt"/>
        <w:rPr>
          <w:spacing w:val="2"/>
          <w:w w:val="101"/>
        </w:rPr>
      </w:pPr>
      <w:r>
        <w:rPr>
          <w:spacing w:val="2"/>
          <w:w w:val="101"/>
        </w:rPr>
        <w:t>48.</w:t>
      </w:r>
      <w:r>
        <w:rPr>
          <w:spacing w:val="2"/>
          <w:w w:val="101"/>
        </w:rPr>
        <w:tab/>
        <w:t>El Real Gobierno ya ha suscrito el Protocolo Facultativo de la CEDAW. El Real Gobierno de Camboya también es parte en varios convenios de la Organización Intern</w:t>
      </w:r>
      <w:r>
        <w:rPr>
          <w:spacing w:val="2"/>
          <w:w w:val="101"/>
        </w:rPr>
        <w:t>a</w:t>
      </w:r>
      <w:r>
        <w:rPr>
          <w:spacing w:val="2"/>
          <w:w w:val="101"/>
        </w:rPr>
        <w:t>cional del Trabajo (OIT): el Convenio relativo al trabajo nocturno de las mujeres e</w:t>
      </w:r>
      <w:r>
        <w:rPr>
          <w:spacing w:val="2"/>
          <w:w w:val="101"/>
        </w:rPr>
        <w:t>m</w:t>
      </w:r>
      <w:r>
        <w:rPr>
          <w:spacing w:val="2"/>
          <w:w w:val="101"/>
        </w:rPr>
        <w:t>pleadas en la industria, revisado en 1948; el Convenio relativo a la abolición del trabajo forzoso, 1957; el Convenio relativo a la igualdad de remuneración entre la mano de obra masculina y la mano de obra femenina por un trabajo de igual valor, 1951; el Co</w:t>
      </w:r>
      <w:r>
        <w:rPr>
          <w:spacing w:val="2"/>
          <w:w w:val="101"/>
        </w:rPr>
        <w:t>n</w:t>
      </w:r>
      <w:r>
        <w:rPr>
          <w:spacing w:val="2"/>
          <w:w w:val="101"/>
        </w:rPr>
        <w:t>venio relativo a la discriminación en materia de empleo y ocupación, 1958; el Convenio relativo a la aplicación de los principios del derecho de sindicación y de negociación colectiva, 1949; el Convenio relativo a la libertad sindical y a la protección del derecho de sindicación, 1948, y el Convenio sobre la edad m</w:t>
      </w:r>
      <w:r>
        <w:rPr>
          <w:spacing w:val="2"/>
          <w:w w:val="101"/>
        </w:rPr>
        <w:t>í</w:t>
      </w:r>
      <w:r>
        <w:rPr>
          <w:spacing w:val="2"/>
          <w:w w:val="101"/>
        </w:rPr>
        <w:t>nima de admisión al empleo, 1973.</w:t>
      </w:r>
    </w:p>
    <w:p w:rsidR="00000000" w:rsidRDefault="00000000">
      <w:pPr>
        <w:pStyle w:val="SingleTxt"/>
        <w:rPr>
          <w:b/>
        </w:rPr>
      </w:pPr>
      <w:r>
        <w:t>49.</w:t>
      </w:r>
      <w:r>
        <w:tab/>
      </w:r>
      <w:r>
        <w:rPr>
          <w:b/>
        </w:rPr>
        <w:t>Aplicación interna de los tratados internacionales</w:t>
      </w:r>
    </w:p>
    <w:p w:rsidR="00000000" w:rsidRDefault="00000000">
      <w:pPr>
        <w:pStyle w:val="SingleTxt"/>
      </w:pPr>
      <w:r>
        <w:tab/>
        <w:t>El párrafo 1 del artículo 31 de la Constitución del Reino de Camboya reza así: “el Reino de Camboya reconocerá y respetará los derechos humanos estipulados en la Carta de las Naciones Unidas, la Declaración Universal de Derechos Humanos y los pactos y convenciones sobre derechos humanos, derechos de la mujer y derechos del niño”. Esto quiere decir que todos los derechos estipulados en los pactos inte</w:t>
      </w:r>
      <w:r>
        <w:t>r</w:t>
      </w:r>
      <w:r>
        <w:t>nacionales de derechos humanos están protegidos por la Constitución del Reino de Camboya y que todos los principios de los pactos y convenciones internacionales tienen precedencia sobre el derecho interno.</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Información y publicidad</w:t>
      </w:r>
    </w:p>
    <w:p w:rsidR="00000000" w:rsidRDefault="00000000">
      <w:pPr>
        <w:pStyle w:val="SingleTxt"/>
        <w:spacing w:after="0" w:line="120" w:lineRule="exact"/>
        <w:rPr>
          <w:b/>
          <w:sz w:val="10"/>
        </w:rPr>
      </w:pPr>
    </w:p>
    <w:p w:rsidR="00000000" w:rsidRDefault="00000000">
      <w:pPr>
        <w:pStyle w:val="SingleTxt"/>
      </w:pPr>
      <w:r>
        <w:t>50.</w:t>
      </w:r>
      <w:r>
        <w:tab/>
        <w:t>El Real Gobierno de Camboya ha difundido información sobre disposiciones legales relativas a los derechos humanos y diversos instrumentos de derechos hum</w:t>
      </w:r>
      <w:r>
        <w:t>a</w:t>
      </w:r>
      <w:r>
        <w:t>nos que se han ratificado. El Ministerio de Asuntos de la Mujer y los Ex Comb</w:t>
      </w:r>
      <w:r>
        <w:t>a</w:t>
      </w:r>
      <w:r>
        <w:t>tientes (MoAMEC), que es un órgano del Real Gobierno, ha cooperado con ONG y agrupaciones de derechos humanos en el desarrollo de programas específicos dest</w:t>
      </w:r>
      <w:r>
        <w:t>i</w:t>
      </w:r>
      <w:r>
        <w:t>nados a concienciar a los ciudadanos de Camboya de la importancia de la CEDAW.</w:t>
      </w:r>
    </w:p>
    <w:p w:rsidR="00000000" w:rsidRDefault="00000000">
      <w:pPr>
        <w:pStyle w:val="SingleTxt"/>
      </w:pPr>
      <w:r>
        <w:t>51.</w:t>
      </w:r>
      <w:r>
        <w:tab/>
        <w:t>La ACNUDHC ha traducido la Convención al khmer para difundirla entre los encargados de formular las políticas y los ministerios y las ONG de ejecución. El propósito de esta campaña de difusión es permitir que todas las mujeres adquieran la amplia gama de conocimientos sobre la materia que necesitan para estar en cond</w:t>
      </w:r>
      <w:r>
        <w:t>i</w:t>
      </w:r>
      <w:r>
        <w:t>ciones de ejercer sus derechos y libertades.</w:t>
      </w:r>
    </w:p>
    <w:p w:rsidR="00000000" w:rsidRDefault="00000000">
      <w:pPr>
        <w:pStyle w:val="SingleTxt"/>
      </w:pPr>
      <w:r>
        <w:t>52.</w:t>
      </w:r>
      <w:r>
        <w:tab/>
        <w:t>La labor de difusión de información entre la ciudadanía, en particular entre la mujer rural, es limitada.</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Participación de las ONG en la aplicación de la CEDAW</w:t>
      </w:r>
    </w:p>
    <w:p w:rsidR="00000000" w:rsidRDefault="00000000">
      <w:pPr>
        <w:pStyle w:val="SingleTxt"/>
        <w:spacing w:after="0" w:line="120" w:lineRule="exact"/>
        <w:rPr>
          <w:b/>
          <w:sz w:val="10"/>
        </w:rPr>
      </w:pPr>
    </w:p>
    <w:p w:rsidR="00000000" w:rsidRDefault="00000000">
      <w:pPr>
        <w:pStyle w:val="SingleTxt"/>
      </w:pPr>
      <w:r>
        <w:t>53.</w:t>
      </w:r>
      <w:r>
        <w:tab/>
        <w:t>Las organizaciones no gubernamentales desempeñan un papel cada vez más activo e importante en la aplicación de la CEDAW en la sociedad camboyana. Sus actividades comprenden programas de microcrédito, la educación extraescolar, la formación profesional, actividades que generan ingresos, programas de alfabetiz</w:t>
      </w:r>
      <w:r>
        <w:t>a</w:t>
      </w:r>
      <w:r>
        <w:t>ción, capacitación de dirigentes, participación en elecciones y reuniones, servicios médicos, toma de conciencia de derechos, sensibilización en las cuestiones de gén</w:t>
      </w:r>
      <w:r>
        <w:t>e</w:t>
      </w:r>
      <w:r>
        <w:t>ro, defensa de la ley, promoción de reformas políticas y cap</w:t>
      </w:r>
      <w:r>
        <w:t>a</w:t>
      </w:r>
      <w:r>
        <w:t>citación.</w:t>
      </w:r>
    </w:p>
    <w:p w:rsidR="00000000" w:rsidRDefault="00000000">
      <w:pPr>
        <w:pStyle w:val="SingleTxt"/>
        <w:keepNext/>
        <w:keepLines/>
        <w:rPr>
          <w:spacing w:val="2"/>
          <w:w w:val="101"/>
        </w:rPr>
      </w:pPr>
      <w:r>
        <w:rPr>
          <w:spacing w:val="2"/>
          <w:w w:val="101"/>
        </w:rPr>
        <w:t>54.</w:t>
      </w:r>
      <w:r>
        <w:rPr>
          <w:spacing w:val="2"/>
          <w:w w:val="101"/>
        </w:rPr>
        <w:tab/>
        <w:t>En 1995, con el propósito de contribuir al afianzamiento de la igualdad entre los géneros, se estableció un comité de ONG camboyanas para vigilar y facilitar al Real Gobierno de Camboya la aplicación de la CEDAW. Este comité cuenta actualmente con 62 miembros que vienen trabajando por llevar a la práctica las disposiciones de la CEDAW y, además, preparan informes sobre el grado de aplicación de la Convención.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llevar a la práctica diversas declaraciones internacionales relativas a la mujer</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55.</w:t>
      </w:r>
      <w:r>
        <w:tab/>
        <w:t>El Real Gobierno de Camboya ha tomado muy en cuenta la promoción de los derechos de la mujer y la eliminación de todas las formas de discriminación contra la mujer tanto en la formulación de sus políticas como en la ejecución de sus pr</w:t>
      </w:r>
      <w:r>
        <w:t>o</w:t>
      </w:r>
      <w:r>
        <w:t>gramas de desarrollo.</w:t>
      </w:r>
    </w:p>
    <w:p w:rsidR="00000000" w:rsidRDefault="00000000">
      <w:pPr>
        <w:pStyle w:val="SingleTxt"/>
      </w:pPr>
      <w:r>
        <w:tab/>
        <w:t>La ejecución de programas para el adelanto de la mujer es para el Real G</w:t>
      </w:r>
      <w:r>
        <w:t>o</w:t>
      </w:r>
      <w:r>
        <w:t>bierno una tarea vital que lleva a cabo por conducto de los mecanismos nacionales: el Ministerio de Asuntos de la Mujer y los Excombatientes (MoAMEC) y el Consejo Nacional de Camboya para la Mujer (CNCM). Ambos se encargan de formular los planes para ejecutar la política del Real Gobierno y llevar a la práctica las dispos</w:t>
      </w:r>
      <w:r>
        <w:t>i</w:t>
      </w:r>
      <w:r>
        <w:t>ciones de las convenciones de que Camboya es parte, así como las declaraciones y resoluciones internacionales pertinentes.</w:t>
      </w:r>
    </w:p>
    <w:p w:rsidR="00000000" w:rsidRDefault="00000000">
      <w:pPr>
        <w:pStyle w:val="SingleTxt"/>
        <w:rPr>
          <w:spacing w:val="2"/>
          <w:w w:val="101"/>
        </w:rPr>
      </w:pPr>
      <w:r>
        <w:rPr>
          <w:spacing w:val="2"/>
          <w:w w:val="101"/>
        </w:rPr>
        <w:t>56.</w:t>
      </w:r>
      <w:r>
        <w:rPr>
          <w:spacing w:val="2"/>
          <w:w w:val="101"/>
        </w:rPr>
        <w:tab/>
        <w:t>El MoAMEC y el CNCM prestan viva atención a tres declaraciones fundament</w:t>
      </w:r>
      <w:r>
        <w:rPr>
          <w:spacing w:val="2"/>
          <w:w w:val="101"/>
        </w:rPr>
        <w:t>a</w:t>
      </w:r>
      <w:r>
        <w:rPr>
          <w:spacing w:val="2"/>
          <w:w w:val="101"/>
        </w:rPr>
        <w:t>les: la Plataforma de Acción de Beijing, la Declaración de Durban y la Declaración de Madrid, con miras a transformarlas en programas o planes de acción efe</w:t>
      </w:r>
      <w:r>
        <w:rPr>
          <w:spacing w:val="2"/>
          <w:w w:val="101"/>
        </w:rPr>
        <w:t>c</w:t>
      </w:r>
      <w:r>
        <w:rPr>
          <w:spacing w:val="2"/>
          <w:w w:val="101"/>
        </w:rPr>
        <w:t>tivos.</w:t>
      </w:r>
    </w:p>
    <w:p w:rsidR="00000000" w:rsidRDefault="00000000">
      <w:pPr>
        <w:pStyle w:val="SingleTxt"/>
      </w:pPr>
      <w:r>
        <w:t>57.</w:t>
      </w:r>
      <w:r>
        <w:tab/>
        <w:t>El MoAMEC, en su condición de mecanismo nacional del Real Gobierno, ha elaborado de manera realista un plan estratégico quinquenal (1999-2003) que se c</w:t>
      </w:r>
      <w:r>
        <w:t>o</w:t>
      </w:r>
      <w:r>
        <w:t xml:space="preserve">noce con el nombre de </w:t>
      </w:r>
      <w:r>
        <w:rPr>
          <w:i/>
        </w:rPr>
        <w:t xml:space="preserve">Neary Ratanak. </w:t>
      </w:r>
      <w:r>
        <w:t>El plan ha sido aprobado por el Real Gobie</w:t>
      </w:r>
      <w:r>
        <w:t>r</w:t>
      </w:r>
      <w:r>
        <w:t>no para garantizar su efe</w:t>
      </w:r>
      <w:r>
        <w:t>c</w:t>
      </w:r>
      <w:r>
        <w:t>tiva aplicación.</w:t>
      </w:r>
    </w:p>
    <w:p w:rsidR="00000000" w:rsidRDefault="00000000">
      <w:pPr>
        <w:pStyle w:val="SingleTxt"/>
      </w:pPr>
      <w:r>
        <w:t>58.</w:t>
      </w:r>
      <w:r>
        <w:tab/>
        <w:t xml:space="preserve">Son cuatro las esferas prioritarias en torno a las cuales giran las actividades básicas del </w:t>
      </w:r>
      <w:r>
        <w:rPr>
          <w:i/>
        </w:rPr>
        <w:t>Neary Ratanak</w:t>
      </w:r>
      <w:r>
        <w:t>: la educación, la salud, la potenciación del papel de la mujer y la protección jurídica.</w:t>
      </w:r>
    </w:p>
    <w:p w:rsidR="00000000" w:rsidRDefault="00000000">
      <w:pPr>
        <w:pStyle w:val="SingleTxt"/>
      </w:pPr>
      <w:r>
        <w:tab/>
        <w:t xml:space="preserve">En estas cuatro esferas prioritarias se adoptan medidas en procura de llevar a la práctica las tres declaraciones enumeradas </w:t>
      </w:r>
      <w:r>
        <w:rPr>
          <w:i/>
        </w:rPr>
        <w:t>supra</w:t>
      </w:r>
      <w:r>
        <w:t>, en especial la Plataforma de Acción de Beijing.</w:t>
      </w:r>
    </w:p>
    <w:p w:rsidR="00000000" w:rsidRDefault="00000000">
      <w:pPr>
        <w:pStyle w:val="SingleTxt"/>
      </w:pPr>
      <w:r>
        <w:tab/>
        <w:t>Para la ejecución de las medidas antedichas en las cuatro esferas señaladas, el MoAMEC ha logrado la cooperación de ONG nacionales e internacionales, así c</w:t>
      </w:r>
      <w:r>
        <w:t>o</w:t>
      </w:r>
      <w:r>
        <w:t>mo de donantes y de la comunidad internacional.</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Segunda parte</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Disposiciones fundamentales de la Convención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No discriminación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w:t>
      </w:r>
    </w:p>
    <w:p w:rsidR="00000000" w:rsidRDefault="00000000">
      <w:pPr>
        <w:pStyle w:val="SingleTxt"/>
        <w:spacing w:after="0" w:line="120" w:lineRule="exact"/>
        <w:rPr>
          <w:sz w:val="10"/>
        </w:rPr>
      </w:pPr>
    </w:p>
    <w:p w:rsidR="00000000" w:rsidRDefault="00000000">
      <w:pPr>
        <w:pStyle w:val="SingleTxt"/>
        <w:spacing w:after="0" w:line="120" w:lineRule="exact"/>
        <w:rPr>
          <w:i/>
          <w:sz w:val="10"/>
        </w:rPr>
      </w:pPr>
    </w:p>
    <w:p w:rsidR="00000000" w:rsidRDefault="00000000">
      <w:pPr>
        <w:pStyle w:val="SingleTxt"/>
        <w:rPr>
          <w:i/>
        </w:rPr>
      </w:pPr>
      <w:r>
        <w:rPr>
          <w:i/>
        </w:rPr>
        <w:tab/>
        <w:t>A los efectos de la presente Convención, la expresión “discriminación contra la mujer” denotará toda distinción, exclusión o restricción basada en el sexo que tenga por objeto o por resultado menoscabar o anular el reconocimiento, goce o ejercicio por la mujer, independientemente de su estado civil, sobre la base de la igualdad del hombre y la mujer, de los derechos humanos y las libertades fund</w:t>
      </w:r>
      <w:r>
        <w:rPr>
          <w:i/>
        </w:rPr>
        <w:t>a</w:t>
      </w:r>
      <w:r>
        <w:rPr>
          <w:i/>
        </w:rPr>
        <w:t>mentales en las esferas política, económica, social, cultural y civil o en cualquier otra esfera.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59.</w:t>
      </w:r>
      <w:r>
        <w:tab/>
        <w:t>El Reino de Camboya suscribió y ratificó la Convención sobre la eliminación de todas las formas de discriminación contra la mujer (CEDAW) el 15 de octubre de 1992 y la reconoció sin reservas, conforme a lo que se declara en el primer párrafo del artículo 31 de la Constitución del Reino de Camboya: “El Reino de Camboya r</w:t>
      </w:r>
      <w:r>
        <w:t>e</w:t>
      </w:r>
      <w:r>
        <w:t>conoce y respeta los derechos humanos a tenor de la definición de la Carta de las Naciones Unidas, la Declaración Universal de Derechos Humanos y los pactos y convenciones sobre los derechos humanos, los derechos de la mujer y los derechos del niño”.</w:t>
      </w:r>
    </w:p>
    <w:p w:rsidR="00000000" w:rsidRDefault="00000000">
      <w:pPr>
        <w:pStyle w:val="SingleTxt"/>
      </w:pPr>
      <w:r>
        <w:t>60.</w:t>
      </w:r>
      <w:r>
        <w:tab/>
        <w:t>Después de la ratificación de la CEDAW, el Reino de Camboya todavía no ha definido la expresión “discriminación contra la mujer” en sus leyes. Sin embargo, lo esencial es que, conforme a lo que se declara en el primer párrafo del artículo 31 de la Constitución del Reino de Camboya, se acepta la definición de la expresión “di</w:t>
      </w:r>
      <w:r>
        <w:t>s</w:t>
      </w:r>
      <w:r>
        <w:t>criminación contra la mujer” tal como se estipula en la CEDAW y se procura ll</w:t>
      </w:r>
      <w:r>
        <w:t>e</w:t>
      </w:r>
      <w:r>
        <w:t>varla al terreno de la práctica sobre la base de la igualdad del hombre y la mujer.</w:t>
      </w:r>
    </w:p>
    <w:p w:rsidR="00000000" w:rsidRDefault="00000000">
      <w:pPr>
        <w:pStyle w:val="SingleTxt"/>
      </w:pPr>
      <w:r>
        <w:t>61.</w:t>
      </w:r>
      <w:r>
        <w:tab/>
        <w:t>Sobre la base de la definición de la expresión “discriminación contra la mujer” formulada en la Convención internacional, el Real Gobierno de Camboya asume la responsabilidad de brindar a la mujer las libertades fundamentales en las esferas p</w:t>
      </w:r>
      <w:r>
        <w:t>o</w:t>
      </w:r>
      <w:r>
        <w:t>lítica, económica, social y cultural o en cualquier otra esfera para garantizar su igualdad con respecto al hombre. La definición de la expresión “discriminación contra la mujer” expuesta en la CEDAW es, pues, la base para aplicar y precisar la totalidad de los documentos jurídicos que apuntan al desarrollo de Camboya en t</w:t>
      </w:r>
      <w:r>
        <w:t>o</w:t>
      </w:r>
      <w:r>
        <w:t>dos los campos.</w:t>
      </w:r>
    </w:p>
    <w:p w:rsidR="00000000" w:rsidRDefault="00000000">
      <w:pPr>
        <w:pStyle w:val="SingleTxt"/>
      </w:pPr>
      <w:r>
        <w:t>62.</w:t>
      </w:r>
      <w:r>
        <w:tab/>
        <w:t xml:space="preserve">De conformidad con la definición formulada </w:t>
      </w:r>
      <w:r>
        <w:rPr>
          <w:i/>
        </w:rPr>
        <w:t>supra</w:t>
      </w:r>
      <w:r>
        <w:t>, el primer párrafo del ar-tículo 45 de la Constitución estipula que “quedan abolidas todas las formas de di</w:t>
      </w:r>
      <w:r>
        <w:t>s</w:t>
      </w:r>
      <w:r>
        <w:t>criminación contra la mujer”. En esencia, lo que determina la Constitución es suf</w:t>
      </w:r>
      <w:r>
        <w:t>i</w:t>
      </w:r>
      <w:r>
        <w:t>cientemente elocuente con respecto a la abolición de “toda distinción, exclusión o restricción basada en el sexo que tenga por objeto o por resultado menoscabar o anular el reconocimiento, goce o ejercicio por la mujer, independientemente de su estado civil, sobre la base de la igualdad del hombre y la mujer, de los derechos h</w:t>
      </w:r>
      <w:r>
        <w:t>u</w:t>
      </w:r>
      <w:r>
        <w:t>manos y las libertades fundamentales en las esferas política, económica, social, cultural y c</w:t>
      </w:r>
      <w:r>
        <w:t>i</w:t>
      </w:r>
      <w:r>
        <w:t>vil o en cualquier otra esfera”.</w:t>
      </w:r>
    </w:p>
    <w:p w:rsidR="00000000" w:rsidRDefault="00000000">
      <w:pPr>
        <w:pStyle w:val="SingleTxt"/>
        <w:keepNext/>
        <w:keepLines/>
      </w:pPr>
      <w:r>
        <w:t>63.</w:t>
      </w:r>
      <w:r>
        <w:tab/>
        <w:t>En la práctica, el Real Gobierno de Camboya utiliza la definición antedicha como base para la redacción de los documentos jurídicos y las leyes que garantizan a la mujer, sin distinciones, exclusiones ni restricciones, el goce de derechos iguales a los del hombre en todas las esferas.</w:t>
      </w:r>
    </w:p>
    <w:p w:rsidR="00000000" w:rsidRDefault="00000000">
      <w:pPr>
        <w:pStyle w:val="SingleTxt"/>
      </w:pPr>
      <w:r>
        <w:t>64.</w:t>
      </w:r>
      <w:r>
        <w:tab/>
        <w:t>Aunque en las leyes y los documentos jurídicos se reconoce y utiliza la defin</w:t>
      </w:r>
      <w:r>
        <w:t>i</w:t>
      </w:r>
      <w:r>
        <w:t>ción de la expresión “discriminación contra la mujer” como base de la igualdad e</w:t>
      </w:r>
      <w:r>
        <w:t>n</w:t>
      </w:r>
      <w:r>
        <w:t>tre el hombre y la mujer, en la acción práctica se observan algunas lagunas cuya amplitud varía según las distintas esferas.</w:t>
      </w:r>
    </w:p>
    <w:p w:rsidR="00000000" w:rsidRDefault="00000000">
      <w:pPr>
        <w:pStyle w:val="SingleTxt"/>
        <w:rPr>
          <w:w w:val="101"/>
        </w:rPr>
      </w:pPr>
      <w:r>
        <w:rPr>
          <w:w w:val="101"/>
        </w:rPr>
        <w:t>65.</w:t>
      </w:r>
      <w:r>
        <w:rPr>
          <w:w w:val="101"/>
        </w:rPr>
        <w:tab/>
        <w:t>El párrafo 2 del artículo 36 de la Constitución reza así: “los ciudadanos khmers de ambos sexos recibirán la misma remuneración por el mismo tipo de tr</w:t>
      </w:r>
      <w:r>
        <w:rPr>
          <w:w w:val="101"/>
        </w:rPr>
        <w:t>a</w:t>
      </w:r>
      <w:r>
        <w:rPr>
          <w:w w:val="101"/>
        </w:rPr>
        <w:t>bajo”.</w:t>
      </w:r>
    </w:p>
    <w:p w:rsidR="00000000" w:rsidRDefault="00000000">
      <w:pPr>
        <w:pStyle w:val="SingleTxt"/>
      </w:pPr>
      <w:r>
        <w:tab/>
        <w:t>La Ley de Trabajo de 1997 establece la igualdad de remuneración de hombres y mujeres por la realización de un trabajo de igual valor. Sin embargo, en la realidad ocurre a menudo que la mujer recibe una remuneración menor que la del hombre por hacer el mismo tipo de trabajo; en efecto, en ciertos casos, especialmente en la esf</w:t>
      </w:r>
      <w:r>
        <w:t>e</w:t>
      </w:r>
      <w:r>
        <w:t>ra de la construcción, es frecuente que una trabajadora cobre menos que un trabaj</w:t>
      </w:r>
      <w:r>
        <w:t>a</w:t>
      </w:r>
      <w:r>
        <w:t>dor por efectuar el mismo tipo de trabajo.</w:t>
      </w:r>
    </w:p>
    <w:p w:rsidR="00000000" w:rsidRDefault="00000000">
      <w:pPr>
        <w:pStyle w:val="SingleTxt"/>
      </w:pPr>
      <w:r>
        <w:t>66.</w:t>
      </w:r>
      <w:r>
        <w:tab/>
        <w:t>Con miras a la eliminación gradual de toda distinción basada en el sexo, el R</w:t>
      </w:r>
      <w:r>
        <w:t>e</w:t>
      </w:r>
      <w:r>
        <w:t>al Gobierno de Camboya se ha esforzado por desarrollar campañas educativas que promuevan una mayor toma de conciencia de la igualdad entre el hombre y la mujer en relación con el cobro de una misma remuneración por la realización del mismo tipo de trabajo. Al mismo tiempo, se han establecido numerosos sindicatos en fábr</w:t>
      </w:r>
      <w:r>
        <w:t>i</w:t>
      </w:r>
      <w:r>
        <w:t>cas y empresas para proteger los derechos de los trabajadores y velar por la igualdad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Obligación de eliminar todas las formas de discriminación contra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condenan la discriminación contra la mujer en todas sus formas, convienen en seguir, por todos los medios apropiados y sin dilaciones, una política encaminada a eliminar la discriminación contra la mujer y, con tal objeto, se comprometen a:</w:t>
      </w:r>
    </w:p>
    <w:p w:rsidR="00000000" w:rsidRDefault="00000000">
      <w:pPr>
        <w:pStyle w:val="SingleTxt"/>
        <w:rPr>
          <w:i/>
        </w:rPr>
      </w:pPr>
      <w:r>
        <w:rPr>
          <w:i/>
        </w:rPr>
        <w:tab/>
        <w:t>a)</w:t>
      </w:r>
      <w:r>
        <w:rPr>
          <w:i/>
        </w:rPr>
        <w:tab/>
        <w:t>Consagrar, si aún no lo han hecho, en sus constituciones nacionales y en cualquier otra legislación apropiada el principio de la igualdad del hombre y de la mujer y asegurar por ley u otros medios apropiados la realización práctica de ese principio;</w:t>
      </w:r>
    </w:p>
    <w:p w:rsidR="00000000" w:rsidRDefault="00000000">
      <w:pPr>
        <w:pStyle w:val="SingleTxt"/>
        <w:rPr>
          <w:i/>
        </w:rPr>
      </w:pPr>
      <w:r>
        <w:rPr>
          <w:i/>
        </w:rPr>
        <w:tab/>
        <w:t>b)</w:t>
      </w:r>
      <w:r>
        <w:rPr>
          <w:i/>
        </w:rPr>
        <w:tab/>
        <w:t>Adoptar medidas adecuadas, legislativas y de otro carácter, con las sa</w:t>
      </w:r>
      <w:r>
        <w:rPr>
          <w:i/>
        </w:rPr>
        <w:t>n</w:t>
      </w:r>
      <w:r>
        <w:rPr>
          <w:i/>
        </w:rPr>
        <w:t>ciones correspondientes, que prohíban toda discriminación contra la mujer;</w:t>
      </w:r>
    </w:p>
    <w:p w:rsidR="00000000" w:rsidRDefault="00000000">
      <w:pPr>
        <w:pStyle w:val="SingleTxt"/>
        <w:rPr>
          <w:i/>
        </w:rPr>
      </w:pPr>
      <w:r>
        <w:rPr>
          <w:i/>
        </w:rPr>
        <w:tab/>
        <w:t>c)</w:t>
      </w:r>
      <w:r>
        <w:rPr>
          <w:i/>
        </w:rPr>
        <w:tab/>
        <w:t>Establecer la protección jurídica de los derechos de la mujer sobre una base de igualdad con los del hombre y garantizar, por conducto de los tribunales nacionales competentes y de otras instituciones públicas, la protección efectiva de la mujer contra todo acto de di</w:t>
      </w:r>
      <w:r>
        <w:rPr>
          <w:i/>
        </w:rPr>
        <w:t>s</w:t>
      </w:r>
      <w:r>
        <w:rPr>
          <w:i/>
        </w:rPr>
        <w:t>criminación;</w:t>
      </w:r>
    </w:p>
    <w:p w:rsidR="00000000" w:rsidRDefault="00000000">
      <w:pPr>
        <w:pStyle w:val="SingleTxt"/>
        <w:rPr>
          <w:i/>
        </w:rPr>
      </w:pPr>
      <w:r>
        <w:rPr>
          <w:i/>
        </w:rPr>
        <w:tab/>
        <w:t>d)</w:t>
      </w:r>
      <w:r>
        <w:rPr>
          <w:i/>
        </w:rPr>
        <w:tab/>
        <w:t>Abstenerse de incurrir en todo acto o práctica de discriminación contra la mujer y velar porque las autoridades e instituciones públicas actúen de confo</w:t>
      </w:r>
      <w:r>
        <w:rPr>
          <w:i/>
        </w:rPr>
        <w:t>r</w:t>
      </w:r>
      <w:r>
        <w:rPr>
          <w:i/>
        </w:rPr>
        <w:t>midad con esta obligación;</w:t>
      </w:r>
    </w:p>
    <w:p w:rsidR="00000000" w:rsidRDefault="00000000">
      <w:pPr>
        <w:pStyle w:val="SingleTxt"/>
        <w:rPr>
          <w:i/>
        </w:rPr>
      </w:pPr>
      <w:r>
        <w:rPr>
          <w:i/>
        </w:rPr>
        <w:tab/>
        <w:t>e)</w:t>
      </w:r>
      <w:r>
        <w:rPr>
          <w:i/>
        </w:rPr>
        <w:tab/>
        <w:t>Tomar todas las medidas apropiadas para eliminar la discriminación contra la mujer practicada por cualesquiera personas, organiz</w:t>
      </w:r>
      <w:r>
        <w:rPr>
          <w:i/>
        </w:rPr>
        <w:t>a</w:t>
      </w:r>
      <w:r>
        <w:rPr>
          <w:i/>
        </w:rPr>
        <w:t>ciones o empresas;</w:t>
      </w:r>
    </w:p>
    <w:p w:rsidR="00000000" w:rsidRDefault="00000000">
      <w:pPr>
        <w:pStyle w:val="SingleTxt"/>
        <w:rPr>
          <w:i/>
        </w:rPr>
      </w:pPr>
      <w:r>
        <w:rPr>
          <w:i/>
        </w:rPr>
        <w:tab/>
        <w:t>f)</w:t>
      </w:r>
      <w:r>
        <w:rPr>
          <w:i/>
        </w:rPr>
        <w:tab/>
        <w:t>Adoptar todas las medidas adecuadas, incluso de carácter legislativo, para modificar o derogar leyes, reglamentos, usos y prácticas que constituyan di</w:t>
      </w:r>
      <w:r>
        <w:rPr>
          <w:i/>
        </w:rPr>
        <w:t>s</w:t>
      </w:r>
      <w:r>
        <w:rPr>
          <w:i/>
        </w:rPr>
        <w:t>crim</w:t>
      </w:r>
      <w:r>
        <w:rPr>
          <w:i/>
        </w:rPr>
        <w:t>i</w:t>
      </w:r>
      <w:r>
        <w:rPr>
          <w:i/>
        </w:rPr>
        <w:t>nación contra la mujer;</w:t>
      </w:r>
    </w:p>
    <w:p w:rsidR="00000000" w:rsidRDefault="00000000">
      <w:pPr>
        <w:pStyle w:val="SingleTxt"/>
        <w:rPr>
          <w:i/>
        </w:rPr>
      </w:pPr>
      <w:r>
        <w:rPr>
          <w:i/>
        </w:rPr>
        <w:tab/>
        <w:t>g)</w:t>
      </w:r>
      <w:r>
        <w:rPr>
          <w:i/>
        </w:rPr>
        <w:tab/>
        <w:t>Derogar todas las disposiciones penales nacionales que constituyan di</w:t>
      </w:r>
      <w:r>
        <w:rPr>
          <w:i/>
        </w:rPr>
        <w:t>s</w:t>
      </w:r>
      <w:r>
        <w:rPr>
          <w:i/>
        </w:rPr>
        <w:t>crim</w:t>
      </w:r>
      <w:r>
        <w:rPr>
          <w:i/>
        </w:rPr>
        <w:t>i</w:t>
      </w:r>
      <w:r>
        <w:rPr>
          <w:i/>
        </w:rPr>
        <w:t>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w:t>
      </w:r>
      <w:r>
        <w:tab/>
        <w:t>De conformidad con lo expuesto en la sección del presente informe dedicada al artículo 1 de la Convención, el Reino de Camboya condena los delitos de discrim</w:t>
      </w:r>
      <w:r>
        <w:t>i</w:t>
      </w:r>
      <w:r>
        <w:t xml:space="preserve">nación contra la mujer según la definición formulada </w:t>
      </w:r>
      <w:r>
        <w:rPr>
          <w:i/>
        </w:rPr>
        <w:t>supra.</w:t>
      </w:r>
      <w:r>
        <w:t xml:space="preserve"> El Real Gobierno ha i</w:t>
      </w:r>
      <w:r>
        <w:t>n</w:t>
      </w:r>
      <w:r>
        <w:t>corporado el principio de la eliminación de todas las formas de discriminación co</w:t>
      </w:r>
      <w:r>
        <w:t>n</w:t>
      </w:r>
      <w:r>
        <w:t>tra la mujer en su política legislativa, sus reglamentos y sus acciones prácticas para garantizar la igualdad de derechos entre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68.</w:t>
      </w:r>
      <w:r>
        <w:tab/>
        <w:t>A fin de desarrollar actividades encaminadas a eliminar todas las formas de discriminación contra la mujer, el Reino de Camboya ha incorporado el principio de igualdad entre hombres y mujeres en su Constitución y sus demás leyes como medio de garantizar efectiv</w:t>
      </w:r>
      <w:r>
        <w:t>a</w:t>
      </w:r>
      <w:r>
        <w:t>mente la igualdad de derechos de hombres y mujeres.</w:t>
      </w:r>
    </w:p>
    <w:p w:rsidR="00000000" w:rsidRDefault="00000000">
      <w:pPr>
        <w:pStyle w:val="SingleTxt"/>
        <w:rPr>
          <w:spacing w:val="2"/>
          <w:w w:val="101"/>
        </w:rPr>
      </w:pPr>
      <w:r>
        <w:rPr>
          <w:spacing w:val="2"/>
          <w:w w:val="101"/>
        </w:rPr>
        <w:t>69.</w:t>
      </w:r>
      <w:r>
        <w:rPr>
          <w:spacing w:val="2"/>
          <w:w w:val="101"/>
        </w:rPr>
        <w:tab/>
        <w:t>El tercer párrafo del artículo 45 de la Constitución estipula que “hombres y muj</w:t>
      </w:r>
      <w:r>
        <w:rPr>
          <w:spacing w:val="2"/>
          <w:w w:val="101"/>
        </w:rPr>
        <w:t>e</w:t>
      </w:r>
      <w:r>
        <w:rPr>
          <w:spacing w:val="2"/>
          <w:w w:val="101"/>
        </w:rPr>
        <w:t>res son iguales en todas las esferas, especialmente en lo que atañe al matrimonio y las cuestiones de familia”. Éste es el principio general, que atañe a la igualdad entre ho</w:t>
      </w:r>
      <w:r>
        <w:rPr>
          <w:spacing w:val="2"/>
          <w:w w:val="101"/>
        </w:rPr>
        <w:t>m</w:t>
      </w:r>
      <w:r>
        <w:rPr>
          <w:spacing w:val="2"/>
          <w:w w:val="101"/>
        </w:rPr>
        <w:t>bres y mujeres. Además, hay otros principios determinados en la Constit</w:t>
      </w:r>
      <w:r>
        <w:rPr>
          <w:spacing w:val="2"/>
          <w:w w:val="101"/>
        </w:rPr>
        <w:t>u</w:t>
      </w:r>
      <w:r>
        <w:rPr>
          <w:spacing w:val="2"/>
          <w:w w:val="101"/>
        </w:rPr>
        <w:t>ción:</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Párrafo 1 del artículo 31: igualdad ante la ley;</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420" w:right="1260" w:hanging="2153"/>
      </w:pPr>
      <w:r>
        <w:t>Artículo 34: igualdad como votantes y para presentar candidaturas en las ele</w:t>
      </w:r>
      <w:r>
        <w:t>c</w:t>
      </w:r>
      <w:r>
        <w:t>ciones;</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742" w:right="1260" w:hanging="475"/>
      </w:pPr>
      <w:r>
        <w:t>Artículo 35: igualdad para participar activamente en la vida política, económica, social y cultural;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3420" w:right="1260" w:hanging="2153"/>
      </w:pPr>
      <w:r>
        <w:t>Artículo 36: igualdad para elegir empleo y recibir una indemnización por desp</w:t>
      </w:r>
      <w:r>
        <w:t>i</w:t>
      </w:r>
      <w:r>
        <w:t>do;</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Igualdad para obtener prestaciones de la seguridad social;</w:t>
      </w:r>
    </w:p>
    <w:p w:rsidR="00000000" w:rsidRDefault="00000000">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t>Igualdad para formar sindicatos y afiliarse a ellos.</w:t>
      </w:r>
    </w:p>
    <w:p w:rsidR="00000000" w:rsidRDefault="00000000">
      <w:pPr>
        <w:pStyle w:val="SingleTxt"/>
      </w:pPr>
      <w:r>
        <w:t>70.</w:t>
      </w:r>
      <w:r>
        <w:tab/>
        <w:t>El Reino de Camboya ha incorporado el principio de igualdad entre hombres y mujeres en otras leyes, además de la Constitución. La incorporación del principio de igualdad entre hombres y mujeres en la legislación equivale a decir que ninguna disposición legal debe ser discriminatoria contra la mujer: más aún, toda disposición legal debe ajustarse al principio de no discriminación contra la mujer conforme a lo estipulado en la Constitución.</w:t>
      </w:r>
    </w:p>
    <w:p w:rsidR="00000000" w:rsidRDefault="00000000">
      <w:pPr>
        <w:pStyle w:val="SingleTxt"/>
        <w:rPr>
          <w:spacing w:val="2"/>
          <w:w w:val="101"/>
        </w:rPr>
      </w:pPr>
      <w:r>
        <w:rPr>
          <w:spacing w:val="2"/>
          <w:w w:val="101"/>
        </w:rPr>
        <w:t>71.</w:t>
      </w:r>
      <w:r>
        <w:rPr>
          <w:spacing w:val="2"/>
          <w:w w:val="101"/>
        </w:rPr>
        <w:tab/>
        <w:t xml:space="preserve">En relación con lo expuesto </w:t>
      </w:r>
      <w:r>
        <w:rPr>
          <w:i/>
          <w:spacing w:val="2"/>
          <w:w w:val="101"/>
        </w:rPr>
        <w:t>supra</w:t>
      </w:r>
      <w:r>
        <w:rPr>
          <w:spacing w:val="2"/>
          <w:w w:val="101"/>
        </w:rPr>
        <w:t>, hay en el Reino de Camboya un organismo, que se conoce con el nombre de Consejo Constitucional, que cumple la función de examinar la constitucionalidad de las leyes. No se puede promulgar ni aplicar ninguna disposición de una ley que sea declarada por el Consejo incompatible con la Constit</w:t>
      </w:r>
      <w:r>
        <w:rPr>
          <w:spacing w:val="2"/>
          <w:w w:val="101"/>
        </w:rPr>
        <w:t>u</w:t>
      </w:r>
      <w:r>
        <w:rPr>
          <w:spacing w:val="2"/>
          <w:w w:val="101"/>
        </w:rPr>
        <w:t xml:space="preserve">ción. Por consiguiente, para no chocar contra el espíritu de la presente Constitución </w:t>
      </w:r>
      <w:r>
        <w:rPr>
          <w:spacing w:val="2"/>
          <w:w w:val="101"/>
        </w:rPr>
        <w:br/>
        <w:t>(a</w:t>
      </w:r>
      <w:r>
        <w:rPr>
          <w:spacing w:val="2"/>
          <w:w w:val="101"/>
        </w:rPr>
        <w:t>r</w:t>
      </w:r>
      <w:r>
        <w:rPr>
          <w:spacing w:val="2"/>
          <w:w w:val="101"/>
        </w:rPr>
        <w:t>tículo 45), ninguna disposición legal debe ser discriminatoria contra la mujer.</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b)</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72.</w:t>
      </w:r>
      <w:r>
        <w:tab/>
        <w:t>No hay en el Reino de Camboya una ley que tipifique los delitos de discrim</w:t>
      </w:r>
      <w:r>
        <w:t>i</w:t>
      </w:r>
      <w:r>
        <w:t>nación contra la mujer ni que establezca las penas con que se reprimen.</w:t>
      </w:r>
    </w:p>
    <w:p w:rsidR="00000000" w:rsidRDefault="00000000">
      <w:pPr>
        <w:pStyle w:val="SingleTxt"/>
      </w:pPr>
      <w:r>
        <w:tab/>
        <w:t>El Código Penal de Transición que está hoy en vigencia no comprende ninguna disposición que se refiera a los delitos de discriminación contra la mujer. El artículo 61 del Código sólo se refiere a la incitación a la discriminación por motivos de n</w:t>
      </w:r>
      <w:r>
        <w:t>a</w:t>
      </w:r>
      <w:r>
        <w:t>cionalidad, raza o religión o al odio nacional, racial o religioso.</w:t>
      </w:r>
    </w:p>
    <w:p w:rsidR="00000000" w:rsidRDefault="00000000">
      <w:pPr>
        <w:pStyle w:val="SingleTxt"/>
      </w:pPr>
      <w:r>
        <w:t>73.</w:t>
      </w:r>
      <w:r>
        <w:tab/>
        <w:t>De conformidad con la Constitución y la CEDAW, el Ministerio de Justicia viene examinando y modificando un proyecto de Código Penal en que se detallan los delitos relativos a la discriminación de género, entendida como discriminación d</w:t>
      </w:r>
      <w:r>
        <w:t>i</w:t>
      </w:r>
      <w:r>
        <w:t>recta contra la mujer.</w:t>
      </w:r>
    </w:p>
    <w:p w:rsidR="00000000" w:rsidRDefault="00000000">
      <w:pPr>
        <w:pStyle w:val="SingleTxt"/>
      </w:pPr>
      <w:r>
        <w:t>74.</w:t>
      </w:r>
      <w:r>
        <w:tab/>
        <w:t>El proyecto de Código Penal establece penas para una serie de casos de di</w:t>
      </w:r>
      <w:r>
        <w:t>s</w:t>
      </w:r>
      <w:r>
        <w:t>crimin</w:t>
      </w:r>
      <w:r>
        <w:t>a</w:t>
      </w:r>
      <w:r>
        <w:t>ción por motivo de género, que son los siguientes:</w:t>
      </w:r>
    </w:p>
    <w:p w:rsidR="00000000" w:rsidRDefault="00000000">
      <w:pPr>
        <w:pStyle w:val="SingleTxt"/>
        <w:suppressAutoHyphens/>
        <w:ind w:left="1742" w:hanging="475"/>
      </w:pPr>
      <w:r>
        <w:t>Artículo 261: sanciona el delito de negarse a entregar un bien o proporcionar un servicio;</w:t>
      </w:r>
    </w:p>
    <w:p w:rsidR="00000000" w:rsidRDefault="00000000">
      <w:pPr>
        <w:pStyle w:val="SingleTxt"/>
        <w:ind w:left="1742" w:hanging="475"/>
      </w:pPr>
      <w:r>
        <w:t>Artículo 262: sanciona el delito de entregar un bien o proporcionar un servicio de manera condicionada;</w:t>
      </w:r>
    </w:p>
    <w:p w:rsidR="00000000" w:rsidRDefault="00000000">
      <w:pPr>
        <w:pStyle w:val="SingleTxt"/>
      </w:pPr>
      <w:r>
        <w:t>Artículo 263: sanciona el delito de negarse a alquilar;</w:t>
      </w:r>
    </w:p>
    <w:p w:rsidR="00000000" w:rsidRDefault="00000000">
      <w:pPr>
        <w:pStyle w:val="SingleTxt"/>
      </w:pPr>
      <w:r>
        <w:t>Artículo 264: sanciona el delito de proporcionar empleo imponiendo condiciones;</w:t>
      </w:r>
    </w:p>
    <w:p w:rsidR="00000000" w:rsidRDefault="00000000">
      <w:pPr>
        <w:pStyle w:val="SingleTxt"/>
        <w:ind w:left="1742" w:hanging="475"/>
      </w:pPr>
      <w:r>
        <w:t>Artículo 265: sanciona el delito de despedir o de excluir a alguien por motivo de su sexo;</w:t>
      </w:r>
    </w:p>
    <w:p w:rsidR="00000000" w:rsidRDefault="00000000">
      <w:pPr>
        <w:pStyle w:val="SingleTxt"/>
        <w:ind w:left="1742" w:hanging="475"/>
      </w:pPr>
      <w:r>
        <w:t>Artículo 266: sanciona al funcionario público o al oficial del ejército que deniegue a una persona el goce de algún derecho.</w:t>
      </w:r>
    </w:p>
    <w:p w:rsidR="00000000" w:rsidRDefault="00000000">
      <w:pPr>
        <w:pStyle w:val="SingleTxt"/>
      </w:pPr>
      <w:r>
        <w:t>75.</w:t>
      </w:r>
      <w:r>
        <w:tab/>
        <w:t>El Real Gobierno de Camboya pondrá pronto a consideración de la Asamblea Nacional y del Senado este proyecto de Código Penal para que sea aprobado y pu</w:t>
      </w:r>
      <w:r>
        <w:t>e</w:t>
      </w:r>
      <w:r>
        <w:t>dan aplicarse sus disposiciones y las penas que castigan los delitos de discrimin</w:t>
      </w:r>
      <w:r>
        <w:t>a</w:t>
      </w:r>
      <w:r>
        <w:t>ción contra la mujer.</w:t>
      </w:r>
    </w:p>
    <w:p w:rsidR="00000000" w:rsidRDefault="00000000">
      <w:pPr>
        <w:pStyle w:val="SingleTxt"/>
      </w:pPr>
      <w:r>
        <w:t>76.</w:t>
      </w:r>
      <w:r>
        <w:tab/>
        <w:t>Además de seguir trabajando en el proyecto de Código Penal, el Real Gobierno se esfuerza por elaborar otras normas jurídicas acordes con el espíritu de la Const</w:t>
      </w:r>
      <w:r>
        <w:t>i</w:t>
      </w:r>
      <w:r>
        <w:t>tución y las disposiciones de la CEDAW.</w:t>
      </w:r>
    </w:p>
    <w:p w:rsidR="00000000" w:rsidRDefault="00000000">
      <w:pPr>
        <w:pStyle w:val="SingleTxt"/>
      </w:pPr>
      <w:r>
        <w:t>77.</w:t>
      </w:r>
      <w:r>
        <w:tab/>
        <w:t>El Reino de Camboya considera que la CEDAW constituye una base jurídica fundamental que tiene precedencia sobre el derecho interno camboyano. Esto quiere decir que la legislación relativa a los derechos de la mujer tiene que basarse en el principio de igualdad cons</w:t>
      </w:r>
      <w:r>
        <w:t>a</w:t>
      </w:r>
      <w:r>
        <w:t>grado en la Convención.</w:t>
      </w:r>
    </w:p>
    <w:p w:rsidR="00000000" w:rsidRDefault="00000000">
      <w:pPr>
        <w:pStyle w:val="SingleTxt"/>
      </w:pPr>
      <w:r>
        <w:t>78.</w:t>
      </w:r>
      <w:r>
        <w:tab/>
        <w:t>El Real Gobierno de Camboya ha establecido el Ministerio de Asuntos de la Mujer y los ex Combatientes (MoAMEC), cuya estructura administrativa se extie</w:t>
      </w:r>
      <w:r>
        <w:t>n</w:t>
      </w:r>
      <w:r>
        <w:t>de a todas las provincias y distritos de Camboya, y el Consejo Nacional Camboyano de la Mujer (CNCM), que es el mecanismo de coordinación y consulta del Real G</w:t>
      </w:r>
      <w:r>
        <w:t>o</w:t>
      </w:r>
      <w:r>
        <w:t>bierno en lo relativo a la promoción de la condición, las funciones y el bienestar s</w:t>
      </w:r>
      <w:r>
        <w:t>o</w:t>
      </w:r>
      <w:r>
        <w:t>cial de la mujer camboyana con miras a mitigar y eliminar todas las formas de di</w:t>
      </w:r>
      <w:r>
        <w:t>s</w:t>
      </w:r>
      <w:r>
        <w:t>criminación y de violencia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c)</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79.</w:t>
      </w:r>
      <w:r>
        <w:tab/>
        <w:t>El artículo 39 de la Constitución reza así: “Los ciudadanos khmers tienen d</w:t>
      </w:r>
      <w:r>
        <w:t>e</w:t>
      </w:r>
      <w:r>
        <w:t>recho a presentar denuncias, reclamaciones o demandas ante cualquier transgresión de la ley por parte del Estado, una organización social o alguno de sus miembros. La resolución de las reclamaciones y demandas es competencia de los tribunales”.</w:t>
      </w:r>
    </w:p>
    <w:p w:rsidR="00000000" w:rsidRDefault="00000000">
      <w:pPr>
        <w:pStyle w:val="SingleTxt"/>
      </w:pPr>
      <w:r>
        <w:t>80.</w:t>
      </w:r>
      <w:r>
        <w:tab/>
        <w:t>En esencia, el artículo 39 de la Constitución estipula que las mujeres que fu</w:t>
      </w:r>
      <w:r>
        <w:t>e</w:t>
      </w:r>
      <w:r>
        <w:t>ren víctimas de la violación de sus derechos quedarán habilitadas para presentar demandas ante un tribunal competente.</w:t>
      </w:r>
    </w:p>
    <w:p w:rsidR="00000000" w:rsidRDefault="00000000">
      <w:pPr>
        <w:pStyle w:val="SingleTxt"/>
      </w:pPr>
      <w:r>
        <w:tab/>
        <w:t>Los tribunales del Reino de Camboya tienen competencia para resolver toda clase de pleitos (tercer párrafo del artículo 128 de la Constitución actual).</w:t>
      </w:r>
    </w:p>
    <w:p w:rsidR="00000000" w:rsidRDefault="00000000">
      <w:pPr>
        <w:pStyle w:val="SingleTxt"/>
      </w:pPr>
      <w:r>
        <w:t>81.</w:t>
      </w:r>
      <w:r>
        <w:tab/>
        <w:t>En casos de discriminación, incluso cuando el uso de violencia contra una mujer provoque el peligro de que pierda algún beneficio o entrañe su pérdida efect</w:t>
      </w:r>
      <w:r>
        <w:t>i</w:t>
      </w:r>
      <w:r>
        <w:t>va, esa mujer, convertida en víctima, puede presentar una demanda ante un tribunal competente porque se considera que el acto cometido es un delito, al igual que una injuria, una violación, una agresión con lesiones, un homicidio o el acoso sexual, por ejemplo.</w:t>
      </w:r>
    </w:p>
    <w:p w:rsidR="00000000" w:rsidRDefault="00000000">
      <w:pPr>
        <w:pStyle w:val="SingleTxt"/>
      </w:pPr>
      <w:r>
        <w:t>82.</w:t>
      </w:r>
      <w:r>
        <w:tab/>
        <w:t>En el Reino de Camboya hay un Colegio de Abogados, cuyos miembros están facultados por el Real Gobierno para defender causas en los tribunales de conform</w:t>
      </w:r>
      <w:r>
        <w:t>i</w:t>
      </w:r>
      <w:r>
        <w:t>dad con sus funciones y deberes que determina la ley. El Colegio de Abogados es un organismo que brinda asistencia letrada por conducto de 181 profesionales, entre los cuales se cuentan 29 mujeres.</w:t>
      </w:r>
    </w:p>
    <w:p w:rsidR="00000000" w:rsidRDefault="00000000">
      <w:pPr>
        <w:pStyle w:val="SingleTxt"/>
      </w:pPr>
      <w:r>
        <w:t>83.</w:t>
      </w:r>
      <w:r>
        <w:tab/>
        <w:t>Además, hay también varias ONG que trabajan para ofrecer asistencia letrada por conducto de abogados a quienes pagan para que defiendan a víctimas y acusados pobres. En su mayoría, las causas que defienden estas ONG producen efectos en las esferas de los derechos y las libertades de la mujer y de la violencia contra ella.</w:t>
      </w:r>
    </w:p>
    <w:p w:rsidR="00000000" w:rsidRDefault="00000000">
      <w:pPr>
        <w:pStyle w:val="SingleTxt"/>
      </w:pPr>
      <w:r>
        <w:t>84.</w:t>
      </w:r>
      <w:r>
        <w:tab/>
        <w:t xml:space="preserve">Por conducto del Colegio de Abogados y de las ONG mencionadas </w:t>
      </w:r>
      <w:r>
        <w:rPr>
          <w:i/>
        </w:rPr>
        <w:t>supra</w:t>
      </w:r>
      <w:r>
        <w:t>, las mujeres convertidas en víctimas pueden disponer de los servicios de abogados para que las defiendan o entablar contacto con algunas organizaciones femeninas que están en condiciones de ayudarlas a conseguir asistencia letrada. En estos casos, si las mujeres víctimas son pobres, la asistencia letrada que se les brinda es gratuita.</w:t>
      </w:r>
    </w:p>
    <w:p w:rsidR="00000000" w:rsidRDefault="00000000">
      <w:pPr>
        <w:pStyle w:val="SingleTxt"/>
      </w:pPr>
      <w:r>
        <w:t>85.</w:t>
      </w:r>
      <w:r>
        <w:tab/>
        <w:t>Si bien hay agrupaciones de abogados que proporcionan servicios de asistencia letrada en forma gratuita, la demanda real de estos servicios no queda satisfecha porque sólo hay un pequeño número de abogados que se ofrecen voluntariamente a brindar asistencia letrada gratuitamente, en particular en provincias/municipios r</w:t>
      </w:r>
      <w:r>
        <w:t>e</w:t>
      </w:r>
      <w:r>
        <w:t>motos donde es difícil hasta encontrar abogados, renuentes a vivir en sitios en que los ingresos son limitados. Por otra parte, ni las ONG ni el Colegio de Abogados disponen de presupuestos suficientes para pagar a los abogados que brindan asiste</w:t>
      </w:r>
      <w:r>
        <w:t>n</w:t>
      </w:r>
      <w:r>
        <w:t>cia letrada a los pobres.</w:t>
      </w:r>
    </w:p>
    <w:p w:rsidR="00000000" w:rsidRDefault="00000000">
      <w:pPr>
        <w:pStyle w:val="SingleTxt"/>
      </w:pPr>
      <w:r>
        <w:t>86.</w:t>
      </w:r>
      <w:r>
        <w:tab/>
        <w:t>Para ayudar a resolver estos problemas, el Primer Ministro Samdech Hun Sen ha proporcionado algunos fondos al Colegio de Abogados como contribución para que se brinde asistencia letrada a los pobres. Al mismo tiempo, el Primer Ministro ha hecho un llamamiento a varios dignatarios del Gobierno para que contribuyan a garantizar el continuo funcionamiento de esos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87.</w:t>
      </w:r>
      <w:r>
        <w:tab/>
        <w:t>La Constitución actual (artículo 45) prohíbe los actos de discriminación contra la mujer. Por consiguiente, si bien no rige ninguna ley que determine que los actos de discriminación son delitos punibles, el artículo 45 de la Constitución no permite ningún comportamiento que entrañe discriminación contra la mujer y la Constit</w:t>
      </w:r>
      <w:r>
        <w:t>u</w:t>
      </w:r>
      <w:r>
        <w:t>ción es la ley suprema que debe ser respetada y acatada por la ciudadanía, conforme a lo estipulado en el primer párrafo de su artículo 49: “Todo ciudadano khmer re</w:t>
      </w:r>
      <w:r>
        <w:t>s</w:t>
      </w:r>
      <w:r>
        <w:t>petará la Constitución y las leyes”.</w:t>
      </w:r>
    </w:p>
    <w:p w:rsidR="00000000" w:rsidRDefault="00000000">
      <w:pPr>
        <w:pStyle w:val="SingleTxt"/>
      </w:pPr>
      <w:r>
        <w:t>88.</w:t>
      </w:r>
      <w:r>
        <w:tab/>
        <w:t>El Real Gobierno de Camboya ha encomendado al MoAMEC la tarea de pr</w:t>
      </w:r>
      <w:r>
        <w:t>o</w:t>
      </w:r>
      <w:r>
        <w:t>mover el adelanto de la mujer en todas las actividades. El MoAMEC cumple ese d</w:t>
      </w:r>
      <w:r>
        <w:t>e</w:t>
      </w:r>
      <w:r>
        <w:t>ber en su condición de mecanismo nacional encargado de vigilar todos los actos que se cometan en perjuicio de la mujer con miras a establecer el principio de que la discriminación contra la mujer debe ser denunciada.</w:t>
      </w:r>
    </w:p>
    <w:p w:rsidR="00000000" w:rsidRDefault="00000000">
      <w:pPr>
        <w:pStyle w:val="SingleTxt"/>
      </w:pPr>
      <w:r>
        <w:t>89.</w:t>
      </w:r>
      <w:r>
        <w:tab/>
        <w:t>Para promover el adelanto de la mujer y la igualdad de derechos entre hombres y mujeres y evitar todas las formas de discriminación, el Real Gobierno ha establ</w:t>
      </w:r>
      <w:r>
        <w:t>e</w:t>
      </w:r>
      <w:r>
        <w:t>cido otra institución nacional de máxima jerarquía, que se conoce con el nombre de Consejo Nacional Camboyano de la Mujer (CNCM). Están al frente del Consejo Samdech Preah Reach Akak Mohesi Norodom Monyneath Sihanuk como presidente honorario, Samdech Hun Sen, Primer Ministro del Real Gobierno de Camboya, c</w:t>
      </w:r>
      <w:r>
        <w:t>o</w:t>
      </w:r>
      <w:r>
        <w:t>mo vicepresidente honorario, y la Excelentísima señora Mu Sochua, Ministra de Asuntos de la Mujer y los ex Combatientes, como presidenta.</w:t>
      </w:r>
    </w:p>
    <w:p w:rsidR="00000000" w:rsidRDefault="00000000">
      <w:pPr>
        <w:pStyle w:val="SingleTxt"/>
        <w:rPr>
          <w:spacing w:val="2"/>
          <w:w w:val="101"/>
        </w:rPr>
      </w:pPr>
      <w:r>
        <w:rPr>
          <w:spacing w:val="2"/>
          <w:w w:val="101"/>
        </w:rPr>
        <w:t>90.</w:t>
      </w:r>
      <w:r>
        <w:rPr>
          <w:spacing w:val="2"/>
          <w:w w:val="101"/>
        </w:rPr>
        <w:tab/>
        <w:t>El CNCM es un mecanismo nacional de máxima jerarquía encargado de la supe</w:t>
      </w:r>
      <w:r>
        <w:rPr>
          <w:spacing w:val="2"/>
          <w:w w:val="101"/>
        </w:rPr>
        <w:t>r</w:t>
      </w:r>
      <w:r>
        <w:rPr>
          <w:spacing w:val="2"/>
          <w:w w:val="101"/>
        </w:rPr>
        <w:t>visión y el control ulterior de la aplicación de la CEDAW, así como de la elaboración de la política, los principios y otras medidas que comprenden la vigilancia para garantizar la igualdad y eliminar todas las formas de discriminación contra la mujer.</w:t>
      </w:r>
    </w:p>
    <w:p w:rsidR="00000000" w:rsidRDefault="00000000">
      <w:pPr>
        <w:pStyle w:val="SingleTxt"/>
      </w:pPr>
      <w:r>
        <w:t>91.</w:t>
      </w:r>
      <w:r>
        <w:tab/>
        <w:t>Para ayudar a las mujeres a obtener protección jurídica, el MoAMEC, en col</w:t>
      </w:r>
      <w:r>
        <w:t>a</w:t>
      </w:r>
      <w:r>
        <w:t>boración con algunas ONG, ha organizado cursos de capacitación y difusión de c</w:t>
      </w:r>
      <w:r>
        <w:t>o</w:t>
      </w:r>
      <w:r>
        <w:t>nocimientos de derecho para las mujeres que trabajan en los ministerios, los depa</w:t>
      </w:r>
      <w:r>
        <w:t>r</w:t>
      </w:r>
      <w:r>
        <w:t>tamentos municipales y provinciales y la comunidad, a fin de que comprendan m</w:t>
      </w:r>
      <w:r>
        <w:t>e</w:t>
      </w:r>
      <w:r>
        <w:t>jor, entre otras cosas, el derecho penal, la legislación relativa al matrimonio y la f</w:t>
      </w:r>
      <w:r>
        <w:t>a</w:t>
      </w:r>
      <w:r>
        <w:t>milia, el derecho contractual, las obligaciones no contractuales y las normas que r</w:t>
      </w:r>
      <w:r>
        <w:t>i</w:t>
      </w:r>
      <w:r>
        <w:t>gen el sistema judicial. Esta difusión de información es limitada y todavía no abarca todo el país.</w:t>
      </w:r>
    </w:p>
    <w:p w:rsidR="00000000" w:rsidRDefault="00000000">
      <w:pPr>
        <w:pStyle w:val="SingleTxt"/>
      </w:pPr>
      <w:r>
        <w:tab/>
        <w:t>En colaboración con diversas instituciones públicas, ONG nacionales e inte</w:t>
      </w:r>
      <w:r>
        <w:t>r</w:t>
      </w:r>
      <w:r>
        <w:t>nacionales y empresas privadas, el MoAMEC ha organizado la celebración del Día Inte</w:t>
      </w:r>
      <w:r>
        <w:t>r</w:t>
      </w:r>
      <w:r>
        <w:t>nacional de la Mujer los 8 de marzo de cada año en ciudades y zonas rurales.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e)</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92.</w:t>
      </w:r>
      <w:r>
        <w:tab/>
        <w:t>De conformidad con el artículo 45 de la Constitución (que prohíbe la discrim</w:t>
      </w:r>
      <w:r>
        <w:t>i</w:t>
      </w:r>
      <w:r>
        <w:t>nación contra la mujer), el Reino de Camboya ha adoptado las medidas pertinentes para garantizar la mejor aplicación de lo dispuesto en el inciso e) del artículo 2 de la CEDAW.</w:t>
      </w:r>
    </w:p>
    <w:p w:rsidR="00000000" w:rsidRDefault="00000000">
      <w:pPr>
        <w:pStyle w:val="SingleTxt"/>
        <w:keepNext/>
        <w:keepLines/>
      </w:pPr>
      <w:r>
        <w:t>93.</w:t>
      </w:r>
      <w:r>
        <w:tab/>
        <w:t>Como medida fundamental, el Reino de Camboya otorga los mismos derechos a mujeres y hombres desde cualquier perspectiva y en todas las esferas, especia</w:t>
      </w:r>
      <w:r>
        <w:t>l</w:t>
      </w:r>
      <w:r>
        <w:t>mente en las esferas política, civil, económica, social y cultural, conforme a lo que estipula y determina la Con</w:t>
      </w:r>
      <w:r>
        <w:t>s</w:t>
      </w:r>
      <w:r>
        <w:t>titución, que es la ley suprema del país.</w:t>
      </w:r>
    </w:p>
    <w:p w:rsidR="00000000" w:rsidRDefault="00000000">
      <w:pPr>
        <w:pStyle w:val="SingleTxt"/>
        <w:rPr>
          <w:spacing w:val="2"/>
          <w:w w:val="101"/>
        </w:rPr>
      </w:pPr>
      <w:r>
        <w:rPr>
          <w:spacing w:val="2"/>
          <w:w w:val="101"/>
        </w:rPr>
        <w:t>94.</w:t>
      </w:r>
      <w:r>
        <w:rPr>
          <w:spacing w:val="2"/>
          <w:w w:val="101"/>
        </w:rPr>
        <w:tab/>
        <w:t>El principio de igualdad del hombre y la mujer en la ley suprema es la base fu</w:t>
      </w:r>
      <w:r>
        <w:rPr>
          <w:spacing w:val="2"/>
          <w:w w:val="101"/>
        </w:rPr>
        <w:t>n</w:t>
      </w:r>
      <w:r>
        <w:rPr>
          <w:spacing w:val="2"/>
          <w:w w:val="101"/>
        </w:rPr>
        <w:t>damental para la adopción de medidas que procuren la abolición de la discriminación contra la mujer en todos los sectores del Estado y de las instituciones priv</w:t>
      </w:r>
      <w:r>
        <w:rPr>
          <w:spacing w:val="2"/>
          <w:w w:val="101"/>
        </w:rPr>
        <w:t>a</w:t>
      </w:r>
      <w:r>
        <w:rPr>
          <w:spacing w:val="2"/>
          <w:w w:val="101"/>
        </w:rPr>
        <w:t>das.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f)</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Anulación de leyes, disposiciones, costumbres y prácticas que sean discriminatorias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95.</w:t>
      </w:r>
      <w:r>
        <w:tab/>
        <w:t>El Reino de Camboya ha otorgado los mismos derechos a mujeres y hombres en todas las esferas, conforme a lo que determina el artículo 45 de la Constitución. Se pone así de manifiesto que Camboya ha adoptado medidas para modificar o an</w:t>
      </w:r>
      <w:r>
        <w:t>u</w:t>
      </w:r>
      <w:r>
        <w:t>lar leyes, costumbres y práct</w:t>
      </w:r>
      <w:r>
        <w:t>i</w:t>
      </w:r>
      <w:r>
        <w:t>cas que sean discriminatorias contra la mujer.</w:t>
      </w:r>
    </w:p>
    <w:p w:rsidR="00000000" w:rsidRDefault="00000000">
      <w:pPr>
        <w:pStyle w:val="SingleTxt"/>
      </w:pPr>
      <w:r>
        <w:t>96.</w:t>
      </w:r>
      <w:r>
        <w:tab/>
        <w:t>Tomando como base el artículo 45 de la Constitución, todas las leyes y disp</w:t>
      </w:r>
      <w:r>
        <w:t>o</w:t>
      </w:r>
      <w:r>
        <w:t>siciones que sean discriminatorias serán declaradas automáticamente nulas y sin valor; al efecto, el artículo 158 de la Constitución estipula: “En Camboya, las leyes y documentos tipo que protejan bienes del Estado o derechos, libertades y bienes j</w:t>
      </w:r>
      <w:r>
        <w:t>u</w:t>
      </w:r>
      <w:r>
        <w:t>rídicos privados y se avengan al interés nacional seguirán en vigor hasta que sean reformados o derogados por nuevos textos, salvo que sus disposiciones sean contr</w:t>
      </w:r>
      <w:r>
        <w:t>a</w:t>
      </w:r>
      <w:r>
        <w:t>rias al espíritu de la presente Constitución”.</w:t>
      </w:r>
    </w:p>
    <w:p w:rsidR="00000000" w:rsidRDefault="00000000">
      <w:pPr>
        <w:pStyle w:val="SingleTxt"/>
      </w:pPr>
      <w:r>
        <w:t>97.</w:t>
      </w:r>
      <w:r>
        <w:tab/>
        <w:t>Se encarga de garantizar todo esto el Consejo Constitucional, que tiene co</w:t>
      </w:r>
      <w:r>
        <w:t>m</w:t>
      </w:r>
      <w:r>
        <w:t>petencia para examinar la constitucionalidad de las leyes conforme al artículo 142 de la Constitución, que reza así: “Las disposiciones de cualquier artículo que sean declaradas inconstitucionales por el Consejo Constitucional no serán promulgadas ni ejecutadas. La decisión del Consejo Constitucional será definitiva”.</w:t>
      </w:r>
    </w:p>
    <w:p w:rsidR="00000000" w:rsidRDefault="00000000">
      <w:pPr>
        <w:pStyle w:val="SingleTxt"/>
      </w:pPr>
      <w:r>
        <w:t>98.</w:t>
      </w:r>
      <w:r>
        <w:tab/>
        <w:t>Cualquier disposición legal que ponga fin a la discriminación contra la mujer constituye una medida apropiada para rectificar costumbres discriminatorias. Por ejemplo:</w:t>
      </w:r>
    </w:p>
    <w:p w:rsidR="00000000" w:rsidRDefault="00000000">
      <w:pPr>
        <w:pStyle w:val="SingleTxt"/>
        <w:tabs>
          <w:tab w:val="right" w:pos="1685"/>
        </w:tabs>
        <w:ind w:left="1742" w:hanging="475"/>
      </w:pPr>
      <w:r>
        <w:tab/>
        <w:t>–</w:t>
      </w:r>
      <w:r>
        <w:tab/>
        <w:t>La legislación relativa al matrimonio y la familia ha facilitado el cambio de muchas tradiciones al promover el pleno ejercicio de los derechos de la mujer en relación con su pareja matrimonial y la constru</w:t>
      </w:r>
      <w:r>
        <w:t>c</w:t>
      </w:r>
      <w:r>
        <w:t>ción de su felicidad;</w:t>
      </w:r>
    </w:p>
    <w:p w:rsidR="00000000" w:rsidRDefault="00000000">
      <w:pPr>
        <w:pStyle w:val="SingleTxt"/>
        <w:tabs>
          <w:tab w:val="right" w:pos="1685"/>
        </w:tabs>
        <w:ind w:left="1742" w:hanging="475"/>
      </w:pPr>
      <w:r>
        <w:tab/>
        <w:t>–</w:t>
      </w:r>
      <w:r>
        <w:tab/>
        <w:t>La legislación agraria ha otorgado a la mujer el derecho a la propiedad de bi</w:t>
      </w:r>
      <w:r>
        <w:t>e</w:t>
      </w:r>
      <w:r>
        <w:t>nes inmuebles en pie de igualdad con el hombre.</w:t>
      </w:r>
    </w:p>
    <w:p w:rsidR="00000000" w:rsidRDefault="00000000">
      <w:pPr>
        <w:pStyle w:val="SingleTxt"/>
        <w:keepNext/>
        <w:keepLines/>
      </w:pPr>
      <w:r>
        <w:t>99.</w:t>
      </w:r>
      <w:r>
        <w:tab/>
        <w:t>El MoAMEC ha llevado a cabo un estudio que ha permitido comprobar que la violencia en el hogar produce graves efectos en la mujer. Sobre la base de sus co</w:t>
      </w:r>
      <w:r>
        <w:t>n</w:t>
      </w:r>
      <w:r>
        <w:t>clusiones, el MoAMEC ha redactado un proyecto de ley sobre la prevención de la violencia en el hogar y la protección de las víctimas que pronto será aprobado por la Asamblea N</w:t>
      </w:r>
      <w:r>
        <w:t>a</w:t>
      </w:r>
      <w:r>
        <w:t>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g)</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Anulación de cualquier disposición que sea discriminatoria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100.</w:t>
      </w:r>
      <w:r>
        <w:tab/>
        <w:t>El Reino de Camboya ha derogado todas las disposiciones del Código Penal discriminatorias contra la mujer al no permitir que la mujer sea privada de sus der</w:t>
      </w:r>
      <w:r>
        <w:t>e</w:t>
      </w:r>
      <w:r>
        <w:t>chos u objeto de discriminación.</w:t>
      </w:r>
    </w:p>
    <w:p w:rsidR="00000000" w:rsidRDefault="00000000">
      <w:pPr>
        <w:pStyle w:val="SingleTxt"/>
      </w:pPr>
      <w:r>
        <w:t>101.</w:t>
      </w:r>
      <w:r>
        <w:tab/>
        <w:t>En la Constitución se determina que el principio de eliminación de la discrim</w:t>
      </w:r>
      <w:r>
        <w:t>i</w:t>
      </w:r>
      <w:r>
        <w:t>nación contra la mujer tiene precedencia sobre las leyes nacionales. Sin embargo, no se han elaborado disposiciones penales que establezcan que los actos de discrimin</w:t>
      </w:r>
      <w:r>
        <w:t>a</w:t>
      </w:r>
      <w:r>
        <w:t>ción contra la mujer son delitos punibles, de manera que la aplicación del principio de eliminación de todas las formas de discriminación contra la mujer no es plen</w:t>
      </w:r>
      <w:r>
        <w:t>a</w:t>
      </w:r>
      <w:r>
        <w:t>mente efectiva.</w:t>
      </w:r>
    </w:p>
    <w:p w:rsidR="00000000" w:rsidRDefault="00000000">
      <w:pPr>
        <w:pStyle w:val="SingleTxt"/>
        <w:rPr>
          <w:spacing w:val="2"/>
          <w:w w:val="101"/>
        </w:rPr>
      </w:pPr>
      <w:r>
        <w:rPr>
          <w:spacing w:val="2"/>
          <w:w w:val="101"/>
        </w:rPr>
        <w:t>102.</w:t>
      </w:r>
      <w:r>
        <w:rPr>
          <w:spacing w:val="2"/>
          <w:w w:val="101"/>
        </w:rPr>
        <w:tab/>
        <w:t>Las disposiciones del Código Penal discriminatorias contra la mujer quedan der</w:t>
      </w:r>
      <w:r>
        <w:rPr>
          <w:spacing w:val="2"/>
          <w:w w:val="101"/>
        </w:rPr>
        <w:t>o</w:t>
      </w:r>
      <w:r>
        <w:rPr>
          <w:spacing w:val="2"/>
          <w:w w:val="101"/>
        </w:rPr>
        <w:t>gadas automáticamente en virtud de los artículos 45 y 158 de la Constitución. Ya no r</w:t>
      </w:r>
      <w:r>
        <w:rPr>
          <w:spacing w:val="2"/>
          <w:w w:val="101"/>
        </w:rPr>
        <w:t>i</w:t>
      </w:r>
      <w:r>
        <w:rPr>
          <w:spacing w:val="2"/>
          <w:w w:val="101"/>
        </w:rPr>
        <w:t>ge ninguna disposición del Código Penal del Reino de Camboya que sea discriminatoria contra la mujer. Al mismo tiempo, el Ministerio de Justicia sigue estudiando y corr</w:t>
      </w:r>
      <w:r>
        <w:rPr>
          <w:spacing w:val="2"/>
          <w:w w:val="101"/>
        </w:rPr>
        <w:t>i</w:t>
      </w:r>
      <w:r>
        <w:rPr>
          <w:spacing w:val="2"/>
          <w:w w:val="101"/>
        </w:rPr>
        <w:t>giendo una sección del proyecto de Código Penal en que se prevén sanciones para los delitos de discriminación. Para la redacción de ese proyecto se toman como base los pactos y convenciones internacionales que Camboya ha ratif</w:t>
      </w:r>
      <w:r>
        <w:rPr>
          <w:spacing w:val="2"/>
          <w:w w:val="101"/>
        </w:rPr>
        <w:t>i</w:t>
      </w:r>
      <w:r>
        <w:rPr>
          <w:spacing w:val="2"/>
          <w:w w:val="101"/>
        </w:rPr>
        <w:t>cado.</w:t>
      </w:r>
    </w:p>
    <w:p w:rsidR="00000000" w:rsidRDefault="00000000">
      <w:pPr>
        <w:pStyle w:val="SingleTxt"/>
      </w:pPr>
      <w:r>
        <w:t>103.</w:t>
      </w:r>
      <w:r>
        <w:tab/>
        <w:t>En el proyecto de Código Penal que pronto se pondrá a consideración de la Asamblea Nacional para su aprobación se están incorporando disposiciones que cl</w:t>
      </w:r>
      <w:r>
        <w:t>a</w:t>
      </w:r>
      <w:r>
        <w:t>sifican los actos de discriminación por motivo de género entre los delitos reprimidos con pena de prisión.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y disposiciones legales para asegurar el pleno desarrollo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en todas las esferas, y en particular en las esferas política, social, económica y cultural, todas las medidas apropiadas, incluso de c</w:t>
      </w:r>
      <w:r>
        <w:rPr>
          <w:i/>
        </w:rPr>
        <w:t>a</w:t>
      </w:r>
      <w:r>
        <w:rPr>
          <w:i/>
        </w:rPr>
        <w:t>rácter legislativo, para asegurar el pleno desarrollo y adelanto de la mujer, con el objeto de garantizarle el ejercicio y el goce de los derechos humanos y las libert</w:t>
      </w:r>
      <w:r>
        <w:rPr>
          <w:i/>
        </w:rPr>
        <w:t>a</w:t>
      </w:r>
      <w:r>
        <w:rPr>
          <w:i/>
        </w:rPr>
        <w:t>des fundamentales en igualdad de condiciones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104.</w:t>
      </w:r>
      <w:r>
        <w:tab/>
        <w:t>El Reino de Camboya ha otorgado al hombre y la mujer los mismos derechos en todas las esferas, conforme a lo que determina el artículo 35 de la Constitución: “Los ciudadanos khmers de ambos sexos tienen derecho a participar activamente en la vida política, económica, social y cultural de la nación”.</w:t>
      </w:r>
    </w:p>
    <w:p w:rsidR="00000000" w:rsidRDefault="00000000">
      <w:pPr>
        <w:pStyle w:val="SingleTxt"/>
      </w:pPr>
      <w:r>
        <w:t>105.</w:t>
      </w:r>
      <w:r>
        <w:tab/>
        <w:t>El objeto de la antedicha disposición sobre la igualdad de derechos es permitir que la mujer ejerza sus derechos y libertades, pues este ejercicio es fundamental p</w:t>
      </w:r>
      <w:r>
        <w:t>a</w:t>
      </w:r>
      <w:r>
        <w:t>ra su pleno desarrollo y adelanto en todas las esferas de la vida nacional.</w:t>
      </w:r>
    </w:p>
    <w:p w:rsidR="00000000" w:rsidRDefault="00000000">
      <w:pPr>
        <w:pStyle w:val="SingleTxt"/>
      </w:pPr>
      <w:r>
        <w:tab/>
        <w:t>Los derechos y libertades fundamentales se determinan en los artículos 31 a 50 de la Constitución del Reino de Camboya.</w:t>
      </w:r>
    </w:p>
    <w:p w:rsidR="00000000" w:rsidRDefault="00000000">
      <w:pPr>
        <w:pStyle w:val="SingleTxt"/>
      </w:pPr>
      <w:r>
        <w:t>106.</w:t>
      </w:r>
      <w:r>
        <w:tab/>
        <w:t xml:space="preserve">La disposición de la Constitución que se menciona </w:t>
      </w:r>
      <w:r>
        <w:rPr>
          <w:i/>
        </w:rPr>
        <w:t xml:space="preserve">supra </w:t>
      </w:r>
      <w:r>
        <w:t>es un instrumento j</w:t>
      </w:r>
      <w:r>
        <w:t>u</w:t>
      </w:r>
      <w:r>
        <w:t>rídico clave que se debe emplear como principio fundamental para diseñar y adoptar medidas que garanticen su aplicación y funcionamiento adecuados con miras al adelanto de la mujer.</w:t>
      </w:r>
    </w:p>
    <w:p w:rsidR="00000000" w:rsidRDefault="00000000">
      <w:pPr>
        <w:pStyle w:val="SingleTxt"/>
      </w:pPr>
      <w:r>
        <w:t>107.</w:t>
      </w:r>
      <w:r>
        <w:tab/>
        <w:t>Sobre la base del principio fundamental determinado en la Constitución y de conformidad con la CEDAW a tenor del artículo 31 de la Constitución, el Real G</w:t>
      </w:r>
      <w:r>
        <w:t>o</w:t>
      </w:r>
      <w:r>
        <w:t>bierno de Camboya ha dispuesto medidas jurídicas que garantizan a la mujer el goce en la práctica y en cualquier momento de sus derechos y libertades en todas las esf</w:t>
      </w:r>
      <w:r>
        <w:t>e</w:t>
      </w:r>
      <w:r>
        <w:t>ras, especia</w:t>
      </w:r>
      <w:r>
        <w:t>l</w:t>
      </w:r>
      <w:r>
        <w:t>mente en las esferas política, económica, social y cultural.</w:t>
      </w:r>
    </w:p>
    <w:p w:rsidR="00000000" w:rsidRDefault="00000000">
      <w:pPr>
        <w:pStyle w:val="SingleTxt"/>
      </w:pPr>
      <w:r>
        <w:t>108.</w:t>
      </w:r>
      <w:r>
        <w:tab/>
        <w:t>Entre las leyes importantes aprobadas por la Asamblea Nacional del Reino de Camboya que se han aplicado y se siguen aplicando en relación con la protección y la promoción de la igualdad de derechos entre el hombre y la mujer, se encuentran las siguientes:</w:t>
      </w:r>
    </w:p>
    <w:p w:rsidR="00000000" w:rsidRDefault="00000000">
      <w:pPr>
        <w:pStyle w:val="SingleTxt"/>
        <w:tabs>
          <w:tab w:val="right" w:pos="1685"/>
        </w:tabs>
        <w:ind w:left="1742" w:hanging="475"/>
      </w:pPr>
      <w:r>
        <w:tab/>
        <w:t>–</w:t>
      </w:r>
      <w:r>
        <w:tab/>
        <w:t>Ley de Inmigración (26/8/1994)</w:t>
      </w:r>
    </w:p>
    <w:p w:rsidR="00000000" w:rsidRDefault="00000000">
      <w:pPr>
        <w:pStyle w:val="SingleTxt"/>
        <w:tabs>
          <w:tab w:val="right" w:pos="1685"/>
        </w:tabs>
        <w:ind w:left="1742" w:hanging="475"/>
      </w:pPr>
      <w:r>
        <w:tab/>
        <w:t>–</w:t>
      </w:r>
      <w:r>
        <w:tab/>
        <w:t>Ley relativa a las manifestaciones (21/12/1994)</w:t>
      </w:r>
    </w:p>
    <w:p w:rsidR="00000000" w:rsidRDefault="00000000">
      <w:pPr>
        <w:pStyle w:val="SingleTxt"/>
        <w:tabs>
          <w:tab w:val="right" w:pos="1685"/>
        </w:tabs>
        <w:ind w:left="1742" w:hanging="475"/>
      </w:pPr>
      <w:r>
        <w:tab/>
        <w:t>–</w:t>
      </w:r>
      <w:r>
        <w:tab/>
        <w:t>Ley de Inversiones (4/8/1994)</w:t>
      </w:r>
    </w:p>
    <w:p w:rsidR="00000000" w:rsidRDefault="00000000">
      <w:pPr>
        <w:pStyle w:val="SingleTxt"/>
        <w:tabs>
          <w:tab w:val="right" w:pos="1685"/>
        </w:tabs>
        <w:ind w:left="1742" w:hanging="475"/>
      </w:pPr>
      <w:r>
        <w:tab/>
        <w:t>–</w:t>
      </w:r>
      <w:r>
        <w:tab/>
        <w:t>Estatuto común de los funcionarios públicos (21/10/1994)</w:t>
      </w:r>
    </w:p>
    <w:p w:rsidR="00000000" w:rsidRDefault="00000000">
      <w:pPr>
        <w:pStyle w:val="SingleTxt"/>
        <w:tabs>
          <w:tab w:val="right" w:pos="1685"/>
        </w:tabs>
        <w:ind w:left="1742" w:hanging="475"/>
      </w:pPr>
      <w:r>
        <w:tab/>
        <w:t>–</w:t>
      </w:r>
      <w:r>
        <w:tab/>
        <w:t>Ley de los partidos políticos (28/10/1997)</w:t>
      </w:r>
    </w:p>
    <w:p w:rsidR="00000000" w:rsidRDefault="00000000">
      <w:pPr>
        <w:pStyle w:val="SingleTxt"/>
        <w:tabs>
          <w:tab w:val="right" w:pos="1685"/>
        </w:tabs>
        <w:ind w:left="1742" w:hanging="475"/>
      </w:pPr>
      <w:r>
        <w:tab/>
        <w:t>–</w:t>
      </w:r>
      <w:r>
        <w:tab/>
        <w:t>Ley relativa a la elección de la Asamblea Nacional</w:t>
      </w:r>
    </w:p>
    <w:p w:rsidR="00000000" w:rsidRDefault="00000000">
      <w:pPr>
        <w:pStyle w:val="SingleTxt"/>
        <w:tabs>
          <w:tab w:val="right" w:pos="1685"/>
        </w:tabs>
        <w:ind w:left="1742" w:hanging="475"/>
      </w:pPr>
      <w:r>
        <w:tab/>
        <w:t>–</w:t>
      </w:r>
      <w:r>
        <w:tab/>
        <w:t>Ley del Estatuto del Abogado (15/6/1995)</w:t>
      </w:r>
    </w:p>
    <w:p w:rsidR="00000000" w:rsidRDefault="00000000">
      <w:pPr>
        <w:pStyle w:val="SingleTxt"/>
        <w:tabs>
          <w:tab w:val="right" w:pos="1685"/>
        </w:tabs>
        <w:ind w:left="1742" w:hanging="475"/>
      </w:pPr>
      <w:r>
        <w:tab/>
        <w:t>–</w:t>
      </w:r>
      <w:r>
        <w:tab/>
        <w:t>Ley relativa al régimen de la prensa (18/7/1995)</w:t>
      </w:r>
    </w:p>
    <w:p w:rsidR="00000000" w:rsidRDefault="00000000">
      <w:pPr>
        <w:pStyle w:val="SingleTxt"/>
        <w:tabs>
          <w:tab w:val="right" w:pos="1685"/>
        </w:tabs>
        <w:ind w:left="1742" w:hanging="475"/>
      </w:pPr>
      <w:r>
        <w:tab/>
        <w:t>–</w:t>
      </w:r>
      <w:r>
        <w:tab/>
        <w:t>Ley de la Cámara de Comercio de Camboya (16/5/1995)</w:t>
      </w:r>
    </w:p>
    <w:p w:rsidR="00000000" w:rsidRDefault="00000000">
      <w:pPr>
        <w:pStyle w:val="SingleTxt"/>
        <w:tabs>
          <w:tab w:val="right" w:pos="1685"/>
        </w:tabs>
        <w:ind w:left="1742" w:hanging="475"/>
      </w:pPr>
      <w:r>
        <w:tab/>
        <w:t>–</w:t>
      </w:r>
      <w:r>
        <w:tab/>
        <w:t>Ley relativa a las normas comerciales y al Registro de Comercio (3/5/1995)</w:t>
      </w:r>
    </w:p>
    <w:p w:rsidR="00000000" w:rsidRDefault="00000000">
      <w:pPr>
        <w:pStyle w:val="SingleTxt"/>
        <w:tabs>
          <w:tab w:val="right" w:pos="1685"/>
        </w:tabs>
        <w:ind w:left="1742" w:hanging="475"/>
      </w:pPr>
      <w:r>
        <w:tab/>
        <w:t>–</w:t>
      </w:r>
      <w:r>
        <w:tab/>
        <w:t>Ley relativa al régimen de pensiones para miembros jubilados y discapacitados de las Fuerzas Armadas del Reino de Camboya (18/10/1995)</w:t>
      </w:r>
    </w:p>
    <w:p w:rsidR="00000000" w:rsidRDefault="00000000">
      <w:pPr>
        <w:pStyle w:val="SingleTxt"/>
        <w:tabs>
          <w:tab w:val="right" w:pos="1685"/>
        </w:tabs>
        <w:ind w:left="1742" w:hanging="475"/>
      </w:pPr>
      <w:r>
        <w:tab/>
        <w:t>–</w:t>
      </w:r>
      <w:r>
        <w:tab/>
        <w:t>Ley relativa a la represión del secuestro, la trata, la venta y la explotación de seres humanos (29/2/1996)</w:t>
      </w:r>
    </w:p>
    <w:p w:rsidR="00000000" w:rsidRDefault="00000000">
      <w:pPr>
        <w:pStyle w:val="SingleTxt"/>
        <w:tabs>
          <w:tab w:val="right" w:pos="1685"/>
        </w:tabs>
        <w:ind w:left="1742" w:hanging="475"/>
      </w:pPr>
      <w:r>
        <w:tab/>
        <w:t>–</w:t>
      </w:r>
      <w:r>
        <w:tab/>
        <w:t>Ley relativa a la fiscalización de las drogas (9/12/1996)</w:t>
      </w:r>
    </w:p>
    <w:p w:rsidR="00000000" w:rsidRDefault="00000000">
      <w:pPr>
        <w:pStyle w:val="SingleTxt"/>
        <w:tabs>
          <w:tab w:val="right" w:pos="1685"/>
        </w:tabs>
        <w:ind w:left="1742" w:hanging="475"/>
      </w:pPr>
      <w:r>
        <w:tab/>
        <w:t>–</w:t>
      </w:r>
      <w:r>
        <w:tab/>
        <w:t>Ley del Trabajo (1997)</w:t>
      </w:r>
    </w:p>
    <w:p w:rsidR="00000000" w:rsidRDefault="00000000">
      <w:pPr>
        <w:pStyle w:val="SingleTxt"/>
        <w:tabs>
          <w:tab w:val="right" w:pos="1685"/>
        </w:tabs>
        <w:ind w:left="1742" w:hanging="475"/>
      </w:pPr>
      <w:r>
        <w:tab/>
        <w:t>–</w:t>
      </w:r>
      <w:r>
        <w:tab/>
        <w:t>Ley Agraria (30/8/2001)</w:t>
      </w:r>
    </w:p>
    <w:p w:rsidR="00000000" w:rsidRDefault="00000000">
      <w:pPr>
        <w:pStyle w:val="SingleTxt"/>
        <w:tabs>
          <w:tab w:val="right" w:pos="1685"/>
        </w:tabs>
        <w:ind w:left="1742" w:hanging="475"/>
      </w:pPr>
      <w:r>
        <w:tab/>
        <w:t>–</w:t>
      </w:r>
      <w:r>
        <w:tab/>
        <w:t>Ley del Aborto (6/10/1997)</w:t>
      </w:r>
    </w:p>
    <w:p w:rsidR="00000000" w:rsidRDefault="00000000">
      <w:pPr>
        <w:pStyle w:val="SingleTxt"/>
      </w:pPr>
      <w:r>
        <w:t>109.</w:t>
      </w:r>
      <w:r>
        <w:tab/>
        <w:t>De conformidad con el artículo 158 de la Constitución de 1993, hay algunas otras leyes que es importante aplicar para llevar a la práctica el principio de igua</w:t>
      </w:r>
      <w:r>
        <w:t>l</w:t>
      </w:r>
      <w:r>
        <w:t>dad e</w:t>
      </w:r>
      <w:r>
        <w:t>n</w:t>
      </w:r>
      <w:r>
        <w:t>tre el hombre y la mujer. Por ejemplo:</w:t>
      </w:r>
    </w:p>
    <w:p w:rsidR="00000000" w:rsidRDefault="00000000">
      <w:pPr>
        <w:pStyle w:val="SingleTxt"/>
        <w:tabs>
          <w:tab w:val="right" w:pos="1685"/>
        </w:tabs>
        <w:ind w:left="1742" w:hanging="475"/>
      </w:pPr>
      <w:r>
        <w:tab/>
        <w:t>–</w:t>
      </w:r>
      <w:r>
        <w:tab/>
        <w:t>Ley relativa al matrimonio y la familia (20/7/1989)</w:t>
      </w:r>
    </w:p>
    <w:p w:rsidR="00000000" w:rsidRDefault="00000000">
      <w:pPr>
        <w:pStyle w:val="SingleTxt"/>
        <w:tabs>
          <w:tab w:val="right" w:pos="1685"/>
        </w:tabs>
        <w:ind w:left="1742" w:hanging="475"/>
      </w:pPr>
      <w:r>
        <w:tab/>
        <w:t>–</w:t>
      </w:r>
      <w:r>
        <w:tab/>
        <w:t>Ley relativa a la ejecución de sentencias civiles (6/4/1992)</w:t>
      </w:r>
    </w:p>
    <w:p w:rsidR="00000000" w:rsidRDefault="00000000">
      <w:pPr>
        <w:pStyle w:val="SingleTxt"/>
        <w:tabs>
          <w:tab w:val="right" w:pos="1685"/>
        </w:tabs>
        <w:ind w:left="1742" w:hanging="475"/>
      </w:pPr>
      <w:r>
        <w:tab/>
        <w:t>–</w:t>
      </w:r>
      <w:r>
        <w:tab/>
        <w:t>Código Penal de Transición (1992)</w:t>
      </w:r>
    </w:p>
    <w:p w:rsidR="00000000" w:rsidRDefault="00000000">
      <w:pPr>
        <w:pStyle w:val="SingleTxt"/>
        <w:tabs>
          <w:tab w:val="right" w:pos="1685"/>
        </w:tabs>
        <w:ind w:left="1742" w:hanging="475"/>
      </w:pPr>
      <w:r>
        <w:tab/>
        <w:t>–</w:t>
      </w:r>
      <w:r>
        <w:tab/>
        <w:t>Ley relativa al sistema judicial (1993)</w:t>
      </w:r>
    </w:p>
    <w:p w:rsidR="00000000" w:rsidRDefault="00000000">
      <w:pPr>
        <w:pStyle w:val="SingleTxt"/>
        <w:tabs>
          <w:tab w:val="right" w:pos="1685"/>
        </w:tabs>
        <w:ind w:left="1742" w:hanging="475"/>
      </w:pPr>
      <w:r>
        <w:tab/>
        <w:t>–</w:t>
      </w:r>
      <w:r>
        <w:tab/>
        <w:t>Ley relativa al proceso penal (1993)</w:t>
      </w:r>
    </w:p>
    <w:p w:rsidR="00000000" w:rsidRDefault="00000000">
      <w:pPr>
        <w:pStyle w:val="SingleTxt"/>
      </w:pPr>
      <w:r>
        <w:t>110.</w:t>
      </w:r>
      <w:r>
        <w:tab/>
        <w:t xml:space="preserve">Además de las leyes enumeradas </w:t>
      </w:r>
      <w:r>
        <w:rPr>
          <w:i/>
        </w:rPr>
        <w:t>supra</w:t>
      </w:r>
      <w:r>
        <w:t>, el Real Gobierno dicta otros instr</w:t>
      </w:r>
      <w:r>
        <w:t>u</w:t>
      </w:r>
      <w:r>
        <w:t xml:space="preserve">mentos jurídicos, como por ejemplo decretos accesorios, circulares y </w:t>
      </w:r>
      <w:r>
        <w:rPr>
          <w:i/>
        </w:rPr>
        <w:t>prakas</w:t>
      </w:r>
      <w:r>
        <w:t xml:space="preserve"> (pr</w:t>
      </w:r>
      <w:r>
        <w:t>o</w:t>
      </w:r>
      <w:r>
        <w:t>clamas), para garantizar la protección, el desarrollo y el adelanto de la mujer sobre la base de la igualdad entre hombres y m</w:t>
      </w:r>
      <w:r>
        <w:t>u</w:t>
      </w:r>
      <w:r>
        <w:t>jeres.</w:t>
      </w:r>
    </w:p>
    <w:p w:rsidR="00000000" w:rsidRDefault="00000000">
      <w:pPr>
        <w:pStyle w:val="SingleTxt"/>
      </w:pPr>
      <w:r>
        <w:t>111.</w:t>
      </w:r>
      <w:r>
        <w:tab/>
        <w:t>El Ministerio del Interior ha determinado que las mujeres detenidas ocupen celdas separadas de las asignadas a los hombres y sean protegidas y supervisadas por agentes del sexo femenino (</w:t>
      </w:r>
      <w:r>
        <w:rPr>
          <w:i/>
        </w:rPr>
        <w:t>Prakas</w:t>
      </w:r>
      <w:r>
        <w:t xml:space="preserve"> No. 217 BrK de 3 de marzo de 1998).</w:t>
      </w:r>
    </w:p>
    <w:p w:rsidR="00000000" w:rsidRDefault="00000000">
      <w:pPr>
        <w:pStyle w:val="SingleTxt"/>
      </w:pPr>
      <w:r>
        <w:t>112.</w:t>
      </w:r>
      <w:r>
        <w:tab/>
        <w:t>En aras del desarrollo y adelanto de la mujer y a efectos de garantizarle el ejercicio y el goce de los derechos y libertades fundamentales sobre la base de la igualdad entre el hombre y la mujer, el Real Gobierno ha establecido estrategias sistemáticas con miras a la creación de condiciones para que la mujer participe pl</w:t>
      </w:r>
      <w:r>
        <w:t>e</w:t>
      </w:r>
      <w:r>
        <w:t>namente en el desarrollo.</w:t>
      </w:r>
    </w:p>
    <w:p w:rsidR="00000000" w:rsidRDefault="00000000">
      <w:pPr>
        <w:pStyle w:val="SingleTxt"/>
        <w:rPr>
          <w:spacing w:val="2"/>
          <w:w w:val="101"/>
        </w:rPr>
      </w:pPr>
      <w:r>
        <w:rPr>
          <w:spacing w:val="2"/>
          <w:w w:val="101"/>
        </w:rPr>
        <w:t>113.</w:t>
      </w:r>
      <w:r>
        <w:rPr>
          <w:spacing w:val="2"/>
          <w:w w:val="101"/>
        </w:rPr>
        <w:tab/>
        <w:t>Con esta visión, el Real Gobierno ha aprobado un Plan Quinquenal de Desarrollo Socioeconómico (2001-2005) y elaborado una estrategia que se pondrá en marcha con el triple propósito de impulsar el desarrollo económico, social y cultural, aprovechar los recursos naturales y ordenar el medio ambiente de manera sost</w:t>
      </w:r>
      <w:r>
        <w:rPr>
          <w:spacing w:val="2"/>
          <w:w w:val="101"/>
        </w:rPr>
        <w:t>e</w:t>
      </w:r>
      <w:r>
        <w:rPr>
          <w:spacing w:val="2"/>
          <w:w w:val="101"/>
        </w:rPr>
        <w:t>nible.</w:t>
      </w:r>
    </w:p>
    <w:p w:rsidR="00000000" w:rsidRDefault="00000000">
      <w:pPr>
        <w:pStyle w:val="SingleTxt"/>
      </w:pPr>
      <w:r>
        <w:t>114.</w:t>
      </w:r>
      <w:r>
        <w:tab/>
        <w:t>Con la misma visión, el Real Gobierno tiene un plan para incrementar los c</w:t>
      </w:r>
      <w:r>
        <w:t>o</w:t>
      </w:r>
      <w:r>
        <w:t>nocimientos prácticos de la mujer de las zonas urbana y rural en los planos del pr</w:t>
      </w:r>
      <w:r>
        <w:t>o</w:t>
      </w:r>
      <w:r>
        <w:t>fesionalismo y la productividad sobre la base de la provisión de enseñanza básica, la eliminación del analfabetismo, la formación profesional, el mejoramiento de los servicios de atención médica y la alimentación.</w:t>
      </w:r>
    </w:p>
    <w:p w:rsidR="00000000" w:rsidRDefault="00000000">
      <w:pPr>
        <w:pStyle w:val="SingleTxt"/>
        <w:rPr>
          <w:spacing w:val="2"/>
          <w:w w:val="101"/>
        </w:rPr>
      </w:pPr>
      <w:r>
        <w:rPr>
          <w:spacing w:val="2"/>
          <w:w w:val="101"/>
        </w:rPr>
        <w:t>115.</w:t>
      </w:r>
      <w:r>
        <w:rPr>
          <w:spacing w:val="2"/>
          <w:w w:val="101"/>
        </w:rPr>
        <w:tab/>
        <w:t>En la práctica, el Real Gobierno ha confiado en el MoAMEC y el CNCM la apr</w:t>
      </w:r>
      <w:r>
        <w:rPr>
          <w:spacing w:val="2"/>
          <w:w w:val="101"/>
        </w:rPr>
        <w:t>o</w:t>
      </w:r>
      <w:r>
        <w:rPr>
          <w:spacing w:val="2"/>
          <w:w w:val="101"/>
        </w:rPr>
        <w:t xml:space="preserve">bación de diversos programas y planes de acción. El MoAMEC ha puesto en marcha un plan quinquenal conocido con el nombre de </w:t>
      </w:r>
      <w:r>
        <w:rPr>
          <w:i/>
          <w:spacing w:val="2"/>
          <w:w w:val="101"/>
        </w:rPr>
        <w:t>Neary Ratanak</w:t>
      </w:r>
      <w:r>
        <w:rPr>
          <w:spacing w:val="2"/>
          <w:w w:val="101"/>
        </w:rPr>
        <w:t>,</w:t>
      </w:r>
      <w:r>
        <w:rPr>
          <w:i/>
          <w:spacing w:val="2"/>
          <w:w w:val="101"/>
        </w:rPr>
        <w:t xml:space="preserve"> </w:t>
      </w:r>
      <w:r>
        <w:rPr>
          <w:spacing w:val="2"/>
          <w:w w:val="101"/>
        </w:rPr>
        <w:t>en el cual se hace hincapié en el desarrollo de la capacidad de la mujer y se otorga prioridad a esferas tales como la educación, la salud, la protección jurídica y el desarrollo econ</w:t>
      </w:r>
      <w:r>
        <w:rPr>
          <w:spacing w:val="2"/>
          <w:w w:val="101"/>
        </w:rPr>
        <w:t>ó</w:t>
      </w:r>
      <w:r>
        <w:rPr>
          <w:spacing w:val="2"/>
          <w:w w:val="101"/>
        </w:rPr>
        <w:t>mico.</w:t>
      </w:r>
    </w:p>
    <w:p w:rsidR="00000000" w:rsidRDefault="00000000">
      <w:pPr>
        <w:pStyle w:val="SingleTxt"/>
      </w:pPr>
      <w:r>
        <w:t>116.</w:t>
      </w:r>
      <w:r>
        <w:tab/>
        <w:t xml:space="preserve">Para llevar a la práctica el </w:t>
      </w:r>
      <w:r>
        <w:rPr>
          <w:i/>
        </w:rPr>
        <w:t xml:space="preserve">Neary Ratanak </w:t>
      </w:r>
      <w:r>
        <w:t>y seguir avanzando hacia la igualdad entre mujeres y hombres, el MoAMEC ha logrado la colaboración de ONG naci</w:t>
      </w:r>
      <w:r>
        <w:t>o</w:t>
      </w:r>
      <w:r>
        <w:t>nales e internacionales para incorporar las cuestiones de género en la vida de</w:t>
      </w:r>
      <w:r>
        <w:rPr>
          <w:i/>
        </w:rPr>
        <w:t xml:space="preserve"> </w:t>
      </w:r>
      <w:r>
        <w:t>las instituciones estatales y privadas y de las comunidades locales. El Ministerio que desempeña el papel más activo en esta esfera es el Ministerio de Educación, la J</w:t>
      </w:r>
      <w:r>
        <w:t>u</w:t>
      </w:r>
      <w:r>
        <w:t>ventud y los Deportes.</w:t>
      </w:r>
    </w:p>
    <w:p w:rsidR="00000000" w:rsidRDefault="00000000">
      <w:pPr>
        <w:pStyle w:val="SingleTxt"/>
      </w:pPr>
      <w:r>
        <w:t>117.</w:t>
      </w:r>
      <w:r>
        <w:tab/>
        <w:t>El Real Gobierno ha puesto en marcha programas de reforma en todos los á</w:t>
      </w:r>
      <w:r>
        <w:t>m</w:t>
      </w:r>
      <w:r>
        <w:t>bitos, especialmente en el del Poder Judicial, y se ha asegurado de que no haya obstáculos para el desarrollo y el adelanto de la mujer a fin de que goce de los mi</w:t>
      </w:r>
      <w:r>
        <w:t>s</w:t>
      </w:r>
      <w:r>
        <w:t>mos derechos que tiene el hombre.</w:t>
      </w:r>
    </w:p>
    <w:p w:rsidR="00000000" w:rsidRDefault="00000000">
      <w:pPr>
        <w:pStyle w:val="SingleTxt"/>
      </w:pPr>
      <w:r>
        <w:t>118.</w:t>
      </w:r>
      <w:r>
        <w:tab/>
        <w:t>Aunque se han desplegado esfuerzos considerables, la adopción y posterior aplicación de las medidas jurídicas y administrativas no siempre han sido apropi</w:t>
      </w:r>
      <w:r>
        <w:t>a</w:t>
      </w:r>
      <w:r>
        <w:t>das y plenamente eficaces. Por un lado, la incorporación de las cuestiones de género en la vida de las instituciones públicas es limitada y en el fondo no es aceptada; por el otro, las cue</w:t>
      </w:r>
      <w:r>
        <w:t>s</w:t>
      </w:r>
      <w:r>
        <w:t>tiones de género no son comprendidas del todo.</w:t>
      </w:r>
    </w:p>
    <w:p w:rsidR="00000000" w:rsidRDefault="00000000">
      <w:pPr>
        <w:pStyle w:val="SingleTxt"/>
        <w:keepNext/>
        <w:keepLines/>
      </w:pPr>
      <w:r>
        <w:t>119.</w:t>
      </w:r>
      <w:r>
        <w:tab/>
        <w:t>La inacción ha sido el resultado de la comprensión limitada de los ciudadanos khmers en general. Las cuestiones de género no se entienden del todo. El reconoc</w:t>
      </w:r>
      <w:r>
        <w:t>i</w:t>
      </w:r>
      <w:r>
        <w:t>miento de la capacidad de la mujer sigue siendo escaso. En términos generales, las leyes se hacen cumplir sin suficiente rigor y por esta razón las medidas adoptadas no son muy eficaces.</w:t>
      </w:r>
    </w:p>
    <w:p w:rsidR="00000000" w:rsidRDefault="00000000">
      <w:pPr>
        <w:pStyle w:val="SingleTxt"/>
      </w:pPr>
      <w:r>
        <w:t>120.</w:t>
      </w:r>
      <w:r>
        <w:tab/>
        <w:t>Teniendo en cuenta estas deficiencias, el Real Gobierno lleva a cabo un pr</w:t>
      </w:r>
      <w:r>
        <w:t>o</w:t>
      </w:r>
      <w:r>
        <w:t>grama de reforma fundamental, el de la reforma administrativa, con la cual se pr</w:t>
      </w:r>
      <w:r>
        <w:t>o</w:t>
      </w:r>
      <w:r>
        <w:t>cura modificar las ideas y poner en marcha procedimientos en las instituciones p</w:t>
      </w:r>
      <w:r>
        <w:t>ú</w:t>
      </w:r>
      <w:r>
        <w:t>blicas y privadas y cambios en el sistema legislativo y judicial que garanticen la s</w:t>
      </w:r>
      <w:r>
        <w:t>e</w:t>
      </w:r>
      <w:r>
        <w:t>guridad de la m</w:t>
      </w:r>
      <w:r>
        <w:t>u</w:t>
      </w:r>
      <w:r>
        <w:t>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especiales de carácter temporal para promover la igualdad entre el hombre y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4</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La adopción por los Estados Partes de medidas especiales de carácter temp</w:t>
      </w:r>
      <w:r>
        <w:rPr>
          <w:i/>
        </w:rPr>
        <w:t>o</w:t>
      </w:r>
      <w:r>
        <w:rPr>
          <w:i/>
        </w:rPr>
        <w:t xml:space="preserve">ral encaminadas a acelerar la igualdad </w:t>
      </w:r>
      <w:r>
        <w:t>de facto</w:t>
      </w:r>
      <w:r>
        <w:rPr>
          <w:i/>
        </w:rPr>
        <w:t xml:space="preserve"> entre el hombre y la mujer no se considerará discriminación en la forma definida en la presente Convención, pero de ningún modo entrañará, como consecuencia, el mantenimiento de normas desigu</w:t>
      </w:r>
      <w:r>
        <w:rPr>
          <w:i/>
        </w:rPr>
        <w:t>a</w:t>
      </w:r>
      <w:r>
        <w:rPr>
          <w:i/>
        </w:rPr>
        <w:t>les o separadas; estas medidas cesarán cuando se hayan alcanzado los objetivos de igualdad de oportunidad y trato.</w:t>
      </w:r>
    </w:p>
    <w:p w:rsidR="00000000" w:rsidRDefault="00000000">
      <w:pPr>
        <w:pStyle w:val="SingleTxt"/>
        <w:rPr>
          <w:i/>
        </w:rPr>
      </w:pPr>
      <w:r>
        <w:rPr>
          <w:i/>
        </w:rPr>
        <w:t>2.</w:t>
      </w:r>
      <w:r>
        <w:rPr>
          <w:i/>
        </w:rPr>
        <w:tab/>
        <w:t>La adopción por los Estados Partes de medidas especiales, incluso las cont</w:t>
      </w:r>
      <w:r>
        <w:rPr>
          <w:i/>
        </w:rPr>
        <w:t>e</w:t>
      </w:r>
      <w:r>
        <w:rPr>
          <w:i/>
        </w:rPr>
        <w:t>nidas en la presente Convención, encaminadas a proteger la maternidad no se co</w:t>
      </w:r>
      <w:r>
        <w:rPr>
          <w:i/>
        </w:rPr>
        <w:t>n</w:t>
      </w:r>
      <w:r>
        <w:rPr>
          <w:i/>
        </w:rPr>
        <w:t>siderará discriminatoria.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121.</w:t>
      </w:r>
      <w:r>
        <w:tab/>
        <w:t>El Reino de Camboya ha reconocido la igualdad de derechos entre el hombre y la mujer al habilitar a ésta para ejercer todos sus derechos mediante un recurso legal que se consigna en la Constitución actual. La asignación de derechos a la mujer m</w:t>
      </w:r>
      <w:r>
        <w:t>e</w:t>
      </w:r>
      <w:r>
        <w:t>diante un recurso legal tiene por objeto permitirle el ejercicio pleno de los derechos humanos y el goce de sus funciones en las esferas política, económica, social y cu</w:t>
      </w:r>
      <w:r>
        <w:t>l</w:t>
      </w:r>
      <w:r>
        <w:t>tural en pie de igualdad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122.</w:t>
      </w:r>
      <w:r>
        <w:tab/>
        <w:t xml:space="preserve">Imbuido del espíritu expuesto </w:t>
      </w:r>
      <w:r>
        <w:rPr>
          <w:i/>
        </w:rPr>
        <w:t>supra</w:t>
      </w:r>
      <w:r>
        <w:t>, el Real Gobierno de Camboya se ha e</w:t>
      </w:r>
      <w:r>
        <w:t>s</w:t>
      </w:r>
      <w:r>
        <w:t>forzado por elaborar y adoptar todas las medidas apropiadas que induzcan a la mujer a ejercer sus derechos en pie de igualdad con el hombre. Al proceder así, el Real Gobierno de Camboya no ha considerado que sean discriminatorias y además ha aceptado las medidas especiales de carácter temporal determinadas en el artículo 4 de la CEDAW.</w:t>
      </w:r>
    </w:p>
    <w:p w:rsidR="00000000" w:rsidRDefault="00000000">
      <w:pPr>
        <w:pStyle w:val="SingleTxt"/>
      </w:pPr>
      <w:r>
        <w:t>123.</w:t>
      </w:r>
      <w:r>
        <w:tab/>
        <w:t>En la Constitución del Reino de Camboya hay asimismo una cláusula especial pendiente de aplicación:</w:t>
      </w:r>
    </w:p>
    <w:p w:rsidR="00000000" w:rsidRDefault="00000000">
      <w:pPr>
        <w:pStyle w:val="SingleTxt"/>
        <w:tabs>
          <w:tab w:val="right" w:pos="1685"/>
        </w:tabs>
        <w:ind w:left="1742" w:hanging="475"/>
      </w:pPr>
      <w:r>
        <w:tab/>
        <w:t>–</w:t>
      </w:r>
      <w:r>
        <w:tab/>
        <w:t>El artículo 73 estipula: “El Estado tendrá muy en cuenta a los niños y las m</w:t>
      </w:r>
      <w:r>
        <w:t>a</w:t>
      </w:r>
      <w:r>
        <w:t>dres. El Estado establecerá guarderías infantiles y otorgará ayuda a las mujeres con muchos hijos que no cuenten con medios de su</w:t>
      </w:r>
      <w:r>
        <w:t>s</w:t>
      </w:r>
      <w:r>
        <w:t>tento suficientes”.</w:t>
      </w:r>
    </w:p>
    <w:p w:rsidR="00000000" w:rsidRDefault="00000000">
      <w:pPr>
        <w:pStyle w:val="SingleTxt"/>
        <w:tabs>
          <w:tab w:val="right" w:pos="1685"/>
        </w:tabs>
        <w:ind w:left="1742" w:hanging="475"/>
      </w:pPr>
      <w:r>
        <w:tab/>
        <w:t>–</w:t>
      </w:r>
      <w:r>
        <w:tab/>
        <w:t>El tercer párrafo del artículo 46 reza así: “El Estado y la sociedad brindarán oportunidades a la mujer, especialmente a la que vive en zonas rurales y no cuenta con medios de sustento satisfactorios, para que pueda obtener empleo y asistencia médica, enviar a sus hijos a la e</w:t>
      </w:r>
      <w:r>
        <w:t>s</w:t>
      </w:r>
      <w:r>
        <w:t>cuela y vivir decentemente”.</w:t>
      </w:r>
    </w:p>
    <w:p w:rsidR="00000000" w:rsidRDefault="00000000">
      <w:pPr>
        <w:pStyle w:val="SingleTxt"/>
      </w:pPr>
      <w:r>
        <w:t>124.</w:t>
      </w:r>
      <w:r>
        <w:tab/>
        <w:t>Imbuido del mismo espíritu de la Constitución, el Estatuto común de los fu</w:t>
      </w:r>
      <w:r>
        <w:t>n</w:t>
      </w:r>
      <w:r>
        <w:t>cionarios públicos del Reino de Camboya ha dado preferencia a la mujer en caso de que se seleccione al personal por emplear. El inciso 6) del artículo 11 del Estatuto común indica que “se podrá otorgar prioridad y conceder facilidades a los miembros de grupos min</w:t>
      </w:r>
      <w:r>
        <w:t>o</w:t>
      </w:r>
      <w:r>
        <w:t>ritarios, las personas que viven en zonas remotas y las mujeres”.</w:t>
      </w:r>
    </w:p>
    <w:p w:rsidR="00000000" w:rsidRDefault="00000000">
      <w:pPr>
        <w:pStyle w:val="SingleTxt"/>
      </w:pPr>
      <w:r>
        <w:t>125.</w:t>
      </w:r>
      <w:r>
        <w:tab/>
        <w:t>El Ministerio de Educación, la Juventud y los Deportes ha diseñado una polít</w:t>
      </w:r>
      <w:r>
        <w:t>i</w:t>
      </w:r>
      <w:r>
        <w:t>ca especial para ayudar a las mujeres estudiantes con ocasión del procedimiento de selección requerido para ingresar en una etapa superior de la educación: siempre que las calificaciones sean las mismas entre mujeres y varones, se dará preferencia a las estudiantes mujeres.</w:t>
      </w:r>
    </w:p>
    <w:p w:rsidR="00000000" w:rsidRDefault="00000000">
      <w:pPr>
        <w:pStyle w:val="SingleTxt"/>
      </w:pPr>
      <w:r>
        <w:t>126.</w:t>
      </w:r>
      <w:r>
        <w:tab/>
        <w:t>La Ley relativa al régimen de pensiones para miembros jubilados y discapac</w:t>
      </w:r>
      <w:r>
        <w:t>i</w:t>
      </w:r>
      <w:r>
        <w:t>tados de las Reales Fuerzas Armadas de Camboya ha dado preferencia a los sold</w:t>
      </w:r>
      <w:r>
        <w:t>a</w:t>
      </w:r>
      <w:r>
        <w:t>dos del sexo femenino en lo relativo a:</w:t>
      </w:r>
    </w:p>
    <w:p w:rsidR="00000000" w:rsidRDefault="00000000">
      <w:pPr>
        <w:pStyle w:val="SingleTxt"/>
        <w:tabs>
          <w:tab w:val="right" w:pos="1685"/>
        </w:tabs>
        <w:ind w:left="1742" w:hanging="475"/>
      </w:pPr>
      <w:r>
        <w:tab/>
        <w:t>1.</w:t>
      </w:r>
      <w:r>
        <w:tab/>
        <w:t>Los montos mínimo y máximo de las pensiones del régimen;</w:t>
      </w:r>
    </w:p>
    <w:p w:rsidR="00000000" w:rsidRDefault="00000000">
      <w:pPr>
        <w:pStyle w:val="SingleTxt"/>
        <w:tabs>
          <w:tab w:val="right" w:pos="1685"/>
        </w:tabs>
        <w:ind w:left="1742" w:hanging="475"/>
      </w:pPr>
      <w:r>
        <w:tab/>
        <w:t>2.</w:t>
      </w:r>
      <w:r>
        <w:tab/>
        <w:t>La definición de pérdida de la capacidad laboral en las pensiones del régimen.</w:t>
      </w:r>
    </w:p>
    <w:p w:rsidR="00000000" w:rsidRDefault="00000000">
      <w:pPr>
        <w:pStyle w:val="SingleTxt"/>
        <w:rPr>
          <w:spacing w:val="2"/>
          <w:w w:val="101"/>
        </w:rPr>
      </w:pPr>
      <w:r>
        <w:tab/>
      </w:r>
      <w:r>
        <w:rPr>
          <w:spacing w:val="2"/>
          <w:w w:val="101"/>
        </w:rPr>
        <w:t>Con arreglo a la definición de esta Ley, preferencia quiere decir establecimiento de condiciones menos rigurosas para la mujer en comparación con el ho</w:t>
      </w:r>
      <w:r>
        <w:rPr>
          <w:spacing w:val="2"/>
          <w:w w:val="101"/>
        </w:rPr>
        <w:t>m</w:t>
      </w:r>
      <w:r>
        <w:rPr>
          <w:spacing w:val="2"/>
          <w:w w:val="101"/>
        </w:rPr>
        <w:t>bre.</w:t>
      </w:r>
    </w:p>
    <w:p w:rsidR="00000000" w:rsidRDefault="00000000">
      <w:pPr>
        <w:pStyle w:val="SingleTxt"/>
      </w:pPr>
      <w:r>
        <w:t>127.</w:t>
      </w:r>
      <w:r>
        <w:tab/>
        <w:t>Camboya no considera que estas medidas especiales entrañen discriminación entre hombres y mujeres: entiende, por el contrario, que garantizan que las mujeres gocen de las ventajas que representa la igualdad de derechos en la etapa actual. S</w:t>
      </w:r>
      <w:r>
        <w:t>o</w:t>
      </w:r>
      <w:r>
        <w:t>bre la base de este principio, el Real Gobierno también ha prestado atención a la construcción de residencias para las mujeres estudiantes.</w:t>
      </w:r>
    </w:p>
    <w:p w:rsidR="00000000" w:rsidRDefault="00000000">
      <w:pPr>
        <w:pStyle w:val="SingleTxt"/>
      </w:pPr>
      <w:r>
        <w:t>128.</w:t>
      </w:r>
      <w:r>
        <w:tab/>
        <w:t>El Real Gobierno de Camboya ha procurado dictar varias medidas especiales para asegurarse de que las mujeres gocen plenamente de sus derechos y libertades: por ejemplo, ha establecido recientemente las denominadas comisiones de la mujer y del niño de las comunas/sangkats y exige que haya mujeres entre sus miembros. En caso de que no haya ninguna mujer que integre el consejo comunal/de sangkat, el Ministerio del Interior y el MoAMEC están facultados para seleccionar a la mujer que ha de incorporarse en la comisión. El Real Gobierno ha determinado que una de las tres autoridades de los pueblos (el jefe, el subjefe y el jefe adjunto) debe ser una mujer; además, 40% de los miembros de las comisiones de desarrollo del pueblo d</w:t>
      </w:r>
      <w:r>
        <w:t>e</w:t>
      </w:r>
      <w:r>
        <w:t>ben ser mujeres. La cuestión fundamental, a la que presta atención el Real Gobierno, se plasma en la creación del Ministerio de Asuntos de la Mujer y los Ex Comb</w:t>
      </w:r>
      <w:r>
        <w:t>a</w:t>
      </w:r>
      <w:r>
        <w:t>tientes (MoAMEC) y del Consejo Nacional Camboyano de la Mujer (CNCM), que dirige Samdech Preah Reach Akak Mohesei Norodom Monineath como presidente honorario.</w:t>
      </w:r>
    </w:p>
    <w:p w:rsidR="00000000" w:rsidRDefault="00000000">
      <w:pPr>
        <w:pStyle w:val="SingleTxt"/>
        <w:keepNext/>
        <w:keepLines/>
      </w:pPr>
      <w:r>
        <w:t>129.</w:t>
      </w:r>
      <w:r>
        <w:tab/>
        <w:t>Si bien se han desplegado esfuerzos por adoptar medidas especiales, estas m</w:t>
      </w:r>
      <w:r>
        <w:t>e</w:t>
      </w:r>
      <w:r>
        <w:t>didas no se han traducido todavía en acciones prácticas, lo que quiere decir que los resultados obtenidos son escasos; por eso el proceso de adelanto de la mujer se hace lento y, habida cuenta de las circunstancias imperantes, no se puede lograr su plena igualdad con el hombre.</w:t>
      </w:r>
    </w:p>
    <w:p w:rsidR="00000000" w:rsidRDefault="00000000">
      <w:pPr>
        <w:pStyle w:val="SingleTxt"/>
      </w:pPr>
      <w:r>
        <w:t>130.</w:t>
      </w:r>
      <w:r>
        <w:tab/>
        <w:t>Los principales obstáculos derivan del hecho de que no se comprende a fondo la definición de adopción de medidas especiales formulada en las disposiciones de la Convención. La adopción de medidas especiales de carácter temporal sigue sie</w:t>
      </w:r>
      <w:r>
        <w:t>n</w:t>
      </w:r>
      <w:r>
        <w:t>do un tema de debate que todavía no resulta claro para la gente: algunos ponen de relieve la debilidad de la mujer y la invocan como razón de que la mujer no pueda hacer su trabajo en igualdad de condiciones con el hombre. Todavía no se ha est</w:t>
      </w:r>
      <w:r>
        <w:t>u</w:t>
      </w:r>
      <w:r>
        <w:t>diado el verdadero efecto de estas medidas, que siguen sin analizar ni verificar e i</w:t>
      </w:r>
      <w:r>
        <w:t>n</w:t>
      </w:r>
      <w:r>
        <w:t>cluso no están en vigencia. Al respecto, el Real Gobierno acaba de emprender un plan especial con carácter experimental y en un plano reducido y modesto: en los pueblos y com</w:t>
      </w:r>
      <w:r>
        <w:t>u</w:t>
      </w:r>
      <w:r>
        <w:t>nas/sangkats.</w:t>
      </w:r>
    </w:p>
    <w:p w:rsidR="00000000" w:rsidRDefault="00000000">
      <w:pPr>
        <w:pStyle w:val="SingleTxt"/>
      </w:pPr>
      <w:r>
        <w:t>131.</w:t>
      </w:r>
      <w:r>
        <w:tab/>
        <w:t>Aunque se han encontrado algunos problemas para que la adopción de medidas especiales acelere la materialización de la igualdad de hecho entre mujeres y ho</w:t>
      </w:r>
      <w:r>
        <w:t>m</w:t>
      </w:r>
      <w:r>
        <w:t>bres, el Real Gobierno de Camboya, por conducto del MoAMEC, ha estimulado una mejor comprensión del tema de la igualdad por parte de los ciudadanos que viven en zonas urbanas y muy populosas poniendo en marcha una estrategia para integrar las cuestiones de género en el funcionamiento de las instituciones estatales y privadas. Al mismo tiempo, la integración de las cuestiones de género también se ha incorp</w:t>
      </w:r>
      <w:r>
        <w:t>o</w:t>
      </w:r>
      <w:r>
        <w:t xml:space="preserve">rado en el Programa Nacional de Gobierno Descentralizado </w:t>
      </w:r>
      <w:r>
        <w:rPr>
          <w:i/>
        </w:rPr>
        <w:t>SEILA</w:t>
      </w:r>
      <w:r>
        <w:t>, un programa concebido con miras al desarrollo de pueblos y comunas.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encaminadas a proteger la maternidad no se consideran discriminatorias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132.</w:t>
      </w:r>
      <w:r>
        <w:tab/>
        <w:t>El Reino de Camboya reconoce que la maternidad es una función social indi</w:t>
      </w:r>
      <w:r>
        <w:t>s</w:t>
      </w:r>
      <w:r>
        <w:t>pensable a la que se debe prestar especial atención para lograr mejores resultados y garantizar el adelanto de la mujer y los n</w:t>
      </w:r>
      <w:r>
        <w:t>i</w:t>
      </w:r>
      <w:r>
        <w:t>ños.</w:t>
      </w:r>
    </w:p>
    <w:p w:rsidR="00000000" w:rsidRDefault="00000000">
      <w:pPr>
        <w:pStyle w:val="SingleTxt"/>
      </w:pPr>
      <w:r>
        <w:t>133.</w:t>
      </w:r>
      <w:r>
        <w:tab/>
        <w:t>El Real Gobierno no considera que las medidas adoptadas para proteger la maternidad sean discriminatorias. Ha dictado diversas medidas para proteger la m</w:t>
      </w:r>
      <w:r>
        <w:t>a</w:t>
      </w:r>
      <w:r>
        <w:t>ternidad y lograr que esa protección sea más eficaz.</w:t>
      </w:r>
    </w:p>
    <w:p w:rsidR="00000000" w:rsidRDefault="00000000">
      <w:pPr>
        <w:pStyle w:val="SingleTxt"/>
      </w:pPr>
      <w:r>
        <w:t>134.</w:t>
      </w:r>
      <w:r>
        <w:tab/>
        <w:t>La protección de la maternidad en el Reino de Camboya está definida en el s</w:t>
      </w:r>
      <w:r>
        <w:t>e</w:t>
      </w:r>
      <w:r>
        <w:t>gundo párrafo del artículo 46 de la Constitución, que reza así: “Las mujeres no pe</w:t>
      </w:r>
      <w:r>
        <w:t>r</w:t>
      </w:r>
      <w:r>
        <w:t>derán su empleo a causa de su embarazo. Las mujeres tendrán derecho a gozar de la licencia de maternidad percibiendo su salario íntegro y sin perder su antigüedad ni otros beneficios sociales”.</w:t>
      </w:r>
    </w:p>
    <w:p w:rsidR="00000000" w:rsidRDefault="00000000">
      <w:pPr>
        <w:pStyle w:val="SingleTxt"/>
      </w:pPr>
      <w:r>
        <w:t>135.</w:t>
      </w:r>
      <w:r>
        <w:tab/>
        <w:t xml:space="preserve">Sobre la base del principio enunciado </w:t>
      </w:r>
      <w:r>
        <w:rPr>
          <w:i/>
        </w:rPr>
        <w:t>supra</w:t>
      </w:r>
      <w:r>
        <w:t>, el Reino de Camboya no consid</w:t>
      </w:r>
      <w:r>
        <w:t>e</w:t>
      </w:r>
      <w:r>
        <w:t>ra discriminatorias las medidas legales de protección de la maternidad y, por cons</w:t>
      </w:r>
      <w:r>
        <w:t>i</w:t>
      </w:r>
      <w:r>
        <w:t>guiente, las ha aceptado. Las medidas adoptadas para proteger la maternidad se enumeran en los artículos 182 a 187 de la Ley del Trabajo de 1997.</w:t>
      </w:r>
    </w:p>
    <w:p w:rsidR="00000000" w:rsidRDefault="00000000">
      <w:pPr>
        <w:pStyle w:val="SingleTxt"/>
        <w:keepNext/>
        <w:keepLines/>
        <w:ind w:left="1742" w:hanging="475"/>
        <w:rPr>
          <w:spacing w:val="2"/>
          <w:w w:val="101"/>
        </w:rPr>
      </w:pPr>
      <w:r>
        <w:rPr>
          <w:spacing w:val="2"/>
          <w:w w:val="101"/>
        </w:rPr>
        <w:t>Artículo 182: determina que las mujeres tienen derecho a gozar de una licencia de m</w:t>
      </w:r>
      <w:r>
        <w:rPr>
          <w:spacing w:val="2"/>
          <w:w w:val="101"/>
        </w:rPr>
        <w:t>a</w:t>
      </w:r>
      <w:r>
        <w:rPr>
          <w:spacing w:val="2"/>
          <w:w w:val="101"/>
        </w:rPr>
        <w:t>ternidad de 90 días y a realizar trabajos livianos por un período de dos meses contados a partir de la terminación de esa licencia; además, prohíbe a los emple</w:t>
      </w:r>
      <w:r>
        <w:rPr>
          <w:spacing w:val="2"/>
          <w:w w:val="101"/>
        </w:rPr>
        <w:t>a</w:t>
      </w:r>
      <w:r>
        <w:rPr>
          <w:spacing w:val="2"/>
          <w:w w:val="101"/>
        </w:rPr>
        <w:t>dores que despidan a una mujer mientras goce de su licencia de mate</w:t>
      </w:r>
      <w:r>
        <w:rPr>
          <w:spacing w:val="2"/>
          <w:w w:val="101"/>
        </w:rPr>
        <w:t>r</w:t>
      </w:r>
      <w:r>
        <w:rPr>
          <w:spacing w:val="2"/>
          <w:w w:val="101"/>
        </w:rPr>
        <w:t>nidad.</w:t>
      </w:r>
    </w:p>
    <w:p w:rsidR="00000000" w:rsidRDefault="00000000">
      <w:pPr>
        <w:pStyle w:val="SingleTxt"/>
        <w:ind w:left="1742" w:hanging="475"/>
      </w:pPr>
      <w:r>
        <w:t>Artículo 183: determina que la mujer que haga uso de la licencia de maternidad ti</w:t>
      </w:r>
      <w:r>
        <w:t>e</w:t>
      </w:r>
      <w:r>
        <w:t>ne derecho a percibir la mitad de su salario y de sus otras gratificaciones, si proc</w:t>
      </w:r>
      <w:r>
        <w:t>e</w:t>
      </w:r>
      <w:r>
        <w:t>diere.</w:t>
      </w:r>
    </w:p>
    <w:p w:rsidR="00000000" w:rsidRDefault="00000000">
      <w:pPr>
        <w:pStyle w:val="SingleTxt"/>
        <w:ind w:left="1742" w:hanging="475"/>
      </w:pPr>
      <w:r>
        <w:t>Artículo 184: determina que las mujeres con hijos pequeños tienen derecho a una hora diaria de recesos para amamantarlos.</w:t>
      </w:r>
    </w:p>
    <w:p w:rsidR="00000000" w:rsidRDefault="00000000">
      <w:pPr>
        <w:pStyle w:val="SingleTxt"/>
        <w:ind w:left="1742" w:hanging="475"/>
      </w:pPr>
      <w:r>
        <w:t>Artículo 185: determina que los recesos para la lactancia no se deben deducir de los recesos normales.</w:t>
      </w:r>
    </w:p>
    <w:p w:rsidR="00000000" w:rsidRDefault="00000000">
      <w:pPr>
        <w:pStyle w:val="SingleTxt"/>
        <w:ind w:left="1742" w:hanging="475"/>
      </w:pPr>
      <w:r>
        <w:t>Artículo 186: determina que los empresarios cuyas empresas tengan entre sus e</w:t>
      </w:r>
      <w:r>
        <w:t>m</w:t>
      </w:r>
      <w:r>
        <w:t>pleados a un centenar de mujeres como mínimo deberán abrir un parvulario y una guardería infantil.</w:t>
      </w:r>
    </w:p>
    <w:p w:rsidR="00000000" w:rsidRDefault="00000000">
      <w:pPr>
        <w:pStyle w:val="SingleTxt"/>
        <w:ind w:left="1742" w:hanging="475"/>
      </w:pPr>
      <w:r>
        <w:t>Artículo 187: determina que el parvulario y la guardería deben estar vigilados y fu</w:t>
      </w:r>
      <w:r>
        <w:t>n</w:t>
      </w:r>
      <w:r>
        <w:t>cionar sin problemas de higiene.</w:t>
      </w:r>
    </w:p>
    <w:p w:rsidR="00000000" w:rsidRDefault="00000000">
      <w:pPr>
        <w:pStyle w:val="SingleTxt"/>
      </w:pPr>
      <w:r>
        <w:t>136.</w:t>
      </w:r>
      <w:r>
        <w:tab/>
        <w:t>En las instituciones públicas, el Real Gobierno permite que, con ocasión del parto, las mujeres gocen de una licencia de maternidad de tres meses cobrando ínt</w:t>
      </w:r>
      <w:r>
        <w:t>e</w:t>
      </w:r>
      <w:r>
        <w:t>gramente su salario.</w:t>
      </w:r>
    </w:p>
    <w:p w:rsidR="00000000" w:rsidRDefault="00000000">
      <w:pPr>
        <w:pStyle w:val="SingleTxt"/>
      </w:pPr>
      <w:r>
        <w:tab/>
        <w:t>En términos generales, ninguna medida tendiente a proteger la maternidad es considerada discriminatoria. El Real Gobierno entiende que la protección de la m</w:t>
      </w:r>
      <w:r>
        <w:t>a</w:t>
      </w:r>
      <w:r>
        <w:t>ternidad es una función social de importancia c</w:t>
      </w:r>
      <w:r>
        <w:t>a</w:t>
      </w:r>
      <w:r>
        <w:t>pital.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Modificación de los patrones socioculturales de conducta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5</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tomarán todas las medidas apropiadas para:</w:t>
      </w:r>
    </w:p>
    <w:p w:rsidR="00000000" w:rsidRDefault="00000000">
      <w:pPr>
        <w:pStyle w:val="SingleTxt"/>
        <w:rPr>
          <w:i/>
          <w:spacing w:val="2"/>
          <w:w w:val="101"/>
        </w:rPr>
      </w:pPr>
      <w:r>
        <w:rPr>
          <w:i/>
          <w:spacing w:val="2"/>
          <w:w w:val="101"/>
        </w:rPr>
        <w:tab/>
        <w:t>a)</w:t>
      </w:r>
      <w:r>
        <w:rPr>
          <w:i/>
          <w:spacing w:val="2"/>
          <w:w w:val="101"/>
        </w:rPr>
        <w:tab/>
        <w:t>Modificar los patrones socioculturales de conducta de hombres y mujeres, con miras a alcanzar la eliminación de los prejuicios y las prácticas consuetudinarias y de cualquier otra índole que estén basados en la idea de la inferioridad o superioridad de cualquiera de los sexos o en funciones estereotipadas de hombres y mujeres;</w:t>
      </w:r>
    </w:p>
    <w:p w:rsidR="00000000" w:rsidRDefault="00000000">
      <w:pPr>
        <w:pStyle w:val="SingleTxt"/>
        <w:rPr>
          <w:i/>
        </w:rPr>
      </w:pPr>
      <w:r>
        <w:rPr>
          <w:i/>
        </w:rPr>
        <w:tab/>
        <w:t>b)</w:t>
      </w:r>
      <w:r>
        <w:rPr>
          <w:i/>
        </w:rPr>
        <w:tab/>
        <w:t>Garantizar que la educación familiar incluya una comprensión adecuada de la maternidad como función social y el reconocimiento de la responsabilidad común de hombres y mujeres en cuanto a la educación y al desarrollo de sus hijos, en la inteligencia de que el interés de los hijos constituirá la consideración primo</w:t>
      </w:r>
      <w:r>
        <w:rPr>
          <w:i/>
        </w:rPr>
        <w:t>r</w:t>
      </w:r>
      <w:r>
        <w:rPr>
          <w:i/>
        </w:rPr>
        <w:t>dial en t</w:t>
      </w:r>
      <w:r>
        <w:rPr>
          <w:i/>
        </w:rPr>
        <w:t>o</w:t>
      </w:r>
      <w:r>
        <w:rPr>
          <w:i/>
        </w:rPr>
        <w:t>dos los casos.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carga de la mujer según la costumbre y la tradición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137.</w:t>
      </w:r>
      <w:r>
        <w:tab/>
        <w:t>Imperan en el Reino de Camboya costumbres y tradiciones que, en sentido e</w:t>
      </w:r>
      <w:r>
        <w:t>s</w:t>
      </w:r>
      <w:r>
        <w:t>tricto, imponen a la mujer una carga en las esferas social y cultural. Un código tr</w:t>
      </w:r>
      <w:r>
        <w:t>a</w:t>
      </w:r>
      <w:r>
        <w:t>dicional de conducta (</w:t>
      </w:r>
      <w:r>
        <w:rPr>
          <w:i/>
        </w:rPr>
        <w:t>Chbab Srey</w:t>
      </w:r>
      <w:r>
        <w:t>) que rige la vida de las mujeres se ha convertido para éstas en una muralla que les cierra el acceso a derechos y libertades y lleva aparejada la desigua</w:t>
      </w:r>
      <w:r>
        <w:t>l</w:t>
      </w:r>
      <w:r>
        <w:t>dad entre hombres y mujeres en las esferas social y cultural.</w:t>
      </w:r>
    </w:p>
    <w:p w:rsidR="00000000" w:rsidRDefault="00000000">
      <w:pPr>
        <w:pStyle w:val="SingleTxt"/>
      </w:pPr>
      <w:r>
        <w:t>138.</w:t>
      </w:r>
      <w:r>
        <w:tab/>
        <w:t>Un antiguo refrán, “el pastel nunca es más grande que el horno”, sirve de fu</w:t>
      </w:r>
      <w:r>
        <w:t>n</w:t>
      </w:r>
      <w:r>
        <w:t>damento para que las hijas tengan que vivir bajo la estricta dirección de sus padres, que se encargan especialmente de seleccionar a sus parejas maritales. Esto quiere decir que las hijas tienen poco derecho a protestar contra los matrimonios arregl</w:t>
      </w:r>
      <w:r>
        <w:t>a</w:t>
      </w:r>
      <w:r>
        <w:t>dos. La selección del cónyuge es una cuestión que deciden los padres. Una vez co</w:t>
      </w:r>
      <w:r>
        <w:t>n</w:t>
      </w:r>
      <w:r>
        <w:t>certado el matrimonio, las mujeres quedan bajo la dirección de sus maridos.</w:t>
      </w:r>
    </w:p>
    <w:p w:rsidR="00000000" w:rsidRDefault="00000000">
      <w:pPr>
        <w:pStyle w:val="SingleTxt"/>
        <w:rPr>
          <w:spacing w:val="2"/>
          <w:w w:val="101"/>
        </w:rPr>
      </w:pPr>
      <w:r>
        <w:rPr>
          <w:spacing w:val="2"/>
          <w:w w:val="101"/>
        </w:rPr>
        <w:t>139.</w:t>
      </w:r>
      <w:r>
        <w:rPr>
          <w:spacing w:val="2"/>
          <w:w w:val="101"/>
        </w:rPr>
        <w:tab/>
        <w:t>Las hijas reciben menos educación y a menudo sólo terminan la escuela primaria, pues sus padres consideran que el deber primordial de las mujeres es saber cómo hacer felices a sus maridos y realizar bien los quehaceres domésticos: cocinar y cuidar de los niños, por ejemplo. Los padres brindan más oportunidades de estudiar a los hijos var</w:t>
      </w:r>
      <w:r>
        <w:rPr>
          <w:spacing w:val="2"/>
          <w:w w:val="101"/>
        </w:rPr>
        <w:t>o</w:t>
      </w:r>
      <w:r>
        <w:rPr>
          <w:spacing w:val="2"/>
          <w:w w:val="101"/>
        </w:rPr>
        <w:t>nes porque su posición social es superior a la de las niñas. Por consiguiente, los padres no estimulan ni apoyan a las hijas para que sigan estudios sup</w:t>
      </w:r>
      <w:r>
        <w:rPr>
          <w:spacing w:val="2"/>
          <w:w w:val="101"/>
        </w:rPr>
        <w:t>e</w:t>
      </w:r>
      <w:r>
        <w:rPr>
          <w:spacing w:val="2"/>
          <w:w w:val="101"/>
        </w:rPr>
        <w:t>riores.</w:t>
      </w:r>
    </w:p>
    <w:p w:rsidR="00000000" w:rsidRDefault="00000000">
      <w:pPr>
        <w:pStyle w:val="SingleTxt"/>
      </w:pPr>
      <w:r>
        <w:t>140.</w:t>
      </w:r>
      <w:r>
        <w:tab/>
        <w:t>En tiempos muy lejanos, imperaba en la sociedad camboyana la costumbre de que las mujeres fuesen las cabezas de familia. La esposa era un miembro respetado del hogar que resolvía los problemas familiares y sociales y ejercía mucha influe</w:t>
      </w:r>
      <w:r>
        <w:t>n</w:t>
      </w:r>
      <w:r>
        <w:t>cia en su marido. Su poder y prestigio se veían reforzados en la práctica porque la tierra se transmitía a las hijas por herencia y porque era frecuente que, antes del matrimonio, el futuro marido viviese en la casa de la familia de la futura esposa para demo</w:t>
      </w:r>
      <w:r>
        <w:t>s</w:t>
      </w:r>
      <w:r>
        <w:t>trar satisfactoriamente su virtud a esa familia.</w:t>
      </w:r>
    </w:p>
    <w:p w:rsidR="00000000" w:rsidRDefault="00000000">
      <w:pPr>
        <w:pStyle w:val="SingleTxt"/>
      </w:pPr>
      <w:r>
        <w:t>141.</w:t>
      </w:r>
      <w:r>
        <w:tab/>
        <w:t>Si bien se solía considerar a la mujer como cabeza de la familia, las costu</w:t>
      </w:r>
      <w:r>
        <w:t>m</w:t>
      </w:r>
      <w:r>
        <w:t>bres y prácticas de la sociedad camboyana fueron cambiando y gradualmente han ido convirtiendo a la mujer en un ser inferior al hombre, que no está en pie de igua</w:t>
      </w:r>
      <w:r>
        <w:t>l</w:t>
      </w:r>
      <w:r>
        <w:t>dad con éste. Siempre se espera que la mujer consagre su vida al marido y nunca discuta sus opiniones.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a)</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Las medidas adoptadas para modificar los patrones socioculturales de condu</w:t>
      </w:r>
      <w:r>
        <w:t>c</w:t>
      </w:r>
      <w:r>
        <w:t>ta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142.</w:t>
      </w:r>
      <w:r>
        <w:tab/>
        <w:t>El Real Gobierno de Camboya ha desplegado esfuerzos por modificar gr</w:t>
      </w:r>
      <w:r>
        <w:t>a</w:t>
      </w:r>
      <w:r>
        <w:t>dualmente estas normas y prácticas de conducta antiguas e incivilizadas mediante la educación y a partir de la aplicación de la ley. El Ministerio de Asuntos de la Mujer y los Excombatientes ha desempeñado un papel importante en la coordinación de la política del Plan de Acción del Real Gobierno y trabajado en la redacción de un proyecto de ley para la prevención de la violencia en el hogar y la protección de sus víctimas, que fue puesta por el Real Gobierno a consideración de la Asamblea N</w:t>
      </w:r>
      <w:r>
        <w:t>a</w:t>
      </w:r>
      <w:r>
        <w:t>cional para su aprobación. Las principales m</w:t>
      </w:r>
      <w:r>
        <w:t>e</w:t>
      </w:r>
      <w:r>
        <w:t>didas adoptadas son las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Reconocimiento de que los quehaceres domésticos son tan valiosos como el trabajo fuera del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143.</w:t>
      </w:r>
      <w:r>
        <w:rPr>
          <w:spacing w:val="2"/>
          <w:w w:val="101"/>
        </w:rPr>
        <w:tab/>
        <w:t>El tercer párrafo del artículo 36 de la Constitución estipula que “El trabajo d</w:t>
      </w:r>
      <w:r>
        <w:rPr>
          <w:spacing w:val="2"/>
          <w:w w:val="101"/>
        </w:rPr>
        <w:t>o</w:t>
      </w:r>
      <w:r>
        <w:rPr>
          <w:spacing w:val="2"/>
          <w:w w:val="101"/>
        </w:rPr>
        <w:t>méstico del ama de casa tiene el mismo valor que un trabajo efectuado fuera del hogar”. Esta disposición supone un esfuerzo por erradicar los viejos patrones de conducta (s</w:t>
      </w:r>
      <w:r>
        <w:rPr>
          <w:spacing w:val="2"/>
          <w:w w:val="101"/>
        </w:rPr>
        <w:t>e</w:t>
      </w:r>
      <w:r>
        <w:rPr>
          <w:spacing w:val="2"/>
          <w:w w:val="101"/>
        </w:rPr>
        <w:t>gún los cuales se menosprecia el trabajo de la mujer en el hogar), por admitir que las t</w:t>
      </w:r>
      <w:r>
        <w:rPr>
          <w:spacing w:val="2"/>
          <w:w w:val="101"/>
        </w:rPr>
        <w:t>a</w:t>
      </w:r>
      <w:r>
        <w:rPr>
          <w:spacing w:val="2"/>
          <w:w w:val="101"/>
        </w:rPr>
        <w:t>reas que realiza la mujer en el seno del hogar son aportaciones a la productividad de la familia y por promover cambios de conducta en el hombre para que reconozca el papel que desempeña la mujer tanto en la familia como en la s</w:t>
      </w:r>
      <w:r>
        <w:rPr>
          <w:spacing w:val="2"/>
          <w:w w:val="101"/>
        </w:rPr>
        <w:t>o</w:t>
      </w:r>
      <w:r>
        <w:rPr>
          <w:spacing w:val="2"/>
          <w:w w:val="101"/>
        </w:rPr>
        <w:t>ciedad.</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Libertad para elegir la pareja marital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144.</w:t>
      </w:r>
      <w:r>
        <w:tab/>
        <w:t>El artículo 45 de la Constitución estipula que “hombres y mujeres son iguales en todas las esferas, especialmente en lo que atañe al matrimonio y las cuestiones de familia. El matrimonio se celebrará conforme a las condiciones que determine la ley sobre la base de los principios del consentimiento mutuo y la monogamia”. Este principio básico tiene por objeto promover un cambio de conducta en las esferas s</w:t>
      </w:r>
      <w:r>
        <w:t>o</w:t>
      </w:r>
      <w:r>
        <w:t>cial y cultural, especialmente en relación con el matrimonio y la familia, a fin de eliminar las prácticas que niegan la libertad de mujeres y hombres para elegir a sus parejas y concertar su matrimonio.</w:t>
      </w:r>
    </w:p>
    <w:p w:rsidR="00000000" w:rsidRDefault="00000000">
      <w:pPr>
        <w:pStyle w:val="SingleTxt"/>
      </w:pPr>
      <w:r>
        <w:t>145.</w:t>
      </w:r>
      <w:r>
        <w:tab/>
        <w:t xml:space="preserve">A partir de los principios de la Constitución expuestos </w:t>
      </w:r>
      <w:r>
        <w:rPr>
          <w:i/>
        </w:rPr>
        <w:t>supra</w:t>
      </w:r>
      <w:r>
        <w:t>, el Real Gobierno ha resuelto adoptar medidas para hacer efectivo, en un marco de plena libertad y s</w:t>
      </w:r>
      <w:r>
        <w:t>o</w:t>
      </w:r>
      <w:r>
        <w:t>bre la base de la igualdad entre el hombre y la mujer, el ejercicio de los derechos del hombre y la mujer en lo que atañe al matrimonio y la familia. El artículo 4 de la Ley relativa al matrimonio y la familia reza así: “El hombre o la mujer que alcance la mayoría de edad establecida para casarse tiene el derecho a contraer matrimonio conforme a su libre determinación. Una parte no puede obligar a la otra a contraer matrimonio contra su voluntad. Ninguna persona, sea hombre o mujer, puede ser obligada a casarse o a dejar de casarse si el matrimonio se celebra de conformidad con las normas e</w:t>
      </w:r>
      <w:r>
        <w:t>s</w:t>
      </w:r>
      <w:r>
        <w:t>tablecidas por esta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Inciso b)</w:t>
      </w:r>
    </w:p>
    <w:p w:rsidR="00000000" w:rsidRDefault="00000000">
      <w:pPr>
        <w:pStyle w:val="SingleTxt"/>
        <w:spacing w:after="0" w:line="120" w:lineRule="exact"/>
        <w:rPr>
          <w:b/>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Reconocimiento de la maternidad como función social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146.</w:t>
      </w:r>
      <w:r>
        <w:tab/>
        <w:t>En la familia camboyana, la maternidad es una función que atrae mucho la atención de la gente. El Real Gobierno de Camboya considera que la maternidad es una función social cuando determina que tanto la maternidad como el cuidado de los hijos contribuyen a la educación y la crianza de los niños, que son la esperanza del futuro, como personas sanas, inteligentes, instruidas, capaces y con principios m</w:t>
      </w:r>
      <w:r>
        <w:t>o</w:t>
      </w:r>
      <w:r>
        <w:t>rales al servicio de la nación, con miras a permitir que la mujer participe vigoros</w:t>
      </w:r>
      <w:r>
        <w:t>a</w:t>
      </w:r>
      <w:r>
        <w:t>mente en la producción y en otras actividades sociales.</w:t>
      </w:r>
    </w:p>
    <w:p w:rsidR="00000000" w:rsidRDefault="00000000">
      <w:pPr>
        <w:pStyle w:val="SingleTxt"/>
      </w:pPr>
      <w:r>
        <w:tab/>
        <w:t>El artículo 73 de la Constitución estipula que “El Estado tendrá muy en cuenta a los niños y las madres. El Estado establecerá guarderías infantiles y otorgará ay</w:t>
      </w:r>
      <w:r>
        <w:t>u</w:t>
      </w:r>
      <w:r>
        <w:t>da a las mujeres con muchos hijos que no cuenten con medios de sustento suficie</w:t>
      </w:r>
      <w:r>
        <w:t>n</w:t>
      </w:r>
      <w:r>
        <w:t>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Responsabilidad común de los padres en el cuidado y la educación de los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147.</w:t>
      </w:r>
      <w:r>
        <w:tab/>
        <w:t>La educación de los niños es un deber común de la sociedad y de la familia y obligación de ambos padres. El primer párrafo del artículo 47 de la Constitución de 1993 reza así: “Ambos padres están obligados a alimentar, atender y educar a los hijos para que sean buenos ciudadanos”. El artículo 115 de la Ley relativa al matr</w:t>
      </w:r>
      <w:r>
        <w:t>i</w:t>
      </w:r>
      <w:r>
        <w:t>monio y la familia estipula que “Ambos padres tienen la obligación de amar, criar y educar a sus hijos, es decir, de formarlos e inculcarles los conceptos del estudio, el patriotismo, el sentido de solidaridad internacional y el respeto por los bienes del Estado y los derechos y los bienes de terceros”.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de educación y concienciación</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148.</w:t>
      </w:r>
      <w:r>
        <w:tab/>
        <w:t>El Ministerio de Educación, la Juventud y los Deportes incorpora la enseñanza de los derechos humanos, cuestiones de género, preceptos diversos, instrucción c</w:t>
      </w:r>
      <w:r>
        <w:t>í</w:t>
      </w:r>
      <w:r>
        <w:t>vica, normas de etiqueta, buena educación, ética y budismo en sus programas de estudio y en los textos escolares desde el ciclo primario hasta los ciclos secundarios s</w:t>
      </w:r>
      <w:r>
        <w:t>u</w:t>
      </w:r>
      <w:r>
        <w:t>periores (Libros de Estudios Sociales).</w:t>
      </w:r>
    </w:p>
    <w:p w:rsidR="00000000" w:rsidRDefault="00000000">
      <w:pPr>
        <w:pStyle w:val="SingleTxt"/>
      </w:pPr>
      <w:r>
        <w:t>149.</w:t>
      </w:r>
      <w:r>
        <w:tab/>
        <w:t>El Ministerio de Educación, la Juventud y los Deportes ha emprendido una campaña de educación y difusión de informaciones en materia de derechos humanos en todo el país y elaborado un plan de formación comunitaria para los padres de los estudiantes y las autoridades municipales a efectos de que cobren conciencia del valor de la educación y los derechos humanos.</w:t>
      </w:r>
    </w:p>
    <w:p w:rsidR="00000000" w:rsidRDefault="00000000">
      <w:pPr>
        <w:pStyle w:val="SingleTxt"/>
      </w:pPr>
      <w:r>
        <w:t>150.</w:t>
      </w:r>
      <w:r>
        <w:tab/>
        <w:t>El Real Gobierno de Camboya apoya los planes de concienciación en materia de género y los incorpora en sus programas de política nacional. Ha elegido al M</w:t>
      </w:r>
      <w:r>
        <w:t>i</w:t>
      </w:r>
      <w:r>
        <w:t>nisterio de Educación, la Juventud y los Deportes como organismo pionero para que priorice el desarrollo nacional por la importante función que desempeña en el des</w:t>
      </w:r>
      <w:r>
        <w:t>a</w:t>
      </w:r>
      <w:r>
        <w:t>rrollo de los recursos humanos.</w:t>
      </w:r>
    </w:p>
    <w:p w:rsidR="00000000" w:rsidRDefault="00000000">
      <w:pPr>
        <w:pStyle w:val="SingleTxt"/>
      </w:pPr>
      <w:r>
        <w:t>151.</w:t>
      </w:r>
      <w:r>
        <w:tab/>
        <w:t>El Ministerio de Asuntos de la Mujer y los Excombatientes y las organizaci</w:t>
      </w:r>
      <w:r>
        <w:t>o</w:t>
      </w:r>
      <w:r>
        <w:t>nes no gubernamentales han extendido sus programas de educación organizando t</w:t>
      </w:r>
      <w:r>
        <w:t>a</w:t>
      </w:r>
      <w:r>
        <w:t>lleres y cursos de capacitación breves para que la sociedad comprenda más caba</w:t>
      </w:r>
      <w:r>
        <w:t>l</w:t>
      </w:r>
      <w:r>
        <w:t>mente la importancia de la función materna y los padres sean conscientes de que la educación de los niños es un deber común de la familia y la sociedad.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152.</w:t>
      </w:r>
      <w:r>
        <w:tab/>
        <w:t>Las costumbres y prácticas han ido cambiando gradualmente en las zonas u</w:t>
      </w:r>
      <w:r>
        <w:t>r</w:t>
      </w:r>
      <w:r>
        <w:t>banas y entre las personas educadas. Sin embargo, hasta hoy estas costumbres y prácticas están profundamente arraigadas en la sociedad camboyana. Será preciso, pues, que transcurra mucho tiempo antes de que se modifiquen costumbres y práct</w:t>
      </w:r>
      <w:r>
        <w:t>i</w:t>
      </w:r>
      <w:r>
        <w:t>cas incivilizadas, esp</w:t>
      </w:r>
      <w:r>
        <w:t>e</w:t>
      </w:r>
      <w:r>
        <w:t>cialmente en las zonas rurales, donde viven muchas personas.</w:t>
      </w:r>
    </w:p>
    <w:p w:rsidR="00000000" w:rsidRDefault="00000000">
      <w:pPr>
        <w:pStyle w:val="SingleTxt"/>
        <w:tabs>
          <w:tab w:val="right" w:pos="1685"/>
        </w:tabs>
        <w:ind w:left="1742" w:hanging="475"/>
      </w:pPr>
      <w:r>
        <w:tab/>
        <w:t>–</w:t>
      </w:r>
      <w:r>
        <w:tab/>
        <w:t>Las normas jurídicas no se han aplicado estricta y cabalmente.</w:t>
      </w:r>
    </w:p>
    <w:p w:rsidR="00000000" w:rsidRDefault="00000000">
      <w:pPr>
        <w:pStyle w:val="SingleTxt"/>
        <w:tabs>
          <w:tab w:val="right" w:pos="1685"/>
        </w:tabs>
        <w:ind w:left="1742" w:hanging="475"/>
      </w:pPr>
      <w:r>
        <w:tab/>
        <w:t>–</w:t>
      </w:r>
      <w:r>
        <w:tab/>
        <w:t>No se ha recurrido de manera generalizada a la difusión de informaciones ni a la educación para promover el cambio de costumbres antiguas, inaceptables e incivil</w:t>
      </w:r>
      <w:r>
        <w:t>i</w:t>
      </w:r>
      <w:r>
        <w:t>zadas por costumbres civilizadas.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futura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153.</w:t>
      </w:r>
      <w:r>
        <w:tab/>
        <w:t>El Real Gobierno de Camboya sigue prestando atención a la educación de la gente y la difusión de informaciones de la manera más amplia posible para prom</w:t>
      </w:r>
      <w:r>
        <w:t>o</w:t>
      </w:r>
      <w:r>
        <w:t>ver cambios de conducta y la aceptación de avances en las esferas social y cultural.</w:t>
      </w:r>
    </w:p>
    <w:p w:rsidR="00000000" w:rsidRDefault="00000000">
      <w:pPr>
        <w:pStyle w:val="SingleTxt"/>
      </w:pPr>
      <w:r>
        <w:t>154.</w:t>
      </w:r>
      <w:r>
        <w:tab/>
        <w:t>El Real Gobierno de Camboya trabajará por eliminar las imágenes negativas de la mujer transmitidas en los medios de comunicación y por revisar los programas de estudio y los libros de texto con miras a corregir los prejuicios basados en la idea de la inferioridad o la superioridad de cualquiera de los sexos o las prácticas est</w:t>
      </w:r>
      <w:r>
        <w:t>e</w:t>
      </w:r>
      <w:r>
        <w:t>reot</w:t>
      </w:r>
      <w:r>
        <w:t>i</w:t>
      </w:r>
      <w:r>
        <w:t>padas de hombres y mujeres.</w:t>
      </w:r>
    </w:p>
    <w:p w:rsidR="00000000" w:rsidRDefault="00000000">
      <w:pPr>
        <w:pStyle w:val="SingleTxt"/>
      </w:pPr>
      <w:r>
        <w:t>155.</w:t>
      </w:r>
      <w:r>
        <w:tab/>
        <w:t xml:space="preserve">El Ministerio de Asuntos de la Mujer y los Excombatientes ha adoptado el </w:t>
      </w:r>
      <w:r>
        <w:rPr>
          <w:i/>
        </w:rPr>
        <w:t>Neary Rattanak</w:t>
      </w:r>
      <w:r>
        <w:t xml:space="preserve"> (Plan quinquenal 2001-2005), que comprende un plan de acción p</w:t>
      </w:r>
      <w:r>
        <w:t>a</w:t>
      </w:r>
      <w:r>
        <w:t>ra formar a funcionarios públicos y autoridades municipales en materia de cuesti</w:t>
      </w:r>
      <w:r>
        <w:t>o</w:t>
      </w:r>
      <w:r>
        <w:t>nes de género y derechos de la mujer, para que todos ellos adquieran conciencia de los derechos de la mujer y de la igualdad entre hombres y mujeres. El Ministerio de Asuntos de la Mujer y los Excombatientes consolidará la política del Real Gobierno de Camboya con respecto a la integración de las cuestiones de género, elaborará un plan de acción que deberá ponerse en marcha paulatinamente por conducto de los principales ministerios de ejecución y alentará a los departamentos provinciales del Ministerio de Asuntos de la Mujer y los Excombatientes para que conciencien a la opinión pública en el plano comunitario.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Supresión de la explotación de la mujer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6</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SingleTxt"/>
        <w:rPr>
          <w:i/>
        </w:rPr>
      </w:pPr>
      <w:r>
        <w:rPr>
          <w:i/>
        </w:rPr>
        <w:tab/>
        <w:t>Los Estados Partes tomarán todas las medidas apropiadas, incluso de cará</w:t>
      </w:r>
      <w:r>
        <w:rPr>
          <w:i/>
        </w:rPr>
        <w:t>c</w:t>
      </w:r>
      <w:r>
        <w:rPr>
          <w:i/>
        </w:rPr>
        <w:t>ter legislativo, para suprimir todas las formas de trata de mujeres y explotación de la prostitución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de mujeres y niños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156.</w:t>
      </w:r>
      <w:r>
        <w:tab/>
        <w:t>La trata de mujeres y niños es la peor forma de violencia contra la mujer. M</w:t>
      </w:r>
      <w:r>
        <w:t>u</w:t>
      </w:r>
      <w:r>
        <w:t>jeres y niños son objeto de trata en el país, especialmente en las zonas rurales y a lo largo de las fronteras internacionales. Mujeres y niños ejercen la prostitución obl</w:t>
      </w:r>
      <w:r>
        <w:t>i</w:t>
      </w:r>
      <w:r>
        <w:t>gados, presionados, alquilados o vendidos, casi siempre por sus padres, o también después de haber sido secuestrados. La adopción de niños con fines de trata es un problema cada vez más extendido. La trata transfronteriza es muy grande y co</w:t>
      </w:r>
      <w:r>
        <w:t>m</w:t>
      </w:r>
      <w:r>
        <w:t xml:space="preserve">prende la trata de Camboya a otras naciones y de otras naciones a Camboya. La trata desde Camboya tiene casi siempre por objeto la explotación sexual. En Camboya, el </w:t>
      </w:r>
      <w:r>
        <w:rPr>
          <w:i/>
        </w:rPr>
        <w:t>karaoke</w:t>
      </w:r>
      <w:r>
        <w:t>, las salas de masajes, los restaurantes, los bares, los night-clubs y otros s</w:t>
      </w:r>
      <w:r>
        <w:t>i</w:t>
      </w:r>
      <w:r>
        <w:t>tios de esparcimiento son pantallas que ocultan la trata sexual. Los servicios sexu</w:t>
      </w:r>
      <w:r>
        <w:t>a</w:t>
      </w:r>
      <w:r>
        <w:t>les, que en los últimos años constituyen una forma de actividad comercial que tiene una gran demanda, acorde con el crecimiento de la economía de mercado, son una de las razones del aumento de la prostitución.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Datos sobre la trata y la prostitución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157.</w:t>
      </w:r>
      <w:r>
        <w:tab/>
        <w:t>No se dispone de datos precisos sobre la trata y la prostitución. Sin embargo, hay algunos estudios a los cuales es posible remitirse. A pesar de que la Asamblea Nacional aprobó la Ley relativa a la represión del secuestro, la trata, la venta y la explotación de seres humanos, que entró en vigencia en 1996, la trata de seres h</w:t>
      </w:r>
      <w:r>
        <w:t>u</w:t>
      </w:r>
      <w:r>
        <w:t>manos con fines de prostitución ha ido en aumento tanto en las ciudades como en las zonas rurales.</w:t>
      </w:r>
    </w:p>
    <w:p w:rsidR="00000000" w:rsidRDefault="00000000">
      <w:pPr>
        <w:pStyle w:val="SingleTxt"/>
      </w:pPr>
      <w:r>
        <w:t>158.</w:t>
      </w:r>
      <w:r>
        <w:tab/>
        <w:t>Según algunos informes provinciales/municipales, en la actualidad hay como mínimo 300 burdeles clandestinos donde son víctimas voluntarias o forzadas de e</w:t>
      </w:r>
      <w:r>
        <w:t>x</w:t>
      </w:r>
      <w:r>
        <w:t xml:space="preserve">plotación sexual por lo menos 20.000 prostitutas. Al mismo tiempo, se observa un </w:t>
      </w:r>
      <w:r>
        <w:rPr>
          <w:spacing w:val="2"/>
          <w:w w:val="101"/>
        </w:rPr>
        <w:t xml:space="preserve">aumento del número de casas de huéspedes, sitios de esparcimiento, salas de masajes y bares de </w:t>
      </w:r>
      <w:r>
        <w:rPr>
          <w:i/>
          <w:spacing w:val="2"/>
          <w:w w:val="101"/>
        </w:rPr>
        <w:t>karakoe</w:t>
      </w:r>
      <w:r>
        <w:rPr>
          <w:spacing w:val="2"/>
          <w:w w:val="101"/>
        </w:rPr>
        <w:t>, entre otros establecimientos, que ha contribuido al incre</w:t>
      </w:r>
      <w:r>
        <w:t>mento del comercio sexual, convertido a su vez en un nuevo objetivo de la trata de seres h</w:t>
      </w:r>
      <w:r>
        <w:t>u</w:t>
      </w:r>
      <w:r>
        <w:t>manos.</w:t>
      </w:r>
    </w:p>
    <w:p w:rsidR="00000000" w:rsidRDefault="00000000">
      <w:pPr>
        <w:pStyle w:val="SingleTxt"/>
      </w:pPr>
      <w:r>
        <w:t>159.</w:t>
      </w:r>
      <w:r>
        <w:tab/>
        <w:t>Según un estudio, los elementos más importantes en que se nutre la trata en Camboya son la pobreza, el analfabetismo, la miseria, la falta de empleo, la mala aplicación de las leyes y la falta de información y de educación. Se advierte un constante aumento de la prostitución, la trata de personas, el libertinaje y los actos obscenos, de la misma manera que aumenta de manera perceptible la cantidad de gente engañada que va a trabajar al extranjero: así, miles de jóvenes y niños camb</w:t>
      </w:r>
      <w:r>
        <w:t>o</w:t>
      </w:r>
      <w:r>
        <w:t>yanos de ambos sexos se convierten en esclavos del comercio sexual o en mendigos.</w:t>
      </w:r>
    </w:p>
    <w:p w:rsidR="00000000" w:rsidRDefault="00000000">
      <w:pPr>
        <w:pStyle w:val="SingleTxt"/>
      </w:pPr>
      <w:r>
        <w:t>160.</w:t>
      </w:r>
      <w:r>
        <w:tab/>
        <w:t>Algunos niños camboyanos de la calle se transforman en víctimas al terminar como parejas sexuales o permitir que les saquen fotografías pornográficas a cambio del dinero que necesitan.</w:t>
      </w:r>
    </w:p>
    <w:p w:rsidR="00000000" w:rsidRDefault="00000000">
      <w:pPr>
        <w:pStyle w:val="SingleTxt"/>
      </w:pPr>
      <w:r>
        <w:t>161.</w:t>
      </w:r>
      <w:r>
        <w:tab/>
        <w:t>El Ministerio del Interior ha procurado reprimir enérgicamente estos delitos desarrollando actividades en tres planos estratégicos:</w:t>
      </w:r>
    </w:p>
    <w:p w:rsidR="00000000" w:rsidRDefault="00000000">
      <w:pPr>
        <w:pStyle w:val="SingleTxt"/>
        <w:tabs>
          <w:tab w:val="right" w:pos="1685"/>
        </w:tabs>
        <w:ind w:left="1742" w:hanging="475"/>
      </w:pPr>
      <w:r>
        <w:tab/>
        <w:t>1.</w:t>
      </w:r>
      <w:r>
        <w:tab/>
        <w:t>Puesta en marcha de procedimientos operativos policiales;</w:t>
      </w:r>
    </w:p>
    <w:p w:rsidR="00000000" w:rsidRDefault="00000000">
      <w:pPr>
        <w:pStyle w:val="SingleTxt"/>
        <w:tabs>
          <w:tab w:val="right" w:pos="1685"/>
        </w:tabs>
        <w:ind w:left="1742" w:hanging="475"/>
      </w:pPr>
      <w:r>
        <w:tab/>
        <w:t>2.</w:t>
      </w:r>
      <w:r>
        <w:tab/>
        <w:t>Aumento de la concienciación respecto de la explotación sexual;</w:t>
      </w:r>
    </w:p>
    <w:p w:rsidR="00000000" w:rsidRDefault="00000000">
      <w:pPr>
        <w:pStyle w:val="SingleTxt"/>
        <w:tabs>
          <w:tab w:val="right" w:pos="1685"/>
        </w:tabs>
        <w:ind w:left="1742" w:hanging="475"/>
      </w:pPr>
      <w:r>
        <w:tab/>
        <w:t>3.</w:t>
      </w:r>
      <w:r>
        <w:tab/>
        <w:t>Ofrecimiento de capacitación concienzuda sobre técnicas de investigación a pol</w:t>
      </w:r>
      <w:r>
        <w:t>i</w:t>
      </w:r>
      <w:r>
        <w:t>cías, jueces y fiscales en Phnom Penh.</w:t>
      </w:r>
    </w:p>
    <w:p w:rsidR="00000000" w:rsidRDefault="00000000">
      <w:pPr>
        <w:pStyle w:val="SingleTxt"/>
      </w:pPr>
      <w:r>
        <w:t>162.</w:t>
      </w:r>
      <w:r>
        <w:tab/>
        <w:t>Se ha estimado que 35% de las prostitutas tienen menos de 18 años y que 50% de ellas son vietnamitas. Las estadísticas del Centro Camboyano para la Mujer en Situación de Crisis (CCMSC) revelaron que 64,45% de las prostitutas habían sido obligadas a prostituirse, 52,9% habían sido engañadas con promesas de un buen e</w:t>
      </w:r>
      <w:r>
        <w:t>m</w:t>
      </w:r>
      <w:r>
        <w:t>pleo, 11,04% habían sido vendidas por los padres, hermanos, hermanas, amigos o amigas y 0,58% habían sido raptadas; la pobreza obligó a prostituirse a 35,45%. Por lo general, las mujeres y los niños vendidos a burdeles quedaban encerrados en una habitación, amenazados, golpeados, privados de alimentos y aterrorizados hasta que aceptaban tener relaciones sexuales con los clientes; se les sacaban todos los ingr</w:t>
      </w:r>
      <w:r>
        <w:t>e</w:t>
      </w:r>
      <w:r>
        <w:t>sos y sólo se les daba alimentos y cosméticos.</w:t>
      </w:r>
    </w:p>
    <w:p w:rsidR="00000000" w:rsidRDefault="00000000">
      <w:pPr>
        <w:pStyle w:val="SingleTxt"/>
      </w:pPr>
      <w:r>
        <w:t>163.</w:t>
      </w:r>
      <w:r>
        <w:tab/>
        <w:t>Miles de mujeres y niños camboyanos han sido víctimas de la trata y llevados a otros países para trabajar, entre otras cosas, como prostitutos, mendigos, estafad</w:t>
      </w:r>
      <w:r>
        <w:t>o</w:t>
      </w:r>
      <w:r>
        <w:t>res, adivinos, obreros de la construcción, mucamos o trabajadores portuarios. Una estimación de la Organización Internacional para las Migraciones (OIM) indica que 82.000 personas de nacionalidad camboyana que viven y trabajan en Tailandia ti</w:t>
      </w:r>
      <w:r>
        <w:t>e</w:t>
      </w:r>
      <w:r>
        <w:t>nen la documentación en regla. Unos 500 niños viven en las calles de grandes ci</w:t>
      </w:r>
      <w:r>
        <w:t>u</w:t>
      </w:r>
      <w:r>
        <w:t>dades y trabajan para dueños de burdeles y traficantes. Hasta ahora, todos los meses las autoridades tailandesas envían de vuelta a unos 400 niños camboyanos a la frontera de Tailandia con 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Factores que contribuyen a la 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164.</w:t>
      </w:r>
      <w:r>
        <w:tab/>
        <w:t>La pobreza, el desempleo, la violencia en el hogar, la discriminación por mot</w:t>
      </w:r>
      <w:r>
        <w:t>i</w:t>
      </w:r>
      <w:r>
        <w:t>vo de género, la falta de educación, el debilitamiento de los vínculos familiares y las deficiencias de la ley son causas que co</w:t>
      </w:r>
      <w:r>
        <w:t>n</w:t>
      </w:r>
      <w:r>
        <w:t>tribuyen a que haya 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Efectos de la trata de mujeres y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165.</w:t>
      </w:r>
      <w:r>
        <w:tab/>
        <w:t>Cuando las mujeres trabajan en la industria del sexo enfrentan el miedo, la violencia, la explotación, los abusos, la trata y el atropello de su libertad a manos de los dueños de burdeles. Estos actos afectan al derecho y el orden públicos. La trata de mujeres y niñas produce efectos en la salud de sus víctimas, que corren riesgos de contraer enfermedades de transmisión sexual (ETS), incluso el VIH/SIDA. En la actualidad, 28,8% de las trabajadoras que comercian con su sexo directamente y 14,8% de las que lo hacen indirectamente son VIH-positivas. La trata produce as</w:t>
      </w:r>
      <w:r>
        <w:t>i</w:t>
      </w:r>
      <w:r>
        <w:t>mismo efectos jurídicos, pues la ley no se aplica efectivamente y las víctimas no tienen acceso a la justicia.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eliminar todas las formas de trata de seres humanos y la explotación sexual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166.</w:t>
      </w:r>
      <w:r>
        <w:tab/>
        <w:t>El Real Gobierno de Camboya ha adoptado todas las medidas apropiadas, i</w:t>
      </w:r>
      <w:r>
        <w:t>n</w:t>
      </w:r>
      <w:r>
        <w:t xml:space="preserve">cluso la elaboración de nuevas leyes, para eliminar todas las formas de trata de seres humanos y la explotación sexual de la mujer. El 20 de noviembre de 2001, el Real Gobierno emitió la directiva No. 01 BB, en virtud de la cual se impide el negocio en los bares, night-clubs, discotecas y bares de </w:t>
      </w:r>
      <w:r>
        <w:rPr>
          <w:i/>
        </w:rPr>
        <w:t>karaoke</w:t>
      </w:r>
      <w:r>
        <w:t xml:space="preserve"> en Phnom Penh y las provi</w:t>
      </w:r>
      <w:r>
        <w:t>n</w:t>
      </w:r>
      <w:r>
        <w:t>cias y municipios del Reino de 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antitrata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167.</w:t>
      </w:r>
      <w:r>
        <w:tab/>
        <w:t>El comercio de seres humanos y la explotación de la prostitución y la obscen</w:t>
      </w:r>
      <w:r>
        <w:t>i</w:t>
      </w:r>
      <w:r>
        <w:t>dad, que atentan contra la reputación de la mujer, están prohibidas por la propia Constitución (primer párrafo del artículo 46). La Ley relativa a la represión del s</w:t>
      </w:r>
      <w:r>
        <w:t>e</w:t>
      </w:r>
      <w:r>
        <w:t>cuestro, la trata, la venta y la explotación de seres humanos fue aprobada en 1996 para combatir la trata de seres humanos y, de esa manera, reconstruir y aumentar el respeto por la tradición nacional y proteger la dignidad del ser humano, así como el bienestar y la tranquilidad de los ciudadanos. Además de esta Ley, hay varias otras leyes que directa o indirectamente se ocupan de la trata de personas, como por ejemplo la Ley relativa a los contratos y las obligaciones no contractuales, la Ley del Trabajo, la Ley relativa al matrimonio y la familia, la Ley de Inmigración y el Código Penal de Transición.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Definición de la trata y determinación de las penas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w w:val="101"/>
        </w:rPr>
        <w:t>168.</w:t>
      </w:r>
      <w:r>
        <w:rPr>
          <w:w w:val="101"/>
        </w:rPr>
        <w:tab/>
        <w:t>El artículo 3 de la Ley relativa a la represión del secuestro, la trata, la venta y la explotación de seres humanos reza así: “Quienquiera que engañe a un ser humano, v</w:t>
      </w:r>
      <w:r>
        <w:rPr>
          <w:w w:val="101"/>
        </w:rPr>
        <w:t>a</w:t>
      </w:r>
      <w:r>
        <w:rPr>
          <w:w w:val="101"/>
        </w:rPr>
        <w:t>rón o mujer, menor o adulto, sea cual fuere su nacionalidad, con señuelos u otros m</w:t>
      </w:r>
      <w:r>
        <w:rPr>
          <w:w w:val="101"/>
        </w:rPr>
        <w:t>e</w:t>
      </w:r>
      <w:r>
        <w:rPr>
          <w:w w:val="101"/>
        </w:rPr>
        <w:t>dios, prometiéndole dinero o joyas, a pesar de que no medie el consentimiento de ese ser humano, si utilizare la fuerza, la amenaza o drogas hipnóticas con miras a secue</w:t>
      </w:r>
      <w:r>
        <w:rPr>
          <w:w w:val="101"/>
        </w:rPr>
        <w:t>s</w:t>
      </w:r>
      <w:r>
        <w:rPr>
          <w:w w:val="101"/>
        </w:rPr>
        <w:t>trarlo, hacerlo objeto de trata o de venta o llevarlo a la prostitución, será reprimido con pena de prisión de 10 (diez) a 15 (quince) años. Si la víctima fuere menor de 15 (quince) años de edad, la pena de prisión será de 15 (quince) a 20 (veinte) años”. Los cómplices, traficantes/vendedores, compradores y receptores serán reprimidos con la misma pena que los autores. Serán considerados cómplices todos los que proporci</w:t>
      </w:r>
      <w:r>
        <w:rPr>
          <w:w w:val="101"/>
        </w:rPr>
        <w:t>o</w:t>
      </w:r>
      <w:r>
        <w:rPr>
          <w:w w:val="101"/>
        </w:rPr>
        <w:t>nen dinero o recursos para perpetrar dichos delitos. Cuale</w:t>
      </w:r>
      <w:r>
        <w:rPr>
          <w:w w:val="101"/>
        </w:rPr>
        <w:t>s</w:t>
      </w:r>
      <w:r>
        <w:rPr>
          <w:w w:val="101"/>
        </w:rPr>
        <w:t>quiera</w:t>
      </w:r>
      <w:r>
        <w:t xml:space="preserve"> </w:t>
      </w:r>
      <w:r>
        <w:br/>
        <w:t>medios de transporte, materiales y bienes inmuebles que se utilicen con ocasión de la comisión de esos delitos serán confisc</w:t>
      </w:r>
      <w:r>
        <w:t>a</w:t>
      </w:r>
      <w:r>
        <w:t>dos y adjudicados al Estado.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observación de la ley y el Poder Judicial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169.</w:t>
      </w:r>
      <w:r>
        <w:tab/>
        <w:t>De conformidad con las normas administrativas en materia de eliminación de todas las formas de trata y explotación de la mujer con fines de prostitución, el Real Gobierno de Camboya también ha hecho cumplir las medidas judiciales dictadas p</w:t>
      </w:r>
      <w:r>
        <w:t>a</w:t>
      </w:r>
      <w:r>
        <w:t>ra castigar a los autores y garantizar la indemnización a las víctimas por daños y perjuicios. La Ley relativa a la represión del secuestro, la trata, la venta y la expl</w:t>
      </w:r>
      <w:r>
        <w:t>o</w:t>
      </w:r>
      <w:r>
        <w:t>tación de seres humanos fue promulgada por Real Kram No. CH.S/Roy-Kr/0296/01 de 29 de febrero de 1996.</w:t>
      </w:r>
    </w:p>
    <w:p w:rsidR="00000000" w:rsidRDefault="00000000">
      <w:pPr>
        <w:pStyle w:val="SingleTxt"/>
      </w:pPr>
      <w:r>
        <w:t>170.</w:t>
      </w:r>
      <w:r>
        <w:tab/>
        <w:t>En colaboración con los tribunales, las autoridades competentes deben hacer que se cumpla la ley arrestando primero e imponiendo después la pena que corre</w:t>
      </w:r>
      <w:r>
        <w:t>s</w:t>
      </w:r>
      <w:r>
        <w:t>ponda a los delincuentes. Aunque se han desplegado esfuerzos por hacer cumplir la Ley relativa a la lucha contra la trata de mujeres y su explotación mediante la pro</w:t>
      </w:r>
      <w:r>
        <w:t>s</w:t>
      </w:r>
      <w:r>
        <w:t>titución, también se han producido algunos efectos negativos. Algunos jueces, co</w:t>
      </w:r>
      <w:r>
        <w:t>n</w:t>
      </w:r>
      <w:r>
        <w:t>fiando en la independencia del Poder Judicial, se han aprovechado de casos de trata para hacer uso de sus facultades discrecionales y no castigar a las personas acusadas de conformidad con la Ley en ciertas causas en que las demandas de las víctimas no se habían presentado guardando los requisitos exigidos. En otras causas, los jueces han cambiado la carátula de los autos para suavizar la sentencia. En algunas oport</w:t>
      </w:r>
      <w:r>
        <w:t>u</w:t>
      </w:r>
      <w:r>
        <w:t>nidades, los jueces han decidido liberar a las personas acusadas con el pretexto de que no había pruebas suficientes o de que las víctimas no habían cooperado.</w:t>
      </w:r>
    </w:p>
    <w:p w:rsidR="00000000" w:rsidRDefault="00000000">
      <w:pPr>
        <w:pStyle w:val="SingleTxt"/>
      </w:pPr>
      <w:r>
        <w:t>171.</w:t>
      </w:r>
      <w:r>
        <w:tab/>
        <w:t>Además de las deficiencias judiciales, algunos funcionarios encargados de h</w:t>
      </w:r>
      <w:r>
        <w:t>a</w:t>
      </w:r>
      <w:r>
        <w:t>cer cumplir la ley no han procedido conforme a derecho y han extorsionado a las mujeres que eran las víctimas sacándoles dinero. En algunos casos, las autoridades competentes han pasado por alto el cumplimiento de la ley y han hecho que las pa</w:t>
      </w:r>
      <w:r>
        <w:t>r</w:t>
      </w:r>
      <w:r>
        <w:t>tes se reconciliaran sin llevar a los delincuentes ante los tribunales para ser sanci</w:t>
      </w:r>
      <w:r>
        <w:t>o</w:t>
      </w:r>
      <w:r>
        <w:t>nados conforme a derecho.</w:t>
      </w:r>
    </w:p>
    <w:p w:rsidR="00000000" w:rsidRDefault="00000000">
      <w:pPr>
        <w:pStyle w:val="SingleTxt"/>
      </w:pPr>
      <w:r>
        <w:t>172.</w:t>
      </w:r>
      <w:r>
        <w:tab/>
        <w:t>Además de estas deficiencias, hay algunos puntos débiles en el ordenamiento jurídico. La Ley relativa a la represión del secuestro, la trata, la venta y la explot</w:t>
      </w:r>
      <w:r>
        <w:t>a</w:t>
      </w:r>
      <w:r>
        <w:t>ción de seres humanos sigue presentando algunas lagunas y todavía no es perfecta, pues ofrece a los oportunistas que existen, tanto entre las autoridades competentes como entre los delincuentes, posibilidades de sacar provecho individualmente de los casos, por lo cual no se hace cumplir efectivamente la Ley. Por otra parte, la Ley relativa a la represión del secuestro, la trata, la venta y la explotación de seres h</w:t>
      </w:r>
      <w:r>
        <w:t>u</w:t>
      </w:r>
      <w:r>
        <w:t>manos no se ha armonizado con la Ley de Inmigración y, por lo tanto, las autorid</w:t>
      </w:r>
      <w:r>
        <w:t>a</w:t>
      </w:r>
      <w:r>
        <w:t>des competentes encuentran dif</w:t>
      </w:r>
      <w:r>
        <w:t>i</w:t>
      </w:r>
      <w:r>
        <w:t>cultades para hacer cumplir sus disposiciones.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adoptadas para salvar las deficiencias apuntadas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173.</w:t>
      </w:r>
      <w:r>
        <w:tab/>
        <w:t xml:space="preserve">Para eliminar las deficiencias señaladas </w:t>
      </w:r>
      <w:r>
        <w:rPr>
          <w:i/>
        </w:rPr>
        <w:t>supra</w:t>
      </w:r>
      <w:r>
        <w:t>, el Real Gobierno de Camboya ha adoptado algunas medidas como las que se enumeran a continuación:</w:t>
      </w:r>
    </w:p>
    <w:p w:rsidR="00000000" w:rsidRDefault="00000000">
      <w:pPr>
        <w:pStyle w:val="SingleTxt"/>
        <w:tabs>
          <w:tab w:val="right" w:pos="1685"/>
        </w:tabs>
        <w:ind w:left="1742" w:hanging="475"/>
      </w:pPr>
      <w:r>
        <w:tab/>
        <w:t>–</w:t>
      </w:r>
      <w:r>
        <w:tab/>
        <w:t>El Real Gobierno ha instituido la Real Escuela de Magistrados para inculcar en los nuevos jueces y pasantes los conocimientos profesionales de los jueces en ejercicio y promover una gestión más responsable de la aplicación de la ley.</w:t>
      </w:r>
    </w:p>
    <w:p w:rsidR="00000000" w:rsidRDefault="00000000">
      <w:pPr>
        <w:pStyle w:val="SingleTxt"/>
        <w:tabs>
          <w:tab w:val="right" w:pos="1685"/>
        </w:tabs>
        <w:ind w:left="1742" w:hanging="475"/>
      </w:pPr>
      <w:r>
        <w:tab/>
        <w:t>–</w:t>
      </w:r>
      <w:r>
        <w:tab/>
        <w:t>Además, el Real Gobierno, con la cooperación de organizaciones no gubern</w:t>
      </w:r>
      <w:r>
        <w:t>a</w:t>
      </w:r>
      <w:r>
        <w:t>mentales, facilita la celebración de reuniones, en forma de seminarios, a fin de ampliar debidamente los conocimientos profesionales de jueces y fiscales en la esfera de la trata de mujeres y de su e</w:t>
      </w:r>
      <w:r>
        <w:t>x</w:t>
      </w:r>
      <w:r>
        <w:t>plotación como prostitutas.</w:t>
      </w:r>
    </w:p>
    <w:p w:rsidR="00000000" w:rsidRDefault="00000000">
      <w:pPr>
        <w:pStyle w:val="SingleTxt"/>
        <w:tabs>
          <w:tab w:val="right" w:pos="1685"/>
        </w:tabs>
        <w:ind w:left="1742" w:hanging="475"/>
      </w:pPr>
      <w:r>
        <w:tab/>
        <w:t>–</w:t>
      </w:r>
      <w:r>
        <w:tab/>
        <w:t>Por otra parte, el Ministerio de Justicia se ha encargado de redactar un nuevo proyecto de ley sobre la trata y la explotación sexual de seres humanos que contiene definiciones claras con respecto al castigo de los delincuentes y la protección de las víctimas. Este proyecto de ley se pondrá pronto a consider</w:t>
      </w:r>
      <w:r>
        <w:t>a</w:t>
      </w:r>
      <w:r>
        <w:t>ción de la Asamblea N</w:t>
      </w:r>
      <w:r>
        <w:t>a</w:t>
      </w:r>
      <w:r>
        <w:t>cional para que lo apruebe.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Plan de acción contra la trata de seres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174.</w:t>
      </w:r>
      <w:r>
        <w:tab/>
        <w:t>El Consejo Nacional de Camboya para la Infancia fue establecido en 1995 para supervisar, evaluar y coordinar el ejercicio de los derechos de los niños. Se ha apr</w:t>
      </w:r>
      <w:r>
        <w:t>o</w:t>
      </w:r>
      <w:r>
        <w:t>bado el plan nacional quinquenal (2000-2004) contra la trata y la explotación sexual de los niños con objeto de combatir la trata y la explotación sexual de los niños y mejorar la cal</w:t>
      </w:r>
      <w:r>
        <w:t>i</w:t>
      </w:r>
      <w:r>
        <w:t>dad de la aplicación de la ley. Sus finalidades son las siguientes: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Prevención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175.</w:t>
      </w:r>
      <w:r>
        <w:tab/>
        <w:t>Mediante la utilización de medios audiovisuales para concienciar al gran p</w:t>
      </w:r>
      <w:r>
        <w:t>ú</w:t>
      </w:r>
      <w:r>
        <w:t>blico, este programa se propone: impedir que los niños sean objeto de trata y caigan en la prostitución; impulsar la prevención en las escuelas, en particular con la int</w:t>
      </w:r>
      <w:r>
        <w:t>e</w:t>
      </w:r>
      <w:r>
        <w:t>gración de esta temática en los planes de estudio y las bibliotecas ambulantes; pr</w:t>
      </w:r>
      <w:r>
        <w:t>o</w:t>
      </w:r>
      <w:r>
        <w:t>mover programas pedagógicos de un niño a otro, la enseñanza de los derechos del niño, la educación sexual y la toma de conciencia de todo lo que entraña la explot</w:t>
      </w:r>
      <w:r>
        <w:t>a</w:t>
      </w:r>
      <w:r>
        <w:t>ción sexual; conseguir la concienciación de los funcionarios del gobierno y de otros profesionales mediante talleres o seminarios; movilizar a la comunidad para que establezca sistemas de vigilancia locales, y fomentar la sensibilización por conducto de programas de e</w:t>
      </w:r>
      <w:r>
        <w:t>n</w:t>
      </w:r>
      <w:r>
        <w:t>señanza extraescolar.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176.</w:t>
      </w:r>
      <w:r>
        <w:tab/>
        <w:t>El objetivo de este programa es amparar a los niños mediante la revisión de la legislación y el impulso de nuevas leyes relacionadas con la protección de la infa</w:t>
      </w:r>
      <w:r>
        <w:t>n</w:t>
      </w:r>
      <w:r>
        <w:t>cia, la reconsideración y el fortalecimiento de los mecanismos de aplicación, la c</w:t>
      </w:r>
      <w:r>
        <w:t>a</w:t>
      </w:r>
      <w:r>
        <w:t>pacitación del personal del Estado en la esfera del derecho y de los mecanismos de lucha contra la explotación sexual comercial de los niños, el mejoramiento del si</w:t>
      </w:r>
      <w:r>
        <w:t>s</w:t>
      </w:r>
      <w:r>
        <w:t>tema de tramitación de demandas y prestación de asistencia letrada, el establec</w:t>
      </w:r>
      <w:r>
        <w:t>i</w:t>
      </w:r>
      <w:r>
        <w:t>miento de sistemas de protección especiales, el fortalecimiento de la cooperación internacional y regional para combatir la trata y la elaboración de medidas concretas contra la pornografía infantil.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Rehabilitación y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177.</w:t>
      </w:r>
      <w:r>
        <w:tab/>
        <w:t>Este programa fue concebido para promover y lograr los mejores resultados posibles no sólo en materia de recuperación mental y reintegración en la vida no</w:t>
      </w:r>
      <w:r>
        <w:t>r</w:t>
      </w:r>
      <w:r>
        <w:t>mal de los niños convertidos en víctimas mediante la capacitación del personal de los ministerios y las instituciones pertinentes para que asista en el proceso de rec</w:t>
      </w:r>
      <w:r>
        <w:t>u</w:t>
      </w:r>
      <w:r>
        <w:t>peración y brinde servicios de apoyo a las víctimas/sobrevivientes, sino también en lo atinente a la supervisión y planificación de los servicios, la enseñanza extraesc</w:t>
      </w:r>
      <w:r>
        <w:t>o</w:t>
      </w:r>
      <w:r>
        <w:t>lar y el desarrollo de aptitudes.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Reinserción social</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178.</w:t>
      </w:r>
      <w:r>
        <w:tab/>
        <w:t>El propósito de este programa es facilitar y aprovechar una variedad de opci</w:t>
      </w:r>
      <w:r>
        <w:t>o</w:t>
      </w:r>
      <w:r>
        <w:t>nes en materia de reinserción social mediante la reunión de la familia, el examen de las opciones ofrecidas y la prestación de asistencia mediante la provisión de empleo, el establecimiento de si</w:t>
      </w:r>
      <w:r>
        <w:t>s</w:t>
      </w:r>
      <w:r>
        <w:t>temas de apoyo comunitario, la vigilancia y el seguimiento.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Establecimiento de un organismo especial para que colabore en la aplicación de la legislación contra la trata de seres humanos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179.</w:t>
      </w:r>
      <w:r>
        <w:tab/>
        <w:t>El Consejo Nacional de Camboya para la Mujer (CNCM) se ha establecido como mecanismo de coordinación e instrumento encargado de formular recomend</w:t>
      </w:r>
      <w:r>
        <w:t>a</w:t>
      </w:r>
      <w:r>
        <w:t>ciones al Real Gobierno con el propósito de promover la capacidad, las funciones y el bienestar de las mujeres en la sociedad camboyana y de reducir y eliminar todas las formas de discriminación y violencia contra la mujer. Este mecanismo asiste al Real Gobierno en la coordinación, la supervisión y la evaluación de la ejecución de las políticas y formula recomendaciones para promover la aplicación de las leyes, sentencias y medidas relacionadas con la condición de la mujer y sus funciones en la sociedad camboyana y para reprimir el secuestro, la trata, la venta y la explotación de seres humanos. En la actualidad, este organismo tiene la obligación de preparar los informes nacionales sobre la aplicación de la Convención en Ca</w:t>
      </w:r>
      <w:r>
        <w:t>m</w:t>
      </w:r>
      <w:r>
        <w:t>boya.</w:t>
      </w:r>
    </w:p>
    <w:p w:rsidR="00000000" w:rsidRDefault="00000000">
      <w:pPr>
        <w:pStyle w:val="SingleTxt"/>
      </w:pPr>
      <w:r>
        <w:t>180.</w:t>
      </w:r>
      <w:r>
        <w:tab/>
        <w:t>En marzo de 2000, el Ministerio de Asuntos de la Mujer y los Excombatientes, la Organización Internacional para las Migraciones (OIM) y el representante del g</w:t>
      </w:r>
      <w:r>
        <w:t>o</w:t>
      </w:r>
      <w:r>
        <w:t xml:space="preserve">bierno de Finlandia suscribieron un acuerdo para desarrollar un programa que se prolongará por tres años (2000-2003), bajo la presidencia del Primer Ministro </w:t>
      </w:r>
      <w:r>
        <w:br/>
        <w:t>Samdech Hun Sen, a fin de combatir todas las formas de trata de mujeres y niños en Camboya. El programa se orienta hacia la realización de actividades urgentes y el mejoramiento de la capacidad del personal del Ministerio de Asuntos de la Mujer y los Excombatientes, los funcionarios de los ministerios participantes y las autorid</w:t>
      </w:r>
      <w:r>
        <w:t>a</w:t>
      </w:r>
      <w:r>
        <w:t>des locales de seis provincias/municipios de zonas fronterizas para que hagan frente a la trata de mujeres y niños en las localidades a que pertenecen.</w:t>
      </w:r>
    </w:p>
    <w:p w:rsidR="00000000" w:rsidRDefault="00000000">
      <w:pPr>
        <w:pStyle w:val="SingleTxt"/>
      </w:pPr>
      <w:r>
        <w:t>181.</w:t>
      </w:r>
      <w:r>
        <w:tab/>
        <w:t>El Real Gobierno de Camboya ha cooperado estrecha y sistemáticamente con las autoridades locales, las organizaciones no gubernamentales y la comunidad i</w:t>
      </w:r>
      <w:r>
        <w:t>n</w:t>
      </w:r>
      <w:r>
        <w:t>ternacional para combatir la trata de mujeres. En colaboración con la Embajada br</w:t>
      </w:r>
      <w:r>
        <w:t>i</w:t>
      </w:r>
      <w:r>
        <w:t>tánica, el Ministerio de Asuntos de la Mujer y los Excombatientes viene prestando apoyo en Poipet, cerca de la frontera entre Camboya y Tailandia, a un programa de promoción del desarrollo económico de las familias pobres y, en especial, de las mujeres víctimas de la trata de seres humanos.</w:t>
      </w:r>
    </w:p>
    <w:p w:rsidR="00000000" w:rsidRDefault="00000000">
      <w:pPr>
        <w:pStyle w:val="SingleTxt"/>
        <w:rPr>
          <w:spacing w:val="2"/>
          <w:w w:val="101"/>
        </w:rPr>
      </w:pPr>
      <w:r>
        <w:t>182.</w:t>
      </w:r>
      <w:r>
        <w:tab/>
        <w:t>Se estableció un comité ejecutivo con personería jurídica para combatir la trata de niños. El programa correspondiente fue desarrollado por el Ministerio del Interior (MoI), la ACNUDH/Camboya, la OIM, el UNICEF, REDD BARNA y Visión Mu</w:t>
      </w:r>
      <w:r>
        <w:t>n</w:t>
      </w:r>
      <w:r>
        <w:t xml:space="preserve">dial Internacional. Su objetivo fue desarrollar la capacidad de la policía, los fiscales y los jueces de instrucción para investigar, reprimir y sancionar a cualquier persona que explotase sexualmente o hiciese objeto de trata a niños, así como para proteger a las víctimas y ampliar el sistema de recepción de demandas e informaciones. El proyecto duró dos años (2000-2001) y permitió adiestrar a 4.824 miembros de la policía judicial para que combatieran la trata de seres humanos. Este programa de capacitación se desarrolló en varias provincias/municipios, como por ejemplo Phnom Penh, </w:t>
      </w:r>
      <w:r>
        <w:rPr>
          <w:spacing w:val="2"/>
          <w:w w:val="101"/>
        </w:rPr>
        <w:t>Kompong Som, Kompong Cham, Svay Rieng, Takeo, Prey Veng, Kandal, Kompong Thom, Battambang, Banteay Meanchey, Siem Reap, Kompong Chhnang y Koh Kong.</w:t>
      </w:r>
    </w:p>
    <w:p w:rsidR="00000000" w:rsidRDefault="00000000">
      <w:pPr>
        <w:pStyle w:val="SingleTxt"/>
      </w:pPr>
      <w:r>
        <w:t>183.</w:t>
      </w:r>
      <w:r>
        <w:tab/>
        <w:t>El Gobierno municipal de Phnom Penh ha establecido un comité mixto para la aplicación de las normas de política relativas a la prevención de la explotación s</w:t>
      </w:r>
      <w:r>
        <w:t>e</w:t>
      </w:r>
      <w:r>
        <w:t>xual de mujeres y niños. Las funciones del comité consisten en luchar contra la prostitución y en buscar, recluir y llevar ante la justicia a los tratantes de mujeres y niños y a sus cómplices. Se ha instituido un comité similar en las comunas/sangkats y di</w:t>
      </w:r>
      <w:r>
        <w:t>s</w:t>
      </w:r>
      <w:r>
        <w:t>tritos para llevar a cabo con eficacia el trabajo que le compete.</w:t>
      </w:r>
    </w:p>
    <w:p w:rsidR="00000000" w:rsidRDefault="00000000">
      <w:pPr>
        <w:pStyle w:val="SingleTxt"/>
      </w:pPr>
      <w:r>
        <w:t>184.</w:t>
      </w:r>
      <w:r>
        <w:tab/>
        <w:t>Como resultado de la cooperación entre el Real Gobierno de Camboya (RGC) y la ACNUDH/Camboya, en todo el país se han dictado cursos de capacitación para las Reales Fuerzas Armadas de Camboya (RFAC), la policía militar y la policía s</w:t>
      </w:r>
      <w:r>
        <w:t>o</w:t>
      </w:r>
      <w:r>
        <w:t>bre temas tales como la Constitución, el Código Penal, la Ley relativa a la represión del secuestro, la trata, la venta y la explotación de seres humanos y otras normas j</w:t>
      </w:r>
      <w:r>
        <w:t>u</w:t>
      </w:r>
      <w:r>
        <w:t>rídicas que comprenden las leyes y los protocolos y conve</w:t>
      </w:r>
      <w:r>
        <w:t>n</w:t>
      </w:r>
      <w:r>
        <w:t>ciones internacionales.</w:t>
      </w:r>
    </w:p>
    <w:p w:rsidR="00000000" w:rsidRDefault="00000000">
      <w:pPr>
        <w:pStyle w:val="SingleTxt"/>
      </w:pPr>
      <w:r>
        <w:t>185.</w:t>
      </w:r>
      <w:r>
        <w:tab/>
        <w:t>Las ONG que se ocupan de los derechos de la mujer y de la prevención de la trata de mujeres y niños han desarrollado numerosas actividades en esferas tales como la formación jurídica y la difusión de conocimientos sobre la legislación, los derechos humanos y los derechos de la mujer y del niño, han establecido servicios de socorro para auxiliar a las víctimas y proporcionan a éstas, entre otras cosas, a</w:t>
      </w:r>
      <w:r>
        <w:t>l</w:t>
      </w:r>
      <w:r>
        <w:t>be</w:t>
      </w:r>
      <w:r>
        <w:t>r</w:t>
      </w:r>
      <w:r>
        <w:t>gues temporarios, formación profesional y oportunidades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Repatriación y reintegración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186.</w:t>
      </w:r>
      <w:r>
        <w:tab/>
        <w:t>El memorando de entendimiento sobre la cooperación bilateral para eliminar la trata de niños y mujeres y prestar asistencia a las víctimas de la trata fue suscrito en mayo de 2003 entre el Real Gobierno de Tailandia y el Real Gobierno de Camboya. Además, se ha preparado conjuntamente y será suscrito en el año 2004 otro mem</w:t>
      </w:r>
      <w:r>
        <w:t>o</w:t>
      </w:r>
      <w:r>
        <w:t>rando de entendimiento similar entre el Real Gobierno de Camboya y el Gobierno de la República Socialista de Viet Nam.</w:t>
      </w:r>
    </w:p>
    <w:p w:rsidR="00000000" w:rsidRDefault="00000000">
      <w:pPr>
        <w:pStyle w:val="SingleTxt"/>
      </w:pPr>
      <w:r>
        <w:t>187.</w:t>
      </w:r>
      <w:r>
        <w:tab/>
        <w:t>Desde 1996 hasta 2000, con el apoyo del UNICEF y contribuciones de 13 o</w:t>
      </w:r>
      <w:r>
        <w:t>r</w:t>
      </w:r>
      <w:r>
        <w:t>ganizaciones no gubernamentales con sede en Phnom Penh, el Ministerio de Asu</w:t>
      </w:r>
      <w:r>
        <w:t>n</w:t>
      </w:r>
      <w:r>
        <w:t>tos Sociales, Trabajo, Formación Profesional y Rehabilitación de los Jóvenes (MoASTFPRJ) ha reintegrado a niños al seno de sus familias en sus respectivas a</w:t>
      </w:r>
      <w:r>
        <w:t>l</w:t>
      </w:r>
      <w:r>
        <w:t>deas natales. Sin embargo, el Ministerio sólo ha podido realizar el seguimiento de 1.000 del total de 2.000 niños integrados en función de sus condiciones de vida.</w:t>
      </w:r>
    </w:p>
    <w:p w:rsidR="00000000" w:rsidRDefault="00000000">
      <w:pPr>
        <w:pStyle w:val="SingleTxt"/>
      </w:pPr>
      <w:r>
        <w:t>188.</w:t>
      </w:r>
      <w:r>
        <w:tab/>
        <w:t>En los años 2000 y 2001, 436 camboyanos víctimas de la explotación sexual y la trata de seres humanos fueron repatriados de Tailandia a Camboya por el puesto de control fronterizo de Poipet (según el informe de la OIM). En 2001, con el apoyo del UNICEF y la OIM, el MoASTFPRJ repatrió de Vietnam a 210 víctimas camb</w:t>
      </w:r>
      <w:r>
        <w:t>o</w:t>
      </w:r>
      <w:r>
        <w:t>yanas y reinsertó a 230 en la comunidad nacional. Con el apoyo de la OIM, han sido repatriados de Indonesia 76 camboyanos.</w:t>
      </w:r>
    </w:p>
    <w:p w:rsidR="00000000" w:rsidRDefault="00000000">
      <w:pPr>
        <w:pStyle w:val="SingleTxt"/>
      </w:pPr>
      <w:r>
        <w:t>189.</w:t>
      </w:r>
      <w:r>
        <w:tab/>
        <w:t>El Real Gobierno de Camboya se ha ocupado de promulgar nuevas leyes y de instituir un mecanismo para hacer efectiva la aplicación de la ley. En la actualidad, presta atención preferente a las causas que constituyen la raíz del problema, esp</w:t>
      </w:r>
      <w:r>
        <w:t>e</w:t>
      </w:r>
      <w:r>
        <w:t>cialmente por conducto de planes nacionales como la estrategia nacional de lucha contra la pobreza y el segundo plan de desarrollo socioeconómico. También se ha comprometido a aplicar todos los instrumentos de derechos humanos. La adopción de medidas para reprimir la trata de mujeres y niños es uno de los temas prioritarios del programa del Real Gobierno de 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la vida política y pública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7</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tomarán las medidas apropiadas para eliminar la discr</w:t>
      </w:r>
      <w:r>
        <w:rPr>
          <w:i/>
        </w:rPr>
        <w:t>i</w:t>
      </w:r>
      <w:r>
        <w:rPr>
          <w:i/>
        </w:rPr>
        <w:t>minación contra la mujer en la vida política y pública del país y, en particular, g</w:t>
      </w:r>
      <w:r>
        <w:rPr>
          <w:i/>
        </w:rPr>
        <w:t>a</w:t>
      </w:r>
      <w:r>
        <w:rPr>
          <w:i/>
        </w:rPr>
        <w:t>rant</w:t>
      </w:r>
      <w:r>
        <w:rPr>
          <w:i/>
        </w:rPr>
        <w:t>i</w:t>
      </w:r>
      <w:r>
        <w:rPr>
          <w:i/>
        </w:rPr>
        <w:t>zarán a las mujeres, en igualdad de condiciones con los hombres, el derecho a:</w:t>
      </w:r>
    </w:p>
    <w:p w:rsidR="00000000" w:rsidRDefault="00000000">
      <w:pPr>
        <w:pStyle w:val="SingleTxt"/>
        <w:rPr>
          <w:i/>
        </w:rPr>
      </w:pPr>
      <w:r>
        <w:rPr>
          <w:i/>
        </w:rPr>
        <w:tab/>
        <w:t>a)</w:t>
      </w:r>
      <w:r>
        <w:rPr>
          <w:i/>
        </w:rPr>
        <w:tab/>
        <w:t>Votar en todas las elecciones y referendos públicos y ser elegibles para todos los organismos cuyos miembros sean objeto de ele</w:t>
      </w:r>
      <w:r>
        <w:rPr>
          <w:i/>
        </w:rPr>
        <w:t>c</w:t>
      </w:r>
      <w:r>
        <w:rPr>
          <w:i/>
        </w:rPr>
        <w:t>ciones públicas;</w:t>
      </w:r>
    </w:p>
    <w:p w:rsidR="00000000" w:rsidRDefault="00000000">
      <w:pPr>
        <w:pStyle w:val="SingleTxt"/>
        <w:rPr>
          <w:i/>
        </w:rPr>
      </w:pPr>
      <w:r>
        <w:rPr>
          <w:i/>
        </w:rPr>
        <w:tab/>
        <w:t>b)</w:t>
      </w:r>
      <w:r>
        <w:rPr>
          <w:i/>
        </w:rPr>
        <w:tab/>
        <w:t>Participar en la formulación de las políticas gubernamentales y en la ejecución de éstas, y ocupar cargos públicos y ejercer todas las funciones públicas en t</w:t>
      </w:r>
      <w:r>
        <w:rPr>
          <w:i/>
        </w:rPr>
        <w:t>o</w:t>
      </w:r>
      <w:r>
        <w:rPr>
          <w:i/>
        </w:rPr>
        <w:t>dos los planos gubernamentales;</w:t>
      </w:r>
    </w:p>
    <w:p w:rsidR="00000000" w:rsidRDefault="00000000">
      <w:pPr>
        <w:pStyle w:val="SingleTxt"/>
        <w:rPr>
          <w:i/>
        </w:rPr>
      </w:pPr>
      <w:r>
        <w:rPr>
          <w:i/>
        </w:rPr>
        <w:tab/>
        <w:t>c)</w:t>
      </w:r>
      <w:r>
        <w:rPr>
          <w:i/>
        </w:rPr>
        <w:tab/>
        <w:t>Participar en organizaciones y asociaciones no gubernamentales que se oc</w:t>
      </w:r>
      <w:r>
        <w:rPr>
          <w:i/>
        </w:rPr>
        <w:t>u</w:t>
      </w:r>
      <w:r>
        <w:rPr>
          <w:i/>
        </w:rPr>
        <w:t>pen de la vida pública y política del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190.</w:t>
      </w:r>
      <w:r>
        <w:tab/>
        <w:t>La Constitución del Reino de Camboya garantiza y protege el derecho de la mujer a participar en la vida política, social y pública en igualdad de condiciones con el hombre. Tradicionalmente, la mujer de Camboya participa muy poco en la vida pública, ya en la política, ya en puestos directivos en la comunidad.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para votar y presentar candidaturas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191.</w:t>
      </w:r>
      <w:r>
        <w:tab/>
        <w:t>El Real Gobierno de Camboya garantiza la igualdad de los derechos del ho</w:t>
      </w:r>
      <w:r>
        <w:t>m</w:t>
      </w:r>
      <w:r>
        <w:t>bre y la mujer a votar en cualquier elección y a presentar sus candidaturas para oc</w:t>
      </w:r>
      <w:r>
        <w:t>u</w:t>
      </w:r>
      <w:r>
        <w:t>par escaños en la Asamblea Nacional. El artículo 34 de la Constitución estipula lo siguiente: “Los ciudadanos khmers de ambos sexos tienen derecho a votar y pr</w:t>
      </w:r>
      <w:r>
        <w:t>e</w:t>
      </w:r>
      <w:r>
        <w:t>sentar sus candidaturas en las elecciones. Los ciudadanos khmers de ambos sexos de más de 18 (dieciocho) años de edad tienen derecho a votar. Los ciudadanos khmers de ambos sexos de más de 25 (veinticinco) años de edad tienen derecho a presentar sus candidaturas para ocupar escaños en la Asamblea Nacional. Los ciudadanos khmers de ambos sexos de más de 40 (cuarenta) años de edad tienen derecho a pr</w:t>
      </w:r>
      <w:r>
        <w:t>e</w:t>
      </w:r>
      <w:r>
        <w:t>sentar sus candidaturas para ocupar escaños en el Senado.”</w:t>
      </w:r>
    </w:p>
    <w:p w:rsidR="00000000" w:rsidRDefault="00000000">
      <w:pPr>
        <w:pStyle w:val="SingleTxt"/>
      </w:pPr>
      <w:r>
        <w:t>192.</w:t>
      </w:r>
      <w:r>
        <w:tab/>
        <w:t>De conformidad con la Constitución, las mujeres han ejercido su derecho constitucional a dedicarse a la función pública. Este hecho quedó claramente d</w:t>
      </w:r>
      <w:r>
        <w:t>e</w:t>
      </w:r>
      <w:r>
        <w:t>mostrado en las elecciones parlamentarias de 1998, cuando más de 50% de las muj</w:t>
      </w:r>
      <w:r>
        <w:t>e</w:t>
      </w:r>
      <w:r>
        <w:t>res cumplieron sus deberes como votantes. Sin embargo, tan sólo 20% de las muj</w:t>
      </w:r>
      <w:r>
        <w:t>e</w:t>
      </w:r>
      <w:r>
        <w:t xml:space="preserve">res ocupan algún cargo y únicamente 11,52% de los miembros del Parlamento son mujeres. En promedio, hay aproximadamente 10% de mujeres en puestos directivos </w:t>
      </w:r>
      <w:r>
        <w:rPr>
          <w:spacing w:val="2"/>
          <w:w w:val="101"/>
        </w:rPr>
        <w:t xml:space="preserve">en los municipios, el gobierno central y estamentos inferiores. Cinco mujeres estaban </w:t>
      </w:r>
      <w:r>
        <w:t>al frente de algunos de los 39 partidos políticos que participaron en las elecciones n</w:t>
      </w:r>
      <w:r>
        <w:t>a</w:t>
      </w:r>
      <w:r>
        <w:t>cionales de 1998.</w:t>
      </w:r>
    </w:p>
    <w:p w:rsidR="00000000" w:rsidRDefault="00000000">
      <w:pPr>
        <w:pStyle w:val="SingleTxt"/>
      </w:pPr>
      <w:r>
        <w:t>193.</w:t>
      </w:r>
      <w:r>
        <w:tab/>
        <w:t>Con ocasión de las elecciones comunales de 2002 y a pesar de no haberse ll</w:t>
      </w:r>
      <w:r>
        <w:t>e</w:t>
      </w:r>
      <w:r>
        <w:t>gado a un acuerdo sobre el cupo femenino requerido legalmente, cada uno de los tres partidos que resultaron ganadores alentó a las mujeres a presentarse como ca</w:t>
      </w:r>
      <w:r>
        <w:t>n</w:t>
      </w:r>
      <w:r>
        <w:t>didatas. El Real Gobierno de Camboya ha proporcionado a las mujeres oportunid</w:t>
      </w:r>
      <w:r>
        <w:t>a</w:t>
      </w:r>
      <w:r>
        <w:t>des de participar en cursos de capacitación en funciones directivas y ha estimulado a las mujeres populares y capaces para que se presentaran como candidatas por sus partidos. En las elecciones de consejos municipales se presentaron 12.375 mujeres candidatas, el 16% del total de 75.287 candidatos. De esas candidatas, sólo result</w:t>
      </w:r>
      <w:r>
        <w:t>a</w:t>
      </w:r>
      <w:r>
        <w:t>ron electas 977 (8,67%), que cumplen sus funciones en los consejos de las 1.621 comunas/sangkats del país.</w:t>
      </w:r>
    </w:p>
    <w:p w:rsidR="00000000" w:rsidRDefault="00000000">
      <w:pPr>
        <w:pStyle w:val="SingleTxt"/>
      </w:pPr>
      <w:r>
        <w:t>194.</w:t>
      </w:r>
      <w:r>
        <w:tab/>
        <w:t>El artículo 19 del decreto complementario No. 22 del 25 de marzo de 2002, relativo a la descentralización de las facultades, funciones y deberes de los consejos de las comunas/sangkats, reza así: “El consejo de cada comuna/sangkat designará a una de sus consejeras para que se haga cargo de los asuntos de la mujer y del niño. En caso de que en ese consejo no hubiere sido elegida ninguna consejera, se desi</w:t>
      </w:r>
      <w:r>
        <w:t>g</w:t>
      </w:r>
      <w:r>
        <w:t>nará a una consejera adjunta para que se encargue de los asuntos de la mujer y del niño. La consejera adjunta a cargo de los asuntos de la mujer y del niño tendrá der</w:t>
      </w:r>
      <w:r>
        <w:t>e</w:t>
      </w:r>
      <w:r>
        <w:t>cho a participar en los debates o en las reuniones de las comisiones de la com</w:t>
      </w:r>
      <w:r>
        <w:t>u</w:t>
      </w:r>
      <w:r>
        <w:t>na/sangkat y en las reuniones de su consejo, pero no tendrá derecho al voto cuando se adopten decisiones”.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para formular políticas, ocupar cargos públicos y desempeñar cualquier función pública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195.</w:t>
      </w:r>
      <w:r>
        <w:tab/>
        <w:t>El Real Gobierno de Camboya ha garantizado la igualdad de derechos entre hombres y mujeres para participar en la formulación de las políticas gubernament</w:t>
      </w:r>
      <w:r>
        <w:t>a</w:t>
      </w:r>
      <w:r>
        <w:t>les, ocupar cargos públicos y desempeñar cualquier función pública en todos los n</w:t>
      </w:r>
      <w:r>
        <w:t>i</w:t>
      </w:r>
      <w:r>
        <w:t>veles del Estado. El artículo 41 de la Constitución estipula que “Todos los ciudad</w:t>
      </w:r>
      <w:r>
        <w:t>a</w:t>
      </w:r>
      <w:r>
        <w:t>nos khmers tienen derecho a expresar libremente sus opiniones personales y gozan de la libertad de prensa, de publicación y de reunión. Nadie puede abusar de estos derechos para vulnerar los derechos de otro, transgredir las buenas costumbres y las tradiciones de la sociedad, infringir el derecho y el orden públicos o atentar contra la seguridad nacional”.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Gobierno local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196.</w:t>
      </w:r>
      <w:r>
        <w:tab/>
        <w:t>Con arreglo a la política de descentralización y desconcentración de los serv</w:t>
      </w:r>
      <w:r>
        <w:t>i</w:t>
      </w:r>
      <w:r>
        <w:t>cios públicos y por conducto del proyecto SEILA (apoyado por donantes internaci</w:t>
      </w:r>
      <w:r>
        <w:t>o</w:t>
      </w:r>
      <w:r>
        <w:t>nales), se ha prestado apoyo a las autoridades provinciales/municipales o de est</w:t>
      </w:r>
      <w:r>
        <w:t>a</w:t>
      </w:r>
      <w:r>
        <w:t>mentos inferiores para que cumplan sus nuevas responsabilidades. Todo esto co</w:t>
      </w:r>
      <w:r>
        <w:t>m</w:t>
      </w:r>
      <w:r>
        <w:t>prende la aplicación de la estrategia SEILA de integración de las cuestiones de g</w:t>
      </w:r>
      <w:r>
        <w:t>é</w:t>
      </w:r>
      <w:r>
        <w:t>nero, 2001-2005, preparada y coordinada por el Ministerio de Asuntos de la Mujer y los Excombatientes. La meta es garantizar que “el Gobierno tenga capacidad sost</w:t>
      </w:r>
      <w:r>
        <w:t>e</w:t>
      </w:r>
      <w:r>
        <w:t>nida para integrar las cuestiones de género en las políticas de mitigación de la p</w:t>
      </w:r>
      <w:r>
        <w:t>o</w:t>
      </w:r>
      <w:r>
        <w:t>breza y gestión de los asuntos públicos y promover de esa manera la realización del potencial de la mujer y su participación equitativa en el desarrollo”. Esto se logrará mediante la aplicación de tres componentes: compromiso con el fortalecimiento de la capacidad, la mayor participación de la mujer en la planificación del desarrollo local y la buena gestión de los asuntos públicos y la mayor capacidad para controlar, evaluar y gestionar la base local de datos r</w:t>
      </w:r>
      <w:r>
        <w:t>e</w:t>
      </w:r>
      <w:r>
        <w:t>lativos al género.</w:t>
      </w:r>
    </w:p>
    <w:p w:rsidR="00000000" w:rsidRDefault="00000000">
      <w:pPr>
        <w:pStyle w:val="SingleTxt"/>
      </w:pPr>
      <w:r>
        <w:t>197.</w:t>
      </w:r>
      <w:r>
        <w:tab/>
        <w:t xml:space="preserve">El artículo 22 del decreto complementario mencionado </w:t>
      </w:r>
      <w:r>
        <w:rPr>
          <w:i/>
        </w:rPr>
        <w:t>supra</w:t>
      </w:r>
      <w:r>
        <w:t xml:space="preserve"> reza así: “El consejo de la comuna/sangkat elegirá al jefe de aldea de cada aldea. El jefe de aldea designará al subjefe de aldea y a un miembro de la aldea como asistente. El jefe y el subjefe de aldea, así como el asistente, tendrán todos derecho al voto; además, uno de ellos debe ser mujer”. En la vida real de cada aldea, el consejo de la com</w:t>
      </w:r>
      <w:r>
        <w:t>u</w:t>
      </w:r>
      <w:r>
        <w:t>na/sangkat se esfuerza por seleccionar a una mujer para que sea la jefa o la subjefa de la aldea.</w:t>
      </w:r>
    </w:p>
    <w:p w:rsidR="00000000" w:rsidRDefault="00000000">
      <w:pPr>
        <w:pStyle w:val="SingleTxt"/>
      </w:pPr>
      <w:r>
        <w:t>198.</w:t>
      </w:r>
      <w:r>
        <w:tab/>
        <w:t>La temprana experiencia de descentralización ha sido considerada fructífera por haber aumentado la participación de los ciudadanos en la gestión de los asuntos públicos y ampliado, en particular, la participación de la mujer en el proceso de adopción de decisiones. Si bien la participación femenina en la toma de decisiones públicas ha sido históricamente limitada, la representación de la mujer en los com</w:t>
      </w:r>
      <w:r>
        <w:t>i</w:t>
      </w:r>
      <w:r>
        <w:t>tés de desarrollo de las aldeas aumentó a 26% en 1997 y en promedio llegó a 40% en 1998. En consecuencia, las ONG y el Ministerio de Asuntos de la Mujer y los Excombatientes han aportado pruebas oficiosas de que en la elección y el diseño de los proyectos aumenta cada vez más la sensibilidad ante las necesidades de la mujer (según los datos del Ba</w:t>
      </w:r>
      <w:r>
        <w:t>n</w:t>
      </w:r>
      <w:r>
        <w:t>co Mundial correspondientes a 2003).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legislativas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199.</w:t>
      </w:r>
      <w:r>
        <w:tab/>
        <w:t>Las cifras que indican el número de mujeres que participan en el funcion</w:t>
      </w:r>
      <w:r>
        <w:t>a</w:t>
      </w:r>
      <w:r>
        <w:t>miento de las instituciones legislativas, ejecutivas y judiciales son las siguientes: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000000">
        <w:tblPrEx>
          <w:tblCellMar>
            <w:top w:w="0" w:type="dxa"/>
            <w:left w:w="0" w:type="dxa"/>
            <w:bottom w:w="0" w:type="dxa"/>
            <w:right w:w="0" w:type="dxa"/>
          </w:tblCellMar>
        </w:tblPrEx>
        <w:trPr>
          <w:tblHeader/>
        </w:trPr>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Año</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b/>
                <w:sz w:val="14"/>
              </w:rPr>
            </w:pPr>
            <w:r>
              <w:rPr>
                <w:b/>
                <w:sz w:val="14"/>
              </w:rPr>
              <w:t>Total</w:t>
            </w:r>
          </w:p>
        </w:tc>
        <w:tc>
          <w:tcPr>
            <w:tcW w:w="183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Asamblea Nacional</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120</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(6%)</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122</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(11,52%)</w:t>
            </w:r>
          </w:p>
        </w:tc>
      </w:tr>
      <w:tr w:rsidR="00000000">
        <w:tblPrEx>
          <w:tblCellMar>
            <w:top w:w="0" w:type="dxa"/>
            <w:left w:w="0" w:type="dxa"/>
            <w:bottom w:w="0" w:type="dxa"/>
            <w:right w:w="0" w:type="dxa"/>
          </w:tblCellMar>
        </w:tblPrEx>
        <w:tc>
          <w:tcPr>
            <w:tcW w:w="1830" w:type="dxa"/>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123</w:t>
            </w:r>
          </w:p>
        </w:tc>
        <w:tc>
          <w:tcPr>
            <w:tcW w:w="183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Senado</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1998</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61</w:t>
            </w:r>
          </w:p>
        </w:tc>
        <w:tc>
          <w:tcPr>
            <w:tcW w:w="183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 (13%)</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ejecutivas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right" w:pos="1685"/>
        </w:tabs>
        <w:ind w:left="1742" w:hanging="475"/>
      </w:pPr>
      <w:r>
        <w:tab/>
        <w:t>•</w:t>
      </w:r>
      <w:r>
        <w:tab/>
        <w:t>Hoy están encabezados por una mujer dos de los 27 ministerios/instituciones: el Ministerio de Asuntos de la Mujer y los Excombatientes (MoAMEC) y el Ministerio de Cultura y Bellas Artes (MoCBA); a título comparativo, cabe s</w:t>
      </w:r>
      <w:r>
        <w:t>e</w:t>
      </w:r>
      <w:r>
        <w:t>ñalar que en 1993, durante el primer mandato del Real Gobierno, ninguna mujer ocupaba cargos m</w:t>
      </w:r>
      <w:r>
        <w:t>i</w:t>
      </w:r>
      <w:r>
        <w:t>nisteriales.</w:t>
      </w:r>
    </w:p>
    <w:p w:rsidR="00000000" w:rsidRDefault="00000000">
      <w:pPr>
        <w:pStyle w:val="SingleTxt"/>
        <w:tabs>
          <w:tab w:val="right" w:pos="1685"/>
        </w:tabs>
        <w:ind w:left="1742" w:hanging="475"/>
      </w:pPr>
      <w:r>
        <w:tab/>
        <w:t>•</w:t>
      </w:r>
      <w:r>
        <w:tab/>
        <w:t>Hay tres mujeres (6%) en las 50 secretarías de Estado: dos ocupan cargos en el MoAMEC y una en el Ministerio de Asuntos Sociales, Trabajo, Formación Profesional y Rehabilitación de los Jóvenes (MoASTFPRJ); a título compar</w:t>
      </w:r>
      <w:r>
        <w:t>a</w:t>
      </w:r>
      <w:r>
        <w:t>tivo, cabe señalar que en 1993, durante el primer mandato del Real Gobierno, ninguna mujer ocupaba ese tipo de cargos.</w:t>
      </w:r>
    </w:p>
    <w:p w:rsidR="00000000" w:rsidRDefault="00000000">
      <w:pPr>
        <w:pStyle w:val="SingleTxt"/>
        <w:tabs>
          <w:tab w:val="right" w:pos="1685"/>
        </w:tabs>
        <w:ind w:left="1742" w:hanging="475"/>
      </w:pPr>
      <w:r>
        <w:tab/>
        <w:t>•</w:t>
      </w:r>
      <w:r>
        <w:tab/>
        <w:t>Hay cinco mujeres en las 127 subsecretarías de Estado: tres en el MoAMEC, una en el Ministerio de Turismo (MoT) y una en el Ministerio de Asuntos E</w:t>
      </w:r>
      <w:r>
        <w:t>x</w:t>
      </w:r>
      <w:r>
        <w:t>teriores (MoAE); a título comparativo, cabe señalar que en el primer mandato del Real G</w:t>
      </w:r>
      <w:r>
        <w:t>o</w:t>
      </w:r>
      <w:r>
        <w:t>bierno también había cinco subsecretarias de Estado;</w:t>
      </w:r>
    </w:p>
    <w:p w:rsidR="00000000" w:rsidRDefault="00000000">
      <w:pPr>
        <w:pStyle w:val="SingleTxt"/>
        <w:tabs>
          <w:tab w:val="right" w:pos="1685"/>
        </w:tabs>
        <w:ind w:left="1742" w:hanging="475"/>
      </w:pPr>
      <w:r>
        <w:tab/>
        <w:t>•</w:t>
      </w:r>
      <w:r>
        <w:tab/>
        <w:t>Hay dos mujeres en el Gabinete del Rey: una es Consejera del Rey y la otra Direct</w:t>
      </w:r>
      <w:r>
        <w:t>o</w:t>
      </w:r>
      <w:r>
        <w:t>ra de Protocolo; ambos cargos tienen jerarquía ministerial.</w:t>
      </w:r>
    </w:p>
    <w:p w:rsidR="00000000" w:rsidRDefault="00000000">
      <w:pPr>
        <w:pStyle w:val="SingleTxt"/>
        <w:tabs>
          <w:tab w:val="right" w:pos="1685"/>
        </w:tabs>
        <w:ind w:left="1742" w:hanging="475"/>
      </w:pPr>
      <w:r>
        <w:tab/>
        <w:t>•</w:t>
      </w:r>
      <w:r>
        <w:tab/>
        <w:t>Las mujeres que ocupan cargos equivalentes a los de ministros y secretarios y subsecretarios de Estado suman 14: los cargos son los de Consejeras del Sen</w:t>
      </w:r>
      <w:r>
        <w:t>a</w:t>
      </w:r>
      <w:r>
        <w:t>do, Presidenta de la Asamblea Nacional, Primera Ministra, Viceprimeras M</w:t>
      </w:r>
      <w:r>
        <w:t>i</w:t>
      </w:r>
      <w:r>
        <w:t>nistras y Secretarias Generales de diversas instituciones; a título comparativo, cabe señalar que en el primer mandato del Real Gobierno había seis mujeres en esos cargos.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Fuerza Nacional de Policía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tabs>
          <w:tab w:val="right" w:pos="1685"/>
        </w:tabs>
        <w:ind w:left="1742" w:hanging="475"/>
      </w:pPr>
      <w:r>
        <w:tab/>
        <w:t>•</w:t>
      </w:r>
      <w:r>
        <w:tab/>
        <w:t>En la Fuerza Nacional de Policía hay 3.236 mujeres policías (5,38% del total). En 2002, el Ministro del Interior creó un departamento para combatir la trata de seres humanos y proteger a los menores, que dirige una mujer generala asistida por una coronela, ocho tenientes y 28 mayores; otras 1.875 oficiales y agentes mujeres ocupan puestos de subjefas de departamento, jefas y subjefas de oficina y jefas de sección en todos los departamentos de las comisarías pr</w:t>
      </w:r>
      <w:r>
        <w:t>o</w:t>
      </w:r>
      <w:r>
        <w:t>vinci</w:t>
      </w:r>
      <w:r>
        <w:t>a</w:t>
      </w:r>
      <w:r>
        <w:t>les/municipales y en la policía de distrito/khan de todo el país.</w:t>
      </w:r>
    </w:p>
    <w:p w:rsidR="00000000" w:rsidRDefault="00000000">
      <w:pPr>
        <w:pStyle w:val="SingleTxt"/>
        <w:tabs>
          <w:tab w:val="right" w:pos="1685"/>
        </w:tabs>
        <w:ind w:left="1742" w:hanging="475"/>
      </w:pPr>
      <w:r>
        <w:tab/>
        <w:t>•</w:t>
      </w:r>
      <w:r>
        <w:tab/>
        <w:t>Se ha proporcionado adiestramiento a 134 mujeres policías en el Ministerio y 13 comisarías provinciales/municipales para reprimir la trata de mujeres y n</w:t>
      </w:r>
      <w:r>
        <w:t>i</w:t>
      </w:r>
      <w:r>
        <w:t>ños en controles fronterizos de tierra, agua y aire e impedir la violencia contra la mujer en el plano de las provi</w:t>
      </w:r>
      <w:r>
        <w:t>n</w:t>
      </w:r>
      <w:r>
        <w:t>cias/municipios y de las comunidades.</w:t>
      </w:r>
    </w:p>
    <w:p w:rsidR="00000000" w:rsidRDefault="00000000">
      <w:pPr>
        <w:pStyle w:val="SingleTxt"/>
        <w:tabs>
          <w:tab w:val="right" w:pos="1685"/>
        </w:tabs>
        <w:ind w:left="1742" w:hanging="475"/>
        <w:rPr>
          <w:spacing w:val="2"/>
          <w:w w:val="101"/>
        </w:rPr>
      </w:pPr>
      <w:r>
        <w:rPr>
          <w:spacing w:val="2"/>
          <w:w w:val="101"/>
        </w:rPr>
        <w:tab/>
        <w:t>•</w:t>
      </w:r>
      <w:r>
        <w:rPr>
          <w:spacing w:val="2"/>
          <w:w w:val="101"/>
        </w:rPr>
        <w:tab/>
        <w:t>Mediante cursos conducidos por la Real Escuela de Policía, en colaboración con el Comité de Asistencia a la Mujer del Ministerio del Interior, se ha proporcion</w:t>
      </w:r>
      <w:r>
        <w:rPr>
          <w:spacing w:val="2"/>
          <w:w w:val="101"/>
        </w:rPr>
        <w:t>a</w:t>
      </w:r>
      <w:r>
        <w:rPr>
          <w:spacing w:val="2"/>
          <w:w w:val="101"/>
        </w:rPr>
        <w:t>do a 4.824 oficiales de policía de todos los grados capacitación en la esfera de las leyes y de los procedimientos de prevención de delitos; esos cursos versaron sobre el intercambio de informaciones y el deber de intervenir durante las 24 horas del día para combatir la trata de mujeres y niños y la prost</w:t>
      </w:r>
      <w:r>
        <w:rPr>
          <w:spacing w:val="2"/>
          <w:w w:val="101"/>
        </w:rPr>
        <w:t>i</w:t>
      </w:r>
      <w:r>
        <w:rPr>
          <w:spacing w:val="2"/>
          <w:w w:val="101"/>
        </w:rPr>
        <w:t>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Administración pública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En el total de 160.189 funcionarios públicos se cuentan 51.581 mujeres (32,2%).</w:t>
      </w:r>
    </w:p>
    <w:p w:rsidR="00000000" w:rsidRDefault="00000000">
      <w:pPr>
        <w:pStyle w:val="SingleTxt"/>
      </w:pPr>
      <w:r>
        <w:tab/>
        <w:t>Ejemplos en los ministerios:</w:t>
      </w:r>
    </w:p>
    <w:p w:rsidR="00000000" w:rsidRDefault="00000000">
      <w:pPr>
        <w:pStyle w:val="SingleTxt"/>
        <w:tabs>
          <w:tab w:val="right" w:pos="1685"/>
        </w:tabs>
        <w:ind w:left="1742" w:hanging="475"/>
      </w:pPr>
      <w:r>
        <w:tab/>
        <w:t>–</w:t>
      </w:r>
      <w:r>
        <w:tab/>
        <w:t>El Ministerio del Interior (MoI) cuenta entre su personal con 3.236 mujeres, de las cuales una es la jefa general de los departamentos, 10 son subjefas de d</w:t>
      </w:r>
      <w:r>
        <w:t>e</w:t>
      </w:r>
      <w:r>
        <w:t>part</w:t>
      </w:r>
      <w:r>
        <w:t>a</w:t>
      </w:r>
      <w:r>
        <w:t>mento y 1.875 son jefas y subjefas de oficina y jefas de sección.</w:t>
      </w:r>
    </w:p>
    <w:p w:rsidR="00000000" w:rsidRDefault="00000000">
      <w:pPr>
        <w:pStyle w:val="SingleTxt"/>
        <w:tabs>
          <w:tab w:val="right" w:pos="1685"/>
        </w:tabs>
        <w:ind w:left="1742" w:hanging="475"/>
      </w:pPr>
      <w:r>
        <w:tab/>
        <w:t>–</w:t>
      </w:r>
      <w:r>
        <w:tab/>
        <w:t>El Ministerio de Salud (MoS) cuenta con 3.772 personas, de las cuales son mujeres 886 (49%).</w:t>
      </w:r>
    </w:p>
    <w:p w:rsidR="00000000" w:rsidRDefault="00000000">
      <w:pPr>
        <w:pStyle w:val="SingleTxt"/>
        <w:tabs>
          <w:tab w:val="right" w:pos="1685"/>
        </w:tabs>
        <w:ind w:left="1742" w:hanging="475"/>
      </w:pPr>
      <w:r>
        <w:tab/>
        <w:t>–</w:t>
      </w:r>
      <w:r>
        <w:tab/>
        <w:t>El Ministerio de Educación, la Juventud y los Deportes (MoEJD) dispone de una plantilla  de 3.101 personas, de las cuales son mujeres 972 (31%).</w:t>
      </w:r>
    </w:p>
    <w:p w:rsidR="00000000" w:rsidRDefault="00000000">
      <w:pPr>
        <w:pStyle w:val="SingleTxt"/>
        <w:tabs>
          <w:tab w:val="right" w:pos="1685"/>
        </w:tabs>
        <w:ind w:left="1742" w:hanging="475"/>
      </w:pPr>
      <w:r>
        <w:tab/>
        <w:t>–</w:t>
      </w:r>
      <w:r>
        <w:tab/>
        <w:t>El Ministerio de Agronomía, Silvicultura y Pesca cuenta entre su personal con un 16% de mujeres, que en su mayoría ocupan puestos administrativos. M</w:t>
      </w:r>
      <w:r>
        <w:t>u</w:t>
      </w:r>
      <w:r>
        <w:t>chas tienen escasa instrucción (un 19% de las que trabajan en oficinas provi</w:t>
      </w:r>
      <w:r>
        <w:t>n</w:t>
      </w:r>
      <w:r>
        <w:t>ciales no han terminado la escuela primaria). Un 10% de los encargados de la exte</w:t>
      </w:r>
      <w:r>
        <w:t>n</w:t>
      </w:r>
      <w:r>
        <w:t>sión cultural son mujeres.</w:t>
      </w:r>
    </w:p>
    <w:p w:rsidR="00000000" w:rsidRDefault="00000000">
      <w:pPr>
        <w:pStyle w:val="SingleTxt"/>
        <w:tabs>
          <w:tab w:val="right" w:pos="1685"/>
        </w:tabs>
        <w:ind w:left="1742" w:hanging="475"/>
      </w:pPr>
      <w:r>
        <w:tab/>
        <w:t>–</w:t>
      </w:r>
      <w:r>
        <w:tab/>
        <w:t>El Ministerio de Información y Prensa (MoIP) dispone de 1.296 personas, de las cuales son mujeres 382 (29%); entre ellas hay una Directora General.</w:t>
      </w:r>
    </w:p>
    <w:p w:rsidR="00000000" w:rsidRDefault="00000000">
      <w:pPr>
        <w:pStyle w:val="SingleTxt"/>
        <w:tabs>
          <w:tab w:val="right" w:pos="1685"/>
        </w:tabs>
        <w:ind w:left="1742" w:hanging="475"/>
      </w:pPr>
      <w:r>
        <w:tab/>
        <w:t>–</w:t>
      </w:r>
      <w:r>
        <w:tab/>
        <w:t>El Ministerio de Obras Públicas y Transporte (MoOPT) cuenta con una plant</w:t>
      </w:r>
      <w:r>
        <w:t>i</w:t>
      </w:r>
      <w:r>
        <w:t>lla de 491 personas, de las cuales 152 son mujeres. Entre ellas, una es jefa y otra subjefa de departamento; hay también 18 jefas y subjefas de oficina.</w:t>
      </w:r>
    </w:p>
    <w:p w:rsidR="00000000" w:rsidRDefault="00000000">
      <w:pPr>
        <w:pStyle w:val="SingleTxt"/>
        <w:tabs>
          <w:tab w:val="right" w:pos="1685"/>
        </w:tabs>
        <w:ind w:left="1742" w:hanging="475"/>
      </w:pPr>
      <w:r>
        <w:tab/>
        <w:t>–</w:t>
      </w:r>
      <w:r>
        <w:tab/>
        <w:t>El Ministerio de Correos y Telecomunicaciones (MoCT) dispone de una pla</w:t>
      </w:r>
      <w:r>
        <w:t>n</w:t>
      </w:r>
      <w:r>
        <w:t>tilla de 1.360 personas, de las cuales son mujeres 494 (36%); entre ellas hay 20 jefas y su</w:t>
      </w:r>
      <w:r>
        <w:t>b</w:t>
      </w:r>
      <w:r>
        <w:t>jefas de departamento y 25 jefas de oficina.</w:t>
      </w:r>
    </w:p>
    <w:p w:rsidR="00000000" w:rsidRDefault="00000000">
      <w:pPr>
        <w:pStyle w:val="SingleTxt"/>
        <w:tabs>
          <w:tab w:val="right" w:pos="1685"/>
        </w:tabs>
        <w:ind w:left="1742" w:hanging="475"/>
      </w:pPr>
      <w:r>
        <w:tab/>
        <w:t>–</w:t>
      </w:r>
      <w:r>
        <w:tab/>
        <w:t>El Ministerio de Asuntos de la Mujer y los Excombatientes (MoAMEC) cuenta con una plantilla de 216 personas, de las cuales son mujeres 149 (69%).</w:t>
      </w:r>
    </w:p>
    <w:p w:rsidR="00000000" w:rsidRDefault="00000000">
      <w:pPr>
        <w:pStyle w:val="SingleTxt"/>
        <w:tabs>
          <w:tab w:val="right" w:pos="1685"/>
        </w:tabs>
        <w:ind w:left="1742" w:hanging="475"/>
      </w:pPr>
      <w:r>
        <w:tab/>
        <w:t>–</w:t>
      </w:r>
      <w:r>
        <w:tab/>
        <w:t>El Ministerio de Cultura y Bellas Artes dispone de una plantilla de 1.625 pe</w:t>
      </w:r>
      <w:r>
        <w:t>r</w:t>
      </w:r>
      <w:r>
        <w:t>sonas, de las cuales son mujeres 575 (35%).</w:t>
      </w:r>
    </w:p>
    <w:p w:rsidR="00000000" w:rsidRDefault="00000000">
      <w:pPr>
        <w:pStyle w:val="SingleTxt"/>
        <w:tabs>
          <w:tab w:val="right" w:pos="1685"/>
        </w:tabs>
        <w:ind w:left="1742" w:hanging="475"/>
      </w:pPr>
      <w:r>
        <w:tab/>
        <w:t>–</w:t>
      </w:r>
      <w:r>
        <w:tab/>
        <w:t>El Ministerio de Asuntos Exteriores y Cooperación Internacional (MoAECI) cuenta con una plantilla de 457 personas, de las cuales son mujeres 166 (35%); entre ellas hay una subsecretaria de Estado, tres jefas de departamento y seis subjefas de d</w:t>
      </w:r>
      <w:r>
        <w:t>e</w:t>
      </w:r>
      <w:r>
        <w:t>partamento.</w:t>
      </w:r>
    </w:p>
    <w:p w:rsidR="00000000" w:rsidRDefault="00000000">
      <w:pPr>
        <w:pStyle w:val="SingleTxt"/>
        <w:tabs>
          <w:tab w:val="right" w:pos="1685"/>
        </w:tabs>
        <w:ind w:left="1742" w:hanging="475"/>
      </w:pPr>
      <w:r>
        <w:tab/>
        <w:t>–</w:t>
      </w:r>
      <w:r>
        <w:tab/>
        <w:t>En 24 (veinticuatro) provincias/municipios no hay mujeres que ocupen el ca</w:t>
      </w:r>
      <w:r>
        <w:t>r</w:t>
      </w:r>
      <w:r>
        <w:t>go de gobernador de provincia o de municipio. Entre los 71 vicegobernadores hay una mujer que ocupa el cargo de vicegobernadora segunda. Hay cuatro gobernadoras de distrito/khan y 8,67% son subj</w:t>
      </w:r>
      <w:r>
        <w:t>e</w:t>
      </w:r>
      <w:r>
        <w:t>fas de comuna/sangkat.</w:t>
      </w:r>
    </w:p>
    <w:p w:rsidR="00000000" w:rsidRDefault="00000000">
      <w:pPr>
        <w:pStyle w:val="SingleTxt"/>
        <w:tabs>
          <w:tab w:val="right" w:pos="1685"/>
        </w:tabs>
        <w:ind w:left="1742" w:hanging="475"/>
      </w:pPr>
      <w:r>
        <w:tab/>
        <w:t>–</w:t>
      </w:r>
      <w:r>
        <w:tab/>
        <w:t>No hay ninguna mujer entre los 185 gobernadores de distrito/khan y hay dos muj</w:t>
      </w:r>
      <w:r>
        <w:t>e</w:t>
      </w:r>
      <w:r>
        <w:t>res entre los 551 vicegobernadores de distrito/khan.</w:t>
      </w:r>
    </w:p>
    <w:p w:rsidR="00000000" w:rsidRDefault="00000000">
      <w:pPr>
        <w:pStyle w:val="SingleTxt"/>
        <w:tabs>
          <w:tab w:val="right" w:pos="1685"/>
        </w:tabs>
        <w:ind w:left="1742" w:hanging="475"/>
      </w:pPr>
      <w:r>
        <w:tab/>
        <w:t>–</w:t>
      </w:r>
      <w:r>
        <w:tab/>
        <w:t>De conformidad con la política de reforma administrativa en materia de de</w:t>
      </w:r>
      <w:r>
        <w:t>s</w:t>
      </w:r>
      <w:r>
        <w:t>central</w:t>
      </w:r>
      <w:r>
        <w:t>i</w:t>
      </w:r>
      <w:r>
        <w:t>zación, se eligen mujeres como jefas de comuna/sangkat.</w:t>
      </w:r>
    </w:p>
    <w:p w:rsidR="00000000" w:rsidRDefault="00000000">
      <w:pPr>
        <w:pStyle w:val="SingleTxt"/>
        <w:tabs>
          <w:tab w:val="right" w:pos="1685"/>
        </w:tabs>
        <w:ind w:left="1742" w:hanging="475"/>
      </w:pPr>
      <w:r>
        <w:tab/>
        <w:t>–</w:t>
      </w:r>
      <w:r>
        <w:tab/>
        <w:t>Hay 977 mujeres (8,67% del total) entre los jefes y los subjefes primeros y s</w:t>
      </w:r>
      <w:r>
        <w:t>e</w:t>
      </w:r>
      <w:r>
        <w:t>gundos de comuna/sangkat y 184 mujeres (9,62% del total) entre los emple</w:t>
      </w:r>
      <w:r>
        <w:t>a</w:t>
      </w:r>
      <w:r>
        <w:t>dos que trabajan en las administraciones locales de t</w:t>
      </w:r>
      <w:r>
        <w:t>o</w:t>
      </w:r>
      <w:r>
        <w:t>do el país.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Instituciones judiciales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ab/>
        <w:t>Hasta julio de 2003</w:t>
      </w:r>
    </w:p>
    <w:p w:rsidR="00000000" w:rsidRDefault="00000000">
      <w:pPr>
        <w:pStyle w:val="SingleTxt"/>
        <w:tabs>
          <w:tab w:val="right" w:pos="1685"/>
        </w:tabs>
        <w:ind w:left="1742" w:hanging="475"/>
      </w:pPr>
      <w:r>
        <w:tab/>
        <w:t>–</w:t>
      </w:r>
      <w:r>
        <w:tab/>
        <w:t>Había 14 juezas (12%) y 119 jueces.</w:t>
      </w:r>
    </w:p>
    <w:p w:rsidR="00000000" w:rsidRDefault="00000000">
      <w:pPr>
        <w:pStyle w:val="SingleTxt"/>
        <w:tabs>
          <w:tab w:val="right" w:pos="1685"/>
        </w:tabs>
        <w:ind w:left="1742" w:hanging="475"/>
      </w:pPr>
      <w:r>
        <w:tab/>
        <w:t>–</w:t>
      </w:r>
      <w:r>
        <w:tab/>
        <w:t>Había una mujer (1,5%) y 63 hombres entre los fiscales.</w:t>
      </w:r>
    </w:p>
    <w:p w:rsidR="00000000" w:rsidRDefault="00000000">
      <w:pPr>
        <w:pStyle w:val="SingleTxt"/>
        <w:tabs>
          <w:tab w:val="right" w:pos="1685"/>
        </w:tabs>
        <w:ind w:left="1742" w:hanging="475"/>
      </w:pPr>
      <w:r>
        <w:tab/>
        <w:t>–</w:t>
      </w:r>
      <w:r>
        <w:tab/>
        <w:t>Había 129 secretarias de tribunal (19,25%) y 668 secretarios de trib</w:t>
      </w:r>
      <w:r>
        <w:t>u</w:t>
      </w:r>
      <w:r>
        <w:t>nal.</w:t>
      </w:r>
    </w:p>
    <w:p w:rsidR="00000000" w:rsidRDefault="00000000">
      <w:pPr>
        <w:pStyle w:val="SingleTxt"/>
        <w:keepNext/>
        <w:keepLines/>
      </w:pPr>
      <w:r>
        <w:t>200.</w:t>
      </w:r>
      <w:r>
        <w:tab/>
        <w:t>A pesar de las garantías que ofrecen la Constitución y la legislación electoral para la participación de la mujer en la vida pública, tanto en las instituciones jud</w:t>
      </w:r>
      <w:r>
        <w:t>i</w:t>
      </w:r>
      <w:r>
        <w:t>ciales como en las ejecutivas, las cifras indican que hay un número limitado de m</w:t>
      </w:r>
      <w:r>
        <w:t>u</w:t>
      </w:r>
      <w:r>
        <w:t>jeres que ocupan puestos en que se toman decisiones. No obstante, las tendencias son positivas.</w:t>
      </w:r>
    </w:p>
    <w:p w:rsidR="00000000" w:rsidRDefault="00000000">
      <w:pPr>
        <w:pStyle w:val="SingleTxt"/>
      </w:pPr>
      <w:r>
        <w:t>201.</w:t>
      </w:r>
      <w:r>
        <w:tab/>
        <w:t>El Real Gobierno de Camboya ha emprendido un importante proceso de r</w:t>
      </w:r>
      <w:r>
        <w:t>e</w:t>
      </w:r>
      <w:r>
        <w:t>forma, incluso de la administración. En el marco del plan de acción para la buena gestión de los asuntos públicos (PAGAP), “se hacen inversiones para promover la igualdad entre hombres y mujeres por considerarla uno de los objetivos importantes de los programas del Real Gobierno orientados hacia la mitigación de la pobreza y la creación de una sociedad justa. El resultado que se espera obtener es el aumento de la participación de la mujer en los asuntos del Estado y en las actividades ec</w:t>
      </w:r>
      <w:r>
        <w:t>o</w:t>
      </w:r>
      <w:r>
        <w:t>nómicas que pueden impulsar el desarrollo socioeconómico del país”. En reconoc</w:t>
      </w:r>
      <w:r>
        <w:t>i</w:t>
      </w:r>
      <w:r>
        <w:t>miento de la igualdad entre hombres y mujeres, el Real Gobierno ha difundido p</w:t>
      </w:r>
      <w:r>
        <w:t>ú</w:t>
      </w:r>
      <w:r>
        <w:t>blicamente los resultados del censo de la administración pública para establecer y definir puntos de referencia que faciliten el cumplimiento del mandato de supervisar la condición social y jurídica de la mujer asignado al Ministerio de Asuntos de la Mujer y los Excombatientes.</w:t>
      </w:r>
    </w:p>
    <w:p w:rsidR="00000000" w:rsidRDefault="00000000">
      <w:pPr>
        <w:pStyle w:val="SingleTxt"/>
      </w:pPr>
      <w:r>
        <w:t>202.</w:t>
      </w:r>
      <w:r>
        <w:tab/>
        <w:t>Como parte del proceso de reforma de la administración pública, se han creado los grupos encargados de misiones prioritarias (GMP). “Estos equipos se selecci</w:t>
      </w:r>
      <w:r>
        <w:t>o</w:t>
      </w:r>
      <w:r>
        <w:t>nan cuidadosamente teniendo en cuenta su misión para que logren resultados aco</w:t>
      </w:r>
      <w:r>
        <w:t>r</w:t>
      </w:r>
      <w:r>
        <w:t>des con las prioridades de cambio impulsadas por el PAGAP, los documentos de e</w:t>
      </w:r>
      <w:r>
        <w:t>s</w:t>
      </w:r>
      <w:r>
        <w:t>trategia de lucha contra la pobreza (DELP) y el segundo plan de desarrollo socio</w:t>
      </w:r>
      <w:r>
        <w:t>e</w:t>
      </w:r>
      <w:r>
        <w:t>conómico (PDSE II)”. Aunque todavía no se han determinado los arreglos exactos para el funcionamiento de los GMP, se estima que se seleccionarán 1.000 funcion</w:t>
      </w:r>
      <w:r>
        <w:t>a</w:t>
      </w:r>
      <w:r>
        <w:t>rios de los ministerios más importantes. Se han puesto en marcha medidas para promover candidaturas de mujeres.</w:t>
      </w:r>
    </w:p>
    <w:p w:rsidR="00000000" w:rsidRDefault="00000000">
      <w:pPr>
        <w:pStyle w:val="SingleTxt"/>
      </w:pPr>
      <w:r>
        <w:t>203.</w:t>
      </w:r>
      <w:r>
        <w:tab/>
        <w:t>El Consejo encargado de la reforma del sistema jurídico y judicial también es parte del proceso de reforma. Aunque se ha progresado lentamente, se ha establec</w:t>
      </w:r>
      <w:r>
        <w:t>i</w:t>
      </w:r>
      <w:r>
        <w:t>do la Real Escuela de Magistrados y se ha puesto a una mujer a su frente. Se pr</w:t>
      </w:r>
      <w:r>
        <w:t>o</w:t>
      </w:r>
      <w:r>
        <w:t>mueve la participación de la mujer en el poder judicial mediante un sistema de becas que patrocinan el Organismo Alemán de Cooperación Técnica (GTZ) y el Programa de las Naciones Unidas para el Desarrollo (PNUD) y que tiene por objeto ayudar a las mujeres estudiantes, primero a preparar su examen de ingreso en la Real Escuela de Formación de Jueces y Fiscales y después a seguir cursos de capacitación durante dos años. Además, el GTZ aportará fondos para la construcción de una residencia de estudiantes mujeres y en la actualidad financia la elaboración, por parte del Minist</w:t>
      </w:r>
      <w:r>
        <w:t>e</w:t>
      </w:r>
      <w:r>
        <w:t>rio de Asuntos de la Mujer y los Excombatientes, de un proyecto de ley sobre la prevención de la violencia en el hogar y la pr</w:t>
      </w:r>
      <w:r>
        <w:t>o</w:t>
      </w:r>
      <w:r>
        <w:t>tección de las víctimas.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para participar en la vida pública y política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204.</w:t>
      </w:r>
      <w:r>
        <w:tab/>
        <w:t>El Real Gobierno de Camboya ha asumido el compromiso de otorgar a las mujeres los mismos derechos que a los hombres para que participen en la vida p</w:t>
      </w:r>
      <w:r>
        <w:t>ú</w:t>
      </w:r>
      <w:r>
        <w:t xml:space="preserve">blica y política por conducto de ONG y otras asociaciones. El artículo 42 de la Constitución reza así: “Los ciudadanos khmers tienen derecho a fundar asociaciones y partidos políticos. También pueden participar en organizaciones populares que </w:t>
      </w:r>
      <w:r>
        <w:rPr>
          <w:spacing w:val="2"/>
          <w:w w:val="101"/>
        </w:rPr>
        <w:t xml:space="preserve">funcionen como mutualidades o se dediquen a resguardar las realizaciones nacionales y el orden social”. Después del Acuerdo de París de 1991, muchas ONG y asociaciones </w:t>
      </w:r>
      <w:r>
        <w:t>centraron su atención, entre otras cosas, en la promoción de los derechos humanos, la salud de la mujer, el espaciamiento de los nacimientos y la atención de la salud maternoinfantil y desarrollaron actividades tales como la investigación documental, la publicación de información, la provisión de microcréditos y albergues y la educ</w:t>
      </w:r>
      <w:r>
        <w:t>a</w:t>
      </w:r>
      <w:r>
        <w:t>ción extraescolar, que comprende la formación profesional y el fortalecimiento de la capacidad en materia de derechos humanos y de las leyes en vigencia. Numerosas mujeres participan activamente en la vida de las ONG y en muchos casos desemp</w:t>
      </w:r>
      <w:r>
        <w:t>e</w:t>
      </w:r>
      <w:r>
        <w:t>ñan un papel importante en la toma de decisiones internas. El Ministerio del Interior cuenta con un Departamento de Asuntos Políticos que ha reconocido a mujeres c</w:t>
      </w:r>
      <w:r>
        <w:t>o</w:t>
      </w:r>
      <w:r>
        <w:t>mo presidentas de cinco de los 39 partidos políticos que participaron en las elecci</w:t>
      </w:r>
      <w:r>
        <w:t>o</w:t>
      </w:r>
      <w:r>
        <w:t>nes de 1998. Hay mujeres al frente de 145 (12,07%) de las 1.201 asociaciones y o</w:t>
      </w:r>
      <w:r>
        <w:t>r</w:t>
      </w:r>
      <w:r>
        <w:t>ganizaciones de la sociedad civil que funcionan en Camboya. El Ministerio del Int</w:t>
      </w:r>
      <w:r>
        <w:t>e</w:t>
      </w:r>
      <w:r>
        <w:t>rior ha dictado normas tanto para la administración penitenciaria, a fin de mantener a las convictas y detenidas separadas de los convictos y detenidos, como para la p</w:t>
      </w:r>
      <w:r>
        <w:t>o</w:t>
      </w:r>
      <w:r>
        <w:t>licía, a efectos de que se capacite profesionalmente y adquiera conocimientos de d</w:t>
      </w:r>
      <w:r>
        <w:t>e</w:t>
      </w:r>
      <w:r>
        <w:t>rechos humanos, leyes, créditos, etc. En las elecciones de 2003 participaron 23 pa</w:t>
      </w:r>
      <w:r>
        <w:t>r</w:t>
      </w:r>
      <w:r>
        <w:t>tidos, de los cuales uno estaba presidido por una mujer. Son mujeres dos de los ci</w:t>
      </w:r>
      <w:r>
        <w:t>n</w:t>
      </w:r>
      <w:r>
        <w:t>co miembros del Comité Electoral Nacional (CEN).</w:t>
      </w:r>
    </w:p>
    <w:p w:rsidR="00000000" w:rsidRDefault="00000000">
      <w:pPr>
        <w:pStyle w:val="SingleTxt"/>
      </w:pPr>
      <w:r>
        <w:t>205.</w:t>
      </w:r>
      <w:r>
        <w:tab/>
        <w:t>La observación del funcionamiento de las ONG pone de manifiesto que m</w:t>
      </w:r>
      <w:r>
        <w:t>u</w:t>
      </w:r>
      <w:r>
        <w:t>chas mujeres participan activamente en sus actividades y que, en algunos casos, d</w:t>
      </w:r>
      <w:r>
        <w:t>e</w:t>
      </w:r>
      <w:r>
        <w:t>sempeñan funciones directivas.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Medidas para ampliar la participación de la mujer en la política y la vida p</w:t>
      </w:r>
      <w:r>
        <w:t>ú</w:t>
      </w:r>
      <w:r>
        <w:t>blica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206.</w:t>
      </w:r>
      <w:r>
        <w:tab/>
        <w:t>El Real Gobierno de Camboya y varios partidos políticos vienen desplegando esfuerzos por ampliar la participación de la mujer en la política y la vida pública. Por conducto del plan quinquenal (2001-2005) de desarrollo socioeconómico, con</w:t>
      </w:r>
      <w:r>
        <w:t>o</w:t>
      </w:r>
      <w:r>
        <w:t xml:space="preserve">cido con el nombre de </w:t>
      </w:r>
      <w:r>
        <w:rPr>
          <w:i/>
        </w:rPr>
        <w:t>Neary Rattanak</w:t>
      </w:r>
      <w:r>
        <w:t>, y de la estrategia nacional de lucha contra la pobreza, el Real Gobierno de Camboya ha promovido distintas intervenciones e</w:t>
      </w:r>
      <w:r>
        <w:t>s</w:t>
      </w:r>
      <w:r>
        <w:t>tratégicas para fortalecer la capacidad de la mujer.</w:t>
      </w:r>
    </w:p>
    <w:p w:rsidR="00000000" w:rsidRDefault="00000000">
      <w:pPr>
        <w:pStyle w:val="SingleTxt"/>
      </w:pPr>
      <w:r>
        <w:t>207.</w:t>
      </w:r>
      <w:r>
        <w:tab/>
        <w:t>El Ministerio de Asuntos de la Mujer y los Excombatientes ha cumplido un importante papel en la integración de las cuestiones de género en la organización de todas las instituciones nacionales y sigue prestando atención preferente tanto a la integración de esas cuestiones en la política del Real Gobierno como al desarrollo de su Plan de A</w:t>
      </w:r>
      <w:r>
        <w:t>c</w:t>
      </w:r>
      <w:r>
        <w:t>ción en todos los planos.</w:t>
      </w:r>
    </w:p>
    <w:p w:rsidR="00000000" w:rsidRDefault="00000000">
      <w:pPr>
        <w:pStyle w:val="SingleTxt"/>
      </w:pPr>
      <w:r>
        <w:rPr>
          <w:w w:val="101"/>
        </w:rPr>
        <w:t>208.</w:t>
      </w:r>
      <w:r>
        <w:rPr>
          <w:w w:val="101"/>
        </w:rPr>
        <w:tab/>
        <w:t>El Ministerio de Asuntos de la Mujer y los Excombatientes viene desempeñando un papel importante en la promoción y la vigilancia de la integración de las cuesti</w:t>
      </w:r>
      <w:r>
        <w:rPr>
          <w:w w:val="101"/>
        </w:rPr>
        <w:t>o</w:t>
      </w:r>
      <w:r>
        <w:rPr>
          <w:w w:val="101"/>
        </w:rPr>
        <w:t xml:space="preserve">nes de género en la política nacional y las políticas sectoriales. La política ministerial de impulsar el adelanto de la mujer, </w:t>
      </w:r>
      <w:r>
        <w:rPr>
          <w:i/>
          <w:w w:val="101"/>
        </w:rPr>
        <w:t>Neary Rattanak</w:t>
      </w:r>
      <w:r>
        <w:rPr>
          <w:w w:val="101"/>
        </w:rPr>
        <w:t>, derivó en el Plan Estratégico Quinquenal, que a su vez se incorporó en el segundo plan nacional de desarrollo s</w:t>
      </w:r>
      <w:r>
        <w:rPr>
          <w:w w:val="101"/>
        </w:rPr>
        <w:t>o</w:t>
      </w:r>
      <w:r>
        <w:rPr>
          <w:w w:val="101"/>
        </w:rPr>
        <w:t>cioeconómico (2001-2005). Esto quiere decir que las cuestiones o preocupaciones de la mujer fueron incluidas en esta importante política. El Ministerio de Asuntos de la Mujer y los Excombatientes se ha comprometido activamente en el desarrollo de la estrategia nacional de lucha contra la pobreza (2003-2005) y se ha esforzado por int</w:t>
      </w:r>
      <w:r>
        <w:rPr>
          <w:w w:val="101"/>
        </w:rPr>
        <w:t>e</w:t>
      </w:r>
      <w:r>
        <w:rPr>
          <w:w w:val="101"/>
        </w:rPr>
        <w:t xml:space="preserve">grar las cuestiones de género en la política nacional y las políticas sectoriales de Camboya mediante consultas interministeriales, reuniones bilaterales </w:t>
      </w:r>
      <w:r>
        <w:br/>
      </w:r>
    </w:p>
    <w:p w:rsidR="00000000" w:rsidRDefault="00000000">
      <w:pPr>
        <w:pStyle w:val="SingleTxt"/>
      </w:pPr>
      <w:r>
        <w:br w:type="page"/>
        <w:t>con determinados ministerios y observaciones formuladas por escrito con respecto a diversos proyectos enviados al organismo coordinador, el Consejo para el Desarrollo Social.</w:t>
      </w:r>
    </w:p>
    <w:p w:rsidR="00000000" w:rsidRDefault="00000000">
      <w:pPr>
        <w:pStyle w:val="SingleTxt"/>
      </w:pPr>
      <w:r>
        <w:t>209.</w:t>
      </w:r>
      <w:r>
        <w:tab/>
        <w:t>En lo que atañe a los instrumentos de control de la estrategia nacional de lucha contra la pobreza, el Real Gobierno de Camboya ha establecido una Oficina Técnica de Vigilancia y Evaluación de la Pobreza (OTVEP) en el Ministerio de Planificación (MoP). Esta Oficina también se ocupará de readaptar los objetivos y los indicadores que, en la medida de lo posible, se desglosarán en función del sexo. Además, se ha encomendado a la OTVEP la tarea de “domesticar” los objetivos de desarrollo del Milenio y de unirlos a las metas de la estrategia nacional de lucha contra la pobreza. En el año 2005, al iniciarse el tercer plan de desarrollo socioeconómico, se incorp</w:t>
      </w:r>
      <w:r>
        <w:t>o</w:t>
      </w:r>
      <w:r>
        <w:t>rarán las tres iniciativas en un solo documento de política.</w:t>
      </w:r>
    </w:p>
    <w:p w:rsidR="00000000" w:rsidRDefault="00000000">
      <w:pPr>
        <w:pStyle w:val="SingleTxt"/>
      </w:pPr>
      <w:r>
        <w:t>210.</w:t>
      </w:r>
      <w:r>
        <w:tab/>
        <w:t>En el año 2000, con arreglo al segundo plan quinquenal de desarrollo socio</w:t>
      </w:r>
      <w:r>
        <w:t>e</w:t>
      </w:r>
      <w:r>
        <w:t>conómico del Real Gobierno, se establecieron centros de coordinación para las cuestiones de género en algunos ministerios. Estos centros han participado en pr</w:t>
      </w:r>
      <w:r>
        <w:t>o</w:t>
      </w:r>
      <w:r>
        <w:t>gramas de capacitación organizados por el MoAMEC pero todavía no cuentan con presupuestos que apoyen su gestión.</w:t>
      </w:r>
    </w:p>
    <w:p w:rsidR="00000000" w:rsidRDefault="00000000">
      <w:pPr>
        <w:pStyle w:val="SingleTxt"/>
      </w:pPr>
      <w:r>
        <w:t>211.</w:t>
      </w:r>
      <w:r>
        <w:tab/>
        <w:t>El Ministerio de Educación, la Juventud y los Deportes ha desarrollado una estrategia bastante completa en materia de género y cuenta con un grupo de trabajo que se encarga de las cuestiones de género y está presidido por un secretario de E</w:t>
      </w:r>
      <w:r>
        <w:t>s</w:t>
      </w:r>
      <w:r>
        <w:t>tado. La estrategia se ha puesto en marcha sin abarcar aún la cuestión del analfab</w:t>
      </w:r>
      <w:r>
        <w:t>e</w:t>
      </w:r>
      <w:r>
        <w:t>tismo, que afecta gravemente a las mujeres, pues hay más analfabetas que analf</w:t>
      </w:r>
      <w:r>
        <w:t>a</w:t>
      </w:r>
      <w:r>
        <w:t>betos, ni el tema de la educación profesional que, junto con los programas de alf</w:t>
      </w:r>
      <w:r>
        <w:t>a</w:t>
      </w:r>
      <w:r>
        <w:t>betización, podría ayudar mucho a las mujeres a incrementar tanto su capacidad de generar ingresos como su bienestar gen</w:t>
      </w:r>
      <w:r>
        <w:t>e</w:t>
      </w:r>
      <w:r>
        <w:t>ral.</w:t>
      </w:r>
    </w:p>
    <w:p w:rsidR="00000000" w:rsidRDefault="00000000">
      <w:pPr>
        <w:pStyle w:val="SingleTxt"/>
      </w:pPr>
      <w:r>
        <w:t>212.</w:t>
      </w:r>
      <w:r>
        <w:tab/>
        <w:t>En el año 2002, el Ministerio de Educación, la Juventud y los Deportes instit</w:t>
      </w:r>
      <w:r>
        <w:t>u</w:t>
      </w:r>
      <w:r>
        <w:t>yó una política de acción afirmativa en la selección de los estudiantes que empre</w:t>
      </w:r>
      <w:r>
        <w:t>n</w:t>
      </w:r>
      <w:r>
        <w:t>den estudios superiores: cuando una estudiante mujer reúna las mismas calificaci</w:t>
      </w:r>
      <w:r>
        <w:t>o</w:t>
      </w:r>
      <w:r>
        <w:t>nes que un estudiante varón tras el examen del grado 12, se seleccionará a la est</w:t>
      </w:r>
      <w:r>
        <w:t>u</w:t>
      </w:r>
      <w:r>
        <w:t>diante mujer mientras no se alcance la paridad entre los estudiantes varones y muj</w:t>
      </w:r>
      <w:r>
        <w:t>e</w:t>
      </w:r>
      <w:r>
        <w:t>res. En la Real Escuela de Administración se aplica una política similar de acción afirmativa, que alcanza a todos los funcionarios públicos que no sean del cuadro o</w:t>
      </w:r>
      <w:r>
        <w:t>r</w:t>
      </w:r>
      <w:r>
        <w:t>gánico. A la larga, esto contribuirá a que aumente marcadamente el número de m</w:t>
      </w:r>
      <w:r>
        <w:t>u</w:t>
      </w:r>
      <w:r>
        <w:t>jeres calificadas para ser seleccionadas como funcionarias públicas y ocupar puestos desde los cuales se adopten decisiones.</w:t>
      </w:r>
    </w:p>
    <w:p w:rsidR="00000000" w:rsidRDefault="00000000">
      <w:pPr>
        <w:pStyle w:val="SingleTxt"/>
      </w:pPr>
      <w:r>
        <w:t>213.</w:t>
      </w:r>
      <w:r>
        <w:tab/>
        <w:t>Aunque en el Ministerio de Agronomía, Silvicultura y Pesca no hay un marco ministerial para la integración de las cuestiones de género, se promueve esta int</w:t>
      </w:r>
      <w:r>
        <w:t>e</w:t>
      </w:r>
      <w:r>
        <w:t>gración con varios proyectos importantes, que ya están en marcha o se proyecta p</w:t>
      </w:r>
      <w:r>
        <w:t>o</w:t>
      </w:r>
      <w:r>
        <w:t>ner en marcha, que cuentan con la asistencia de donantes y que, al tener por dest</w:t>
      </w:r>
      <w:r>
        <w:t>i</w:t>
      </w:r>
      <w:r>
        <w:t>natarias a las mujeres, reconocen el significativo papel que éstas desempeñan en la producción agrícola y en su comercialización. Esto mismo vale con respecto a una serie de proyectos de ONG. En el año 2003, sobre la base de un préstamo del Banco Asiático de Desarrollo (BasD), se desplegarán esfuerzos por desarrollar una estrat</w:t>
      </w:r>
      <w:r>
        <w:t>e</w:t>
      </w:r>
      <w:r>
        <w:t>gia de alcance ministerial en materia de género y tratar de coordinar las aportaciones de los donantes, reducir las repeticiones innecesarias y compartir las mejores práct</w:t>
      </w:r>
      <w:r>
        <w:t>i</w:t>
      </w:r>
      <w:r>
        <w:t>cas. Este proyecto requerirá que se proporcione empleo a nuevos miembros del pe</w:t>
      </w:r>
      <w:r>
        <w:t>r</w:t>
      </w:r>
      <w:r>
        <w:t>sonal, que han de ser mujeres en un 50%, que se presten servicios de extensión cu</w:t>
      </w:r>
      <w:r>
        <w:t>l</w:t>
      </w:r>
      <w:r>
        <w:t>tural y de crédito a los grupos de granjeros (compuestos por 50% de mujeres) en seis provincias y que se brinde capacitación en cuestiones de género a los miembros del personal y a los granjeros.</w:t>
      </w:r>
    </w:p>
    <w:p w:rsidR="00000000" w:rsidRDefault="00000000">
      <w:pPr>
        <w:pStyle w:val="SingleTxt"/>
      </w:pPr>
      <w:r>
        <w:t>214.</w:t>
      </w:r>
      <w:r>
        <w:tab/>
        <w:t>El Ministerio de Desarrollo Rural (MoDR) se encarga de la supervisión de los comités para el desarrollo de las aldeas y exige que por lo menos 30% de los mie</w:t>
      </w:r>
      <w:r>
        <w:t>m</w:t>
      </w:r>
      <w:r>
        <w:t>bros de los consejos sean mujeres. En el proyecto de política y estrategia del Mini</w:t>
      </w:r>
      <w:r>
        <w:t>s</w:t>
      </w:r>
      <w:r>
        <w:t>terio para la provisión de agua y saneamiento también se subraya la importancia de atender por igual las necesidades de mujeres y hombres.</w:t>
      </w:r>
    </w:p>
    <w:p w:rsidR="00000000" w:rsidRDefault="00000000">
      <w:pPr>
        <w:pStyle w:val="SingleTxt"/>
      </w:pPr>
      <w:r>
        <w:t>215.</w:t>
      </w:r>
      <w:r>
        <w:tab/>
        <w:t>En el año 2001, el Real Gobierno de Camboya (RGC) estableció el Consejo Nacional de Camboya para la Mujer (CNCM) como mecanismo encargado de apl</w:t>
      </w:r>
      <w:r>
        <w:t>i</w:t>
      </w:r>
      <w:r>
        <w:t>car las leyes y reglamentaciones a fin de elevar la condición actual de la mujer ca</w:t>
      </w:r>
      <w:r>
        <w:t>m</w:t>
      </w:r>
      <w:r>
        <w:t>boyana. La presidenta honoraria del CNCM es Su Majestad la Reina Monineat Sihanuk, el vicepresidente honorario es el Primer Ministro y el presidente es el M</w:t>
      </w:r>
      <w:r>
        <w:t>i</w:t>
      </w:r>
      <w:r>
        <w:t>nistro de Asuntos de la Mujer y los Excombatientes; además, 17 representantes de alto nivel de los ministerios de ejecución son miembros del Consejo y tres repr</w:t>
      </w:r>
      <w:r>
        <w:t>e</w:t>
      </w:r>
      <w:r>
        <w:t>sentantes de la sociedad civil actúan como cons</w:t>
      </w:r>
      <w:r>
        <w:t>e</w:t>
      </w:r>
      <w:r>
        <w:t>jeros.</w:t>
      </w:r>
    </w:p>
    <w:p w:rsidR="00000000" w:rsidRDefault="00000000">
      <w:pPr>
        <w:pStyle w:val="SingleTxt"/>
      </w:pPr>
      <w:r>
        <w:t>216.</w:t>
      </w:r>
      <w:r>
        <w:tab/>
        <w:t>En la actualidad, 62 ONG locales y 31 ONG internacionales han venido pre</w:t>
      </w:r>
      <w:r>
        <w:t>s</w:t>
      </w:r>
      <w:r>
        <w:t>tando atención preferente a los asuntos de la mujer y las cuestiones de género. Otras ONG han organizado cursos de capacitación en las cuestiones de género y determ</w:t>
      </w:r>
      <w:r>
        <w:t>i</w:t>
      </w:r>
      <w:r>
        <w:t>nado que las mujeres sean las destinatarias de este proyecto. Una serie de ONG han incluido los asuntos de la mujer en sus programas y cooperado con organizaciones de mujeres para abordar diversas cuestiones, en especial la violencia en el hogar y la trata de seres humanos. Las redes dedicadas a las cuestiones de género comprenden la Red de interconexión del género con el desarrollo (GADNET) y el Grupo de tr</w:t>
      </w:r>
      <w:r>
        <w:t>a</w:t>
      </w:r>
      <w:r>
        <w:t>bajo a favor de la mujer del Foro de ONG. Estos dos grupos tienen el deber de coo</w:t>
      </w:r>
      <w:r>
        <w:t>r</w:t>
      </w:r>
      <w:r>
        <w:t>dinar los esfuerzos que despliegan las ONG por integrar las cuestiones de género en su seno. El Ministerio de Asuntos de la Mujer y los Excombatientes ha organizado el Foro de la Mujer para coordinar las actividades entre el Ministerio y las ONG, e</w:t>
      </w:r>
      <w:r>
        <w:t>s</w:t>
      </w:r>
      <w:r>
        <w:t>pecialmente en relación con la participación en actos organizados como parte de la celebración del Día Internacional de la Mujer. El Consejo de Camboya para la Mujer (CCM) es una red de 33 ONG locales que se ocupa fundamentalmente de la lucha contra la trata de mujeres y niños. Ciertas ONG, como por ejemplo Mujeres por la Prosperidad y la GADNET, también trabajan por aumentar la participación de las mujeres en el proceso de toma de decisiones y en la vida pública mediante la educ</w:t>
      </w:r>
      <w:r>
        <w:t>a</w:t>
      </w:r>
      <w:r>
        <w:t>ción de las votantes, la promoción de la participación femenina en las campañas electorales y el fortalecimiento de la capacidad de dirección de las mujeres con d</w:t>
      </w:r>
      <w:r>
        <w:t>i</w:t>
      </w:r>
      <w:r>
        <w:t>versos programas de capacitación que a menudo se desarrollan en las provi</w:t>
      </w:r>
      <w:r>
        <w:t>n</w:t>
      </w:r>
      <w:r>
        <w:t>cias/municipios. La comisión de ONG a cargo de la CEDAW vigila la aplicación de esta Convención en Camboya. Procede señalar asimismo que la Red del Hombre de Camboya viene prestando atención a la solución de cuestiones de género y coopera con otras ONG para combatir la violencia contra la mujer y abordar cuestiones de género.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217.</w:t>
      </w:r>
      <w:r>
        <w:tab/>
        <w:t xml:space="preserve">A pesar de la general aceptación de la necesidad de que haya equilibrio entre los géneros en los organismos decisorios de todos los niveles, subsiste una brecha entre las cuestiones </w:t>
      </w:r>
      <w:r>
        <w:rPr>
          <w:i/>
        </w:rPr>
        <w:t xml:space="preserve">de jure </w:t>
      </w:r>
      <w:r>
        <w:t>y</w:t>
      </w:r>
      <w:r>
        <w:rPr>
          <w:i/>
        </w:rPr>
        <w:t xml:space="preserve"> de facto</w:t>
      </w:r>
      <w:r>
        <w:t>. Las pautas, normas y actitudes culturales y sociales profundamente arraigadas, sumadas a las funciones estereotipadas, limitan el acceso de la mujer a la vida política y pública. La pobreza afecta con especial i</w:t>
      </w:r>
      <w:r>
        <w:t>n</w:t>
      </w:r>
      <w:r>
        <w:t>tensidad a la mujer, sobre todo a la que es jefa de familia. Como consecuencia de pesadas cargas económicas y familiares, las mujeres camboyanas no disponen de tiempo suficiente para dedicarse a las cuestiones políticas. La falta de educación s</w:t>
      </w:r>
      <w:r>
        <w:t>u</w:t>
      </w:r>
      <w:r>
        <w:t>ficiente, del apoyo de la familia y de control de los recursos es también un factor que obstaculiza la participación en la vida pública. A pesar de los programas de c</w:t>
      </w:r>
      <w:r>
        <w:t>a</w:t>
      </w:r>
      <w:r>
        <w:t>pacitación, en general las mujeres se preocupan por su propia seguridad y no co</w:t>
      </w:r>
      <w:r>
        <w:t>n</w:t>
      </w:r>
      <w:r>
        <w:t>fían en la gestión administrativa ni en la toma de decisi</w:t>
      </w:r>
      <w:r>
        <w:t>o</w:t>
      </w:r>
      <w:r>
        <w:t>nes.</w:t>
      </w:r>
    </w:p>
    <w:p w:rsidR="00000000" w:rsidRDefault="00000000">
      <w:pPr>
        <w:pStyle w:val="SingleTxt"/>
      </w:pPr>
      <w:r>
        <w:t>218.</w:t>
      </w:r>
      <w:r>
        <w:tab/>
        <w:t>En la mayoría de los casos, los ministerios de ejecución no han desarrollado estrategias de integración de las cuestiones de género y quienes ocupan en ellos los más altos cargos directivos no comprenden o no toman en serio la necesidad de abordar el tema de las disparidades de género en la elaboración y la ejecución de sus políticas.</w:t>
      </w:r>
    </w:p>
    <w:p w:rsidR="00000000" w:rsidRDefault="00000000">
      <w:pPr>
        <w:pStyle w:val="SingleTxt"/>
      </w:pPr>
      <w:r>
        <w:t>219.</w:t>
      </w:r>
      <w:r>
        <w:tab/>
        <w:t>La forma en que los partidos políticos eligen a sus candidatos coloca en situ</w:t>
      </w:r>
      <w:r>
        <w:t>a</w:t>
      </w:r>
      <w:r>
        <w:t>ción de desventaja a las mujeres candidatas, que figuran en la parte inferior de las listas partidarias.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futura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220.</w:t>
      </w:r>
      <w:r>
        <w:tab/>
        <w:t>El Real Gobierno de Camboya (RGC) fortalecerá y reafirmará su política de integración de las cuestiones de género y adoptará el plan de acción para la integr</w:t>
      </w:r>
      <w:r>
        <w:t>a</w:t>
      </w:r>
      <w:r>
        <w:t>ción de las cuestiones de género en 2003. Esto inducirá a los ministerios de ejec</w:t>
      </w:r>
      <w:r>
        <w:t>u</w:t>
      </w:r>
      <w:r>
        <w:t>ción a desarrollar sus propias estrategias de género y, si fuere necesario, a buscar asistencia técnica para ello.</w:t>
      </w:r>
    </w:p>
    <w:p w:rsidR="00000000" w:rsidRDefault="00000000">
      <w:pPr>
        <w:pStyle w:val="SingleTxt"/>
      </w:pPr>
      <w:r>
        <w:tab/>
        <w:t>El Real Gobierno de Camboya ampliará y perfeccionará aún más su política de acción afirmativa para promover tanto la contratación de mujeres en la administr</w:t>
      </w:r>
      <w:r>
        <w:t>a</w:t>
      </w:r>
      <w:r>
        <w:t>ción pública y el ascenso de las contratadas a puestos decisorios cuanto el aumento del número de mujeres que ingresa en institutos de enseñanza superior. La acción afirmativa se aplicará asimismo al plan de acción para la buena gestión de los asu</w:t>
      </w:r>
      <w:r>
        <w:t>n</w:t>
      </w:r>
      <w:r>
        <w:t>tos públicos (PAGAP) y a los grupos encargados de misiones prioritarias (GMP).</w:t>
      </w:r>
    </w:p>
    <w:p w:rsidR="00000000" w:rsidRDefault="00000000">
      <w:pPr>
        <w:pStyle w:val="SingleTxt"/>
      </w:pPr>
      <w:r>
        <w:tab/>
        <w:t>El Ministerio de Asuntos de la Mujer y los Excombatientes (MoAMEC) segu</w:t>
      </w:r>
      <w:r>
        <w:t>i</w:t>
      </w:r>
      <w:r>
        <w:t>rá fortaleciendo la capacidad de la mujer mediante proyectos/programas de capac</w:t>
      </w:r>
      <w:r>
        <w:t>i</w:t>
      </w:r>
      <w:r>
        <w:t>tación y alentando a las mujeres para que participen en la vida política y ocupen otros puestos directivos hasta alcanzar la meta de 30% convenida en la Plataforma de A</w:t>
      </w:r>
      <w:r>
        <w:t>c</w:t>
      </w:r>
      <w:r>
        <w:t>ción de Beijing de 1995.</w:t>
      </w:r>
    </w:p>
    <w:p w:rsidR="00000000" w:rsidRDefault="00000000">
      <w:pPr>
        <w:pStyle w:val="SingleTxt"/>
      </w:pPr>
      <w:r>
        <w:tab/>
        <w:t>El Real Gobierno de Camboya pretende potenciar el papel de la mujer formá</w:t>
      </w:r>
      <w:r>
        <w:t>n</w:t>
      </w:r>
      <w:r>
        <w:t>dola en cuestiones de género y de desarrollo y proporcionando capacitación a los d</w:t>
      </w:r>
      <w:r>
        <w:t>i</w:t>
      </w:r>
      <w:r>
        <w:t>rigentes de comunidades locales, como por eje</w:t>
      </w:r>
      <w:r>
        <w:t>m</w:t>
      </w:r>
      <w:r>
        <w:t>plo los consejeros comunales.</w:t>
      </w:r>
    </w:p>
    <w:p w:rsidR="00000000" w:rsidRDefault="00000000">
      <w:pPr>
        <w:pStyle w:val="SingleTxt"/>
      </w:pPr>
      <w:r>
        <w:tab/>
        <w:t>Algunos partidos políticos se han comprometido a promover a mujeres a altos cargos políticos como miembros del Senado o del Parlamento y como jefas de c</w:t>
      </w:r>
      <w:r>
        <w:t>o</w:t>
      </w:r>
      <w:r>
        <w:t>muna/sangkat. El MoAMEC fiscalizará el cumplimiento del compromiso de garant</w:t>
      </w:r>
      <w:r>
        <w:t>i</w:t>
      </w:r>
      <w:r>
        <w:t>zar la participación de la mujer en la política y la vida pública.</w:t>
      </w:r>
    </w:p>
    <w:p w:rsidR="00000000" w:rsidRDefault="00000000">
      <w:pPr>
        <w:pStyle w:val="SingleTxt"/>
      </w:pPr>
      <w:r>
        <w:tab/>
        <w:t>Se ampliará y afianzará la utilización de los medios de comunicación, esp</w:t>
      </w:r>
      <w:r>
        <w:t>e</w:t>
      </w:r>
      <w:r>
        <w:t>cialmente en zonas remotas, para despertar la conciencia de la mujer y potenciar el papel que desempeña mediante campañas de promoción y sensibilización de la op</w:t>
      </w:r>
      <w:r>
        <w:t>i</w:t>
      </w:r>
      <w:r>
        <w:t>nión públ</w:t>
      </w:r>
      <w:r>
        <w:t>i</w:t>
      </w:r>
      <w:r>
        <w:t>ca.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de representar al gobierno en el plano internacional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tomarán todas las medidas apropiadas para garantizar a la mujer, en igualdad de condiciones con el hombre y sin discriminación alguna, la oportunidad de representar a su gobierno en el plano internacional y de participar en la labor de las organizaci</w:t>
      </w:r>
      <w:r>
        <w:rPr>
          <w:i/>
        </w:rPr>
        <w:t>o</w:t>
      </w:r>
      <w:r>
        <w:rPr>
          <w:i/>
        </w:rPr>
        <w:t>nes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221.</w:t>
      </w:r>
      <w:r>
        <w:tab/>
        <w:t>El Reino de Camboya ha adoptado medidas apropiadas para proporcionar a t</w:t>
      </w:r>
      <w:r>
        <w:t>o</w:t>
      </w:r>
      <w:r>
        <w:t>dos, hombres y mujeres, sin discriminación, los mismos derechos. El Real Gobierno de Camboya ha tomado, pues, medidas apropiadas para proporcionar a las mujeres oportunidades de representar al Gobierno en el plano internacional y de participar en organ</w:t>
      </w:r>
      <w:r>
        <w:t>i</w:t>
      </w:r>
      <w:r>
        <w:t>zaciones internacionales y en distintas conferencias internacionales.</w:t>
      </w:r>
    </w:p>
    <w:p w:rsidR="00000000" w:rsidRDefault="00000000">
      <w:pPr>
        <w:pStyle w:val="SingleTxt"/>
      </w:pPr>
      <w:r>
        <w:t>222.</w:t>
      </w:r>
      <w:r>
        <w:tab/>
        <w:t>El artículo 35 de la Constitución del Reino de Camboya estipula que los ci</w:t>
      </w:r>
      <w:r>
        <w:t>u</w:t>
      </w:r>
      <w:r>
        <w:t>dadanos khmers de ambos sexos gozan del derecho de participar activamente en la vida política, económica, social y cultural. Sobre la base de este principio, la mujer camboyana ha desempeñado un papel importante tanto en el plano nacional como en el internaci</w:t>
      </w:r>
      <w:r>
        <w:t>o</w:t>
      </w:r>
      <w:r>
        <w:t>nal.</w:t>
      </w:r>
    </w:p>
    <w:p w:rsidR="00000000" w:rsidRDefault="00000000">
      <w:pPr>
        <w:pStyle w:val="SingleTxt"/>
      </w:pPr>
      <w:r>
        <w:tab/>
        <w:t>En la actualidad, entre los 457 funcionarios públicos del Ministerio de Asuntos Exteriores y Cooperación Internacional (MoAECI) hay 166 mujeres (36%), entre otras una subsecretaria de Estado, una directora general y dos directoras y cinco v</w:t>
      </w:r>
      <w:r>
        <w:t>i</w:t>
      </w:r>
      <w:r>
        <w:t>cedirectoras de departamento. Hoy en día trabajan en misiones diplomáticas camb</w:t>
      </w:r>
      <w:r>
        <w:t>o</w:t>
      </w:r>
      <w:r>
        <w:t>yanas 53 mujeres. Ocupan puestos como el de ministra consejera, secretaria, oficial de protocolo y contable.</w:t>
      </w:r>
    </w:p>
    <w:p w:rsidR="00000000" w:rsidRDefault="00000000">
      <w:pPr>
        <w:pStyle w:val="SingleTxt"/>
        <w:rPr>
          <w:spacing w:val="2"/>
          <w:w w:val="101"/>
        </w:rPr>
      </w:pPr>
      <w:r>
        <w:rPr>
          <w:spacing w:val="2"/>
          <w:w w:val="101"/>
        </w:rPr>
        <w:t>223.</w:t>
      </w:r>
      <w:r>
        <w:rPr>
          <w:spacing w:val="2"/>
          <w:w w:val="101"/>
        </w:rPr>
        <w:tab/>
        <w:t>A efectos de fortalecer el papel de la mujer en el ámbito internacional, el Real Gobierno de Camboya no ha escatimado esfuerzos por contribuir al avance del proceso de mejoramiento de la situación que hoy enfrenta la mujer en el mundo y ha enviado a delegaciones de mujeres encabezadas por una mujer para que participen en diferentes seminarios y foros y reuniones internacionales, especialmente en las conferencias de las Naciones Unidas, como por ejemplo el XXIII Congreso de la Mujer de Nueva York, la reunión sobre asuntos de la mujer que la Asociación de Naciones del Asia Sudoriental (ASEAN) organizó en Bali, Indonesia y el seminario sobre la trata de mujeres y niños de Tailandia. También hay algunas otras funcionarias de alto rango que han presidido delegaciones camboyanas participantes en foros internacionales y regionales que abo</w:t>
      </w:r>
      <w:r>
        <w:rPr>
          <w:spacing w:val="2"/>
          <w:w w:val="101"/>
        </w:rPr>
        <w:t>r</w:t>
      </w:r>
      <w:r>
        <w:rPr>
          <w:spacing w:val="2"/>
          <w:w w:val="101"/>
        </w:rPr>
        <w:t>daban temas relacionados con la mujer y de otra índole.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224.</w:t>
      </w:r>
      <w:r>
        <w:tab/>
        <w:t>Aunque el Real Gobierno de Camboya adopta la política de alentar a las muj</w:t>
      </w:r>
      <w:r>
        <w:t>e</w:t>
      </w:r>
      <w:r>
        <w:t>res para que representen al Gobierno en foros internacionales, subsisten muchos obstáculos que impiden que las mujeres aprovechen al máximo las oportunidades que les proporciona el Gobierno para representarlo en el exterior. Por ejemplo, ti</w:t>
      </w:r>
      <w:r>
        <w:t>e</w:t>
      </w:r>
      <w:r>
        <w:t>nen que obtener el permiso de sus familias si reciben una propuesta para ir a trabajar con una misión diplomática en el extranjero. Los valores sociales y culturales que siguen influyendo en la capacidad de actuar de las mujeres no las inducen a repr</w:t>
      </w:r>
      <w:r>
        <w:t>e</w:t>
      </w:r>
      <w:r>
        <w:t>sentar al Gobierno en foros internacionales.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futura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225.</w:t>
      </w:r>
      <w:r>
        <w:tab/>
        <w:t>El Real Gobierno seguirá desplegando esfuerzos por proporcionar más oport</w:t>
      </w:r>
      <w:r>
        <w:t>u</w:t>
      </w:r>
      <w:r>
        <w:t>nidades a las mujeres para que ocupen puestos de dirección en el Real Gobierno de Camboya y en las misiones diplomáticas del Reino de Camboya en otros países. Por otra parte, se alentará a las mujeres para que participen en cursos de capacitación dictados en el país y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materia de 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w:t>
      </w:r>
      <w:r>
        <w:rPr>
          <w:i/>
        </w:rPr>
        <w:tab/>
        <w:t>Los Estados Partes otorgarán a las mujeres iguales derechos que a los ho</w:t>
      </w:r>
      <w:r>
        <w:rPr>
          <w:i/>
        </w:rPr>
        <w:t>m</w:t>
      </w:r>
      <w:r>
        <w:rPr>
          <w:i/>
        </w:rPr>
        <w:t>bres para adquirir, cambiar o conservar su nacionalidad. Garantizarán, en part</w:t>
      </w:r>
      <w:r>
        <w:rPr>
          <w:i/>
        </w:rPr>
        <w:t>i</w:t>
      </w:r>
      <w:r>
        <w:rPr>
          <w:i/>
        </w:rPr>
        <w:t>cular, que ni el matrimonio con un extranjero ni el cambio de nacionalidad del m</w:t>
      </w:r>
      <w:r>
        <w:rPr>
          <w:i/>
        </w:rPr>
        <w:t>a</w:t>
      </w:r>
      <w:r>
        <w:rPr>
          <w:i/>
        </w:rPr>
        <w:t>rido durante el matrimonio cambien automáticamente la nacionalidad de la esposa, la conviertan en ap</w:t>
      </w:r>
      <w:r>
        <w:rPr>
          <w:i/>
        </w:rPr>
        <w:t>á</w:t>
      </w:r>
      <w:r>
        <w:rPr>
          <w:i/>
        </w:rPr>
        <w:t>trida o la obliguen a adoptar la nacionalidad del cónyuge.</w:t>
      </w:r>
    </w:p>
    <w:p w:rsidR="00000000" w:rsidRDefault="00000000">
      <w:pPr>
        <w:pStyle w:val="SingleTxt"/>
        <w:rPr>
          <w:i/>
        </w:rPr>
      </w:pPr>
      <w:r>
        <w:rPr>
          <w:i/>
        </w:rPr>
        <w:t>2.</w:t>
      </w:r>
      <w:r>
        <w:rPr>
          <w:i/>
        </w:rPr>
        <w:tab/>
        <w:t>Los Estados Partes otorgarán a la mujer los mismos derechos que al hombre con respecto a la nacionalidad de sus hijos.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226.</w:t>
      </w:r>
      <w:r>
        <w:tab/>
        <w:t>El Real Gobierno de Camboya, como representante de un Estado parte en la CEDAW, ha proporcionado y garantizado el derecho a la igualdad entre hombres y mujeres para cambiar o conservar la nacionalidad o para elegir la nacionalidad de sus descendientes, en caso de matrimonio con extranjeros o con ciudadanos camb</w:t>
      </w:r>
      <w:r>
        <w:t>o</w:t>
      </w:r>
      <w:r>
        <w:t>yanos que vivan en el extranjero.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para conservar o cambiar la nacionalidad</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227.</w:t>
      </w:r>
      <w:r>
        <w:tab/>
        <w:t>El artículo 33 de la Constitución del Reino de Camboya reza así: “Los ciud</w:t>
      </w:r>
      <w:r>
        <w:t>a</w:t>
      </w:r>
      <w:r>
        <w:t>danos khmers no pueden ser privados de su nacionalidad, enviados al exilio ni arrestados para ser extraditados a otro país, salvo que esté en vigencia un convenio bilateral. Los ciudadanos khmers residentes en el exterior gozarán de la protección del Estado”. El artículo 6 de la Ley relativa a la nacionalidad garantiza que ningún ciudadano camboyano sufrirá la pérdida de su nacionalidad por contraer matrimonio con un extranjero. Para adquirir la nacionalidad de su marido, ninguna mujer deberá abandonar su nacionalidad y nadie podrá privarla de ella por ninguna consecuencia o causa. Un ejemplo concreto es que, por más que muchas mujeres camboyanas se vieron forzadas a vivir en el extranjero durante el régimen de terror del Khmer Rojo, no fueron privadas de su nacionalidad.</w:t>
      </w:r>
    </w:p>
    <w:p w:rsidR="00000000" w:rsidRDefault="00000000">
      <w:pPr>
        <w:pStyle w:val="SingleTxt"/>
      </w:pPr>
      <w:r>
        <w:t>228.</w:t>
      </w:r>
      <w:r>
        <w:tab/>
        <w:t>En el pasado no se ha negado ni se ha dejado de conceder la nacionalidad a ningún camboyano. La policía lo identifica y emite su documento de identidad. Asimismo, en todas las provincias, ciudades, distritos, comunas y aldeas, los fu</w:t>
      </w:r>
      <w:r>
        <w:t>n</w:t>
      </w:r>
      <w:r>
        <w:t>cionarios del Registro Civil emiten partidas de nacimiento en que quedan registr</w:t>
      </w:r>
      <w:r>
        <w:t>a</w:t>
      </w:r>
      <w:r>
        <w:t>das la raza y la nacion</w:t>
      </w:r>
      <w:r>
        <w:t>a</w:t>
      </w:r>
      <w:r>
        <w:t>lidad de los bebés.</w:t>
      </w:r>
    </w:p>
    <w:p w:rsidR="00000000" w:rsidRDefault="00000000">
      <w:pPr>
        <w:pStyle w:val="SingleTxt"/>
        <w:suppressAutoHyphens/>
      </w:pPr>
      <w:r>
        <w:t>229.</w:t>
      </w:r>
      <w:r>
        <w:tab/>
        <w:t>La nacionalidad camboyana se otorga a todos los ciudadanos, salvo en lo casos en que se exija alguna condición especial con arreglo a las leyes de la nación en vigencia.</w:t>
      </w:r>
    </w:p>
    <w:p w:rsidR="00000000" w:rsidRDefault="00000000">
      <w:pPr>
        <w:pStyle w:val="SingleTxt"/>
      </w:pPr>
      <w:r>
        <w:t>230.</w:t>
      </w:r>
      <w:r>
        <w:tab/>
        <w:t>Además de la nacionalidad camboyana que se adquiere por nacimiento, la Ley relativa a la nacionalidad del Reino de Camboya también concede la nacionalidad a los extranjeros por contraer matrimonio o naturalizarse. El artículo 5 de la Ley rel</w:t>
      </w:r>
      <w:r>
        <w:t>a</w:t>
      </w:r>
      <w:r>
        <w:t>tiva a la nacionalidad reza así: “Las mujeres y hombres extranjeros que se casen con hombres y mujeres camboyanos sólo podrán solicitar la nacionalidad camboyana después de haber vivido juntos por espacio de tres años contados a partir de la in</w:t>
      </w:r>
      <w:r>
        <w:t>s</w:t>
      </w:r>
      <w:r>
        <w:t>cripción de su certificado de matrimonio”.</w:t>
      </w:r>
    </w:p>
    <w:p w:rsidR="00000000" w:rsidRDefault="00000000">
      <w:pPr>
        <w:pStyle w:val="SingleTxt"/>
      </w:pPr>
      <w:r>
        <w:t>231.</w:t>
      </w:r>
      <w:r>
        <w:tab/>
        <w:t>Los camboyanos de ambos sexos tienen derecho a cambiar su nacionalidad o a solicitar una nacionalidad adicional con arreglo a sus deseos y a las leyes de la n</w:t>
      </w:r>
      <w:r>
        <w:t>a</w:t>
      </w:r>
      <w:r>
        <w:t>ción cuya ciudadanía quieran adquirir.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con respecto a la nacionalidad de los desce</w:t>
      </w:r>
      <w:r>
        <w:t>n</w:t>
      </w:r>
      <w:r>
        <w:t>dientes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232.</w:t>
      </w:r>
      <w:r>
        <w:tab/>
        <w:t>En Camboya, el padre y la madre tienen el mismo derecho a elegir la nacion</w:t>
      </w:r>
      <w:r>
        <w:t>a</w:t>
      </w:r>
      <w:r>
        <w:t>lidad de sus descendientes, incluso si éstos nacieren en otro país cuya ciudadanía les correspondiese por nacimiento.</w:t>
      </w:r>
    </w:p>
    <w:p w:rsidR="00000000" w:rsidRDefault="00000000">
      <w:pPr>
        <w:pStyle w:val="SingleTxt"/>
      </w:pPr>
      <w:r>
        <w:tab/>
        <w:t>En el primer párrafo del artículo 4 de la Constitución se estipula que:</w:t>
      </w:r>
    </w:p>
    <w:p w:rsidR="00000000" w:rsidRDefault="00000000">
      <w:pPr>
        <w:pStyle w:val="SingleTxt"/>
        <w:ind w:left="1742"/>
      </w:pPr>
      <w:r>
        <w:t>“1.</w:t>
      </w:r>
      <w:r>
        <w:tab/>
        <w:t>La nacionalidad camboyana se concederá a cualquier persona, sea cual fuere su país de nacimiento, siempre que:</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Sea hija o hijo de padre o madre de nacionalidad camboyana que estén casados entre sí;</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Sea hija o hijo de padre o madre de nacionalidad camboyana que no estén c</w:t>
      </w:r>
      <w:r>
        <w:t>a</w:t>
      </w:r>
      <w:r>
        <w:t>sados entre sí;</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Un tribunal dictamine que una niña o un niño que sus padres hayan aba</w:t>
      </w:r>
      <w:r>
        <w:t>n</w:t>
      </w:r>
      <w:r>
        <w:t>donado o no hayan reconocido ‘ha nacido de padre o madre de nacional</w:t>
      </w:r>
      <w:r>
        <w:t>i</w:t>
      </w:r>
      <w:r>
        <w:t>dad ca</w:t>
      </w:r>
      <w:r>
        <w:t>m</w:t>
      </w:r>
      <w:r>
        <w:t>boyana’.</w:t>
      </w:r>
    </w:p>
    <w:p w:rsidR="00000000" w:rsidRDefault="00000000">
      <w:pPr>
        <w:pStyle w:val="SingleTxt"/>
        <w:ind w:left="1742"/>
      </w:pPr>
      <w:r>
        <w:t>2.</w:t>
      </w:r>
      <w:r>
        <w:tab/>
        <w:t>Se otorgará la nacionalidad camboyana a cualquier persona nacida en el Reino de Camboya, en especial:</w:t>
      </w:r>
    </w:p>
    <w:p w:rsidR="00000000" w:rsidRDefault="00000000">
      <w:pPr>
        <w:pStyle w:val="SingleTxt"/>
        <w:ind w:left="2217" w:hanging="475"/>
      </w:pPr>
      <w:r>
        <w:t>A.</w:t>
      </w:r>
      <w:r>
        <w:tab/>
        <w:t>A la hija o el hijo de padre o madre de nacionalidad extranjera que haya nacido o que resida legalmente en el Reino de Camboya.</w:t>
      </w:r>
    </w:p>
    <w:p w:rsidR="00000000" w:rsidRDefault="00000000">
      <w:pPr>
        <w:pStyle w:val="SingleTxt"/>
        <w:ind w:left="2217" w:hanging="475"/>
      </w:pPr>
      <w:r>
        <w:t>B.</w:t>
      </w:r>
      <w:r>
        <w:tab/>
        <w:t>A la hija o el hijo de madre o padre desconocidos que haya sido enco</w:t>
      </w:r>
      <w:r>
        <w:t>n</w:t>
      </w:r>
      <w:r>
        <w:t>trada o encontrado por un tercero en el Reino de Camboya, pues se co</w:t>
      </w:r>
      <w:r>
        <w:t>n</w:t>
      </w:r>
      <w:r>
        <w:t>siderará que esa criatura ha nacido en el Reino de Camboya.”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 utilización de los pasaportes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233.</w:t>
      </w:r>
      <w:r>
        <w:tab/>
        <w:t>Los ciudadanos camboyanos de ambos sexos tienen derecho a poseer pasaporte propio. Para viajar al extranjero, las mujeres camboyanas tienen el derecho y la p</w:t>
      </w:r>
      <w:r>
        <w:t>o</w:t>
      </w:r>
      <w:r>
        <w:t>sibilidad de obtener y utilizar sus propios pasaportes sin autorización de sus mar</w:t>
      </w:r>
      <w:r>
        <w:t>i</w:t>
      </w:r>
      <w:r>
        <w:t xml:space="preserve">dos. Por otra parte, todo niño que tenga la edad requerida y esté acompañado por un tercero podrá salir de Camboya y volver al país con el pasaporte de su madre (de </w:t>
      </w:r>
      <w:r>
        <w:br/>
        <w:t>resultas del decreto complementario # 68 KN.KR de 20 de julio de 1994 relativo a los p</w:t>
      </w:r>
      <w:r>
        <w:t>a</w:t>
      </w:r>
      <w:r>
        <w:t>saportes del Reino de Camboya).</w:t>
      </w:r>
    </w:p>
    <w:p w:rsidR="00000000" w:rsidRDefault="00000000">
      <w:pPr>
        <w:pStyle w:val="SingleTxt"/>
      </w:pPr>
      <w:r>
        <w:t>234.</w:t>
      </w:r>
      <w:r>
        <w:tab/>
        <w:t>Los menores de 18 años podrán solicitar su pasaporte con la autorización por escrito de sus padres o tutores, si bien sus solicitudes tendrán que llevar adjunta una copia de sus libretas de familia y partidas de nacimiento. En cambio, para viajar al exterior, los menores de 12 años deberán valerse de los pasaportes de sus padres o tutores.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235.</w:t>
      </w:r>
      <w:r>
        <w:tab/>
        <w:t xml:space="preserve">Aunque esté garantizada </w:t>
      </w:r>
      <w:r>
        <w:rPr>
          <w:i/>
        </w:rPr>
        <w:t>de jure</w:t>
      </w:r>
      <w:r>
        <w:t xml:space="preserve"> la igualdad de derechos para conservar, elegir y ejercer la nacionalidad, en la práctica muchas mujeres, por falta de información o por no conocer sus derechos, tienen dif</w:t>
      </w:r>
      <w:r>
        <w:t>i</w:t>
      </w:r>
      <w:r>
        <w:t>cultades para hacerlos valer.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futura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236.</w:t>
      </w:r>
      <w:r>
        <w:tab/>
        <w:t>El Real Gobierno de Camboya adoptará todas las medidas apropiadas para promover la concienciación de los habitantes del Reino, especialmente de las muj</w:t>
      </w:r>
      <w:r>
        <w:t>e</w:t>
      </w:r>
      <w:r>
        <w:t>res, respecto de los derechos que les reconoce la ley, de manera que las mujeres puedan hacerlos valer en la vida práctica. Se facilitará la inscripción de los nac</w:t>
      </w:r>
      <w:r>
        <w:t>i</w:t>
      </w:r>
      <w:r>
        <w:t>mientos sin ningún co</w:t>
      </w:r>
      <w:r>
        <w:t>n</w:t>
      </w:r>
      <w:r>
        <w:t>dicionamiento.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 esfera de la 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10</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ab/>
        <w:t>Los Estados Partes adoptarán todas las medidas apropiadas para eliminar la discriminación contra la mujer, a fin de asegurarle la igualdad de derechos con el hombre en la esfera de la educación y en particular para asegurar, en condiciones de igualdad entre hombres y m</w:t>
      </w:r>
      <w:r>
        <w:rPr>
          <w:i/>
        </w:rPr>
        <w:t>u</w:t>
      </w:r>
      <w:r>
        <w:rPr>
          <w:i/>
        </w:rPr>
        <w:t>jeres:</w:t>
      </w:r>
    </w:p>
    <w:p w:rsidR="00000000" w:rsidRDefault="00000000">
      <w:pPr>
        <w:pStyle w:val="SingleTxt"/>
        <w:rPr>
          <w:i/>
        </w:rPr>
      </w:pPr>
      <w:r>
        <w:rPr>
          <w:i/>
        </w:rPr>
        <w:tab/>
        <w:t>a)</w:t>
      </w:r>
      <w:r>
        <w:rPr>
          <w:i/>
        </w:rPr>
        <w:tab/>
        <w:t>Las mismas condiciones de orientación en materia de carreras y cap</w:t>
      </w:r>
      <w:r>
        <w:rPr>
          <w:i/>
        </w:rPr>
        <w:t>a</w:t>
      </w:r>
      <w:r>
        <w:rPr>
          <w:i/>
        </w:rPr>
        <w:t>citación profesional, acceso a los estudios y obtención de diplomas en las instal</w:t>
      </w:r>
      <w:r>
        <w:rPr>
          <w:i/>
        </w:rPr>
        <w:t>a</w:t>
      </w:r>
      <w:r>
        <w:rPr>
          <w:i/>
        </w:rPr>
        <w:t>ciones de enseñanza de todas las categorías, tanto en zonas rurales como urbanas; esta igualdad deberá asegurarse en la enseñanza preescolar, general, técnica, pr</w:t>
      </w:r>
      <w:r>
        <w:rPr>
          <w:i/>
        </w:rPr>
        <w:t>o</w:t>
      </w:r>
      <w:r>
        <w:rPr>
          <w:i/>
        </w:rPr>
        <w:t>fesi</w:t>
      </w:r>
      <w:r>
        <w:rPr>
          <w:i/>
        </w:rPr>
        <w:t>o</w:t>
      </w:r>
      <w:r>
        <w:rPr>
          <w:i/>
        </w:rPr>
        <w:t>nal y técnica superior, así como en todos los tipos de capacitación profesional;</w:t>
      </w:r>
    </w:p>
    <w:p w:rsidR="00000000" w:rsidRDefault="00000000">
      <w:pPr>
        <w:pStyle w:val="SingleTxt"/>
        <w:rPr>
          <w:i/>
        </w:rPr>
      </w:pPr>
      <w:r>
        <w:rPr>
          <w:i/>
        </w:rPr>
        <w:tab/>
        <w:t>b)</w:t>
      </w:r>
      <w:r>
        <w:rPr>
          <w:i/>
        </w:rPr>
        <w:tab/>
        <w:t>Acceso a los mismos programas de estudios, a los mismos exámenes, a personal docente del mismo nivel profesional y a locales y equipos escolares de la misma calidad;</w:t>
      </w:r>
    </w:p>
    <w:p w:rsidR="00000000" w:rsidRDefault="00000000">
      <w:pPr>
        <w:pStyle w:val="SingleTxt"/>
        <w:rPr>
          <w:i/>
        </w:rPr>
      </w:pPr>
      <w:r>
        <w:rPr>
          <w:i/>
        </w:rPr>
        <w:tab/>
        <w:t>c)</w:t>
      </w:r>
      <w:r>
        <w:rPr>
          <w:i/>
        </w:rPr>
        <w:tab/>
        <w:t>La eliminación de todo concepto estereotipado de los papeles masculino y femenino en todos los niveles y en todas las formas de enseñanza, mediante el e</w:t>
      </w:r>
      <w:r>
        <w:rPr>
          <w:i/>
        </w:rPr>
        <w:t>s</w:t>
      </w:r>
      <w:r>
        <w:rPr>
          <w:i/>
        </w:rPr>
        <w:t>tímulo de la educación mixta y de otros tipos de educación que contribuyan a lograr este objetivo y, en particular, mediante la modificación de los libros y programas escolares y la adaptación de los métodos de enseñanza;</w:t>
      </w:r>
    </w:p>
    <w:p w:rsidR="00000000" w:rsidRDefault="00000000">
      <w:pPr>
        <w:pStyle w:val="SingleTxt"/>
        <w:rPr>
          <w:i/>
        </w:rPr>
      </w:pPr>
      <w:r>
        <w:rPr>
          <w:i/>
        </w:rPr>
        <w:tab/>
        <w:t>d)</w:t>
      </w:r>
      <w:r>
        <w:rPr>
          <w:i/>
        </w:rPr>
        <w:tab/>
        <w:t>Las mismas oportunidades para la obtención de becas y otras subvenci</w:t>
      </w:r>
      <w:r>
        <w:rPr>
          <w:i/>
        </w:rPr>
        <w:t>o</w:t>
      </w:r>
      <w:r>
        <w:rPr>
          <w:i/>
        </w:rPr>
        <w:t>nes para cursar estudios;</w:t>
      </w:r>
    </w:p>
    <w:p w:rsidR="00000000" w:rsidRDefault="00000000">
      <w:pPr>
        <w:pStyle w:val="SingleTxt"/>
        <w:keepNext/>
        <w:keepLines/>
        <w:rPr>
          <w:i/>
        </w:rPr>
      </w:pPr>
      <w:r>
        <w:rPr>
          <w:i/>
        </w:rPr>
        <w:tab/>
        <w:t>e)</w:t>
      </w:r>
      <w:r>
        <w:rPr>
          <w:i/>
        </w:rPr>
        <w:tab/>
        <w:t>Las mismas oportunidades de acceso a los programas de educación pe</w:t>
      </w:r>
      <w:r>
        <w:rPr>
          <w:i/>
        </w:rPr>
        <w:t>r</w:t>
      </w:r>
      <w:r>
        <w:rPr>
          <w:i/>
        </w:rPr>
        <w:t>manente, incluidos los programas de alfabetización funcional y de adultos, con m</w:t>
      </w:r>
      <w:r>
        <w:rPr>
          <w:i/>
        </w:rPr>
        <w:t>i</w:t>
      </w:r>
      <w:r>
        <w:rPr>
          <w:i/>
        </w:rPr>
        <w:t>ras en particular a reducir lo antes posible toda diferencia de conocimientos que exista entre hombres y mujeres;</w:t>
      </w:r>
    </w:p>
    <w:p w:rsidR="00000000" w:rsidRDefault="00000000">
      <w:pPr>
        <w:pStyle w:val="SingleTxt"/>
        <w:rPr>
          <w:i/>
        </w:rPr>
      </w:pPr>
      <w:r>
        <w:rPr>
          <w:i/>
        </w:rPr>
        <w:tab/>
        <w:t>f)</w:t>
      </w:r>
      <w:r>
        <w:rPr>
          <w:i/>
        </w:rPr>
        <w:tab/>
        <w:t>La reducción de la tasa de abandono femenino de los estudios y la org</w:t>
      </w:r>
      <w:r>
        <w:rPr>
          <w:i/>
        </w:rPr>
        <w:t>a</w:t>
      </w:r>
      <w:r>
        <w:rPr>
          <w:i/>
        </w:rPr>
        <w:t>nización de programas para aquellas jóvenes y mujeres que hayan dejado los est</w:t>
      </w:r>
      <w:r>
        <w:rPr>
          <w:i/>
        </w:rPr>
        <w:t>u</w:t>
      </w:r>
      <w:r>
        <w:rPr>
          <w:i/>
        </w:rPr>
        <w:t>dios prematuramente;</w:t>
      </w:r>
    </w:p>
    <w:p w:rsidR="00000000" w:rsidRDefault="00000000">
      <w:pPr>
        <w:pStyle w:val="SingleTxt"/>
        <w:rPr>
          <w:i/>
        </w:rPr>
      </w:pPr>
      <w:r>
        <w:rPr>
          <w:i/>
        </w:rPr>
        <w:tab/>
        <w:t>g)</w:t>
      </w:r>
      <w:r>
        <w:rPr>
          <w:i/>
        </w:rPr>
        <w:tab/>
        <w:t>Las mismas oportunidades para participar activamente en el deporte y la ed</w:t>
      </w:r>
      <w:r>
        <w:rPr>
          <w:i/>
        </w:rPr>
        <w:t>u</w:t>
      </w:r>
      <w:r>
        <w:rPr>
          <w:i/>
        </w:rPr>
        <w:t>cación física;</w:t>
      </w:r>
    </w:p>
    <w:p w:rsidR="00000000" w:rsidRDefault="00000000">
      <w:pPr>
        <w:pStyle w:val="SingleTxt"/>
        <w:rPr>
          <w:i/>
        </w:rPr>
      </w:pPr>
      <w:r>
        <w:rPr>
          <w:i/>
        </w:rPr>
        <w:tab/>
        <w:t>h)</w:t>
      </w:r>
      <w:r>
        <w:rPr>
          <w:i/>
        </w:rPr>
        <w:tab/>
        <w:t>Acceso al material informativo específico que contribuya a asegurar la salud y el bienestar de la familia, incluida la información y el asesoramiento sobre planif</w:t>
      </w:r>
      <w:r>
        <w:rPr>
          <w:i/>
        </w:rPr>
        <w:t>i</w:t>
      </w:r>
      <w:r>
        <w:rPr>
          <w:i/>
        </w:rPr>
        <w:t>cación de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Todas las medidas apropiadas para garantizar la igualdad de derechos de la mujer y el hombre en la esfera de la educación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237.</w:t>
      </w:r>
      <w:r>
        <w:tab/>
        <w:t>Los artículos 48, 63, 65, 66, 67 y 68 de la Constitución del Reino de Camboya determinan que las mujeres tienen los mismos derechos que los hombres en las esf</w:t>
      </w:r>
      <w:r>
        <w:t>e</w:t>
      </w:r>
      <w:r>
        <w:t>ras de la economía doméstica y la educación, razón por la cual las mujeres disponen, entre otras cosas, de la posibilidad de adquirir conocimientos profesionales y técn</w:t>
      </w:r>
      <w:r>
        <w:t>i</w:t>
      </w:r>
      <w:r>
        <w:t>cos en pie de igualdad con los hombres. El Estado tiene el deber de proteger y pr</w:t>
      </w:r>
      <w:r>
        <w:t>o</w:t>
      </w:r>
      <w:r>
        <w:t>mover el derecho de todos los ciudadanos a acceder a una educación calificada en todos los niveles.</w:t>
      </w:r>
    </w:p>
    <w:p w:rsidR="00000000" w:rsidRDefault="00000000">
      <w:pPr>
        <w:pStyle w:val="SingleTxt"/>
      </w:pPr>
      <w:r>
        <w:t>238.</w:t>
      </w:r>
      <w:r>
        <w:tab/>
        <w:t>En el Real Decreto # 0796.52 NS.RKT de 26 de julio de 1996 se prevé que t</w:t>
      </w:r>
      <w:r>
        <w:t>o</w:t>
      </w:r>
      <w:r>
        <w:t>dos los niños y niñas asistan a la escuela primaria y al colegio secundario elemental, es decir, que reciban la educación básica de nueve años.</w:t>
      </w:r>
    </w:p>
    <w:p w:rsidR="00000000" w:rsidRDefault="00000000">
      <w:pPr>
        <w:pStyle w:val="SingleTxt"/>
      </w:pPr>
      <w:r>
        <w:t>239.</w:t>
      </w:r>
      <w:r>
        <w:tab/>
        <w:t>La política del Gobierno consiste en proporcionar educación básica a todos p</w:t>
      </w:r>
      <w:r>
        <w:t>a</w:t>
      </w:r>
      <w:r>
        <w:t>ra que todos puedan seguir una carrera acorde con su capacidad y sus deseos. El R</w:t>
      </w:r>
      <w:r>
        <w:t>e</w:t>
      </w:r>
      <w:r>
        <w:t>al Gobierno de Camboya ha eliminado la barrera del examen obligatorio para pasar de la escuela primaria al colegio secundario a fin de que todos los niños y niñas puedan seguir estudiando hasta el noveno grado. Al desarrollar sus actividades ed</w:t>
      </w:r>
      <w:r>
        <w:t>u</w:t>
      </w:r>
      <w:r>
        <w:t>cacionales, el Ministerio de Educación, la Juventud y los Deportes viene prestando atención preferente a los niños y niñas que sufren dificultades y privaciones, a los que pertenecen a minorías étnicas y, en general, a los pobres, a quienes ayuda para que puedan proseguir sus estudios hasta terminar el noveno grado; además, en todas las provincias y ciudades, el Ministerio ha procurado perfeccionar los programas de acción prioritaria para la enseñanza primaria y la secundaria elemental y se ha oc</w:t>
      </w:r>
      <w:r>
        <w:t>u</w:t>
      </w:r>
      <w:r>
        <w:t>pado de formar, capacitar y actualizar a los maestros para que comprendan mejor las cuestiones profesionales y técnicas vinculadas con la educación superior. El Real Gobierno de Camboya se esfuerza por lograr que hacia el año 2015 todos reciban la instrucción básica que se imparte en la escuela primaria y procura que haya mae</w:t>
      </w:r>
      <w:r>
        <w:t>s</w:t>
      </w:r>
      <w:r>
        <w:t>tros calificados en todos los niveles de la enseñanza, para lo cual trabaja por mejorar el nivel de vida del personal docente, especialmente del que vive en zonas remotas y en las provincias, y por brindarle incentivos sobre la base del reconocimiento de su capacidad y del buen desempeño de sus tareas. Se despliegan esfuerzos por propo</w:t>
      </w:r>
      <w:r>
        <w:t>r</w:t>
      </w:r>
      <w:r>
        <w:t>cionar materiales y suministros a las escuelas con objeto de reducir al mínimo la n</w:t>
      </w:r>
      <w:r>
        <w:t>e</w:t>
      </w:r>
      <w:r>
        <w:t>cesidad de recolectar fondos que experimentan desde los estudiantes hasta los maestros. Se facilitará así la continuación de los estudios de las muchachas pobres. Con arreglo al Plan de Acción Prioritaria (PAP) y otros programas, se desarrollan 12 actividades que comprenden la producción de material y el fomento de la capacidad organizativa, además de la supervisión y la evaluación.</w:t>
      </w:r>
    </w:p>
    <w:p w:rsidR="00000000" w:rsidRDefault="00000000">
      <w:pPr>
        <w:pStyle w:val="SingleTxt"/>
      </w:pPr>
      <w:r>
        <w:t>240.</w:t>
      </w:r>
      <w:r>
        <w:tab/>
        <w:t>El Real Gobierno de Camboya presta mucha atención a cuatro cuestiones pri</w:t>
      </w:r>
      <w:r>
        <w:t>o</w:t>
      </w:r>
      <w:r>
        <w:t xml:space="preserve">ritarias que, con el propósito de potenciar el papel de la mujer y, en especial, de promover la igualdad entre el hombre y la mujer, postula el Ministerio de Asuntos de la Mujer y los Excombatientes con el plan estratégico quinquenal </w:t>
      </w:r>
      <w:r>
        <w:rPr>
          <w:i/>
        </w:rPr>
        <w:t>Neary Ratt</w:t>
      </w:r>
      <w:r>
        <w:rPr>
          <w:i/>
        </w:rPr>
        <w:t>a</w:t>
      </w:r>
      <w:r>
        <w:rPr>
          <w:i/>
        </w:rPr>
        <w:t xml:space="preserve">nak. </w:t>
      </w:r>
      <w:r>
        <w:t>Esas cuatro cuestiones prioritarias son la salud, la educación, la economía d</w:t>
      </w:r>
      <w:r>
        <w:t>o</w:t>
      </w:r>
      <w:r>
        <w:t xml:space="preserve">méstica y la protección jurídica. El objetivo general del </w:t>
      </w:r>
      <w:r>
        <w:rPr>
          <w:i/>
        </w:rPr>
        <w:t>Neary Rattanak</w:t>
      </w:r>
      <w:r>
        <w:t xml:space="preserve"> es garant</w:t>
      </w:r>
      <w:r>
        <w:t>i</w:t>
      </w:r>
      <w:r>
        <w:t>zar a la mujer el goce de sus derechos y la realización de su capacidad potencial como contribución a la lucha contra la pobreza.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del derecho a la educación en todos los niveles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241.</w:t>
      </w:r>
      <w:r>
        <w:tab/>
        <w:t>A efectos de garantizar la igualdad entre los géneros, el Real Gobierno de Camboya ha puesto en marcha una serie de medidas para permitir que los niños, las niñas, los jóvenes, los hombres y las mujeres reciban educación en todos los niveles mediante clases para analfabetos, cursos de capacitación profesional y técnica, becas y servicios médicos y la prevención de la deserción escolar de las mujeres est</w:t>
      </w:r>
      <w:r>
        <w:t>u</w:t>
      </w:r>
      <w:r>
        <w:t>diantes con la construcción de residencias para ellas. En virtud del decreto compl</w:t>
      </w:r>
      <w:r>
        <w:t>e</w:t>
      </w:r>
      <w:r>
        <w:t xml:space="preserve">mentario No. 102 RNKRBK de 3 de octubre de 2002 y la </w:t>
      </w:r>
      <w:r>
        <w:rPr>
          <w:i/>
        </w:rPr>
        <w:t>Prakas</w:t>
      </w:r>
      <w:r>
        <w:t xml:space="preserve"> No. 560 SHV de 6 de septiembre de 2002, el Real Gobierno ha autorizado la asignación de fondos aparte para poner en marcha el PAP. Este Plan propugna los principios de igualdad en los servicios educacionales, de igualdad y eficacia en la enseñanza primaria, de calidad de la capacitación técnica y de ampliación de la educación extraescolar bajo la égida del Ministerio de Educación, la Juventud y los Deportes (MoEJD). Las a</w:t>
      </w:r>
      <w:r>
        <w:t>c</w:t>
      </w:r>
      <w:r>
        <w:t>tividades pertinentes se empezaron a des</w:t>
      </w:r>
      <w:r>
        <w:t>a</w:t>
      </w:r>
      <w:r>
        <w:t>rrollar el 1º de enero de 2002.</w:t>
      </w:r>
    </w:p>
    <w:p w:rsidR="00000000" w:rsidRDefault="00000000">
      <w:pPr>
        <w:pStyle w:val="SingleTxt"/>
      </w:pPr>
      <w:r>
        <w:t>242.</w:t>
      </w:r>
      <w:r>
        <w:tab/>
        <w:t>En el año 2002, el Real Gobierno de Camboya determinó que el MoEJD fuese uno de los ministerios encargados de las cuatro cuestiones prioritarias y le enc</w:t>
      </w:r>
      <w:r>
        <w:t>o</w:t>
      </w:r>
      <w:r>
        <w:t>mendó la tarea de acrecentar la calidad de la enseñanza, mejorar el nivel de vida de todos los maestros y reducir rotundamente al mínimo los gastos de los padres de los alumnos y los estudiantes a fin de ofrecer, en todo lo posible, las mismas oportun</w:t>
      </w:r>
      <w:r>
        <w:t>i</w:t>
      </w:r>
      <w:r>
        <w:t>dades de recibir educación a los niños pobres y a los ricos.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Jardines de infancia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243.</w:t>
      </w:r>
      <w:r>
        <w:tab/>
        <w:t>La política educativa del MoEJD consiste en permitir que, con criterio de equidad, todos los niños menores de seis años concurran a las clases que se ofrecen en los jardines de infancia y en estimular la participación de los niños de cinco años en las clases preparatorias para ingresar en una escuela primaria. Sobre la base de las estadísticas correspondientes a 2001-2002, ese año asistieron a las clases impa</w:t>
      </w:r>
      <w:r>
        <w:t>r</w:t>
      </w:r>
      <w:r>
        <w:t>tidas en los jardines de infancia 90.563 niños en total (incluidas 45.413 niñas), lo que representó un aumento de más de 23.340 niños (incluidas 11.362 niñas, que constituían 48,6% del total) en comparación con los datos de 2000-2001. Este a</w:t>
      </w:r>
      <w:r>
        <w:t>u</w:t>
      </w:r>
      <w:r>
        <w:t>mento puso de manifiesto un reconocimiento positivo por parte de la sociedad, los padres y los tutores de la importancia de la educación de las niñas, por más que el aumento de la participación de éstas haya sido pequeño.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primaria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244.</w:t>
      </w:r>
      <w:r>
        <w:tab/>
        <w:t>El Real Decreto NS.RKT/0796/52 estipula que “las escuelas primarias tienen la obligación de matricular a todos los niños de seis años, sobre una base de equ</w:t>
      </w:r>
      <w:r>
        <w:t>i</w:t>
      </w:r>
      <w:r>
        <w:t>dad, para desarrollar un programa de estudios en que se inculque el respeto por los derechos humanos, el amor al trabajo y la necesidad de comprometerse a proteger el medio a</w:t>
      </w:r>
      <w:r>
        <w:t>m</w:t>
      </w:r>
      <w:r>
        <w:t>biente, el arte y la cultura nacional”.</w:t>
      </w:r>
    </w:p>
    <w:p w:rsidR="00000000" w:rsidRDefault="00000000">
      <w:pPr>
        <w:pStyle w:val="SingleTxt"/>
      </w:pPr>
      <w:r>
        <w:t>245.</w:t>
      </w:r>
      <w:r>
        <w:tab/>
        <w:t>Aumenta la cantidad de alumnas de las escuelas primarias. En el año lectivo 2000-2001, el número de alumnos fue en total de 2.382.481, incluidas 1.185.528 alumnas (49,7% del total). En el año lectivo 2001-2002, el número de alumnos fue de 2.569.187, incluidas 1.181.144 alumnas (46% del total). El total de los niños en edad escolar (cuatro a seis años) llega a 3.238.494, de los cuales 1.594.775 son n</w:t>
      </w:r>
      <w:r>
        <w:t>i</w:t>
      </w:r>
      <w:r>
        <w:t>ñas. Según el índice de educación correspondiente a febrero del año lectivo 2001-2002, los niños que por entonces no asistían a la escuela eran en total 533.041, de los cuales 337.086 (63%) eran niñas.</w:t>
      </w:r>
    </w:p>
    <w:p w:rsidR="00000000" w:rsidRDefault="00000000">
      <w:pPr>
        <w:pStyle w:val="SingleTxt"/>
      </w:pPr>
      <w:r>
        <w:t>246.</w:t>
      </w:r>
      <w:r>
        <w:tab/>
        <w:t>El presupuesto asignado por el Real Gobierno de Camboya al MoEJD para d</w:t>
      </w:r>
      <w:r>
        <w:t>e</w:t>
      </w:r>
      <w:r>
        <w:t>sarrollar programas especiales para los alumnos que no hubieren alcanzado las cal</w:t>
      </w:r>
      <w:r>
        <w:t>i</w:t>
      </w:r>
      <w:r>
        <w:t>ficaciones requeridas en los grados primero y segundo fue de KR 150.880 millones (150.880 millones de riels camboyanos) en 2000, KR 166.990 millones en 2001, KR 323.000 millones en 2002 y KR 183.179 millones en 2003. Se proporcionó financi</w:t>
      </w:r>
      <w:r>
        <w:t>a</w:t>
      </w:r>
      <w:r>
        <w:t>ción adicional para ayudar a las escuelas, atender al aumento previsto de alu</w:t>
      </w:r>
      <w:r>
        <w:t>m</w:t>
      </w:r>
      <w:r>
        <w:t>nos/estudiantes matriculados y abordar el problema de pobreza que enfrentan m</w:t>
      </w:r>
      <w:r>
        <w:t>u</w:t>
      </w:r>
      <w:r>
        <w:t>chas familias. También se asignó una partida presupuestaria para vigilar y controlar la gestión de la educación a efectos de aumentar su eficacia. En la práctica, 102.035 alumnos (98,30%) que resultaron aplazados en el examen de primer grado asistieron a clase durante las vacaciones y, de ellos, 57,72% aprobaron el segundo examen; otros 53.614 alumnos (98,30%) que resultaron aplazados en el examen de segundo grado también asistieron a clase durante las vacaciones y, de ellos, 57,72% aprob</w:t>
      </w:r>
      <w:r>
        <w:t>a</w:t>
      </w:r>
      <w:r>
        <w:t>ron el segundo examen. Puede verse, pues, que las clases impartidas durante las v</w:t>
      </w:r>
      <w:r>
        <w:t>a</w:t>
      </w:r>
      <w:r>
        <w:t>caciones redujeron en medida considerable el porcentaje de aplazados en los ex</w:t>
      </w:r>
      <w:r>
        <w:t>á</w:t>
      </w:r>
      <w:r>
        <w:t>menes y la tasa de deserción escolar.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Esquema del rendimiento del alumnado femenino (grados 1 a 6)</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(Índice de educación según los datos estadísticos del año lectivo 2001-2002)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540"/>
        <w:gridCol w:w="753"/>
        <w:gridCol w:w="753"/>
        <w:gridCol w:w="754"/>
        <w:gridCol w:w="80"/>
        <w:gridCol w:w="673"/>
        <w:gridCol w:w="753"/>
        <w:gridCol w:w="754"/>
        <w:gridCol w:w="70"/>
        <w:gridCol w:w="683"/>
        <w:gridCol w:w="753"/>
        <w:gridCol w:w="754"/>
      </w:tblGrid>
      <w:tr w:rsidR="00000000">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226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municipales</w:t>
            </w:r>
          </w:p>
        </w:tc>
        <w:tc>
          <w:tcPr>
            <w:tcW w:w="8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8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rurales</w:t>
            </w:r>
          </w:p>
        </w:tc>
        <w:tc>
          <w:tcPr>
            <w:tcW w:w="7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2190"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Zonas remotas</w:t>
            </w:r>
          </w:p>
        </w:tc>
      </w:tr>
      <w:tr w:rsidR="00000000">
        <w:tblPrEx>
          <w:tblCellMar>
            <w:top w:w="0" w:type="dxa"/>
            <w:left w:w="0" w:type="dxa"/>
            <w:bottom w:w="0" w:type="dxa"/>
            <w:right w:w="0" w:type="dxa"/>
          </w:tblCellMar>
        </w:tblPrEx>
        <w:trPr>
          <w:tblHeader/>
        </w:trPr>
        <w:tc>
          <w:tcPr>
            <w:tcW w:w="54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Clases</w:t>
            </w:r>
          </w:p>
        </w:tc>
        <w:tc>
          <w:tcPr>
            <w:tcW w:w="7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Aprobadas</w:t>
            </w:r>
          </w:p>
        </w:tc>
        <w:tc>
          <w:tcPr>
            <w:tcW w:w="7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Aplazadas</w:t>
            </w:r>
          </w:p>
        </w:tc>
        <w:tc>
          <w:tcPr>
            <w:tcW w:w="7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Desertoras</w:t>
            </w:r>
          </w:p>
        </w:tc>
        <w:tc>
          <w:tcPr>
            <w:tcW w:w="75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Aprobadas</w:t>
            </w:r>
          </w:p>
        </w:tc>
        <w:tc>
          <w:tcPr>
            <w:tcW w:w="7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Aplazadas</w:t>
            </w:r>
          </w:p>
        </w:tc>
        <w:tc>
          <w:tcPr>
            <w:tcW w:w="7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Desertoras</w:t>
            </w:r>
          </w:p>
        </w:tc>
        <w:tc>
          <w:tcPr>
            <w:tcW w:w="753"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Aprobadas</w:t>
            </w:r>
          </w:p>
        </w:tc>
        <w:tc>
          <w:tcPr>
            <w:tcW w:w="753"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Aplazadas</w:t>
            </w:r>
          </w:p>
        </w:tc>
        <w:tc>
          <w:tcPr>
            <w:tcW w:w="754"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Desertoras</w:t>
            </w:r>
          </w:p>
        </w:tc>
      </w:tr>
      <w:tr w:rsidR="00000000">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3"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4"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74,30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15,20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69,20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17,50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46,50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28,40</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82,90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10,50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11,10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57,10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13,70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29,20</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85,80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63,20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12,10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24,60</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88,10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83,20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70,50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8,60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20,90</w:t>
            </w:r>
          </w:p>
        </w:tc>
      </w:tr>
      <w:tr w:rsidR="00000000">
        <w:tblPrEx>
          <w:tblCellMar>
            <w:top w:w="0" w:type="dxa"/>
            <w:left w:w="0" w:type="dxa"/>
            <w:bottom w:w="0" w:type="dxa"/>
            <w:right w:w="0" w:type="dxa"/>
          </w:tblCellMar>
        </w:tblPrEx>
        <w:tc>
          <w:tcPr>
            <w:tcW w:w="54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87,90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87,70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12,70</w:t>
            </w:r>
          </w:p>
        </w:tc>
        <w:tc>
          <w:tcPr>
            <w:tcW w:w="753"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70,40</w:t>
            </w:r>
          </w:p>
        </w:tc>
        <w:tc>
          <w:tcPr>
            <w:tcW w:w="75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4,90</w:t>
            </w:r>
          </w:p>
        </w:tc>
        <w:tc>
          <w:tcPr>
            <w:tcW w:w="754"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24,70</w:t>
            </w:r>
          </w:p>
        </w:tc>
      </w:tr>
      <w:tr w:rsidR="00000000">
        <w:tblPrEx>
          <w:tblCellMar>
            <w:top w:w="0" w:type="dxa"/>
            <w:left w:w="0" w:type="dxa"/>
            <w:bottom w:w="0" w:type="dxa"/>
            <w:right w:w="0" w:type="dxa"/>
          </w:tblCellMar>
        </w:tblPrEx>
        <w:tc>
          <w:tcPr>
            <w:tcW w:w="54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90,10</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1,80</w:t>
            </w:r>
          </w:p>
        </w:tc>
        <w:tc>
          <w:tcPr>
            <w:tcW w:w="7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8,10</w:t>
            </w:r>
          </w:p>
        </w:tc>
        <w:tc>
          <w:tcPr>
            <w:tcW w:w="75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85,00</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w:t>
            </w:r>
          </w:p>
        </w:tc>
        <w:tc>
          <w:tcPr>
            <w:tcW w:w="7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12,50</w:t>
            </w:r>
          </w:p>
        </w:tc>
        <w:tc>
          <w:tcPr>
            <w:tcW w:w="753"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77,40</w:t>
            </w:r>
          </w:p>
        </w:tc>
        <w:tc>
          <w:tcPr>
            <w:tcW w:w="75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5,50</w:t>
            </w:r>
          </w:p>
        </w:tc>
        <w:tc>
          <w:tcPr>
            <w:tcW w:w="754"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El cuadro indica que la tasa de deserción escolar y de aplazos en los exámenes es más alta en las zonas rurales que en las zonas municip</w:t>
      </w:r>
      <w:r>
        <w:t>a</w:t>
      </w:r>
      <w:r>
        <w:t>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secundaria elemental (ciclos primero y segundo de los colegios secundarios)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247.</w:t>
      </w:r>
      <w:r>
        <w:tab/>
        <w:t>En el año lectivo 2001-2002, la tasa de escolaridad de las mujeres que cursan los ciclos básico y superior de la enseñanza secundaria es más alta que la correspo</w:t>
      </w:r>
      <w:r>
        <w:t>n</w:t>
      </w:r>
      <w:r>
        <w:t>diente al año lectivo 2000-2001 en todas las zonas: municipales, rurales y remotas.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estudiantes en los institutos de enseñanza secundaria elemental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990"/>
        <w:gridCol w:w="790"/>
        <w:gridCol w:w="791"/>
        <w:gridCol w:w="129"/>
        <w:gridCol w:w="662"/>
        <w:gridCol w:w="791"/>
        <w:gridCol w:w="77"/>
        <w:gridCol w:w="714"/>
        <w:gridCol w:w="791"/>
        <w:gridCol w:w="115"/>
        <w:gridCol w:w="676"/>
        <w:gridCol w:w="791"/>
      </w:tblGrid>
      <w:tr w:rsidR="00000000">
        <w:tblPrEx>
          <w:tblCellMar>
            <w:top w:w="0" w:type="dxa"/>
            <w:left w:w="0" w:type="dxa"/>
            <w:bottom w:w="0" w:type="dxa"/>
            <w:right w:w="0" w:type="dxa"/>
          </w:tblCellMar>
        </w:tblPrEx>
        <w:trPr>
          <w:cantSplit/>
          <w:tblHeader/>
        </w:trPr>
        <w:tc>
          <w:tcPr>
            <w:tcW w:w="99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63"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Ciclo secundario básico</w:t>
            </w:r>
          </w:p>
        </w:tc>
        <w:tc>
          <w:tcPr>
            <w:tcW w:w="77"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87" w:type="dxa"/>
            <w:gridSpan w:val="5"/>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Ciclo secundario superior</w:t>
            </w:r>
          </w:p>
        </w:tc>
      </w:tr>
      <w:tr w:rsidR="00000000">
        <w:tblPrEx>
          <w:tblCellMar>
            <w:top w:w="0" w:type="dxa"/>
            <w:left w:w="0" w:type="dxa"/>
            <w:bottom w:w="0" w:type="dxa"/>
            <w:right w:w="0" w:type="dxa"/>
          </w:tblCellMar>
        </w:tblPrEx>
        <w:trPr>
          <w:cantSplit/>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p>
        </w:tc>
        <w:tc>
          <w:tcPr>
            <w:tcW w:w="1581"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2000-2001</w:t>
            </w:r>
          </w:p>
        </w:tc>
        <w:tc>
          <w:tcPr>
            <w:tcW w:w="129"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53"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2001-2002</w:t>
            </w:r>
          </w:p>
        </w:tc>
        <w:tc>
          <w:tcPr>
            <w:tcW w:w="77" w:type="dxa"/>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505"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2000-2001</w:t>
            </w:r>
          </w:p>
        </w:tc>
        <w:tc>
          <w:tcPr>
            <w:tcW w:w="115"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p>
        </w:tc>
        <w:tc>
          <w:tcPr>
            <w:tcW w:w="1467"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center"/>
              <w:rPr>
                <w:i/>
                <w:sz w:val="14"/>
              </w:rPr>
            </w:pPr>
            <w:r>
              <w:rPr>
                <w:i/>
                <w:sz w:val="14"/>
              </w:rPr>
              <w:t>2001-2002</w:t>
            </w:r>
          </w:p>
        </w:tc>
      </w:tr>
      <w:tr w:rsidR="00000000">
        <w:tblPrEx>
          <w:tblCellMar>
            <w:top w:w="0" w:type="dxa"/>
            <w:left w:w="0" w:type="dxa"/>
            <w:bottom w:w="0" w:type="dxa"/>
            <w:right w:w="0" w:type="dxa"/>
          </w:tblCellMar>
        </w:tblPrEx>
        <w:trPr>
          <w:tblHeader/>
        </w:trPr>
        <w:tc>
          <w:tcPr>
            <w:tcW w:w="99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Zonas</w:t>
            </w:r>
          </w:p>
        </w:tc>
        <w:tc>
          <w:tcPr>
            <w:tcW w:w="79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9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9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9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c>
          <w:tcPr>
            <w:tcW w:w="791"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Total</w:t>
            </w:r>
          </w:p>
        </w:tc>
        <w:tc>
          <w:tcPr>
            <w:tcW w:w="791"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Mujeres</w:t>
            </w:r>
          </w:p>
        </w:tc>
      </w:tr>
      <w:tr w:rsidR="00000000">
        <w:tblPrEx>
          <w:tblCellMar>
            <w:top w:w="0" w:type="dxa"/>
            <w:left w:w="0" w:type="dxa"/>
            <w:bottom w:w="0" w:type="dxa"/>
            <w:right w:w="0" w:type="dxa"/>
          </w:tblCellMar>
        </w:tblPrEx>
        <w:trPr>
          <w:trHeight w:hRule="exact" w:val="115"/>
          <w:tblHeader/>
        </w:trPr>
        <w:tc>
          <w:tcPr>
            <w:tcW w:w="9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91"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9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Municipales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92 309</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38 039</w:t>
            </w:r>
            <w:r>
              <w:rPr>
                <w:sz w:val="17"/>
              </w:rPr>
              <w:br/>
              <w:t>(41,20%)</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109 024</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45 927</w:t>
            </w:r>
            <w:r>
              <w:rPr>
                <w:sz w:val="17"/>
              </w:rPr>
              <w:br/>
              <w:t>(42,12%)</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59 024</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21 498</w:t>
            </w:r>
            <w:r>
              <w:rPr>
                <w:sz w:val="17"/>
              </w:rPr>
              <w:br/>
              <w:t>(36,42%)</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60 174</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22 029</w:t>
            </w:r>
            <w:r>
              <w:rPr>
                <w:sz w:val="17"/>
              </w:rPr>
              <w:br/>
              <w:t>(36,60%)</w:t>
            </w:r>
          </w:p>
        </w:tc>
      </w:tr>
      <w:tr w:rsidR="00000000">
        <w:tblPrEx>
          <w:tblCellMar>
            <w:top w:w="0" w:type="dxa"/>
            <w:left w:w="0" w:type="dxa"/>
            <w:bottom w:w="0" w:type="dxa"/>
            <w:right w:w="0" w:type="dxa"/>
          </w:tblCellMar>
        </w:tblPrEx>
        <w:tc>
          <w:tcPr>
            <w:tcW w:w="99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790"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190 451</w:t>
            </w:r>
          </w:p>
        </w:tc>
        <w:tc>
          <w:tcPr>
            <w:tcW w:w="791" w:type="dxa"/>
          </w:tcPr>
          <w:p w:rsidR="00000000" w:rsidRDefault="00000000">
            <w:pPr>
              <w:pStyle w:val="FootnoteReference"/>
              <w:tabs>
                <w:tab w:val="left" w:pos="288"/>
                <w:tab w:val="left" w:pos="576"/>
                <w:tab w:val="left" w:pos="864"/>
                <w:tab w:val="left" w:pos="1152"/>
              </w:tabs>
              <w:spacing w:before="40" w:after="40" w:line="210" w:lineRule="exact"/>
              <w:ind w:right="40"/>
              <w:jc w:val="right"/>
              <w:rPr>
                <w:sz w:val="17"/>
              </w:rPr>
            </w:pPr>
            <w:r>
              <w:rPr>
                <w:sz w:val="17"/>
              </w:rPr>
              <w:t>66 486</w:t>
            </w:r>
            <w:r>
              <w:rPr>
                <w:sz w:val="17"/>
              </w:rPr>
              <w:br/>
              <w:t>(34,90%)</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241 483</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89 602</w:t>
            </w:r>
            <w:r>
              <w:rPr>
                <w:sz w:val="17"/>
              </w:rPr>
              <w:br/>
              <w:t>(37,10%)</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46 062</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11 967</w:t>
            </w:r>
            <w:r>
              <w:rPr>
                <w:sz w:val="17"/>
              </w:rPr>
              <w:br/>
              <w:t>(25,98%)</w:t>
            </w:r>
          </w:p>
        </w:tc>
        <w:tc>
          <w:tcPr>
            <w:tcW w:w="791" w:type="dxa"/>
            <w:gridSpan w:val="2"/>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53 230</w:t>
            </w:r>
          </w:p>
        </w:tc>
        <w:tc>
          <w:tcPr>
            <w:tcW w:w="791" w:type="dxa"/>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14 382</w:t>
            </w:r>
            <w:r>
              <w:rPr>
                <w:sz w:val="17"/>
              </w:rPr>
              <w:br/>
              <w:t>(27%)</w:t>
            </w:r>
          </w:p>
        </w:tc>
      </w:tr>
      <w:tr w:rsidR="00000000">
        <w:tblPrEx>
          <w:tblCellMar>
            <w:top w:w="0" w:type="dxa"/>
            <w:left w:w="0" w:type="dxa"/>
            <w:bottom w:w="0" w:type="dxa"/>
            <w:right w:w="0" w:type="dxa"/>
          </w:tblCellMar>
        </w:tblPrEx>
        <w:tc>
          <w:tcPr>
            <w:tcW w:w="99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Remotas</w:t>
            </w:r>
          </w:p>
        </w:tc>
        <w:tc>
          <w:tcPr>
            <w:tcW w:w="790"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818</w:t>
            </w:r>
          </w:p>
        </w:tc>
        <w:tc>
          <w:tcPr>
            <w:tcW w:w="7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221</w:t>
            </w:r>
            <w:r>
              <w:rPr>
                <w:sz w:val="17"/>
              </w:rPr>
              <w:br/>
              <w:t>(35,57%)</w:t>
            </w:r>
          </w:p>
        </w:tc>
        <w:tc>
          <w:tcPr>
            <w:tcW w:w="791" w:type="dxa"/>
            <w:gridSpan w:val="2"/>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1 128</w:t>
            </w:r>
          </w:p>
        </w:tc>
        <w:tc>
          <w:tcPr>
            <w:tcW w:w="7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408</w:t>
            </w:r>
            <w:r>
              <w:rPr>
                <w:sz w:val="17"/>
              </w:rPr>
              <w:br/>
              <w:t>(36,17%)</w:t>
            </w:r>
          </w:p>
        </w:tc>
        <w:tc>
          <w:tcPr>
            <w:tcW w:w="791" w:type="dxa"/>
            <w:gridSpan w:val="2"/>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7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791" w:type="dxa"/>
            <w:gridSpan w:val="2"/>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c>
          <w:tcPr>
            <w:tcW w:w="791" w:type="dxa"/>
          </w:tcPr>
          <w:p w:rsidR="00000000" w:rsidRDefault="00000000">
            <w:pPr>
              <w:tabs>
                <w:tab w:val="left" w:pos="288"/>
                <w:tab w:val="left" w:pos="576"/>
                <w:tab w:val="left" w:pos="864"/>
                <w:tab w:val="left" w:pos="1152"/>
              </w:tabs>
              <w:spacing w:before="40" w:after="81" w:line="210" w:lineRule="exact"/>
              <w:ind w:right="40"/>
              <w:jc w:val="right"/>
              <w:rPr>
                <w:sz w:val="17"/>
              </w:rPr>
            </w:pPr>
            <w:r>
              <w:rPr>
                <w:sz w:val="17"/>
              </w:rPr>
              <w:t>0</w:t>
            </w:r>
          </w:p>
        </w:tc>
      </w:tr>
      <w:tr w:rsidR="00000000">
        <w:tblPrEx>
          <w:tblCellMar>
            <w:top w:w="0" w:type="dxa"/>
            <w:left w:w="0" w:type="dxa"/>
            <w:bottom w:w="0" w:type="dxa"/>
            <w:right w:w="0" w:type="dxa"/>
          </w:tblCellMar>
        </w:tblPrEx>
        <w:tc>
          <w:tcPr>
            <w:tcW w:w="9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general</w:t>
            </w:r>
          </w:p>
        </w:tc>
        <w:tc>
          <w:tcPr>
            <w:tcW w:w="790"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283 578</w:t>
            </w:r>
          </w:p>
        </w:tc>
        <w:tc>
          <w:tcPr>
            <w:tcW w:w="79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104 816</w:t>
            </w:r>
            <w:r>
              <w:rPr>
                <w:b/>
                <w:sz w:val="17"/>
              </w:rPr>
              <w:br/>
              <w:t>(36,96%)</w:t>
            </w:r>
          </w:p>
        </w:tc>
        <w:tc>
          <w:tcPr>
            <w:tcW w:w="791"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351 635</w:t>
            </w:r>
          </w:p>
        </w:tc>
        <w:tc>
          <w:tcPr>
            <w:tcW w:w="79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135 937</w:t>
            </w:r>
            <w:r>
              <w:rPr>
                <w:b/>
                <w:sz w:val="17"/>
              </w:rPr>
              <w:br/>
              <w:t>(38,65%)</w:t>
            </w:r>
          </w:p>
        </w:tc>
        <w:tc>
          <w:tcPr>
            <w:tcW w:w="791"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105 086</w:t>
            </w:r>
          </w:p>
        </w:tc>
        <w:tc>
          <w:tcPr>
            <w:tcW w:w="79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33 465</w:t>
            </w:r>
            <w:r>
              <w:rPr>
                <w:b/>
                <w:sz w:val="17"/>
              </w:rPr>
              <w:br/>
              <w:t>(31,84%)</w:t>
            </w:r>
          </w:p>
        </w:tc>
        <w:tc>
          <w:tcPr>
            <w:tcW w:w="791" w:type="dxa"/>
            <w:gridSpan w:val="2"/>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113 404</w:t>
            </w:r>
          </w:p>
        </w:tc>
        <w:tc>
          <w:tcPr>
            <w:tcW w:w="791" w:type="dxa"/>
            <w:tcBorders>
              <w:top w:val="single" w:sz="4" w:space="0" w:color="auto"/>
              <w:bottom w:val="single" w:sz="12" w:space="0" w:color="auto"/>
            </w:tcBorders>
          </w:tcPr>
          <w:p w:rsidR="00000000" w:rsidRDefault="00000000">
            <w:pPr>
              <w:tabs>
                <w:tab w:val="left" w:pos="288"/>
                <w:tab w:val="left" w:pos="576"/>
                <w:tab w:val="left" w:pos="864"/>
                <w:tab w:val="left" w:pos="1152"/>
              </w:tabs>
              <w:spacing w:before="81" w:after="81" w:line="210" w:lineRule="exact"/>
              <w:ind w:right="40"/>
              <w:jc w:val="right"/>
              <w:rPr>
                <w:b/>
                <w:sz w:val="17"/>
              </w:rPr>
            </w:pPr>
            <w:r>
              <w:rPr>
                <w:b/>
                <w:sz w:val="17"/>
              </w:rPr>
              <w:t>36 411</w:t>
            </w:r>
            <w:r>
              <w:rPr>
                <w:b/>
                <w:sz w:val="17"/>
              </w:rPr>
              <w:br/>
              <w:t>(32,10%)</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Porcentaje de estudiantes mujeres aprobadas, aplazadas y desertoras en los colegios secundarios (año lectivo 2000-2001)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046"/>
        <w:gridCol w:w="1046"/>
        <w:gridCol w:w="1046"/>
        <w:gridCol w:w="1046"/>
        <w:gridCol w:w="136"/>
        <w:gridCol w:w="910"/>
        <w:gridCol w:w="1046"/>
        <w:gridCol w:w="1046"/>
      </w:tblGrid>
      <w:tr w:rsidR="00000000">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3138"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Ciclo secundario básico</w:t>
            </w:r>
          </w:p>
        </w:tc>
        <w:tc>
          <w:tcPr>
            <w:tcW w:w="136"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p>
        </w:tc>
        <w:tc>
          <w:tcPr>
            <w:tcW w:w="3002" w:type="dxa"/>
            <w:gridSpan w:val="3"/>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Ciclo secundario superior</w:t>
            </w:r>
          </w:p>
        </w:tc>
      </w:tr>
      <w:tr w:rsidR="00000000">
        <w:tblPrEx>
          <w:tblCellMar>
            <w:top w:w="0" w:type="dxa"/>
            <w:left w:w="0" w:type="dxa"/>
            <w:bottom w:w="0" w:type="dxa"/>
            <w:right w:w="0" w:type="dxa"/>
          </w:tblCellMar>
        </w:tblPrEx>
        <w:trPr>
          <w:tblHeader/>
        </w:trPr>
        <w:tc>
          <w:tcPr>
            <w:tcW w:w="1046"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Zonas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aprobadas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 de </w:t>
            </w:r>
            <w:r>
              <w:rPr>
                <w:i/>
                <w:sz w:val="14"/>
              </w:rPr>
              <w:br/>
              <w:t>aplazadas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desertoras</w:t>
            </w:r>
          </w:p>
        </w:tc>
        <w:tc>
          <w:tcPr>
            <w:tcW w:w="1046" w:type="dxa"/>
            <w:gridSpan w:val="2"/>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aprobadas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 de </w:t>
            </w:r>
            <w:r>
              <w:rPr>
                <w:i/>
                <w:sz w:val="14"/>
              </w:rPr>
              <w:br/>
              <w:t>aplazadas</w:t>
            </w:r>
          </w:p>
        </w:tc>
        <w:tc>
          <w:tcPr>
            <w:tcW w:w="1046"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de desertoras</w:t>
            </w:r>
          </w:p>
        </w:tc>
      </w:tr>
      <w:tr w:rsidR="00000000">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gridSpan w:val="2"/>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84,06</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13,30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87,60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9,90</w:t>
            </w:r>
          </w:p>
        </w:tc>
      </w:tr>
      <w:tr w:rsidR="00000000">
        <w:tblPrEx>
          <w:tblCellMar>
            <w:top w:w="0" w:type="dxa"/>
            <w:left w:w="0" w:type="dxa"/>
            <w:bottom w:w="0" w:type="dxa"/>
            <w:right w:w="0" w:type="dxa"/>
          </w:tblCellMar>
        </w:tblPrEx>
        <w:tc>
          <w:tcPr>
            <w:tcW w:w="1046"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73,30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23,10</w:t>
            </w:r>
          </w:p>
        </w:tc>
        <w:tc>
          <w:tcPr>
            <w:tcW w:w="1046"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75,10</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5,43</w:t>
            </w:r>
          </w:p>
        </w:tc>
        <w:tc>
          <w:tcPr>
            <w:tcW w:w="1046"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19,30</w:t>
            </w:r>
          </w:p>
        </w:tc>
      </w:tr>
      <w:tr w:rsidR="00000000">
        <w:tblPrEx>
          <w:tblCellMar>
            <w:top w:w="0" w:type="dxa"/>
            <w:left w:w="0" w:type="dxa"/>
            <w:bottom w:w="0" w:type="dxa"/>
            <w:right w:w="0" w:type="dxa"/>
          </w:tblCellMar>
        </w:tblPrEx>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Remotas</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77,10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2,60</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20,30</w:t>
            </w:r>
          </w:p>
        </w:tc>
        <w:tc>
          <w:tcPr>
            <w:tcW w:w="1046" w:type="dxa"/>
            <w:gridSpan w:val="2"/>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1046"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bl>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Número de estudiantes mujeres que obtuvieron su diploma de egresadas en el año lectivo 2000-2001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tbl>
      <w:tblPr>
        <w:tblW w:w="0" w:type="auto"/>
        <w:tblInd w:w="1262" w:type="dxa"/>
        <w:tblLayout w:type="fixed"/>
        <w:tblCellMar>
          <w:left w:w="0" w:type="dxa"/>
          <w:right w:w="0" w:type="dxa"/>
        </w:tblCellMar>
        <w:tblLook w:val="0000" w:firstRow="0" w:lastRow="0" w:firstColumn="0" w:lastColumn="0" w:noHBand="0" w:noVBand="0"/>
      </w:tblPr>
      <w:tblGrid>
        <w:gridCol w:w="1620"/>
        <w:gridCol w:w="2850"/>
        <w:gridCol w:w="2850"/>
      </w:tblGrid>
      <w:tr w:rsidR="00000000">
        <w:tblPrEx>
          <w:tblCellMar>
            <w:top w:w="0" w:type="dxa"/>
            <w:left w:w="0" w:type="dxa"/>
            <w:bottom w:w="0" w:type="dxa"/>
            <w:right w:w="0" w:type="dxa"/>
          </w:tblCellMar>
        </w:tblPrEx>
        <w:trPr>
          <w:cantSplit/>
          <w:tblHeader/>
        </w:trPr>
        <w:tc>
          <w:tcPr>
            <w:tcW w:w="16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p>
        </w:tc>
        <w:tc>
          <w:tcPr>
            <w:tcW w:w="5700" w:type="dxa"/>
            <w:gridSpan w:val="2"/>
            <w:tcBorders>
              <w:top w:val="single" w:sz="4" w:space="0" w:color="auto"/>
              <w:bottom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center"/>
              <w:rPr>
                <w:i/>
                <w:sz w:val="14"/>
              </w:rPr>
            </w:pPr>
            <w:r>
              <w:rPr>
                <w:i/>
                <w:sz w:val="14"/>
              </w:rPr>
              <w:t>Número de estudiantes que aprobaron su examen</w:t>
            </w:r>
          </w:p>
        </w:tc>
      </w:tr>
      <w:tr w:rsidR="00000000">
        <w:tblPrEx>
          <w:tblCellMar>
            <w:top w:w="0" w:type="dxa"/>
            <w:left w:w="0" w:type="dxa"/>
            <w:bottom w:w="0" w:type="dxa"/>
            <w:right w:w="0" w:type="dxa"/>
          </w:tblCellMar>
        </w:tblPrEx>
        <w:trPr>
          <w:tblHeader/>
        </w:trPr>
        <w:tc>
          <w:tcPr>
            <w:tcW w:w="1620" w:type="dxa"/>
            <w:vAlign w:val="bottom"/>
          </w:tcPr>
          <w:p w:rsidR="00000000" w:rsidRDefault="00000000">
            <w:pPr>
              <w:tabs>
                <w:tab w:val="left" w:pos="288"/>
                <w:tab w:val="left" w:pos="576"/>
                <w:tab w:val="left" w:pos="864"/>
                <w:tab w:val="left" w:pos="1152"/>
              </w:tabs>
              <w:spacing w:after="80" w:line="160" w:lineRule="exact"/>
              <w:ind w:right="40"/>
              <w:rPr>
                <w:i/>
                <w:sz w:val="14"/>
              </w:rPr>
            </w:pPr>
            <w:r>
              <w:rPr>
                <w:i/>
                <w:sz w:val="14"/>
              </w:rPr>
              <w:t>Zonas</w:t>
            </w:r>
          </w:p>
        </w:tc>
        <w:tc>
          <w:tcPr>
            <w:tcW w:w="28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Certificados de estudios </w:t>
            </w:r>
            <w:r>
              <w:rPr>
                <w:i/>
                <w:sz w:val="14"/>
              </w:rPr>
              <w:br/>
              <w:t>secundarios elementales</w:t>
            </w:r>
          </w:p>
        </w:tc>
        <w:tc>
          <w:tcPr>
            <w:tcW w:w="2850" w:type="dxa"/>
            <w:tcBorders>
              <w:top w:val="single" w:sz="4" w:space="0" w:color="auto"/>
            </w:tcBorders>
            <w:vAlign w:val="bottom"/>
          </w:tcPr>
          <w:p w:rsidR="00000000" w:rsidRDefault="00000000">
            <w:pPr>
              <w:tabs>
                <w:tab w:val="left" w:pos="288"/>
                <w:tab w:val="left" w:pos="576"/>
                <w:tab w:val="left" w:pos="864"/>
                <w:tab w:val="left" w:pos="1152"/>
              </w:tabs>
              <w:spacing w:after="80" w:line="160" w:lineRule="exact"/>
              <w:ind w:right="40"/>
              <w:jc w:val="right"/>
              <w:rPr>
                <w:i/>
                <w:sz w:val="14"/>
              </w:rPr>
            </w:pPr>
            <w:r>
              <w:rPr>
                <w:i/>
                <w:sz w:val="14"/>
              </w:rPr>
              <w:t xml:space="preserve">Diplomas de estudios </w:t>
            </w:r>
            <w:r>
              <w:rPr>
                <w:i/>
                <w:sz w:val="14"/>
              </w:rPr>
              <w:br/>
              <w:t>secundarios del ciclo superior</w:t>
            </w:r>
          </w:p>
        </w:tc>
      </w:tr>
      <w:tr w:rsidR="00000000">
        <w:tblPrEx>
          <w:tblCellMar>
            <w:top w:w="0" w:type="dxa"/>
            <w:left w:w="0" w:type="dxa"/>
            <w:bottom w:w="0" w:type="dxa"/>
            <w:right w:w="0" w:type="dxa"/>
          </w:tblCellMar>
        </w:tblPrEx>
        <w:trPr>
          <w:trHeight w:hRule="exact" w:val="115"/>
          <w:tblHeader/>
        </w:trPr>
        <w:tc>
          <w:tcPr>
            <w:tcW w:w="16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2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28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Municipales</w:t>
            </w:r>
          </w:p>
        </w:tc>
        <w:tc>
          <w:tcPr>
            <w:tcW w:w="2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6 938</w:t>
            </w:r>
          </w:p>
        </w:tc>
        <w:tc>
          <w:tcPr>
            <w:tcW w:w="2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5 925</w:t>
            </w:r>
          </w:p>
        </w:tc>
      </w:tr>
      <w:tr w:rsidR="00000000">
        <w:tblPrEx>
          <w:tblCellMar>
            <w:top w:w="0" w:type="dxa"/>
            <w:left w:w="0" w:type="dxa"/>
            <w:bottom w:w="0" w:type="dxa"/>
            <w:right w:w="0" w:type="dxa"/>
          </w:tblCellMar>
        </w:tblPrEx>
        <w:tc>
          <w:tcPr>
            <w:tcW w:w="16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Rurales</w:t>
            </w:r>
          </w:p>
        </w:tc>
        <w:tc>
          <w:tcPr>
            <w:tcW w:w="2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7 214</w:t>
            </w:r>
          </w:p>
        </w:tc>
        <w:tc>
          <w:tcPr>
            <w:tcW w:w="28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1 523</w:t>
            </w:r>
          </w:p>
        </w:tc>
      </w:tr>
      <w:tr w:rsidR="00000000">
        <w:tblPrEx>
          <w:tblCellMar>
            <w:top w:w="0" w:type="dxa"/>
            <w:left w:w="0" w:type="dxa"/>
            <w:bottom w:w="0" w:type="dxa"/>
            <w:right w:w="0" w:type="dxa"/>
          </w:tblCellMar>
        </w:tblPrEx>
        <w:tc>
          <w:tcPr>
            <w:tcW w:w="162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Remotas</w:t>
            </w:r>
          </w:p>
        </w:tc>
        <w:tc>
          <w:tcPr>
            <w:tcW w:w="28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w:t>
            </w:r>
          </w:p>
        </w:tc>
        <w:tc>
          <w:tcPr>
            <w:tcW w:w="28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bl>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248.</w:t>
      </w:r>
      <w:r>
        <w:tab/>
        <w:t>En el año lectivo 2001-2002 funcionaban 381 institutos de enseñanza secund</w:t>
      </w:r>
      <w:r>
        <w:t>a</w:t>
      </w:r>
      <w:r>
        <w:t>ria elemental, 12 más que el año lectivo anterior, además de 160 institutos de ens</w:t>
      </w:r>
      <w:r>
        <w:t>e</w:t>
      </w:r>
      <w:r>
        <w:t>ñanza secundaria del segundo ciclo, donde se dictaban en total 10.226 clases, 1.005 más que el año lectivo anterior, en 8.230 aulas, 423 más que el año lectivo anterior. Había 350.631 estudiantes secundarios del ciclo básico, 68.144 más que en el año lectivo 2000-2001, y 112.575 estudiantes secundarios del ciclo superior, unos 8.000 más que en el período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Enseñanza técnica, profesional y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249.</w:t>
      </w:r>
      <w:r>
        <w:tab/>
        <w:t>La formación profesional con que se pretende tender un puente sobre la línea demarcatoria de la pobreza, tiene por destinatarios, en especial, a los huérfanos, las viudas, los pobres, los discapacitados, los soldados desmovilizados y los jóvenes sin esperanzas de proseguir sus estudios en institutos de enseñanza superior. Los con</w:t>
      </w:r>
      <w:r>
        <w:t>o</w:t>
      </w:r>
      <w:r>
        <w:t>cimientos profesionales impartidos comprenden el sector agrícola, los cultivos, la ganadería, los servicios de venta, las reparaciones, el sector de la industria (textil y del vestido, especialmente), los servicios técnicos y el sector de la construcción (que comprende a los obreros de la construcción y a los artesanos que tallan la piedra y la madera).</w:t>
      </w:r>
    </w:p>
    <w:p w:rsidR="00000000" w:rsidRDefault="00000000">
      <w:pPr>
        <w:pStyle w:val="SingleTxt"/>
      </w:pPr>
      <w:r>
        <w:t>250.</w:t>
      </w:r>
      <w:r>
        <w:tab/>
        <w:t>En la actualidad hay 28 institutos de enseñanza secundaria técnica en que se imparten conocimientos de 56 especialidades profesionales: 19 de ellos están bajo la dirección y el control directos del MoEJD y los restantes son establecimientos pr</w:t>
      </w:r>
      <w:r>
        <w:t>i</w:t>
      </w:r>
      <w:r>
        <w:t>vados. Además, el MoEJD controla siete de los 12 institutos de capacitación prof</w:t>
      </w:r>
      <w:r>
        <w:t>e</w:t>
      </w:r>
      <w:r>
        <w:t>sional donde se dictan cursos extensos de 54 especialidades y 20 centros de capac</w:t>
      </w:r>
      <w:r>
        <w:t>i</w:t>
      </w:r>
      <w:r>
        <w:t>tación profesional que dictan cursos breves en las provincias. Actualmente están ce</w:t>
      </w:r>
      <w:r>
        <w:rPr>
          <w:spacing w:val="2"/>
          <w:w w:val="101"/>
        </w:rPr>
        <w:t>rradas cuatro de las 54 escuelas o aulas privadas de formación profesional y hay otras 15 aulas o escuelas de capacitación profesional administradas por organizaciones no gubernamentales. El número de estudiantes que asistía a clases secundarias técnicas ll</w:t>
      </w:r>
      <w:r>
        <w:rPr>
          <w:spacing w:val="2"/>
          <w:w w:val="101"/>
        </w:rPr>
        <w:t>e</w:t>
      </w:r>
      <w:r>
        <w:rPr>
          <w:spacing w:val="2"/>
          <w:w w:val="101"/>
        </w:rPr>
        <w:t xml:space="preserve">gó en el año lectivo 2001-2002 a 5.144: de ellos, 1.221 (23,73%) eran </w:t>
      </w:r>
      <w:r>
        <w:t>mujeres, lo que representó un aumento de 2% con respecto al año lectivo anterior. Al mismo tiempo, los institutos dependientes del MoEJD capacitaban a 1.295 estudiantes, de los cuales 71 (5,48%) eran mujeres; a los cursos extensos de formación profesional asistían 2.975 estudiantes, incluidas 526 mujeres (17,68%), lo que representó un aumento de 35% en comparación con el mismo período del año anterior, durante el cual las in</w:t>
      </w:r>
      <w:r>
        <w:t>s</w:t>
      </w:r>
      <w:r>
        <w:t>tituciones que dependían directamente del MoEJD brindaron capacitación a 754 e</w:t>
      </w:r>
      <w:r>
        <w:t>s</w:t>
      </w:r>
      <w:r>
        <w:t>tudiantes, comprendidas 53 mujeres (7%). Otros 8.950 estudiantes, incluidas 4.836 mujeres (54%) asistieron a cursos breves de capacitación profesional, similares a los dictados en el marco de un proyecto financiado por el Banco Asiático de Desarrollo (BAsD), a los que concurrieron 7.502 estudiantes, incluidas 3.754 mujeres (50%). En el período 2001-2002, los estudiantes que obtuvieron el certificado de termin</w:t>
      </w:r>
      <w:r>
        <w:t>a</w:t>
      </w:r>
      <w:r>
        <w:t>ción de estudios secundarios técnicos fueron en total 985, comprendidas 322 muj</w:t>
      </w:r>
      <w:r>
        <w:t>e</w:t>
      </w:r>
      <w:r>
        <w:t>res (32,69%); de los 985, 338 (incluidas siete mujeres) procedían de institutos d</w:t>
      </w:r>
      <w:r>
        <w:t>e</w:t>
      </w:r>
      <w:r>
        <w:t>pendientes del MoEJD. Siguieron cursos extensos de formación profesional 1.050 estudiantes, incluidas 195 mujeres (18,57%), y de ese total 606 estudiantes varones (ninguna mujer) procedían de institutos dependientes del MoEJD. Además, sigui</w:t>
      </w:r>
      <w:r>
        <w:t>e</w:t>
      </w:r>
      <w:r>
        <w:t>ron cursos breves de formación profesional 8.937 estudiantes, incluidas 7.700 muj</w:t>
      </w:r>
      <w:r>
        <w:t>e</w:t>
      </w:r>
      <w:r>
        <w:t>res (86%); de ese total, 1.356 provenían de institutos privados y de ONG. En el ma</w:t>
      </w:r>
      <w:r>
        <w:t>r</w:t>
      </w:r>
      <w:r>
        <w:t>co del proyecto financiado por el BAsD se reunieron 5.026 estudiantes, incluidas 2.669 mujeres. El MoEJD ha colaborado con diversas organizaciones internacion</w:t>
      </w:r>
      <w:r>
        <w:t>a</w:t>
      </w:r>
      <w:r>
        <w:t>les y representaciones locales de instituciones de desarrollo social como el Org</w:t>
      </w:r>
      <w:r>
        <w:t>a</w:t>
      </w:r>
      <w:r>
        <w:t>nismo Alemán de Cooperación Técnica (GTZ), de la Comunidad Europea, y APHEDA, SARIKA, LWS, JOEU y JODC, de Japón, para ofrecer cursos de cap</w:t>
      </w:r>
      <w:r>
        <w:t>a</w:t>
      </w:r>
      <w:r>
        <w:t>citación técn</w:t>
      </w:r>
      <w:r>
        <w:t>i</w:t>
      </w:r>
      <w:r>
        <w:t>ca y profesional.</w:t>
      </w:r>
    </w:p>
    <w:p w:rsidR="00000000" w:rsidRDefault="00000000">
      <w:pPr>
        <w:pStyle w:val="SingleTxt"/>
      </w:pPr>
      <w:r>
        <w:t>251.</w:t>
      </w:r>
      <w:r>
        <w:tab/>
        <w:t>En el año lectivo 2001-2002 había 23 institutos de enseñanza superior, inclu</w:t>
      </w:r>
      <w:r>
        <w:t>i</w:t>
      </w:r>
      <w:r>
        <w:t>dos 14 establecimientos privados. El MoEJD ha transformado la Real Universidad de Agronomía en instituto de administración pública. Este año hay 31.759 est</w:t>
      </w:r>
      <w:r>
        <w:t>u</w:t>
      </w:r>
      <w:r>
        <w:t>diantes becados, de los cuales 9.151 (28,8%) son mujeres, y 24.408 estudiantes a quienes se les pagan sus estudios, de los cuales 7.250 (29,7%) son mujeres. El MoEJD ha redactado un decreto complementario en que dispone que se dicten cl</w:t>
      </w:r>
      <w:r>
        <w:t>a</w:t>
      </w:r>
      <w:r>
        <w:t>ses para posgraduados en la Facultad de Derecho y Ciencias Económ</w:t>
      </w:r>
      <w:r>
        <w:t>i</w:t>
      </w:r>
      <w:r>
        <w:t>cas.</w:t>
      </w:r>
    </w:p>
    <w:p w:rsidR="00000000" w:rsidRDefault="00000000">
      <w:pPr>
        <w:pStyle w:val="SingleTxt"/>
      </w:pP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pPr>
      <w:r>
        <w:br w:type="page"/>
        <w:t>Estadísticas de los estudiantes becados o con los estudios pagos que asisten a institutos de enseñanza superior</w:t>
      </w:r>
    </w:p>
    <w:p w:rsidR="00000000" w:rsidRDefault="00000000">
      <w:pPr>
        <w:pStyle w:val="H23"/>
        <w:tabs>
          <w:tab w:val="right" w:pos="360"/>
          <w:tab w:val="left" w:pos="475"/>
          <w:tab w:val="left" w:pos="965"/>
          <w:tab w:val="left" w:pos="1440"/>
          <w:tab w:val="left" w:pos="1915"/>
          <w:tab w:val="left" w:pos="2405"/>
          <w:tab w:val="left" w:pos="2880"/>
          <w:tab w:val="left" w:pos="3355"/>
        </w:tabs>
        <w:ind w:left="475" w:hanging="475"/>
        <w:rPr>
          <w:i/>
          <w:sz w:val="16"/>
        </w:rPr>
      </w:pPr>
      <w:r>
        <w:rPr>
          <w:i/>
          <w:sz w:val="16"/>
        </w:rPr>
        <w:t>(Estadísticas sobre la capacitación en establecimientos de enseñanza superior en el año lectivo 2001-2002)</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450"/>
        <w:gridCol w:w="3690"/>
        <w:gridCol w:w="951"/>
        <w:gridCol w:w="951"/>
        <w:gridCol w:w="952"/>
        <w:gridCol w:w="116"/>
        <w:gridCol w:w="835"/>
        <w:gridCol w:w="951"/>
        <w:gridCol w:w="952"/>
      </w:tblGrid>
      <w:tr w:rsidR="00000000">
        <w:tblPrEx>
          <w:tblCellMar>
            <w:top w:w="0" w:type="dxa"/>
            <w:left w:w="0" w:type="dxa"/>
            <w:bottom w:w="0" w:type="dxa"/>
            <w:right w:w="0" w:type="dxa"/>
          </w:tblCellMar>
        </w:tblPrEx>
        <w:trPr>
          <w:cantSplit/>
          <w:tblHeader/>
        </w:trPr>
        <w:tc>
          <w:tcPr>
            <w:tcW w:w="450" w:type="dxa"/>
            <w:tcBorders>
              <w:top w:val="single" w:sz="4" w:space="0" w:color="auto"/>
            </w:tcBorders>
            <w:vAlign w:val="bottom"/>
          </w:tcPr>
          <w:p w:rsidR="00000000" w:rsidRDefault="00000000">
            <w:pPr>
              <w:spacing w:before="80" w:after="80" w:line="160" w:lineRule="exact"/>
              <w:ind w:right="40"/>
              <w:rPr>
                <w:i/>
                <w:sz w:val="14"/>
              </w:rPr>
            </w:pPr>
          </w:p>
        </w:tc>
        <w:tc>
          <w:tcPr>
            <w:tcW w:w="3690" w:type="dxa"/>
            <w:tcBorders>
              <w:top w:val="single" w:sz="4" w:space="0" w:color="auto"/>
            </w:tcBorders>
            <w:vAlign w:val="bottom"/>
          </w:tcPr>
          <w:p w:rsidR="00000000" w:rsidRDefault="00000000">
            <w:pPr>
              <w:spacing w:before="80" w:after="80" w:line="160" w:lineRule="exact"/>
              <w:ind w:right="40"/>
              <w:jc w:val="right"/>
              <w:rPr>
                <w:i/>
                <w:sz w:val="14"/>
              </w:rPr>
            </w:pPr>
          </w:p>
        </w:tc>
        <w:tc>
          <w:tcPr>
            <w:tcW w:w="2854"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Estudiantes becados</w:t>
            </w:r>
          </w:p>
        </w:tc>
        <w:tc>
          <w:tcPr>
            <w:tcW w:w="116" w:type="dxa"/>
            <w:tcBorders>
              <w:top w:val="single" w:sz="4" w:space="0" w:color="auto"/>
            </w:tcBorders>
            <w:vAlign w:val="bottom"/>
          </w:tcPr>
          <w:p w:rsidR="00000000" w:rsidRDefault="00000000">
            <w:pPr>
              <w:spacing w:before="80" w:after="80" w:line="160" w:lineRule="exact"/>
              <w:ind w:right="40"/>
              <w:jc w:val="right"/>
              <w:rPr>
                <w:i/>
                <w:sz w:val="14"/>
              </w:rPr>
            </w:pPr>
          </w:p>
        </w:tc>
        <w:tc>
          <w:tcPr>
            <w:tcW w:w="2738" w:type="dxa"/>
            <w:gridSpan w:val="3"/>
            <w:tcBorders>
              <w:top w:val="single" w:sz="4" w:space="0" w:color="auto"/>
              <w:bottom w:val="single" w:sz="4" w:space="0" w:color="auto"/>
            </w:tcBorders>
            <w:vAlign w:val="bottom"/>
          </w:tcPr>
          <w:p w:rsidR="00000000" w:rsidRDefault="00000000">
            <w:pPr>
              <w:spacing w:before="80" w:after="80" w:line="160" w:lineRule="exact"/>
              <w:ind w:right="40"/>
              <w:jc w:val="center"/>
              <w:rPr>
                <w:i/>
                <w:sz w:val="14"/>
              </w:rPr>
            </w:pPr>
            <w:r>
              <w:rPr>
                <w:i/>
                <w:sz w:val="14"/>
              </w:rPr>
              <w:t>Estudiantes con sus estudios pagos</w:t>
            </w:r>
          </w:p>
        </w:tc>
      </w:tr>
      <w:tr w:rsidR="00000000">
        <w:tblPrEx>
          <w:tblCellMar>
            <w:top w:w="0" w:type="dxa"/>
            <w:left w:w="0" w:type="dxa"/>
            <w:bottom w:w="0" w:type="dxa"/>
            <w:right w:w="0" w:type="dxa"/>
          </w:tblCellMar>
        </w:tblPrEx>
        <w:trPr>
          <w:tblHeader/>
        </w:trPr>
        <w:tc>
          <w:tcPr>
            <w:tcW w:w="450" w:type="dxa"/>
            <w:vAlign w:val="bottom"/>
          </w:tcPr>
          <w:p w:rsidR="00000000" w:rsidRDefault="00000000">
            <w:pPr>
              <w:spacing w:after="80" w:line="160" w:lineRule="exact"/>
              <w:ind w:right="40"/>
              <w:rPr>
                <w:i/>
                <w:sz w:val="14"/>
              </w:rPr>
            </w:pPr>
            <w:r>
              <w:rPr>
                <w:i/>
                <w:sz w:val="14"/>
              </w:rPr>
              <w:t>No.</w:t>
            </w:r>
          </w:p>
        </w:tc>
        <w:tc>
          <w:tcPr>
            <w:tcW w:w="3690" w:type="dxa"/>
            <w:vAlign w:val="bottom"/>
          </w:tcPr>
          <w:p w:rsidR="00000000" w:rsidRDefault="00000000">
            <w:pPr>
              <w:spacing w:after="80" w:line="160" w:lineRule="exact"/>
              <w:ind w:right="40"/>
              <w:rPr>
                <w:i/>
                <w:sz w:val="14"/>
              </w:rPr>
            </w:pPr>
            <w:r>
              <w:rPr>
                <w:i/>
                <w:sz w:val="14"/>
              </w:rPr>
              <w:t>Institutos de enseñanza superior</w:t>
            </w:r>
          </w:p>
        </w:tc>
        <w:tc>
          <w:tcPr>
            <w:tcW w:w="951" w:type="dxa"/>
            <w:tcBorders>
              <w:top w:val="single" w:sz="4" w:space="0" w:color="auto"/>
            </w:tcBorders>
            <w:vAlign w:val="bottom"/>
          </w:tcPr>
          <w:p w:rsidR="00000000" w:rsidRDefault="00000000">
            <w:pPr>
              <w:spacing w:after="80" w:line="160" w:lineRule="exact"/>
              <w:ind w:right="40"/>
              <w:jc w:val="right"/>
              <w:rPr>
                <w:i/>
                <w:sz w:val="14"/>
              </w:rPr>
            </w:pPr>
            <w:r>
              <w:rPr>
                <w:i/>
                <w:sz w:val="14"/>
              </w:rPr>
              <w:t>Total</w:t>
            </w:r>
          </w:p>
        </w:tc>
        <w:tc>
          <w:tcPr>
            <w:tcW w:w="951"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952"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c>
          <w:tcPr>
            <w:tcW w:w="951" w:type="dxa"/>
            <w:gridSpan w:val="2"/>
            <w:vAlign w:val="bottom"/>
          </w:tcPr>
          <w:p w:rsidR="00000000" w:rsidRDefault="00000000">
            <w:pPr>
              <w:spacing w:after="80" w:line="160" w:lineRule="exact"/>
              <w:ind w:right="40"/>
              <w:jc w:val="right"/>
              <w:rPr>
                <w:i/>
                <w:sz w:val="14"/>
              </w:rPr>
            </w:pPr>
            <w:r>
              <w:rPr>
                <w:i/>
                <w:sz w:val="14"/>
              </w:rPr>
              <w:t>Total</w:t>
            </w:r>
          </w:p>
        </w:tc>
        <w:tc>
          <w:tcPr>
            <w:tcW w:w="951" w:type="dxa"/>
            <w:tcBorders>
              <w:top w:val="single" w:sz="4" w:space="0" w:color="auto"/>
            </w:tcBorders>
            <w:vAlign w:val="bottom"/>
          </w:tcPr>
          <w:p w:rsidR="00000000" w:rsidRDefault="00000000">
            <w:pPr>
              <w:spacing w:after="80" w:line="160" w:lineRule="exact"/>
              <w:ind w:right="40"/>
              <w:jc w:val="right"/>
              <w:rPr>
                <w:i/>
                <w:sz w:val="14"/>
              </w:rPr>
            </w:pPr>
            <w:r>
              <w:rPr>
                <w:i/>
                <w:sz w:val="14"/>
              </w:rPr>
              <w:t>Mujeres</w:t>
            </w:r>
          </w:p>
        </w:tc>
        <w:tc>
          <w:tcPr>
            <w:tcW w:w="952" w:type="dxa"/>
            <w:tcBorders>
              <w:top w:val="single" w:sz="4" w:space="0" w:color="auto"/>
            </w:tcBorders>
            <w:vAlign w:val="bottom"/>
          </w:tcPr>
          <w:p w:rsidR="00000000" w:rsidRDefault="00000000">
            <w:pPr>
              <w:spacing w:after="80" w:line="160" w:lineRule="exact"/>
              <w:ind w:right="40"/>
              <w:jc w:val="right"/>
              <w:rPr>
                <w:i/>
                <w:sz w:val="14"/>
              </w:rPr>
            </w:pPr>
            <w:r>
              <w:rPr>
                <w:i/>
                <w:sz w:val="14"/>
              </w:rPr>
              <w:t>% de mujeres</w:t>
            </w:r>
          </w:p>
        </w:tc>
      </w:tr>
      <w:tr w:rsidR="00000000">
        <w:tblPrEx>
          <w:tblCellMar>
            <w:top w:w="0" w:type="dxa"/>
            <w:left w:w="0" w:type="dxa"/>
            <w:bottom w:w="0" w:type="dxa"/>
            <w:right w:w="0" w:type="dxa"/>
          </w:tblCellMar>
        </w:tblPrEx>
        <w:trPr>
          <w:trHeight w:hRule="exact" w:val="115"/>
          <w:tblHeader/>
        </w:trPr>
        <w:tc>
          <w:tcPr>
            <w:tcW w:w="450" w:type="dxa"/>
            <w:tcBorders>
              <w:top w:val="single" w:sz="12" w:space="0" w:color="auto"/>
            </w:tcBorders>
            <w:vAlign w:val="bottom"/>
          </w:tcPr>
          <w:p w:rsidR="00000000" w:rsidRDefault="00000000">
            <w:pPr>
              <w:spacing w:before="40" w:after="40" w:line="210" w:lineRule="exact"/>
              <w:ind w:right="40"/>
              <w:rPr>
                <w:sz w:val="17"/>
              </w:rPr>
            </w:pPr>
          </w:p>
        </w:tc>
        <w:tc>
          <w:tcPr>
            <w:tcW w:w="3690" w:type="dxa"/>
            <w:tcBorders>
              <w:top w:val="single" w:sz="12" w:space="0" w:color="auto"/>
            </w:tcBorders>
            <w:vAlign w:val="bottom"/>
          </w:tcPr>
          <w:p w:rsidR="00000000" w:rsidRDefault="00000000">
            <w:pPr>
              <w:spacing w:before="40" w:after="40" w:line="210" w:lineRule="exact"/>
              <w:ind w:right="40"/>
              <w:jc w:val="right"/>
              <w:rPr>
                <w:sz w:val="17"/>
              </w:rPr>
            </w:pPr>
          </w:p>
        </w:tc>
        <w:tc>
          <w:tcPr>
            <w:tcW w:w="951" w:type="dxa"/>
            <w:tcBorders>
              <w:top w:val="single" w:sz="12" w:space="0" w:color="auto"/>
            </w:tcBorders>
            <w:vAlign w:val="bottom"/>
          </w:tcPr>
          <w:p w:rsidR="00000000" w:rsidRDefault="00000000">
            <w:pPr>
              <w:spacing w:before="40" w:after="40" w:line="210" w:lineRule="exact"/>
              <w:ind w:right="40"/>
              <w:jc w:val="right"/>
              <w:rPr>
                <w:sz w:val="17"/>
              </w:rPr>
            </w:pPr>
          </w:p>
        </w:tc>
        <w:tc>
          <w:tcPr>
            <w:tcW w:w="951" w:type="dxa"/>
            <w:tcBorders>
              <w:top w:val="single" w:sz="12" w:space="0" w:color="auto"/>
            </w:tcBorders>
            <w:vAlign w:val="bottom"/>
          </w:tcPr>
          <w:p w:rsidR="00000000" w:rsidRDefault="00000000">
            <w:pPr>
              <w:spacing w:before="40" w:after="40" w:line="210" w:lineRule="exact"/>
              <w:ind w:right="40"/>
              <w:jc w:val="right"/>
              <w:rPr>
                <w:sz w:val="17"/>
              </w:rPr>
            </w:pPr>
          </w:p>
        </w:tc>
        <w:tc>
          <w:tcPr>
            <w:tcW w:w="952" w:type="dxa"/>
            <w:tcBorders>
              <w:top w:val="single" w:sz="12" w:space="0" w:color="auto"/>
            </w:tcBorders>
            <w:vAlign w:val="bottom"/>
          </w:tcPr>
          <w:p w:rsidR="00000000" w:rsidRDefault="00000000">
            <w:pPr>
              <w:spacing w:before="40" w:after="40" w:line="210" w:lineRule="exact"/>
              <w:ind w:right="40"/>
              <w:jc w:val="right"/>
              <w:rPr>
                <w:sz w:val="17"/>
              </w:rPr>
            </w:pPr>
          </w:p>
        </w:tc>
        <w:tc>
          <w:tcPr>
            <w:tcW w:w="951"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951" w:type="dxa"/>
            <w:tcBorders>
              <w:top w:val="single" w:sz="12" w:space="0" w:color="auto"/>
            </w:tcBorders>
            <w:vAlign w:val="bottom"/>
          </w:tcPr>
          <w:p w:rsidR="00000000" w:rsidRDefault="00000000">
            <w:pPr>
              <w:spacing w:before="40" w:after="40" w:line="210" w:lineRule="exact"/>
              <w:ind w:right="40"/>
              <w:jc w:val="right"/>
              <w:rPr>
                <w:sz w:val="17"/>
              </w:rPr>
            </w:pPr>
          </w:p>
        </w:tc>
        <w:tc>
          <w:tcPr>
            <w:tcW w:w="952"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Bellas Artes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725</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163</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8,57</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Ciencias Médicas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930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14,72</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Phnom Penh (Universidad de Lenguas Extranjeras)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2 523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784</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41,24</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1 270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18,30</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Agronomía</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713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155</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16,12</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174</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0,24</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Védica Maharishi</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424</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197</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43</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0,59</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Nacional de Administración</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1 022</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297</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29,06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9 538</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3 800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52,41</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Tecnológico de Camboya</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0,57</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134</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0,12</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Derecho y Ciencias Económicas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807</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216</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26,76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3 105</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699</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9,64</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9</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de Pedagogía</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551</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126</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22,86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10</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Norton</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4 440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1 091</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15,04</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11</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Internacional de Camboya</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405</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72</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0,99</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12</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Tecnología y Administración de Empresas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0,21</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981</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301</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30,68</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13</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i/>
                <w:sz w:val="17"/>
              </w:rPr>
            </w:pPr>
            <w:r>
              <w:rPr>
                <w:i/>
                <w:sz w:val="17"/>
              </w:rPr>
              <w:t>Washington D.C. College</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2 863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702</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24,50</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14</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de Estudios de Economía y Administración de Empresas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0,26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298</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15</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Derecho y Administración de Empresas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1 496</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360</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4,96</w:t>
            </w: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N/D</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16</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 Vanda</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1,22</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17</w:t>
            </w:r>
          </w:p>
        </w:tc>
        <w:tc>
          <w:tcPr>
            <w:tcW w:w="369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Centro de la Ciudad de Angkor</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73</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0,09</w:t>
            </w:r>
          </w:p>
        </w:tc>
      </w:tr>
      <w:tr w:rsidR="00000000">
        <w:tblPrEx>
          <w:tblCellMar>
            <w:top w:w="0" w:type="dxa"/>
            <w:left w:w="0" w:type="dxa"/>
            <w:bottom w:w="0" w:type="dxa"/>
            <w:right w:w="0" w:type="dxa"/>
          </w:tblCellMar>
        </w:tblPrEx>
        <w:tc>
          <w:tcPr>
            <w:tcW w:w="45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18</w:t>
            </w:r>
          </w:p>
        </w:tc>
        <w:tc>
          <w:tcPr>
            <w:tcW w:w="369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Instituto de Tecnología y Administración de Empresas</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1"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198</w:t>
            </w:r>
          </w:p>
        </w:tc>
        <w:tc>
          <w:tcPr>
            <w:tcW w:w="951"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95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4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36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w:t>
            </w:r>
          </w:p>
        </w:tc>
        <w:tc>
          <w:tcPr>
            <w:tcW w:w="9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8 847</w:t>
            </w:r>
          </w:p>
        </w:tc>
        <w:tc>
          <w:tcPr>
            <w:tcW w:w="9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2 301</w:t>
            </w:r>
          </w:p>
        </w:tc>
        <w:tc>
          <w:tcPr>
            <w:tcW w:w="9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26,00</w:t>
            </w:r>
          </w:p>
        </w:tc>
        <w:tc>
          <w:tcPr>
            <w:tcW w:w="951"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19 733</w:t>
            </w:r>
          </w:p>
        </w:tc>
        <w:tc>
          <w:tcPr>
            <w:tcW w:w="951"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6 198</w:t>
            </w:r>
          </w:p>
        </w:tc>
        <w:tc>
          <w:tcPr>
            <w:tcW w:w="95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31,40</w:t>
            </w:r>
          </w:p>
        </w:tc>
      </w:tr>
    </w:tbl>
    <w:p w:rsidR="00000000" w:rsidRDefault="00000000">
      <w:pPr>
        <w:pStyle w:val="Blockquote"/>
        <w:spacing w:before="0" w:after="0" w:line="120" w:lineRule="exact"/>
        <w:rPr>
          <w:sz w:val="10"/>
          <w:lang w:val="es-ES"/>
        </w:rPr>
      </w:pPr>
    </w:p>
    <w:p w:rsidR="00000000" w:rsidRDefault="00000000">
      <w:pPr>
        <w:pStyle w:val="Blockquote"/>
        <w:spacing w:before="0" w:after="0" w:line="120" w:lineRule="exact"/>
        <w:rPr>
          <w:sz w:val="10"/>
          <w:lang w:val="es-ES"/>
        </w:rPr>
      </w:pPr>
    </w:p>
    <w:p w:rsidR="00000000" w:rsidRDefault="00000000">
      <w:pPr>
        <w:pStyle w:val="DualTxt"/>
      </w:pPr>
      <w:r>
        <w:tab/>
        <w:t>Estas cifras indican que el número de estudiantes mujeres que asisten a institutos de enseñanza superior es limitado en comparación con el número total de estudiantes (Fuente: Departamento de Estudios Sup</w:t>
      </w:r>
      <w:r>
        <w:t>e</w:t>
      </w:r>
      <w:r>
        <w:t>riores).</w:t>
      </w:r>
    </w:p>
    <w:p w:rsidR="00000000" w:rsidRDefault="00000000">
      <w:pPr>
        <w:pStyle w:val="DualTxt"/>
      </w:pPr>
      <w:r>
        <w:tab/>
        <w:t>Es raro que los estudiantes que cursan estudios superiores los abandonen, pues consideran que son los c</w:t>
      </w:r>
      <w:r>
        <w:t>i</w:t>
      </w:r>
      <w:r>
        <w:t>mientos de sus futuras carreras.</w:t>
      </w: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Igualdad en los exámenes para obtener diplomas de estudios secundarios, en los exámenes de selección, en los exámenes de ingreso a institutos de enseñanza superior y en la obtención de becas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252.</w:t>
      </w:r>
      <w:r>
        <w:tab/>
        <w:t>La proporción de mujeres estudiantes que aprobaron los exámenes para obt</w:t>
      </w:r>
      <w:r>
        <w:t>e</w:t>
      </w:r>
      <w:r>
        <w:t>ner diplomas de estudios secundarios elementales fue de 39,93% en las zonas urb</w:t>
      </w:r>
      <w:r>
        <w:t>a</w:t>
      </w:r>
      <w:r>
        <w:t>nas, 29,43% en las zonas rurales y 39% en las zonas remotas. Por otra parte, la pr</w:t>
      </w:r>
      <w:r>
        <w:t>o</w:t>
      </w:r>
      <w:r>
        <w:t>porción de mujeres estudiantes que aprobaron los exámenes para obtener diplomas de estudios secundarios superiores fue de 39,67% en las zonas urbanas y 26,50% en las zonas rurales; ninguna mujer los aprobó en las zonas remotas.</w:t>
      </w:r>
    </w:p>
    <w:p w:rsidR="00000000" w:rsidRDefault="00000000">
      <w:pPr>
        <w:pStyle w:val="SingleTxt"/>
      </w:pPr>
      <w:r>
        <w:t>253.</w:t>
      </w:r>
      <w:r>
        <w:tab/>
        <w:t>Sobre la base de los informes del Departamento de Capacitación y Actualiz</w:t>
      </w:r>
      <w:r>
        <w:t>a</w:t>
      </w:r>
      <w:r>
        <w:t>ción, los maestros de los jardines de infancia, las escuelas primarias y los colegios secundarios de los ciclos básico y superior son seleccionados de conformidad con los siguientes requisitos:</w:t>
      </w:r>
    </w:p>
    <w:p w:rsidR="00000000" w:rsidRDefault="00000000">
      <w:pPr>
        <w:pStyle w:val="SingleTxt"/>
        <w:tabs>
          <w:tab w:val="right" w:pos="1685"/>
        </w:tabs>
        <w:ind w:left="1742" w:hanging="475"/>
      </w:pPr>
      <w:r>
        <w:tab/>
        <w:t>–</w:t>
      </w:r>
      <w:r>
        <w:tab/>
        <w:t>Los estudiantes de pedagogía serán de cualquier sexo, solteros y ciudadanos camb</w:t>
      </w:r>
      <w:r>
        <w:t>o</w:t>
      </w:r>
      <w:r>
        <w:t>yanos, tendrán buen carácter y gozarán de buena salud;</w:t>
      </w:r>
    </w:p>
    <w:p w:rsidR="00000000" w:rsidRDefault="00000000">
      <w:pPr>
        <w:pStyle w:val="SingleTxt"/>
        <w:tabs>
          <w:tab w:val="right" w:pos="1685"/>
        </w:tabs>
        <w:ind w:left="1742" w:hanging="475"/>
      </w:pPr>
      <w:r>
        <w:tab/>
        <w:t>–</w:t>
      </w:r>
      <w:r>
        <w:tab/>
        <w:t>Los estudiantes de pedagogía aspirantes a trabajar en jardines de infancia eran exclusivamente mujeres hasta el año lectivo 1995-1996; empero, a partir de ese año, se permitió la inscripción de estudiantes de pedagogía de ambos sexos en los cursos c</w:t>
      </w:r>
      <w:r>
        <w:t>o</w:t>
      </w:r>
      <w:r>
        <w:t>rrespondientes;</w:t>
      </w:r>
    </w:p>
    <w:p w:rsidR="00000000" w:rsidRDefault="00000000">
      <w:pPr>
        <w:pStyle w:val="SingleTxt"/>
        <w:tabs>
          <w:tab w:val="right" w:pos="1685"/>
        </w:tabs>
        <w:ind w:left="1742" w:hanging="475"/>
      </w:pPr>
      <w:r>
        <w:tab/>
        <w:t>–</w:t>
      </w:r>
      <w:r>
        <w:tab/>
        <w:t>En los exámenes, si las notas obtenidas por un varón y una mujer fuesen las mismas, se seleccionará a la mujer para que ingrese en el instituto de enseña</w:t>
      </w:r>
      <w:r>
        <w:t>n</w:t>
      </w:r>
      <w:r>
        <w:t>za superior (Departamento de Exámenes de conoc</w:t>
      </w:r>
      <w:r>
        <w:t>i</w:t>
      </w:r>
      <w:r>
        <w:t>mientos generales de 2000-2001).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ectPr w:rsidR="00000000">
          <w:endnotePr>
            <w:numFmt w:val="decimal"/>
          </w:endnotePr>
          <w:type w:val="continuous"/>
          <w:pgSz w:w="12240" w:h="15840" w:code="1"/>
          <w:pgMar w:top="1742" w:right="1195" w:bottom="1898" w:left="1195" w:header="576" w:footer="1030" w:gutter="0"/>
          <w:pgNumType w:start="1"/>
          <w:cols w:space="720"/>
          <w:noEndnote/>
        </w:sect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Cuadro de funcionarias especializadas y profesoras, por título profesional o diploma de un instituto de enseñanza superior (1999-2000)</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tbl>
      <w:tblPr>
        <w:tblW w:w="0" w:type="auto"/>
        <w:tblInd w:w="2" w:type="dxa"/>
        <w:tblLayout w:type="fixed"/>
        <w:tblCellMar>
          <w:left w:w="0" w:type="dxa"/>
          <w:right w:w="0" w:type="dxa"/>
        </w:tblCellMar>
        <w:tblLook w:val="0000" w:firstRow="0" w:lastRow="0" w:firstColumn="0" w:lastColumn="0" w:noHBand="0" w:noVBand="0"/>
      </w:tblPr>
      <w:tblGrid>
        <w:gridCol w:w="360"/>
        <w:gridCol w:w="1800"/>
        <w:gridCol w:w="560"/>
        <w:gridCol w:w="560"/>
        <w:gridCol w:w="50"/>
        <w:gridCol w:w="510"/>
        <w:gridCol w:w="560"/>
        <w:gridCol w:w="100"/>
        <w:gridCol w:w="460"/>
        <w:gridCol w:w="560"/>
        <w:gridCol w:w="60"/>
        <w:gridCol w:w="500"/>
        <w:gridCol w:w="560"/>
        <w:gridCol w:w="110"/>
        <w:gridCol w:w="450"/>
        <w:gridCol w:w="560"/>
        <w:gridCol w:w="70"/>
        <w:gridCol w:w="490"/>
        <w:gridCol w:w="560"/>
        <w:gridCol w:w="120"/>
        <w:gridCol w:w="440"/>
        <w:gridCol w:w="560"/>
        <w:gridCol w:w="80"/>
        <w:gridCol w:w="480"/>
        <w:gridCol w:w="560"/>
        <w:gridCol w:w="130"/>
        <w:gridCol w:w="430"/>
        <w:gridCol w:w="560"/>
      </w:tblGrid>
      <w:tr w:rsidR="00000000">
        <w:tblPrEx>
          <w:tblCellMar>
            <w:top w:w="0" w:type="dxa"/>
            <w:left w:w="0" w:type="dxa"/>
            <w:bottom w:w="0" w:type="dxa"/>
            <w:right w:w="0" w:type="dxa"/>
          </w:tblCellMar>
        </w:tblPrEx>
        <w:trPr>
          <w:cantSplit/>
          <w:tblHeader/>
        </w:trPr>
        <w:tc>
          <w:tcPr>
            <w:tcW w:w="360" w:type="dxa"/>
            <w:tcBorders>
              <w:top w:val="single" w:sz="4" w:space="0" w:color="auto"/>
            </w:tcBorders>
            <w:vAlign w:val="bottom"/>
          </w:tcPr>
          <w:p w:rsidR="00000000" w:rsidRDefault="00000000">
            <w:pPr>
              <w:spacing w:before="80" w:after="80" w:line="160" w:lineRule="exact"/>
              <w:ind w:right="40"/>
              <w:rPr>
                <w:i/>
                <w:sz w:val="12"/>
              </w:rPr>
            </w:pPr>
          </w:p>
        </w:tc>
        <w:tc>
          <w:tcPr>
            <w:tcW w:w="1800" w:type="dxa"/>
            <w:tcBorders>
              <w:top w:val="single" w:sz="4" w:space="0" w:color="auto"/>
            </w:tcBorders>
            <w:vAlign w:val="bottom"/>
          </w:tcPr>
          <w:p w:rsidR="00000000" w:rsidRDefault="00000000">
            <w:pPr>
              <w:spacing w:before="80" w:after="80" w:line="160" w:lineRule="exact"/>
              <w:ind w:right="40"/>
              <w:rPr>
                <w:i/>
                <w:sz w:val="12"/>
              </w:rPr>
            </w:pPr>
          </w:p>
        </w:tc>
        <w:tc>
          <w:tcPr>
            <w:tcW w:w="112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 xml:space="preserve">Título </w:t>
            </w:r>
            <w:r>
              <w:rPr>
                <w:i/>
                <w:sz w:val="12"/>
              </w:rPr>
              <w:br/>
              <w:t>de doctor</w:t>
            </w:r>
          </w:p>
        </w:tc>
        <w:tc>
          <w:tcPr>
            <w:tcW w:w="50" w:type="dxa"/>
            <w:tcBorders>
              <w:top w:val="single" w:sz="4" w:space="0" w:color="auto"/>
            </w:tcBorders>
            <w:vAlign w:val="bottom"/>
          </w:tcPr>
          <w:p w:rsidR="00000000" w:rsidRDefault="00000000">
            <w:pPr>
              <w:spacing w:before="80" w:after="80" w:line="160" w:lineRule="exact"/>
              <w:ind w:right="40"/>
              <w:jc w:val="right"/>
              <w:rPr>
                <w:i/>
                <w:sz w:val="12"/>
              </w:rPr>
            </w:pPr>
          </w:p>
        </w:tc>
        <w:tc>
          <w:tcPr>
            <w:tcW w:w="107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Título de licenciado</w:t>
            </w:r>
          </w:p>
        </w:tc>
        <w:tc>
          <w:tcPr>
            <w:tcW w:w="100" w:type="dxa"/>
            <w:tcBorders>
              <w:top w:val="single" w:sz="4" w:space="0" w:color="auto"/>
            </w:tcBorders>
            <w:vAlign w:val="bottom"/>
          </w:tcPr>
          <w:p w:rsidR="00000000" w:rsidRDefault="00000000">
            <w:pPr>
              <w:spacing w:before="80" w:after="80" w:line="160" w:lineRule="exact"/>
              <w:ind w:right="40"/>
              <w:jc w:val="right"/>
              <w:rPr>
                <w:i/>
                <w:sz w:val="12"/>
              </w:rPr>
            </w:pPr>
          </w:p>
        </w:tc>
        <w:tc>
          <w:tcPr>
            <w:tcW w:w="102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 xml:space="preserve">Diploma </w:t>
            </w:r>
            <w:r>
              <w:rPr>
                <w:i/>
                <w:sz w:val="12"/>
              </w:rPr>
              <w:br/>
              <w:t>matriz</w:t>
            </w:r>
          </w:p>
        </w:tc>
        <w:tc>
          <w:tcPr>
            <w:tcW w:w="60" w:type="dxa"/>
            <w:tcBorders>
              <w:top w:val="single" w:sz="4" w:space="0" w:color="auto"/>
            </w:tcBorders>
            <w:vAlign w:val="bottom"/>
          </w:tcPr>
          <w:p w:rsidR="00000000" w:rsidRDefault="00000000">
            <w:pPr>
              <w:spacing w:before="80" w:after="80" w:line="160" w:lineRule="exact"/>
              <w:ind w:right="40"/>
              <w:jc w:val="right"/>
              <w:rPr>
                <w:i/>
                <w:sz w:val="12"/>
              </w:rPr>
            </w:pPr>
          </w:p>
        </w:tc>
        <w:tc>
          <w:tcPr>
            <w:tcW w:w="106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Título de</w:t>
            </w:r>
            <w:r>
              <w:rPr>
                <w:i/>
                <w:sz w:val="12"/>
              </w:rPr>
              <w:br/>
              <w:t xml:space="preserve"> bachiller</w:t>
            </w:r>
          </w:p>
        </w:tc>
        <w:tc>
          <w:tcPr>
            <w:tcW w:w="110" w:type="dxa"/>
            <w:tcBorders>
              <w:top w:val="single" w:sz="4" w:space="0" w:color="auto"/>
            </w:tcBorders>
            <w:vAlign w:val="bottom"/>
          </w:tcPr>
          <w:p w:rsidR="00000000" w:rsidRDefault="00000000">
            <w:pPr>
              <w:spacing w:before="80" w:after="80" w:line="160" w:lineRule="exact"/>
              <w:ind w:right="40"/>
              <w:jc w:val="right"/>
              <w:rPr>
                <w:i/>
                <w:sz w:val="12"/>
              </w:rPr>
            </w:pPr>
          </w:p>
        </w:tc>
        <w:tc>
          <w:tcPr>
            <w:tcW w:w="101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Paramédicos</w:t>
            </w:r>
          </w:p>
        </w:tc>
        <w:tc>
          <w:tcPr>
            <w:tcW w:w="70" w:type="dxa"/>
            <w:tcBorders>
              <w:top w:val="single" w:sz="4" w:space="0" w:color="auto"/>
            </w:tcBorders>
            <w:vAlign w:val="bottom"/>
          </w:tcPr>
          <w:p w:rsidR="00000000" w:rsidRDefault="00000000">
            <w:pPr>
              <w:spacing w:before="80" w:after="80" w:line="160" w:lineRule="exact"/>
              <w:ind w:right="40"/>
              <w:jc w:val="right"/>
              <w:rPr>
                <w:i/>
                <w:sz w:val="12"/>
              </w:rPr>
            </w:pPr>
          </w:p>
        </w:tc>
        <w:tc>
          <w:tcPr>
            <w:tcW w:w="105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Médicos</w:t>
            </w:r>
          </w:p>
        </w:tc>
        <w:tc>
          <w:tcPr>
            <w:tcW w:w="120" w:type="dxa"/>
            <w:tcBorders>
              <w:top w:val="single" w:sz="4" w:space="0" w:color="auto"/>
            </w:tcBorders>
            <w:vAlign w:val="bottom"/>
          </w:tcPr>
          <w:p w:rsidR="00000000" w:rsidRDefault="00000000">
            <w:pPr>
              <w:spacing w:before="80" w:after="80" w:line="160" w:lineRule="exact"/>
              <w:ind w:right="40"/>
              <w:jc w:val="right"/>
              <w:rPr>
                <w:i/>
                <w:sz w:val="12"/>
              </w:rPr>
            </w:pPr>
          </w:p>
        </w:tc>
        <w:tc>
          <w:tcPr>
            <w:tcW w:w="100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Farmacéuticos</w:t>
            </w:r>
          </w:p>
        </w:tc>
        <w:tc>
          <w:tcPr>
            <w:tcW w:w="80" w:type="dxa"/>
            <w:tcBorders>
              <w:top w:val="single" w:sz="4" w:space="0" w:color="auto"/>
            </w:tcBorders>
            <w:vAlign w:val="bottom"/>
          </w:tcPr>
          <w:p w:rsidR="00000000" w:rsidRDefault="00000000">
            <w:pPr>
              <w:spacing w:before="80" w:after="80" w:line="160" w:lineRule="exact"/>
              <w:ind w:right="40"/>
              <w:jc w:val="right"/>
              <w:rPr>
                <w:i/>
                <w:sz w:val="12"/>
              </w:rPr>
            </w:pPr>
          </w:p>
        </w:tc>
        <w:tc>
          <w:tcPr>
            <w:tcW w:w="104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Dentistas</w:t>
            </w:r>
          </w:p>
        </w:tc>
        <w:tc>
          <w:tcPr>
            <w:tcW w:w="130" w:type="dxa"/>
            <w:tcBorders>
              <w:top w:val="single" w:sz="4" w:space="0" w:color="auto"/>
            </w:tcBorders>
            <w:vAlign w:val="bottom"/>
          </w:tcPr>
          <w:p w:rsidR="00000000" w:rsidRDefault="00000000">
            <w:pPr>
              <w:spacing w:before="80" w:after="80" w:line="160" w:lineRule="exact"/>
              <w:ind w:right="40"/>
              <w:jc w:val="right"/>
              <w:rPr>
                <w:i/>
                <w:sz w:val="12"/>
              </w:rPr>
            </w:pPr>
          </w:p>
        </w:tc>
        <w:tc>
          <w:tcPr>
            <w:tcW w:w="990" w:type="dxa"/>
            <w:gridSpan w:val="2"/>
            <w:tcBorders>
              <w:top w:val="single" w:sz="4" w:space="0" w:color="auto"/>
              <w:bottom w:val="single" w:sz="4" w:space="0" w:color="auto"/>
            </w:tcBorders>
            <w:vAlign w:val="bottom"/>
          </w:tcPr>
          <w:p w:rsidR="00000000" w:rsidRDefault="00000000">
            <w:pPr>
              <w:spacing w:before="80" w:after="80" w:line="160" w:lineRule="exact"/>
              <w:ind w:right="40"/>
              <w:jc w:val="center"/>
              <w:rPr>
                <w:i/>
                <w:sz w:val="12"/>
              </w:rPr>
            </w:pPr>
            <w:r>
              <w:rPr>
                <w:i/>
                <w:sz w:val="12"/>
              </w:rPr>
              <w:t>Ingenieros</w:t>
            </w:r>
          </w:p>
        </w:tc>
      </w:tr>
      <w:tr w:rsidR="00000000">
        <w:tblPrEx>
          <w:tblCellMar>
            <w:top w:w="0" w:type="dxa"/>
            <w:left w:w="0" w:type="dxa"/>
            <w:bottom w:w="0" w:type="dxa"/>
            <w:right w:w="0" w:type="dxa"/>
          </w:tblCellMar>
        </w:tblPrEx>
        <w:trPr>
          <w:tblHeader/>
        </w:trPr>
        <w:tc>
          <w:tcPr>
            <w:tcW w:w="360" w:type="dxa"/>
            <w:vAlign w:val="bottom"/>
          </w:tcPr>
          <w:p w:rsidR="00000000" w:rsidRDefault="00000000">
            <w:pPr>
              <w:spacing w:after="80" w:line="160" w:lineRule="exact"/>
              <w:ind w:right="40"/>
              <w:rPr>
                <w:i/>
                <w:sz w:val="12"/>
              </w:rPr>
            </w:pPr>
            <w:r>
              <w:rPr>
                <w:i/>
                <w:sz w:val="12"/>
              </w:rPr>
              <w:t>No.</w:t>
            </w:r>
          </w:p>
        </w:tc>
        <w:tc>
          <w:tcPr>
            <w:tcW w:w="1800" w:type="dxa"/>
            <w:vAlign w:val="bottom"/>
          </w:tcPr>
          <w:p w:rsidR="00000000" w:rsidRDefault="00000000">
            <w:pPr>
              <w:spacing w:after="80" w:line="160" w:lineRule="exact"/>
              <w:ind w:right="40"/>
              <w:rPr>
                <w:i/>
                <w:sz w:val="12"/>
              </w:rPr>
            </w:pPr>
            <w:r>
              <w:rPr>
                <w:i/>
                <w:sz w:val="12"/>
              </w:rPr>
              <w:t>Institutos de enseñanza superior</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c>
          <w:tcPr>
            <w:tcW w:w="560" w:type="dxa"/>
            <w:gridSpan w:val="2"/>
            <w:vAlign w:val="bottom"/>
          </w:tcPr>
          <w:p w:rsidR="00000000" w:rsidRDefault="00000000">
            <w:pPr>
              <w:spacing w:after="80" w:line="160" w:lineRule="exact"/>
              <w:ind w:right="40"/>
              <w:jc w:val="right"/>
              <w:rPr>
                <w:i/>
                <w:sz w:val="12"/>
              </w:rPr>
            </w:pPr>
            <w:r>
              <w:rPr>
                <w:i/>
                <w:sz w:val="12"/>
              </w:rPr>
              <w:t>Total</w:t>
            </w:r>
          </w:p>
        </w:tc>
        <w:tc>
          <w:tcPr>
            <w:tcW w:w="560" w:type="dxa"/>
            <w:tcBorders>
              <w:top w:val="single" w:sz="4" w:space="0" w:color="auto"/>
            </w:tcBorders>
            <w:vAlign w:val="bottom"/>
          </w:tcPr>
          <w:p w:rsidR="00000000" w:rsidRDefault="00000000">
            <w:pPr>
              <w:spacing w:after="80" w:line="160" w:lineRule="exact"/>
              <w:ind w:right="40"/>
              <w:jc w:val="right"/>
              <w:rPr>
                <w:i/>
                <w:sz w:val="12"/>
              </w:rPr>
            </w:pPr>
            <w:r>
              <w:rPr>
                <w:i/>
                <w:sz w:val="12"/>
              </w:rPr>
              <w:t>Mujeres</w:t>
            </w:r>
          </w:p>
        </w:tc>
      </w:tr>
      <w:tr w:rsidR="00000000">
        <w:tblPrEx>
          <w:tblCellMar>
            <w:top w:w="0" w:type="dxa"/>
            <w:left w:w="0" w:type="dxa"/>
            <w:bottom w:w="0" w:type="dxa"/>
            <w:right w:w="0" w:type="dxa"/>
          </w:tblCellMar>
        </w:tblPrEx>
        <w:trPr>
          <w:trHeight w:hRule="exact" w:val="115"/>
          <w:tblHeader/>
        </w:trPr>
        <w:tc>
          <w:tcPr>
            <w:tcW w:w="360" w:type="dxa"/>
            <w:tcBorders>
              <w:top w:val="single" w:sz="12" w:space="0" w:color="auto"/>
            </w:tcBorders>
            <w:vAlign w:val="bottom"/>
          </w:tcPr>
          <w:p w:rsidR="00000000" w:rsidRDefault="00000000">
            <w:pPr>
              <w:spacing w:before="40" w:after="40" w:line="210" w:lineRule="exact"/>
              <w:ind w:right="40"/>
              <w:rPr>
                <w:sz w:val="17"/>
              </w:rPr>
            </w:pPr>
          </w:p>
        </w:tc>
        <w:tc>
          <w:tcPr>
            <w:tcW w:w="1800" w:type="dxa"/>
            <w:tcBorders>
              <w:top w:val="single" w:sz="12" w:space="0" w:color="auto"/>
            </w:tcBorders>
            <w:vAlign w:val="bottom"/>
          </w:tcPr>
          <w:p w:rsidR="00000000" w:rsidRDefault="00000000">
            <w:pPr>
              <w:spacing w:before="40" w:after="40" w:line="210" w:lineRule="exact"/>
              <w:ind w:right="40"/>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c>
          <w:tcPr>
            <w:tcW w:w="560" w:type="dxa"/>
            <w:gridSpan w:val="2"/>
            <w:tcBorders>
              <w:top w:val="single" w:sz="12" w:space="0" w:color="auto"/>
            </w:tcBorders>
            <w:vAlign w:val="bottom"/>
          </w:tcPr>
          <w:p w:rsidR="00000000" w:rsidRDefault="00000000">
            <w:pPr>
              <w:spacing w:before="40" w:after="40" w:line="210" w:lineRule="exact"/>
              <w:ind w:right="40"/>
              <w:jc w:val="right"/>
              <w:rPr>
                <w:sz w:val="17"/>
              </w:rPr>
            </w:pPr>
          </w:p>
        </w:tc>
        <w:tc>
          <w:tcPr>
            <w:tcW w:w="560" w:type="dxa"/>
            <w:tcBorders>
              <w:top w:val="single" w:sz="12" w:space="0" w:color="auto"/>
            </w:tcBorders>
            <w:vAlign w:val="bottom"/>
          </w:tcPr>
          <w:p w:rsidR="00000000" w:rsidRDefault="00000000">
            <w:pPr>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1</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Bellas Artes</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89</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2</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Ciencias Médicas</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3</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Phnom Penh</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67</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left="-99" w:right="40"/>
              <w:jc w:val="right"/>
              <w:rPr>
                <w:sz w:val="17"/>
              </w:rPr>
            </w:pPr>
            <w:r>
              <w:rPr>
                <w:sz w:val="17"/>
              </w:rPr>
              <w:t>226</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4</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Real Universidad de Agronomía</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left="-99" w:right="40"/>
              <w:jc w:val="right"/>
              <w:rPr>
                <w:sz w:val="17"/>
              </w:rPr>
            </w:pPr>
            <w:r>
              <w:rPr>
                <w:sz w:val="17"/>
              </w:rPr>
              <w:t>101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5</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Universidad Védica Maharishi</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6</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Nacional de la Magistratura</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7</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Facultad de Derecho y Ciencias Económicas</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12</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40</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40" w:line="210" w:lineRule="exact"/>
              <w:ind w:right="40"/>
              <w:rPr>
                <w:sz w:val="17"/>
              </w:rPr>
            </w:pPr>
            <w:r>
              <w:rPr>
                <w:sz w:val="17"/>
              </w:rPr>
              <w:t>8</w:t>
            </w:r>
          </w:p>
        </w:tc>
        <w:tc>
          <w:tcPr>
            <w:tcW w:w="180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Instituto Tecnológico de Camboya</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37</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w:t>
            </w:r>
          </w:p>
        </w:tc>
      </w:tr>
      <w:tr w:rsidR="00000000">
        <w:tblPrEx>
          <w:tblCellMar>
            <w:top w:w="0" w:type="dxa"/>
            <w:left w:w="0" w:type="dxa"/>
            <w:bottom w:w="0" w:type="dxa"/>
            <w:right w:w="0" w:type="dxa"/>
          </w:tblCellMar>
        </w:tblPrEx>
        <w:tc>
          <w:tcPr>
            <w:tcW w:w="360" w:type="dxa"/>
          </w:tcPr>
          <w:p w:rsidR="00000000" w:rsidRDefault="00000000">
            <w:pPr>
              <w:tabs>
                <w:tab w:val="left" w:pos="288"/>
                <w:tab w:val="left" w:pos="576"/>
                <w:tab w:val="left" w:pos="864"/>
                <w:tab w:val="left" w:pos="1152"/>
              </w:tabs>
              <w:spacing w:before="40" w:after="81" w:line="210" w:lineRule="exact"/>
              <w:ind w:right="40"/>
              <w:rPr>
                <w:sz w:val="17"/>
              </w:rPr>
            </w:pPr>
            <w:r>
              <w:rPr>
                <w:sz w:val="17"/>
              </w:rPr>
              <w:t>9</w:t>
            </w:r>
          </w:p>
        </w:tc>
        <w:tc>
          <w:tcPr>
            <w:tcW w:w="180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Facultad de Pedagogía</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w:t>
            </w: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gridSpan w:val="2"/>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56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3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p>
        </w:tc>
        <w:tc>
          <w:tcPr>
            <w:tcW w:w="180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81" w:after="81" w:line="210" w:lineRule="exact"/>
              <w:ind w:right="40"/>
              <w:rPr>
                <w:b/>
                <w:sz w:val="17"/>
              </w:rPr>
            </w:pPr>
            <w:r>
              <w:rPr>
                <w:b/>
                <w:sz w:val="17"/>
              </w:rPr>
              <w:t>Total general</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27</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99" w:right="40"/>
              <w:jc w:val="right"/>
              <w:rPr>
                <w:b/>
                <w:sz w:val="17"/>
              </w:rPr>
            </w:pPr>
            <w:r>
              <w:rPr>
                <w:b/>
                <w:sz w:val="17"/>
              </w:rPr>
              <w:t>173</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32</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26</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left="-99" w:right="40"/>
              <w:jc w:val="right"/>
              <w:rPr>
                <w:b/>
                <w:sz w:val="17"/>
              </w:rPr>
            </w:pPr>
            <w:r>
              <w:rPr>
                <w:b/>
                <w:sz w:val="17"/>
              </w:rPr>
              <w:t>636</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137</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29</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0</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6</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3</w:t>
            </w:r>
          </w:p>
        </w:tc>
        <w:tc>
          <w:tcPr>
            <w:tcW w:w="560" w:type="dxa"/>
            <w:gridSpan w:val="2"/>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46</w:t>
            </w:r>
          </w:p>
        </w:tc>
        <w:tc>
          <w:tcPr>
            <w:tcW w:w="56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8</w:t>
            </w:r>
          </w:p>
        </w:tc>
      </w:tr>
    </w:tbl>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SingleTxt"/>
      </w:pPr>
    </w:p>
    <w:p w:rsidR="00000000" w:rsidRDefault="00000000">
      <w:pPr>
        <w:pStyle w:val="SingleTxt"/>
      </w:pPr>
    </w:p>
    <w:p w:rsidR="00000000" w:rsidRDefault="00000000">
      <w:pPr>
        <w:pStyle w:val="SingleTxt"/>
        <w:sectPr w:rsidR="00000000">
          <w:headerReference w:type="even" r:id="rId14"/>
          <w:headerReference w:type="default" r:id="rId15"/>
          <w:footerReference w:type="even" r:id="rId16"/>
          <w:footerReference w:type="default" r:id="rId17"/>
          <w:endnotePr>
            <w:numFmt w:val="decimal"/>
          </w:endnotePr>
          <w:pgSz w:w="15840" w:h="12240" w:orient="landscape" w:code="1"/>
          <w:pgMar w:top="1195" w:right="1742" w:bottom="1195" w:left="1898" w:header="0" w:footer="0" w:gutter="0"/>
          <w:cols w:space="720"/>
          <w:noEndnote/>
        </w:sectPr>
      </w:pPr>
    </w:p>
    <w:p w:rsidR="00000000" w:rsidRDefault="00000000">
      <w:pPr>
        <w:pStyle w:val="SingleTxt"/>
      </w:pPr>
      <w:r>
        <w:t>254.</w:t>
      </w:r>
      <w:r>
        <w:tab/>
        <w:t xml:space="preserve">Según las cifras indicadas </w:t>
      </w:r>
      <w:r>
        <w:rPr>
          <w:i/>
        </w:rPr>
        <w:t>supra</w:t>
      </w:r>
      <w:r>
        <w:t>, todavía son pocas las mujeres especializadas en cuestiones técnicas, sobre todo en los sectores de la agricultura, el derecho y la ingeniería.</w:t>
      </w:r>
    </w:p>
    <w:p w:rsidR="00000000" w:rsidRDefault="00000000">
      <w:pPr>
        <w:pStyle w:val="SingleTxt"/>
      </w:pPr>
      <w:r>
        <w:t>255.</w:t>
      </w:r>
      <w:r>
        <w:tab/>
        <w:t>En el Ministerio de Educación, la Juventud y los Deportes trabajan exact</w:t>
      </w:r>
      <w:r>
        <w:t>a</w:t>
      </w:r>
      <w:r>
        <w:t>mente 89.142 funcionarios (de los cuales 31.257 (alrededor de 35,06%) son muj</w:t>
      </w:r>
      <w:r>
        <w:t>e</w:t>
      </w:r>
      <w:r>
        <w:t>res); de ese total, 36,35% son maestros de escuela primaria, 29,55% profesores de institutos de enseñanza secundaria elemental, 22,73% profesores de institutos de e</w:t>
      </w:r>
      <w:r>
        <w:t>n</w:t>
      </w:r>
      <w:r>
        <w:t>señanza secundaria superior, 17,46% inspectores de escuelas primarias, 30% in</w:t>
      </w:r>
      <w:r>
        <w:t>s</w:t>
      </w:r>
      <w:r>
        <w:t>pectores de colegios secundarios del ciclo básico y superior, 14,05% instructores deportivos, 11,15% especialistas o técnicos de nivel medio, 15,57% especialistas o técnicos de nivel superior y 8,54%, otros miembros del personal de categoría “A”. Del resto del personal del Ministerio, 29,56% son mujeres. Todo esto confirma que son todavía pocas las mujeres con formación profesional superior (según los datos estadíst</w:t>
      </w:r>
      <w:r>
        <w:t>i</w:t>
      </w:r>
      <w:r>
        <w:t>cos registrados por el Departamento de Personal en agosto de 2000).</w:t>
      </w:r>
    </w:p>
    <w:p w:rsidR="00000000" w:rsidRDefault="00000000">
      <w:pPr>
        <w:pStyle w:val="SingleTxt"/>
        <w:suppressAutoHyphens/>
      </w:pPr>
      <w:r>
        <w:t>256.</w:t>
      </w:r>
      <w:r>
        <w:tab/>
        <w:t>En el año lectivo 2001-2002, el MoEJD adiestró a 5.015 maestros de todos los niveles, de los cuales 1.903 (37,94%) eran mujeres. De los 189 inspectores de escuelas primarias, 33 son mujeres. Además, fueron contratadas 23 mujeres para que integraran el cuerpo de 80 inspectores de colegios secundarios del ciclo básico y superior.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Reforma del programa de libros de texto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257.</w:t>
      </w:r>
      <w:r>
        <w:tab/>
        <w:t>A partir de 1995, el MoEJD ha reformado el programa de actividades de los jardines de infancia y los colegios secundarios de conformidad con las normas i</w:t>
      </w:r>
      <w:r>
        <w:t>n</w:t>
      </w:r>
      <w:r>
        <w:t>ternacionales a fin de mejorar la calidad de la educación. En el plano de la enseña</w:t>
      </w:r>
      <w:r>
        <w:t>n</w:t>
      </w:r>
      <w:r>
        <w:t>za superior, el Gobierno transformó la Real Universidad de Agronomía en instituto de administración pública en virtud del decreto complementario No. 115 RNKR de 27 de diciembre de 1999 (véase el párrafo 286).</w:t>
      </w:r>
    </w:p>
    <w:p w:rsidR="00000000" w:rsidRDefault="00000000">
      <w:pPr>
        <w:pStyle w:val="SingleTxt"/>
      </w:pPr>
      <w:r>
        <w:t>258.</w:t>
      </w:r>
      <w:r>
        <w:tab/>
        <w:t>La misión del MoEJD sigue siendo la misma: mejorar la calidad de la educ</w:t>
      </w:r>
      <w:r>
        <w:t>a</w:t>
      </w:r>
      <w:r>
        <w:t>ción a nivel comunitario, permitir el acceso de los ciudadanos pobres a una educ</w:t>
      </w:r>
      <w:r>
        <w:t>a</w:t>
      </w:r>
      <w:r>
        <w:t>ción de calidad en todas las localidades, garantizar una gestión educativa calificada y eficaz y satisfacer las exigencias del mercado obteniendo la cooperación nacional e internacional.</w:t>
      </w:r>
    </w:p>
    <w:p w:rsidR="00000000" w:rsidRDefault="00000000">
      <w:pPr>
        <w:pStyle w:val="SingleTxt"/>
      </w:pPr>
      <w:r>
        <w:t>259.</w:t>
      </w:r>
      <w:r>
        <w:tab/>
        <w:t>Parte de la reforma del sistema general de educación, que abarca 12 años, es el mejoramiento de los libros de texto. El MoEJD ha establecido cuatro comisiones de trabajo (en literatura khmer, ciencias, matemáticas y estudios sociales) en que hay 42 mujeres (28% del total de sus miembros).</w:t>
      </w:r>
    </w:p>
    <w:p w:rsidR="00000000" w:rsidRDefault="00000000">
      <w:pPr>
        <w:pStyle w:val="SingleTxt"/>
      </w:pPr>
      <w:r>
        <w:t>260.</w:t>
      </w:r>
      <w:r>
        <w:tab/>
        <w:t>El MoeEJD ha añadido al programa de estudios temas tales como la democr</w:t>
      </w:r>
      <w:r>
        <w:t>a</w:t>
      </w:r>
      <w:r>
        <w:t>cia, los derechos del niño, los derechos de la mujer, la educación sexual, ciertas l</w:t>
      </w:r>
      <w:r>
        <w:t>e</w:t>
      </w:r>
      <w:r>
        <w:t>yes, la educación de la familia, la educación ecológica, la preparación para la vida y la prevención del VIH/SIDA.</w:t>
      </w:r>
    </w:p>
    <w:p w:rsidR="00000000" w:rsidRDefault="00000000">
      <w:pPr>
        <w:pStyle w:val="SingleTxt"/>
      </w:pPr>
      <w:r>
        <w:t>261.</w:t>
      </w:r>
      <w:r>
        <w:tab/>
        <w:t>Además, en el año lectivo 2001-2002, el MoEJD incorporó las cuestiones de género y los problemas de las minorías étnicas y los discapacitados, así como los temas vinculados con las aptitudes preprofesionales, en los libros de texto que se editan en lengua khmer o versan sobre estudios sociales, con objeto de promover la igualdad entre los géneros y entre otros grupos.</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oportunidades de obtener becas del exterior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262.</w:t>
      </w:r>
      <w:r>
        <w:tab/>
        <w:t>La adjudicación de becas a los estudiantes para que se capaciten en el exterior se realiza así:</w:t>
      </w:r>
    </w:p>
    <w:p w:rsidR="00000000" w:rsidRDefault="00000000">
      <w:pPr>
        <w:pStyle w:val="SingleTxt"/>
        <w:tabs>
          <w:tab w:val="right" w:pos="1685"/>
        </w:tabs>
        <w:ind w:left="1742" w:hanging="475"/>
      </w:pPr>
      <w:r>
        <w:tab/>
        <w:t>–</w:t>
      </w:r>
      <w:r>
        <w:tab/>
        <w:t>Antes de 1989, el trabajo de la Comisión de Selección se basaba en: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puntaje total y porcentual extraído del historial de los estudiantes y la evaluación de los directores de los establecimientos de enseñanza;</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el hecho de que los estudiantes fuesen campesinos o hijos de soldados muertos, de excombatientes discapacitados, de pobres, de altos oficiales o de funci</w:t>
      </w:r>
      <w:r>
        <w:t>o</w:t>
      </w:r>
      <w:r>
        <w:t>narias de la administración pública;</w:t>
      </w:r>
    </w:p>
    <w:p w:rsidR="00000000" w:rsidRDefault="00000000">
      <w:pPr>
        <w:pStyle w:val="SingleTxt"/>
        <w:tabs>
          <w:tab w:val="right" w:pos="1685"/>
        </w:tabs>
        <w:ind w:left="1742" w:hanging="475"/>
      </w:pPr>
      <w:r>
        <w:tab/>
        <w:t>–</w:t>
      </w:r>
      <w:r>
        <w:tab/>
        <w:t>En 1990 la Comisión de Selección decidió elegir los candidatos sobre la base de los resultados de los exámenes, aunque determinó que si un varón y una mujer tuvieren las mismas calificaciones, se habría de o</w:t>
      </w:r>
      <w:r>
        <w:t>p</w:t>
      </w:r>
      <w:r>
        <w:t>tar por la mujer.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Porcentaje de mujeres estudiantes en el extranjero</w:t>
      </w:r>
    </w:p>
    <w:p w:rsidR="00000000" w:rsidRDefault="00000000">
      <w:pPr>
        <w:pStyle w:val="SingleTxt"/>
        <w:spacing w:after="0" w:line="120" w:lineRule="exact"/>
        <w:rPr>
          <w:sz w:val="10"/>
        </w:rPr>
      </w:pPr>
    </w:p>
    <w:tbl>
      <w:tblPr>
        <w:tblW w:w="0" w:type="auto"/>
        <w:tblInd w:w="1262" w:type="dxa"/>
        <w:tblLayout w:type="fixed"/>
        <w:tblCellMar>
          <w:left w:w="0" w:type="dxa"/>
          <w:right w:w="0" w:type="dxa"/>
        </w:tblCellMar>
        <w:tblLook w:val="0000" w:firstRow="0" w:lastRow="0" w:firstColumn="0" w:lastColumn="0" w:noHBand="0" w:noVBand="0"/>
      </w:tblPr>
      <w:tblGrid>
        <w:gridCol w:w="720"/>
        <w:gridCol w:w="1462"/>
        <w:gridCol w:w="1463"/>
        <w:gridCol w:w="1462"/>
        <w:gridCol w:w="1463"/>
        <w:gridCol w:w="750"/>
      </w:tblGrid>
      <w:tr w:rsidR="00000000">
        <w:tblPrEx>
          <w:tblCellMar>
            <w:top w:w="0" w:type="dxa"/>
            <w:left w:w="0" w:type="dxa"/>
            <w:bottom w:w="0" w:type="dxa"/>
            <w:right w:w="0" w:type="dxa"/>
          </w:tblCellMar>
        </w:tblPrEx>
        <w:trPr>
          <w:tblHeader/>
        </w:trPr>
        <w:tc>
          <w:tcPr>
            <w:tcW w:w="72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rPr>
                <w:i/>
                <w:sz w:val="14"/>
              </w:rPr>
            </w:pPr>
            <w:r>
              <w:rPr>
                <w:i/>
                <w:sz w:val="14"/>
              </w:rPr>
              <w:t>Programa</w:t>
            </w:r>
          </w:p>
        </w:tc>
        <w:tc>
          <w:tcPr>
            <w:tcW w:w="14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Estudios </w:t>
            </w:r>
            <w:r>
              <w:rPr>
                <w:i/>
                <w:sz w:val="14"/>
              </w:rPr>
              <w:br/>
              <w:t>superiores</w:t>
            </w:r>
          </w:p>
        </w:tc>
        <w:tc>
          <w:tcPr>
            <w:tcW w:w="14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Estudios </w:t>
            </w:r>
            <w:r>
              <w:rPr>
                <w:i/>
                <w:sz w:val="14"/>
              </w:rPr>
              <w:br/>
              <w:t>secundarios</w:t>
            </w:r>
          </w:p>
        </w:tc>
        <w:tc>
          <w:tcPr>
            <w:tcW w:w="1462"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Estudios </w:t>
            </w:r>
            <w:r>
              <w:rPr>
                <w:i/>
                <w:sz w:val="14"/>
              </w:rPr>
              <w:br/>
              <w:t>intermedios</w:t>
            </w:r>
          </w:p>
        </w:tc>
        <w:tc>
          <w:tcPr>
            <w:tcW w:w="1463"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Trabajadores calificados</w:t>
            </w:r>
          </w:p>
        </w:tc>
        <w:tc>
          <w:tcPr>
            <w:tcW w:w="750" w:type="dxa"/>
            <w:tcBorders>
              <w:top w:val="single" w:sz="4" w:space="0" w:color="auto"/>
            </w:tcBorders>
            <w:vAlign w:val="bottom"/>
          </w:tcPr>
          <w:p w:rsidR="00000000" w:rsidRDefault="00000000">
            <w:pPr>
              <w:tabs>
                <w:tab w:val="left" w:pos="288"/>
                <w:tab w:val="left" w:pos="576"/>
                <w:tab w:val="left" w:pos="864"/>
                <w:tab w:val="left" w:pos="1152"/>
              </w:tabs>
              <w:spacing w:before="80" w:after="80" w:line="160" w:lineRule="exact"/>
              <w:ind w:right="40"/>
              <w:jc w:val="right"/>
              <w:rPr>
                <w:i/>
                <w:sz w:val="14"/>
              </w:rPr>
            </w:pPr>
            <w:r>
              <w:rPr>
                <w:i/>
                <w:sz w:val="14"/>
              </w:rPr>
              <w:t xml:space="preserve">Porcentaje </w:t>
            </w:r>
            <w:r>
              <w:rPr>
                <w:i/>
                <w:sz w:val="14"/>
              </w:rPr>
              <w:br/>
              <w:t>general</w:t>
            </w:r>
          </w:p>
        </w:tc>
      </w:tr>
      <w:tr w:rsidR="00000000">
        <w:tblPrEx>
          <w:tblCellMar>
            <w:top w:w="0" w:type="dxa"/>
            <w:left w:w="0" w:type="dxa"/>
            <w:bottom w:w="0" w:type="dxa"/>
            <w:right w:w="0" w:type="dxa"/>
          </w:tblCellMar>
        </w:tblPrEx>
        <w:trPr>
          <w:trHeight w:hRule="exact" w:val="115"/>
          <w:tblHeader/>
        </w:trPr>
        <w:tc>
          <w:tcPr>
            <w:tcW w:w="72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rPr>
                <w:sz w:val="17"/>
              </w:rPr>
            </w:pPr>
          </w:p>
        </w:tc>
        <w:tc>
          <w:tcPr>
            <w:tcW w:w="14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2"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1463"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c>
          <w:tcPr>
            <w:tcW w:w="750" w:type="dxa"/>
            <w:tcBorders>
              <w:top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15,78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9,83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15,9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11,76</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23,66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27,02</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23,13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24,1</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28,31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33,52</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27,23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29,6</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22,54</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21,57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29,19</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21,40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20,47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28,74</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23,34</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23,4</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20,28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25,13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30,71</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23,2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24,00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18,23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4,82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17,1</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17,80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25,85</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22,22</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1989</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26,92</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10,93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19,01</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22,65</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14,8</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18,75</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6,42</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20,93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11,2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7,41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7,50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 H ni M)</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50,00 (2 H y 1 M)</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1994</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 (3 H 1 M)</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5,3</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1995</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25,00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3,57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 (ninguna mujer)</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0,00 (5 H y 1 M)</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1996</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7,01</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1997</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9,43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60,00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7,69</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1,31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4,72</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1999</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10,63</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8,82</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33,33</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9,79</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40" w:line="210" w:lineRule="exact"/>
              <w:ind w:right="40"/>
              <w:rPr>
                <w:sz w:val="17"/>
              </w:rPr>
            </w:pPr>
            <w:r>
              <w:rPr>
                <w:sz w:val="17"/>
              </w:rPr>
              <w:t>2000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10,29</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5,98</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8,20</w:t>
            </w:r>
          </w:p>
        </w:tc>
      </w:tr>
      <w:tr w:rsidR="00000000">
        <w:tblPrEx>
          <w:tblCellMar>
            <w:top w:w="0" w:type="dxa"/>
            <w:left w:w="0" w:type="dxa"/>
            <w:bottom w:w="0" w:type="dxa"/>
            <w:right w:w="0" w:type="dxa"/>
          </w:tblCellMar>
        </w:tblPrEx>
        <w:tc>
          <w:tcPr>
            <w:tcW w:w="720" w:type="dxa"/>
            <w:vAlign w:val="bottom"/>
          </w:tcPr>
          <w:p w:rsidR="00000000" w:rsidRDefault="00000000">
            <w:pPr>
              <w:tabs>
                <w:tab w:val="left" w:pos="288"/>
                <w:tab w:val="left" w:pos="576"/>
                <w:tab w:val="left" w:pos="864"/>
                <w:tab w:val="left" w:pos="1152"/>
              </w:tabs>
              <w:spacing w:before="40" w:after="81" w:line="210" w:lineRule="exact"/>
              <w:ind w:right="40"/>
              <w:rPr>
                <w:sz w:val="17"/>
              </w:rPr>
            </w:pPr>
            <w:r>
              <w:rPr>
                <w:sz w:val="17"/>
              </w:rPr>
              <w:t>2001</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10,89</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5,60</w:t>
            </w:r>
          </w:p>
        </w:tc>
        <w:tc>
          <w:tcPr>
            <w:tcW w:w="1462"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20,00</w:t>
            </w:r>
          </w:p>
        </w:tc>
        <w:tc>
          <w:tcPr>
            <w:tcW w:w="1463"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28,57</w:t>
            </w:r>
          </w:p>
        </w:tc>
        <w:tc>
          <w:tcPr>
            <w:tcW w:w="750" w:type="dxa"/>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9,26</w:t>
            </w:r>
          </w:p>
        </w:tc>
      </w:tr>
      <w:tr w:rsidR="00000000">
        <w:tblPrEx>
          <w:tblCellMar>
            <w:top w:w="0" w:type="dxa"/>
            <w:left w:w="0" w:type="dxa"/>
            <w:bottom w:w="0" w:type="dxa"/>
            <w:right w:w="0" w:type="dxa"/>
          </w:tblCellMar>
        </w:tblPrEx>
        <w:tc>
          <w:tcPr>
            <w:tcW w:w="720" w:type="dxa"/>
            <w:tcBorders>
              <w:bottom w:val="single" w:sz="4" w:space="0" w:color="auto"/>
            </w:tcBorders>
            <w:vAlign w:val="bottom"/>
          </w:tcPr>
          <w:p w:rsidR="00000000" w:rsidRDefault="00000000">
            <w:pPr>
              <w:tabs>
                <w:tab w:val="left" w:pos="288"/>
                <w:tab w:val="left" w:pos="576"/>
                <w:tab w:val="left" w:pos="864"/>
                <w:tab w:val="left" w:pos="1152"/>
              </w:tabs>
              <w:spacing w:before="81" w:after="81" w:line="210" w:lineRule="exact"/>
              <w:ind w:right="40"/>
              <w:rPr>
                <w:sz w:val="17"/>
              </w:rPr>
            </w:pPr>
            <w:r>
              <w:rPr>
                <w:sz w:val="17"/>
              </w:rPr>
              <w:t>2002</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6,66</w:t>
            </w:r>
          </w:p>
        </w:tc>
        <w:tc>
          <w:tcPr>
            <w:tcW w:w="146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9,00</w:t>
            </w:r>
          </w:p>
        </w:tc>
        <w:tc>
          <w:tcPr>
            <w:tcW w:w="1462"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0</w:t>
            </w:r>
          </w:p>
        </w:tc>
        <w:tc>
          <w:tcPr>
            <w:tcW w:w="1463"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14,28</w:t>
            </w:r>
          </w:p>
        </w:tc>
        <w:tc>
          <w:tcPr>
            <w:tcW w:w="750" w:type="dxa"/>
            <w:tcBorders>
              <w:bottom w:val="single" w:sz="4"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sz w:val="17"/>
              </w:rPr>
            </w:pPr>
            <w:r>
              <w:rPr>
                <w:sz w:val="17"/>
              </w:rPr>
              <w:t>7,98</w:t>
            </w:r>
          </w:p>
        </w:tc>
      </w:tr>
      <w:tr w:rsidR="00000000">
        <w:tblPrEx>
          <w:tblCellMar>
            <w:top w:w="0" w:type="dxa"/>
            <w:left w:w="0" w:type="dxa"/>
            <w:bottom w:w="0" w:type="dxa"/>
            <w:right w:w="0" w:type="dxa"/>
          </w:tblCellMar>
        </w:tblPrEx>
        <w:tc>
          <w:tcPr>
            <w:tcW w:w="720" w:type="dxa"/>
            <w:tcBorders>
              <w:bottom w:val="single" w:sz="12" w:space="0" w:color="auto"/>
            </w:tcBorders>
            <w:vAlign w:val="bottom"/>
          </w:tcPr>
          <w:p w:rsidR="00000000" w:rsidRDefault="00000000">
            <w:pPr>
              <w:tabs>
                <w:tab w:val="left" w:pos="288"/>
                <w:tab w:val="left" w:pos="576"/>
                <w:tab w:val="left" w:pos="864"/>
                <w:tab w:val="left" w:pos="1152"/>
              </w:tabs>
              <w:spacing w:before="81" w:after="40" w:line="210" w:lineRule="exact"/>
              <w:ind w:right="40"/>
              <w:rPr>
                <w:b/>
                <w:sz w:val="17"/>
              </w:rPr>
            </w:pPr>
            <w:r>
              <w:rPr>
                <w:b/>
                <w:sz w:val="17"/>
              </w:rPr>
              <w:t>Total general</w:t>
            </w:r>
          </w:p>
        </w:tc>
        <w:tc>
          <w:tcPr>
            <w:tcW w:w="14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11,71</w:t>
            </w:r>
          </w:p>
        </w:tc>
        <w:tc>
          <w:tcPr>
            <w:tcW w:w="14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14,15</w:t>
            </w:r>
          </w:p>
        </w:tc>
        <w:tc>
          <w:tcPr>
            <w:tcW w:w="1462"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23,47</w:t>
            </w:r>
          </w:p>
        </w:tc>
        <w:tc>
          <w:tcPr>
            <w:tcW w:w="1463"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23,58</w:t>
            </w:r>
          </w:p>
        </w:tc>
        <w:tc>
          <w:tcPr>
            <w:tcW w:w="750" w:type="dxa"/>
            <w:tcBorders>
              <w:bottom w:val="single" w:sz="12" w:space="0" w:color="auto"/>
            </w:tcBorders>
            <w:vAlign w:val="bottom"/>
          </w:tcPr>
          <w:p w:rsidR="00000000" w:rsidRDefault="00000000">
            <w:pPr>
              <w:tabs>
                <w:tab w:val="left" w:pos="288"/>
                <w:tab w:val="left" w:pos="576"/>
                <w:tab w:val="left" w:pos="864"/>
                <w:tab w:val="left" w:pos="1152"/>
              </w:tabs>
              <w:spacing w:before="40" w:after="40" w:line="210" w:lineRule="exact"/>
              <w:ind w:right="40"/>
              <w:jc w:val="right"/>
              <w:rPr>
                <w:b/>
                <w:sz w:val="17"/>
              </w:rPr>
            </w:pPr>
            <w:r>
              <w:rPr>
                <w:b/>
                <w:sz w:val="17"/>
              </w:rPr>
              <w:t>18,08</w:t>
            </w:r>
          </w:p>
        </w:tc>
      </w:tr>
    </w:tbl>
    <w:p w:rsidR="00000000" w:rsidRDefault="00000000">
      <w:pPr>
        <w:pStyle w:val="SingleTxt"/>
      </w:pPr>
      <w:r>
        <w:t>263.</w:t>
      </w:r>
      <w:r>
        <w:tab/>
        <w:t>Las estadísticas transcritas</w:t>
      </w:r>
      <w:r>
        <w:rPr>
          <w:i/>
        </w:rPr>
        <w:t xml:space="preserve"> supra </w:t>
      </w:r>
      <w:r>
        <w:t>ponen de manifiesto que el número de muj</w:t>
      </w:r>
      <w:r>
        <w:t>e</w:t>
      </w:r>
      <w:r>
        <w:t>res estudiantes que han recibido becas para seguir estudios intermedios y superiores en el extranjero se ha ido reduciendo gradualmente (Departamento de Becas).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Lucha contra el analfabetismo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264.</w:t>
      </w:r>
      <w:r>
        <w:tab/>
        <w:t>La tasa de alfabetización de los adultos (personas de más de 15 años de edad) es de 37,10% (varones: 24,7% y mujeres: 45,1%). La tasa de analfabetismo es de 36,30% (varones: 47,6% y mujeres: 29,2%). La tasa de semianalfabetismo es de 26,6% (varones: 27,7% y mujeres: 25,7%). Como resultado del programa de alfab</w:t>
      </w:r>
      <w:r>
        <w:t>e</w:t>
      </w:r>
      <w:r>
        <w:t>tización correspondiente a 2001-2002, se dictan 3.242 clases a 76.051 estudiantes, de los cuales 45.663 (60%) son mujeres. Obtuvieron certificados de que sabían leer y escribir 38.391 estudiantes, de los cuales 29.582 (77%) eran mujeres.</w:t>
      </w:r>
    </w:p>
    <w:p w:rsidR="00000000" w:rsidRDefault="00000000">
      <w:pPr>
        <w:pStyle w:val="SingleTxt"/>
        <w:tabs>
          <w:tab w:val="right" w:pos="1685"/>
        </w:tabs>
        <w:ind w:left="1742" w:hanging="475"/>
      </w:pPr>
      <w:r>
        <w:tab/>
        <w:t>–</w:t>
      </w:r>
      <w:r>
        <w:tab/>
        <w:t>En el programa de alfabetización trabajan 2.841 maestros, de los cuales 717 (25%) son mujeres.</w:t>
      </w:r>
    </w:p>
    <w:p w:rsidR="00000000" w:rsidRDefault="00000000">
      <w:pPr>
        <w:pStyle w:val="SingleTxt"/>
        <w:tabs>
          <w:tab w:val="right" w:pos="1685"/>
        </w:tabs>
        <w:ind w:left="1742" w:hanging="475"/>
      </w:pPr>
      <w:r>
        <w:tab/>
        <w:t>–</w:t>
      </w:r>
      <w:r>
        <w:tab/>
        <w:t>Hay 405 inspectores.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Programa equivalente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265.</w:t>
      </w:r>
      <w:r>
        <w:tab/>
        <w:t>Programa equivalente (complementario): se desarrollan programas compl</w:t>
      </w:r>
      <w:r>
        <w:t>e</w:t>
      </w:r>
      <w:r>
        <w:t>mentarios ordinarios en los establecimientos de enseñanza secundaria: uno en los del ciclo superior y cuatro en los del ciclo básico, que se suman a otros 15 progr</w:t>
      </w:r>
      <w:r>
        <w:t>a</w:t>
      </w:r>
      <w:r>
        <w:t>mas que se dictan fuera de las horas de clase en colegios de enseñanza secundaria elemental y superior. En total, hay 1.156 estudiantes, de los cuales 197 son mujeres. De los 393 alumnos que cursan estudios en colegios secundarios elementales, 55 son mujeres; de los 813 alumnos que estudian en colegios secundarios del ciclo superior, 138 son mujeres.</w:t>
      </w:r>
    </w:p>
    <w:p w:rsidR="00000000" w:rsidRDefault="00000000">
      <w:pPr>
        <w:pStyle w:val="SingleTxt"/>
      </w:pPr>
      <w:r>
        <w:t>266.</w:t>
      </w:r>
      <w:r>
        <w:tab/>
        <w:t>Hay 201 estudiantes que terminaron sus estudios secundarios elementales, de los cuales 37 (55,21%) son mujeres, y 55 que terminaron sus estudios secundarios superiores, de los cuales 16 (13,92%) son mujeres (Informe del Departamento de Educación Extraescolar).</w:t>
      </w:r>
    </w:p>
    <w:p w:rsidR="00000000" w:rsidRDefault="00000000">
      <w:pPr>
        <w:pStyle w:val="SingleTxt"/>
      </w:pPr>
      <w:r>
        <w:t>267.</w:t>
      </w:r>
      <w:r>
        <w:tab/>
        <w:t>El Ministerio de Educación, la Juventud y los Deportes ha inaugurado en d</w:t>
      </w:r>
      <w:r>
        <w:t>i</w:t>
      </w:r>
      <w:r>
        <w:t>versas provincias/municipios cursos de enseñanza extraescolar organizados por ONG que se dirigen a 9.000 huérfanos y niños de la calle, pobres o toxicómanos con el propósito de facilitarles su reincorporación en la enseñanza escolar.</w:t>
      </w:r>
    </w:p>
    <w:p w:rsidR="00000000" w:rsidRDefault="00000000">
      <w:pPr>
        <w:pStyle w:val="SingleTxt"/>
      </w:pPr>
      <w:r>
        <w:t>268.</w:t>
      </w:r>
      <w:r>
        <w:tab/>
        <w:t>Bajo los auspicios del programa nacional de lucha contra la trata de mujeres y niños en la subregión de Mekong, el Ministerio de Educación, la Juventud y los D</w:t>
      </w:r>
      <w:r>
        <w:t>e</w:t>
      </w:r>
      <w:r>
        <w:t>portes ha escrito y recopilado libros para combatir esa trata y ha sometido a prueba el programa en cuatro centros comunitarios de las provincias de Takeo, Kompong Speu y Ko</w:t>
      </w:r>
      <w:r>
        <w:t>m</w:t>
      </w:r>
      <w:r>
        <w:t>pong Thom y del municipio de Kep.</w:t>
      </w:r>
    </w:p>
    <w:p w:rsidR="00000000" w:rsidRDefault="00000000">
      <w:pPr>
        <w:pStyle w:val="SingleTxt"/>
      </w:pPr>
      <w:r>
        <w:t>269.</w:t>
      </w:r>
      <w:r>
        <w:tab/>
        <w:t>Se dictaron 50 clases de alfabetización y formación profesional en que se i</w:t>
      </w:r>
      <w:r>
        <w:t>m</w:t>
      </w:r>
      <w:r>
        <w:t>partieron conocimientos de actividades profesionales generadoras de ingresos; asi</w:t>
      </w:r>
      <w:r>
        <w:t>s</w:t>
      </w:r>
      <w:r>
        <w:t>tieron 83.582 personas (de las cuales 39.189 eran mujeres) y completaron los est</w:t>
      </w:r>
      <w:r>
        <w:t>u</w:t>
      </w:r>
      <w:r>
        <w:t xml:space="preserve">dios 25.398, de los cuales sólo 8.200 eran mujeres. Hay 49 centros comunitarios en que se dictan 330 clases y se ofrecen cursos de capacitación en unas 17 actividades </w:t>
      </w:r>
      <w:r>
        <w:rPr>
          <w:spacing w:val="2"/>
          <w:w w:val="101"/>
        </w:rPr>
        <w:t xml:space="preserve">profesionales, que comprenden la costura, la peluquería, la reparación de motocicletas, el tejido a máquina y a mano, el tallado, la electricidad, el procesamiento de alimentos, la cerámica, los trajes de novia, la computación e idiomas extranjeros, en </w:t>
      </w:r>
      <w:r>
        <w:t>las siguientes provincias: Siem Reap, Battambang, Rattanakiri, Kandal, Kompong Thom, Ko</w:t>
      </w:r>
      <w:r>
        <w:t>m</w:t>
      </w:r>
      <w:r>
        <w:t>pong Speu, Takeo, Udor Mean Chey, Koh Kong, Kep, Kompong Chhnang, Pursat, Svay Rieng, Kampot, Banteay Mean Chey, Prey Veng y Phnom Penh.</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Integración de las cuestiones de género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270.</w:t>
      </w:r>
      <w:r>
        <w:tab/>
        <w:t>El Ministerio de Educación, la Juventud y los Deportes ha desarrollado las a</w:t>
      </w:r>
      <w:r>
        <w:t>c</w:t>
      </w:r>
      <w:r>
        <w:t>tividades que se enumeran a continuación en procura de la integración de las cue</w:t>
      </w:r>
      <w:r>
        <w:t>s</w:t>
      </w:r>
      <w:r>
        <w:t>tiones de género:</w:t>
      </w:r>
    </w:p>
    <w:p w:rsidR="00000000" w:rsidRDefault="00000000">
      <w:pPr>
        <w:pStyle w:val="SingleTxt"/>
        <w:tabs>
          <w:tab w:val="right" w:pos="1685"/>
        </w:tabs>
        <w:ind w:left="1742" w:hanging="475"/>
      </w:pPr>
      <w:r>
        <w:tab/>
        <w:t>–</w:t>
      </w:r>
      <w:r>
        <w:tab/>
        <w:t>En febrero de 2002 se estableció a nivel ministerial la estructura del grupo de trabajo para la integración de las cuestiones de género. Se formó en el Minist</w:t>
      </w:r>
      <w:r>
        <w:t>e</w:t>
      </w:r>
      <w:r>
        <w:t>rio una comisión a la que se encargó la administración y supervisión de todo lo relacionado con las cuestiones de género; es una comisión compuesta por 13 miembros, entre los cuales se cuentan un secretario y un subsecretario de Est</w:t>
      </w:r>
      <w:r>
        <w:t>a</w:t>
      </w:r>
      <w:r>
        <w:t>do, un director general y un director y un subdirector de departamento. Los grupos de trabajo a cargo de los asuntos de las niñas y del fortalecimiento de la capacidad en cuestiones de género, que comprenden 24 funcionarios de d</w:t>
      </w:r>
      <w:r>
        <w:t>e</w:t>
      </w:r>
      <w:r>
        <w:t>partamentos, cumplen sus tareas colaborando con el Ministerio de Asuntos de la Mujer y los Excombatientes. Trabajan en el Ministerio 11 instructores en cuestiones de género. Se estableció una secretaría para las cuestiones de gén</w:t>
      </w:r>
      <w:r>
        <w:t>e</w:t>
      </w:r>
      <w:r>
        <w:t>ro para que apoyara esas estructuras y trabajara junto con organizaciones que persiguiesen fines comunes (Gr</w:t>
      </w:r>
      <w:r>
        <w:t>u</w:t>
      </w:r>
      <w:r>
        <w:t>po de Apoyo y Asesoramiento).</w:t>
      </w:r>
    </w:p>
    <w:p w:rsidR="00000000" w:rsidRDefault="00000000">
      <w:pPr>
        <w:pStyle w:val="SingleTxt"/>
        <w:tabs>
          <w:tab w:val="right" w:pos="1685"/>
        </w:tabs>
        <w:ind w:left="1742" w:hanging="475"/>
      </w:pPr>
      <w:r>
        <w:tab/>
        <w:t>–</w:t>
      </w:r>
      <w:r>
        <w:tab/>
        <w:t>El 12 de octubre de 2001 se celebró una reunión entre los grupos de trabajo a cargo de las cuestiones de género y las organizaciones que colaboran en la promoción de las cuestiones de género en la esfera de la educación para ex</w:t>
      </w:r>
      <w:r>
        <w:t>a</w:t>
      </w:r>
      <w:r>
        <w:t>minar las actividades pertinentes y las posibilidades de movilizar fondos. Entre los días 14 y 30 de octubre de 2001 se desarrollaron actividades de capacit</w:t>
      </w:r>
      <w:r>
        <w:t>a</w:t>
      </w:r>
      <w:r>
        <w:t>ción de instructores en cuestiones de género.</w:t>
      </w:r>
    </w:p>
    <w:p w:rsidR="00000000" w:rsidRDefault="00000000">
      <w:pPr>
        <w:pStyle w:val="SingleTxt"/>
        <w:tabs>
          <w:tab w:val="right" w:pos="1685"/>
        </w:tabs>
        <w:ind w:left="1742" w:hanging="475"/>
      </w:pPr>
      <w:r>
        <w:tab/>
        <w:t>–</w:t>
      </w:r>
      <w:r>
        <w:tab/>
        <w:t>La capacitación de los 22 miembros del grupo de trabajo encargado de la ed</w:t>
      </w:r>
      <w:r>
        <w:t>u</w:t>
      </w:r>
      <w:r>
        <w:t>cación de las niñas y de los integrantes de los grupos de trabajo a cargo del fortalecimiento de la capacidad en cuestiones de género en la esfera de la ed</w:t>
      </w:r>
      <w:r>
        <w:t>u</w:t>
      </w:r>
      <w:r>
        <w:t>cación se llevó a cabo entre el 13 y el 15 de noviembre de 2001.</w:t>
      </w:r>
    </w:p>
    <w:p w:rsidR="00000000" w:rsidRDefault="00000000">
      <w:pPr>
        <w:pStyle w:val="SingleTxt"/>
        <w:tabs>
          <w:tab w:val="right" w:pos="1685"/>
        </w:tabs>
        <w:ind w:left="1742" w:hanging="475"/>
      </w:pPr>
      <w:r>
        <w:tab/>
        <w:t>–</w:t>
      </w:r>
      <w:r>
        <w:tab/>
        <w:t>El taller organizado para elaborar un proyecto de plan de trabajo estratégico para el período 2002-2006 se llevó a cabo del 25 de febrero al 1º de marzo de 2002.</w:t>
      </w:r>
    </w:p>
    <w:p w:rsidR="00000000" w:rsidRDefault="00000000">
      <w:pPr>
        <w:pStyle w:val="SingleTxt"/>
        <w:tabs>
          <w:tab w:val="right" w:pos="1685"/>
        </w:tabs>
        <w:ind w:left="1742" w:hanging="475"/>
      </w:pPr>
      <w:r>
        <w:tab/>
        <w:t>–</w:t>
      </w:r>
      <w:r>
        <w:tab/>
        <w:t>El 7 de marzo de 2002 se celebró en el MoEJD una mesa redonda sobre las actividades de la comisión encargada de la administración y la supervisión de todo lo relacionado con las cuestiones de género a fin de preparar un plan de tr</w:t>
      </w:r>
      <w:r>
        <w:t>a</w:t>
      </w:r>
      <w:r>
        <w:t>bajo estratégico para 2002-2006.</w:t>
      </w:r>
    </w:p>
    <w:p w:rsidR="00000000" w:rsidRDefault="00000000">
      <w:pPr>
        <w:pStyle w:val="SingleTxt"/>
      </w:pPr>
      <w:r>
        <w:rPr>
          <w:w w:val="102"/>
        </w:rPr>
        <w:t>271.</w:t>
      </w:r>
      <w:r>
        <w:rPr>
          <w:w w:val="102"/>
        </w:rPr>
        <w:tab/>
        <w:t>La secretaría organizó un taller, que se celebró del 15 al 17 de julio de 2002, para difundir el contenido del plan de trabajo estratégico para 2002-2006 entre 72 funcionarios administrativos de los Departamentos de Educación de provincias y municipios. Los días 29 y 30 de agosto de 2002 se celebró otro taller para los 22 miembros del grupo de trabajo dependiente del comité encargado de las cuestiones de género y de la educación para todos a fin de establecer lazos de cooperación entre</w:t>
      </w:r>
      <w:r>
        <w:t xml:space="preserve"> los grupos de trabajo del Ministerio en la esfera de las cuestiones de género y de la educación para todos. De conformidad con el decreto complementario relativo al Plan de Acción Prioritaria (PAP), que comprende 11 actividades, y la </w:t>
      </w:r>
      <w:r>
        <w:rPr>
          <w:i/>
        </w:rPr>
        <w:t xml:space="preserve">Prakas </w:t>
      </w:r>
      <w:r>
        <w:t>del</w:t>
      </w:r>
      <w:r>
        <w:rPr>
          <w:i/>
        </w:rPr>
        <w:t xml:space="preserve"> </w:t>
      </w:r>
      <w:r>
        <w:t>Ministerio de Economía y Finanzas sobre su ejecución, el MoEJD:</w:t>
      </w:r>
    </w:p>
    <w:p w:rsidR="00000000" w:rsidRDefault="00000000">
      <w:pPr>
        <w:pStyle w:val="SingleTxt"/>
        <w:tabs>
          <w:tab w:val="right" w:pos="1685"/>
        </w:tabs>
        <w:ind w:left="1742" w:hanging="475"/>
      </w:pPr>
      <w:r>
        <w:tab/>
        <w:t>–</w:t>
      </w:r>
      <w:r>
        <w:tab/>
        <w:t>Analizó y evaluó las actividades desarrolladas en materia de género en cu</w:t>
      </w:r>
      <w:r>
        <w:t>m</w:t>
      </w:r>
      <w:r>
        <w:t>plimiento del ESSP/PAP 2001 del MoEJD entre el 26 y el 30 de agosto de 2002;</w:t>
      </w:r>
    </w:p>
    <w:p w:rsidR="00000000" w:rsidRDefault="00000000">
      <w:pPr>
        <w:pStyle w:val="SingleTxt"/>
        <w:tabs>
          <w:tab w:val="right" w:pos="1685"/>
        </w:tabs>
        <w:ind w:left="1742" w:hanging="475"/>
      </w:pPr>
      <w:r>
        <w:tab/>
        <w:t>–</w:t>
      </w:r>
      <w:r>
        <w:tab/>
        <w:t>Dirigió las clases de capacitación impartidas entre el 25 y el 27 de septiembre de 2002 a todos los funcionarios departamentales del Minist</w:t>
      </w:r>
      <w:r>
        <w:t>e</w:t>
      </w:r>
      <w:r>
        <w:t>rio;</w:t>
      </w:r>
    </w:p>
    <w:p w:rsidR="00000000" w:rsidRDefault="00000000">
      <w:pPr>
        <w:pStyle w:val="SingleTxt"/>
        <w:tabs>
          <w:tab w:val="right" w:pos="1685"/>
        </w:tabs>
        <w:ind w:left="1742" w:hanging="475"/>
      </w:pPr>
      <w:r>
        <w:tab/>
        <w:t>–</w:t>
      </w:r>
      <w:r>
        <w:tab/>
        <w:t>Organizó clases de capacitación para todos los funcionarios que trabajaban en los departamentos del Ministerio entre los días 18 y 20 de septiembre de 2002;</w:t>
      </w:r>
    </w:p>
    <w:p w:rsidR="00000000" w:rsidRDefault="00000000">
      <w:pPr>
        <w:pStyle w:val="SingleTxt"/>
        <w:tabs>
          <w:tab w:val="right" w:pos="1685"/>
        </w:tabs>
        <w:ind w:left="1742" w:hanging="475"/>
      </w:pPr>
      <w:r>
        <w:tab/>
        <w:t>–</w:t>
      </w:r>
      <w:r>
        <w:tab/>
        <w:t xml:space="preserve">Con la colaboración de </w:t>
      </w:r>
      <w:r>
        <w:rPr>
          <w:i/>
        </w:rPr>
        <w:t xml:space="preserve">Cooperative for American Relief Everywhere </w:t>
      </w:r>
      <w:r>
        <w:t>(</w:t>
      </w:r>
      <w:r>
        <w:rPr>
          <w:i/>
        </w:rPr>
        <w:t>CARE</w:t>
      </w:r>
      <w:r>
        <w:t>) y la financiación del UNICEF, la secretaría del Ministerio para la educación de las niñas y la atención de las cuestiones de género otorgó becas a 126 niñas p</w:t>
      </w:r>
      <w:r>
        <w:t>a</w:t>
      </w:r>
      <w:r>
        <w:t>ra que completaran sus estudios secund</w:t>
      </w:r>
      <w:r>
        <w:t>a</w:t>
      </w:r>
      <w:r>
        <w:t>rios en el distrito de Loek Dek.</w:t>
      </w:r>
    </w:p>
    <w:p w:rsidR="00000000" w:rsidRDefault="00000000">
      <w:pPr>
        <w:pStyle w:val="SingleTxt"/>
      </w:pPr>
      <w:r>
        <w:t>272.</w:t>
      </w:r>
      <w:r>
        <w:tab/>
        <w:t>El MoEJD aspira a reducir la tasa de analfabetismo un 20% en un período de 15 años (2001-2015). De esa manera se darán muchas oportunidades a todos los ciudadanos, especialmente a las mujeres pobres y necesitadas, los huérfanos, los miembros de las minorías étnicas de las tierras altas y las personas más vulnerables, para que tengan a</w:t>
      </w:r>
      <w:r>
        <w:t>c</w:t>
      </w:r>
      <w:r>
        <w:t>ceso a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Reducción del coeficiente de deserción escolar en las niñas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273.</w:t>
      </w:r>
      <w:r>
        <w:tab/>
        <w:t>De conformidad con el plan de reducir el coeficiente de deserción escolar, el Real Gobierno de Camboya ha propuesto un proyecto estratégico para construir r</w:t>
      </w:r>
      <w:r>
        <w:t>e</w:t>
      </w:r>
      <w:r>
        <w:t>sidencias para muchachas procedentes de zonas remotas, especialmente de la parte oriental del país, considerada como la más pobre de Camboya.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acceso a la práctica de deportes y a la educación física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spacing w:val="2"/>
          <w:w w:val="101"/>
        </w:rPr>
      </w:pPr>
      <w:r>
        <w:rPr>
          <w:spacing w:val="2"/>
          <w:w w:val="101"/>
        </w:rPr>
        <w:t>274.</w:t>
      </w:r>
      <w:r>
        <w:rPr>
          <w:spacing w:val="2"/>
          <w:w w:val="101"/>
        </w:rPr>
        <w:tab/>
        <w:t>En principio, la mujer tiene la mismas posibilidades y oportunidades de acceso a la práctica de deportes y a la educación física. Empero, los valores tradicionales, según los cuales la mujer khmer debe ser dulce y delicada y consagrarse a la atención de la familia, abren una brecha que limita la participación femenina en estas e</w:t>
      </w:r>
      <w:r>
        <w:rPr>
          <w:spacing w:val="2"/>
          <w:w w:val="101"/>
        </w:rPr>
        <w:t>s</w:t>
      </w:r>
      <w:r>
        <w:rPr>
          <w:spacing w:val="2"/>
          <w:w w:val="101"/>
        </w:rPr>
        <w:t>feras.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acceso a cursos de capacitación en atención de la salud (bienestar) y a informaciones diferentes sobre la construcción de la felicidad familiar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275.</w:t>
      </w:r>
      <w:r>
        <w:tab/>
        <w:t>La educación expresamente para la salud, en especial en cuanto a la compre</w:t>
      </w:r>
      <w:r>
        <w:t>n</w:t>
      </w:r>
      <w:r>
        <w:t>sión del VIH/SIDA, la salud de la boca, los dientes y la garganta, la utilización de agua limpia, el espaciamiento de los nacimientos, la higiene personal de la mujer y su familia y la atención de los hijos, se ha difundido de manera amplia en las e</w:t>
      </w:r>
      <w:r>
        <w:t>s</w:t>
      </w:r>
      <w:r>
        <w:t>cuelas por conducto del Comité para el desarrollo de las aldeas y los medios de c</w:t>
      </w:r>
      <w:r>
        <w:t>o</w:t>
      </w:r>
      <w:r>
        <w:t>municación nacionales. De todas maneras, la comprensión general de estas cuesti</w:t>
      </w:r>
      <w:r>
        <w:t>o</w:t>
      </w:r>
      <w:r>
        <w:t>nes es todavía muy limitada.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276.</w:t>
      </w:r>
      <w:r>
        <w:tab/>
        <w:t>El alto coeficiente de deserción escolar es uno de los principales problemas. Las razones de la deserción son el matrimonio precoz, las precarias condiciones de vida (las niñas ayudan en los quehaceres domésticos), la enfermedad o la necesidad de recibir un tratamiento médico prolongado, la viudez de mujeres sin una carrera profesional que dependen del trabajo de sus hijos pequeños, la falta de acceso a agua limpia, los desastres naturales como las inundaciones y las sequías y el hecho de vivir lejos de la escuela; a todo eso se suma la falta de material didáctico y de retretes para mujeres, la carencia de medios de transporte, el miedo a la inseguridad, la mala calidad de la enseñanza, la deficiente infraestructura material de las escu</w:t>
      </w:r>
      <w:r>
        <w:t>e</w:t>
      </w:r>
      <w:r>
        <w:t>las, la insuficiencia de los recursos asignados a la enseñanza y la escasez de becas. Con todo, también es cierto que algunas familias consideran que las niñas no nec</w:t>
      </w:r>
      <w:r>
        <w:t>e</w:t>
      </w:r>
      <w:r>
        <w:t>sitan educ</w:t>
      </w:r>
      <w:r>
        <w:t>a</w:t>
      </w:r>
      <w:r>
        <w:t>ción superior.</w:t>
      </w:r>
    </w:p>
    <w:p w:rsidR="00000000" w:rsidRDefault="00000000">
      <w:pPr>
        <w:pStyle w:val="SingleTxt"/>
      </w:pPr>
      <w:r>
        <w:t>277.</w:t>
      </w:r>
      <w:r>
        <w:tab/>
        <w:t>En las provincias sólo hay un número limitado de centros de capacitación pr</w:t>
      </w:r>
      <w:r>
        <w:t>o</w:t>
      </w:r>
      <w:r>
        <w:t>fesional y técnica. Otros obstáculos son la ausencia de cursos de motivación que i</w:t>
      </w:r>
      <w:r>
        <w:t>n</w:t>
      </w:r>
      <w:r>
        <w:t>duzcan a los estudiantes a ir a estudiar, la inexistencia de mejoras en las técnicas de capacitación tradicionales que no se han adecuado a las demandas del mercado r</w:t>
      </w:r>
      <w:r>
        <w:t>u</w:t>
      </w:r>
      <w:r>
        <w:t>ral, los bajos salarios de la administración pública y el escaso material pedagógico. El salario mensual de los instructores, maestros y profesores y el monto de las becas que se conceden a los estudiantes no son suficientes para cubrir el costo de la vida.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Estrategias futuras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278.</w:t>
      </w:r>
      <w:r>
        <w:tab/>
        <w:t>El Real Gobierno de Camboya tomará todas las medidas apropiadas para el</w:t>
      </w:r>
      <w:r>
        <w:t>i</w:t>
      </w:r>
      <w:r>
        <w:t>minar la discriminación contra la mujer en la esfera de la educación ofreciendo un programa de estudios sensible en materia de género, igualdad de oportunidades en los exámenes, las mismas posibilidades de acceso a las instalaciones de las escuelas, un cuerpo docente suficiente y equipos didácticos de buena calidad. Además, el R</w:t>
      </w:r>
      <w:r>
        <w:t>e</w:t>
      </w:r>
      <w:r>
        <w:t>al Gobierno de Camboya erradicará el comportamiento negativo de los papeles asignados al hombre y la mujer en todos los planos y en todas las formas de educ</w:t>
      </w:r>
      <w:r>
        <w:t>a</w:t>
      </w:r>
      <w:r>
        <w:t>ción. También velará porque las estudiantes mujeres dispongan de las mismas oportunidades que los varones en la esfera de la obtención de becas y otras subve</w:t>
      </w:r>
      <w:r>
        <w:t>n</w:t>
      </w:r>
      <w:r>
        <w:t>ciones para estudios y continuará desarrollando su política de acción afirmativa con miras a alentar a las mujeres a seguir estudiando y completar su instrucción el</w:t>
      </w:r>
      <w:r>
        <w:t>e</w:t>
      </w:r>
      <w:r>
        <w:t>mental y s</w:t>
      </w:r>
      <w:r>
        <w:t>u</w:t>
      </w:r>
      <w:r>
        <w:t>perior.</w:t>
      </w:r>
    </w:p>
    <w:p w:rsidR="00000000" w:rsidRDefault="00000000">
      <w:pPr>
        <w:pStyle w:val="SingleTxt"/>
      </w:pPr>
      <w:r>
        <w:t>279.</w:t>
      </w:r>
      <w:r>
        <w:tab/>
        <w:t>Con objeto de reducir el coeficiente de deserción escolar de las niñas, se asi</w:t>
      </w:r>
      <w:r>
        <w:t>g</w:t>
      </w:r>
      <w:r>
        <w:t>nará un presupuesto especial para la construcción de residencias para estudiantes mujeres que procedan de zonas remotas. Se otorgarán préstamos a las familias p</w:t>
      </w:r>
      <w:r>
        <w:t>o</w:t>
      </w:r>
      <w:r>
        <w:t>bres y a las campesinas que hayan quedado viudas con objeto de estimularlas para que envíen a sus hijas a la escuela.</w:t>
      </w:r>
    </w:p>
    <w:p w:rsidR="00000000" w:rsidRDefault="00000000">
      <w:pPr>
        <w:pStyle w:val="SingleTxt"/>
      </w:pPr>
      <w:r>
        <w:t>280.</w:t>
      </w:r>
      <w:r>
        <w:tab/>
        <w:t>El Real Gobierno de Camboya seguirá promoviendo el deporte y la educación física tanto en la enseñanza escolar como en la extraescolar. Llevará a cabo su labor diariamente al desarrollar el plan de estudios en los institutos públicos y privados y por conducto de los medios de comunicación: entre otros, la radio, la televisión, las revistas, los diarios y los carteles. La finalidad es ejecutar eficazmente las políticas gubernamentales, especialmente las relativas al desarrollo de los recursos humanos.</w:t>
      </w:r>
    </w:p>
    <w:p w:rsidR="00000000" w:rsidRDefault="00000000">
      <w:pPr>
        <w:pStyle w:val="SingleTxt"/>
      </w:pPr>
      <w:r>
        <w:t>281.</w:t>
      </w:r>
      <w:r>
        <w:tab/>
        <w:t>Sobre la base de principios democráticos, niños y jóvenes serán educados para que sean buenos ciudadanos y buenos trabajadores. El Real Gobierno de Camboya procura:</w:t>
      </w:r>
    </w:p>
    <w:p w:rsidR="00000000" w:rsidRDefault="00000000">
      <w:pPr>
        <w:pStyle w:val="SingleTxt"/>
        <w:tabs>
          <w:tab w:val="right" w:pos="1685"/>
        </w:tabs>
        <w:ind w:left="1742" w:hanging="475"/>
      </w:pPr>
      <w:r>
        <w:tab/>
        <w:t>–</w:t>
      </w:r>
      <w:r>
        <w:tab/>
        <w:t>Reducir el analfabetismo, promover el aprendizaje de la aritmética y ofrecer capac</w:t>
      </w:r>
      <w:r>
        <w:t>i</w:t>
      </w:r>
      <w:r>
        <w:t>tación profesional a las niñas;</w:t>
      </w:r>
    </w:p>
    <w:p w:rsidR="00000000" w:rsidRDefault="00000000">
      <w:pPr>
        <w:pStyle w:val="SingleTxt"/>
        <w:tabs>
          <w:tab w:val="right" w:pos="1685"/>
        </w:tabs>
        <w:ind w:left="1742" w:hanging="475"/>
      </w:pPr>
      <w:r>
        <w:tab/>
        <w:t>–</w:t>
      </w:r>
      <w:r>
        <w:tab/>
        <w:t>Eliminar todas las formas de discriminación contra la mujer en la educación y la c</w:t>
      </w:r>
      <w:r>
        <w:t>a</w:t>
      </w:r>
      <w:r>
        <w:t>pacitación;</w:t>
      </w:r>
    </w:p>
    <w:p w:rsidR="00000000" w:rsidRDefault="00000000">
      <w:pPr>
        <w:pStyle w:val="SingleTxt"/>
        <w:tabs>
          <w:tab w:val="right" w:pos="1685"/>
        </w:tabs>
        <w:ind w:left="1742" w:hanging="475"/>
      </w:pPr>
      <w:r>
        <w:tab/>
        <w:t>–</w:t>
      </w:r>
      <w:r>
        <w:tab/>
        <w:t>Promover el aumento de la información y la educación de los padres de los estudiantes con revistas dirigidas a ellos, para que reconozcan la importancia de educar a sus hijas;</w:t>
      </w:r>
    </w:p>
    <w:p w:rsidR="00000000" w:rsidRDefault="00000000">
      <w:pPr>
        <w:pStyle w:val="SingleTxt"/>
        <w:tabs>
          <w:tab w:val="right" w:pos="1685"/>
        </w:tabs>
        <w:ind w:left="1742" w:hanging="475"/>
      </w:pPr>
      <w:r>
        <w:tab/>
        <w:t>–</w:t>
      </w:r>
      <w:r>
        <w:tab/>
        <w:t>Incrementar el número de mujeres que ocupan puestos directivos en instituci</w:t>
      </w:r>
      <w:r>
        <w:t>o</w:t>
      </w:r>
      <w:r>
        <w:t>nes, departamentos y oficinas;</w:t>
      </w:r>
    </w:p>
    <w:p w:rsidR="00000000" w:rsidRDefault="00000000">
      <w:pPr>
        <w:pStyle w:val="SingleTxt"/>
        <w:tabs>
          <w:tab w:val="right" w:pos="1685"/>
        </w:tabs>
        <w:ind w:left="1742" w:hanging="475"/>
      </w:pPr>
      <w:r>
        <w:tab/>
        <w:t>–</w:t>
      </w:r>
      <w:r>
        <w:tab/>
        <w:t>Promover la aplicación del lema “una escuela, un producto”, especialmente en las escuelas situadas cerca de zonas turísticas, a la luz de la política del G</w:t>
      </w:r>
      <w:r>
        <w:t>o</w:t>
      </w:r>
      <w:r>
        <w:t>bierno: “una aldea, un producto”.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Futuros planes del Ministerio de Educación, la Juventud y los D</w:t>
      </w:r>
      <w:r>
        <w:t>e</w:t>
      </w:r>
      <w:r>
        <w:t>portes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282.</w:t>
      </w:r>
      <w:r>
        <w:tab/>
      </w:r>
      <w:r>
        <w:rPr>
          <w:b/>
        </w:rPr>
        <w:t>Jardines de infancia</w:t>
      </w:r>
    </w:p>
    <w:p w:rsidR="00000000" w:rsidRDefault="00000000">
      <w:pPr>
        <w:pStyle w:val="SingleTxt"/>
        <w:tabs>
          <w:tab w:val="right" w:pos="1685"/>
        </w:tabs>
        <w:ind w:left="1742" w:hanging="475"/>
      </w:pPr>
      <w:r>
        <w:tab/>
        <w:t>–</w:t>
      </w:r>
      <w:r>
        <w:tab/>
        <w:t>Fomentar el establecimiento de jardines de infancia en las escuelas primarias;</w:t>
      </w:r>
    </w:p>
    <w:p w:rsidR="00000000" w:rsidRDefault="00000000">
      <w:pPr>
        <w:pStyle w:val="SingleTxt"/>
        <w:tabs>
          <w:tab w:val="right" w:pos="1685"/>
        </w:tabs>
        <w:ind w:left="1742" w:hanging="475"/>
      </w:pPr>
      <w:r>
        <w:tab/>
        <w:t>–</w:t>
      </w:r>
      <w:r>
        <w:tab/>
        <w:t>Alentar a los padres de niños que hayan alcanzado la edad preescolar, esp</w:t>
      </w:r>
      <w:r>
        <w:t>e</w:t>
      </w:r>
      <w:r>
        <w:t>cialmente a los padres de niños que hayan cumplido cinco años y vivan en z</w:t>
      </w:r>
      <w:r>
        <w:t>o</w:t>
      </w:r>
      <w:r>
        <w:t>nas pobres y remotas, para que los inscriban en la escuela en condiciones de igualdad;</w:t>
      </w:r>
    </w:p>
    <w:p w:rsidR="00000000" w:rsidRDefault="00000000">
      <w:pPr>
        <w:pStyle w:val="SingleTxt"/>
        <w:tabs>
          <w:tab w:val="right" w:pos="1685"/>
        </w:tabs>
        <w:ind w:left="1742" w:hanging="475"/>
      </w:pPr>
      <w:r>
        <w:tab/>
        <w:t>–</w:t>
      </w:r>
      <w:r>
        <w:tab/>
        <w:t>Perfeccionar el plan de estudios correspondiente a las clases preparatorias destinadas a los niños de cinco años, y</w:t>
      </w:r>
    </w:p>
    <w:p w:rsidR="00000000" w:rsidRDefault="00000000">
      <w:pPr>
        <w:pStyle w:val="SingleTxt"/>
        <w:tabs>
          <w:tab w:val="right" w:pos="1685"/>
        </w:tabs>
        <w:ind w:left="1742" w:hanging="475"/>
      </w:pPr>
      <w:r>
        <w:tab/>
        <w:t>–</w:t>
      </w:r>
      <w:r>
        <w:tab/>
        <w:t>Desarrollar programas para que los padres tomen conciencia de la política educativa e incentivarlos para que también enseñen a sus hijos en el hogar.</w:t>
      </w:r>
    </w:p>
    <w:p w:rsidR="00000000" w:rsidRDefault="00000000">
      <w:pPr>
        <w:pStyle w:val="SingleTxt"/>
        <w:rPr>
          <w:b/>
        </w:rPr>
      </w:pPr>
      <w:r>
        <w:t>283.</w:t>
      </w:r>
      <w:r>
        <w:tab/>
      </w:r>
      <w:r>
        <w:rPr>
          <w:b/>
        </w:rPr>
        <w:t>Escuelas primarias</w:t>
      </w:r>
    </w:p>
    <w:p w:rsidR="00000000" w:rsidRDefault="00000000">
      <w:pPr>
        <w:pStyle w:val="SingleTxt"/>
        <w:tabs>
          <w:tab w:val="right" w:pos="1685"/>
        </w:tabs>
        <w:ind w:left="1742" w:hanging="475"/>
      </w:pPr>
      <w:r>
        <w:tab/>
        <w:t>–</w:t>
      </w:r>
      <w:r>
        <w:tab/>
        <w:t>Estimular la matriculación en la escuela de los niños de seis años;</w:t>
      </w:r>
    </w:p>
    <w:p w:rsidR="00000000" w:rsidRDefault="00000000">
      <w:pPr>
        <w:pStyle w:val="SingleTxt"/>
        <w:tabs>
          <w:tab w:val="right" w:pos="1685"/>
        </w:tabs>
        <w:ind w:left="1742" w:hanging="475"/>
      </w:pPr>
      <w:r>
        <w:tab/>
        <w:t>–</w:t>
      </w:r>
      <w:r>
        <w:tab/>
        <w:t>Reducir los coeficientes de repetición de curso y de deserción escolar, esp</w:t>
      </w:r>
      <w:r>
        <w:t>e</w:t>
      </w:r>
      <w:r>
        <w:t>cialmente en los grados primero y segundo;</w:t>
      </w:r>
    </w:p>
    <w:p w:rsidR="00000000" w:rsidRDefault="00000000">
      <w:pPr>
        <w:pStyle w:val="SingleTxt"/>
        <w:tabs>
          <w:tab w:val="right" w:pos="1685"/>
        </w:tabs>
        <w:ind w:left="1742" w:hanging="475"/>
      </w:pPr>
      <w:r>
        <w:tab/>
        <w:t>–</w:t>
      </w:r>
      <w:r>
        <w:tab/>
        <w:t>Fomentar la matriculación en una escuela de los niños discapacitados o que sean miembros de minorías étnicas o pobres, y</w:t>
      </w:r>
    </w:p>
    <w:p w:rsidR="00000000" w:rsidRDefault="00000000">
      <w:pPr>
        <w:pStyle w:val="SingleTxt"/>
        <w:tabs>
          <w:tab w:val="right" w:pos="1685"/>
        </w:tabs>
        <w:ind w:left="1742" w:hanging="475"/>
      </w:pPr>
      <w:r>
        <w:tab/>
        <w:t>–</w:t>
      </w:r>
      <w:r>
        <w:tab/>
        <w:t>Emplear métodos de enseñanza bilingüe con los niños de la provincia de Rattanakiri que pertenezcan a una minoría étnica.</w:t>
      </w:r>
    </w:p>
    <w:p w:rsidR="00000000" w:rsidRDefault="00000000">
      <w:pPr>
        <w:pStyle w:val="SingleTxt"/>
        <w:rPr>
          <w:b/>
        </w:rPr>
      </w:pPr>
      <w:r>
        <w:t>284.</w:t>
      </w:r>
      <w:r>
        <w:tab/>
      </w:r>
      <w:r>
        <w:rPr>
          <w:b/>
        </w:rPr>
        <w:t>Colegios secundarios</w:t>
      </w:r>
    </w:p>
    <w:p w:rsidR="00000000" w:rsidRDefault="00000000">
      <w:pPr>
        <w:pStyle w:val="SingleTxt"/>
        <w:tabs>
          <w:tab w:val="right" w:pos="1685"/>
        </w:tabs>
        <w:ind w:left="1742" w:hanging="475"/>
        <w:rPr>
          <w:w w:val="102"/>
        </w:rPr>
      </w:pPr>
      <w:r>
        <w:rPr>
          <w:w w:val="102"/>
        </w:rPr>
        <w:tab/>
        <w:t>–</w:t>
      </w:r>
      <w:r>
        <w:rPr>
          <w:w w:val="102"/>
        </w:rPr>
        <w:tab/>
        <w:t>Intensificar las actividades docentes y ofrecer a los estudiantes conocimientos prácticos que puedan aplicar fuera de la escuela, en las actividades que des</w:t>
      </w:r>
      <w:r>
        <w:rPr>
          <w:w w:val="102"/>
        </w:rPr>
        <w:t>a</w:t>
      </w:r>
      <w:r>
        <w:rPr>
          <w:w w:val="102"/>
        </w:rPr>
        <w:t>rrollen para ganarse el sustento o que sean propias de la vida cotidiana, esp</w:t>
      </w:r>
      <w:r>
        <w:rPr>
          <w:w w:val="102"/>
        </w:rPr>
        <w:t>e</w:t>
      </w:r>
      <w:r>
        <w:rPr>
          <w:w w:val="102"/>
        </w:rPr>
        <w:t>cialmente en las esferas de la agricultura, las tareas domésticas y la carpint</w:t>
      </w:r>
      <w:r>
        <w:rPr>
          <w:w w:val="102"/>
        </w:rPr>
        <w:t>e</w:t>
      </w:r>
      <w:r>
        <w:rPr>
          <w:w w:val="102"/>
        </w:rPr>
        <w:t>ría;</w:t>
      </w:r>
    </w:p>
    <w:p w:rsidR="00000000" w:rsidRDefault="00000000">
      <w:pPr>
        <w:pStyle w:val="SingleTxt"/>
        <w:tabs>
          <w:tab w:val="right" w:pos="1685"/>
        </w:tabs>
        <w:ind w:left="1742" w:hanging="475"/>
      </w:pPr>
      <w:r>
        <w:tab/>
        <w:t>–</w:t>
      </w:r>
      <w:r>
        <w:tab/>
        <w:t>Fortalecer el papel que desempeñan los directores de escuela y las comunid</w:t>
      </w:r>
      <w:r>
        <w:t>a</w:t>
      </w:r>
      <w:r>
        <w:t>des en la administración de los centros de enseñanza sobre la base de la de</w:t>
      </w:r>
      <w:r>
        <w:t>s</w:t>
      </w:r>
      <w:r>
        <w:t>centraliz</w:t>
      </w:r>
      <w:r>
        <w:t>a</w:t>
      </w:r>
      <w:r>
        <w:t>ción, y</w:t>
      </w:r>
    </w:p>
    <w:p w:rsidR="00000000" w:rsidRDefault="00000000">
      <w:pPr>
        <w:pStyle w:val="SingleTxt"/>
        <w:tabs>
          <w:tab w:val="right" w:pos="1685"/>
        </w:tabs>
        <w:ind w:left="1742" w:hanging="475"/>
      </w:pPr>
      <w:r>
        <w:tab/>
        <w:t>–</w:t>
      </w:r>
      <w:r>
        <w:tab/>
        <w:t>Seguir reduciendo los coeficientes de repetición de grado y deserción escolar.</w:t>
      </w:r>
    </w:p>
    <w:p w:rsidR="00000000" w:rsidRDefault="00000000">
      <w:pPr>
        <w:pStyle w:val="SingleTxt"/>
        <w:rPr>
          <w:b/>
        </w:rPr>
      </w:pPr>
      <w:r>
        <w:t>285.</w:t>
      </w:r>
      <w:r>
        <w:tab/>
      </w:r>
      <w:r>
        <w:rPr>
          <w:b/>
        </w:rPr>
        <w:t>Educación extraescolar</w:t>
      </w:r>
    </w:p>
    <w:p w:rsidR="00000000" w:rsidRDefault="00000000">
      <w:pPr>
        <w:pStyle w:val="SingleTxt"/>
        <w:tabs>
          <w:tab w:val="right" w:pos="1685"/>
        </w:tabs>
        <w:ind w:left="1742" w:hanging="475"/>
      </w:pPr>
      <w:r>
        <w:tab/>
        <w:t>–</w:t>
      </w:r>
      <w:r>
        <w:tab/>
        <w:t>Dictar clases fuera del horario escolar para los niños y jóvenes que hayan abandonado sus estudios o no hayan asistido a la escuela primaria o secundaria para que tengan la oportunidad de incorporarse o reincorporarse en los cursos de enseñanza of</w:t>
      </w:r>
      <w:r>
        <w:t>i</w:t>
      </w:r>
      <w:r>
        <w:t>ciales, y</w:t>
      </w:r>
    </w:p>
    <w:p w:rsidR="00000000" w:rsidRDefault="00000000">
      <w:pPr>
        <w:pStyle w:val="SingleTxt"/>
        <w:tabs>
          <w:tab w:val="right" w:pos="1685"/>
        </w:tabs>
        <w:ind w:left="1742" w:hanging="475"/>
      </w:pPr>
      <w:r>
        <w:tab/>
        <w:t>–</w:t>
      </w:r>
      <w:r>
        <w:tab/>
        <w:t>Promover y perfeccionar programas de estudios que faciliten la generación de ingresos en los centros de enseñanza o en las comunidades recurriendo al s</w:t>
      </w:r>
      <w:r>
        <w:t>u</w:t>
      </w:r>
      <w:r>
        <w:t>ministro de conocimientos y de préstamos y al establecimiento de grupos de ayuda.</w:t>
      </w:r>
    </w:p>
    <w:p w:rsidR="00000000" w:rsidRDefault="00000000">
      <w:pPr>
        <w:pStyle w:val="SingleTxt"/>
        <w:rPr>
          <w:b/>
        </w:rPr>
      </w:pPr>
      <w:r>
        <w:t>286.</w:t>
      </w:r>
      <w:r>
        <w:tab/>
      </w:r>
      <w:r>
        <w:rPr>
          <w:b/>
        </w:rPr>
        <w:t>Actividades relacionadas con la enseñanza superior</w:t>
      </w:r>
    </w:p>
    <w:p w:rsidR="00000000" w:rsidRDefault="00000000">
      <w:pPr>
        <w:pStyle w:val="SingleTxt"/>
        <w:tabs>
          <w:tab w:val="right" w:pos="1685"/>
        </w:tabs>
        <w:ind w:left="1742" w:hanging="475"/>
      </w:pPr>
      <w:r>
        <w:tab/>
        <w:t>–</w:t>
      </w:r>
      <w:r>
        <w:tab/>
        <w:t>Impulsar la redacción de una ley relativa a la enseñanza superior en virtud de la cual se establezca un comité que vele por la calidad de la enseñanza impa</w:t>
      </w:r>
      <w:r>
        <w:t>r</w:t>
      </w:r>
      <w:r>
        <w:t>tida en establecimientos privados y públicos de est</w:t>
      </w:r>
      <w:r>
        <w:t>u</w:t>
      </w:r>
      <w:r>
        <w:t>dios superiores;</w:t>
      </w:r>
    </w:p>
    <w:p w:rsidR="00000000" w:rsidRDefault="00000000">
      <w:pPr>
        <w:pStyle w:val="SingleTxt"/>
        <w:tabs>
          <w:tab w:val="right" w:pos="1685"/>
        </w:tabs>
        <w:ind w:left="1742" w:hanging="475"/>
      </w:pPr>
      <w:r>
        <w:tab/>
        <w:t>–</w:t>
      </w:r>
      <w:r>
        <w:tab/>
        <w:t>Establecer un mecanismo para verificar la calidad de la educación mediante la inspección y el control de la calidad de la enseñanza en los institutos de est</w:t>
      </w:r>
      <w:r>
        <w:t>u</w:t>
      </w:r>
      <w:r>
        <w:t>dios sup</w:t>
      </w:r>
      <w:r>
        <w:t>e</w:t>
      </w:r>
      <w:r>
        <w:t>riores;</w:t>
      </w:r>
    </w:p>
    <w:p w:rsidR="00000000" w:rsidRDefault="00000000">
      <w:pPr>
        <w:pStyle w:val="SingleTxt"/>
        <w:tabs>
          <w:tab w:val="right" w:pos="1685"/>
        </w:tabs>
        <w:ind w:left="1742" w:hanging="475"/>
      </w:pPr>
      <w:r>
        <w:tab/>
        <w:t>–</w:t>
      </w:r>
      <w:r>
        <w:tab/>
        <w:t>Promover la transformación de más establecimientos de enseñanza superior en institutos de administración pública para que se conviertan en entidades aut</w:t>
      </w:r>
      <w:r>
        <w:t>ó</w:t>
      </w:r>
      <w:r>
        <w:t>nomas desde el punto de vista de la gestión administrativa y técnica y sean transparentes en relación con la gestión financi</w:t>
      </w:r>
      <w:r>
        <w:t>e</w:t>
      </w:r>
      <w:r>
        <w:t>ra;</w:t>
      </w:r>
    </w:p>
    <w:p w:rsidR="00000000" w:rsidRDefault="00000000">
      <w:pPr>
        <w:pStyle w:val="SingleTxt"/>
        <w:tabs>
          <w:tab w:val="right" w:pos="1685"/>
        </w:tabs>
        <w:ind w:left="1742" w:hanging="475"/>
      </w:pPr>
      <w:r>
        <w:tab/>
        <w:t>–</w:t>
      </w:r>
      <w:r>
        <w:tab/>
        <w:t>Integrar planes crediticios en los programas de enseñanza y establecer un m</w:t>
      </w:r>
      <w:r>
        <w:t>e</w:t>
      </w:r>
      <w:r>
        <w:t>canismo para fomentar el ofrecimiento de cursos de prebachillerato, bachill</w:t>
      </w:r>
      <w:r>
        <w:t>e</w:t>
      </w:r>
      <w:r>
        <w:t>rato, lice</w:t>
      </w:r>
      <w:r>
        <w:t>n</w:t>
      </w:r>
      <w:r>
        <w:t>ciatura y doctorado;</w:t>
      </w:r>
    </w:p>
    <w:p w:rsidR="00000000" w:rsidRDefault="00000000">
      <w:pPr>
        <w:pStyle w:val="SingleTxt"/>
        <w:tabs>
          <w:tab w:val="right" w:pos="1685"/>
        </w:tabs>
        <w:ind w:left="1742" w:hanging="475"/>
      </w:pPr>
      <w:r>
        <w:tab/>
        <w:t>–</w:t>
      </w:r>
      <w:r>
        <w:tab/>
        <w:t>Desarrollar nuevas materias de conformidad con la evolución y las demandas del mercado laboral y proporcionar servicios de búsqueda de empleo a los e</w:t>
      </w:r>
      <w:r>
        <w:t>s</w:t>
      </w:r>
      <w:r>
        <w:t>tudiantes, y</w:t>
      </w:r>
    </w:p>
    <w:p w:rsidR="00000000" w:rsidRDefault="00000000">
      <w:pPr>
        <w:pStyle w:val="SingleTxt"/>
        <w:tabs>
          <w:tab w:val="right" w:pos="1685"/>
        </w:tabs>
        <w:ind w:left="1742" w:hanging="475"/>
      </w:pPr>
      <w:r>
        <w:tab/>
        <w:t>–</w:t>
      </w:r>
      <w:r>
        <w:tab/>
        <w:t>Aumentar la capacidad de los funcionarios y los profesores de los institutos de enseñanza superior proporcionándoles de continuo oportunidades de perfe</w:t>
      </w:r>
      <w:r>
        <w:t>c</w:t>
      </w:r>
      <w:r>
        <w:t>cionarse en el país y en el exterior.</w:t>
      </w:r>
    </w:p>
    <w:p w:rsidR="00000000" w:rsidRDefault="00000000">
      <w:pPr>
        <w:pStyle w:val="SingleTxt"/>
        <w:rPr>
          <w:b/>
        </w:rPr>
      </w:pPr>
      <w:r>
        <w:t>287.</w:t>
      </w:r>
      <w:r>
        <w:tab/>
      </w:r>
      <w:r>
        <w:rPr>
          <w:b/>
        </w:rPr>
        <w:t>Actividades de capacitación técnica y profesional</w:t>
      </w:r>
    </w:p>
    <w:p w:rsidR="00000000" w:rsidRDefault="00000000">
      <w:pPr>
        <w:pStyle w:val="SingleTxt"/>
        <w:tabs>
          <w:tab w:val="right" w:pos="1685"/>
        </w:tabs>
        <w:ind w:left="1742" w:hanging="475"/>
      </w:pPr>
      <w:r>
        <w:tab/>
        <w:t>–</w:t>
      </w:r>
      <w:r>
        <w:tab/>
        <w:t>Promover la cooperación entre el Estado, el sector privado y las organizaci</w:t>
      </w:r>
      <w:r>
        <w:t>o</w:t>
      </w:r>
      <w:r>
        <w:t>nes no gubernamentales que se ocupan de la capacitación técnica y profesi</w:t>
      </w:r>
      <w:r>
        <w:t>o</w:t>
      </w:r>
      <w:r>
        <w:t>nal;</w:t>
      </w:r>
    </w:p>
    <w:p w:rsidR="00000000" w:rsidRDefault="00000000">
      <w:pPr>
        <w:pStyle w:val="SingleTxt"/>
        <w:tabs>
          <w:tab w:val="right" w:pos="1685"/>
        </w:tabs>
        <w:ind w:left="1742" w:hanging="475"/>
      </w:pPr>
      <w:r>
        <w:tab/>
        <w:t>–</w:t>
      </w:r>
      <w:r>
        <w:tab/>
        <w:t>Ampliar los programas de capacitación en el marco de la lucha por mitigar la pobreza proporcionando a las familias pobres, las viudas, las personas disc</w:t>
      </w:r>
      <w:r>
        <w:t>a</w:t>
      </w:r>
      <w:r>
        <w:t>pacitadas, los soldados desmovilizados, los huérfanos y los jóvenes pobres que hayan abandonado sus estudios generales, la posibilidad de adquirir conoc</w:t>
      </w:r>
      <w:r>
        <w:t>i</w:t>
      </w:r>
      <w:r>
        <w:t>mientos prácticos y cons</w:t>
      </w:r>
      <w:r>
        <w:t>e</w:t>
      </w:r>
      <w:r>
        <w:t>guir empleo;</w:t>
      </w:r>
    </w:p>
    <w:p w:rsidR="00000000" w:rsidRDefault="00000000">
      <w:pPr>
        <w:pStyle w:val="SingleTxt"/>
        <w:tabs>
          <w:tab w:val="right" w:pos="1685"/>
        </w:tabs>
        <w:ind w:left="1742" w:hanging="475"/>
      </w:pPr>
      <w:r>
        <w:tab/>
        <w:t>–</w:t>
      </w:r>
      <w:r>
        <w:tab/>
        <w:t>Construir residencias para muchachas que vivan lejos del centro de capacit</w:t>
      </w:r>
      <w:r>
        <w:t>a</w:t>
      </w:r>
      <w:r>
        <w:t>ción, e</w:t>
      </w:r>
      <w:r>
        <w:t>s</w:t>
      </w:r>
      <w:r>
        <w:t>pecialmente para las pobres, las discapacitadas y las huérfanas, y</w:t>
      </w:r>
    </w:p>
    <w:p w:rsidR="00000000" w:rsidRDefault="00000000">
      <w:pPr>
        <w:pStyle w:val="SingleTxt"/>
        <w:tabs>
          <w:tab w:val="right" w:pos="1685"/>
        </w:tabs>
        <w:ind w:left="1742" w:hanging="475"/>
      </w:pPr>
      <w:r>
        <w:tab/>
        <w:t>–</w:t>
      </w:r>
      <w:r>
        <w:tab/>
        <w:t>Seguir garantizando la calidad de la capacitación mediante la presentación c</w:t>
      </w:r>
      <w:r>
        <w:t>o</w:t>
      </w:r>
      <w:r>
        <w:t>rrecta de los conocimientos convencionales, exámenes apropiados y el recon</w:t>
      </w:r>
      <w:r>
        <w:t>o</w:t>
      </w:r>
      <w:r>
        <w:t>cimiento de los certificados de habilitación de los institutos de enseñanza, sin olvidar el perfeccionamiento de las leyes y reglamentaciones relativas a la a</w:t>
      </w:r>
      <w:r>
        <w:t>d</w:t>
      </w:r>
      <w:r>
        <w:t>ministración de la e</w:t>
      </w:r>
      <w:r>
        <w:t>n</w:t>
      </w:r>
      <w:r>
        <w:t>señanza.</w:t>
      </w:r>
    </w:p>
    <w:p w:rsidR="00000000" w:rsidRDefault="00000000">
      <w:pPr>
        <w:pStyle w:val="SingleTxt"/>
        <w:rPr>
          <w:b/>
        </w:rPr>
      </w:pPr>
      <w:r>
        <w:t>288.</w:t>
      </w:r>
      <w:r>
        <w:tab/>
      </w:r>
      <w:r>
        <w:rPr>
          <w:b/>
        </w:rPr>
        <w:t>Actividades formativas y cursos de capacitación y actualiz</w:t>
      </w:r>
      <w:r>
        <w:rPr>
          <w:b/>
        </w:rPr>
        <w:t>a</w:t>
      </w:r>
      <w:r>
        <w:rPr>
          <w:b/>
        </w:rPr>
        <w:t>ción</w:t>
      </w:r>
    </w:p>
    <w:p w:rsidR="00000000" w:rsidRDefault="00000000">
      <w:pPr>
        <w:pStyle w:val="SingleTxt"/>
        <w:tabs>
          <w:tab w:val="right" w:pos="1685"/>
        </w:tabs>
        <w:ind w:left="1742" w:hanging="475"/>
      </w:pPr>
      <w:r>
        <w:tab/>
        <w:t>–</w:t>
      </w:r>
      <w:r>
        <w:tab/>
        <w:t>Seguir ofreciendo capacitación como la que se brinda a 4.851 maestros de t</w:t>
      </w:r>
      <w:r>
        <w:t>o</w:t>
      </w:r>
      <w:r>
        <w:t>dos los niveles, incluidas 1.781 mujeres (36,7% del total);</w:t>
      </w:r>
    </w:p>
    <w:p w:rsidR="00000000" w:rsidRDefault="00000000">
      <w:pPr>
        <w:pStyle w:val="SingleTxt"/>
        <w:tabs>
          <w:tab w:val="right" w:pos="1685"/>
        </w:tabs>
        <w:ind w:left="1742" w:hanging="475"/>
      </w:pPr>
      <w:r>
        <w:tab/>
        <w:t>–</w:t>
      </w:r>
      <w:r>
        <w:tab/>
        <w:t>Contratar a otros 5.000 maestros de todos los niveles otorgando preferencia a las personas discapacitadas, especialmente del sexo femenino, que estén en condici</w:t>
      </w:r>
      <w:r>
        <w:t>o</w:t>
      </w:r>
      <w:r>
        <w:t>nes de trabajar;</w:t>
      </w:r>
    </w:p>
    <w:p w:rsidR="00000000" w:rsidRDefault="00000000">
      <w:pPr>
        <w:pStyle w:val="SingleTxt"/>
        <w:tabs>
          <w:tab w:val="right" w:pos="1685"/>
        </w:tabs>
        <w:ind w:left="1742" w:hanging="475"/>
      </w:pPr>
      <w:r>
        <w:tab/>
        <w:t>–</w:t>
      </w:r>
      <w:r>
        <w:tab/>
        <w:t>Desarrollar programas de capacitación para maestras de jardines de infancia (con arreglo a la fórmula 12 + 2);</w:t>
      </w:r>
    </w:p>
    <w:p w:rsidR="00000000" w:rsidRDefault="00000000">
      <w:pPr>
        <w:pStyle w:val="SingleTxt"/>
        <w:tabs>
          <w:tab w:val="right" w:pos="1685"/>
        </w:tabs>
        <w:ind w:left="1742" w:hanging="475"/>
      </w:pPr>
      <w:r>
        <w:tab/>
        <w:t>–</w:t>
      </w:r>
      <w:r>
        <w:tab/>
        <w:t>Actualizar los programas de capacitación para los profesores de colegios s</w:t>
      </w:r>
      <w:r>
        <w:t>e</w:t>
      </w:r>
      <w:r>
        <w:t>cundarios elementales, y</w:t>
      </w:r>
    </w:p>
    <w:p w:rsidR="00000000" w:rsidRDefault="00000000">
      <w:pPr>
        <w:pStyle w:val="SingleTxt"/>
        <w:tabs>
          <w:tab w:val="right" w:pos="1685"/>
        </w:tabs>
        <w:ind w:left="1742" w:hanging="475"/>
      </w:pPr>
      <w:r>
        <w:tab/>
        <w:t>–</w:t>
      </w:r>
      <w:r>
        <w:tab/>
        <w:t>Desarrollar la capacidad de los directores de escuela en materia de gestión a</w:t>
      </w:r>
      <w:r>
        <w:t>d</w:t>
      </w:r>
      <w:r>
        <w:t>ministrativa, técnicas de comunicación y preparación para la vida en todo el territ</w:t>
      </w:r>
      <w:r>
        <w:t>o</w:t>
      </w:r>
      <w:r>
        <w:t>rio de la nación.</w:t>
      </w:r>
    </w:p>
    <w:p w:rsidR="00000000" w:rsidRDefault="00000000">
      <w:pPr>
        <w:pStyle w:val="SingleTxt"/>
        <w:rPr>
          <w:b/>
        </w:rPr>
      </w:pPr>
      <w:r>
        <w:t>289.</w:t>
      </w:r>
      <w:r>
        <w:tab/>
      </w:r>
      <w:r>
        <w:rPr>
          <w:b/>
        </w:rPr>
        <w:t>Curso de actualización</w:t>
      </w:r>
    </w:p>
    <w:p w:rsidR="00000000" w:rsidRDefault="00000000">
      <w:pPr>
        <w:pStyle w:val="SingleTxt"/>
        <w:tabs>
          <w:tab w:val="right" w:pos="1685"/>
        </w:tabs>
        <w:ind w:left="1742" w:hanging="475"/>
      </w:pPr>
      <w:r>
        <w:tab/>
        <w:t>–</w:t>
      </w:r>
      <w:r>
        <w:tab/>
        <w:t>Cooperar con organizaciones nacionales e internacionales para:</w:t>
      </w:r>
    </w:p>
    <w:p w:rsidR="00000000" w:rsidRDefault="00000000">
      <w:pPr>
        <w:pStyle w:val="SingleTxt"/>
        <w:tabs>
          <w:tab w:val="right" w:pos="1685"/>
        </w:tabs>
        <w:ind w:left="1742" w:hanging="475"/>
      </w:pPr>
      <w:r>
        <w:tab/>
        <w:t>–</w:t>
      </w:r>
      <w:r>
        <w:tab/>
        <w:t>Desarrollar cursos de capacitación sobre los métodos de formación del alu</w:t>
      </w:r>
      <w:r>
        <w:t>m</w:t>
      </w:r>
      <w:r>
        <w:t>nado en materia de derechos humanos en las escuelas primarias y los colegios secund</w:t>
      </w:r>
      <w:r>
        <w:t>a</w:t>
      </w:r>
      <w:r>
        <w:t>rios;</w:t>
      </w:r>
    </w:p>
    <w:p w:rsidR="00000000" w:rsidRDefault="00000000">
      <w:pPr>
        <w:pStyle w:val="SingleTxt"/>
        <w:tabs>
          <w:tab w:val="right" w:pos="1685"/>
        </w:tabs>
        <w:ind w:left="1742" w:hanging="475"/>
      </w:pPr>
      <w:r>
        <w:tab/>
        <w:t>–</w:t>
      </w:r>
      <w:r>
        <w:tab/>
        <w:t>Organizar un breve curso de capacitación para despertar conciencia de la gr</w:t>
      </w:r>
      <w:r>
        <w:t>a</w:t>
      </w:r>
      <w:r>
        <w:t>vedad del VIH/SIDA, y</w:t>
      </w:r>
    </w:p>
    <w:p w:rsidR="00000000" w:rsidRDefault="00000000">
      <w:pPr>
        <w:pStyle w:val="SingleTxt"/>
        <w:tabs>
          <w:tab w:val="right" w:pos="1685"/>
        </w:tabs>
        <w:ind w:left="1742" w:hanging="475"/>
      </w:pPr>
      <w:r>
        <w:tab/>
        <w:t>–</w:t>
      </w:r>
      <w:r>
        <w:tab/>
        <w:t>Adiestrar a los profesores de física, química y biología de los colegios secu</w:t>
      </w:r>
      <w:r>
        <w:t>n</w:t>
      </w:r>
      <w:r>
        <w:t>darios en el uso de documentos y laboratorios.</w:t>
      </w:r>
    </w:p>
    <w:p w:rsidR="00000000" w:rsidRDefault="00000000">
      <w:pPr>
        <w:pStyle w:val="SingleTxt"/>
        <w:rPr>
          <w:b/>
        </w:rPr>
      </w:pPr>
      <w:r>
        <w:t>290.</w:t>
      </w:r>
      <w:r>
        <w:tab/>
      </w:r>
      <w:r>
        <w:rPr>
          <w:b/>
        </w:rPr>
        <w:t>Actividades de investigación en materia de pedagogía</w:t>
      </w:r>
    </w:p>
    <w:p w:rsidR="00000000" w:rsidRDefault="00000000">
      <w:pPr>
        <w:pStyle w:val="SingleTxt"/>
        <w:tabs>
          <w:tab w:val="right" w:pos="1685"/>
        </w:tabs>
        <w:ind w:left="1742" w:hanging="475"/>
      </w:pPr>
      <w:r>
        <w:tab/>
        <w:t>–</w:t>
      </w:r>
      <w:r>
        <w:tab/>
        <w:t>Poner en marcha un plan de trabajo para modernizar el programa de estudios e impulsar una política coherente en relación con los planes de estudios que se desarr</w:t>
      </w:r>
      <w:r>
        <w:t>o</w:t>
      </w:r>
      <w:r>
        <w:t>llan a nivel local, y</w:t>
      </w:r>
    </w:p>
    <w:p w:rsidR="00000000" w:rsidRDefault="00000000">
      <w:pPr>
        <w:pStyle w:val="SingleTxt"/>
        <w:tabs>
          <w:tab w:val="right" w:pos="1685"/>
        </w:tabs>
        <w:ind w:left="1742" w:hanging="475"/>
      </w:pPr>
      <w:r>
        <w:tab/>
        <w:t>–</w:t>
      </w:r>
      <w:r>
        <w:tab/>
        <w:t>Buscar las maneras de descentralizar los programas de estudios de las escuelas a n</w:t>
      </w:r>
      <w:r>
        <w:t>i</w:t>
      </w:r>
      <w:r>
        <w:t>vel nacional y provincial.</w:t>
      </w:r>
    </w:p>
    <w:p w:rsidR="00000000" w:rsidRDefault="00000000">
      <w:pPr>
        <w:pStyle w:val="SingleTxt"/>
        <w:rPr>
          <w:b/>
        </w:rPr>
      </w:pPr>
      <w:r>
        <w:t>291.</w:t>
      </w:r>
      <w:r>
        <w:tab/>
      </w:r>
      <w:r>
        <w:rPr>
          <w:b/>
        </w:rPr>
        <w:t>Plan de trabajo para las cuestiones de género</w:t>
      </w:r>
    </w:p>
    <w:p w:rsidR="00000000" w:rsidRDefault="00000000">
      <w:pPr>
        <w:pStyle w:val="SingleTxt"/>
        <w:tabs>
          <w:tab w:val="right" w:pos="1685"/>
        </w:tabs>
        <w:ind w:left="1742" w:hanging="475"/>
      </w:pPr>
      <w:r>
        <w:tab/>
        <w:t>–</w:t>
      </w:r>
      <w:r>
        <w:tab/>
        <w:t>Preparar un plan de acción a fin de prestar apoyo al plan estratégico relativo a las cuestiones de género durante el quinquenio comprendido entre 2002 y 2006;</w:t>
      </w:r>
    </w:p>
    <w:p w:rsidR="00000000" w:rsidRDefault="00000000">
      <w:pPr>
        <w:pStyle w:val="SingleTxt"/>
        <w:tabs>
          <w:tab w:val="right" w:pos="1685"/>
        </w:tabs>
        <w:ind w:left="1742" w:hanging="475"/>
      </w:pPr>
      <w:r>
        <w:tab/>
        <w:t>–</w:t>
      </w:r>
      <w:r>
        <w:tab/>
        <w:t>Redactar informes de las actividades para la comisión encargada de las cue</w:t>
      </w:r>
      <w:r>
        <w:t>s</w:t>
      </w:r>
      <w:r>
        <w:t>tiones administrativas y de género del MoEJD;</w:t>
      </w:r>
    </w:p>
    <w:p w:rsidR="00000000" w:rsidRDefault="00000000">
      <w:pPr>
        <w:pStyle w:val="SingleTxt"/>
        <w:tabs>
          <w:tab w:val="right" w:pos="1685"/>
        </w:tabs>
        <w:ind w:left="1742" w:hanging="475"/>
        <w:rPr>
          <w:spacing w:val="2"/>
          <w:w w:val="101"/>
        </w:rPr>
      </w:pPr>
      <w:r>
        <w:rPr>
          <w:spacing w:val="2"/>
          <w:w w:val="101"/>
        </w:rPr>
        <w:tab/>
        <w:t>–</w:t>
      </w:r>
      <w:r>
        <w:rPr>
          <w:spacing w:val="2"/>
          <w:w w:val="101"/>
        </w:rPr>
        <w:tab/>
        <w:t>Organizar la estructura del grupo de trabajo a cargo de las cuestiones de gén</w:t>
      </w:r>
      <w:r>
        <w:rPr>
          <w:spacing w:val="2"/>
          <w:w w:val="101"/>
        </w:rPr>
        <w:t>e</w:t>
      </w:r>
      <w:r>
        <w:rPr>
          <w:spacing w:val="2"/>
          <w:w w:val="101"/>
        </w:rPr>
        <w:t>ro;</w:t>
      </w:r>
    </w:p>
    <w:p w:rsidR="00000000" w:rsidRDefault="00000000">
      <w:pPr>
        <w:pStyle w:val="SingleTxt"/>
        <w:tabs>
          <w:tab w:val="right" w:pos="1685"/>
        </w:tabs>
        <w:ind w:left="1742" w:hanging="475"/>
      </w:pPr>
      <w:r>
        <w:tab/>
        <w:t>–</w:t>
      </w:r>
      <w:r>
        <w:tab/>
        <w:t>Establecer otro grupo de trabajo en el Ministerio para que se encargue de los serv</w:t>
      </w:r>
      <w:r>
        <w:t>i</w:t>
      </w:r>
      <w:r>
        <w:t>cios de administración y educación;</w:t>
      </w:r>
    </w:p>
    <w:p w:rsidR="00000000" w:rsidRDefault="00000000">
      <w:pPr>
        <w:pStyle w:val="SingleTxt"/>
        <w:tabs>
          <w:tab w:val="right" w:pos="1685"/>
        </w:tabs>
        <w:ind w:left="1742" w:hanging="475"/>
      </w:pPr>
      <w:r>
        <w:tab/>
        <w:t>–</w:t>
      </w:r>
      <w:r>
        <w:tab/>
        <w:t>Organizar talleres para evaluar el ofrecimiento de un programa de becas a las niñas que estudian en colegios secundarios del distrito de Leok Dek en la pr</w:t>
      </w:r>
      <w:r>
        <w:t>o</w:t>
      </w:r>
      <w:r>
        <w:t>vincia de Kandal;</w:t>
      </w:r>
    </w:p>
    <w:p w:rsidR="00000000" w:rsidRDefault="00000000">
      <w:pPr>
        <w:pStyle w:val="SingleTxt"/>
        <w:tabs>
          <w:tab w:val="right" w:pos="1685"/>
        </w:tabs>
        <w:ind w:left="1742" w:hanging="475"/>
      </w:pPr>
      <w:r>
        <w:tab/>
        <w:t>–</w:t>
      </w:r>
      <w:r>
        <w:tab/>
        <w:t>Organizar talleres para difundir el plan de trabajo y las actividades del grupo de ayuda y asesoramiento en cuestiones de género del MoEJD. Ese plan se ampliará para que abarque el quinquenio 2002-2006 y comprenderá todas y cada una de las activ</w:t>
      </w:r>
      <w:r>
        <w:t>i</w:t>
      </w:r>
      <w:r>
        <w:t>dades que se enumeran a continuación:</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supervisar y evaluar el plan de trabajo, especialmente diversos proyectos relacion</w:t>
      </w:r>
      <w:r>
        <w:t>a</w:t>
      </w:r>
      <w:r>
        <w:t>dos con las actividades en materia de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desarrollar una política de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fortalecer la capacidad del grupo de trabajo encargado de las cuestiones de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establecer grupos de trabajo y capacitación en la esfera de las cuestiones de género a escala nacional, provincial y de distrito;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ampliar los programas de información sobre cuestiones de género;</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spacing w:val="2"/>
          <w:w w:val="101"/>
        </w:rPr>
      </w:pPr>
      <w:r>
        <w:rPr>
          <w:spacing w:val="2"/>
          <w:w w:val="101"/>
        </w:rPr>
        <w:tab/>
        <w:t>•</w:t>
      </w:r>
      <w:r>
        <w:rPr>
          <w:spacing w:val="2"/>
          <w:w w:val="101"/>
        </w:rPr>
        <w:tab/>
        <w:t>organizar mesas redondas para analizar las cuestiones de género en el marco de la educación en general y de la educación de las niñas en part</w:t>
      </w:r>
      <w:r>
        <w:rPr>
          <w:spacing w:val="2"/>
          <w:w w:val="101"/>
        </w:rPr>
        <w:t>i</w:t>
      </w:r>
      <w:r>
        <w:rPr>
          <w:spacing w:val="2"/>
          <w:w w:val="101"/>
        </w:rPr>
        <w:t>cular;</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proporcionar capacitación técnica a los grupos de trabajo y a quienes preparan pl</w:t>
      </w:r>
      <w:r>
        <w:t>a</w:t>
      </w:r>
      <w:r>
        <w:t>nes de trabajo en las provincias/departamentos, y</w:t>
      </w:r>
    </w:p>
    <w:p w:rsidR="00000000" w:rsidRDefault="00000000">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pPr>
      <w:r>
        <w:tab/>
        <w:t>•</w:t>
      </w:r>
      <w:r>
        <w:tab/>
        <w:t>difundir información sobre las cuestiones de género y la educación de las niñas entre las asociaciones de padres.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las cuestiones de empleo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Los Estados Partes adoptarán todas las medidas apropiadas para eliminar la discriminación contra la mujer en la esfera del empleo a fin de asegurar a la mujer, en condiciones de igualdad con los ho</w:t>
      </w:r>
      <w:r>
        <w:rPr>
          <w:i/>
        </w:rPr>
        <w:t>m</w:t>
      </w:r>
      <w:r>
        <w:rPr>
          <w:i/>
        </w:rPr>
        <w:t>bres, los mismos derechos, en particular:</w:t>
      </w:r>
    </w:p>
    <w:p w:rsidR="00000000" w:rsidRDefault="00000000">
      <w:pPr>
        <w:pStyle w:val="SingleTxt"/>
        <w:rPr>
          <w:i/>
        </w:rPr>
      </w:pPr>
      <w:r>
        <w:rPr>
          <w:i/>
        </w:rPr>
        <w:tab/>
        <w:t>a)</w:t>
      </w:r>
      <w:r>
        <w:rPr>
          <w:i/>
        </w:rPr>
        <w:tab/>
        <w:t>El derecho al trabajo como derecho inalienable de todo ser h</w:t>
      </w:r>
      <w:r>
        <w:rPr>
          <w:i/>
        </w:rPr>
        <w:t>u</w:t>
      </w:r>
      <w:r>
        <w:rPr>
          <w:i/>
        </w:rPr>
        <w:t>mano;</w:t>
      </w:r>
    </w:p>
    <w:p w:rsidR="00000000" w:rsidRDefault="00000000">
      <w:pPr>
        <w:pStyle w:val="SingleTxt"/>
        <w:rPr>
          <w:i/>
        </w:rPr>
      </w:pPr>
      <w:r>
        <w:rPr>
          <w:i/>
        </w:rPr>
        <w:tab/>
        <w:t>b)</w:t>
      </w:r>
      <w:r>
        <w:rPr>
          <w:i/>
        </w:rPr>
        <w:tab/>
        <w:t>El derecho a las mismas oportunidades de empleo, inclusive a la aplic</w:t>
      </w:r>
      <w:r>
        <w:rPr>
          <w:i/>
        </w:rPr>
        <w:t>a</w:t>
      </w:r>
      <w:r>
        <w:rPr>
          <w:i/>
        </w:rPr>
        <w:t>ción de los mismos criterios de selección en cuestiones de e</w:t>
      </w:r>
      <w:r>
        <w:rPr>
          <w:i/>
        </w:rPr>
        <w:t>m</w:t>
      </w:r>
      <w:r>
        <w:rPr>
          <w:i/>
        </w:rPr>
        <w:t>pleo;</w:t>
      </w:r>
    </w:p>
    <w:p w:rsidR="00000000" w:rsidRDefault="00000000">
      <w:pPr>
        <w:pStyle w:val="SingleTxt"/>
        <w:rPr>
          <w:i/>
        </w:rPr>
      </w:pPr>
      <w:r>
        <w:rPr>
          <w:i/>
        </w:rPr>
        <w:tab/>
        <w:t>c)</w:t>
      </w:r>
      <w:r>
        <w:rPr>
          <w:i/>
        </w:rPr>
        <w:tab/>
        <w:t>El derecho a elegir libremente profesión y empleo, el derecho al ascenso, a la estabilidad en el empleo y a todas las prestaciones y otras condiciones de se</w:t>
      </w:r>
      <w:r>
        <w:rPr>
          <w:i/>
        </w:rPr>
        <w:t>r</w:t>
      </w:r>
      <w:r>
        <w:rPr>
          <w:i/>
        </w:rPr>
        <w:t>vicio, y el derecho a la formación profesional y al readiestramiento, incluido el aprendizaje, la formación profesi</w:t>
      </w:r>
      <w:r>
        <w:rPr>
          <w:i/>
        </w:rPr>
        <w:t>o</w:t>
      </w:r>
      <w:r>
        <w:rPr>
          <w:i/>
        </w:rPr>
        <w:t>nal superior y el adiestramiento periódico;</w:t>
      </w:r>
    </w:p>
    <w:p w:rsidR="00000000" w:rsidRDefault="00000000">
      <w:pPr>
        <w:pStyle w:val="SingleTxt"/>
        <w:rPr>
          <w:i/>
        </w:rPr>
      </w:pPr>
      <w:r>
        <w:rPr>
          <w:i/>
        </w:rPr>
        <w:tab/>
        <w:t>d)</w:t>
      </w:r>
      <w:r>
        <w:rPr>
          <w:i/>
        </w:rPr>
        <w:tab/>
        <w:t>El derecho a igual remuneración, inclusive prestaciones, y a igualdad de trato con respecto a un trabajo de igual valor, así como a igualdad de trato con re</w:t>
      </w:r>
      <w:r>
        <w:rPr>
          <w:i/>
        </w:rPr>
        <w:t>s</w:t>
      </w:r>
      <w:r>
        <w:rPr>
          <w:i/>
        </w:rPr>
        <w:t>pecto a la evaluación de la calidad del tr</w:t>
      </w:r>
      <w:r>
        <w:rPr>
          <w:i/>
        </w:rPr>
        <w:t>a</w:t>
      </w:r>
      <w:r>
        <w:rPr>
          <w:i/>
        </w:rPr>
        <w:t>bajo;</w:t>
      </w:r>
    </w:p>
    <w:p w:rsidR="00000000" w:rsidRDefault="00000000">
      <w:pPr>
        <w:pStyle w:val="SingleTxt"/>
        <w:rPr>
          <w:i/>
        </w:rPr>
      </w:pPr>
      <w:r>
        <w:rPr>
          <w:i/>
        </w:rPr>
        <w:tab/>
        <w:t>e)</w:t>
      </w:r>
      <w:r>
        <w:rPr>
          <w:i/>
        </w:rPr>
        <w:tab/>
        <w:t>El derecho a la seguridad social, en particular en casos de jubilación, desempleo, enfermedad, invalidez, vejez u otra incapacidad para trabajar, así como el d</w:t>
      </w:r>
      <w:r>
        <w:rPr>
          <w:i/>
        </w:rPr>
        <w:t>e</w:t>
      </w:r>
      <w:r>
        <w:rPr>
          <w:i/>
        </w:rPr>
        <w:t>recho a vacaciones pagadas;</w:t>
      </w:r>
    </w:p>
    <w:p w:rsidR="00000000" w:rsidRDefault="00000000">
      <w:pPr>
        <w:pStyle w:val="SingleTxt"/>
        <w:rPr>
          <w:i/>
        </w:rPr>
      </w:pPr>
      <w:r>
        <w:rPr>
          <w:i/>
        </w:rPr>
        <w:tab/>
        <w:t>f)</w:t>
      </w:r>
      <w:r>
        <w:rPr>
          <w:i/>
        </w:rPr>
        <w:tab/>
        <w:t>El derecho a la protección de la salud y a la seguridad en las condici</w:t>
      </w:r>
      <w:r>
        <w:rPr>
          <w:i/>
        </w:rPr>
        <w:t>o</w:t>
      </w:r>
      <w:r>
        <w:rPr>
          <w:i/>
        </w:rPr>
        <w:t>nes de trabajo, incluso la salvaguardia de la función de r</w:t>
      </w:r>
      <w:r>
        <w:rPr>
          <w:i/>
        </w:rPr>
        <w:t>e</w:t>
      </w:r>
      <w:r>
        <w:rPr>
          <w:i/>
        </w:rPr>
        <w:t>producción.</w:t>
      </w:r>
    </w:p>
    <w:p w:rsidR="00000000" w:rsidRDefault="00000000">
      <w:pPr>
        <w:pStyle w:val="SingleTxt"/>
        <w:rPr>
          <w:i/>
        </w:rPr>
      </w:pPr>
      <w:r>
        <w:rPr>
          <w:i/>
        </w:rPr>
        <w:t>2.</w:t>
      </w:r>
      <w:r>
        <w:rPr>
          <w:i/>
        </w:rPr>
        <w:tab/>
        <w:t>A fin de impedir la discriminación contra la mujer por razones de matrimonio o maternidad y asegurar la efectividad de su derecho a trabajar, los Estados Partes tomarán medidas adecuadas para:</w:t>
      </w:r>
    </w:p>
    <w:p w:rsidR="00000000" w:rsidRDefault="00000000">
      <w:pPr>
        <w:pStyle w:val="SingleTxt"/>
        <w:rPr>
          <w:i/>
        </w:rPr>
      </w:pPr>
      <w:r>
        <w:rPr>
          <w:i/>
        </w:rPr>
        <w:tab/>
        <w:t>a)</w:t>
      </w:r>
      <w:r>
        <w:rPr>
          <w:i/>
        </w:rPr>
        <w:tab/>
        <w:t>Prohibir, bajo pena de sanciones, el despido por motivo de embarazo o licencia de maternidad y la discriminación en los despidos sobre la base del estado civil;</w:t>
      </w:r>
    </w:p>
    <w:p w:rsidR="00000000" w:rsidRDefault="00000000">
      <w:pPr>
        <w:pStyle w:val="SingleTxt"/>
        <w:rPr>
          <w:i/>
        </w:rPr>
      </w:pPr>
      <w:r>
        <w:rPr>
          <w:i/>
        </w:rPr>
        <w:tab/>
        <w:t>b)</w:t>
      </w:r>
      <w:r>
        <w:rPr>
          <w:i/>
        </w:rPr>
        <w:tab/>
        <w:t>Implantar la licencia de maternidad con sueldo pagado o con prestaci</w:t>
      </w:r>
      <w:r>
        <w:rPr>
          <w:i/>
        </w:rPr>
        <w:t>o</w:t>
      </w:r>
      <w:r>
        <w:rPr>
          <w:i/>
        </w:rPr>
        <w:t>nes sociales comparables sin pérdida del empleo previo, la antigüedad o los benef</w:t>
      </w:r>
      <w:r>
        <w:rPr>
          <w:i/>
        </w:rPr>
        <w:t>i</w:t>
      </w:r>
      <w:r>
        <w:rPr>
          <w:i/>
        </w:rPr>
        <w:t>cios s</w:t>
      </w:r>
      <w:r>
        <w:rPr>
          <w:i/>
        </w:rPr>
        <w:t>o</w:t>
      </w:r>
      <w:r>
        <w:rPr>
          <w:i/>
        </w:rPr>
        <w:t>ciales;</w:t>
      </w:r>
    </w:p>
    <w:p w:rsidR="00000000" w:rsidRDefault="00000000">
      <w:pPr>
        <w:pStyle w:val="SingleTxt"/>
        <w:rPr>
          <w:i/>
        </w:rPr>
      </w:pPr>
      <w:r>
        <w:rPr>
          <w:i/>
        </w:rPr>
        <w:tab/>
        <w:t>c)</w:t>
      </w:r>
      <w:r>
        <w:rPr>
          <w:i/>
        </w:rPr>
        <w:tab/>
        <w:t>Alentar el suministro de los servicios sociales de apoyo necesarios para permitir que los padres combinen las obligaciones para con la familia con las re</w:t>
      </w:r>
      <w:r>
        <w:rPr>
          <w:i/>
        </w:rPr>
        <w:t>s</w:t>
      </w:r>
      <w:r>
        <w:rPr>
          <w:i/>
        </w:rPr>
        <w:t>ponsabilidades del trabajo y la participación en la vida pública, especialmente m</w:t>
      </w:r>
      <w:r>
        <w:rPr>
          <w:i/>
        </w:rPr>
        <w:t>e</w:t>
      </w:r>
      <w:r>
        <w:rPr>
          <w:i/>
        </w:rPr>
        <w:t>diante el fomento de la creación y desarrollo de una red de servicios destinados al cuidado de los niños;</w:t>
      </w:r>
    </w:p>
    <w:p w:rsidR="00000000" w:rsidRDefault="00000000">
      <w:pPr>
        <w:pStyle w:val="SingleTxt"/>
        <w:rPr>
          <w:i/>
        </w:rPr>
      </w:pPr>
      <w:r>
        <w:rPr>
          <w:i/>
        </w:rPr>
        <w:tab/>
        <w:t>d)</w:t>
      </w:r>
      <w:r>
        <w:rPr>
          <w:i/>
        </w:rPr>
        <w:tab/>
        <w:t>Prestar protección especial a la mujer durante el embarazo en los tipos de trabajos que se haya probado puedan resultar perjudiciales para ella.</w:t>
      </w:r>
    </w:p>
    <w:p w:rsidR="00000000" w:rsidRDefault="00000000">
      <w:pPr>
        <w:pStyle w:val="SingleTxt"/>
        <w:rPr>
          <w:i/>
        </w:rPr>
      </w:pPr>
      <w:r>
        <w:rPr>
          <w:i/>
        </w:rPr>
        <w:t>3.</w:t>
      </w:r>
      <w:r>
        <w:rPr>
          <w:i/>
        </w:rPr>
        <w:tab/>
        <w:t>La legislación protectora relacionada con las cuestiones comprendidas en este artículo será examinada periódicamente a la luz de los conocimientos científicos y tecnológicos y será revisada, derogada o ampliada según corresponda.</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w:t>
      </w:r>
    </w:p>
    <w:p w:rsidR="00000000" w:rsidRDefault="00000000">
      <w:pPr>
        <w:pStyle w:val="SingleTxt"/>
        <w:spacing w:after="0" w:line="120" w:lineRule="exact"/>
        <w:rPr>
          <w:b/>
          <w:i/>
          <w:sz w:val="10"/>
        </w:rPr>
      </w:pPr>
    </w:p>
    <w:p w:rsidR="00000000" w:rsidRDefault="00000000">
      <w:pPr>
        <w:pStyle w:val="SingleTxt"/>
        <w:spacing w:after="0" w:line="120" w:lineRule="exact"/>
        <w:rPr>
          <w:b/>
          <w:i/>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entre el hombre y la mujer en la esfera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292.</w:t>
      </w:r>
      <w:r>
        <w:tab/>
        <w:t>El Estado adoptará todas las medidas apropiadas para eliminar la discrimin</w:t>
      </w:r>
      <w:r>
        <w:t>a</w:t>
      </w:r>
      <w:r>
        <w:t>ción contra la mujer en la esfera del empleo a fin de asegurar a la mujer los mismos derechos que a los hombres y de impedir su discriminación por razones de matrim</w:t>
      </w:r>
      <w:r>
        <w:t>o</w:t>
      </w:r>
      <w:r>
        <w:t>nio o maternidad, para lo cual revisará la legislación protectora y la discriminatoria.</w:t>
      </w:r>
    </w:p>
    <w:p w:rsidR="00000000" w:rsidRDefault="00000000">
      <w:pPr>
        <w:pStyle w:val="SingleTxt"/>
      </w:pPr>
      <w:r>
        <w:t>293.</w:t>
      </w:r>
      <w:r>
        <w:tab/>
        <w:t>Camboya tiene uno de los índices de participación femenina en la fuerza de trabajo más alta de la región (73,50%). El índice de participación de la mujer en la agricultura, la pesca y la economía es de 54%. Las mujeres comprenden 75% del sector no agrícola y representan dos tercios de la producción. Realizan gran parte de su trabajo en el sector no estructurado. Las mujeres reciben a menudo una remun</w:t>
      </w:r>
      <w:r>
        <w:t>e</w:t>
      </w:r>
      <w:r>
        <w:t>ración baja, ocupan puestos no especializados como los de agentes de promoción de la cerveza o camareras de restaurantes y están expuestas a muchas formas de expl</w:t>
      </w:r>
      <w:r>
        <w:t>o</w:t>
      </w:r>
      <w:r>
        <w:t>tación en el lugar de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derecho al trabajo es un derecho inalienable de todo ser humano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294.</w:t>
      </w:r>
      <w:r>
        <w:tab/>
        <w:t>El primer párrafo del artículo 36 de la Constitución del Reino de Camboya e</w:t>
      </w:r>
      <w:r>
        <w:t>s</w:t>
      </w:r>
      <w:r>
        <w:t>tablece que “los ciudadanos khmers de ambos sexos tienen el derecho a elegir un oficio con arreglo a su capacidad y a las necesidades de la sociedad”. A tenor de esta disposición, todos los ciudadanos tienen derecho a trabajar conforme a su capacidad tanto en el se</w:t>
      </w:r>
      <w:r>
        <w:t>c</w:t>
      </w:r>
      <w:r>
        <w:t>tor público como en el privado.</w:t>
      </w:r>
    </w:p>
    <w:p w:rsidR="00000000" w:rsidRDefault="00000000">
      <w:pPr>
        <w:pStyle w:val="SingleTxt"/>
      </w:pPr>
      <w:r>
        <w:tab/>
        <w:t>Las estadísticas de la secretaría de la Función Pública correspondientes a 2003 indican que trabajan allí 51.581 funcionarias, que representan 32,2% del total de 160.189 funcionarios del sector público. En el sector privado hay 1.043.600 e</w:t>
      </w:r>
      <w:r>
        <w:t>m</w:t>
      </w:r>
      <w:r>
        <w:t>pleados, de los cuales 438.800 (42%) son mujeres (NIS 2001). En 265 fábricas tr</w:t>
      </w:r>
      <w:r>
        <w:t>a</w:t>
      </w:r>
      <w:r>
        <w:t>bajan 126.631 obreras, que representan 87% del total de 141.840 obreros fabriles (Ministerio de Asuntos Sociales, Trabajo, Formación Profesional y Rehabilitación de los Jóvenes (MoASTFPRJ), 2001). Según las estadísticas del Ministerio de Plan</w:t>
      </w:r>
      <w:r>
        <w:t>i</w:t>
      </w:r>
      <w:r>
        <w:t>ficación correspondientes a 2001, alrededor de 1.720.000 mujeres son amas de casa y se dedican a los quehaceres domésticos, a los que se considera del mismo valor que los trabajos que se realizan fuera del hogar, conforme a lo estipulado en el p</w:t>
      </w:r>
      <w:r>
        <w:t>á</w:t>
      </w:r>
      <w:r>
        <w:t>rrafo sexto del art</w:t>
      </w:r>
      <w:r>
        <w:t>í</w:t>
      </w:r>
      <w:r>
        <w:t>culo 36 de la Constitución.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Los mismos criterios de selección en cuestiones de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295.</w:t>
      </w:r>
      <w:r>
        <w:tab/>
        <w:t>Para cubrir puestos en la administración pública, se pueden aceptar candidatos de ambos sexos siempre que reúnan las condiciones estipuladas en el artículo 11 de la Ley relativa al Estatuto común del funcionario público del Reino de Camboya. El párrafo 11 de ese mismo artículo establece que se dará prioridad en el servicio a los miembros de minorías étnicas, los campesinos y las mujeres. También la Ley del Trabajo garantiza la igualdad de oportunidades y la igualdad en la esfera del empleo a hombres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Igualdad de oportunidades en la esfera del empleo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296.</w:t>
      </w:r>
      <w:r>
        <w:tab/>
        <w:t>De conformidad con el primer párrafo del artículo 36 de la Constitución del Reino de Camboya, las mujeres gozan del derecho a elegir cualquier empleo con arreglo a su capacidad, a los mismos criterios de selección que se aplican con los hombres y a las necesidades de la s</w:t>
      </w:r>
      <w:r>
        <w:t>o</w:t>
      </w:r>
      <w:r>
        <w:t>ciedad.</w:t>
      </w:r>
    </w:p>
    <w:p w:rsidR="00000000" w:rsidRDefault="00000000">
      <w:pPr>
        <w:pStyle w:val="SingleTxt"/>
      </w:pPr>
      <w:r>
        <w:tab/>
        <w:t>Las mujeres tienen los mismos derechos que los hombres a solicitar un puesto en la administración pública y, por lo tanto, tienen que satisfacer los requisitos de un examen de conformidad con los criterios de selección establecidos. Cada institución, empleador o empresario del sector privado publica un anuncio de empleo en que se explicitan las aptitudes requeridas para ejercerlo. Las mujeres tienen los mismos d</w:t>
      </w:r>
      <w:r>
        <w:t>e</w:t>
      </w:r>
      <w:r>
        <w:t>rechos que los hombres a solicitar empleo con arreglo a los criterios establecidos por cada compañía o empresa.</w:t>
      </w:r>
    </w:p>
    <w:p w:rsidR="00000000" w:rsidRDefault="00000000">
      <w:pPr>
        <w:pStyle w:val="SingleTxt"/>
      </w:pPr>
      <w:r>
        <w:t>297.</w:t>
      </w:r>
      <w:r>
        <w:tab/>
        <w:t>El ascenso a una categoría o grado superior se hace efectivo sobre la base de la igualdad entre los funcionarios públicos de ambos sexos, de conformidad con los artículos 20 a 32 de la Ley relativa al Estatuto común del funcionario público. En la práctica, el ascenso de las mujeres empleadas en instituciones públicas a una categ</w:t>
      </w:r>
      <w:r>
        <w:t>o</w:t>
      </w:r>
      <w:r>
        <w:t>ría o grado superior se hace efectivo tras una evaluación de sus aptitudes. En la a</w:t>
      </w:r>
      <w:r>
        <w:t>c</w:t>
      </w:r>
      <w:r>
        <w:t>tualidad, durante su segundo mandato, el Real Gobierno de Camboya, por conducto de los poderes legislativo, ejecutivo y judicial, presta más atención a las mujeres que durante su primer mandato (para más detalles, véase la sección del presente i</w:t>
      </w:r>
      <w:r>
        <w:t>n</w:t>
      </w:r>
      <w:r>
        <w:t>forme correspondiente al artículo 7 de la CEDAW). En el sector privado, los empr</w:t>
      </w:r>
      <w:r>
        <w:t>e</w:t>
      </w:r>
      <w:r>
        <w:t>sarios y propietarios de fábricas conceden ascensos sobre la base de las aptitudes de sus empleados. Las mujeres que tengan las aptitudes pertinentes pueden alcanzar los pue</w:t>
      </w:r>
      <w:r>
        <w:t>s</w:t>
      </w:r>
      <w:r>
        <w:t>tos apropiados sin discriminación.</w:t>
      </w:r>
    </w:p>
    <w:p w:rsidR="00000000" w:rsidRDefault="00000000">
      <w:pPr>
        <w:pStyle w:val="SingleTxt"/>
      </w:pPr>
      <w:r>
        <w:t>298.</w:t>
      </w:r>
      <w:r>
        <w:tab/>
        <w:t>La formación de los recursos humanos y la realización de inversiones en esa esfera son parte fundamental de la política del Real Gobierno. A partir de 1979, con la liberación del régimen del Khmer Rojo, se ofrece capacitación profesional, técn</w:t>
      </w:r>
      <w:r>
        <w:t>i</w:t>
      </w:r>
      <w:r>
        <w:t>ca y científica a nivel primario, secundario y superior, en el país y en el extranjero, a funcionarios públicos, alumnos o estudiantes y otros. El desarrollo de los recursos humanos también ha sido notable en el sector privado, especialmente en las organ</w:t>
      </w:r>
      <w:r>
        <w:t>i</w:t>
      </w:r>
      <w:r>
        <w:t xml:space="preserve">zaciones no gubernamentales (ONG) locales e internacionales. Las mujeres tienen derecho a disponer de las mismas oportunidades que los hombres en materia de </w:t>
      </w:r>
      <w:r>
        <w:br/>
        <w:t>c</w:t>
      </w:r>
      <w:r>
        <w:t>a</w:t>
      </w:r>
      <w:r>
        <w:t>pacitación.</w:t>
      </w:r>
    </w:p>
    <w:p w:rsidR="00000000" w:rsidRDefault="00000000">
      <w:pPr>
        <w:pStyle w:val="SingleTxt"/>
      </w:pPr>
      <w:r>
        <w:t>299.</w:t>
      </w:r>
      <w:r>
        <w:tab/>
        <w:t>Se exige que las instituciones públicas dispongan de espacio suficiente e in</w:t>
      </w:r>
      <w:r>
        <w:t>s</w:t>
      </w:r>
      <w:r>
        <w:t>talaciones y equipos apropiados. El consejo encargado de la reforma de la admini</w:t>
      </w:r>
      <w:r>
        <w:t>s</w:t>
      </w:r>
      <w:r>
        <w:t>tración está examinando la cuestión de los bajos salarios del personal. Las fábricas y empresas privadas deben tener suficiente espacio, retretes, botiquines de emerge</w:t>
      </w:r>
      <w:r>
        <w:t>n</w:t>
      </w:r>
      <w:r>
        <w:t>cia, un dispensario, medicinas y agua limpia. Los operarios deben usar barbijos y guantes mientras trabajan.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Igual remuneración por un trabajo de igual valor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300.</w:t>
      </w:r>
      <w:r>
        <w:tab/>
        <w:t>En el segundo párrafo del artículo 36 de la Constitución del Reino de Camb</w:t>
      </w:r>
      <w:r>
        <w:t>o</w:t>
      </w:r>
      <w:r>
        <w:t>ya se establece que “los ciudadanos camboyanos de ambos sexos tienen derecho a recibir la misma remuneración por un trabajo de igual valor”. Se garantiza que hombres y mujeres cobren un salario justo y reciban otros pagos en concepto de h</w:t>
      </w:r>
      <w:r>
        <w:t>o</w:t>
      </w:r>
      <w:r>
        <w:t>ras extraordinarias, comisiones, pensiones, bonificaciones y compensaciones. Las mujeres cobran su salario mientras hacen uso de la licencia de maternidad. Se g</w:t>
      </w:r>
      <w:r>
        <w:t>a</w:t>
      </w:r>
      <w:r>
        <w:t>rantizan los salarios mínimos.</w:t>
      </w:r>
    </w:p>
    <w:p w:rsidR="00000000" w:rsidRDefault="00000000">
      <w:pPr>
        <w:pStyle w:val="SingleTxt"/>
      </w:pPr>
      <w:r>
        <w:t>301.</w:t>
      </w:r>
      <w:r>
        <w:tab/>
        <w:t>Las mujeres que trabajan en la administración pública tienen los mismos der</w:t>
      </w:r>
      <w:r>
        <w:t>e</w:t>
      </w:r>
      <w:r>
        <w:t>chos que los hombres a recibir un salario igual por cumplir funciones, ocupar cargos y tener conocimientos técnicos similares. Las mujeres tienen los mismos derechos que los hombres a gozar de beneficios laborales tales como el pago de derechos de matrícula en un instituto de enseñanza o de horas extraordinarias de trabajo o el r</w:t>
      </w:r>
      <w:r>
        <w:t>e</w:t>
      </w:r>
      <w:r>
        <w:t>embolso de los gastos médicos. Los funcionarios y funcionarias que prestan serv</w:t>
      </w:r>
      <w:r>
        <w:t>i</w:t>
      </w:r>
      <w:r>
        <w:t>cios en zonas remotas tienen derecho a cobrar, además del salario neto, una asign</w:t>
      </w:r>
      <w:r>
        <w:t>a</w:t>
      </w:r>
      <w:r>
        <w:t>ción por lugar de destino. El artículo 106 de la Ley del Trabajo reza así: “Con suj</w:t>
      </w:r>
      <w:r>
        <w:t>e</w:t>
      </w:r>
      <w:r>
        <w:t>ción a la presente Ley, todos los trabajadores, sea cual fuere su origen, sexo o edad, cobrarán un salario igual por un trabajo realizado en las mismas condiciones, con la misma capacidad profesional y con el mismo rendimiento”.</w:t>
      </w:r>
    </w:p>
    <w:p w:rsidR="00000000" w:rsidRDefault="00000000">
      <w:pPr>
        <w:pStyle w:val="SingleTxt"/>
      </w:pPr>
      <w:r>
        <w:t>302.</w:t>
      </w:r>
      <w:r>
        <w:tab/>
        <w:t>En el año 2000, en el marco de los esfuerzos desplegados por conseguir que obreros y empleados, especialmente los de los sectores del vestido y del calzado, cobraran salarios apropiados, el Real Gobierno de Camboya estableció la Comisión Consultiva del Trabajo (CCT), en que participan las partes interesadas en represe</w:t>
      </w:r>
      <w:r>
        <w:t>n</w:t>
      </w:r>
      <w:r>
        <w:t>tación del Gobierno, los empleadores y los obreros o empleados. La CCT ha dete</w:t>
      </w:r>
      <w:r>
        <w:t>r</w:t>
      </w:r>
      <w:r>
        <w:rPr>
          <w:spacing w:val="2"/>
          <w:w w:val="101"/>
        </w:rPr>
        <w:t>minado que se elevara el salario mensual mínimo de 40 dólares en 1997 a 45 dólares.</w:t>
      </w:r>
      <w:r>
        <w:t xml:space="preserve"> A partir de julio de 2000, se computan y pagan bonificaciones por mes y a largo plazo. También se desarrolla un nuevo sistema de compensaciones para los funcionarios públicos.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Derecho a la seguridad social (seguros)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303.</w:t>
      </w:r>
      <w:r>
        <w:tab/>
        <w:t>El cuarto párrafo del artículo 36 de la Constitución del Real Gobierno de Camboya garantiza el derecho a gozar de las prestaciones de la seguridad social y de la totalidad de los beneficios sociales determinados por ley. En el ámbito de la a</w:t>
      </w:r>
      <w:r>
        <w:t>d</w:t>
      </w:r>
      <w:r>
        <w:t>ministración pública, el Real Gobierno de Camboya, con su decisión # 245 SSR de 5 de noviembre de 1988, ha establecido una política de seguridad social para los fu</w:t>
      </w:r>
      <w:r>
        <w:t>n</w:t>
      </w:r>
      <w:r>
        <w:t>cionarios públicos, los jubilados y las personas que hayan perdido capacidad física de trabajo. La edad de jubilación es de 55/60 años. Las funcionarias públicas tienen derecho a una licencia de maternidad de tres meses con goce del salario íntegro (puntos 1 a 4 de la decisión del Consejo de Ministros No. 245 SSR de 5 de novie</w:t>
      </w:r>
      <w:r>
        <w:t>m</w:t>
      </w:r>
      <w:r>
        <w:t>bre de 1988). Las mujeres que trabajan en la administración pública tienen derecho a 15 días de ausencia por año con goce de su salario íntegro; esos 15 días se suman a las fiestas nacionales y tradicionales.</w:t>
      </w:r>
    </w:p>
    <w:p w:rsidR="00000000" w:rsidRDefault="00000000">
      <w:pPr>
        <w:pStyle w:val="SingleTxt"/>
      </w:pPr>
      <w:r>
        <w:tab/>
        <w:t>En las empresas y las fábricas, la edad de jubilación de los trabajadores es de 55 años y la jornada de trabajo de 8 horas por día ó 48 horas por semana; en casos de urgencia, obreros y empleados trabajan horas extraordinarias. Esas horas extrao</w:t>
      </w:r>
      <w:r>
        <w:t>r</w:t>
      </w:r>
      <w:r>
        <w:t>dinarias se pagan un 50% más que las horas normales de trabajo. Los permisos para faltar al empleo se otorgan por igual a hombres y mujeres, sin discriminación por motivo de sexo.</w:t>
      </w:r>
    </w:p>
    <w:p w:rsidR="00000000" w:rsidRDefault="00000000">
      <w:pPr>
        <w:pStyle w:val="SingleTxt"/>
      </w:pPr>
      <w:r>
        <w:tab/>
        <w:t>En caso de que dé a luz a un bebé o tenga un aborto, la mujer tiene derecho a faltar algunos días a su trabajo para efectuar consultas médicas en los centros de salud o los hospitales.</w:t>
      </w:r>
    </w:p>
    <w:p w:rsidR="00000000" w:rsidRDefault="00000000">
      <w:pPr>
        <w:pStyle w:val="SingleTxt"/>
      </w:pPr>
      <w:r>
        <w:t>304.</w:t>
      </w:r>
      <w:r>
        <w:tab/>
        <w:t>La legislación relativa al sistema de seguridad social definido en las dispos</w:t>
      </w:r>
      <w:r>
        <w:t>i</w:t>
      </w:r>
      <w:r>
        <w:t>ciones de la Ley del Trabajo fue aprobada por la Asamblea Nacional el 15 de agosto de 2002 y rige para el régimen de pensiones a la vejez, por invalidez y a los supér</w:t>
      </w:r>
      <w:r>
        <w:t>s</w:t>
      </w:r>
      <w:r>
        <w:t>tites. También abarca las prestaciones relativas a los riesgos laborales (accidentes y enfermedades laborales). El régimen en vigencia conforme a esta Ley se financia con el Fondo Nacional de 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Derecho a la protección de la salud y a la seguridad en las condiciones de trabajo, incluso la salvaguardia de la función de reproducción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rPr>
          <w:w w:val="102"/>
        </w:rPr>
        <w:t>305.</w:t>
      </w:r>
      <w:r>
        <w:rPr>
          <w:w w:val="102"/>
        </w:rPr>
        <w:tab/>
        <w:t>La protección de la salud y la seguridad de los obreros y empleados está gara</w:t>
      </w:r>
      <w:r>
        <w:rPr>
          <w:w w:val="102"/>
        </w:rPr>
        <w:t>n</w:t>
      </w:r>
      <w:r>
        <w:rPr>
          <w:w w:val="102"/>
        </w:rPr>
        <w:t>tizada por la Ley del Trabajo en condiciones de igualdad entre el hombre y la mujer. Sin embargo, rigen para la mujer disposiciones especiales: se otorga protección esp</w:t>
      </w:r>
      <w:r>
        <w:rPr>
          <w:w w:val="102"/>
        </w:rPr>
        <w:t>e</w:t>
      </w:r>
      <w:r>
        <w:rPr>
          <w:w w:val="102"/>
        </w:rPr>
        <w:t>cial a la atención de la salud de la mujer embarazada para que pueda hacer uso de una licencia de tres meses. Dos meses después de un parto, se asignarán trabajos l</w:t>
      </w:r>
      <w:r>
        <w:rPr>
          <w:w w:val="102"/>
        </w:rPr>
        <w:t>i</w:t>
      </w:r>
      <w:r>
        <w:rPr>
          <w:w w:val="102"/>
        </w:rPr>
        <w:t>vianos a la mujer con hijos pequeños (inciso 2) del artículo 182 de la Ley del Trab</w:t>
      </w:r>
      <w:r>
        <w:rPr>
          <w:w w:val="102"/>
        </w:rPr>
        <w:t>a</w:t>
      </w:r>
      <w:r>
        <w:rPr>
          <w:w w:val="102"/>
        </w:rPr>
        <w:t>jo). La Ley del Trabajo establece que las empresas y fábricas donde trabajen por lo menos 100 empleadas deben contar con una guardería y un recinto para amamantar a los bebés (artículo 186 de la Ley del Trabajo). El Departamento de Inspec</w:t>
      </w:r>
      <w:r>
        <w:rPr>
          <w:spacing w:val="2"/>
          <w:w w:val="102"/>
        </w:rPr>
        <w:t>ción del MoASTFPRJ se encarga de inspeccionar las condiciones de higiene y de seguridad en el trabajo de esas empresas, talleres y fábricas. Controla, pues, los dispensarios,</w:t>
      </w:r>
      <w:r>
        <w:rPr>
          <w:spacing w:val="2"/>
          <w:w w:val="101"/>
        </w:rPr>
        <w:t xml:space="preserve"> </w:t>
      </w:r>
      <w:r>
        <w:t>los botiquines de emergencia, las medicinas, el agua limpia, las tazas y los vasos de cada trabajador o trabajadora, los retretes, los cuartos de baño y los reconocimientos médicos de los miembros del personal en el Departamento de Medicina del Trabajo del MoASTFPRJ. La persona que infrinja las disposiciones de la Ley del Trabajo s</w:t>
      </w:r>
      <w:r>
        <w:t>e</w:t>
      </w:r>
      <w:r>
        <w:t>rá multada o tendrá que comparecer ante un tribunal.</w:t>
      </w:r>
    </w:p>
    <w:p w:rsidR="00000000" w:rsidRDefault="00000000">
      <w:pPr>
        <w:pStyle w:val="SingleTxt"/>
      </w:pPr>
      <w:r>
        <w:t>306.</w:t>
      </w:r>
      <w:r>
        <w:tab/>
        <w:t>En el artículo 172 de la Ley del Trabajo se señala que “los empleadores y d</w:t>
      </w:r>
      <w:r>
        <w:t>i</w:t>
      </w:r>
      <w:r>
        <w:t>rectivos de organizaciones, dependencias, establecimientos o instituciones que co</w:t>
      </w:r>
      <w:r>
        <w:t>n</w:t>
      </w:r>
      <w:r>
        <w:t>traten a trabajadores, subordinados o mujeres de menos de 18 años de edad serán responsables de su cuidado y deberán mantener una conducta ética y resguardar su dignidad, sin humillarlos ante el público. Quedan prohibidas todas las formas de acoso sexual o discriminación”. Además, el artículo 173 de la Ley del Trabajo est</w:t>
      </w:r>
      <w:r>
        <w:t>a</w:t>
      </w:r>
      <w:r>
        <w:t>blece la prohibición de que mujeres y niños realicen tareas que resulten riesgosas para su salud o puedan afectarla de manera permanente. La Ley prohíbe asimismo que mujeres y niños realicen trabajos peligrosos o excesivos en menoscabo de su salud gen</w:t>
      </w:r>
      <w:r>
        <w:t>é</w:t>
      </w:r>
      <w:r>
        <w:t>sica.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Prohibición, bajo pena de sanciones, del despido por motivo de embarazo o licencia de maternidad y de la discriminación en los despidos sobre la base del estado civil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307.</w:t>
      </w:r>
      <w:r>
        <w:tab/>
        <w:t>El segundo párrafo del artículo 46 de la Constitución “prohíbe dejar cesante a una mujer por estar embarazada. La mujer tiene derecho a la licencia de maternidad con sueldo íntegro pagado y sin pérdida de su antigüedad ni de los beneficios s</w:t>
      </w:r>
      <w:r>
        <w:t>o</w:t>
      </w:r>
      <w:r>
        <w:t>ciales”. La Ley del Trabajo (inciso 3) del artículo 182) concede a la mujer una pr</w:t>
      </w:r>
      <w:r>
        <w:t>o</w:t>
      </w:r>
      <w:r>
        <w:t>tección similar al establecer que “queda absolutamente prohibido el despido de una mujer durante el embarazo o con ocasión del parto”.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Licencia de maternidad con sueldo íntegro pagado y otras prestaciones s</w:t>
      </w:r>
      <w:r>
        <w:t>o</w:t>
      </w:r>
      <w:r>
        <w:t>ciales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308.</w:t>
      </w:r>
      <w:r>
        <w:tab/>
        <w:t>Las mujeres que trabajan en la administración pública tienen derecho a una l</w:t>
      </w:r>
      <w:r>
        <w:t>i</w:t>
      </w:r>
      <w:r>
        <w:t>cencia de maternidad de tres meses con sueldo íntegro pagado y otras compensaci</w:t>
      </w:r>
      <w:r>
        <w:t>o</w:t>
      </w:r>
      <w:r>
        <w:t>nes. Terminada la licencia de maternidad, desarrollan normalmente su labor cotidi</w:t>
      </w:r>
      <w:r>
        <w:t>a</w:t>
      </w:r>
      <w:r>
        <w:t>na. De conformidad con lo estipulado en el artículo 1 de la Ley del Trabajo, las mujeres que trabajan en empresas o fábricas tienen derecho a una licencia de 90 d</w:t>
      </w:r>
      <w:r>
        <w:t>í</w:t>
      </w:r>
      <w:r>
        <w:t>as, con la mitad del sueldo pagado y otras compensaciones, después del parto. Estas compensaciones corresponden tan sólo a las empleadas que hayan trabajado en la empresa o la fábrica por más de un año (artículos 182 y 183 de la Ley del Trabajo). Sin embargo, las mujeres que hayan trabajado en la empresa o fábrica menos de un año también podrán gozar de una licencia de maternidad de 90 días, a discreción de los gerentes y empleadores. Después de los tres de meses de licencia de maternidad, se asignarán a la mujer tareas livianas por espacio de dos meses (artículo 182 de la Ley del Trabajo). Las mujeres que trabajan en la administración pública pueden p</w:t>
      </w:r>
      <w:r>
        <w:t>e</w:t>
      </w:r>
      <w:r>
        <w:t>dir a sus supervisores que cambien las funciones que tienen asignadas en caso de s</w:t>
      </w:r>
      <w:r>
        <w:t>u</w:t>
      </w:r>
      <w:r>
        <w:t>frir probl</w:t>
      </w:r>
      <w:r>
        <w:t>e</w:t>
      </w:r>
      <w:r>
        <w:t>mas de salud.</w:t>
      </w:r>
    </w:p>
    <w:p w:rsidR="00000000" w:rsidRDefault="00000000">
      <w:pPr>
        <w:pStyle w:val="SingleTxt"/>
        <w:keepNext/>
        <w:keepLines/>
      </w:pPr>
      <w:r>
        <w:t>309.</w:t>
      </w:r>
      <w:r>
        <w:tab/>
        <w:t>El artículo 73 de la Constitución del Reino de Camboya reza así: “El Estado tendrá muy en cuenta a los niños y las madres. El Estado establecerá guarderías i</w:t>
      </w:r>
      <w:r>
        <w:t>n</w:t>
      </w:r>
      <w:r>
        <w:t>fantiles y otorgará ayuda a las mujeres desplazadas con muchos hijos (que no cue</w:t>
      </w:r>
      <w:r>
        <w:t>n</w:t>
      </w:r>
      <w:r>
        <w:t>ten con medios de sustento suficientes)”. El artículo 186 de la Ley del Trabajo di</w:t>
      </w:r>
      <w:r>
        <w:t>s</w:t>
      </w:r>
      <w:r>
        <w:t>pone: “Los directivos de empresas o fábricas que cuenten con más de un centenar de mujeres entre su personal deberán habilitar una guardería y un recinto para am</w:t>
      </w:r>
      <w:r>
        <w:t>a</w:t>
      </w:r>
      <w:r>
        <w:t>mantar a los bebés”. En las empresas que no dispongan de una guardería para niños de más de 18 meses de edad, las trabajadoras podrán enviar a sus hijos a otras gua</w:t>
      </w:r>
      <w:r>
        <w:t>r</w:t>
      </w:r>
      <w:r>
        <w:t>derías y los empleadores se harán cargo de todos los gastos correspondientes. El a</w:t>
      </w:r>
      <w:r>
        <w:t>r</w:t>
      </w:r>
      <w:r>
        <w:t>tículo 219 de la Ley del Trabajo estipula lo siguiente: “En cualquier plantación que haya contratado a más de 100 trabajadores permanentes que vivan en la misma plantación, los inspectores de trabajo podrán ordenar a los empleadores que est</w:t>
      </w:r>
      <w:r>
        <w:t>a</w:t>
      </w:r>
      <w:r>
        <w:t>blezcan, preparen o proporcionen una guardería cercana a las casas de esos trabaj</w:t>
      </w:r>
      <w:r>
        <w:t>a</w:t>
      </w:r>
      <w:r>
        <w:t>dores, de conformidad con las recomendaciones de los equipos médicos y de las autoridades provinciales o municipales”. El artículo 222 de la Ley del Trabajo reza así: “En toda plantación en que haya por lo menos 20 niños de más de seis años de edad que sean trabajadores residentes, los empleadores deberán construir y mantener a sus expensas un número suficiente de escuelas primarias próximas a las viviendas de los trabajadores”.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Provisión de los servicios sociales necesarios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310.</w:t>
      </w:r>
      <w:r>
        <w:tab/>
        <w:t>El Ministerio de Educación, la Juventud y los Deportes (MoEJD), ONG naci</w:t>
      </w:r>
      <w:r>
        <w:t>o</w:t>
      </w:r>
      <w:r>
        <w:t>nales e internacionales y diversas asociaciones o comunidades han construido m</w:t>
      </w:r>
      <w:r>
        <w:t>u</w:t>
      </w:r>
      <w:r>
        <w:t>chos jardines de infancia para que se matriculen en ellos los hijos de todos los h</w:t>
      </w:r>
      <w:r>
        <w:t>a</w:t>
      </w:r>
      <w:r>
        <w:t>bitantes del Reino y las mujeres dispongan de oportunidades de participar en todas las actividades de la sociedad. En la actualidad, hay en todo el país 177 jardines de i</w:t>
      </w:r>
      <w:r>
        <w:t>n</w:t>
      </w:r>
      <w:r>
        <w:t>fancia más que el año anterior. Los jardines de infancia comprenden:</w:t>
      </w:r>
    </w:p>
    <w:p w:rsidR="00000000" w:rsidRDefault="00000000">
      <w:pPr>
        <w:pStyle w:val="SingleTxt"/>
        <w:tabs>
          <w:tab w:val="right" w:pos="1685"/>
        </w:tabs>
        <w:ind w:left="1742" w:hanging="475"/>
      </w:pPr>
      <w:r>
        <w:tab/>
        <w:t>–</w:t>
      </w:r>
      <w:r>
        <w:tab/>
        <w:t>923 jardines de infancia estatales (130 con instalaciones propias y 793 que funci</w:t>
      </w:r>
      <w:r>
        <w:t>o</w:t>
      </w:r>
      <w:r>
        <w:t>nan en escuelas primarias del MoEJD);</w:t>
      </w:r>
    </w:p>
    <w:p w:rsidR="00000000" w:rsidRDefault="00000000">
      <w:pPr>
        <w:pStyle w:val="SingleTxt"/>
        <w:tabs>
          <w:tab w:val="right" w:pos="1685"/>
        </w:tabs>
        <w:ind w:left="1742" w:hanging="475"/>
      </w:pPr>
      <w:r>
        <w:tab/>
        <w:t>–</w:t>
      </w:r>
      <w:r>
        <w:tab/>
        <w:t>un jardín de infancia que es propiedad del Departamento de Comercio en la provi</w:t>
      </w:r>
      <w:r>
        <w:t>n</w:t>
      </w:r>
      <w:r>
        <w:t>cia de Siem Reap;</w:t>
      </w:r>
    </w:p>
    <w:p w:rsidR="00000000" w:rsidRDefault="00000000">
      <w:pPr>
        <w:pStyle w:val="SingleTxt"/>
        <w:tabs>
          <w:tab w:val="right" w:pos="1685"/>
        </w:tabs>
        <w:ind w:left="1742" w:hanging="475"/>
      </w:pPr>
      <w:r>
        <w:tab/>
        <w:t>–</w:t>
      </w:r>
      <w:r>
        <w:tab/>
        <w:t>cinco jardines de infancia que funcionan en fábricas de la provincia de Ko</w:t>
      </w:r>
      <w:r>
        <w:t>m</w:t>
      </w:r>
      <w:r>
        <w:t>pong Cham;</w:t>
      </w:r>
    </w:p>
    <w:p w:rsidR="00000000" w:rsidRDefault="00000000">
      <w:pPr>
        <w:pStyle w:val="SingleTxt"/>
        <w:tabs>
          <w:tab w:val="right" w:pos="1685"/>
        </w:tabs>
        <w:ind w:left="1742" w:hanging="475"/>
      </w:pPr>
      <w:r>
        <w:tab/>
        <w:t>–</w:t>
      </w:r>
      <w:r>
        <w:tab/>
        <w:t>25 jardines de infancia privados;</w:t>
      </w:r>
    </w:p>
    <w:p w:rsidR="00000000" w:rsidRDefault="00000000">
      <w:pPr>
        <w:pStyle w:val="SingleTxt"/>
        <w:tabs>
          <w:tab w:val="right" w:pos="1685"/>
        </w:tabs>
        <w:ind w:left="1742" w:hanging="475"/>
      </w:pPr>
      <w:r>
        <w:tab/>
        <w:t>–</w:t>
      </w:r>
      <w:r>
        <w:tab/>
        <w:t>29 jardines de infancia donde se imparten clases a la mañana y a la tarde;</w:t>
      </w:r>
    </w:p>
    <w:p w:rsidR="00000000" w:rsidRDefault="00000000">
      <w:pPr>
        <w:pStyle w:val="SingleTxt"/>
        <w:tabs>
          <w:tab w:val="right" w:pos="1685"/>
        </w:tabs>
        <w:ind w:left="1742" w:hanging="475"/>
      </w:pPr>
      <w:r>
        <w:tab/>
        <w:t>–</w:t>
      </w:r>
      <w:r>
        <w:tab/>
        <w:t>cuatro jardines de infancia sin pensión, y</w:t>
      </w:r>
    </w:p>
    <w:p w:rsidR="00000000" w:rsidRDefault="00000000">
      <w:pPr>
        <w:pStyle w:val="SingleTxt"/>
        <w:tabs>
          <w:tab w:val="right" w:pos="1685"/>
        </w:tabs>
        <w:ind w:left="1742" w:hanging="475"/>
      </w:pPr>
      <w:r>
        <w:tab/>
        <w:t>–</w:t>
      </w:r>
      <w:r>
        <w:tab/>
        <w:t>251 jardines de infancia con 253 aulas en centros comunitarios. En la actual</w:t>
      </w:r>
      <w:r>
        <w:t>i</w:t>
      </w:r>
      <w:r>
        <w:t>dad, el MoEJD forma nuevas maestras de jardines de infancia para que ayuden a las muj</w:t>
      </w:r>
      <w:r>
        <w:t>e</w:t>
      </w:r>
      <w:r>
        <w:t>res que trabajan.</w:t>
      </w:r>
    </w:p>
    <w:p w:rsidR="00000000" w:rsidRDefault="00000000">
      <w:pPr>
        <w:pStyle w:val="SingleTxt"/>
        <w:rPr>
          <w:spacing w:val="2"/>
          <w:w w:val="101"/>
        </w:rPr>
      </w:pPr>
      <w:r>
        <w:rPr>
          <w:w w:val="101"/>
        </w:rPr>
        <w:t>311.</w:t>
      </w:r>
      <w:r>
        <w:rPr>
          <w:w w:val="101"/>
        </w:rPr>
        <w:tab/>
        <w:t>En los artículos 182 a 186 de la Ley del Trabajo se prohíbe a los empleadores que despidan a una mujer mientras goza de su licencia de maternidad o enviándole un preaviso de despido en una fecha que caiga durante el período de duración de esa l</w:t>
      </w:r>
      <w:r>
        <w:rPr>
          <w:w w:val="101"/>
        </w:rPr>
        <w:t>i</w:t>
      </w:r>
      <w:r>
        <w:rPr>
          <w:w w:val="101"/>
        </w:rPr>
        <w:t>cencia. Las mujeres tienen derecho a una licencia de maternidad con la mitad de sue</w:t>
      </w:r>
      <w:r>
        <w:rPr>
          <w:w w:val="101"/>
        </w:rPr>
        <w:t>l</w:t>
      </w:r>
      <w:r>
        <w:rPr>
          <w:w w:val="101"/>
        </w:rPr>
        <w:t>do pagado y a otras compensaciones. Los recesos para amamantar a bebés se oto</w:t>
      </w:r>
      <w:r>
        <w:rPr>
          <w:w w:val="101"/>
        </w:rPr>
        <w:t>r</w:t>
      </w:r>
      <w:r>
        <w:rPr>
          <w:w w:val="101"/>
        </w:rPr>
        <w:t>gan aparte y no se deducen del tiempo de duración de los recesos normales previstos</w:t>
      </w:r>
      <w:r>
        <w:rPr>
          <w:spacing w:val="2"/>
          <w:w w:val="101"/>
        </w:rPr>
        <w:t xml:space="preserve"> en la Ley del Trabajo o en el reglamento interno del establecimiento de que se trate. En cualquier plantación cuya plantilla esté compuesta por más de 100 trabajadores </w:t>
      </w:r>
      <w:r>
        <w:t>perm</w:t>
      </w:r>
      <w:r>
        <w:t>a</w:t>
      </w:r>
      <w:r>
        <w:t xml:space="preserve">nentes que vivan en la misma plantación, los inspectores de trabajo podrán ordenar a los empleadores que establezcan, preparen o proporcionen una guardería cercana a </w:t>
      </w:r>
      <w:r>
        <w:rPr>
          <w:spacing w:val="2"/>
          <w:w w:val="101"/>
        </w:rPr>
        <w:t>las casas de esos trabajadores. En las empresas que no dispongan de una guardería para niños de más de 18 meses de edad, las trabajadoras podrán enviar a sus hijos a otras guarderías y los empleadores se harán cargo de todos los gastos correspo</w:t>
      </w:r>
      <w:r>
        <w:rPr>
          <w:spacing w:val="2"/>
          <w:w w:val="101"/>
        </w:rPr>
        <w:t>n</w:t>
      </w:r>
      <w:r>
        <w:rPr>
          <w:spacing w:val="2"/>
          <w:w w:val="101"/>
        </w:rPr>
        <w:t>dientes.</w:t>
      </w:r>
    </w:p>
    <w:p w:rsidR="00000000" w:rsidRDefault="00000000">
      <w:pPr>
        <w:pStyle w:val="SingleTxt"/>
      </w:pPr>
      <w:r>
        <w:tab/>
        <w:t xml:space="preserve">En la práctica, no hay un cumplimiento estricto de la Ley. El MoEJD prepara una </w:t>
      </w:r>
      <w:r>
        <w:rPr>
          <w:i/>
        </w:rPr>
        <w:t xml:space="preserve">Prakas </w:t>
      </w:r>
      <w:r>
        <w:t>para tomar cartas en el asunto.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Protección especial de la mujer embarazada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312.</w:t>
      </w:r>
      <w:r>
        <w:tab/>
        <w:t>El Real Gobierno de Camboya presta apoyo a las funcionarias públicas que realizan trabajos difíciles. Los artículos 229 y 230 de la Ley del Trabajo prohíben que las mujeres realicen trabajos de cualquier índole que sean riesgosos o entrañen algún peligro o que les impongan esfuerzos excesivos porque podrían afectar pe</w:t>
      </w:r>
      <w:r>
        <w:t>r</w:t>
      </w:r>
      <w:r>
        <w:t>manentemente a su s</w:t>
      </w:r>
      <w:r>
        <w:t>a</w:t>
      </w:r>
      <w:r>
        <w:t>lud genésica o provocar abortos si estuviesen embarazadas.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 la legislación</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313.</w:t>
      </w:r>
      <w:r>
        <w:tab/>
        <w:t>El Real Gobierno de Camboya ratificó la Convención sobre la eliminación de todas las formas de discriminación contra la mujer. En el artículo 31 de la Constit</w:t>
      </w:r>
      <w:r>
        <w:t>u</w:t>
      </w:r>
      <w:r>
        <w:t>ción se reconocen los derechos humanos definidos en la Convención. No se aplicará ninguna ley que esté en contradicción con las disposiciones de la CEDAW. Se ha instituido un Consejo Constitucional para que se encargue de estudiar la constit</w:t>
      </w:r>
      <w:r>
        <w:t>u</w:t>
      </w:r>
      <w:r>
        <w:t>cionalidad de las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b/>
        </w:rPr>
      </w:pPr>
      <w:r>
        <w:rPr>
          <w:b/>
        </w:rPr>
        <w:t>Obstáculos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314.</w:t>
      </w:r>
      <w:r>
        <w:tab/>
        <w:t>Todavía la Ley del Trabajo no se hace cumplir con un criterio e</w:t>
      </w:r>
      <w:r>
        <w:t>s</w:t>
      </w:r>
      <w:r>
        <w:t>tricto.</w:t>
      </w:r>
    </w:p>
    <w:p w:rsidR="00000000" w:rsidRDefault="00000000">
      <w:pPr>
        <w:pStyle w:val="SingleTxt"/>
        <w:tabs>
          <w:tab w:val="right" w:pos="1685"/>
        </w:tabs>
        <w:ind w:left="1742" w:hanging="475"/>
      </w:pPr>
      <w:r>
        <w:tab/>
        <w:t>–</w:t>
      </w:r>
      <w:r>
        <w:tab/>
        <w:t>En el sector privado, algunas fábricas no han prestado a la mujer embarazada la atención o la protección que exige la Ley;</w:t>
      </w:r>
    </w:p>
    <w:p w:rsidR="00000000" w:rsidRDefault="00000000">
      <w:pPr>
        <w:pStyle w:val="SingleTxt"/>
        <w:tabs>
          <w:tab w:val="right" w:pos="1685"/>
        </w:tabs>
        <w:ind w:left="1742" w:hanging="475"/>
      </w:pPr>
      <w:r>
        <w:tab/>
        <w:t>–</w:t>
      </w:r>
      <w:r>
        <w:tab/>
        <w:t>es muy reducido el número de guarderías establecidas o de recintos habilitados para el amamantamiento de bebés;</w:t>
      </w:r>
    </w:p>
    <w:p w:rsidR="00000000" w:rsidRDefault="00000000">
      <w:pPr>
        <w:pStyle w:val="SingleTxt"/>
        <w:tabs>
          <w:tab w:val="right" w:pos="1685"/>
        </w:tabs>
        <w:ind w:left="1742" w:hanging="475"/>
      </w:pPr>
      <w:r>
        <w:tab/>
        <w:t>–</w:t>
      </w:r>
      <w:r>
        <w:tab/>
        <w:t>no se vigila mucho la aplicación de la Ley, y</w:t>
      </w:r>
    </w:p>
    <w:p w:rsidR="00000000" w:rsidRDefault="00000000">
      <w:pPr>
        <w:pStyle w:val="SingleTxt"/>
        <w:tabs>
          <w:tab w:val="right" w:pos="1685"/>
        </w:tabs>
        <w:ind w:left="1742" w:hanging="475"/>
      </w:pPr>
      <w:r>
        <w:tab/>
        <w:t>–</w:t>
      </w:r>
      <w:r>
        <w:tab/>
        <w:t>se ha tomado poca conciencia de los derechos reconocidos por la Constitución.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Acción futura</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315.</w:t>
      </w:r>
      <w:r>
        <w:tab/>
        <w:t xml:space="preserve">El Gobierno adoptará todas las medidas apropiadas para eliminar </w:t>
      </w:r>
      <w:r>
        <w:rPr>
          <w:i/>
        </w:rPr>
        <w:t>de facto</w:t>
      </w:r>
      <w:r>
        <w:t xml:space="preserve"> la discriminación en la esfera del empleo a fin de garantizar en ella la igualdad de d</w:t>
      </w:r>
      <w:r>
        <w:t>e</w:t>
      </w:r>
      <w:r>
        <w:t>rechos entre la mujer y el hombre:</w:t>
      </w:r>
    </w:p>
    <w:p w:rsidR="00000000" w:rsidRDefault="00000000">
      <w:pPr>
        <w:pStyle w:val="SingleTxt"/>
        <w:tabs>
          <w:tab w:val="right" w:pos="1685"/>
        </w:tabs>
        <w:ind w:left="1742" w:hanging="475"/>
      </w:pPr>
      <w:r>
        <w:tab/>
        <w:t>–</w:t>
      </w:r>
      <w:r>
        <w:tab/>
        <w:t>En el marco de la reforma de la administración y la justicia en que está emp</w:t>
      </w:r>
      <w:r>
        <w:t>e</w:t>
      </w:r>
      <w:r>
        <w:t>ñado el Real Gobierno de Camboya, se desplegarán esfuerzos por hacer cu</w:t>
      </w:r>
      <w:r>
        <w:t>m</w:t>
      </w:r>
      <w:r>
        <w:t>plir la Ley del Trabajo;</w:t>
      </w:r>
    </w:p>
    <w:p w:rsidR="00000000" w:rsidRDefault="00000000">
      <w:pPr>
        <w:pStyle w:val="SingleTxt"/>
        <w:tabs>
          <w:tab w:val="right" w:pos="1685"/>
        </w:tabs>
        <w:ind w:left="1742" w:hanging="475"/>
      </w:pPr>
      <w:r>
        <w:tab/>
        <w:t>–</w:t>
      </w:r>
      <w:r>
        <w:tab/>
        <w:t>El Real Gobierno de Camboya brindará más oportunidades de empleo a la mujer i</w:t>
      </w:r>
      <w:r>
        <w:t>m</w:t>
      </w:r>
      <w:r>
        <w:t>pulsando el desarrollo de la agricultura, y</w:t>
      </w:r>
    </w:p>
    <w:p w:rsidR="00000000" w:rsidRDefault="00000000">
      <w:pPr>
        <w:pStyle w:val="SingleTxt"/>
        <w:tabs>
          <w:tab w:val="right" w:pos="1685"/>
        </w:tabs>
        <w:ind w:left="1742" w:hanging="475"/>
      </w:pPr>
      <w:r>
        <w:tab/>
        <w:t>–</w:t>
      </w:r>
      <w:r>
        <w:tab/>
        <w:t>Se promoverán la difusión y la aplicación efectiva de la Ley relativa a la Seg</w:t>
      </w:r>
      <w:r>
        <w:t>u</w:t>
      </w:r>
      <w:r>
        <w:t>ridad Social.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acceso a los servicios de atención médica</w:t>
      </w: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12</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Los Estados Partes adoptarán todas las medidas apropiadas para eliminar la discriminación contra la mujer en la esfera de la atención médica a fin de asegurar, en condiciones de igualdad entre hombres y mujeres, el acceso a servicios de ate</w:t>
      </w:r>
      <w:r>
        <w:rPr>
          <w:i/>
        </w:rPr>
        <w:t>n</w:t>
      </w:r>
      <w:r>
        <w:rPr>
          <w:i/>
        </w:rPr>
        <w:t>ción médica, inclusive los que se refieren a la planificación de la familia.</w:t>
      </w:r>
    </w:p>
    <w:p w:rsidR="00000000" w:rsidRDefault="00000000">
      <w:pPr>
        <w:pStyle w:val="SingleTxt"/>
        <w:rPr>
          <w:i/>
        </w:rPr>
      </w:pPr>
      <w:r>
        <w:rPr>
          <w:i/>
        </w:rPr>
        <w:t>2.</w:t>
      </w:r>
      <w:r>
        <w:rPr>
          <w:i/>
        </w:rPr>
        <w:tab/>
        <w:t xml:space="preserve">Sin perjuicio de lo dispuesto en el párrafo 1 </w:t>
      </w:r>
      <w:r>
        <w:t>supra</w:t>
      </w:r>
      <w:r>
        <w:rPr>
          <w:i/>
        </w:rPr>
        <w:t>, los Estados Partes garant</w:t>
      </w:r>
      <w:r>
        <w:rPr>
          <w:i/>
        </w:rPr>
        <w:t>i</w:t>
      </w:r>
      <w:r>
        <w:rPr>
          <w:i/>
        </w:rPr>
        <w:t>zarán a la mujer servicios apropiados en relación con el embarazo, el parto y el p</w:t>
      </w:r>
      <w:r>
        <w:rPr>
          <w:i/>
        </w:rPr>
        <w:t>e</w:t>
      </w:r>
      <w:r>
        <w:rPr>
          <w:i/>
        </w:rPr>
        <w:t>ríodo posterior al parto, proporcionando servicios gratuitos cuando fuere neces</w:t>
      </w:r>
      <w:r>
        <w:rPr>
          <w:i/>
        </w:rPr>
        <w:t>a</w:t>
      </w:r>
      <w:r>
        <w:rPr>
          <w:i/>
        </w:rPr>
        <w:t>rio, y le asegurarán una nutr</w:t>
      </w:r>
      <w:r>
        <w:rPr>
          <w:i/>
        </w:rPr>
        <w:t>i</w:t>
      </w:r>
      <w:r>
        <w:rPr>
          <w:i/>
        </w:rPr>
        <w:t>ción adecuada durante el embarazo y la lactancia.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Acceso a la atención médica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316.</w:t>
      </w:r>
      <w:r>
        <w:tab/>
        <w:t>El Real Gobierno de Camboya viene desplegando esfuerzos para que la mujer tenga acceso a los servicios de atención médica en igualdad de condiciones con el hombre: procura, en efecto, eliminar las barreras jurídicas que obstruyen ese acceso al conjunto de las mujeres, especialmente a las discapacitadas, las analfabetas y las que viven lejos de los centros de salud. Las mujeres tienen el derecho y la libertad de acceder a los servicios de atención médica personal.</w:t>
      </w:r>
    </w:p>
    <w:p w:rsidR="00000000" w:rsidRDefault="00000000">
      <w:pPr>
        <w:pStyle w:val="SingleTxt"/>
      </w:pPr>
      <w:r>
        <w:t>317.</w:t>
      </w:r>
      <w:r>
        <w:tab/>
        <w:t>Según el artículo 72 de la Constitución, la salud de la población está garant</w:t>
      </w:r>
      <w:r>
        <w:t>i</w:t>
      </w:r>
      <w:r>
        <w:t>zada por el Estado, que vela por prevenir las enfermedades y brindar tratamiento médico. Los ciudadanos pobres reciben asistencia médica gratuita en hospitales p</w:t>
      </w:r>
      <w:r>
        <w:t>ú</w:t>
      </w:r>
      <w:r>
        <w:t>blicos, dispensarios y maternidades. De conformidad con esa disposición, el Mini</w:t>
      </w:r>
      <w:r>
        <w:t>s</w:t>
      </w:r>
      <w:r>
        <w:t>terio de Salud hace hincapié en la prevención y el tratamiento brindando sin ningún tipo de discriminación servicios médicos, incluso en la esfera de la planificación de la familia, en aldeas, comunas y distritos.</w:t>
      </w:r>
    </w:p>
    <w:p w:rsidR="00000000" w:rsidRDefault="00000000">
      <w:pPr>
        <w:pStyle w:val="SingleTxt"/>
      </w:pPr>
      <w:r>
        <w:t>318.</w:t>
      </w:r>
      <w:r>
        <w:tab/>
        <w:t>El Ministerio de Salud viene poniendo en marcha diversos programas de ate</w:t>
      </w:r>
      <w:r>
        <w:t>n</w:t>
      </w:r>
      <w:r>
        <w:t>ción de la salud, especialmente para mujeres y niños, en esferas tales como la salud genésica, la nutrición desde el punto de vista de la seguridad alimentaria, la lucha contra el VIH/SIDA y la atención de la salud mental; estos programas cuentan con el apoyo del FNUAP, el UNICEF, la OMS, el Organismo Australiano de Desarrollo Internacional (AusAID), el ONUSIDA, el PMA y el Organismo Japonés de Coop</w:t>
      </w:r>
      <w:r>
        <w:t>e</w:t>
      </w:r>
      <w:r>
        <w:t>ración Internacional (OJCI). Desde 1992, el Ministerio desarrolla programas de atención de la salud mental destinados en general a toda la población y en particular a las mujeres víctimas de la violencia en el hogar. Se proyecta llevar a la práctica en todo el territorio de la nación estos programas, que ya están en marcha en Batta</w:t>
      </w:r>
      <w:r>
        <w:t>m</w:t>
      </w:r>
      <w:r>
        <w:t>bang, Kompong Speu, Pursat, Banteay Meanchey y Phnom Penh.</w:t>
      </w:r>
    </w:p>
    <w:p w:rsidR="00000000" w:rsidRDefault="00000000">
      <w:pPr>
        <w:pStyle w:val="SingleTxt"/>
      </w:pPr>
      <w:r>
        <w:t>319.</w:t>
      </w:r>
      <w:r>
        <w:tab/>
        <w:t>Los aldeanos han prestado apoyo a los programas de espaciamiento de los n</w:t>
      </w:r>
      <w:r>
        <w:t>a</w:t>
      </w:r>
      <w:r>
        <w:t>cimientos y los funcionarios de salud, junto con las parteras tradicionales y los hombres y mujeres de la comunidad, enseñan métodos para espaciar los embarazos. En comparación con años anteriores, se ha dado más impulso a las actividades rel</w:t>
      </w:r>
      <w:r>
        <w:t>a</w:t>
      </w:r>
      <w:r>
        <w:t>cionadas con la atención de la salud maternoinfantil. El Centro Nacional de Salud Maternoinfantil del Ministerio de Salud, con el apoyo del OJCI, el UNICEF, la OMS, el FNUAP y el AusAID, ha prestado y ampliado servicios de salud pública desde los distritos hasta las comunas teniendo como destinatarias, en especial, a las madres que viven en las zonas rurales.</w:t>
      </w:r>
    </w:p>
    <w:p w:rsidR="00000000" w:rsidRDefault="00000000">
      <w:pPr>
        <w:pStyle w:val="SingleTxt"/>
      </w:pPr>
      <w:r>
        <w:t>320.</w:t>
      </w:r>
      <w:r>
        <w:tab/>
        <w:t>Hay ocho hospitales nacionales, 24 hospitales de remisión provinciales, 44 hospitales de remisión distritales y 812 centros de salud que prestan servicios méd</w:t>
      </w:r>
      <w:r>
        <w:t>i</w:t>
      </w:r>
      <w:r>
        <w:t>cos a escala nacional. Cada centro de salud brinda sus servicios a un número de pe</w:t>
      </w:r>
      <w:r>
        <w:t>r</w:t>
      </w:r>
      <w:r>
        <w:t>sonas que oscila entre 8.000 y 12.000. Existen servicios específicos para la mujer. Los miembros del personal técnico contratado a mediano plazo —médicos, denti</w:t>
      </w:r>
      <w:r>
        <w:t>s</w:t>
      </w:r>
      <w:r>
        <w:t>tas, parteras, enfermeras y experimentadores— suman en total 17.809, de los cuales 7.676 (43%) son mujeres (2001). Entre los servicios de salud que se prestan, los destinados en particular a mujeres y niños son los siguientes:</w:t>
      </w:r>
    </w:p>
    <w:p w:rsidR="00000000" w:rsidRDefault="00000000">
      <w:pPr>
        <w:pStyle w:val="SingleTxt"/>
        <w:tabs>
          <w:tab w:val="right" w:pos="1685"/>
        </w:tabs>
        <w:ind w:left="1742" w:hanging="475"/>
      </w:pPr>
      <w:r>
        <w:tab/>
        <w:t>–</w:t>
      </w:r>
      <w:r>
        <w:tab/>
        <w:t>espaciamiento de los embarazos</w:t>
      </w:r>
    </w:p>
    <w:p w:rsidR="00000000" w:rsidRDefault="00000000">
      <w:pPr>
        <w:pStyle w:val="SingleTxt"/>
        <w:tabs>
          <w:tab w:val="right" w:pos="1685"/>
        </w:tabs>
        <w:ind w:left="1742" w:hanging="475"/>
      </w:pPr>
      <w:r>
        <w:tab/>
        <w:t>–</w:t>
      </w:r>
      <w:r>
        <w:tab/>
        <w:t>atención prenatal y puerperal</w:t>
      </w:r>
    </w:p>
    <w:p w:rsidR="00000000" w:rsidRDefault="00000000">
      <w:pPr>
        <w:pStyle w:val="SingleTxt"/>
        <w:tabs>
          <w:tab w:val="right" w:pos="1685"/>
        </w:tabs>
        <w:ind w:left="1742" w:hanging="475"/>
        <w:rPr>
          <w:spacing w:val="2"/>
          <w:w w:val="101"/>
        </w:rPr>
      </w:pPr>
      <w:r>
        <w:rPr>
          <w:spacing w:val="2"/>
          <w:w w:val="101"/>
        </w:rPr>
        <w:tab/>
        <w:t>–</w:t>
      </w:r>
      <w:r>
        <w:rPr>
          <w:spacing w:val="2"/>
          <w:w w:val="101"/>
        </w:rPr>
        <w:tab/>
        <w:t>inmunización con toxoide tetánico de mujeres embarazadas o en edad de pr</w:t>
      </w:r>
      <w:r>
        <w:rPr>
          <w:spacing w:val="2"/>
          <w:w w:val="101"/>
        </w:rPr>
        <w:t>o</w:t>
      </w:r>
      <w:r>
        <w:rPr>
          <w:spacing w:val="2"/>
          <w:w w:val="101"/>
        </w:rPr>
        <w:t>crear</w:t>
      </w:r>
    </w:p>
    <w:p w:rsidR="00000000" w:rsidRDefault="00000000">
      <w:pPr>
        <w:pStyle w:val="SingleTxt"/>
        <w:tabs>
          <w:tab w:val="right" w:pos="1685"/>
        </w:tabs>
        <w:ind w:left="1742" w:hanging="475"/>
      </w:pPr>
      <w:r>
        <w:tab/>
        <w:t>–</w:t>
      </w:r>
      <w:r>
        <w:tab/>
        <w:t>vacunación de los recién nacidos y niños pequeños</w:t>
      </w:r>
    </w:p>
    <w:p w:rsidR="00000000" w:rsidRDefault="00000000">
      <w:pPr>
        <w:pStyle w:val="SingleTxt"/>
        <w:tabs>
          <w:tab w:val="right" w:pos="1685"/>
        </w:tabs>
        <w:ind w:left="1742" w:hanging="475"/>
      </w:pPr>
      <w:r>
        <w:tab/>
        <w:t>–</w:t>
      </w:r>
      <w:r>
        <w:tab/>
        <w:t>seguimiento de las embarazadas con signos de riesgo</w:t>
      </w:r>
    </w:p>
    <w:p w:rsidR="00000000" w:rsidRDefault="00000000">
      <w:pPr>
        <w:pStyle w:val="SingleTxt"/>
        <w:tabs>
          <w:tab w:val="right" w:pos="1685"/>
        </w:tabs>
        <w:ind w:left="1742" w:hanging="475"/>
      </w:pPr>
      <w:r>
        <w:tab/>
        <w:t>–</w:t>
      </w:r>
      <w:r>
        <w:tab/>
        <w:t>partos seguros e higiénicos</w:t>
      </w:r>
    </w:p>
    <w:p w:rsidR="00000000" w:rsidRDefault="00000000">
      <w:pPr>
        <w:pStyle w:val="SingleTxt"/>
        <w:tabs>
          <w:tab w:val="right" w:pos="1685"/>
        </w:tabs>
        <w:ind w:left="1742" w:hanging="475"/>
      </w:pPr>
      <w:r>
        <w:tab/>
        <w:t>–</w:t>
      </w:r>
      <w:r>
        <w:tab/>
        <w:t>SIDA y enfermedades de transmisión sexual (ETS)</w:t>
      </w:r>
    </w:p>
    <w:p w:rsidR="00000000" w:rsidRDefault="00000000">
      <w:pPr>
        <w:pStyle w:val="SingleTxt"/>
        <w:tabs>
          <w:tab w:val="right" w:pos="1685"/>
        </w:tabs>
        <w:ind w:left="1742" w:hanging="475"/>
      </w:pPr>
      <w:r>
        <w:tab/>
        <w:t>–</w:t>
      </w:r>
      <w:r>
        <w:tab/>
        <w:t>salud mental</w:t>
      </w:r>
    </w:p>
    <w:p w:rsidR="00000000" w:rsidRDefault="00000000">
      <w:pPr>
        <w:pStyle w:val="SingleTxt"/>
        <w:tabs>
          <w:tab w:val="right" w:pos="1685"/>
        </w:tabs>
        <w:ind w:left="1742" w:hanging="475"/>
      </w:pPr>
      <w:r>
        <w:tab/>
        <w:t>–</w:t>
      </w:r>
      <w:r>
        <w:tab/>
        <w:t>atención de mujeres y niños desnutridos</w:t>
      </w:r>
    </w:p>
    <w:p w:rsidR="00000000" w:rsidRDefault="00000000">
      <w:pPr>
        <w:pStyle w:val="SingleTxt"/>
      </w:pPr>
      <w:r>
        <w:t>(24ª Conferencia Nacional de Salud organizada por el Ministerio de Salud)</w:t>
      </w:r>
    </w:p>
    <w:p w:rsidR="00000000" w:rsidRDefault="00000000">
      <w:pPr>
        <w:pStyle w:val="SingleTxt"/>
      </w:pPr>
      <w:r>
        <w:t>321.</w:t>
      </w:r>
      <w:r>
        <w:tab/>
        <w:t>Hay en el país 393 farmacias atendidas por farmacéuticos y 621 almacenes de farmacia. El sector privado colabora activamente con el sector público en la prest</w:t>
      </w:r>
      <w:r>
        <w:t>a</w:t>
      </w:r>
      <w:r>
        <w:t>ción de servicios médicos. Funcionan 864 clínicas privadas con servicios de dia</w:t>
      </w:r>
      <w:r>
        <w:t>g</w:t>
      </w:r>
      <w:r>
        <w:t>nóstico, consulta y tratamiento, salas de maternidad y poliquimioterapia, según un informe presentado ante la 24ª Conferencia de Salud.</w:t>
      </w:r>
    </w:p>
    <w:p w:rsidR="00000000" w:rsidRDefault="00000000">
      <w:pPr>
        <w:pStyle w:val="SingleTxt"/>
        <w:keepNext/>
        <w:keepLines/>
      </w:pPr>
      <w:r>
        <w:t>322.</w:t>
      </w:r>
      <w:r>
        <w:tab/>
        <w:t>El índice de crecimiento demográfico es de 2,49% y la tasa de fecundidad de 4. Los menores de 15 años representan 42,8% de la población y los mayores de 65 años, 3,7% (Encuesta demográfica de salud, 2000). La población menor de 65 años está formada por 55,8% de mujeres y 46,3% de hombres (</w:t>
      </w:r>
      <w:r>
        <w:rPr>
          <w:i/>
        </w:rPr>
        <w:t>Informe sobre Desarrollo Humano 2002</w:t>
      </w:r>
      <w:r>
        <w:t>).</w:t>
      </w:r>
    </w:p>
    <w:p w:rsidR="00000000" w:rsidRDefault="00000000">
      <w:pPr>
        <w:pStyle w:val="SingleTxt"/>
      </w:pPr>
      <w:r>
        <w:t>323.</w:t>
      </w:r>
      <w:r>
        <w:tab/>
        <w:t>La tasa de defunciones de mujeres relacionadas con la maternidad es de 437 por 100.000 nacidos vivos. Las causas principales de la morbilidad y la mortalidad maternas son las hemorragias, incluidas las producidas antes y después del parto, la eclampsia y el aborto peligroso o sus complicaciones (Informe del Ministerio de Salud correspondiente a 2003). El inadecuado seguimiento de las embarazadas (las que se someten a reconocimientos médicos representan 38% y el resto opta por la atención tradicional) y los partos peligrosos son asimismo causas importantes de esta elevada mortalidad materna.</w:t>
      </w:r>
    </w:p>
    <w:p w:rsidR="00000000" w:rsidRDefault="00000000">
      <w:pPr>
        <w:pStyle w:val="SingleTxt"/>
        <w:suppressAutoHyphens/>
      </w:pPr>
      <w:r>
        <w:t>324.</w:t>
      </w:r>
      <w:r>
        <w:tab/>
        <w:t>Aunque se han desarrollado programas de espaciamiento de los embarazos en todo el territorio del país, no hay ninguna ley que limite el número de hijos que una pareja puede tener. Según la encuesta demográfica de salud (EDS) del año 2000, 32% de los nacimientos no se planifican y 24% sí se planifican. Únicamente 19% del 95% de mujeres que están al corriente de los métodos anticonceptivos los utilizan.</w:t>
      </w:r>
    </w:p>
    <w:p w:rsidR="00000000" w:rsidRDefault="00000000">
      <w:pPr>
        <w:pStyle w:val="SingleTxt"/>
      </w:pPr>
      <w:r>
        <w:t>325.</w:t>
      </w:r>
      <w:r>
        <w:tab/>
        <w:t>Según la EDS, mientras 10% de las mujeres embarazadas dan a luz en centros de salud y hospitales, otras traen sus hijos al mundo en su domicilio y en condici</w:t>
      </w:r>
      <w:r>
        <w:t>o</w:t>
      </w:r>
      <w:r>
        <w:t>nes de riesgo. Las mujeres muy jóvenes y muy viejas corren más peligro de morir al tener hijos.</w:t>
      </w:r>
    </w:p>
    <w:p w:rsidR="00000000" w:rsidRDefault="00000000">
      <w:pPr>
        <w:pStyle w:val="SingleTxt"/>
      </w:pPr>
      <w:r>
        <w:t>326.</w:t>
      </w:r>
      <w:r>
        <w:tab/>
        <w:t>El Ministerio de Asuntos de la Mujer y los Excombatientes, en colaboración con el Ministerio de Salud, elaboró y puso en marcha un proyecto relativo a la salud genésica y al espaciamiento de los embarazos para que hombres y mujeres tomaran más conciencia de esas cuestiones a escala nacional y local, especialmente en las zonas remotas. Este proyecto contó con el apoyo del FNUAP entre 1994 y 1997. Mientras tanto, el Ministerio de Salud ha proporcionado atención de salud genésica en hospitales de remisión, centros de salud y servicios móviles locales.</w:t>
      </w:r>
    </w:p>
    <w:p w:rsidR="00000000" w:rsidRDefault="00000000">
      <w:pPr>
        <w:pStyle w:val="SingleTxt"/>
      </w:pPr>
      <w:r>
        <w:t>327.</w:t>
      </w:r>
      <w:r>
        <w:tab/>
        <w:t>En colaboración con el Ministerio de Asuntos de la Mujer y los Excombatie</w:t>
      </w:r>
      <w:r>
        <w:t>n</w:t>
      </w:r>
      <w:r>
        <w:t xml:space="preserve">tes y tres ONG: la Asociación Camboyana pro Salud Genésica (ACSG), Asociados para el Desarrollo (APD) y </w:t>
      </w:r>
      <w:r>
        <w:rPr>
          <w:i/>
        </w:rPr>
        <w:t>Save the Children Fund Australia</w:t>
      </w:r>
      <w:r>
        <w:t xml:space="preserve"> (SCA), el Ministerio de Salud ha empezado a aplicar un programa de distribución en la comunidad en ocho distritos operacionales. Se enseña a los agentes encargados de esa distribución a vender píldoras y profilácticos en sus comunidades/aldeas. Estos agentes visitan los hogares de mujeres casadas en edad de procrear para suministrarles información y asesoramiento precisos en materia de espaciamiento de los embarazos y de pr</w:t>
      </w:r>
      <w:r>
        <w:t>e</w:t>
      </w:r>
      <w:r>
        <w:t>vención del VIH/SIDA y para señalar a su atención la importancia de los reconoc</w:t>
      </w:r>
      <w:r>
        <w:t>i</w:t>
      </w:r>
      <w:r>
        <w:t>mientos médicos durante el embarazo y después del nacimiento de la criatura, así como de los partos sin riesgo asistidos por parteras competentes, de la inmunización y de la alimentación. Los agentes encargados de la distribución en la comunidad también remiten a las mujeres a centros de salud para que reciban atención prenatal y puerperal y tengan un parto sin riesgo.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Atención de la salud genésica</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328.</w:t>
      </w:r>
      <w:r>
        <w:tab/>
        <w:t>El Real Gobierno de Camboya otorga un alto grado de prioridad a la reducción de la morbilidad y la mortalidad maternoinfantiles. La EDS/Camboya de 2000 puso de manifiesto que en los últimos cinco años (entre 1995 y 2000) las mujeres emb</w:t>
      </w:r>
      <w:r>
        <w:t>a</w:t>
      </w:r>
      <w:r>
        <w:t>razadas que recibieron atención prenatal fueron asistidas por personal de salud c</w:t>
      </w:r>
      <w:r>
        <w:t>a</w:t>
      </w:r>
      <w:r>
        <w:t>pacitado (38%), por parteras (32%), por enfermeras (5%) y por médicos (1%).</w:t>
      </w:r>
    </w:p>
    <w:p w:rsidR="00000000" w:rsidRDefault="00000000">
      <w:pPr>
        <w:pStyle w:val="SingleTxt"/>
      </w:pPr>
      <w:r>
        <w:t>329.</w:t>
      </w:r>
      <w:r>
        <w:tab/>
        <w:t>El Centro Nacional de Salud Maternoinfantil y los programas nacionales hacen hincapié en el cuidado de las madres y los hijos y procuran garantizar una matern</w:t>
      </w:r>
      <w:r>
        <w:t>i</w:t>
      </w:r>
      <w:r>
        <w:t>dad sin riesgo mejorando la atención de la salud de la mujer, especialmente de la embarazada, que debe someterse por lo menos a dos reconocimientos médicos, con la consiguiente vacunación antitetánica, con ocasión de cada embarazo. La atención prenatal y puerperal debe comprender la detección de signos de riesgo en el embar</w:t>
      </w:r>
      <w:r>
        <w:t>a</w:t>
      </w:r>
      <w:r>
        <w:t>zo, la alimentación, el trabajo apropiado para una embarazada, la higiene, compo</w:t>
      </w:r>
      <w:r>
        <w:t>r</w:t>
      </w:r>
      <w:r>
        <w:t>tamientos sanos, la preparación para el parto, la toma de conciencia de que conviene amamantar a la criatura tan pronto como sea posible después del parto y el recon</w:t>
      </w:r>
      <w:r>
        <w:t>o</w:t>
      </w:r>
      <w:r>
        <w:t>cimiento de la importancia de la leche de pecho y la lactancia natural, así como de la vacunación completa de los niños lactantes. En colaboración con el UNICEF, el M</w:t>
      </w:r>
      <w:r>
        <w:t>i</w:t>
      </w:r>
      <w:r>
        <w:t>nisterio de Salud ha preparado libros de texto de fácil comprensión sobre la salud de la familia y la lactancia.</w:t>
      </w:r>
    </w:p>
    <w:p w:rsidR="00000000" w:rsidRDefault="00000000">
      <w:pPr>
        <w:pStyle w:val="SingleTxt"/>
      </w:pPr>
      <w:r>
        <w:t>330.</w:t>
      </w:r>
      <w:r>
        <w:tab/>
        <w:t>En el año 2002 las mujeres embarazadas que recibieron atención prenatal fu</w:t>
      </w:r>
      <w:r>
        <w:t>e</w:t>
      </w:r>
      <w:r>
        <w:t>ron 238.870 y las que fueron inmunizadas con toxoide tetánico, 207.341 (24ª Conf</w:t>
      </w:r>
      <w:r>
        <w:t>e</w:t>
      </w:r>
      <w:r>
        <w:t>rencia de Salud, Ministerio de Salud). La EDS/Camboya de 2000 indicó que 15% de las embarazadas habían recibido una dosis de vacuna, 30% habían recibido dos d</w:t>
      </w:r>
      <w:r>
        <w:t>o</w:t>
      </w:r>
      <w:r>
        <w:t>sis o más y 54% no habían recibido dosis alguna en los últimos cinco años.</w:t>
      </w:r>
    </w:p>
    <w:p w:rsidR="00000000" w:rsidRDefault="00000000">
      <w:pPr>
        <w:pStyle w:val="SingleTxt"/>
        <w:rPr>
          <w:spacing w:val="2"/>
          <w:w w:val="101"/>
        </w:rPr>
      </w:pPr>
      <w:r>
        <w:rPr>
          <w:spacing w:val="2"/>
          <w:w w:val="101"/>
        </w:rPr>
        <w:t>331.</w:t>
      </w:r>
      <w:r>
        <w:rPr>
          <w:spacing w:val="2"/>
          <w:w w:val="101"/>
        </w:rPr>
        <w:tab/>
        <w:t>Según la EDS/Camboya, entre 1995 y 2000 únicamente 10% de los nacimientos tuvieron lugar en centros de salud. Un 89% de los bebés fueron paridos en las casas de sus madres: 28% fueron atendidos por parteras capacitadas y 4% por méd</w:t>
      </w:r>
      <w:r>
        <w:rPr>
          <w:spacing w:val="2"/>
          <w:w w:val="101"/>
        </w:rPr>
        <w:t>i</w:t>
      </w:r>
      <w:r>
        <w:rPr>
          <w:spacing w:val="2"/>
          <w:w w:val="101"/>
        </w:rPr>
        <w:t>cos.</w:t>
      </w:r>
    </w:p>
    <w:p w:rsidR="00000000" w:rsidRDefault="00000000">
      <w:pPr>
        <w:pStyle w:val="SingleTxt"/>
      </w:pPr>
      <w:r>
        <w:t>332.</w:t>
      </w:r>
      <w:r>
        <w:tab/>
        <w:t>En 2001 el número total de parteras ascendía a 3.143. Todas fueron capacit</w:t>
      </w:r>
      <w:r>
        <w:t>a</w:t>
      </w:r>
      <w:r>
        <w:t>das para que proporcionaran servicios de atención de salud en los hospitales de r</w:t>
      </w:r>
      <w:r>
        <w:t>e</w:t>
      </w:r>
      <w:r>
        <w:t>misión y los centros de salud. Sin embargo, de conformidad con una proyección del Ministerio de Salud, en los próximos cinco años se necesitarán 4.050 parteras en los sectores público y privado. Este número pone de relieve que habrá un problema de e</w:t>
      </w:r>
      <w:r>
        <w:t>s</w:t>
      </w:r>
      <w:r>
        <w:t>casez de parteras, ya que faltarán unas 1.000 en los próximos cinco años.</w:t>
      </w:r>
    </w:p>
    <w:p w:rsidR="00000000" w:rsidRDefault="00000000">
      <w:pPr>
        <w:pStyle w:val="SingleTxt"/>
      </w:pPr>
      <w:r>
        <w:t>333.</w:t>
      </w:r>
      <w:r>
        <w:tab/>
        <w:t>Por consiguiente, para hacer frente a la escasez de parteras, el Ministerio de Salud ha puesto en marcha una estrategia de corto plazo y otra a largo plazo: la pr</w:t>
      </w:r>
      <w:r>
        <w:t>i</w:t>
      </w:r>
      <w:r>
        <w:t>mera consiste en dar cursos de capacitación y perfeccionamiento en obstetricia a las enfermeras que trabajan en los centros de salud y la segunda en incrementar el n</w:t>
      </w:r>
      <w:r>
        <w:t>ú</w:t>
      </w:r>
      <w:r>
        <w:t>mero de enfermeras/parteras matriculadas (200 por año) a partir de 2002. (Fuente: D</w:t>
      </w:r>
      <w:r>
        <w:t>e</w:t>
      </w:r>
      <w:r>
        <w:t>partamento de Recursos Humanos del Ministerio de Salud, 2002.)</w:t>
      </w:r>
    </w:p>
    <w:p w:rsidR="00000000" w:rsidRDefault="00000000">
      <w:pPr>
        <w:pStyle w:val="SingleTxt"/>
      </w:pPr>
      <w:r>
        <w:t>334.</w:t>
      </w:r>
      <w:r>
        <w:tab/>
        <w:t>Hay en todo el país unas 8.000 parteras empíricas o tradicionales. Esas part</w:t>
      </w:r>
      <w:r>
        <w:t>e</w:t>
      </w:r>
      <w:r>
        <w:t>ras asisten en los partos pero tienen una participación menor en la atención prenatal y puerperal. A menudo gozan de la confianza expresa de las mujeres y las comun</w:t>
      </w:r>
      <w:r>
        <w:t>i</w:t>
      </w:r>
      <w:r>
        <w:t xml:space="preserve">dades y desempeñan un papel importante en su comunidad. No obstante, también es frecuente que recurran a prácticas tradicionales negativas: por ejemplo, no permitir que la madre amamante a su hijo hasta dos días después del parto, poner sustancias dañinas en el ombligo del bebé, acostar a la madre sobre un lecho de carbón —lo que se llama </w:t>
      </w:r>
      <w:r>
        <w:rPr>
          <w:i/>
        </w:rPr>
        <w:t>Angpleung—</w:t>
      </w:r>
      <w:r>
        <w:t xml:space="preserve"> durante siete días y restringir los alimentos sanos que la madre puede comer.</w:t>
      </w:r>
    </w:p>
    <w:p w:rsidR="00000000" w:rsidRDefault="00000000">
      <w:pPr>
        <w:pStyle w:val="SingleTxt"/>
      </w:pPr>
      <w:r>
        <w:t>335.</w:t>
      </w:r>
      <w:r>
        <w:tab/>
        <w:t>En virtud de la política nacional de maternidad sin riesgo se ha reformulado el papel de las parteras empíricas y se han determinado estrategias y actividades en un plan quinquenal. Esta política reconoce que las parteras empíricas contribuyen con su labor a proporcionar atención de salud a las madres de la comunidad, reforzar los lazos de cooperación comunitaria y detectar complicaciones que pueden inducir a derivar a la embarazada a un centro de salud (o a una partera matriculada). Las pa</w:t>
      </w:r>
      <w:r>
        <w:t>r</w:t>
      </w:r>
      <w:r>
        <w:t>teras empíricas deben desempeñar el papel de promotoras de salud y alentar a las embarazadas a solicitar atención prenatal y recibir dos dosis de la vacuna antitetán</w:t>
      </w:r>
      <w:r>
        <w:t>i</w:t>
      </w:r>
      <w:r>
        <w:t>ca (toxoide tetánico) durante el embarazo, además de proporcionar información s</w:t>
      </w:r>
      <w:r>
        <w:t>o</w:t>
      </w:r>
      <w:r>
        <w:t>bre el espaciamiento de los embarazos, la lactancia natural y la anemia. Las parteras empíricas desempeñan a menudo un papel de cierta significación en el sector priv</w:t>
      </w:r>
      <w:r>
        <w:t>a</w:t>
      </w:r>
      <w:r>
        <w:t>do privado y sirven de vínculo con los centros médicos del sistema público de salud. Las parteras empíricas seguirán desarrollando muchas prácticas nocivas si no se les enseñan otras prácticas apropiadas que aseguren partos sin riesgo. Es preciso, pues, capacitar a las parteras empíricas para que:</w:t>
      </w:r>
    </w:p>
    <w:p w:rsidR="00000000" w:rsidRDefault="00000000">
      <w:pPr>
        <w:pStyle w:val="SingleTxt"/>
        <w:tabs>
          <w:tab w:val="right" w:pos="1685"/>
        </w:tabs>
        <w:ind w:left="1742" w:hanging="475"/>
      </w:pPr>
      <w:r>
        <w:tab/>
        <w:t>–</w:t>
      </w:r>
      <w:r>
        <w:tab/>
        <w:t>asistan a partos sin riesgo e higiénicos y reduzcan sus prácticas noc</w:t>
      </w:r>
      <w:r>
        <w:t>i</w:t>
      </w:r>
      <w:r>
        <w:t>vas;</w:t>
      </w:r>
    </w:p>
    <w:p w:rsidR="00000000" w:rsidRDefault="00000000">
      <w:pPr>
        <w:pStyle w:val="SingleTxt"/>
        <w:tabs>
          <w:tab w:val="right" w:pos="1685"/>
        </w:tabs>
        <w:ind w:left="1742" w:hanging="475"/>
      </w:pPr>
      <w:r>
        <w:tab/>
        <w:t>–</w:t>
      </w:r>
      <w:r>
        <w:tab/>
        <w:t>detecten complicaciones durante el embarazo, el alumbramiento o el puerperio y remitan oportunamente a las mujeres que las sufran a consultar a personal diplom</w:t>
      </w:r>
      <w:r>
        <w:t>a</w:t>
      </w:r>
      <w:r>
        <w:t>do, y</w:t>
      </w:r>
    </w:p>
    <w:p w:rsidR="00000000" w:rsidRDefault="00000000">
      <w:pPr>
        <w:pStyle w:val="SingleTxt"/>
        <w:tabs>
          <w:tab w:val="right" w:pos="1685"/>
        </w:tabs>
        <w:ind w:left="1742" w:hanging="475"/>
      </w:pPr>
      <w:r>
        <w:tab/>
        <w:t>–</w:t>
      </w:r>
      <w:r>
        <w:tab/>
        <w:t>envíen a las embarazadas a las parteras de los centros de salud para que rec</w:t>
      </w:r>
      <w:r>
        <w:t>i</w:t>
      </w:r>
      <w:r>
        <w:t xml:space="preserve">ban atención prenatal. (Fuentes: </w:t>
      </w:r>
      <w:r>
        <w:rPr>
          <w:i/>
        </w:rPr>
        <w:t>Estudio monográfico de la labor de las</w:t>
      </w:r>
      <w:r>
        <w:t xml:space="preserve"> </w:t>
      </w:r>
      <w:r>
        <w:rPr>
          <w:i/>
        </w:rPr>
        <w:t>part</w:t>
      </w:r>
      <w:r>
        <w:rPr>
          <w:i/>
        </w:rPr>
        <w:t>e</w:t>
      </w:r>
      <w:r>
        <w:rPr>
          <w:i/>
        </w:rPr>
        <w:t>ras empíricas en tres provincias de Camboya</w:t>
      </w:r>
      <w:r>
        <w:t xml:space="preserve">, Ministerio de Salud/Programa Nacional de Salud Genésica, marzo de 2001, y </w:t>
      </w:r>
      <w:r>
        <w:rPr>
          <w:i/>
        </w:rPr>
        <w:t>Política y</w:t>
      </w:r>
      <w:r>
        <w:t xml:space="preserve"> </w:t>
      </w:r>
      <w:r>
        <w:rPr>
          <w:i/>
        </w:rPr>
        <w:t>estrategias de la maternidad sin riesgo</w:t>
      </w:r>
      <w:r>
        <w:t>, Ministerio de Salud/Programa Nacional de Salud Gen</w:t>
      </w:r>
      <w:r>
        <w:t>é</w:t>
      </w:r>
      <w:r>
        <w:t>sica, 1997).</w:t>
      </w:r>
    </w:p>
    <w:p w:rsidR="00000000" w:rsidRDefault="00000000">
      <w:pPr>
        <w:pStyle w:val="SingleTxt"/>
      </w:pPr>
      <w:r>
        <w:t>336.</w:t>
      </w:r>
      <w:r>
        <w:tab/>
        <w:t>Según la EDS/Camboya de 2000, 5% de las mujeres consultadas declararon que habían tenido un aborto y 1%, que habían tenido dos abortos o más. Casi 30% de los abortos se practicaron en el hogar de la embarazada.</w:t>
      </w:r>
    </w:p>
    <w:p w:rsidR="00000000" w:rsidRDefault="00000000">
      <w:pPr>
        <w:pStyle w:val="SingleTxt"/>
      </w:pPr>
      <w:r>
        <w:t>337.</w:t>
      </w:r>
      <w:r>
        <w:tab/>
        <w:t>La Asamblea Nacional aprobó la Ley del Aborto en 1997. El artículo 4 de la Ley estipula que, para practicar un aborto, se requiere en todos los casos el conse</w:t>
      </w:r>
      <w:r>
        <w:t>n</w:t>
      </w:r>
      <w:r>
        <w:t>timiento de la embarazada interesada. De conformidad con el artículo 5 de la misma ley, sólo pueden asistir al aborto médicos, practicantes o parteras que cuenten con la autorización del Ministerio de Salud Pública.</w:t>
      </w:r>
    </w:p>
    <w:p w:rsidR="00000000" w:rsidRDefault="00000000">
      <w:pPr>
        <w:pStyle w:val="SingleTxt"/>
      </w:pPr>
      <w:r>
        <w:tab/>
        <w:t>El artículo 6 de la Ley del Aborto reza así: “El aborto sólo se podrá practicar en hospitales públicos, centros de salud o clínicas o maternidades privadas que cuenten con la autorización del Ministerio de salud. Se exige que todos los servicios pertinentes autorizados por el M</w:t>
      </w:r>
      <w:r>
        <w:t>i</w:t>
      </w:r>
      <w:r>
        <w:t>nisterio de Salud dispongan de:</w:t>
      </w:r>
    </w:p>
    <w:p w:rsidR="00000000" w:rsidRDefault="00000000">
      <w:pPr>
        <w:pStyle w:val="SingleTxt"/>
        <w:tabs>
          <w:tab w:val="right" w:pos="1685"/>
        </w:tabs>
        <w:ind w:left="1742" w:hanging="475"/>
      </w:pPr>
      <w:r>
        <w:tab/>
        <w:t>–</w:t>
      </w:r>
      <w:r>
        <w:tab/>
        <w:t>capacidad técnica para tratar urgentemente cualquier complicación derivada del aborto;</w:t>
      </w:r>
    </w:p>
    <w:p w:rsidR="00000000" w:rsidRDefault="00000000">
      <w:pPr>
        <w:pStyle w:val="SingleTxt"/>
        <w:tabs>
          <w:tab w:val="right" w:pos="1685"/>
        </w:tabs>
        <w:ind w:left="1742" w:hanging="475"/>
      </w:pPr>
      <w:r>
        <w:tab/>
        <w:t>–</w:t>
      </w:r>
      <w:r>
        <w:tab/>
        <w:t>medios de transporte hasta un hospital de remisión siempre que sea n</w:t>
      </w:r>
      <w:r>
        <w:t>e</w:t>
      </w:r>
      <w:r>
        <w:t>cesario”.</w:t>
      </w:r>
    </w:p>
    <w:p w:rsidR="00000000" w:rsidRDefault="00000000">
      <w:pPr>
        <w:pStyle w:val="SingleTxt"/>
      </w:pPr>
      <w:r>
        <w:tab/>
        <w:t>Las mujeres sólo pueden abortar durante las 12 primeras semanas de gestación (artículo 8 de la Ley del Aborto). Si el embarazo tiene más de 12 semanas de gest</w:t>
      </w:r>
      <w:r>
        <w:t>a</w:t>
      </w:r>
      <w:r>
        <w:t>ción, sólo será autorizado si se cumplen los s</w:t>
      </w:r>
      <w:r>
        <w:t>i</w:t>
      </w:r>
      <w:r>
        <w:t>guientes requisitos:</w:t>
      </w:r>
    </w:p>
    <w:p w:rsidR="00000000" w:rsidRDefault="00000000">
      <w:pPr>
        <w:pStyle w:val="SingleTxt"/>
        <w:tabs>
          <w:tab w:val="right" w:pos="1685"/>
        </w:tabs>
        <w:ind w:left="1742" w:hanging="475"/>
      </w:pPr>
      <w:r>
        <w:tab/>
        <w:t>–</w:t>
      </w:r>
      <w:r>
        <w:tab/>
        <w:t>si el diagnóstico indica que el embarazo es anormal, que hay malformación del feto o que la vida de la madre corre riesgo;</w:t>
      </w:r>
    </w:p>
    <w:p w:rsidR="00000000" w:rsidRDefault="00000000">
      <w:pPr>
        <w:pStyle w:val="SingleTxt"/>
        <w:tabs>
          <w:tab w:val="right" w:pos="1685"/>
        </w:tabs>
        <w:ind w:left="1742" w:hanging="475"/>
      </w:pPr>
      <w:r>
        <w:tab/>
        <w:t>–</w:t>
      </w:r>
      <w:r>
        <w:tab/>
        <w:t>si se establece que, después de nacer, la criatura padecerá una enfermedad i</w:t>
      </w:r>
      <w:r>
        <w:t>n</w:t>
      </w:r>
      <w:r>
        <w:t>cur</w:t>
      </w:r>
      <w:r>
        <w:t>a</w:t>
      </w:r>
      <w:r>
        <w:t>ble grave;</w:t>
      </w:r>
    </w:p>
    <w:p w:rsidR="00000000" w:rsidRDefault="00000000">
      <w:pPr>
        <w:pStyle w:val="SingleTxt"/>
        <w:tabs>
          <w:tab w:val="right" w:pos="1685"/>
        </w:tabs>
        <w:ind w:left="1742" w:hanging="475"/>
      </w:pPr>
      <w:r>
        <w:tab/>
        <w:t>–</w:t>
      </w:r>
      <w:r>
        <w:tab/>
        <w:t xml:space="preserve">en caso de que la mujer hubiere sido violada, el aborto se podrá llevar a cabo aunque no se cumplan los requisitos enumerados </w:t>
      </w:r>
      <w:r>
        <w:rPr>
          <w:i/>
        </w:rPr>
        <w:t>supra</w:t>
      </w:r>
      <w:r>
        <w:t>, pero entonces tendrá que ser pedido expresamente por la mujer, si tuviere más de 18 años, o requ</w:t>
      </w:r>
      <w:r>
        <w:t>e</w:t>
      </w:r>
      <w:r>
        <w:t>rido con insistencia por sus padres o tutores, si tuviere menos de esa edad.</w:t>
      </w:r>
    </w:p>
    <w:p w:rsidR="00000000" w:rsidRDefault="00000000">
      <w:pPr>
        <w:pStyle w:val="SingleTxt"/>
        <w:rPr>
          <w:spacing w:val="2"/>
          <w:w w:val="101"/>
        </w:rPr>
      </w:pPr>
      <w:r>
        <w:rPr>
          <w:spacing w:val="2"/>
          <w:w w:val="101"/>
        </w:rPr>
        <w:tab/>
        <w:t>Las decisiones deberán ir acompañadas por la aprobación de dos o tres médicos y de la persona afectada. Los requisitos técnicos que se deben cumplir para que este art</w:t>
      </w:r>
      <w:r>
        <w:rPr>
          <w:spacing w:val="2"/>
          <w:w w:val="101"/>
        </w:rPr>
        <w:t>í</w:t>
      </w:r>
      <w:r>
        <w:rPr>
          <w:spacing w:val="2"/>
          <w:w w:val="101"/>
        </w:rPr>
        <w:t xml:space="preserve">culo sea aplicable serán determinados por una </w:t>
      </w:r>
      <w:r>
        <w:rPr>
          <w:i/>
          <w:spacing w:val="2"/>
          <w:w w:val="101"/>
        </w:rPr>
        <w:t>prakas</w:t>
      </w:r>
      <w:r>
        <w:rPr>
          <w:spacing w:val="2"/>
          <w:w w:val="101"/>
        </w:rPr>
        <w:t xml:space="preserve"> del Ministerio de S</w:t>
      </w:r>
      <w:r>
        <w:rPr>
          <w:spacing w:val="2"/>
          <w:w w:val="101"/>
        </w:rPr>
        <w:t>a</w:t>
      </w:r>
      <w:r>
        <w:rPr>
          <w:spacing w:val="2"/>
          <w:w w:val="101"/>
        </w:rPr>
        <w:t>lud.</w:t>
      </w:r>
    </w:p>
    <w:p w:rsidR="00000000" w:rsidRDefault="00000000">
      <w:pPr>
        <w:pStyle w:val="SingleTxt"/>
      </w:pPr>
      <w:r>
        <w:t>338.</w:t>
      </w:r>
      <w:r>
        <w:tab/>
        <w:t>Todavía la Ley se hace cumplir sin mucho rigor. En las zonas rurales, los abortos ilegales son practicados a veces por una partera empírica. La limitada fo</w:t>
      </w:r>
      <w:r>
        <w:t>r</w:t>
      </w:r>
      <w:r>
        <w:t>mación jurídica de la mujer urbana y la escasa información de que dispone la induce a abortar con la ayuda de part</w:t>
      </w:r>
      <w:r>
        <w:t>e</w:t>
      </w:r>
      <w:r>
        <w:t>ras particulares que carecen de capacitación oficial.</w:t>
      </w:r>
    </w:p>
    <w:p w:rsidR="00000000" w:rsidRDefault="00000000">
      <w:pPr>
        <w:pStyle w:val="SingleTxt"/>
      </w:pPr>
      <w:r>
        <w:t>339.</w:t>
      </w:r>
      <w:r>
        <w:tab/>
        <w:t>La epidemia de VIH/SIDA ha diversificado y multiplicado las cargas de la mujer, que asume la responsabilidad fundamental de cuidar del miembro de la fam</w:t>
      </w:r>
      <w:r>
        <w:t>i</w:t>
      </w:r>
      <w:r>
        <w:t>lia infectado por el VIH o enfermo de SIDA. A partir de la primera pandemia de SIDA registrada en 1991, se calcula que viven con VIH/SIDA 169.000 de los 11 m</w:t>
      </w:r>
      <w:r>
        <w:t>i</w:t>
      </w:r>
      <w:r>
        <w:t>llones de camboyanos. En 1998, 2,4% de las embarazadas, 42,6% de las trabajad</w:t>
      </w:r>
      <w:r>
        <w:t>o</w:t>
      </w:r>
      <w:r>
        <w:t>ras que comercian directamente con su sexo y 19,1% de las trabajadoras que come</w:t>
      </w:r>
      <w:r>
        <w:t>r</w:t>
      </w:r>
      <w:r>
        <w:t>cian indirectamente con su sexo están infectadas por el VIH. A la vez que se hace más frecuente el uso de profilácticos en la industria del sexo, se observa un aumento de la incidencia del VIH/SIDA entre las mujeres casadas. Según un informe de la Alianza de ONG VIH/SIDA Khmer (KHANA), han quedado huérfanos 30.000 niños y este número llegará a 97.300 en 2006. La tasa de prevalencia del VIH/SIDA en el grupo de población de 15 a 49 años de edad fue estimada en 3,9% en 1997 y en 2,8% en 2001.</w:t>
      </w:r>
    </w:p>
    <w:p w:rsidR="00000000" w:rsidRDefault="00000000">
      <w:pPr>
        <w:pStyle w:val="SingleTxt"/>
      </w:pPr>
      <w:r>
        <w:t>340.</w:t>
      </w:r>
      <w:r>
        <w:tab/>
        <w:t>En colaboración con organizaciones nacionales e internacionales, la Dirección Nacional de Lucha contra el SIDA, el Centro Nacional de Dermatología y Preve</w:t>
      </w:r>
      <w:r>
        <w:t>n</w:t>
      </w:r>
      <w:r>
        <w:t>ción del VIH/SIDA y de las Infecciones de Transmisión Sexual y las instituciones y ministerios interesados han desarrollado un programa nacional de lucha contra el SIDA para impedir la propagación del VIH/SIDA. En todo el territorio de la nación se promueven la educación para la prevención del VIH/SIDA, un programa para convencer al 100% de la población de la necesidad de usar profilácticos, respuestas multisectoriales y la toma de conciencia, especialmente por parte de la mujer, del problema del VIH/SIDA. La atención domiciliaria se va ampliando poco a poco. Se ha puesto en marcha con éxito un proyecto experimental para la prevención de la transmisión del VIH/SIDA de la madre al hijo en el Centro Nacional de Salud M</w:t>
      </w:r>
      <w:r>
        <w:t>a</w:t>
      </w:r>
      <w:r>
        <w:t>ternoinfantil, el Hospital Calmet de Phnom Penh y el Hospital Provincial de Battambang.</w:t>
      </w:r>
    </w:p>
    <w:p w:rsidR="00000000" w:rsidRDefault="00000000">
      <w:pPr>
        <w:pStyle w:val="SingleTxt"/>
        <w:keepNext/>
        <w:keepLines/>
      </w:pPr>
      <w:r>
        <w:t>341.</w:t>
      </w:r>
      <w:r>
        <w:tab/>
        <w:t>Sin embargo, hay discriminación contra las personas infectadas por el VIH o enfermas de SIDA por parte de la familia y la sociedad. El Real Gobierno de Ca</w:t>
      </w:r>
      <w:r>
        <w:t>m</w:t>
      </w:r>
      <w:r>
        <w:t>boya ha incorporado el tema del VIH/SIDA en el plan de estudios de los maestros y todos los años organiza y celebra el “Día del VIH/SIDA” con objeto de eliminar la discriminación contra las personas que conviven con el VIH/SIDA. Ya han sido aprobadas y se empiezan a aplicar la política nacional para las mujeres y niñas i</w:t>
      </w:r>
      <w:r>
        <w:t>n</w:t>
      </w:r>
      <w:r>
        <w:t>fectadas por el VIH o enfermas de SIDA y la Ley relativa a la Prevención de la Ep</w:t>
      </w:r>
      <w:r>
        <w:t>i</w:t>
      </w:r>
      <w:r>
        <w:t>demia de VIH/SIDA. A pesar de los esfuerzos desplegados por el Real Gobierno de Camboya y la Dirección Nacional de Lucha contra el SIDA y de la colaboración prestada por el sistema de las Naciones Unidas, organismos multinacionales y bil</w:t>
      </w:r>
      <w:r>
        <w:t>a</w:t>
      </w:r>
      <w:r>
        <w:t>terales y ONG nacionales e internacionales, la tasa de infección es todavía alta en la población.</w:t>
      </w:r>
    </w:p>
    <w:p w:rsidR="00000000" w:rsidRDefault="00000000">
      <w:pPr>
        <w:pStyle w:val="SingleTxt"/>
      </w:pPr>
      <w:r>
        <w:t>342.</w:t>
      </w:r>
      <w:r>
        <w:tab/>
        <w:t>En el año 2000, la Vigilancia “centinela” del VIH ejercida por el Centro N</w:t>
      </w:r>
      <w:r>
        <w:t>a</w:t>
      </w:r>
      <w:r>
        <w:t>cional de Dermatología y Prevención del VIH/SIDA y de las Infecciones de Tran</w:t>
      </w:r>
      <w:r>
        <w:t>s</w:t>
      </w:r>
      <w:r>
        <w:t>misión Sexual puso de manifiesto que:</w:t>
      </w:r>
    </w:p>
    <w:p w:rsidR="00000000" w:rsidRDefault="00000000">
      <w:pPr>
        <w:pStyle w:val="SingleTxt"/>
        <w:tabs>
          <w:tab w:val="right" w:pos="1685"/>
        </w:tabs>
        <w:ind w:left="1742" w:hanging="475"/>
      </w:pPr>
      <w:r>
        <w:tab/>
        <w:t>–</w:t>
      </w:r>
      <w:r>
        <w:tab/>
        <w:t>la prevalencia del VIH/SIDA entre los adultos descendió de 3,9% en 1997 a 2,8% en 2000;</w:t>
      </w:r>
    </w:p>
    <w:p w:rsidR="00000000" w:rsidRDefault="00000000">
      <w:pPr>
        <w:pStyle w:val="SingleTxt"/>
        <w:tabs>
          <w:tab w:val="right" w:pos="1685"/>
        </w:tabs>
        <w:ind w:left="1742" w:hanging="475"/>
      </w:pPr>
      <w:r>
        <w:tab/>
        <w:t>–</w:t>
      </w:r>
      <w:r>
        <w:tab/>
        <w:t>la seroprevalencia del VIH entre las trabajadoras que comercian directamente con su sexo se redujo de 42,6% en 1998 a 31,5% en 2000;</w:t>
      </w:r>
    </w:p>
    <w:p w:rsidR="00000000" w:rsidRDefault="00000000">
      <w:pPr>
        <w:pStyle w:val="SingleTxt"/>
        <w:tabs>
          <w:tab w:val="right" w:pos="1685"/>
        </w:tabs>
        <w:ind w:left="1742" w:hanging="475"/>
      </w:pPr>
      <w:r>
        <w:tab/>
        <w:t>–</w:t>
      </w:r>
      <w:r>
        <w:tab/>
        <w:t>la seroprevalencia del VIH entre los policías pasó de 6,2% en 1998 a 3,8% en 2000;</w:t>
      </w:r>
    </w:p>
    <w:p w:rsidR="00000000" w:rsidRDefault="00000000">
      <w:pPr>
        <w:pStyle w:val="SingleTxt"/>
        <w:tabs>
          <w:tab w:val="right" w:pos="1685"/>
        </w:tabs>
        <w:ind w:left="1742" w:hanging="475"/>
      </w:pPr>
      <w:r>
        <w:tab/>
        <w:t>–</w:t>
      </w:r>
      <w:r>
        <w:tab/>
        <w:t>la seroprevalencia del VIH entre los enfermos de tuberculosis disminuyó de 7,9% en 1999 a 6,7% en 2000;</w:t>
      </w:r>
    </w:p>
    <w:p w:rsidR="00000000" w:rsidRDefault="00000000">
      <w:pPr>
        <w:pStyle w:val="SingleTxt"/>
        <w:tabs>
          <w:tab w:val="right" w:pos="1685"/>
        </w:tabs>
        <w:ind w:left="1742" w:hanging="475"/>
      </w:pPr>
      <w:r>
        <w:tab/>
        <w:t>–</w:t>
      </w:r>
      <w:r>
        <w:tab/>
        <w:t>la seroprevalencia del VIH entre los donantes de sangre bajó de 4,2% en 1998 a 2,7% en 2000, y</w:t>
      </w:r>
    </w:p>
    <w:p w:rsidR="00000000" w:rsidRDefault="00000000">
      <w:pPr>
        <w:pStyle w:val="SingleTxt"/>
        <w:tabs>
          <w:tab w:val="right" w:pos="1685"/>
        </w:tabs>
        <w:ind w:left="1742" w:hanging="475"/>
      </w:pPr>
      <w:r>
        <w:tab/>
        <w:t>–</w:t>
      </w:r>
      <w:r>
        <w:tab/>
        <w:t>la seroprevalencia entre las embarazadas que concurrieron a los servicios de ate</w:t>
      </w:r>
      <w:r>
        <w:t>n</w:t>
      </w:r>
      <w:r>
        <w:t>ción prenatal pasó de 2,6% en 1998 a 2,3% en 2000.</w:t>
      </w:r>
    </w:p>
    <w:p w:rsidR="00000000" w:rsidRDefault="00000000">
      <w:pPr>
        <w:pStyle w:val="SingleTxt"/>
      </w:pPr>
      <w:r>
        <w:t>343.</w:t>
      </w:r>
      <w:r>
        <w:tab/>
        <w:t>Puede verse, pues, que ha disminuido el número de camboyanos infectados por el VIH. Sin embargo, la tasa de prevalencia estimada en los adultos de 15 a 49 años de edad, 2,8%, es todavía la más alta del Asia sudoriental. Las relaciones heteros</w:t>
      </w:r>
      <w:r>
        <w:t>e</w:t>
      </w:r>
      <w:r>
        <w:t>xuales son la vía principal de transmisión del VIH en Camboya. Son cada vez más los hombres que, después de haber mantenido relaciones con trabajadoras que c</w:t>
      </w:r>
      <w:r>
        <w:t>o</w:t>
      </w:r>
      <w:r>
        <w:t>mercian directa o indirectamente con su sexo, transmiten la infección por el VIH a sus esposas (o compañeras), que a su vez contagian a sus bebés. Las mujeres están más expuestas a la epidemia, pues los hombres determinan sus relaciones sexuales y se niegan a protegerse y a proteger a sus esposas o compañeras.</w:t>
      </w:r>
    </w:p>
    <w:p w:rsidR="00000000" w:rsidRDefault="00000000">
      <w:pPr>
        <w:pStyle w:val="SingleTxt"/>
      </w:pPr>
      <w:r>
        <w:t>344.</w:t>
      </w:r>
      <w:r>
        <w:tab/>
        <w:t>La malnutrición proteinoenergética es en Camboya un problema muy extend</w:t>
      </w:r>
      <w:r>
        <w:t>i</w:t>
      </w:r>
      <w:r>
        <w:t>do que afecta al 45% de los niños de seis a 59 meses de edad y a por lo menos 20% de las mujeres. La causa principal de esta malnutrición es la pobreza. Al llegar a su segundo año de vida, casi la mitad de los niños camboyanos ya están desnutridos (son raquíticos): se ha generalizado la malnutrición por carencia de micronutrientes. Según los datos de la EDS de 2000, en general es más probable que los niños con peso más bajo que el normal se encuentren entre la población rural pobre (16%) a</w:t>
      </w:r>
      <w:r>
        <w:t>n</w:t>
      </w:r>
      <w:r>
        <w:t>tes que entre la población rica, sea rural (6%) o urbana (5%) (datos de la EDS de 2000). Las niñas de la población pobre constituyen el grupo más afectado (19%). Se estimó que dos de cada tres niños menores de cinco años habían muerto a causa de su malnutrición (Informe de la EDS de 2000).</w:t>
      </w:r>
    </w:p>
    <w:p w:rsidR="00000000" w:rsidRDefault="00000000">
      <w:pPr>
        <w:pStyle w:val="SingleTxt"/>
      </w:pPr>
      <w:r>
        <w:t>345.</w:t>
      </w:r>
      <w:r>
        <w:tab/>
        <w:t>El índice de masa corporal es bajo en 20% de las mujeres en edad de procrear (EDS, 2000). En aproximadamente 15% de los casos se registra bajo peso al nacer (menos de dos kilos y medio), un indicador del mal estado de salud y nutricional de la madre que se asocia con un desarrollo deficiente y una tasa elevada de mortalidad neonatal e i</w:t>
      </w:r>
      <w:r>
        <w:t>n</w:t>
      </w:r>
      <w:r>
        <w:t>fantil.</w:t>
      </w:r>
    </w:p>
    <w:p w:rsidR="00000000" w:rsidRDefault="00000000">
      <w:pPr>
        <w:pStyle w:val="SingleTxt"/>
      </w:pPr>
      <w:r>
        <w:t>346.</w:t>
      </w:r>
      <w:r>
        <w:tab/>
        <w:t>La avitaminosis A es un problema de salud pública que afecta a niños y muj</w:t>
      </w:r>
      <w:r>
        <w:t>e</w:t>
      </w:r>
      <w:r>
        <w:t>res de muchas provincias. Según los datos nacionales, la ceguera nocturna de las embarazadas llega al 8%. La avitaminosis A es una de las causas principales de la ceguera de los niños e, indirectamente, de un gran porcentaje de la morbilidad y la mortalidad infant</w:t>
      </w:r>
      <w:r>
        <w:t>i</w:t>
      </w:r>
      <w:r>
        <w:t>les.</w:t>
      </w:r>
    </w:p>
    <w:p w:rsidR="00000000" w:rsidRDefault="00000000">
      <w:pPr>
        <w:pStyle w:val="SingleTxt"/>
      </w:pPr>
      <w:r>
        <w:t>347.</w:t>
      </w:r>
      <w:r>
        <w:tab/>
        <w:t>La tasa de prevalencia de la anemia ferropénica es de 63% en los niños men</w:t>
      </w:r>
      <w:r>
        <w:t>o</w:t>
      </w:r>
      <w:r>
        <w:t>res de cinco años de edad, de 58% en las mujeres en su conjunto y de 66% en las embarazadas. Es un factor asociado con una elevada tasa de mortalidad materna. La anemia infantil alcanza mayores proporciones entre los niños pobres. Son anémicos 70% de los n</w:t>
      </w:r>
      <w:r>
        <w:t>i</w:t>
      </w:r>
      <w:r>
        <w:t>ños pobres de las zonas rurales (EDS, 2000).</w:t>
      </w:r>
    </w:p>
    <w:p w:rsidR="00000000" w:rsidRDefault="00000000">
      <w:pPr>
        <w:pStyle w:val="SingleTxt"/>
      </w:pPr>
      <w:r>
        <w:t>348.</w:t>
      </w:r>
      <w:r>
        <w:tab/>
        <w:t>La carencia de yodo puede reducir la inteligencia hasta 21 puntos del CI. El primer estudio nacional sobre el bocio (Ministerio de Salud, 1997) indicó que el promedio nacional proyectado de la tasa total de bocio era de alrededor de 12% en el grupo de población de ocho a 12 años, aunque en algunas zonas llegaba incluso a 45%. La escasez o la falta de sal yodada para consumo es uno de los factores que contribuyen a la aparición del bocio. Los datos de la EDS de 2000 pusieron de m</w:t>
      </w:r>
      <w:r>
        <w:t>a</w:t>
      </w:r>
      <w:r>
        <w:t>nifiesto que la sal yodada era accesible para 8% de la población rural pobre, en comparación con 29% de la población rural rica y 39% de la población urbana rica.</w:t>
      </w:r>
    </w:p>
    <w:p w:rsidR="00000000" w:rsidRDefault="00000000">
      <w:pPr>
        <w:pStyle w:val="SingleTxt"/>
      </w:pPr>
      <w:r>
        <w:t>349.</w:t>
      </w:r>
      <w:r>
        <w:tab/>
        <w:t>Las causas de la malnutrición no se encuentran tan sólo en la seguridad al</w:t>
      </w:r>
      <w:r>
        <w:t>i</w:t>
      </w:r>
      <w:r>
        <w:t>mentaria sino también en la ingesta alimentaria, el mantenimiento de la salud, los malos hábitos en materia de higiene y el medio ambiente. El Consejo Nacional de Nutrición del Ministerio de Salud viene desarrollando en todo el territorio de la n</w:t>
      </w:r>
      <w:r>
        <w:t>a</w:t>
      </w:r>
      <w:r>
        <w:t>ción programas de nutrición destinados especialmente 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Obstáculos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350.</w:t>
      </w:r>
      <w:r>
        <w:tab/>
        <w:t>A pesar de todas las medidas adoptadas por el Real Gobierno, “la salud de la mujer” es una cuestión complicada en Camboya. Las mujeres siempre enfrentan mayores riesgos de tener mala salud. Las amenazas de la vida se ciernen sobre ellas durante todo su ciclo vital po</w:t>
      </w:r>
      <w:r>
        <w:t>r</w:t>
      </w:r>
      <w:r>
        <w:t>que:</w:t>
      </w:r>
    </w:p>
    <w:p w:rsidR="00000000" w:rsidRDefault="00000000">
      <w:pPr>
        <w:pStyle w:val="SingleTxt"/>
        <w:tabs>
          <w:tab w:val="right" w:pos="1685"/>
        </w:tabs>
        <w:ind w:left="1742" w:hanging="475"/>
      </w:pPr>
      <w:r>
        <w:tab/>
        <w:t>–</w:t>
      </w:r>
      <w:r>
        <w:tab/>
        <w:t>los servicios de atención de la salud de la mujer son limitados;</w:t>
      </w:r>
    </w:p>
    <w:p w:rsidR="00000000" w:rsidRDefault="00000000">
      <w:pPr>
        <w:pStyle w:val="SingleTxt"/>
        <w:tabs>
          <w:tab w:val="right" w:pos="1685"/>
        </w:tabs>
        <w:ind w:left="1742" w:hanging="475"/>
      </w:pPr>
      <w:r>
        <w:tab/>
        <w:t>–</w:t>
      </w:r>
      <w:r>
        <w:tab/>
        <w:t>en el presupuesto familiar se otorga un bajo grado de prioridad a los gastos que r</w:t>
      </w:r>
      <w:r>
        <w:t>e</w:t>
      </w:r>
      <w:r>
        <w:t>quiere la atención de la salud de la mujer;</w:t>
      </w:r>
    </w:p>
    <w:p w:rsidR="00000000" w:rsidRDefault="00000000">
      <w:pPr>
        <w:pStyle w:val="SingleTxt"/>
        <w:tabs>
          <w:tab w:val="right" w:pos="1685"/>
        </w:tabs>
        <w:ind w:left="1742" w:hanging="475"/>
      </w:pPr>
      <w:r>
        <w:tab/>
        <w:t>–</w:t>
      </w:r>
      <w:r>
        <w:tab/>
        <w:t>las mujeres siguen estando indefensas ante el VIH/SIDA;</w:t>
      </w:r>
    </w:p>
    <w:p w:rsidR="00000000" w:rsidRDefault="00000000">
      <w:pPr>
        <w:pStyle w:val="SingleTxt"/>
        <w:tabs>
          <w:tab w:val="right" w:pos="1685"/>
        </w:tabs>
        <w:ind w:left="1742" w:hanging="475"/>
      </w:pPr>
      <w:r>
        <w:tab/>
        <w:t>–</w:t>
      </w:r>
      <w:r>
        <w:tab/>
        <w:t>la cultura de la timidez pone freno al deseo de someterse a un reconocimiento méd</w:t>
      </w:r>
      <w:r>
        <w:t>i</w:t>
      </w:r>
      <w:r>
        <w:t>co o de consultar a un médico;</w:t>
      </w:r>
    </w:p>
    <w:p w:rsidR="00000000" w:rsidRDefault="00000000">
      <w:pPr>
        <w:pStyle w:val="SingleTxt"/>
        <w:tabs>
          <w:tab w:val="right" w:pos="1685"/>
        </w:tabs>
        <w:ind w:left="1742" w:hanging="475"/>
      </w:pPr>
      <w:r>
        <w:tab/>
        <w:t>–</w:t>
      </w:r>
      <w:r>
        <w:tab/>
        <w:t>el margen de decisión de la mujer es limitado en materia de salud g</w:t>
      </w:r>
      <w:r>
        <w:t>e</w:t>
      </w:r>
      <w:r>
        <w:t>nésica;</w:t>
      </w:r>
    </w:p>
    <w:p w:rsidR="00000000" w:rsidRDefault="00000000">
      <w:pPr>
        <w:pStyle w:val="SingleTxt"/>
        <w:tabs>
          <w:tab w:val="right" w:pos="1685"/>
        </w:tabs>
        <w:ind w:left="1742" w:hanging="475"/>
      </w:pPr>
      <w:r>
        <w:tab/>
        <w:t>–</w:t>
      </w:r>
      <w:r>
        <w:tab/>
        <w:t>algunas mujeres no confían en los métodos anticonceptivos, y</w:t>
      </w:r>
    </w:p>
    <w:p w:rsidR="00000000" w:rsidRDefault="00000000">
      <w:pPr>
        <w:pStyle w:val="SingleTxt"/>
        <w:tabs>
          <w:tab w:val="right" w:pos="1685"/>
        </w:tabs>
        <w:ind w:left="1742" w:hanging="475"/>
      </w:pPr>
      <w:r>
        <w:tab/>
        <w:t>–</w:t>
      </w:r>
      <w:r>
        <w:tab/>
        <w:t>faltan medios para remitir a las pacientes a un centro de salud o un hospital de remisión, donde por otra parte sólo hay un número limitado de médicos y de equ</w:t>
      </w:r>
      <w:r>
        <w:t>i</w:t>
      </w:r>
      <w:r>
        <w:t>pos.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futura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351.</w:t>
      </w:r>
      <w:r>
        <w:tab/>
        <w:t>El Real Gobierno de Camboya trabajará por superar los obstáculos mencion</w:t>
      </w:r>
      <w:r>
        <w:t>a</w:t>
      </w:r>
      <w:r>
        <w:t xml:space="preserve">dos </w:t>
      </w:r>
      <w:r>
        <w:rPr>
          <w:i/>
        </w:rPr>
        <w:t>supra</w:t>
      </w:r>
      <w:r>
        <w:t xml:space="preserve"> y promoverá el mejoramiento de las condiciones de salud de la población, especialmente de las mujeres y los niños. Según se señaló en la Estrategia Nacional de Lucha contra la Pobreza, a partir de ahora y hasta el año 2015 el Real Gobierno de Camboya se compromete a:</w:t>
      </w:r>
    </w:p>
    <w:p w:rsidR="00000000" w:rsidRDefault="00000000">
      <w:pPr>
        <w:pStyle w:val="SingleTxt"/>
        <w:tabs>
          <w:tab w:val="right" w:pos="1685"/>
        </w:tabs>
        <w:ind w:left="1742" w:hanging="475"/>
      </w:pPr>
      <w:r>
        <w:tab/>
        <w:t>•</w:t>
      </w:r>
      <w:r>
        <w:tab/>
        <w:t>aumentar en más de 30% el presupuesto para la salud, que con respecto al pr</w:t>
      </w:r>
      <w:r>
        <w:t>e</w:t>
      </w:r>
      <w:r>
        <w:t>s</w:t>
      </w:r>
      <w:r>
        <w:t>u</w:t>
      </w:r>
      <w:r>
        <w:t>puesto general del Estado pasará de 9% en 2001 a 13% en 2005;</w:t>
      </w:r>
    </w:p>
    <w:p w:rsidR="00000000" w:rsidRDefault="00000000">
      <w:pPr>
        <w:pStyle w:val="SingleTxt"/>
        <w:tabs>
          <w:tab w:val="right" w:pos="1685"/>
        </w:tabs>
        <w:ind w:left="1742" w:hanging="475"/>
      </w:pPr>
      <w:r>
        <w:tab/>
        <w:t>•</w:t>
      </w:r>
      <w:r>
        <w:tab/>
        <w:t>ampliar los servicios de maternidad para los pobres, inclusión hecha de la re</w:t>
      </w:r>
      <w:r>
        <w:t>a</w:t>
      </w:r>
      <w:r>
        <w:t>signación de recursos a favor de las zonas geográficas más p</w:t>
      </w:r>
      <w:r>
        <w:t>o</w:t>
      </w:r>
      <w:r>
        <w:t>bres;</w:t>
      </w:r>
    </w:p>
    <w:p w:rsidR="00000000" w:rsidRDefault="00000000">
      <w:pPr>
        <w:pStyle w:val="SingleTxt"/>
        <w:tabs>
          <w:tab w:val="right" w:pos="1685"/>
        </w:tabs>
        <w:ind w:left="1742" w:hanging="475"/>
      </w:pPr>
      <w:r>
        <w:tab/>
        <w:t>•</w:t>
      </w:r>
      <w:r>
        <w:tab/>
        <w:t>aumentar las posibilidades de acceso de los pobres a los servicios médicos mediante la ampliación de la cobertura de esos servicios y su utilización plena (en el 100%);</w:t>
      </w:r>
    </w:p>
    <w:p w:rsidR="00000000" w:rsidRDefault="00000000">
      <w:pPr>
        <w:pStyle w:val="SingleTxt"/>
        <w:tabs>
          <w:tab w:val="right" w:pos="1685"/>
        </w:tabs>
        <w:ind w:left="1742" w:hanging="475"/>
      </w:pPr>
      <w:r>
        <w:tab/>
        <w:t>•</w:t>
      </w:r>
      <w:r>
        <w:tab/>
        <w:t>incrementar el número de partos asistidos por personal capacitado (de 32% a 46%) y promover el uso de anticonceptivos (de 19% a 27%) entre las mujeres de 15 a 49 años;</w:t>
      </w:r>
    </w:p>
    <w:p w:rsidR="00000000" w:rsidRDefault="00000000">
      <w:pPr>
        <w:pStyle w:val="SingleTxt"/>
        <w:tabs>
          <w:tab w:val="right" w:pos="1685"/>
        </w:tabs>
        <w:ind w:left="1742" w:hanging="475"/>
      </w:pPr>
      <w:r>
        <w:tab/>
        <w:t>•</w:t>
      </w:r>
      <w:r>
        <w:tab/>
        <w:t>aumentar la lactancia natural exclusiva de los niños de menos de cinco meses de edad de 5% a 15%;</w:t>
      </w:r>
    </w:p>
    <w:p w:rsidR="00000000" w:rsidRDefault="00000000">
      <w:pPr>
        <w:pStyle w:val="SingleTxt"/>
        <w:tabs>
          <w:tab w:val="right" w:pos="1685"/>
        </w:tabs>
        <w:ind w:left="1742" w:hanging="475"/>
      </w:pPr>
      <w:r>
        <w:tab/>
        <w:t>•</w:t>
      </w:r>
      <w:r>
        <w:tab/>
        <w:t>aumentar la cobertura de los niños con inmunización completa de 40% a 60%;</w:t>
      </w:r>
    </w:p>
    <w:p w:rsidR="00000000" w:rsidRDefault="00000000">
      <w:pPr>
        <w:pStyle w:val="SingleTxt"/>
        <w:tabs>
          <w:tab w:val="right" w:pos="1685"/>
        </w:tabs>
        <w:ind w:left="1742" w:hanging="475"/>
      </w:pPr>
      <w:r>
        <w:tab/>
        <w:t>•</w:t>
      </w:r>
      <w:r>
        <w:tab/>
        <w:t>estimular a los padres de niños con infecciones agudas de las vías respiratorias (IAR) o fiebre para que los lleven a centros de salud, con miras a pasar del 35% a</w:t>
      </w:r>
      <w:r>
        <w:t>c</w:t>
      </w:r>
      <w:r>
        <w:t>tual al 45%;</w:t>
      </w:r>
    </w:p>
    <w:p w:rsidR="00000000" w:rsidRDefault="00000000">
      <w:pPr>
        <w:pStyle w:val="SingleTxt"/>
        <w:tabs>
          <w:tab w:val="right" w:pos="1685"/>
        </w:tabs>
        <w:ind w:left="1742" w:hanging="475"/>
      </w:pPr>
      <w:r>
        <w:tab/>
        <w:t>•</w:t>
      </w:r>
      <w:r>
        <w:tab/>
        <w:t>lograr que el porcentaje de niños con IAR o fiebre que son llevados a dispe</w:t>
      </w:r>
      <w:r>
        <w:t>n</w:t>
      </w:r>
      <w:r>
        <w:t>sadores de salud calificados pase de 35% a 45%;</w:t>
      </w:r>
    </w:p>
    <w:p w:rsidR="00000000" w:rsidRDefault="00000000">
      <w:pPr>
        <w:pStyle w:val="SingleTxt"/>
        <w:tabs>
          <w:tab w:val="right" w:pos="1685"/>
        </w:tabs>
        <w:ind w:left="1742" w:hanging="475"/>
      </w:pPr>
      <w:r>
        <w:tab/>
        <w:t>•</w:t>
      </w:r>
      <w:r>
        <w:tab/>
        <w:t>incrementar el uso de soluciones de rehidratación oral (SRO) entre los niños con diarrea de 18% a 25%;</w:t>
      </w:r>
    </w:p>
    <w:p w:rsidR="00000000" w:rsidRDefault="00000000">
      <w:pPr>
        <w:pStyle w:val="SingleTxt"/>
        <w:tabs>
          <w:tab w:val="right" w:pos="1685"/>
        </w:tabs>
        <w:ind w:left="1742" w:hanging="475"/>
      </w:pPr>
      <w:r>
        <w:tab/>
        <w:t>•</w:t>
      </w:r>
      <w:r>
        <w:tab/>
        <w:t>aumentar el número de consultas que la población efectúa por año en servicios del sector público de 38% a 42%;</w:t>
      </w:r>
    </w:p>
    <w:p w:rsidR="00000000" w:rsidRDefault="00000000">
      <w:pPr>
        <w:pStyle w:val="SingleTxt"/>
        <w:tabs>
          <w:tab w:val="right" w:pos="1685"/>
        </w:tabs>
        <w:ind w:left="1742" w:hanging="475"/>
        <w:rPr>
          <w:spacing w:val="2"/>
          <w:w w:val="101"/>
        </w:rPr>
      </w:pPr>
      <w:r>
        <w:rPr>
          <w:spacing w:val="2"/>
          <w:w w:val="101"/>
        </w:rPr>
        <w:tab/>
        <w:t>•</w:t>
      </w:r>
      <w:r>
        <w:rPr>
          <w:spacing w:val="2"/>
          <w:w w:val="101"/>
        </w:rPr>
        <w:tab/>
        <w:t>mejorar la calidad de los servicios médicos básicos que se ofrecen en los centros de salud a partir de un conjunto mínimo de actividades (CMA) desarrolladas por servicios periféricos e internos, especialmente en beneficio de las comunidades pobres. Las mujeres son las que tienen más necesidad de esos se</w:t>
      </w:r>
      <w:r>
        <w:rPr>
          <w:spacing w:val="2"/>
          <w:w w:val="101"/>
        </w:rPr>
        <w:t>r</w:t>
      </w:r>
      <w:r>
        <w:rPr>
          <w:spacing w:val="2"/>
          <w:w w:val="101"/>
        </w:rPr>
        <w:t>vicios;</w:t>
      </w:r>
    </w:p>
    <w:p w:rsidR="00000000" w:rsidRDefault="00000000">
      <w:pPr>
        <w:pStyle w:val="SingleTxt"/>
        <w:tabs>
          <w:tab w:val="right" w:pos="1685"/>
        </w:tabs>
        <w:ind w:left="1742" w:hanging="475"/>
      </w:pPr>
      <w:r>
        <w:tab/>
        <w:t>•</w:t>
      </w:r>
      <w:r>
        <w:tab/>
        <w:t>aumentar las prestaciones de servicios de calidad, especialmente en obstetricia y pediatría, en los hospitales situados en zonas alejadas, mediante un conjunto compl</w:t>
      </w:r>
      <w:r>
        <w:t>e</w:t>
      </w:r>
      <w:r>
        <w:t>mentario de actividades (CCA);</w:t>
      </w:r>
    </w:p>
    <w:p w:rsidR="00000000" w:rsidRDefault="00000000">
      <w:pPr>
        <w:pStyle w:val="SingleTxt"/>
        <w:tabs>
          <w:tab w:val="right" w:pos="1685"/>
        </w:tabs>
        <w:ind w:left="1742" w:hanging="475"/>
      </w:pPr>
      <w:r>
        <w:tab/>
        <w:t>•</w:t>
      </w:r>
      <w:r>
        <w:tab/>
        <w:t>bajar la tasa de infección por VIH entre las personas de 15 a 24 años de edad de 2,8% a 2,5%;</w:t>
      </w:r>
    </w:p>
    <w:p w:rsidR="00000000" w:rsidRDefault="00000000">
      <w:pPr>
        <w:pStyle w:val="SingleTxt"/>
        <w:tabs>
          <w:tab w:val="right" w:pos="1685"/>
        </w:tabs>
        <w:ind w:left="1742" w:hanging="475"/>
      </w:pPr>
      <w:r>
        <w:tab/>
        <w:t>•</w:t>
      </w:r>
      <w:r>
        <w:tab/>
        <w:t>reducir la anemia ferropénica entre las embarazadas de 65% (EDS, 2000) a 43%;</w:t>
      </w:r>
    </w:p>
    <w:p w:rsidR="00000000" w:rsidRDefault="00000000">
      <w:pPr>
        <w:pStyle w:val="SingleTxt"/>
        <w:tabs>
          <w:tab w:val="right" w:pos="1685"/>
        </w:tabs>
        <w:ind w:left="1742" w:hanging="475"/>
      </w:pPr>
      <w:r>
        <w:tab/>
        <w:t>•</w:t>
      </w:r>
      <w:r>
        <w:tab/>
        <w:t>reducir los casos de bajo peso al nacer del 15% estimado a 10%;</w:t>
      </w:r>
    </w:p>
    <w:p w:rsidR="00000000" w:rsidRDefault="00000000">
      <w:pPr>
        <w:pStyle w:val="SingleTxt"/>
        <w:tabs>
          <w:tab w:val="right" w:pos="1685"/>
        </w:tabs>
        <w:ind w:left="1742" w:hanging="475"/>
      </w:pPr>
      <w:r>
        <w:tab/>
        <w:t>•</w:t>
      </w:r>
      <w:r>
        <w:tab/>
        <w:t>achicar a la mitad los gastos médicos de la familia para las personas pobres y más indefensas mediante campañas de concienciación de la importancia de la salud, el espaciamiento de los embarazos, la planificación de la familia, la n</w:t>
      </w:r>
      <w:r>
        <w:t>u</w:t>
      </w:r>
      <w:r>
        <w:t>trición y el d</w:t>
      </w:r>
      <w:r>
        <w:t>e</w:t>
      </w:r>
      <w:r>
        <w:t>recho al aborto;</w:t>
      </w:r>
    </w:p>
    <w:p w:rsidR="00000000" w:rsidRDefault="00000000">
      <w:pPr>
        <w:pStyle w:val="SingleTxt"/>
        <w:tabs>
          <w:tab w:val="right" w:pos="1685"/>
        </w:tabs>
        <w:ind w:left="1742" w:hanging="475"/>
      </w:pPr>
      <w:r>
        <w:tab/>
        <w:t>•</w:t>
      </w:r>
      <w:r>
        <w:tab/>
        <w:t>bajar el nivel de malnutrición de las mujeres en edad de procrear de 21% (EDS, 2000) a 15%;</w:t>
      </w:r>
    </w:p>
    <w:p w:rsidR="00000000" w:rsidRDefault="00000000">
      <w:pPr>
        <w:pStyle w:val="SingleTxt"/>
        <w:tabs>
          <w:tab w:val="right" w:pos="1685"/>
        </w:tabs>
        <w:ind w:left="1742" w:hanging="475"/>
      </w:pPr>
      <w:r>
        <w:tab/>
        <w:t>•</w:t>
      </w:r>
      <w:r>
        <w:tab/>
        <w:t>reducir la proporción de niños de seis a 59 meses que tengan un peso más bajo que el normal de 45% a 38%, y</w:t>
      </w:r>
    </w:p>
    <w:p w:rsidR="00000000" w:rsidRDefault="00000000">
      <w:pPr>
        <w:pStyle w:val="SingleTxt"/>
        <w:tabs>
          <w:tab w:val="right" w:pos="1685"/>
        </w:tabs>
        <w:ind w:left="1742" w:hanging="475"/>
      </w:pPr>
      <w:r>
        <w:tab/>
        <w:t>•</w:t>
      </w:r>
      <w:r>
        <w:tab/>
        <w:t>eliminar virtualmente el problema de la carencia de yodo para 2007.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a las prestaciones sociales y al crédito financiero</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ab/>
        <w:t>Los Estados Partes adoptarán todas las medidas apropiadas para eliminar la discriminación contra la mujer en otras esferas de la vida económica y social a fin de asegurar, en condiciones de igualdad entre hombres y mujeres, los mismos der</w:t>
      </w:r>
      <w:r>
        <w:rPr>
          <w:i/>
        </w:rPr>
        <w:t>e</w:t>
      </w:r>
      <w:r>
        <w:rPr>
          <w:i/>
        </w:rPr>
        <w:t>chos, en particular:</w:t>
      </w:r>
    </w:p>
    <w:p w:rsidR="00000000" w:rsidRDefault="00000000">
      <w:pPr>
        <w:pStyle w:val="SingleTxt"/>
        <w:rPr>
          <w:i/>
        </w:rPr>
      </w:pPr>
      <w:r>
        <w:rPr>
          <w:i/>
        </w:rPr>
        <w:tab/>
        <w:t>a)</w:t>
      </w:r>
      <w:r>
        <w:rPr>
          <w:i/>
        </w:rPr>
        <w:tab/>
        <w:t>El derecho a prestaciones familiares;</w:t>
      </w:r>
    </w:p>
    <w:p w:rsidR="00000000" w:rsidRDefault="00000000">
      <w:pPr>
        <w:pStyle w:val="SingleTxt"/>
        <w:rPr>
          <w:i/>
        </w:rPr>
      </w:pPr>
      <w:r>
        <w:rPr>
          <w:i/>
        </w:rPr>
        <w:tab/>
        <w:t>b)</w:t>
      </w:r>
      <w:r>
        <w:rPr>
          <w:i/>
        </w:rPr>
        <w:tab/>
        <w:t>El derecho a obtener préstamos bancarios, hipotecas y otras formas de crédito financiero;</w:t>
      </w:r>
    </w:p>
    <w:p w:rsidR="00000000" w:rsidRDefault="00000000">
      <w:pPr>
        <w:pStyle w:val="SingleTxt"/>
        <w:rPr>
          <w:i/>
        </w:rPr>
      </w:pPr>
      <w:r>
        <w:rPr>
          <w:i/>
        </w:rPr>
        <w:tab/>
        <w:t>c)</w:t>
      </w:r>
      <w:r>
        <w:rPr>
          <w:i/>
        </w:rPr>
        <w:tab/>
        <w:t>El 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352.</w:t>
      </w:r>
      <w:r>
        <w:tab/>
        <w:t>El Real Gobierno de Camboya se ha comprometido a desplegar todos los e</w:t>
      </w:r>
      <w:r>
        <w:t>s</w:t>
      </w:r>
      <w:r>
        <w:t>fuerzos posibles por eliminar todas las formas de discriminación contra la mujer en todos los sectores, especialmente en las esferas de la vida económica y social, para asegurarle los mismos derechos que asisten al hombre, en condiciones de igualdad con éste. La Constitución ha garantizado a los ciudadanos de ambos sexos el der</w:t>
      </w:r>
      <w:r>
        <w:t>e</w:t>
      </w:r>
      <w:r>
        <w:t>cho a participar activamente en la vida política, económica, social y cultural de la nación (artículo 35).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A.</w:t>
      </w:r>
      <w:r>
        <w:tab/>
        <w:t>Igualdad de derechos a las prestaciones familiares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353.</w:t>
      </w:r>
      <w:r>
        <w:tab/>
        <w:t>Mujeres y hombres comparten las mismas prestaciones familiares. En el ar-tículo 29 de la Ley del Matrimonio y la Familia se establece que mujeres y hombres son iguales en todos los aspectos de la vida familiar.</w:t>
      </w:r>
    </w:p>
    <w:p w:rsidR="00000000" w:rsidRDefault="00000000">
      <w:pPr>
        <w:pStyle w:val="SingleTxt"/>
        <w:keepNext/>
        <w:keepLines/>
      </w:pPr>
      <w:r>
        <w:t>354.</w:t>
      </w:r>
      <w:r>
        <w:tab/>
        <w:t>En cuanto a los bienes de la familia pertenecientes al marido o la mujer o al marido y la mujer, ambos cónyuges tienen el mismo derecho a beneficiarse de sus utilidades. Hijos e hijas tienen los mismos derechos con respecto a los bienes de la familia. Las mujeres y los maridos tienen los mismos derechos con respecto a los bienes comunes después del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B.</w:t>
      </w:r>
      <w:r>
        <w:tab/>
        <w:t>Igualdad de derechos a obtener préstamos bancarios, hipotecas y otras formas de crédito financiero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355.</w:t>
      </w:r>
      <w:r>
        <w:tab/>
        <w:t>Tanto el marido como la mujer tienen derecho a suscribir contratos relativos a préstamos, hipotecas y otras formas de crédito financiero. De conformidad con el artículo 14 del decreto-ley No. 38 KRCH de 28 de octubre de 1988, relativo a los contratos y las obligaciones, “toda persona mayor de 18 años tiene derecho a co</w:t>
      </w:r>
      <w:r>
        <w:t>n</w:t>
      </w:r>
      <w:r>
        <w:t>certar un contrato”.</w:t>
      </w:r>
    </w:p>
    <w:p w:rsidR="00000000" w:rsidRDefault="00000000">
      <w:pPr>
        <w:pStyle w:val="SingleTxt"/>
      </w:pPr>
      <w:r>
        <w:t>356.</w:t>
      </w:r>
      <w:r>
        <w:tab/>
        <w:t>Las mujeres tienen los mismos derechos que los hombres a obtener préstamos bancarios y a beneficiarse con la prenda, el alquiler o la venta de sus bienes priv</w:t>
      </w:r>
      <w:r>
        <w:t>a</w:t>
      </w:r>
      <w:r>
        <w:t>dos; en relación con los bienes comunes, ambos cónyuges, en pie de igualdad, deben ponerse de acuerdo. No obstante, la mayoría de las mujeres dejan estas decisiones en manos de sus maridos o de sus padres. La participación de la mujer en el sistema del microcrédito se examina en la sección del presente informe correspondiente al ar-</w:t>
      </w:r>
      <w:r>
        <w:br/>
        <w:t>t</w:t>
      </w:r>
      <w:r>
        <w:t>í</w:t>
      </w:r>
      <w:r>
        <w:t>culo 14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C.</w:t>
      </w:r>
      <w:r>
        <w:tab/>
        <w:t>Derecho a participar en actividades de esparcimiento, deportes y en todos los aspectos de la vida cultural.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357.</w:t>
      </w:r>
      <w:r>
        <w:tab/>
        <w:t>La Constitución de Camboya establece en su artículo 35 que “los ciudadanos de ambos sexos tienen el mismo derecho a participar activamente en la vida política, económica, social y cultural de la nación”. Esto quiere decir que tanto las mujeres como los hombres tienen el mismo derecho a participar en todas las actividades culturales y deportivas sin discriminación. Algunas mujeres han roto los tabúes y se han convertido en deportistas, cantantes populares y bailarinas capaces de preservar a la vez la tradición khmer. Por ejemplo, son mujeres 12,6% de los 1.078 estudiantes matriculados en la Universidad de Bellas Artes en el año académico 1993-1994. Hay dos mujeres entre los 272 estudiantes de Arquitectura según el informe anual correspondiente a 1995 de la secretaría de Estado encargada de los asuntos de la mujer. Eran mujeres 517 (aproximadamente 35%) de los 1.478 estudiantes matric</w:t>
      </w:r>
      <w:r>
        <w:t>u</w:t>
      </w:r>
      <w:r>
        <w:t>lados en la Universidad de Bellas Artes en 2000. En el año lectivo 1999-2000, seis estudiantes mujeres ganaron becas para seguir cursos de arqueología en Japón, Al</w:t>
      </w:r>
      <w:r>
        <w:t>e</w:t>
      </w:r>
      <w:r>
        <w:t>mania y los Estados Unidos de América. El Real Gobierno viene desplegando inte</w:t>
      </w:r>
      <w:r>
        <w:t>n</w:t>
      </w:r>
      <w:r>
        <w:t>sos esfuerzos por convencer a un número mayor de estudiantes interesados en los deportes o las bellas artes para que participen en mayor escala en competencias n</w:t>
      </w:r>
      <w:r>
        <w:t>a</w:t>
      </w:r>
      <w:r>
        <w:t>cionales e internacionales.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Obstáculos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358.</w:t>
      </w:r>
      <w:r>
        <w:tab/>
        <w:t>Tradicionalmente, las mujeres son demasiado tímidas para vestir ropa deport</w:t>
      </w:r>
      <w:r>
        <w:t>i</w:t>
      </w:r>
      <w:r>
        <w:t>va; por otra parte, sus padres no las alientan a participar en los deportes.</w:t>
      </w:r>
    </w:p>
    <w:p w:rsidR="00000000" w:rsidRDefault="00000000">
      <w:pPr>
        <w:pStyle w:val="SingleTxt"/>
        <w:keepNext/>
        <w:keepLines/>
      </w:pPr>
      <w:r>
        <w:tab/>
        <w:t>Como consecuencia de la pobreza, el analfabetismo y la inseguridad, las muj</w:t>
      </w:r>
      <w:r>
        <w:t>e</w:t>
      </w:r>
      <w:r>
        <w:t>res no pueden ejercer los derechos que la Constitución les otorga.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Acción futura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359.</w:t>
      </w:r>
      <w:r>
        <w:tab/>
        <w:t>El Real Gobierno de Camboya adoptará todas las medidas apropiadas para eliminar la discriminación económica contra la mujer y asegurarle el derecho a pa</w:t>
      </w:r>
      <w:r>
        <w:t>r</w:t>
      </w:r>
      <w:r>
        <w:t>ticipar en las actividades de esparcimiento y la vida cultural en condiciones de igualdad con el hombre. Tomará las providencias necesarias para suprimir las barr</w:t>
      </w:r>
      <w:r>
        <w:t>e</w:t>
      </w:r>
      <w:r>
        <w:t>ras jurídicas y sociales que se oponen a su participación.</w:t>
      </w:r>
    </w:p>
    <w:p w:rsidR="00000000" w:rsidRDefault="00000000">
      <w:pPr>
        <w:pStyle w:val="SingleTxt"/>
        <w:tabs>
          <w:tab w:val="right" w:pos="1685"/>
        </w:tabs>
        <w:ind w:left="1742" w:hanging="475"/>
      </w:pPr>
      <w:r>
        <w:tab/>
        <w:t>–</w:t>
      </w:r>
      <w:r>
        <w:tab/>
        <w:t>Con la ayuda del Organismo Alemán de Cooperación Técnica (GTZ), el M</w:t>
      </w:r>
      <w:r>
        <w:t>i</w:t>
      </w:r>
      <w:r>
        <w:t>nisterio de Asuntos de la Mujer y los Excombatientes examinará la legislación para c</w:t>
      </w:r>
      <w:r>
        <w:t>o</w:t>
      </w:r>
      <w:r>
        <w:t>rregir las distorsiones de género.</w:t>
      </w:r>
    </w:p>
    <w:p w:rsidR="00000000" w:rsidRDefault="00000000">
      <w:pPr>
        <w:pStyle w:val="SingleTxt"/>
        <w:tabs>
          <w:tab w:val="right" w:pos="1685"/>
        </w:tabs>
        <w:ind w:left="1742" w:hanging="475"/>
      </w:pPr>
      <w:r>
        <w:tab/>
        <w:t>–</w:t>
      </w:r>
      <w:r>
        <w:tab/>
        <w:t>El Ministerio de Asuntos de la Mujer y los Excombatientes y el Consejo N</w:t>
      </w:r>
      <w:r>
        <w:t>a</w:t>
      </w:r>
      <w:r>
        <w:t>cional de Camboya para la Mujer (CNCM) seguirán induciendo a las mujeres a que eje</w:t>
      </w:r>
      <w:r>
        <w:t>r</w:t>
      </w:r>
      <w:r>
        <w:t>zan sus derechos.</w:t>
      </w:r>
    </w:p>
    <w:p w:rsidR="00000000" w:rsidRDefault="00000000">
      <w:pPr>
        <w:pStyle w:val="SingleTxt"/>
        <w:tabs>
          <w:tab w:val="right" w:pos="1685"/>
        </w:tabs>
        <w:ind w:left="1742" w:hanging="475"/>
      </w:pPr>
      <w:r>
        <w:tab/>
        <w:t>–</w:t>
      </w:r>
      <w:r>
        <w:tab/>
        <w:t>Se seguirá difundiendo información sobre las leyes que establecen la igualdad de d</w:t>
      </w:r>
      <w:r>
        <w:t>e</w:t>
      </w:r>
      <w:r>
        <w:t>rechos del hombre y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mujer rural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rPr>
      </w:pPr>
      <w:r>
        <w:rPr>
          <w:i/>
        </w:rPr>
        <w:t>1.</w:t>
      </w:r>
      <w:r>
        <w:rPr>
          <w:i/>
        </w:rPr>
        <w:tab/>
        <w:t>Los Estados Partes tendrán en cuenta los problemas especiales a que hace frente la mujer rural y el importante papel que desempeña en la supervivencia ec</w:t>
      </w:r>
      <w:r>
        <w:rPr>
          <w:i/>
        </w:rPr>
        <w:t>o</w:t>
      </w:r>
      <w:r>
        <w:rPr>
          <w:i/>
        </w:rPr>
        <w:t>nómica de su familia, incluido su trabajo en los sectores no monetarios de la ec</w:t>
      </w:r>
      <w:r>
        <w:rPr>
          <w:i/>
        </w:rPr>
        <w:t>o</w:t>
      </w:r>
      <w:r>
        <w:rPr>
          <w:i/>
        </w:rPr>
        <w:t>nomía, y tomarán todas las medidas apropiadas para asegurar la aplicación de las disposiciones de la pr</w:t>
      </w:r>
      <w:r>
        <w:rPr>
          <w:i/>
        </w:rPr>
        <w:t>e</w:t>
      </w:r>
      <w:r>
        <w:rPr>
          <w:i/>
        </w:rPr>
        <w:t>sente Convención a la mujer de las zonas rurales.</w:t>
      </w:r>
    </w:p>
    <w:p w:rsidR="00000000" w:rsidRDefault="00000000">
      <w:pPr>
        <w:pStyle w:val="SingleTxt"/>
        <w:rPr>
          <w:i/>
        </w:rPr>
      </w:pPr>
      <w:r>
        <w:rPr>
          <w:i/>
        </w:rPr>
        <w:t>2.</w:t>
      </w:r>
      <w:r>
        <w:rPr>
          <w:i/>
        </w:rPr>
        <w:tab/>
        <w:t>Los Estados Partes adoptarán todas las medidas apropiadas para eliminar la discriminación contra la mujer en las zonas rurales a fin de asegurar, en condici</w:t>
      </w:r>
      <w:r>
        <w:rPr>
          <w:i/>
        </w:rPr>
        <w:t>o</w:t>
      </w:r>
      <w:r>
        <w:rPr>
          <w:i/>
        </w:rPr>
        <w:t>nes de igualdad entre hombres y mujeres, su participación en el desarrollo rural y en sus beneficios, y en particular le asegurarán el derecho a:</w:t>
      </w:r>
    </w:p>
    <w:p w:rsidR="00000000" w:rsidRDefault="00000000">
      <w:pPr>
        <w:pStyle w:val="SingleTxt"/>
        <w:rPr>
          <w:i/>
        </w:rPr>
      </w:pPr>
      <w:r>
        <w:rPr>
          <w:i/>
        </w:rPr>
        <w:tab/>
        <w:t>a)</w:t>
      </w:r>
      <w:r>
        <w:rPr>
          <w:i/>
        </w:rPr>
        <w:tab/>
        <w:t>Participar en la elaboración y ejecución de los planes de desarrollo a todos los niveles;</w:t>
      </w:r>
    </w:p>
    <w:p w:rsidR="00000000" w:rsidRDefault="00000000">
      <w:pPr>
        <w:pStyle w:val="SingleTxt"/>
        <w:rPr>
          <w:i/>
        </w:rPr>
      </w:pPr>
      <w:r>
        <w:rPr>
          <w:i/>
        </w:rPr>
        <w:tab/>
        <w:t>b)</w:t>
      </w:r>
      <w:r>
        <w:rPr>
          <w:i/>
        </w:rPr>
        <w:tab/>
        <w:t>Tener acceso a servicios adecuados de atención médica, inclusive info</w:t>
      </w:r>
      <w:r>
        <w:rPr>
          <w:i/>
        </w:rPr>
        <w:t>r</w:t>
      </w:r>
      <w:r>
        <w:rPr>
          <w:i/>
        </w:rPr>
        <w:t>mación, asesoramiento y servicios en materia de planificación de la familia;</w:t>
      </w:r>
    </w:p>
    <w:p w:rsidR="00000000" w:rsidRDefault="00000000">
      <w:pPr>
        <w:pStyle w:val="SingleTxt"/>
        <w:rPr>
          <w:i/>
        </w:rPr>
      </w:pPr>
      <w:r>
        <w:rPr>
          <w:i/>
        </w:rPr>
        <w:tab/>
        <w:t>c)</w:t>
      </w:r>
      <w:r>
        <w:rPr>
          <w:i/>
        </w:rPr>
        <w:tab/>
        <w:t>Beneficiarse directamente de los programas de seguridad social;</w:t>
      </w:r>
    </w:p>
    <w:p w:rsidR="00000000" w:rsidRDefault="00000000">
      <w:pPr>
        <w:pStyle w:val="SingleTxt"/>
        <w:rPr>
          <w:i/>
        </w:rPr>
      </w:pPr>
      <w:r>
        <w:rPr>
          <w:i/>
        </w:rPr>
        <w:tab/>
        <w:t>d)</w:t>
      </w:r>
      <w:r>
        <w:rPr>
          <w:i/>
        </w:rPr>
        <w:tab/>
        <w:t>Obtener todos los tipos de educación y de formación, académica y no académica, incluidos los relacionados con la alfabetización funcional, así como, entre otros, los beneficios de todos los servicios comunitarios y de divulgación a fin de aumentar su capacidad técnica;</w:t>
      </w:r>
    </w:p>
    <w:p w:rsidR="00000000" w:rsidRDefault="00000000">
      <w:pPr>
        <w:pStyle w:val="SingleTxt"/>
        <w:rPr>
          <w:i/>
        </w:rPr>
      </w:pPr>
      <w:r>
        <w:rPr>
          <w:i/>
        </w:rPr>
        <w:tab/>
        <w:t>e)</w:t>
      </w:r>
      <w:r>
        <w:rPr>
          <w:i/>
        </w:rPr>
        <w:tab/>
        <w:t>Organizar grupos de autoayuda y cooperativas a fin de obtener igualdad de acceso a las oportunidades económicas mediante el empleo por cuenta propia o por cuenta ajena;</w:t>
      </w:r>
    </w:p>
    <w:p w:rsidR="00000000" w:rsidRDefault="00000000">
      <w:pPr>
        <w:pStyle w:val="SingleTxt"/>
        <w:rPr>
          <w:i/>
        </w:rPr>
      </w:pPr>
      <w:r>
        <w:rPr>
          <w:i/>
        </w:rPr>
        <w:tab/>
        <w:t>f)</w:t>
      </w:r>
      <w:r>
        <w:rPr>
          <w:i/>
        </w:rPr>
        <w:tab/>
        <w:t>Participar en todas las actividades comunitarias;</w:t>
      </w:r>
    </w:p>
    <w:p w:rsidR="00000000" w:rsidRDefault="00000000">
      <w:pPr>
        <w:pStyle w:val="SingleTxt"/>
        <w:rPr>
          <w:i/>
        </w:rPr>
      </w:pPr>
      <w:r>
        <w:rPr>
          <w:i/>
        </w:rPr>
        <w:tab/>
        <w:t>g)</w:t>
      </w:r>
      <w:r>
        <w:rPr>
          <w:i/>
        </w:rPr>
        <w:tab/>
        <w:t>Obtener acceso a los créditos y préstamos agrícolas, a los servicios de comercialización y a las tecnologías apropiadas, y recibir un trato igual en los pl</w:t>
      </w:r>
      <w:r>
        <w:rPr>
          <w:i/>
        </w:rPr>
        <w:t>a</w:t>
      </w:r>
      <w:r>
        <w:rPr>
          <w:i/>
        </w:rPr>
        <w:t>nes de reforma agraria y de reasentamiento;</w:t>
      </w:r>
    </w:p>
    <w:p w:rsidR="00000000" w:rsidRDefault="00000000">
      <w:pPr>
        <w:pStyle w:val="SingleTxt"/>
        <w:rPr>
          <w:i/>
        </w:rPr>
      </w:pPr>
      <w:r>
        <w:rPr>
          <w:i/>
        </w:rPr>
        <w:tab/>
        <w:t>h)</w:t>
      </w:r>
      <w:r>
        <w:rPr>
          <w:i/>
        </w:rPr>
        <w:tab/>
        <w:t>Gozar de condiciones de vida adecuadas, particularmente en las esferas de la vivienda, los servicios sanitarios, la electricidad y el abastecimiento de agua, el transporte y las comunicaciones.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Párrafo 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pPr>
      <w:r>
        <w:t>360.</w:t>
      </w:r>
      <w:r>
        <w:tab/>
        <w:t>La mayor parte de la población de Camboya (85%) vive en zonas rurales y la producción agrícola constituye 46,4% del producto interno bruto (PIB). La mujer r</w:t>
      </w:r>
      <w:r>
        <w:t>u</w:t>
      </w:r>
      <w:r>
        <w:t>ral desempeña un papel importante en esa producción y en el bienestar económico de la familia y la comunidad. Se ha estimado que el trabajo de la mujer en los sect</w:t>
      </w:r>
      <w:r>
        <w:t>o</w:t>
      </w:r>
      <w:r>
        <w:t>res de la agricultura y la pesca representa 65% de la producción y 75% de su come</w:t>
      </w:r>
      <w:r>
        <w:t>r</w:t>
      </w:r>
      <w:r>
        <w:t>cialización. Las mujeres se ocupan de la siembra, el trasplante de plántulas y la c</w:t>
      </w:r>
      <w:r>
        <w:t>o</w:t>
      </w:r>
      <w:r>
        <w:t xml:space="preserve">secha del arroz, así como del cultivo de hortalizas, la cría de ganado y la fabricación de artículos artesanales, que son todas actividades que generan ingresos para la </w:t>
      </w:r>
      <w:r>
        <w:br/>
        <w:t>f</w:t>
      </w:r>
      <w:r>
        <w:t>a</w:t>
      </w:r>
      <w:r>
        <w:t>milia.</w:t>
      </w:r>
    </w:p>
    <w:p w:rsidR="00000000" w:rsidRDefault="00000000">
      <w:pPr>
        <w:pStyle w:val="SingleTxt"/>
      </w:pPr>
      <w:r>
        <w:t>361.</w:t>
      </w:r>
      <w:r>
        <w:tab/>
        <w:t>Las mujeres forman la mayor parte del 36% de la población que vive por d</w:t>
      </w:r>
      <w:r>
        <w:t>e</w:t>
      </w:r>
      <w:r>
        <w:t>bajo del umbral de pobreza. En su mayoría, los pobres son mujeres rurales. Las mujeres rurales tienen más hijos que las mujeres urbanas; también enfrentan más problemas de salud y a menudo no tienen acceso a servicios médicos que, de hecho, les resultan inaccesibles. Las mujeres rurales tienen menos acceso a la educación y son en su mayoría analfabetas.</w:t>
      </w:r>
    </w:p>
    <w:p w:rsidR="00000000" w:rsidRDefault="00000000">
      <w:pPr>
        <w:pStyle w:val="SingleTxt"/>
      </w:pPr>
      <w:r>
        <w:t>362.</w:t>
      </w:r>
      <w:r>
        <w:tab/>
        <w:t>El Real Gobierno de Camboya adopta diversas medidas para eliminar la di</w:t>
      </w:r>
      <w:r>
        <w:t>s</w:t>
      </w:r>
      <w:r>
        <w:t>criminación contra la mujer rural y asegurarle, en igualdad de condiciones con el hombre, su participación en el desarrollo rural, desde su planificación hasta su in</w:t>
      </w:r>
      <w:r>
        <w:t>s</w:t>
      </w:r>
      <w:r>
        <w:t>trumentación, y en los beneficios que traiga aparejados. La Constitución garantiza la igualdad de oportunidades a la mujer, especialmente a la que reside en zonas rurales y no cuenta con el apoyo social apropiado, para que pueda obtener empleo y ate</w:t>
      </w:r>
      <w:r>
        <w:t>n</w:t>
      </w:r>
      <w:r>
        <w:t>ción médica, enviar a sus hijos a la escuela y disponer de condiciones de vida dec</w:t>
      </w:r>
      <w:r>
        <w:t>o</w:t>
      </w:r>
      <w:r>
        <w:t>rosas (tercer párrafo del artículo 46). El Real Gobierno de Camboya también está mejorando el sistema de producción agrícola y trabajos artesanales en las zonas r</w:t>
      </w:r>
      <w:r>
        <w:t>u</w:t>
      </w:r>
      <w:r>
        <w:t>rales a fin de mejorar las condiciones de vida de su población. Por su parte, el ar-tículo 61 de la Constitución señala que el Estado tiene el deber de promover el des</w:t>
      </w:r>
      <w:r>
        <w:t>a</w:t>
      </w:r>
      <w:r>
        <w:t>rrollo económico en todos los sectores, incluso en las zonas más apartadas, esp</w:t>
      </w:r>
      <w:r>
        <w:t>e</w:t>
      </w:r>
      <w:r>
        <w:t>cialmente en las esferas de la agricultura, las artesanías y la industria, y de preoc</w:t>
      </w:r>
      <w:r>
        <w:t>u</w:t>
      </w:r>
      <w:r>
        <w:t>parse por el riego, la electrificación, las rutas y los medios de transporte, la moderna tecnología y los sistemas de crédito.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r>
      <w:r>
        <w:tab/>
        <w:t>Párrafo 2</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A.</w:t>
      </w:r>
      <w:r>
        <w:tab/>
        <w:t>Participación en la planificación del desarrollo</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363.</w:t>
      </w:r>
      <w:r>
        <w:tab/>
        <w:t>El Real Gobierno de Camboya ha elaborado y puesto en marcha políticas de desarrollo rural con objeto de mitigar la pobreza sobre la base de la descentraliz</w:t>
      </w:r>
      <w:r>
        <w:t>a</w:t>
      </w:r>
      <w:r>
        <w:t>ción y la desconcentración. En efecto, fomenta la participación popular en la plan</w:t>
      </w:r>
      <w:r>
        <w:t>i</w:t>
      </w:r>
      <w:r>
        <w:t>ficación y la instrumentación del plan de desarrollo en todos los sectores de cada comunidad induciendo a la gente no sólo a intervenir directamente sino también a adquirir t</w:t>
      </w:r>
      <w:r>
        <w:t>í</w:t>
      </w:r>
      <w:r>
        <w:t>tulos de propiedad.</w:t>
      </w:r>
    </w:p>
    <w:p w:rsidR="00000000" w:rsidRDefault="00000000">
      <w:pPr>
        <w:pStyle w:val="SingleTxt"/>
      </w:pPr>
      <w:r>
        <w:t>364.</w:t>
      </w:r>
      <w:r>
        <w:tab/>
        <w:t>En virtud de la descentralización y la desconcentración, los recursos y el poder han pasado de las autoridades del Estado central a las autoridades de las comunid</w:t>
      </w:r>
      <w:r>
        <w:t>a</w:t>
      </w:r>
      <w:r>
        <w:t>des locales. En ese proceso, todos los aldeanos, sin olvidar las aldeanas, participan activamente y reciben adiestramiento en todo lo relacionado con la planificación, la instrumentación, la supervisión y la evaluación del desarrollo. Con este enfoque comunitario se procura incentivar a la mujer para que adquiera confianza y adopte por sí misma las decisiones que le conciernen, con la esperanza de que también se dec</w:t>
      </w:r>
      <w:r>
        <w:t>i</w:t>
      </w:r>
      <w:r>
        <w:t>da a abordar los problemas de su comunidad.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B.</w:t>
      </w:r>
      <w:r>
        <w:tab/>
        <w:t>Acceso a los servicios médicos y a la información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365.</w:t>
      </w:r>
      <w:r>
        <w:tab/>
        <w:t>Para impulsar el desarrollo rural, el Real Gobierno de Camboya se compr</w:t>
      </w:r>
      <w:r>
        <w:t>o</w:t>
      </w:r>
      <w:r>
        <w:t>mete a mejorar la salud, la educación y los servicios sociales con miras a proporci</w:t>
      </w:r>
      <w:r>
        <w:t>o</w:t>
      </w:r>
      <w:r>
        <w:t>nar un mayor bienestar a la población, en particular a la que vive en las zonas rur</w:t>
      </w:r>
      <w:r>
        <w:t>a</w:t>
      </w:r>
      <w:r>
        <w:t>les. Los detalles se analizan en la sección del presente informe correspondiente al artículo 12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C.</w:t>
      </w:r>
      <w:r>
        <w:tab/>
        <w:t>Seguridad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366.</w:t>
      </w:r>
      <w:r>
        <w:tab/>
        <w:t>El Real Gobierno de Camboya se ha comprometido a asegurar la seguridad s</w:t>
      </w:r>
      <w:r>
        <w:t>o</w:t>
      </w:r>
      <w:r>
        <w:t>cial para que la población pueda vivir espiritual y materialmente en paz. El párrafo cuarto del artículo 36 de la Constitución garantiza a los ciudadanos khmers de a</w:t>
      </w:r>
      <w:r>
        <w:t>m</w:t>
      </w:r>
      <w:r>
        <w:t>bos sexos el derecho a beneficiarse de las prestaciones de la seguridad social y de las otras ventajas que determine la ley. A la luz de esta garantía, la Asamblea Naci</w:t>
      </w:r>
      <w:r>
        <w:t>o</w:t>
      </w:r>
      <w:r>
        <w:t>nal redactó y aprobó el 15 de septiembre de 2002 la Ley relativa a la seguridad s</w:t>
      </w:r>
      <w:r>
        <w:t>o</w:t>
      </w:r>
      <w:r>
        <w:t>cial de las personas, de conformidad con las disposiciones de la Ley del Trabajo.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D.</w:t>
      </w:r>
      <w:r>
        <w:tab/>
        <w:t>Acceso al desarrollo de las aptitudes profesionales y participación en otras actividades de la comunidad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367.</w:t>
      </w:r>
      <w:r>
        <w:tab/>
        <w:t>Las mujeres rurales participan en número cada vez mayor en la planificación y la presupuestación del desarrollo local en el marco del desarrollo de sus comunid</w:t>
      </w:r>
      <w:r>
        <w:t>a</w:t>
      </w:r>
      <w:r>
        <w:t>des. Se alienta a las mujeres a participar en los cursos de formación de empleados de las comunas. El MoAMEC se encarga de facilitar y coordinar la integración de las cuestiones de género en el Programa Nacional de Gobierno Descentralizado SEILA. Los departamentos provinciales a cargo de los asuntos de la mujer y los excomb</w:t>
      </w:r>
      <w:r>
        <w:t>a</w:t>
      </w:r>
      <w:r>
        <w:t xml:space="preserve">tientes están representados en los comités ejecutivos provinciales que impulsan el </w:t>
      </w:r>
      <w:r>
        <w:rPr>
          <w:spacing w:val="2"/>
          <w:w w:val="101"/>
        </w:rPr>
        <w:t xml:space="preserve">desarrollo rural a efectos de elaborar políticas y diseñar planes de acción que garanticen la promoción y la coordinación de las cuestiones de género a escala provincial </w:t>
      </w:r>
      <w:r>
        <w:t>y distr</w:t>
      </w:r>
      <w:r>
        <w:t>i</w:t>
      </w:r>
      <w:r>
        <w:t>tal. El MoAMEC ha puesto en marcha un programa renovable de fortalecimiento de la capacidad en el plano provincial y se espera que esos cursillistas se ocupen de brindar capacitación a mujeres en los distritos, las comunas y las aldeas.</w:t>
      </w:r>
    </w:p>
    <w:p w:rsidR="00000000" w:rsidRDefault="00000000">
      <w:pPr>
        <w:pStyle w:val="SingleTxt"/>
      </w:pPr>
      <w:r>
        <w:t>368.</w:t>
      </w:r>
      <w:r>
        <w:tab/>
        <w:t>Los esfuerzos desplegados han producido cambios notables en el papel asum</w:t>
      </w:r>
      <w:r>
        <w:t>i</w:t>
      </w:r>
      <w:r>
        <w:t>do por la mujer en la elaboración y ejecución de los planes de desarrollo a todos los niveles. Entre los dirigentes comunitarios de la provincia de Siem Reap hay 19 m</w:t>
      </w:r>
      <w:r>
        <w:t>u</w:t>
      </w:r>
      <w:r>
        <w:t>jeres (9% del total).</w:t>
      </w:r>
    </w:p>
    <w:p w:rsidR="00000000" w:rsidRDefault="00000000">
      <w:pPr>
        <w:pStyle w:val="SingleTxt"/>
      </w:pPr>
      <w:r>
        <w:t>369.</w:t>
      </w:r>
      <w:r>
        <w:tab/>
        <w:t>El MoAMEC y las ONG desarrollan programas de capacitación a fin de est</w:t>
      </w:r>
      <w:r>
        <w:t>i</w:t>
      </w:r>
      <w:r>
        <w:t>mular a las mujeres para que se presenten como candidatas en las elecciones. Así se abren las puertas para que las mujeres participen en la elaboración y la ejecución de los planes de desarrollo locales. Como resultado final, en las elecciones de consej</w:t>
      </w:r>
      <w:r>
        <w:t>e</w:t>
      </w:r>
      <w:r>
        <w:t>ros comunales se presentaron 12.375 mujeres, o sea 16% del total de 75.287 cand</w:t>
      </w:r>
      <w:r>
        <w:t>i</w:t>
      </w:r>
      <w:r>
        <w:t>datos; de ese número, resultaron electas 977 consejeras.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E/F.</w:t>
      </w:r>
      <w:r>
        <w:tab/>
        <w:t>Establecimiento de grupos de ayuda y participación en las actividades comunitarias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370.</w:t>
      </w:r>
      <w:r>
        <w:tab/>
        <w:t>De conformidad con la garantía constitucional, los ciudadanos khmers tienen derecho a fundar asociaciones y partidos políticos; además, se reconoce en partic</w:t>
      </w:r>
      <w:r>
        <w:t>u</w:t>
      </w:r>
      <w:r>
        <w:t>lar a las mujeres el derecho a organizar grupos solidarios para que los miembros de la comunidad se ayuden entre sí. En la práctica, se han establecido grupos de auto</w:t>
      </w:r>
      <w:r>
        <w:t>a</w:t>
      </w:r>
      <w:r>
        <w:t>yuda y co</w:t>
      </w:r>
      <w:r>
        <w:t>o</w:t>
      </w:r>
      <w:r>
        <w:t>perativas.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G.</w:t>
      </w:r>
      <w:r>
        <w:tab/>
        <w:t>Programas de crédito y préstamos agrícolas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371.</w:t>
      </w:r>
      <w:r>
        <w:tab/>
        <w:t>En colaboración con el Banco Nacional de Camboya, el Banco de Desarrollo Rural y otros donantes, el Real Gobierno de Camboya ha establecido pautas, princ</w:t>
      </w:r>
      <w:r>
        <w:t>i</w:t>
      </w:r>
      <w:r>
        <w:t>pios y un plan de acción estratégica que e</w:t>
      </w:r>
      <w:r>
        <w:t>n</w:t>
      </w:r>
      <w:r>
        <w:t>trañan lo siguiente:</w:t>
      </w:r>
    </w:p>
    <w:p w:rsidR="00000000" w:rsidRDefault="00000000">
      <w:pPr>
        <w:pStyle w:val="SingleTxt"/>
        <w:tabs>
          <w:tab w:val="right" w:pos="1685"/>
        </w:tabs>
        <w:ind w:left="1742" w:hanging="475"/>
      </w:pPr>
      <w:r>
        <w:tab/>
        <w:t>–</w:t>
      </w:r>
      <w:r>
        <w:tab/>
        <w:t>promover servicios de crédito a mediano y largo plazo con tasas de interés b</w:t>
      </w:r>
      <w:r>
        <w:t>a</w:t>
      </w:r>
      <w:r>
        <w:t>jas para generalizar de manera eficaz y sostenible el micr</w:t>
      </w:r>
      <w:r>
        <w:t>o</w:t>
      </w:r>
      <w:r>
        <w:t>crédito;</w:t>
      </w:r>
    </w:p>
    <w:p w:rsidR="00000000" w:rsidRDefault="00000000">
      <w:pPr>
        <w:pStyle w:val="SingleTxt"/>
        <w:tabs>
          <w:tab w:val="right" w:pos="1685"/>
        </w:tabs>
        <w:ind w:left="1742" w:hanging="475"/>
      </w:pPr>
      <w:r>
        <w:tab/>
        <w:t>–</w:t>
      </w:r>
      <w:r>
        <w:tab/>
        <w:t>vincular la producción a las demandas del mercado local y externo promovie</w:t>
      </w:r>
      <w:r>
        <w:t>n</w:t>
      </w:r>
      <w:r>
        <w:t>do el otorgamiento de crédito para sostener y ampliar la producción de los agricult</w:t>
      </w:r>
      <w:r>
        <w:t>o</w:t>
      </w:r>
      <w:r>
        <w:t>res;</w:t>
      </w:r>
    </w:p>
    <w:p w:rsidR="00000000" w:rsidRDefault="00000000">
      <w:pPr>
        <w:pStyle w:val="SingleTxt"/>
        <w:tabs>
          <w:tab w:val="right" w:pos="1685"/>
        </w:tabs>
        <w:suppressAutoHyphens/>
        <w:ind w:left="1742" w:hanging="475"/>
      </w:pPr>
      <w:r>
        <w:tab/>
        <w:t>–</w:t>
      </w:r>
      <w:r>
        <w:tab/>
        <w:t>proporcionar capacitación técnica en aras de una aplicación eficaz de los programas;</w:t>
      </w:r>
    </w:p>
    <w:p w:rsidR="00000000" w:rsidRDefault="00000000">
      <w:pPr>
        <w:pStyle w:val="SingleTxt"/>
        <w:tabs>
          <w:tab w:val="right" w:pos="1685"/>
        </w:tabs>
        <w:ind w:left="1742" w:hanging="475"/>
      </w:pPr>
      <w:r>
        <w:tab/>
        <w:t>–</w:t>
      </w:r>
      <w:r>
        <w:tab/>
        <w:t>mejorar los mecanismos de cobro de los préstamos locales y atraer asistencia técnica y financiación del interior y del extranjero;</w:t>
      </w:r>
    </w:p>
    <w:p w:rsidR="00000000" w:rsidRDefault="00000000">
      <w:pPr>
        <w:pStyle w:val="SingleTxt"/>
        <w:tabs>
          <w:tab w:val="right" w:pos="1685"/>
        </w:tabs>
        <w:ind w:left="1742" w:hanging="475"/>
      </w:pPr>
      <w:r>
        <w:tab/>
        <w:t>–</w:t>
      </w:r>
      <w:r>
        <w:tab/>
        <w:t>estimular a las autoridades locales para que presten su colaboración y faciliten las operaciones de microcrédito.</w:t>
      </w:r>
    </w:p>
    <w:p w:rsidR="00000000" w:rsidRDefault="00000000">
      <w:pPr>
        <w:pStyle w:val="SingleTxt"/>
      </w:pPr>
      <w:r>
        <w:t>372.</w:t>
      </w:r>
      <w:r>
        <w:tab/>
        <w:t>Los programas de crédito del Ministerio de Desarrollo Rural (MoDR) permiten que los agricultores vendan sus productos a precios convenientes y mejoren y a</w:t>
      </w:r>
      <w:r>
        <w:t>m</w:t>
      </w:r>
      <w:r>
        <w:t xml:space="preserve">plíen sus actividades productivas. Se ha desarrollado la capacidad de producción de los agricultores y se les ha facilitado el establecimiento de mecanismos apropiados y </w:t>
      </w:r>
      <w:r>
        <w:rPr>
          <w:spacing w:val="2"/>
          <w:w w:val="101"/>
        </w:rPr>
        <w:t xml:space="preserve">acordes con las previsiones de crédito familiar. Se procura que los agricultores tengan acceso a la información y la metodología relativas a la creación de empleo, la </w:t>
      </w:r>
      <w:r>
        <w:t>produ</w:t>
      </w:r>
      <w:r>
        <w:t>c</w:t>
      </w:r>
      <w:r>
        <w:t>ción de bienes y las demandas del mercado. Así se ayuda a aumentar el empleo en las comunidades rurales y a reducir el número de personas que las dejan para buscar empleo en las ciudades. La producción local ha aumentado gracias a la provisión de crédito y de materiales agrícolas. Han resultado fortalecidas la solidaridad comun</w:t>
      </w:r>
      <w:r>
        <w:t>i</w:t>
      </w:r>
      <w:r>
        <w:t>taria y la observancia de la ley.</w:t>
      </w:r>
    </w:p>
    <w:p w:rsidR="00000000" w:rsidRDefault="00000000">
      <w:pPr>
        <w:pStyle w:val="SingleTxt"/>
      </w:pPr>
      <w:r>
        <w:t>373.</w:t>
      </w:r>
      <w:r>
        <w:tab/>
        <w:t>Con la colaboración del UNICEF en el período 1985-1995, el MoAMEC est</w:t>
      </w:r>
      <w:r>
        <w:t>a</w:t>
      </w:r>
      <w:r>
        <w:t>bleció y aplicó programas de crédito para incrementar la seguridad alimentaria y los ingresos de la familia y contribuir al mejoramiento de la salud y la educación en 17 de las 24 provincias. Después de 1995, el MoAMEC ha seguido aplicando y a</w:t>
      </w:r>
      <w:r>
        <w:t>m</w:t>
      </w:r>
      <w:r>
        <w:t>pliando esos programas con independencia de la asistencia externa. El número de prestarios aumentó de 14.782 en 1995 a 41.909 en 2002 (lo que representó un i</w:t>
      </w:r>
      <w:r>
        <w:t>n</w:t>
      </w:r>
      <w:r>
        <w:t>cremento de 280%); además, mientras los préstamos concedidos en 1995 sumaron 883.254.400 riels (US$ 220.813), los otorgados en 2002 llegaron a 1.460.325.200 riels (US$ 365.081), lo que significó un incremento de 165%. Otro aspecto del pr</w:t>
      </w:r>
      <w:r>
        <w:t>o</w:t>
      </w:r>
      <w:r>
        <w:t>grama es la enseñanza de contabilidad, que se ofrece en esas 17 provincias a los miembros de los comités de crédito de las aldeas y a los funcionarios distritales.</w:t>
      </w:r>
    </w:p>
    <w:p w:rsidR="00000000" w:rsidRDefault="00000000">
      <w:pPr>
        <w:pStyle w:val="SingleTxt"/>
      </w:pPr>
      <w:r>
        <w:t>374.</w:t>
      </w:r>
      <w:r>
        <w:tab/>
        <w:t>El programa de microfinanciación se amplió con la incorporación de un banco bovino que funcionó entre 1990 y 1993 a pesar de las dificultades que hubo que e</w:t>
      </w:r>
      <w:r>
        <w:t>n</w:t>
      </w:r>
      <w:r>
        <w:t>frentar como consecuencia de la inseguridad, los robos y las inundaciones. En siete provincias, los comités de crédito de las aldeas se encargaron de administrar los “préstamos” de vacas reproductoras en beneficio de los prestatarios, que llegaron a 345 en el año 2002.</w:t>
      </w:r>
    </w:p>
    <w:p w:rsidR="00000000" w:rsidRDefault="00000000">
      <w:pPr>
        <w:pStyle w:val="SingleTxt"/>
      </w:pPr>
      <w:r>
        <w:t>375.</w:t>
      </w:r>
      <w:r>
        <w:tab/>
        <w:t>La abrumadora mayoría de los beneficiarios fueron mujeres pobres, viudas, mujeres víctimas de la violencia en el hogar y mujeres con muchos hijos. Esto es un buen ejemplo de la sostenibilidad del programa y prueba de la capacidad de organ</w:t>
      </w:r>
      <w:r>
        <w:t>i</w:t>
      </w:r>
      <w:r>
        <w:t>zación y administración de la mujer camboyana.</w:t>
      </w:r>
    </w:p>
    <w:p w:rsidR="00000000" w:rsidRDefault="00000000">
      <w:pPr>
        <w:pStyle w:val="SingleTxt"/>
      </w:pPr>
      <w:r>
        <w:t>376.</w:t>
      </w:r>
      <w:r>
        <w:tab/>
        <w:t>El Banco de Desarrollo Rural es el receptor de un préstamo de US$ 20 mill</w:t>
      </w:r>
      <w:r>
        <w:t>o</w:t>
      </w:r>
      <w:r>
        <w:t>nes otorgado en el marco del programa de ahorro y crédito rural. El Banco distrib</w:t>
      </w:r>
      <w:r>
        <w:t>u</w:t>
      </w:r>
      <w:r>
        <w:t xml:space="preserve">ye los fondos por conducto de las instituciones financieras autorizadas (IFA), que son de distinto tamaño: las dos más grandes, ACLEDA y EMT, reparten alrededor de 80% de los fondos, pero también participan otras entidades más pequeñas, como PRASAC, Hatta Kaseker, CRS y </w:t>
      </w:r>
      <w:r>
        <w:rPr>
          <w:i/>
        </w:rPr>
        <w:t>World Relief</w:t>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rPr>
      </w:pPr>
      <w:r>
        <w:tab/>
        <w:t>H.</w:t>
      </w:r>
      <w:r>
        <w:tab/>
        <w:t>Acceso a condiciones de vida decorosas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377.</w:t>
      </w:r>
      <w:r>
        <w:tab/>
        <w:t>El Real Gobierno de Camboya es consciente de la necesidad de desarrollar un programa integral de reforma agraria. La política agraria integrada hace hincapié en la administración, la distribución y la explotación de la tierra. La meta de la reforma agraria es fortalecer un sistema eficaz y transparente de explotación de la tierra. La política agraria integrada genera un entorno favorable para que la mujer que sea c</w:t>
      </w:r>
      <w:r>
        <w:t>a</w:t>
      </w:r>
      <w:r>
        <w:t>beza de familia tenga acceso a la tierra para vivienda y activid</w:t>
      </w:r>
      <w:r>
        <w:t>a</w:t>
      </w:r>
      <w:r>
        <w:t>des agrícolas.</w:t>
      </w:r>
    </w:p>
    <w:p w:rsidR="00000000" w:rsidRDefault="00000000">
      <w:pPr>
        <w:pStyle w:val="SingleTxt"/>
      </w:pPr>
      <w:r>
        <w:t>378.</w:t>
      </w:r>
      <w:r>
        <w:tab/>
        <w:t>La mujer rural carece de vivienda adecuada. Muchos hogares no tienen acceso al agua limpia. En 1999, el porcentaje de la población con acceso al agua potable era de 20% en las zonas rurales y de 69,5% en las zonas urbanas.</w:t>
      </w:r>
    </w:p>
    <w:p w:rsidR="00000000" w:rsidRDefault="00000000">
      <w:pPr>
        <w:pStyle w:val="SingleTxt"/>
        <w:keepNext/>
        <w:keepLines/>
      </w:pPr>
      <w:r>
        <w:t>379.</w:t>
      </w:r>
      <w:r>
        <w:tab/>
        <w:t>La población rural utiliza lámparas de gasolina (86,2%), fuentes de electric</w:t>
      </w:r>
      <w:r>
        <w:t>i</w:t>
      </w:r>
      <w:r>
        <w:t>dad privadas (6,3%), grupos electrógenos (0,9%), baterías (3,8%) y otras fuentes de electricidad (1,5%). Aproximadamente 53,6% de la población urbana consume electricidad y los usuarios de consumo más alto están en Phnom Penh (75,5%). Las lámparas de aceite son muy comunes en algunas provincias: por ejemplo, en Mu</w:t>
      </w:r>
      <w:r>
        <w:t>n</w:t>
      </w:r>
      <w:r>
        <w:t>dulkiri, Preah Vihear, Rattanak Kiri y Stung Treng. (Fuente: Informe del Censo de Plan</w:t>
      </w:r>
      <w:r>
        <w:t>i</w:t>
      </w:r>
      <w:r>
        <w:t>ficación de 1998).</w:t>
      </w:r>
    </w:p>
    <w:p w:rsidR="00000000" w:rsidRDefault="00000000">
      <w:pPr>
        <w:pStyle w:val="SingleTxt"/>
      </w:pPr>
      <w:r>
        <w:t>380.</w:t>
      </w:r>
      <w:r>
        <w:tab/>
        <w:t>La población rural presta poca atención al saneamiento. Carece de retretes y hace sus necesidades en los campos cercanos. La gente utiliza el agua que brota de lagunas y ríos y no la hierve antes de beberla ni le agrega desinfectantes líquidos p</w:t>
      </w:r>
      <w:r>
        <w:t>a</w:t>
      </w:r>
      <w:r>
        <w:t>ra matar los virus antes de lavar las hortalizas. A menudo esto provoca diarreas.</w:t>
      </w:r>
    </w:p>
    <w:p w:rsidR="00000000" w:rsidRDefault="00000000">
      <w:pPr>
        <w:pStyle w:val="SingleTxt"/>
      </w:pPr>
      <w:r>
        <w:t>381.</w:t>
      </w:r>
      <w:r>
        <w:tab/>
        <w:t>El Real Gobierno de Camboya ha construido 3.748 letrinas en colaboración con ONG. Se han proporcionado letrinas a 8,6% de la población rural y a 49% de la población urbana. (Fuente: Informe del Censo de Planificación de 1998). Sin e</w:t>
      </w:r>
      <w:r>
        <w:t>m</w:t>
      </w:r>
      <w:r>
        <w:t>bargo, son pocos los hogares que tienen acceso a letrinas: por ejemplo, 2% en Udor Meanchey, 19,8% en Pailin, 19,9% en Banteay Meanchey, 25,2% en Sihanukville y 74,9% en Phnom Penh. Tienen acceso a letrinas menos de 15% de los hogares de cada provincia y tan sólo 8,6% del total de hogares rurales. Es preciso que se tome conciencia de la importancia de usar letrinas. (Fuente: Informe del Censo de Planif</w:t>
      </w:r>
      <w:r>
        <w:t>i</w:t>
      </w:r>
      <w:r>
        <w:t>cación de 1998).</w:t>
      </w:r>
    </w:p>
    <w:p w:rsidR="00000000" w:rsidRDefault="00000000">
      <w:pPr>
        <w:pStyle w:val="SingleTxt"/>
      </w:pPr>
      <w:r>
        <w:t>382.</w:t>
      </w:r>
      <w:r>
        <w:tab/>
        <w:t>Una de las prioridades del Real Gobierno es mejorar el transporte. En colab</w:t>
      </w:r>
      <w:r>
        <w:t>o</w:t>
      </w:r>
      <w:r>
        <w:t>ración con donantes internacionales, el MoDR ha alcanzado en los últimos 12 meses diversos logros, como por ejemplo:</w:t>
      </w:r>
    </w:p>
    <w:p w:rsidR="00000000" w:rsidRDefault="00000000">
      <w:pPr>
        <w:pStyle w:val="SingleTxt"/>
        <w:tabs>
          <w:tab w:val="right" w:pos="1685"/>
        </w:tabs>
        <w:ind w:left="1742" w:hanging="475"/>
      </w:pPr>
      <w:r>
        <w:tab/>
        <w:t>–</w:t>
      </w:r>
      <w:r>
        <w:tab/>
        <w:t>la pavimentación con piedras rojas de 9.795 km de caminos;</w:t>
      </w:r>
    </w:p>
    <w:p w:rsidR="00000000" w:rsidRDefault="00000000">
      <w:pPr>
        <w:pStyle w:val="SingleTxt"/>
        <w:tabs>
          <w:tab w:val="right" w:pos="1685"/>
        </w:tabs>
        <w:ind w:left="1742" w:hanging="475"/>
      </w:pPr>
      <w:r>
        <w:tab/>
        <w:t>–</w:t>
      </w:r>
      <w:r>
        <w:tab/>
        <w:t>la construcción de 1.677 km de caminos de tierra en las aldeas;</w:t>
      </w:r>
    </w:p>
    <w:p w:rsidR="00000000" w:rsidRDefault="00000000">
      <w:pPr>
        <w:pStyle w:val="SingleTxt"/>
        <w:tabs>
          <w:tab w:val="right" w:pos="1685"/>
        </w:tabs>
        <w:ind w:left="1742" w:hanging="475"/>
      </w:pPr>
      <w:r>
        <w:tab/>
        <w:t>–</w:t>
      </w:r>
      <w:r>
        <w:tab/>
        <w:t>la instalación de 682 bombas de desagüe;</w:t>
      </w:r>
    </w:p>
    <w:p w:rsidR="00000000" w:rsidRDefault="00000000">
      <w:pPr>
        <w:pStyle w:val="SingleTxt"/>
        <w:tabs>
          <w:tab w:val="right" w:pos="1685"/>
        </w:tabs>
        <w:ind w:left="1742" w:hanging="475"/>
      </w:pPr>
      <w:r>
        <w:tab/>
        <w:t>–</w:t>
      </w:r>
      <w:r>
        <w:tab/>
        <w:t>la construcción de 344 puentes;</w:t>
      </w:r>
    </w:p>
    <w:p w:rsidR="00000000" w:rsidRDefault="00000000">
      <w:pPr>
        <w:pStyle w:val="SingleTxt"/>
        <w:tabs>
          <w:tab w:val="right" w:pos="1685"/>
        </w:tabs>
        <w:ind w:left="1742" w:hanging="475"/>
      </w:pPr>
      <w:r>
        <w:tab/>
        <w:t>–</w:t>
      </w:r>
      <w:r>
        <w:tab/>
        <w:t>el mantenimiento periódico de 1.115,650 km de caminos;</w:t>
      </w:r>
    </w:p>
    <w:p w:rsidR="00000000" w:rsidRDefault="00000000">
      <w:pPr>
        <w:pStyle w:val="SingleTxt"/>
        <w:tabs>
          <w:tab w:val="right" w:pos="1685"/>
        </w:tabs>
        <w:ind w:left="1742" w:hanging="475"/>
      </w:pPr>
      <w:r>
        <w:tab/>
        <w:t>–</w:t>
      </w:r>
      <w:r>
        <w:tab/>
        <w:t>el empleo de 132.260 aldeanos;</w:t>
      </w:r>
    </w:p>
    <w:p w:rsidR="00000000" w:rsidRDefault="00000000">
      <w:pPr>
        <w:pStyle w:val="SingleTxt"/>
        <w:tabs>
          <w:tab w:val="right" w:pos="1685"/>
        </w:tabs>
        <w:ind w:left="1742" w:hanging="475"/>
      </w:pPr>
      <w:r>
        <w:tab/>
        <w:t>–</w:t>
      </w:r>
      <w:r>
        <w:tab/>
        <w:t>el empleo de 2.760 personas para suministrar alimentos, y</w:t>
      </w:r>
    </w:p>
    <w:p w:rsidR="00000000" w:rsidRDefault="00000000">
      <w:pPr>
        <w:pStyle w:val="SingleTxt"/>
        <w:tabs>
          <w:tab w:val="right" w:pos="1685"/>
        </w:tabs>
        <w:ind w:left="1742" w:hanging="475"/>
      </w:pPr>
      <w:r>
        <w:tab/>
        <w:t>–</w:t>
      </w:r>
      <w:r>
        <w:tab/>
        <w:t>el empleo de otras personas en las demás obras públicas. (Informe del MoDR de 2001).</w:t>
      </w:r>
    </w:p>
    <w:p w:rsidR="00000000" w:rsidRDefault="00000000">
      <w:pPr>
        <w:pStyle w:val="SingleTxt"/>
        <w:rPr>
          <w:b/>
        </w:rPr>
      </w:pPr>
      <w:r>
        <w:t>383</w:t>
      </w:r>
      <w:r>
        <w:rPr>
          <w:b/>
        </w:rPr>
        <w:t>.</w:t>
      </w:r>
      <w:r>
        <w:rPr>
          <w:b/>
        </w:rPr>
        <w:tab/>
        <w:t>Obstáculos</w:t>
      </w:r>
    </w:p>
    <w:p w:rsidR="00000000" w:rsidRDefault="00000000">
      <w:pPr>
        <w:pStyle w:val="SingleTxt"/>
        <w:tabs>
          <w:tab w:val="right" w:pos="1685"/>
        </w:tabs>
        <w:ind w:left="1742" w:hanging="475"/>
      </w:pPr>
      <w:r>
        <w:tab/>
        <w:t>–</w:t>
      </w:r>
      <w:r>
        <w:tab/>
        <w:t>La Estrategia Nacional de Lucha contra la Pobreza todavía se aplica de manera deficiente en relación con la mujer de las zonas rurales como consecuencia de las re</w:t>
      </w:r>
      <w:r>
        <w:t>s</w:t>
      </w:r>
      <w:r>
        <w:t>tricciones que impone el presupuesto nacional.</w:t>
      </w:r>
    </w:p>
    <w:p w:rsidR="00000000" w:rsidRDefault="00000000">
      <w:pPr>
        <w:pStyle w:val="SingleTxt"/>
        <w:tabs>
          <w:tab w:val="right" w:pos="1685"/>
        </w:tabs>
        <w:ind w:left="1742" w:hanging="475"/>
      </w:pPr>
      <w:r>
        <w:tab/>
        <w:t>–</w:t>
      </w:r>
      <w:r>
        <w:tab/>
        <w:t>La difusión de información sigue siendo limitada: la mujer rural tiene reducido acceso a la información. Esta limitación se une a las limitaciones tradicionales para restringir las oportunidades de desarrollo que tiene la mujer rural.</w:t>
      </w:r>
    </w:p>
    <w:p w:rsidR="00000000" w:rsidRDefault="00000000">
      <w:pPr>
        <w:pStyle w:val="SingleTxt"/>
        <w:keepNext/>
        <w:keepLines/>
        <w:rPr>
          <w:b/>
        </w:rPr>
      </w:pPr>
      <w:r>
        <w:t>384</w:t>
      </w:r>
      <w:r>
        <w:rPr>
          <w:b/>
        </w:rPr>
        <w:t>.</w:t>
      </w:r>
      <w:r>
        <w:rPr>
          <w:b/>
        </w:rPr>
        <w:tab/>
        <w:t>Acción futura</w:t>
      </w:r>
    </w:p>
    <w:p w:rsidR="00000000" w:rsidRDefault="00000000">
      <w:pPr>
        <w:pStyle w:val="SingleTxt"/>
        <w:keepNext/>
        <w:keepLines/>
        <w:tabs>
          <w:tab w:val="right" w:pos="1685"/>
        </w:tabs>
        <w:ind w:left="1742" w:hanging="475"/>
      </w:pPr>
      <w:r>
        <w:tab/>
        <w:t>–</w:t>
      </w:r>
      <w:r>
        <w:tab/>
        <w:t>El Real Gobierno de Camboya viene aplicando la Estrategia Nacional de L</w:t>
      </w:r>
      <w:r>
        <w:t>u</w:t>
      </w:r>
      <w:r>
        <w:t>cha contra la Pobreza para mitigar la pobreza y elevar el nivel de vida de la población rural. Entre otras cosas, esta Estrategia comprende la política agr</w:t>
      </w:r>
      <w:r>
        <w:t>a</w:t>
      </w:r>
      <w:r>
        <w:t>ria, el riego, el transporte, la educación, la salud y el crédito.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 e idéntica capacidad jurídica en materias civiles</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spacing w:val="2"/>
          <w:w w:val="101"/>
        </w:rPr>
      </w:pPr>
      <w:r>
        <w:rPr>
          <w:i/>
          <w:spacing w:val="2"/>
          <w:w w:val="101"/>
        </w:rPr>
        <w:t>1.</w:t>
      </w:r>
      <w:r>
        <w:rPr>
          <w:i/>
          <w:spacing w:val="2"/>
          <w:w w:val="101"/>
        </w:rPr>
        <w:tab/>
        <w:t>Los Estados Partes reconocerán a la mujer la igualdad con el hombre ante la ley.</w:t>
      </w:r>
    </w:p>
    <w:p w:rsidR="00000000" w:rsidRDefault="00000000">
      <w:pPr>
        <w:pStyle w:val="SingleTxt"/>
        <w:rPr>
          <w:i/>
        </w:rPr>
      </w:pPr>
      <w:r>
        <w:rPr>
          <w:i/>
        </w:rPr>
        <w:t>2.</w:t>
      </w:r>
      <w:r>
        <w:rPr>
          <w:i/>
        </w:rPr>
        <w:tab/>
        <w:t>Los Estados Partes reconocerán a la mujer, en materias civiles, una capacidad jurídica idéntica a la del hombre y las mismas oportunidades para el ejercicio de esa capacidad. En particular, le reconocerán a la mujer iguales derechos para fi</w:t>
      </w:r>
      <w:r>
        <w:rPr>
          <w:i/>
        </w:rPr>
        <w:t>r</w:t>
      </w:r>
      <w:r>
        <w:rPr>
          <w:i/>
        </w:rPr>
        <w:t>mar contratos y administrar bienes y le dispensarán un trato igual en todas las et</w:t>
      </w:r>
      <w:r>
        <w:rPr>
          <w:i/>
        </w:rPr>
        <w:t>a</w:t>
      </w:r>
      <w:r>
        <w:rPr>
          <w:i/>
        </w:rPr>
        <w:t>pas del proced</w:t>
      </w:r>
      <w:r>
        <w:rPr>
          <w:i/>
        </w:rPr>
        <w:t>i</w:t>
      </w:r>
      <w:r>
        <w:rPr>
          <w:i/>
        </w:rPr>
        <w:t>miento en las cortes de justicia y los tribunales.</w:t>
      </w:r>
    </w:p>
    <w:p w:rsidR="00000000" w:rsidRDefault="00000000">
      <w:pPr>
        <w:pStyle w:val="SingleTxt"/>
        <w:rPr>
          <w:i/>
        </w:rPr>
      </w:pPr>
      <w:r>
        <w:rPr>
          <w:i/>
        </w:rPr>
        <w:t>3.</w:t>
      </w:r>
      <w:r>
        <w:rPr>
          <w:i/>
        </w:rPr>
        <w:tab/>
        <w:t>Los Estados Partes convienen en que todo contrato o cualquier otro instr</w:t>
      </w:r>
      <w:r>
        <w:rPr>
          <w:i/>
        </w:rPr>
        <w:t>u</w:t>
      </w:r>
      <w:r>
        <w:rPr>
          <w:i/>
        </w:rPr>
        <w:t>mento privado con efecto jurídico que tienda a limitar la capacidad jurídica de la mujer se considerará nulo.</w:t>
      </w:r>
    </w:p>
    <w:p w:rsidR="00000000" w:rsidRDefault="00000000">
      <w:pPr>
        <w:pStyle w:val="SingleTxt"/>
        <w:rPr>
          <w:i/>
        </w:rPr>
      </w:pPr>
      <w:r>
        <w:rPr>
          <w:i/>
        </w:rPr>
        <w:t>4.</w:t>
      </w:r>
      <w:r>
        <w:rPr>
          <w:i/>
        </w:rPr>
        <w:tab/>
        <w:t>Los Estados Partes reconocerán al hombre y a la mujer los mismos derechos con respecto a la legislación relativa al derecho de las personas a circular libr</w:t>
      </w:r>
      <w:r>
        <w:rPr>
          <w:i/>
        </w:rPr>
        <w:t>e</w:t>
      </w:r>
      <w:r>
        <w:rPr>
          <w:i/>
        </w:rPr>
        <w:t>mente y a la libertad para elegir su residencia y domicilio.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ante la ley</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spacing w:val="2"/>
          <w:w w:val="101"/>
        </w:rPr>
      </w:pPr>
      <w:r>
        <w:t>385.</w:t>
      </w:r>
      <w:r>
        <w:tab/>
        <w:t xml:space="preserve">El Real Gobierno de Camboya garantiza la igualdad de derechos entre mujeres y hombres. El segundo párrafo del artículo 31 de la Constitución establece que todos </w:t>
      </w:r>
      <w:r>
        <w:rPr>
          <w:spacing w:val="2"/>
          <w:w w:val="101"/>
        </w:rPr>
        <w:t>los ciudadanos khmers son iguales ante la ley y tienen los mismos derechos, libertades y deberes sin distinción de raza, color, sexo, idioma, creencias religiosas, tendencias políticas, linaje, condición social, posición económica o cualquier otra co</w:t>
      </w:r>
      <w:r>
        <w:rPr>
          <w:spacing w:val="2"/>
          <w:w w:val="101"/>
        </w:rPr>
        <w:t>n</w:t>
      </w:r>
      <w:r>
        <w:rPr>
          <w:spacing w:val="2"/>
          <w:w w:val="101"/>
        </w:rPr>
        <w:t>dición.</w:t>
      </w:r>
    </w:p>
    <w:p w:rsidR="00000000" w:rsidRDefault="00000000">
      <w:pPr>
        <w:pStyle w:val="SingleTxt"/>
      </w:pPr>
      <w:r>
        <w:t>386.</w:t>
      </w:r>
      <w:r>
        <w:tab/>
        <w:t>Las mujeres son iguales a los hombres en materia de presentación de dema</w:t>
      </w:r>
      <w:r>
        <w:t>n</w:t>
      </w:r>
      <w:r>
        <w:t>das. El artículo 39 de la Constitución prescribe que todos los ciudadanos khmers tienen derecho a presentar denuncias, reclamaciones o demandas ante cualquier transgresión de la ley por parte del Estado, una organización social o alguno de sus miembros. La resolución de las reclamaciones y demandas es competencia de los tribunales. El artículo 9 del Código de Procedimientos en lo Penal (normas para la transición de la Autoridad Provisional de las Naciones Unidas en Camboya (APRONUC) de 1993) rezaba así: “La persona que se considere damnificada como consecuencia de una falta o un delito puede interponer una demanda ante el juez de la causa para obtener una i</w:t>
      </w:r>
      <w:r>
        <w:t>n</w:t>
      </w:r>
      <w:r>
        <w:t>demnización”.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en materias civiles</w:t>
      </w:r>
    </w:p>
    <w:p w:rsidR="00000000" w:rsidRDefault="00000000">
      <w:pPr>
        <w:pStyle w:val="SingleTxt"/>
        <w:keepNext/>
        <w:keepLines/>
        <w:spacing w:after="0" w:line="120" w:lineRule="exact"/>
        <w:rPr>
          <w:b/>
          <w:sz w:val="10"/>
        </w:rPr>
      </w:pPr>
    </w:p>
    <w:p w:rsidR="00000000" w:rsidRDefault="00000000">
      <w:pPr>
        <w:pStyle w:val="SingleTxt"/>
        <w:keepNext/>
        <w:keepLines/>
        <w:spacing w:after="0" w:line="120" w:lineRule="exact"/>
        <w:rPr>
          <w:b/>
          <w:sz w:val="10"/>
        </w:rPr>
      </w:pPr>
    </w:p>
    <w:p w:rsidR="00000000" w:rsidRDefault="00000000">
      <w:pPr>
        <w:pStyle w:val="SingleTxt"/>
        <w:keepNext/>
        <w:keepLines/>
      </w:pPr>
      <w:r>
        <w:t>387.</w:t>
      </w:r>
      <w:r>
        <w:tab/>
        <w:t>Mujeres y hombres tienen los mismos derechos a firmar contratos y contraer obligaciones. El artículo 14 de la Ley relativa a los contratos y las obligaciones no contractuales estipula que “todas las personas mayores de 18 años, excepto las que estén detenidas, pueden celebrar un contrato conforme a derecho en cualquier m</w:t>
      </w:r>
      <w:r>
        <w:t>o</w:t>
      </w:r>
      <w:r>
        <w:t>mento”. Las mujeres adultas y las viudas pueden celebrar contratos en cualquier momento sin ninguna limitación ni restricción; las mujeres casadas deben contar con el consentimiento de sus esposos para celebrar contratos relacionados con los bienes gananciales.</w:t>
      </w:r>
    </w:p>
    <w:p w:rsidR="00000000" w:rsidRDefault="00000000">
      <w:pPr>
        <w:pStyle w:val="SingleTxt"/>
      </w:pPr>
      <w:r>
        <w:t>388.</w:t>
      </w:r>
      <w:r>
        <w:tab/>
        <w:t>Mujeres y hombres tienen los mismos derechos a tener un patrimonio. El ar-tículo 44 de la Constitución garantiza el derecho de propiedad a todas las personas. Por consiguiente, hombres y mujeres tienen derecho a ser legítimos propietarios, i</w:t>
      </w:r>
      <w:r>
        <w:t>n</w:t>
      </w:r>
      <w:r>
        <w:t>dividual o colectivamente, y los ciudadanos khmers, como personas físicas o mie</w:t>
      </w:r>
      <w:r>
        <w:t>m</w:t>
      </w:r>
      <w:r>
        <w:t>bros de entidades con personería jurídica, tienen derecho a ser propietarios de bienes raíces.</w:t>
      </w:r>
    </w:p>
    <w:p w:rsidR="00000000" w:rsidRDefault="00000000">
      <w:pPr>
        <w:pStyle w:val="SingleTxt"/>
      </w:pPr>
      <w:r>
        <w:t>389.</w:t>
      </w:r>
      <w:r>
        <w:tab/>
        <w:t>El marido y la mujer gozan del mismo derecho a utilizar y administrar los bi</w:t>
      </w:r>
      <w:r>
        <w:t>e</w:t>
      </w:r>
      <w:r>
        <w:t>nes gananciales y a obtener utilidades de ellos. En efecto, el artículo 32 de la Ley relativa al matrimonio y la familia prescribe que “el marido y la mujer tienen el mismo derecho a utilizar y administrar los bienes gananciales y a obtener utilidades de ellos”. Cada cónyuge tiene derecho a utilizar y administrar sus bienes propios y a obtener utilidades de ellos. El artículo 36 de dicha Ley establece que “cada cónyuge tiene la facultad de utilizar los bienes gananciales en la medida de sus necesidades”. Los cónyuges supervisarán juntos los bienes gananciales. Cualquiera de los cóny</w:t>
      </w:r>
      <w:r>
        <w:t>u</w:t>
      </w:r>
      <w:r>
        <w:t>ges puede pedir al otro que convenga en adoptar las providencias necesarias para cuidar los bienes gananciales o mantenerlos seguros. Los bienes gananciales sólo pueden ser vendidos o donados con el consentimiento de ambos cónyuges (artículo 37 de la Ley relativa al matrimonio y la familia).</w:t>
      </w:r>
    </w:p>
    <w:p w:rsidR="00000000" w:rsidRDefault="00000000">
      <w:pPr>
        <w:pStyle w:val="SingleTxt"/>
      </w:pPr>
      <w:r>
        <w:t>390.</w:t>
      </w:r>
      <w:r>
        <w:tab/>
        <w:t>Aunque ambos cónyuges pueden estar de acuerdo en los papeles, subsisten t</w:t>
      </w:r>
      <w:r>
        <w:t>o</w:t>
      </w:r>
      <w:r>
        <w:t>davía algunos casos en que sólo uno de los cónyuges puede tener el título de propi</w:t>
      </w:r>
      <w:r>
        <w:t>e</w:t>
      </w:r>
      <w:r>
        <w:t>dad. En su mayoría, las mujeres rurales dejan estas decisiones a sus maridos, pues consideran que los hombres son los jefes de la familia y que únicamente a ellos asiste el derecho de propiedad. Es frecuente que las mujeres casadas hagan caso omiso de sus derechos y no reclamen los que les corresponden como condueñas de los bienes gananciales. En consecuencia, cuando se produce un divorcio, la mujer suele perder su derecho a los bienes gananciales.</w:t>
      </w:r>
    </w:p>
    <w:p w:rsidR="00000000" w:rsidRDefault="00000000">
      <w:pPr>
        <w:pStyle w:val="SingleTxt"/>
      </w:pPr>
      <w:r>
        <w:t>391.</w:t>
      </w:r>
      <w:r>
        <w:tab/>
        <w:t>La mujer es igual al hombre ante los tribunales. El párrafo octavo del artículo 38 de la Constitución establece que todos los ciudadanos tienen derecho a defende</w:t>
      </w:r>
      <w:r>
        <w:t>r</w:t>
      </w:r>
      <w:r>
        <w:t>se ante la justicia. Actualmente se ejercen en Camboya acciones penales y civiles y se hacen valer las disposiciones del Código Penal de Transición y otras normas jur</w:t>
      </w:r>
      <w:r>
        <w:t>í</w:t>
      </w:r>
      <w:r>
        <w:t>dicas. Mujeres y hombres, en pie de igualdad, gozan de la protección de esas leyes. El artículo 11 del Código de Procedimientos en el fuero penal de transición señala que “se pueden ejercer acciones penales contra cualquier persona del Estado de Camboya sin discriminación por motivos de raza, nacionalidad, religión, sexo o cl</w:t>
      </w:r>
      <w:r>
        <w:t>a</w:t>
      </w:r>
      <w:r>
        <w:t>se social”.</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3</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Eliminación de las leyes que restrinjan el goce de los derechos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392.</w:t>
      </w:r>
      <w:r>
        <w:tab/>
        <w:t>El artículo 45 de la Constitución establece que “queda abolida toda forma de discriminación contra la mujer”. Esto quiere decir que se considerarán nulas todas las disposiciones contrarias a la mujer, en particular las que limiten su capacidad j</w:t>
      </w:r>
      <w:r>
        <w:t>u</w:t>
      </w:r>
      <w:r>
        <w:t>rídica. El artículo 158 de la Constitución estipula que “las leyes e instrumentos jur</w:t>
      </w:r>
      <w:r>
        <w:t>í</w:t>
      </w:r>
      <w:r>
        <w:t>dicos de Camboya que protejan los bienes del Estado y los derechos, libertades y bienes legítimos de las personas físicas de conformidad con los intereses nacionales, seguirán en vigencia hasta que sean reformados o derogados por nuevos textos, sa</w:t>
      </w:r>
      <w:r>
        <w:t>l</w:t>
      </w:r>
      <w:r>
        <w:t>vo que sus disposiciones sean contrarias al espíritu de la presente Constitución”.</w:t>
      </w:r>
    </w:p>
    <w:p w:rsidR="00000000" w:rsidRDefault="00000000">
      <w:pPr>
        <w:pStyle w:val="SingleTxt"/>
      </w:pPr>
      <w:r>
        <w:t>393.</w:t>
      </w:r>
      <w:r>
        <w:tab/>
        <w:t>El Consejo Constitucional tiene el deber de declarar nulas las leyes o dispos</w:t>
      </w:r>
      <w:r>
        <w:t>i</w:t>
      </w:r>
      <w:r>
        <w:t>ciones contrarias al espíritu de la Constitución.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4</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de derechos y libertad para desplazarse y elegir reside</w:t>
      </w:r>
      <w:r>
        <w:t>n</w:t>
      </w:r>
      <w:r>
        <w:t>cia</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spacing w:val="2"/>
          <w:w w:val="101"/>
        </w:rPr>
      </w:pPr>
      <w:r>
        <w:rPr>
          <w:spacing w:val="2"/>
          <w:w w:val="101"/>
        </w:rPr>
        <w:t>394.</w:t>
      </w:r>
      <w:r>
        <w:rPr>
          <w:spacing w:val="2"/>
          <w:w w:val="101"/>
        </w:rPr>
        <w:tab/>
        <w:t>El Real Gobierno de Camboya promueve la igualdad de derechos y la libertad de la mujer y del hombre para desplazarse y elegir residencia en el marco de la ley. El ar-tículo 40 de la Constitución garantiza “la libertad de los ciudadanos para desplazarse a puntos cercanos o lejanos y para elegir el lugar de su residencia. Los ciudadanos khmers tienen derecho a viajar al extranjero, a expatriarse y a retornar al país”</w:t>
      </w:r>
    </w:p>
    <w:p w:rsidR="00000000" w:rsidRDefault="00000000">
      <w:pPr>
        <w:pStyle w:val="SingleTxt"/>
      </w:pPr>
      <w:r>
        <w:t>395.</w:t>
      </w:r>
      <w:r>
        <w:tab/>
        <w:t>En la actualidad, los camboyanos gozan de libertad para viajar por el interior del país. El asentamiento en casas dentro de grandes complejos habitacionales debe ser aprobado por la institución competente. Para el asentamiento en casas chicas dentro de complejos habitacionales pequeños en las zonas rurales se requiere la a</w:t>
      </w:r>
      <w:r>
        <w:t>u</w:t>
      </w:r>
      <w:r>
        <w:t>torización de las autoridades locales.</w:t>
      </w:r>
    </w:p>
    <w:p w:rsidR="00000000" w:rsidRDefault="00000000">
      <w:pPr>
        <w:pStyle w:val="SingleTxt"/>
      </w:pPr>
      <w:r>
        <w:t>396.</w:t>
      </w:r>
      <w:r>
        <w:tab/>
        <w:t>Tanto las mujeres como los hombres khmers tienen derecho a solicitar sus p</w:t>
      </w:r>
      <w:r>
        <w:t>a</w:t>
      </w:r>
      <w:r>
        <w:t>saportes. Las mujeres y los hombres khmers residentes en el extranjero también ti</w:t>
      </w:r>
      <w:r>
        <w:t>e</w:t>
      </w:r>
      <w:r>
        <w:t>nen derecho a solicitar pasaportes khmers.</w:t>
      </w:r>
    </w:p>
    <w:p w:rsidR="00000000" w:rsidRDefault="00000000">
      <w:pPr>
        <w:pStyle w:val="SingleTxt"/>
        <w:rPr>
          <w:b/>
        </w:rPr>
      </w:pPr>
      <w:r>
        <w:t>397.</w:t>
      </w:r>
      <w:r>
        <w:rPr>
          <w:b/>
        </w:rPr>
        <w:tab/>
        <w:t>Obstáculos</w:t>
      </w:r>
    </w:p>
    <w:p w:rsidR="00000000" w:rsidRDefault="00000000">
      <w:pPr>
        <w:pStyle w:val="SingleTxt"/>
        <w:tabs>
          <w:tab w:val="right" w:pos="1685"/>
        </w:tabs>
        <w:ind w:left="1742" w:hanging="475"/>
      </w:pPr>
      <w:r>
        <w:tab/>
        <w:t>–</w:t>
      </w:r>
      <w:r>
        <w:tab/>
        <w:t>La Asamblea Nacional no aprobó todavía el proyecto de ley relativo a la pr</w:t>
      </w:r>
      <w:r>
        <w:t>e</w:t>
      </w:r>
      <w:r>
        <w:t>vención de la violencia en el hogar y a la protección de sus víctimas. No hay una ley contra la trata de seres humanos.</w:t>
      </w:r>
    </w:p>
    <w:p w:rsidR="00000000" w:rsidRDefault="00000000">
      <w:pPr>
        <w:pStyle w:val="SingleTxt"/>
        <w:tabs>
          <w:tab w:val="right" w:pos="1685"/>
        </w:tabs>
        <w:ind w:left="1742" w:hanging="475"/>
      </w:pPr>
      <w:r>
        <w:tab/>
        <w:t>–</w:t>
      </w:r>
      <w:r>
        <w:tab/>
        <w:t>Las mujeres se desentienden de sus derechos como consecuencia de la elevada tasa de analfabetismo femenino.</w:t>
      </w:r>
    </w:p>
    <w:p w:rsidR="00000000" w:rsidRDefault="00000000">
      <w:pPr>
        <w:pStyle w:val="SingleTxt"/>
        <w:keepNext/>
        <w:keepLines/>
        <w:rPr>
          <w:b/>
        </w:rPr>
      </w:pPr>
      <w:r>
        <w:t>398.</w:t>
      </w:r>
      <w:r>
        <w:rPr>
          <w:b/>
        </w:rPr>
        <w:tab/>
        <w:t>Acción futura</w:t>
      </w:r>
    </w:p>
    <w:p w:rsidR="00000000" w:rsidRDefault="00000000">
      <w:pPr>
        <w:pStyle w:val="SingleTxt"/>
        <w:keepNext/>
        <w:keepLines/>
        <w:tabs>
          <w:tab w:val="right" w:pos="1685"/>
        </w:tabs>
        <w:ind w:left="1742" w:hanging="475"/>
      </w:pPr>
      <w:r>
        <w:tab/>
        <w:t>–</w:t>
      </w:r>
      <w:r>
        <w:tab/>
        <w:t>Apoyo a las campañas de difusión de información sobre los derechos que la ley r</w:t>
      </w:r>
      <w:r>
        <w:t>e</w:t>
      </w:r>
      <w:r>
        <w:t>conoce a la mujer.</w:t>
      </w:r>
    </w:p>
    <w:p w:rsidR="00000000" w:rsidRDefault="00000000">
      <w:pPr>
        <w:pStyle w:val="SingleTxt"/>
        <w:keepNext/>
        <w:keepLines/>
        <w:tabs>
          <w:tab w:val="right" w:pos="1685"/>
        </w:tabs>
        <w:ind w:left="1742" w:hanging="475"/>
      </w:pPr>
      <w:r>
        <w:tab/>
        <w:t>–</w:t>
      </w:r>
      <w:r>
        <w:tab/>
        <w:t>Aprobación del proyecto de ley relativo a la prevención de la violencia en el hogar y a la protección de sus víctimas y del proyecto de ley relativo a la r</w:t>
      </w:r>
      <w:r>
        <w:t>e</w:t>
      </w:r>
      <w:r>
        <w:t>presión de la trata y la explotación de seres humanos.</w:t>
      </w:r>
    </w:p>
    <w:p w:rsidR="00000000" w:rsidRDefault="00000000">
      <w:pPr>
        <w:pStyle w:val="SingleTxt"/>
        <w:keepNext/>
        <w:keepLines/>
        <w:tabs>
          <w:tab w:val="right" w:pos="1685"/>
        </w:tabs>
        <w:suppressAutoHyphens/>
        <w:ind w:left="1742" w:hanging="475"/>
      </w:pPr>
      <w:r>
        <w:tab/>
        <w:t>–</w:t>
      </w:r>
      <w:r>
        <w:tab/>
        <w:t>Revisión sistemática de las leyes con distorsiones de género que sigan en vigencia.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Igualdad en la esfera del matrimonio y de la vida familiar</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Artículo 16</w:t>
      </w:r>
    </w:p>
    <w:p w:rsidR="00000000" w:rsidRDefault="00000000">
      <w:pPr>
        <w:pStyle w:val="SingleTxt"/>
        <w:spacing w:after="0" w:line="120" w:lineRule="exact"/>
        <w:rPr>
          <w:b/>
          <w:sz w:val="10"/>
        </w:rPr>
      </w:pPr>
    </w:p>
    <w:p w:rsidR="00000000" w:rsidRDefault="00000000">
      <w:pPr>
        <w:pStyle w:val="SingleTxt"/>
        <w:spacing w:after="0" w:line="120" w:lineRule="exact"/>
        <w:rPr>
          <w:b/>
          <w:sz w:val="10"/>
        </w:rPr>
      </w:pPr>
    </w:p>
    <w:p w:rsidR="00000000" w:rsidRDefault="00000000">
      <w:pPr>
        <w:pStyle w:val="SingleTxt"/>
        <w:rPr>
          <w:i/>
        </w:rPr>
      </w:pPr>
      <w:r>
        <w:rPr>
          <w:i/>
        </w:rPr>
        <w:t>1.</w:t>
      </w:r>
      <w:r>
        <w:rPr>
          <w:i/>
        </w:rPr>
        <w:tab/>
        <w:t>Los Estados Partes adoptarán todas las medidas adecuadas para eliminar la discriminación contra la mujer en todos los asuntos relacionados con el matrimonio y las relaciones familiares y, en particular, asegurarán en condiciones de igualdad entre hombres y mujeres:</w:t>
      </w:r>
    </w:p>
    <w:p w:rsidR="00000000" w:rsidRDefault="00000000">
      <w:pPr>
        <w:pStyle w:val="SingleTxt"/>
        <w:rPr>
          <w:i/>
        </w:rPr>
      </w:pPr>
      <w:r>
        <w:rPr>
          <w:i/>
        </w:rPr>
        <w:tab/>
        <w:t>a)</w:t>
      </w:r>
      <w:r>
        <w:rPr>
          <w:i/>
        </w:rPr>
        <w:tab/>
        <w:t>El mismo derecho para contraer matrimonio;</w:t>
      </w:r>
    </w:p>
    <w:p w:rsidR="00000000" w:rsidRDefault="00000000">
      <w:pPr>
        <w:pStyle w:val="SingleTxt"/>
        <w:rPr>
          <w:i/>
        </w:rPr>
      </w:pPr>
      <w:r>
        <w:rPr>
          <w:i/>
        </w:rPr>
        <w:tab/>
        <w:t>b)</w:t>
      </w:r>
      <w:r>
        <w:rPr>
          <w:i/>
        </w:rPr>
        <w:tab/>
        <w:t>El mismo derecho para elegir libremente cónyuge y contraer matrimonio sólo por su libre albedrío y su pleno consentimiento;</w:t>
      </w:r>
    </w:p>
    <w:p w:rsidR="00000000" w:rsidRDefault="00000000">
      <w:pPr>
        <w:pStyle w:val="SingleTxt"/>
        <w:rPr>
          <w:i/>
        </w:rPr>
      </w:pPr>
      <w:r>
        <w:rPr>
          <w:i/>
        </w:rPr>
        <w:tab/>
        <w:t>c)</w:t>
      </w:r>
      <w:r>
        <w:rPr>
          <w:i/>
        </w:rPr>
        <w:tab/>
        <w:t>Los mismos derechos y responsabilidades durante el matrimonio y con ocasión de su disolución;</w:t>
      </w:r>
    </w:p>
    <w:p w:rsidR="00000000" w:rsidRDefault="00000000">
      <w:pPr>
        <w:pStyle w:val="SingleTxt"/>
        <w:rPr>
          <w:i/>
        </w:rPr>
      </w:pPr>
      <w:r>
        <w:rPr>
          <w:i/>
        </w:rPr>
        <w:tab/>
        <w:t>d)</w:t>
      </w:r>
      <w:r>
        <w:rPr>
          <w:i/>
        </w:rPr>
        <w:tab/>
        <w:t>Los mismos derechos y responsabilidades como progenitores, cualquiera que sea su estado civil, en materias relacionadas con sus hijos; en todos los casos, los intereses de los hijos serán la consider</w:t>
      </w:r>
      <w:r>
        <w:rPr>
          <w:i/>
        </w:rPr>
        <w:t>a</w:t>
      </w:r>
      <w:r>
        <w:rPr>
          <w:i/>
        </w:rPr>
        <w:t>ción primordial;</w:t>
      </w:r>
    </w:p>
    <w:p w:rsidR="00000000" w:rsidRDefault="00000000">
      <w:pPr>
        <w:pStyle w:val="SingleTxt"/>
        <w:rPr>
          <w:i/>
        </w:rPr>
      </w:pPr>
      <w:r>
        <w:rPr>
          <w:i/>
        </w:rPr>
        <w:tab/>
        <w:t>e)</w:t>
      </w:r>
      <w:r>
        <w:rPr>
          <w:i/>
        </w:rPr>
        <w:tab/>
        <w:t>Los mismos derechos a decidir libre y responsablemente el número de sus hijos y el intervalo entre los nacimientos y a tener acceso a la información, la ed</w:t>
      </w:r>
      <w:r>
        <w:rPr>
          <w:i/>
        </w:rPr>
        <w:t>u</w:t>
      </w:r>
      <w:r>
        <w:rPr>
          <w:i/>
        </w:rPr>
        <w:t>cación y los medios que les permitan ejercer estos derechos;</w:t>
      </w:r>
    </w:p>
    <w:p w:rsidR="00000000" w:rsidRDefault="00000000">
      <w:pPr>
        <w:pStyle w:val="SingleTxt"/>
        <w:rPr>
          <w:i/>
        </w:rPr>
      </w:pPr>
      <w:r>
        <w:rPr>
          <w:i/>
        </w:rPr>
        <w:tab/>
        <w:t>f)</w:t>
      </w:r>
      <w:r>
        <w:rPr>
          <w:i/>
        </w:rPr>
        <w:tab/>
        <w:t>Los mismos derechos y responsabilidades respecto de la tutela, curatela, custodia y adopción de los hijos, o instituciones análogas cuando quiera que estos conceptos existan en la legislación nacional; en todos los casos, los intereses de los hijos serán la consideración primordial;</w:t>
      </w:r>
    </w:p>
    <w:p w:rsidR="00000000" w:rsidRDefault="00000000">
      <w:pPr>
        <w:pStyle w:val="SingleTxt"/>
        <w:rPr>
          <w:i/>
        </w:rPr>
      </w:pPr>
      <w:r>
        <w:rPr>
          <w:i/>
        </w:rPr>
        <w:tab/>
        <w:t>g)</w:t>
      </w:r>
      <w:r>
        <w:rPr>
          <w:i/>
        </w:rPr>
        <w:tab/>
        <w:t>Los mismos derechos personales como marido y mujer, entre ellos el d</w:t>
      </w:r>
      <w:r>
        <w:rPr>
          <w:i/>
        </w:rPr>
        <w:t>e</w:t>
      </w:r>
      <w:r>
        <w:rPr>
          <w:i/>
        </w:rPr>
        <w:t>recho a elegir apellido, profesión y ocupación;</w:t>
      </w:r>
    </w:p>
    <w:p w:rsidR="00000000" w:rsidRDefault="00000000">
      <w:pPr>
        <w:pStyle w:val="SingleTxt"/>
        <w:rPr>
          <w:i/>
        </w:rPr>
      </w:pPr>
      <w:r>
        <w:rPr>
          <w:i/>
        </w:rPr>
        <w:tab/>
        <w:t>h)</w:t>
      </w:r>
      <w:r>
        <w:rPr>
          <w:i/>
        </w:rPr>
        <w:tab/>
        <w:t>Los mismos derechos a cada uno de los cónyuges en materia de propi</w:t>
      </w:r>
      <w:r>
        <w:rPr>
          <w:i/>
        </w:rPr>
        <w:t>e</w:t>
      </w:r>
      <w:r>
        <w:rPr>
          <w:i/>
        </w:rPr>
        <w:t>dad, compras, gestión, administración, goce y disposición de los bienes, tanto a t</w:t>
      </w:r>
      <w:r>
        <w:rPr>
          <w:i/>
        </w:rPr>
        <w:t>í</w:t>
      </w:r>
      <w:r>
        <w:rPr>
          <w:i/>
        </w:rPr>
        <w:t>tulo gratuito como oneroso.</w:t>
      </w:r>
    </w:p>
    <w:p w:rsidR="00000000" w:rsidRDefault="00000000">
      <w:pPr>
        <w:pStyle w:val="SingleTxt"/>
        <w:rPr>
          <w:i/>
        </w:rPr>
      </w:pPr>
      <w:r>
        <w:rPr>
          <w:i/>
        </w:rPr>
        <w:t>2.</w:t>
      </w:r>
      <w:r>
        <w:rPr>
          <w:i/>
        </w:rPr>
        <w:tab/>
        <w:t>No tendrán ningún efecto jurídico los esponsales y el matrimonio de niños y se adoptarán todas las medidas necesarias, incluso de carácter legislativo, para fijar una edad mínima para la celebración del matrimonio y hacer obligatoria la inscri</w:t>
      </w:r>
      <w:r>
        <w:rPr>
          <w:i/>
        </w:rPr>
        <w:t>p</w:t>
      </w:r>
      <w:r>
        <w:rPr>
          <w:i/>
        </w:rPr>
        <w:t>ción del matrimonio en un registro oficial.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1</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399.</w:t>
      </w:r>
      <w:r>
        <w:tab/>
        <w:t>El artículo 45 de la Constitución establece en sus párrafos tercero y cuarto que “hombres y mujeres son iguales en todas las esferas, especialmente en lo que atañe al matrimonio y las cuestiones de familia. El matrimonio se celebrará conforme a las condiciones que determine la ley sobre la base de los principios del consentimiento mutuo y la monogamia”. Las mujeres gozan de libertad para tomar decisiones en relación con su matrimonio y su familia. Esos derechos están garantizados y prot</w:t>
      </w:r>
      <w:r>
        <w:t>e</w:t>
      </w:r>
      <w:r>
        <w:t>gidos por la Constitución y las leyes.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 mismo derecho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400.</w:t>
      </w:r>
      <w:r>
        <w:rPr>
          <w:spacing w:val="2"/>
          <w:w w:val="101"/>
        </w:rPr>
        <w:tab/>
        <w:t>El artículo 4 de la Ley relativa al matrimonio y la familia establece que “un ho</w:t>
      </w:r>
      <w:r>
        <w:rPr>
          <w:spacing w:val="2"/>
          <w:w w:val="101"/>
        </w:rPr>
        <w:t>m</w:t>
      </w:r>
      <w:r>
        <w:rPr>
          <w:spacing w:val="2"/>
          <w:w w:val="101"/>
        </w:rPr>
        <w:t>bre y una mujer mayores de edad tienen derecho a determinar libremente si se van a c</w:t>
      </w:r>
      <w:r>
        <w:rPr>
          <w:spacing w:val="2"/>
          <w:w w:val="101"/>
        </w:rPr>
        <w:t>a</w:t>
      </w:r>
      <w:r>
        <w:rPr>
          <w:spacing w:val="2"/>
          <w:w w:val="101"/>
        </w:rPr>
        <w:t>sar. Una parte no puede obligar a la otra a contraer matrimonio contra su voluntad. N</w:t>
      </w:r>
      <w:r>
        <w:rPr>
          <w:spacing w:val="2"/>
          <w:w w:val="101"/>
        </w:rPr>
        <w:t>a</w:t>
      </w:r>
      <w:r>
        <w:rPr>
          <w:spacing w:val="2"/>
          <w:w w:val="101"/>
        </w:rPr>
        <w:t>die puede ser obligado a casarse o a dejar de casarse, siempre que en la celebración del matrimonio se cumplan los requisitos estipulados por la presente Ley”.</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Derecho a elegir a elegir cónyuge y contraer matrimonio l</w:t>
      </w:r>
      <w:r>
        <w:t>i</w:t>
      </w:r>
      <w:r>
        <w:t>bremente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401.</w:t>
      </w:r>
      <w:r>
        <w:tab/>
        <w:t>De conformidad con el mismo artículo 4 de la Ley relativa al matrimonio y la familia, mujeres y hombres podrán ejercer libremente su derecho a elegir cónyuge y a contraer matrimonio ajustándose a los r</w:t>
      </w:r>
      <w:r>
        <w:t>e</w:t>
      </w:r>
      <w:r>
        <w:t>quisitos legales pertinentes.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Los mismos derechos en materia de matrimonio y divorcio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402.</w:t>
      </w:r>
      <w:r>
        <w:tab/>
        <w:t>El artículo 3 de la Ley relativa al matrimonio y la familia estipula que “el m</w:t>
      </w:r>
      <w:r>
        <w:t>a</w:t>
      </w:r>
      <w:r>
        <w:t>trimonio es un contrato solemne en virtud del cual un hombre y una mujer determ</w:t>
      </w:r>
      <w:r>
        <w:t>i</w:t>
      </w:r>
      <w:r>
        <w:t>nan que han de mantener relaciones sexuales en pareja, de conformidad con las di</w:t>
      </w:r>
      <w:r>
        <w:t>s</w:t>
      </w:r>
      <w:r>
        <w:t>posiciones legales y sin que puedan disolver el vínculo matrimonial sólo porque les plazca. El artículo 14 de la Ley reza así: “El matrimonio será considerado legítimo únicamente si contraen enlace un hombre y una mujer que se elijan recíproca y v</w:t>
      </w:r>
      <w:r>
        <w:t>o</w:t>
      </w:r>
      <w:r>
        <w:t>luntariamente como cónyuges ante un funcionario de la Dirección de Registro Civil de la jurisdicción en que resida la mujer”.</w:t>
      </w:r>
    </w:p>
    <w:p w:rsidR="00000000" w:rsidRDefault="00000000">
      <w:pPr>
        <w:pStyle w:val="SingleTxt"/>
      </w:pPr>
      <w:r>
        <w:t>403.</w:t>
      </w:r>
      <w:r>
        <w:tab/>
        <w:t>La mujer gozará de los mismos derechos que el marido en materia de divorcio. El artículo 39 de la Ley relativa al matrimonio y la familia reza así: “El marido o la mujer puede presentar una demanda de divorcio si hay motivos suficientes para que él o ella no pueda prolongar la cohabitación conyugal”. El artículo 40 de la Ley e</w:t>
      </w:r>
      <w:r>
        <w:t>s</w:t>
      </w:r>
      <w:r>
        <w:t>tablece que “el marido y la mujer pueden tomar la decisión de divorciarse de común acuerdo”.</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D/E.</w:t>
      </w:r>
      <w:r>
        <w:tab/>
        <w:t>Igualdad de derechos y deberes en materia de custodia y mantenimiento de los hijos</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404.</w:t>
      </w:r>
      <w:r>
        <w:tab/>
        <w:t>Aunque tanto el marido como la mujer tienen derecho a la custodia de sus h</w:t>
      </w:r>
      <w:r>
        <w:t>i</w:t>
      </w:r>
      <w:r>
        <w:t>jos, se tendrán en cuenta los intereses de cada uno de los hijos por encima de cua</w:t>
      </w:r>
      <w:r>
        <w:t>l</w:t>
      </w:r>
      <w:r>
        <w:t>quier otra consideración. El artículo 115 de la Ley relativa al matrimonio y la fam</w:t>
      </w:r>
      <w:r>
        <w:t>i</w:t>
      </w:r>
      <w:r>
        <w:t>lia estipula que “los padres tienen el deber de amar, criar y atender a sus hijos pr</w:t>
      </w:r>
      <w:r>
        <w:t>o</w:t>
      </w:r>
      <w:r>
        <w:t>curando cultivar en ellos el patriotismo, el amor a la educación y al trabajo, el esp</w:t>
      </w:r>
      <w:r>
        <w:t>í</w:t>
      </w:r>
      <w:r>
        <w:t>ritu de cooperación internacional y el respeto por los bienes del Estado y por los d</w:t>
      </w:r>
      <w:r>
        <w:t>e</w:t>
      </w:r>
      <w:r>
        <w:t>r</w:t>
      </w:r>
      <w:r>
        <w:t>e</w:t>
      </w:r>
      <w:r>
        <w:t>chos y los bienes de terceros”.</w:t>
      </w:r>
    </w:p>
    <w:p w:rsidR="00000000" w:rsidRDefault="00000000">
      <w:pPr>
        <w:pStyle w:val="SingleTxt"/>
      </w:pPr>
      <w:r>
        <w:t>405.</w:t>
      </w:r>
      <w:r>
        <w:tab/>
        <w:t>El artículo 74 de la Ley relativa al matrimonio y la familia determina que “el padre o la madre que se divorcie tiene el deber de ocuparse de la crianza de sus hijos y de proporcionarles asistencia financiera. El monto de la ayuda por prestar a los hijos se determinará de común acuerdo entre los cónyuges que se divorcian. En caso de que no lleguen a un acuerdo, el tribunal del pueblo fijará ese monto teniendo en cuenta la capacidad económica de cada uno de los cónyuges. Los hijos recibirán esa ayuda hasta que lleguen a la edad adulta”.</w:t>
      </w:r>
    </w:p>
    <w:p w:rsidR="00000000" w:rsidRDefault="00000000">
      <w:pPr>
        <w:pStyle w:val="SingleTxt"/>
      </w:pPr>
      <w:r>
        <w:t>406.</w:t>
      </w:r>
      <w:r>
        <w:tab/>
        <w:t>El artículo 75 de la Ley relativa al matrimonio y la familia reza así: “La parte que no obtenga la custodia de sus hijos o hijas tiene derecho a visitarlos o visitarlas. La parte encargada de la custodia de los hijos o hijas facilitará la visita de la otra parte. La parte que no tenga la custodia tendrá derecho a presentar una demanda ante el tribunal del pueblo para que revoque la decisión de otorgar la custodia a la otra parte en caso de que se vulneren los intereses de los hijos o hijas”.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Adopción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407.</w:t>
      </w:r>
      <w:r>
        <w:tab/>
        <w:t>El artículo 111 de la Ley relativa al matrimonio y la familia estipula que “ni</w:t>
      </w:r>
      <w:r>
        <w:t>n</w:t>
      </w:r>
      <w:r>
        <w:t>guno de los cónyuges podrá adoptar a un niño o niña sin contar con el consent</w:t>
      </w:r>
      <w:r>
        <w:t>i</w:t>
      </w:r>
      <w:r>
        <w:t>miento del otro cónyuge. Si se contara con este consentimiento, ambos cónyuges se harán responsables del adoptado o la adoptada”.</w:t>
      </w:r>
    </w:p>
    <w:p w:rsidR="00000000" w:rsidRDefault="00000000">
      <w:pPr>
        <w:pStyle w:val="SingleTxt"/>
      </w:pPr>
      <w:r>
        <w:t>408.</w:t>
      </w:r>
      <w:r>
        <w:tab/>
        <w:t>El artículo 112 de la Ley relativa al matrimonio y la familia determina que “para adoptar a un niño o una niña, hay que llegar a un acuerdo con sus padres o tutores. Los tutores y los padres de los niños o niñas tienen el deber de amarlos y cuidarlos” (artículo 47 de la Constitución de Camboya y artículo 115 y 116 de la Ley relativa al matrimonio y la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Igualdad de derechos para elegir apellido, profesión y ocup</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409.</w:t>
      </w:r>
      <w:r>
        <w:tab/>
        <w:t>Las mujeres conservan su apellido de solteras después del matrimonio y no tienen que cambiarlo por el de su marido. Únicamente unas pocas mujeres cuyos maridos son altos funcionarios del gobierno prefieren usar el apellido de éstos al l</w:t>
      </w:r>
      <w:r>
        <w:t>a</w:t>
      </w:r>
      <w:r>
        <w:t>do del propio apellido. Con t</w:t>
      </w:r>
      <w:r>
        <w:t>o</w:t>
      </w:r>
      <w:r>
        <w:t>do, es una preferencia personal y no un requisito legal.</w:t>
      </w:r>
    </w:p>
    <w:p w:rsidR="00000000" w:rsidRDefault="00000000">
      <w:pPr>
        <w:pStyle w:val="SingleTxt"/>
      </w:pPr>
      <w:r>
        <w:t>410.</w:t>
      </w:r>
      <w:r>
        <w:tab/>
        <w:t>La mujer puede elegir cualquier empleo acorde con su capacidad y las neces</w:t>
      </w:r>
      <w:r>
        <w:t>i</w:t>
      </w:r>
      <w:r>
        <w:t>dades de la sociedad. La ley determina asimismo que el marido y la mujer tienen d</w:t>
      </w:r>
      <w:r>
        <w:t>e</w:t>
      </w:r>
      <w:r>
        <w:t>recho a elegir libremente un empleo y a participar sin trabas en actividades políticas, culturales y sociales (artículo 31 de la Ley relativa al matrimonio y la familia). En la práctica, el marido ejerce su autoridad y pide a su mujer que deje su trabajo prof</w:t>
      </w:r>
      <w:r>
        <w:t>e</w:t>
      </w:r>
      <w:r>
        <w:t>sional fuera del hogar para ocuparse de los hijos y los quehaceres d</w:t>
      </w:r>
      <w:r>
        <w:t>o</w:t>
      </w:r>
      <w:r>
        <w:t>mésticos.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Derechos a la administración de los bienes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411.</w:t>
      </w:r>
      <w:r>
        <w:tab/>
        <w:t>El marido y la mujer tienen los mismos derechos para administrar los bienes gananciales. El artículo 32 de la Ley relativa al matrimonio y la familia estipula que el marido y la mujer tienen el mismo derecho a utilizar y administrar los bienes g</w:t>
      </w:r>
      <w:r>
        <w:t>a</w:t>
      </w:r>
      <w:r>
        <w:t>nanciales y a obtener utilidades de ellos. Cada cónyuge tiene la facultad de utilizar los bienes gananciales en la medida de sus necesidades. El artículo 36 de la misma Ley determina, en efecto, que cada cónyuge puede utilizar los bienes gananciales en la medida de sus necesidades. Ambos cónyuges supervisarán juntos los bienes g</w:t>
      </w:r>
      <w:r>
        <w:t>a</w:t>
      </w:r>
      <w:r>
        <w:t xml:space="preserve">nanciales. Cualquiera de los cónyuges puede pedir al otro que convenga en adoptar </w:t>
      </w:r>
      <w:r>
        <w:rPr>
          <w:spacing w:val="2"/>
          <w:w w:val="101"/>
        </w:rPr>
        <w:t>las providencias necesarias para cuidar los bienes gananciales o mantenerlos seg</w:t>
      </w:r>
      <w:r>
        <w:rPr>
          <w:spacing w:val="2"/>
          <w:w w:val="101"/>
        </w:rPr>
        <w:t>u</w:t>
      </w:r>
      <w:r>
        <w:rPr>
          <w:spacing w:val="2"/>
          <w:w w:val="101"/>
        </w:rPr>
        <w:t>ros.</w:t>
      </w:r>
    </w:p>
    <w:p w:rsidR="00000000" w:rsidRDefault="00000000">
      <w:pPr>
        <w:pStyle w:val="SingleTxt"/>
      </w:pPr>
      <w:r>
        <w:tab/>
        <w:t>El artículo 37 de la Ley relativa al matrimonio y la familia establece que los bienes gananciales pueden ser vendidos o donados con el consentimiento de ambos cóny</w:t>
      </w:r>
      <w:r>
        <w:t>u</w:t>
      </w:r>
      <w:r>
        <w:t>ges.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Párrafo 2</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r>
        <w:tab/>
      </w:r>
      <w:r>
        <w:tab/>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Edad mínima para contraer matrimonio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412.</w:t>
      </w:r>
      <w:r>
        <w:tab/>
        <w:t>El artículo 4 de la Ley relativa al matrimonio y la familia estipula que “los hombres de más de 20 años y las mujeres de más de 18 años tienen derecho a dec</w:t>
      </w:r>
      <w:r>
        <w:t>i</w:t>
      </w:r>
      <w:r>
        <w:t>dir su matrimonio. Queda prohibido el matrimonio entre contrayentes que no hubi</w:t>
      </w:r>
      <w:r>
        <w:t>e</w:t>
      </w:r>
      <w:r>
        <w:t>ren cumplido aún esas edades. Sin embargo, en condiciones especiales, como en el caso del embarazo de una niña, y con el consentimiento de los padres o tutores de ésta, se puede solicitar autorización para que contraiga matrimonio”.</w:t>
      </w:r>
    </w:p>
    <w:p w:rsidR="00000000" w:rsidRDefault="00000000">
      <w:pPr>
        <w:pStyle w:val="SingleTxt"/>
      </w:pPr>
      <w:r>
        <w:t>413.</w:t>
      </w:r>
      <w:r>
        <w:tab/>
        <w:t>El artículo 14 de la Ley relativa al matrimonio y la familia establece que “el matrimonio será considerado legítimo únicamente si contraen enlace un hombre y una mujer que se elijan recíproca y voluntariamente como cónyuges ante un funci</w:t>
      </w:r>
      <w:r>
        <w:t>o</w:t>
      </w:r>
      <w:r>
        <w:t>nario de la Dirección de Registro Civil de la jurisdicción en que resida la mujer. El contrato matrimonial quedará inscrito en el Registro Civil y se extenderá una partida de matrimonio firmada por el funcionario de la Dirección, la pareja y dos testigos mayores de edad y hábiles que den fe de su co</w:t>
      </w:r>
      <w:r>
        <w:t>n</w:t>
      </w:r>
      <w:r>
        <w:t>sentimiento”.</w:t>
      </w:r>
    </w:p>
    <w:p w:rsidR="00000000" w:rsidRDefault="00000000">
      <w:pPr>
        <w:pStyle w:val="SingleTxt"/>
        <w:rPr>
          <w:b/>
        </w:rPr>
      </w:pPr>
      <w:r>
        <w:t>414.</w:t>
      </w:r>
      <w:r>
        <w:rPr>
          <w:b/>
        </w:rPr>
        <w:tab/>
        <w:t>Obstáculos</w:t>
      </w:r>
    </w:p>
    <w:p w:rsidR="00000000" w:rsidRDefault="00000000">
      <w:pPr>
        <w:pStyle w:val="SingleTxt"/>
        <w:tabs>
          <w:tab w:val="right" w:pos="1685"/>
        </w:tabs>
        <w:ind w:left="1742" w:hanging="475"/>
      </w:pPr>
      <w:r>
        <w:tab/>
        <w:t>–</w:t>
      </w:r>
      <w:r>
        <w:tab/>
        <w:t>Habida cuenta de su limitado conocimiento y su escasa comprensión de los d</w:t>
      </w:r>
      <w:r>
        <w:t>e</w:t>
      </w:r>
      <w:r>
        <w:t>rechos que les reconoce la Ley, es frecuente que las mujeres no estén en cond</w:t>
      </w:r>
      <w:r>
        <w:t>i</w:t>
      </w:r>
      <w:r>
        <w:t>ciones de hacer valer ni de ejercer sus derechos y que dejen que sean sus mar</w:t>
      </w:r>
      <w:r>
        <w:t>i</w:t>
      </w:r>
      <w:r>
        <w:t>dos quienes dec</w:t>
      </w:r>
      <w:r>
        <w:t>i</w:t>
      </w:r>
      <w:r>
        <w:t>dan por ellas.</w:t>
      </w:r>
    </w:p>
    <w:p w:rsidR="00000000" w:rsidRDefault="00000000">
      <w:pPr>
        <w:pStyle w:val="SingleTxt"/>
        <w:tabs>
          <w:tab w:val="right" w:pos="1685"/>
        </w:tabs>
        <w:suppressAutoHyphens/>
        <w:ind w:left="1742" w:hanging="475"/>
      </w:pPr>
      <w:r>
        <w:tab/>
        <w:t>–</w:t>
      </w:r>
      <w:r>
        <w:tab/>
        <w:t>Como consecuencia de la limitada difusión de la información sobre la Ley relativa al matrimonio y la familia, las mujeres no conocen ni ejercen sus derechos.</w:t>
      </w:r>
    </w:p>
    <w:p w:rsidR="00000000" w:rsidRDefault="00000000">
      <w:pPr>
        <w:pStyle w:val="SingleTxt"/>
        <w:keepNext/>
        <w:keepLines/>
        <w:rPr>
          <w:b/>
        </w:rPr>
      </w:pPr>
      <w:r>
        <w:t>415.</w:t>
      </w:r>
      <w:r>
        <w:rPr>
          <w:b/>
        </w:rPr>
        <w:tab/>
        <w:t>Acción futura</w:t>
      </w:r>
    </w:p>
    <w:p w:rsidR="00000000" w:rsidRDefault="00000000">
      <w:pPr>
        <w:pStyle w:val="SingleTxt"/>
        <w:keepNext/>
        <w:keepLines/>
        <w:tabs>
          <w:tab w:val="right" w:pos="1685"/>
        </w:tabs>
        <w:ind w:left="1742" w:hanging="475"/>
      </w:pPr>
      <w:r>
        <w:tab/>
        <w:t>–</w:t>
      </w:r>
      <w:r>
        <w:tab/>
        <w:t>Campañas nacionales de sensibilización de la opinión pública con respecto a la Ley relativa al matrimonio y la familia para que mujeres y hombres cobren conciencia de sus derechos y deberes y de los der</w:t>
      </w:r>
      <w:r>
        <w:t>e</w:t>
      </w:r>
      <w:r>
        <w:t>chos propios de la mujer.</w:t>
      </w:r>
    </w:p>
    <w:p w:rsidR="00000000" w:rsidRDefault="00000000">
      <w:pPr>
        <w:pStyle w:val="SingleTxt"/>
        <w:keepNext/>
        <w:keepLines/>
        <w:tabs>
          <w:tab w:val="right" w:pos="1685"/>
        </w:tabs>
        <w:ind w:left="1742" w:hanging="475"/>
      </w:pPr>
      <w:r>
        <w:tab/>
        <w:t>–</w:t>
      </w:r>
      <w:r>
        <w:tab/>
        <w:t>Apoyo al proyecto de ley relativo a la prevención de la violencia en el hogar y a la protección de sus víctimas, ya presentado ante la Asamblea Nacional, a fin de que sea aprobado.</w:t>
      </w:r>
    </w:p>
    <w:p w:rsidR="00000000" w:rsidRDefault="00000000">
      <w:pPr>
        <w:pStyle w:val="SingleTxt"/>
      </w:pPr>
    </w:p>
    <w:p w:rsidR="00000000" w:rsidRDefault="00000000">
      <w:pPr>
        <w:pStyle w:val="SingleTxt"/>
        <w:rPr>
          <w:b/>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Anexo</w:t>
      </w:r>
    </w:p>
    <w:p w:rsidR="00000000" w:rsidRDefault="00000000">
      <w:pPr>
        <w:pStyle w:val="SingleTxt"/>
        <w:spacing w:after="0" w:line="120" w:lineRule="exact"/>
        <w:rPr>
          <w:b/>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Bibliografía</w:t>
      </w:r>
    </w:p>
    <w:p w:rsidR="00000000" w:rsidRDefault="00000000">
      <w:pPr>
        <w:pStyle w:val="SingleTxt"/>
        <w:spacing w:after="0" w:line="120" w:lineRule="exact"/>
        <w:rPr>
          <w:b/>
          <w:sz w:val="10"/>
        </w:rPr>
      </w:pPr>
    </w:p>
    <w:p w:rsidR="00000000" w:rsidRDefault="00000000">
      <w:pPr>
        <w:pStyle w:val="SingleTxt"/>
        <w:spacing w:after="80"/>
        <w:ind w:left="1742" w:hanging="475"/>
      </w:pPr>
      <w:r>
        <w:t>Censo general de población de Camboya (1998), Instituto Nacional de Estadística, Ministerio de Planificación</w:t>
      </w:r>
    </w:p>
    <w:p w:rsidR="00000000" w:rsidRDefault="00000000">
      <w:pPr>
        <w:pStyle w:val="SingleTxt"/>
        <w:spacing w:after="80"/>
        <w:ind w:left="1742" w:hanging="475"/>
      </w:pPr>
      <w:r>
        <w:t>Constitución del Reino de Camboya</w:t>
      </w:r>
    </w:p>
    <w:p w:rsidR="00000000" w:rsidRDefault="00000000">
      <w:pPr>
        <w:pStyle w:val="SingleTxt"/>
        <w:spacing w:after="80"/>
        <w:ind w:left="1742" w:hanging="475"/>
      </w:pPr>
      <w:r>
        <w:t>Decreto complementario No. 102 RNKR/BK, de 3 de octubre de 2002, relativo a la asignación de fondos separados para la aplicación del Plan de Acción Priorit</w:t>
      </w:r>
      <w:r>
        <w:t>a</w:t>
      </w:r>
      <w:r>
        <w:t>ria (PAP) del Ministerio de Educación, la Juventud y los Deportes</w:t>
      </w:r>
    </w:p>
    <w:p w:rsidR="00000000" w:rsidRDefault="00000000">
      <w:pPr>
        <w:pStyle w:val="SingleTxt"/>
        <w:spacing w:after="80"/>
        <w:ind w:left="1742" w:hanging="475"/>
      </w:pPr>
      <w:r>
        <w:t>Decreto complementario No. 115 ONKR/BK, de 27 de diciembre de 1999, relativo a la conversión de la Real Universidad de Agronomía en instituto de administr</w:t>
      </w:r>
      <w:r>
        <w:t>a</w:t>
      </w:r>
      <w:r>
        <w:t>ción pública</w:t>
      </w:r>
    </w:p>
    <w:p w:rsidR="00000000" w:rsidRDefault="00000000">
      <w:pPr>
        <w:pStyle w:val="SingleTxt"/>
        <w:spacing w:after="80"/>
        <w:ind w:left="1742" w:hanging="475"/>
      </w:pPr>
      <w:r>
        <w:t>Decreto complementario No. 22 ONKR/BK, de 25 de marzo de 2002, relativo a la descentralización del poder, las funciones y las actividades de los consejos de com</w:t>
      </w:r>
      <w:r>
        <w:t>u</w:t>
      </w:r>
      <w:r>
        <w:t>nas/sangkats</w:t>
      </w:r>
    </w:p>
    <w:p w:rsidR="00000000" w:rsidRDefault="00000000">
      <w:pPr>
        <w:pStyle w:val="SingleTxt"/>
        <w:spacing w:after="80"/>
        <w:ind w:left="1742" w:hanging="475"/>
      </w:pPr>
      <w:r>
        <w:t>Decreto-ley No. 38 KRCH, de 28 de octubre de 1998, relativo a los contratos y las obligaciones</w:t>
      </w:r>
    </w:p>
    <w:p w:rsidR="00000000" w:rsidRDefault="00000000">
      <w:pPr>
        <w:pStyle w:val="SingleTxt"/>
        <w:spacing w:after="80"/>
        <w:ind w:left="1742" w:hanging="475"/>
      </w:pPr>
      <w:r>
        <w:t>Encuesta demográfica de salud/Camboya (2000), Instituto Nacional de Estadística, Ministerio de Planificación y Ministerio de Salud</w:t>
      </w:r>
    </w:p>
    <w:p w:rsidR="00000000" w:rsidRDefault="00000000">
      <w:pPr>
        <w:pStyle w:val="SingleTxt"/>
        <w:spacing w:after="80"/>
        <w:ind w:left="1742" w:hanging="475"/>
      </w:pPr>
      <w:r>
        <w:t>Estrategia Nacional de Lucha contra la Pobreza (2003-2005), Consejo de Desarrollo Social, diciembre de 2002</w:t>
      </w:r>
    </w:p>
    <w:p w:rsidR="00000000" w:rsidRDefault="00000000">
      <w:pPr>
        <w:pStyle w:val="SingleTxt"/>
        <w:spacing w:after="80"/>
        <w:ind w:left="1742" w:hanging="475"/>
      </w:pPr>
      <w:r>
        <w:t>Informe demográfico de salud/Camboya (2000)</w:t>
      </w:r>
    </w:p>
    <w:p w:rsidR="00000000" w:rsidRDefault="00000000">
      <w:pPr>
        <w:pStyle w:val="SingleTxt"/>
        <w:spacing w:after="80"/>
        <w:ind w:left="1742" w:hanging="475"/>
      </w:pPr>
      <w:r>
        <w:t>Informe sobre Desarrollo Humano 2001 (Camboya)</w:t>
      </w:r>
    </w:p>
    <w:p w:rsidR="00000000" w:rsidRDefault="00000000">
      <w:pPr>
        <w:pStyle w:val="SingleTxt"/>
        <w:spacing w:after="80"/>
        <w:ind w:left="1742" w:hanging="475"/>
      </w:pPr>
      <w:r>
        <w:t>Informe sobre Desarrollo Humano 2002 (PNUD)</w:t>
      </w:r>
    </w:p>
    <w:p w:rsidR="00000000" w:rsidRDefault="00000000">
      <w:pPr>
        <w:pStyle w:val="SingleTxt"/>
        <w:spacing w:after="80"/>
        <w:ind w:left="1742" w:hanging="475"/>
      </w:pPr>
      <w:r>
        <w:t>Ley del Aborto</w:t>
      </w:r>
    </w:p>
    <w:p w:rsidR="00000000" w:rsidRDefault="00000000">
      <w:pPr>
        <w:pStyle w:val="SingleTxt"/>
        <w:spacing w:after="80"/>
        <w:ind w:left="1742" w:hanging="475"/>
      </w:pPr>
      <w:r>
        <w:t>Ley del Trabajo</w:t>
      </w:r>
    </w:p>
    <w:p w:rsidR="00000000" w:rsidRDefault="00000000">
      <w:pPr>
        <w:pStyle w:val="SingleTxt"/>
        <w:spacing w:after="80"/>
        <w:ind w:left="1742" w:hanging="475"/>
      </w:pPr>
      <w:r>
        <w:t>Ley relativa a la represión del secuestro, la trata, la venta y la explotación de seres humanos</w:t>
      </w:r>
    </w:p>
    <w:p w:rsidR="00000000" w:rsidRDefault="00000000">
      <w:pPr>
        <w:pStyle w:val="SingleTxt"/>
        <w:spacing w:after="80"/>
        <w:ind w:left="1742" w:hanging="475"/>
      </w:pPr>
      <w:r>
        <w:t>Ley relativa a los sistemas de seguridad social para las personas determinadas por la Ley del Trabajo</w:t>
      </w:r>
    </w:p>
    <w:p w:rsidR="00000000" w:rsidRDefault="00000000">
      <w:pPr>
        <w:pStyle w:val="SingleTxt"/>
        <w:spacing w:after="80"/>
        <w:ind w:left="1742" w:hanging="475"/>
      </w:pPr>
      <w:r>
        <w:t>Ley relativa al matrimonio y la familia</w:t>
      </w:r>
    </w:p>
    <w:p w:rsidR="00000000" w:rsidRDefault="00000000">
      <w:pPr>
        <w:pStyle w:val="SingleTxt"/>
        <w:spacing w:after="80"/>
        <w:ind w:left="1742" w:hanging="475"/>
      </w:pPr>
      <w:r>
        <w:t>Plan quinquenal de lucha contra la trata y la explotación sexual de los niños (2000-2004), Consejo Nacional de Camboya para la Niñez, ma</w:t>
      </w:r>
      <w:r>
        <w:t>r</w:t>
      </w:r>
      <w:r>
        <w:t>zo de 2000</w:t>
      </w:r>
    </w:p>
    <w:p w:rsidR="00000000" w:rsidRDefault="00000000">
      <w:pPr>
        <w:pStyle w:val="SingleTxt"/>
        <w:spacing w:after="80"/>
        <w:ind w:left="1742" w:hanging="475"/>
      </w:pPr>
      <w:r>
        <w:t xml:space="preserve">Plan quinquenal </w:t>
      </w:r>
      <w:r>
        <w:rPr>
          <w:i/>
        </w:rPr>
        <w:t xml:space="preserve">Neary Rattanak </w:t>
      </w:r>
      <w:r>
        <w:t>(1999-2003), Ministerio de Asuntos de la Mujer y los Excombatientes</w:t>
      </w:r>
    </w:p>
    <w:p w:rsidR="00000000" w:rsidRDefault="00000000">
      <w:pPr>
        <w:pStyle w:val="SingleTxt"/>
        <w:spacing w:after="80"/>
        <w:ind w:left="1742" w:hanging="475"/>
      </w:pPr>
      <w:r>
        <w:t>Real decreto No. NS/RKT/0201/036, de 14 de febrero de 2001, relativo al establ</w:t>
      </w:r>
      <w:r>
        <w:t>e</w:t>
      </w:r>
      <w:r>
        <w:t>cimiento del Consejo Nacional de Camboya para la Mujer</w:t>
      </w:r>
    </w:p>
    <w:p w:rsidR="00000000" w:rsidRDefault="00000000">
      <w:pPr>
        <w:pStyle w:val="SingleTxt"/>
        <w:spacing w:after="80"/>
        <w:ind w:left="1742" w:hanging="475"/>
      </w:pPr>
      <w:r>
        <w:t>Real decreto No. NS/RKT/0796/52, de 26 de julio de 1996, relativo al sistema de enseñanza general (12 años lectivos)</w:t>
      </w:r>
    </w:p>
    <w:p w:rsidR="00000000" w:rsidRDefault="00000000">
      <w:pPr>
        <w:pStyle w:val="SingleTxt"/>
        <w:spacing w:after="80"/>
        <w:ind w:left="1742" w:hanging="475"/>
      </w:pPr>
      <w:r>
        <w:t>Segundo Plan Quinquenal de Desarrollo Socioeconómico (2001-2005) del Real G</w:t>
      </w:r>
      <w:r>
        <w:t>o</w:t>
      </w:r>
      <w:r>
        <w:t>bierno de Camboya, Ministerio de Planificación</w:t>
      </w:r>
    </w:p>
    <w:p w:rsidR="00000000" w:rsidRDefault="00000000">
      <w:pPr>
        <w:pStyle w:val="SingleTxt"/>
        <w:spacing w:after="80"/>
        <w:ind w:left="1742" w:hanging="475"/>
      </w:pPr>
      <w:r>
        <w:t>24ª Conferencia Nacional de Salud, Ministerio de Salud</w:t>
      </w:r>
    </w:p>
    <w:p w:rsidR="00000000" w:rsidRDefault="00000000">
      <w:pPr>
        <w:pStyle w:val="SingleTxt"/>
        <w:spacing w:after="80" w:line="240" w:lineRule="auto"/>
      </w:pPr>
      <w:r>
        <w:rPr>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p w:rsidR="00000000" w:rsidRDefault="00000000"/>
    <w:sectPr w:rsidR="00000000">
      <w:headerReference w:type="even" r:id="rId18"/>
      <w:headerReference w:type="default" r:id="rId19"/>
      <w:footerReference w:type="even" r:id="rId20"/>
      <w:footerReference w:type="default" r:id="rId21"/>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NO&gt;&gt;N0424124S&lt;&lt;ODS JOB NO&gt;&gt;</w:t>
      </w:r>
    </w:p>
    <w:p w:rsidR="00000000" w:rsidRDefault="00000000">
      <w:pPr>
        <w:pStyle w:val="CommentText"/>
      </w:pPr>
      <w:r>
        <w:t>&lt;&lt;ODS DOC SYMBOL1&gt;&gt;CEDAW/C/KHM/1-3&lt;&lt;ODS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anRoman">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04-24124 (S)    260404    260404</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*0424124*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106</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r>
            <w:rPr>
              <w:b w:val="0"/>
              <w:sz w:val="14"/>
            </w:rPr>
            <w:t>.doc</w:t>
          </w:r>
        </w:p>
      </w:tc>
    </w:tr>
  </w:tbl>
  <w:p w:rsidR="00000000" w:rsidRDefault="00000000">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107</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CEDAW/C/KHM/1-3</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CEDAW/C/KHM/1-3</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/C/KHM/1-3</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11 de febrero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0" type="#_x0000_t202" style="position:absolute;margin-left:-29pt;margin-top:60pt;width:9.35pt;height:491.75pt;z-index:6;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rPr>
                    <w:b w:val="0"/>
                    <w:sz w:val="14"/>
                  </w:rPr>
                </w:pPr>
                <w:r>
                  <w:fldChar w:fldCharType="begin"/>
                </w:r>
                <w:r>
                  <w:instrText xml:space="preserve"> PAGE  \* MERGEFORMAT </w:instrText>
                </w:r>
                <w:r>
                  <w:fldChar w:fldCharType="separate"/>
                </w:r>
                <w:r>
                  <w:t>1</w:t>
                </w:r>
                <w:r>
                  <w:fldChar w:fldCharType="end"/>
                </w:r>
                <w:r>
                  <w:tab/>
                </w: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p>
            </w:txbxContent>
          </v:textbox>
        </v:shape>
      </w:pict>
    </w:r>
    <w:r>
      <w:pict>
        <v:shape id="_x0000_s1029" type="#_x0000_t202" style="position:absolute;margin-left:627.05pt;margin-top:60pt;width:62.85pt;height:491.75pt;z-index:5;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rPr>
                          <w:b/>
                          <w:sz w:val="17"/>
                        </w:rPr>
                      </w:pPr>
                      <w:r>
                        <w:rPr>
                          <w:b/>
                          <w:sz w:val="17"/>
                        </w:rPr>
                        <w:t>CEDAW/C/KHM/1-3</w:t>
                      </w: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29pt;margin-top:60pt;width:9.35pt;height:491.75pt;z-index:4;mso-position-horizontal:absolute;mso-position-horizontal-relative:text;mso-position-vertical:absolute;mso-position-vertical-relative:text" o:allowincell="f" filled="f" stroked="f">
          <v:textbox style="layout-flow:vertical;mso-rotate-with-shape:t" inset="0,0,0,0">
            <w:txbxContent>
              <w:p w:rsidR="00000000" w:rsidRDefault="00000000">
                <w:pPr>
                  <w:pStyle w:val="Footer"/>
                  <w:tabs>
                    <w:tab w:val="clear" w:pos="4320"/>
                    <w:tab w:val="clear" w:pos="8640"/>
                    <w:tab w:val="right" w:pos="9792"/>
                  </w:tabs>
                </w:pPr>
                <w:r>
                  <w:rPr>
                    <w:b w:val="0"/>
                    <w:sz w:val="14"/>
                  </w:rPr>
                  <w:fldChar w:fldCharType="begin"/>
                </w:r>
                <w:r>
                  <w:rPr>
                    <w:b w:val="0"/>
                    <w:sz w:val="14"/>
                  </w:rPr>
                  <w:instrText xml:space="preserve"> FILENAME \* Lower  \* MERGEFORMAT </w:instrText>
                </w:r>
                <w:r>
                  <w:rPr>
                    <w:b w:val="0"/>
                    <w:sz w:val="14"/>
                  </w:rPr>
                  <w:fldChar w:fldCharType="separate"/>
                </w:r>
                <w:r>
                  <w:rPr>
                    <w:b w:val="0"/>
                    <w:sz w:val="14"/>
                  </w:rPr>
                  <w:t>0424124s.doc</w:t>
                </w:r>
                <w:r>
                  <w:rPr>
                    <w:b w:val="0"/>
                    <w:sz w:val="14"/>
                  </w:rPr>
                  <w:fldChar w:fldCharType="end"/>
                </w:r>
                <w:r>
                  <w:rPr>
                    <w:b w:val="0"/>
                    <w:sz w:val="14"/>
                  </w:rPr>
                  <w:tab/>
                </w:r>
                <w:r>
                  <w:fldChar w:fldCharType="begin"/>
                </w:r>
                <w:r>
                  <w:instrText xml:space="preserve"> PAGE  \* MERGEFORMAT </w:instrText>
                </w:r>
                <w:r>
                  <w:fldChar w:fldCharType="separate"/>
                </w:r>
                <w:r>
                  <w:t>63</w:t>
                </w:r>
                <w:r>
                  <w:fldChar w:fldCharType="end"/>
                </w:r>
              </w:p>
            </w:txbxContent>
          </v:textbox>
        </v:shape>
      </w:pict>
    </w:r>
    <w:r>
      <w:pict>
        <v:shape id="_x0000_s1027" type="#_x0000_t202" style="position:absolute;margin-left:627.05pt;margin-top:60pt;width:62.85pt;height:491.75pt;z-index:3;mso-position-horizontal:absolute;mso-position-horizontal-relative:text;mso-position-vertical:absolute;mso-position-vertical-relative:text" o:allowincell="f" filled="f" stroked="f">
          <v:textbox style="mso-rotate-with-shape:t" inset="0,0,0,0">
            <w:txbxContent>
              <w:tbl>
                <w:tblPr>
                  <w:tblW w:w="0" w:type="auto"/>
                  <w:tblInd w:w="1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72"/>
                </w:tblGrid>
                <w:tr w:rsidR="00000000">
                  <w:tblPrEx>
                    <w:tblCellMar>
                      <w:top w:w="0" w:type="dxa"/>
                      <w:left w:w="0" w:type="dxa"/>
                      <w:bottom w:w="0" w:type="dxa"/>
                      <w:right w:w="0" w:type="dxa"/>
                    </w:tblCellMar>
                  </w:tblPrEx>
                  <w:trPr>
                    <w:cantSplit/>
                    <w:trHeight w:hRule="exact" w:val="9792"/>
                  </w:trPr>
                  <w:tc>
                    <w:tcPr>
                      <w:tcW w:w="1272" w:type="dxa"/>
                      <w:tcBorders>
                        <w:top w:val="nil"/>
                        <w:left w:val="single" w:sz="4" w:space="0" w:color="auto"/>
                        <w:bottom w:val="nil"/>
                        <w:right w:val="nil"/>
                      </w:tcBorders>
                      <w:textDirection w:val="tbRl"/>
                      <w:vAlign w:val="bottom"/>
                    </w:tcPr>
                    <w:p w:rsidR="00000000" w:rsidRDefault="00000000">
                      <w:pPr>
                        <w:spacing w:after="80" w:line="240" w:lineRule="auto"/>
                        <w:ind w:left="113" w:right="113"/>
                        <w:jc w:val="right"/>
                        <w:rPr>
                          <w:b/>
                          <w:sz w:val="17"/>
                        </w:rPr>
                      </w:pPr>
                      <w:r>
                        <w:rPr>
                          <w:b/>
                          <w:sz w:val="17"/>
                        </w:rPr>
                        <w:t>CEDAW/C/KHM/1-3</w:t>
                      </w:r>
                    </w:p>
                  </w:tc>
                </w:tr>
              </w:tbl>
              <w:p w:rsidR="00000000" w:rsidRDefault="00000000"/>
            </w:txbxContent>
          </v:textbox>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1" type="#_x0000_t202" style="position:absolute;margin-left:-5.75pt;margin-top:0;width:7in;height:50.4pt;z-index:7;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CEDAW/C/KHM/1-3</w:t>
                      </w:r>
                    </w:p>
                  </w:tc>
                  <w:tc>
                    <w:tcPr>
                      <w:tcW w:w="5047" w:type="dxa"/>
                      <w:vAlign w:val="bottom"/>
                    </w:tcPr>
                    <w:p w:rsidR="00000000" w:rsidRDefault="00000000">
                      <w:pPr>
                        <w:pStyle w:val="Header"/>
                      </w:pPr>
                    </w:p>
                  </w:tc>
                </w:tr>
              </w:tbl>
              <w:p w:rsidR="00000000" w:rsidRDefault="00000000"/>
            </w:txbxContent>
          </v:textbox>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32" type="#_x0000_t202" style="position:absolute;margin-left:-5.75pt;margin-top:0;width:7in;height:50.4pt;z-index:8;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CEDAW/C/KHM/1-3</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96D09"/>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
    <w:nsid w:val="01443BBE"/>
    <w:multiLevelType w:val="singleLevel"/>
    <w:tmpl w:val="B0D09824"/>
    <w:lvl w:ilvl="0">
      <w:numFmt w:val="bullet"/>
      <w:lvlText w:val="-"/>
      <w:lvlJc w:val="left"/>
      <w:pPr>
        <w:tabs>
          <w:tab w:val="num" w:pos="705"/>
        </w:tabs>
        <w:ind w:left="705" w:hanging="705"/>
      </w:pPr>
      <w:rPr>
        <w:rFonts w:hint="default"/>
      </w:rPr>
    </w:lvl>
  </w:abstractNum>
  <w:abstractNum w:abstractNumId="2">
    <w:nsid w:val="014B4929"/>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3">
    <w:nsid w:val="01A01571"/>
    <w:multiLevelType w:val="singleLevel"/>
    <w:tmpl w:val="B0D09824"/>
    <w:lvl w:ilvl="0">
      <w:numFmt w:val="bullet"/>
      <w:lvlText w:val="-"/>
      <w:lvlJc w:val="left"/>
      <w:pPr>
        <w:tabs>
          <w:tab w:val="num" w:pos="705"/>
        </w:tabs>
        <w:ind w:left="705" w:hanging="705"/>
      </w:pPr>
      <w:rPr>
        <w:rFonts w:hint="default"/>
      </w:rPr>
    </w:lvl>
  </w:abstractNum>
  <w:abstractNum w:abstractNumId="4">
    <w:nsid w:val="01EA1297"/>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5">
    <w:nsid w:val="021456A2"/>
    <w:multiLevelType w:val="singleLevel"/>
    <w:tmpl w:val="B0D09824"/>
    <w:lvl w:ilvl="0">
      <w:numFmt w:val="bullet"/>
      <w:lvlText w:val="-"/>
      <w:lvlJc w:val="left"/>
      <w:pPr>
        <w:tabs>
          <w:tab w:val="num" w:pos="705"/>
        </w:tabs>
        <w:ind w:left="705" w:hanging="705"/>
      </w:pPr>
      <w:rPr>
        <w:rFonts w:hint="default"/>
      </w:rPr>
    </w:lvl>
  </w:abstractNum>
  <w:abstractNum w:abstractNumId="6">
    <w:nsid w:val="02494C76"/>
    <w:multiLevelType w:val="singleLevel"/>
    <w:tmpl w:val="B0D09824"/>
    <w:lvl w:ilvl="0">
      <w:numFmt w:val="bullet"/>
      <w:lvlText w:val="-"/>
      <w:lvlJc w:val="left"/>
      <w:pPr>
        <w:tabs>
          <w:tab w:val="num" w:pos="705"/>
        </w:tabs>
        <w:ind w:left="705" w:hanging="705"/>
      </w:pPr>
      <w:rPr>
        <w:rFonts w:hint="default"/>
      </w:rPr>
    </w:lvl>
  </w:abstractNum>
  <w:abstractNum w:abstractNumId="7">
    <w:nsid w:val="02FB02F5"/>
    <w:multiLevelType w:val="singleLevel"/>
    <w:tmpl w:val="B0D09824"/>
    <w:lvl w:ilvl="0">
      <w:numFmt w:val="bullet"/>
      <w:lvlText w:val="-"/>
      <w:lvlJc w:val="left"/>
      <w:pPr>
        <w:tabs>
          <w:tab w:val="num" w:pos="705"/>
        </w:tabs>
        <w:ind w:left="705" w:hanging="705"/>
      </w:pPr>
      <w:rPr>
        <w:rFonts w:hint="default"/>
      </w:rPr>
    </w:lvl>
  </w:abstractNum>
  <w:abstractNum w:abstractNumId="8">
    <w:nsid w:val="048B6F14"/>
    <w:multiLevelType w:val="singleLevel"/>
    <w:tmpl w:val="B0D09824"/>
    <w:lvl w:ilvl="0">
      <w:numFmt w:val="bullet"/>
      <w:lvlText w:val="-"/>
      <w:lvlJc w:val="left"/>
      <w:pPr>
        <w:tabs>
          <w:tab w:val="num" w:pos="705"/>
        </w:tabs>
        <w:ind w:left="705" w:hanging="705"/>
      </w:pPr>
      <w:rPr>
        <w:rFonts w:hint="default"/>
      </w:rPr>
    </w:lvl>
  </w:abstractNum>
  <w:abstractNum w:abstractNumId="9">
    <w:nsid w:val="04D64812"/>
    <w:multiLevelType w:val="singleLevel"/>
    <w:tmpl w:val="B0D09824"/>
    <w:lvl w:ilvl="0">
      <w:numFmt w:val="bullet"/>
      <w:lvlText w:val="-"/>
      <w:lvlJc w:val="left"/>
      <w:pPr>
        <w:tabs>
          <w:tab w:val="num" w:pos="705"/>
        </w:tabs>
        <w:ind w:left="705" w:hanging="705"/>
      </w:pPr>
      <w:rPr>
        <w:rFonts w:hint="default"/>
      </w:rPr>
    </w:lvl>
  </w:abstractNum>
  <w:abstractNum w:abstractNumId="10">
    <w:nsid w:val="0506648A"/>
    <w:multiLevelType w:val="multilevel"/>
    <w:tmpl w:val="8D662204"/>
    <w:lvl w:ilvl="0">
      <w:start w:val="2000"/>
      <w:numFmt w:val="decimal"/>
      <w:lvlText w:val="%1"/>
      <w:lvlJc w:val="left"/>
      <w:pPr>
        <w:tabs>
          <w:tab w:val="num" w:pos="2130"/>
        </w:tabs>
        <w:ind w:left="2130" w:hanging="2130"/>
      </w:pPr>
      <w:rPr>
        <w:rFonts w:hint="default"/>
      </w:rPr>
    </w:lvl>
    <w:lvl w:ilvl="1">
      <w:start w:val="2001"/>
      <w:numFmt w:val="decimal"/>
      <w:lvlText w:val="%1-%2"/>
      <w:lvlJc w:val="left"/>
      <w:pPr>
        <w:tabs>
          <w:tab w:val="num" w:pos="2130"/>
        </w:tabs>
        <w:ind w:left="2130" w:hanging="2130"/>
      </w:pPr>
      <w:rPr>
        <w:rFonts w:hint="default"/>
      </w:rPr>
    </w:lvl>
    <w:lvl w:ilvl="2">
      <w:start w:val="1"/>
      <w:numFmt w:val="decimal"/>
      <w:lvlText w:val="%1-%2.%3"/>
      <w:lvlJc w:val="left"/>
      <w:pPr>
        <w:tabs>
          <w:tab w:val="num" w:pos="2130"/>
        </w:tabs>
        <w:ind w:left="2130" w:hanging="2130"/>
      </w:pPr>
      <w:rPr>
        <w:rFonts w:hint="default"/>
      </w:rPr>
    </w:lvl>
    <w:lvl w:ilvl="3">
      <w:start w:val="1"/>
      <w:numFmt w:val="decimal"/>
      <w:lvlText w:val="%1-%2.%3.%4"/>
      <w:lvlJc w:val="left"/>
      <w:pPr>
        <w:tabs>
          <w:tab w:val="num" w:pos="2130"/>
        </w:tabs>
        <w:ind w:left="2130" w:hanging="2130"/>
      </w:pPr>
      <w:rPr>
        <w:rFonts w:hint="default"/>
      </w:rPr>
    </w:lvl>
    <w:lvl w:ilvl="4">
      <w:start w:val="1"/>
      <w:numFmt w:val="decimal"/>
      <w:lvlText w:val="%1-%2.%3.%4.%5"/>
      <w:lvlJc w:val="left"/>
      <w:pPr>
        <w:tabs>
          <w:tab w:val="num" w:pos="2130"/>
        </w:tabs>
        <w:ind w:left="2130" w:hanging="2130"/>
      </w:pPr>
      <w:rPr>
        <w:rFonts w:hint="default"/>
      </w:rPr>
    </w:lvl>
    <w:lvl w:ilvl="5">
      <w:start w:val="1"/>
      <w:numFmt w:val="decimal"/>
      <w:lvlText w:val="%1-%2.%3.%4.%5.%6"/>
      <w:lvlJc w:val="left"/>
      <w:pPr>
        <w:tabs>
          <w:tab w:val="num" w:pos="2130"/>
        </w:tabs>
        <w:ind w:left="2130" w:hanging="2130"/>
      </w:pPr>
      <w:rPr>
        <w:rFonts w:hint="default"/>
      </w:rPr>
    </w:lvl>
    <w:lvl w:ilvl="6">
      <w:start w:val="1"/>
      <w:numFmt w:val="decimal"/>
      <w:lvlText w:val="%1-%2.%3.%4.%5.%6.%7"/>
      <w:lvlJc w:val="left"/>
      <w:pPr>
        <w:tabs>
          <w:tab w:val="num" w:pos="2130"/>
        </w:tabs>
        <w:ind w:left="2130" w:hanging="2130"/>
      </w:pPr>
      <w:rPr>
        <w:rFonts w:hint="default"/>
      </w:rPr>
    </w:lvl>
    <w:lvl w:ilvl="7">
      <w:start w:val="1"/>
      <w:numFmt w:val="decimal"/>
      <w:lvlText w:val="%1-%2.%3.%4.%5.%6.%7.%8"/>
      <w:lvlJc w:val="left"/>
      <w:pPr>
        <w:tabs>
          <w:tab w:val="num" w:pos="2130"/>
        </w:tabs>
        <w:ind w:left="2130" w:hanging="2130"/>
      </w:pPr>
      <w:rPr>
        <w:rFonts w:hint="default"/>
      </w:rPr>
    </w:lvl>
    <w:lvl w:ilvl="8">
      <w:start w:val="1"/>
      <w:numFmt w:val="decimal"/>
      <w:lvlText w:val="%1-%2.%3.%4.%5.%6.%7.%8.%9"/>
      <w:lvlJc w:val="left"/>
      <w:pPr>
        <w:tabs>
          <w:tab w:val="num" w:pos="2130"/>
        </w:tabs>
        <w:ind w:left="2130" w:hanging="2130"/>
      </w:pPr>
      <w:rPr>
        <w:rFonts w:hint="default"/>
      </w:rPr>
    </w:lvl>
  </w:abstractNum>
  <w:abstractNum w:abstractNumId="11">
    <w:nsid w:val="052F1B5D"/>
    <w:multiLevelType w:val="singleLevel"/>
    <w:tmpl w:val="B0D09824"/>
    <w:lvl w:ilvl="0">
      <w:numFmt w:val="bullet"/>
      <w:lvlText w:val="-"/>
      <w:lvlJc w:val="left"/>
      <w:pPr>
        <w:tabs>
          <w:tab w:val="num" w:pos="705"/>
        </w:tabs>
        <w:ind w:left="705" w:hanging="705"/>
      </w:pPr>
      <w:rPr>
        <w:rFonts w:hint="default"/>
      </w:rPr>
    </w:lvl>
  </w:abstractNum>
  <w:abstractNum w:abstractNumId="12">
    <w:nsid w:val="06226FF4"/>
    <w:multiLevelType w:val="singleLevel"/>
    <w:tmpl w:val="B0D09824"/>
    <w:lvl w:ilvl="0">
      <w:numFmt w:val="bullet"/>
      <w:lvlText w:val="-"/>
      <w:lvlJc w:val="left"/>
      <w:pPr>
        <w:tabs>
          <w:tab w:val="num" w:pos="705"/>
        </w:tabs>
        <w:ind w:left="705" w:hanging="705"/>
      </w:pPr>
      <w:rPr>
        <w:rFonts w:hint="default"/>
      </w:rPr>
    </w:lvl>
  </w:abstractNum>
  <w:abstractNum w:abstractNumId="13">
    <w:nsid w:val="064248A5"/>
    <w:multiLevelType w:val="singleLevel"/>
    <w:tmpl w:val="B0D09824"/>
    <w:lvl w:ilvl="0">
      <w:numFmt w:val="bullet"/>
      <w:lvlText w:val="-"/>
      <w:lvlJc w:val="left"/>
      <w:pPr>
        <w:tabs>
          <w:tab w:val="num" w:pos="705"/>
        </w:tabs>
        <w:ind w:left="705" w:hanging="705"/>
      </w:pPr>
      <w:rPr>
        <w:rFonts w:hint="default"/>
      </w:rPr>
    </w:lvl>
  </w:abstractNum>
  <w:abstractNum w:abstractNumId="14">
    <w:nsid w:val="07DB07D9"/>
    <w:multiLevelType w:val="singleLevel"/>
    <w:tmpl w:val="B0D09824"/>
    <w:lvl w:ilvl="0">
      <w:numFmt w:val="bullet"/>
      <w:lvlText w:val="-"/>
      <w:lvlJc w:val="left"/>
      <w:pPr>
        <w:tabs>
          <w:tab w:val="num" w:pos="705"/>
        </w:tabs>
        <w:ind w:left="705" w:hanging="705"/>
      </w:pPr>
      <w:rPr>
        <w:rFonts w:hint="default"/>
      </w:rPr>
    </w:lvl>
  </w:abstractNum>
  <w:abstractNum w:abstractNumId="15">
    <w:nsid w:val="08AF5495"/>
    <w:multiLevelType w:val="singleLevel"/>
    <w:tmpl w:val="64D26B02"/>
    <w:lvl w:ilvl="0">
      <w:start w:val="1"/>
      <w:numFmt w:val="lowerLetter"/>
      <w:lvlText w:val="%1)"/>
      <w:lvlJc w:val="left"/>
      <w:pPr>
        <w:tabs>
          <w:tab w:val="num" w:pos="705"/>
        </w:tabs>
        <w:ind w:left="705" w:hanging="705"/>
      </w:pPr>
      <w:rPr>
        <w:rFonts w:hint="default"/>
      </w:rPr>
    </w:lvl>
  </w:abstractNum>
  <w:abstractNum w:abstractNumId="16">
    <w:nsid w:val="08D05520"/>
    <w:multiLevelType w:val="singleLevel"/>
    <w:tmpl w:val="B0D09824"/>
    <w:lvl w:ilvl="0">
      <w:numFmt w:val="bullet"/>
      <w:lvlText w:val="-"/>
      <w:lvlJc w:val="left"/>
      <w:pPr>
        <w:tabs>
          <w:tab w:val="num" w:pos="705"/>
        </w:tabs>
        <w:ind w:left="705" w:hanging="705"/>
      </w:pPr>
      <w:rPr>
        <w:rFonts w:hint="default"/>
      </w:rPr>
    </w:lvl>
  </w:abstractNum>
  <w:abstractNum w:abstractNumId="17">
    <w:nsid w:val="08FF3ECB"/>
    <w:multiLevelType w:val="singleLevel"/>
    <w:tmpl w:val="5C884530"/>
    <w:lvl w:ilvl="0">
      <w:start w:val="1"/>
      <w:numFmt w:val="lowerLetter"/>
      <w:lvlText w:val="%1)"/>
      <w:lvlJc w:val="left"/>
      <w:pPr>
        <w:tabs>
          <w:tab w:val="num" w:pos="1068"/>
        </w:tabs>
        <w:ind w:left="1068" w:hanging="360"/>
      </w:pPr>
      <w:rPr>
        <w:rFonts w:hint="default"/>
      </w:rPr>
    </w:lvl>
  </w:abstractNum>
  <w:abstractNum w:abstractNumId="18">
    <w:nsid w:val="09025545"/>
    <w:multiLevelType w:val="singleLevel"/>
    <w:tmpl w:val="B0D09824"/>
    <w:lvl w:ilvl="0">
      <w:numFmt w:val="bullet"/>
      <w:lvlText w:val="-"/>
      <w:lvlJc w:val="left"/>
      <w:pPr>
        <w:tabs>
          <w:tab w:val="num" w:pos="705"/>
        </w:tabs>
        <w:ind w:left="705" w:hanging="705"/>
      </w:pPr>
      <w:rPr>
        <w:rFonts w:hint="default"/>
      </w:rPr>
    </w:lvl>
  </w:abstractNum>
  <w:abstractNum w:abstractNumId="19">
    <w:nsid w:val="097A40AD"/>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0">
    <w:nsid w:val="09C16C74"/>
    <w:multiLevelType w:val="singleLevel"/>
    <w:tmpl w:val="B0D09824"/>
    <w:lvl w:ilvl="0">
      <w:numFmt w:val="bullet"/>
      <w:lvlText w:val="-"/>
      <w:lvlJc w:val="left"/>
      <w:pPr>
        <w:tabs>
          <w:tab w:val="num" w:pos="705"/>
        </w:tabs>
        <w:ind w:left="705" w:hanging="705"/>
      </w:pPr>
      <w:rPr>
        <w:rFonts w:hint="default"/>
      </w:rPr>
    </w:lvl>
  </w:abstractNum>
  <w:abstractNum w:abstractNumId="21">
    <w:nsid w:val="0AEB161B"/>
    <w:multiLevelType w:val="singleLevel"/>
    <w:tmpl w:val="B0D09824"/>
    <w:lvl w:ilvl="0">
      <w:numFmt w:val="bullet"/>
      <w:lvlText w:val="-"/>
      <w:lvlJc w:val="left"/>
      <w:pPr>
        <w:tabs>
          <w:tab w:val="num" w:pos="705"/>
        </w:tabs>
        <w:ind w:left="705" w:hanging="705"/>
      </w:pPr>
      <w:rPr>
        <w:rFonts w:hint="default"/>
      </w:rPr>
    </w:lvl>
  </w:abstractNum>
  <w:abstractNum w:abstractNumId="22">
    <w:nsid w:val="0B7A7DE4"/>
    <w:multiLevelType w:val="singleLevel"/>
    <w:tmpl w:val="B0D09824"/>
    <w:lvl w:ilvl="0">
      <w:numFmt w:val="bullet"/>
      <w:lvlText w:val="-"/>
      <w:lvlJc w:val="left"/>
      <w:pPr>
        <w:tabs>
          <w:tab w:val="num" w:pos="705"/>
        </w:tabs>
        <w:ind w:left="705" w:hanging="705"/>
      </w:pPr>
      <w:rPr>
        <w:rFonts w:hint="default"/>
      </w:rPr>
    </w:lvl>
  </w:abstractNum>
  <w:abstractNum w:abstractNumId="23">
    <w:nsid w:val="0B8408CF"/>
    <w:multiLevelType w:val="singleLevel"/>
    <w:tmpl w:val="B0D09824"/>
    <w:lvl w:ilvl="0">
      <w:numFmt w:val="bullet"/>
      <w:lvlText w:val="-"/>
      <w:lvlJc w:val="left"/>
      <w:pPr>
        <w:tabs>
          <w:tab w:val="num" w:pos="705"/>
        </w:tabs>
        <w:ind w:left="705" w:hanging="705"/>
      </w:pPr>
      <w:rPr>
        <w:rFonts w:hint="default"/>
      </w:rPr>
    </w:lvl>
  </w:abstractNum>
  <w:abstractNum w:abstractNumId="24">
    <w:nsid w:val="0C595AED"/>
    <w:multiLevelType w:val="singleLevel"/>
    <w:tmpl w:val="B0D09824"/>
    <w:lvl w:ilvl="0">
      <w:numFmt w:val="bullet"/>
      <w:lvlText w:val="-"/>
      <w:lvlJc w:val="left"/>
      <w:pPr>
        <w:tabs>
          <w:tab w:val="num" w:pos="705"/>
        </w:tabs>
        <w:ind w:left="705" w:hanging="705"/>
      </w:pPr>
      <w:rPr>
        <w:rFonts w:hint="default"/>
      </w:rPr>
    </w:lvl>
  </w:abstractNum>
  <w:abstractNum w:abstractNumId="25">
    <w:nsid w:val="0D633A54"/>
    <w:multiLevelType w:val="singleLevel"/>
    <w:tmpl w:val="B0D09824"/>
    <w:lvl w:ilvl="0">
      <w:numFmt w:val="bullet"/>
      <w:lvlText w:val="-"/>
      <w:lvlJc w:val="left"/>
      <w:pPr>
        <w:tabs>
          <w:tab w:val="num" w:pos="705"/>
        </w:tabs>
        <w:ind w:left="705" w:hanging="705"/>
      </w:pPr>
      <w:rPr>
        <w:rFonts w:hint="default"/>
      </w:rPr>
    </w:lvl>
  </w:abstractNum>
  <w:abstractNum w:abstractNumId="26">
    <w:nsid w:val="0D8960F2"/>
    <w:multiLevelType w:val="singleLevel"/>
    <w:tmpl w:val="B0D09824"/>
    <w:lvl w:ilvl="0">
      <w:numFmt w:val="bullet"/>
      <w:lvlText w:val="-"/>
      <w:lvlJc w:val="left"/>
      <w:pPr>
        <w:tabs>
          <w:tab w:val="num" w:pos="705"/>
        </w:tabs>
        <w:ind w:left="705" w:hanging="705"/>
      </w:pPr>
      <w:rPr>
        <w:rFonts w:hint="default"/>
      </w:rPr>
    </w:lvl>
  </w:abstractNum>
  <w:abstractNum w:abstractNumId="27">
    <w:nsid w:val="0E1F7720"/>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8">
    <w:nsid w:val="0E493FE1"/>
    <w:multiLevelType w:val="singleLevel"/>
    <w:tmpl w:val="B0D09824"/>
    <w:lvl w:ilvl="0">
      <w:numFmt w:val="bullet"/>
      <w:lvlText w:val="-"/>
      <w:lvlJc w:val="left"/>
      <w:pPr>
        <w:tabs>
          <w:tab w:val="num" w:pos="705"/>
        </w:tabs>
        <w:ind w:left="705" w:hanging="705"/>
      </w:pPr>
      <w:rPr>
        <w:rFonts w:hint="default"/>
      </w:rPr>
    </w:lvl>
  </w:abstractNum>
  <w:abstractNum w:abstractNumId="29">
    <w:nsid w:val="0E51664D"/>
    <w:multiLevelType w:val="singleLevel"/>
    <w:tmpl w:val="B0D09824"/>
    <w:lvl w:ilvl="0">
      <w:numFmt w:val="bullet"/>
      <w:lvlText w:val="-"/>
      <w:lvlJc w:val="left"/>
      <w:pPr>
        <w:tabs>
          <w:tab w:val="num" w:pos="705"/>
        </w:tabs>
        <w:ind w:left="705" w:hanging="705"/>
      </w:pPr>
      <w:rPr>
        <w:rFonts w:hint="default"/>
      </w:rPr>
    </w:lvl>
  </w:abstractNum>
  <w:abstractNum w:abstractNumId="30">
    <w:nsid w:val="0E6624A2"/>
    <w:multiLevelType w:val="singleLevel"/>
    <w:tmpl w:val="069CD5F0"/>
    <w:lvl w:ilvl="0">
      <w:start w:val="6"/>
      <w:numFmt w:val="upperLetter"/>
      <w:lvlText w:val="%1."/>
      <w:lvlJc w:val="left"/>
      <w:pPr>
        <w:tabs>
          <w:tab w:val="num" w:pos="705"/>
        </w:tabs>
        <w:ind w:left="705" w:hanging="705"/>
      </w:pPr>
      <w:rPr>
        <w:rFonts w:hint="default"/>
      </w:rPr>
    </w:lvl>
  </w:abstractNum>
  <w:abstractNum w:abstractNumId="31">
    <w:nsid w:val="0EB7378A"/>
    <w:multiLevelType w:val="singleLevel"/>
    <w:tmpl w:val="B0D09824"/>
    <w:lvl w:ilvl="0">
      <w:numFmt w:val="bullet"/>
      <w:lvlText w:val="-"/>
      <w:lvlJc w:val="left"/>
      <w:pPr>
        <w:tabs>
          <w:tab w:val="num" w:pos="705"/>
        </w:tabs>
        <w:ind w:left="705" w:hanging="705"/>
      </w:pPr>
      <w:rPr>
        <w:rFonts w:hint="default"/>
      </w:rPr>
    </w:lvl>
  </w:abstractNum>
  <w:abstractNum w:abstractNumId="32">
    <w:nsid w:val="0EBD1C55"/>
    <w:multiLevelType w:val="singleLevel"/>
    <w:tmpl w:val="B0D09824"/>
    <w:lvl w:ilvl="0">
      <w:numFmt w:val="bullet"/>
      <w:lvlText w:val="-"/>
      <w:lvlJc w:val="left"/>
      <w:pPr>
        <w:tabs>
          <w:tab w:val="num" w:pos="705"/>
        </w:tabs>
        <w:ind w:left="705" w:hanging="705"/>
      </w:pPr>
      <w:rPr>
        <w:rFonts w:hint="default"/>
      </w:rPr>
    </w:lvl>
  </w:abstractNum>
  <w:abstractNum w:abstractNumId="33">
    <w:nsid w:val="0FBA06CA"/>
    <w:multiLevelType w:val="singleLevel"/>
    <w:tmpl w:val="B0D09824"/>
    <w:lvl w:ilvl="0">
      <w:numFmt w:val="bullet"/>
      <w:lvlText w:val="-"/>
      <w:lvlJc w:val="left"/>
      <w:pPr>
        <w:tabs>
          <w:tab w:val="num" w:pos="705"/>
        </w:tabs>
        <w:ind w:left="705" w:hanging="705"/>
      </w:pPr>
      <w:rPr>
        <w:rFonts w:hint="default"/>
      </w:rPr>
    </w:lvl>
  </w:abstractNum>
  <w:abstractNum w:abstractNumId="34">
    <w:nsid w:val="1046027F"/>
    <w:multiLevelType w:val="singleLevel"/>
    <w:tmpl w:val="B0D09824"/>
    <w:lvl w:ilvl="0">
      <w:numFmt w:val="bullet"/>
      <w:lvlText w:val="-"/>
      <w:lvlJc w:val="left"/>
      <w:pPr>
        <w:tabs>
          <w:tab w:val="num" w:pos="705"/>
        </w:tabs>
        <w:ind w:left="705" w:hanging="705"/>
      </w:pPr>
      <w:rPr>
        <w:rFonts w:hint="default"/>
      </w:rPr>
    </w:lvl>
  </w:abstractNum>
  <w:abstractNum w:abstractNumId="35">
    <w:nsid w:val="10E71AD6"/>
    <w:multiLevelType w:val="singleLevel"/>
    <w:tmpl w:val="B0D09824"/>
    <w:lvl w:ilvl="0">
      <w:numFmt w:val="bullet"/>
      <w:lvlText w:val="-"/>
      <w:lvlJc w:val="left"/>
      <w:pPr>
        <w:tabs>
          <w:tab w:val="num" w:pos="705"/>
        </w:tabs>
        <w:ind w:left="705" w:hanging="705"/>
      </w:pPr>
      <w:rPr>
        <w:rFonts w:hint="default"/>
      </w:rPr>
    </w:lvl>
  </w:abstractNum>
  <w:abstractNum w:abstractNumId="36">
    <w:nsid w:val="1133759E"/>
    <w:multiLevelType w:val="singleLevel"/>
    <w:tmpl w:val="ED602E96"/>
    <w:lvl w:ilvl="0">
      <w:start w:val="306"/>
      <w:numFmt w:val="decimal"/>
      <w:lvlText w:val="%1."/>
      <w:lvlJc w:val="left"/>
      <w:pPr>
        <w:tabs>
          <w:tab w:val="num" w:pos="705"/>
        </w:tabs>
        <w:ind w:left="705" w:hanging="705"/>
      </w:pPr>
      <w:rPr>
        <w:rFonts w:hint="default"/>
      </w:rPr>
    </w:lvl>
  </w:abstractNum>
  <w:abstractNum w:abstractNumId="37">
    <w:nsid w:val="11AE0649"/>
    <w:multiLevelType w:val="singleLevel"/>
    <w:tmpl w:val="B0D09824"/>
    <w:lvl w:ilvl="0">
      <w:numFmt w:val="bullet"/>
      <w:lvlText w:val="-"/>
      <w:lvlJc w:val="left"/>
      <w:pPr>
        <w:tabs>
          <w:tab w:val="num" w:pos="705"/>
        </w:tabs>
        <w:ind w:left="705" w:hanging="705"/>
      </w:pPr>
      <w:rPr>
        <w:rFonts w:hint="default"/>
      </w:rPr>
    </w:lvl>
  </w:abstractNum>
  <w:abstractNum w:abstractNumId="38">
    <w:nsid w:val="126D03D8"/>
    <w:multiLevelType w:val="singleLevel"/>
    <w:tmpl w:val="B0D09824"/>
    <w:lvl w:ilvl="0">
      <w:numFmt w:val="bullet"/>
      <w:lvlText w:val="-"/>
      <w:lvlJc w:val="left"/>
      <w:pPr>
        <w:tabs>
          <w:tab w:val="num" w:pos="705"/>
        </w:tabs>
        <w:ind w:left="705" w:hanging="705"/>
      </w:pPr>
      <w:rPr>
        <w:rFonts w:hint="default"/>
      </w:rPr>
    </w:lvl>
  </w:abstractNum>
  <w:abstractNum w:abstractNumId="39">
    <w:nsid w:val="14361E8C"/>
    <w:multiLevelType w:val="singleLevel"/>
    <w:tmpl w:val="B0D09824"/>
    <w:lvl w:ilvl="0">
      <w:numFmt w:val="bullet"/>
      <w:lvlText w:val="-"/>
      <w:lvlJc w:val="left"/>
      <w:pPr>
        <w:tabs>
          <w:tab w:val="num" w:pos="705"/>
        </w:tabs>
        <w:ind w:left="705" w:hanging="705"/>
      </w:pPr>
      <w:rPr>
        <w:rFonts w:hint="default"/>
      </w:rPr>
    </w:lvl>
  </w:abstractNum>
  <w:abstractNum w:abstractNumId="40">
    <w:nsid w:val="14B87B0C"/>
    <w:multiLevelType w:val="singleLevel"/>
    <w:tmpl w:val="B0D09824"/>
    <w:lvl w:ilvl="0">
      <w:numFmt w:val="bullet"/>
      <w:lvlText w:val="-"/>
      <w:lvlJc w:val="left"/>
      <w:pPr>
        <w:tabs>
          <w:tab w:val="num" w:pos="705"/>
        </w:tabs>
        <w:ind w:left="705" w:hanging="705"/>
      </w:pPr>
      <w:rPr>
        <w:rFonts w:hint="default"/>
      </w:rPr>
    </w:lvl>
  </w:abstractNum>
  <w:abstractNum w:abstractNumId="41">
    <w:nsid w:val="15761174"/>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42">
    <w:nsid w:val="15B87955"/>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43">
    <w:nsid w:val="161852CA"/>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44">
    <w:nsid w:val="16403C90"/>
    <w:multiLevelType w:val="singleLevel"/>
    <w:tmpl w:val="B0D09824"/>
    <w:lvl w:ilvl="0">
      <w:numFmt w:val="bullet"/>
      <w:lvlText w:val="-"/>
      <w:lvlJc w:val="left"/>
      <w:pPr>
        <w:tabs>
          <w:tab w:val="num" w:pos="705"/>
        </w:tabs>
        <w:ind w:left="705" w:hanging="705"/>
      </w:pPr>
      <w:rPr>
        <w:rFonts w:hint="default"/>
      </w:rPr>
    </w:lvl>
  </w:abstractNum>
  <w:abstractNum w:abstractNumId="45">
    <w:nsid w:val="167C4156"/>
    <w:multiLevelType w:val="singleLevel"/>
    <w:tmpl w:val="87880D24"/>
    <w:lvl w:ilvl="0">
      <w:start w:val="357"/>
      <w:numFmt w:val="decimal"/>
      <w:lvlText w:val="%1."/>
      <w:lvlJc w:val="left"/>
      <w:pPr>
        <w:tabs>
          <w:tab w:val="num" w:pos="705"/>
        </w:tabs>
        <w:ind w:left="705" w:hanging="705"/>
      </w:pPr>
      <w:rPr>
        <w:rFonts w:hint="default"/>
      </w:rPr>
    </w:lvl>
  </w:abstractNum>
  <w:abstractNum w:abstractNumId="46">
    <w:nsid w:val="16C115AA"/>
    <w:multiLevelType w:val="singleLevel"/>
    <w:tmpl w:val="B0D09824"/>
    <w:lvl w:ilvl="0">
      <w:numFmt w:val="bullet"/>
      <w:lvlText w:val="-"/>
      <w:lvlJc w:val="left"/>
      <w:pPr>
        <w:tabs>
          <w:tab w:val="num" w:pos="705"/>
        </w:tabs>
        <w:ind w:left="705" w:hanging="705"/>
      </w:pPr>
      <w:rPr>
        <w:rFonts w:hint="default"/>
      </w:rPr>
    </w:lvl>
  </w:abstractNum>
  <w:abstractNum w:abstractNumId="47">
    <w:nsid w:val="186766F6"/>
    <w:multiLevelType w:val="singleLevel"/>
    <w:tmpl w:val="B0D09824"/>
    <w:lvl w:ilvl="0">
      <w:numFmt w:val="bullet"/>
      <w:lvlText w:val="-"/>
      <w:lvlJc w:val="left"/>
      <w:pPr>
        <w:tabs>
          <w:tab w:val="num" w:pos="705"/>
        </w:tabs>
        <w:ind w:left="705" w:hanging="705"/>
      </w:pPr>
      <w:rPr>
        <w:rFonts w:hint="default"/>
      </w:rPr>
    </w:lvl>
  </w:abstractNum>
  <w:abstractNum w:abstractNumId="48">
    <w:nsid w:val="191E57EB"/>
    <w:multiLevelType w:val="singleLevel"/>
    <w:tmpl w:val="B0D09824"/>
    <w:lvl w:ilvl="0">
      <w:numFmt w:val="bullet"/>
      <w:lvlText w:val="-"/>
      <w:lvlJc w:val="left"/>
      <w:pPr>
        <w:tabs>
          <w:tab w:val="num" w:pos="705"/>
        </w:tabs>
        <w:ind w:left="705" w:hanging="705"/>
      </w:pPr>
      <w:rPr>
        <w:rFonts w:hint="default"/>
      </w:rPr>
    </w:lvl>
  </w:abstractNum>
  <w:abstractNum w:abstractNumId="49">
    <w:nsid w:val="19D52A97"/>
    <w:multiLevelType w:val="singleLevel"/>
    <w:tmpl w:val="5E8A6E46"/>
    <w:lvl w:ilvl="0">
      <w:start w:val="126"/>
      <w:numFmt w:val="decimal"/>
      <w:lvlText w:val="%1."/>
      <w:lvlJc w:val="left"/>
      <w:pPr>
        <w:tabs>
          <w:tab w:val="num" w:pos="705"/>
        </w:tabs>
        <w:ind w:left="705" w:hanging="705"/>
      </w:pPr>
      <w:rPr>
        <w:rFonts w:hint="default"/>
      </w:rPr>
    </w:lvl>
  </w:abstractNum>
  <w:abstractNum w:abstractNumId="50">
    <w:nsid w:val="19EA4DDC"/>
    <w:multiLevelType w:val="singleLevel"/>
    <w:tmpl w:val="B0D09824"/>
    <w:lvl w:ilvl="0">
      <w:numFmt w:val="bullet"/>
      <w:lvlText w:val="-"/>
      <w:lvlJc w:val="left"/>
      <w:pPr>
        <w:tabs>
          <w:tab w:val="num" w:pos="705"/>
        </w:tabs>
        <w:ind w:left="705" w:hanging="705"/>
      </w:pPr>
      <w:rPr>
        <w:rFonts w:hint="default"/>
      </w:rPr>
    </w:lvl>
  </w:abstractNum>
  <w:abstractNum w:abstractNumId="51">
    <w:nsid w:val="1B216EA8"/>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52">
    <w:nsid w:val="1B222219"/>
    <w:multiLevelType w:val="singleLevel"/>
    <w:tmpl w:val="B0D09824"/>
    <w:lvl w:ilvl="0">
      <w:numFmt w:val="bullet"/>
      <w:lvlText w:val="-"/>
      <w:lvlJc w:val="left"/>
      <w:pPr>
        <w:tabs>
          <w:tab w:val="num" w:pos="705"/>
        </w:tabs>
        <w:ind w:left="705" w:hanging="705"/>
      </w:pPr>
      <w:rPr>
        <w:rFonts w:hint="default"/>
      </w:rPr>
    </w:lvl>
  </w:abstractNum>
  <w:abstractNum w:abstractNumId="53">
    <w:nsid w:val="1B763D52"/>
    <w:multiLevelType w:val="singleLevel"/>
    <w:tmpl w:val="B0D09824"/>
    <w:lvl w:ilvl="0">
      <w:numFmt w:val="bullet"/>
      <w:lvlText w:val="-"/>
      <w:lvlJc w:val="left"/>
      <w:pPr>
        <w:tabs>
          <w:tab w:val="num" w:pos="705"/>
        </w:tabs>
        <w:ind w:left="705" w:hanging="705"/>
      </w:pPr>
      <w:rPr>
        <w:rFonts w:hint="default"/>
      </w:rPr>
    </w:lvl>
  </w:abstractNum>
  <w:abstractNum w:abstractNumId="54">
    <w:nsid w:val="1BB405F4"/>
    <w:multiLevelType w:val="singleLevel"/>
    <w:tmpl w:val="B0D09824"/>
    <w:lvl w:ilvl="0">
      <w:numFmt w:val="bullet"/>
      <w:lvlText w:val="-"/>
      <w:lvlJc w:val="left"/>
      <w:pPr>
        <w:tabs>
          <w:tab w:val="num" w:pos="705"/>
        </w:tabs>
        <w:ind w:left="705" w:hanging="705"/>
      </w:pPr>
      <w:rPr>
        <w:rFonts w:hint="default"/>
      </w:rPr>
    </w:lvl>
  </w:abstractNum>
  <w:abstractNum w:abstractNumId="55">
    <w:nsid w:val="1BEC73A4"/>
    <w:multiLevelType w:val="singleLevel"/>
    <w:tmpl w:val="B0D09824"/>
    <w:lvl w:ilvl="0">
      <w:numFmt w:val="bullet"/>
      <w:lvlText w:val="-"/>
      <w:lvlJc w:val="left"/>
      <w:pPr>
        <w:tabs>
          <w:tab w:val="num" w:pos="705"/>
        </w:tabs>
        <w:ind w:left="705" w:hanging="705"/>
      </w:pPr>
      <w:rPr>
        <w:rFonts w:hint="default"/>
      </w:rPr>
    </w:lvl>
  </w:abstractNum>
  <w:abstractNum w:abstractNumId="56">
    <w:nsid w:val="1D3828E3"/>
    <w:multiLevelType w:val="singleLevel"/>
    <w:tmpl w:val="B0D09824"/>
    <w:lvl w:ilvl="0">
      <w:numFmt w:val="bullet"/>
      <w:lvlText w:val="-"/>
      <w:lvlJc w:val="left"/>
      <w:pPr>
        <w:tabs>
          <w:tab w:val="num" w:pos="705"/>
        </w:tabs>
        <w:ind w:left="705" w:hanging="705"/>
      </w:pPr>
      <w:rPr>
        <w:rFonts w:hint="default"/>
      </w:rPr>
    </w:lvl>
  </w:abstractNum>
  <w:abstractNum w:abstractNumId="57">
    <w:nsid w:val="1D395C58"/>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58">
    <w:nsid w:val="1D9504EC"/>
    <w:multiLevelType w:val="singleLevel"/>
    <w:tmpl w:val="B0D09824"/>
    <w:lvl w:ilvl="0">
      <w:numFmt w:val="bullet"/>
      <w:lvlText w:val="-"/>
      <w:lvlJc w:val="left"/>
      <w:pPr>
        <w:tabs>
          <w:tab w:val="num" w:pos="705"/>
        </w:tabs>
        <w:ind w:left="705" w:hanging="705"/>
      </w:pPr>
      <w:rPr>
        <w:rFonts w:hint="default"/>
      </w:rPr>
    </w:lvl>
  </w:abstractNum>
  <w:abstractNum w:abstractNumId="59">
    <w:nsid w:val="1DB1560C"/>
    <w:multiLevelType w:val="singleLevel"/>
    <w:tmpl w:val="B0D09824"/>
    <w:lvl w:ilvl="0">
      <w:numFmt w:val="bullet"/>
      <w:lvlText w:val="-"/>
      <w:lvlJc w:val="left"/>
      <w:pPr>
        <w:tabs>
          <w:tab w:val="num" w:pos="705"/>
        </w:tabs>
        <w:ind w:left="705" w:hanging="705"/>
      </w:pPr>
      <w:rPr>
        <w:rFonts w:hint="default"/>
      </w:rPr>
    </w:lvl>
  </w:abstractNum>
  <w:abstractNum w:abstractNumId="60">
    <w:nsid w:val="1EA1318C"/>
    <w:multiLevelType w:val="singleLevel"/>
    <w:tmpl w:val="B0D09824"/>
    <w:lvl w:ilvl="0">
      <w:numFmt w:val="bullet"/>
      <w:lvlText w:val="-"/>
      <w:lvlJc w:val="left"/>
      <w:pPr>
        <w:tabs>
          <w:tab w:val="num" w:pos="705"/>
        </w:tabs>
        <w:ind w:left="705" w:hanging="705"/>
      </w:pPr>
      <w:rPr>
        <w:rFonts w:hint="default"/>
      </w:rPr>
    </w:lvl>
  </w:abstractNum>
  <w:abstractNum w:abstractNumId="61">
    <w:nsid w:val="1F3C01AA"/>
    <w:multiLevelType w:val="singleLevel"/>
    <w:tmpl w:val="B0D09824"/>
    <w:lvl w:ilvl="0">
      <w:numFmt w:val="bullet"/>
      <w:lvlText w:val="-"/>
      <w:lvlJc w:val="left"/>
      <w:pPr>
        <w:tabs>
          <w:tab w:val="num" w:pos="705"/>
        </w:tabs>
        <w:ind w:left="705" w:hanging="705"/>
      </w:pPr>
      <w:rPr>
        <w:rFonts w:hint="default"/>
      </w:rPr>
    </w:lvl>
  </w:abstractNum>
  <w:abstractNum w:abstractNumId="62">
    <w:nsid w:val="1FFA7489"/>
    <w:multiLevelType w:val="singleLevel"/>
    <w:tmpl w:val="B0D09824"/>
    <w:lvl w:ilvl="0">
      <w:numFmt w:val="bullet"/>
      <w:lvlText w:val="-"/>
      <w:lvlJc w:val="left"/>
      <w:pPr>
        <w:tabs>
          <w:tab w:val="num" w:pos="705"/>
        </w:tabs>
        <w:ind w:left="705" w:hanging="705"/>
      </w:pPr>
      <w:rPr>
        <w:rFonts w:hint="default"/>
      </w:rPr>
    </w:lvl>
  </w:abstractNum>
  <w:abstractNum w:abstractNumId="63">
    <w:nsid w:val="208F38FB"/>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64">
    <w:nsid w:val="20A93A87"/>
    <w:multiLevelType w:val="singleLevel"/>
    <w:tmpl w:val="B0D09824"/>
    <w:lvl w:ilvl="0">
      <w:numFmt w:val="bullet"/>
      <w:lvlText w:val="-"/>
      <w:lvlJc w:val="left"/>
      <w:pPr>
        <w:tabs>
          <w:tab w:val="num" w:pos="705"/>
        </w:tabs>
        <w:ind w:left="705" w:hanging="705"/>
      </w:pPr>
      <w:rPr>
        <w:rFonts w:hint="default"/>
      </w:rPr>
    </w:lvl>
  </w:abstractNum>
  <w:abstractNum w:abstractNumId="65">
    <w:nsid w:val="210E5845"/>
    <w:multiLevelType w:val="singleLevel"/>
    <w:tmpl w:val="B0D09824"/>
    <w:lvl w:ilvl="0">
      <w:numFmt w:val="bullet"/>
      <w:lvlText w:val="-"/>
      <w:lvlJc w:val="left"/>
      <w:pPr>
        <w:tabs>
          <w:tab w:val="num" w:pos="705"/>
        </w:tabs>
        <w:ind w:left="705" w:hanging="705"/>
      </w:pPr>
      <w:rPr>
        <w:rFonts w:hint="default"/>
      </w:rPr>
    </w:lvl>
  </w:abstractNum>
  <w:abstractNum w:abstractNumId="66">
    <w:nsid w:val="234971DE"/>
    <w:multiLevelType w:val="singleLevel"/>
    <w:tmpl w:val="2A58D376"/>
    <w:lvl w:ilvl="0">
      <w:start w:val="200"/>
      <w:numFmt w:val="decimal"/>
      <w:lvlText w:val="%1."/>
      <w:lvlJc w:val="left"/>
      <w:pPr>
        <w:tabs>
          <w:tab w:val="num" w:pos="705"/>
        </w:tabs>
        <w:ind w:left="705" w:hanging="705"/>
      </w:pPr>
      <w:rPr>
        <w:rFonts w:hint="default"/>
      </w:rPr>
    </w:lvl>
  </w:abstractNum>
  <w:abstractNum w:abstractNumId="67">
    <w:nsid w:val="235F3DBF"/>
    <w:multiLevelType w:val="singleLevel"/>
    <w:tmpl w:val="B0D09824"/>
    <w:lvl w:ilvl="0">
      <w:numFmt w:val="bullet"/>
      <w:lvlText w:val="-"/>
      <w:lvlJc w:val="left"/>
      <w:pPr>
        <w:tabs>
          <w:tab w:val="num" w:pos="705"/>
        </w:tabs>
        <w:ind w:left="705" w:hanging="705"/>
      </w:pPr>
      <w:rPr>
        <w:rFonts w:hint="default"/>
      </w:rPr>
    </w:lvl>
  </w:abstractNum>
  <w:abstractNum w:abstractNumId="68">
    <w:nsid w:val="23860214"/>
    <w:multiLevelType w:val="singleLevel"/>
    <w:tmpl w:val="B0D09824"/>
    <w:lvl w:ilvl="0">
      <w:numFmt w:val="bullet"/>
      <w:lvlText w:val="-"/>
      <w:lvlJc w:val="left"/>
      <w:pPr>
        <w:tabs>
          <w:tab w:val="num" w:pos="705"/>
        </w:tabs>
        <w:ind w:left="705" w:hanging="705"/>
      </w:pPr>
      <w:rPr>
        <w:rFonts w:hint="default"/>
      </w:rPr>
    </w:lvl>
  </w:abstractNum>
  <w:abstractNum w:abstractNumId="69">
    <w:nsid w:val="2386029B"/>
    <w:multiLevelType w:val="singleLevel"/>
    <w:tmpl w:val="B0D09824"/>
    <w:lvl w:ilvl="0">
      <w:numFmt w:val="bullet"/>
      <w:lvlText w:val="-"/>
      <w:lvlJc w:val="left"/>
      <w:pPr>
        <w:tabs>
          <w:tab w:val="num" w:pos="705"/>
        </w:tabs>
        <w:ind w:left="705" w:hanging="705"/>
      </w:pPr>
      <w:rPr>
        <w:rFonts w:hint="default"/>
      </w:rPr>
    </w:lvl>
  </w:abstractNum>
  <w:abstractNum w:abstractNumId="70">
    <w:nsid w:val="24657BBC"/>
    <w:multiLevelType w:val="singleLevel"/>
    <w:tmpl w:val="B0D09824"/>
    <w:lvl w:ilvl="0">
      <w:numFmt w:val="bullet"/>
      <w:lvlText w:val="-"/>
      <w:lvlJc w:val="left"/>
      <w:pPr>
        <w:tabs>
          <w:tab w:val="num" w:pos="705"/>
        </w:tabs>
        <w:ind w:left="705" w:hanging="705"/>
      </w:pPr>
      <w:rPr>
        <w:rFonts w:hint="default"/>
      </w:rPr>
    </w:lvl>
  </w:abstractNum>
  <w:abstractNum w:abstractNumId="71">
    <w:nsid w:val="24C95C51"/>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72">
    <w:nsid w:val="257B29B5"/>
    <w:multiLevelType w:val="singleLevel"/>
    <w:tmpl w:val="B0D09824"/>
    <w:lvl w:ilvl="0">
      <w:numFmt w:val="bullet"/>
      <w:lvlText w:val="-"/>
      <w:lvlJc w:val="left"/>
      <w:pPr>
        <w:tabs>
          <w:tab w:val="num" w:pos="705"/>
        </w:tabs>
        <w:ind w:left="705" w:hanging="705"/>
      </w:pPr>
      <w:rPr>
        <w:rFonts w:hint="default"/>
      </w:rPr>
    </w:lvl>
  </w:abstractNum>
  <w:abstractNum w:abstractNumId="73">
    <w:nsid w:val="259333FC"/>
    <w:multiLevelType w:val="singleLevel"/>
    <w:tmpl w:val="B0D09824"/>
    <w:lvl w:ilvl="0">
      <w:numFmt w:val="bullet"/>
      <w:lvlText w:val="-"/>
      <w:lvlJc w:val="left"/>
      <w:pPr>
        <w:tabs>
          <w:tab w:val="num" w:pos="705"/>
        </w:tabs>
        <w:ind w:left="705" w:hanging="705"/>
      </w:pPr>
      <w:rPr>
        <w:rFonts w:hint="default"/>
      </w:rPr>
    </w:lvl>
  </w:abstractNum>
  <w:abstractNum w:abstractNumId="74">
    <w:nsid w:val="265C4C32"/>
    <w:multiLevelType w:val="singleLevel"/>
    <w:tmpl w:val="A16887F0"/>
    <w:lvl w:ilvl="0">
      <w:start w:val="1"/>
      <w:numFmt w:val="lowerLetter"/>
      <w:lvlText w:val="%1)"/>
      <w:lvlJc w:val="left"/>
      <w:pPr>
        <w:tabs>
          <w:tab w:val="num" w:pos="705"/>
        </w:tabs>
        <w:ind w:left="705" w:hanging="705"/>
      </w:pPr>
      <w:rPr>
        <w:rFonts w:hint="default"/>
      </w:rPr>
    </w:lvl>
  </w:abstractNum>
  <w:abstractNum w:abstractNumId="75">
    <w:nsid w:val="26E26B9D"/>
    <w:multiLevelType w:val="singleLevel"/>
    <w:tmpl w:val="B0D09824"/>
    <w:lvl w:ilvl="0">
      <w:numFmt w:val="bullet"/>
      <w:lvlText w:val="-"/>
      <w:lvlJc w:val="left"/>
      <w:pPr>
        <w:tabs>
          <w:tab w:val="num" w:pos="705"/>
        </w:tabs>
        <w:ind w:left="705" w:hanging="705"/>
      </w:pPr>
      <w:rPr>
        <w:rFonts w:hint="default"/>
      </w:rPr>
    </w:lvl>
  </w:abstractNum>
  <w:abstractNum w:abstractNumId="76">
    <w:nsid w:val="26FD76D9"/>
    <w:multiLevelType w:val="singleLevel"/>
    <w:tmpl w:val="B0D09824"/>
    <w:lvl w:ilvl="0">
      <w:numFmt w:val="bullet"/>
      <w:lvlText w:val="-"/>
      <w:lvlJc w:val="left"/>
      <w:pPr>
        <w:tabs>
          <w:tab w:val="num" w:pos="705"/>
        </w:tabs>
        <w:ind w:left="705" w:hanging="705"/>
      </w:pPr>
      <w:rPr>
        <w:rFonts w:hint="default"/>
      </w:rPr>
    </w:lvl>
  </w:abstractNum>
  <w:abstractNum w:abstractNumId="77">
    <w:nsid w:val="298931FE"/>
    <w:multiLevelType w:val="singleLevel"/>
    <w:tmpl w:val="B0D09824"/>
    <w:lvl w:ilvl="0">
      <w:numFmt w:val="bullet"/>
      <w:lvlText w:val="-"/>
      <w:lvlJc w:val="left"/>
      <w:pPr>
        <w:tabs>
          <w:tab w:val="num" w:pos="705"/>
        </w:tabs>
        <w:ind w:left="705" w:hanging="705"/>
      </w:pPr>
      <w:rPr>
        <w:rFonts w:hint="default"/>
      </w:rPr>
    </w:lvl>
  </w:abstractNum>
  <w:abstractNum w:abstractNumId="78">
    <w:nsid w:val="298A4517"/>
    <w:multiLevelType w:val="singleLevel"/>
    <w:tmpl w:val="B0D09824"/>
    <w:lvl w:ilvl="0">
      <w:numFmt w:val="bullet"/>
      <w:lvlText w:val="-"/>
      <w:lvlJc w:val="left"/>
      <w:pPr>
        <w:tabs>
          <w:tab w:val="num" w:pos="705"/>
        </w:tabs>
        <w:ind w:left="705" w:hanging="705"/>
      </w:pPr>
      <w:rPr>
        <w:rFonts w:hint="default"/>
      </w:rPr>
    </w:lvl>
  </w:abstractNum>
  <w:abstractNum w:abstractNumId="79">
    <w:nsid w:val="29A8405A"/>
    <w:multiLevelType w:val="singleLevel"/>
    <w:tmpl w:val="B0D09824"/>
    <w:lvl w:ilvl="0">
      <w:numFmt w:val="bullet"/>
      <w:lvlText w:val="-"/>
      <w:lvlJc w:val="left"/>
      <w:pPr>
        <w:tabs>
          <w:tab w:val="num" w:pos="705"/>
        </w:tabs>
        <w:ind w:left="705" w:hanging="705"/>
      </w:pPr>
      <w:rPr>
        <w:rFonts w:hint="default"/>
      </w:rPr>
    </w:lvl>
  </w:abstractNum>
  <w:abstractNum w:abstractNumId="80">
    <w:nsid w:val="29B36729"/>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81">
    <w:nsid w:val="29EC6B49"/>
    <w:multiLevelType w:val="singleLevel"/>
    <w:tmpl w:val="B0D09824"/>
    <w:lvl w:ilvl="0">
      <w:numFmt w:val="bullet"/>
      <w:lvlText w:val="-"/>
      <w:lvlJc w:val="left"/>
      <w:pPr>
        <w:tabs>
          <w:tab w:val="num" w:pos="705"/>
        </w:tabs>
        <w:ind w:left="705" w:hanging="705"/>
      </w:pPr>
      <w:rPr>
        <w:rFonts w:hint="default"/>
      </w:rPr>
    </w:lvl>
  </w:abstractNum>
  <w:abstractNum w:abstractNumId="82">
    <w:nsid w:val="2A7348B5"/>
    <w:multiLevelType w:val="singleLevel"/>
    <w:tmpl w:val="0C0A000F"/>
    <w:lvl w:ilvl="0">
      <w:start w:val="36"/>
      <w:numFmt w:val="decimal"/>
      <w:lvlText w:val="%1."/>
      <w:lvlJc w:val="left"/>
      <w:pPr>
        <w:tabs>
          <w:tab w:val="num" w:pos="360"/>
        </w:tabs>
        <w:ind w:left="360" w:hanging="360"/>
      </w:pPr>
      <w:rPr>
        <w:rFonts w:hint="default"/>
      </w:rPr>
    </w:lvl>
  </w:abstractNum>
  <w:abstractNum w:abstractNumId="83">
    <w:nsid w:val="2B82653F"/>
    <w:multiLevelType w:val="singleLevel"/>
    <w:tmpl w:val="DEC6E794"/>
    <w:lvl w:ilvl="0">
      <w:start w:val="11"/>
      <w:numFmt w:val="bullet"/>
      <w:lvlText w:val=""/>
      <w:lvlJc w:val="left"/>
      <w:pPr>
        <w:tabs>
          <w:tab w:val="num" w:pos="705"/>
        </w:tabs>
        <w:ind w:left="705" w:hanging="705"/>
      </w:pPr>
      <w:rPr>
        <w:rFonts w:ascii="PanRoman" w:hAnsi="PanRoman" w:hint="default"/>
      </w:rPr>
    </w:lvl>
  </w:abstractNum>
  <w:abstractNum w:abstractNumId="84">
    <w:nsid w:val="2BA6329A"/>
    <w:multiLevelType w:val="singleLevel"/>
    <w:tmpl w:val="1BF85D4A"/>
    <w:lvl w:ilvl="0">
      <w:start w:val="2"/>
      <w:numFmt w:val="lowerLetter"/>
      <w:lvlText w:val="%1)"/>
      <w:lvlJc w:val="left"/>
      <w:pPr>
        <w:tabs>
          <w:tab w:val="num" w:pos="780"/>
        </w:tabs>
        <w:ind w:left="780" w:hanging="390"/>
      </w:pPr>
      <w:rPr>
        <w:rFonts w:hint="default"/>
      </w:rPr>
    </w:lvl>
  </w:abstractNum>
  <w:abstractNum w:abstractNumId="85">
    <w:nsid w:val="2BE94667"/>
    <w:multiLevelType w:val="singleLevel"/>
    <w:tmpl w:val="B0D09824"/>
    <w:lvl w:ilvl="0">
      <w:numFmt w:val="bullet"/>
      <w:lvlText w:val="-"/>
      <w:lvlJc w:val="left"/>
      <w:pPr>
        <w:tabs>
          <w:tab w:val="num" w:pos="705"/>
        </w:tabs>
        <w:ind w:left="705" w:hanging="705"/>
      </w:pPr>
      <w:rPr>
        <w:rFonts w:hint="default"/>
      </w:rPr>
    </w:lvl>
  </w:abstractNum>
  <w:abstractNum w:abstractNumId="86">
    <w:nsid w:val="2D1D6544"/>
    <w:multiLevelType w:val="singleLevel"/>
    <w:tmpl w:val="B0D09824"/>
    <w:lvl w:ilvl="0">
      <w:numFmt w:val="bullet"/>
      <w:lvlText w:val="-"/>
      <w:lvlJc w:val="left"/>
      <w:pPr>
        <w:tabs>
          <w:tab w:val="num" w:pos="705"/>
        </w:tabs>
        <w:ind w:left="705" w:hanging="705"/>
      </w:pPr>
      <w:rPr>
        <w:rFonts w:hint="default"/>
      </w:rPr>
    </w:lvl>
  </w:abstractNum>
  <w:abstractNum w:abstractNumId="87">
    <w:nsid w:val="2E790595"/>
    <w:multiLevelType w:val="singleLevel"/>
    <w:tmpl w:val="B0D09824"/>
    <w:lvl w:ilvl="0">
      <w:numFmt w:val="bullet"/>
      <w:lvlText w:val="-"/>
      <w:lvlJc w:val="left"/>
      <w:pPr>
        <w:tabs>
          <w:tab w:val="num" w:pos="705"/>
        </w:tabs>
        <w:ind w:left="705" w:hanging="705"/>
      </w:pPr>
      <w:rPr>
        <w:rFonts w:hint="default"/>
      </w:rPr>
    </w:lvl>
  </w:abstractNum>
  <w:abstractNum w:abstractNumId="88">
    <w:nsid w:val="2EBB76AF"/>
    <w:multiLevelType w:val="singleLevel"/>
    <w:tmpl w:val="B0D09824"/>
    <w:lvl w:ilvl="0">
      <w:numFmt w:val="bullet"/>
      <w:lvlText w:val="-"/>
      <w:lvlJc w:val="left"/>
      <w:pPr>
        <w:tabs>
          <w:tab w:val="num" w:pos="705"/>
        </w:tabs>
        <w:ind w:left="705" w:hanging="705"/>
      </w:pPr>
      <w:rPr>
        <w:rFonts w:hint="default"/>
      </w:rPr>
    </w:lvl>
  </w:abstractNum>
  <w:abstractNum w:abstractNumId="89">
    <w:nsid w:val="2EBE6355"/>
    <w:multiLevelType w:val="singleLevel"/>
    <w:tmpl w:val="B0D09824"/>
    <w:lvl w:ilvl="0">
      <w:numFmt w:val="bullet"/>
      <w:lvlText w:val="-"/>
      <w:lvlJc w:val="left"/>
      <w:pPr>
        <w:tabs>
          <w:tab w:val="num" w:pos="705"/>
        </w:tabs>
        <w:ind w:left="705" w:hanging="705"/>
      </w:pPr>
      <w:rPr>
        <w:rFonts w:hint="default"/>
      </w:rPr>
    </w:lvl>
  </w:abstractNum>
  <w:abstractNum w:abstractNumId="90">
    <w:nsid w:val="2EDA21A9"/>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91">
    <w:nsid w:val="2F6A381D"/>
    <w:multiLevelType w:val="singleLevel"/>
    <w:tmpl w:val="B0D09824"/>
    <w:lvl w:ilvl="0">
      <w:numFmt w:val="bullet"/>
      <w:lvlText w:val="-"/>
      <w:lvlJc w:val="left"/>
      <w:pPr>
        <w:tabs>
          <w:tab w:val="num" w:pos="705"/>
        </w:tabs>
        <w:ind w:left="705" w:hanging="705"/>
      </w:pPr>
      <w:rPr>
        <w:rFonts w:hint="default"/>
      </w:rPr>
    </w:lvl>
  </w:abstractNum>
  <w:abstractNum w:abstractNumId="92">
    <w:nsid w:val="2FCC6AD6"/>
    <w:multiLevelType w:val="singleLevel"/>
    <w:tmpl w:val="B0D09824"/>
    <w:lvl w:ilvl="0">
      <w:numFmt w:val="bullet"/>
      <w:lvlText w:val="-"/>
      <w:lvlJc w:val="left"/>
      <w:pPr>
        <w:tabs>
          <w:tab w:val="num" w:pos="705"/>
        </w:tabs>
        <w:ind w:left="705" w:hanging="705"/>
      </w:pPr>
      <w:rPr>
        <w:rFonts w:hint="default"/>
      </w:rPr>
    </w:lvl>
  </w:abstractNum>
  <w:abstractNum w:abstractNumId="93">
    <w:nsid w:val="30FE35C6"/>
    <w:multiLevelType w:val="singleLevel"/>
    <w:tmpl w:val="6D084958"/>
    <w:lvl w:ilvl="0">
      <w:start w:val="239"/>
      <w:numFmt w:val="decimal"/>
      <w:lvlText w:val="%1."/>
      <w:lvlJc w:val="left"/>
      <w:pPr>
        <w:tabs>
          <w:tab w:val="num" w:pos="705"/>
        </w:tabs>
        <w:ind w:left="705" w:hanging="705"/>
      </w:pPr>
      <w:rPr>
        <w:rFonts w:hint="default"/>
      </w:rPr>
    </w:lvl>
  </w:abstractNum>
  <w:abstractNum w:abstractNumId="94">
    <w:nsid w:val="313D233D"/>
    <w:multiLevelType w:val="singleLevel"/>
    <w:tmpl w:val="B0D09824"/>
    <w:lvl w:ilvl="0">
      <w:numFmt w:val="bullet"/>
      <w:lvlText w:val="-"/>
      <w:lvlJc w:val="left"/>
      <w:pPr>
        <w:tabs>
          <w:tab w:val="num" w:pos="705"/>
        </w:tabs>
        <w:ind w:left="705" w:hanging="705"/>
      </w:pPr>
      <w:rPr>
        <w:rFonts w:hint="default"/>
      </w:rPr>
    </w:lvl>
  </w:abstractNum>
  <w:abstractNum w:abstractNumId="95">
    <w:nsid w:val="31F70211"/>
    <w:multiLevelType w:val="singleLevel"/>
    <w:tmpl w:val="B0D09824"/>
    <w:lvl w:ilvl="0">
      <w:numFmt w:val="bullet"/>
      <w:lvlText w:val="-"/>
      <w:lvlJc w:val="left"/>
      <w:pPr>
        <w:tabs>
          <w:tab w:val="num" w:pos="705"/>
        </w:tabs>
        <w:ind w:left="705" w:hanging="705"/>
      </w:pPr>
      <w:rPr>
        <w:rFonts w:hint="default"/>
      </w:rPr>
    </w:lvl>
  </w:abstractNum>
  <w:abstractNum w:abstractNumId="96">
    <w:nsid w:val="32954853"/>
    <w:multiLevelType w:val="singleLevel"/>
    <w:tmpl w:val="B0D09824"/>
    <w:lvl w:ilvl="0">
      <w:numFmt w:val="bullet"/>
      <w:lvlText w:val="-"/>
      <w:lvlJc w:val="left"/>
      <w:pPr>
        <w:tabs>
          <w:tab w:val="num" w:pos="705"/>
        </w:tabs>
        <w:ind w:left="705" w:hanging="705"/>
      </w:pPr>
      <w:rPr>
        <w:rFonts w:hint="default"/>
      </w:rPr>
    </w:lvl>
  </w:abstractNum>
  <w:abstractNum w:abstractNumId="97">
    <w:nsid w:val="32F81225"/>
    <w:multiLevelType w:val="multilevel"/>
    <w:tmpl w:val="CCAED9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98">
    <w:nsid w:val="336C703F"/>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99">
    <w:nsid w:val="35123CF3"/>
    <w:multiLevelType w:val="singleLevel"/>
    <w:tmpl w:val="B0D09824"/>
    <w:lvl w:ilvl="0">
      <w:numFmt w:val="bullet"/>
      <w:lvlText w:val="-"/>
      <w:lvlJc w:val="left"/>
      <w:pPr>
        <w:tabs>
          <w:tab w:val="num" w:pos="705"/>
        </w:tabs>
        <w:ind w:left="705" w:hanging="705"/>
      </w:pPr>
      <w:rPr>
        <w:rFonts w:hint="default"/>
      </w:rPr>
    </w:lvl>
  </w:abstractNum>
  <w:abstractNum w:abstractNumId="100">
    <w:nsid w:val="35EB3A7F"/>
    <w:multiLevelType w:val="singleLevel"/>
    <w:tmpl w:val="D55CBC94"/>
    <w:lvl w:ilvl="0">
      <w:start w:val="1"/>
      <w:numFmt w:val="decimal"/>
      <w:lvlText w:val="%1"/>
      <w:lvlJc w:val="left"/>
      <w:pPr>
        <w:tabs>
          <w:tab w:val="num" w:pos="360"/>
        </w:tabs>
        <w:ind w:left="360" w:hanging="360"/>
      </w:pPr>
      <w:rPr>
        <w:rFonts w:hint="default"/>
      </w:rPr>
    </w:lvl>
  </w:abstractNum>
  <w:abstractNum w:abstractNumId="101">
    <w:nsid w:val="371F5BE2"/>
    <w:multiLevelType w:val="singleLevel"/>
    <w:tmpl w:val="B0D09824"/>
    <w:lvl w:ilvl="0">
      <w:numFmt w:val="bullet"/>
      <w:lvlText w:val="-"/>
      <w:lvlJc w:val="left"/>
      <w:pPr>
        <w:tabs>
          <w:tab w:val="num" w:pos="705"/>
        </w:tabs>
        <w:ind w:left="705" w:hanging="705"/>
      </w:pPr>
      <w:rPr>
        <w:rFonts w:hint="default"/>
      </w:rPr>
    </w:lvl>
  </w:abstractNum>
  <w:abstractNum w:abstractNumId="102">
    <w:nsid w:val="3723058B"/>
    <w:multiLevelType w:val="singleLevel"/>
    <w:tmpl w:val="CB4E1D7C"/>
    <w:lvl w:ilvl="0">
      <w:start w:val="1"/>
      <w:numFmt w:val="decimal"/>
      <w:lvlText w:val="%1."/>
      <w:lvlJc w:val="left"/>
      <w:pPr>
        <w:tabs>
          <w:tab w:val="num" w:pos="1413"/>
        </w:tabs>
        <w:ind w:left="1413" w:hanging="705"/>
      </w:pPr>
      <w:rPr>
        <w:rFonts w:hint="default"/>
      </w:rPr>
    </w:lvl>
  </w:abstractNum>
  <w:abstractNum w:abstractNumId="103">
    <w:nsid w:val="37395740"/>
    <w:multiLevelType w:val="singleLevel"/>
    <w:tmpl w:val="F9DE861E"/>
    <w:lvl w:ilvl="0">
      <w:start w:val="323"/>
      <w:numFmt w:val="decimal"/>
      <w:lvlText w:val="%1."/>
      <w:lvlJc w:val="left"/>
      <w:pPr>
        <w:tabs>
          <w:tab w:val="num" w:pos="705"/>
        </w:tabs>
        <w:ind w:left="705" w:hanging="705"/>
      </w:pPr>
      <w:rPr>
        <w:rFonts w:hint="default"/>
      </w:rPr>
    </w:lvl>
  </w:abstractNum>
  <w:abstractNum w:abstractNumId="104">
    <w:nsid w:val="382C3E76"/>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05">
    <w:nsid w:val="38584D45"/>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06">
    <w:nsid w:val="385F4647"/>
    <w:multiLevelType w:val="singleLevel"/>
    <w:tmpl w:val="B0D09824"/>
    <w:lvl w:ilvl="0">
      <w:numFmt w:val="bullet"/>
      <w:lvlText w:val="-"/>
      <w:lvlJc w:val="left"/>
      <w:pPr>
        <w:tabs>
          <w:tab w:val="num" w:pos="705"/>
        </w:tabs>
        <w:ind w:left="705" w:hanging="705"/>
      </w:pPr>
      <w:rPr>
        <w:rFonts w:hint="default"/>
      </w:rPr>
    </w:lvl>
  </w:abstractNum>
  <w:abstractNum w:abstractNumId="107">
    <w:nsid w:val="38624D7B"/>
    <w:multiLevelType w:val="singleLevel"/>
    <w:tmpl w:val="B0D09824"/>
    <w:lvl w:ilvl="0">
      <w:numFmt w:val="bullet"/>
      <w:lvlText w:val="-"/>
      <w:lvlJc w:val="left"/>
      <w:pPr>
        <w:tabs>
          <w:tab w:val="num" w:pos="705"/>
        </w:tabs>
        <w:ind w:left="705" w:hanging="705"/>
      </w:pPr>
      <w:rPr>
        <w:rFonts w:hint="default"/>
      </w:rPr>
    </w:lvl>
  </w:abstractNum>
  <w:abstractNum w:abstractNumId="108">
    <w:nsid w:val="38BD5A80"/>
    <w:multiLevelType w:val="singleLevel"/>
    <w:tmpl w:val="4002DDBA"/>
    <w:lvl w:ilvl="0">
      <w:start w:val="1"/>
      <w:numFmt w:val="lowerLetter"/>
      <w:lvlText w:val="%1)"/>
      <w:lvlJc w:val="left"/>
      <w:pPr>
        <w:tabs>
          <w:tab w:val="num" w:pos="1413"/>
        </w:tabs>
        <w:ind w:left="1413" w:hanging="705"/>
      </w:pPr>
      <w:rPr>
        <w:rFonts w:hint="default"/>
      </w:rPr>
    </w:lvl>
  </w:abstractNum>
  <w:abstractNum w:abstractNumId="109">
    <w:nsid w:val="394F4DF8"/>
    <w:multiLevelType w:val="singleLevel"/>
    <w:tmpl w:val="B0D09824"/>
    <w:lvl w:ilvl="0">
      <w:numFmt w:val="bullet"/>
      <w:lvlText w:val="-"/>
      <w:lvlJc w:val="left"/>
      <w:pPr>
        <w:tabs>
          <w:tab w:val="num" w:pos="705"/>
        </w:tabs>
        <w:ind w:left="705" w:hanging="705"/>
      </w:pPr>
      <w:rPr>
        <w:rFonts w:hint="default"/>
      </w:rPr>
    </w:lvl>
  </w:abstractNum>
  <w:abstractNum w:abstractNumId="110">
    <w:nsid w:val="39AB1085"/>
    <w:multiLevelType w:val="singleLevel"/>
    <w:tmpl w:val="B0D09824"/>
    <w:lvl w:ilvl="0">
      <w:numFmt w:val="bullet"/>
      <w:lvlText w:val="-"/>
      <w:lvlJc w:val="left"/>
      <w:pPr>
        <w:tabs>
          <w:tab w:val="num" w:pos="705"/>
        </w:tabs>
        <w:ind w:left="705" w:hanging="705"/>
      </w:pPr>
      <w:rPr>
        <w:rFonts w:hint="default"/>
      </w:rPr>
    </w:lvl>
  </w:abstractNum>
  <w:abstractNum w:abstractNumId="111">
    <w:nsid w:val="3A521D6B"/>
    <w:multiLevelType w:val="singleLevel"/>
    <w:tmpl w:val="B0D09824"/>
    <w:lvl w:ilvl="0">
      <w:numFmt w:val="bullet"/>
      <w:lvlText w:val="-"/>
      <w:lvlJc w:val="left"/>
      <w:pPr>
        <w:tabs>
          <w:tab w:val="num" w:pos="705"/>
        </w:tabs>
        <w:ind w:left="705" w:hanging="705"/>
      </w:pPr>
      <w:rPr>
        <w:rFonts w:hint="default"/>
      </w:rPr>
    </w:lvl>
  </w:abstractNum>
  <w:abstractNum w:abstractNumId="112">
    <w:nsid w:val="3AD00859"/>
    <w:multiLevelType w:val="singleLevel"/>
    <w:tmpl w:val="B0D09824"/>
    <w:lvl w:ilvl="0">
      <w:numFmt w:val="bullet"/>
      <w:lvlText w:val="-"/>
      <w:lvlJc w:val="left"/>
      <w:pPr>
        <w:tabs>
          <w:tab w:val="num" w:pos="705"/>
        </w:tabs>
        <w:ind w:left="705" w:hanging="705"/>
      </w:pPr>
      <w:rPr>
        <w:rFonts w:hint="default"/>
      </w:rPr>
    </w:lvl>
  </w:abstractNum>
  <w:abstractNum w:abstractNumId="113">
    <w:nsid w:val="3AEC3EBF"/>
    <w:multiLevelType w:val="singleLevel"/>
    <w:tmpl w:val="B0D09824"/>
    <w:lvl w:ilvl="0">
      <w:numFmt w:val="bullet"/>
      <w:lvlText w:val="-"/>
      <w:lvlJc w:val="left"/>
      <w:pPr>
        <w:tabs>
          <w:tab w:val="num" w:pos="705"/>
        </w:tabs>
        <w:ind w:left="705" w:hanging="705"/>
      </w:pPr>
      <w:rPr>
        <w:rFonts w:hint="default"/>
      </w:rPr>
    </w:lvl>
  </w:abstractNum>
  <w:abstractNum w:abstractNumId="114">
    <w:nsid w:val="3AFB61D9"/>
    <w:multiLevelType w:val="singleLevel"/>
    <w:tmpl w:val="B0D09824"/>
    <w:lvl w:ilvl="0">
      <w:numFmt w:val="bullet"/>
      <w:lvlText w:val="-"/>
      <w:lvlJc w:val="left"/>
      <w:pPr>
        <w:tabs>
          <w:tab w:val="num" w:pos="705"/>
        </w:tabs>
        <w:ind w:left="705" w:hanging="705"/>
      </w:pPr>
      <w:rPr>
        <w:rFonts w:hint="default"/>
      </w:rPr>
    </w:lvl>
  </w:abstractNum>
  <w:abstractNum w:abstractNumId="115">
    <w:nsid w:val="3C0C5660"/>
    <w:multiLevelType w:val="singleLevel"/>
    <w:tmpl w:val="B0D09824"/>
    <w:lvl w:ilvl="0">
      <w:numFmt w:val="bullet"/>
      <w:lvlText w:val="-"/>
      <w:lvlJc w:val="left"/>
      <w:pPr>
        <w:tabs>
          <w:tab w:val="num" w:pos="705"/>
        </w:tabs>
        <w:ind w:left="705" w:hanging="705"/>
      </w:pPr>
      <w:rPr>
        <w:rFonts w:hint="default"/>
      </w:rPr>
    </w:lvl>
  </w:abstractNum>
  <w:abstractNum w:abstractNumId="116">
    <w:nsid w:val="3C5D027E"/>
    <w:multiLevelType w:val="singleLevel"/>
    <w:tmpl w:val="B0D09824"/>
    <w:lvl w:ilvl="0">
      <w:numFmt w:val="bullet"/>
      <w:lvlText w:val="-"/>
      <w:lvlJc w:val="left"/>
      <w:pPr>
        <w:tabs>
          <w:tab w:val="num" w:pos="705"/>
        </w:tabs>
        <w:ind w:left="705" w:hanging="705"/>
      </w:pPr>
      <w:rPr>
        <w:rFonts w:hint="default"/>
      </w:rPr>
    </w:lvl>
  </w:abstractNum>
  <w:abstractNum w:abstractNumId="117">
    <w:nsid w:val="3C63716F"/>
    <w:multiLevelType w:val="singleLevel"/>
    <w:tmpl w:val="FE3CD88A"/>
    <w:lvl w:ilvl="0">
      <w:start w:val="8"/>
      <w:numFmt w:val="lowerLetter"/>
      <w:lvlText w:val="%1)"/>
      <w:lvlJc w:val="left"/>
      <w:pPr>
        <w:tabs>
          <w:tab w:val="num" w:pos="1413"/>
        </w:tabs>
        <w:ind w:left="1413" w:hanging="705"/>
      </w:pPr>
      <w:rPr>
        <w:rFonts w:hint="default"/>
      </w:rPr>
    </w:lvl>
  </w:abstractNum>
  <w:abstractNum w:abstractNumId="118">
    <w:nsid w:val="3CEB52C7"/>
    <w:multiLevelType w:val="singleLevel"/>
    <w:tmpl w:val="B0D09824"/>
    <w:lvl w:ilvl="0">
      <w:numFmt w:val="bullet"/>
      <w:lvlText w:val="-"/>
      <w:lvlJc w:val="left"/>
      <w:pPr>
        <w:tabs>
          <w:tab w:val="num" w:pos="705"/>
        </w:tabs>
        <w:ind w:left="705" w:hanging="705"/>
      </w:pPr>
      <w:rPr>
        <w:rFonts w:hint="default"/>
      </w:rPr>
    </w:lvl>
  </w:abstractNum>
  <w:abstractNum w:abstractNumId="119">
    <w:nsid w:val="3D325AD9"/>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120">
    <w:nsid w:val="3DFA6097"/>
    <w:multiLevelType w:val="singleLevel"/>
    <w:tmpl w:val="B0D09824"/>
    <w:lvl w:ilvl="0">
      <w:numFmt w:val="bullet"/>
      <w:lvlText w:val="-"/>
      <w:lvlJc w:val="left"/>
      <w:pPr>
        <w:tabs>
          <w:tab w:val="num" w:pos="705"/>
        </w:tabs>
        <w:ind w:left="705" w:hanging="705"/>
      </w:pPr>
      <w:rPr>
        <w:rFonts w:hint="default"/>
      </w:rPr>
    </w:lvl>
  </w:abstractNum>
  <w:abstractNum w:abstractNumId="121">
    <w:nsid w:val="3E521D38"/>
    <w:multiLevelType w:val="singleLevel"/>
    <w:tmpl w:val="B0D09824"/>
    <w:lvl w:ilvl="0">
      <w:numFmt w:val="bullet"/>
      <w:lvlText w:val="-"/>
      <w:lvlJc w:val="left"/>
      <w:pPr>
        <w:tabs>
          <w:tab w:val="num" w:pos="705"/>
        </w:tabs>
        <w:ind w:left="705" w:hanging="705"/>
      </w:pPr>
      <w:rPr>
        <w:rFonts w:hint="default"/>
      </w:rPr>
    </w:lvl>
  </w:abstractNum>
  <w:abstractNum w:abstractNumId="122">
    <w:nsid w:val="3EAA3CC4"/>
    <w:multiLevelType w:val="singleLevel"/>
    <w:tmpl w:val="B0D09824"/>
    <w:lvl w:ilvl="0">
      <w:numFmt w:val="bullet"/>
      <w:lvlText w:val="-"/>
      <w:lvlJc w:val="left"/>
      <w:pPr>
        <w:tabs>
          <w:tab w:val="num" w:pos="705"/>
        </w:tabs>
        <w:ind w:left="705" w:hanging="705"/>
      </w:pPr>
      <w:rPr>
        <w:rFonts w:hint="default"/>
      </w:rPr>
    </w:lvl>
  </w:abstractNum>
  <w:abstractNum w:abstractNumId="123">
    <w:nsid w:val="3EE343AF"/>
    <w:multiLevelType w:val="singleLevel"/>
    <w:tmpl w:val="B0D09824"/>
    <w:lvl w:ilvl="0">
      <w:numFmt w:val="bullet"/>
      <w:lvlText w:val="-"/>
      <w:lvlJc w:val="left"/>
      <w:pPr>
        <w:tabs>
          <w:tab w:val="num" w:pos="705"/>
        </w:tabs>
        <w:ind w:left="705" w:hanging="705"/>
      </w:pPr>
      <w:rPr>
        <w:rFonts w:hint="default"/>
      </w:rPr>
    </w:lvl>
  </w:abstractNum>
  <w:abstractNum w:abstractNumId="124">
    <w:nsid w:val="3F4B726C"/>
    <w:multiLevelType w:val="singleLevel"/>
    <w:tmpl w:val="B0D09824"/>
    <w:lvl w:ilvl="0">
      <w:numFmt w:val="bullet"/>
      <w:lvlText w:val="-"/>
      <w:lvlJc w:val="left"/>
      <w:pPr>
        <w:tabs>
          <w:tab w:val="num" w:pos="705"/>
        </w:tabs>
        <w:ind w:left="705" w:hanging="705"/>
      </w:pPr>
      <w:rPr>
        <w:rFonts w:hint="default"/>
      </w:rPr>
    </w:lvl>
  </w:abstractNum>
  <w:abstractNum w:abstractNumId="125">
    <w:nsid w:val="40180ED1"/>
    <w:multiLevelType w:val="singleLevel"/>
    <w:tmpl w:val="B0D09824"/>
    <w:lvl w:ilvl="0">
      <w:numFmt w:val="bullet"/>
      <w:lvlText w:val="-"/>
      <w:lvlJc w:val="left"/>
      <w:pPr>
        <w:tabs>
          <w:tab w:val="num" w:pos="705"/>
        </w:tabs>
        <w:ind w:left="705" w:hanging="705"/>
      </w:pPr>
      <w:rPr>
        <w:rFonts w:hint="default"/>
      </w:rPr>
    </w:lvl>
  </w:abstractNum>
  <w:abstractNum w:abstractNumId="126">
    <w:nsid w:val="412614A2"/>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27">
    <w:nsid w:val="419121AA"/>
    <w:multiLevelType w:val="singleLevel"/>
    <w:tmpl w:val="B0D09824"/>
    <w:lvl w:ilvl="0">
      <w:numFmt w:val="bullet"/>
      <w:lvlText w:val="-"/>
      <w:lvlJc w:val="left"/>
      <w:pPr>
        <w:tabs>
          <w:tab w:val="num" w:pos="705"/>
        </w:tabs>
        <w:ind w:left="705" w:hanging="705"/>
      </w:pPr>
      <w:rPr>
        <w:rFonts w:hint="default"/>
      </w:rPr>
    </w:lvl>
  </w:abstractNum>
  <w:abstractNum w:abstractNumId="128">
    <w:nsid w:val="4298123D"/>
    <w:multiLevelType w:val="singleLevel"/>
    <w:tmpl w:val="B0D09824"/>
    <w:lvl w:ilvl="0">
      <w:numFmt w:val="bullet"/>
      <w:lvlText w:val="-"/>
      <w:lvlJc w:val="left"/>
      <w:pPr>
        <w:tabs>
          <w:tab w:val="num" w:pos="705"/>
        </w:tabs>
        <w:ind w:left="705" w:hanging="705"/>
      </w:pPr>
      <w:rPr>
        <w:rFonts w:hint="default"/>
      </w:rPr>
    </w:lvl>
  </w:abstractNum>
  <w:abstractNum w:abstractNumId="129">
    <w:nsid w:val="42E92E00"/>
    <w:multiLevelType w:val="singleLevel"/>
    <w:tmpl w:val="B0D09824"/>
    <w:lvl w:ilvl="0">
      <w:numFmt w:val="bullet"/>
      <w:lvlText w:val="-"/>
      <w:lvlJc w:val="left"/>
      <w:pPr>
        <w:tabs>
          <w:tab w:val="num" w:pos="705"/>
        </w:tabs>
        <w:ind w:left="705" w:hanging="705"/>
      </w:pPr>
      <w:rPr>
        <w:rFonts w:hint="default"/>
      </w:rPr>
    </w:lvl>
  </w:abstractNum>
  <w:abstractNum w:abstractNumId="130">
    <w:nsid w:val="43776487"/>
    <w:multiLevelType w:val="singleLevel"/>
    <w:tmpl w:val="0C0A0013"/>
    <w:lvl w:ilvl="0">
      <w:start w:val="2"/>
      <w:numFmt w:val="upperRoman"/>
      <w:lvlText w:val="%1."/>
      <w:lvlJc w:val="left"/>
      <w:pPr>
        <w:tabs>
          <w:tab w:val="num" w:pos="720"/>
        </w:tabs>
        <w:ind w:left="720" w:hanging="720"/>
      </w:pPr>
      <w:rPr>
        <w:rFonts w:hint="default"/>
      </w:rPr>
    </w:lvl>
  </w:abstractNum>
  <w:abstractNum w:abstractNumId="131">
    <w:nsid w:val="447579D8"/>
    <w:multiLevelType w:val="singleLevel"/>
    <w:tmpl w:val="B0D09824"/>
    <w:lvl w:ilvl="0">
      <w:numFmt w:val="bullet"/>
      <w:lvlText w:val="-"/>
      <w:lvlJc w:val="left"/>
      <w:pPr>
        <w:tabs>
          <w:tab w:val="num" w:pos="705"/>
        </w:tabs>
        <w:ind w:left="705" w:hanging="705"/>
      </w:pPr>
      <w:rPr>
        <w:rFonts w:hint="default"/>
      </w:rPr>
    </w:lvl>
  </w:abstractNum>
  <w:abstractNum w:abstractNumId="132">
    <w:nsid w:val="44E123F0"/>
    <w:multiLevelType w:val="singleLevel"/>
    <w:tmpl w:val="B0D09824"/>
    <w:lvl w:ilvl="0">
      <w:numFmt w:val="bullet"/>
      <w:lvlText w:val="-"/>
      <w:lvlJc w:val="left"/>
      <w:pPr>
        <w:tabs>
          <w:tab w:val="num" w:pos="705"/>
        </w:tabs>
        <w:ind w:left="705" w:hanging="705"/>
      </w:pPr>
      <w:rPr>
        <w:rFonts w:hint="default"/>
      </w:rPr>
    </w:lvl>
  </w:abstractNum>
  <w:abstractNum w:abstractNumId="133">
    <w:nsid w:val="45EF1E23"/>
    <w:multiLevelType w:val="singleLevel"/>
    <w:tmpl w:val="B0D09824"/>
    <w:lvl w:ilvl="0">
      <w:numFmt w:val="bullet"/>
      <w:lvlText w:val="-"/>
      <w:lvlJc w:val="left"/>
      <w:pPr>
        <w:tabs>
          <w:tab w:val="num" w:pos="705"/>
        </w:tabs>
        <w:ind w:left="705" w:hanging="705"/>
      </w:pPr>
      <w:rPr>
        <w:rFonts w:hint="default"/>
      </w:rPr>
    </w:lvl>
  </w:abstractNum>
  <w:abstractNum w:abstractNumId="134">
    <w:nsid w:val="4662732B"/>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35">
    <w:nsid w:val="46D3482B"/>
    <w:multiLevelType w:val="singleLevel"/>
    <w:tmpl w:val="B0D09824"/>
    <w:lvl w:ilvl="0">
      <w:numFmt w:val="bullet"/>
      <w:lvlText w:val="-"/>
      <w:lvlJc w:val="left"/>
      <w:pPr>
        <w:tabs>
          <w:tab w:val="num" w:pos="705"/>
        </w:tabs>
        <w:ind w:left="705" w:hanging="705"/>
      </w:pPr>
      <w:rPr>
        <w:rFonts w:hint="default"/>
      </w:rPr>
    </w:lvl>
  </w:abstractNum>
  <w:abstractNum w:abstractNumId="136">
    <w:nsid w:val="485A6B17"/>
    <w:multiLevelType w:val="singleLevel"/>
    <w:tmpl w:val="199A8646"/>
    <w:lvl w:ilvl="0">
      <w:start w:val="2"/>
      <w:numFmt w:val="decimal"/>
      <w:lvlText w:val="%1."/>
      <w:lvlJc w:val="left"/>
      <w:pPr>
        <w:tabs>
          <w:tab w:val="num" w:pos="1413"/>
        </w:tabs>
        <w:ind w:left="1413" w:hanging="705"/>
      </w:pPr>
      <w:rPr>
        <w:rFonts w:hint="default"/>
      </w:rPr>
    </w:lvl>
  </w:abstractNum>
  <w:abstractNum w:abstractNumId="137">
    <w:nsid w:val="49F20E8F"/>
    <w:multiLevelType w:val="singleLevel"/>
    <w:tmpl w:val="B0D09824"/>
    <w:lvl w:ilvl="0">
      <w:numFmt w:val="bullet"/>
      <w:lvlText w:val="-"/>
      <w:lvlJc w:val="left"/>
      <w:pPr>
        <w:tabs>
          <w:tab w:val="num" w:pos="705"/>
        </w:tabs>
        <w:ind w:left="705" w:hanging="705"/>
      </w:pPr>
      <w:rPr>
        <w:rFonts w:hint="default"/>
      </w:rPr>
    </w:lvl>
  </w:abstractNum>
  <w:abstractNum w:abstractNumId="138">
    <w:nsid w:val="4A097713"/>
    <w:multiLevelType w:val="singleLevel"/>
    <w:tmpl w:val="B0D09824"/>
    <w:lvl w:ilvl="0">
      <w:numFmt w:val="bullet"/>
      <w:lvlText w:val="-"/>
      <w:lvlJc w:val="left"/>
      <w:pPr>
        <w:tabs>
          <w:tab w:val="num" w:pos="705"/>
        </w:tabs>
        <w:ind w:left="705" w:hanging="705"/>
      </w:pPr>
      <w:rPr>
        <w:rFonts w:hint="default"/>
      </w:rPr>
    </w:lvl>
  </w:abstractNum>
  <w:abstractNum w:abstractNumId="139">
    <w:nsid w:val="4A100B7D"/>
    <w:multiLevelType w:val="singleLevel"/>
    <w:tmpl w:val="B0D09824"/>
    <w:lvl w:ilvl="0">
      <w:numFmt w:val="bullet"/>
      <w:lvlText w:val="-"/>
      <w:lvlJc w:val="left"/>
      <w:pPr>
        <w:tabs>
          <w:tab w:val="num" w:pos="705"/>
        </w:tabs>
        <w:ind w:left="705" w:hanging="705"/>
      </w:pPr>
      <w:rPr>
        <w:rFonts w:hint="default"/>
      </w:rPr>
    </w:lvl>
  </w:abstractNum>
  <w:abstractNum w:abstractNumId="140">
    <w:nsid w:val="4ABA7853"/>
    <w:multiLevelType w:val="singleLevel"/>
    <w:tmpl w:val="BB821114"/>
    <w:lvl w:ilvl="0">
      <w:start w:val="4"/>
      <w:numFmt w:val="lowerLetter"/>
      <w:lvlText w:val="%1)"/>
      <w:lvlJc w:val="left"/>
      <w:pPr>
        <w:tabs>
          <w:tab w:val="num" w:pos="1413"/>
        </w:tabs>
        <w:ind w:left="1413" w:hanging="705"/>
      </w:pPr>
      <w:rPr>
        <w:rFonts w:hint="default"/>
      </w:rPr>
    </w:lvl>
  </w:abstractNum>
  <w:abstractNum w:abstractNumId="141">
    <w:nsid w:val="4ADC2482"/>
    <w:multiLevelType w:val="singleLevel"/>
    <w:tmpl w:val="B0D09824"/>
    <w:lvl w:ilvl="0">
      <w:numFmt w:val="bullet"/>
      <w:lvlText w:val="-"/>
      <w:lvlJc w:val="left"/>
      <w:pPr>
        <w:tabs>
          <w:tab w:val="num" w:pos="705"/>
        </w:tabs>
        <w:ind w:left="705" w:hanging="705"/>
      </w:pPr>
      <w:rPr>
        <w:rFonts w:hint="default"/>
      </w:rPr>
    </w:lvl>
  </w:abstractNum>
  <w:abstractNum w:abstractNumId="142">
    <w:nsid w:val="4E41685A"/>
    <w:multiLevelType w:val="singleLevel"/>
    <w:tmpl w:val="0C0A0013"/>
    <w:lvl w:ilvl="0">
      <w:start w:val="1"/>
      <w:numFmt w:val="upperRoman"/>
      <w:lvlText w:val="%1."/>
      <w:lvlJc w:val="left"/>
      <w:pPr>
        <w:tabs>
          <w:tab w:val="num" w:pos="720"/>
        </w:tabs>
        <w:ind w:left="720" w:hanging="720"/>
      </w:pPr>
      <w:rPr>
        <w:rFonts w:hint="default"/>
      </w:rPr>
    </w:lvl>
  </w:abstractNum>
  <w:abstractNum w:abstractNumId="143">
    <w:nsid w:val="501623B5"/>
    <w:multiLevelType w:val="singleLevel"/>
    <w:tmpl w:val="B0D09824"/>
    <w:lvl w:ilvl="0">
      <w:numFmt w:val="bullet"/>
      <w:lvlText w:val="-"/>
      <w:lvlJc w:val="left"/>
      <w:pPr>
        <w:tabs>
          <w:tab w:val="num" w:pos="705"/>
        </w:tabs>
        <w:ind w:left="705" w:hanging="705"/>
      </w:pPr>
      <w:rPr>
        <w:rFonts w:hint="default"/>
      </w:rPr>
    </w:lvl>
  </w:abstractNum>
  <w:abstractNum w:abstractNumId="144">
    <w:nsid w:val="505E6F5E"/>
    <w:multiLevelType w:val="singleLevel"/>
    <w:tmpl w:val="B0D09824"/>
    <w:lvl w:ilvl="0">
      <w:numFmt w:val="bullet"/>
      <w:lvlText w:val="-"/>
      <w:lvlJc w:val="left"/>
      <w:pPr>
        <w:tabs>
          <w:tab w:val="num" w:pos="705"/>
        </w:tabs>
        <w:ind w:left="705" w:hanging="705"/>
      </w:pPr>
      <w:rPr>
        <w:rFonts w:hint="default"/>
      </w:rPr>
    </w:lvl>
  </w:abstractNum>
  <w:abstractNum w:abstractNumId="145">
    <w:nsid w:val="50BC15A0"/>
    <w:multiLevelType w:val="singleLevel"/>
    <w:tmpl w:val="99388A5C"/>
    <w:lvl w:ilvl="0">
      <w:start w:val="1"/>
      <w:numFmt w:val="lowerLetter"/>
      <w:lvlText w:val="%1)"/>
      <w:lvlJc w:val="left"/>
      <w:pPr>
        <w:tabs>
          <w:tab w:val="num" w:pos="705"/>
        </w:tabs>
        <w:ind w:left="705" w:hanging="705"/>
      </w:pPr>
      <w:rPr>
        <w:rFonts w:hint="default"/>
      </w:rPr>
    </w:lvl>
  </w:abstractNum>
  <w:abstractNum w:abstractNumId="146">
    <w:nsid w:val="510B4A50"/>
    <w:multiLevelType w:val="singleLevel"/>
    <w:tmpl w:val="B0D09824"/>
    <w:lvl w:ilvl="0">
      <w:numFmt w:val="bullet"/>
      <w:lvlText w:val="-"/>
      <w:lvlJc w:val="left"/>
      <w:pPr>
        <w:tabs>
          <w:tab w:val="num" w:pos="705"/>
        </w:tabs>
        <w:ind w:left="705" w:hanging="705"/>
      </w:pPr>
      <w:rPr>
        <w:rFonts w:hint="default"/>
      </w:rPr>
    </w:lvl>
  </w:abstractNum>
  <w:abstractNum w:abstractNumId="147">
    <w:nsid w:val="51A62516"/>
    <w:multiLevelType w:val="singleLevel"/>
    <w:tmpl w:val="FD6A9722"/>
    <w:lvl w:ilvl="0">
      <w:start w:val="1"/>
      <w:numFmt w:val="lowerLetter"/>
      <w:lvlText w:val="%1)"/>
      <w:lvlJc w:val="left"/>
      <w:pPr>
        <w:tabs>
          <w:tab w:val="num" w:pos="1068"/>
        </w:tabs>
        <w:ind w:left="1068" w:hanging="360"/>
      </w:pPr>
      <w:rPr>
        <w:rFonts w:hint="default"/>
      </w:rPr>
    </w:lvl>
  </w:abstractNum>
  <w:abstractNum w:abstractNumId="148">
    <w:nsid w:val="51D36540"/>
    <w:multiLevelType w:val="singleLevel"/>
    <w:tmpl w:val="B0D09824"/>
    <w:lvl w:ilvl="0">
      <w:numFmt w:val="bullet"/>
      <w:lvlText w:val="-"/>
      <w:lvlJc w:val="left"/>
      <w:pPr>
        <w:tabs>
          <w:tab w:val="num" w:pos="705"/>
        </w:tabs>
        <w:ind w:left="705" w:hanging="705"/>
      </w:pPr>
      <w:rPr>
        <w:rFonts w:hint="default"/>
      </w:rPr>
    </w:lvl>
  </w:abstractNum>
  <w:abstractNum w:abstractNumId="149">
    <w:nsid w:val="52024EB0"/>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50">
    <w:nsid w:val="524721C1"/>
    <w:multiLevelType w:val="singleLevel"/>
    <w:tmpl w:val="B0D09824"/>
    <w:lvl w:ilvl="0">
      <w:numFmt w:val="bullet"/>
      <w:lvlText w:val="-"/>
      <w:lvlJc w:val="left"/>
      <w:pPr>
        <w:tabs>
          <w:tab w:val="num" w:pos="705"/>
        </w:tabs>
        <w:ind w:left="705" w:hanging="705"/>
      </w:pPr>
      <w:rPr>
        <w:rFonts w:hint="default"/>
      </w:rPr>
    </w:lvl>
  </w:abstractNum>
  <w:abstractNum w:abstractNumId="151">
    <w:nsid w:val="52500723"/>
    <w:multiLevelType w:val="singleLevel"/>
    <w:tmpl w:val="B0D09824"/>
    <w:lvl w:ilvl="0">
      <w:numFmt w:val="bullet"/>
      <w:lvlText w:val="-"/>
      <w:lvlJc w:val="left"/>
      <w:pPr>
        <w:tabs>
          <w:tab w:val="num" w:pos="705"/>
        </w:tabs>
        <w:ind w:left="705" w:hanging="705"/>
      </w:pPr>
      <w:rPr>
        <w:rFonts w:hint="default"/>
      </w:rPr>
    </w:lvl>
  </w:abstractNum>
  <w:abstractNum w:abstractNumId="152">
    <w:nsid w:val="527760D8"/>
    <w:multiLevelType w:val="singleLevel"/>
    <w:tmpl w:val="B0D09824"/>
    <w:lvl w:ilvl="0">
      <w:numFmt w:val="bullet"/>
      <w:lvlText w:val="-"/>
      <w:lvlJc w:val="left"/>
      <w:pPr>
        <w:tabs>
          <w:tab w:val="num" w:pos="705"/>
        </w:tabs>
        <w:ind w:left="705" w:hanging="705"/>
      </w:pPr>
      <w:rPr>
        <w:rFonts w:hint="default"/>
      </w:rPr>
    </w:lvl>
  </w:abstractNum>
  <w:abstractNum w:abstractNumId="153">
    <w:nsid w:val="52927A06"/>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54">
    <w:nsid w:val="53C43DD1"/>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55">
    <w:nsid w:val="54103A9E"/>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56">
    <w:nsid w:val="5481156B"/>
    <w:multiLevelType w:val="singleLevel"/>
    <w:tmpl w:val="B0D09824"/>
    <w:lvl w:ilvl="0">
      <w:numFmt w:val="bullet"/>
      <w:lvlText w:val="-"/>
      <w:lvlJc w:val="left"/>
      <w:pPr>
        <w:tabs>
          <w:tab w:val="num" w:pos="705"/>
        </w:tabs>
        <w:ind w:left="705" w:hanging="705"/>
      </w:pPr>
      <w:rPr>
        <w:rFonts w:hint="default"/>
      </w:rPr>
    </w:lvl>
  </w:abstractNum>
  <w:abstractNum w:abstractNumId="157">
    <w:nsid w:val="54CD0C22"/>
    <w:multiLevelType w:val="singleLevel"/>
    <w:tmpl w:val="324CF14E"/>
    <w:lvl w:ilvl="0">
      <w:start w:val="106"/>
      <w:numFmt w:val="decimal"/>
      <w:lvlText w:val="%1."/>
      <w:lvlJc w:val="left"/>
      <w:pPr>
        <w:tabs>
          <w:tab w:val="num" w:pos="705"/>
        </w:tabs>
        <w:ind w:left="705" w:hanging="705"/>
      </w:pPr>
      <w:rPr>
        <w:rFonts w:hint="default"/>
      </w:rPr>
    </w:lvl>
  </w:abstractNum>
  <w:abstractNum w:abstractNumId="158">
    <w:nsid w:val="54DB0BF6"/>
    <w:multiLevelType w:val="singleLevel"/>
    <w:tmpl w:val="B0D09824"/>
    <w:lvl w:ilvl="0">
      <w:numFmt w:val="bullet"/>
      <w:lvlText w:val="-"/>
      <w:lvlJc w:val="left"/>
      <w:pPr>
        <w:tabs>
          <w:tab w:val="num" w:pos="705"/>
        </w:tabs>
        <w:ind w:left="705" w:hanging="705"/>
      </w:pPr>
      <w:rPr>
        <w:rFonts w:hint="default"/>
      </w:rPr>
    </w:lvl>
  </w:abstractNum>
  <w:abstractNum w:abstractNumId="159">
    <w:nsid w:val="55C06DB7"/>
    <w:multiLevelType w:val="singleLevel"/>
    <w:tmpl w:val="B0D09824"/>
    <w:lvl w:ilvl="0">
      <w:numFmt w:val="bullet"/>
      <w:lvlText w:val="-"/>
      <w:lvlJc w:val="left"/>
      <w:pPr>
        <w:tabs>
          <w:tab w:val="num" w:pos="705"/>
        </w:tabs>
        <w:ind w:left="705" w:hanging="705"/>
      </w:pPr>
      <w:rPr>
        <w:rFonts w:hint="default"/>
      </w:rPr>
    </w:lvl>
  </w:abstractNum>
  <w:abstractNum w:abstractNumId="160">
    <w:nsid w:val="55FF62A4"/>
    <w:multiLevelType w:val="singleLevel"/>
    <w:tmpl w:val="B0D09824"/>
    <w:lvl w:ilvl="0">
      <w:numFmt w:val="bullet"/>
      <w:lvlText w:val="-"/>
      <w:lvlJc w:val="left"/>
      <w:pPr>
        <w:tabs>
          <w:tab w:val="num" w:pos="705"/>
        </w:tabs>
        <w:ind w:left="705" w:hanging="705"/>
      </w:pPr>
      <w:rPr>
        <w:rFonts w:hint="default"/>
      </w:rPr>
    </w:lvl>
  </w:abstractNum>
  <w:abstractNum w:abstractNumId="161">
    <w:nsid w:val="56827137"/>
    <w:multiLevelType w:val="singleLevel"/>
    <w:tmpl w:val="B0D09824"/>
    <w:lvl w:ilvl="0">
      <w:numFmt w:val="bullet"/>
      <w:lvlText w:val="-"/>
      <w:lvlJc w:val="left"/>
      <w:pPr>
        <w:tabs>
          <w:tab w:val="num" w:pos="705"/>
        </w:tabs>
        <w:ind w:left="705" w:hanging="705"/>
      </w:pPr>
      <w:rPr>
        <w:rFonts w:hint="default"/>
      </w:rPr>
    </w:lvl>
  </w:abstractNum>
  <w:abstractNum w:abstractNumId="162">
    <w:nsid w:val="56DC735D"/>
    <w:multiLevelType w:val="singleLevel"/>
    <w:tmpl w:val="B0D09824"/>
    <w:lvl w:ilvl="0">
      <w:numFmt w:val="bullet"/>
      <w:lvlText w:val="-"/>
      <w:lvlJc w:val="left"/>
      <w:pPr>
        <w:tabs>
          <w:tab w:val="num" w:pos="705"/>
        </w:tabs>
        <w:ind w:left="705" w:hanging="705"/>
      </w:pPr>
      <w:rPr>
        <w:rFonts w:hint="default"/>
      </w:rPr>
    </w:lvl>
  </w:abstractNum>
  <w:abstractNum w:abstractNumId="163">
    <w:nsid w:val="572C011E"/>
    <w:multiLevelType w:val="singleLevel"/>
    <w:tmpl w:val="B0D09824"/>
    <w:lvl w:ilvl="0">
      <w:numFmt w:val="bullet"/>
      <w:lvlText w:val="-"/>
      <w:lvlJc w:val="left"/>
      <w:pPr>
        <w:tabs>
          <w:tab w:val="num" w:pos="705"/>
        </w:tabs>
        <w:ind w:left="705" w:hanging="705"/>
      </w:pPr>
      <w:rPr>
        <w:rFonts w:hint="default"/>
      </w:rPr>
    </w:lvl>
  </w:abstractNum>
  <w:abstractNum w:abstractNumId="164">
    <w:nsid w:val="5772018D"/>
    <w:multiLevelType w:val="singleLevel"/>
    <w:tmpl w:val="B0D09824"/>
    <w:lvl w:ilvl="0">
      <w:numFmt w:val="bullet"/>
      <w:lvlText w:val="-"/>
      <w:lvlJc w:val="left"/>
      <w:pPr>
        <w:tabs>
          <w:tab w:val="num" w:pos="705"/>
        </w:tabs>
        <w:ind w:left="705" w:hanging="705"/>
      </w:pPr>
      <w:rPr>
        <w:rFonts w:hint="default"/>
      </w:rPr>
    </w:lvl>
  </w:abstractNum>
  <w:abstractNum w:abstractNumId="165">
    <w:nsid w:val="577F79BC"/>
    <w:multiLevelType w:val="singleLevel"/>
    <w:tmpl w:val="B0D09824"/>
    <w:lvl w:ilvl="0">
      <w:numFmt w:val="bullet"/>
      <w:lvlText w:val="-"/>
      <w:lvlJc w:val="left"/>
      <w:pPr>
        <w:tabs>
          <w:tab w:val="num" w:pos="705"/>
        </w:tabs>
        <w:ind w:left="705" w:hanging="705"/>
      </w:pPr>
      <w:rPr>
        <w:rFonts w:hint="default"/>
      </w:rPr>
    </w:lvl>
  </w:abstractNum>
  <w:abstractNum w:abstractNumId="166">
    <w:nsid w:val="57C01822"/>
    <w:multiLevelType w:val="singleLevel"/>
    <w:tmpl w:val="B0D09824"/>
    <w:lvl w:ilvl="0">
      <w:numFmt w:val="bullet"/>
      <w:lvlText w:val="-"/>
      <w:lvlJc w:val="left"/>
      <w:pPr>
        <w:tabs>
          <w:tab w:val="num" w:pos="705"/>
        </w:tabs>
        <w:ind w:left="705" w:hanging="705"/>
      </w:pPr>
      <w:rPr>
        <w:rFonts w:hint="default"/>
      </w:rPr>
    </w:lvl>
  </w:abstractNum>
  <w:abstractNum w:abstractNumId="167">
    <w:nsid w:val="5844015D"/>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68">
    <w:nsid w:val="5891757C"/>
    <w:multiLevelType w:val="singleLevel"/>
    <w:tmpl w:val="B0D09824"/>
    <w:lvl w:ilvl="0">
      <w:numFmt w:val="bullet"/>
      <w:lvlText w:val="-"/>
      <w:lvlJc w:val="left"/>
      <w:pPr>
        <w:tabs>
          <w:tab w:val="num" w:pos="705"/>
        </w:tabs>
        <w:ind w:left="705" w:hanging="705"/>
      </w:pPr>
      <w:rPr>
        <w:rFonts w:hint="default"/>
      </w:rPr>
    </w:lvl>
  </w:abstractNum>
  <w:abstractNum w:abstractNumId="169">
    <w:nsid w:val="58987A23"/>
    <w:multiLevelType w:val="singleLevel"/>
    <w:tmpl w:val="B0D09824"/>
    <w:lvl w:ilvl="0">
      <w:numFmt w:val="bullet"/>
      <w:lvlText w:val="-"/>
      <w:lvlJc w:val="left"/>
      <w:pPr>
        <w:tabs>
          <w:tab w:val="num" w:pos="705"/>
        </w:tabs>
        <w:ind w:left="705" w:hanging="705"/>
      </w:pPr>
      <w:rPr>
        <w:rFonts w:hint="default"/>
      </w:rPr>
    </w:lvl>
  </w:abstractNum>
  <w:abstractNum w:abstractNumId="170">
    <w:nsid w:val="5A8A18E3"/>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71">
    <w:nsid w:val="5AB35107"/>
    <w:multiLevelType w:val="singleLevel"/>
    <w:tmpl w:val="6C58DDE2"/>
    <w:lvl w:ilvl="0">
      <w:start w:val="1"/>
      <w:numFmt w:val="lowerLetter"/>
      <w:lvlText w:val="%1)"/>
      <w:lvlJc w:val="left"/>
      <w:pPr>
        <w:tabs>
          <w:tab w:val="num" w:pos="705"/>
        </w:tabs>
        <w:ind w:left="705" w:hanging="705"/>
      </w:pPr>
      <w:rPr>
        <w:rFonts w:hint="default"/>
      </w:rPr>
    </w:lvl>
  </w:abstractNum>
  <w:abstractNum w:abstractNumId="172">
    <w:nsid w:val="5AB93EB0"/>
    <w:multiLevelType w:val="singleLevel"/>
    <w:tmpl w:val="B0D09824"/>
    <w:lvl w:ilvl="0">
      <w:numFmt w:val="bullet"/>
      <w:lvlText w:val="-"/>
      <w:lvlJc w:val="left"/>
      <w:pPr>
        <w:tabs>
          <w:tab w:val="num" w:pos="705"/>
        </w:tabs>
        <w:ind w:left="705" w:hanging="705"/>
      </w:pPr>
      <w:rPr>
        <w:rFonts w:hint="default"/>
      </w:rPr>
    </w:lvl>
  </w:abstractNum>
  <w:abstractNum w:abstractNumId="173">
    <w:nsid w:val="5C1C68B0"/>
    <w:multiLevelType w:val="singleLevel"/>
    <w:tmpl w:val="B0D09824"/>
    <w:lvl w:ilvl="0">
      <w:numFmt w:val="bullet"/>
      <w:lvlText w:val="-"/>
      <w:lvlJc w:val="left"/>
      <w:pPr>
        <w:tabs>
          <w:tab w:val="num" w:pos="705"/>
        </w:tabs>
        <w:ind w:left="705" w:hanging="705"/>
      </w:pPr>
      <w:rPr>
        <w:rFonts w:hint="default"/>
      </w:rPr>
    </w:lvl>
  </w:abstractNum>
  <w:abstractNum w:abstractNumId="174">
    <w:nsid w:val="5C2E2047"/>
    <w:multiLevelType w:val="singleLevel"/>
    <w:tmpl w:val="B0D09824"/>
    <w:lvl w:ilvl="0">
      <w:numFmt w:val="bullet"/>
      <w:lvlText w:val="-"/>
      <w:lvlJc w:val="left"/>
      <w:pPr>
        <w:tabs>
          <w:tab w:val="num" w:pos="705"/>
        </w:tabs>
        <w:ind w:left="705" w:hanging="705"/>
      </w:pPr>
      <w:rPr>
        <w:rFonts w:hint="default"/>
      </w:rPr>
    </w:lvl>
  </w:abstractNum>
  <w:abstractNum w:abstractNumId="175">
    <w:nsid w:val="5D3455AC"/>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76">
    <w:nsid w:val="5D901899"/>
    <w:multiLevelType w:val="singleLevel"/>
    <w:tmpl w:val="B0D09824"/>
    <w:lvl w:ilvl="0">
      <w:numFmt w:val="bullet"/>
      <w:lvlText w:val="-"/>
      <w:lvlJc w:val="left"/>
      <w:pPr>
        <w:tabs>
          <w:tab w:val="num" w:pos="705"/>
        </w:tabs>
        <w:ind w:left="705" w:hanging="705"/>
      </w:pPr>
      <w:rPr>
        <w:rFonts w:hint="default"/>
      </w:rPr>
    </w:lvl>
  </w:abstractNum>
  <w:abstractNum w:abstractNumId="177">
    <w:nsid w:val="5DDD2B27"/>
    <w:multiLevelType w:val="singleLevel"/>
    <w:tmpl w:val="B0D09824"/>
    <w:lvl w:ilvl="0">
      <w:numFmt w:val="bullet"/>
      <w:lvlText w:val="-"/>
      <w:lvlJc w:val="left"/>
      <w:pPr>
        <w:tabs>
          <w:tab w:val="num" w:pos="705"/>
        </w:tabs>
        <w:ind w:left="705" w:hanging="705"/>
      </w:pPr>
      <w:rPr>
        <w:rFonts w:hint="default"/>
      </w:rPr>
    </w:lvl>
  </w:abstractNum>
  <w:abstractNum w:abstractNumId="178">
    <w:nsid w:val="5F69046A"/>
    <w:multiLevelType w:val="singleLevel"/>
    <w:tmpl w:val="B0D09824"/>
    <w:lvl w:ilvl="0">
      <w:numFmt w:val="bullet"/>
      <w:lvlText w:val="-"/>
      <w:lvlJc w:val="left"/>
      <w:pPr>
        <w:tabs>
          <w:tab w:val="num" w:pos="705"/>
        </w:tabs>
        <w:ind w:left="705" w:hanging="705"/>
      </w:pPr>
      <w:rPr>
        <w:rFonts w:hint="default"/>
      </w:rPr>
    </w:lvl>
  </w:abstractNum>
  <w:abstractNum w:abstractNumId="179">
    <w:nsid w:val="5FF22020"/>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80">
    <w:nsid w:val="602B204C"/>
    <w:multiLevelType w:val="singleLevel"/>
    <w:tmpl w:val="B0D09824"/>
    <w:lvl w:ilvl="0">
      <w:numFmt w:val="bullet"/>
      <w:lvlText w:val="-"/>
      <w:lvlJc w:val="left"/>
      <w:pPr>
        <w:tabs>
          <w:tab w:val="num" w:pos="705"/>
        </w:tabs>
        <w:ind w:left="705" w:hanging="705"/>
      </w:pPr>
      <w:rPr>
        <w:rFonts w:hint="default"/>
      </w:rPr>
    </w:lvl>
  </w:abstractNum>
  <w:abstractNum w:abstractNumId="181">
    <w:nsid w:val="60C106C9"/>
    <w:multiLevelType w:val="singleLevel"/>
    <w:tmpl w:val="B0D09824"/>
    <w:lvl w:ilvl="0">
      <w:numFmt w:val="bullet"/>
      <w:lvlText w:val="-"/>
      <w:lvlJc w:val="left"/>
      <w:pPr>
        <w:tabs>
          <w:tab w:val="num" w:pos="705"/>
        </w:tabs>
        <w:ind w:left="705" w:hanging="705"/>
      </w:pPr>
      <w:rPr>
        <w:rFonts w:hint="default"/>
      </w:rPr>
    </w:lvl>
  </w:abstractNum>
  <w:abstractNum w:abstractNumId="182">
    <w:nsid w:val="60F86235"/>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83">
    <w:nsid w:val="61390504"/>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84">
    <w:nsid w:val="61E25F85"/>
    <w:multiLevelType w:val="singleLevel"/>
    <w:tmpl w:val="B0D09824"/>
    <w:lvl w:ilvl="0">
      <w:numFmt w:val="bullet"/>
      <w:lvlText w:val="-"/>
      <w:lvlJc w:val="left"/>
      <w:pPr>
        <w:tabs>
          <w:tab w:val="num" w:pos="705"/>
        </w:tabs>
        <w:ind w:left="705" w:hanging="705"/>
      </w:pPr>
      <w:rPr>
        <w:rFonts w:hint="default"/>
      </w:rPr>
    </w:lvl>
  </w:abstractNum>
  <w:abstractNum w:abstractNumId="185">
    <w:nsid w:val="6212239A"/>
    <w:multiLevelType w:val="singleLevel"/>
    <w:tmpl w:val="B0D09824"/>
    <w:lvl w:ilvl="0">
      <w:numFmt w:val="bullet"/>
      <w:lvlText w:val="-"/>
      <w:lvlJc w:val="left"/>
      <w:pPr>
        <w:tabs>
          <w:tab w:val="num" w:pos="705"/>
        </w:tabs>
        <w:ind w:left="705" w:hanging="705"/>
      </w:pPr>
      <w:rPr>
        <w:rFonts w:hint="default"/>
      </w:rPr>
    </w:lvl>
  </w:abstractNum>
  <w:abstractNum w:abstractNumId="186">
    <w:nsid w:val="624B154E"/>
    <w:multiLevelType w:val="singleLevel"/>
    <w:tmpl w:val="B0D09824"/>
    <w:lvl w:ilvl="0">
      <w:numFmt w:val="bullet"/>
      <w:lvlText w:val="-"/>
      <w:lvlJc w:val="left"/>
      <w:pPr>
        <w:tabs>
          <w:tab w:val="num" w:pos="705"/>
        </w:tabs>
        <w:ind w:left="705" w:hanging="705"/>
      </w:pPr>
      <w:rPr>
        <w:rFonts w:hint="default"/>
      </w:rPr>
    </w:lvl>
  </w:abstractNum>
  <w:abstractNum w:abstractNumId="187">
    <w:nsid w:val="62B634F8"/>
    <w:multiLevelType w:val="singleLevel"/>
    <w:tmpl w:val="B67E7D4C"/>
    <w:lvl w:ilvl="0">
      <w:start w:val="383"/>
      <w:numFmt w:val="decimal"/>
      <w:lvlText w:val="%1."/>
      <w:lvlJc w:val="left"/>
      <w:pPr>
        <w:tabs>
          <w:tab w:val="num" w:pos="705"/>
        </w:tabs>
        <w:ind w:left="705" w:hanging="705"/>
      </w:pPr>
      <w:rPr>
        <w:rFonts w:hint="default"/>
      </w:rPr>
    </w:lvl>
  </w:abstractNum>
  <w:abstractNum w:abstractNumId="188">
    <w:nsid w:val="62BC216D"/>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89">
    <w:nsid w:val="630451D8"/>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190">
    <w:nsid w:val="635A4F6C"/>
    <w:multiLevelType w:val="singleLevel"/>
    <w:tmpl w:val="B0D09824"/>
    <w:lvl w:ilvl="0">
      <w:numFmt w:val="bullet"/>
      <w:lvlText w:val="-"/>
      <w:lvlJc w:val="left"/>
      <w:pPr>
        <w:tabs>
          <w:tab w:val="num" w:pos="705"/>
        </w:tabs>
        <w:ind w:left="705" w:hanging="705"/>
      </w:pPr>
      <w:rPr>
        <w:rFonts w:hint="default"/>
      </w:rPr>
    </w:lvl>
  </w:abstractNum>
  <w:abstractNum w:abstractNumId="191">
    <w:nsid w:val="63806D93"/>
    <w:multiLevelType w:val="singleLevel"/>
    <w:tmpl w:val="B0D09824"/>
    <w:lvl w:ilvl="0">
      <w:numFmt w:val="bullet"/>
      <w:lvlText w:val="-"/>
      <w:lvlJc w:val="left"/>
      <w:pPr>
        <w:tabs>
          <w:tab w:val="num" w:pos="705"/>
        </w:tabs>
        <w:ind w:left="705" w:hanging="705"/>
      </w:pPr>
      <w:rPr>
        <w:rFonts w:hint="default"/>
      </w:rPr>
    </w:lvl>
  </w:abstractNum>
  <w:abstractNum w:abstractNumId="192">
    <w:nsid w:val="64AE3E57"/>
    <w:multiLevelType w:val="singleLevel"/>
    <w:tmpl w:val="B0D09824"/>
    <w:lvl w:ilvl="0">
      <w:numFmt w:val="bullet"/>
      <w:lvlText w:val="-"/>
      <w:lvlJc w:val="left"/>
      <w:pPr>
        <w:tabs>
          <w:tab w:val="num" w:pos="705"/>
        </w:tabs>
        <w:ind w:left="705" w:hanging="705"/>
      </w:pPr>
      <w:rPr>
        <w:rFonts w:hint="default"/>
      </w:rPr>
    </w:lvl>
  </w:abstractNum>
  <w:abstractNum w:abstractNumId="193">
    <w:nsid w:val="64DB7107"/>
    <w:multiLevelType w:val="singleLevel"/>
    <w:tmpl w:val="B0D09824"/>
    <w:lvl w:ilvl="0">
      <w:numFmt w:val="bullet"/>
      <w:lvlText w:val="-"/>
      <w:lvlJc w:val="left"/>
      <w:pPr>
        <w:tabs>
          <w:tab w:val="num" w:pos="705"/>
        </w:tabs>
        <w:ind w:left="705" w:hanging="705"/>
      </w:pPr>
      <w:rPr>
        <w:rFonts w:hint="default"/>
      </w:rPr>
    </w:lvl>
  </w:abstractNum>
  <w:abstractNum w:abstractNumId="194">
    <w:nsid w:val="65C2016B"/>
    <w:multiLevelType w:val="singleLevel"/>
    <w:tmpl w:val="0EF084BC"/>
    <w:lvl w:ilvl="0">
      <w:start w:val="1"/>
      <w:numFmt w:val="lowerLetter"/>
      <w:lvlText w:val="%1)"/>
      <w:lvlJc w:val="left"/>
      <w:pPr>
        <w:tabs>
          <w:tab w:val="num" w:pos="705"/>
        </w:tabs>
        <w:ind w:left="705" w:hanging="705"/>
      </w:pPr>
      <w:rPr>
        <w:rFonts w:hint="default"/>
      </w:rPr>
    </w:lvl>
  </w:abstractNum>
  <w:abstractNum w:abstractNumId="195">
    <w:nsid w:val="65D604B8"/>
    <w:multiLevelType w:val="singleLevel"/>
    <w:tmpl w:val="B0D09824"/>
    <w:lvl w:ilvl="0">
      <w:numFmt w:val="bullet"/>
      <w:lvlText w:val="-"/>
      <w:lvlJc w:val="left"/>
      <w:pPr>
        <w:tabs>
          <w:tab w:val="num" w:pos="705"/>
        </w:tabs>
        <w:ind w:left="705" w:hanging="705"/>
      </w:pPr>
      <w:rPr>
        <w:rFonts w:hint="default"/>
      </w:rPr>
    </w:lvl>
  </w:abstractNum>
  <w:abstractNum w:abstractNumId="196">
    <w:nsid w:val="66B15E4D"/>
    <w:multiLevelType w:val="singleLevel"/>
    <w:tmpl w:val="B0D09824"/>
    <w:lvl w:ilvl="0">
      <w:numFmt w:val="bullet"/>
      <w:lvlText w:val="-"/>
      <w:lvlJc w:val="left"/>
      <w:pPr>
        <w:tabs>
          <w:tab w:val="num" w:pos="705"/>
        </w:tabs>
        <w:ind w:left="705" w:hanging="705"/>
      </w:pPr>
      <w:rPr>
        <w:rFonts w:hint="default"/>
      </w:rPr>
    </w:lvl>
  </w:abstractNum>
  <w:abstractNum w:abstractNumId="197">
    <w:nsid w:val="66F93C7D"/>
    <w:multiLevelType w:val="singleLevel"/>
    <w:tmpl w:val="B0D09824"/>
    <w:lvl w:ilvl="0">
      <w:numFmt w:val="bullet"/>
      <w:lvlText w:val="-"/>
      <w:lvlJc w:val="left"/>
      <w:pPr>
        <w:tabs>
          <w:tab w:val="num" w:pos="705"/>
        </w:tabs>
        <w:ind w:left="705" w:hanging="705"/>
      </w:pPr>
      <w:rPr>
        <w:rFonts w:hint="default"/>
      </w:rPr>
    </w:lvl>
  </w:abstractNum>
  <w:abstractNum w:abstractNumId="198">
    <w:nsid w:val="671D0362"/>
    <w:multiLevelType w:val="singleLevel"/>
    <w:tmpl w:val="B0D09824"/>
    <w:lvl w:ilvl="0">
      <w:numFmt w:val="bullet"/>
      <w:lvlText w:val="-"/>
      <w:lvlJc w:val="left"/>
      <w:pPr>
        <w:tabs>
          <w:tab w:val="num" w:pos="705"/>
        </w:tabs>
        <w:ind w:left="705" w:hanging="705"/>
      </w:pPr>
      <w:rPr>
        <w:rFonts w:hint="default"/>
      </w:rPr>
    </w:lvl>
  </w:abstractNum>
  <w:abstractNum w:abstractNumId="199">
    <w:nsid w:val="67533B31"/>
    <w:multiLevelType w:val="singleLevel"/>
    <w:tmpl w:val="B0D09824"/>
    <w:lvl w:ilvl="0">
      <w:numFmt w:val="bullet"/>
      <w:lvlText w:val="-"/>
      <w:lvlJc w:val="left"/>
      <w:pPr>
        <w:tabs>
          <w:tab w:val="num" w:pos="705"/>
        </w:tabs>
        <w:ind w:left="705" w:hanging="705"/>
      </w:pPr>
      <w:rPr>
        <w:rFonts w:hint="default"/>
      </w:rPr>
    </w:lvl>
  </w:abstractNum>
  <w:abstractNum w:abstractNumId="200">
    <w:nsid w:val="67BD0110"/>
    <w:multiLevelType w:val="singleLevel"/>
    <w:tmpl w:val="B0D09824"/>
    <w:lvl w:ilvl="0">
      <w:numFmt w:val="bullet"/>
      <w:lvlText w:val="-"/>
      <w:lvlJc w:val="left"/>
      <w:pPr>
        <w:tabs>
          <w:tab w:val="num" w:pos="705"/>
        </w:tabs>
        <w:ind w:left="705" w:hanging="705"/>
      </w:pPr>
      <w:rPr>
        <w:rFonts w:hint="default"/>
      </w:rPr>
    </w:lvl>
  </w:abstractNum>
  <w:abstractNum w:abstractNumId="201">
    <w:nsid w:val="68927D00"/>
    <w:multiLevelType w:val="singleLevel"/>
    <w:tmpl w:val="B0D09824"/>
    <w:lvl w:ilvl="0">
      <w:numFmt w:val="bullet"/>
      <w:lvlText w:val="-"/>
      <w:lvlJc w:val="left"/>
      <w:pPr>
        <w:tabs>
          <w:tab w:val="num" w:pos="705"/>
        </w:tabs>
        <w:ind w:left="705" w:hanging="705"/>
      </w:pPr>
      <w:rPr>
        <w:rFonts w:hint="default"/>
      </w:rPr>
    </w:lvl>
  </w:abstractNum>
  <w:abstractNum w:abstractNumId="202">
    <w:nsid w:val="68D039C4"/>
    <w:multiLevelType w:val="singleLevel"/>
    <w:tmpl w:val="B0D09824"/>
    <w:lvl w:ilvl="0">
      <w:numFmt w:val="bullet"/>
      <w:lvlText w:val="-"/>
      <w:lvlJc w:val="left"/>
      <w:pPr>
        <w:tabs>
          <w:tab w:val="num" w:pos="705"/>
        </w:tabs>
        <w:ind w:left="705" w:hanging="705"/>
      </w:pPr>
      <w:rPr>
        <w:rFonts w:hint="default"/>
      </w:rPr>
    </w:lvl>
  </w:abstractNum>
  <w:abstractNum w:abstractNumId="203">
    <w:nsid w:val="69507C61"/>
    <w:multiLevelType w:val="singleLevel"/>
    <w:tmpl w:val="B0D09824"/>
    <w:lvl w:ilvl="0">
      <w:numFmt w:val="bullet"/>
      <w:lvlText w:val="-"/>
      <w:lvlJc w:val="left"/>
      <w:pPr>
        <w:tabs>
          <w:tab w:val="num" w:pos="705"/>
        </w:tabs>
        <w:ind w:left="705" w:hanging="705"/>
      </w:pPr>
      <w:rPr>
        <w:rFonts w:hint="default"/>
      </w:rPr>
    </w:lvl>
  </w:abstractNum>
  <w:abstractNum w:abstractNumId="204">
    <w:nsid w:val="6A144EB8"/>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205">
    <w:nsid w:val="6A156E4E"/>
    <w:multiLevelType w:val="singleLevel"/>
    <w:tmpl w:val="B0D09824"/>
    <w:lvl w:ilvl="0">
      <w:numFmt w:val="bullet"/>
      <w:lvlText w:val="-"/>
      <w:lvlJc w:val="left"/>
      <w:pPr>
        <w:tabs>
          <w:tab w:val="num" w:pos="705"/>
        </w:tabs>
        <w:ind w:left="705" w:hanging="705"/>
      </w:pPr>
      <w:rPr>
        <w:rFonts w:hint="default"/>
      </w:rPr>
    </w:lvl>
  </w:abstractNum>
  <w:abstractNum w:abstractNumId="206">
    <w:nsid w:val="6A8135A6"/>
    <w:multiLevelType w:val="singleLevel"/>
    <w:tmpl w:val="B0D09824"/>
    <w:lvl w:ilvl="0">
      <w:numFmt w:val="bullet"/>
      <w:lvlText w:val="-"/>
      <w:lvlJc w:val="left"/>
      <w:pPr>
        <w:tabs>
          <w:tab w:val="num" w:pos="705"/>
        </w:tabs>
        <w:ind w:left="705" w:hanging="705"/>
      </w:pPr>
      <w:rPr>
        <w:rFonts w:hint="default"/>
      </w:rPr>
    </w:lvl>
  </w:abstractNum>
  <w:abstractNum w:abstractNumId="207">
    <w:nsid w:val="6AB33637"/>
    <w:multiLevelType w:val="singleLevel"/>
    <w:tmpl w:val="B0D09824"/>
    <w:lvl w:ilvl="0">
      <w:numFmt w:val="bullet"/>
      <w:lvlText w:val="-"/>
      <w:lvlJc w:val="left"/>
      <w:pPr>
        <w:tabs>
          <w:tab w:val="num" w:pos="705"/>
        </w:tabs>
        <w:ind w:left="705" w:hanging="705"/>
      </w:pPr>
      <w:rPr>
        <w:rFonts w:hint="default"/>
      </w:rPr>
    </w:lvl>
  </w:abstractNum>
  <w:abstractNum w:abstractNumId="208">
    <w:nsid w:val="6BCB1D96"/>
    <w:multiLevelType w:val="singleLevel"/>
    <w:tmpl w:val="B0D09824"/>
    <w:lvl w:ilvl="0">
      <w:numFmt w:val="bullet"/>
      <w:lvlText w:val="-"/>
      <w:lvlJc w:val="left"/>
      <w:pPr>
        <w:tabs>
          <w:tab w:val="num" w:pos="705"/>
        </w:tabs>
        <w:ind w:left="705" w:hanging="705"/>
      </w:pPr>
      <w:rPr>
        <w:rFonts w:hint="default"/>
      </w:rPr>
    </w:lvl>
  </w:abstractNum>
  <w:abstractNum w:abstractNumId="209">
    <w:nsid w:val="6C21004B"/>
    <w:multiLevelType w:val="singleLevel"/>
    <w:tmpl w:val="B0D09824"/>
    <w:lvl w:ilvl="0">
      <w:numFmt w:val="bullet"/>
      <w:lvlText w:val="-"/>
      <w:lvlJc w:val="left"/>
      <w:pPr>
        <w:tabs>
          <w:tab w:val="num" w:pos="705"/>
        </w:tabs>
        <w:ind w:left="705" w:hanging="705"/>
      </w:pPr>
      <w:rPr>
        <w:rFonts w:hint="default"/>
      </w:rPr>
    </w:lvl>
  </w:abstractNum>
  <w:abstractNum w:abstractNumId="210">
    <w:nsid w:val="6C2506AD"/>
    <w:multiLevelType w:val="singleLevel"/>
    <w:tmpl w:val="9822E16E"/>
    <w:lvl w:ilvl="0">
      <w:start w:val="109"/>
      <w:numFmt w:val="decimal"/>
      <w:lvlText w:val="%1."/>
      <w:lvlJc w:val="left"/>
      <w:pPr>
        <w:tabs>
          <w:tab w:val="num" w:pos="705"/>
        </w:tabs>
        <w:ind w:left="705" w:hanging="705"/>
      </w:pPr>
      <w:rPr>
        <w:rFonts w:hint="default"/>
      </w:rPr>
    </w:lvl>
  </w:abstractNum>
  <w:abstractNum w:abstractNumId="211">
    <w:nsid w:val="6C7C1E8C"/>
    <w:multiLevelType w:val="singleLevel"/>
    <w:tmpl w:val="B0D09824"/>
    <w:lvl w:ilvl="0">
      <w:numFmt w:val="bullet"/>
      <w:lvlText w:val="-"/>
      <w:lvlJc w:val="left"/>
      <w:pPr>
        <w:tabs>
          <w:tab w:val="num" w:pos="705"/>
        </w:tabs>
        <w:ind w:left="705" w:hanging="705"/>
      </w:pPr>
      <w:rPr>
        <w:rFonts w:hint="default"/>
      </w:rPr>
    </w:lvl>
  </w:abstractNum>
  <w:abstractNum w:abstractNumId="212">
    <w:nsid w:val="6CBD53C7"/>
    <w:multiLevelType w:val="singleLevel"/>
    <w:tmpl w:val="B0D09824"/>
    <w:lvl w:ilvl="0">
      <w:numFmt w:val="bullet"/>
      <w:lvlText w:val="-"/>
      <w:lvlJc w:val="left"/>
      <w:pPr>
        <w:tabs>
          <w:tab w:val="num" w:pos="705"/>
        </w:tabs>
        <w:ind w:left="705" w:hanging="705"/>
      </w:pPr>
      <w:rPr>
        <w:rFonts w:hint="default"/>
      </w:rPr>
    </w:lvl>
  </w:abstractNum>
  <w:abstractNum w:abstractNumId="213">
    <w:nsid w:val="6E050001"/>
    <w:multiLevelType w:val="singleLevel"/>
    <w:tmpl w:val="B0D09824"/>
    <w:lvl w:ilvl="0">
      <w:numFmt w:val="bullet"/>
      <w:lvlText w:val="-"/>
      <w:lvlJc w:val="left"/>
      <w:pPr>
        <w:tabs>
          <w:tab w:val="num" w:pos="705"/>
        </w:tabs>
        <w:ind w:left="705" w:hanging="705"/>
      </w:pPr>
      <w:rPr>
        <w:rFonts w:hint="default"/>
      </w:rPr>
    </w:lvl>
  </w:abstractNum>
  <w:abstractNum w:abstractNumId="214">
    <w:nsid w:val="6E3945BD"/>
    <w:multiLevelType w:val="singleLevel"/>
    <w:tmpl w:val="0C0A000F"/>
    <w:lvl w:ilvl="0">
      <w:start w:val="36"/>
      <w:numFmt w:val="decimal"/>
      <w:lvlText w:val="%1."/>
      <w:lvlJc w:val="left"/>
      <w:pPr>
        <w:tabs>
          <w:tab w:val="num" w:pos="360"/>
        </w:tabs>
        <w:ind w:left="360" w:hanging="360"/>
      </w:pPr>
      <w:rPr>
        <w:rFonts w:hint="default"/>
      </w:rPr>
    </w:lvl>
  </w:abstractNum>
  <w:abstractNum w:abstractNumId="215">
    <w:nsid w:val="6E7262C0"/>
    <w:multiLevelType w:val="singleLevel"/>
    <w:tmpl w:val="B0D09824"/>
    <w:lvl w:ilvl="0">
      <w:numFmt w:val="bullet"/>
      <w:lvlText w:val="-"/>
      <w:lvlJc w:val="left"/>
      <w:pPr>
        <w:tabs>
          <w:tab w:val="num" w:pos="705"/>
        </w:tabs>
        <w:ind w:left="705" w:hanging="705"/>
      </w:pPr>
      <w:rPr>
        <w:rFonts w:hint="default"/>
      </w:rPr>
    </w:lvl>
  </w:abstractNum>
  <w:abstractNum w:abstractNumId="216">
    <w:nsid w:val="6F8C2BC7"/>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17">
    <w:nsid w:val="701D4C7D"/>
    <w:multiLevelType w:val="singleLevel"/>
    <w:tmpl w:val="B0D09824"/>
    <w:lvl w:ilvl="0">
      <w:numFmt w:val="bullet"/>
      <w:lvlText w:val="-"/>
      <w:lvlJc w:val="left"/>
      <w:pPr>
        <w:tabs>
          <w:tab w:val="num" w:pos="705"/>
        </w:tabs>
        <w:ind w:left="705" w:hanging="705"/>
      </w:pPr>
      <w:rPr>
        <w:rFonts w:hint="default"/>
      </w:rPr>
    </w:lvl>
  </w:abstractNum>
  <w:abstractNum w:abstractNumId="218">
    <w:nsid w:val="703F7971"/>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19">
    <w:nsid w:val="7049725A"/>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20">
    <w:nsid w:val="70873D48"/>
    <w:multiLevelType w:val="singleLevel"/>
    <w:tmpl w:val="B0D09824"/>
    <w:lvl w:ilvl="0">
      <w:numFmt w:val="bullet"/>
      <w:lvlText w:val="-"/>
      <w:lvlJc w:val="left"/>
      <w:pPr>
        <w:tabs>
          <w:tab w:val="num" w:pos="705"/>
        </w:tabs>
        <w:ind w:left="705" w:hanging="705"/>
      </w:pPr>
      <w:rPr>
        <w:rFonts w:hint="default"/>
      </w:rPr>
    </w:lvl>
  </w:abstractNum>
  <w:abstractNum w:abstractNumId="221">
    <w:nsid w:val="70A00290"/>
    <w:multiLevelType w:val="singleLevel"/>
    <w:tmpl w:val="E2544FCC"/>
    <w:lvl w:ilvl="0">
      <w:start w:val="1"/>
      <w:numFmt w:val="decimal"/>
      <w:lvlText w:val="%1."/>
      <w:lvlJc w:val="left"/>
      <w:pPr>
        <w:tabs>
          <w:tab w:val="num" w:pos="390"/>
        </w:tabs>
        <w:ind w:left="390" w:hanging="390"/>
      </w:pPr>
      <w:rPr>
        <w:rFonts w:hint="default"/>
      </w:rPr>
    </w:lvl>
  </w:abstractNum>
  <w:abstractNum w:abstractNumId="222">
    <w:nsid w:val="71744701"/>
    <w:multiLevelType w:val="singleLevel"/>
    <w:tmpl w:val="B0D09824"/>
    <w:lvl w:ilvl="0">
      <w:numFmt w:val="bullet"/>
      <w:lvlText w:val="-"/>
      <w:lvlJc w:val="left"/>
      <w:pPr>
        <w:tabs>
          <w:tab w:val="num" w:pos="705"/>
        </w:tabs>
        <w:ind w:left="705" w:hanging="705"/>
      </w:pPr>
      <w:rPr>
        <w:rFonts w:hint="default"/>
      </w:rPr>
    </w:lvl>
  </w:abstractNum>
  <w:abstractNum w:abstractNumId="223">
    <w:nsid w:val="720C0FB6"/>
    <w:multiLevelType w:val="singleLevel"/>
    <w:tmpl w:val="B0D09824"/>
    <w:lvl w:ilvl="0">
      <w:numFmt w:val="bullet"/>
      <w:lvlText w:val="-"/>
      <w:lvlJc w:val="left"/>
      <w:pPr>
        <w:tabs>
          <w:tab w:val="num" w:pos="705"/>
        </w:tabs>
        <w:ind w:left="705" w:hanging="705"/>
      </w:pPr>
      <w:rPr>
        <w:rFonts w:hint="default"/>
      </w:rPr>
    </w:lvl>
  </w:abstractNum>
  <w:abstractNum w:abstractNumId="224">
    <w:nsid w:val="72711B80"/>
    <w:multiLevelType w:val="singleLevel"/>
    <w:tmpl w:val="B0D09824"/>
    <w:lvl w:ilvl="0">
      <w:numFmt w:val="bullet"/>
      <w:lvlText w:val="-"/>
      <w:lvlJc w:val="left"/>
      <w:pPr>
        <w:tabs>
          <w:tab w:val="num" w:pos="705"/>
        </w:tabs>
        <w:ind w:left="705" w:hanging="705"/>
      </w:pPr>
      <w:rPr>
        <w:rFonts w:hint="default"/>
      </w:rPr>
    </w:lvl>
  </w:abstractNum>
  <w:abstractNum w:abstractNumId="225">
    <w:nsid w:val="72B558F8"/>
    <w:multiLevelType w:val="singleLevel"/>
    <w:tmpl w:val="B0D09824"/>
    <w:lvl w:ilvl="0">
      <w:numFmt w:val="bullet"/>
      <w:lvlText w:val="-"/>
      <w:lvlJc w:val="left"/>
      <w:pPr>
        <w:tabs>
          <w:tab w:val="num" w:pos="705"/>
        </w:tabs>
        <w:ind w:left="705" w:hanging="705"/>
      </w:pPr>
      <w:rPr>
        <w:rFonts w:hint="default"/>
      </w:rPr>
    </w:lvl>
  </w:abstractNum>
  <w:abstractNum w:abstractNumId="226">
    <w:nsid w:val="731C4966"/>
    <w:multiLevelType w:val="singleLevel"/>
    <w:tmpl w:val="B0D09824"/>
    <w:lvl w:ilvl="0">
      <w:numFmt w:val="bullet"/>
      <w:lvlText w:val="-"/>
      <w:lvlJc w:val="left"/>
      <w:pPr>
        <w:tabs>
          <w:tab w:val="num" w:pos="705"/>
        </w:tabs>
        <w:ind w:left="705" w:hanging="705"/>
      </w:pPr>
      <w:rPr>
        <w:rFonts w:hint="default"/>
      </w:rPr>
    </w:lvl>
  </w:abstractNum>
  <w:abstractNum w:abstractNumId="227">
    <w:nsid w:val="73374998"/>
    <w:multiLevelType w:val="multilevel"/>
    <w:tmpl w:val="2B5E3C92"/>
    <w:lvl w:ilvl="0">
      <w:start w:val="2000"/>
      <w:numFmt w:val="decimal"/>
      <w:lvlText w:val="%1"/>
      <w:lvlJc w:val="left"/>
      <w:pPr>
        <w:tabs>
          <w:tab w:val="num" w:pos="1410"/>
        </w:tabs>
        <w:ind w:left="1410" w:hanging="1410"/>
      </w:pPr>
      <w:rPr>
        <w:rFonts w:hint="default"/>
      </w:rPr>
    </w:lvl>
    <w:lvl w:ilvl="1">
      <w:start w:val="2001"/>
      <w:numFmt w:val="decimal"/>
      <w:lvlText w:val="%1-%2"/>
      <w:lvlJc w:val="left"/>
      <w:pPr>
        <w:tabs>
          <w:tab w:val="num" w:pos="1410"/>
        </w:tabs>
        <w:ind w:left="1410" w:hanging="1410"/>
      </w:pPr>
      <w:rPr>
        <w:rFonts w:hint="default"/>
      </w:rPr>
    </w:lvl>
    <w:lvl w:ilvl="2">
      <w:start w:val="1"/>
      <w:numFmt w:val="decimal"/>
      <w:lvlText w:val="%1-%2.%3"/>
      <w:lvlJc w:val="left"/>
      <w:pPr>
        <w:tabs>
          <w:tab w:val="num" w:pos="1410"/>
        </w:tabs>
        <w:ind w:left="1410" w:hanging="1410"/>
      </w:pPr>
      <w:rPr>
        <w:rFonts w:hint="default"/>
      </w:rPr>
    </w:lvl>
    <w:lvl w:ilvl="3">
      <w:start w:val="1"/>
      <w:numFmt w:val="decimal"/>
      <w:lvlText w:val="%1-%2.%3.%4"/>
      <w:lvlJc w:val="left"/>
      <w:pPr>
        <w:tabs>
          <w:tab w:val="num" w:pos="1410"/>
        </w:tabs>
        <w:ind w:left="1410" w:hanging="1410"/>
      </w:pPr>
      <w:rPr>
        <w:rFonts w:hint="default"/>
      </w:rPr>
    </w:lvl>
    <w:lvl w:ilvl="4">
      <w:start w:val="1"/>
      <w:numFmt w:val="decimal"/>
      <w:lvlText w:val="%1-%2.%3.%4.%5"/>
      <w:lvlJc w:val="left"/>
      <w:pPr>
        <w:tabs>
          <w:tab w:val="num" w:pos="1410"/>
        </w:tabs>
        <w:ind w:left="1410" w:hanging="1410"/>
      </w:pPr>
      <w:rPr>
        <w:rFonts w:hint="default"/>
      </w:rPr>
    </w:lvl>
    <w:lvl w:ilvl="5">
      <w:start w:val="1"/>
      <w:numFmt w:val="decimal"/>
      <w:lvlText w:val="%1-%2.%3.%4.%5.%6"/>
      <w:lvlJc w:val="left"/>
      <w:pPr>
        <w:tabs>
          <w:tab w:val="num" w:pos="1410"/>
        </w:tabs>
        <w:ind w:left="1410" w:hanging="141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8">
    <w:nsid w:val="741778E6"/>
    <w:multiLevelType w:val="singleLevel"/>
    <w:tmpl w:val="B0D09824"/>
    <w:lvl w:ilvl="0">
      <w:numFmt w:val="bullet"/>
      <w:lvlText w:val="-"/>
      <w:lvlJc w:val="left"/>
      <w:pPr>
        <w:tabs>
          <w:tab w:val="num" w:pos="705"/>
        </w:tabs>
        <w:ind w:left="705" w:hanging="705"/>
      </w:pPr>
      <w:rPr>
        <w:rFonts w:hint="default"/>
      </w:rPr>
    </w:lvl>
  </w:abstractNum>
  <w:abstractNum w:abstractNumId="229">
    <w:nsid w:val="744660BD"/>
    <w:multiLevelType w:val="singleLevel"/>
    <w:tmpl w:val="B0D09824"/>
    <w:lvl w:ilvl="0">
      <w:numFmt w:val="bullet"/>
      <w:lvlText w:val="-"/>
      <w:lvlJc w:val="left"/>
      <w:pPr>
        <w:tabs>
          <w:tab w:val="num" w:pos="705"/>
        </w:tabs>
        <w:ind w:left="705" w:hanging="705"/>
      </w:pPr>
      <w:rPr>
        <w:rFonts w:hint="default"/>
      </w:rPr>
    </w:lvl>
  </w:abstractNum>
  <w:abstractNum w:abstractNumId="230">
    <w:nsid w:val="75174784"/>
    <w:multiLevelType w:val="singleLevel"/>
    <w:tmpl w:val="B0D09824"/>
    <w:lvl w:ilvl="0">
      <w:numFmt w:val="bullet"/>
      <w:lvlText w:val="-"/>
      <w:lvlJc w:val="left"/>
      <w:pPr>
        <w:tabs>
          <w:tab w:val="num" w:pos="705"/>
        </w:tabs>
        <w:ind w:left="705" w:hanging="705"/>
      </w:pPr>
      <w:rPr>
        <w:rFonts w:hint="default"/>
      </w:rPr>
    </w:lvl>
  </w:abstractNum>
  <w:abstractNum w:abstractNumId="231">
    <w:nsid w:val="75772345"/>
    <w:multiLevelType w:val="singleLevel"/>
    <w:tmpl w:val="B0D09824"/>
    <w:lvl w:ilvl="0">
      <w:numFmt w:val="bullet"/>
      <w:lvlText w:val="-"/>
      <w:lvlJc w:val="left"/>
      <w:pPr>
        <w:tabs>
          <w:tab w:val="num" w:pos="705"/>
        </w:tabs>
        <w:ind w:left="705" w:hanging="705"/>
      </w:pPr>
      <w:rPr>
        <w:rFonts w:hint="default"/>
      </w:rPr>
    </w:lvl>
  </w:abstractNum>
  <w:abstractNum w:abstractNumId="232">
    <w:nsid w:val="75B97B83"/>
    <w:multiLevelType w:val="singleLevel"/>
    <w:tmpl w:val="4BFED71C"/>
    <w:lvl w:ilvl="0">
      <w:start w:val="2"/>
      <w:numFmt w:val="lowerLetter"/>
      <w:lvlText w:val="%1."/>
      <w:lvlJc w:val="left"/>
      <w:pPr>
        <w:tabs>
          <w:tab w:val="num" w:pos="705"/>
        </w:tabs>
        <w:ind w:left="705" w:hanging="705"/>
      </w:pPr>
      <w:rPr>
        <w:rFonts w:hint="default"/>
      </w:rPr>
    </w:lvl>
  </w:abstractNum>
  <w:abstractNum w:abstractNumId="233">
    <w:nsid w:val="76986F6D"/>
    <w:multiLevelType w:val="singleLevel"/>
    <w:tmpl w:val="DAE07780"/>
    <w:lvl w:ilvl="0">
      <w:start w:val="47"/>
      <w:numFmt w:val="decimal"/>
      <w:lvlText w:val="%1."/>
      <w:lvlJc w:val="left"/>
      <w:pPr>
        <w:tabs>
          <w:tab w:val="num" w:pos="705"/>
        </w:tabs>
        <w:ind w:left="705" w:hanging="705"/>
      </w:pPr>
      <w:rPr>
        <w:rFonts w:hint="default"/>
      </w:rPr>
    </w:lvl>
  </w:abstractNum>
  <w:abstractNum w:abstractNumId="234">
    <w:nsid w:val="77054E17"/>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35">
    <w:nsid w:val="781F10FD"/>
    <w:multiLevelType w:val="singleLevel"/>
    <w:tmpl w:val="B0D09824"/>
    <w:lvl w:ilvl="0">
      <w:numFmt w:val="bullet"/>
      <w:lvlText w:val="-"/>
      <w:lvlJc w:val="left"/>
      <w:pPr>
        <w:tabs>
          <w:tab w:val="num" w:pos="705"/>
        </w:tabs>
        <w:ind w:left="705" w:hanging="705"/>
      </w:pPr>
      <w:rPr>
        <w:rFonts w:hint="default"/>
      </w:rPr>
    </w:lvl>
  </w:abstractNum>
  <w:abstractNum w:abstractNumId="236">
    <w:nsid w:val="78841FBB"/>
    <w:multiLevelType w:val="singleLevel"/>
    <w:tmpl w:val="B0D09824"/>
    <w:lvl w:ilvl="0">
      <w:numFmt w:val="bullet"/>
      <w:lvlText w:val="-"/>
      <w:lvlJc w:val="left"/>
      <w:pPr>
        <w:tabs>
          <w:tab w:val="num" w:pos="705"/>
        </w:tabs>
        <w:ind w:left="705" w:hanging="705"/>
      </w:pPr>
      <w:rPr>
        <w:rFonts w:hint="default"/>
      </w:rPr>
    </w:lvl>
  </w:abstractNum>
  <w:abstractNum w:abstractNumId="237">
    <w:nsid w:val="78C86ED4"/>
    <w:multiLevelType w:val="singleLevel"/>
    <w:tmpl w:val="B0D09824"/>
    <w:lvl w:ilvl="0">
      <w:numFmt w:val="bullet"/>
      <w:lvlText w:val="-"/>
      <w:lvlJc w:val="left"/>
      <w:pPr>
        <w:tabs>
          <w:tab w:val="num" w:pos="705"/>
        </w:tabs>
        <w:ind w:left="705" w:hanging="705"/>
      </w:pPr>
      <w:rPr>
        <w:rFonts w:hint="default"/>
      </w:rPr>
    </w:lvl>
  </w:abstractNum>
  <w:abstractNum w:abstractNumId="238">
    <w:nsid w:val="79284CE2"/>
    <w:multiLevelType w:val="singleLevel"/>
    <w:tmpl w:val="90386114"/>
    <w:lvl w:ilvl="0">
      <w:start w:val="179"/>
      <w:numFmt w:val="decimal"/>
      <w:lvlText w:val="%1."/>
      <w:lvlJc w:val="left"/>
      <w:pPr>
        <w:tabs>
          <w:tab w:val="num" w:pos="705"/>
        </w:tabs>
        <w:ind w:left="705" w:hanging="705"/>
      </w:pPr>
      <w:rPr>
        <w:rFonts w:hint="default"/>
      </w:rPr>
    </w:lvl>
  </w:abstractNum>
  <w:abstractNum w:abstractNumId="239">
    <w:nsid w:val="793C3C96"/>
    <w:multiLevelType w:val="singleLevel"/>
    <w:tmpl w:val="066CA1E2"/>
    <w:lvl w:ilvl="0">
      <w:start w:val="74"/>
      <w:numFmt w:val="decimal"/>
      <w:lvlText w:val="%1."/>
      <w:lvlJc w:val="left"/>
      <w:pPr>
        <w:tabs>
          <w:tab w:val="num" w:pos="705"/>
        </w:tabs>
        <w:ind w:left="705" w:hanging="705"/>
      </w:pPr>
      <w:rPr>
        <w:rFonts w:hint="default"/>
      </w:rPr>
    </w:lvl>
  </w:abstractNum>
  <w:abstractNum w:abstractNumId="240">
    <w:nsid w:val="7A491B9D"/>
    <w:multiLevelType w:val="singleLevel"/>
    <w:tmpl w:val="B0D09824"/>
    <w:lvl w:ilvl="0">
      <w:numFmt w:val="bullet"/>
      <w:lvlText w:val="-"/>
      <w:lvlJc w:val="left"/>
      <w:pPr>
        <w:tabs>
          <w:tab w:val="num" w:pos="705"/>
        </w:tabs>
        <w:ind w:left="705" w:hanging="705"/>
      </w:pPr>
      <w:rPr>
        <w:rFonts w:hint="default"/>
      </w:rPr>
    </w:lvl>
  </w:abstractNum>
  <w:abstractNum w:abstractNumId="241">
    <w:nsid w:val="7A7E078A"/>
    <w:multiLevelType w:val="singleLevel"/>
    <w:tmpl w:val="B0D09824"/>
    <w:lvl w:ilvl="0">
      <w:numFmt w:val="bullet"/>
      <w:lvlText w:val="-"/>
      <w:lvlJc w:val="left"/>
      <w:pPr>
        <w:tabs>
          <w:tab w:val="num" w:pos="705"/>
        </w:tabs>
        <w:ind w:left="705" w:hanging="705"/>
      </w:pPr>
      <w:rPr>
        <w:rFonts w:hint="default"/>
      </w:rPr>
    </w:lvl>
  </w:abstractNum>
  <w:abstractNum w:abstractNumId="242">
    <w:nsid w:val="7BCB7168"/>
    <w:multiLevelType w:val="singleLevel"/>
    <w:tmpl w:val="B0D09824"/>
    <w:lvl w:ilvl="0">
      <w:numFmt w:val="bullet"/>
      <w:lvlText w:val="-"/>
      <w:lvlJc w:val="left"/>
      <w:pPr>
        <w:tabs>
          <w:tab w:val="num" w:pos="705"/>
        </w:tabs>
        <w:ind w:left="705" w:hanging="705"/>
      </w:pPr>
      <w:rPr>
        <w:rFonts w:hint="default"/>
      </w:rPr>
    </w:lvl>
  </w:abstractNum>
  <w:abstractNum w:abstractNumId="243">
    <w:nsid w:val="7D0612A8"/>
    <w:multiLevelType w:val="singleLevel"/>
    <w:tmpl w:val="E29AB166"/>
    <w:lvl w:ilvl="0">
      <w:start w:val="1"/>
      <w:numFmt w:val="lowerLetter"/>
      <w:lvlText w:val="%1)"/>
      <w:lvlJc w:val="left"/>
      <w:pPr>
        <w:tabs>
          <w:tab w:val="num" w:pos="1413"/>
        </w:tabs>
        <w:ind w:left="1413" w:hanging="705"/>
      </w:pPr>
      <w:rPr>
        <w:rFonts w:hint="default"/>
      </w:rPr>
    </w:lvl>
  </w:abstractNum>
  <w:abstractNum w:abstractNumId="244">
    <w:nsid w:val="7D323866"/>
    <w:multiLevelType w:val="singleLevel"/>
    <w:tmpl w:val="0C0A0007"/>
    <w:lvl w:ilvl="0">
      <w:start w:val="1"/>
      <w:numFmt w:val="bullet"/>
      <w:lvlText w:val=""/>
      <w:lvlJc w:val="left"/>
      <w:pPr>
        <w:tabs>
          <w:tab w:val="num" w:pos="360"/>
        </w:tabs>
        <w:ind w:left="360" w:hanging="360"/>
      </w:pPr>
      <w:rPr>
        <w:rFonts w:ascii="Wingdings" w:hAnsi="Wingdings" w:hint="default"/>
        <w:sz w:val="16"/>
      </w:rPr>
    </w:lvl>
  </w:abstractNum>
  <w:abstractNum w:abstractNumId="245">
    <w:nsid w:val="7DC71D9F"/>
    <w:multiLevelType w:val="singleLevel"/>
    <w:tmpl w:val="B0D09824"/>
    <w:lvl w:ilvl="0">
      <w:numFmt w:val="bullet"/>
      <w:lvlText w:val="-"/>
      <w:lvlJc w:val="left"/>
      <w:pPr>
        <w:tabs>
          <w:tab w:val="num" w:pos="705"/>
        </w:tabs>
        <w:ind w:left="705" w:hanging="705"/>
      </w:pPr>
      <w:rPr>
        <w:rFonts w:hint="default"/>
      </w:rPr>
    </w:lvl>
  </w:abstractNum>
  <w:abstractNum w:abstractNumId="246">
    <w:nsid w:val="7EC10081"/>
    <w:multiLevelType w:val="singleLevel"/>
    <w:tmpl w:val="B0D09824"/>
    <w:lvl w:ilvl="0">
      <w:numFmt w:val="bullet"/>
      <w:lvlText w:val="-"/>
      <w:lvlJc w:val="left"/>
      <w:pPr>
        <w:tabs>
          <w:tab w:val="num" w:pos="705"/>
        </w:tabs>
        <w:ind w:left="705" w:hanging="705"/>
      </w:pPr>
      <w:rPr>
        <w:rFonts w:hint="default"/>
      </w:rPr>
    </w:lvl>
  </w:abstractNum>
  <w:abstractNum w:abstractNumId="247">
    <w:nsid w:val="7F860ADE"/>
    <w:multiLevelType w:val="singleLevel"/>
    <w:tmpl w:val="B0D09824"/>
    <w:lvl w:ilvl="0">
      <w:numFmt w:val="bullet"/>
      <w:lvlText w:val="-"/>
      <w:lvlJc w:val="left"/>
      <w:pPr>
        <w:tabs>
          <w:tab w:val="num" w:pos="705"/>
        </w:tabs>
        <w:ind w:left="705" w:hanging="705"/>
      </w:pPr>
      <w:rPr>
        <w:rFonts w:hint="default"/>
      </w:rPr>
    </w:lvl>
  </w:abstractNum>
  <w:abstractNum w:abstractNumId="248">
    <w:nsid w:val="7FB46EAC"/>
    <w:multiLevelType w:val="singleLevel"/>
    <w:tmpl w:val="B0D09824"/>
    <w:lvl w:ilvl="0">
      <w:numFmt w:val="bullet"/>
      <w:lvlText w:val="-"/>
      <w:lvlJc w:val="left"/>
      <w:pPr>
        <w:tabs>
          <w:tab w:val="num" w:pos="705"/>
        </w:tabs>
        <w:ind w:left="705" w:hanging="705"/>
      </w:pPr>
      <w:rPr>
        <w:rFonts w:hint="default"/>
      </w:rPr>
    </w:lvl>
  </w:abstractNum>
  <w:abstractNum w:abstractNumId="249">
    <w:nsid w:val="7FD43150"/>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50">
    <w:nsid w:val="7FEF4E85"/>
    <w:multiLevelType w:val="singleLevel"/>
    <w:tmpl w:val="836EB9A0"/>
    <w:lvl w:ilvl="0">
      <w:start w:val="1"/>
      <w:numFmt w:val="bullet"/>
      <w:lvlText w:val=""/>
      <w:lvlJc w:val="left"/>
      <w:pPr>
        <w:tabs>
          <w:tab w:val="num" w:pos="360"/>
        </w:tabs>
        <w:ind w:left="360" w:hanging="360"/>
      </w:pPr>
      <w:rPr>
        <w:rFonts w:ascii="Symbol" w:hAnsi="Symbol" w:hint="default"/>
      </w:rPr>
    </w:lvl>
  </w:abstractNum>
  <w:abstractNum w:abstractNumId="251">
    <w:nsid w:val="7FF817CC"/>
    <w:multiLevelType w:val="singleLevel"/>
    <w:tmpl w:val="B0D09824"/>
    <w:lvl w:ilvl="0">
      <w:numFmt w:val="bullet"/>
      <w:lvlText w:val="-"/>
      <w:lvlJc w:val="left"/>
      <w:pPr>
        <w:tabs>
          <w:tab w:val="num" w:pos="705"/>
        </w:tabs>
        <w:ind w:left="705" w:hanging="705"/>
      </w:pPr>
      <w:rPr>
        <w:rFonts w:hint="default"/>
      </w:rPr>
    </w:lvl>
  </w:abstractNum>
  <w:num w:numId="1">
    <w:abstractNumId w:val="97"/>
  </w:num>
  <w:num w:numId="2">
    <w:abstractNumId w:val="83"/>
  </w:num>
  <w:num w:numId="3">
    <w:abstractNumId w:val="130"/>
  </w:num>
  <w:num w:numId="4">
    <w:abstractNumId w:val="221"/>
  </w:num>
  <w:num w:numId="5">
    <w:abstractNumId w:val="142"/>
  </w:num>
  <w:num w:numId="6">
    <w:abstractNumId w:val="17"/>
  </w:num>
  <w:num w:numId="7">
    <w:abstractNumId w:val="147"/>
  </w:num>
  <w:num w:numId="8">
    <w:abstractNumId w:val="84"/>
  </w:num>
  <w:num w:numId="9">
    <w:abstractNumId w:val="171"/>
  </w:num>
  <w:num w:numId="10">
    <w:abstractNumId w:val="108"/>
  </w:num>
  <w:num w:numId="11">
    <w:abstractNumId w:val="204"/>
  </w:num>
  <w:num w:numId="12">
    <w:abstractNumId w:val="119"/>
  </w:num>
  <w:num w:numId="13">
    <w:abstractNumId w:val="244"/>
  </w:num>
  <w:num w:numId="14">
    <w:abstractNumId w:val="178"/>
  </w:num>
  <w:num w:numId="15">
    <w:abstractNumId w:val="20"/>
  </w:num>
  <w:num w:numId="16">
    <w:abstractNumId w:val="243"/>
  </w:num>
  <w:num w:numId="17">
    <w:abstractNumId w:val="3"/>
  </w:num>
  <w:num w:numId="18">
    <w:abstractNumId w:val="139"/>
  </w:num>
  <w:num w:numId="19">
    <w:abstractNumId w:val="232"/>
  </w:num>
  <w:num w:numId="20">
    <w:abstractNumId w:val="145"/>
  </w:num>
  <w:num w:numId="21">
    <w:abstractNumId w:val="131"/>
  </w:num>
  <w:num w:numId="22">
    <w:abstractNumId w:val="91"/>
  </w:num>
  <w:num w:numId="23">
    <w:abstractNumId w:val="157"/>
  </w:num>
  <w:num w:numId="24">
    <w:abstractNumId w:val="224"/>
  </w:num>
  <w:num w:numId="25">
    <w:abstractNumId w:val="95"/>
  </w:num>
  <w:num w:numId="26">
    <w:abstractNumId w:val="210"/>
  </w:num>
  <w:num w:numId="27">
    <w:abstractNumId w:val="225"/>
  </w:num>
  <w:num w:numId="28">
    <w:abstractNumId w:val="180"/>
  </w:num>
  <w:num w:numId="29">
    <w:abstractNumId w:val="115"/>
  </w:num>
  <w:num w:numId="30">
    <w:abstractNumId w:val="176"/>
  </w:num>
  <w:num w:numId="31">
    <w:abstractNumId w:val="184"/>
  </w:num>
  <w:num w:numId="32">
    <w:abstractNumId w:val="132"/>
  </w:num>
  <w:num w:numId="33">
    <w:abstractNumId w:val="158"/>
  </w:num>
  <w:num w:numId="34">
    <w:abstractNumId w:val="49"/>
  </w:num>
  <w:num w:numId="35">
    <w:abstractNumId w:val="138"/>
  </w:num>
  <w:num w:numId="36">
    <w:abstractNumId w:val="236"/>
  </w:num>
  <w:num w:numId="37">
    <w:abstractNumId w:val="214"/>
  </w:num>
  <w:num w:numId="38">
    <w:abstractNumId w:val="82"/>
  </w:num>
  <w:num w:numId="39">
    <w:abstractNumId w:val="55"/>
  </w:num>
  <w:num w:numId="40">
    <w:abstractNumId w:val="120"/>
  </w:num>
  <w:num w:numId="41">
    <w:abstractNumId w:val="233"/>
  </w:num>
  <w:num w:numId="42">
    <w:abstractNumId w:val="239"/>
  </w:num>
  <w:num w:numId="43">
    <w:abstractNumId w:val="247"/>
  </w:num>
  <w:num w:numId="44">
    <w:abstractNumId w:val="72"/>
  </w:num>
  <w:num w:numId="45">
    <w:abstractNumId w:val="87"/>
  </w:num>
  <w:num w:numId="46">
    <w:abstractNumId w:val="143"/>
  </w:num>
  <w:num w:numId="47">
    <w:abstractNumId w:val="38"/>
  </w:num>
  <w:num w:numId="48">
    <w:abstractNumId w:val="81"/>
  </w:num>
  <w:num w:numId="49">
    <w:abstractNumId w:val="22"/>
  </w:num>
  <w:num w:numId="50">
    <w:abstractNumId w:val="186"/>
  </w:num>
  <w:num w:numId="51">
    <w:abstractNumId w:val="240"/>
  </w:num>
  <w:num w:numId="52">
    <w:abstractNumId w:val="74"/>
  </w:num>
  <w:num w:numId="53">
    <w:abstractNumId w:val="156"/>
  </w:num>
  <w:num w:numId="54">
    <w:abstractNumId w:val="185"/>
  </w:num>
  <w:num w:numId="55">
    <w:abstractNumId w:val="44"/>
  </w:num>
  <w:num w:numId="56">
    <w:abstractNumId w:val="96"/>
  </w:num>
  <w:num w:numId="57">
    <w:abstractNumId w:val="207"/>
  </w:num>
  <w:num w:numId="58">
    <w:abstractNumId w:val="238"/>
  </w:num>
  <w:num w:numId="59">
    <w:abstractNumId w:val="15"/>
  </w:num>
  <w:num w:numId="60">
    <w:abstractNumId w:val="150"/>
  </w:num>
  <w:num w:numId="61">
    <w:abstractNumId w:val="104"/>
  </w:num>
  <w:num w:numId="62">
    <w:abstractNumId w:val="219"/>
  </w:num>
  <w:num w:numId="63">
    <w:abstractNumId w:val="90"/>
  </w:num>
  <w:num w:numId="64">
    <w:abstractNumId w:val="43"/>
  </w:num>
  <w:num w:numId="65">
    <w:abstractNumId w:val="155"/>
  </w:num>
  <w:num w:numId="66">
    <w:abstractNumId w:val="75"/>
  </w:num>
  <w:num w:numId="67">
    <w:abstractNumId w:val="198"/>
  </w:num>
  <w:num w:numId="68">
    <w:abstractNumId w:val="66"/>
  </w:num>
  <w:num w:numId="69">
    <w:abstractNumId w:val="211"/>
  </w:num>
  <w:num w:numId="70">
    <w:abstractNumId w:val="69"/>
  </w:num>
  <w:num w:numId="71">
    <w:abstractNumId w:val="35"/>
  </w:num>
  <w:num w:numId="72">
    <w:abstractNumId w:val="194"/>
  </w:num>
  <w:num w:numId="73">
    <w:abstractNumId w:val="93"/>
  </w:num>
  <w:num w:numId="74">
    <w:abstractNumId w:val="227"/>
  </w:num>
  <w:num w:numId="75">
    <w:abstractNumId w:val="10"/>
  </w:num>
  <w:num w:numId="76">
    <w:abstractNumId w:val="100"/>
  </w:num>
  <w:num w:numId="77">
    <w:abstractNumId w:val="246"/>
  </w:num>
  <w:num w:numId="78">
    <w:abstractNumId w:val="245"/>
  </w:num>
  <w:num w:numId="79">
    <w:abstractNumId w:val="11"/>
  </w:num>
  <w:num w:numId="80">
    <w:abstractNumId w:val="14"/>
  </w:num>
  <w:num w:numId="81">
    <w:abstractNumId w:val="122"/>
  </w:num>
  <w:num w:numId="82">
    <w:abstractNumId w:val="4"/>
  </w:num>
  <w:num w:numId="83">
    <w:abstractNumId w:val="189"/>
  </w:num>
  <w:num w:numId="84">
    <w:abstractNumId w:val="154"/>
  </w:num>
  <w:num w:numId="85">
    <w:abstractNumId w:val="73"/>
  </w:num>
  <w:num w:numId="86">
    <w:abstractNumId w:val="18"/>
  </w:num>
  <w:num w:numId="87">
    <w:abstractNumId w:val="197"/>
  </w:num>
  <w:num w:numId="88">
    <w:abstractNumId w:val="161"/>
  </w:num>
  <w:num w:numId="89">
    <w:abstractNumId w:val="54"/>
  </w:num>
  <w:num w:numId="90">
    <w:abstractNumId w:val="60"/>
  </w:num>
  <w:num w:numId="91">
    <w:abstractNumId w:val="237"/>
  </w:num>
  <w:num w:numId="92">
    <w:abstractNumId w:val="39"/>
  </w:num>
  <w:num w:numId="93">
    <w:abstractNumId w:val="26"/>
  </w:num>
  <w:num w:numId="94">
    <w:abstractNumId w:val="222"/>
  </w:num>
  <w:num w:numId="95">
    <w:abstractNumId w:val="79"/>
  </w:num>
  <w:num w:numId="96">
    <w:abstractNumId w:val="47"/>
  </w:num>
  <w:num w:numId="97">
    <w:abstractNumId w:val="107"/>
  </w:num>
  <w:num w:numId="98">
    <w:abstractNumId w:val="86"/>
  </w:num>
  <w:num w:numId="99">
    <w:abstractNumId w:val="106"/>
  </w:num>
  <w:num w:numId="100">
    <w:abstractNumId w:val="129"/>
  </w:num>
  <w:num w:numId="101">
    <w:abstractNumId w:val="1"/>
  </w:num>
  <w:num w:numId="102">
    <w:abstractNumId w:val="110"/>
  </w:num>
  <w:num w:numId="103">
    <w:abstractNumId w:val="6"/>
  </w:num>
  <w:num w:numId="104">
    <w:abstractNumId w:val="24"/>
  </w:num>
  <w:num w:numId="105">
    <w:abstractNumId w:val="48"/>
  </w:num>
  <w:num w:numId="106">
    <w:abstractNumId w:val="58"/>
  </w:num>
  <w:num w:numId="107">
    <w:abstractNumId w:val="248"/>
  </w:num>
  <w:num w:numId="108">
    <w:abstractNumId w:val="7"/>
  </w:num>
  <w:num w:numId="109">
    <w:abstractNumId w:val="164"/>
  </w:num>
  <w:num w:numId="110">
    <w:abstractNumId w:val="64"/>
  </w:num>
  <w:num w:numId="111">
    <w:abstractNumId w:val="59"/>
  </w:num>
  <w:num w:numId="112">
    <w:abstractNumId w:val="137"/>
  </w:num>
  <w:num w:numId="113">
    <w:abstractNumId w:val="111"/>
  </w:num>
  <w:num w:numId="114">
    <w:abstractNumId w:val="101"/>
  </w:num>
  <w:num w:numId="115">
    <w:abstractNumId w:val="113"/>
  </w:num>
  <w:num w:numId="116">
    <w:abstractNumId w:val="199"/>
  </w:num>
  <w:num w:numId="117">
    <w:abstractNumId w:val="228"/>
  </w:num>
  <w:num w:numId="118">
    <w:abstractNumId w:val="212"/>
  </w:num>
  <w:num w:numId="119">
    <w:abstractNumId w:val="124"/>
  </w:num>
  <w:num w:numId="120">
    <w:abstractNumId w:val="196"/>
  </w:num>
  <w:num w:numId="121">
    <w:abstractNumId w:val="9"/>
  </w:num>
  <w:num w:numId="122">
    <w:abstractNumId w:val="89"/>
  </w:num>
  <w:num w:numId="123">
    <w:abstractNumId w:val="21"/>
  </w:num>
  <w:num w:numId="124">
    <w:abstractNumId w:val="133"/>
  </w:num>
  <w:num w:numId="125">
    <w:abstractNumId w:val="173"/>
  </w:num>
  <w:num w:numId="126">
    <w:abstractNumId w:val="206"/>
  </w:num>
  <w:num w:numId="127">
    <w:abstractNumId w:val="144"/>
  </w:num>
  <w:num w:numId="128">
    <w:abstractNumId w:val="92"/>
  </w:num>
  <w:num w:numId="129">
    <w:abstractNumId w:val="200"/>
  </w:num>
  <w:num w:numId="130">
    <w:abstractNumId w:val="208"/>
  </w:num>
  <w:num w:numId="131">
    <w:abstractNumId w:val="121"/>
  </w:num>
  <w:num w:numId="132">
    <w:abstractNumId w:val="46"/>
  </w:num>
  <w:num w:numId="133">
    <w:abstractNumId w:val="162"/>
  </w:num>
  <w:num w:numId="134">
    <w:abstractNumId w:val="230"/>
  </w:num>
  <w:num w:numId="135">
    <w:abstractNumId w:val="216"/>
  </w:num>
  <w:num w:numId="136">
    <w:abstractNumId w:val="51"/>
  </w:num>
  <w:num w:numId="137">
    <w:abstractNumId w:val="179"/>
  </w:num>
  <w:num w:numId="138">
    <w:abstractNumId w:val="80"/>
  </w:num>
  <w:num w:numId="139">
    <w:abstractNumId w:val="175"/>
  </w:num>
  <w:num w:numId="140">
    <w:abstractNumId w:val="188"/>
  </w:num>
  <w:num w:numId="141">
    <w:abstractNumId w:val="19"/>
  </w:num>
  <w:num w:numId="142">
    <w:abstractNumId w:val="182"/>
  </w:num>
  <w:num w:numId="143">
    <w:abstractNumId w:val="167"/>
  </w:num>
  <w:num w:numId="144">
    <w:abstractNumId w:val="23"/>
  </w:num>
  <w:num w:numId="145">
    <w:abstractNumId w:val="67"/>
  </w:num>
  <w:num w:numId="146">
    <w:abstractNumId w:val="12"/>
  </w:num>
  <w:num w:numId="147">
    <w:abstractNumId w:val="99"/>
  </w:num>
  <w:num w:numId="148">
    <w:abstractNumId w:val="16"/>
  </w:num>
  <w:num w:numId="149">
    <w:abstractNumId w:val="251"/>
  </w:num>
  <w:num w:numId="150">
    <w:abstractNumId w:val="102"/>
  </w:num>
  <w:num w:numId="151">
    <w:abstractNumId w:val="136"/>
  </w:num>
  <w:num w:numId="152">
    <w:abstractNumId w:val="140"/>
  </w:num>
  <w:num w:numId="153">
    <w:abstractNumId w:val="36"/>
  </w:num>
  <w:num w:numId="154">
    <w:abstractNumId w:val="213"/>
  </w:num>
  <w:num w:numId="155">
    <w:abstractNumId w:val="192"/>
  </w:num>
  <w:num w:numId="156">
    <w:abstractNumId w:val="128"/>
  </w:num>
  <w:num w:numId="157">
    <w:abstractNumId w:val="209"/>
  </w:num>
  <w:num w:numId="158">
    <w:abstractNumId w:val="235"/>
  </w:num>
  <w:num w:numId="159">
    <w:abstractNumId w:val="191"/>
  </w:num>
  <w:num w:numId="160">
    <w:abstractNumId w:val="202"/>
  </w:num>
  <w:num w:numId="161">
    <w:abstractNumId w:val="151"/>
  </w:num>
  <w:num w:numId="162">
    <w:abstractNumId w:val="5"/>
  </w:num>
  <w:num w:numId="163">
    <w:abstractNumId w:val="135"/>
  </w:num>
  <w:num w:numId="164">
    <w:abstractNumId w:val="217"/>
  </w:num>
  <w:num w:numId="165">
    <w:abstractNumId w:val="70"/>
  </w:num>
  <w:num w:numId="166">
    <w:abstractNumId w:val="116"/>
  </w:num>
  <w:num w:numId="167">
    <w:abstractNumId w:val="118"/>
  </w:num>
  <w:num w:numId="168">
    <w:abstractNumId w:val="181"/>
  </w:num>
  <w:num w:numId="169">
    <w:abstractNumId w:val="25"/>
  </w:num>
  <w:num w:numId="170">
    <w:abstractNumId w:val="168"/>
  </w:num>
  <w:num w:numId="171">
    <w:abstractNumId w:val="174"/>
  </w:num>
  <w:num w:numId="172">
    <w:abstractNumId w:val="31"/>
  </w:num>
  <w:num w:numId="173">
    <w:abstractNumId w:val="163"/>
  </w:num>
  <w:num w:numId="174">
    <w:abstractNumId w:val="242"/>
  </w:num>
  <w:num w:numId="175">
    <w:abstractNumId w:val="220"/>
  </w:num>
  <w:num w:numId="176">
    <w:abstractNumId w:val="112"/>
  </w:num>
  <w:num w:numId="177">
    <w:abstractNumId w:val="195"/>
  </w:num>
  <w:num w:numId="178">
    <w:abstractNumId w:val="103"/>
  </w:num>
  <w:num w:numId="179">
    <w:abstractNumId w:val="109"/>
  </w:num>
  <w:num w:numId="180">
    <w:abstractNumId w:val="215"/>
  </w:num>
  <w:num w:numId="181">
    <w:abstractNumId w:val="77"/>
  </w:num>
  <w:num w:numId="182">
    <w:abstractNumId w:val="52"/>
  </w:num>
  <w:num w:numId="183">
    <w:abstractNumId w:val="141"/>
  </w:num>
  <w:num w:numId="184">
    <w:abstractNumId w:val="159"/>
  </w:num>
  <w:num w:numId="185">
    <w:abstractNumId w:val="148"/>
  </w:num>
  <w:num w:numId="186">
    <w:abstractNumId w:val="53"/>
  </w:num>
  <w:num w:numId="187">
    <w:abstractNumId w:val="56"/>
  </w:num>
  <w:num w:numId="188">
    <w:abstractNumId w:val="166"/>
  </w:num>
  <w:num w:numId="189">
    <w:abstractNumId w:val="37"/>
  </w:num>
  <w:num w:numId="190">
    <w:abstractNumId w:val="152"/>
  </w:num>
  <w:num w:numId="191">
    <w:abstractNumId w:val="241"/>
  </w:num>
  <w:num w:numId="192">
    <w:abstractNumId w:val="193"/>
  </w:num>
  <w:num w:numId="193">
    <w:abstractNumId w:val="172"/>
  </w:num>
  <w:num w:numId="194">
    <w:abstractNumId w:val="88"/>
  </w:num>
  <w:num w:numId="195">
    <w:abstractNumId w:val="201"/>
  </w:num>
  <w:num w:numId="196">
    <w:abstractNumId w:val="114"/>
  </w:num>
  <w:num w:numId="197">
    <w:abstractNumId w:val="61"/>
  </w:num>
  <w:num w:numId="198">
    <w:abstractNumId w:val="33"/>
  </w:num>
  <w:num w:numId="199">
    <w:abstractNumId w:val="62"/>
  </w:num>
  <w:num w:numId="200">
    <w:abstractNumId w:val="0"/>
  </w:num>
  <w:num w:numId="201">
    <w:abstractNumId w:val="98"/>
  </w:num>
  <w:num w:numId="202">
    <w:abstractNumId w:val="234"/>
  </w:num>
  <w:num w:numId="203">
    <w:abstractNumId w:val="2"/>
  </w:num>
  <w:num w:numId="204">
    <w:abstractNumId w:val="218"/>
  </w:num>
  <w:num w:numId="205">
    <w:abstractNumId w:val="71"/>
  </w:num>
  <w:num w:numId="206">
    <w:abstractNumId w:val="153"/>
  </w:num>
  <w:num w:numId="207">
    <w:abstractNumId w:val="27"/>
  </w:num>
  <w:num w:numId="208">
    <w:abstractNumId w:val="183"/>
  </w:num>
  <w:num w:numId="209">
    <w:abstractNumId w:val="63"/>
  </w:num>
  <w:num w:numId="210">
    <w:abstractNumId w:val="126"/>
  </w:num>
  <w:num w:numId="211">
    <w:abstractNumId w:val="149"/>
  </w:num>
  <w:num w:numId="212">
    <w:abstractNumId w:val="250"/>
  </w:num>
  <w:num w:numId="213">
    <w:abstractNumId w:val="57"/>
  </w:num>
  <w:num w:numId="214">
    <w:abstractNumId w:val="170"/>
  </w:num>
  <w:num w:numId="215">
    <w:abstractNumId w:val="249"/>
  </w:num>
  <w:num w:numId="216">
    <w:abstractNumId w:val="41"/>
  </w:num>
  <w:num w:numId="217">
    <w:abstractNumId w:val="134"/>
  </w:num>
  <w:num w:numId="218">
    <w:abstractNumId w:val="42"/>
  </w:num>
  <w:num w:numId="219">
    <w:abstractNumId w:val="105"/>
  </w:num>
  <w:num w:numId="220">
    <w:abstractNumId w:val="28"/>
  </w:num>
  <w:num w:numId="221">
    <w:abstractNumId w:val="205"/>
  </w:num>
  <w:num w:numId="222">
    <w:abstractNumId w:val="8"/>
  </w:num>
  <w:num w:numId="223">
    <w:abstractNumId w:val="203"/>
  </w:num>
  <w:num w:numId="224">
    <w:abstractNumId w:val="226"/>
  </w:num>
  <w:num w:numId="225">
    <w:abstractNumId w:val="29"/>
  </w:num>
  <w:num w:numId="226">
    <w:abstractNumId w:val="169"/>
  </w:num>
  <w:num w:numId="227">
    <w:abstractNumId w:val="177"/>
  </w:num>
  <w:num w:numId="228">
    <w:abstractNumId w:val="65"/>
  </w:num>
  <w:num w:numId="229">
    <w:abstractNumId w:val="187"/>
  </w:num>
  <w:num w:numId="230">
    <w:abstractNumId w:val="50"/>
  </w:num>
  <w:num w:numId="231">
    <w:abstractNumId w:val="76"/>
  </w:num>
  <w:num w:numId="232">
    <w:abstractNumId w:val="127"/>
  </w:num>
  <w:num w:numId="233">
    <w:abstractNumId w:val="85"/>
  </w:num>
  <w:num w:numId="234">
    <w:abstractNumId w:val="34"/>
  </w:num>
  <w:num w:numId="235">
    <w:abstractNumId w:val="229"/>
  </w:num>
  <w:num w:numId="236">
    <w:abstractNumId w:val="13"/>
  </w:num>
  <w:num w:numId="237">
    <w:abstractNumId w:val="94"/>
  </w:num>
  <w:num w:numId="238">
    <w:abstractNumId w:val="32"/>
  </w:num>
  <w:num w:numId="239">
    <w:abstractNumId w:val="78"/>
  </w:num>
  <w:num w:numId="240">
    <w:abstractNumId w:val="160"/>
  </w:num>
  <w:num w:numId="241">
    <w:abstractNumId w:val="45"/>
  </w:num>
  <w:num w:numId="242">
    <w:abstractNumId w:val="190"/>
  </w:num>
  <w:num w:numId="243">
    <w:abstractNumId w:val="68"/>
  </w:num>
  <w:num w:numId="244">
    <w:abstractNumId w:val="231"/>
  </w:num>
  <w:num w:numId="245">
    <w:abstractNumId w:val="123"/>
  </w:num>
  <w:num w:numId="246">
    <w:abstractNumId w:val="125"/>
  </w:num>
  <w:num w:numId="247">
    <w:abstractNumId w:val="117"/>
  </w:num>
  <w:num w:numId="248">
    <w:abstractNumId w:val="30"/>
  </w:num>
  <w:num w:numId="249">
    <w:abstractNumId w:val="146"/>
  </w:num>
  <w:num w:numId="250">
    <w:abstractNumId w:val="40"/>
  </w:num>
  <w:num w:numId="251">
    <w:abstractNumId w:val="165"/>
  </w:num>
  <w:num w:numId="252">
    <w:abstractNumId w:val="2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4/2004 8:39::43"/>
    <w:docVar w:name="DocCategory" w:val="Doc"/>
    <w:docVar w:name="DocType" w:val="Final"/>
    <w:docVar w:name="JobNo" w:val="0424124S"/>
    <w:docVar w:name="OandT" w:val="Joyce"/>
    <w:docVar w:name="Symbol1" w:val="CEDAW/C/KHM/1-3"/>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Blockquote">
    <w:name w:val="Blockquote"/>
    <w:basedOn w:val="Normal"/>
    <w:pPr>
      <w:suppressAutoHyphens w:val="0"/>
      <w:spacing w:before="100" w:after="100" w:line="240" w:lineRule="auto"/>
      <w:ind w:left="360" w:right="360"/>
    </w:pPr>
    <w:rPr>
      <w:snapToGrid w:val="0"/>
      <w:spacing w:val="0"/>
      <w:w w:val="100"/>
      <w:kern w:val="0"/>
      <w:sz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45451</Words>
  <Characters>231804</Characters>
  <Application>Microsoft Office Word</Application>
  <DocSecurity>4</DocSecurity>
  <Lines>5519</Lines>
  <Paragraphs>1729</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United Nations</Company>
  <LinksUpToDate>false</LinksUpToDate>
  <CharactersWithSpaces>318162</CharactersWithSpaces>
  <SharedDoc>false</SharedDoc>
  <HLinks>
    <vt:vector size="6" baseType="variant">
      <vt:variant>
        <vt:i4>4522087</vt:i4>
      </vt:variant>
      <vt:variant>
        <vt:i4>289572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Janssen, Joyce</dc:creator>
  <cp:keywords/>
  <dc:description/>
  <cp:lastModifiedBy>Janssen, Joyce</cp:lastModifiedBy>
  <cp:revision>8</cp:revision>
  <cp:lastPrinted>2004-04-26T06:51:00Z</cp:lastPrinted>
  <dcterms:created xsi:type="dcterms:W3CDTF">2004-04-26T06:39:00Z</dcterms:created>
  <dcterms:modified xsi:type="dcterms:W3CDTF">2004-04-26T06:52:00Z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0424124</vt:lpwstr>
  </property>
  <property fmtid="{D5CDD505-2E9C-101B-9397-08002B2CF9AE}" pid="3" name="Symbol1">
    <vt:lpwstr>CEDAW/C/KHM/1-3</vt:lpwstr>
  </property>
  <property fmtid="{D5CDD505-2E9C-101B-9397-08002B2CF9AE}" pid="4" name="Symbol2">
    <vt:lpwstr/>
  </property>
  <property fmtid="{D5CDD505-2E9C-101B-9397-08002B2CF9AE}" pid="5" name="Translator">
    <vt:lpwstr/>
  </property>
  <property fmtid="{D5CDD505-2E9C-101B-9397-08002B2CF9AE}" pid="6" name="Comment">
    <vt:lpwstr>TRADUCCION EXTERNA</vt:lpwstr>
  </property>
  <property fmtid="{D5CDD505-2E9C-101B-9397-08002B2CF9AE}" pid="7" name="DraftPages">
    <vt:lpwstr> </vt:lpwstr>
  </property>
  <property fmtid="{D5CDD505-2E9C-101B-9397-08002B2CF9AE}" pid="8" name="Operator">
    <vt:lpwstr>Joyce</vt:lpwstr>
  </property>
</Properties>
</file>