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E738AF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A17DFD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9446A" w:rsidP="00F9446A">
            <w:pPr>
              <w:jc w:val="right"/>
            </w:pPr>
            <w:r w:rsidRPr="00F9446A">
              <w:rPr>
                <w:sz w:val="40"/>
              </w:rPr>
              <w:t>CERD</w:t>
            </w:r>
            <w:r>
              <w:t>/C/TKM/Q/6-7</w:t>
            </w:r>
          </w:p>
        </w:tc>
      </w:tr>
      <w:tr w:rsidR="002D5AAC" w:rsidTr="00E738AF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A17DFD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8728CD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>la Eliminación de todas 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F9446A" w:rsidRDefault="00F9446A" w:rsidP="00B778C8">
            <w:pPr>
              <w:spacing w:before="240"/>
            </w:pPr>
            <w:r>
              <w:t>Distr. general</w:t>
            </w:r>
          </w:p>
          <w:p w:rsidR="00F9446A" w:rsidRDefault="00F9446A" w:rsidP="00F9446A">
            <w:pPr>
              <w:spacing w:line="240" w:lineRule="exact"/>
            </w:pPr>
            <w:r>
              <w:t>13 de enero de 2012</w:t>
            </w:r>
          </w:p>
          <w:p w:rsidR="00F9446A" w:rsidRDefault="00F9446A" w:rsidP="00F9446A">
            <w:pPr>
              <w:spacing w:line="240" w:lineRule="exact"/>
            </w:pPr>
            <w:r>
              <w:t>Español</w:t>
            </w:r>
          </w:p>
          <w:p w:rsidR="002D5AAC" w:rsidRDefault="00F9446A" w:rsidP="00F9446A">
            <w:pPr>
              <w:spacing w:line="240" w:lineRule="exact"/>
            </w:pPr>
            <w:r>
              <w:t>Original: inglés</w:t>
            </w:r>
          </w:p>
        </w:tc>
      </w:tr>
    </w:tbl>
    <w:p w:rsidR="00E738AF" w:rsidRPr="00B500D4" w:rsidRDefault="00E738AF" w:rsidP="00AE2B7F">
      <w:pPr>
        <w:spacing w:before="120"/>
        <w:rPr>
          <w:b/>
          <w:sz w:val="24"/>
          <w:szCs w:val="24"/>
        </w:rPr>
      </w:pPr>
      <w:r w:rsidRPr="00B500D4">
        <w:rPr>
          <w:b/>
          <w:sz w:val="24"/>
          <w:szCs w:val="24"/>
        </w:rPr>
        <w:t>Comité para la Eliminación de la Discriminación Racial</w:t>
      </w:r>
    </w:p>
    <w:p w:rsidR="00E738AF" w:rsidRPr="00B500D4" w:rsidRDefault="00E738AF" w:rsidP="00AE2B7F">
      <w:pPr>
        <w:rPr>
          <w:b/>
        </w:rPr>
      </w:pPr>
      <w:r w:rsidRPr="00B500D4">
        <w:rPr>
          <w:b/>
        </w:rPr>
        <w:t>80º período de sesiones</w:t>
      </w:r>
    </w:p>
    <w:p w:rsidR="00E738AF" w:rsidRPr="00B500D4" w:rsidRDefault="00E738AF" w:rsidP="00AE2B7F">
      <w:pPr>
        <w:spacing w:after="240"/>
      </w:pPr>
      <w:r w:rsidRPr="00B500D4">
        <w:t>13 de febrero a 9 de marzo de 2012</w:t>
      </w:r>
    </w:p>
    <w:p w:rsidR="00E738AF" w:rsidRPr="00B500D4" w:rsidRDefault="00E738AF" w:rsidP="00E738AF">
      <w:pPr>
        <w:pStyle w:val="HChG"/>
      </w:pPr>
      <w:r>
        <w:tab/>
      </w:r>
      <w:r>
        <w:tab/>
      </w:r>
      <w:r w:rsidRPr="00B500D4">
        <w:t>Aplicación de la</w:t>
      </w:r>
      <w:r>
        <w:t xml:space="preserve"> Convención Internacional sobre la</w:t>
      </w:r>
      <w:r>
        <w:br/>
      </w:r>
      <w:r w:rsidRPr="00B500D4">
        <w:t>Eliminación de tod</w:t>
      </w:r>
      <w:r>
        <w:t>as las Formas de Discriminación</w:t>
      </w:r>
      <w:r>
        <w:br/>
      </w:r>
      <w:r w:rsidRPr="00B500D4">
        <w:t xml:space="preserve">Racial </w:t>
      </w:r>
    </w:p>
    <w:p w:rsidR="00E738AF" w:rsidRPr="00B500D4" w:rsidRDefault="00E738AF" w:rsidP="00E738AF">
      <w:pPr>
        <w:pStyle w:val="H1G"/>
      </w:pPr>
      <w:r>
        <w:tab/>
      </w:r>
      <w:r>
        <w:tab/>
      </w:r>
      <w:r w:rsidRPr="00B500D4">
        <w:t>Lista de temas que deben abordarse al examinar los informes periódicos sexto y séptimo de Turkmenistán (CERD/C/TKM/6-7)</w:t>
      </w:r>
      <w:r w:rsidRPr="00B500D4">
        <w:rPr>
          <w:b w:val="0"/>
          <w:sz w:val="20"/>
        </w:rPr>
        <w:footnoteReference w:customMarkFollows="1" w:id="1"/>
        <w:t>*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E738AF" w:rsidTr="00DA7583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E738AF" w:rsidRDefault="00E738AF" w:rsidP="00DA7583">
            <w:pPr>
              <w:pStyle w:val="SingleTxtG"/>
              <w:spacing w:after="0" w:line="240" w:lineRule="auto"/>
              <w:ind w:left="0" w:right="0"/>
              <w:jc w:val="left"/>
            </w:pPr>
          </w:p>
        </w:tc>
      </w:tr>
      <w:tr w:rsidR="00E738AF" w:rsidTr="00DA758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E738AF" w:rsidRDefault="00E738AF" w:rsidP="00DA7583">
            <w:pPr>
              <w:spacing w:after="120"/>
              <w:jc w:val="both"/>
            </w:pPr>
            <w:r>
              <w:tab/>
            </w:r>
            <w:r w:rsidRPr="00B500D4">
              <w:t xml:space="preserve">La lista de temas que figura a continuación ha sido elaborada por el Relator para el país, con el propósito de utilizarla en el examen de los informes periódicos sexto y séptimo de Turkmenistán. El objetivo de esta lista es facilitar el diálogo entre la delegación del Estado parte y el Comité, y </w:t>
            </w:r>
            <w:r w:rsidRPr="00B500D4">
              <w:rPr>
                <w:i/>
              </w:rPr>
              <w:t>no requiere respuestas por escrito</w:t>
            </w:r>
            <w:r w:rsidRPr="00B500D4">
              <w:t>. No es una lista exhaustiva, pues durante el diálogo con el Estado parte podrán abordarse otros asuntos.</w:t>
            </w:r>
          </w:p>
        </w:tc>
      </w:tr>
      <w:tr w:rsidR="00E738AF" w:rsidTr="00DA7583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E738AF" w:rsidRDefault="00E738AF" w:rsidP="00DA7583">
            <w:pPr>
              <w:pStyle w:val="SingleTxtG"/>
              <w:spacing w:after="0" w:line="240" w:lineRule="auto"/>
              <w:ind w:left="0" w:right="0"/>
              <w:jc w:val="left"/>
            </w:pPr>
          </w:p>
        </w:tc>
      </w:tr>
    </w:tbl>
    <w:p w:rsidR="00E738AF" w:rsidRPr="00B500D4" w:rsidRDefault="00E738AF" w:rsidP="00E738AF">
      <w:pPr>
        <w:pStyle w:val="H23G"/>
      </w:pPr>
      <w:r>
        <w:tab/>
        <w:t>1.</w:t>
      </w:r>
      <w:r>
        <w:tab/>
      </w:r>
      <w:r w:rsidRPr="00B500D4">
        <w:t xml:space="preserve">La Convención en el derecho interno y las medidas legislativas y de política </w:t>
      </w:r>
      <w:r w:rsidR="004B5A9C">
        <w:br/>
      </w:r>
      <w:r w:rsidRPr="00B500D4">
        <w:t>para su aplicación (art</w:t>
      </w:r>
      <w:r w:rsidR="003F1E5F">
        <w:t>ículos</w:t>
      </w:r>
      <w:r w:rsidR="0029670C">
        <w:t xml:space="preserve"> 1, 2, 4, 5 y 7)</w:t>
      </w:r>
    </w:p>
    <w:p w:rsidR="00E738AF" w:rsidRPr="00B500D4" w:rsidRDefault="00E738AF" w:rsidP="00E738AF">
      <w:pPr>
        <w:pStyle w:val="SingleTxtG"/>
      </w:pPr>
      <w:r>
        <w:tab/>
      </w:r>
      <w:r w:rsidRPr="00B500D4">
        <w:t>a)</w:t>
      </w:r>
      <w:r>
        <w:tab/>
      </w:r>
      <w:r w:rsidRPr="00B500D4">
        <w:t>Información sobre la aplicabilidad directa de la Convención en el orden</w:t>
      </w:r>
      <w:r>
        <w:t>amiento</w:t>
      </w:r>
      <w:r w:rsidRPr="00B500D4">
        <w:t xml:space="preserve"> jurídico interno, incluidos casos que ilustren su aplicación directa e indirecta ante órganos judiciales y administrativos;</w:t>
      </w:r>
    </w:p>
    <w:p w:rsidR="00E738AF" w:rsidRPr="00B500D4" w:rsidRDefault="00E738AF" w:rsidP="00E738AF">
      <w:pPr>
        <w:pStyle w:val="SingleTxtG"/>
      </w:pPr>
      <w:r>
        <w:tab/>
      </w:r>
      <w:r w:rsidRPr="00B500D4">
        <w:t>b)</w:t>
      </w:r>
      <w:r>
        <w:tab/>
        <w:t xml:space="preserve">Medidas </w:t>
      </w:r>
      <w:r w:rsidRPr="00B500D4">
        <w:t>para establecer una institución nacional independiente de derechos humanos conforme a los Principios relativos al estatuto de las instituciones nacionales de promoción y protección de los derechos humanos.</w:t>
      </w:r>
    </w:p>
    <w:p w:rsidR="00E738AF" w:rsidRPr="00B500D4" w:rsidRDefault="00E738AF" w:rsidP="00E738AF">
      <w:pPr>
        <w:pStyle w:val="H23G"/>
      </w:pPr>
      <w:r>
        <w:tab/>
        <w:t>2.</w:t>
      </w:r>
      <w:r>
        <w:tab/>
      </w:r>
      <w:r w:rsidRPr="00B500D4">
        <w:t>Aplicación de</w:t>
      </w:r>
      <w:r>
        <w:t xml:space="preserve"> la Convención a miembros de</w:t>
      </w:r>
      <w:r w:rsidRPr="00B500D4">
        <w:t xml:space="preserve"> minorías </w:t>
      </w:r>
      <w:r>
        <w:t>para hacer efectivos</w:t>
      </w:r>
      <w:r w:rsidRPr="00B500D4">
        <w:t xml:space="preserve"> sus derechos civiles, políticos, económicos, sociales y culturales (art</w:t>
      </w:r>
      <w:r w:rsidR="003F1E5F">
        <w:t>ículos</w:t>
      </w:r>
      <w:r w:rsidR="0029670C">
        <w:t xml:space="preserve"> 2 y 5)</w:t>
      </w:r>
    </w:p>
    <w:p w:rsidR="00E738AF" w:rsidRPr="00B500D4" w:rsidRDefault="00E738AF" w:rsidP="00E738AF">
      <w:pPr>
        <w:pStyle w:val="SingleTxtG"/>
      </w:pPr>
      <w:r>
        <w:tab/>
        <w:t>a)</w:t>
      </w:r>
      <w:r>
        <w:tab/>
      </w:r>
      <w:r w:rsidRPr="00B500D4">
        <w:t>Datos sobre la composición étnica de la población de Turkmenistán;</w:t>
      </w:r>
    </w:p>
    <w:p w:rsidR="00E738AF" w:rsidRPr="00B500D4" w:rsidRDefault="00E738AF" w:rsidP="00E738AF">
      <w:pPr>
        <w:pStyle w:val="SingleTxtG"/>
      </w:pPr>
      <w:r>
        <w:tab/>
        <w:t>b)</w:t>
      </w:r>
      <w:r>
        <w:tab/>
      </w:r>
      <w:r w:rsidRPr="00B500D4">
        <w:t xml:space="preserve">Participación de miembros de minorías nacionales </w:t>
      </w:r>
      <w:r>
        <w:t>en la vida política y pública (parlamento, g</w:t>
      </w:r>
      <w:r w:rsidRPr="00B500D4">
        <w:t xml:space="preserve">obierno, órganos locales, </w:t>
      </w:r>
      <w:r>
        <w:t xml:space="preserve">sistema de </w:t>
      </w:r>
      <w:r w:rsidRPr="00B500D4">
        <w:t xml:space="preserve">justicia; </w:t>
      </w:r>
      <w:r>
        <w:t xml:space="preserve">forma en que </w:t>
      </w:r>
      <w:r w:rsidRPr="00B500D4">
        <w:t>participan en los procesos de a</w:t>
      </w:r>
      <w:r>
        <w:t xml:space="preserve">dopción de decisiones sobre </w:t>
      </w:r>
      <w:r w:rsidRPr="00B500D4">
        <w:t>cuestiones que les conciernen);</w:t>
      </w:r>
    </w:p>
    <w:p w:rsidR="00E738AF" w:rsidRPr="00B500D4" w:rsidRDefault="00E738AF" w:rsidP="00E738AF">
      <w:pPr>
        <w:pStyle w:val="SingleTxtG"/>
      </w:pPr>
      <w:r>
        <w:tab/>
        <w:t>c)</w:t>
      </w:r>
      <w:r>
        <w:tab/>
      </w:r>
      <w:r w:rsidRPr="00B500D4">
        <w:t>Datos sobre el acceso al empleo en el sector público y a la educación superior de los miembros de minorías étnicas o nacionales;</w:t>
      </w:r>
    </w:p>
    <w:p w:rsidR="00E738AF" w:rsidRPr="00B500D4" w:rsidRDefault="00E738AF" w:rsidP="00E738AF">
      <w:pPr>
        <w:pStyle w:val="SingleTxtG"/>
      </w:pPr>
      <w:r>
        <w:tab/>
        <w:t>d)</w:t>
      </w:r>
      <w:r>
        <w:tab/>
      </w:r>
      <w:r w:rsidRPr="00B500D4">
        <w:t>Datos sobre las escuelas y clases en las que se imparte educación en idiomas minoritarios y se enseñan estos idiomas;</w:t>
      </w:r>
    </w:p>
    <w:p w:rsidR="00E738AF" w:rsidRPr="00B500D4" w:rsidRDefault="00E738AF" w:rsidP="00E738AF">
      <w:pPr>
        <w:pStyle w:val="SingleTxtG"/>
      </w:pPr>
      <w:r>
        <w:tab/>
        <w:t>e)</w:t>
      </w:r>
      <w:r>
        <w:tab/>
      </w:r>
      <w:r w:rsidRPr="00B500D4">
        <w:t xml:space="preserve">Información sobre instituciones y </w:t>
      </w:r>
      <w:r>
        <w:t>centros culturales dedicado</w:t>
      </w:r>
      <w:r w:rsidRPr="00B500D4">
        <w:t>s a minorías nacionales y étnicas;</w:t>
      </w:r>
    </w:p>
    <w:p w:rsidR="00E738AF" w:rsidRPr="00B500D4" w:rsidRDefault="00E738AF" w:rsidP="00E738AF">
      <w:pPr>
        <w:pStyle w:val="SingleTxtG"/>
      </w:pPr>
      <w:r>
        <w:tab/>
        <w:t>f)</w:t>
      </w:r>
      <w:r>
        <w:tab/>
      </w:r>
      <w:r w:rsidRPr="00B500D4">
        <w:t xml:space="preserve">Problemas vinculados con la doble ciudadanía y consecuencias directas e indirectas </w:t>
      </w:r>
      <w:r>
        <w:t xml:space="preserve">de esos problemas </w:t>
      </w:r>
      <w:r w:rsidRPr="00B500D4">
        <w:t xml:space="preserve">para las personas </w:t>
      </w:r>
      <w:r>
        <w:t>afectadas</w:t>
      </w:r>
      <w:r w:rsidRPr="00B500D4">
        <w:t>.</w:t>
      </w:r>
    </w:p>
    <w:p w:rsidR="00E738AF" w:rsidRPr="00B500D4" w:rsidRDefault="00E738AF" w:rsidP="00E738AF">
      <w:pPr>
        <w:pStyle w:val="H23G"/>
      </w:pPr>
      <w:r>
        <w:tab/>
        <w:t>3.</w:t>
      </w:r>
      <w:r>
        <w:tab/>
      </w:r>
      <w:r w:rsidRPr="00B500D4">
        <w:t xml:space="preserve">Acceso a la justicia y disponibilidad de recursos en caso de discriminación </w:t>
      </w:r>
      <w:r w:rsidR="0029670C">
        <w:br/>
      </w:r>
      <w:r w:rsidRPr="00B500D4">
        <w:t>racial (art</w:t>
      </w:r>
      <w:r w:rsidR="0029670C">
        <w:t>ículos</w:t>
      </w:r>
      <w:r w:rsidRPr="00B500D4">
        <w:t xml:space="preserve"> 4 y 6)</w:t>
      </w:r>
    </w:p>
    <w:p w:rsidR="00E738AF" w:rsidRPr="00B500D4" w:rsidRDefault="00E738AF" w:rsidP="00E738AF">
      <w:pPr>
        <w:pStyle w:val="SingleTxtG"/>
      </w:pPr>
      <w:r>
        <w:tab/>
        <w:t>a)</w:t>
      </w:r>
      <w:r>
        <w:tab/>
      </w:r>
      <w:r w:rsidRPr="00B500D4">
        <w:t xml:space="preserve">Número </w:t>
      </w:r>
      <w:r>
        <w:t xml:space="preserve">e índole </w:t>
      </w:r>
      <w:r w:rsidRPr="00B500D4">
        <w:t>de las denuncias presentadas a la Comisión Estatal de Examen de las quejas de los ciudadanos adscrita a la Presidencia;</w:t>
      </w:r>
    </w:p>
    <w:p w:rsidR="00E738AF" w:rsidRDefault="00E738AF" w:rsidP="00E738AF">
      <w:pPr>
        <w:pStyle w:val="SingleTxtG"/>
      </w:pPr>
      <w:r>
        <w:tab/>
        <w:t>b)</w:t>
      </w:r>
      <w:r>
        <w:tab/>
      </w:r>
      <w:r w:rsidRPr="00B500D4">
        <w:t>Vías de recurso para todas las víctimas de discriminación racial, disponibilidad de recursos civiles, incluida</w:t>
      </w:r>
      <w:r>
        <w:t>s la</w:t>
      </w:r>
      <w:r w:rsidRPr="00B500D4">
        <w:t xml:space="preserve"> indemnizaci</w:t>
      </w:r>
      <w:r>
        <w:t xml:space="preserve">ón </w:t>
      </w:r>
      <w:r w:rsidRPr="00B500D4">
        <w:t xml:space="preserve">y </w:t>
      </w:r>
      <w:r>
        <w:t xml:space="preserve">la </w:t>
      </w:r>
      <w:r w:rsidRPr="00B500D4">
        <w:t>reparación, y medidas para garantizar el acceso de las víct</w:t>
      </w:r>
      <w:r>
        <w:t>imas a la justicia.</w:t>
      </w:r>
    </w:p>
    <w:p w:rsidR="00E738AF" w:rsidRPr="000C06F5" w:rsidRDefault="00E738AF" w:rsidP="0021192C">
      <w:pPr>
        <w:pStyle w:val="SingleTxtG"/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738AF" w:rsidRPr="000C06F5" w:rsidSect="00F9446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309" w:rsidRDefault="00B73309">
      <w:r>
        <w:separator/>
      </w:r>
    </w:p>
  </w:endnote>
  <w:endnote w:type="continuationSeparator" w:id="0">
    <w:p w:rsidR="00B73309" w:rsidRDefault="00B73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46A" w:rsidRPr="00F9446A" w:rsidRDefault="00F9446A" w:rsidP="00F9446A">
    <w:pPr>
      <w:pStyle w:val="Footer"/>
      <w:tabs>
        <w:tab w:val="right" w:pos="9638"/>
      </w:tabs>
    </w:pPr>
    <w:r w:rsidRPr="00F9446A">
      <w:rPr>
        <w:b/>
        <w:sz w:val="18"/>
      </w:rPr>
      <w:fldChar w:fldCharType="begin"/>
    </w:r>
    <w:r w:rsidRPr="00F9446A">
      <w:rPr>
        <w:b/>
        <w:sz w:val="18"/>
      </w:rPr>
      <w:instrText xml:space="preserve"> PAGE  \* MERGEFORMAT </w:instrText>
    </w:r>
    <w:r w:rsidRPr="00F9446A">
      <w:rPr>
        <w:b/>
        <w:sz w:val="18"/>
      </w:rPr>
      <w:fldChar w:fldCharType="separate"/>
    </w:r>
    <w:r w:rsidR="00016155">
      <w:rPr>
        <w:b/>
        <w:noProof/>
        <w:sz w:val="18"/>
      </w:rPr>
      <w:t>2</w:t>
    </w:r>
    <w:r w:rsidRPr="00F9446A">
      <w:rPr>
        <w:b/>
        <w:sz w:val="18"/>
      </w:rPr>
      <w:fldChar w:fldCharType="end"/>
    </w:r>
    <w:r>
      <w:rPr>
        <w:b/>
        <w:sz w:val="18"/>
      </w:rPr>
      <w:tab/>
    </w:r>
    <w:r>
      <w:t>GE.12-40119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46A" w:rsidRPr="00F9446A" w:rsidRDefault="00F9446A" w:rsidP="00F9446A">
    <w:pPr>
      <w:pStyle w:val="Footer"/>
      <w:tabs>
        <w:tab w:val="right" w:pos="9638"/>
      </w:tabs>
      <w:rPr>
        <w:b/>
        <w:sz w:val="18"/>
      </w:rPr>
    </w:pPr>
    <w:r>
      <w:t>GE.12-40119</w:t>
    </w:r>
    <w:r>
      <w:tab/>
    </w:r>
    <w:r w:rsidRPr="00F9446A">
      <w:rPr>
        <w:b/>
        <w:sz w:val="18"/>
      </w:rPr>
      <w:fldChar w:fldCharType="begin"/>
    </w:r>
    <w:r w:rsidRPr="00F9446A">
      <w:rPr>
        <w:b/>
        <w:sz w:val="18"/>
      </w:rPr>
      <w:instrText xml:space="preserve"> PAGE  \* MERGEFORMAT </w:instrText>
    </w:r>
    <w:r w:rsidRPr="00F9446A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F9446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E60" w:rsidRPr="00F9446A" w:rsidRDefault="00F9446A">
    <w:pPr>
      <w:pStyle w:val="Footer"/>
      <w:rPr>
        <w:sz w:val="20"/>
      </w:rPr>
    </w:pPr>
    <w:r>
      <w:rPr>
        <w:sz w:val="20"/>
      </w:rPr>
      <w:t>GE.</w:t>
    </w:r>
    <w:r w:rsidR="00543E6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>12-40119  (S)</w:t>
    </w:r>
    <w:r w:rsidR="00A12049">
      <w:rPr>
        <w:sz w:val="20"/>
      </w:rPr>
      <w:t xml:space="preserve">    240112    060212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309" w:rsidRPr="001075E9" w:rsidRDefault="00B7330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73309" w:rsidRDefault="00B73309">
      <w:r>
        <w:continuationSeparator/>
      </w:r>
    </w:p>
  </w:footnote>
  <w:footnote w:id="1">
    <w:p w:rsidR="00E738AF" w:rsidRPr="00E82CF3" w:rsidRDefault="00E738AF" w:rsidP="00E738AF">
      <w:pPr>
        <w:pStyle w:val="FootnoteText"/>
        <w:rPr>
          <w:lang w:val="en-US"/>
        </w:rPr>
      </w:pPr>
      <w:r>
        <w:tab/>
      </w:r>
      <w:r w:rsidRPr="00166CF5">
        <w:rPr>
          <w:rStyle w:val="FootnoteReference"/>
          <w:vertAlign w:val="baseline"/>
        </w:rPr>
        <w:t>*</w:t>
      </w:r>
      <w:r>
        <w:tab/>
        <w:t>Documento presentado con retraso.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46A" w:rsidRPr="00F9446A" w:rsidRDefault="00F9446A">
    <w:pPr>
      <w:pStyle w:val="Header"/>
    </w:pPr>
    <w:r>
      <w:t>CERD/C/TKM/Q/6-7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446A" w:rsidRPr="00F9446A" w:rsidRDefault="00F9446A" w:rsidP="00F9446A">
    <w:pPr>
      <w:pStyle w:val="Header"/>
      <w:jc w:val="right"/>
    </w:pPr>
    <w:r>
      <w:t>CERD/C/TKM/Q/6-7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3E60"/>
    <w:rsid w:val="00006BB9"/>
    <w:rsid w:val="000107A1"/>
    <w:rsid w:val="00016155"/>
    <w:rsid w:val="0002339D"/>
    <w:rsid w:val="00036733"/>
    <w:rsid w:val="000B57E7"/>
    <w:rsid w:val="000F09DF"/>
    <w:rsid w:val="000F61B2"/>
    <w:rsid w:val="001075E9"/>
    <w:rsid w:val="00145F2F"/>
    <w:rsid w:val="00160FF7"/>
    <w:rsid w:val="00180183"/>
    <w:rsid w:val="00196389"/>
    <w:rsid w:val="001C7A89"/>
    <w:rsid w:val="00201F1A"/>
    <w:rsid w:val="0021192C"/>
    <w:rsid w:val="002433EC"/>
    <w:rsid w:val="0025226E"/>
    <w:rsid w:val="0029670C"/>
    <w:rsid w:val="002A2EFC"/>
    <w:rsid w:val="002C0E18"/>
    <w:rsid w:val="002C33BB"/>
    <w:rsid w:val="002D5AAC"/>
    <w:rsid w:val="00301299"/>
    <w:rsid w:val="00322004"/>
    <w:rsid w:val="003402C2"/>
    <w:rsid w:val="0036294A"/>
    <w:rsid w:val="00381C24"/>
    <w:rsid w:val="003958D0"/>
    <w:rsid w:val="003F1E5F"/>
    <w:rsid w:val="004031F0"/>
    <w:rsid w:val="00454E07"/>
    <w:rsid w:val="00471CB3"/>
    <w:rsid w:val="004B5A9C"/>
    <w:rsid w:val="0050108D"/>
    <w:rsid w:val="0051740C"/>
    <w:rsid w:val="00543E60"/>
    <w:rsid w:val="00572E19"/>
    <w:rsid w:val="005F0B42"/>
    <w:rsid w:val="00634841"/>
    <w:rsid w:val="00655A21"/>
    <w:rsid w:val="006725B3"/>
    <w:rsid w:val="006808A9"/>
    <w:rsid w:val="006D631C"/>
    <w:rsid w:val="006F35EE"/>
    <w:rsid w:val="007021FF"/>
    <w:rsid w:val="007076CB"/>
    <w:rsid w:val="007967DF"/>
    <w:rsid w:val="00834B71"/>
    <w:rsid w:val="0086445C"/>
    <w:rsid w:val="00865FAC"/>
    <w:rsid w:val="008728CD"/>
    <w:rsid w:val="008A08D7"/>
    <w:rsid w:val="008A13F9"/>
    <w:rsid w:val="008C0F65"/>
    <w:rsid w:val="00906890"/>
    <w:rsid w:val="00951972"/>
    <w:rsid w:val="00954E65"/>
    <w:rsid w:val="00A12049"/>
    <w:rsid w:val="00A17DFD"/>
    <w:rsid w:val="00A4674B"/>
    <w:rsid w:val="00A917B3"/>
    <w:rsid w:val="00AB4B51"/>
    <w:rsid w:val="00AE2B7F"/>
    <w:rsid w:val="00B066FC"/>
    <w:rsid w:val="00B10CC7"/>
    <w:rsid w:val="00B62458"/>
    <w:rsid w:val="00B73309"/>
    <w:rsid w:val="00B778C8"/>
    <w:rsid w:val="00BB36EA"/>
    <w:rsid w:val="00BD33EE"/>
    <w:rsid w:val="00C60F0C"/>
    <w:rsid w:val="00C63C2A"/>
    <w:rsid w:val="00C805C9"/>
    <w:rsid w:val="00CA1679"/>
    <w:rsid w:val="00D05347"/>
    <w:rsid w:val="00D87932"/>
    <w:rsid w:val="00D90138"/>
    <w:rsid w:val="00DA7583"/>
    <w:rsid w:val="00E738AF"/>
    <w:rsid w:val="00E73F76"/>
    <w:rsid w:val="00EA31D8"/>
    <w:rsid w:val="00EA5579"/>
    <w:rsid w:val="00EF1360"/>
    <w:rsid w:val="00EF3220"/>
    <w:rsid w:val="00EF627F"/>
    <w:rsid w:val="00EF7198"/>
    <w:rsid w:val="00F41883"/>
    <w:rsid w:val="00F94155"/>
    <w:rsid w:val="00F9446A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31D8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EA31D8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EA31D8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EA31D8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A31D8"/>
  </w:style>
  <w:style w:type="character" w:styleId="FootnoteReference">
    <w:name w:val="footnote reference"/>
    <w:aliases w:val="4_G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EA31D8"/>
    <w:pPr>
      <w:numPr>
        <w:numId w:val="3"/>
      </w:numPr>
    </w:pPr>
  </w:style>
  <w:style w:type="numbering" w:styleId="1ai">
    <w:name w:val="Outline List 1"/>
    <w:basedOn w:val="NoList"/>
    <w:semiHidden/>
    <w:rsid w:val="00EA31D8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EA31D8"/>
  </w:style>
  <w:style w:type="numbering" w:styleId="ArticleSection">
    <w:name w:val="Outline List 3"/>
    <w:basedOn w:val="NoList"/>
    <w:semiHidden/>
    <w:rsid w:val="00EA31D8"/>
    <w:pPr>
      <w:numPr>
        <w:numId w:val="5"/>
      </w:numPr>
    </w:pPr>
  </w:style>
  <w:style w:type="paragraph" w:styleId="Closing">
    <w:name w:val="Closing"/>
    <w:basedOn w:val="Normal"/>
    <w:semiHidden/>
    <w:rsid w:val="00EA31D8"/>
    <w:pPr>
      <w:ind w:left="4252"/>
    </w:pPr>
  </w:style>
  <w:style w:type="character" w:styleId="HTMLCite">
    <w:name w:val="HTML Cite"/>
    <w:semiHidden/>
    <w:rsid w:val="00EA31D8"/>
    <w:rPr>
      <w:i/>
      <w:iCs/>
    </w:rPr>
  </w:style>
  <w:style w:type="character" w:styleId="HTMLCode">
    <w:name w:val="HTML Code"/>
    <w:semiHidden/>
    <w:rsid w:val="00EA31D8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EA31D8"/>
    <w:pPr>
      <w:spacing w:after="120"/>
      <w:ind w:left="283"/>
    </w:pPr>
  </w:style>
  <w:style w:type="paragraph" w:styleId="ListContinue2">
    <w:name w:val="List Continue 2"/>
    <w:basedOn w:val="Normal"/>
    <w:semiHidden/>
    <w:rsid w:val="00EA31D8"/>
    <w:pPr>
      <w:spacing w:after="120"/>
      <w:ind w:left="566"/>
    </w:pPr>
  </w:style>
  <w:style w:type="paragraph" w:styleId="ListContinue3">
    <w:name w:val="List Continue 3"/>
    <w:basedOn w:val="Normal"/>
    <w:semiHidden/>
    <w:rsid w:val="00EA31D8"/>
    <w:pPr>
      <w:spacing w:after="120"/>
      <w:ind w:left="849"/>
    </w:pPr>
  </w:style>
  <w:style w:type="paragraph" w:styleId="ListContinue4">
    <w:name w:val="List Continue 4"/>
    <w:basedOn w:val="Normal"/>
    <w:semiHidden/>
    <w:rsid w:val="00EA31D8"/>
    <w:pPr>
      <w:spacing w:after="120"/>
      <w:ind w:left="1132"/>
    </w:pPr>
  </w:style>
  <w:style w:type="paragraph" w:styleId="ListContinue5">
    <w:name w:val="List Continue 5"/>
    <w:basedOn w:val="Normal"/>
    <w:semiHidden/>
    <w:rsid w:val="00EA31D8"/>
    <w:pPr>
      <w:spacing w:after="120"/>
      <w:ind w:left="1415"/>
    </w:pPr>
  </w:style>
  <w:style w:type="character" w:styleId="HTMLDefinition">
    <w:name w:val="HTML Definition"/>
    <w:semiHidden/>
    <w:rsid w:val="00EA31D8"/>
    <w:rPr>
      <w:i/>
      <w:iCs/>
    </w:rPr>
  </w:style>
  <w:style w:type="paragraph" w:styleId="HTMLAddress">
    <w:name w:val="HTML Address"/>
    <w:basedOn w:val="Normal"/>
    <w:semiHidden/>
    <w:rsid w:val="00EA31D8"/>
    <w:rPr>
      <w:i/>
      <w:iCs/>
    </w:rPr>
  </w:style>
  <w:style w:type="paragraph" w:styleId="EnvelopeAddress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EA31D8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EA31D8"/>
  </w:style>
  <w:style w:type="character" w:styleId="Emphasis">
    <w:name w:val="Emphasis"/>
    <w:qFormat/>
    <w:rsid w:val="00EA31D8"/>
    <w:rPr>
      <w:i/>
      <w:iCs/>
    </w:rPr>
  </w:style>
  <w:style w:type="paragraph" w:styleId="Date">
    <w:name w:val="Date"/>
    <w:basedOn w:val="Normal"/>
    <w:next w:val="Normal"/>
    <w:semiHidden/>
    <w:rsid w:val="00EA31D8"/>
  </w:style>
  <w:style w:type="paragraph" w:styleId="Signature">
    <w:name w:val="Signature"/>
    <w:basedOn w:val="Normal"/>
    <w:semiHidden/>
    <w:rsid w:val="00EA31D8"/>
    <w:pPr>
      <w:ind w:left="4252"/>
    </w:pPr>
  </w:style>
  <w:style w:type="paragraph" w:styleId="E-mailSignature">
    <w:name w:val="E-mail Signature"/>
    <w:basedOn w:val="Normal"/>
    <w:semiHidden/>
    <w:rsid w:val="00EA31D8"/>
  </w:style>
  <w:style w:type="character" w:styleId="Hyperlink">
    <w:name w:val="Hyperlink"/>
    <w:semiHidden/>
    <w:rsid w:val="00EA31D8"/>
    <w:rPr>
      <w:color w:val="0000FF"/>
      <w:u w:val="single"/>
    </w:rPr>
  </w:style>
  <w:style w:type="character" w:styleId="FollowedHyperlink">
    <w:name w:val="FollowedHyperlink"/>
    <w:semiHidden/>
    <w:rsid w:val="00EA31D8"/>
    <w:rPr>
      <w:color w:val="800080"/>
      <w:u w:val="single"/>
    </w:rPr>
  </w:style>
  <w:style w:type="paragraph" w:styleId="HTMLPreformatted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">
    <w:name w:val="List"/>
    <w:basedOn w:val="Normal"/>
    <w:semiHidden/>
    <w:rsid w:val="00EA31D8"/>
    <w:pPr>
      <w:ind w:left="283" w:hanging="283"/>
    </w:pPr>
  </w:style>
  <w:style w:type="paragraph" w:styleId="List2">
    <w:name w:val="List 2"/>
    <w:basedOn w:val="Normal"/>
    <w:semiHidden/>
    <w:rsid w:val="00EA31D8"/>
    <w:pPr>
      <w:ind w:left="566" w:hanging="283"/>
    </w:pPr>
  </w:style>
  <w:style w:type="paragraph" w:styleId="List3">
    <w:name w:val="List 3"/>
    <w:basedOn w:val="Normal"/>
    <w:semiHidden/>
    <w:rsid w:val="00EA31D8"/>
    <w:pPr>
      <w:ind w:left="849" w:hanging="283"/>
    </w:pPr>
  </w:style>
  <w:style w:type="paragraph" w:styleId="List4">
    <w:name w:val="List 4"/>
    <w:basedOn w:val="Normal"/>
    <w:semiHidden/>
    <w:rsid w:val="00EA31D8"/>
    <w:pPr>
      <w:ind w:left="1132" w:hanging="283"/>
    </w:pPr>
  </w:style>
  <w:style w:type="paragraph" w:styleId="List5">
    <w:name w:val="List 5"/>
    <w:basedOn w:val="Normal"/>
    <w:semiHidden/>
    <w:rsid w:val="00EA31D8"/>
    <w:pPr>
      <w:ind w:left="1415" w:hanging="283"/>
    </w:pPr>
  </w:style>
  <w:style w:type="paragraph" w:styleId="ListNumber">
    <w:name w:val="List Number"/>
    <w:basedOn w:val="Normal"/>
    <w:semiHidden/>
    <w:rsid w:val="00EA31D8"/>
    <w:pPr>
      <w:numPr>
        <w:numId w:val="6"/>
      </w:numPr>
    </w:pPr>
  </w:style>
  <w:style w:type="paragraph" w:styleId="ListNumber2">
    <w:name w:val="List Number 2"/>
    <w:basedOn w:val="Normal"/>
    <w:semiHidden/>
    <w:rsid w:val="00EA31D8"/>
    <w:pPr>
      <w:numPr>
        <w:numId w:val="7"/>
      </w:numPr>
    </w:pPr>
  </w:style>
  <w:style w:type="paragraph" w:styleId="ListNumber3">
    <w:name w:val="List Number 3"/>
    <w:basedOn w:val="Normal"/>
    <w:semiHidden/>
    <w:rsid w:val="00EA31D8"/>
    <w:pPr>
      <w:numPr>
        <w:numId w:val="8"/>
      </w:numPr>
    </w:pPr>
  </w:style>
  <w:style w:type="paragraph" w:styleId="ListNumber4">
    <w:name w:val="List Number 4"/>
    <w:basedOn w:val="Normal"/>
    <w:semiHidden/>
    <w:rsid w:val="00EA31D8"/>
    <w:pPr>
      <w:numPr>
        <w:numId w:val="9"/>
      </w:numPr>
    </w:pPr>
  </w:style>
  <w:style w:type="paragraph" w:styleId="ListNumber5">
    <w:name w:val="List Number 5"/>
    <w:basedOn w:val="Normal"/>
    <w:semiHidden/>
    <w:rsid w:val="00EA31D8"/>
    <w:pPr>
      <w:numPr>
        <w:numId w:val="10"/>
      </w:numPr>
    </w:pPr>
  </w:style>
  <w:style w:type="paragraph" w:styleId="ListBullet">
    <w:name w:val="List Bullet"/>
    <w:basedOn w:val="Normal"/>
    <w:semiHidden/>
    <w:rsid w:val="00EA31D8"/>
    <w:pPr>
      <w:numPr>
        <w:numId w:val="11"/>
      </w:numPr>
    </w:pPr>
  </w:style>
  <w:style w:type="paragraph" w:styleId="ListBullet2">
    <w:name w:val="List Bullet 2"/>
    <w:basedOn w:val="Normal"/>
    <w:semiHidden/>
    <w:rsid w:val="00EA31D8"/>
    <w:pPr>
      <w:numPr>
        <w:numId w:val="12"/>
      </w:numPr>
    </w:pPr>
  </w:style>
  <w:style w:type="paragraph" w:styleId="ListBullet3">
    <w:name w:val="List Bullet 3"/>
    <w:basedOn w:val="Normal"/>
    <w:semiHidden/>
    <w:rsid w:val="00EA31D8"/>
    <w:pPr>
      <w:numPr>
        <w:numId w:val="13"/>
      </w:numPr>
    </w:pPr>
  </w:style>
  <w:style w:type="paragraph" w:styleId="ListBullet4">
    <w:name w:val="List Bullet 4"/>
    <w:basedOn w:val="Normal"/>
    <w:semiHidden/>
    <w:rsid w:val="00EA31D8"/>
    <w:pPr>
      <w:numPr>
        <w:numId w:val="14"/>
      </w:numPr>
    </w:pPr>
  </w:style>
  <w:style w:type="paragraph" w:styleId="ListBullet5">
    <w:name w:val="List Bullet 5"/>
    <w:basedOn w:val="Normal"/>
    <w:semiHidden/>
    <w:rsid w:val="00EA31D8"/>
    <w:pPr>
      <w:numPr>
        <w:numId w:val="15"/>
      </w:numPr>
    </w:pPr>
  </w:style>
  <w:style w:type="character" w:styleId="HTMLTypewriter">
    <w:name w:val="HTML Typewri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LineNumber">
    <w:name w:val="line number"/>
    <w:basedOn w:val="DefaultParagraphFont"/>
    <w:semiHidden/>
    <w:rsid w:val="00EA31D8"/>
  </w:style>
  <w:style w:type="character" w:styleId="PageNumber">
    <w:name w:val="page number"/>
    <w:aliases w:val="7_G"/>
    <w:rsid w:val="00EA31D8"/>
    <w:rPr>
      <w:b/>
      <w:sz w:val="18"/>
    </w:rPr>
  </w:style>
  <w:style w:type="character" w:styleId="EndnoteReference">
    <w:name w:val="endnote reference"/>
    <w:aliases w:val="1_G"/>
    <w:basedOn w:val="FootnoteReference"/>
    <w:rsid w:val="00EA31D8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EA31D8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EA31D8"/>
  </w:style>
  <w:style w:type="paragraph" w:styleId="BodyTextIndent2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EA31D8"/>
    <w:pPr>
      <w:spacing w:after="120"/>
      <w:ind w:left="283"/>
    </w:pPr>
  </w:style>
  <w:style w:type="paragraph" w:styleId="NormalIndent">
    <w:name w:val="Normal Indent"/>
    <w:basedOn w:val="Normal"/>
    <w:semiHidden/>
    <w:rsid w:val="00EA31D8"/>
    <w:pPr>
      <w:ind w:left="567"/>
    </w:pPr>
  </w:style>
  <w:style w:type="paragraph" w:styleId="Subtitle">
    <w:name w:val="Subtitle"/>
    <w:basedOn w:val="Normal"/>
    <w:qFormat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A31D8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A31D8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A31D8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A31D8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A31D8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A31D8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A31D8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EA31D8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A31D8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A31D8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A31D8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EA31D8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A31D8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A31D8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A31D8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A31D8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EA31D8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EA31D8"/>
    <w:pPr>
      <w:spacing w:after="120"/>
      <w:ind w:left="1440" w:right="1440"/>
    </w:pPr>
  </w:style>
  <w:style w:type="character" w:styleId="Strong">
    <w:name w:val="Strong"/>
    <w:qFormat/>
    <w:rsid w:val="00EA31D8"/>
    <w:rPr>
      <w:b/>
      <w:bCs/>
    </w:rPr>
  </w:style>
  <w:style w:type="paragraph" w:styleId="BodyText">
    <w:name w:val="Body Text"/>
    <w:basedOn w:val="Normal"/>
    <w:semiHidden/>
    <w:rsid w:val="00EA31D8"/>
    <w:pPr>
      <w:spacing w:after="120"/>
    </w:pPr>
  </w:style>
  <w:style w:type="paragraph" w:styleId="BodyText2">
    <w:name w:val="Body Text 2"/>
    <w:basedOn w:val="Normal"/>
    <w:semiHidden/>
    <w:rsid w:val="00EA31D8"/>
    <w:pPr>
      <w:spacing w:after="120" w:line="480" w:lineRule="auto"/>
    </w:pPr>
  </w:style>
  <w:style w:type="paragraph" w:styleId="BodyText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EA31D8"/>
    <w:pPr>
      <w:ind w:firstLine="210"/>
    </w:pPr>
  </w:style>
  <w:style w:type="paragraph" w:styleId="BodyTextFirstIndent2">
    <w:name w:val="Body Text First Indent 2"/>
    <w:basedOn w:val="BodyTextIndent"/>
    <w:semiHidden/>
    <w:rsid w:val="00EA31D8"/>
    <w:pPr>
      <w:ind w:firstLine="210"/>
    </w:pPr>
  </w:style>
  <w:style w:type="paragraph" w:styleId="EndnoteText">
    <w:name w:val="endnote text"/>
    <w:aliases w:val="2_G"/>
    <w:basedOn w:val="FootnoteText"/>
    <w:rsid w:val="00EA31D8"/>
  </w:style>
  <w:style w:type="paragraph" w:styleId="PlainText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itle">
    <w:name w:val="Title"/>
    <w:basedOn w:val="Normal"/>
    <w:qFormat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EA31D8"/>
    <w:rPr>
      <w:i/>
      <w:iCs/>
    </w:rPr>
  </w:style>
  <w:style w:type="paragraph" w:customStyle="1" w:styleId="Bullet1G">
    <w:name w:val="_Bullet 1_G"/>
    <w:basedOn w:val="Normal"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EA31D8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2</Pages>
  <Words>456</Words>
  <Characters>2513</Characters>
  <Application>Microsoft Office Word</Application>
  <DocSecurity>4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CERD/C/TKM/Q/6-7 - 12-40119</vt:lpstr>
    </vt:vector>
  </TitlesOfParts>
  <Company/>
  <LinksUpToDate>false</LinksUpToDate>
  <CharactersWithSpaces>2964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CERD/C/TKM/Q/6-7 - 12-40119</dc:title>
  <dc:subject>FINAL</dc:subject>
  <dc:creator>María Dolores MARTÍNEZ</dc:creator>
  <cp:keywords/>
  <dc:description/>
  <cp:lastModifiedBy>María de la Plaza</cp:lastModifiedBy>
  <cp:revision>2</cp:revision>
  <cp:lastPrinted>2008-01-16T09:37:00Z</cp:lastPrinted>
  <dcterms:created xsi:type="dcterms:W3CDTF">2012-02-06T13:21:00Z</dcterms:created>
  <dcterms:modified xsi:type="dcterms:W3CDTF">2012-02-06T13:21:00Z</dcterms:modified>
</cp:coreProperties>
</file>