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853FE" w14:paraId="76084E43" w14:textId="77777777" w:rsidTr="00E56EE3">
        <w:trPr>
          <w:trHeight w:hRule="exact" w:val="851"/>
        </w:trPr>
        <w:tc>
          <w:tcPr>
            <w:tcW w:w="1280" w:type="dxa"/>
            <w:tcBorders>
              <w:bottom w:val="single" w:sz="4" w:space="0" w:color="auto"/>
            </w:tcBorders>
            <w:shd w:val="clear" w:color="auto" w:fill="auto"/>
          </w:tcPr>
          <w:p w14:paraId="6B3C7D4D" w14:textId="77777777" w:rsidR="002D5AAC" w:rsidRDefault="002D5AAC" w:rsidP="00E56EE3"/>
        </w:tc>
        <w:tc>
          <w:tcPr>
            <w:tcW w:w="2273" w:type="dxa"/>
            <w:tcBorders>
              <w:bottom w:val="single" w:sz="4" w:space="0" w:color="auto"/>
            </w:tcBorders>
            <w:shd w:val="clear" w:color="auto" w:fill="auto"/>
            <w:vAlign w:val="bottom"/>
          </w:tcPr>
          <w:p w14:paraId="0A9FF1AE" w14:textId="77777777" w:rsidR="002D5AAC" w:rsidRPr="00D4778E" w:rsidRDefault="00770151" w:rsidP="00E56EE3">
            <w:pPr>
              <w:spacing w:after="80" w:line="300" w:lineRule="exact"/>
              <w:rPr>
                <w:sz w:val="28"/>
              </w:rPr>
            </w:pPr>
            <w:r w:rsidRPr="00D4778E">
              <w:rPr>
                <w:sz w:val="28"/>
              </w:rPr>
              <w:t>Naciones Unidas</w:t>
            </w:r>
          </w:p>
        </w:tc>
        <w:tc>
          <w:tcPr>
            <w:tcW w:w="6086" w:type="dxa"/>
            <w:gridSpan w:val="2"/>
            <w:tcBorders>
              <w:bottom w:val="single" w:sz="4" w:space="0" w:color="auto"/>
            </w:tcBorders>
            <w:shd w:val="clear" w:color="auto" w:fill="auto"/>
            <w:vAlign w:val="bottom"/>
          </w:tcPr>
          <w:p w14:paraId="350759AF" w14:textId="1F2D4DF7" w:rsidR="002D5AAC" w:rsidRPr="00F3513F" w:rsidRDefault="00F3513F" w:rsidP="00F3513F">
            <w:pPr>
              <w:jc w:val="right"/>
            </w:pPr>
            <w:r w:rsidRPr="00F3513F">
              <w:rPr>
                <w:sz w:val="40"/>
              </w:rPr>
              <w:t>CERD</w:t>
            </w:r>
            <w:r>
              <w:t>/C/COL/20-21</w:t>
            </w:r>
          </w:p>
        </w:tc>
      </w:tr>
      <w:tr w:rsidR="00C853FE" w14:paraId="054442AA" w14:textId="77777777" w:rsidTr="00E56EE3">
        <w:trPr>
          <w:trHeight w:hRule="exact" w:val="2835"/>
        </w:trPr>
        <w:tc>
          <w:tcPr>
            <w:tcW w:w="1280" w:type="dxa"/>
            <w:tcBorders>
              <w:top w:val="single" w:sz="4" w:space="0" w:color="auto"/>
              <w:bottom w:val="single" w:sz="12" w:space="0" w:color="auto"/>
            </w:tcBorders>
            <w:shd w:val="clear" w:color="auto" w:fill="auto"/>
          </w:tcPr>
          <w:p w14:paraId="37AF4951" w14:textId="77777777" w:rsidR="002D5AAC" w:rsidRDefault="00770151" w:rsidP="00E56EE3">
            <w:pPr>
              <w:spacing w:before="120"/>
              <w:jc w:val="center"/>
            </w:pPr>
            <w:r>
              <w:rPr>
                <w:noProof/>
                <w:lang w:val="en-GB" w:eastAsia="en-GB"/>
              </w:rPr>
              <w:drawing>
                <wp:inline distT="0" distB="0" distL="0" distR="0" wp14:anchorId="2D1C90C8" wp14:editId="3BEB2199">
                  <wp:extent cx="716280" cy="586740"/>
                  <wp:effectExtent l="0" t="0" r="0"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6939953"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716280" cy="58674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14:paraId="5A9C6E55" w14:textId="77777777" w:rsidR="002D5AAC" w:rsidRPr="00D4778E" w:rsidRDefault="00770151" w:rsidP="00D7481B">
            <w:pPr>
              <w:spacing w:before="120" w:line="380" w:lineRule="exact"/>
              <w:rPr>
                <w:b/>
                <w:sz w:val="34"/>
                <w:szCs w:val="34"/>
              </w:rPr>
            </w:pPr>
            <w:r>
              <w:rPr>
                <w:b/>
                <w:sz w:val="34"/>
                <w:szCs w:val="34"/>
              </w:rPr>
              <w:t>Convención Internacional sobre</w:t>
            </w:r>
            <w:r>
              <w:rPr>
                <w:b/>
                <w:sz w:val="34"/>
                <w:szCs w:val="34"/>
              </w:rPr>
              <w:br/>
              <w:t>la Eliminación de Todas las Formas</w:t>
            </w:r>
            <w:r>
              <w:rPr>
                <w:b/>
                <w:sz w:val="34"/>
                <w:szCs w:val="34"/>
              </w:rPr>
              <w:br/>
              <w:t>de Discriminación Racial</w:t>
            </w:r>
          </w:p>
        </w:tc>
        <w:tc>
          <w:tcPr>
            <w:tcW w:w="2819" w:type="dxa"/>
            <w:tcBorders>
              <w:top w:val="single" w:sz="4" w:space="0" w:color="auto"/>
              <w:bottom w:val="single" w:sz="12" w:space="0" w:color="auto"/>
            </w:tcBorders>
            <w:shd w:val="clear" w:color="auto" w:fill="auto"/>
          </w:tcPr>
          <w:p w14:paraId="3E419EC7" w14:textId="77777777" w:rsidR="00935A0B" w:rsidRPr="00F43810" w:rsidRDefault="00770151" w:rsidP="00935A0B">
            <w:pPr>
              <w:spacing w:before="240" w:line="240" w:lineRule="exact"/>
            </w:pPr>
            <w:r w:rsidRPr="00F43810">
              <w:t xml:space="preserve">Distr. </w:t>
            </w:r>
            <w:r w:rsidR="006551F6" w:rsidRPr="00F43810">
              <w:t>general</w:t>
            </w:r>
          </w:p>
          <w:p w14:paraId="76750158" w14:textId="3B986CBB" w:rsidR="00935A0B" w:rsidRPr="00F43810" w:rsidRDefault="000F4B48" w:rsidP="00935A0B">
            <w:r>
              <w:t>5</w:t>
            </w:r>
            <w:r w:rsidR="00770151" w:rsidRPr="00F43810">
              <w:t xml:space="preserve"> de </w:t>
            </w:r>
            <w:r w:rsidR="009D5462">
              <w:t xml:space="preserve">diciembre </w:t>
            </w:r>
            <w:r w:rsidR="00770151" w:rsidRPr="00F43810">
              <w:t>de 202</w:t>
            </w:r>
            <w:r w:rsidR="00095139">
              <w:t>2</w:t>
            </w:r>
          </w:p>
          <w:p w14:paraId="01C190FF" w14:textId="77777777" w:rsidR="00935A0B" w:rsidRPr="00F43810" w:rsidRDefault="00935A0B" w:rsidP="00935A0B"/>
          <w:p w14:paraId="79E43C35" w14:textId="77777777" w:rsidR="00935A0B" w:rsidRPr="00F43810" w:rsidRDefault="00770151" w:rsidP="00935A0B">
            <w:r w:rsidRPr="00F43810">
              <w:t>Original: español</w:t>
            </w:r>
          </w:p>
          <w:p w14:paraId="43E6B897" w14:textId="77777777" w:rsidR="002D5AAC" w:rsidRDefault="00935A0B" w:rsidP="00935A0B">
            <w:pPr>
              <w:spacing w:line="240" w:lineRule="exact"/>
            </w:pPr>
            <w:r w:rsidRPr="00F43810">
              <w:t>Español, francés e inglés únicamente</w:t>
            </w:r>
          </w:p>
        </w:tc>
      </w:tr>
    </w:tbl>
    <w:p w14:paraId="26BE2403" w14:textId="77777777" w:rsidR="001A4396" w:rsidRDefault="00770151" w:rsidP="001A4396">
      <w:pPr>
        <w:spacing w:before="120"/>
        <w:rPr>
          <w:b/>
          <w:sz w:val="24"/>
        </w:rPr>
      </w:pPr>
      <w:r w:rsidRPr="009273F3">
        <w:rPr>
          <w:b/>
          <w:sz w:val="24"/>
          <w:szCs w:val="24"/>
          <w:lang w:val="es-ES_tradnl"/>
        </w:rPr>
        <w:t>Comité para la Eliminación de la Discriminación Racial</w:t>
      </w:r>
    </w:p>
    <w:p w14:paraId="67786007" w14:textId="2C816E46" w:rsidR="001A4396" w:rsidRPr="009713F0" w:rsidRDefault="00770151" w:rsidP="00D46FF5">
      <w:pPr>
        <w:pStyle w:val="HMG"/>
        <w:rPr>
          <w:rStyle w:val="HMGChar"/>
        </w:rPr>
      </w:pPr>
      <w:r>
        <w:rPr>
          <w:color w:val="000000"/>
        </w:rPr>
        <w:tab/>
      </w:r>
      <w:r>
        <w:rPr>
          <w:color w:val="000000"/>
        </w:rPr>
        <w:tab/>
      </w:r>
      <w:r w:rsidR="00D46FF5">
        <w:t>Informes periódicos 2</w:t>
      </w:r>
      <w:r w:rsidR="00095139">
        <w:t>0</w:t>
      </w:r>
      <w:r w:rsidR="00D46FF5">
        <w:t xml:space="preserve">ᵒ </w:t>
      </w:r>
      <w:r w:rsidR="00095139">
        <w:t>y</w:t>
      </w:r>
      <w:r w:rsidR="00D46FF5">
        <w:t xml:space="preserve"> 2</w:t>
      </w:r>
      <w:r w:rsidR="00095139">
        <w:t>1</w:t>
      </w:r>
      <w:r w:rsidR="00D46FF5">
        <w:t>ᵒ combinados</w:t>
      </w:r>
      <w:r w:rsidR="00D46FF5">
        <w:rPr>
          <w:color w:val="000000"/>
        </w:rPr>
        <w:t xml:space="preserve"> </w:t>
      </w:r>
      <w:r w:rsidR="00D46FF5">
        <w:t xml:space="preserve">que </w:t>
      </w:r>
      <w:r w:rsidR="00095139">
        <w:t>Colombia</w:t>
      </w:r>
      <w:r w:rsidR="00D46FF5">
        <w:t xml:space="preserve"> debía presentar en </w:t>
      </w:r>
      <w:r>
        <w:t>202</w:t>
      </w:r>
      <w:r w:rsidR="00095139">
        <w:t>2</w:t>
      </w:r>
      <w:r w:rsidR="00D46FF5" w:rsidRPr="00ED3749">
        <w:t xml:space="preserve"> </w:t>
      </w:r>
      <w:r>
        <w:t>en v</w:t>
      </w:r>
      <w:r w:rsidR="00F63772">
        <w:t>irtud del</w:t>
      </w:r>
      <w:r w:rsidR="00D3621B">
        <w:t> </w:t>
      </w:r>
      <w:r w:rsidR="00F63772">
        <w:t>artículo 9 de la </w:t>
      </w:r>
      <w:r>
        <w:t>Convención</w:t>
      </w:r>
      <w:r>
        <w:rPr>
          <w:rStyle w:val="Refdenotaalpie"/>
          <w:b w:val="0"/>
          <w:sz w:val="20"/>
          <w:vertAlign w:val="baseline"/>
        </w:rPr>
        <w:footnoteReference w:customMarkFollows="1" w:id="1"/>
        <w:t>*</w:t>
      </w:r>
      <w:r w:rsidR="0013135A" w:rsidRPr="0013135A">
        <w:rPr>
          <w:rStyle w:val="Refdenotaalpie"/>
          <w:b w:val="0"/>
          <w:sz w:val="20"/>
        </w:rPr>
        <w:t>,</w:t>
      </w:r>
      <w:r>
        <w:rPr>
          <w:b w:val="0"/>
          <w:sz w:val="20"/>
        </w:rPr>
        <w:t xml:space="preserve"> </w:t>
      </w:r>
      <w:r w:rsidRPr="00770151">
        <w:rPr>
          <w:rStyle w:val="Refdenotaalpie"/>
          <w:b w:val="0"/>
          <w:sz w:val="20"/>
          <w:vertAlign w:val="baseline"/>
        </w:rPr>
        <w:footnoteReference w:customMarkFollows="1" w:id="2"/>
        <w:t>**</w:t>
      </w:r>
    </w:p>
    <w:p w14:paraId="1008DDB0" w14:textId="5A69749B" w:rsidR="001A4396" w:rsidRDefault="00770151" w:rsidP="003A3CE4">
      <w:pPr>
        <w:pStyle w:val="SingleTxtG"/>
        <w:jc w:val="right"/>
      </w:pPr>
      <w:r>
        <w:t>[</w:t>
      </w:r>
      <w:r w:rsidR="00E31CF9">
        <w:t xml:space="preserve">Fecha de recepción: </w:t>
      </w:r>
      <w:r w:rsidR="00095139">
        <w:t>30</w:t>
      </w:r>
      <w:r w:rsidR="00E31CF9" w:rsidRPr="00770151">
        <w:t xml:space="preserve"> de</w:t>
      </w:r>
      <w:r w:rsidR="00095139">
        <w:t xml:space="preserve"> septiembre</w:t>
      </w:r>
      <w:r w:rsidR="00E31CF9" w:rsidRPr="00770151">
        <w:t xml:space="preserve"> de </w:t>
      </w:r>
      <w:r w:rsidRPr="00770151">
        <w:t>202</w:t>
      </w:r>
      <w:r w:rsidR="00095139">
        <w:t>2</w:t>
      </w:r>
      <w:r>
        <w:t>]</w:t>
      </w:r>
    </w:p>
    <w:p w14:paraId="0673EA65" w14:textId="03881B6D" w:rsidR="00095139" w:rsidRPr="00855E3A" w:rsidRDefault="00770151" w:rsidP="00095139">
      <w:pPr>
        <w:pStyle w:val="HChG"/>
      </w:pPr>
      <w:r>
        <w:br w:type="page"/>
      </w:r>
      <w:r>
        <w:lastRenderedPageBreak/>
        <w:tab/>
      </w:r>
      <w:r w:rsidR="006D49C3">
        <w:t>I.</w:t>
      </w:r>
      <w:r w:rsidR="006D49C3">
        <w:tab/>
      </w:r>
      <w:r w:rsidR="00095139" w:rsidRPr="00855E3A">
        <w:t>Introducción</w:t>
      </w:r>
    </w:p>
    <w:p w14:paraId="27F3CEBA" w14:textId="62C08F41" w:rsidR="00095139" w:rsidRDefault="00095139" w:rsidP="008357BF">
      <w:pPr>
        <w:pStyle w:val="SingleTxtG"/>
        <w:numPr>
          <w:ilvl w:val="0"/>
          <w:numId w:val="27"/>
        </w:numPr>
        <w:ind w:left="1134" w:firstLine="0"/>
      </w:pPr>
      <w:r>
        <w:t xml:space="preserve">El Estado colombiano es pluriétnico, multicultural, y en esta medida </w:t>
      </w:r>
      <w:r w:rsidRPr="00D639BD">
        <w:t>reconoce y protege la diversidad étnica y cultural de la Nación</w:t>
      </w:r>
      <w:r>
        <w:t>, adelantando esfuerzos tendientes a la eliminación de cualquier forma de discriminación.</w:t>
      </w:r>
    </w:p>
    <w:p w14:paraId="4F4E8B96" w14:textId="171522A1" w:rsidR="00095139" w:rsidRDefault="00095139" w:rsidP="008357BF">
      <w:pPr>
        <w:pStyle w:val="SingleTxtG"/>
        <w:numPr>
          <w:ilvl w:val="0"/>
          <w:numId w:val="27"/>
        </w:numPr>
        <w:ind w:left="1134" w:firstLine="0"/>
        <w:rPr>
          <w:lang w:val="es-CO"/>
        </w:rPr>
      </w:pPr>
      <w:r>
        <w:t xml:space="preserve">En el marco de estos esfuerzos, ratificó </w:t>
      </w:r>
      <w:r w:rsidRPr="00DD649E">
        <w:t>mediante la Ley 22 de 1981</w:t>
      </w:r>
      <w:r>
        <w:t>, l</w:t>
      </w:r>
      <w:r w:rsidRPr="00DD649E">
        <w:t xml:space="preserve">a Convención Internacional para la Eliminación de la Discriminación Racial </w:t>
      </w:r>
      <w:r>
        <w:t>(</w:t>
      </w:r>
      <w:r w:rsidRPr="00DD649E">
        <w:t>ICERD</w:t>
      </w:r>
      <w:r>
        <w:t>)</w:t>
      </w:r>
      <w:r w:rsidRPr="00DD649E">
        <w:t xml:space="preserve"> </w:t>
      </w:r>
      <w:r>
        <w:t xml:space="preserve">y, en esta oportunidad presenta su </w:t>
      </w:r>
      <w:r>
        <w:rPr>
          <w:lang w:val="es-CO"/>
        </w:rPr>
        <w:t>20</w:t>
      </w:r>
      <w:r w:rsidRPr="00DD649E">
        <w:rPr>
          <w:lang w:val="es-CO"/>
        </w:rPr>
        <w:t>º-</w:t>
      </w:r>
      <w:r>
        <w:rPr>
          <w:lang w:val="es-CO"/>
        </w:rPr>
        <w:t>21</w:t>
      </w:r>
      <w:r w:rsidRPr="00DD649E">
        <w:rPr>
          <w:lang w:val="es-CO"/>
        </w:rPr>
        <w:t xml:space="preserve">º informe combinado a consideración del </w:t>
      </w:r>
      <w:r w:rsidRPr="00565713">
        <w:rPr>
          <w:iCs/>
          <w:lang w:val="es-CO"/>
        </w:rPr>
        <w:t>Comité para la Eliminación de la Discriminación Racial</w:t>
      </w:r>
      <w:r w:rsidRPr="00DD649E">
        <w:rPr>
          <w:lang w:val="es-CO"/>
        </w:rPr>
        <w:t xml:space="preserve"> </w:t>
      </w:r>
      <w:r>
        <w:rPr>
          <w:lang w:val="es-CO"/>
        </w:rPr>
        <w:t>(</w:t>
      </w:r>
      <w:r w:rsidRPr="00DD649E">
        <w:rPr>
          <w:lang w:val="es-CO"/>
        </w:rPr>
        <w:t>CERD</w:t>
      </w:r>
      <w:r>
        <w:rPr>
          <w:lang w:val="es-CO"/>
        </w:rPr>
        <w:t>)</w:t>
      </w:r>
      <w:r w:rsidRPr="00DD649E">
        <w:rPr>
          <w:lang w:val="es-CO"/>
        </w:rPr>
        <w:t xml:space="preserve"> </w:t>
      </w:r>
      <w:r>
        <w:rPr>
          <w:lang w:val="es-CO"/>
        </w:rPr>
        <w:t xml:space="preserve">en el cual </w:t>
      </w:r>
      <w:r w:rsidRPr="00DD649E">
        <w:rPr>
          <w:lang w:val="es-CO"/>
        </w:rPr>
        <w:t xml:space="preserve">refleja los </w:t>
      </w:r>
      <w:r>
        <w:rPr>
          <w:lang w:val="es-CO"/>
        </w:rPr>
        <w:t xml:space="preserve">principales </w:t>
      </w:r>
      <w:r w:rsidRPr="00DD649E">
        <w:rPr>
          <w:lang w:val="es-CO"/>
        </w:rPr>
        <w:t>avances, obstáculos y retos que ha enfrentado el Estado en la implementación y desarrollo de la ICERD, durante el período comprendido entre 201</w:t>
      </w:r>
      <w:r>
        <w:rPr>
          <w:lang w:val="es-CO"/>
        </w:rPr>
        <w:t>9</w:t>
      </w:r>
      <w:r w:rsidRPr="00DD649E">
        <w:rPr>
          <w:lang w:val="es-CO"/>
        </w:rPr>
        <w:t>-20</w:t>
      </w:r>
      <w:r>
        <w:rPr>
          <w:lang w:val="es-CO"/>
        </w:rPr>
        <w:t>22, que corresponde al periodo anterior al actual Gobierno, el cual tomó posesión el pasado 07 de agosto de 2022</w:t>
      </w:r>
      <w:r w:rsidRPr="00DD649E">
        <w:rPr>
          <w:lang w:val="es-CO"/>
        </w:rPr>
        <w:t>.</w:t>
      </w:r>
    </w:p>
    <w:p w14:paraId="134DE76A" w14:textId="20DE3456" w:rsidR="00095139" w:rsidRDefault="00095139" w:rsidP="008357BF">
      <w:pPr>
        <w:pStyle w:val="SingleTxtG"/>
        <w:numPr>
          <w:ilvl w:val="0"/>
          <w:numId w:val="27"/>
        </w:numPr>
        <w:ind w:left="1134" w:firstLine="0"/>
      </w:pPr>
      <w:r>
        <w:t xml:space="preserve">El informe se divide en dos partes: la primera, contiene información general sobre los sujetos de protección y el marco normativo para la protección de los pueblos étnicos, la diversidad cultural, y la proscripción de la discriminación racial. La segunda hace un recuento de las principales medidas tomadas para la implementación de la ICERD y de las recomendaciones hechas por el Comité en las observaciones finales del informe anterior. </w:t>
      </w:r>
    </w:p>
    <w:p w14:paraId="2EB392E5" w14:textId="078A836A" w:rsidR="00095139" w:rsidRDefault="00095139" w:rsidP="008357BF">
      <w:pPr>
        <w:pStyle w:val="SingleTxtG"/>
        <w:numPr>
          <w:ilvl w:val="0"/>
          <w:numId w:val="27"/>
        </w:numPr>
        <w:ind w:left="1134" w:firstLine="0"/>
      </w:pPr>
      <w:r>
        <w:t>Colombia ratifica su compromiso con el respeto, garantía y promoción de los derechos fundamentales y la plena observancia de los instrumentos internacionales ratificados, en particular con la ICERD.</w:t>
      </w:r>
    </w:p>
    <w:p w14:paraId="3A17164F" w14:textId="67E02783" w:rsidR="00095139" w:rsidRDefault="00095139" w:rsidP="008357BF">
      <w:pPr>
        <w:pStyle w:val="SingleTxtG"/>
        <w:numPr>
          <w:ilvl w:val="0"/>
          <w:numId w:val="27"/>
        </w:numPr>
        <w:ind w:left="1134" w:firstLine="0"/>
      </w:pPr>
      <w:r>
        <w:t>Los montos de recursos económicos señalados en el informe están expresados en pesos colombianos (COP). A 10 junio de 2022 la Tasa Representativa de Mercado del Peso respecto al Dólar de Estados Unidos (USD), era de $3.833,34 COP por 1 USD.</w:t>
      </w:r>
    </w:p>
    <w:p w14:paraId="306680FC" w14:textId="2E69DEED" w:rsidR="00095139" w:rsidRPr="00855E3A" w:rsidRDefault="006D49C3" w:rsidP="006D49C3">
      <w:pPr>
        <w:pStyle w:val="HChG"/>
      </w:pPr>
      <w:r>
        <w:tab/>
        <w:t>II.</w:t>
      </w:r>
      <w:r>
        <w:tab/>
      </w:r>
      <w:r w:rsidR="00095139" w:rsidRPr="00855E3A">
        <w:t>Marco general de protección y promoción del derecho a</w:t>
      </w:r>
      <w:r w:rsidR="00D3621B">
        <w:t> </w:t>
      </w:r>
      <w:r w:rsidR="00095139" w:rsidRPr="00855E3A">
        <w:t>la</w:t>
      </w:r>
      <w:r w:rsidR="00D3621B">
        <w:t> </w:t>
      </w:r>
      <w:r w:rsidR="00095139" w:rsidRPr="00855E3A">
        <w:t>no</w:t>
      </w:r>
      <w:r w:rsidR="00D3621B">
        <w:t> </w:t>
      </w:r>
      <w:r w:rsidR="00095139" w:rsidRPr="00855E3A">
        <w:t>discriminación</w:t>
      </w:r>
    </w:p>
    <w:p w14:paraId="676F119F" w14:textId="466F85B7" w:rsidR="00095139" w:rsidRPr="00855E3A" w:rsidRDefault="006D49C3" w:rsidP="006D49C3">
      <w:pPr>
        <w:pStyle w:val="H1G"/>
      </w:pPr>
      <w:r>
        <w:tab/>
        <w:t>A.</w:t>
      </w:r>
      <w:r>
        <w:tab/>
      </w:r>
      <w:r w:rsidR="00095139" w:rsidRPr="00855E3A">
        <w:t xml:space="preserve">Composición demográfica de la población - comunidades y minorías étnicas (recomendación </w:t>
      </w:r>
      <w:r w:rsidR="00095139" w:rsidRPr="003C549E">
        <w:t>párr. 5</w:t>
      </w:r>
      <w:r w:rsidR="00095139" w:rsidRPr="00855E3A">
        <w:t xml:space="preserve"> CERD/C/COL/CO/17-19)</w:t>
      </w:r>
    </w:p>
    <w:p w14:paraId="2B03E4F1" w14:textId="7718742C" w:rsidR="00095139" w:rsidRDefault="00095139" w:rsidP="008357BF">
      <w:pPr>
        <w:pStyle w:val="SingleTxtG"/>
        <w:numPr>
          <w:ilvl w:val="0"/>
          <w:numId w:val="27"/>
        </w:numPr>
        <w:ind w:left="1134" w:firstLine="0"/>
      </w:pPr>
      <w:r w:rsidRPr="00365D4A">
        <w:t xml:space="preserve">En Colombia confluyen poblaciones blancas, mestizas, indígenas, afrodescendientes y </w:t>
      </w:r>
      <w:r>
        <w:t>R</w:t>
      </w:r>
      <w:r w:rsidRPr="00365D4A">
        <w:t xml:space="preserve">rom. </w:t>
      </w:r>
      <w:r>
        <w:t>La población étnica de Colombia está confo</w:t>
      </w:r>
      <w:r w:rsidR="0013135A">
        <w:t>rmada por tres grandes grupos: a</w:t>
      </w:r>
      <w:r>
        <w:t>) l</w:t>
      </w:r>
      <w:r w:rsidRPr="00365D4A">
        <w:t>os pueblos indígenas</w:t>
      </w:r>
      <w:r>
        <w:t xml:space="preserve">, </w:t>
      </w:r>
      <w:r w:rsidR="0013135A">
        <w:t>b</w:t>
      </w:r>
      <w:r>
        <w:t>)</w:t>
      </w:r>
      <w:r w:rsidRPr="00365D4A">
        <w:t xml:space="preserve"> la población Negra, afrocolombiana, raizal (comunidades de San Andrés y Providencia) y palenquera (comunidad de San Basilio de Palenque en Bolívar) y</w:t>
      </w:r>
      <w:r w:rsidR="0013135A">
        <w:t>, c</w:t>
      </w:r>
      <w:r>
        <w:t>)</w:t>
      </w:r>
      <w:r w:rsidRPr="00365D4A">
        <w:t xml:space="preserve"> el pueblo Rrom.</w:t>
      </w:r>
    </w:p>
    <w:p w14:paraId="4F72C5C5" w14:textId="6FE0DBAD" w:rsidR="00095139" w:rsidRPr="006D49C3" w:rsidRDefault="00095139" w:rsidP="008357BF">
      <w:pPr>
        <w:pStyle w:val="SingleTxtG"/>
        <w:numPr>
          <w:ilvl w:val="0"/>
          <w:numId w:val="27"/>
        </w:numPr>
        <w:ind w:left="1134" w:firstLine="0"/>
      </w:pPr>
      <w:r w:rsidRPr="006D49C3">
        <w:t>Según el Censo Nacional de Población y Vivienda (CNPV) 2018, la población que se autorreconoce como indígena en el país es de 1.905.617, por su parte, la población que se autorreconoce como gitana o Rrom en el país corresponde a 2.649</w:t>
      </w:r>
      <w:r w:rsidR="0013135A" w:rsidRPr="00973F39">
        <w:rPr>
          <w:sz w:val="18"/>
          <w:szCs w:val="18"/>
          <w:vertAlign w:val="superscript"/>
        </w:rPr>
        <w:footnoteReference w:id="3"/>
      </w:r>
      <w:r w:rsidRPr="006D49C3">
        <w:t>.</w:t>
      </w:r>
    </w:p>
    <w:p w14:paraId="0119F6B4" w14:textId="1453923A" w:rsidR="00095139" w:rsidRPr="00F368AB" w:rsidRDefault="00095139" w:rsidP="008357BF">
      <w:pPr>
        <w:pStyle w:val="SingleTxtG"/>
        <w:numPr>
          <w:ilvl w:val="0"/>
          <w:numId w:val="27"/>
        </w:numPr>
        <w:ind w:left="1134" w:firstLine="0"/>
      </w:pPr>
      <w:r w:rsidRPr="00F368AB">
        <w:t xml:space="preserve">Respecto a la población afrodescendiente, el Departamento Administrativo Nacional de Estadística </w:t>
      </w:r>
      <w:r>
        <w:t>(</w:t>
      </w:r>
      <w:r w:rsidRPr="00F368AB">
        <w:t>DANE</w:t>
      </w:r>
      <w:r>
        <w:t>)</w:t>
      </w:r>
      <w:r w:rsidRPr="00F368AB">
        <w:t xml:space="preserve"> determinó, a partir de </w:t>
      </w:r>
      <w:bookmarkStart w:id="0" w:name="_Hlk111213876"/>
      <w:r w:rsidRPr="00F368AB">
        <w:t>la Encuesta de Calidad de Vida (ECV) 2018</w:t>
      </w:r>
      <w:bookmarkEnd w:id="0"/>
      <w:r w:rsidRPr="00973F39">
        <w:rPr>
          <w:sz w:val="18"/>
          <w:szCs w:val="18"/>
          <w:vertAlign w:val="superscript"/>
        </w:rPr>
        <w:footnoteReference w:id="4"/>
      </w:r>
      <w:r w:rsidRPr="00F368AB">
        <w:t>, que el volumen de la población negra, afrocolombiana, raizal y palenquera</w:t>
      </w:r>
      <w:r>
        <w:t xml:space="preserve"> (NARP)</w:t>
      </w:r>
      <w:r w:rsidRPr="00F368AB">
        <w:t xml:space="preserve"> en 2018 e</w:t>
      </w:r>
      <w:r>
        <w:t>ra</w:t>
      </w:r>
      <w:r w:rsidRPr="00F368AB">
        <w:t xml:space="preserve"> de 4.671.160 personas, que corresponde al 9,34</w:t>
      </w:r>
      <w:r w:rsidR="00796131">
        <w:t xml:space="preserve"> </w:t>
      </w:r>
      <w:r w:rsidRPr="00F368AB">
        <w:t>% de la población total nacional</w:t>
      </w:r>
      <w:r w:rsidR="0013135A" w:rsidRPr="00973F39">
        <w:rPr>
          <w:sz w:val="18"/>
          <w:szCs w:val="18"/>
          <w:vertAlign w:val="superscript"/>
        </w:rPr>
        <w:footnoteReference w:id="5"/>
      </w:r>
      <w:r w:rsidRPr="00F368AB">
        <w:t>.</w:t>
      </w:r>
    </w:p>
    <w:p w14:paraId="5C1A0C97" w14:textId="647DCB92" w:rsidR="00095139" w:rsidRPr="00F368AB" w:rsidRDefault="00095139" w:rsidP="008357BF">
      <w:pPr>
        <w:pStyle w:val="SingleTxtG"/>
        <w:numPr>
          <w:ilvl w:val="0"/>
          <w:numId w:val="27"/>
        </w:numPr>
        <w:ind w:left="1134" w:firstLine="0"/>
      </w:pPr>
      <w:r w:rsidRPr="00F368AB">
        <w:lastRenderedPageBreak/>
        <w:t>Sobre este último grupo poblacional, es pertinente aclarar que, durante la sustentación del informe XVII al XIX periódico combinado de Colombia</w:t>
      </w:r>
      <w:r w:rsidRPr="00816959">
        <w:rPr>
          <w:sz w:val="18"/>
          <w:szCs w:val="18"/>
          <w:vertAlign w:val="superscript"/>
        </w:rPr>
        <w:footnoteReference w:id="6"/>
      </w:r>
      <w:r w:rsidRPr="00F368AB">
        <w:t xml:space="preserve">, el Estado informó al H. Comité los procesos adelantados para </w:t>
      </w:r>
      <w:r>
        <w:t>proveer</w:t>
      </w:r>
      <w:r w:rsidRPr="00F368AB">
        <w:t xml:space="preserve"> datos estadísticos debido a lo acaecido en 2018 </w:t>
      </w:r>
      <w:r>
        <w:t xml:space="preserve">cuando </w:t>
      </w:r>
      <w:r w:rsidRPr="00F368AB">
        <w:t xml:space="preserve">la pregunta de autorreconocimiento étnico del CNPV reflejó una caída censal del pueblo afrocolombiano, pasando de 4,3 millones personas en 2005 a 2,982,224 en 2018, lo cual no es consistente con la dinámica demográfica de esta población. En esta medida, en el </w:t>
      </w:r>
      <w:r w:rsidR="0013135A">
        <w:t>Anexo </w:t>
      </w:r>
      <w:r>
        <w:t>3</w:t>
      </w:r>
      <w:r w:rsidRPr="00F368AB">
        <w:t xml:space="preserve"> se adjunta información </w:t>
      </w:r>
      <w:r>
        <w:t xml:space="preserve">técnica y </w:t>
      </w:r>
      <w:r w:rsidRPr="00F368AB">
        <w:t>detallada sobre los procesos adelantados por Colombia para la visibilidad estadística de esta población.</w:t>
      </w:r>
    </w:p>
    <w:p w14:paraId="6E61D558" w14:textId="48F78BA3" w:rsidR="00095139" w:rsidRPr="00BF1971" w:rsidRDefault="00095139" w:rsidP="008357BF">
      <w:pPr>
        <w:pStyle w:val="SingleTxtG"/>
        <w:numPr>
          <w:ilvl w:val="0"/>
          <w:numId w:val="27"/>
        </w:numPr>
        <w:ind w:left="1134" w:firstLine="0"/>
      </w:pPr>
      <w:r>
        <w:t>A</w:t>
      </w:r>
      <w:r w:rsidRPr="00BF1971">
        <w:t>ctualmente</w:t>
      </w:r>
      <w:r>
        <w:t xml:space="preserve">, el DANE </w:t>
      </w:r>
      <w:r w:rsidRPr="00BF1971">
        <w:t xml:space="preserve">se encuentra preparando el conteo intercensal </w:t>
      </w:r>
      <w:r>
        <w:t>para</w:t>
      </w:r>
      <w:r w:rsidRPr="00BF1971">
        <w:t xml:space="preserve"> 2025, a través del cual se espera obtener información demográfica básica actualizada sobre el volumen, la composición y la distribución geográfica de las personas, los hogares y las viviendas en los diferentes niveles de desagregación político-administrativo del país, y obtener información demográfica básica de los grupos étnicos en especial de la población </w:t>
      </w:r>
      <w:r>
        <w:t>NARP</w:t>
      </w:r>
      <w:r w:rsidRPr="00BF1971">
        <w:t xml:space="preserve">, considerando la variación evidenciada entre las dos últimas operaciones </w:t>
      </w:r>
      <w:r w:rsidRPr="0033560C">
        <w:t>censales (2005 y 2018)</w:t>
      </w:r>
      <w:r w:rsidR="006D49C3">
        <w:rPr>
          <w:rStyle w:val="Refdenotaalpie"/>
        </w:rPr>
        <w:footnoteReference w:id="7"/>
      </w:r>
      <w:r w:rsidRPr="0033560C">
        <w:t>.</w:t>
      </w:r>
    </w:p>
    <w:p w14:paraId="3A428A21" w14:textId="5D981CA6" w:rsidR="00095139" w:rsidRPr="00BF1971" w:rsidRDefault="00095139" w:rsidP="008357BF">
      <w:pPr>
        <w:pStyle w:val="SingleTxtG"/>
        <w:numPr>
          <w:ilvl w:val="0"/>
          <w:numId w:val="27"/>
        </w:numPr>
        <w:ind w:left="1134" w:firstLine="0"/>
      </w:pPr>
      <w:r w:rsidRPr="00BF1971">
        <w:t xml:space="preserve">Igualmente, </w:t>
      </w:r>
      <w:r>
        <w:t xml:space="preserve">para </w:t>
      </w:r>
      <w:r w:rsidRPr="00BF1971">
        <w:t xml:space="preserve">la incorporación del enfoque diferencial de manera transversal en la producción de estadísticas oficiales en el país, </w:t>
      </w:r>
      <w:r>
        <w:t xml:space="preserve">la entidad consolidó la </w:t>
      </w:r>
      <w:r w:rsidRPr="00BF1971">
        <w:t xml:space="preserve">Guía para la Inclusión del Enfoque Diferencial e Interseccional en la Producción Estadística del Sistema Estadístico Nacional </w:t>
      </w:r>
      <w:r>
        <w:t>(</w:t>
      </w:r>
      <w:r w:rsidRPr="00BF1971">
        <w:t>SEN</w:t>
      </w:r>
      <w:r>
        <w:t>)</w:t>
      </w:r>
      <w:r w:rsidRPr="00BF1971">
        <w:t xml:space="preserve"> que permit</w:t>
      </w:r>
      <w:r>
        <w:t>e</w:t>
      </w:r>
      <w:r w:rsidRPr="00BF1971">
        <w:t xml:space="preserve"> incorporar los enfoques de género, ciclo de vida, étnico y de discapacidad en la producción y difusión de estadísticas</w:t>
      </w:r>
      <w:r w:rsidR="0013135A">
        <w:rPr>
          <w:rStyle w:val="Refdenotaalpie"/>
        </w:rPr>
        <w:footnoteReference w:id="8"/>
      </w:r>
      <w:r w:rsidRPr="00BF1971">
        <w:t>.</w:t>
      </w:r>
    </w:p>
    <w:p w14:paraId="25B9E2E4" w14:textId="6BC26166" w:rsidR="00095139" w:rsidRDefault="00095139" w:rsidP="008357BF">
      <w:pPr>
        <w:pStyle w:val="SingleTxtG"/>
        <w:numPr>
          <w:ilvl w:val="0"/>
          <w:numId w:val="27"/>
        </w:numPr>
        <w:ind w:left="1134" w:firstLine="0"/>
      </w:pPr>
      <w:r w:rsidRPr="00BF1971">
        <w:t xml:space="preserve">A partir de los lineamientos incluidos en la Guía, específicamente para el caso del enfoque diferencial étnico, se ha venido consolidando en </w:t>
      </w:r>
      <w:r>
        <w:t>el DANE</w:t>
      </w:r>
      <w:r w:rsidRPr="00BF1971">
        <w:t xml:space="preserve"> una Agenda Integral Étnica, la cual busca avanzar hacia la caracterización de la población con autorreconocimiento étnico en el país a través de múltiples fuentes, incluyendo todo tipo de operaciones estadísticas y registros administrativos, generando cada vez más información desagregada que dé cuenta de sus realidades económicas, políticas, sociales, culturales, condiciones de vida y particularidades en usos y costumbres</w:t>
      </w:r>
      <w:r w:rsidR="0013135A">
        <w:rPr>
          <w:rStyle w:val="Refdenotaalpie"/>
        </w:rPr>
        <w:footnoteReference w:id="9"/>
      </w:r>
      <w:r w:rsidRPr="00BF1971">
        <w:t>.</w:t>
      </w:r>
      <w:bookmarkStart w:id="1" w:name="_Hlk111714015"/>
    </w:p>
    <w:p w14:paraId="67420291" w14:textId="6F4F53A1" w:rsidR="00095139" w:rsidRPr="00BF1971" w:rsidRDefault="00095139" w:rsidP="008357BF">
      <w:pPr>
        <w:pStyle w:val="SingleTxtG"/>
        <w:numPr>
          <w:ilvl w:val="0"/>
          <w:numId w:val="27"/>
        </w:numPr>
        <w:ind w:left="1134" w:firstLine="0"/>
      </w:pPr>
      <w:r w:rsidRPr="00BF1971">
        <w:t>Gracias a este trabajo se espera aumentar la oferta de información estadística, tanto en volumen como en cobertura temática, para aportar con estadísticas de calidad a la solución de problemas como la discriminación histórica que han sufrido estas comunidades, visibilizar brechas e informar la construcción de acciones afirmativas y políticas públicas focalizadas para el pleno goce de sus derechos</w:t>
      </w:r>
      <w:bookmarkEnd w:id="1"/>
      <w:r w:rsidRPr="00BF1971">
        <w:t>. Adicional</w:t>
      </w:r>
      <w:r>
        <w:t>mente</w:t>
      </w:r>
      <w:r w:rsidRPr="00BF1971">
        <w:t xml:space="preserve">, en el marco dicha agenda se </w:t>
      </w:r>
      <w:r>
        <w:t>han venido adelantando</w:t>
      </w:r>
      <w:r w:rsidRPr="00BF1971">
        <w:t xml:space="preserve"> las siguientes acciones</w:t>
      </w:r>
      <w:r w:rsidR="0013135A">
        <w:rPr>
          <w:rStyle w:val="Refdenotaalpie"/>
        </w:rPr>
        <w:footnoteReference w:id="10"/>
      </w:r>
      <w:r w:rsidRPr="00BF1971">
        <w:t>:</w:t>
      </w:r>
    </w:p>
    <w:p w14:paraId="6A69684A" w14:textId="20FB338F" w:rsidR="00095139" w:rsidRPr="00BF1971" w:rsidRDefault="00095139" w:rsidP="006D49C3">
      <w:pPr>
        <w:pStyle w:val="Bullet1G"/>
      </w:pPr>
      <w:r w:rsidRPr="00BF1971">
        <w:t xml:space="preserve">Se realizaron estudios postcensales para los grupos étnicos. En el caso de la población </w:t>
      </w:r>
      <w:r>
        <w:t>NARP</w:t>
      </w:r>
      <w:r w:rsidRPr="00BF1971">
        <w:t xml:space="preserve"> se incluy</w:t>
      </w:r>
      <w:r>
        <w:t>ó</w:t>
      </w:r>
      <w:r w:rsidRPr="00BF1971">
        <w:t xml:space="preserve"> el “Análisis de la dinámica intercensal del autorreconocimiento en la población </w:t>
      </w:r>
      <w:r>
        <w:t>NARP</w:t>
      </w:r>
      <w:r w:rsidRPr="00BF1971">
        <w:t xml:space="preserve"> en el periodo 2005-2018, y el fortalecimiento de su captación en operaciones estadísticas”</w:t>
      </w:r>
      <w:r w:rsidR="0013135A" w:rsidRPr="0013135A">
        <w:rPr>
          <w:rStyle w:val="Refdenotaalpie"/>
        </w:rPr>
        <w:t xml:space="preserve"> </w:t>
      </w:r>
      <w:r w:rsidR="0013135A">
        <w:rPr>
          <w:rStyle w:val="Refdenotaalpie"/>
        </w:rPr>
        <w:footnoteReference w:id="11"/>
      </w:r>
      <w:r w:rsidRPr="00BF1971">
        <w:t>.</w:t>
      </w:r>
    </w:p>
    <w:p w14:paraId="68D2C322" w14:textId="77777777" w:rsidR="00095139" w:rsidRPr="00BF1971" w:rsidRDefault="00095139" w:rsidP="006D49C3">
      <w:pPr>
        <w:pStyle w:val="Bullet1G"/>
      </w:pPr>
      <w:r w:rsidRPr="00BF1971">
        <w:t xml:space="preserve">Fortalecimiento Territorial del Sistema de Registro Civil y Estadísticas Vitales </w:t>
      </w:r>
      <w:r>
        <w:t>(</w:t>
      </w:r>
      <w:r w:rsidRPr="00BF1971">
        <w:t>SRCEV</w:t>
      </w:r>
      <w:r>
        <w:t>)</w:t>
      </w:r>
      <w:r w:rsidRPr="00BF1971">
        <w:t>: Desarrollo del App Partera Vital. Trabajo conjunto</w:t>
      </w:r>
      <w:r>
        <w:t xml:space="preserve"> entre el</w:t>
      </w:r>
      <w:r w:rsidRPr="00BF1971">
        <w:t xml:space="preserve"> DANE,</w:t>
      </w:r>
      <w:r>
        <w:t xml:space="preserve"> la</w:t>
      </w:r>
      <w:r w:rsidRPr="00BF1971">
        <w:t xml:space="preserve"> Registraduría Nacional del Estado Civil y la Superintendencia de Notariado y Registro, para la elaboración de la ruta de notificación y certificación por parte de las parteras y parteros</w:t>
      </w:r>
      <w:r>
        <w:t xml:space="preserve"> de</w:t>
      </w:r>
      <w:r w:rsidRPr="00BF1971">
        <w:t xml:space="preserve"> los nacimientos atendidos en territorios.</w:t>
      </w:r>
    </w:p>
    <w:p w14:paraId="7894F0E6" w14:textId="2853A50D" w:rsidR="00095139" w:rsidRPr="00BF1971" w:rsidRDefault="00095139" w:rsidP="006D49C3">
      <w:pPr>
        <w:pStyle w:val="Bullet1G"/>
      </w:pPr>
      <w:r w:rsidRPr="00BF1971">
        <w:lastRenderedPageBreak/>
        <w:t>Se ha publicado información en el micrositio dispuesto en la página oficial del DANE para su consulta</w:t>
      </w:r>
      <w:r>
        <w:t xml:space="preserve"> pública</w:t>
      </w:r>
      <w:r>
        <w:rPr>
          <w:rStyle w:val="Refdenotaalpie"/>
        </w:rPr>
        <w:footnoteReference w:id="12"/>
      </w:r>
      <w:r w:rsidRPr="00BF1971">
        <w:t>:</w:t>
      </w:r>
    </w:p>
    <w:p w14:paraId="04EAA9EF" w14:textId="77777777" w:rsidR="00095139" w:rsidRPr="00BF1971" w:rsidRDefault="00095139" w:rsidP="006D49C3">
      <w:pPr>
        <w:pStyle w:val="Bullet2G"/>
      </w:pPr>
      <w:r w:rsidRPr="00BF1971">
        <w:t xml:space="preserve">Visor de información de Territorios Colectivos de Comunidades Negras </w:t>
      </w:r>
      <w:r>
        <w:t>(</w:t>
      </w:r>
      <w:r w:rsidRPr="00BF1971">
        <w:t>TCCN</w:t>
      </w:r>
      <w:r>
        <w:t>).</w:t>
      </w:r>
    </w:p>
    <w:p w14:paraId="3985EB66" w14:textId="77777777" w:rsidR="00095139" w:rsidRPr="00BF1971" w:rsidRDefault="00095139" w:rsidP="006D49C3">
      <w:pPr>
        <w:pStyle w:val="Bullet2G"/>
      </w:pPr>
      <w:r w:rsidRPr="00BF1971">
        <w:t xml:space="preserve">Visor de población </w:t>
      </w:r>
      <w:r>
        <w:t>NARP</w:t>
      </w:r>
      <w:r w:rsidRPr="00BF1971">
        <w:t xml:space="preserve"> por departamentos</w:t>
      </w:r>
      <w:r>
        <w:t>.</w:t>
      </w:r>
    </w:p>
    <w:p w14:paraId="61A47D06" w14:textId="6D5D2330" w:rsidR="00095139" w:rsidRPr="00BF1971" w:rsidRDefault="00095139" w:rsidP="006D49C3">
      <w:pPr>
        <w:pStyle w:val="Bullet2G"/>
      </w:pPr>
      <w:r w:rsidRPr="00BF1971">
        <w:t>Geovisor de Autorreconocimiento Étnico</w:t>
      </w:r>
      <w:r w:rsidR="0013135A">
        <w:rPr>
          <w:rStyle w:val="Refdenotaalpie"/>
        </w:rPr>
        <w:footnoteReference w:id="13"/>
      </w:r>
      <w:r>
        <w:t>.</w:t>
      </w:r>
    </w:p>
    <w:p w14:paraId="7E5D2844" w14:textId="532AE94C" w:rsidR="00095139" w:rsidRPr="00BF1971" w:rsidRDefault="00095139" w:rsidP="006D49C3">
      <w:pPr>
        <w:pStyle w:val="Bullet2G"/>
      </w:pPr>
      <w:r w:rsidRPr="00BF1971">
        <w:t>Indicador de Necesidades Básicas Insatisfechas según autorreconocimiento étnico</w:t>
      </w:r>
      <w:r w:rsidR="0013135A">
        <w:rPr>
          <w:rStyle w:val="Refdenotaalpie"/>
        </w:rPr>
        <w:footnoteReference w:id="14"/>
      </w:r>
      <w:r>
        <w:t>.</w:t>
      </w:r>
    </w:p>
    <w:p w14:paraId="56DEB7C8" w14:textId="600E8C9C" w:rsidR="00095139" w:rsidRPr="00BF1971" w:rsidRDefault="00095139" w:rsidP="006D49C3">
      <w:pPr>
        <w:pStyle w:val="Bullet2G"/>
      </w:pPr>
      <w:r w:rsidRPr="00BF1971">
        <w:t>Microdatos Anonimizados</w:t>
      </w:r>
      <w:r w:rsidR="0013135A">
        <w:rPr>
          <w:rStyle w:val="Refdenotaalpie"/>
        </w:rPr>
        <w:footnoteReference w:id="15"/>
      </w:r>
      <w:r>
        <w:t>.</w:t>
      </w:r>
    </w:p>
    <w:p w14:paraId="393D4FE5" w14:textId="5F6C3DF1" w:rsidR="00095139" w:rsidRPr="00BF1971" w:rsidRDefault="00095139" w:rsidP="006D49C3">
      <w:pPr>
        <w:pStyle w:val="Bullet2G"/>
      </w:pPr>
      <w:r w:rsidRPr="00BF1971">
        <w:t>Sistema de consulta REDATAM</w:t>
      </w:r>
      <w:r w:rsidR="0013135A">
        <w:rPr>
          <w:rStyle w:val="Refdenotaalpie"/>
        </w:rPr>
        <w:footnoteReference w:id="16"/>
      </w:r>
      <w:r>
        <w:t>.</w:t>
      </w:r>
    </w:p>
    <w:p w14:paraId="002ECEAD" w14:textId="115E31C2" w:rsidR="00095139" w:rsidRPr="00BF1971" w:rsidRDefault="00095139" w:rsidP="006D49C3">
      <w:pPr>
        <w:pStyle w:val="Bullet2G"/>
      </w:pPr>
      <w:r w:rsidRPr="00BF1971">
        <w:t xml:space="preserve">Cartilla con los resultados del </w:t>
      </w:r>
      <w:r>
        <w:t>CNPV</w:t>
      </w:r>
      <w:r w:rsidRPr="00BF1971">
        <w:t xml:space="preserve"> 2018 para comunidades </w:t>
      </w:r>
      <w:r>
        <w:t>NARP</w:t>
      </w:r>
      <w:r w:rsidR="0013135A">
        <w:rPr>
          <w:rStyle w:val="Refdenotaalpie"/>
        </w:rPr>
        <w:footnoteReference w:id="17"/>
      </w:r>
      <w:r>
        <w:t>.</w:t>
      </w:r>
    </w:p>
    <w:p w14:paraId="1EBB6518" w14:textId="2BDCB2A4" w:rsidR="00095139" w:rsidRPr="00BF1971" w:rsidRDefault="00095139" w:rsidP="001854B7">
      <w:pPr>
        <w:pStyle w:val="Bullet1G"/>
      </w:pPr>
      <w:r w:rsidRPr="00BF1971">
        <w:t xml:space="preserve">El DANE ha incluido en sus encuestas a hogares la pregunta sobre autorreconocimiento, siguiendo los lineamientos del CNPV 2018. </w:t>
      </w:r>
      <w:r>
        <w:t xml:space="preserve">Algunas </w:t>
      </w:r>
      <w:r w:rsidRPr="00BF1971">
        <w:t>encuestas que aplicaron la pregunta son: Encuesta de Calidad de Vida (ECV): 2003</w:t>
      </w:r>
      <w:r>
        <w:t>,</w:t>
      </w:r>
      <w:r w:rsidR="0013135A">
        <w:t xml:space="preserve"> 2010</w:t>
      </w:r>
      <w:r w:rsidR="00D3621B">
        <w:t>-</w:t>
      </w:r>
      <w:r w:rsidRPr="00BF1971">
        <w:t>2020</w:t>
      </w:r>
      <w:r>
        <w:t>;</w:t>
      </w:r>
      <w:r w:rsidRPr="00BF1971">
        <w:t xml:space="preserve"> Gran Encuesta Integrada de Hogares (GEIH): 2014</w:t>
      </w:r>
      <w:r w:rsidR="00D3621B">
        <w:t>-</w:t>
      </w:r>
      <w:r w:rsidRPr="00BF1971">
        <w:t>2020</w:t>
      </w:r>
      <w:r>
        <w:t>;</w:t>
      </w:r>
      <w:r w:rsidRPr="00BF1971">
        <w:t xml:space="preserve"> Subsistema de Estadísticas Vitales 2008-2020</w:t>
      </w:r>
      <w:r>
        <w:t>;</w:t>
      </w:r>
      <w:r w:rsidRPr="00BF1971">
        <w:t xml:space="preserve"> Encuesta de Cultura Política (ECP) 2011-2019</w:t>
      </w:r>
      <w:r>
        <w:t>; y</w:t>
      </w:r>
      <w:r w:rsidRPr="00BF1971">
        <w:t xml:space="preserve"> Encuesta de Consumo de sustancias psicoactivas (ENCSP) 2019.</w:t>
      </w:r>
    </w:p>
    <w:p w14:paraId="1621FD93" w14:textId="1D65F770" w:rsidR="00095139" w:rsidRPr="00BF1971" w:rsidRDefault="00095139" w:rsidP="008357BF">
      <w:pPr>
        <w:pStyle w:val="SingleTxtG"/>
        <w:numPr>
          <w:ilvl w:val="0"/>
          <w:numId w:val="27"/>
        </w:numPr>
        <w:ind w:left="1134" w:firstLine="0"/>
      </w:pPr>
      <w:r w:rsidRPr="00395F47">
        <w:t>Cabe resaltar que, a lo largo de 2020 y 2021, el DANE atendió y convocó escenarios de sensibilización de las cifras de la población afro obtenidas a partir del CNPV 2018 y de las estimaciones realizadas</w:t>
      </w:r>
      <w:r>
        <w:t>.</w:t>
      </w:r>
      <w:r w:rsidRPr="00BF1971">
        <w:t xml:space="preserve"> Para efectos de política pública, el DANE ha socializado las cifras de estimación a nivel nacional, departamental y municipal con los diferentes </w:t>
      </w:r>
      <w:r>
        <w:t>M</w:t>
      </w:r>
      <w:r w:rsidRPr="00BF1971">
        <w:t xml:space="preserve">inisterios, los departamentos y </w:t>
      </w:r>
      <w:r>
        <w:t>d</w:t>
      </w:r>
      <w:r w:rsidRPr="00BF1971">
        <w:t>istritos del país</w:t>
      </w:r>
      <w:r w:rsidR="0013135A">
        <w:rPr>
          <w:rStyle w:val="Refdenotaalpie"/>
        </w:rPr>
        <w:footnoteReference w:id="18"/>
      </w:r>
      <w:r w:rsidRPr="00BF1971">
        <w:t>.</w:t>
      </w:r>
    </w:p>
    <w:p w14:paraId="3109A694" w14:textId="246386C5" w:rsidR="00095139" w:rsidRDefault="00095139" w:rsidP="008357BF">
      <w:pPr>
        <w:pStyle w:val="SingleTxtG"/>
        <w:numPr>
          <w:ilvl w:val="0"/>
          <w:numId w:val="27"/>
        </w:numPr>
        <w:ind w:left="1134" w:firstLine="0"/>
      </w:pPr>
      <w:r w:rsidRPr="006D49C3">
        <w:t>Por otro lado, cabe mencionar que el Estado colombiano elaboró dos documentos de investigación que son herramientas informativas para trabajar con las comunidades NARP: i)</w:t>
      </w:r>
      <w:r>
        <w:t xml:space="preserve"> Mapa de Riesgo de vulneración de las comunidades NARP, discriminación racial y racismo</w:t>
      </w:r>
      <w:r w:rsidRPr="00973F39">
        <w:rPr>
          <w:sz w:val="18"/>
          <w:szCs w:val="18"/>
          <w:vertAlign w:val="superscript"/>
        </w:rPr>
        <w:footnoteReference w:id="19"/>
      </w:r>
      <w:r>
        <w:t>, e ii) Infografía de Discriminación Racial y Desigualdad Social de las Comunidades Afrocolombianas en Contextos Urbanos</w:t>
      </w:r>
      <w:r w:rsidRPr="00973F39">
        <w:rPr>
          <w:sz w:val="18"/>
          <w:szCs w:val="18"/>
          <w:vertAlign w:val="superscript"/>
        </w:rPr>
        <w:footnoteReference w:id="20"/>
      </w:r>
      <w:r w:rsidR="00500ED6" w:rsidRPr="0013135A">
        <w:rPr>
          <w:rStyle w:val="Refdenotaalpie"/>
        </w:rPr>
        <w:t xml:space="preserve"> </w:t>
      </w:r>
      <w:r w:rsidR="0013135A" w:rsidRPr="00973F39">
        <w:rPr>
          <w:sz w:val="18"/>
          <w:szCs w:val="18"/>
          <w:vertAlign w:val="superscript"/>
        </w:rPr>
        <w:footnoteReference w:id="21"/>
      </w:r>
      <w:r>
        <w:t>.</w:t>
      </w:r>
    </w:p>
    <w:p w14:paraId="5A483BC1" w14:textId="57273F8D" w:rsidR="00095139" w:rsidRDefault="00095139" w:rsidP="008357BF">
      <w:pPr>
        <w:pStyle w:val="SingleTxtG"/>
        <w:numPr>
          <w:ilvl w:val="0"/>
          <w:numId w:val="27"/>
        </w:numPr>
        <w:ind w:left="1134" w:firstLine="0"/>
      </w:pPr>
      <w:r>
        <w:t>Estos documentos, en particular el mapa de riesgo permite identificar los departamentos, municipios y regiones de Colombia con mayor o menor riesgo de vulneración de los derechos de las personas que se autorreconocen como NARP, y las dinámicas de discriminación racial y racismo que viven en el país. Para identificar los riesgos, se elaboraron diferentes índices que permiten medir el nivel de vulneración de los derechos de estas poblaciones: la desigualdad social, la discriminación racial, el racismo y los factores de riesgo</w:t>
      </w:r>
      <w:r w:rsidR="0013135A" w:rsidRPr="00973F39">
        <w:rPr>
          <w:sz w:val="18"/>
          <w:szCs w:val="18"/>
          <w:vertAlign w:val="superscript"/>
        </w:rPr>
        <w:footnoteReference w:id="22"/>
      </w:r>
      <w:r>
        <w:t>.</w:t>
      </w:r>
    </w:p>
    <w:p w14:paraId="2029399A" w14:textId="50D80D65" w:rsidR="00095139" w:rsidRDefault="00095139" w:rsidP="008357BF">
      <w:pPr>
        <w:pStyle w:val="SingleTxtG"/>
        <w:numPr>
          <w:ilvl w:val="0"/>
          <w:numId w:val="27"/>
        </w:numPr>
        <w:ind w:left="1134" w:firstLine="0"/>
      </w:pPr>
      <w:r>
        <w:lastRenderedPageBreak/>
        <w:t>De otro lado, el Estado colombiano a través del Ministerio del Interior coordina con el DANE, la información relacionada en materia de censos de población asentada en resguardos y comunidades indígenas. De esta manera se permite la recolección de datos estadísticos para el registro de autocensos de las comunidades indígenas, y la expedición de las resoluciones de registro de los resguardos indígenas</w:t>
      </w:r>
      <w:r w:rsidR="00E92E0A">
        <w:rPr>
          <w:rStyle w:val="Refdenotaalpie"/>
        </w:rPr>
        <w:footnoteReference w:id="23"/>
      </w:r>
      <w:r>
        <w:t>.</w:t>
      </w:r>
    </w:p>
    <w:p w14:paraId="68937E4B" w14:textId="34EC538E" w:rsidR="00095139" w:rsidRDefault="001854B7" w:rsidP="001854B7">
      <w:pPr>
        <w:pStyle w:val="H1G"/>
      </w:pPr>
      <w:r>
        <w:tab/>
        <w:t>B.</w:t>
      </w:r>
      <w:r>
        <w:tab/>
      </w:r>
      <w:r w:rsidR="00095139" w:rsidRPr="00855E3A">
        <w:t>Marco jurídico y políticas de reconocimiento y protección para hacer efectivas las disposiciones del artículo 2 de la ICERD</w:t>
      </w:r>
    </w:p>
    <w:p w14:paraId="7D60E9AB" w14:textId="457D4C84" w:rsidR="00095139" w:rsidRPr="00747D90" w:rsidRDefault="001854B7" w:rsidP="001854B7">
      <w:pPr>
        <w:pStyle w:val="H23G"/>
      </w:pPr>
      <w:r>
        <w:tab/>
        <w:t>1.</w:t>
      </w:r>
      <w:r>
        <w:tab/>
      </w:r>
      <w:r w:rsidR="00095139" w:rsidRPr="00747D90">
        <w:t>Ratificación de Tratados (recomendación párr. 32 CERD/C/COL/CO/17-19)</w:t>
      </w:r>
    </w:p>
    <w:p w14:paraId="09F150F1" w14:textId="72ED492E" w:rsidR="00095139" w:rsidRPr="006D49C3" w:rsidRDefault="00095139" w:rsidP="008357BF">
      <w:pPr>
        <w:pStyle w:val="SingleTxtG"/>
        <w:numPr>
          <w:ilvl w:val="0"/>
          <w:numId w:val="27"/>
        </w:numPr>
        <w:ind w:left="1134" w:firstLine="0"/>
      </w:pPr>
      <w:r w:rsidRPr="006D49C3">
        <w:t>El Estado colombiano ha ratificado los principales instrumentos internacionales de DDHH y, progresivamente, ha implementado las reformas necesarias para atender las obligaciones derivadas de tales tratados.</w:t>
      </w:r>
    </w:p>
    <w:p w14:paraId="09BADEEF" w14:textId="5ACD224C" w:rsidR="00095139" w:rsidRPr="00747D90" w:rsidRDefault="00095139" w:rsidP="008357BF">
      <w:pPr>
        <w:pStyle w:val="SingleTxtG"/>
        <w:numPr>
          <w:ilvl w:val="0"/>
          <w:numId w:val="27"/>
        </w:numPr>
        <w:ind w:left="1134" w:firstLine="0"/>
      </w:pPr>
      <w:r w:rsidRPr="00747D90">
        <w:t xml:space="preserve">En cuanto a los demás instrumentos cuya ratificación ha sido recomendada al Estado, se </w:t>
      </w:r>
      <w:r>
        <w:t xml:space="preserve">está </w:t>
      </w:r>
      <w:r w:rsidRPr="00747D90">
        <w:t>realiza</w:t>
      </w:r>
      <w:r>
        <w:t>n</w:t>
      </w:r>
      <w:r w:rsidRPr="00747D90">
        <w:t xml:space="preserve">do un análisis </w:t>
      </w:r>
      <w:r>
        <w:t>para priorizar</w:t>
      </w:r>
      <w:r w:rsidRPr="00747D90">
        <w:t xml:space="preserve"> la ratificación </w:t>
      </w:r>
      <w:r>
        <w:t>de instrumentos internacionales de DDHH en línea con el compromiso del Gobierno nacional de</w:t>
      </w:r>
      <w:r w:rsidRPr="00747D90">
        <w:t xml:space="preserve"> avanzar hacia la garantía real y efectiva de los</w:t>
      </w:r>
      <w:r>
        <w:t xml:space="preserve"> derechos de toda la población, particularmente la que ha sido históricamente discriminada</w:t>
      </w:r>
      <w:r w:rsidRPr="00747D90">
        <w:t>.</w:t>
      </w:r>
    </w:p>
    <w:p w14:paraId="61071ED6" w14:textId="7657F8A0" w:rsidR="00095139" w:rsidRPr="003C549E" w:rsidRDefault="001854B7" w:rsidP="001854B7">
      <w:pPr>
        <w:pStyle w:val="H23G"/>
      </w:pPr>
      <w:r>
        <w:tab/>
        <w:t>2.</w:t>
      </w:r>
      <w:r>
        <w:tab/>
      </w:r>
      <w:r w:rsidR="00095139" w:rsidRPr="003C549E">
        <w:t>Marco constitucional y jurídico de reconocimiento</w:t>
      </w:r>
    </w:p>
    <w:p w14:paraId="6936D16E" w14:textId="29202481" w:rsidR="00095139" w:rsidRDefault="00095139" w:rsidP="008357BF">
      <w:pPr>
        <w:pStyle w:val="SingleTxtG"/>
        <w:numPr>
          <w:ilvl w:val="0"/>
          <w:numId w:val="27"/>
        </w:numPr>
        <w:ind w:left="1134" w:firstLine="0"/>
      </w:pPr>
      <w:r>
        <w:t>El Estado colombiano ha reconocido, desde hace mucho tiempo, la existencia de diferencias de las comunidades étnicas en comparación con otros grupos poblacionales</w:t>
      </w:r>
      <w:r>
        <w:rPr>
          <w:rStyle w:val="Refdenotaalpie"/>
        </w:rPr>
        <w:footnoteReference w:id="24"/>
      </w:r>
      <w:r>
        <w:t>. En esta medida, su Constitución Política acoge un enfoque multidimensional de la igualdad (artículo 9); reconoce, protege y garantiza la diversidad étnica y cultural (artículo 7); promueve la adopción de medidas a favor de grupos marginados o discriminados (artículo</w:t>
      </w:r>
      <w:r w:rsidR="00E92E0A">
        <w:t> </w:t>
      </w:r>
      <w:r>
        <w:t xml:space="preserve">13) y garantiza la propiedad comunitaria de grupos étnicos (artículos 246, 286 y 330). El objetivo del Gobierno nacional es cumplir a cabalidad estos derechos. </w:t>
      </w:r>
    </w:p>
    <w:p w14:paraId="770D530E" w14:textId="7C5EBA73" w:rsidR="00095139" w:rsidRPr="00855E3A" w:rsidRDefault="001854B7" w:rsidP="001854B7">
      <w:pPr>
        <w:pStyle w:val="H23G"/>
      </w:pPr>
      <w:r>
        <w:tab/>
        <w:t>3.</w:t>
      </w:r>
      <w:r>
        <w:tab/>
      </w:r>
      <w:r w:rsidR="00095139" w:rsidRPr="00855E3A">
        <w:t>Desarrollo normativo</w:t>
      </w:r>
    </w:p>
    <w:p w14:paraId="55384814" w14:textId="07CB145B" w:rsidR="00095139" w:rsidRDefault="00095139" w:rsidP="008357BF">
      <w:pPr>
        <w:pStyle w:val="SingleTxtG"/>
        <w:numPr>
          <w:ilvl w:val="0"/>
          <w:numId w:val="27"/>
        </w:numPr>
        <w:ind w:left="1134" w:firstLine="0"/>
      </w:pPr>
      <w:r>
        <w:t xml:space="preserve">Con el propósito de garantizar la promoción y protección de los derechos de los grupos poblacionales en Colombia, se relaciona a continuación </w:t>
      </w:r>
      <w:r w:rsidRPr="00AE4F5D">
        <w:t xml:space="preserve">la normativa promulgada por el Estado colombiano en el período 2019-2022: </w:t>
      </w:r>
    </w:p>
    <w:p w14:paraId="6B321B2D" w14:textId="491B87BD" w:rsidR="00095139" w:rsidRPr="00C61D07" w:rsidRDefault="001854B7" w:rsidP="001854B7">
      <w:pPr>
        <w:pStyle w:val="H4G"/>
      </w:pPr>
      <w:r>
        <w:tab/>
      </w:r>
      <w:r>
        <w:tab/>
      </w:r>
      <w:r w:rsidR="00095139" w:rsidRPr="00C61D07">
        <w:t>Leyes:</w:t>
      </w:r>
    </w:p>
    <w:p w14:paraId="7C498D79" w14:textId="4F6AF0D4" w:rsidR="00095139" w:rsidRDefault="00095139" w:rsidP="008357BF">
      <w:pPr>
        <w:pStyle w:val="SingleTxtG"/>
        <w:numPr>
          <w:ilvl w:val="0"/>
          <w:numId w:val="27"/>
        </w:numPr>
        <w:ind w:left="1134" w:firstLine="0"/>
      </w:pPr>
      <w:r w:rsidRPr="004F0961">
        <w:rPr>
          <w:bCs/>
        </w:rPr>
        <w:t>La Ley 2078 de 2021</w:t>
      </w:r>
      <w:r>
        <w:t xml:space="preserve"> “</w:t>
      </w:r>
      <w:r w:rsidRPr="004F0961">
        <w:rPr>
          <w:iCs/>
        </w:rPr>
        <w:t>por medio de la cual se modifica la ley 1448 de 2011 y los decretos ley étnicos 4633 de 2011, 4634 de 2011y 4635 de 2011, prorrogando por 10 años su vigencia</w:t>
      </w:r>
      <w:r w:rsidRPr="00E92E0A">
        <w:t>”</w:t>
      </w:r>
      <w:r>
        <w:t xml:space="preserve"> establece un conjunto de medidas en beneficio de las víctimas, incluyendo aquellas pertenecientes a los grupos étnicos, que hayan sufrido un daño por hechos ocurridos a partir del 1º de enero de 1985, como consecuencia de infracciones al DIH o de violaciones graves y manifiestas a las normas internacionales de DDHH, ocurridas con ocasión del conflicto armado interno</w:t>
      </w:r>
      <w:r w:rsidR="00E92E0A">
        <w:rPr>
          <w:rStyle w:val="Refdenotaalpie"/>
        </w:rPr>
        <w:footnoteReference w:id="25"/>
      </w:r>
      <w:r>
        <w:t>.</w:t>
      </w:r>
    </w:p>
    <w:p w14:paraId="2CC54C2D" w14:textId="6A007F90" w:rsidR="00095139" w:rsidRDefault="00095139" w:rsidP="008357BF">
      <w:pPr>
        <w:pStyle w:val="SingleTxtG"/>
        <w:numPr>
          <w:ilvl w:val="0"/>
          <w:numId w:val="27"/>
        </w:numPr>
        <w:ind w:left="1134" w:firstLine="0"/>
      </w:pPr>
      <w:r w:rsidRPr="004F0961">
        <w:rPr>
          <w:bCs/>
        </w:rPr>
        <w:t>Ley 2160 de 2021</w:t>
      </w:r>
      <w:r>
        <w:t xml:space="preserve"> “</w:t>
      </w:r>
      <w:r w:rsidRPr="004F0961">
        <w:rPr>
          <w:iCs/>
        </w:rPr>
        <w:t>por medio del cual se modifica la ley 80 de 1993 y la ley 1150 de 2007</w:t>
      </w:r>
      <w:r>
        <w:t xml:space="preserve">” permite </w:t>
      </w:r>
      <w:r w:rsidRPr="007903C1">
        <w:t xml:space="preserve">celebrar contratos </w:t>
      </w:r>
      <w:r>
        <w:t>entre</w:t>
      </w:r>
      <w:r w:rsidRPr="007903C1">
        <w:t xml:space="preserve"> entidades estatales </w:t>
      </w:r>
      <w:r>
        <w:t xml:space="preserve">y </w:t>
      </w:r>
      <w:r w:rsidRPr="007903C1">
        <w:t xml:space="preserve">Cabildos Indígenas, asociaciones de Autoridades Tradicionales Indígenas, </w:t>
      </w:r>
      <w:r>
        <w:t xml:space="preserve">y </w:t>
      </w:r>
      <w:r w:rsidRPr="007903C1">
        <w:t>consejos comunitarios de comunidades negras</w:t>
      </w:r>
      <w:r>
        <w:t>.</w:t>
      </w:r>
    </w:p>
    <w:p w14:paraId="28081F82" w14:textId="0CC9E50E" w:rsidR="00095139" w:rsidRDefault="00095139" w:rsidP="008357BF">
      <w:pPr>
        <w:pStyle w:val="SingleTxtG"/>
        <w:numPr>
          <w:ilvl w:val="0"/>
          <w:numId w:val="27"/>
        </w:numPr>
        <w:ind w:left="1134" w:firstLine="0"/>
      </w:pPr>
      <w:r w:rsidRPr="004F0961">
        <w:rPr>
          <w:bCs/>
        </w:rPr>
        <w:t>Ley 2136 de 2021</w:t>
      </w:r>
      <w:r w:rsidRPr="00EB03FC">
        <w:t xml:space="preserve"> </w:t>
      </w:r>
      <w:r w:rsidR="00796131">
        <w:t>“</w:t>
      </w:r>
      <w:r w:rsidRPr="004F0961">
        <w:rPr>
          <w:iCs/>
        </w:rPr>
        <w:t>Por medio de la cual se establecen las definiciones, principios y lineamientos para la reglamentación y orientación de la política integral migratoria del Estado colombiano - PIM, y se dictan otras disposiciones</w:t>
      </w:r>
      <w:r w:rsidR="00796131">
        <w:t>”</w:t>
      </w:r>
      <w:r>
        <w:t>.</w:t>
      </w:r>
    </w:p>
    <w:p w14:paraId="5AAD8ACD" w14:textId="16ED8171" w:rsidR="00095139" w:rsidRPr="00C61D07" w:rsidRDefault="001854B7" w:rsidP="001854B7">
      <w:pPr>
        <w:pStyle w:val="H4G"/>
      </w:pPr>
      <w:r>
        <w:lastRenderedPageBreak/>
        <w:tab/>
      </w:r>
      <w:r>
        <w:tab/>
      </w:r>
      <w:r w:rsidR="00095139" w:rsidRPr="00C61D07">
        <w:t>Decretos:</w:t>
      </w:r>
    </w:p>
    <w:p w14:paraId="4EB2CCBD" w14:textId="09ED1E9B" w:rsidR="00095139" w:rsidRDefault="00095139" w:rsidP="008357BF">
      <w:pPr>
        <w:pStyle w:val="SingleTxtG"/>
        <w:numPr>
          <w:ilvl w:val="0"/>
          <w:numId w:val="27"/>
        </w:numPr>
        <w:ind w:left="1134" w:firstLine="0"/>
      </w:pPr>
      <w:r w:rsidRPr="004F0961">
        <w:rPr>
          <w:bCs/>
        </w:rPr>
        <w:t>Decreto 2353 de 2019</w:t>
      </w:r>
      <w:r>
        <w:t xml:space="preserve"> “</w:t>
      </w:r>
      <w:r w:rsidRPr="004F0961">
        <w:rPr>
          <w:iCs/>
        </w:rPr>
        <w:t>Por el cual se modifica la estructura del Ministerio del Interior y se determinan las funciones de algunas dependencias</w:t>
      </w:r>
      <w:r>
        <w:t>”, entre ellas, las Direcciones dispuestas para atender los asuntos de comunidades NARP, indígenas, rrom y minorías</w:t>
      </w:r>
      <w:r w:rsidRPr="00C61D07">
        <w:t>.</w:t>
      </w:r>
    </w:p>
    <w:p w14:paraId="3C654893" w14:textId="7470847A" w:rsidR="00095139" w:rsidRDefault="00095139" w:rsidP="008357BF">
      <w:pPr>
        <w:pStyle w:val="SingleTxtG"/>
        <w:numPr>
          <w:ilvl w:val="0"/>
          <w:numId w:val="27"/>
        </w:numPr>
        <w:ind w:left="1134" w:firstLine="0"/>
      </w:pPr>
      <w:r w:rsidRPr="004F0961">
        <w:rPr>
          <w:bCs/>
        </w:rPr>
        <w:t>Decreto 1585 de 2020</w:t>
      </w:r>
      <w:r>
        <w:t xml:space="preserve"> “</w:t>
      </w:r>
      <w:r w:rsidRPr="004F0961">
        <w:rPr>
          <w:iCs/>
        </w:rPr>
        <w:t>Por el cual se modifica y adiciona el Decreto 1076 de 2015, Decreto Único Reglamentario del Sector Ambiente y Desarrollo Sostenible, en lo relacionado con el Diagnóstico Ambiental de Alternativas y el trámite de licenciamiento ambiental y se dictan otras disposiciones</w:t>
      </w:r>
      <w:r>
        <w:t xml:space="preserve">” que aborda asuntos relacionados con el </w:t>
      </w:r>
      <w:r w:rsidRPr="00830BDF">
        <w:t>licenciamiento ambiental</w:t>
      </w:r>
      <w:r>
        <w:t xml:space="preserve"> y los </w:t>
      </w:r>
      <w:r w:rsidRPr="00830BDF">
        <w:t>derechos de participación de comunidades étnicas</w:t>
      </w:r>
      <w:r>
        <w:t>.</w:t>
      </w:r>
    </w:p>
    <w:p w14:paraId="149E080C" w14:textId="414D4985" w:rsidR="00095139" w:rsidRDefault="00095139" w:rsidP="008357BF">
      <w:pPr>
        <w:pStyle w:val="SingleTxtG"/>
        <w:numPr>
          <w:ilvl w:val="0"/>
          <w:numId w:val="27"/>
        </w:numPr>
        <w:ind w:left="1134" w:firstLine="0"/>
      </w:pPr>
      <w:r w:rsidRPr="004F0961">
        <w:rPr>
          <w:bCs/>
        </w:rPr>
        <w:t>Decreto 317 de 2020</w:t>
      </w:r>
      <w:r w:rsidRPr="002C573D">
        <w:t xml:space="preserve"> “</w:t>
      </w:r>
      <w:r w:rsidRPr="004F0961">
        <w:rPr>
          <w:iCs/>
        </w:rPr>
        <w:t>Por el cual se establece la remuneración de los servidores públicos etnoeducadores docentes y directivos docentes que atiendan población indígena en territorios indígenas, en los niveles de preescolar, básica y media, y se dictan otras disposiciones de carácter salarial</w:t>
      </w:r>
      <w:r w:rsidRPr="002C573D">
        <w:t>”</w:t>
      </w:r>
      <w:r>
        <w:t>.</w:t>
      </w:r>
    </w:p>
    <w:p w14:paraId="0DA76345" w14:textId="27001AAB" w:rsidR="00095139" w:rsidRDefault="00095139" w:rsidP="008357BF">
      <w:pPr>
        <w:pStyle w:val="SingleTxtG"/>
        <w:numPr>
          <w:ilvl w:val="0"/>
          <w:numId w:val="27"/>
        </w:numPr>
        <w:ind w:left="1134" w:firstLine="0"/>
      </w:pPr>
      <w:r w:rsidRPr="004F0961">
        <w:rPr>
          <w:bCs/>
        </w:rPr>
        <w:t>Decreto 1139 de 2021</w:t>
      </w:r>
      <w:r>
        <w:t xml:space="preserve"> “</w:t>
      </w:r>
      <w:r w:rsidRPr="004F0961">
        <w:rPr>
          <w:iCs/>
        </w:rPr>
        <w:t>Por el cual se modifica algunos artículos (…) del Decreto 1066 de 2015, Único Reglamentario del Sector Administrativo del Interior, en lo que hace referencia a los Programas de Prevención y Protección de los derechos a la vida, la libertad, la integridad y la seguridad de personas, grupos y comunidades</w:t>
      </w:r>
      <w:r>
        <w:t>”</w:t>
      </w:r>
      <w:r w:rsidR="00500ED6" w:rsidRPr="0013135A">
        <w:rPr>
          <w:rStyle w:val="Refdenotaalpie"/>
        </w:rPr>
        <w:t xml:space="preserve"> </w:t>
      </w:r>
      <w:r w:rsidR="00E92E0A">
        <w:rPr>
          <w:rStyle w:val="Refdenotaalpie"/>
        </w:rPr>
        <w:footnoteReference w:id="26"/>
      </w:r>
      <w:r>
        <w:t>.</w:t>
      </w:r>
      <w:r w:rsidRPr="007422A1">
        <w:rPr>
          <w:rStyle w:val="Refdenotaalpie"/>
        </w:rPr>
        <w:t xml:space="preserve"> </w:t>
      </w:r>
      <w:r>
        <w:t>Los programas de prevención y protección adoptados por la UNP cuentan con enfoque étnico.</w:t>
      </w:r>
    </w:p>
    <w:p w14:paraId="6997F64D" w14:textId="5CCC47C2" w:rsidR="00095139" w:rsidRDefault="00095139" w:rsidP="008357BF">
      <w:pPr>
        <w:pStyle w:val="SingleTxtG"/>
        <w:numPr>
          <w:ilvl w:val="0"/>
          <w:numId w:val="27"/>
        </w:numPr>
        <w:ind w:left="1134" w:firstLine="0"/>
      </w:pPr>
      <w:r w:rsidRPr="004F0961">
        <w:rPr>
          <w:bCs/>
        </w:rPr>
        <w:t>Decreto 216 de 2021</w:t>
      </w:r>
      <w:r w:rsidRPr="00EB03FC">
        <w:t xml:space="preserve"> </w:t>
      </w:r>
      <w:r w:rsidR="00796131">
        <w:t>“</w:t>
      </w:r>
      <w:r w:rsidRPr="004F0961">
        <w:rPr>
          <w:iCs/>
        </w:rPr>
        <w:t>Por medio del cual se adopta el Estatuto Temporal de Protección para Migrantes Venezolanos Bajo Régimen de Protección Temporal y se dictan otras disposiciones en materia migratoria</w:t>
      </w:r>
      <w:r w:rsidR="00796131">
        <w:t>”</w:t>
      </w:r>
      <w:r>
        <w:t>.</w:t>
      </w:r>
    </w:p>
    <w:p w14:paraId="05D0D692" w14:textId="0DCBE014" w:rsidR="00095139" w:rsidRPr="009F7BF0" w:rsidRDefault="001854B7" w:rsidP="001854B7">
      <w:pPr>
        <w:pStyle w:val="H4G"/>
      </w:pPr>
      <w:r>
        <w:tab/>
      </w:r>
      <w:r>
        <w:tab/>
      </w:r>
      <w:r w:rsidR="00095139" w:rsidRPr="009F7BF0">
        <w:t>Resoluciones:</w:t>
      </w:r>
    </w:p>
    <w:p w14:paraId="37C45669" w14:textId="23E9D07E" w:rsidR="00095139" w:rsidRDefault="00095139" w:rsidP="008357BF">
      <w:pPr>
        <w:pStyle w:val="SingleTxtG"/>
        <w:numPr>
          <w:ilvl w:val="0"/>
          <w:numId w:val="27"/>
        </w:numPr>
        <w:ind w:left="1134" w:firstLine="0"/>
      </w:pPr>
      <w:r w:rsidRPr="004F0961">
        <w:rPr>
          <w:bCs/>
        </w:rPr>
        <w:t>Resolución 2245 de 2021</w:t>
      </w:r>
      <w:r>
        <w:t xml:space="preserve"> del Ministerio del Interior “</w:t>
      </w:r>
      <w:r w:rsidRPr="004F0961">
        <w:rPr>
          <w:iCs/>
        </w:rPr>
        <w:t>por la cual se crea el Comité Nacional de participación y Diálogo Social e Intersectorial de Libertad Religiosa</w:t>
      </w:r>
      <w:r>
        <w:t>”.</w:t>
      </w:r>
    </w:p>
    <w:p w14:paraId="0233DCE7" w14:textId="0B4C9662" w:rsidR="00095139" w:rsidRPr="00B96DF4" w:rsidRDefault="001854B7" w:rsidP="001854B7">
      <w:pPr>
        <w:pStyle w:val="H4G"/>
      </w:pPr>
      <w:r>
        <w:tab/>
      </w:r>
      <w:r>
        <w:tab/>
      </w:r>
      <w:r w:rsidR="00095139" w:rsidRPr="00B96DF4">
        <w:t>Directivas:</w:t>
      </w:r>
    </w:p>
    <w:p w14:paraId="1AAE4CD5" w14:textId="2BD27195" w:rsidR="00095139" w:rsidRDefault="00095139" w:rsidP="008357BF">
      <w:pPr>
        <w:pStyle w:val="SingleTxtG"/>
        <w:numPr>
          <w:ilvl w:val="0"/>
          <w:numId w:val="27"/>
        </w:numPr>
        <w:ind w:left="1134" w:firstLine="0"/>
      </w:pPr>
      <w:r w:rsidRPr="004F0961">
        <w:rPr>
          <w:bCs/>
        </w:rPr>
        <w:t>Directiva Presidencial 8 de 2020</w:t>
      </w:r>
      <w:r>
        <w:t xml:space="preserve"> “</w:t>
      </w:r>
      <w:r w:rsidRPr="004F0961">
        <w:rPr>
          <w:iCs/>
        </w:rPr>
        <w:t>Guía para la realización de consulta previa</w:t>
      </w:r>
      <w:r>
        <w:t>”.</w:t>
      </w:r>
    </w:p>
    <w:p w14:paraId="2BC642BA" w14:textId="12482FDF" w:rsidR="00095139" w:rsidRDefault="00095139" w:rsidP="008357BF">
      <w:pPr>
        <w:pStyle w:val="SingleTxtG"/>
        <w:numPr>
          <w:ilvl w:val="0"/>
          <w:numId w:val="27"/>
        </w:numPr>
        <w:ind w:left="1134" w:firstLine="0"/>
      </w:pPr>
      <w:r w:rsidRPr="004F0961">
        <w:rPr>
          <w:bCs/>
        </w:rPr>
        <w:t>Directiva Ministerial No. 07 de 2021</w:t>
      </w:r>
      <w:r w:rsidRPr="002C573D">
        <w:t xml:space="preserve"> </w:t>
      </w:r>
      <w:r w:rsidR="00D3621B">
        <w:t>“</w:t>
      </w:r>
      <w:r w:rsidRPr="004F0961">
        <w:rPr>
          <w:iCs/>
        </w:rPr>
        <w:t>Orientaciones para manejo de la emergencia por COVID–19 en la prestación privada del servicio de educación inicial</w:t>
      </w:r>
      <w:r w:rsidR="00D3621B">
        <w:t>”</w:t>
      </w:r>
      <w:r w:rsidRPr="002C573D">
        <w:t>.</w:t>
      </w:r>
    </w:p>
    <w:p w14:paraId="6FFA9EA7" w14:textId="539F4F11" w:rsidR="00095139" w:rsidRDefault="00095139" w:rsidP="008357BF">
      <w:pPr>
        <w:pStyle w:val="SingleTxtG"/>
        <w:numPr>
          <w:ilvl w:val="0"/>
          <w:numId w:val="27"/>
        </w:numPr>
        <w:ind w:left="1134" w:firstLine="0"/>
      </w:pPr>
      <w:r w:rsidRPr="004F0961">
        <w:rPr>
          <w:bCs/>
        </w:rPr>
        <w:t>Directiva 005 de 2021</w:t>
      </w:r>
      <w:r w:rsidR="00D3621B">
        <w:rPr>
          <w:bCs/>
        </w:rPr>
        <w:t xml:space="preserve"> “</w:t>
      </w:r>
      <w:r w:rsidRPr="004F0961">
        <w:rPr>
          <w:iCs/>
        </w:rPr>
        <w:t>Por medio de la cual se emiten lineamientos para la definición de los conflictos de competencia con la jurisdicción especial indígena</w:t>
      </w:r>
      <w:r w:rsidR="00D3621B">
        <w:t>”</w:t>
      </w:r>
      <w:r>
        <w:t>.</w:t>
      </w:r>
    </w:p>
    <w:p w14:paraId="7CA558A3" w14:textId="1F4A7220" w:rsidR="00095139" w:rsidRPr="002C573D" w:rsidRDefault="001854B7" w:rsidP="001854B7">
      <w:pPr>
        <w:pStyle w:val="H4G"/>
      </w:pPr>
      <w:r>
        <w:tab/>
      </w:r>
      <w:r>
        <w:tab/>
      </w:r>
      <w:r w:rsidR="00095139" w:rsidRPr="002C573D">
        <w:t>Circulares:</w:t>
      </w:r>
    </w:p>
    <w:p w14:paraId="6E465BAD" w14:textId="72509C2B" w:rsidR="00095139" w:rsidRDefault="00095139" w:rsidP="008357BF">
      <w:pPr>
        <w:pStyle w:val="SingleTxtG"/>
        <w:numPr>
          <w:ilvl w:val="0"/>
          <w:numId w:val="27"/>
        </w:numPr>
        <w:ind w:left="1134" w:firstLine="0"/>
        <w:rPr>
          <w:b/>
          <w:bCs/>
        </w:rPr>
      </w:pPr>
      <w:r w:rsidRPr="004F0961">
        <w:rPr>
          <w:bCs/>
        </w:rPr>
        <w:t>Circular 0066 de 2019</w:t>
      </w:r>
      <w:r w:rsidRPr="00797984">
        <w:rPr>
          <w:b/>
          <w:bCs/>
        </w:rPr>
        <w:t xml:space="preserve"> </w:t>
      </w:r>
      <w:r w:rsidRPr="00797984">
        <w:t>“</w:t>
      </w:r>
      <w:r w:rsidRPr="004F0961">
        <w:rPr>
          <w:iCs/>
        </w:rPr>
        <w:t>Directrices, recomendaciones y mecanismos específicos para la atención, el trámite y el tratamiento de quejas y situaciones sobre discriminación racial en el ámbito del trabajo</w:t>
      </w:r>
      <w:r w:rsidRPr="00797984">
        <w:t>”</w:t>
      </w:r>
      <w:r w:rsidR="00D3621B">
        <w:t>.</w:t>
      </w:r>
    </w:p>
    <w:p w14:paraId="1C37DC6F" w14:textId="37BC66B0" w:rsidR="00095139" w:rsidRDefault="00095139" w:rsidP="008357BF">
      <w:pPr>
        <w:pStyle w:val="SingleTxtG"/>
        <w:numPr>
          <w:ilvl w:val="0"/>
          <w:numId w:val="27"/>
        </w:numPr>
        <w:ind w:left="1134" w:firstLine="0"/>
      </w:pPr>
      <w:r w:rsidRPr="004F0961">
        <w:rPr>
          <w:bCs/>
        </w:rPr>
        <w:t>Circular 09 de 2019</w:t>
      </w:r>
      <w:r w:rsidRPr="002C573D">
        <w:t xml:space="preserve"> </w:t>
      </w:r>
      <w:r w:rsidR="00D3621B">
        <w:t>“</w:t>
      </w:r>
      <w:r w:rsidRPr="004F0961">
        <w:rPr>
          <w:iCs/>
        </w:rPr>
        <w:t>Orientaciones sobre aplicación del Capítulo 4, Título 1, Parte 3, Libro 2, del Decreto 1075 de 2015 Único Reglamentario del sector Educación, para la contratación de la administración de la atención educativa con los cabildos, autoridades tradicionales indígenas, asociación de autoridades tradicionales indígenas y organizaciones indígenas, por parte de la entidades territoriales certificadas para garantizar el derecho a la educación propia, en el marco del proceso de construcción e implementación del sistema educativo indígena propio</w:t>
      </w:r>
      <w:r w:rsidR="00D3621B">
        <w:rPr>
          <w:iCs/>
        </w:rPr>
        <w:t>”</w:t>
      </w:r>
      <w:r w:rsidRPr="004F0961">
        <w:rPr>
          <w:iCs/>
        </w:rPr>
        <w:t>.</w:t>
      </w:r>
    </w:p>
    <w:p w14:paraId="2610470C" w14:textId="3210A42B" w:rsidR="00095139" w:rsidRDefault="00095139" w:rsidP="008357BF">
      <w:pPr>
        <w:pStyle w:val="SingleTxtG"/>
        <w:numPr>
          <w:ilvl w:val="0"/>
          <w:numId w:val="27"/>
        </w:numPr>
        <w:ind w:left="1134" w:firstLine="0"/>
      </w:pPr>
      <w:r w:rsidRPr="004F0961">
        <w:rPr>
          <w:bCs/>
        </w:rPr>
        <w:t>Circular 022 de 2020</w:t>
      </w:r>
      <w:r w:rsidRPr="002C573D">
        <w:t xml:space="preserve"> “</w:t>
      </w:r>
      <w:r w:rsidRPr="004F0961">
        <w:rPr>
          <w:iCs/>
        </w:rPr>
        <w:t>Orientaciones para la elaboración del estudio de planta y la administración de docentes y directivos docentes de los establecimientos educativos ubicados en territorio indígena o que atienden población mayoritariamente indígena</w:t>
      </w:r>
      <w:r w:rsidRPr="002C573D">
        <w:t>”</w:t>
      </w:r>
      <w:r>
        <w:t>.</w:t>
      </w:r>
    </w:p>
    <w:p w14:paraId="59825E17" w14:textId="3C20B13D" w:rsidR="00095139" w:rsidRPr="002C5E1B" w:rsidRDefault="001854B7" w:rsidP="001854B7">
      <w:pPr>
        <w:pStyle w:val="HChG"/>
      </w:pPr>
      <w:r>
        <w:lastRenderedPageBreak/>
        <w:tab/>
        <w:t>III.</w:t>
      </w:r>
      <w:r>
        <w:tab/>
      </w:r>
      <w:r w:rsidR="00095139" w:rsidRPr="002C5E1B">
        <w:t>Implementación de los artículos 1 al 7 de la Convención y</w:t>
      </w:r>
      <w:r w:rsidR="00D3621B">
        <w:t> </w:t>
      </w:r>
      <w:r w:rsidR="00095139">
        <w:t xml:space="preserve">seguimiento a las </w:t>
      </w:r>
      <w:r w:rsidR="00095139" w:rsidRPr="002C5E1B">
        <w:t>recomendaciones del Comité</w:t>
      </w:r>
    </w:p>
    <w:p w14:paraId="7960842D" w14:textId="19F414C2" w:rsidR="00095139" w:rsidRPr="002C5E1B" w:rsidRDefault="001854B7" w:rsidP="001854B7">
      <w:pPr>
        <w:pStyle w:val="H1G"/>
      </w:pPr>
      <w:r>
        <w:tab/>
        <w:t>A.</w:t>
      </w:r>
      <w:r>
        <w:tab/>
      </w:r>
      <w:r w:rsidR="00095139" w:rsidRPr="002C5E1B">
        <w:t>Medidas para la eliminación de la discriminación racial y garantía de</w:t>
      </w:r>
      <w:r w:rsidR="00D3621B">
        <w:t> </w:t>
      </w:r>
      <w:r w:rsidR="00095139" w:rsidRPr="002C5E1B">
        <w:t>derechos: Implementación de los artículos 1, 2, 5 de la Convención</w:t>
      </w:r>
    </w:p>
    <w:p w14:paraId="06BB9ACD" w14:textId="1332C815" w:rsidR="00095139" w:rsidRPr="002C5E1B" w:rsidRDefault="001854B7" w:rsidP="001854B7">
      <w:pPr>
        <w:pStyle w:val="H23G"/>
      </w:pPr>
      <w:r>
        <w:tab/>
        <w:t>1.</w:t>
      </w:r>
      <w:r>
        <w:tab/>
      </w:r>
      <w:r w:rsidR="00095139" w:rsidRPr="002C5E1B">
        <w:t>Prohibición de discriminación directa e indirecta (recomendación párr. 9 CERD/C/COL/CO/17-19)</w:t>
      </w:r>
    </w:p>
    <w:p w14:paraId="662E660A" w14:textId="43CD0861" w:rsidR="00095139" w:rsidRDefault="00095139" w:rsidP="008357BF">
      <w:pPr>
        <w:pStyle w:val="SingleTxtG"/>
        <w:numPr>
          <w:ilvl w:val="0"/>
          <w:numId w:val="27"/>
        </w:numPr>
        <w:ind w:left="1134" w:firstLine="0"/>
        <w:rPr>
          <w:rFonts w:eastAsia="Times New Roman"/>
          <w:bCs/>
          <w:szCs w:val="24"/>
        </w:rPr>
      </w:pPr>
      <w:r w:rsidRPr="00F76A96">
        <w:rPr>
          <w:rFonts w:eastAsia="Times New Roman"/>
          <w:bCs/>
          <w:szCs w:val="24"/>
        </w:rPr>
        <w:t xml:space="preserve">El </w:t>
      </w:r>
      <w:r>
        <w:rPr>
          <w:rFonts w:eastAsia="Times New Roman"/>
          <w:bCs/>
          <w:szCs w:val="24"/>
        </w:rPr>
        <w:t>Estado colombiano</w:t>
      </w:r>
      <w:r w:rsidRPr="00F76A96">
        <w:rPr>
          <w:rFonts w:eastAsia="Times New Roman"/>
          <w:bCs/>
          <w:szCs w:val="24"/>
        </w:rPr>
        <w:t xml:space="preserve"> </w:t>
      </w:r>
      <w:r>
        <w:rPr>
          <w:rFonts w:eastAsia="Times New Roman"/>
          <w:bCs/>
          <w:szCs w:val="24"/>
        </w:rPr>
        <w:t>ha venido implementando</w:t>
      </w:r>
      <w:r w:rsidRPr="00F76A96">
        <w:rPr>
          <w:rFonts w:eastAsia="Times New Roman"/>
          <w:bCs/>
          <w:szCs w:val="24"/>
        </w:rPr>
        <w:t xml:space="preserve"> esfuerzos para prevenir y combatir la discriminación contra las comunidades NARP</w:t>
      </w:r>
      <w:r>
        <w:rPr>
          <w:rFonts w:eastAsia="Times New Roman"/>
          <w:bCs/>
          <w:szCs w:val="24"/>
        </w:rPr>
        <w:t xml:space="preserve"> mediante e</w:t>
      </w:r>
      <w:r w:rsidRPr="00F76A96">
        <w:rPr>
          <w:rFonts w:eastAsia="Times New Roman"/>
          <w:bCs/>
          <w:szCs w:val="24"/>
        </w:rPr>
        <w:t xml:space="preserve">l desarrollo de las Políticas Públicas contenidas en </w:t>
      </w:r>
      <w:r>
        <w:rPr>
          <w:rFonts w:eastAsia="Times New Roman"/>
          <w:bCs/>
          <w:szCs w:val="24"/>
        </w:rPr>
        <w:t>los</w:t>
      </w:r>
      <w:r w:rsidRPr="00F76A96">
        <w:rPr>
          <w:rFonts w:eastAsia="Times New Roman"/>
          <w:bCs/>
          <w:szCs w:val="24"/>
        </w:rPr>
        <w:t xml:space="preserve"> CONPES 3310 de 2004 </w:t>
      </w:r>
      <w:r>
        <w:rPr>
          <w:rFonts w:eastAsia="Times New Roman"/>
          <w:bCs/>
          <w:szCs w:val="24"/>
        </w:rPr>
        <w:t>(P</w:t>
      </w:r>
      <w:r w:rsidRPr="00047ED9">
        <w:rPr>
          <w:rFonts w:eastAsia="Times New Roman"/>
          <w:bCs/>
          <w:szCs w:val="24"/>
        </w:rPr>
        <w:t>olítica para la población negra o afrocolombiana</w:t>
      </w:r>
      <w:r>
        <w:rPr>
          <w:rFonts w:eastAsia="Times New Roman"/>
          <w:bCs/>
          <w:szCs w:val="24"/>
        </w:rPr>
        <w:t xml:space="preserve">) </w:t>
      </w:r>
      <w:r w:rsidRPr="00F76A96">
        <w:rPr>
          <w:rFonts w:eastAsia="Times New Roman"/>
          <w:bCs/>
          <w:szCs w:val="24"/>
        </w:rPr>
        <w:t>y 3660 de 2010</w:t>
      </w:r>
      <w:r>
        <w:rPr>
          <w:rFonts w:eastAsia="Times New Roman"/>
          <w:bCs/>
          <w:szCs w:val="24"/>
        </w:rPr>
        <w:t xml:space="preserve"> (</w:t>
      </w:r>
      <w:r>
        <w:t>Política para promover la igualdad de oportunidades para la población NARP)</w:t>
      </w:r>
      <w:r w:rsidR="00E92E0A">
        <w:rPr>
          <w:rStyle w:val="Refdenotaalpie"/>
          <w:rFonts w:eastAsia="Times New Roman"/>
          <w:bCs/>
          <w:szCs w:val="24"/>
        </w:rPr>
        <w:footnoteReference w:id="27"/>
      </w:r>
      <w:r w:rsidRPr="00F76A96">
        <w:rPr>
          <w:rFonts w:eastAsia="Times New Roman"/>
          <w:bCs/>
          <w:szCs w:val="24"/>
        </w:rPr>
        <w:t>.</w:t>
      </w:r>
    </w:p>
    <w:p w14:paraId="1D0D76FC" w14:textId="7880D90B" w:rsidR="00095139" w:rsidRDefault="00095139" w:rsidP="008357BF">
      <w:pPr>
        <w:pStyle w:val="SingleTxtG"/>
        <w:numPr>
          <w:ilvl w:val="0"/>
          <w:numId w:val="27"/>
        </w:numPr>
        <w:ind w:left="1134" w:firstLine="0"/>
        <w:rPr>
          <w:rFonts w:eastAsia="Times New Roman"/>
          <w:bCs/>
          <w:szCs w:val="24"/>
        </w:rPr>
      </w:pPr>
      <w:r>
        <w:rPr>
          <w:rFonts w:eastAsia="Times New Roman"/>
          <w:bCs/>
          <w:szCs w:val="24"/>
        </w:rPr>
        <w:t>Estas políticas</w:t>
      </w:r>
      <w:r w:rsidRPr="00F76A96">
        <w:rPr>
          <w:rFonts w:eastAsia="Times New Roman"/>
          <w:bCs/>
          <w:szCs w:val="24"/>
        </w:rPr>
        <w:t xml:space="preserve"> dieron paso a la creación </w:t>
      </w:r>
      <w:r>
        <w:rPr>
          <w:rFonts w:eastAsia="Times New Roman"/>
          <w:bCs/>
          <w:szCs w:val="24"/>
        </w:rPr>
        <w:t>del</w:t>
      </w:r>
      <w:r w:rsidRPr="00F76A96">
        <w:rPr>
          <w:rFonts w:eastAsia="Times New Roman"/>
          <w:bCs/>
          <w:szCs w:val="24"/>
        </w:rPr>
        <w:t xml:space="preserve"> Observatorio </w:t>
      </w:r>
      <w:r>
        <w:rPr>
          <w:rFonts w:eastAsia="Times New Roman"/>
          <w:bCs/>
          <w:szCs w:val="24"/>
        </w:rPr>
        <w:t>c</w:t>
      </w:r>
      <w:r w:rsidRPr="00F76A96">
        <w:rPr>
          <w:rFonts w:eastAsia="Times New Roman"/>
          <w:bCs/>
          <w:szCs w:val="24"/>
        </w:rPr>
        <w:t xml:space="preserve">ontra la Discriminación Racial y Racismo </w:t>
      </w:r>
      <w:r>
        <w:rPr>
          <w:rFonts w:eastAsia="Times New Roman"/>
          <w:bCs/>
          <w:szCs w:val="24"/>
        </w:rPr>
        <w:t xml:space="preserve">que fue </w:t>
      </w:r>
      <w:r w:rsidRPr="006D49C3">
        <w:t>reestructurado</w:t>
      </w:r>
      <w:r w:rsidRPr="00F76A96">
        <w:rPr>
          <w:rFonts w:eastAsia="Times New Roman"/>
          <w:bCs/>
          <w:szCs w:val="24"/>
        </w:rPr>
        <w:t xml:space="preserve"> mediante Resolución 0338 de 2021, </w:t>
      </w:r>
      <w:r>
        <w:rPr>
          <w:rFonts w:eastAsia="Times New Roman"/>
          <w:bCs/>
          <w:szCs w:val="24"/>
        </w:rPr>
        <w:t xml:space="preserve">estableciendo </w:t>
      </w:r>
      <w:r w:rsidRPr="00F76A96">
        <w:rPr>
          <w:rFonts w:eastAsia="Times New Roman"/>
          <w:bCs/>
          <w:szCs w:val="24"/>
        </w:rPr>
        <w:t>el nuevo Observatorio para la promoción de la inclusión, y la lucha en contra de cualquier forma de discriminación o estigmatización “Colombia es de todos”</w:t>
      </w:r>
      <w:r w:rsidR="00E92E0A" w:rsidRPr="00E92E0A">
        <w:rPr>
          <w:rStyle w:val="Refdenotaalpie"/>
          <w:rFonts w:eastAsia="Times New Roman"/>
          <w:bCs/>
          <w:szCs w:val="24"/>
        </w:rPr>
        <w:t xml:space="preserve"> </w:t>
      </w:r>
      <w:r w:rsidR="00E92E0A">
        <w:rPr>
          <w:rStyle w:val="Refdenotaalpie"/>
          <w:rFonts w:eastAsia="Times New Roman"/>
          <w:bCs/>
          <w:szCs w:val="24"/>
        </w:rPr>
        <w:footnoteReference w:id="28"/>
      </w:r>
      <w:r w:rsidRPr="00F76A96">
        <w:rPr>
          <w:rFonts w:eastAsia="Times New Roman"/>
          <w:bCs/>
          <w:szCs w:val="24"/>
        </w:rPr>
        <w:t>.</w:t>
      </w:r>
      <w:r w:rsidRPr="00973F39">
        <w:rPr>
          <w:rFonts w:eastAsia="Times New Roman"/>
          <w:bCs/>
          <w:sz w:val="18"/>
          <w:szCs w:val="18"/>
          <w:vertAlign w:val="superscript"/>
        </w:rPr>
        <w:t xml:space="preserve"> </w:t>
      </w:r>
    </w:p>
    <w:p w14:paraId="289A63DC" w14:textId="39295655" w:rsidR="00095139" w:rsidRDefault="00095139" w:rsidP="008357BF">
      <w:pPr>
        <w:pStyle w:val="SingleTxtG"/>
        <w:numPr>
          <w:ilvl w:val="0"/>
          <w:numId w:val="27"/>
        </w:numPr>
        <w:ind w:left="1134" w:firstLine="0"/>
        <w:rPr>
          <w:rFonts w:eastAsia="Times New Roman"/>
          <w:bCs/>
          <w:szCs w:val="24"/>
        </w:rPr>
      </w:pPr>
      <w:r>
        <w:rPr>
          <w:rFonts w:eastAsia="Times New Roman"/>
          <w:bCs/>
          <w:szCs w:val="24"/>
        </w:rPr>
        <w:t>L</w:t>
      </w:r>
      <w:r w:rsidRPr="00F76A96">
        <w:rPr>
          <w:rFonts w:eastAsia="Times New Roman"/>
          <w:bCs/>
          <w:szCs w:val="24"/>
        </w:rPr>
        <w:t xml:space="preserve">os objetivos del nuevo observatorio “Colombia es de todos” es investigar, documentar, sistematizar, analizar y </w:t>
      </w:r>
      <w:r w:rsidRPr="006D49C3">
        <w:t>generar</w:t>
      </w:r>
      <w:r w:rsidRPr="00F76A96">
        <w:rPr>
          <w:rFonts w:eastAsia="Times New Roman"/>
          <w:bCs/>
          <w:szCs w:val="24"/>
        </w:rPr>
        <w:t xml:space="preserve"> información sobre la situación de la discriminación en Colombia teniendo en cuenta los aspectos: Estadístico, normativo, jurisprudencial y administrativo</w:t>
      </w:r>
      <w:r>
        <w:rPr>
          <w:rFonts w:eastAsia="Times New Roman"/>
          <w:bCs/>
          <w:szCs w:val="24"/>
        </w:rPr>
        <w:t>.</w:t>
      </w:r>
      <w:r w:rsidRPr="00F76A96">
        <w:rPr>
          <w:rFonts w:eastAsia="Times New Roman"/>
          <w:bCs/>
          <w:szCs w:val="24"/>
        </w:rPr>
        <w:t xml:space="preserve"> </w:t>
      </w:r>
      <w:r>
        <w:rPr>
          <w:rFonts w:eastAsia="Times New Roman"/>
          <w:bCs/>
          <w:szCs w:val="24"/>
        </w:rPr>
        <w:t>A</w:t>
      </w:r>
      <w:r w:rsidRPr="00F76A96">
        <w:rPr>
          <w:rFonts w:eastAsia="Times New Roman"/>
          <w:bCs/>
          <w:szCs w:val="24"/>
        </w:rPr>
        <w:t xml:space="preserve">sí </w:t>
      </w:r>
      <w:r>
        <w:rPr>
          <w:rFonts w:eastAsia="Times New Roman"/>
          <w:bCs/>
          <w:szCs w:val="24"/>
        </w:rPr>
        <w:t xml:space="preserve">mismo, tiene </w:t>
      </w:r>
      <w:r w:rsidRPr="00F76A96">
        <w:rPr>
          <w:rFonts w:eastAsia="Times New Roman"/>
          <w:bCs/>
          <w:szCs w:val="24"/>
        </w:rPr>
        <w:t>la labor de divulgar a nivel internacional, nacional y territorial la información generada</w:t>
      </w:r>
      <w:r>
        <w:rPr>
          <w:rFonts w:eastAsia="Times New Roman"/>
          <w:bCs/>
          <w:szCs w:val="24"/>
        </w:rPr>
        <w:t>,</w:t>
      </w:r>
      <w:r w:rsidRPr="00F76A96">
        <w:rPr>
          <w:rFonts w:eastAsia="Times New Roman"/>
          <w:bCs/>
          <w:szCs w:val="24"/>
        </w:rPr>
        <w:t xml:space="preserve"> y formular recomendaciones en materia de políticas, planes, programas y normas, que contribuyan a cerrar las brechas </w:t>
      </w:r>
      <w:r>
        <w:rPr>
          <w:rFonts w:eastAsia="Times New Roman"/>
          <w:bCs/>
          <w:szCs w:val="24"/>
        </w:rPr>
        <w:t>de desigualdad</w:t>
      </w:r>
      <w:r w:rsidRPr="00F76A96">
        <w:rPr>
          <w:rFonts w:eastAsia="Times New Roman"/>
          <w:bCs/>
          <w:szCs w:val="24"/>
        </w:rPr>
        <w:t xml:space="preserve"> en el país</w:t>
      </w:r>
      <w:r w:rsidR="00E92E0A">
        <w:rPr>
          <w:rStyle w:val="Refdenotaalpie"/>
          <w:rFonts w:eastAsia="Times New Roman"/>
          <w:bCs/>
          <w:szCs w:val="24"/>
        </w:rPr>
        <w:footnoteReference w:id="29"/>
      </w:r>
      <w:r w:rsidRPr="00F76A96">
        <w:rPr>
          <w:rFonts w:eastAsia="Times New Roman"/>
          <w:bCs/>
          <w:szCs w:val="24"/>
        </w:rPr>
        <w:t>.</w:t>
      </w:r>
    </w:p>
    <w:p w14:paraId="45F5BF3F" w14:textId="7EE7306D" w:rsidR="00095139" w:rsidRPr="00855E3A" w:rsidRDefault="001854B7" w:rsidP="001854B7">
      <w:pPr>
        <w:pStyle w:val="H23G"/>
      </w:pPr>
      <w:r>
        <w:tab/>
        <w:t>2.</w:t>
      </w:r>
      <w:r>
        <w:tab/>
      </w:r>
      <w:r w:rsidR="00095139" w:rsidRPr="00855E3A">
        <w:t>Conflicto Armado y Acuerdo de Paz (recomendación párr. 13 y 15 a CERD/C/COL/CO/17-19)</w:t>
      </w:r>
    </w:p>
    <w:p w14:paraId="7FB6A2EF" w14:textId="652B66C1" w:rsidR="00095139" w:rsidRPr="00FC55FB" w:rsidRDefault="00E92E0A" w:rsidP="001854B7">
      <w:pPr>
        <w:pStyle w:val="H4G"/>
      </w:pPr>
      <w:r>
        <w:tab/>
      </w:r>
      <w:r w:rsidR="001854B7">
        <w:t>a)</w:t>
      </w:r>
      <w:r w:rsidR="001854B7">
        <w:tab/>
      </w:r>
      <w:r w:rsidR="00095139">
        <w:t>Protección a comunidades étnicas</w:t>
      </w:r>
    </w:p>
    <w:p w14:paraId="1C959CDE" w14:textId="4A5F6601" w:rsidR="00095139" w:rsidRPr="000C2516" w:rsidRDefault="00095139" w:rsidP="008357BF">
      <w:pPr>
        <w:pStyle w:val="SingleTxtG"/>
        <w:numPr>
          <w:ilvl w:val="0"/>
          <w:numId w:val="27"/>
        </w:numPr>
        <w:ind w:left="1134" w:firstLine="0"/>
        <w:rPr>
          <w:rFonts w:eastAsia="Times New Roman"/>
          <w:bCs/>
          <w:szCs w:val="24"/>
        </w:rPr>
      </w:pPr>
      <w:r w:rsidRPr="000C2516">
        <w:rPr>
          <w:rFonts w:eastAsia="Times New Roman"/>
          <w:bCs/>
          <w:szCs w:val="24"/>
        </w:rPr>
        <w:t xml:space="preserve">Uno de los mayores avances en materia de protección a </w:t>
      </w:r>
      <w:r>
        <w:rPr>
          <w:rFonts w:eastAsia="Times New Roman"/>
          <w:bCs/>
          <w:szCs w:val="24"/>
        </w:rPr>
        <w:t>las comunidades étnicas</w:t>
      </w:r>
      <w:r w:rsidRPr="000C2516">
        <w:rPr>
          <w:rFonts w:eastAsia="Times New Roman"/>
          <w:bCs/>
          <w:szCs w:val="24"/>
        </w:rPr>
        <w:t xml:space="preserve"> ha sido la </w:t>
      </w:r>
      <w:r>
        <w:rPr>
          <w:rFonts w:eastAsia="Times New Roman"/>
          <w:bCs/>
          <w:szCs w:val="24"/>
        </w:rPr>
        <w:t xml:space="preserve">adopción de la </w:t>
      </w:r>
      <w:r w:rsidRPr="000C2516">
        <w:rPr>
          <w:rFonts w:eastAsia="Times New Roman"/>
          <w:bCs/>
          <w:szCs w:val="24"/>
        </w:rPr>
        <w:t>Ley 2078 de 2021</w:t>
      </w:r>
      <w:r>
        <w:rPr>
          <w:rStyle w:val="Refdenotaalpie"/>
          <w:rFonts w:eastAsia="Times New Roman"/>
          <w:bCs/>
          <w:szCs w:val="24"/>
        </w:rPr>
        <w:footnoteReference w:id="30"/>
      </w:r>
      <w:r w:rsidRPr="000C2516">
        <w:rPr>
          <w:rFonts w:eastAsia="Times New Roman"/>
          <w:bCs/>
          <w:szCs w:val="24"/>
        </w:rPr>
        <w:t xml:space="preserve"> </w:t>
      </w:r>
      <w:r>
        <w:rPr>
          <w:rFonts w:eastAsia="Times New Roman"/>
          <w:bCs/>
          <w:szCs w:val="24"/>
        </w:rPr>
        <w:t xml:space="preserve">que </w:t>
      </w:r>
      <w:r w:rsidRPr="000C2516">
        <w:rPr>
          <w:rFonts w:eastAsia="Times New Roman"/>
          <w:bCs/>
          <w:szCs w:val="24"/>
        </w:rPr>
        <w:t>pr</w:t>
      </w:r>
      <w:r>
        <w:rPr>
          <w:rFonts w:eastAsia="Times New Roman"/>
          <w:bCs/>
          <w:szCs w:val="24"/>
        </w:rPr>
        <w:t>o</w:t>
      </w:r>
      <w:r w:rsidRPr="000C2516">
        <w:rPr>
          <w:rFonts w:eastAsia="Times New Roman"/>
          <w:bCs/>
          <w:szCs w:val="24"/>
        </w:rPr>
        <w:t>rroga la Ley 1448 por 10 años más, extendiendo su vigencia hasta el 11 de junio de 2031</w:t>
      </w:r>
      <w:r>
        <w:rPr>
          <w:rFonts w:eastAsia="Times New Roman"/>
          <w:bCs/>
          <w:szCs w:val="24"/>
        </w:rPr>
        <w:t>.</w:t>
      </w:r>
      <w:r w:rsidRPr="000C2516">
        <w:rPr>
          <w:rFonts w:eastAsia="Times New Roman"/>
          <w:bCs/>
          <w:szCs w:val="24"/>
        </w:rPr>
        <w:t xml:space="preserve"> </w:t>
      </w:r>
      <w:r>
        <w:rPr>
          <w:rFonts w:eastAsia="Times New Roman"/>
          <w:bCs/>
          <w:szCs w:val="24"/>
        </w:rPr>
        <w:t xml:space="preserve">En este marco, el </w:t>
      </w:r>
      <w:r w:rsidRPr="006D49C3">
        <w:t>Estado</w:t>
      </w:r>
      <w:r>
        <w:rPr>
          <w:rFonts w:eastAsia="Times New Roman"/>
          <w:bCs/>
          <w:szCs w:val="24"/>
        </w:rPr>
        <w:t xml:space="preserve"> adoptó el</w:t>
      </w:r>
      <w:r w:rsidRPr="000C2516">
        <w:rPr>
          <w:rFonts w:eastAsia="Times New Roman"/>
          <w:bCs/>
          <w:szCs w:val="24"/>
        </w:rPr>
        <w:t xml:space="preserve"> Documento CONPES 4031 de 2021 mediante el cual </w:t>
      </w:r>
      <w:r>
        <w:rPr>
          <w:rFonts w:eastAsia="Times New Roman"/>
          <w:bCs/>
          <w:szCs w:val="24"/>
        </w:rPr>
        <w:t>se actualizó</w:t>
      </w:r>
      <w:r w:rsidRPr="000C2516">
        <w:rPr>
          <w:rFonts w:eastAsia="Times New Roman"/>
          <w:bCs/>
          <w:szCs w:val="24"/>
        </w:rPr>
        <w:t xml:space="preserve"> el Plan Nacional de Atención, Asistencia y Reparación a las Víctimas y establec</w:t>
      </w:r>
      <w:r>
        <w:rPr>
          <w:rFonts w:eastAsia="Times New Roman"/>
          <w:bCs/>
          <w:szCs w:val="24"/>
        </w:rPr>
        <w:t>ió</w:t>
      </w:r>
      <w:r w:rsidRPr="000C2516">
        <w:rPr>
          <w:rFonts w:eastAsia="Times New Roman"/>
          <w:bCs/>
          <w:szCs w:val="24"/>
        </w:rPr>
        <w:t xml:space="preserve"> metas anualizadas hasta el año</w:t>
      </w:r>
      <w:r w:rsidR="00500ED6">
        <w:rPr>
          <w:rFonts w:eastAsia="Times New Roman"/>
          <w:bCs/>
          <w:szCs w:val="24"/>
        </w:rPr>
        <w:t> </w:t>
      </w:r>
      <w:r w:rsidRPr="000C2516">
        <w:rPr>
          <w:rFonts w:eastAsia="Times New Roman"/>
          <w:bCs/>
          <w:szCs w:val="24"/>
        </w:rPr>
        <w:t>2031</w:t>
      </w:r>
      <w:r w:rsidR="00500ED6">
        <w:rPr>
          <w:rStyle w:val="Refdenotaalpie"/>
          <w:rFonts w:eastAsia="Times New Roman"/>
          <w:bCs/>
          <w:szCs w:val="24"/>
        </w:rPr>
        <w:footnoteReference w:id="31"/>
      </w:r>
      <w:r w:rsidRPr="000C2516">
        <w:rPr>
          <w:rFonts w:eastAsia="Times New Roman"/>
          <w:bCs/>
          <w:szCs w:val="24"/>
        </w:rPr>
        <w:t>.</w:t>
      </w:r>
    </w:p>
    <w:p w14:paraId="32AFB5CF" w14:textId="7442EF19" w:rsidR="00095139" w:rsidRDefault="00095139" w:rsidP="008357BF">
      <w:pPr>
        <w:pStyle w:val="SingleTxtG"/>
        <w:numPr>
          <w:ilvl w:val="0"/>
          <w:numId w:val="27"/>
        </w:numPr>
        <w:ind w:left="1134" w:firstLine="0"/>
        <w:rPr>
          <w:rFonts w:eastAsia="Times New Roman"/>
          <w:bCs/>
          <w:szCs w:val="24"/>
        </w:rPr>
      </w:pPr>
      <w:r>
        <w:rPr>
          <w:rFonts w:eastAsia="Times New Roman"/>
          <w:bCs/>
          <w:szCs w:val="24"/>
        </w:rPr>
        <w:t>El</w:t>
      </w:r>
      <w:r w:rsidRPr="000C2516">
        <w:rPr>
          <w:rFonts w:eastAsia="Times New Roman"/>
          <w:bCs/>
          <w:szCs w:val="24"/>
        </w:rPr>
        <w:t xml:space="preserve"> CONPES</w:t>
      </w:r>
      <w:r>
        <w:rPr>
          <w:rFonts w:eastAsia="Times New Roman"/>
          <w:bCs/>
          <w:szCs w:val="24"/>
        </w:rPr>
        <w:t xml:space="preserve"> </w:t>
      </w:r>
      <w:r w:rsidRPr="000C2516">
        <w:rPr>
          <w:rFonts w:eastAsia="Times New Roman"/>
          <w:bCs/>
          <w:szCs w:val="24"/>
        </w:rPr>
        <w:t xml:space="preserve">estableció como eje transversal la incorporación de acciones específicas dirigidas a la atención, asistencia y reparación integral a las víctimas pertenecientes a pueblos y comunidades étnicas. Producto de ello, y en coordinación </w:t>
      </w:r>
      <w:r w:rsidRPr="006D49C3">
        <w:t>con</w:t>
      </w:r>
      <w:r w:rsidRPr="000C2516">
        <w:rPr>
          <w:rFonts w:eastAsia="Times New Roman"/>
          <w:bCs/>
          <w:szCs w:val="24"/>
        </w:rPr>
        <w:t xml:space="preserve"> las entidades encargadas de ejecutar las acciones y programas, se definieron un total de 63 acciones dirigidas específicamente a la población étnica víctima del conflicto armado, se establecieron 3</w:t>
      </w:r>
      <w:r w:rsidR="00500ED6">
        <w:rPr>
          <w:rFonts w:eastAsia="Times New Roman"/>
          <w:bCs/>
          <w:szCs w:val="24"/>
        </w:rPr>
        <w:t> </w:t>
      </w:r>
      <w:r w:rsidRPr="000C2516">
        <w:rPr>
          <w:rFonts w:eastAsia="Times New Roman"/>
          <w:bCs/>
          <w:szCs w:val="24"/>
        </w:rPr>
        <w:t xml:space="preserve">objetivos específicos asociados a: </w:t>
      </w:r>
    </w:p>
    <w:p w14:paraId="19DE92C7" w14:textId="680DC369" w:rsidR="00095139" w:rsidRDefault="00095139" w:rsidP="008357BF">
      <w:pPr>
        <w:pStyle w:val="SingleTxtG"/>
        <w:numPr>
          <w:ilvl w:val="1"/>
          <w:numId w:val="28"/>
        </w:numPr>
        <w:ind w:left="1134" w:firstLine="567"/>
      </w:pPr>
      <w:r w:rsidRPr="000C2516">
        <w:t xml:space="preserve">La contribución de la superación de la situación de vulnerabilidad acentuada de los pueblos étnicos a causa del desplazamiento forzado; </w:t>
      </w:r>
    </w:p>
    <w:p w14:paraId="0AB1A833" w14:textId="7F18AECE" w:rsidR="00095139" w:rsidRDefault="00095139" w:rsidP="008357BF">
      <w:pPr>
        <w:pStyle w:val="SingleTxtG"/>
        <w:numPr>
          <w:ilvl w:val="1"/>
          <w:numId w:val="28"/>
        </w:numPr>
        <w:ind w:left="1134" w:firstLine="567"/>
      </w:pPr>
      <w:r w:rsidRPr="000C2516">
        <w:t xml:space="preserve">Superación de las debilidades en materia de garantía a los derechos del territorio, la identidad cultural, la autonomía y el gobierno propio de pueblos y comunidades étnicas afectados en el marco del conflicto armado; y </w:t>
      </w:r>
    </w:p>
    <w:p w14:paraId="5C8E6014" w14:textId="33EA89F7" w:rsidR="00095139" w:rsidRPr="000C2516" w:rsidRDefault="00095139" w:rsidP="008357BF">
      <w:pPr>
        <w:pStyle w:val="SingleTxtG"/>
        <w:numPr>
          <w:ilvl w:val="1"/>
          <w:numId w:val="28"/>
        </w:numPr>
        <w:ind w:left="1134" w:firstLine="567"/>
      </w:pPr>
      <w:r w:rsidRPr="000C2516">
        <w:lastRenderedPageBreak/>
        <w:t>Reparación de las víctimas pertenecientes a comunidades étnicas por las afectaciones colectivas e individuales causadas en el conflicto armado</w:t>
      </w:r>
      <w:r w:rsidR="00500ED6" w:rsidRPr="00973F39">
        <w:rPr>
          <w:sz w:val="18"/>
          <w:szCs w:val="18"/>
          <w:vertAlign w:val="superscript"/>
        </w:rPr>
        <w:footnoteReference w:id="32"/>
      </w:r>
      <w:r w:rsidRPr="000C2516">
        <w:t>.</w:t>
      </w:r>
    </w:p>
    <w:p w14:paraId="5D08B7E8" w14:textId="797E2C56" w:rsidR="00095139" w:rsidRPr="000C2516" w:rsidRDefault="00095139" w:rsidP="008357BF">
      <w:pPr>
        <w:pStyle w:val="SingleTxtG"/>
        <w:numPr>
          <w:ilvl w:val="0"/>
          <w:numId w:val="27"/>
        </w:numPr>
        <w:ind w:left="1134" w:firstLine="0"/>
        <w:rPr>
          <w:rFonts w:eastAsia="Times New Roman"/>
          <w:bCs/>
          <w:szCs w:val="24"/>
        </w:rPr>
      </w:pPr>
      <w:r w:rsidRPr="000C2516">
        <w:rPr>
          <w:rFonts w:eastAsia="Times New Roman"/>
          <w:bCs/>
          <w:szCs w:val="24"/>
        </w:rPr>
        <w:t xml:space="preserve">Por su parte, </w:t>
      </w:r>
      <w:bookmarkStart w:id="2" w:name="_Hlk112318248"/>
      <w:r w:rsidRPr="000C2516">
        <w:rPr>
          <w:rFonts w:eastAsia="Times New Roman"/>
          <w:bCs/>
          <w:szCs w:val="24"/>
        </w:rPr>
        <w:t xml:space="preserve">el </w:t>
      </w:r>
      <w:r>
        <w:rPr>
          <w:rFonts w:eastAsia="Times New Roman"/>
          <w:bCs/>
          <w:szCs w:val="24"/>
        </w:rPr>
        <w:t>Estado</w:t>
      </w:r>
      <w:bookmarkEnd w:id="2"/>
      <w:r>
        <w:rPr>
          <w:rFonts w:eastAsia="Times New Roman"/>
          <w:bCs/>
          <w:szCs w:val="24"/>
        </w:rPr>
        <w:t xml:space="preserve"> a través del Ministerio de Defensa ha dado continuidad a la implementación de </w:t>
      </w:r>
      <w:r w:rsidRPr="000C2516">
        <w:rPr>
          <w:rFonts w:eastAsia="Times New Roman"/>
          <w:bCs/>
          <w:szCs w:val="24"/>
        </w:rPr>
        <w:t xml:space="preserve">las directivas permanentes 016 y 07 </w:t>
      </w:r>
      <w:r w:rsidRPr="006D49C3">
        <w:t>de</w:t>
      </w:r>
      <w:r w:rsidRPr="000C2516">
        <w:rPr>
          <w:rFonts w:eastAsia="Times New Roman"/>
          <w:bCs/>
          <w:szCs w:val="24"/>
        </w:rPr>
        <w:t xml:space="preserve"> 2006 acerca del </w:t>
      </w:r>
      <w:r>
        <w:rPr>
          <w:rFonts w:eastAsia="Times New Roman"/>
          <w:bCs/>
          <w:szCs w:val="24"/>
        </w:rPr>
        <w:t>r</w:t>
      </w:r>
      <w:r w:rsidRPr="000C2516">
        <w:rPr>
          <w:rFonts w:eastAsia="Times New Roman"/>
          <w:bCs/>
          <w:szCs w:val="24"/>
        </w:rPr>
        <w:t xml:space="preserve">econocimiento, </w:t>
      </w:r>
      <w:r>
        <w:rPr>
          <w:rFonts w:eastAsia="Times New Roman"/>
          <w:bCs/>
          <w:szCs w:val="24"/>
        </w:rPr>
        <w:t>p</w:t>
      </w:r>
      <w:r w:rsidRPr="000C2516">
        <w:rPr>
          <w:rFonts w:eastAsia="Times New Roman"/>
          <w:bCs/>
          <w:szCs w:val="24"/>
        </w:rPr>
        <w:t xml:space="preserve">revención y </w:t>
      </w:r>
      <w:r>
        <w:rPr>
          <w:rFonts w:eastAsia="Times New Roman"/>
          <w:bCs/>
          <w:szCs w:val="24"/>
        </w:rPr>
        <w:t>p</w:t>
      </w:r>
      <w:r w:rsidRPr="000C2516">
        <w:rPr>
          <w:rFonts w:eastAsia="Times New Roman"/>
          <w:bCs/>
          <w:szCs w:val="24"/>
        </w:rPr>
        <w:t xml:space="preserve">rotección a </w:t>
      </w:r>
      <w:r>
        <w:rPr>
          <w:rFonts w:eastAsia="Times New Roman"/>
          <w:bCs/>
          <w:szCs w:val="24"/>
        </w:rPr>
        <w:t>c</w:t>
      </w:r>
      <w:r w:rsidRPr="000C2516">
        <w:rPr>
          <w:rFonts w:eastAsia="Times New Roman"/>
          <w:bCs/>
          <w:szCs w:val="24"/>
        </w:rPr>
        <w:t>omunidades de los pueblos indígenas y las comunidades NARP, para que las acciones de la Fuerza Pública en estos territorios se adelanten con un enfoque diferencial en garantía y respeto a los derechos de estas comunidades</w:t>
      </w:r>
      <w:r w:rsidR="00500ED6" w:rsidRPr="00973F39">
        <w:rPr>
          <w:rFonts w:eastAsia="Times New Roman"/>
          <w:bCs/>
          <w:sz w:val="18"/>
          <w:szCs w:val="18"/>
          <w:vertAlign w:val="superscript"/>
        </w:rPr>
        <w:footnoteReference w:id="33"/>
      </w:r>
      <w:r w:rsidRPr="000C2516">
        <w:rPr>
          <w:rFonts w:eastAsia="Times New Roman"/>
          <w:bCs/>
          <w:szCs w:val="24"/>
        </w:rPr>
        <w:t>.</w:t>
      </w:r>
    </w:p>
    <w:p w14:paraId="3284148D" w14:textId="0D3E3310" w:rsidR="00095139" w:rsidRPr="006D49C3" w:rsidRDefault="00095139" w:rsidP="008357BF">
      <w:pPr>
        <w:pStyle w:val="SingleTxtG"/>
        <w:numPr>
          <w:ilvl w:val="0"/>
          <w:numId w:val="27"/>
        </w:numPr>
        <w:ind w:left="1134" w:firstLine="0"/>
      </w:pPr>
      <w:r w:rsidRPr="006D49C3">
        <w:t>Para tal efecto, la Policía Nacional despliega actividades de prevención en el territorio nacional en el marco del Plan estratégico institucional “Colombia Bicentenaria: Seguridad con Legalidad”, del Modelo de Gestión Operacional del Servicio de Policía, y de la Estrategia de Atención a Poblaciones en Situación de Vulnerabilidad (ESPOV). Ésta última fue actualizada mediante la Directiva Operativa Transitoria 025 del 5 de agosto de 2021, en la cual se fijan directrices con enfoque en 23 tipologías de liderazgo social, entre las cuales están líderes indígenas y afrodescendientes</w:t>
      </w:r>
      <w:r w:rsidR="00500ED6" w:rsidRPr="00973F39">
        <w:rPr>
          <w:sz w:val="18"/>
          <w:szCs w:val="18"/>
          <w:vertAlign w:val="superscript"/>
        </w:rPr>
        <w:footnoteReference w:id="34"/>
      </w:r>
      <w:r w:rsidRPr="006D49C3">
        <w:t>.</w:t>
      </w:r>
    </w:p>
    <w:p w14:paraId="101533D3" w14:textId="3ACCE24F" w:rsidR="00095139" w:rsidRPr="006D49C3" w:rsidRDefault="00095139" w:rsidP="008357BF">
      <w:pPr>
        <w:pStyle w:val="SingleTxtG"/>
        <w:numPr>
          <w:ilvl w:val="0"/>
          <w:numId w:val="27"/>
        </w:numPr>
        <w:ind w:left="1134" w:firstLine="0"/>
      </w:pPr>
      <w:r w:rsidRPr="006D49C3">
        <w:t xml:space="preserve">Por su parte, las Fuerzas Militares de conformidad con la Directiva Permanente 045 del 10 de marzo de 2020 sobre </w:t>
      </w:r>
      <w:r w:rsidR="00796131">
        <w:t>“</w:t>
      </w:r>
      <w:r w:rsidRPr="006D49C3">
        <w:t>Compilación de lineamientos y directrices relacionadas con el Derecho Operacional, Derechos Humanos y Derecho Internacional Humanitario</w:t>
      </w:r>
      <w:r w:rsidR="00796131">
        <w:t>”</w:t>
      </w:r>
      <w:r w:rsidRPr="006D49C3">
        <w:t>, se emiten lineamientos para contribuir con el fortalecimiento, respeto, respaldo y apoyo a los grupos de especial protección constitucional y los derechos que le asisten a los grupos étnicos</w:t>
      </w:r>
      <w:r w:rsidR="00500ED6" w:rsidRPr="00973F39">
        <w:rPr>
          <w:sz w:val="18"/>
          <w:szCs w:val="18"/>
          <w:vertAlign w:val="superscript"/>
        </w:rPr>
        <w:footnoteReference w:id="35"/>
      </w:r>
      <w:r w:rsidRPr="006D49C3">
        <w:t>.</w:t>
      </w:r>
    </w:p>
    <w:p w14:paraId="1871EDE3" w14:textId="6BB18C5B" w:rsidR="00095139" w:rsidRPr="006D49C3" w:rsidRDefault="00095139" w:rsidP="008357BF">
      <w:pPr>
        <w:pStyle w:val="SingleTxtG"/>
        <w:numPr>
          <w:ilvl w:val="0"/>
          <w:numId w:val="27"/>
        </w:numPr>
        <w:ind w:left="1134" w:firstLine="0"/>
      </w:pPr>
      <w:r w:rsidRPr="006D49C3">
        <w:t>Es de resaltar que, en 2021 la Fuerza Pública ejecutó esfuerzos y acciones contundentes contra los grupos armados organizados (GAO) que amenazan los derechos y libertades de las comunidades étnicas</w:t>
      </w:r>
      <w:r w:rsidR="00500ED6" w:rsidRPr="00973F39">
        <w:rPr>
          <w:sz w:val="18"/>
          <w:szCs w:val="18"/>
          <w:vertAlign w:val="superscript"/>
        </w:rPr>
        <w:footnoteReference w:id="36"/>
      </w:r>
      <w:r w:rsidRPr="006D49C3">
        <w:t>.</w:t>
      </w:r>
    </w:p>
    <w:p w14:paraId="65BFD4D6" w14:textId="504FE7C2" w:rsidR="00095139" w:rsidRPr="000C2516" w:rsidRDefault="00095139" w:rsidP="008357BF">
      <w:pPr>
        <w:pStyle w:val="SingleTxtG"/>
        <w:numPr>
          <w:ilvl w:val="0"/>
          <w:numId w:val="27"/>
        </w:numPr>
        <w:ind w:left="1134" w:firstLine="0"/>
        <w:rPr>
          <w:rFonts w:eastAsia="Times New Roman"/>
          <w:bCs/>
          <w:szCs w:val="24"/>
        </w:rPr>
      </w:pPr>
      <w:r w:rsidRPr="006D49C3">
        <w:t>Por otra parte, Colombia cuenta desde 2012 con el programa Generaciones Étnicas con Bienestar que atiende de manera diferenciada a niños de pueblos indígenas y comunidades NARP con el fin de promover la protección integral</w:t>
      </w:r>
      <w:r w:rsidRPr="00452DBB">
        <w:rPr>
          <w:rFonts w:eastAsia="Times New Roman"/>
          <w:bCs/>
          <w:szCs w:val="24"/>
        </w:rPr>
        <w:t xml:space="preserve"> de sus derechos y proyectos de vida respetando sus usos y costumbres. Lo anterior,</w:t>
      </w:r>
      <w:r w:rsidRPr="000C2516">
        <w:rPr>
          <w:rFonts w:eastAsia="Times New Roman"/>
          <w:bCs/>
          <w:szCs w:val="24"/>
        </w:rPr>
        <w:t xml:space="preserve"> de acuerdo con lo definido por la Política Pública Nacional de Infancia y Adolescencia (2018 - 2030)</w:t>
      </w:r>
      <w:r w:rsidR="00500ED6" w:rsidRPr="00500ED6">
        <w:rPr>
          <w:rFonts w:eastAsia="Times New Roman"/>
          <w:bCs/>
          <w:sz w:val="18"/>
          <w:szCs w:val="18"/>
          <w:vertAlign w:val="superscript"/>
        </w:rPr>
        <w:t xml:space="preserve"> </w:t>
      </w:r>
      <w:r w:rsidR="00500ED6" w:rsidRPr="00973F39">
        <w:rPr>
          <w:rFonts w:eastAsia="Times New Roman"/>
          <w:bCs/>
          <w:sz w:val="18"/>
          <w:szCs w:val="18"/>
          <w:vertAlign w:val="superscript"/>
        </w:rPr>
        <w:footnoteReference w:id="37"/>
      </w:r>
      <w:r w:rsidRPr="000C2516">
        <w:rPr>
          <w:rFonts w:eastAsia="Times New Roman"/>
          <w:bCs/>
          <w:szCs w:val="24"/>
        </w:rPr>
        <w:t>.</w:t>
      </w:r>
    </w:p>
    <w:p w14:paraId="0B54F880" w14:textId="5F2D7436" w:rsidR="00095139" w:rsidRPr="0051608C" w:rsidRDefault="00095139" w:rsidP="008357BF">
      <w:pPr>
        <w:pStyle w:val="SingleTxtG"/>
        <w:numPr>
          <w:ilvl w:val="0"/>
          <w:numId w:val="27"/>
        </w:numPr>
        <w:ind w:left="1134" w:firstLine="0"/>
        <w:rPr>
          <w:rFonts w:eastAsia="Times New Roman"/>
          <w:bCs/>
          <w:szCs w:val="24"/>
        </w:rPr>
      </w:pPr>
      <w:r w:rsidRPr="0051608C">
        <w:rPr>
          <w:rFonts w:eastAsia="Times New Roman"/>
          <w:bCs/>
          <w:szCs w:val="24"/>
        </w:rPr>
        <w:t xml:space="preserve">Entre 2019 </w:t>
      </w:r>
      <w:r>
        <w:rPr>
          <w:rFonts w:eastAsia="Times New Roman"/>
          <w:bCs/>
          <w:szCs w:val="24"/>
        </w:rPr>
        <w:t>y</w:t>
      </w:r>
      <w:r w:rsidRPr="0051608C">
        <w:rPr>
          <w:rFonts w:eastAsia="Times New Roman"/>
          <w:bCs/>
          <w:szCs w:val="24"/>
        </w:rPr>
        <w:t xml:space="preserve"> </w:t>
      </w:r>
      <w:r>
        <w:rPr>
          <w:rFonts w:eastAsia="Times New Roman"/>
          <w:bCs/>
          <w:szCs w:val="24"/>
        </w:rPr>
        <w:t xml:space="preserve">abril de </w:t>
      </w:r>
      <w:r w:rsidRPr="0051608C">
        <w:rPr>
          <w:rFonts w:eastAsia="Times New Roman"/>
          <w:bCs/>
          <w:szCs w:val="24"/>
        </w:rPr>
        <w:t>2022 se han brindado las siguientes atenciones</w:t>
      </w:r>
      <w:r w:rsidR="00500ED6" w:rsidRPr="00973F39">
        <w:rPr>
          <w:rFonts w:eastAsia="Times New Roman"/>
          <w:bCs/>
          <w:sz w:val="18"/>
          <w:szCs w:val="18"/>
          <w:vertAlign w:val="superscript"/>
        </w:rPr>
        <w:footnoteReference w:id="38"/>
      </w:r>
      <w:r w:rsidRPr="0051608C">
        <w:rPr>
          <w:rFonts w:eastAsia="Times New Roman"/>
          <w:bCs/>
          <w:szCs w:val="24"/>
        </w:rPr>
        <w:t>:</w:t>
      </w:r>
    </w:p>
    <w:p w14:paraId="55CE0969" w14:textId="77777777" w:rsidR="00095139" w:rsidRPr="0051608C" w:rsidRDefault="00095139" w:rsidP="008357BF">
      <w:pPr>
        <w:pStyle w:val="Bullet1G"/>
      </w:pPr>
      <w:r w:rsidRPr="0051608C">
        <w:t>En 2019 se atendieron 61.371 niñas y niños con una inversión de $25.292.755.943</w:t>
      </w:r>
    </w:p>
    <w:p w14:paraId="5C4BE2DA" w14:textId="77777777" w:rsidR="00095139" w:rsidRPr="0051608C" w:rsidRDefault="00095139" w:rsidP="008357BF">
      <w:pPr>
        <w:pStyle w:val="Bullet1G"/>
      </w:pPr>
      <w:r w:rsidRPr="0051608C">
        <w:t xml:space="preserve">En 2020 se atendieron 76.550 niñas y niños con una inversión de $17.418.954.869 </w:t>
      </w:r>
    </w:p>
    <w:p w14:paraId="664A99A3" w14:textId="77777777" w:rsidR="00095139" w:rsidRPr="0051608C" w:rsidRDefault="00095139" w:rsidP="008357BF">
      <w:pPr>
        <w:pStyle w:val="Bullet1G"/>
      </w:pPr>
      <w:r w:rsidRPr="0051608C">
        <w:t xml:space="preserve">En 2021 se atendieron 63.524 niñas y niños con una inversión de $17.447.514.123 </w:t>
      </w:r>
    </w:p>
    <w:p w14:paraId="56F4F740" w14:textId="77777777" w:rsidR="00095139" w:rsidRPr="0051608C" w:rsidRDefault="00095139" w:rsidP="008357BF">
      <w:pPr>
        <w:pStyle w:val="Bullet1G"/>
      </w:pPr>
      <w:r w:rsidRPr="0051608C">
        <w:t>En 2022 se cuenta con una proyección de 53.200 cupos para niñas y niños, y se tiene programada una inversión de $20.466.910.300.</w:t>
      </w:r>
    </w:p>
    <w:p w14:paraId="0EBE47D1" w14:textId="6112B8DA" w:rsidR="00095139" w:rsidRDefault="00095139" w:rsidP="008357BF">
      <w:pPr>
        <w:pStyle w:val="SingleTxtG"/>
        <w:numPr>
          <w:ilvl w:val="0"/>
          <w:numId w:val="27"/>
        </w:numPr>
        <w:ind w:left="1134" w:firstLine="0"/>
        <w:rPr>
          <w:rFonts w:eastAsia="Times New Roman"/>
          <w:bCs/>
          <w:szCs w:val="24"/>
        </w:rPr>
      </w:pPr>
      <w:r>
        <w:rPr>
          <w:rFonts w:eastAsia="Times New Roman"/>
          <w:bCs/>
          <w:szCs w:val="24"/>
        </w:rPr>
        <w:t>E</w:t>
      </w:r>
      <w:r w:rsidRPr="000C2516">
        <w:rPr>
          <w:rFonts w:eastAsia="Times New Roman"/>
          <w:bCs/>
          <w:szCs w:val="24"/>
        </w:rPr>
        <w:t xml:space="preserve">l programa se ha </w:t>
      </w:r>
      <w:r>
        <w:rPr>
          <w:rFonts w:eastAsia="Times New Roman"/>
          <w:bCs/>
          <w:szCs w:val="24"/>
        </w:rPr>
        <w:t>implementado</w:t>
      </w:r>
      <w:r w:rsidRPr="000C2516">
        <w:rPr>
          <w:rFonts w:eastAsia="Times New Roman"/>
          <w:bCs/>
          <w:szCs w:val="24"/>
        </w:rPr>
        <w:t xml:space="preserve"> en 31 departamentos del país y el distrito capital</w:t>
      </w:r>
      <w:r>
        <w:rPr>
          <w:rFonts w:eastAsia="Times New Roman"/>
          <w:bCs/>
          <w:szCs w:val="24"/>
        </w:rPr>
        <w:t xml:space="preserve">, lo que </w:t>
      </w:r>
      <w:r w:rsidRPr="000C2516">
        <w:rPr>
          <w:rFonts w:eastAsia="Times New Roman"/>
          <w:bCs/>
          <w:szCs w:val="24"/>
        </w:rPr>
        <w:t>evidencia una cobertura del 98</w:t>
      </w:r>
      <w:r w:rsidR="00796131">
        <w:rPr>
          <w:rFonts w:eastAsia="Times New Roman"/>
          <w:bCs/>
          <w:szCs w:val="24"/>
        </w:rPr>
        <w:t xml:space="preserve"> </w:t>
      </w:r>
      <w:r w:rsidRPr="000C2516">
        <w:rPr>
          <w:rFonts w:eastAsia="Times New Roman"/>
          <w:bCs/>
          <w:szCs w:val="24"/>
        </w:rPr>
        <w:t xml:space="preserve">% de departamentos, llegando a los territorios donde se presentan </w:t>
      </w:r>
      <w:r>
        <w:rPr>
          <w:rFonts w:eastAsia="Times New Roman"/>
          <w:bCs/>
          <w:szCs w:val="24"/>
        </w:rPr>
        <w:t>mayores factores</w:t>
      </w:r>
      <w:r w:rsidRPr="000C2516">
        <w:rPr>
          <w:rFonts w:eastAsia="Times New Roman"/>
          <w:bCs/>
          <w:szCs w:val="24"/>
        </w:rPr>
        <w:t xml:space="preserve"> de riesgo y </w:t>
      </w:r>
      <w:r>
        <w:rPr>
          <w:rFonts w:eastAsia="Times New Roman"/>
          <w:bCs/>
          <w:szCs w:val="24"/>
        </w:rPr>
        <w:t xml:space="preserve">vulneraciones </w:t>
      </w:r>
      <w:r w:rsidRPr="000C2516">
        <w:rPr>
          <w:rFonts w:eastAsia="Times New Roman"/>
          <w:bCs/>
          <w:szCs w:val="24"/>
        </w:rPr>
        <w:t>a la</w:t>
      </w:r>
      <w:r>
        <w:rPr>
          <w:rFonts w:eastAsia="Times New Roman"/>
          <w:bCs/>
          <w:szCs w:val="24"/>
        </w:rPr>
        <w:t>s</w:t>
      </w:r>
      <w:r w:rsidRPr="000C2516">
        <w:rPr>
          <w:rFonts w:eastAsia="Times New Roman"/>
          <w:bCs/>
          <w:szCs w:val="24"/>
        </w:rPr>
        <w:t xml:space="preserve"> </w:t>
      </w:r>
      <w:r w:rsidRPr="006D49C3">
        <w:t>que</w:t>
      </w:r>
      <w:r w:rsidRPr="000C2516">
        <w:rPr>
          <w:rFonts w:eastAsia="Times New Roman"/>
          <w:bCs/>
          <w:szCs w:val="24"/>
        </w:rPr>
        <w:t xml:space="preserve"> está expuesta la niñez</w:t>
      </w:r>
      <w:r>
        <w:rPr>
          <w:rFonts w:eastAsia="Times New Roman"/>
          <w:bCs/>
          <w:szCs w:val="24"/>
        </w:rPr>
        <w:t>, la adolescencia y juventud</w:t>
      </w:r>
      <w:r w:rsidRPr="000C2516">
        <w:rPr>
          <w:rFonts w:eastAsia="Times New Roman"/>
          <w:bCs/>
          <w:szCs w:val="24"/>
        </w:rPr>
        <w:t xml:space="preserve"> de comunidades étnicas</w:t>
      </w:r>
      <w:r w:rsidR="00500ED6" w:rsidRPr="00973F39">
        <w:rPr>
          <w:rFonts w:eastAsia="Times New Roman"/>
          <w:bCs/>
          <w:sz w:val="18"/>
          <w:szCs w:val="18"/>
          <w:vertAlign w:val="superscript"/>
        </w:rPr>
        <w:footnoteReference w:id="39"/>
      </w:r>
      <w:r>
        <w:rPr>
          <w:rFonts w:eastAsia="Times New Roman"/>
          <w:bCs/>
          <w:szCs w:val="24"/>
        </w:rPr>
        <w:t xml:space="preserve">. En el </w:t>
      </w:r>
      <w:r w:rsidRPr="00453E8B">
        <w:rPr>
          <w:rFonts w:eastAsia="Times New Roman"/>
          <w:bCs/>
          <w:szCs w:val="24"/>
        </w:rPr>
        <w:t>Anexo</w:t>
      </w:r>
      <w:r>
        <w:rPr>
          <w:rFonts w:eastAsia="Times New Roman"/>
          <w:bCs/>
          <w:szCs w:val="24"/>
        </w:rPr>
        <w:t xml:space="preserve"> 4 se encuentran las cifras de atención para 2022 del programa de Generaciones Étnicas con Bienestar.</w:t>
      </w:r>
    </w:p>
    <w:p w14:paraId="34D5D02E" w14:textId="024C6486" w:rsidR="00095139" w:rsidRDefault="00095139" w:rsidP="008357BF">
      <w:pPr>
        <w:pStyle w:val="SingleTxtG"/>
        <w:numPr>
          <w:ilvl w:val="0"/>
          <w:numId w:val="27"/>
        </w:numPr>
        <w:ind w:left="1134" w:firstLine="0"/>
        <w:rPr>
          <w:rFonts w:eastAsia="Times New Roman"/>
          <w:bCs/>
          <w:szCs w:val="24"/>
        </w:rPr>
      </w:pPr>
      <w:r w:rsidRPr="006D28B9">
        <w:rPr>
          <w:rFonts w:eastAsia="Times New Roman"/>
          <w:bCs/>
          <w:szCs w:val="24"/>
        </w:rPr>
        <w:t xml:space="preserve">Sumado a </w:t>
      </w:r>
      <w:r w:rsidRPr="006D49C3">
        <w:t>lo</w:t>
      </w:r>
      <w:r w:rsidRPr="006D28B9">
        <w:rPr>
          <w:rFonts w:eastAsia="Times New Roman"/>
          <w:bCs/>
          <w:szCs w:val="24"/>
        </w:rPr>
        <w:t xml:space="preserve"> anterior, y con el objetivo de contribuir a que en los territorios de las comunidades se garantice el goce efectivo de los derechos de niñas y niños sin ningún tipo de vulneración, el ICBF adelanta el proceso de construcción de los capítulos para la niñez indígena y las comunidades </w:t>
      </w:r>
      <w:r>
        <w:rPr>
          <w:rFonts w:eastAsia="Times New Roman"/>
          <w:bCs/>
          <w:szCs w:val="24"/>
        </w:rPr>
        <w:t>NARP</w:t>
      </w:r>
      <w:r w:rsidRPr="006D28B9">
        <w:rPr>
          <w:rFonts w:eastAsia="Times New Roman"/>
          <w:bCs/>
          <w:szCs w:val="24"/>
        </w:rPr>
        <w:t xml:space="preserve"> de la Política Nacional de Infancia y Adolescencia. Para este proceso se ha articulado con la Comisión Nacional de Mujeres Indígena de la MPC y la </w:t>
      </w:r>
      <w:r w:rsidRPr="006D28B9">
        <w:rPr>
          <w:rFonts w:eastAsia="Times New Roman"/>
          <w:bCs/>
          <w:szCs w:val="24"/>
        </w:rPr>
        <w:lastRenderedPageBreak/>
        <w:t xml:space="preserve">Comisión Tercera del Espacio Nacional de Consulta Previa de las comunidades </w:t>
      </w:r>
      <w:r>
        <w:rPr>
          <w:rFonts w:eastAsia="Times New Roman"/>
          <w:bCs/>
          <w:szCs w:val="24"/>
        </w:rPr>
        <w:t>NARP</w:t>
      </w:r>
      <w:r w:rsidRPr="006D28B9">
        <w:rPr>
          <w:rFonts w:eastAsia="Times New Roman"/>
          <w:bCs/>
          <w:szCs w:val="24"/>
        </w:rPr>
        <w:t>. Con este proceso, se espera recoger las necesidades, expectativas e intereses de l</w:t>
      </w:r>
      <w:r>
        <w:rPr>
          <w:rFonts w:eastAsia="Times New Roman"/>
          <w:bCs/>
          <w:szCs w:val="24"/>
        </w:rPr>
        <w:t>o</w:t>
      </w:r>
      <w:r w:rsidRPr="006D28B9">
        <w:rPr>
          <w:rFonts w:eastAsia="Times New Roman"/>
          <w:bCs/>
          <w:szCs w:val="24"/>
        </w:rPr>
        <w:t xml:space="preserve">s </w:t>
      </w:r>
      <w:r>
        <w:rPr>
          <w:rFonts w:eastAsia="Times New Roman"/>
          <w:bCs/>
          <w:szCs w:val="24"/>
        </w:rPr>
        <w:t>NNA</w:t>
      </w:r>
      <w:r w:rsidRPr="006D28B9">
        <w:rPr>
          <w:rFonts w:eastAsia="Times New Roman"/>
          <w:bCs/>
          <w:szCs w:val="24"/>
        </w:rPr>
        <w:t xml:space="preserve"> de comunidades étnicas del país, y proyectar las acciones para garantizar su protección integral. </w:t>
      </w:r>
    </w:p>
    <w:p w14:paraId="09A0317B" w14:textId="570FF1BF" w:rsidR="00095139" w:rsidRPr="00FC55FB" w:rsidRDefault="008357BF" w:rsidP="008357BF">
      <w:pPr>
        <w:pStyle w:val="H4G"/>
      </w:pPr>
      <w:r>
        <w:tab/>
        <w:t>b)</w:t>
      </w:r>
      <w:r>
        <w:tab/>
      </w:r>
      <w:r w:rsidR="00095139">
        <w:t>Protección contra el desplazamiento forzado</w:t>
      </w:r>
    </w:p>
    <w:p w14:paraId="00ADFF92" w14:textId="77777777" w:rsidR="008357BF" w:rsidRPr="00D3621B" w:rsidRDefault="00095139" w:rsidP="008357BF">
      <w:pPr>
        <w:pStyle w:val="SingleTxtG"/>
        <w:numPr>
          <w:ilvl w:val="0"/>
          <w:numId w:val="27"/>
        </w:numPr>
        <w:ind w:left="1134" w:firstLine="0"/>
        <w:rPr>
          <w:rFonts w:eastAsia="Times New Roman"/>
          <w:bCs/>
          <w:sz w:val="18"/>
          <w:szCs w:val="18"/>
        </w:rPr>
      </w:pPr>
      <w:r w:rsidRPr="008357BF">
        <w:rPr>
          <w:rFonts w:eastAsia="Times New Roman"/>
          <w:bCs/>
          <w:szCs w:val="24"/>
        </w:rPr>
        <w:t xml:space="preserve">El Estado a través de la Unidad para la Atención y Reparación Integral a las Víctimas (UARIV), adoptó mediante Resolución 3320 de 2019 el </w:t>
      </w:r>
      <w:r>
        <w:t>Protocolo de retorno y reubicación y, mediante Resolución Número 00027 de 2022 el Protocolo de Retorno y Reubicación para comunidades indígenas, y NARP.</w:t>
      </w:r>
    </w:p>
    <w:p w14:paraId="782AD500" w14:textId="11EEA0A5" w:rsidR="00095139" w:rsidRPr="00D3621B" w:rsidRDefault="00095139" w:rsidP="008357BF">
      <w:pPr>
        <w:pStyle w:val="SingleTxtG"/>
        <w:numPr>
          <w:ilvl w:val="0"/>
          <w:numId w:val="27"/>
        </w:numPr>
        <w:ind w:left="1134" w:firstLine="0"/>
        <w:rPr>
          <w:rFonts w:eastAsia="Times New Roman"/>
          <w:bCs/>
          <w:sz w:val="18"/>
          <w:szCs w:val="18"/>
        </w:rPr>
      </w:pPr>
      <w:r w:rsidRPr="008357BF">
        <w:rPr>
          <w:rFonts w:eastAsia="Times New Roman"/>
          <w:bCs/>
          <w:szCs w:val="24"/>
        </w:rPr>
        <w:t xml:space="preserve">En esta línea, se debe destacar la importancia del establecimiento de lineamientos diferenciados para las comunidades étnicas, que afirma el derecho a la participación y concertación en procura del fortalecimiento de la autonomía y </w:t>
      </w:r>
      <w:r w:rsidRPr="006D49C3">
        <w:t>formas</w:t>
      </w:r>
      <w:r w:rsidRPr="008357BF">
        <w:rPr>
          <w:rFonts w:eastAsia="Times New Roman"/>
          <w:bCs/>
          <w:szCs w:val="24"/>
        </w:rPr>
        <w:t xml:space="preserve"> de gobierno propio de las comunidades en proceso de retorno o reubicación. Igualmente, contribuye al fortalecimiento de la identidad cultural de las comunidades teniendo en cuenta el vínculo con sus territorios tradicionales, o con aquellos en los que han decidido permanecer de manera indefinida</w:t>
      </w:r>
      <w:r w:rsidR="00500ED6" w:rsidRPr="00973F39">
        <w:rPr>
          <w:rFonts w:eastAsia="Times New Roman"/>
          <w:bCs/>
          <w:sz w:val="18"/>
          <w:szCs w:val="18"/>
          <w:vertAlign w:val="superscript"/>
        </w:rPr>
        <w:footnoteReference w:id="40"/>
      </w:r>
      <w:r w:rsidRPr="008357BF">
        <w:rPr>
          <w:rFonts w:eastAsia="Times New Roman"/>
          <w:bCs/>
          <w:szCs w:val="24"/>
        </w:rPr>
        <w:t>.</w:t>
      </w:r>
    </w:p>
    <w:p w14:paraId="1E3A5DAF" w14:textId="3449F4DE" w:rsidR="00095139" w:rsidRPr="000C2516" w:rsidRDefault="00095139" w:rsidP="008357BF">
      <w:pPr>
        <w:pStyle w:val="SingleTxtG"/>
        <w:numPr>
          <w:ilvl w:val="0"/>
          <w:numId w:val="27"/>
        </w:numPr>
        <w:ind w:left="1134" w:firstLine="0"/>
        <w:rPr>
          <w:rFonts w:eastAsia="Times New Roman"/>
          <w:bCs/>
          <w:szCs w:val="24"/>
        </w:rPr>
      </w:pPr>
      <w:r>
        <w:rPr>
          <w:rFonts w:eastAsia="Times New Roman"/>
          <w:bCs/>
          <w:szCs w:val="24"/>
        </w:rPr>
        <w:t xml:space="preserve">En esta medida, la UARIV </w:t>
      </w:r>
      <w:r w:rsidRPr="002B0C54">
        <w:rPr>
          <w:rFonts w:eastAsia="Times New Roman"/>
          <w:bCs/>
          <w:szCs w:val="24"/>
        </w:rPr>
        <w:t xml:space="preserve">entre el 01 de enero de 2019 y el 28 de febrero de 2022, </w:t>
      </w:r>
      <w:r>
        <w:rPr>
          <w:rFonts w:eastAsia="Times New Roman"/>
          <w:bCs/>
          <w:szCs w:val="24"/>
        </w:rPr>
        <w:t>ha</w:t>
      </w:r>
      <w:r w:rsidRPr="002B0C54">
        <w:rPr>
          <w:rFonts w:eastAsia="Times New Roman"/>
          <w:bCs/>
          <w:szCs w:val="24"/>
        </w:rPr>
        <w:t xml:space="preserve"> acompaña</w:t>
      </w:r>
      <w:r>
        <w:rPr>
          <w:rFonts w:eastAsia="Times New Roman"/>
          <w:bCs/>
          <w:szCs w:val="24"/>
        </w:rPr>
        <w:t>do</w:t>
      </w:r>
      <w:r w:rsidRPr="002B0C54">
        <w:rPr>
          <w:rFonts w:eastAsia="Times New Roman"/>
          <w:bCs/>
          <w:szCs w:val="24"/>
        </w:rPr>
        <w:t xml:space="preserve"> </w:t>
      </w:r>
      <w:r>
        <w:rPr>
          <w:rFonts w:eastAsia="Times New Roman"/>
          <w:bCs/>
          <w:szCs w:val="24"/>
        </w:rPr>
        <w:t xml:space="preserve">procesos de retornos y </w:t>
      </w:r>
      <w:r w:rsidRPr="006D49C3">
        <w:t>reubicaciones</w:t>
      </w:r>
      <w:r>
        <w:rPr>
          <w:rFonts w:eastAsia="Times New Roman"/>
          <w:bCs/>
          <w:szCs w:val="24"/>
        </w:rPr>
        <w:t xml:space="preserve"> de </w:t>
      </w:r>
      <w:r w:rsidRPr="002B0C54">
        <w:rPr>
          <w:rFonts w:eastAsia="Times New Roman"/>
          <w:bCs/>
          <w:szCs w:val="24"/>
        </w:rPr>
        <w:t xml:space="preserve">131 </w:t>
      </w:r>
      <w:r>
        <w:rPr>
          <w:rFonts w:eastAsia="Times New Roman"/>
          <w:bCs/>
          <w:szCs w:val="24"/>
        </w:rPr>
        <w:t xml:space="preserve">de </w:t>
      </w:r>
      <w:r w:rsidRPr="002B0C54">
        <w:rPr>
          <w:rFonts w:eastAsia="Times New Roman"/>
          <w:bCs/>
          <w:szCs w:val="24"/>
        </w:rPr>
        <w:t>comuni</w:t>
      </w:r>
      <w:r>
        <w:rPr>
          <w:rFonts w:eastAsia="Times New Roman"/>
          <w:bCs/>
          <w:szCs w:val="24"/>
        </w:rPr>
        <w:t>dades</w:t>
      </w:r>
      <w:r w:rsidRPr="002B0C54">
        <w:rPr>
          <w:rFonts w:eastAsia="Times New Roman"/>
          <w:bCs/>
          <w:szCs w:val="24"/>
        </w:rPr>
        <w:t xml:space="preserve"> indígenas (</w:t>
      </w:r>
      <w:r w:rsidRPr="00C74AE6">
        <w:rPr>
          <w:rFonts w:eastAsia="Times New Roman"/>
          <w:bCs/>
          <w:szCs w:val="24"/>
        </w:rPr>
        <w:t xml:space="preserve">Anexo </w:t>
      </w:r>
      <w:r>
        <w:rPr>
          <w:rFonts w:eastAsia="Times New Roman"/>
          <w:bCs/>
          <w:szCs w:val="24"/>
        </w:rPr>
        <w:t xml:space="preserve">5 - </w:t>
      </w:r>
      <w:r w:rsidRPr="002B0C54">
        <w:rPr>
          <w:rFonts w:eastAsia="Times New Roman"/>
          <w:bCs/>
          <w:szCs w:val="24"/>
        </w:rPr>
        <w:t xml:space="preserve">Tabla 1) y </w:t>
      </w:r>
      <w:r>
        <w:rPr>
          <w:rFonts w:eastAsia="Times New Roman"/>
          <w:bCs/>
          <w:szCs w:val="24"/>
        </w:rPr>
        <w:t xml:space="preserve">de </w:t>
      </w:r>
      <w:r w:rsidRPr="002B0C54">
        <w:rPr>
          <w:rFonts w:eastAsia="Times New Roman"/>
          <w:bCs/>
          <w:szCs w:val="24"/>
        </w:rPr>
        <w:t xml:space="preserve">42 comunidades </w:t>
      </w:r>
      <w:r>
        <w:rPr>
          <w:rFonts w:eastAsia="Times New Roman"/>
          <w:bCs/>
          <w:szCs w:val="24"/>
        </w:rPr>
        <w:t>NARP</w:t>
      </w:r>
      <w:r w:rsidRPr="002B0C54">
        <w:rPr>
          <w:rFonts w:eastAsia="Times New Roman"/>
          <w:bCs/>
          <w:szCs w:val="24"/>
        </w:rPr>
        <w:t xml:space="preserve"> (</w:t>
      </w:r>
      <w:r w:rsidRPr="00C74AE6">
        <w:rPr>
          <w:rFonts w:eastAsia="Times New Roman"/>
          <w:bCs/>
          <w:szCs w:val="24"/>
        </w:rPr>
        <w:t xml:space="preserve">Anexo </w:t>
      </w:r>
      <w:r>
        <w:rPr>
          <w:rFonts w:eastAsia="Times New Roman"/>
          <w:bCs/>
          <w:szCs w:val="24"/>
        </w:rPr>
        <w:t xml:space="preserve">5 – </w:t>
      </w:r>
      <w:r w:rsidRPr="002B0C54">
        <w:rPr>
          <w:rFonts w:eastAsia="Times New Roman"/>
          <w:bCs/>
          <w:szCs w:val="24"/>
        </w:rPr>
        <w:t>Tabla</w:t>
      </w:r>
      <w:r>
        <w:rPr>
          <w:rFonts w:eastAsia="Times New Roman"/>
          <w:bCs/>
          <w:szCs w:val="24"/>
        </w:rPr>
        <w:t xml:space="preserve"> 2</w:t>
      </w:r>
      <w:r w:rsidRPr="002B0C54">
        <w:rPr>
          <w:rFonts w:eastAsia="Times New Roman"/>
          <w:bCs/>
          <w:szCs w:val="24"/>
        </w:rPr>
        <w:t>) a partir de los planes municipales de Retorno y Reubicación aprobados</w:t>
      </w:r>
      <w:r w:rsidR="00500ED6" w:rsidRPr="00973F39">
        <w:rPr>
          <w:rFonts w:eastAsia="Times New Roman"/>
          <w:bCs/>
          <w:sz w:val="18"/>
          <w:szCs w:val="18"/>
          <w:vertAlign w:val="superscript"/>
        </w:rPr>
        <w:footnoteReference w:id="41"/>
      </w:r>
      <w:r w:rsidRPr="002B0C54">
        <w:rPr>
          <w:rFonts w:eastAsia="Times New Roman"/>
          <w:bCs/>
          <w:szCs w:val="24"/>
        </w:rPr>
        <w:t>.</w:t>
      </w:r>
    </w:p>
    <w:p w14:paraId="4028BFA4" w14:textId="2BC74A08" w:rsidR="00095139" w:rsidRPr="006D49C3" w:rsidRDefault="00095139" w:rsidP="008357BF">
      <w:pPr>
        <w:pStyle w:val="SingleTxtG"/>
        <w:numPr>
          <w:ilvl w:val="0"/>
          <w:numId w:val="27"/>
        </w:numPr>
        <w:ind w:left="1134" w:firstLine="0"/>
      </w:pPr>
      <w:r w:rsidRPr="006D49C3">
        <w:t>Igualmente, en el marco del Protocolo de Retorno y Reubicación se adelantan acciones relacionadas con la capacitación a los profesionales de las diversas áreas a nivel nacional y territorial, así como a las entidades del Sistema Nacional de Atención y Reparación Integral a las Víctimas (SNARIV)</w:t>
      </w:r>
      <w:r w:rsidR="00500ED6" w:rsidRPr="00973F39">
        <w:rPr>
          <w:sz w:val="18"/>
          <w:szCs w:val="18"/>
          <w:vertAlign w:val="superscript"/>
        </w:rPr>
        <w:footnoteReference w:id="42"/>
      </w:r>
      <w:r w:rsidRPr="006D49C3">
        <w:t>.</w:t>
      </w:r>
    </w:p>
    <w:p w14:paraId="764CD1D6" w14:textId="7EE0A80D" w:rsidR="00095139" w:rsidRPr="006D49C3" w:rsidRDefault="00095139" w:rsidP="008357BF">
      <w:pPr>
        <w:pStyle w:val="SingleTxtG"/>
        <w:numPr>
          <w:ilvl w:val="0"/>
          <w:numId w:val="27"/>
        </w:numPr>
        <w:ind w:left="1134" w:firstLine="0"/>
      </w:pPr>
      <w:r w:rsidRPr="006D49C3">
        <w:t>De otro lado, en el marco de los procesos de restitución de tierras, las Fuerzas Armadas realizaron 5.538 acompañamientos y 327 sesiones del Centro Integrado de Restitución de Tierras (CIRT), instancia donde surgen los insumos en materia de seguridad y se identifican los riesgos para el proceso de restitución</w:t>
      </w:r>
      <w:r w:rsidR="00500ED6" w:rsidRPr="00973F39">
        <w:rPr>
          <w:sz w:val="18"/>
          <w:szCs w:val="18"/>
          <w:vertAlign w:val="superscript"/>
        </w:rPr>
        <w:footnoteReference w:id="43"/>
      </w:r>
      <w:r w:rsidR="00500ED6">
        <w:t>.</w:t>
      </w:r>
    </w:p>
    <w:p w14:paraId="7C1B0815" w14:textId="176FD1C0" w:rsidR="00095139" w:rsidRPr="006D49C3" w:rsidRDefault="00095139" w:rsidP="008357BF">
      <w:pPr>
        <w:pStyle w:val="SingleTxtG"/>
        <w:numPr>
          <w:ilvl w:val="0"/>
          <w:numId w:val="27"/>
        </w:numPr>
        <w:ind w:left="1134" w:firstLine="0"/>
      </w:pPr>
      <w:r w:rsidRPr="006D49C3">
        <w:t>De igual forma, en los procesos de retorno y/o reubicación de la población víctima de desplazamiento forzado, y en complementariedad a las garantías de seguridad, la Fuerza Pública emitió apreciaciones de seguridad y atendió requerimientos adicionales en el marco de los principios de seguridad y voluntariedad, concertados a través de los Comités Territoriales de Justicia Transicional, instancia en la que participa el personero municipal como representante del Ministerio Público.</w:t>
      </w:r>
    </w:p>
    <w:p w14:paraId="34120BE2" w14:textId="10169786" w:rsidR="00095139" w:rsidRPr="007A7E68" w:rsidRDefault="00500ED6" w:rsidP="008357BF">
      <w:pPr>
        <w:pStyle w:val="H4G"/>
      </w:pPr>
      <w:r>
        <w:tab/>
      </w:r>
      <w:r w:rsidR="008357BF">
        <w:t>c)</w:t>
      </w:r>
      <w:r w:rsidR="008357BF">
        <w:tab/>
      </w:r>
      <w:r w:rsidR="00095139">
        <w:t>Prevención del reclutamiento forzado de NNA</w:t>
      </w:r>
    </w:p>
    <w:p w14:paraId="335EB97D" w14:textId="53709AF8" w:rsidR="00095139" w:rsidRPr="006D49C3" w:rsidRDefault="00095139" w:rsidP="008357BF">
      <w:pPr>
        <w:pStyle w:val="SingleTxtG"/>
        <w:numPr>
          <w:ilvl w:val="0"/>
          <w:numId w:val="27"/>
        </w:numPr>
        <w:ind w:left="1134" w:firstLine="0"/>
      </w:pPr>
      <w:r w:rsidRPr="006D49C3">
        <w:t>Frente a las acciones de prevención de reclutamiento de NNA, es preciso señalar que el Estado ha implementado la Política Pública de Prevención del Reclutamiento, Utilización, Uso y Violencia Sexual contra NNA por parte de GAO y grupos delictivos organizados (GDO), expedida mediante el Decreto 1434 de 2018, así como la Ley 1448 de 2011</w:t>
      </w:r>
      <w:r w:rsidR="00500ED6" w:rsidRPr="00973F39">
        <w:rPr>
          <w:sz w:val="18"/>
          <w:szCs w:val="18"/>
          <w:vertAlign w:val="superscript"/>
        </w:rPr>
        <w:footnoteReference w:id="44"/>
      </w:r>
      <w:r w:rsidRPr="006D49C3">
        <w:t>.</w:t>
      </w:r>
    </w:p>
    <w:p w14:paraId="53FEC8D3" w14:textId="60C407A0" w:rsidR="00095139" w:rsidRPr="006D49C3" w:rsidRDefault="00095139" w:rsidP="008357BF">
      <w:pPr>
        <w:pStyle w:val="SingleTxtG"/>
        <w:numPr>
          <w:ilvl w:val="0"/>
          <w:numId w:val="27"/>
        </w:numPr>
        <w:ind w:left="1134" w:firstLine="0"/>
      </w:pPr>
      <w:r w:rsidRPr="006D49C3">
        <w:t xml:space="preserve">Estas acciones se adelantan bajo una perspectiva intersectorial, que son coordinadas por la Comisión Intersectorial para la Prevención del Reclutamiento, Utilización, Uso y Violencia Sexual contra Niños, Niñas y Adolescentes (CIPRUNNA), la cual, está </w:t>
      </w:r>
      <w:r w:rsidRPr="006D49C3">
        <w:lastRenderedPageBreak/>
        <w:t>conformada por 22 entidades del Gobierno Nacional bajo el liderazgo de su secretaría técnica: la Consejería Presidencial para los Derechos Humanos y Asuntos Internacionales</w:t>
      </w:r>
      <w:r w:rsidR="00500ED6" w:rsidRPr="00973F39">
        <w:rPr>
          <w:sz w:val="18"/>
          <w:szCs w:val="18"/>
          <w:vertAlign w:val="superscript"/>
        </w:rPr>
        <w:footnoteReference w:id="45"/>
      </w:r>
      <w:r w:rsidRPr="006D49C3">
        <w:t>.</w:t>
      </w:r>
    </w:p>
    <w:p w14:paraId="706B2D60" w14:textId="37CE791C" w:rsidR="00095139" w:rsidRPr="006D49C3" w:rsidRDefault="00095139" w:rsidP="008357BF">
      <w:pPr>
        <w:pStyle w:val="SingleTxtG"/>
        <w:numPr>
          <w:ilvl w:val="0"/>
          <w:numId w:val="27"/>
        </w:numPr>
        <w:ind w:left="1134" w:firstLine="0"/>
      </w:pPr>
      <w:r w:rsidRPr="006D49C3">
        <w:t>Al respecto, el Estado colombiano actualizó la Línea de política de Prevención del Reclutamiento, Uso, Utilización y Violencia Sexual contra NNA que atiende a la necesidad de identificar las transformaciones de la dinámica de violencia para diseñar e implementar acciones de prevención, protección, investigación y denuncia requeridas frente a los actuales riesgos y amenazas. Los propósitos principales corresponden a: i) generar entornos de protección para los NNA; ii) lograr la reducción progresiva de todas las formas de violencia y explotación contra NNA; iii) garantizar sus derechos y iv) generar mecanismos que faciliten la articulación intersectorial</w:t>
      </w:r>
      <w:r w:rsidR="00500ED6" w:rsidRPr="00973F39">
        <w:rPr>
          <w:sz w:val="18"/>
          <w:szCs w:val="18"/>
          <w:vertAlign w:val="superscript"/>
        </w:rPr>
        <w:footnoteReference w:id="46"/>
      </w:r>
      <w:r w:rsidRPr="006D49C3">
        <w:t>.</w:t>
      </w:r>
    </w:p>
    <w:p w14:paraId="5AB8BD33" w14:textId="220C368D" w:rsidR="00095139" w:rsidRPr="006D49C3" w:rsidRDefault="00095139" w:rsidP="008357BF">
      <w:pPr>
        <w:pStyle w:val="SingleTxtG"/>
        <w:numPr>
          <w:ilvl w:val="0"/>
          <w:numId w:val="27"/>
        </w:numPr>
        <w:ind w:left="1134" w:firstLine="0"/>
      </w:pPr>
      <w:r w:rsidRPr="006D49C3">
        <w:t>Para la implementación de esta línea política, en marzo de 2020, la CIPRUNNA priorizó 206 municipios y 3 corregimientos de 29 departamentos, catalogados como municipios de alto riesgo, razón por la cual estructuró un Plan de Acción con base en la oferta estatal en materia de prevención del reclutamiento, uso, utilización y violencia sexual en contra de NNA. En el año 2022 esta priorización fue actualizada y actualmente se tienen 294</w:t>
      </w:r>
      <w:r w:rsidR="00500ED6">
        <w:t> </w:t>
      </w:r>
      <w:r w:rsidRPr="006D49C3">
        <w:t>municipios priorizados</w:t>
      </w:r>
      <w:r w:rsidR="00500ED6" w:rsidRPr="00973F39">
        <w:rPr>
          <w:sz w:val="18"/>
          <w:szCs w:val="18"/>
          <w:vertAlign w:val="superscript"/>
        </w:rPr>
        <w:footnoteReference w:id="47"/>
      </w:r>
      <w:r w:rsidRPr="006D49C3">
        <w:t>.</w:t>
      </w:r>
    </w:p>
    <w:p w14:paraId="7C3F3B25" w14:textId="0708F028" w:rsidR="00095139" w:rsidRPr="006D49C3" w:rsidRDefault="00095139" w:rsidP="008357BF">
      <w:pPr>
        <w:pStyle w:val="SingleTxtG"/>
        <w:numPr>
          <w:ilvl w:val="0"/>
          <w:numId w:val="27"/>
        </w:numPr>
        <w:ind w:left="1134" w:firstLine="0"/>
      </w:pPr>
      <w:r w:rsidRPr="006D49C3">
        <w:t>En esta misma línea, en el primer semestre de 2020 se adelantó la Estrategia “Súmate por mí – entornos de protección para la niñez y la adolescencia” cuyos principales avances corresponden a la asistencia técnica brindada. Con corte al 30 de junio de 2022, se pudo observar que, de las 294 entidades priorizadas por la CIPRUNNA, se brindó un total de 561</w:t>
      </w:r>
      <w:r w:rsidR="00500ED6">
        <w:t> </w:t>
      </w:r>
      <w:r w:rsidRPr="006D49C3">
        <w:t>asistencias técnicas en 219 municipios, de los cuales 167 cuentan con su propio Equipo de Acción Inmediata (EAI)</w:t>
      </w:r>
      <w:r w:rsidRPr="00973F39">
        <w:rPr>
          <w:sz w:val="18"/>
          <w:szCs w:val="18"/>
          <w:vertAlign w:val="superscript"/>
        </w:rPr>
        <w:footnoteReference w:id="48"/>
      </w:r>
      <w:r w:rsidR="00500ED6" w:rsidRPr="00500ED6">
        <w:rPr>
          <w:sz w:val="18"/>
          <w:szCs w:val="18"/>
          <w:vertAlign w:val="superscript"/>
        </w:rPr>
        <w:t xml:space="preserve"> </w:t>
      </w:r>
      <w:r w:rsidR="00500ED6" w:rsidRPr="00973F39">
        <w:rPr>
          <w:sz w:val="18"/>
          <w:szCs w:val="18"/>
          <w:vertAlign w:val="superscript"/>
        </w:rPr>
        <w:footnoteReference w:id="49"/>
      </w:r>
      <w:r w:rsidRPr="006D49C3">
        <w:t>.</w:t>
      </w:r>
    </w:p>
    <w:p w14:paraId="20CCF0AE" w14:textId="36456983" w:rsidR="00095139" w:rsidRPr="006D49C3" w:rsidRDefault="00095139" w:rsidP="008357BF">
      <w:pPr>
        <w:pStyle w:val="SingleTxtG"/>
        <w:numPr>
          <w:ilvl w:val="0"/>
          <w:numId w:val="27"/>
        </w:numPr>
        <w:ind w:left="1134" w:firstLine="0"/>
      </w:pPr>
      <w:r w:rsidRPr="006D49C3">
        <w:t>Por otro lado, respecto a las entidades territoriales no priorizadas por la CIPRUNNA, se brindaron un total de 337 asistencias y acompañamiento técnico en 183 municipios, logrando así la conformación de 110 EAI conformados mediante decreto en estos municipios. Adicionalmente, se realizaron 191 asistencias técnicas departamentales en los 32</w:t>
      </w:r>
      <w:r w:rsidR="00500ED6">
        <w:t> </w:t>
      </w:r>
      <w:r w:rsidRPr="006D49C3">
        <w:t>departamentos</w:t>
      </w:r>
      <w:r w:rsidR="00500ED6" w:rsidRPr="00973F39">
        <w:rPr>
          <w:sz w:val="18"/>
          <w:szCs w:val="18"/>
          <w:vertAlign w:val="superscript"/>
        </w:rPr>
        <w:footnoteReference w:id="50"/>
      </w:r>
      <w:r w:rsidRPr="006D49C3">
        <w:t>.</w:t>
      </w:r>
    </w:p>
    <w:p w14:paraId="713A0EF6" w14:textId="7CDCE25E" w:rsidR="00095139" w:rsidRPr="006D49C3" w:rsidRDefault="00095139" w:rsidP="008357BF">
      <w:pPr>
        <w:pStyle w:val="SingleTxtG"/>
        <w:numPr>
          <w:ilvl w:val="0"/>
          <w:numId w:val="27"/>
        </w:numPr>
        <w:ind w:left="1134" w:firstLine="0"/>
      </w:pPr>
      <w:r w:rsidRPr="006D49C3">
        <w:t>En definitiva, se brindaron un total de 1.089 asistencias técnicas a las entidades territoriales priorizadas y no priorizadas por la CIPRUNNA, entre enero de 2018 a junio de 2022 para un total de 402 municipios asistidos, 32 departamentos, y 277 EAI conformados. (Anexo 6 - Tabla 1)</w:t>
      </w:r>
      <w:r w:rsidR="00500ED6" w:rsidRPr="00500ED6">
        <w:rPr>
          <w:sz w:val="18"/>
          <w:szCs w:val="18"/>
          <w:vertAlign w:val="superscript"/>
        </w:rPr>
        <w:t xml:space="preserve"> </w:t>
      </w:r>
      <w:r w:rsidR="00500ED6" w:rsidRPr="00973F39">
        <w:rPr>
          <w:sz w:val="18"/>
          <w:szCs w:val="18"/>
          <w:vertAlign w:val="superscript"/>
        </w:rPr>
        <w:footnoteReference w:id="51"/>
      </w:r>
      <w:r w:rsidRPr="006D49C3">
        <w:t>.</w:t>
      </w:r>
    </w:p>
    <w:p w14:paraId="5B5CE5B5" w14:textId="6C4985D4" w:rsidR="00095139" w:rsidRPr="006D49C3" w:rsidRDefault="00095139" w:rsidP="008357BF">
      <w:pPr>
        <w:pStyle w:val="SingleTxtG"/>
        <w:numPr>
          <w:ilvl w:val="0"/>
          <w:numId w:val="27"/>
        </w:numPr>
        <w:ind w:left="1134" w:firstLine="0"/>
      </w:pPr>
      <w:r w:rsidRPr="006D49C3">
        <w:t>De igual forma, se llevó a cabo el proyecto ejecutado por la Corporación Colombia Internacional (CCI) que busca “Implementar las iniciativas locales orientadas a promover el principio de corresponsabilidad Estado – Comunidad y que fortalezcan la coordinación y articulación intersistémica”, el cual centra su atención en NNA de los municipios. Como resultado de las entidades cooperantes, a 31 de noviembre de 2021, realizaron un total de 297</w:t>
      </w:r>
      <w:r w:rsidR="00500ED6">
        <w:t> </w:t>
      </w:r>
      <w:r w:rsidRPr="006D49C3">
        <w:t>iniciativas comunitarias, en 116 municipios priorizado</w:t>
      </w:r>
      <w:r w:rsidR="00500ED6">
        <w:t>s, impactando a 16.485 NNA, 370 </w:t>
      </w:r>
      <w:r w:rsidRPr="006D49C3">
        <w:t>Acuerdos Institucionales, 5.017 Talleres de Formación y Acompañamiento a NNA, familias y comunidades, 100 Instituciones Educativas Capacitadas</w:t>
      </w:r>
      <w:r w:rsidR="00500ED6">
        <w:t>, 68 Municipios Impactados, 156 </w:t>
      </w:r>
      <w:r w:rsidRPr="006D49C3">
        <w:t>Redes Comunitarias, 142 Acciones de Movilización, 3 Rutas de Prevención comunitaria con enfoque étnico</w:t>
      </w:r>
      <w:r w:rsidR="00920A1E" w:rsidRPr="00973F39">
        <w:rPr>
          <w:sz w:val="18"/>
          <w:szCs w:val="18"/>
          <w:vertAlign w:val="superscript"/>
        </w:rPr>
        <w:footnoteReference w:id="52"/>
      </w:r>
      <w:r w:rsidRPr="006D49C3">
        <w:t>.</w:t>
      </w:r>
    </w:p>
    <w:p w14:paraId="15E531CA" w14:textId="650CB739" w:rsidR="00095139" w:rsidRPr="006D49C3" w:rsidRDefault="00095139" w:rsidP="008357BF">
      <w:pPr>
        <w:pStyle w:val="SingleTxtG"/>
        <w:numPr>
          <w:ilvl w:val="0"/>
          <w:numId w:val="27"/>
        </w:numPr>
        <w:ind w:left="1134" w:firstLine="0"/>
      </w:pPr>
      <w:r w:rsidRPr="006D49C3">
        <w:t xml:space="preserve">En el año 2022 la Secretaría Técnica de la CIPRUNNA implementó la estrategia psicosocial, brindando capacitación sobre PRUNNA (Prevención del Reclutamiento Uso y Utilización de niños, niñas y adolescentes) como mecanismos de una promoción en derechos </w:t>
      </w:r>
      <w:r w:rsidRPr="006D49C3">
        <w:lastRenderedPageBreak/>
        <w:t>humanos y construcción de paz a la población objetivo priorizada fortaleciendo entornos protectores con herramientas con enfoque psicosocial. A corte de 30 de junio de 2022, se han capacitado a 4.694 personas mediante la realización de 125 talleres en 21</w:t>
      </w:r>
      <w:r w:rsidR="00920A1E">
        <w:t> </w:t>
      </w:r>
      <w:r w:rsidRPr="006D49C3">
        <w:t>departamentos</w:t>
      </w:r>
      <w:r w:rsidR="00920A1E" w:rsidRPr="00973F39">
        <w:rPr>
          <w:sz w:val="18"/>
          <w:szCs w:val="18"/>
          <w:vertAlign w:val="superscript"/>
        </w:rPr>
        <w:footnoteReference w:id="53"/>
      </w:r>
      <w:r w:rsidRPr="006D49C3">
        <w:t>.</w:t>
      </w:r>
    </w:p>
    <w:p w14:paraId="14B3CE7A" w14:textId="7EEF298E" w:rsidR="00095139" w:rsidRPr="006D49C3" w:rsidRDefault="00095139" w:rsidP="008357BF">
      <w:pPr>
        <w:pStyle w:val="SingleTxtG"/>
        <w:numPr>
          <w:ilvl w:val="0"/>
          <w:numId w:val="27"/>
        </w:numPr>
        <w:ind w:left="1134" w:firstLine="0"/>
      </w:pPr>
      <w:r w:rsidRPr="006D49C3">
        <w:t>Igualmente, el 30 de septiembre de 2021 se realizó la publicación del Manual de instalación territorial de rutas de prevención</w:t>
      </w:r>
      <w:r w:rsidRPr="00973F39">
        <w:rPr>
          <w:sz w:val="18"/>
          <w:szCs w:val="18"/>
          <w:vertAlign w:val="superscript"/>
        </w:rPr>
        <w:footnoteReference w:id="54"/>
      </w:r>
      <w:r w:rsidRPr="006D49C3">
        <w:t xml:space="preserve"> que tiene como objetivo operativizar la línea de política para la implementación y ejecución de las rutas de prevención y la conformación y/o fortalecimiento de los EAI a nivel territorial, mediante la armonización e instrumentalización asertiva e intersistémica de las rutas de prevención temprana, urgente y en protección, adaptables a las dinámicas territoriales y entidades del nivel nacional ante amenazas inminentes e individualizadas al derecho de los NNA a ser protegidos contra cualquier delito de reclutamiento, utilización, uso y/o violencia sexual</w:t>
      </w:r>
      <w:r w:rsidR="00920A1E" w:rsidRPr="00816959">
        <w:rPr>
          <w:rStyle w:val="Refdenotaalpie"/>
          <w:szCs w:val="18"/>
        </w:rPr>
        <w:footnoteReference w:id="55"/>
      </w:r>
      <w:r w:rsidRPr="006D49C3">
        <w:t>.</w:t>
      </w:r>
    </w:p>
    <w:p w14:paraId="5104EBB8" w14:textId="361B56DA" w:rsidR="00095139" w:rsidRPr="006D49C3" w:rsidRDefault="00095139" w:rsidP="008357BF">
      <w:pPr>
        <w:pStyle w:val="SingleTxtG"/>
        <w:numPr>
          <w:ilvl w:val="0"/>
          <w:numId w:val="27"/>
        </w:numPr>
        <w:ind w:left="1134" w:firstLine="0"/>
      </w:pPr>
      <w:r w:rsidRPr="006D49C3">
        <w:t>Por otra parte, en el Informe de Derechos Humanos y Fuerza Pública 2021 elaborado por el Ministerio de Defensa, con el objetivo de prevenir y eliminar el reclutamiento forzado de NNA, incluidos los pertenecientes a comunidades étnicas, se cuenta con una estrategia conjunta con el ICBF desde marzo de 2021 en la cual se creó el Grupo Especial contra el reclutamiento forzado y el cartel de los más buscados, potenciando las capacidades institucionales para la protección de NNA</w:t>
      </w:r>
      <w:r w:rsidR="00920A1E" w:rsidRPr="00816959">
        <w:rPr>
          <w:sz w:val="18"/>
          <w:szCs w:val="18"/>
          <w:vertAlign w:val="superscript"/>
        </w:rPr>
        <w:footnoteReference w:id="56"/>
      </w:r>
      <w:r w:rsidRPr="006D49C3">
        <w:t>.</w:t>
      </w:r>
    </w:p>
    <w:p w14:paraId="44D3E409" w14:textId="3AE3A403" w:rsidR="00095139" w:rsidRPr="006D49C3" w:rsidRDefault="00095139" w:rsidP="008357BF">
      <w:pPr>
        <w:pStyle w:val="SingleTxtG"/>
        <w:numPr>
          <w:ilvl w:val="0"/>
          <w:numId w:val="27"/>
        </w:numPr>
        <w:ind w:left="1134" w:firstLine="0"/>
      </w:pPr>
      <w:r w:rsidRPr="006D49C3">
        <w:t>En este sentido, dentro de los planes de prevención durante el 2021, se adelantó el programa Abre Tus Ojos con 15.508 acciones y 293.943 beneficiados. Igualmente, se registró la recuperación de 511 menores de edad, que incluye la desvinculación de 181 menores de grupos armados organizados, para el restablecimiento de sus derechos; también, un balance de 106 capturas y 3 aprehensiones por reclutamiento ilícito y uso de menores para la comisión de delitos</w:t>
      </w:r>
      <w:r w:rsidR="00920A1E">
        <w:rPr>
          <w:rStyle w:val="Refdenotaalpie"/>
        </w:rPr>
        <w:footnoteReference w:id="57"/>
      </w:r>
      <w:r w:rsidRPr="006D49C3">
        <w:t>.</w:t>
      </w:r>
    </w:p>
    <w:p w14:paraId="0FE00038" w14:textId="4AB0BCFF" w:rsidR="00095139" w:rsidRPr="006D49C3" w:rsidRDefault="00095139" w:rsidP="008357BF">
      <w:pPr>
        <w:pStyle w:val="SingleTxtG"/>
        <w:numPr>
          <w:ilvl w:val="0"/>
          <w:numId w:val="27"/>
        </w:numPr>
        <w:ind w:left="1134" w:firstLine="0"/>
      </w:pPr>
      <w:r w:rsidRPr="006D49C3">
        <w:t>Finalmente, información adicional sobre los esfuerzos del Estado en materia de reclutamiento forzado reposa en el Anexo 6.</w:t>
      </w:r>
    </w:p>
    <w:p w14:paraId="1F751ABE" w14:textId="0823D439" w:rsidR="00095139" w:rsidRPr="007A7E68" w:rsidRDefault="009A1AF0" w:rsidP="009A1AF0">
      <w:pPr>
        <w:pStyle w:val="H4G"/>
      </w:pPr>
      <w:r>
        <w:tab/>
      </w:r>
      <w:r w:rsidRPr="00100C31">
        <w:t>d)</w:t>
      </w:r>
      <w:r w:rsidRPr="00100C31">
        <w:tab/>
      </w:r>
      <w:r w:rsidR="00095139" w:rsidRPr="00100C31">
        <w:t>Informes del Sistema de Alertas Tempranas</w:t>
      </w:r>
    </w:p>
    <w:p w14:paraId="6A8FBFEA" w14:textId="6EFEDD4F" w:rsidR="00095139" w:rsidRPr="006D49C3" w:rsidRDefault="00095139" w:rsidP="008357BF">
      <w:pPr>
        <w:pStyle w:val="SingleTxtG"/>
        <w:numPr>
          <w:ilvl w:val="0"/>
          <w:numId w:val="27"/>
        </w:numPr>
        <w:ind w:left="1134" w:firstLine="0"/>
      </w:pPr>
      <w:r w:rsidRPr="006D49C3">
        <w:t>Ahora bien, respecto al Sistema de Alertas Tempranas (SAT), se informa que, en 2019 la Defensoría del Pueblo emitió 56 Alertas Tempranas (AT) con ocasión de la identificación de graves riesgos de vulneraciones a los derechos a la vida, libertad, integridad, seguridad, libertades civiles y políticas y/o infracciones al DIH. Estos documentos advirtieron escenarios de riesgo en los 32 departamentos del país y en 418 municipios y/o áreas no municipalizadas. De este total, 30 corresponden a AT Coyunturales –una de estas de alcance nacional–, mientras 26 han sido emitidas bajo el rótulo de inminencia, de conformidad con lo establecido en el artículo 15 del Decreto 2124 de 2017</w:t>
      </w:r>
      <w:r w:rsidR="00100C31">
        <w:rPr>
          <w:rStyle w:val="Refdenotaalpie"/>
        </w:rPr>
        <w:footnoteReference w:id="58"/>
      </w:r>
      <w:r w:rsidRPr="006D49C3">
        <w:t>.</w:t>
      </w:r>
    </w:p>
    <w:p w14:paraId="27C26C7F" w14:textId="1703C49D" w:rsidR="00095139" w:rsidRPr="006D49C3" w:rsidRDefault="00095139" w:rsidP="008357BF">
      <w:pPr>
        <w:pStyle w:val="SingleTxtG"/>
        <w:numPr>
          <w:ilvl w:val="0"/>
          <w:numId w:val="27"/>
        </w:numPr>
        <w:ind w:left="1134" w:firstLine="0"/>
      </w:pPr>
      <w:r w:rsidRPr="006D49C3">
        <w:t>En el 2021, el SAT emitió 21 AT que advierten riesgos para población indígena y 12 que advierten riesgos para población afrocolombiana, al igual que 11 Informes de Seguimiento</w:t>
      </w:r>
      <w:r w:rsidRPr="00973F39">
        <w:rPr>
          <w:sz w:val="18"/>
          <w:szCs w:val="18"/>
          <w:vertAlign w:val="superscript"/>
        </w:rPr>
        <w:footnoteReference w:id="59"/>
      </w:r>
      <w:r w:rsidRPr="006D49C3">
        <w:t xml:space="preserve"> en los que se advierten riesgos para la población afrocolombiana y 23 que advierten riesgos para la población indígena</w:t>
      </w:r>
      <w:r w:rsidR="00100C31">
        <w:rPr>
          <w:rStyle w:val="Refdenotaalpie"/>
        </w:rPr>
        <w:footnoteReference w:id="60"/>
      </w:r>
      <w:r w:rsidRPr="006D49C3">
        <w:t>.</w:t>
      </w:r>
    </w:p>
    <w:p w14:paraId="68C8FA9C" w14:textId="6270A49C" w:rsidR="00095139" w:rsidRPr="006D49C3" w:rsidRDefault="00095139" w:rsidP="008357BF">
      <w:pPr>
        <w:pStyle w:val="SingleTxtG"/>
        <w:numPr>
          <w:ilvl w:val="0"/>
          <w:numId w:val="27"/>
        </w:numPr>
        <w:ind w:left="1134" w:firstLine="0"/>
      </w:pPr>
      <w:r w:rsidRPr="006D49C3">
        <w:t>Con corte a 30 de agosto de 2022 ha emitido 22 AT en donde 15 de estas advierten o identifican la amenaza de reclutamiento, uso y utilización de niñas y niños que habitan estos territorios</w:t>
      </w:r>
      <w:r w:rsidR="00100C31" w:rsidRPr="00973F39">
        <w:rPr>
          <w:sz w:val="18"/>
          <w:szCs w:val="18"/>
          <w:vertAlign w:val="superscript"/>
        </w:rPr>
        <w:footnoteReference w:id="61"/>
      </w:r>
      <w:r w:rsidRPr="006D49C3">
        <w:t>.</w:t>
      </w:r>
    </w:p>
    <w:p w14:paraId="01430E8A" w14:textId="755FE3CA" w:rsidR="00095139" w:rsidRPr="006D49C3" w:rsidRDefault="00095139" w:rsidP="008357BF">
      <w:pPr>
        <w:pStyle w:val="SingleTxtG"/>
        <w:numPr>
          <w:ilvl w:val="0"/>
          <w:numId w:val="27"/>
        </w:numPr>
        <w:ind w:left="1134" w:firstLine="0"/>
      </w:pPr>
      <w:r w:rsidRPr="006D49C3">
        <w:lastRenderedPageBreak/>
        <w:t>El Estado, a través de su Ministerio de Defensa emitió lineamientos sectoriales (3 de ellos actualizados durante 2021) para atender las AT de manera rápida e integral a través de planes de trabajo, medidas preventivas y operacionales. A su vez, la Policía Nacional desarrolló la Matriz Operacional para la Reducción del Delito (MORED), la Tabla de Acciones Mínimas Requeridas (TAMIR), adicionalmente, cuenta con seguimiento permanente a la respuesta institucional en la plataforma SIGOB-CIPRAT a 1153 recomendaciones asignadas al Sector Defensa</w:t>
      </w:r>
      <w:r w:rsidR="00100C31">
        <w:rPr>
          <w:rStyle w:val="Refdenotaalpie"/>
        </w:rPr>
        <w:footnoteReference w:id="62"/>
      </w:r>
      <w:r w:rsidRPr="006D49C3">
        <w:t>.</w:t>
      </w:r>
    </w:p>
    <w:p w14:paraId="04916BC6" w14:textId="40F3F6CD" w:rsidR="00095139" w:rsidRDefault="00095139" w:rsidP="008357BF">
      <w:pPr>
        <w:pStyle w:val="SingleTxtG"/>
        <w:numPr>
          <w:ilvl w:val="0"/>
          <w:numId w:val="27"/>
        </w:numPr>
        <w:ind w:left="1134" w:firstLine="0"/>
        <w:rPr>
          <w:rFonts w:eastAsia="Times New Roman"/>
          <w:bCs/>
          <w:szCs w:val="24"/>
        </w:rPr>
      </w:pPr>
      <w:bookmarkStart w:id="3" w:name="_heading=h.r0kp333cnqoa" w:colFirst="0" w:colLast="0"/>
      <w:bookmarkEnd w:id="3"/>
      <w:r w:rsidRPr="006D49C3">
        <w:t xml:space="preserve">Igualmente, el Comando del Ejército emitió el Plan </w:t>
      </w:r>
      <w:r w:rsidR="00D3621B">
        <w:t>“</w:t>
      </w:r>
      <w:r w:rsidRPr="006D49C3">
        <w:t>Para atención al sistema de prevención de alertas para la reacción rápida a la presencia de acciones</w:t>
      </w:r>
      <w:r w:rsidRPr="00616885">
        <w:rPr>
          <w:rFonts w:eastAsia="Times New Roman"/>
          <w:bCs/>
          <w:szCs w:val="24"/>
        </w:rPr>
        <w:t xml:space="preserve"> y actividades de las organizaciones, hechos y conductas criminales que pongan en riesgo los derechos de la población, en el marco del Decreto 2124 de 2017”, y la Policía Nacional mediante la Directiva Operativa Transitoria 025 del 5 de agosto de 2021 definió la “Ruta de actuación institucional ante los componentes e instancias del Sistema de Prevención y Alerta para la Reacción Rápida”.</w:t>
      </w:r>
    </w:p>
    <w:p w14:paraId="59E041C7" w14:textId="6A4FE42C" w:rsidR="00095139" w:rsidRDefault="00095139" w:rsidP="008357BF">
      <w:pPr>
        <w:pStyle w:val="SingleTxtG"/>
        <w:numPr>
          <w:ilvl w:val="0"/>
          <w:numId w:val="27"/>
        </w:numPr>
        <w:ind w:left="1134" w:firstLine="0"/>
        <w:rPr>
          <w:rFonts w:eastAsia="Times New Roman"/>
          <w:bCs/>
          <w:szCs w:val="24"/>
        </w:rPr>
      </w:pPr>
      <w:r>
        <w:rPr>
          <w:rFonts w:eastAsia="Times New Roman"/>
          <w:bCs/>
          <w:szCs w:val="24"/>
        </w:rPr>
        <w:t>Por su parte, l</w:t>
      </w:r>
      <w:r w:rsidRPr="009A3548">
        <w:rPr>
          <w:rFonts w:eastAsia="Times New Roman"/>
          <w:bCs/>
          <w:szCs w:val="24"/>
        </w:rPr>
        <w:t xml:space="preserve">a </w:t>
      </w:r>
      <w:r>
        <w:rPr>
          <w:rFonts w:eastAsia="Times New Roman"/>
          <w:bCs/>
          <w:szCs w:val="24"/>
        </w:rPr>
        <w:t>Unidad Nacional de Protección (</w:t>
      </w:r>
      <w:r w:rsidRPr="009A3548">
        <w:rPr>
          <w:rFonts w:eastAsia="Times New Roman"/>
          <w:bCs/>
          <w:szCs w:val="24"/>
        </w:rPr>
        <w:t>UNP</w:t>
      </w:r>
      <w:r>
        <w:rPr>
          <w:rFonts w:eastAsia="Times New Roman"/>
          <w:bCs/>
          <w:szCs w:val="24"/>
        </w:rPr>
        <w:t>)</w:t>
      </w:r>
      <w:r w:rsidRPr="009A3548">
        <w:rPr>
          <w:rFonts w:eastAsia="Times New Roman"/>
          <w:bCs/>
          <w:szCs w:val="24"/>
        </w:rPr>
        <w:t xml:space="preserve"> consolidó el </w:t>
      </w:r>
      <w:r>
        <w:rPr>
          <w:rFonts w:eastAsia="Times New Roman"/>
          <w:bCs/>
          <w:szCs w:val="24"/>
        </w:rPr>
        <w:t>E</w:t>
      </w:r>
      <w:r w:rsidRPr="009A3548">
        <w:rPr>
          <w:rFonts w:eastAsia="Times New Roman"/>
          <w:bCs/>
          <w:szCs w:val="24"/>
        </w:rPr>
        <w:t xml:space="preserve">quipo Alertas Tempranas encargado de responder a las recomendaciones, </w:t>
      </w:r>
      <w:r>
        <w:rPr>
          <w:rFonts w:eastAsia="Times New Roman"/>
          <w:bCs/>
          <w:szCs w:val="24"/>
        </w:rPr>
        <w:t xml:space="preserve">y de </w:t>
      </w:r>
      <w:r w:rsidRPr="009A3548">
        <w:rPr>
          <w:rFonts w:eastAsia="Times New Roman"/>
          <w:bCs/>
          <w:szCs w:val="24"/>
        </w:rPr>
        <w:t>formular y velar por el cumplimiento de los diferentes planes de acción,</w:t>
      </w:r>
      <w:r>
        <w:rPr>
          <w:rFonts w:eastAsia="Times New Roman"/>
          <w:bCs/>
          <w:szCs w:val="24"/>
        </w:rPr>
        <w:t xml:space="preserve"> </w:t>
      </w:r>
      <w:r w:rsidRPr="009A3548">
        <w:rPr>
          <w:rFonts w:eastAsia="Times New Roman"/>
          <w:bCs/>
          <w:szCs w:val="24"/>
        </w:rPr>
        <w:t>creados para mitigar los escenarios de riesgo expuestos</w:t>
      </w:r>
      <w:r>
        <w:rPr>
          <w:rFonts w:eastAsia="Times New Roman"/>
          <w:bCs/>
          <w:szCs w:val="24"/>
        </w:rPr>
        <w:t>. P</w:t>
      </w:r>
      <w:r w:rsidRPr="009A3548">
        <w:rPr>
          <w:rFonts w:eastAsia="Times New Roman"/>
          <w:bCs/>
          <w:szCs w:val="24"/>
        </w:rPr>
        <w:t>ara el</w:t>
      </w:r>
      <w:r>
        <w:rPr>
          <w:rFonts w:eastAsia="Times New Roman"/>
          <w:bCs/>
          <w:szCs w:val="24"/>
        </w:rPr>
        <w:t xml:space="preserve"> </w:t>
      </w:r>
      <w:r w:rsidRPr="009A3548">
        <w:rPr>
          <w:rFonts w:eastAsia="Times New Roman"/>
          <w:bCs/>
          <w:szCs w:val="24"/>
        </w:rPr>
        <w:t xml:space="preserve">periodo comprendido </w:t>
      </w:r>
      <w:r>
        <w:rPr>
          <w:rFonts w:eastAsia="Times New Roman"/>
          <w:bCs/>
          <w:szCs w:val="24"/>
        </w:rPr>
        <w:t>entre</w:t>
      </w:r>
      <w:r w:rsidRPr="009A3548">
        <w:rPr>
          <w:rFonts w:eastAsia="Times New Roman"/>
          <w:bCs/>
          <w:szCs w:val="24"/>
        </w:rPr>
        <w:t xml:space="preserve"> enero 2019 a junio 2022, se atendieron un total de 155 </w:t>
      </w:r>
      <w:r>
        <w:rPr>
          <w:rFonts w:eastAsia="Times New Roman"/>
          <w:bCs/>
          <w:szCs w:val="24"/>
        </w:rPr>
        <w:t>AT</w:t>
      </w:r>
      <w:r w:rsidRPr="009A3548">
        <w:rPr>
          <w:rFonts w:eastAsia="Times New Roman"/>
          <w:bCs/>
          <w:szCs w:val="24"/>
        </w:rPr>
        <w:t xml:space="preserve"> y se</w:t>
      </w:r>
      <w:r>
        <w:rPr>
          <w:rFonts w:eastAsia="Times New Roman"/>
          <w:bCs/>
          <w:szCs w:val="24"/>
        </w:rPr>
        <w:t xml:space="preserve"> </w:t>
      </w:r>
      <w:r w:rsidRPr="009A3548">
        <w:rPr>
          <w:rFonts w:eastAsia="Times New Roman"/>
          <w:bCs/>
          <w:szCs w:val="24"/>
        </w:rPr>
        <w:t>gestionaron un total de 267 recomendaciones.</w:t>
      </w:r>
      <w:r>
        <w:rPr>
          <w:rFonts w:eastAsia="Times New Roman"/>
          <w:bCs/>
          <w:szCs w:val="24"/>
        </w:rPr>
        <w:t xml:space="preserve"> (</w:t>
      </w:r>
      <w:r w:rsidRPr="001C14F6">
        <w:rPr>
          <w:rFonts w:eastAsia="Times New Roman"/>
          <w:bCs/>
          <w:szCs w:val="24"/>
        </w:rPr>
        <w:t xml:space="preserve">Anexo </w:t>
      </w:r>
      <w:r>
        <w:rPr>
          <w:rFonts w:eastAsia="Times New Roman"/>
          <w:bCs/>
          <w:szCs w:val="24"/>
        </w:rPr>
        <w:t>7</w:t>
      </w:r>
      <w:r w:rsidRPr="001C14F6">
        <w:rPr>
          <w:rFonts w:eastAsia="Times New Roman"/>
          <w:bCs/>
          <w:szCs w:val="24"/>
        </w:rPr>
        <w:t xml:space="preserve"> - Tabla 1</w:t>
      </w:r>
      <w:r>
        <w:rPr>
          <w:rFonts w:eastAsia="Times New Roman"/>
          <w:bCs/>
          <w:szCs w:val="24"/>
        </w:rPr>
        <w:t>)</w:t>
      </w:r>
      <w:r w:rsidR="00100C31">
        <w:rPr>
          <w:rStyle w:val="Refdenotaalpie"/>
          <w:rFonts w:eastAsia="Times New Roman"/>
          <w:bCs/>
          <w:szCs w:val="24"/>
        </w:rPr>
        <w:footnoteReference w:id="63"/>
      </w:r>
      <w:r>
        <w:rPr>
          <w:rFonts w:eastAsia="Times New Roman"/>
          <w:bCs/>
          <w:szCs w:val="24"/>
        </w:rPr>
        <w:t>.</w:t>
      </w:r>
    </w:p>
    <w:p w14:paraId="0B485322" w14:textId="6C11535B" w:rsidR="00095139" w:rsidRDefault="00095139" w:rsidP="008357BF">
      <w:pPr>
        <w:pStyle w:val="SingleTxtG"/>
        <w:numPr>
          <w:ilvl w:val="0"/>
          <w:numId w:val="27"/>
        </w:numPr>
        <w:ind w:left="1134" w:firstLine="0"/>
        <w:rPr>
          <w:rFonts w:eastAsia="Times New Roman"/>
          <w:bCs/>
          <w:szCs w:val="24"/>
        </w:rPr>
      </w:pPr>
      <w:r>
        <w:rPr>
          <w:rFonts w:eastAsia="Times New Roman"/>
          <w:bCs/>
          <w:szCs w:val="24"/>
        </w:rPr>
        <w:t>Así mismo,</w:t>
      </w:r>
      <w:r w:rsidRPr="009A3548">
        <w:rPr>
          <w:rFonts w:eastAsia="Times New Roman"/>
          <w:bCs/>
          <w:szCs w:val="24"/>
        </w:rPr>
        <w:t xml:space="preserve"> </w:t>
      </w:r>
      <w:r>
        <w:rPr>
          <w:rFonts w:eastAsia="Times New Roman"/>
          <w:bCs/>
          <w:szCs w:val="24"/>
        </w:rPr>
        <w:t xml:space="preserve">se </w:t>
      </w:r>
      <w:r w:rsidRPr="009A3548">
        <w:rPr>
          <w:rFonts w:eastAsia="Times New Roman"/>
          <w:bCs/>
          <w:szCs w:val="24"/>
        </w:rPr>
        <w:t>adelantaron acciones de articulación con los diferentes Grupos</w:t>
      </w:r>
      <w:r>
        <w:rPr>
          <w:rFonts w:eastAsia="Times New Roman"/>
          <w:bCs/>
          <w:szCs w:val="24"/>
        </w:rPr>
        <w:t xml:space="preserve"> </w:t>
      </w:r>
      <w:r w:rsidRPr="009A3548">
        <w:rPr>
          <w:rFonts w:eastAsia="Times New Roman"/>
          <w:bCs/>
          <w:szCs w:val="24"/>
        </w:rPr>
        <w:t xml:space="preserve">Regionales de Protección </w:t>
      </w:r>
      <w:r>
        <w:rPr>
          <w:rFonts w:eastAsia="Times New Roman"/>
          <w:bCs/>
          <w:szCs w:val="24"/>
        </w:rPr>
        <w:t>(</w:t>
      </w:r>
      <w:r w:rsidRPr="009A3548">
        <w:rPr>
          <w:rFonts w:eastAsia="Times New Roman"/>
          <w:bCs/>
          <w:szCs w:val="24"/>
        </w:rPr>
        <w:t>GURP</w:t>
      </w:r>
      <w:r>
        <w:rPr>
          <w:rFonts w:eastAsia="Times New Roman"/>
          <w:bCs/>
          <w:szCs w:val="24"/>
        </w:rPr>
        <w:t>)</w:t>
      </w:r>
      <w:r w:rsidR="00100C31">
        <w:rPr>
          <w:rFonts w:eastAsia="Times New Roman"/>
          <w:bCs/>
          <w:szCs w:val="24"/>
        </w:rPr>
        <w:t xml:space="preserve">, con el objetivo de: </w:t>
      </w:r>
      <w:r w:rsidRPr="009A3548">
        <w:rPr>
          <w:rFonts w:eastAsia="Times New Roman"/>
          <w:bCs/>
          <w:szCs w:val="24"/>
        </w:rPr>
        <w:t>i) cumplir las recomendaciones realizadas en los</w:t>
      </w:r>
      <w:r>
        <w:rPr>
          <w:rFonts w:eastAsia="Times New Roman"/>
          <w:bCs/>
          <w:szCs w:val="24"/>
        </w:rPr>
        <w:t xml:space="preserve"> </w:t>
      </w:r>
      <w:r w:rsidR="00100C31">
        <w:rPr>
          <w:rFonts w:eastAsia="Times New Roman"/>
          <w:bCs/>
          <w:szCs w:val="24"/>
        </w:rPr>
        <w:t xml:space="preserve">documentos de advertencia; </w:t>
      </w:r>
      <w:r w:rsidRPr="009A3548">
        <w:rPr>
          <w:rFonts w:eastAsia="Times New Roman"/>
          <w:bCs/>
          <w:szCs w:val="24"/>
        </w:rPr>
        <w:t>ii) adelantar socialización de las rutas de prot</w:t>
      </w:r>
      <w:r w:rsidR="00100C31">
        <w:rPr>
          <w:rFonts w:eastAsia="Times New Roman"/>
          <w:bCs/>
          <w:szCs w:val="24"/>
        </w:rPr>
        <w:t xml:space="preserve">ección individual y colectiva; </w:t>
      </w:r>
      <w:r w:rsidRPr="009A3548">
        <w:rPr>
          <w:rFonts w:eastAsia="Times New Roman"/>
          <w:bCs/>
          <w:szCs w:val="24"/>
        </w:rPr>
        <w:t>iii)</w:t>
      </w:r>
      <w:r>
        <w:rPr>
          <w:rFonts w:eastAsia="Times New Roman"/>
          <w:bCs/>
          <w:szCs w:val="24"/>
        </w:rPr>
        <w:t xml:space="preserve"> </w:t>
      </w:r>
      <w:r w:rsidRPr="009A3548">
        <w:rPr>
          <w:rFonts w:eastAsia="Times New Roman"/>
          <w:bCs/>
          <w:szCs w:val="24"/>
        </w:rPr>
        <w:t xml:space="preserve">reiterar las atribuciones y competencias de los alcaldes y gobernadores, como primeros respondientes; </w:t>
      </w:r>
      <w:r>
        <w:rPr>
          <w:rFonts w:eastAsia="Times New Roman"/>
          <w:bCs/>
          <w:szCs w:val="24"/>
        </w:rPr>
        <w:t xml:space="preserve">e </w:t>
      </w:r>
      <w:r w:rsidRPr="009A3548">
        <w:rPr>
          <w:rFonts w:eastAsia="Times New Roman"/>
          <w:bCs/>
          <w:szCs w:val="24"/>
        </w:rPr>
        <w:t>iv) identificar casos</w:t>
      </w:r>
      <w:r w:rsidR="00100C31">
        <w:rPr>
          <w:rStyle w:val="Refdenotaalpie"/>
          <w:rFonts w:eastAsia="Times New Roman"/>
          <w:bCs/>
          <w:szCs w:val="24"/>
        </w:rPr>
        <w:footnoteReference w:id="64"/>
      </w:r>
      <w:r w:rsidRPr="009A3548">
        <w:rPr>
          <w:rFonts w:eastAsia="Times New Roman"/>
          <w:bCs/>
          <w:szCs w:val="24"/>
        </w:rPr>
        <w:t>.</w:t>
      </w:r>
      <w:r>
        <w:rPr>
          <w:rFonts w:eastAsia="Times New Roman"/>
          <w:bCs/>
          <w:szCs w:val="24"/>
        </w:rPr>
        <w:t xml:space="preserve"> (</w:t>
      </w:r>
      <w:r w:rsidRPr="001C14F6">
        <w:rPr>
          <w:rFonts w:eastAsia="Times New Roman"/>
          <w:bCs/>
          <w:szCs w:val="24"/>
        </w:rPr>
        <w:t xml:space="preserve">Anexo </w:t>
      </w:r>
      <w:r>
        <w:rPr>
          <w:rFonts w:eastAsia="Times New Roman"/>
          <w:bCs/>
          <w:szCs w:val="24"/>
        </w:rPr>
        <w:t>7</w:t>
      </w:r>
      <w:r w:rsidRPr="001C14F6">
        <w:rPr>
          <w:rFonts w:eastAsia="Times New Roman"/>
          <w:bCs/>
          <w:szCs w:val="24"/>
        </w:rPr>
        <w:t xml:space="preserve"> - Tabla 2</w:t>
      </w:r>
      <w:r>
        <w:rPr>
          <w:rFonts w:eastAsia="Times New Roman"/>
          <w:bCs/>
          <w:szCs w:val="24"/>
        </w:rPr>
        <w:t>)</w:t>
      </w:r>
    </w:p>
    <w:p w14:paraId="70A9FFCA" w14:textId="30137972" w:rsidR="00095139" w:rsidRPr="006D49C3" w:rsidRDefault="00095139" w:rsidP="008357BF">
      <w:pPr>
        <w:pStyle w:val="SingleTxtG"/>
        <w:numPr>
          <w:ilvl w:val="0"/>
          <w:numId w:val="27"/>
        </w:numPr>
        <w:ind w:left="1134" w:firstLine="0"/>
      </w:pPr>
      <w:r w:rsidRPr="006D49C3">
        <w:t>Igualmente, la UNP ha apoyado técnicamente a las Gobernaciones, Alcaldías y Personerías por medio de comunicaciones externas en las cuales socializó la ruta de protección liderada por la entidad, y además les refirió la política pública de prevención de violaciones a los derechos a la vida, integridad, libertad y seguridad de personas, grupos y comunidades en el marco del Decreto 1066 del 2015</w:t>
      </w:r>
      <w:r w:rsidR="00100C31" w:rsidRPr="00973F39">
        <w:rPr>
          <w:sz w:val="18"/>
          <w:szCs w:val="18"/>
          <w:vertAlign w:val="superscript"/>
        </w:rPr>
        <w:footnoteReference w:id="65"/>
      </w:r>
      <w:r w:rsidRPr="006D49C3">
        <w:t>. (Anexo 7 - Tabla 3)</w:t>
      </w:r>
    </w:p>
    <w:p w14:paraId="44C6CA50" w14:textId="085DA88A" w:rsidR="00095139" w:rsidRPr="007A7E68" w:rsidRDefault="00100C31" w:rsidP="009A1AF0">
      <w:pPr>
        <w:pStyle w:val="H4G"/>
      </w:pPr>
      <w:r>
        <w:tab/>
      </w:r>
      <w:r w:rsidR="009A1AF0">
        <w:t>e)</w:t>
      </w:r>
      <w:r w:rsidR="009A1AF0">
        <w:tab/>
      </w:r>
      <w:r w:rsidR="00095139">
        <w:t>Implementación del capítulo étnico del Acuerdo de Paz</w:t>
      </w:r>
    </w:p>
    <w:p w14:paraId="194C487D" w14:textId="264A8054" w:rsidR="00095139" w:rsidRPr="00616885" w:rsidRDefault="00095139" w:rsidP="008357BF">
      <w:pPr>
        <w:pStyle w:val="SingleTxtG"/>
        <w:numPr>
          <w:ilvl w:val="0"/>
          <w:numId w:val="27"/>
        </w:numPr>
        <w:ind w:left="1134" w:firstLine="0"/>
        <w:rPr>
          <w:rFonts w:eastAsia="Times New Roman"/>
          <w:bCs/>
          <w:szCs w:val="24"/>
        </w:rPr>
      </w:pPr>
      <w:r w:rsidRPr="00FB4A49">
        <w:rPr>
          <w:rFonts w:eastAsia="Times New Roman"/>
          <w:bCs/>
          <w:szCs w:val="24"/>
        </w:rPr>
        <w:t xml:space="preserve">Respecto a la implementación del Capítulo Étnico del Acuerdo de Paz, el Estado </w:t>
      </w:r>
      <w:r>
        <w:rPr>
          <w:rFonts w:eastAsia="Times New Roman"/>
          <w:bCs/>
          <w:szCs w:val="24"/>
        </w:rPr>
        <w:t>ejecutó</w:t>
      </w:r>
      <w:r w:rsidRPr="00616885">
        <w:rPr>
          <w:rFonts w:eastAsia="Times New Roman"/>
          <w:bCs/>
          <w:szCs w:val="24"/>
        </w:rPr>
        <w:t xml:space="preserve"> la política de paz con legalidad en el marco de los compromisos establecidos en el Plan Marco de Implementación </w:t>
      </w:r>
      <w:r>
        <w:rPr>
          <w:rFonts w:eastAsia="Times New Roman"/>
          <w:bCs/>
          <w:szCs w:val="24"/>
        </w:rPr>
        <w:t>(</w:t>
      </w:r>
      <w:r w:rsidRPr="00616885">
        <w:rPr>
          <w:rFonts w:eastAsia="Times New Roman"/>
          <w:bCs/>
          <w:szCs w:val="24"/>
        </w:rPr>
        <w:t>PMI</w:t>
      </w:r>
      <w:r>
        <w:rPr>
          <w:rFonts w:eastAsia="Times New Roman"/>
          <w:bCs/>
          <w:szCs w:val="24"/>
        </w:rPr>
        <w:t>).</w:t>
      </w:r>
      <w:r w:rsidRPr="00616885">
        <w:rPr>
          <w:rFonts w:eastAsia="Times New Roman"/>
          <w:bCs/>
          <w:szCs w:val="24"/>
        </w:rPr>
        <w:t xml:space="preserve"> La implementación del enfoque étnico se materializa a través del impulso de 97 compromisos, </w:t>
      </w:r>
      <w:r>
        <w:rPr>
          <w:rFonts w:eastAsia="Times New Roman"/>
          <w:bCs/>
          <w:szCs w:val="24"/>
        </w:rPr>
        <w:t>que</w:t>
      </w:r>
      <w:r w:rsidRPr="00616885">
        <w:rPr>
          <w:rFonts w:eastAsia="Times New Roman"/>
          <w:bCs/>
          <w:szCs w:val="24"/>
        </w:rPr>
        <w:t xml:space="preserve"> busca</w:t>
      </w:r>
      <w:r>
        <w:rPr>
          <w:rFonts w:eastAsia="Times New Roman"/>
          <w:bCs/>
          <w:szCs w:val="24"/>
        </w:rPr>
        <w:t>n</w:t>
      </w:r>
      <w:r w:rsidRPr="00616885">
        <w:rPr>
          <w:rFonts w:eastAsia="Times New Roman"/>
          <w:bCs/>
          <w:szCs w:val="24"/>
        </w:rPr>
        <w:t xml:space="preserve"> garantizar los derechos de los pueblos </w:t>
      </w:r>
      <w:r w:rsidRPr="006D49C3">
        <w:t>indígenas</w:t>
      </w:r>
      <w:r w:rsidRPr="00616885">
        <w:rPr>
          <w:rFonts w:eastAsia="Times New Roman"/>
          <w:bCs/>
          <w:szCs w:val="24"/>
        </w:rPr>
        <w:t xml:space="preserve">, el pueblo Rrom y las comunidades </w:t>
      </w:r>
      <w:r>
        <w:rPr>
          <w:rFonts w:eastAsia="Times New Roman"/>
          <w:bCs/>
          <w:szCs w:val="24"/>
        </w:rPr>
        <w:t xml:space="preserve">NARP, así como </w:t>
      </w:r>
      <w:r w:rsidRPr="00616885">
        <w:rPr>
          <w:rFonts w:eastAsia="Times New Roman"/>
          <w:bCs/>
          <w:szCs w:val="24"/>
        </w:rPr>
        <w:t>promover la adecuada participación de los pueblos étnicos en los aspectos que les atañen, al garantizar el derecho fundamental a la consulta previa, propiciar las condiciones para el ejercicio de sus derechos colectivos, y al contribuir al fortalecimiento de sus instituciones, cultura y tradiciones, durante el proceso de la construcción de una sociedad en paz. A la fecha, de los 97</w:t>
      </w:r>
      <w:r w:rsidR="00100C31">
        <w:rPr>
          <w:rFonts w:eastAsia="Times New Roman"/>
          <w:bCs/>
          <w:szCs w:val="24"/>
        </w:rPr>
        <w:t> </w:t>
      </w:r>
      <w:r w:rsidRPr="00616885">
        <w:rPr>
          <w:rFonts w:eastAsia="Times New Roman"/>
          <w:bCs/>
          <w:szCs w:val="24"/>
        </w:rPr>
        <w:t>compromisos étnicos, 14 se encuentran finalizados (14</w:t>
      </w:r>
      <w:r w:rsidR="00796131">
        <w:rPr>
          <w:rFonts w:eastAsia="Times New Roman"/>
          <w:bCs/>
          <w:szCs w:val="24"/>
        </w:rPr>
        <w:t xml:space="preserve"> </w:t>
      </w:r>
      <w:r w:rsidRPr="00616885">
        <w:rPr>
          <w:rFonts w:eastAsia="Times New Roman"/>
          <w:bCs/>
          <w:szCs w:val="24"/>
        </w:rPr>
        <w:t>% del total del capítulo)</w:t>
      </w:r>
      <w:r w:rsidR="00100C31">
        <w:rPr>
          <w:rStyle w:val="Refdenotaalpie"/>
          <w:rFonts w:eastAsia="Times New Roman"/>
          <w:bCs/>
          <w:szCs w:val="24"/>
        </w:rPr>
        <w:footnoteReference w:id="66"/>
      </w:r>
      <w:r w:rsidRPr="00616885">
        <w:rPr>
          <w:rFonts w:eastAsia="Times New Roman"/>
          <w:bCs/>
          <w:szCs w:val="24"/>
        </w:rPr>
        <w:t>.</w:t>
      </w:r>
    </w:p>
    <w:p w14:paraId="1E85ACB1" w14:textId="6CD96B33" w:rsidR="00095139" w:rsidRPr="00616885" w:rsidRDefault="00095139" w:rsidP="008357BF">
      <w:pPr>
        <w:pStyle w:val="SingleTxtG"/>
        <w:numPr>
          <w:ilvl w:val="0"/>
          <w:numId w:val="27"/>
        </w:numPr>
        <w:ind w:left="1134" w:firstLine="0"/>
        <w:rPr>
          <w:rFonts w:eastAsia="Times New Roman"/>
          <w:bCs/>
          <w:szCs w:val="24"/>
        </w:rPr>
      </w:pPr>
      <w:r>
        <w:rPr>
          <w:rFonts w:eastAsia="Times New Roman"/>
          <w:bCs/>
          <w:szCs w:val="24"/>
        </w:rPr>
        <w:t>El Estado</w:t>
      </w:r>
      <w:r w:rsidRPr="00616885">
        <w:rPr>
          <w:rFonts w:eastAsia="Times New Roman"/>
          <w:bCs/>
          <w:szCs w:val="24"/>
        </w:rPr>
        <w:t xml:space="preserve"> ha trabajado en la constitución de medidas para el ejercicio de funciones de la Instancia Especial de Alto Nivel con Pueblos Étnicos </w:t>
      </w:r>
      <w:r>
        <w:rPr>
          <w:rFonts w:eastAsia="Times New Roman"/>
          <w:bCs/>
          <w:szCs w:val="24"/>
        </w:rPr>
        <w:t>(</w:t>
      </w:r>
      <w:r w:rsidRPr="00616885">
        <w:rPr>
          <w:rFonts w:eastAsia="Times New Roman"/>
          <w:bCs/>
          <w:szCs w:val="24"/>
        </w:rPr>
        <w:t>IEANPE</w:t>
      </w:r>
      <w:r>
        <w:rPr>
          <w:rFonts w:eastAsia="Times New Roman"/>
          <w:bCs/>
          <w:szCs w:val="24"/>
        </w:rPr>
        <w:t>)</w:t>
      </w:r>
      <w:r w:rsidRPr="00616885">
        <w:rPr>
          <w:rFonts w:eastAsia="Times New Roman"/>
          <w:bCs/>
          <w:szCs w:val="24"/>
        </w:rPr>
        <w:t xml:space="preserve">, órgano consultor, representante e interlocutor ante la Comisión de Seguimiento, Impulso y Verificación a la Implementación del Acuerdo Final </w:t>
      </w:r>
      <w:r>
        <w:rPr>
          <w:rFonts w:eastAsia="Times New Roman"/>
          <w:bCs/>
          <w:szCs w:val="24"/>
        </w:rPr>
        <w:t>(</w:t>
      </w:r>
      <w:r w:rsidRPr="00616885">
        <w:rPr>
          <w:rFonts w:eastAsia="Times New Roman"/>
          <w:bCs/>
          <w:szCs w:val="24"/>
        </w:rPr>
        <w:t>CSIVI</w:t>
      </w:r>
      <w:r>
        <w:rPr>
          <w:rFonts w:eastAsia="Times New Roman"/>
          <w:bCs/>
          <w:szCs w:val="24"/>
        </w:rPr>
        <w:t>)</w:t>
      </w:r>
      <w:r w:rsidRPr="00616885">
        <w:rPr>
          <w:rFonts w:eastAsia="Times New Roman"/>
          <w:bCs/>
          <w:szCs w:val="24"/>
        </w:rPr>
        <w:t xml:space="preserve">, en todos los aspectos relacionados con la interpretación, implementación y seguimiento, desde la perspectiva étnica, a través de gestiones para lograr el financiamiento del plan de trabajo aprobado por la CSIVI, </w:t>
      </w:r>
      <w:r>
        <w:rPr>
          <w:rFonts w:eastAsia="Times New Roman"/>
          <w:bCs/>
          <w:szCs w:val="24"/>
        </w:rPr>
        <w:t>para</w:t>
      </w:r>
      <w:r w:rsidRPr="00616885">
        <w:rPr>
          <w:rFonts w:eastAsia="Times New Roman"/>
          <w:bCs/>
          <w:szCs w:val="24"/>
        </w:rPr>
        <w:t xml:space="preserve"> la IEANPE, por medio de la asignación presupuestal de US </w:t>
      </w:r>
      <w:r>
        <w:rPr>
          <w:rFonts w:eastAsia="Times New Roman"/>
          <w:bCs/>
          <w:szCs w:val="24"/>
        </w:rPr>
        <w:t>70</w:t>
      </w:r>
      <w:r w:rsidRPr="00616885">
        <w:rPr>
          <w:rFonts w:eastAsia="Times New Roman"/>
          <w:bCs/>
          <w:szCs w:val="24"/>
        </w:rPr>
        <w:t xml:space="preserve">0.000, </w:t>
      </w:r>
      <w:r w:rsidRPr="006D49C3">
        <w:t>realizada</w:t>
      </w:r>
      <w:r w:rsidRPr="00616885">
        <w:rPr>
          <w:rFonts w:eastAsia="Times New Roman"/>
          <w:bCs/>
          <w:szCs w:val="24"/>
        </w:rPr>
        <w:t xml:space="preserve"> por el Fondo </w:t>
      </w:r>
      <w:r w:rsidRPr="00616885">
        <w:rPr>
          <w:rFonts w:eastAsia="Times New Roman"/>
          <w:bCs/>
          <w:szCs w:val="24"/>
        </w:rPr>
        <w:lastRenderedPageBreak/>
        <w:t xml:space="preserve">Multidonante de las Naciones Unidas, lo cual garantiza el funcionamiento de la Instancia por dos años, de junio de 2020 a </w:t>
      </w:r>
      <w:r>
        <w:rPr>
          <w:rFonts w:eastAsia="Times New Roman"/>
          <w:bCs/>
          <w:szCs w:val="24"/>
        </w:rPr>
        <w:t>diciembre</w:t>
      </w:r>
      <w:r w:rsidRPr="00616885">
        <w:rPr>
          <w:rFonts w:eastAsia="Times New Roman"/>
          <w:bCs/>
          <w:szCs w:val="24"/>
        </w:rPr>
        <w:t xml:space="preserve"> de 2022</w:t>
      </w:r>
      <w:r w:rsidR="00100C31">
        <w:rPr>
          <w:rStyle w:val="Refdenotaalpie"/>
          <w:rFonts w:eastAsia="Times New Roman"/>
          <w:bCs/>
          <w:szCs w:val="24"/>
        </w:rPr>
        <w:footnoteReference w:id="67"/>
      </w:r>
      <w:r w:rsidRPr="00616885">
        <w:rPr>
          <w:rFonts w:eastAsia="Times New Roman"/>
          <w:bCs/>
          <w:szCs w:val="24"/>
        </w:rPr>
        <w:t>.</w:t>
      </w:r>
    </w:p>
    <w:p w14:paraId="093ECE82" w14:textId="7583CB28" w:rsidR="00095139" w:rsidRPr="00616885" w:rsidRDefault="00095139" w:rsidP="008357BF">
      <w:pPr>
        <w:pStyle w:val="SingleTxtG"/>
        <w:numPr>
          <w:ilvl w:val="0"/>
          <w:numId w:val="27"/>
        </w:numPr>
        <w:ind w:left="1134" w:firstLine="0"/>
        <w:rPr>
          <w:rFonts w:eastAsia="Times New Roman"/>
          <w:bCs/>
          <w:szCs w:val="24"/>
        </w:rPr>
      </w:pPr>
      <w:r w:rsidRPr="00616885">
        <w:rPr>
          <w:rFonts w:eastAsia="Times New Roman"/>
          <w:bCs/>
          <w:szCs w:val="24"/>
        </w:rPr>
        <w:t xml:space="preserve">Así mismo, a la fecha se han realizado 40 sesiones con la IEANPE, de estas 2 han sido con la CSIVI, 15 con entidades </w:t>
      </w:r>
      <w:r w:rsidRPr="006D49C3">
        <w:t>responsables</w:t>
      </w:r>
      <w:r w:rsidRPr="00616885">
        <w:rPr>
          <w:rFonts w:eastAsia="Times New Roman"/>
          <w:bCs/>
          <w:szCs w:val="24"/>
        </w:rPr>
        <w:t xml:space="preserve"> de la implementación y 23 sesiones de trabajo con la Consejería Presidencial para la Estabilización y Consolidación</w:t>
      </w:r>
      <w:r w:rsidR="00100C31">
        <w:rPr>
          <w:rStyle w:val="Refdenotaalpie"/>
          <w:rFonts w:eastAsia="Times New Roman"/>
          <w:bCs/>
          <w:szCs w:val="24"/>
        </w:rPr>
        <w:footnoteReference w:id="68"/>
      </w:r>
      <w:r w:rsidRPr="00616885">
        <w:rPr>
          <w:rFonts w:eastAsia="Times New Roman"/>
          <w:bCs/>
          <w:szCs w:val="24"/>
        </w:rPr>
        <w:t>.</w:t>
      </w:r>
    </w:p>
    <w:p w14:paraId="4984FA49" w14:textId="1920AC51" w:rsidR="00095139" w:rsidRPr="00A67212" w:rsidRDefault="00095139" w:rsidP="008357BF">
      <w:pPr>
        <w:pStyle w:val="SingleTxtG"/>
        <w:numPr>
          <w:ilvl w:val="0"/>
          <w:numId w:val="27"/>
        </w:numPr>
        <w:ind w:left="1134" w:firstLine="0"/>
        <w:rPr>
          <w:rFonts w:eastAsia="Times New Roman"/>
          <w:bCs/>
          <w:szCs w:val="24"/>
        </w:rPr>
      </w:pPr>
      <w:r w:rsidRPr="00616885">
        <w:rPr>
          <w:rFonts w:eastAsia="Times New Roman"/>
          <w:bCs/>
          <w:szCs w:val="24"/>
        </w:rPr>
        <w:t>Frente a</w:t>
      </w:r>
      <w:r>
        <w:rPr>
          <w:rFonts w:eastAsia="Times New Roman"/>
          <w:bCs/>
          <w:szCs w:val="24"/>
        </w:rPr>
        <w:t xml:space="preserve"> los logros del capítulo étnico en </w:t>
      </w:r>
      <w:r w:rsidRPr="00616885">
        <w:rPr>
          <w:rFonts w:eastAsia="Times New Roman"/>
          <w:bCs/>
          <w:szCs w:val="24"/>
        </w:rPr>
        <w:t xml:space="preserve">la implementación de los compromisos que garantizan los derechos políticos y </w:t>
      </w:r>
      <w:r w:rsidRPr="006D49C3">
        <w:t>jurídicos</w:t>
      </w:r>
      <w:r w:rsidRPr="00616885">
        <w:rPr>
          <w:rFonts w:eastAsia="Times New Roman"/>
          <w:bCs/>
          <w:szCs w:val="24"/>
        </w:rPr>
        <w:t xml:space="preserve"> estipulados en el PMI, es preciso resaltar </w:t>
      </w:r>
      <w:r>
        <w:rPr>
          <w:rFonts w:eastAsia="Times New Roman"/>
          <w:bCs/>
          <w:szCs w:val="24"/>
        </w:rPr>
        <w:t>que e</w:t>
      </w:r>
      <w:r w:rsidRPr="00A67212">
        <w:rPr>
          <w:rFonts w:eastAsia="Times New Roman"/>
          <w:bCs/>
          <w:szCs w:val="24"/>
        </w:rPr>
        <w:t>l Consejo Nacional de Planeación incorporó dentro de su reglamento la vinculación de representantes de la población Rrom como invitados permanentes</w:t>
      </w:r>
      <w:r>
        <w:rPr>
          <w:rFonts w:eastAsia="Times New Roman"/>
          <w:bCs/>
          <w:szCs w:val="24"/>
        </w:rPr>
        <w:t xml:space="preserve"> y s</w:t>
      </w:r>
      <w:r w:rsidRPr="00A67212">
        <w:rPr>
          <w:rFonts w:eastAsia="Times New Roman"/>
          <w:bCs/>
          <w:szCs w:val="24"/>
        </w:rPr>
        <w:t>e creó la Comisión Nacional de Mujeres Indígenas, mediante la expedición de los Decretos 1097 y 1158 del</w:t>
      </w:r>
      <w:r w:rsidR="00D3621B">
        <w:rPr>
          <w:rFonts w:eastAsia="Times New Roman"/>
          <w:bCs/>
          <w:szCs w:val="24"/>
        </w:rPr>
        <w:t> </w:t>
      </w:r>
      <w:r w:rsidRPr="00A67212">
        <w:rPr>
          <w:rFonts w:eastAsia="Times New Roman"/>
          <w:bCs/>
          <w:szCs w:val="24"/>
        </w:rPr>
        <w:t>2020</w:t>
      </w:r>
      <w:r>
        <w:rPr>
          <w:rFonts w:eastAsia="Times New Roman"/>
          <w:bCs/>
          <w:szCs w:val="24"/>
        </w:rPr>
        <w:t>.</w:t>
      </w:r>
    </w:p>
    <w:p w14:paraId="0D82B10B" w14:textId="654EA762" w:rsidR="00095139" w:rsidRPr="00A67212" w:rsidRDefault="00095139" w:rsidP="008357BF">
      <w:pPr>
        <w:pStyle w:val="SingleTxtG"/>
        <w:numPr>
          <w:ilvl w:val="0"/>
          <w:numId w:val="27"/>
        </w:numPr>
        <w:ind w:left="1134" w:firstLine="0"/>
        <w:rPr>
          <w:rFonts w:eastAsia="Times New Roman"/>
          <w:bCs/>
          <w:szCs w:val="24"/>
        </w:rPr>
      </w:pPr>
      <w:r>
        <w:rPr>
          <w:rFonts w:eastAsia="Times New Roman"/>
          <w:bCs/>
          <w:szCs w:val="24"/>
        </w:rPr>
        <w:t>Igualmente, e</w:t>
      </w:r>
      <w:r w:rsidRPr="00A67212">
        <w:rPr>
          <w:rFonts w:eastAsia="Times New Roman"/>
          <w:bCs/>
          <w:szCs w:val="24"/>
        </w:rPr>
        <w:t xml:space="preserve">l Ministerio de las Tecnologías de la información y las Comunicaciones (MinTic) ejecutó durante 2020 </w:t>
      </w:r>
      <w:r w:rsidRPr="006D49C3">
        <w:t>aproximadamente</w:t>
      </w:r>
      <w:r w:rsidRPr="00A67212">
        <w:rPr>
          <w:rFonts w:eastAsia="Times New Roman"/>
          <w:bCs/>
          <w:szCs w:val="24"/>
        </w:rPr>
        <w:t xml:space="preserve"> 3 mil millones de pesos en acciones como la producción de contenidos, el fortalecimiento de los colectivos de comunicación y la promoción de medios propios y apropiados, en beneficio de los pueblos y las comunidades étnicas. </w:t>
      </w:r>
    </w:p>
    <w:p w14:paraId="69CEA366" w14:textId="157F663C" w:rsidR="00095139" w:rsidRPr="00A67212" w:rsidRDefault="00095139" w:rsidP="008357BF">
      <w:pPr>
        <w:pStyle w:val="SingleTxtG"/>
        <w:numPr>
          <w:ilvl w:val="0"/>
          <w:numId w:val="27"/>
        </w:numPr>
        <w:ind w:left="1134" w:firstLine="0"/>
        <w:rPr>
          <w:rFonts w:eastAsia="Times New Roman"/>
          <w:bCs/>
          <w:szCs w:val="24"/>
        </w:rPr>
      </w:pPr>
      <w:r w:rsidRPr="00A67212">
        <w:rPr>
          <w:rFonts w:eastAsia="Times New Roman"/>
          <w:bCs/>
          <w:szCs w:val="24"/>
        </w:rPr>
        <w:t xml:space="preserve">Se </w:t>
      </w:r>
      <w:r w:rsidRPr="006D49C3">
        <w:t>creó</w:t>
      </w:r>
      <w:r w:rsidRPr="00A67212">
        <w:rPr>
          <w:rFonts w:eastAsia="Times New Roman"/>
          <w:bCs/>
          <w:szCs w:val="24"/>
        </w:rPr>
        <w:t xml:space="preserve"> el “Fondo del Buen Vivir”, ahora conocido como “Banco de Proyectos”, con una disponibilidad presupuestal de $</w:t>
      </w:r>
      <w:r>
        <w:rPr>
          <w:rFonts w:eastAsia="Times New Roman"/>
          <w:bCs/>
          <w:szCs w:val="24"/>
        </w:rPr>
        <w:t>166</w:t>
      </w:r>
      <w:r w:rsidRPr="00A67212">
        <w:rPr>
          <w:rFonts w:eastAsia="Times New Roman"/>
          <w:bCs/>
          <w:szCs w:val="24"/>
        </w:rPr>
        <w:t>.000 millones de pesos</w:t>
      </w:r>
      <w:r>
        <w:rPr>
          <w:rFonts w:eastAsia="Times New Roman"/>
          <w:bCs/>
          <w:szCs w:val="24"/>
        </w:rPr>
        <w:t xml:space="preserve"> para la vigencia 2022</w:t>
      </w:r>
      <w:r w:rsidRPr="00A67212">
        <w:rPr>
          <w:rFonts w:eastAsia="Times New Roman"/>
          <w:bCs/>
          <w:szCs w:val="24"/>
        </w:rPr>
        <w:t xml:space="preserve">, </w:t>
      </w:r>
      <w:r>
        <w:rPr>
          <w:rFonts w:eastAsia="Times New Roman"/>
          <w:bCs/>
          <w:szCs w:val="24"/>
        </w:rPr>
        <w:t>destinado a</w:t>
      </w:r>
      <w:r w:rsidRPr="00A67212">
        <w:rPr>
          <w:rFonts w:eastAsia="Times New Roman"/>
          <w:bCs/>
          <w:szCs w:val="24"/>
        </w:rPr>
        <w:t xml:space="preserve"> mejorar la calidad de vida de los pueblos étnicos, así como para fortalecer los sistemas de gobierno propio de los pueblos y comunidades a nivel nacional. </w:t>
      </w:r>
      <w:r>
        <w:rPr>
          <w:rFonts w:eastAsia="Times New Roman"/>
          <w:bCs/>
          <w:szCs w:val="24"/>
        </w:rPr>
        <w:t>Igualmente, s</w:t>
      </w:r>
      <w:r w:rsidRPr="00A67212">
        <w:rPr>
          <w:rFonts w:eastAsia="Times New Roman"/>
          <w:bCs/>
          <w:szCs w:val="24"/>
        </w:rPr>
        <w:t>e creó la Escuela de Formación de Líderes Sociales, y se establecieron 7.520 créditos (cupos en diplomados y cursos) para las comunidades indígenas.</w:t>
      </w:r>
    </w:p>
    <w:p w14:paraId="375F66EF" w14:textId="2BE6A7CA" w:rsidR="00095139" w:rsidRDefault="00095139" w:rsidP="008357BF">
      <w:pPr>
        <w:pStyle w:val="SingleTxtG"/>
        <w:numPr>
          <w:ilvl w:val="0"/>
          <w:numId w:val="27"/>
        </w:numPr>
        <w:ind w:left="1134" w:firstLine="0"/>
        <w:rPr>
          <w:rFonts w:eastAsia="Times New Roman"/>
          <w:bCs/>
          <w:szCs w:val="24"/>
        </w:rPr>
      </w:pPr>
      <w:r>
        <w:rPr>
          <w:rFonts w:eastAsia="Times New Roman"/>
          <w:bCs/>
          <w:szCs w:val="24"/>
        </w:rPr>
        <w:t xml:space="preserve">Por su parte, </w:t>
      </w:r>
      <w:r w:rsidRPr="00A67212">
        <w:rPr>
          <w:rFonts w:eastAsia="Times New Roman"/>
          <w:bCs/>
          <w:szCs w:val="24"/>
        </w:rPr>
        <w:t>Radio y Televisión de Colombia (RTV</w:t>
      </w:r>
      <w:r>
        <w:rPr>
          <w:rFonts w:eastAsia="Times New Roman"/>
          <w:bCs/>
          <w:szCs w:val="24"/>
        </w:rPr>
        <w:t>C</w:t>
      </w:r>
      <w:r w:rsidRPr="00A67212">
        <w:rPr>
          <w:rFonts w:eastAsia="Times New Roman"/>
          <w:bCs/>
          <w:szCs w:val="24"/>
        </w:rPr>
        <w:t>) destinó 1</w:t>
      </w:r>
      <w:r>
        <w:rPr>
          <w:rFonts w:eastAsia="Times New Roman"/>
          <w:bCs/>
          <w:szCs w:val="24"/>
        </w:rPr>
        <w:t>05</w:t>
      </w:r>
      <w:r w:rsidRPr="00A67212">
        <w:rPr>
          <w:rFonts w:eastAsia="Times New Roman"/>
          <w:bCs/>
          <w:szCs w:val="24"/>
        </w:rPr>
        <w:t xml:space="preserve"> espacios para la divulgación de contenidos propios étnicos</w:t>
      </w:r>
      <w:r>
        <w:rPr>
          <w:rFonts w:eastAsia="Times New Roman"/>
          <w:bCs/>
          <w:szCs w:val="24"/>
        </w:rPr>
        <w:t xml:space="preserve"> en la vigencia 2021.</w:t>
      </w:r>
      <w:r w:rsidRPr="00973F39">
        <w:rPr>
          <w:sz w:val="18"/>
          <w:szCs w:val="18"/>
          <w:vertAlign w:val="superscript"/>
        </w:rPr>
        <w:t xml:space="preserve"> </w:t>
      </w:r>
      <w:r>
        <w:rPr>
          <w:rFonts w:eastAsia="Times New Roman"/>
          <w:bCs/>
          <w:szCs w:val="24"/>
        </w:rPr>
        <w:t>Por su parte, 526</w:t>
      </w:r>
      <w:r w:rsidRPr="00616885">
        <w:rPr>
          <w:rFonts w:eastAsia="Times New Roman"/>
          <w:bCs/>
          <w:szCs w:val="24"/>
        </w:rPr>
        <w:t xml:space="preserve"> personas pertenecientes a pueblos y comunidades étnicas fueron capacitadas por el Departamento Administrativo de la Función Pública (DAFP), gracias al desarrollo de </w:t>
      </w:r>
      <w:r>
        <w:rPr>
          <w:rFonts w:eastAsia="Times New Roman"/>
          <w:bCs/>
          <w:szCs w:val="24"/>
        </w:rPr>
        <w:t>25</w:t>
      </w:r>
      <w:r w:rsidRPr="00616885">
        <w:rPr>
          <w:rFonts w:eastAsia="Times New Roman"/>
          <w:bCs/>
          <w:szCs w:val="24"/>
        </w:rPr>
        <w:t xml:space="preserve"> talleres</w:t>
      </w:r>
      <w:r>
        <w:rPr>
          <w:rFonts w:eastAsia="Times New Roman"/>
          <w:bCs/>
          <w:szCs w:val="24"/>
        </w:rPr>
        <w:t>, con lo que se ha logrado formar a 93 pueblos étnicos como veedores y multiplicadores sociales en temas de control social</w:t>
      </w:r>
      <w:r w:rsidR="00100C31">
        <w:rPr>
          <w:rStyle w:val="Refdenotaalpie"/>
        </w:rPr>
        <w:footnoteReference w:id="69"/>
      </w:r>
      <w:r>
        <w:rPr>
          <w:rFonts w:eastAsia="Times New Roman"/>
          <w:bCs/>
          <w:szCs w:val="24"/>
        </w:rPr>
        <w:t>.</w:t>
      </w:r>
    </w:p>
    <w:p w14:paraId="61FCA15C" w14:textId="5381D839" w:rsidR="00095139" w:rsidRPr="00616885" w:rsidRDefault="00095139" w:rsidP="008357BF">
      <w:pPr>
        <w:pStyle w:val="SingleTxtG"/>
        <w:numPr>
          <w:ilvl w:val="0"/>
          <w:numId w:val="27"/>
        </w:numPr>
        <w:ind w:left="1134" w:firstLine="0"/>
        <w:rPr>
          <w:rFonts w:eastAsia="Times New Roman"/>
          <w:bCs/>
          <w:szCs w:val="24"/>
        </w:rPr>
      </w:pPr>
      <w:r w:rsidRPr="006D49C3">
        <w:t>Además</w:t>
      </w:r>
      <w:r>
        <w:rPr>
          <w:rFonts w:eastAsia="Times New Roman"/>
          <w:bCs/>
          <w:szCs w:val="24"/>
        </w:rPr>
        <w:t>, en 2020 l</w:t>
      </w:r>
      <w:r w:rsidRPr="00616885">
        <w:rPr>
          <w:rFonts w:eastAsia="Times New Roman"/>
          <w:bCs/>
          <w:szCs w:val="24"/>
        </w:rPr>
        <w:t>a UNP renovó los convenios con la Asociación de Cabildos Indígenas del Norte del Cauca (ACIN) y el Consejo Regional Indígena del Cauca (CRIC), para fortalecer a la guardia indígena y avanzar en la protección de líderes y miembros de los pueblos indígenas que pertenecen a estas asociaciones,</w:t>
      </w:r>
      <w:r>
        <w:rPr>
          <w:rFonts w:eastAsia="Times New Roman"/>
          <w:bCs/>
          <w:szCs w:val="24"/>
        </w:rPr>
        <w:t xml:space="preserve"> y </w:t>
      </w:r>
      <w:r w:rsidRPr="00616885">
        <w:rPr>
          <w:rFonts w:eastAsia="Times New Roman"/>
          <w:bCs/>
          <w:szCs w:val="24"/>
        </w:rPr>
        <w:t>brind</w:t>
      </w:r>
      <w:r>
        <w:rPr>
          <w:rFonts w:eastAsia="Times New Roman"/>
          <w:bCs/>
          <w:szCs w:val="24"/>
        </w:rPr>
        <w:t>ó</w:t>
      </w:r>
      <w:r w:rsidRPr="00616885">
        <w:rPr>
          <w:rFonts w:eastAsia="Times New Roman"/>
          <w:bCs/>
          <w:szCs w:val="24"/>
        </w:rPr>
        <w:t xml:space="preserve"> medidas de protección individual y esquemas compartidos a 1.530 beneficiarios con pertenencia étnica. Entre las medidas entregadas se encuentran 1.256 chalecos de protección, 101 botones de apoyo, 1.010 hombres de protección, 243 vehículos convencionales y 155 vehículos blindados</w:t>
      </w:r>
      <w:r w:rsidR="00100C31">
        <w:rPr>
          <w:rStyle w:val="Refdenotaalpie"/>
          <w:rFonts w:eastAsia="Times New Roman"/>
          <w:bCs/>
          <w:szCs w:val="24"/>
        </w:rPr>
        <w:footnoteReference w:id="70"/>
      </w:r>
      <w:r w:rsidRPr="00616885">
        <w:rPr>
          <w:rFonts w:eastAsia="Times New Roman"/>
          <w:bCs/>
          <w:szCs w:val="24"/>
        </w:rPr>
        <w:t>.</w:t>
      </w:r>
    </w:p>
    <w:p w14:paraId="33C72BA7" w14:textId="0A88712E" w:rsidR="00095139" w:rsidRPr="00616885" w:rsidRDefault="00095139" w:rsidP="008357BF">
      <w:pPr>
        <w:pStyle w:val="SingleTxtG"/>
        <w:numPr>
          <w:ilvl w:val="0"/>
          <w:numId w:val="27"/>
        </w:numPr>
        <w:ind w:left="1134" w:firstLine="0"/>
        <w:rPr>
          <w:rFonts w:eastAsia="Times New Roman"/>
          <w:bCs/>
          <w:szCs w:val="24"/>
        </w:rPr>
      </w:pPr>
      <w:r w:rsidRPr="00E57E78">
        <w:rPr>
          <w:rFonts w:eastAsia="Times New Roman"/>
          <w:bCs/>
          <w:szCs w:val="24"/>
        </w:rPr>
        <w:t>Por otra parte, se destaca, que considerando el impulso a los compromisos étnicos del PMI, de los 62 sujetos étnicos de reparación colectiva que han sido indemnizados en el marco del proceso de reparación colectiva, con una inversión cercana a los 16.892 millones de pesos</w:t>
      </w:r>
      <w:r>
        <w:rPr>
          <w:rFonts w:eastAsia="Times New Roman"/>
          <w:bCs/>
          <w:szCs w:val="24"/>
        </w:rPr>
        <w:t>,</w:t>
      </w:r>
      <w:r w:rsidRPr="00E57E78">
        <w:rPr>
          <w:rFonts w:eastAsia="Times New Roman"/>
          <w:bCs/>
          <w:szCs w:val="24"/>
        </w:rPr>
        <w:t xml:space="preserve"> 35 de </w:t>
      </w:r>
      <w:r>
        <w:rPr>
          <w:rFonts w:eastAsia="Times New Roman"/>
          <w:bCs/>
          <w:szCs w:val="24"/>
        </w:rPr>
        <w:t>estos</w:t>
      </w:r>
      <w:r w:rsidRPr="00E57E78">
        <w:rPr>
          <w:rFonts w:eastAsia="Times New Roman"/>
          <w:bCs/>
          <w:szCs w:val="24"/>
        </w:rPr>
        <w:t xml:space="preserve"> sujetos se encuentran ubicados en municipios PDET, con una inversión cercana a los 9.786 millones de pesos</w:t>
      </w:r>
      <w:r w:rsidR="00100C31" w:rsidRPr="00E57E78">
        <w:rPr>
          <w:rStyle w:val="Refdenotaalpie"/>
          <w:rFonts w:eastAsia="Times New Roman"/>
          <w:bCs/>
          <w:szCs w:val="24"/>
        </w:rPr>
        <w:footnoteReference w:id="71"/>
      </w:r>
      <w:r w:rsidRPr="00E57E78">
        <w:rPr>
          <w:rFonts w:eastAsia="Times New Roman"/>
          <w:bCs/>
          <w:szCs w:val="24"/>
        </w:rPr>
        <w:t>.</w:t>
      </w:r>
    </w:p>
    <w:p w14:paraId="7AE2685A" w14:textId="654FF940" w:rsidR="00095139" w:rsidRDefault="00095139" w:rsidP="008357BF">
      <w:pPr>
        <w:pStyle w:val="SingleTxtG"/>
        <w:numPr>
          <w:ilvl w:val="0"/>
          <w:numId w:val="27"/>
        </w:numPr>
        <w:ind w:left="1134" w:firstLine="0"/>
        <w:rPr>
          <w:rFonts w:eastAsia="Times New Roman"/>
          <w:bCs/>
          <w:szCs w:val="24"/>
        </w:rPr>
      </w:pPr>
      <w:r w:rsidRPr="00616885">
        <w:rPr>
          <w:rFonts w:eastAsia="Times New Roman"/>
          <w:bCs/>
          <w:szCs w:val="24"/>
        </w:rPr>
        <w:t xml:space="preserve">En materia de </w:t>
      </w:r>
      <w:r>
        <w:rPr>
          <w:rFonts w:eastAsia="Times New Roman"/>
          <w:bCs/>
          <w:szCs w:val="24"/>
        </w:rPr>
        <w:t>r</w:t>
      </w:r>
      <w:r w:rsidRPr="00616885">
        <w:rPr>
          <w:rFonts w:eastAsia="Times New Roman"/>
          <w:bCs/>
          <w:szCs w:val="24"/>
        </w:rPr>
        <w:t xml:space="preserve">eincorporación, el </w:t>
      </w:r>
      <w:r>
        <w:rPr>
          <w:rFonts w:eastAsia="Times New Roman"/>
          <w:bCs/>
          <w:szCs w:val="24"/>
        </w:rPr>
        <w:t>Estado</w:t>
      </w:r>
      <w:r w:rsidRPr="00616885">
        <w:rPr>
          <w:rFonts w:eastAsia="Times New Roman"/>
          <w:bCs/>
          <w:szCs w:val="24"/>
        </w:rPr>
        <w:t xml:space="preserve"> ha garantizado los derechos de la población que hace tránsito a la legalidad, generando oportunidades que fortalezcan sus capacidades y así puedan desenvolverse plenamente como ciudadanos. De la población en reincorporación</w:t>
      </w:r>
      <w:r>
        <w:rPr>
          <w:rFonts w:eastAsia="Times New Roman"/>
          <w:bCs/>
          <w:szCs w:val="24"/>
        </w:rPr>
        <w:t>,</w:t>
      </w:r>
      <w:r w:rsidRPr="00616885">
        <w:rPr>
          <w:rFonts w:eastAsia="Times New Roman"/>
          <w:bCs/>
          <w:szCs w:val="24"/>
        </w:rPr>
        <w:t xml:space="preserve"> 2.170 personas se reconocen como pertenecientes a pueblos y comunidades étnicas.</w:t>
      </w:r>
    </w:p>
    <w:p w14:paraId="5ACA37DC" w14:textId="33DDFDF8" w:rsidR="00095139" w:rsidRDefault="00095139" w:rsidP="008357BF">
      <w:pPr>
        <w:pStyle w:val="SingleTxtG"/>
        <w:numPr>
          <w:ilvl w:val="0"/>
          <w:numId w:val="27"/>
        </w:numPr>
        <w:ind w:left="1134" w:firstLine="0"/>
        <w:rPr>
          <w:rFonts w:eastAsia="Times New Roman"/>
          <w:bCs/>
          <w:szCs w:val="24"/>
        </w:rPr>
      </w:pPr>
      <w:r>
        <w:rPr>
          <w:rFonts w:eastAsia="Times New Roman"/>
          <w:bCs/>
          <w:szCs w:val="24"/>
        </w:rPr>
        <w:t xml:space="preserve">El Estado adelanta el </w:t>
      </w:r>
      <w:r w:rsidRPr="00616885">
        <w:rPr>
          <w:rFonts w:eastAsia="Times New Roman"/>
          <w:bCs/>
          <w:szCs w:val="24"/>
        </w:rPr>
        <w:t>proceso de consulta previa con pueblos indígenas</w:t>
      </w:r>
      <w:r>
        <w:rPr>
          <w:rFonts w:eastAsia="Times New Roman"/>
          <w:bCs/>
          <w:szCs w:val="24"/>
        </w:rPr>
        <w:t xml:space="preserve"> frente al cual se </w:t>
      </w:r>
      <w:r w:rsidRPr="00616885">
        <w:rPr>
          <w:rFonts w:eastAsia="Times New Roman"/>
          <w:bCs/>
          <w:szCs w:val="24"/>
        </w:rPr>
        <w:t>suscribió el convenio 1521 de 2021 entre la</w:t>
      </w:r>
      <w:r>
        <w:rPr>
          <w:rFonts w:eastAsia="Times New Roman"/>
          <w:bCs/>
          <w:szCs w:val="24"/>
        </w:rPr>
        <w:t xml:space="preserve"> </w:t>
      </w:r>
      <w:r w:rsidRPr="00B12F5E">
        <w:rPr>
          <w:rFonts w:eastAsia="Times New Roman"/>
          <w:bCs/>
          <w:szCs w:val="24"/>
        </w:rPr>
        <w:t>Agencia para la Reincorporación y la Normalización</w:t>
      </w:r>
      <w:r w:rsidRPr="00616885">
        <w:rPr>
          <w:rFonts w:eastAsia="Times New Roman"/>
          <w:bCs/>
          <w:szCs w:val="24"/>
        </w:rPr>
        <w:t xml:space="preserve"> </w:t>
      </w:r>
      <w:r>
        <w:rPr>
          <w:rFonts w:eastAsia="Times New Roman"/>
          <w:bCs/>
          <w:szCs w:val="24"/>
        </w:rPr>
        <w:t>(</w:t>
      </w:r>
      <w:r w:rsidRPr="00616885">
        <w:rPr>
          <w:rFonts w:eastAsia="Times New Roman"/>
          <w:bCs/>
          <w:szCs w:val="24"/>
        </w:rPr>
        <w:t>ARN</w:t>
      </w:r>
      <w:r>
        <w:rPr>
          <w:rFonts w:eastAsia="Times New Roman"/>
          <w:bCs/>
          <w:szCs w:val="24"/>
        </w:rPr>
        <w:t>)</w:t>
      </w:r>
      <w:r w:rsidRPr="00616885">
        <w:rPr>
          <w:rFonts w:eastAsia="Times New Roman"/>
          <w:bCs/>
          <w:szCs w:val="24"/>
        </w:rPr>
        <w:t xml:space="preserve"> y la Organización Nacional de los Pueblos Indígenas </w:t>
      </w:r>
      <w:r w:rsidRPr="006D49C3">
        <w:t>de</w:t>
      </w:r>
      <w:r w:rsidRPr="00616885">
        <w:rPr>
          <w:rFonts w:eastAsia="Times New Roman"/>
          <w:bCs/>
          <w:szCs w:val="24"/>
        </w:rPr>
        <w:t xml:space="preserve"> la Amazonía Colombiana </w:t>
      </w:r>
      <w:r>
        <w:rPr>
          <w:rFonts w:eastAsia="Times New Roman"/>
          <w:bCs/>
          <w:szCs w:val="24"/>
        </w:rPr>
        <w:t>(</w:t>
      </w:r>
      <w:r w:rsidRPr="00616885">
        <w:rPr>
          <w:rFonts w:eastAsia="Times New Roman"/>
          <w:bCs/>
          <w:szCs w:val="24"/>
        </w:rPr>
        <w:t>OPIAC</w:t>
      </w:r>
      <w:r>
        <w:rPr>
          <w:rFonts w:eastAsia="Times New Roman"/>
          <w:bCs/>
          <w:szCs w:val="24"/>
        </w:rPr>
        <w:t>)</w:t>
      </w:r>
      <w:r w:rsidRPr="00616885">
        <w:rPr>
          <w:rFonts w:eastAsia="Times New Roman"/>
          <w:bCs/>
          <w:szCs w:val="24"/>
        </w:rPr>
        <w:t xml:space="preserve"> y el convenio 1522 entre la ARN y Gobierno Mayor (como organizaciones delegadas por la Comisión de Derechos de los Pueblos Indígenas), para la </w:t>
      </w:r>
      <w:r w:rsidRPr="00616885">
        <w:rPr>
          <w:rFonts w:eastAsia="Times New Roman"/>
          <w:bCs/>
          <w:szCs w:val="24"/>
        </w:rPr>
        <w:lastRenderedPageBreak/>
        <w:t xml:space="preserve">implementación de la segunda fase de la ruta metodológica especial y excepcional, que permita la consolidación del Programa Especial de Armonización para la Reintegración y Reincorporación Social y Económica con Enfoque Indígena y de Género y su instrumento normativo. </w:t>
      </w:r>
    </w:p>
    <w:p w14:paraId="1ACDD3CF" w14:textId="1329D708" w:rsidR="00095139" w:rsidRPr="006D49C3" w:rsidRDefault="00422939" w:rsidP="008357BF">
      <w:pPr>
        <w:pStyle w:val="SingleTxtG"/>
        <w:numPr>
          <w:ilvl w:val="0"/>
          <w:numId w:val="27"/>
        </w:numPr>
        <w:ind w:left="1134" w:firstLine="0"/>
      </w:pPr>
      <w:r>
        <w:t>F</w:t>
      </w:r>
      <w:r w:rsidR="00095139" w:rsidRPr="006D49C3">
        <w:t>rente a comunidades NARP, de las 2.170 personas en proceso de reincorporación autoreconocidas, 1.095 están vinculadas a 417 proyectos productivos, el 99</w:t>
      </w:r>
      <w:r w:rsidR="00796131">
        <w:t xml:space="preserve"> </w:t>
      </w:r>
      <w:r w:rsidR="00095139" w:rsidRPr="006D49C3">
        <w:t>% están afiliados al sistema de salud y se encuentran bancarizados, 768 personas con pertenencia étnica se benefician de los proyectos colectivos aprobados por el Consejo Nacional de Reincorporación (CNR), de los cuales, 179 corresponden a Negro(a), mulato(a), afrocolombiano(a) o afrodescendiente, 577 a indígena, 1 a Raizal, 1 a Gitano o Rom, 10 a Palenquero; y 390 personas con pertenencia étnica son beneficiarias de proyectos individuales de los cuales 124 corresponden a Negro(a), mulato(a), afrocolombiano(a) o afrodescendiente y 264 a Indígena</w:t>
      </w:r>
      <w:r w:rsidR="00100C31" w:rsidRPr="00816959">
        <w:rPr>
          <w:sz w:val="18"/>
          <w:szCs w:val="18"/>
          <w:vertAlign w:val="superscript"/>
        </w:rPr>
        <w:footnoteReference w:id="72"/>
      </w:r>
      <w:r w:rsidR="00095139" w:rsidRPr="006D49C3">
        <w:t>.</w:t>
      </w:r>
    </w:p>
    <w:p w14:paraId="65435A5A" w14:textId="297B8869" w:rsidR="00095139" w:rsidRPr="006D49C3" w:rsidRDefault="00095139" w:rsidP="008357BF">
      <w:pPr>
        <w:pStyle w:val="SingleTxtG"/>
        <w:numPr>
          <w:ilvl w:val="0"/>
          <w:numId w:val="27"/>
        </w:numPr>
        <w:ind w:left="1134" w:firstLine="0"/>
      </w:pPr>
      <w:r w:rsidRPr="006D49C3">
        <w:t>Adicionalmente, el Estado puso en marcha la Mesa Técnica Étnica del CNR, reconociendo la importancia de que exista un espacio de diálogo y concertación continua para avanzar con la implementación de las hojas de ruta y el cumplimiento de las garantías para las personas auto reconocidas como étnicas en proceso de reincorporación. A la fecha se han adelantado 14 sesiones técnicas</w:t>
      </w:r>
      <w:r w:rsidR="00100C31" w:rsidRPr="00816959">
        <w:rPr>
          <w:sz w:val="18"/>
          <w:szCs w:val="18"/>
          <w:vertAlign w:val="superscript"/>
        </w:rPr>
        <w:footnoteReference w:id="73"/>
      </w:r>
      <w:r w:rsidRPr="006D49C3">
        <w:t>.</w:t>
      </w:r>
    </w:p>
    <w:p w14:paraId="63EE2AB3" w14:textId="1B229FE3" w:rsidR="00095139" w:rsidRPr="00616885" w:rsidRDefault="00095139" w:rsidP="008357BF">
      <w:pPr>
        <w:pStyle w:val="SingleTxtG"/>
        <w:numPr>
          <w:ilvl w:val="0"/>
          <w:numId w:val="27"/>
        </w:numPr>
        <w:ind w:left="1134" w:firstLine="0"/>
        <w:rPr>
          <w:rFonts w:eastAsia="Times New Roman"/>
          <w:bCs/>
          <w:szCs w:val="24"/>
        </w:rPr>
      </w:pPr>
      <w:r w:rsidRPr="006D49C3">
        <w:t>En el marco de la garantía de participación de los pueblos y comunidades étnicas en la implementación de los PDET, se resalta que 715 cabildos y resguardos indígenas y 517 Consejos comunitarios de Comunidades NARP, participaron activamente en la ruta de construcción de los PDET. En este ejercicio se identificaron 17.531 iniciativas contenidas en los 16 Planes de Acción para la Transformación Regional (PATR) con un componente étnico. Hasta abril de 2022, 1.559 iniciativas propias étnicas cuentan con una ruta de gestión activada y 2.455 iniciativas comunes étnicas</w:t>
      </w:r>
      <w:r w:rsidRPr="00616885">
        <w:rPr>
          <w:rFonts w:eastAsia="Times New Roman"/>
          <w:bCs/>
          <w:szCs w:val="24"/>
        </w:rPr>
        <w:t xml:space="preserve"> cuentan con una ruta de gestión activada. Se logró la inclusión de 12.364 iniciativas PDET en los Planes de Desarrollo Territorial y en el marco de la estrategia “Yo me subo a mi PDET”, a diciembre de 2020, se logró gestionar 646 iniciativas propias étnicas y 447 iniciativas comunes étnicas</w:t>
      </w:r>
      <w:r w:rsidR="00100C31" w:rsidRPr="00973F39">
        <w:rPr>
          <w:rFonts w:eastAsia="Times New Roman"/>
          <w:bCs/>
          <w:sz w:val="18"/>
          <w:szCs w:val="18"/>
          <w:vertAlign w:val="superscript"/>
        </w:rPr>
        <w:footnoteReference w:id="74"/>
      </w:r>
      <w:r w:rsidRPr="00616885">
        <w:rPr>
          <w:rFonts w:eastAsia="Times New Roman"/>
          <w:bCs/>
          <w:szCs w:val="24"/>
        </w:rPr>
        <w:t>.</w:t>
      </w:r>
    </w:p>
    <w:p w14:paraId="42E90678" w14:textId="73D019DC" w:rsidR="00095139" w:rsidRPr="00616885" w:rsidRDefault="00095139" w:rsidP="008357BF">
      <w:pPr>
        <w:pStyle w:val="SingleTxtG"/>
        <w:numPr>
          <w:ilvl w:val="0"/>
          <w:numId w:val="27"/>
        </w:numPr>
        <w:ind w:left="1134" w:firstLine="0"/>
        <w:rPr>
          <w:rFonts w:eastAsia="Times New Roman"/>
          <w:bCs/>
          <w:szCs w:val="24"/>
        </w:rPr>
      </w:pPr>
      <w:r w:rsidRPr="00616885">
        <w:rPr>
          <w:rFonts w:eastAsia="Times New Roman"/>
          <w:bCs/>
          <w:szCs w:val="24"/>
        </w:rPr>
        <w:t>En el compromiso continuo de este gobierno para garantizar los espacios de concertación con los</w:t>
      </w:r>
      <w:r>
        <w:rPr>
          <w:rFonts w:eastAsia="Times New Roman"/>
          <w:bCs/>
          <w:szCs w:val="24"/>
        </w:rPr>
        <w:t xml:space="preserve"> </w:t>
      </w:r>
      <w:r w:rsidRPr="00616885">
        <w:rPr>
          <w:rFonts w:eastAsia="Times New Roman"/>
          <w:bCs/>
          <w:szCs w:val="24"/>
        </w:rPr>
        <w:t xml:space="preserve">pueblos y comunidades étnicas, la Agencia de Renovación del Territorio, avanzó con la puesta en marcha del Mecanismo Especial de Consulta </w:t>
      </w:r>
      <w:r>
        <w:rPr>
          <w:rFonts w:eastAsia="Times New Roman"/>
          <w:bCs/>
          <w:szCs w:val="24"/>
        </w:rPr>
        <w:t>(</w:t>
      </w:r>
      <w:r w:rsidRPr="00616885">
        <w:rPr>
          <w:rFonts w:eastAsia="Times New Roman"/>
          <w:bCs/>
          <w:szCs w:val="24"/>
        </w:rPr>
        <w:t>MEC</w:t>
      </w:r>
      <w:r>
        <w:rPr>
          <w:rFonts w:eastAsia="Times New Roman"/>
          <w:bCs/>
          <w:szCs w:val="24"/>
        </w:rPr>
        <w:t>)</w:t>
      </w:r>
      <w:r w:rsidRPr="00616885">
        <w:rPr>
          <w:rFonts w:eastAsia="Times New Roman"/>
          <w:bCs/>
          <w:szCs w:val="24"/>
        </w:rPr>
        <w:t xml:space="preserve"> en 14 subregiones PDET</w:t>
      </w:r>
      <w:r w:rsidR="00100C31" w:rsidRPr="00973F39">
        <w:rPr>
          <w:rFonts w:eastAsia="Times New Roman"/>
          <w:bCs/>
          <w:sz w:val="18"/>
          <w:szCs w:val="18"/>
          <w:vertAlign w:val="superscript"/>
        </w:rPr>
        <w:footnoteReference w:id="75"/>
      </w:r>
      <w:r w:rsidRPr="00616885">
        <w:rPr>
          <w:rFonts w:eastAsia="Times New Roman"/>
          <w:bCs/>
          <w:szCs w:val="24"/>
        </w:rPr>
        <w:t>.</w:t>
      </w:r>
    </w:p>
    <w:p w14:paraId="00AA0396" w14:textId="16340A21" w:rsidR="00095139" w:rsidRDefault="00095139" w:rsidP="008357BF">
      <w:pPr>
        <w:pStyle w:val="SingleTxtG"/>
        <w:numPr>
          <w:ilvl w:val="0"/>
          <w:numId w:val="27"/>
        </w:numPr>
        <w:ind w:left="1134" w:firstLine="0"/>
        <w:rPr>
          <w:rFonts w:eastAsia="Times New Roman"/>
          <w:bCs/>
          <w:szCs w:val="24"/>
        </w:rPr>
      </w:pPr>
      <w:bookmarkStart w:id="4" w:name="_heading=h.gjdgxs" w:colFirst="0" w:colLast="0"/>
      <w:bookmarkStart w:id="5" w:name="_heading=h.6d50xyghtwnt" w:colFirst="0" w:colLast="0"/>
      <w:bookmarkEnd w:id="4"/>
      <w:bookmarkEnd w:id="5"/>
      <w:r w:rsidRPr="00616885">
        <w:rPr>
          <w:rFonts w:eastAsia="Times New Roman"/>
          <w:bCs/>
          <w:szCs w:val="24"/>
        </w:rPr>
        <w:t xml:space="preserve">En el marco del </w:t>
      </w:r>
      <w:r>
        <w:rPr>
          <w:rFonts w:eastAsia="Times New Roman"/>
          <w:bCs/>
          <w:szCs w:val="24"/>
        </w:rPr>
        <w:t xml:space="preserve">enfoque diferencial, el ICBF realiza acciones relacionadas con la atención y prevención de la vulnerabilidad nutricional prioritariamente en población rural y población rural dispersa mediante las modalidades de 1.000 días para cambiar el mundo y Centros de Recuperación Nutricional en donde se destacan las medidas para reducir los índices de </w:t>
      </w:r>
      <w:r w:rsidRPr="006D49C3">
        <w:t>desnutrición</w:t>
      </w:r>
      <w:r>
        <w:rPr>
          <w:rFonts w:eastAsia="Times New Roman"/>
          <w:bCs/>
          <w:szCs w:val="24"/>
        </w:rPr>
        <w:t xml:space="preserve"> de los niños y niñas indígenas y NARP, atendiendo para el per</w:t>
      </w:r>
      <w:r w:rsidR="00D3621B">
        <w:rPr>
          <w:rFonts w:eastAsia="Times New Roman"/>
          <w:bCs/>
          <w:szCs w:val="24"/>
        </w:rPr>
        <w:t>í</w:t>
      </w:r>
      <w:r>
        <w:rPr>
          <w:rFonts w:eastAsia="Times New Roman"/>
          <w:bCs/>
          <w:szCs w:val="24"/>
        </w:rPr>
        <w:t>odo 2019</w:t>
      </w:r>
      <w:r w:rsidR="00D3621B">
        <w:rPr>
          <w:rFonts w:eastAsia="Times New Roman"/>
          <w:bCs/>
          <w:szCs w:val="24"/>
        </w:rPr>
        <w:t>-</w:t>
      </w:r>
      <w:r>
        <w:rPr>
          <w:rFonts w:eastAsia="Times New Roman"/>
          <w:bCs/>
          <w:szCs w:val="24"/>
        </w:rPr>
        <w:t>2022 un total de 56.063, de los cuales 80</w:t>
      </w:r>
      <w:r w:rsidR="00D3621B">
        <w:rPr>
          <w:rFonts w:eastAsia="Times New Roman"/>
          <w:bCs/>
          <w:szCs w:val="24"/>
        </w:rPr>
        <w:t xml:space="preserve"> </w:t>
      </w:r>
      <w:r>
        <w:rPr>
          <w:rFonts w:eastAsia="Times New Roman"/>
          <w:bCs/>
          <w:szCs w:val="24"/>
        </w:rPr>
        <w:t>% (44.918) son indígenas y 20</w:t>
      </w:r>
      <w:r w:rsidR="00D3621B">
        <w:rPr>
          <w:rFonts w:eastAsia="Times New Roman"/>
          <w:bCs/>
          <w:szCs w:val="24"/>
        </w:rPr>
        <w:t xml:space="preserve"> </w:t>
      </w:r>
      <w:r>
        <w:rPr>
          <w:rFonts w:eastAsia="Times New Roman"/>
          <w:bCs/>
          <w:szCs w:val="24"/>
        </w:rPr>
        <w:t>% (11.145) son NARP, al igual que 17.940 mujeres gestantes con bajo peso, de las cuales el 77</w:t>
      </w:r>
      <w:r w:rsidR="00D3621B">
        <w:rPr>
          <w:rFonts w:eastAsia="Times New Roman"/>
          <w:bCs/>
          <w:szCs w:val="24"/>
        </w:rPr>
        <w:t xml:space="preserve"> </w:t>
      </w:r>
      <w:r>
        <w:rPr>
          <w:rFonts w:eastAsia="Times New Roman"/>
          <w:bCs/>
          <w:szCs w:val="24"/>
        </w:rPr>
        <w:t>% (13.898) son indígenas y 23</w:t>
      </w:r>
      <w:r w:rsidR="00D3621B">
        <w:rPr>
          <w:rFonts w:eastAsia="Times New Roman"/>
          <w:bCs/>
          <w:szCs w:val="24"/>
        </w:rPr>
        <w:t xml:space="preserve"> </w:t>
      </w:r>
      <w:r>
        <w:rPr>
          <w:rFonts w:eastAsia="Times New Roman"/>
          <w:bCs/>
          <w:szCs w:val="24"/>
        </w:rPr>
        <w:t>% (4.042) son NARP</w:t>
      </w:r>
      <w:r w:rsidR="00100C31">
        <w:rPr>
          <w:rStyle w:val="Refdenotaalpie"/>
          <w:rFonts w:eastAsia="Times New Roman"/>
          <w:bCs/>
          <w:szCs w:val="24"/>
        </w:rPr>
        <w:footnoteReference w:id="76"/>
      </w:r>
      <w:r>
        <w:rPr>
          <w:rFonts w:eastAsia="Times New Roman"/>
          <w:bCs/>
          <w:szCs w:val="24"/>
        </w:rPr>
        <w:t>.</w:t>
      </w:r>
    </w:p>
    <w:p w14:paraId="15584ABE" w14:textId="53445436" w:rsidR="00095139" w:rsidRPr="00616885" w:rsidRDefault="00095139" w:rsidP="008357BF">
      <w:pPr>
        <w:pStyle w:val="SingleTxtG"/>
        <w:numPr>
          <w:ilvl w:val="0"/>
          <w:numId w:val="27"/>
        </w:numPr>
        <w:ind w:left="1134" w:firstLine="0"/>
        <w:rPr>
          <w:rFonts w:eastAsia="Times New Roman"/>
          <w:bCs/>
          <w:szCs w:val="24"/>
        </w:rPr>
      </w:pPr>
      <w:r>
        <w:rPr>
          <w:rFonts w:eastAsia="Times New Roman"/>
          <w:bCs/>
          <w:szCs w:val="24"/>
        </w:rPr>
        <w:t>De otra parte,</w:t>
      </w:r>
      <w:r w:rsidRPr="00616885">
        <w:rPr>
          <w:rFonts w:eastAsia="Times New Roman"/>
          <w:bCs/>
          <w:szCs w:val="24"/>
        </w:rPr>
        <w:t xml:space="preserve"> a </w:t>
      </w:r>
      <w:r w:rsidRPr="006D49C3">
        <w:t>través</w:t>
      </w:r>
      <w:r w:rsidRPr="00616885">
        <w:rPr>
          <w:rFonts w:eastAsia="Times New Roman"/>
          <w:bCs/>
          <w:szCs w:val="24"/>
        </w:rPr>
        <w:t xml:space="preserve"> del programa Colombia Mayor se asignaron un total de 28.634 cupos en 94 municipios rurales, rurales dispersos y PDET, que benefician a los adultos mayores más vulnerables de 355 resguardos indígenas</w:t>
      </w:r>
      <w:r w:rsidR="00100C31" w:rsidRPr="00973F39">
        <w:rPr>
          <w:rFonts w:eastAsia="Times New Roman"/>
          <w:bCs/>
          <w:sz w:val="18"/>
          <w:szCs w:val="18"/>
          <w:vertAlign w:val="superscript"/>
        </w:rPr>
        <w:footnoteReference w:id="77"/>
      </w:r>
      <w:r w:rsidRPr="00616885">
        <w:rPr>
          <w:rFonts w:eastAsia="Times New Roman"/>
          <w:bCs/>
          <w:szCs w:val="24"/>
        </w:rPr>
        <w:t>.</w:t>
      </w:r>
      <w:r w:rsidRPr="00973F39">
        <w:rPr>
          <w:rFonts w:eastAsia="Times New Roman"/>
          <w:bCs/>
          <w:sz w:val="18"/>
          <w:szCs w:val="18"/>
          <w:vertAlign w:val="superscript"/>
        </w:rPr>
        <w:t xml:space="preserve"> </w:t>
      </w:r>
    </w:p>
    <w:p w14:paraId="773805CE" w14:textId="6B756E05" w:rsidR="00095139" w:rsidRPr="008A69A9" w:rsidRDefault="00422939" w:rsidP="00422939">
      <w:pPr>
        <w:pStyle w:val="H23G"/>
      </w:pPr>
      <w:r>
        <w:lastRenderedPageBreak/>
        <w:tab/>
        <w:t>3.</w:t>
      </w:r>
      <w:r>
        <w:tab/>
      </w:r>
      <w:r w:rsidR="00095139" w:rsidRPr="008A69A9">
        <w:t>Medidas contra la discriminación estructural (recomendación párr. 17 CERD/C/COL/CO/17-19)</w:t>
      </w:r>
    </w:p>
    <w:p w14:paraId="3B43B0AD" w14:textId="4ED45C19" w:rsidR="00095139" w:rsidRPr="00EE1D58" w:rsidRDefault="00100C31" w:rsidP="00422939">
      <w:pPr>
        <w:pStyle w:val="H4G"/>
      </w:pPr>
      <w:r>
        <w:tab/>
        <w:t>a</w:t>
      </w:r>
      <w:r w:rsidR="00422939">
        <w:t>)</w:t>
      </w:r>
      <w:r w:rsidR="00422939">
        <w:tab/>
      </w:r>
      <w:r w:rsidR="00095139" w:rsidRPr="00EE1D58">
        <w:t xml:space="preserve">Protección contra la discriminación </w:t>
      </w:r>
      <w:r w:rsidR="00095139">
        <w:t xml:space="preserve">y medidas de </w:t>
      </w:r>
      <w:r w:rsidR="00095139" w:rsidRPr="00EE1D58">
        <w:t>inclusión social</w:t>
      </w:r>
    </w:p>
    <w:p w14:paraId="2EDDB03F" w14:textId="6575528D" w:rsidR="00095139" w:rsidRDefault="00095139" w:rsidP="008357BF">
      <w:pPr>
        <w:pStyle w:val="SingleTxtG"/>
        <w:numPr>
          <w:ilvl w:val="0"/>
          <w:numId w:val="27"/>
        </w:numPr>
        <w:ind w:left="1134" w:firstLine="0"/>
        <w:rPr>
          <w:rFonts w:eastAsia="Times New Roman"/>
          <w:bCs/>
          <w:iCs/>
          <w:szCs w:val="24"/>
        </w:rPr>
      </w:pPr>
      <w:r>
        <w:rPr>
          <w:rFonts w:eastAsia="Times New Roman"/>
          <w:bCs/>
          <w:iCs/>
          <w:szCs w:val="24"/>
        </w:rPr>
        <w:t>El Estado, comprometido con adelantar esfuerzos contra la discriminación racial,</w:t>
      </w:r>
      <w:r w:rsidRPr="003B3C33">
        <w:rPr>
          <w:rFonts w:eastAsia="Times New Roman"/>
          <w:bCs/>
          <w:iCs/>
          <w:szCs w:val="24"/>
        </w:rPr>
        <w:t xml:space="preserve"> expidi</w:t>
      </w:r>
      <w:r>
        <w:rPr>
          <w:rFonts w:eastAsia="Times New Roman"/>
          <w:bCs/>
          <w:iCs/>
          <w:szCs w:val="24"/>
        </w:rPr>
        <w:t>ó</w:t>
      </w:r>
      <w:r w:rsidRPr="003B3C33">
        <w:rPr>
          <w:rFonts w:eastAsia="Times New Roman"/>
          <w:bCs/>
          <w:iCs/>
          <w:szCs w:val="24"/>
        </w:rPr>
        <w:t xml:space="preserve"> la </w:t>
      </w:r>
      <w:r>
        <w:rPr>
          <w:rFonts w:eastAsia="Times New Roman"/>
          <w:bCs/>
          <w:iCs/>
          <w:szCs w:val="24"/>
        </w:rPr>
        <w:t>L</w:t>
      </w:r>
      <w:r w:rsidRPr="003B3C33">
        <w:rPr>
          <w:rFonts w:eastAsia="Times New Roman"/>
          <w:bCs/>
          <w:iCs/>
          <w:szCs w:val="24"/>
        </w:rPr>
        <w:t xml:space="preserve">ey 2160 de 2021 que permite celebrar contratos con las entidades estatales a los Cabildos Indígenas, asociaciones de Autoridades </w:t>
      </w:r>
      <w:r w:rsidRPr="006D49C3">
        <w:t>Tradicionales</w:t>
      </w:r>
      <w:r w:rsidRPr="003B3C33">
        <w:rPr>
          <w:rFonts w:eastAsia="Times New Roman"/>
          <w:bCs/>
          <w:iCs/>
          <w:szCs w:val="24"/>
        </w:rPr>
        <w:t xml:space="preserve"> Indígenas, </w:t>
      </w:r>
      <w:r>
        <w:rPr>
          <w:rFonts w:eastAsia="Times New Roman"/>
          <w:bCs/>
          <w:iCs/>
          <w:szCs w:val="24"/>
        </w:rPr>
        <w:t xml:space="preserve">y </w:t>
      </w:r>
      <w:r w:rsidRPr="003B3C33">
        <w:rPr>
          <w:rFonts w:eastAsia="Times New Roman"/>
          <w:bCs/>
          <w:iCs/>
          <w:szCs w:val="24"/>
        </w:rPr>
        <w:t xml:space="preserve">Consejos Comunitarios de las Comunidades Negras. Esta </w:t>
      </w:r>
      <w:r>
        <w:rPr>
          <w:rFonts w:eastAsia="Times New Roman"/>
          <w:bCs/>
          <w:iCs/>
          <w:szCs w:val="24"/>
        </w:rPr>
        <w:t>L</w:t>
      </w:r>
      <w:r w:rsidRPr="003B3C33">
        <w:rPr>
          <w:rFonts w:eastAsia="Times New Roman"/>
          <w:bCs/>
          <w:iCs/>
          <w:szCs w:val="24"/>
        </w:rPr>
        <w:t>ey, entre otras cosas, permite la contratación directa en los contratos cuyo objeto esté relacionado con el fortalecimiento del Gobierno Propio, la identidad cultural, el ejercicio de la autonomía, y la garantía de los Derechos de estas comunidades étnicas</w:t>
      </w:r>
      <w:r w:rsidR="00100C31">
        <w:rPr>
          <w:rStyle w:val="Refdenotaalpie"/>
          <w:rFonts w:eastAsia="Times New Roman"/>
          <w:bCs/>
          <w:iCs/>
          <w:szCs w:val="24"/>
        </w:rPr>
        <w:footnoteReference w:id="78"/>
      </w:r>
      <w:r w:rsidRPr="003B3C33">
        <w:rPr>
          <w:rFonts w:eastAsia="Times New Roman"/>
          <w:bCs/>
          <w:iCs/>
          <w:szCs w:val="24"/>
        </w:rPr>
        <w:t>.</w:t>
      </w:r>
    </w:p>
    <w:p w14:paraId="09BF1ABC" w14:textId="0B276103" w:rsidR="00095139" w:rsidRPr="003B3C33" w:rsidRDefault="00095139" w:rsidP="008357BF">
      <w:pPr>
        <w:pStyle w:val="SingleTxtG"/>
        <w:numPr>
          <w:ilvl w:val="0"/>
          <w:numId w:val="27"/>
        </w:numPr>
        <w:ind w:left="1134" w:firstLine="0"/>
        <w:rPr>
          <w:rFonts w:eastAsia="Times New Roman"/>
          <w:bCs/>
          <w:iCs/>
          <w:szCs w:val="24"/>
        </w:rPr>
      </w:pPr>
      <w:r>
        <w:rPr>
          <w:rFonts w:eastAsia="Times New Roman"/>
          <w:bCs/>
          <w:iCs/>
          <w:szCs w:val="24"/>
        </w:rPr>
        <w:t xml:space="preserve">Así mismo, el </w:t>
      </w:r>
      <w:r w:rsidRPr="006D49C3">
        <w:t>Estado</w:t>
      </w:r>
      <w:r>
        <w:rPr>
          <w:rFonts w:eastAsia="Times New Roman"/>
          <w:bCs/>
          <w:iCs/>
          <w:szCs w:val="24"/>
        </w:rPr>
        <w:t xml:space="preserve"> ha desarrollado </w:t>
      </w:r>
      <w:r w:rsidRPr="0066587A">
        <w:rPr>
          <w:rFonts w:eastAsia="Times New Roman"/>
          <w:bCs/>
          <w:iCs/>
          <w:szCs w:val="24"/>
        </w:rPr>
        <w:t xml:space="preserve">programas y proyectos de cooperación, </w:t>
      </w:r>
      <w:r>
        <w:rPr>
          <w:rFonts w:eastAsia="Times New Roman"/>
          <w:bCs/>
          <w:iCs/>
          <w:szCs w:val="24"/>
        </w:rPr>
        <w:t>a través d</w:t>
      </w:r>
      <w:r w:rsidRPr="0066587A">
        <w:rPr>
          <w:rFonts w:eastAsia="Times New Roman"/>
          <w:bCs/>
          <w:iCs/>
          <w:szCs w:val="24"/>
        </w:rPr>
        <w:t xml:space="preserve">el Ministerio del Interior </w:t>
      </w:r>
      <w:r>
        <w:rPr>
          <w:rFonts w:eastAsia="Times New Roman"/>
          <w:bCs/>
          <w:iCs/>
          <w:szCs w:val="24"/>
        </w:rPr>
        <w:t xml:space="preserve">y el </w:t>
      </w:r>
      <w:r w:rsidRPr="00ED3EF8">
        <w:rPr>
          <w:rFonts w:eastAsia="Times New Roman"/>
          <w:bCs/>
          <w:iCs/>
          <w:szCs w:val="24"/>
        </w:rPr>
        <w:t>Instituto Colombiano de Normas Técnicas y Certificación</w:t>
      </w:r>
      <w:r w:rsidRPr="0066587A">
        <w:rPr>
          <w:rFonts w:eastAsia="Times New Roman"/>
          <w:bCs/>
          <w:iCs/>
          <w:szCs w:val="24"/>
        </w:rPr>
        <w:t xml:space="preserve"> </w:t>
      </w:r>
      <w:r>
        <w:rPr>
          <w:rFonts w:eastAsia="Times New Roman"/>
          <w:bCs/>
          <w:iCs/>
          <w:szCs w:val="24"/>
        </w:rPr>
        <w:t>(</w:t>
      </w:r>
      <w:r w:rsidRPr="0066587A">
        <w:rPr>
          <w:rFonts w:eastAsia="Times New Roman"/>
          <w:bCs/>
          <w:iCs/>
          <w:szCs w:val="24"/>
        </w:rPr>
        <w:t>ICONTEC</w:t>
      </w:r>
      <w:r>
        <w:rPr>
          <w:rFonts w:eastAsia="Times New Roman"/>
          <w:bCs/>
          <w:iCs/>
          <w:szCs w:val="24"/>
        </w:rPr>
        <w:t>),</w:t>
      </w:r>
      <w:r w:rsidRPr="0066587A">
        <w:rPr>
          <w:rFonts w:eastAsia="Times New Roman"/>
          <w:bCs/>
          <w:iCs/>
          <w:szCs w:val="24"/>
        </w:rPr>
        <w:t xml:space="preserve"> para </w:t>
      </w:r>
      <w:r>
        <w:rPr>
          <w:rFonts w:eastAsia="Times New Roman"/>
          <w:bCs/>
          <w:iCs/>
          <w:szCs w:val="24"/>
        </w:rPr>
        <w:t>el</w:t>
      </w:r>
      <w:r w:rsidRPr="0066587A">
        <w:rPr>
          <w:rFonts w:eastAsia="Times New Roman"/>
          <w:bCs/>
          <w:iCs/>
          <w:szCs w:val="24"/>
        </w:rPr>
        <w:t xml:space="preserve"> desarrollo de un </w:t>
      </w:r>
      <w:r>
        <w:rPr>
          <w:rFonts w:eastAsia="Times New Roman"/>
          <w:bCs/>
          <w:iCs/>
          <w:szCs w:val="24"/>
        </w:rPr>
        <w:t>S</w:t>
      </w:r>
      <w:r w:rsidRPr="0066587A">
        <w:rPr>
          <w:rFonts w:eastAsia="Times New Roman"/>
          <w:bCs/>
          <w:iCs/>
          <w:szCs w:val="24"/>
        </w:rPr>
        <w:t>ello para la No Discriminación</w:t>
      </w:r>
      <w:r w:rsidRPr="00816959">
        <w:rPr>
          <w:rStyle w:val="Refdenotaalpie"/>
          <w:rFonts w:eastAsia="Times New Roman"/>
          <w:bCs/>
          <w:iCs/>
          <w:szCs w:val="18"/>
        </w:rPr>
        <w:footnoteReference w:id="79"/>
      </w:r>
      <w:r>
        <w:rPr>
          <w:rFonts w:eastAsia="Times New Roman"/>
          <w:bCs/>
          <w:iCs/>
          <w:szCs w:val="24"/>
        </w:rPr>
        <w:t xml:space="preserve">. Este Sello, </w:t>
      </w:r>
      <w:r w:rsidRPr="003B3C33">
        <w:rPr>
          <w:rFonts w:eastAsia="Times New Roman"/>
          <w:bCs/>
          <w:iCs/>
          <w:szCs w:val="24"/>
        </w:rPr>
        <w:t>es de naturaleza voluntaria e identifica una organización que previene y elimina cualquier tipo y forma de discriminación, ya sea por razones de etnia, color, origen nacional, familiar o social, lengua, religión, idioma, opinión política y filosófica, incluida la afiliación a un partido o movimiento político, posición económica, edad, orientación sexual, identidad de género, estado civil, estado de salud, discapacidad, aspecto físico o cualquier otra condición o situación social, de manera directa e indirecta</w:t>
      </w:r>
      <w:r w:rsidR="00100C31">
        <w:rPr>
          <w:rStyle w:val="Refdenotaalpie"/>
          <w:rFonts w:eastAsia="Times New Roman"/>
          <w:bCs/>
          <w:iCs/>
          <w:szCs w:val="24"/>
        </w:rPr>
        <w:footnoteReference w:id="80"/>
      </w:r>
      <w:r w:rsidRPr="003B3C33">
        <w:rPr>
          <w:rFonts w:eastAsia="Times New Roman"/>
          <w:bCs/>
          <w:iCs/>
          <w:szCs w:val="24"/>
        </w:rPr>
        <w:t>.</w:t>
      </w:r>
    </w:p>
    <w:p w14:paraId="03715A78" w14:textId="60ECDEC3" w:rsidR="00095139" w:rsidRDefault="00095139" w:rsidP="008357BF">
      <w:pPr>
        <w:pStyle w:val="SingleTxtG"/>
        <w:numPr>
          <w:ilvl w:val="0"/>
          <w:numId w:val="27"/>
        </w:numPr>
        <w:ind w:left="1134" w:firstLine="0"/>
        <w:rPr>
          <w:rFonts w:eastAsia="Times New Roman"/>
          <w:bCs/>
          <w:iCs/>
          <w:szCs w:val="24"/>
        </w:rPr>
      </w:pPr>
      <w:r w:rsidRPr="003B3C33">
        <w:rPr>
          <w:rFonts w:eastAsia="Times New Roman"/>
          <w:bCs/>
          <w:iCs/>
          <w:szCs w:val="24"/>
        </w:rPr>
        <w:t xml:space="preserve">El sello permite generar estrategias de inclusión </w:t>
      </w:r>
      <w:r>
        <w:rPr>
          <w:rFonts w:eastAsia="Times New Roman"/>
          <w:bCs/>
          <w:iCs/>
          <w:szCs w:val="24"/>
        </w:rPr>
        <w:t>y</w:t>
      </w:r>
      <w:r w:rsidRPr="003B3C33">
        <w:rPr>
          <w:rFonts w:eastAsia="Times New Roman"/>
          <w:bCs/>
          <w:iCs/>
          <w:szCs w:val="24"/>
        </w:rPr>
        <w:t xml:space="preserve"> tener una certificación sobre la no discriminación en las empresas</w:t>
      </w:r>
      <w:r>
        <w:rPr>
          <w:rFonts w:eastAsia="Times New Roman"/>
          <w:bCs/>
          <w:iCs/>
          <w:szCs w:val="24"/>
        </w:rPr>
        <w:t>, lo que</w:t>
      </w:r>
      <w:r w:rsidRPr="003B3C33">
        <w:rPr>
          <w:rFonts w:eastAsia="Times New Roman"/>
          <w:bCs/>
          <w:iCs/>
          <w:szCs w:val="24"/>
        </w:rPr>
        <w:t xml:space="preserve"> puede generar valor tanto para los colaboradores como para los clientes y marcar la diferencia en el sector. Así mismo, facilita hacer </w:t>
      </w:r>
      <w:r>
        <w:rPr>
          <w:rFonts w:eastAsia="Times New Roman"/>
          <w:bCs/>
          <w:iCs/>
          <w:szCs w:val="24"/>
        </w:rPr>
        <w:t>alianzas</w:t>
      </w:r>
      <w:r w:rsidRPr="003B3C33">
        <w:rPr>
          <w:rFonts w:eastAsia="Times New Roman"/>
          <w:bCs/>
          <w:iCs/>
          <w:szCs w:val="24"/>
        </w:rPr>
        <w:t xml:space="preserve"> con empresas que estén comprometidas con la inclusión y poder resaltarlas en los portales de trabajo para que sea un activo atractivo para las personas a la hora de buscar un nuevo lugar para trabajar</w:t>
      </w:r>
      <w:r w:rsidR="00100C31">
        <w:rPr>
          <w:rStyle w:val="Refdenotaalpie"/>
          <w:rFonts w:eastAsia="Times New Roman"/>
          <w:bCs/>
          <w:iCs/>
          <w:szCs w:val="24"/>
        </w:rPr>
        <w:footnoteReference w:id="81"/>
      </w:r>
      <w:r w:rsidRPr="003B3C33">
        <w:rPr>
          <w:rFonts w:eastAsia="Times New Roman"/>
          <w:bCs/>
          <w:iCs/>
          <w:szCs w:val="24"/>
        </w:rPr>
        <w:t>.</w:t>
      </w:r>
    </w:p>
    <w:p w14:paraId="2EA85B9A" w14:textId="3A69883C" w:rsidR="00095139" w:rsidRPr="00616885" w:rsidRDefault="00095139" w:rsidP="008357BF">
      <w:pPr>
        <w:pStyle w:val="SingleTxtG"/>
        <w:numPr>
          <w:ilvl w:val="0"/>
          <w:numId w:val="27"/>
        </w:numPr>
        <w:ind w:left="1134" w:firstLine="0"/>
        <w:rPr>
          <w:rFonts w:eastAsia="Times New Roman"/>
          <w:bCs/>
          <w:iCs/>
          <w:szCs w:val="24"/>
        </w:rPr>
      </w:pPr>
      <w:r>
        <w:rPr>
          <w:rFonts w:eastAsia="Times New Roman"/>
          <w:bCs/>
          <w:iCs/>
          <w:szCs w:val="24"/>
        </w:rPr>
        <w:t>En este sentido</w:t>
      </w:r>
      <w:r w:rsidRPr="003B3C33">
        <w:rPr>
          <w:rFonts w:eastAsia="Times New Roman"/>
          <w:bCs/>
          <w:iCs/>
          <w:szCs w:val="24"/>
        </w:rPr>
        <w:t xml:space="preserve">, se suscribió el contrato 1134 de 2022 con el ICONTEC en donde se contemplan las siguientes acciones: i) ampliar la cobertura de la capacitación y acompañamiento para la obtención del Sello de No Discriminación en organizaciones de todos los sectores, ii) elevar el referencial técnico a una Norma Técnica Colombiana que permitirá posicionar las acciones </w:t>
      </w:r>
      <w:r w:rsidRPr="006D49C3">
        <w:t>mínimas</w:t>
      </w:r>
      <w:r w:rsidRPr="003B3C33">
        <w:rPr>
          <w:rFonts w:eastAsia="Times New Roman"/>
          <w:bCs/>
          <w:iCs/>
          <w:szCs w:val="24"/>
        </w:rPr>
        <w:t xml:space="preserve"> preventivas de toda forma de discriminación en el ámbito laboral a un estándar internacional y, iii) apoyar la puesta en marcha del Observatorio “Colombia es de Todos”</w:t>
      </w:r>
      <w:r w:rsidR="00100C31" w:rsidRPr="00100C31">
        <w:rPr>
          <w:rStyle w:val="Refdenotaalpie"/>
          <w:rFonts w:eastAsia="Times New Roman"/>
          <w:bCs/>
          <w:iCs/>
          <w:szCs w:val="24"/>
        </w:rPr>
        <w:t xml:space="preserve"> </w:t>
      </w:r>
      <w:r w:rsidR="00100C31">
        <w:rPr>
          <w:rStyle w:val="Refdenotaalpie"/>
          <w:rFonts w:eastAsia="Times New Roman"/>
          <w:bCs/>
          <w:iCs/>
          <w:szCs w:val="24"/>
        </w:rPr>
        <w:footnoteReference w:id="82"/>
      </w:r>
      <w:r w:rsidRPr="003B3C33">
        <w:rPr>
          <w:rFonts w:eastAsia="Times New Roman"/>
          <w:bCs/>
          <w:iCs/>
          <w:szCs w:val="24"/>
        </w:rPr>
        <w:t>.</w:t>
      </w:r>
    </w:p>
    <w:p w14:paraId="0BCEEAA8" w14:textId="5C8D4FF0" w:rsidR="00095139" w:rsidRDefault="00095139" w:rsidP="008357BF">
      <w:pPr>
        <w:pStyle w:val="SingleTxtG"/>
        <w:numPr>
          <w:ilvl w:val="0"/>
          <w:numId w:val="27"/>
        </w:numPr>
        <w:ind w:left="1134" w:firstLine="0"/>
        <w:rPr>
          <w:rFonts w:eastAsia="Times New Roman"/>
          <w:bCs/>
          <w:szCs w:val="24"/>
        </w:rPr>
      </w:pPr>
      <w:r>
        <w:rPr>
          <w:rFonts w:eastAsia="Times New Roman"/>
          <w:bCs/>
          <w:szCs w:val="24"/>
        </w:rPr>
        <w:t xml:space="preserve">De otro lado, con el </w:t>
      </w:r>
      <w:r w:rsidRPr="00AB2EBD">
        <w:rPr>
          <w:rFonts w:eastAsia="Times New Roman"/>
          <w:bCs/>
          <w:szCs w:val="24"/>
        </w:rPr>
        <w:t>propósito de aminorar las brechas de desigualdad de las comunidades NARP</w:t>
      </w:r>
      <w:r>
        <w:rPr>
          <w:rFonts w:eastAsia="Times New Roman"/>
          <w:bCs/>
          <w:szCs w:val="24"/>
        </w:rPr>
        <w:t xml:space="preserve">, durante 2021 se realizaron actividades tendientes al </w:t>
      </w:r>
      <w:r w:rsidRPr="00AB2EBD">
        <w:rPr>
          <w:rFonts w:eastAsia="Times New Roman"/>
          <w:bCs/>
          <w:szCs w:val="24"/>
        </w:rPr>
        <w:t xml:space="preserve">fortalecimiento organizativo para </w:t>
      </w:r>
      <w:r>
        <w:rPr>
          <w:rFonts w:eastAsia="Times New Roman"/>
          <w:bCs/>
          <w:szCs w:val="24"/>
        </w:rPr>
        <w:t>estas</w:t>
      </w:r>
      <w:r w:rsidRPr="00AB2EBD">
        <w:rPr>
          <w:rFonts w:eastAsia="Times New Roman"/>
          <w:bCs/>
          <w:szCs w:val="24"/>
        </w:rPr>
        <w:t xml:space="preserve"> comunidades en 29 departamentos</w:t>
      </w:r>
      <w:r>
        <w:rPr>
          <w:rFonts w:eastAsia="Times New Roman"/>
          <w:bCs/>
          <w:szCs w:val="24"/>
        </w:rPr>
        <w:t>, entre las cuales se destacan</w:t>
      </w:r>
      <w:r w:rsidR="00100C31">
        <w:rPr>
          <w:rStyle w:val="Refdenotaalpie"/>
          <w:rFonts w:eastAsia="Times New Roman"/>
          <w:bCs/>
          <w:szCs w:val="24"/>
        </w:rPr>
        <w:footnoteReference w:id="83"/>
      </w:r>
      <w:r>
        <w:rPr>
          <w:rFonts w:eastAsia="Times New Roman"/>
          <w:bCs/>
          <w:szCs w:val="24"/>
        </w:rPr>
        <w:t>:</w:t>
      </w:r>
      <w:r w:rsidRPr="00973F39">
        <w:rPr>
          <w:rFonts w:eastAsia="Times New Roman"/>
          <w:bCs/>
          <w:sz w:val="18"/>
          <w:szCs w:val="18"/>
          <w:vertAlign w:val="superscript"/>
        </w:rPr>
        <w:t xml:space="preserve"> </w:t>
      </w:r>
    </w:p>
    <w:p w14:paraId="1C0CDBFE" w14:textId="40401824" w:rsidR="00095139" w:rsidRPr="00AB2EBD" w:rsidRDefault="00095139" w:rsidP="00422939">
      <w:pPr>
        <w:pStyle w:val="SingleTxtG"/>
        <w:numPr>
          <w:ilvl w:val="0"/>
          <w:numId w:val="29"/>
        </w:numPr>
        <w:ind w:left="1134" w:firstLine="567"/>
      </w:pPr>
      <w:r>
        <w:t>C</w:t>
      </w:r>
      <w:r w:rsidRPr="00AB2EBD">
        <w:t>reación del Comité Asesor de los Bancos de Proyectos para Comunidades, instancia encargada de emitir lineamientos para la financiación, evaluación y seguimiento a los proyectos susceptibles de financiación a través de los Bancos de Proyectos</w:t>
      </w:r>
      <w:r w:rsidR="0042099E">
        <w:rPr>
          <w:rStyle w:val="Refdenotaalpie"/>
        </w:rPr>
        <w:footnoteReference w:id="84"/>
      </w:r>
      <w:r w:rsidR="00280D2C">
        <w:t>;</w:t>
      </w:r>
    </w:p>
    <w:p w14:paraId="34605227" w14:textId="541A8F81" w:rsidR="00095139" w:rsidRPr="00AB2EBD" w:rsidRDefault="00095139" w:rsidP="00422939">
      <w:pPr>
        <w:pStyle w:val="SingleTxtG"/>
        <w:numPr>
          <w:ilvl w:val="0"/>
          <w:numId w:val="29"/>
        </w:numPr>
        <w:ind w:left="1134" w:firstLine="567"/>
      </w:pPr>
      <w:r w:rsidRPr="00AB2EBD">
        <w:t xml:space="preserve">Por medio del convenio 1401 de 2021, celebrado con el </w:t>
      </w:r>
      <w:r w:rsidRPr="00C84D27">
        <w:t xml:space="preserve">Instituto Nacional de Vías </w:t>
      </w:r>
      <w:r>
        <w:t>(</w:t>
      </w:r>
      <w:r w:rsidRPr="00AB2EBD">
        <w:t>INVIAS</w:t>
      </w:r>
      <w:r>
        <w:t>)</w:t>
      </w:r>
      <w:r w:rsidRPr="00AB2EBD">
        <w:t>, fueron aprobadas 16 iniciativas para el fortalecimiento organizativo de Consejos Comunitarios y demás formas organizativas de Comunidades NARP, con 49</w:t>
      </w:r>
      <w:r>
        <w:t>.</w:t>
      </w:r>
      <w:r w:rsidRPr="00AB2EBD">
        <w:t>305 beneficiarios directos, 53.123 indirectos, para un total de 102.428 beneficiarios y un valor total de inversión de más de $10.000 millones de pesos</w:t>
      </w:r>
      <w:r w:rsidR="0042099E" w:rsidRPr="00973F39">
        <w:rPr>
          <w:sz w:val="18"/>
          <w:szCs w:val="18"/>
          <w:vertAlign w:val="superscript"/>
        </w:rPr>
        <w:footnoteReference w:id="85"/>
      </w:r>
      <w:r w:rsidR="00280D2C">
        <w:t>;</w:t>
      </w:r>
    </w:p>
    <w:p w14:paraId="6E3C6274" w14:textId="149DAB19" w:rsidR="00095139" w:rsidRPr="00AB2EBD" w:rsidRDefault="00095139" w:rsidP="00422939">
      <w:pPr>
        <w:pStyle w:val="SingleTxtG"/>
        <w:numPr>
          <w:ilvl w:val="0"/>
          <w:numId w:val="29"/>
        </w:numPr>
        <w:ind w:left="1134" w:firstLine="567"/>
      </w:pPr>
      <w:r w:rsidRPr="00AB2EBD">
        <w:lastRenderedPageBreak/>
        <w:t xml:space="preserve">Por medio del convenio de cooperación internacional 1874 de 2021, celebrado con la Organización de Estados Iberoamericanos </w:t>
      </w:r>
      <w:r>
        <w:t>(</w:t>
      </w:r>
      <w:r w:rsidRPr="00AB2EBD">
        <w:t>OEI</w:t>
      </w:r>
      <w:r>
        <w:t>)</w:t>
      </w:r>
      <w:r w:rsidRPr="00AB2EBD">
        <w:t>, se financiarán iniciativas de proyectos para el fortalecimiento organizativo de Consejos Comunitarios y demás formas organizativas de Comunidades NARP por un valor de 16 mil millones de pesos</w:t>
      </w:r>
      <w:r w:rsidR="0042099E" w:rsidRPr="00973F39">
        <w:rPr>
          <w:sz w:val="18"/>
          <w:szCs w:val="18"/>
          <w:vertAlign w:val="superscript"/>
        </w:rPr>
        <w:footnoteReference w:id="86"/>
      </w:r>
      <w:r w:rsidR="00280D2C">
        <w:t>;</w:t>
      </w:r>
    </w:p>
    <w:p w14:paraId="1D99F680" w14:textId="0225D8F6" w:rsidR="00095139" w:rsidRPr="00AB2EBD" w:rsidRDefault="00095139" w:rsidP="00422939">
      <w:pPr>
        <w:pStyle w:val="SingleTxtG"/>
        <w:numPr>
          <w:ilvl w:val="0"/>
          <w:numId w:val="29"/>
        </w:numPr>
        <w:ind w:left="1134" w:firstLine="567"/>
      </w:pPr>
      <w:r w:rsidRPr="00AB2EBD">
        <w:t xml:space="preserve">Por medio del convenio 1883 de 2021, celebrado con la Universidad Nacional, Abierta y a Distancia </w:t>
      </w:r>
      <w:r>
        <w:t>(</w:t>
      </w:r>
      <w:r w:rsidRPr="00AB2EBD">
        <w:t>UNAD</w:t>
      </w:r>
      <w:r>
        <w:t>)</w:t>
      </w:r>
      <w:r w:rsidRPr="00AB2EBD">
        <w:t>, se financiarán iniciativas de proyectos para el fortalecimiento organizativo de Consejos Comunitarios y demás formas organizativas de Comunidades NARP por un valor de 27.330 millones de pesos</w:t>
      </w:r>
      <w:r w:rsidR="0042099E" w:rsidRPr="00973F39">
        <w:rPr>
          <w:sz w:val="18"/>
          <w:szCs w:val="18"/>
          <w:vertAlign w:val="superscript"/>
        </w:rPr>
        <w:footnoteReference w:id="87"/>
      </w:r>
      <w:r w:rsidRPr="00AB2EBD">
        <w:t>.</w:t>
      </w:r>
    </w:p>
    <w:p w14:paraId="369257CE" w14:textId="5CACAF19" w:rsidR="00095139" w:rsidRPr="00AB2EBD" w:rsidRDefault="00095139" w:rsidP="008357BF">
      <w:pPr>
        <w:pStyle w:val="SingleTxtG"/>
        <w:numPr>
          <w:ilvl w:val="0"/>
          <w:numId w:val="27"/>
        </w:numPr>
        <w:ind w:left="1134" w:firstLine="0"/>
        <w:rPr>
          <w:rFonts w:eastAsia="Times New Roman"/>
          <w:bCs/>
          <w:szCs w:val="24"/>
        </w:rPr>
      </w:pPr>
      <w:r>
        <w:rPr>
          <w:rFonts w:eastAsia="Times New Roman"/>
          <w:bCs/>
          <w:szCs w:val="24"/>
        </w:rPr>
        <w:t xml:space="preserve">Por otra parte, el Estado </w:t>
      </w:r>
      <w:r w:rsidRPr="00AB2EBD">
        <w:rPr>
          <w:rFonts w:eastAsia="Times New Roman"/>
          <w:bCs/>
          <w:szCs w:val="24"/>
        </w:rPr>
        <w:t xml:space="preserve">ha financiado propuestas en concertación con los pueblos indígenas a través de cinco líneas de inversión: Derechos Territoriales, Emprendimiento, Fortalecimiento, Infraestructura, </w:t>
      </w:r>
      <w:r>
        <w:rPr>
          <w:rFonts w:eastAsia="Times New Roman"/>
          <w:bCs/>
          <w:szCs w:val="24"/>
        </w:rPr>
        <w:t xml:space="preserve">y </w:t>
      </w:r>
      <w:r w:rsidRPr="00AB2EBD">
        <w:rPr>
          <w:rFonts w:eastAsia="Times New Roman"/>
          <w:bCs/>
          <w:szCs w:val="24"/>
        </w:rPr>
        <w:t>Mujer. Entre 2020 y 2021 la ejecución de proyectos que busca disminuir brechas sociales tuvo una financiación total de 193.000 millones alcanzando cerca de 360.000 beneficiarios para este grupo poblacional</w:t>
      </w:r>
      <w:r w:rsidR="0042099E" w:rsidRPr="00973F39">
        <w:rPr>
          <w:rFonts w:eastAsia="Times New Roman"/>
          <w:bCs/>
          <w:sz w:val="18"/>
          <w:szCs w:val="18"/>
          <w:vertAlign w:val="superscript"/>
        </w:rPr>
        <w:footnoteReference w:id="88"/>
      </w:r>
      <w:r w:rsidRPr="00AB2EBD">
        <w:rPr>
          <w:rFonts w:eastAsia="Times New Roman"/>
          <w:bCs/>
          <w:szCs w:val="24"/>
        </w:rPr>
        <w:t>.</w:t>
      </w:r>
    </w:p>
    <w:p w14:paraId="273F425E" w14:textId="7C518D5A" w:rsidR="00095139" w:rsidRPr="00AB2EBD" w:rsidRDefault="00095139" w:rsidP="008357BF">
      <w:pPr>
        <w:pStyle w:val="SingleTxtG"/>
        <w:numPr>
          <w:ilvl w:val="0"/>
          <w:numId w:val="27"/>
        </w:numPr>
        <w:ind w:left="1134" w:firstLine="0"/>
        <w:rPr>
          <w:rFonts w:eastAsia="Times New Roman"/>
          <w:bCs/>
          <w:szCs w:val="24"/>
        </w:rPr>
      </w:pPr>
      <w:r w:rsidRPr="006D49C3">
        <w:t>En</w:t>
      </w:r>
      <w:r w:rsidRPr="00396E79">
        <w:rPr>
          <w:rFonts w:eastAsia="Times New Roman"/>
          <w:bCs/>
          <w:szCs w:val="24"/>
        </w:rPr>
        <w:t xml:space="preserve"> 2020, con la estrategia denominada Banco de Proyectos Siembra, que atiende temas de</w:t>
      </w:r>
      <w:r w:rsidRPr="00AB2EBD">
        <w:rPr>
          <w:rFonts w:eastAsia="Times New Roman"/>
          <w:bCs/>
          <w:szCs w:val="24"/>
        </w:rPr>
        <w:t xml:space="preserve"> prevención </w:t>
      </w:r>
      <w:r>
        <w:rPr>
          <w:rFonts w:eastAsia="Times New Roman"/>
          <w:bCs/>
          <w:szCs w:val="24"/>
        </w:rPr>
        <w:t>de</w:t>
      </w:r>
      <w:r w:rsidRPr="00AB2EBD">
        <w:rPr>
          <w:rFonts w:eastAsia="Times New Roman"/>
          <w:bCs/>
          <w:szCs w:val="24"/>
        </w:rPr>
        <w:t xml:space="preserve"> reclutamiento forzado de NNA, fortalecimiento de organizaciones sociales y comunidades con incidencia y gestión productiva, </w:t>
      </w:r>
      <w:r>
        <w:rPr>
          <w:rFonts w:eastAsia="Times New Roman"/>
          <w:bCs/>
          <w:szCs w:val="24"/>
        </w:rPr>
        <w:t>s</w:t>
      </w:r>
      <w:r w:rsidRPr="00AB2EBD">
        <w:rPr>
          <w:rFonts w:eastAsia="Times New Roman"/>
          <w:bCs/>
          <w:szCs w:val="24"/>
        </w:rPr>
        <w:t>e realizaron 79 proyectos, impactando 20 departamentos y 60 municipios, según las siguientes líneas de acción: dotación deportiva, tecnológica, cultural, proyectos productivos e iniciativas de formación</w:t>
      </w:r>
      <w:r w:rsidR="0042099E" w:rsidRPr="00973F39">
        <w:rPr>
          <w:rFonts w:eastAsia="Times New Roman"/>
          <w:bCs/>
          <w:sz w:val="18"/>
          <w:szCs w:val="18"/>
          <w:vertAlign w:val="superscript"/>
        </w:rPr>
        <w:footnoteReference w:id="89"/>
      </w:r>
      <w:r w:rsidRPr="00AB2EBD">
        <w:rPr>
          <w:rFonts w:eastAsia="Times New Roman"/>
          <w:bCs/>
          <w:szCs w:val="24"/>
        </w:rPr>
        <w:t>.</w:t>
      </w:r>
    </w:p>
    <w:p w14:paraId="40E1E365" w14:textId="008203AA" w:rsidR="00095139" w:rsidRPr="00AB2EBD" w:rsidRDefault="00095139" w:rsidP="008357BF">
      <w:pPr>
        <w:pStyle w:val="SingleTxtG"/>
        <w:numPr>
          <w:ilvl w:val="0"/>
          <w:numId w:val="27"/>
        </w:numPr>
        <w:ind w:left="1134" w:firstLine="0"/>
        <w:rPr>
          <w:rFonts w:eastAsia="Times New Roman"/>
          <w:bCs/>
          <w:szCs w:val="24"/>
        </w:rPr>
      </w:pPr>
      <w:r w:rsidRPr="00AB2EBD">
        <w:rPr>
          <w:rFonts w:eastAsia="Times New Roman"/>
          <w:bCs/>
          <w:szCs w:val="24"/>
        </w:rPr>
        <w:t xml:space="preserve">Así, con una inversión de $6.206.519.840 para el 2020, se logró mejorar la calidad de vida de organizaciones </w:t>
      </w:r>
      <w:r w:rsidRPr="006D49C3">
        <w:t>sociales</w:t>
      </w:r>
      <w:r w:rsidRPr="00AB2EBD">
        <w:rPr>
          <w:rFonts w:eastAsia="Times New Roman"/>
          <w:bCs/>
          <w:szCs w:val="24"/>
        </w:rPr>
        <w:t>, líderes y defensores de derechos humanos, así como sus comunidades, incluyendo mujeres, jóvenes, indígenas, comunidades NARP, organizaciones LGBTI,</w:t>
      </w:r>
      <w:r>
        <w:rPr>
          <w:rFonts w:eastAsia="Times New Roman"/>
          <w:bCs/>
          <w:szCs w:val="24"/>
        </w:rPr>
        <w:t xml:space="preserve"> y</w:t>
      </w:r>
      <w:r w:rsidRPr="00AB2EBD">
        <w:rPr>
          <w:rFonts w:eastAsia="Times New Roman"/>
          <w:bCs/>
          <w:szCs w:val="24"/>
        </w:rPr>
        <w:t xml:space="preserve"> </w:t>
      </w:r>
      <w:r>
        <w:rPr>
          <w:rFonts w:eastAsia="Times New Roman"/>
          <w:bCs/>
          <w:szCs w:val="24"/>
        </w:rPr>
        <w:t>NNA</w:t>
      </w:r>
      <w:r w:rsidR="0042099E" w:rsidRPr="00973F39">
        <w:rPr>
          <w:rFonts w:eastAsia="Times New Roman"/>
          <w:bCs/>
          <w:sz w:val="18"/>
          <w:szCs w:val="18"/>
          <w:vertAlign w:val="superscript"/>
        </w:rPr>
        <w:footnoteReference w:id="90"/>
      </w:r>
      <w:r w:rsidRPr="00AB2EBD">
        <w:rPr>
          <w:rFonts w:eastAsia="Times New Roman"/>
          <w:bCs/>
          <w:szCs w:val="24"/>
        </w:rPr>
        <w:t>.</w:t>
      </w:r>
    </w:p>
    <w:p w14:paraId="34DD6BF7" w14:textId="4E2D207C" w:rsidR="00095139" w:rsidRDefault="00095139" w:rsidP="008357BF">
      <w:pPr>
        <w:pStyle w:val="SingleTxtG"/>
        <w:numPr>
          <w:ilvl w:val="0"/>
          <w:numId w:val="27"/>
        </w:numPr>
        <w:ind w:left="1134" w:firstLine="0"/>
        <w:rPr>
          <w:rFonts w:eastAsia="Times New Roman"/>
          <w:bCs/>
          <w:szCs w:val="24"/>
        </w:rPr>
      </w:pPr>
      <w:r>
        <w:rPr>
          <w:rFonts w:eastAsia="Times New Roman"/>
          <w:bCs/>
          <w:szCs w:val="24"/>
        </w:rPr>
        <w:t>En</w:t>
      </w:r>
      <w:r w:rsidRPr="00AB2EBD">
        <w:rPr>
          <w:rFonts w:eastAsia="Times New Roman"/>
          <w:bCs/>
          <w:szCs w:val="24"/>
        </w:rPr>
        <w:t xml:space="preserve"> </w:t>
      </w:r>
      <w:r>
        <w:rPr>
          <w:rFonts w:eastAsia="Times New Roman"/>
          <w:bCs/>
          <w:szCs w:val="24"/>
        </w:rPr>
        <w:t xml:space="preserve">esta misma estrategia, para </w:t>
      </w:r>
      <w:r w:rsidRPr="00AB2EBD">
        <w:rPr>
          <w:rFonts w:eastAsia="Times New Roman"/>
          <w:bCs/>
          <w:szCs w:val="24"/>
        </w:rPr>
        <w:t>2021 se financiaron 59 proyectos presentados por comunidades</w:t>
      </w:r>
      <w:r>
        <w:rPr>
          <w:rFonts w:eastAsia="Times New Roman"/>
          <w:bCs/>
          <w:szCs w:val="24"/>
        </w:rPr>
        <w:t>, e</w:t>
      </w:r>
      <w:r w:rsidRPr="00AB2EBD">
        <w:rPr>
          <w:rFonts w:eastAsia="Times New Roman"/>
          <w:bCs/>
          <w:szCs w:val="24"/>
        </w:rPr>
        <w:t xml:space="preserve">l valor del proyecto fue de </w:t>
      </w:r>
      <w:r>
        <w:rPr>
          <w:rFonts w:eastAsia="Times New Roman"/>
          <w:bCs/>
          <w:szCs w:val="24"/>
        </w:rPr>
        <w:t xml:space="preserve">$ </w:t>
      </w:r>
      <w:r w:rsidRPr="00AB2EBD">
        <w:rPr>
          <w:rFonts w:eastAsia="Times New Roman"/>
          <w:bCs/>
          <w:szCs w:val="24"/>
        </w:rPr>
        <w:t>2.000.000.000</w:t>
      </w:r>
      <w:r>
        <w:rPr>
          <w:rFonts w:eastAsia="Times New Roman"/>
          <w:bCs/>
          <w:szCs w:val="24"/>
        </w:rPr>
        <w:t xml:space="preserve">. </w:t>
      </w:r>
      <w:r w:rsidRPr="00AB2EBD">
        <w:rPr>
          <w:rFonts w:eastAsia="Times New Roman"/>
          <w:bCs/>
          <w:szCs w:val="24"/>
        </w:rPr>
        <w:t>Se impactaron 21.254 personas</w:t>
      </w:r>
      <w:r>
        <w:rPr>
          <w:rFonts w:eastAsia="Times New Roman"/>
          <w:bCs/>
          <w:szCs w:val="24"/>
        </w:rPr>
        <w:t xml:space="preserve"> y </w:t>
      </w:r>
      <w:r w:rsidRPr="00AB2EBD">
        <w:rPr>
          <w:rFonts w:eastAsia="Times New Roman"/>
          <w:bCs/>
          <w:szCs w:val="24"/>
        </w:rPr>
        <w:t>se beneficiaron 15 departamentos y 55 municipios. Se entregaron 8 dotaciones deportivas, 34 dotaciones tecnológicas y 17 dotaciones productivas</w:t>
      </w:r>
      <w:r w:rsidR="0042099E" w:rsidRPr="00973F39">
        <w:rPr>
          <w:rFonts w:eastAsia="Times New Roman"/>
          <w:bCs/>
          <w:sz w:val="18"/>
          <w:szCs w:val="18"/>
          <w:vertAlign w:val="superscript"/>
        </w:rPr>
        <w:footnoteReference w:id="91"/>
      </w:r>
      <w:r w:rsidRPr="00AB2EBD">
        <w:rPr>
          <w:rFonts w:eastAsia="Times New Roman"/>
          <w:bCs/>
          <w:szCs w:val="24"/>
        </w:rPr>
        <w:t>.</w:t>
      </w:r>
    </w:p>
    <w:p w14:paraId="2D83A724" w14:textId="799B696D" w:rsidR="00095139" w:rsidRPr="006D49C3" w:rsidRDefault="00095139" w:rsidP="008357BF">
      <w:pPr>
        <w:pStyle w:val="SingleTxtG"/>
        <w:numPr>
          <w:ilvl w:val="0"/>
          <w:numId w:val="27"/>
        </w:numPr>
        <w:ind w:left="1134" w:firstLine="0"/>
      </w:pPr>
      <w:r w:rsidRPr="006D49C3">
        <w:t>Por otra parte, el Estado colombiano diseñó la “Ruta para la Superación de la Pobreza”</w:t>
      </w:r>
      <w:r w:rsidRPr="00973F39">
        <w:rPr>
          <w:sz w:val="18"/>
          <w:szCs w:val="18"/>
          <w:vertAlign w:val="superscript"/>
        </w:rPr>
        <w:footnoteReference w:id="92"/>
      </w:r>
      <w:r w:rsidRPr="006D49C3">
        <w:t>, como apuesta de política dirigida a desarrollar capacidades en la población, dinamizar el acceso a las oportunidades y la generación de ingresos de los hogares, a través del acceso a la oferta integral con estrategias de inclusión social y productiva</w:t>
      </w:r>
      <w:r w:rsidR="0042099E" w:rsidRPr="00973F39">
        <w:rPr>
          <w:sz w:val="18"/>
          <w:szCs w:val="18"/>
          <w:vertAlign w:val="superscript"/>
        </w:rPr>
        <w:footnoteReference w:id="93"/>
      </w:r>
      <w:r w:rsidRPr="006D49C3">
        <w:t>.</w:t>
      </w:r>
    </w:p>
    <w:p w14:paraId="2EAFE3B3" w14:textId="6B8E9889" w:rsidR="00095139" w:rsidRPr="006D49C3" w:rsidRDefault="00095139" w:rsidP="008357BF">
      <w:pPr>
        <w:pStyle w:val="SingleTxtG"/>
        <w:numPr>
          <w:ilvl w:val="0"/>
          <w:numId w:val="27"/>
        </w:numPr>
        <w:ind w:left="1134" w:firstLine="0"/>
      </w:pPr>
      <w:r w:rsidRPr="006D49C3">
        <w:t>Así mismo, en el período comprendido entre 2018 a 2021, el Estado continuó con la implementación de 5 programas de transferencias monetarias: Familias en Acción; Jóvenes en Acción; Ingreso Solidario; Compensación del Impuesto Sobre las Ventas (IVA); y Protección Social al Adulto Mayor - Colombia Mayor (la descripción de estos programas puede ser consultada en el Anexo 8). Estos programas incluyen a comunidades indígenas (cifras de atención en el Anexo 8 - Tabla 1) y comunidades afrodescendientes (cifras de atención en el Anexo 8 - Tabla 2), y buscan llegar a la población de mayor vulnerabilidad respondiendo a niveles de pobreza extrema y pobreza moderada</w:t>
      </w:r>
      <w:r w:rsidR="0042099E" w:rsidRPr="00973F39">
        <w:rPr>
          <w:sz w:val="18"/>
          <w:szCs w:val="18"/>
          <w:vertAlign w:val="superscript"/>
        </w:rPr>
        <w:footnoteReference w:id="94"/>
      </w:r>
      <w:r w:rsidRPr="006D49C3">
        <w:t>.</w:t>
      </w:r>
    </w:p>
    <w:p w14:paraId="2CBF18C7" w14:textId="6FC2B5E2" w:rsidR="00095139" w:rsidRPr="006D49C3" w:rsidRDefault="00095139" w:rsidP="008357BF">
      <w:pPr>
        <w:pStyle w:val="SingleTxtG"/>
        <w:numPr>
          <w:ilvl w:val="0"/>
          <w:numId w:val="27"/>
        </w:numPr>
        <w:ind w:left="1134" w:firstLine="0"/>
      </w:pPr>
      <w:r w:rsidRPr="006D49C3">
        <w:t xml:space="preserve">Por otra parte, y con el fin de promover la inclusión social, el Estado colombiano a través del Ministerio de Educación Nacional (MEN) desarrolló actividades de cualificación sobre políticas de atención a grupos étnicos dirigido a los funcionarios de la entidad, mediante </w:t>
      </w:r>
      <w:r w:rsidRPr="006D49C3">
        <w:lastRenderedPageBreak/>
        <w:t>la iniciativa de “Escuela Corporativa”</w:t>
      </w:r>
      <w:r w:rsidRPr="00973F39">
        <w:rPr>
          <w:sz w:val="18"/>
          <w:szCs w:val="18"/>
          <w:vertAlign w:val="superscript"/>
        </w:rPr>
        <w:footnoteReference w:id="95"/>
      </w:r>
      <w:r w:rsidRPr="006D49C3">
        <w:t>. Este espacio estuvo orientado a fortalecer las capacidades de los servidores del MEN, especialmente a los del servicio al ciudadano, en el conocimiento de las características y necesidades de las diferentes poblaciones con el fin de mejorar su relacionamiento. De esta manera en el 2020 se desarrollaron 3 jornadas de sensibilización frente a los temas relativos a las comunidades y grupos étnicos en el país. (Anexo 9 - Tabla 1)</w:t>
      </w:r>
      <w:r w:rsidR="00D91788">
        <w:rPr>
          <w:rStyle w:val="Refdenotaalpie"/>
        </w:rPr>
        <w:footnoteReference w:id="96"/>
      </w:r>
      <w:r w:rsidR="00D0295C">
        <w:t>.</w:t>
      </w:r>
    </w:p>
    <w:p w14:paraId="3A266076" w14:textId="54838D80" w:rsidR="00095139" w:rsidRPr="006D49C3" w:rsidRDefault="00095139" w:rsidP="008357BF">
      <w:pPr>
        <w:pStyle w:val="SingleTxtG"/>
        <w:numPr>
          <w:ilvl w:val="0"/>
          <w:numId w:val="27"/>
        </w:numPr>
        <w:ind w:left="1134" w:firstLine="0"/>
      </w:pPr>
      <w:r w:rsidRPr="006D49C3">
        <w:t>Así mismo, para el año 2021 se construyeron 3 módulos, uno por cada población como material de apoyo para la “Escuela Corporativa” y el 23 de noviembre se realizó una jornada de refuerzo sobre todas las poblaciones que contó con la participación de 96 servidores públicos, como un curso de atención a poblaciones étnicas, el cual todos los servidores públicos del MEN harán en el 2022</w:t>
      </w:r>
      <w:r w:rsidR="00D0295C">
        <w:rPr>
          <w:rStyle w:val="Refdenotaalpie"/>
        </w:rPr>
        <w:footnoteReference w:id="97"/>
      </w:r>
      <w:r w:rsidRPr="006D49C3">
        <w:t>.</w:t>
      </w:r>
    </w:p>
    <w:p w14:paraId="6D4F645C" w14:textId="179E5C0C" w:rsidR="00095139" w:rsidRPr="006D49C3" w:rsidRDefault="00095139" w:rsidP="008357BF">
      <w:pPr>
        <w:pStyle w:val="SingleTxtG"/>
        <w:numPr>
          <w:ilvl w:val="0"/>
          <w:numId w:val="27"/>
        </w:numPr>
        <w:ind w:left="1134" w:firstLine="0"/>
      </w:pPr>
      <w:r w:rsidRPr="006D49C3">
        <w:t>Adicionalmente, teniendo en cuenta la descentralización del sector educativo que cuenta con 96 entidades territoriales certificadas en educación (ETC) se creó la estrategia de Fortalecimiento Territorial del Sector Educativo para promover el cumplimiento de la normatividad vigente a favor de los derechos étnicos a la educación con pertinencia cultural</w:t>
      </w:r>
      <w:r w:rsidR="00D0295C" w:rsidRPr="00973F39">
        <w:rPr>
          <w:sz w:val="18"/>
          <w:szCs w:val="18"/>
          <w:vertAlign w:val="superscript"/>
        </w:rPr>
        <w:footnoteReference w:id="98"/>
      </w:r>
      <w:r w:rsidRPr="006D49C3">
        <w:t>.</w:t>
      </w:r>
    </w:p>
    <w:p w14:paraId="19CA00EE" w14:textId="47E99F73" w:rsidR="00095139" w:rsidRPr="006D49C3" w:rsidRDefault="00095139" w:rsidP="008357BF">
      <w:pPr>
        <w:pStyle w:val="SingleTxtG"/>
        <w:numPr>
          <w:ilvl w:val="0"/>
          <w:numId w:val="27"/>
        </w:numPr>
        <w:ind w:left="1134" w:firstLine="0"/>
      </w:pPr>
      <w:r w:rsidRPr="006D49C3">
        <w:t>Dicha estrategia se define como el conjunto de acciones para fortalecer las capacidades técnicas y personales del MEN y de las Secretarías de Educación para asegurar una gestión integral educativa (GIE) en todo el país. Gracias a ello las ETC fortalecen sus capacidades y mejoran la atención educativa a la población en general y en particular a los grupos poblacionales de interés</w:t>
      </w:r>
      <w:r w:rsidR="00D0295C" w:rsidRPr="00973F39">
        <w:rPr>
          <w:sz w:val="18"/>
          <w:szCs w:val="18"/>
          <w:vertAlign w:val="superscript"/>
        </w:rPr>
        <w:footnoteReference w:id="99"/>
      </w:r>
      <w:r w:rsidRPr="006D49C3">
        <w:t>.</w:t>
      </w:r>
    </w:p>
    <w:p w14:paraId="75926653" w14:textId="4C06FB06" w:rsidR="00095139" w:rsidRDefault="00095139" w:rsidP="008357BF">
      <w:pPr>
        <w:pStyle w:val="SingleTxtG"/>
        <w:numPr>
          <w:ilvl w:val="0"/>
          <w:numId w:val="27"/>
        </w:numPr>
        <w:ind w:left="1134" w:firstLine="0"/>
        <w:rPr>
          <w:rFonts w:eastAsia="Times New Roman"/>
          <w:bCs/>
          <w:szCs w:val="24"/>
        </w:rPr>
      </w:pPr>
      <w:r w:rsidRPr="006D49C3">
        <w:t>En esta medida, se desarrollan</w:t>
      </w:r>
      <w:r w:rsidRPr="001650DF">
        <w:rPr>
          <w:rFonts w:eastAsia="Times New Roman"/>
          <w:bCs/>
          <w:szCs w:val="24"/>
        </w:rPr>
        <w:t xml:space="preserve"> procesos de asistencia técnica a las ETC y </w:t>
      </w:r>
      <w:r>
        <w:rPr>
          <w:rFonts w:eastAsia="Times New Roman"/>
          <w:bCs/>
          <w:szCs w:val="24"/>
        </w:rPr>
        <w:t xml:space="preserve">a </w:t>
      </w:r>
      <w:r w:rsidRPr="001650DF">
        <w:rPr>
          <w:rFonts w:eastAsia="Times New Roman"/>
          <w:bCs/>
          <w:szCs w:val="24"/>
        </w:rPr>
        <w:t xml:space="preserve">las organizaciones étnicas en procesos de fortalecimiento de la política de atención educativa a grupos </w:t>
      </w:r>
      <w:r w:rsidRPr="006D49C3">
        <w:t>étnicos</w:t>
      </w:r>
      <w:r w:rsidRPr="001650DF">
        <w:rPr>
          <w:rFonts w:eastAsia="Times New Roman"/>
          <w:bCs/>
          <w:szCs w:val="24"/>
        </w:rPr>
        <w:t xml:space="preserve"> en situación de desplazamiento</w:t>
      </w:r>
      <w:r>
        <w:rPr>
          <w:rFonts w:eastAsia="Times New Roman"/>
          <w:bCs/>
          <w:szCs w:val="24"/>
        </w:rPr>
        <w:t>. E</w:t>
      </w:r>
      <w:r w:rsidRPr="001650DF">
        <w:rPr>
          <w:rFonts w:eastAsia="Times New Roman"/>
          <w:bCs/>
          <w:szCs w:val="24"/>
        </w:rPr>
        <w:t xml:space="preserve">stas asistencias técnicas se realizan principalmente a través de 3 metodologías: </w:t>
      </w:r>
      <w:r>
        <w:rPr>
          <w:rFonts w:eastAsia="Times New Roman"/>
          <w:bCs/>
          <w:szCs w:val="24"/>
        </w:rPr>
        <w:t xml:space="preserve">i) </w:t>
      </w:r>
      <w:r w:rsidRPr="001650DF">
        <w:rPr>
          <w:rFonts w:eastAsia="Times New Roman"/>
          <w:bCs/>
          <w:szCs w:val="24"/>
        </w:rPr>
        <w:t xml:space="preserve">talleres; </w:t>
      </w:r>
      <w:r>
        <w:rPr>
          <w:rFonts w:eastAsia="Times New Roman"/>
          <w:bCs/>
          <w:szCs w:val="24"/>
        </w:rPr>
        <w:t xml:space="preserve">ii) </w:t>
      </w:r>
      <w:r w:rsidRPr="001650DF">
        <w:rPr>
          <w:rFonts w:eastAsia="Times New Roman"/>
          <w:bCs/>
          <w:szCs w:val="24"/>
        </w:rPr>
        <w:t xml:space="preserve">jornadas y reuniones de trabajo; y </w:t>
      </w:r>
      <w:r>
        <w:rPr>
          <w:rFonts w:eastAsia="Times New Roman"/>
          <w:bCs/>
          <w:szCs w:val="24"/>
        </w:rPr>
        <w:t xml:space="preserve">iii) </w:t>
      </w:r>
      <w:r w:rsidRPr="001650DF">
        <w:rPr>
          <w:rFonts w:eastAsia="Times New Roman"/>
          <w:bCs/>
          <w:szCs w:val="24"/>
        </w:rPr>
        <w:t xml:space="preserve">acompañamiento y participación en espacios de diálogo y concertación promoviendo el encuentro entre las organizaciones y comunidades étnicas con las </w:t>
      </w:r>
      <w:r>
        <w:rPr>
          <w:rFonts w:eastAsia="Times New Roman"/>
          <w:bCs/>
          <w:szCs w:val="24"/>
        </w:rPr>
        <w:t>ETC</w:t>
      </w:r>
      <w:r w:rsidRPr="001650DF">
        <w:rPr>
          <w:rFonts w:eastAsia="Times New Roman"/>
          <w:bCs/>
          <w:szCs w:val="24"/>
        </w:rPr>
        <w:t>.</w:t>
      </w:r>
      <w:r>
        <w:rPr>
          <w:rFonts w:eastAsia="Times New Roman"/>
          <w:bCs/>
          <w:szCs w:val="24"/>
        </w:rPr>
        <w:t xml:space="preserve"> Entre </w:t>
      </w:r>
      <w:r w:rsidRPr="001650DF">
        <w:rPr>
          <w:rFonts w:eastAsia="Times New Roman"/>
          <w:bCs/>
          <w:szCs w:val="24"/>
        </w:rPr>
        <w:t>2019</w:t>
      </w:r>
      <w:r>
        <w:rPr>
          <w:rFonts w:eastAsia="Times New Roman"/>
          <w:bCs/>
          <w:szCs w:val="24"/>
        </w:rPr>
        <w:t xml:space="preserve"> y </w:t>
      </w:r>
      <w:r w:rsidRPr="001650DF">
        <w:rPr>
          <w:rFonts w:eastAsia="Times New Roman"/>
          <w:bCs/>
          <w:szCs w:val="24"/>
        </w:rPr>
        <w:t xml:space="preserve">2022 </w:t>
      </w:r>
      <w:r>
        <w:rPr>
          <w:rFonts w:eastAsia="Times New Roman"/>
          <w:bCs/>
          <w:szCs w:val="24"/>
        </w:rPr>
        <w:t xml:space="preserve">se realizaron </w:t>
      </w:r>
      <w:r w:rsidRPr="001650DF">
        <w:rPr>
          <w:rFonts w:eastAsia="Times New Roman"/>
          <w:bCs/>
          <w:szCs w:val="24"/>
        </w:rPr>
        <w:t>277 asistencias técnicas que contaron con la participación de 42 Secretarías de Educación Certificadas y 40 organizacione</w:t>
      </w:r>
      <w:r>
        <w:rPr>
          <w:rFonts w:eastAsia="Times New Roman"/>
          <w:bCs/>
          <w:szCs w:val="24"/>
        </w:rPr>
        <w:t>s</w:t>
      </w:r>
      <w:r w:rsidRPr="001650DF">
        <w:rPr>
          <w:rFonts w:eastAsia="Times New Roman"/>
          <w:bCs/>
          <w:szCs w:val="24"/>
        </w:rPr>
        <w:t xml:space="preserve">. </w:t>
      </w:r>
      <w:r>
        <w:rPr>
          <w:rFonts w:eastAsia="Times New Roman"/>
          <w:bCs/>
          <w:szCs w:val="24"/>
        </w:rPr>
        <w:t xml:space="preserve">En este mismo periodo, </w:t>
      </w:r>
      <w:r w:rsidRPr="001650DF">
        <w:rPr>
          <w:rFonts w:eastAsia="Times New Roman"/>
          <w:bCs/>
          <w:szCs w:val="24"/>
        </w:rPr>
        <w:t>se brindó asistencia a las Secretarías de Educación</w:t>
      </w:r>
      <w:r w:rsidRPr="00BA4EE8">
        <w:rPr>
          <w:rFonts w:eastAsia="Times New Roman"/>
          <w:bCs/>
          <w:szCs w:val="24"/>
        </w:rPr>
        <w:t xml:space="preserve"> </w:t>
      </w:r>
      <w:r w:rsidRPr="001650DF">
        <w:rPr>
          <w:rFonts w:eastAsia="Times New Roman"/>
          <w:bCs/>
          <w:szCs w:val="24"/>
        </w:rPr>
        <w:t>en temas de atención educativa a los grupos étnicos. (</w:t>
      </w:r>
      <w:r w:rsidRPr="00466512">
        <w:rPr>
          <w:rFonts w:eastAsia="Times New Roman"/>
          <w:bCs/>
          <w:szCs w:val="24"/>
        </w:rPr>
        <w:t>Anexo</w:t>
      </w:r>
      <w:r w:rsidR="00F002EC">
        <w:rPr>
          <w:rFonts w:eastAsia="Times New Roman"/>
          <w:bCs/>
          <w:szCs w:val="24"/>
        </w:rPr>
        <w:t> </w:t>
      </w:r>
      <w:r>
        <w:rPr>
          <w:rFonts w:eastAsia="Times New Roman"/>
          <w:bCs/>
          <w:szCs w:val="24"/>
        </w:rPr>
        <w:t>9</w:t>
      </w:r>
      <w:r w:rsidR="00F002EC">
        <w:rPr>
          <w:rFonts w:eastAsia="Times New Roman"/>
          <w:bCs/>
          <w:szCs w:val="24"/>
          <w:lang w:val="en-GB"/>
        </w:rPr>
        <w:noBreakHyphen/>
      </w:r>
      <w:r w:rsidRPr="00466512">
        <w:rPr>
          <w:rFonts w:eastAsia="Times New Roman"/>
          <w:bCs/>
          <w:szCs w:val="24"/>
        </w:rPr>
        <w:t xml:space="preserve"> Tabla 2</w:t>
      </w:r>
      <w:r w:rsidRPr="001650DF">
        <w:rPr>
          <w:rFonts w:eastAsia="Times New Roman"/>
          <w:bCs/>
          <w:szCs w:val="24"/>
        </w:rPr>
        <w:t>)</w:t>
      </w:r>
      <w:r w:rsidRPr="00973F39">
        <w:rPr>
          <w:rFonts w:eastAsia="Times New Roman"/>
          <w:bCs/>
          <w:sz w:val="18"/>
          <w:szCs w:val="18"/>
          <w:vertAlign w:val="superscript"/>
        </w:rPr>
        <w:footnoteReference w:id="100"/>
      </w:r>
      <w:r w:rsidR="00D0295C">
        <w:rPr>
          <w:rFonts w:eastAsia="Times New Roman"/>
          <w:bCs/>
          <w:szCs w:val="24"/>
        </w:rPr>
        <w:t>.</w:t>
      </w:r>
    </w:p>
    <w:p w14:paraId="0C6C8361" w14:textId="0424047F" w:rsidR="00095139" w:rsidRPr="006D49C3" w:rsidRDefault="00095139" w:rsidP="008357BF">
      <w:pPr>
        <w:pStyle w:val="SingleTxtG"/>
        <w:numPr>
          <w:ilvl w:val="0"/>
          <w:numId w:val="27"/>
        </w:numPr>
        <w:ind w:left="1134" w:firstLine="0"/>
      </w:pPr>
      <w:r w:rsidRPr="006D49C3">
        <w:t>Finalmente, es pertinente señalar que el Estado ha realizado jornadas de capacitación para el fomento de la inclusión laboral, la disminución de la discriminación racial y mecanismos específicos para la atención, el trámite y el tratamiento de quejas y situaciones sobre discriminación racial en el ámbito laboral. Para 2021 se realizaron 10 jornadas de capacitación y sensibilización a 219 personas pertenecientes a las Direcciones Territoriales del Ministerio del Trabajo de los Departamentos del Cauca, Bolívar, Sucre, Norte de Santander, funcionarios públicos de la Alcaldía de Melgar, miembros de comunidades NARP de los Departamentos de Boyacá, Casanare y Bolívar y miembros de las subcomisiones de políticas salariales de los Departamentos de Valle del Cauca y Cundinamarca</w:t>
      </w:r>
      <w:r w:rsidR="00D0295C" w:rsidRPr="00973F39">
        <w:rPr>
          <w:sz w:val="18"/>
          <w:szCs w:val="18"/>
          <w:vertAlign w:val="superscript"/>
        </w:rPr>
        <w:footnoteReference w:id="101"/>
      </w:r>
      <w:r w:rsidRPr="006D49C3">
        <w:t>.</w:t>
      </w:r>
    </w:p>
    <w:p w14:paraId="39F8D237" w14:textId="79CF5B50" w:rsidR="00095139" w:rsidRPr="00797984" w:rsidRDefault="00095139" w:rsidP="008357BF">
      <w:pPr>
        <w:pStyle w:val="SingleTxtG"/>
        <w:numPr>
          <w:ilvl w:val="0"/>
          <w:numId w:val="27"/>
        </w:numPr>
        <w:ind w:left="1134" w:firstLine="0"/>
        <w:rPr>
          <w:rFonts w:eastAsia="Times New Roman"/>
          <w:bCs/>
          <w:szCs w:val="24"/>
        </w:rPr>
      </w:pPr>
      <w:r w:rsidRPr="006D49C3">
        <w:t>Para 2022, con corte a agosto, se han realizado 16 jornadas de capacitación a 331 funcionarios públicos e Inspectores de Trabajo de las Direcciones Territoriales de los Departamentos de Huila, Amazonas, Guajira, Antioquia, Arauca, Valle del Cauca, Atlántico, Casanare, Choco, Nariño, San Andrés, Santander, Boyacá, Quindío; a 34 miembros de comunidades étnicas de los Departamentos de Caquetá y Boyacá; y 68 miembros de las subcomisiones de políticas salariales de los Departamentos de Magdalena y Norte de Santande</w:t>
      </w:r>
      <w:r w:rsidRPr="00797984">
        <w:rPr>
          <w:rFonts w:eastAsia="Times New Roman"/>
          <w:bCs/>
          <w:szCs w:val="24"/>
        </w:rPr>
        <w:t>r</w:t>
      </w:r>
      <w:r w:rsidR="00D0295C" w:rsidRPr="00973F39">
        <w:rPr>
          <w:rFonts w:eastAsia="Times New Roman"/>
          <w:bCs/>
          <w:sz w:val="18"/>
          <w:szCs w:val="18"/>
          <w:vertAlign w:val="superscript"/>
        </w:rPr>
        <w:footnoteReference w:id="102"/>
      </w:r>
      <w:r w:rsidRPr="00797984">
        <w:rPr>
          <w:rFonts w:eastAsia="Times New Roman"/>
          <w:bCs/>
          <w:szCs w:val="24"/>
        </w:rPr>
        <w:t>.</w:t>
      </w:r>
    </w:p>
    <w:p w14:paraId="19A567BE" w14:textId="1A096936" w:rsidR="00095139" w:rsidRPr="00A81AAE" w:rsidRDefault="00D0295C" w:rsidP="00D91788">
      <w:pPr>
        <w:pStyle w:val="H4G"/>
      </w:pPr>
      <w:r>
        <w:lastRenderedPageBreak/>
        <w:tab/>
      </w:r>
      <w:r w:rsidR="00D91788">
        <w:t>b)</w:t>
      </w:r>
      <w:r w:rsidR="00D91788">
        <w:tab/>
      </w:r>
      <w:r w:rsidR="00095139" w:rsidRPr="00A81AAE">
        <w:t>Derecho a la salud de comunidades étnicas</w:t>
      </w:r>
    </w:p>
    <w:p w14:paraId="79899CBE" w14:textId="1BFDDA0F" w:rsidR="00095139" w:rsidRPr="001A510C" w:rsidRDefault="00095139" w:rsidP="008357BF">
      <w:pPr>
        <w:pStyle w:val="SingleTxtG"/>
        <w:numPr>
          <w:ilvl w:val="0"/>
          <w:numId w:val="27"/>
        </w:numPr>
        <w:ind w:left="1134" w:firstLine="0"/>
        <w:rPr>
          <w:rFonts w:eastAsia="Times New Roman"/>
          <w:bCs/>
          <w:szCs w:val="24"/>
        </w:rPr>
      </w:pPr>
      <w:r>
        <w:rPr>
          <w:rFonts w:eastAsia="Times New Roman"/>
          <w:bCs/>
          <w:szCs w:val="24"/>
        </w:rPr>
        <w:t xml:space="preserve"> Ahora bien, frente a la garantía del derecho a la salud a las comunidades étnicas, el Estado colombiano a través del </w:t>
      </w:r>
      <w:r w:rsidRPr="001A510C">
        <w:rPr>
          <w:rFonts w:eastAsia="Times New Roman"/>
          <w:bCs/>
          <w:szCs w:val="24"/>
        </w:rPr>
        <w:t xml:space="preserve">Ministerio de Salud y Protección Social </w:t>
      </w:r>
      <w:r>
        <w:rPr>
          <w:rFonts w:eastAsia="Times New Roman"/>
          <w:bCs/>
          <w:szCs w:val="24"/>
        </w:rPr>
        <w:t>(</w:t>
      </w:r>
      <w:r w:rsidRPr="001A510C">
        <w:rPr>
          <w:rFonts w:eastAsia="Times New Roman"/>
          <w:bCs/>
          <w:szCs w:val="24"/>
        </w:rPr>
        <w:t>MSPS</w:t>
      </w:r>
      <w:r>
        <w:rPr>
          <w:rFonts w:eastAsia="Times New Roman"/>
          <w:bCs/>
          <w:szCs w:val="24"/>
        </w:rPr>
        <w:t xml:space="preserve">) </w:t>
      </w:r>
      <w:r w:rsidRPr="001A510C">
        <w:rPr>
          <w:rFonts w:eastAsia="Times New Roman"/>
          <w:bCs/>
          <w:szCs w:val="24"/>
        </w:rPr>
        <w:t xml:space="preserve">ha trabajado articuladamente con los grupos étnicos </w:t>
      </w:r>
      <w:r>
        <w:rPr>
          <w:rFonts w:eastAsia="Times New Roman"/>
          <w:bCs/>
          <w:szCs w:val="24"/>
        </w:rPr>
        <w:t>en</w:t>
      </w:r>
      <w:r w:rsidRPr="001A510C">
        <w:rPr>
          <w:rFonts w:eastAsia="Times New Roman"/>
          <w:bCs/>
          <w:szCs w:val="24"/>
        </w:rPr>
        <w:t xml:space="preserve"> espacios de diálogo y concertación, como la Subcomisión de Salud Indígena de la </w:t>
      </w:r>
      <w:r w:rsidRPr="00A91F3C">
        <w:rPr>
          <w:rFonts w:eastAsia="Times New Roman"/>
          <w:bCs/>
          <w:szCs w:val="24"/>
        </w:rPr>
        <w:t xml:space="preserve">Mesa Permanente de Concertación Nacional con los pueblos y organizaciones </w:t>
      </w:r>
      <w:r w:rsidRPr="006D49C3">
        <w:t>indígenas</w:t>
      </w:r>
      <w:r w:rsidRPr="00A91F3C">
        <w:rPr>
          <w:rFonts w:eastAsia="Times New Roman"/>
          <w:bCs/>
          <w:szCs w:val="24"/>
        </w:rPr>
        <w:t xml:space="preserve"> </w:t>
      </w:r>
      <w:r>
        <w:rPr>
          <w:rFonts w:eastAsia="Times New Roman"/>
          <w:bCs/>
          <w:szCs w:val="24"/>
        </w:rPr>
        <w:t>(</w:t>
      </w:r>
      <w:r w:rsidRPr="001A510C">
        <w:rPr>
          <w:rFonts w:eastAsia="Times New Roman"/>
          <w:bCs/>
          <w:szCs w:val="24"/>
        </w:rPr>
        <w:t>MPC</w:t>
      </w:r>
      <w:r>
        <w:rPr>
          <w:rFonts w:eastAsia="Times New Roman"/>
          <w:bCs/>
          <w:szCs w:val="24"/>
        </w:rPr>
        <w:t>)</w:t>
      </w:r>
      <w:r w:rsidRPr="001A510C">
        <w:rPr>
          <w:rFonts w:eastAsia="Times New Roman"/>
          <w:bCs/>
          <w:szCs w:val="24"/>
        </w:rPr>
        <w:t xml:space="preserve">, el Espacio Nacional de Consulta Previa para comunidades NARP y </w:t>
      </w:r>
      <w:r>
        <w:rPr>
          <w:rFonts w:eastAsia="Times New Roman"/>
          <w:bCs/>
          <w:szCs w:val="24"/>
        </w:rPr>
        <w:t xml:space="preserve">la </w:t>
      </w:r>
      <w:r w:rsidRPr="001A510C">
        <w:rPr>
          <w:rFonts w:eastAsia="Times New Roman"/>
          <w:bCs/>
          <w:szCs w:val="24"/>
        </w:rPr>
        <w:t>Mesa de Diálogo Gitano, espacios que han permitido llegar a acuerdos en salud en el Plan Nacional de Desarrollo 2018-2022, específicamente en el Pacto por la equidad de oportunidades para grupos étnicos en los cuales se asumieron 23 acuerdos para pueblos indígenas, 11 acuerdos para comunidades NARP y 11 acuerdos para el pueblo Rrom</w:t>
      </w:r>
      <w:r w:rsidR="00D0295C">
        <w:rPr>
          <w:rStyle w:val="Refdenotaalpie"/>
          <w:rFonts w:eastAsia="Times New Roman"/>
          <w:bCs/>
          <w:szCs w:val="24"/>
        </w:rPr>
        <w:footnoteReference w:id="103"/>
      </w:r>
      <w:r w:rsidRPr="001A510C">
        <w:rPr>
          <w:rFonts w:eastAsia="Times New Roman"/>
          <w:bCs/>
          <w:szCs w:val="24"/>
        </w:rPr>
        <w:t>.</w:t>
      </w:r>
    </w:p>
    <w:p w14:paraId="2F4F121F" w14:textId="34B10C44" w:rsidR="00095139" w:rsidRPr="001A510C" w:rsidRDefault="00095139" w:rsidP="008357BF">
      <w:pPr>
        <w:pStyle w:val="SingleTxtG"/>
        <w:numPr>
          <w:ilvl w:val="0"/>
          <w:numId w:val="27"/>
        </w:numPr>
        <w:ind w:left="1134" w:firstLine="0"/>
        <w:rPr>
          <w:rFonts w:eastAsia="Times New Roman"/>
          <w:bCs/>
          <w:szCs w:val="24"/>
        </w:rPr>
      </w:pPr>
      <w:r w:rsidRPr="001A510C">
        <w:rPr>
          <w:rFonts w:eastAsia="Times New Roman"/>
          <w:bCs/>
          <w:szCs w:val="24"/>
        </w:rPr>
        <w:t xml:space="preserve">Con relación a las acciones para garantizar que los grupos étnicos sean amparados por el </w:t>
      </w:r>
      <w:r w:rsidRPr="002B6B8D">
        <w:rPr>
          <w:rFonts w:eastAsia="Times New Roman"/>
          <w:bCs/>
          <w:szCs w:val="24"/>
        </w:rPr>
        <w:t>Sistema General de Seguridad Social en Salud (SGSSS)</w:t>
      </w:r>
      <w:r w:rsidRPr="001A510C">
        <w:rPr>
          <w:rFonts w:eastAsia="Times New Roman"/>
          <w:bCs/>
          <w:szCs w:val="24"/>
        </w:rPr>
        <w:t xml:space="preserve">, el </w:t>
      </w:r>
      <w:r>
        <w:rPr>
          <w:rFonts w:eastAsia="Times New Roman"/>
          <w:bCs/>
          <w:szCs w:val="24"/>
        </w:rPr>
        <w:t>Estado</w:t>
      </w:r>
      <w:r w:rsidRPr="001A510C">
        <w:rPr>
          <w:rFonts w:eastAsia="Times New Roman"/>
          <w:bCs/>
          <w:szCs w:val="24"/>
        </w:rPr>
        <w:t xml:space="preserve"> ha avanzado en acciones de tipo normativo</w:t>
      </w:r>
      <w:r>
        <w:rPr>
          <w:rStyle w:val="Refdenotaalpie"/>
          <w:rFonts w:eastAsia="Times New Roman"/>
          <w:bCs/>
          <w:szCs w:val="24"/>
        </w:rPr>
        <w:footnoteReference w:id="104"/>
      </w:r>
      <w:r w:rsidRPr="001A510C">
        <w:rPr>
          <w:rFonts w:eastAsia="Times New Roman"/>
          <w:bCs/>
          <w:szCs w:val="24"/>
        </w:rPr>
        <w:t xml:space="preserve"> como el Decreto 064 del 2020, por medio del cual se garantiza la </w:t>
      </w:r>
      <w:r w:rsidRPr="006D49C3">
        <w:t>afiliación</w:t>
      </w:r>
      <w:r w:rsidRPr="001A510C">
        <w:rPr>
          <w:rFonts w:eastAsia="Times New Roman"/>
          <w:bCs/>
          <w:szCs w:val="24"/>
        </w:rPr>
        <w:t xml:space="preserve"> universal al sistema de salud, haciendo mayor énfasis en la búsqueda activa de población especial, entre la que se encuentra los grupos étnicos</w:t>
      </w:r>
      <w:r w:rsidR="00D0295C" w:rsidRPr="00973F39">
        <w:rPr>
          <w:rFonts w:eastAsia="Times New Roman"/>
          <w:bCs/>
          <w:sz w:val="18"/>
          <w:szCs w:val="18"/>
          <w:vertAlign w:val="superscript"/>
        </w:rPr>
        <w:footnoteReference w:id="105"/>
      </w:r>
      <w:r w:rsidRPr="001A510C">
        <w:rPr>
          <w:rFonts w:eastAsia="Times New Roman"/>
          <w:bCs/>
          <w:szCs w:val="24"/>
        </w:rPr>
        <w:t>.</w:t>
      </w:r>
    </w:p>
    <w:p w14:paraId="0776F4B9" w14:textId="472B1071" w:rsidR="00095139" w:rsidRDefault="00095139" w:rsidP="008357BF">
      <w:pPr>
        <w:pStyle w:val="SingleTxtG"/>
        <w:numPr>
          <w:ilvl w:val="0"/>
          <w:numId w:val="27"/>
        </w:numPr>
        <w:ind w:left="1134" w:firstLine="0"/>
        <w:rPr>
          <w:rFonts w:eastAsia="Times New Roman"/>
          <w:bCs/>
          <w:szCs w:val="24"/>
        </w:rPr>
      </w:pPr>
      <w:r w:rsidRPr="001A510C">
        <w:rPr>
          <w:rFonts w:eastAsia="Times New Roman"/>
          <w:bCs/>
          <w:szCs w:val="24"/>
        </w:rPr>
        <w:t xml:space="preserve">Con el objetivo de reconocer el enfoque étnico e intercultural aplicable al SGSSS, </w:t>
      </w:r>
      <w:r>
        <w:rPr>
          <w:rFonts w:eastAsia="Times New Roman"/>
          <w:bCs/>
          <w:szCs w:val="24"/>
        </w:rPr>
        <w:t xml:space="preserve">el Estado </w:t>
      </w:r>
      <w:r w:rsidRPr="001A510C">
        <w:rPr>
          <w:rFonts w:eastAsia="Times New Roman"/>
          <w:bCs/>
          <w:szCs w:val="24"/>
        </w:rPr>
        <w:t xml:space="preserve">ha concertado mediante Resolución 3513 de 2019 una </w:t>
      </w:r>
      <w:r>
        <w:rPr>
          <w:rFonts w:eastAsia="Times New Roman"/>
          <w:bCs/>
          <w:szCs w:val="24"/>
        </w:rPr>
        <w:t>u</w:t>
      </w:r>
      <w:r w:rsidRPr="0016017C">
        <w:rPr>
          <w:rFonts w:eastAsia="Times New Roman"/>
          <w:bCs/>
          <w:szCs w:val="24"/>
        </w:rPr>
        <w:t xml:space="preserve">nidad de pago por capitación </w:t>
      </w:r>
      <w:r>
        <w:rPr>
          <w:rFonts w:eastAsia="Times New Roman"/>
          <w:bCs/>
          <w:szCs w:val="24"/>
        </w:rPr>
        <w:t>(</w:t>
      </w:r>
      <w:r w:rsidRPr="001A510C">
        <w:rPr>
          <w:rFonts w:eastAsia="Times New Roman"/>
          <w:bCs/>
          <w:szCs w:val="24"/>
        </w:rPr>
        <w:t>UPC</w:t>
      </w:r>
      <w:r>
        <w:rPr>
          <w:rFonts w:eastAsia="Times New Roman"/>
          <w:bCs/>
          <w:szCs w:val="24"/>
        </w:rPr>
        <w:t>)</w:t>
      </w:r>
      <w:r w:rsidRPr="001A510C">
        <w:rPr>
          <w:rFonts w:eastAsia="Times New Roman"/>
          <w:bCs/>
          <w:szCs w:val="24"/>
        </w:rPr>
        <w:t xml:space="preserve"> diferencial de 4,81</w:t>
      </w:r>
      <w:r w:rsidR="00796131">
        <w:rPr>
          <w:rFonts w:eastAsia="Times New Roman"/>
          <w:bCs/>
          <w:szCs w:val="24"/>
        </w:rPr>
        <w:t xml:space="preserve"> </w:t>
      </w:r>
      <w:r w:rsidRPr="001A510C">
        <w:rPr>
          <w:rFonts w:eastAsia="Times New Roman"/>
          <w:bCs/>
          <w:szCs w:val="24"/>
        </w:rPr>
        <w:t>% para las</w:t>
      </w:r>
      <w:r>
        <w:rPr>
          <w:rFonts w:eastAsia="Times New Roman"/>
          <w:bCs/>
          <w:szCs w:val="24"/>
        </w:rPr>
        <w:t xml:space="preserve"> </w:t>
      </w:r>
      <w:r w:rsidRPr="0016017C">
        <w:rPr>
          <w:rFonts w:eastAsia="Times New Roman"/>
          <w:bCs/>
          <w:szCs w:val="24"/>
        </w:rPr>
        <w:t>Entidades Promotoras de Salud Indígenas</w:t>
      </w:r>
      <w:r w:rsidRPr="001A510C">
        <w:rPr>
          <w:rFonts w:eastAsia="Times New Roman"/>
          <w:bCs/>
          <w:szCs w:val="24"/>
        </w:rPr>
        <w:t xml:space="preserve"> </w:t>
      </w:r>
      <w:r>
        <w:rPr>
          <w:rFonts w:eastAsia="Times New Roman"/>
          <w:bCs/>
          <w:szCs w:val="24"/>
        </w:rPr>
        <w:t>(</w:t>
      </w:r>
      <w:r w:rsidRPr="001A510C">
        <w:rPr>
          <w:rFonts w:eastAsia="Times New Roman"/>
          <w:bCs/>
          <w:szCs w:val="24"/>
        </w:rPr>
        <w:t>EPSI</w:t>
      </w:r>
      <w:r>
        <w:rPr>
          <w:rFonts w:eastAsia="Times New Roman"/>
          <w:bCs/>
          <w:szCs w:val="24"/>
        </w:rPr>
        <w:t>)</w:t>
      </w:r>
      <w:r w:rsidRPr="001A510C">
        <w:rPr>
          <w:rFonts w:eastAsia="Times New Roman"/>
          <w:bCs/>
          <w:szCs w:val="24"/>
        </w:rPr>
        <w:t xml:space="preserve">, estos recursos van dirigidos a realizar acciones como: </w:t>
      </w:r>
      <w:r>
        <w:rPr>
          <w:rFonts w:eastAsia="Times New Roman"/>
          <w:bCs/>
          <w:szCs w:val="24"/>
        </w:rPr>
        <w:t>c</w:t>
      </w:r>
      <w:r w:rsidRPr="001A510C">
        <w:rPr>
          <w:rFonts w:eastAsia="Times New Roman"/>
          <w:bCs/>
          <w:szCs w:val="24"/>
        </w:rPr>
        <w:t>asas de paso o albergues cuando deban salir de sus territorios, guías bilingües, acciones individuales de medicina tradicional, acciones individuales de adecuación sociocultural de los servicios, acciones individuales de promoción y prevención, además de transporte urbano, terrestre, fluvial y aéreo, entre otras</w:t>
      </w:r>
      <w:r w:rsidR="00D0295C" w:rsidRPr="00973F39">
        <w:rPr>
          <w:rFonts w:eastAsia="Times New Roman"/>
          <w:bCs/>
          <w:sz w:val="18"/>
          <w:szCs w:val="18"/>
          <w:vertAlign w:val="superscript"/>
        </w:rPr>
        <w:footnoteReference w:id="106"/>
      </w:r>
      <w:r w:rsidRPr="001A510C">
        <w:rPr>
          <w:rFonts w:eastAsia="Times New Roman"/>
          <w:bCs/>
          <w:szCs w:val="24"/>
        </w:rPr>
        <w:t>.</w:t>
      </w:r>
    </w:p>
    <w:p w14:paraId="79971F4A" w14:textId="307F16DC" w:rsidR="00095139" w:rsidRPr="00A81AAE" w:rsidRDefault="00D0295C" w:rsidP="00D91788">
      <w:pPr>
        <w:pStyle w:val="H4G"/>
      </w:pPr>
      <w:r>
        <w:tab/>
      </w:r>
      <w:r w:rsidR="00D91788">
        <w:t>c)</w:t>
      </w:r>
      <w:r w:rsidR="00D91788">
        <w:tab/>
      </w:r>
      <w:r w:rsidR="00095139" w:rsidRPr="00A81AAE">
        <w:t>Derecho a la educación de comunidades étnicas</w:t>
      </w:r>
    </w:p>
    <w:p w14:paraId="35986207" w14:textId="3F6144EB" w:rsidR="00095139" w:rsidRPr="00DD170F" w:rsidRDefault="00095139" w:rsidP="008357BF">
      <w:pPr>
        <w:pStyle w:val="SingleTxtG"/>
        <w:numPr>
          <w:ilvl w:val="0"/>
          <w:numId w:val="27"/>
        </w:numPr>
        <w:ind w:left="1134" w:firstLine="0"/>
        <w:rPr>
          <w:rFonts w:eastAsia="Times New Roman"/>
          <w:bCs/>
          <w:szCs w:val="24"/>
        </w:rPr>
      </w:pPr>
      <w:r>
        <w:rPr>
          <w:rFonts w:eastAsia="Times New Roman"/>
          <w:bCs/>
          <w:szCs w:val="24"/>
        </w:rPr>
        <w:t xml:space="preserve">El Estado colombiano ha dado </w:t>
      </w:r>
      <w:r w:rsidRPr="00DD170F">
        <w:rPr>
          <w:rFonts w:eastAsia="Times New Roman"/>
          <w:bCs/>
          <w:szCs w:val="24"/>
        </w:rPr>
        <w:t>continu</w:t>
      </w:r>
      <w:r>
        <w:rPr>
          <w:rFonts w:eastAsia="Times New Roman"/>
          <w:bCs/>
          <w:szCs w:val="24"/>
        </w:rPr>
        <w:t xml:space="preserve">idad al </w:t>
      </w:r>
      <w:r w:rsidRPr="00DD170F">
        <w:rPr>
          <w:rFonts w:eastAsia="Times New Roman"/>
          <w:bCs/>
          <w:szCs w:val="24"/>
        </w:rPr>
        <w:t xml:space="preserve">Sistema Educativo Indígena Propio </w:t>
      </w:r>
      <w:r>
        <w:rPr>
          <w:rFonts w:eastAsia="Times New Roman"/>
          <w:bCs/>
          <w:szCs w:val="24"/>
        </w:rPr>
        <w:t>(</w:t>
      </w:r>
      <w:r w:rsidRPr="00DD170F">
        <w:rPr>
          <w:rFonts w:eastAsia="Times New Roman"/>
          <w:bCs/>
          <w:szCs w:val="24"/>
        </w:rPr>
        <w:t>SEIP</w:t>
      </w:r>
      <w:r>
        <w:rPr>
          <w:rFonts w:eastAsia="Times New Roman"/>
          <w:bCs/>
          <w:szCs w:val="24"/>
        </w:rPr>
        <w:t xml:space="preserve">), que </w:t>
      </w:r>
      <w:r w:rsidRPr="00B0565B">
        <w:rPr>
          <w:rFonts w:eastAsia="Times New Roman"/>
          <w:bCs/>
          <w:szCs w:val="24"/>
        </w:rPr>
        <w:t xml:space="preserve">aún se encuentra en proceso de Consulta Previa en el espacio de la Comisión Nacional de Trabajo y Concertación de la Educación para los Pueblos Indígenas </w:t>
      </w:r>
      <w:r>
        <w:rPr>
          <w:rFonts w:eastAsia="Times New Roman"/>
          <w:bCs/>
          <w:szCs w:val="24"/>
        </w:rPr>
        <w:t>(</w:t>
      </w:r>
      <w:r w:rsidRPr="00B0565B">
        <w:rPr>
          <w:rFonts w:eastAsia="Times New Roman"/>
          <w:bCs/>
          <w:szCs w:val="24"/>
        </w:rPr>
        <w:t>CONTCEPI</w:t>
      </w:r>
      <w:r>
        <w:rPr>
          <w:rFonts w:eastAsia="Times New Roman"/>
          <w:bCs/>
          <w:szCs w:val="24"/>
        </w:rPr>
        <w:t>), y en 2019</w:t>
      </w:r>
      <w:r w:rsidRPr="00DD170F">
        <w:rPr>
          <w:rFonts w:eastAsia="Times New Roman"/>
          <w:bCs/>
          <w:szCs w:val="24"/>
        </w:rPr>
        <w:t xml:space="preserve"> desarroll</w:t>
      </w:r>
      <w:r>
        <w:rPr>
          <w:rFonts w:eastAsia="Times New Roman"/>
          <w:bCs/>
          <w:szCs w:val="24"/>
        </w:rPr>
        <w:t>ó</w:t>
      </w:r>
      <w:r w:rsidRPr="00DD170F">
        <w:rPr>
          <w:rFonts w:eastAsia="Times New Roman"/>
          <w:bCs/>
          <w:szCs w:val="24"/>
        </w:rPr>
        <w:t xml:space="preserve"> 3 sesiones conjuntas, 2 sesiones extraordinarias, 1</w:t>
      </w:r>
      <w:r w:rsidR="00D0295C">
        <w:rPr>
          <w:rFonts w:eastAsia="Times New Roman"/>
          <w:bCs/>
          <w:szCs w:val="24"/>
        </w:rPr>
        <w:t> </w:t>
      </w:r>
      <w:r w:rsidRPr="00DD170F">
        <w:rPr>
          <w:rFonts w:eastAsia="Times New Roman"/>
          <w:bCs/>
          <w:szCs w:val="24"/>
        </w:rPr>
        <w:t xml:space="preserve">espacio autónomo, </w:t>
      </w:r>
      <w:r>
        <w:rPr>
          <w:rFonts w:eastAsia="Times New Roman"/>
          <w:bCs/>
          <w:szCs w:val="24"/>
        </w:rPr>
        <w:t xml:space="preserve">y </w:t>
      </w:r>
      <w:r w:rsidRPr="00DD170F">
        <w:rPr>
          <w:rFonts w:eastAsia="Times New Roman"/>
          <w:bCs/>
          <w:szCs w:val="24"/>
        </w:rPr>
        <w:t xml:space="preserve">6 subcomisiones. Durante todo este proceso de Consulta, el </w:t>
      </w:r>
      <w:r>
        <w:rPr>
          <w:rFonts w:eastAsia="Times New Roman"/>
          <w:bCs/>
          <w:szCs w:val="24"/>
        </w:rPr>
        <w:t>MEN</w:t>
      </w:r>
      <w:r w:rsidRPr="00DD170F">
        <w:rPr>
          <w:rFonts w:eastAsia="Times New Roman"/>
          <w:bCs/>
          <w:szCs w:val="24"/>
        </w:rPr>
        <w:t xml:space="preserve"> ha garantizado financiera y técnicamente </w:t>
      </w:r>
      <w:r>
        <w:rPr>
          <w:rFonts w:eastAsia="Times New Roman"/>
          <w:bCs/>
          <w:szCs w:val="24"/>
        </w:rPr>
        <w:t>los</w:t>
      </w:r>
      <w:r w:rsidRPr="00DD170F">
        <w:rPr>
          <w:rFonts w:eastAsia="Times New Roman"/>
          <w:bCs/>
          <w:szCs w:val="24"/>
        </w:rPr>
        <w:t xml:space="preserve"> espacios de diálogo, 4 expertos, 1 comisión redactora y 5 sabios espirituales para la construcción y armonización de la propuesta de norma SEIP</w:t>
      </w:r>
      <w:r w:rsidR="00D0295C" w:rsidRPr="00973F39">
        <w:rPr>
          <w:rFonts w:eastAsia="Times New Roman"/>
          <w:bCs/>
          <w:sz w:val="18"/>
          <w:szCs w:val="18"/>
          <w:vertAlign w:val="superscript"/>
        </w:rPr>
        <w:footnoteReference w:id="107"/>
      </w:r>
      <w:r w:rsidRPr="00DD170F">
        <w:rPr>
          <w:rFonts w:eastAsia="Times New Roman"/>
          <w:bCs/>
          <w:szCs w:val="24"/>
        </w:rPr>
        <w:t>.</w:t>
      </w:r>
    </w:p>
    <w:p w14:paraId="31F58208" w14:textId="5FB2EB99" w:rsidR="00095139" w:rsidRPr="00DD170F" w:rsidRDefault="00095139" w:rsidP="008357BF">
      <w:pPr>
        <w:pStyle w:val="SingleTxtG"/>
        <w:numPr>
          <w:ilvl w:val="0"/>
          <w:numId w:val="27"/>
        </w:numPr>
        <w:ind w:left="1134" w:firstLine="0"/>
        <w:rPr>
          <w:rFonts w:eastAsia="Times New Roman"/>
          <w:bCs/>
          <w:szCs w:val="24"/>
        </w:rPr>
      </w:pPr>
      <w:r>
        <w:rPr>
          <w:rFonts w:eastAsia="Times New Roman"/>
          <w:bCs/>
          <w:szCs w:val="24"/>
        </w:rPr>
        <w:t>En este marco de concertación, en</w:t>
      </w:r>
      <w:r w:rsidRPr="00DD170F">
        <w:rPr>
          <w:rFonts w:eastAsia="Times New Roman"/>
          <w:bCs/>
          <w:szCs w:val="24"/>
        </w:rPr>
        <w:t xml:space="preserve"> 2020 se </w:t>
      </w:r>
      <w:r>
        <w:rPr>
          <w:rFonts w:eastAsia="Times New Roman"/>
          <w:bCs/>
          <w:szCs w:val="24"/>
        </w:rPr>
        <w:t>realizó</w:t>
      </w:r>
      <w:r w:rsidRPr="00DD170F">
        <w:rPr>
          <w:rFonts w:eastAsia="Times New Roman"/>
          <w:bCs/>
          <w:szCs w:val="24"/>
        </w:rPr>
        <w:t xml:space="preserve"> la </w:t>
      </w:r>
      <w:r>
        <w:rPr>
          <w:rFonts w:eastAsia="Times New Roman"/>
          <w:bCs/>
          <w:szCs w:val="24"/>
        </w:rPr>
        <w:t>s</w:t>
      </w:r>
      <w:r w:rsidRPr="00DD170F">
        <w:rPr>
          <w:rFonts w:eastAsia="Times New Roman"/>
          <w:bCs/>
          <w:szCs w:val="24"/>
        </w:rPr>
        <w:t>esión 41 CONTCEPI ampliada con los presidentes de las Organizaciones Nacionales y la Secretaría Técnica de la MPC</w:t>
      </w:r>
      <w:r>
        <w:rPr>
          <w:rFonts w:eastAsia="Times New Roman"/>
          <w:bCs/>
          <w:szCs w:val="24"/>
        </w:rPr>
        <w:t>, y</w:t>
      </w:r>
      <w:r w:rsidRPr="00DD170F">
        <w:rPr>
          <w:rFonts w:eastAsia="Times New Roman"/>
          <w:bCs/>
          <w:szCs w:val="24"/>
        </w:rPr>
        <w:t xml:space="preserve"> se realizaron </w:t>
      </w:r>
      <w:r>
        <w:rPr>
          <w:rFonts w:eastAsia="Times New Roman"/>
          <w:bCs/>
          <w:szCs w:val="24"/>
        </w:rPr>
        <w:t>2</w:t>
      </w:r>
      <w:r w:rsidRPr="00DD170F">
        <w:rPr>
          <w:rFonts w:eastAsia="Times New Roman"/>
          <w:bCs/>
          <w:szCs w:val="24"/>
        </w:rPr>
        <w:t xml:space="preserve"> subcomisiones de la CONTCEPI que permitieron finalizar la Circular 022 de 2020, que brinda Orientaciones para la elaboración del estudio de planta y administración de docentes y directivos</w:t>
      </w:r>
      <w:r w:rsidR="00D0295C" w:rsidRPr="00973F39">
        <w:rPr>
          <w:rFonts w:eastAsia="Times New Roman"/>
          <w:bCs/>
          <w:sz w:val="18"/>
          <w:szCs w:val="18"/>
          <w:vertAlign w:val="superscript"/>
        </w:rPr>
        <w:footnoteReference w:id="108"/>
      </w:r>
      <w:r w:rsidRPr="00DD170F">
        <w:rPr>
          <w:rFonts w:eastAsia="Times New Roman"/>
          <w:bCs/>
          <w:szCs w:val="24"/>
        </w:rPr>
        <w:t>.</w:t>
      </w:r>
    </w:p>
    <w:p w14:paraId="328A3E6E" w14:textId="330AC697" w:rsidR="00095139" w:rsidRPr="00DD170F" w:rsidRDefault="00095139" w:rsidP="008357BF">
      <w:pPr>
        <w:pStyle w:val="SingleTxtG"/>
        <w:numPr>
          <w:ilvl w:val="0"/>
          <w:numId w:val="27"/>
        </w:numPr>
        <w:ind w:left="1134" w:firstLine="0"/>
        <w:rPr>
          <w:rFonts w:eastAsia="Times New Roman"/>
          <w:bCs/>
          <w:szCs w:val="24"/>
        </w:rPr>
      </w:pPr>
      <w:r w:rsidRPr="00DD170F">
        <w:rPr>
          <w:rFonts w:eastAsia="Times New Roman"/>
          <w:bCs/>
          <w:szCs w:val="24"/>
        </w:rPr>
        <w:t xml:space="preserve">En 2021 se </w:t>
      </w:r>
      <w:r>
        <w:rPr>
          <w:rFonts w:eastAsia="Times New Roman"/>
          <w:bCs/>
          <w:szCs w:val="24"/>
        </w:rPr>
        <w:t>celebraron</w:t>
      </w:r>
      <w:r w:rsidRPr="00DD170F">
        <w:rPr>
          <w:rFonts w:eastAsia="Times New Roman"/>
          <w:bCs/>
          <w:szCs w:val="24"/>
        </w:rPr>
        <w:t xml:space="preserve"> la</w:t>
      </w:r>
      <w:r>
        <w:rPr>
          <w:rFonts w:eastAsia="Times New Roman"/>
          <w:bCs/>
          <w:szCs w:val="24"/>
        </w:rPr>
        <w:t>s</w:t>
      </w:r>
      <w:r w:rsidRPr="00DD170F">
        <w:rPr>
          <w:rFonts w:eastAsia="Times New Roman"/>
          <w:bCs/>
          <w:szCs w:val="24"/>
        </w:rPr>
        <w:t xml:space="preserve"> sesi</w:t>
      </w:r>
      <w:r>
        <w:rPr>
          <w:rFonts w:eastAsia="Times New Roman"/>
          <w:bCs/>
          <w:szCs w:val="24"/>
        </w:rPr>
        <w:t xml:space="preserve">ones </w:t>
      </w:r>
      <w:r w:rsidRPr="00DD170F">
        <w:rPr>
          <w:rFonts w:eastAsia="Times New Roman"/>
          <w:bCs/>
          <w:szCs w:val="24"/>
        </w:rPr>
        <w:t>43</w:t>
      </w:r>
      <w:r>
        <w:rPr>
          <w:rFonts w:eastAsia="Times New Roman"/>
          <w:bCs/>
          <w:szCs w:val="24"/>
        </w:rPr>
        <w:t>,</w:t>
      </w:r>
      <w:r w:rsidRPr="00DD170F">
        <w:rPr>
          <w:rFonts w:eastAsia="Times New Roman"/>
          <w:bCs/>
          <w:szCs w:val="24"/>
        </w:rPr>
        <w:t xml:space="preserve"> 44, 45 y 46</w:t>
      </w:r>
      <w:r>
        <w:rPr>
          <w:rFonts w:eastAsia="Times New Roman"/>
          <w:bCs/>
          <w:szCs w:val="24"/>
        </w:rPr>
        <w:t xml:space="preserve"> CONTCEPI</w:t>
      </w:r>
      <w:r w:rsidRPr="00DD170F">
        <w:rPr>
          <w:rFonts w:eastAsia="Times New Roman"/>
          <w:bCs/>
          <w:szCs w:val="24"/>
        </w:rPr>
        <w:t xml:space="preserve"> </w:t>
      </w:r>
      <w:r>
        <w:rPr>
          <w:rFonts w:eastAsia="Times New Roman"/>
          <w:bCs/>
          <w:szCs w:val="24"/>
        </w:rPr>
        <w:t xml:space="preserve">donde </w:t>
      </w:r>
      <w:r w:rsidRPr="00DD170F">
        <w:rPr>
          <w:rFonts w:eastAsia="Times New Roman"/>
          <w:bCs/>
          <w:szCs w:val="24"/>
        </w:rPr>
        <w:t xml:space="preserve">se </w:t>
      </w:r>
      <w:r>
        <w:rPr>
          <w:rFonts w:eastAsia="Times New Roman"/>
          <w:bCs/>
          <w:szCs w:val="24"/>
        </w:rPr>
        <w:t>trabajó</w:t>
      </w:r>
      <w:r w:rsidRPr="00DD170F">
        <w:rPr>
          <w:rFonts w:eastAsia="Times New Roman"/>
          <w:bCs/>
          <w:szCs w:val="24"/>
        </w:rPr>
        <w:t xml:space="preserve"> en comisiones para concertar el articulado del proyecto de norma SEIP</w:t>
      </w:r>
      <w:r w:rsidR="00D0295C" w:rsidRPr="00973F39">
        <w:rPr>
          <w:rFonts w:eastAsia="Times New Roman"/>
          <w:bCs/>
          <w:sz w:val="18"/>
          <w:szCs w:val="18"/>
          <w:vertAlign w:val="superscript"/>
        </w:rPr>
        <w:footnoteReference w:id="109"/>
      </w:r>
      <w:r w:rsidRPr="00DD170F">
        <w:rPr>
          <w:rFonts w:eastAsia="Times New Roman"/>
          <w:bCs/>
          <w:szCs w:val="24"/>
        </w:rPr>
        <w:t>.</w:t>
      </w:r>
      <w:r w:rsidR="00D0295C">
        <w:rPr>
          <w:rFonts w:eastAsia="Times New Roman"/>
          <w:bCs/>
          <w:szCs w:val="24"/>
        </w:rPr>
        <w:t xml:space="preserve"> </w:t>
      </w:r>
      <w:r>
        <w:rPr>
          <w:rFonts w:eastAsia="Times New Roman"/>
          <w:bCs/>
          <w:szCs w:val="24"/>
        </w:rPr>
        <w:t>E</w:t>
      </w:r>
      <w:r w:rsidRPr="00DD170F">
        <w:rPr>
          <w:rFonts w:eastAsia="Times New Roman"/>
          <w:bCs/>
          <w:szCs w:val="24"/>
        </w:rPr>
        <w:t>n 2022, se</w:t>
      </w:r>
      <w:r>
        <w:rPr>
          <w:rFonts w:eastAsia="Times New Roman"/>
          <w:bCs/>
          <w:szCs w:val="24"/>
        </w:rPr>
        <w:t xml:space="preserve"> celebró</w:t>
      </w:r>
      <w:r w:rsidRPr="00DD170F">
        <w:rPr>
          <w:rFonts w:eastAsia="Times New Roman"/>
          <w:bCs/>
          <w:szCs w:val="24"/>
        </w:rPr>
        <w:t xml:space="preserve"> la sesión 47</w:t>
      </w:r>
      <w:r>
        <w:rPr>
          <w:rFonts w:eastAsia="Times New Roman"/>
          <w:bCs/>
          <w:szCs w:val="24"/>
        </w:rPr>
        <w:t xml:space="preserve"> y 48</w:t>
      </w:r>
      <w:r w:rsidRPr="00DD170F">
        <w:rPr>
          <w:rFonts w:eastAsia="Times New Roman"/>
          <w:bCs/>
          <w:szCs w:val="24"/>
        </w:rPr>
        <w:t xml:space="preserve"> de la CONTCEPI, donde se continuó el trabajo en comisiones y como balance de este proceso se tienen 28 artículos concertados en plenaria</w:t>
      </w:r>
      <w:r w:rsidR="00D0295C" w:rsidRPr="00973F39">
        <w:rPr>
          <w:rFonts w:eastAsia="Times New Roman"/>
          <w:bCs/>
          <w:sz w:val="18"/>
          <w:szCs w:val="18"/>
          <w:vertAlign w:val="superscript"/>
        </w:rPr>
        <w:footnoteReference w:id="110"/>
      </w:r>
      <w:r w:rsidRPr="00DD170F">
        <w:rPr>
          <w:rFonts w:eastAsia="Times New Roman"/>
          <w:bCs/>
          <w:szCs w:val="24"/>
        </w:rPr>
        <w:t>.</w:t>
      </w:r>
    </w:p>
    <w:p w14:paraId="7C89CD69" w14:textId="148B40EB" w:rsidR="00095139" w:rsidRPr="00EE1D58" w:rsidRDefault="00D0295C" w:rsidP="00D91788">
      <w:pPr>
        <w:pStyle w:val="H4G"/>
      </w:pPr>
      <w:r>
        <w:tab/>
      </w:r>
      <w:r w:rsidR="00D91788">
        <w:t>d)</w:t>
      </w:r>
      <w:r w:rsidR="00D91788">
        <w:tab/>
      </w:r>
      <w:r w:rsidR="00095139">
        <w:t>Derecho al trabajo para comunidades étnicas</w:t>
      </w:r>
    </w:p>
    <w:p w14:paraId="4D9A31F9" w14:textId="39E7EE75" w:rsidR="00095139" w:rsidRPr="00B83096" w:rsidRDefault="00095139" w:rsidP="008357BF">
      <w:pPr>
        <w:pStyle w:val="SingleTxtG"/>
        <w:numPr>
          <w:ilvl w:val="0"/>
          <w:numId w:val="27"/>
        </w:numPr>
        <w:ind w:left="1134" w:firstLine="0"/>
        <w:rPr>
          <w:rFonts w:eastAsia="Times New Roman"/>
          <w:bCs/>
          <w:szCs w:val="24"/>
        </w:rPr>
      </w:pPr>
      <w:r w:rsidRPr="00B96DF4">
        <w:rPr>
          <w:rFonts w:eastAsia="Times New Roman"/>
          <w:bCs/>
          <w:szCs w:val="24"/>
        </w:rPr>
        <w:t xml:space="preserve">En cuanto a la garantía del derecho al trabajo para las comunidades NARP, </w:t>
      </w:r>
      <w:r>
        <w:rPr>
          <w:rFonts w:eastAsia="Times New Roman"/>
          <w:bCs/>
          <w:szCs w:val="24"/>
        </w:rPr>
        <w:t>e</w:t>
      </w:r>
      <w:r w:rsidRPr="00B83096">
        <w:rPr>
          <w:rFonts w:eastAsia="Times New Roman"/>
          <w:bCs/>
          <w:szCs w:val="24"/>
        </w:rPr>
        <w:t>ntre el 30 de enero y el 4 de febrero de 2019</w:t>
      </w:r>
      <w:r>
        <w:rPr>
          <w:rFonts w:eastAsia="Times New Roman"/>
          <w:bCs/>
          <w:szCs w:val="24"/>
        </w:rPr>
        <w:t xml:space="preserve"> el Estado colombiano </w:t>
      </w:r>
      <w:r w:rsidRPr="00B83096">
        <w:rPr>
          <w:rFonts w:eastAsia="Times New Roman"/>
          <w:bCs/>
          <w:szCs w:val="24"/>
        </w:rPr>
        <w:t xml:space="preserve">llevó a cabo </w:t>
      </w:r>
      <w:r>
        <w:rPr>
          <w:rFonts w:eastAsia="Times New Roman"/>
          <w:bCs/>
          <w:szCs w:val="24"/>
        </w:rPr>
        <w:t xml:space="preserve">el </w:t>
      </w:r>
      <w:r w:rsidRPr="00B83096">
        <w:rPr>
          <w:rFonts w:eastAsia="Times New Roman"/>
          <w:bCs/>
          <w:szCs w:val="24"/>
        </w:rPr>
        <w:t xml:space="preserve">Espacio Nacional </w:t>
      </w:r>
      <w:r w:rsidRPr="00B83096">
        <w:rPr>
          <w:rFonts w:eastAsia="Times New Roman"/>
          <w:bCs/>
          <w:szCs w:val="24"/>
        </w:rPr>
        <w:lastRenderedPageBreak/>
        <w:t xml:space="preserve">de Consulta Previa de medidas legislativas y administrativas de amplio alcance, susceptibles de afectar a las comunidades NARP, para la consolidación de preacuerdos, </w:t>
      </w:r>
      <w:r w:rsidRPr="006D49C3">
        <w:t>acuerdos</w:t>
      </w:r>
      <w:r w:rsidRPr="00B83096">
        <w:rPr>
          <w:rFonts w:eastAsia="Times New Roman"/>
          <w:bCs/>
          <w:szCs w:val="24"/>
        </w:rPr>
        <w:t xml:space="preserve"> y protocolización según Consulta Previa en cumplimiento del Convenio 169 de la OIT de las medidas legislativas o administrativas susceptibles de afectar a las comunidades NARP</w:t>
      </w:r>
      <w:r w:rsidR="00D0295C">
        <w:rPr>
          <w:rStyle w:val="Refdenotaalpie"/>
          <w:rFonts w:eastAsia="Times New Roman"/>
          <w:bCs/>
          <w:szCs w:val="24"/>
        </w:rPr>
        <w:footnoteReference w:id="111"/>
      </w:r>
      <w:r w:rsidRPr="00B83096">
        <w:rPr>
          <w:rFonts w:eastAsia="Times New Roman"/>
          <w:bCs/>
          <w:szCs w:val="24"/>
        </w:rPr>
        <w:t>.</w:t>
      </w:r>
    </w:p>
    <w:p w14:paraId="2F7C0EFA" w14:textId="611782D7" w:rsidR="00095139" w:rsidRPr="00B83096" w:rsidRDefault="00095139" w:rsidP="008357BF">
      <w:pPr>
        <w:pStyle w:val="SingleTxtG"/>
        <w:numPr>
          <w:ilvl w:val="0"/>
          <w:numId w:val="27"/>
        </w:numPr>
        <w:ind w:left="1134" w:firstLine="0"/>
        <w:rPr>
          <w:rFonts w:eastAsia="Times New Roman"/>
          <w:bCs/>
          <w:szCs w:val="24"/>
        </w:rPr>
      </w:pPr>
      <w:r>
        <w:rPr>
          <w:rFonts w:eastAsia="Times New Roman"/>
          <w:bCs/>
          <w:szCs w:val="24"/>
        </w:rPr>
        <w:t xml:space="preserve">Igualmente, en </w:t>
      </w:r>
      <w:r w:rsidRPr="00B83096">
        <w:rPr>
          <w:rFonts w:eastAsia="Times New Roman"/>
          <w:bCs/>
          <w:szCs w:val="24"/>
        </w:rPr>
        <w:t xml:space="preserve">2019 realizó la Primera Feria de inclusión laboral y orientación de iniciativas productivas dirigida a la </w:t>
      </w:r>
      <w:r w:rsidRPr="006D49C3">
        <w:t>población</w:t>
      </w:r>
      <w:r w:rsidRPr="00B83096">
        <w:rPr>
          <w:rFonts w:eastAsia="Times New Roman"/>
          <w:bCs/>
          <w:szCs w:val="24"/>
        </w:rPr>
        <w:t xml:space="preserve"> </w:t>
      </w:r>
      <w:r>
        <w:rPr>
          <w:rFonts w:eastAsia="Times New Roman"/>
          <w:bCs/>
          <w:szCs w:val="24"/>
        </w:rPr>
        <w:t>NARP</w:t>
      </w:r>
      <w:r w:rsidRPr="00B83096">
        <w:rPr>
          <w:rFonts w:eastAsia="Times New Roman"/>
          <w:bCs/>
          <w:szCs w:val="24"/>
        </w:rPr>
        <w:t xml:space="preserve"> en la ciudad de Bogotá, la cual contó con una asignación </w:t>
      </w:r>
      <w:r>
        <w:rPr>
          <w:rFonts w:eastAsia="Times New Roman"/>
          <w:bCs/>
          <w:szCs w:val="24"/>
        </w:rPr>
        <w:t>de $</w:t>
      </w:r>
      <w:r w:rsidRPr="00B83096">
        <w:rPr>
          <w:rFonts w:eastAsia="Times New Roman"/>
          <w:bCs/>
          <w:szCs w:val="24"/>
        </w:rPr>
        <w:t>44.214.248 e involucró la participación de 300 miembros de estas comunidades</w:t>
      </w:r>
      <w:r w:rsidR="00D0295C" w:rsidRPr="00973F39">
        <w:rPr>
          <w:rFonts w:eastAsia="Times New Roman"/>
          <w:bCs/>
          <w:sz w:val="18"/>
          <w:szCs w:val="18"/>
          <w:vertAlign w:val="superscript"/>
        </w:rPr>
        <w:footnoteReference w:id="112"/>
      </w:r>
      <w:r w:rsidRPr="00B83096">
        <w:rPr>
          <w:rFonts w:eastAsia="Times New Roman"/>
          <w:bCs/>
          <w:szCs w:val="24"/>
        </w:rPr>
        <w:t>.</w:t>
      </w:r>
    </w:p>
    <w:p w14:paraId="4557476A" w14:textId="58A6F8E4" w:rsidR="00095139" w:rsidRPr="00B83096" w:rsidRDefault="00095139" w:rsidP="008357BF">
      <w:pPr>
        <w:pStyle w:val="SingleTxtG"/>
        <w:numPr>
          <w:ilvl w:val="0"/>
          <w:numId w:val="27"/>
        </w:numPr>
        <w:ind w:left="1134" w:firstLine="0"/>
        <w:rPr>
          <w:rFonts w:eastAsia="Times New Roman"/>
          <w:bCs/>
          <w:szCs w:val="24"/>
        </w:rPr>
      </w:pPr>
      <w:r w:rsidRPr="00B83096">
        <w:rPr>
          <w:rFonts w:eastAsia="Times New Roman"/>
          <w:bCs/>
          <w:szCs w:val="24"/>
        </w:rPr>
        <w:t xml:space="preserve">Para 2020 se realizó la segunda Feria de inclusión laboral y orientación de iniciativas productivas las Poblaciones NARP en el </w:t>
      </w:r>
      <w:r w:rsidRPr="006D49C3">
        <w:t>Departamento</w:t>
      </w:r>
      <w:r w:rsidRPr="00B83096">
        <w:rPr>
          <w:rFonts w:eastAsia="Times New Roman"/>
          <w:bCs/>
          <w:szCs w:val="24"/>
        </w:rPr>
        <w:t xml:space="preserve"> del Valle del Cauca, de manera virtual, </w:t>
      </w:r>
      <w:r>
        <w:rPr>
          <w:rFonts w:eastAsia="Times New Roman"/>
          <w:bCs/>
          <w:szCs w:val="24"/>
        </w:rPr>
        <w:t>donde</w:t>
      </w:r>
      <w:r w:rsidRPr="00B83096">
        <w:rPr>
          <w:rFonts w:eastAsia="Times New Roman"/>
          <w:bCs/>
          <w:szCs w:val="24"/>
        </w:rPr>
        <w:t xml:space="preserve"> se </w:t>
      </w:r>
      <w:r>
        <w:rPr>
          <w:rFonts w:eastAsia="Times New Roman"/>
          <w:bCs/>
          <w:szCs w:val="24"/>
        </w:rPr>
        <w:t>dieron</w:t>
      </w:r>
      <w:r w:rsidRPr="00B83096">
        <w:rPr>
          <w:rFonts w:eastAsia="Times New Roman"/>
          <w:bCs/>
          <w:szCs w:val="24"/>
        </w:rPr>
        <w:t xml:space="preserve"> alrededor de 748 ofertas laborales dirigidas a esta población</w:t>
      </w:r>
      <w:r w:rsidR="00D0295C" w:rsidRPr="00973F39">
        <w:rPr>
          <w:rFonts w:eastAsia="Times New Roman"/>
          <w:bCs/>
          <w:sz w:val="18"/>
          <w:szCs w:val="18"/>
          <w:vertAlign w:val="superscript"/>
        </w:rPr>
        <w:footnoteReference w:id="113"/>
      </w:r>
      <w:r w:rsidRPr="00B83096">
        <w:rPr>
          <w:rFonts w:eastAsia="Times New Roman"/>
          <w:bCs/>
          <w:szCs w:val="24"/>
        </w:rPr>
        <w:t>.</w:t>
      </w:r>
    </w:p>
    <w:p w14:paraId="405B88FF" w14:textId="51710F72" w:rsidR="00095139" w:rsidRPr="00B83096" w:rsidRDefault="00095139" w:rsidP="008357BF">
      <w:pPr>
        <w:pStyle w:val="SingleTxtG"/>
        <w:numPr>
          <w:ilvl w:val="0"/>
          <w:numId w:val="27"/>
        </w:numPr>
        <w:ind w:left="1134" w:firstLine="0"/>
        <w:rPr>
          <w:rFonts w:eastAsia="Times New Roman"/>
          <w:bCs/>
          <w:szCs w:val="24"/>
        </w:rPr>
      </w:pPr>
      <w:r>
        <w:rPr>
          <w:rFonts w:eastAsia="Times New Roman"/>
          <w:bCs/>
          <w:szCs w:val="24"/>
        </w:rPr>
        <w:t>E</w:t>
      </w:r>
      <w:r w:rsidRPr="00B83096">
        <w:rPr>
          <w:rFonts w:eastAsia="Times New Roman"/>
          <w:bCs/>
          <w:szCs w:val="24"/>
        </w:rPr>
        <w:t xml:space="preserve">l 21 de mayo </w:t>
      </w:r>
      <w:r>
        <w:rPr>
          <w:rFonts w:eastAsia="Times New Roman"/>
          <w:bCs/>
          <w:szCs w:val="24"/>
        </w:rPr>
        <w:t xml:space="preserve">de 2021, </w:t>
      </w:r>
      <w:r w:rsidRPr="00B83096">
        <w:rPr>
          <w:rFonts w:eastAsia="Times New Roman"/>
          <w:bCs/>
          <w:szCs w:val="24"/>
        </w:rPr>
        <w:t>en el marco de la celebración del día de la afrocolombianidad, se desarrolló junto con el SENA y el Servicio Público de Empleo una Feria Nacional de Empleo</w:t>
      </w:r>
      <w:r>
        <w:rPr>
          <w:rFonts w:eastAsia="Times New Roman"/>
          <w:bCs/>
          <w:szCs w:val="24"/>
        </w:rPr>
        <w:t xml:space="preserve"> virtual</w:t>
      </w:r>
      <w:r w:rsidRPr="00B83096">
        <w:rPr>
          <w:rFonts w:eastAsia="Times New Roman"/>
          <w:bCs/>
          <w:szCs w:val="24"/>
        </w:rPr>
        <w:t xml:space="preserve"> dirigida a poblaciones </w:t>
      </w:r>
      <w:r>
        <w:rPr>
          <w:rFonts w:eastAsia="Times New Roman"/>
          <w:bCs/>
          <w:szCs w:val="24"/>
        </w:rPr>
        <w:t>NARP</w:t>
      </w:r>
      <w:r w:rsidRPr="00B83096">
        <w:rPr>
          <w:rFonts w:eastAsia="Times New Roman"/>
          <w:bCs/>
          <w:szCs w:val="24"/>
        </w:rPr>
        <w:t xml:space="preserve">, y </w:t>
      </w:r>
      <w:r w:rsidR="00D0295C" w:rsidRPr="00B83096">
        <w:rPr>
          <w:rFonts w:eastAsia="Times New Roman"/>
          <w:bCs/>
          <w:szCs w:val="24"/>
        </w:rPr>
        <w:t>contó</w:t>
      </w:r>
      <w:r w:rsidRPr="00B83096">
        <w:rPr>
          <w:rFonts w:eastAsia="Times New Roman"/>
          <w:bCs/>
          <w:szCs w:val="24"/>
        </w:rPr>
        <w:t xml:space="preserve"> con la </w:t>
      </w:r>
      <w:r w:rsidRPr="006D49C3">
        <w:t>participación</w:t>
      </w:r>
      <w:r w:rsidRPr="00B83096">
        <w:rPr>
          <w:rFonts w:eastAsia="Times New Roman"/>
          <w:bCs/>
          <w:szCs w:val="24"/>
        </w:rPr>
        <w:t xml:space="preserve"> de 725 empresas que publicaron 3.846 vacantes laborales, de las cuales tuvieron 7.544 postulaciones, de igual forma</w:t>
      </w:r>
      <w:r>
        <w:rPr>
          <w:rFonts w:eastAsia="Times New Roman"/>
          <w:bCs/>
          <w:szCs w:val="24"/>
        </w:rPr>
        <w:t xml:space="preserve">, </w:t>
      </w:r>
      <w:r w:rsidRPr="00B83096">
        <w:rPr>
          <w:rFonts w:eastAsia="Times New Roman"/>
          <w:bCs/>
          <w:szCs w:val="24"/>
        </w:rPr>
        <w:t xml:space="preserve">a través de los centros zonales del SENA en el país, se brindaron orientaciones en temas ocupacionales a 2.455 personas. </w:t>
      </w:r>
      <w:r>
        <w:rPr>
          <w:rFonts w:eastAsia="Times New Roman"/>
          <w:bCs/>
          <w:szCs w:val="24"/>
        </w:rPr>
        <w:t>En el mismo año, se</w:t>
      </w:r>
      <w:r w:rsidRPr="00B83096">
        <w:rPr>
          <w:rFonts w:eastAsia="Times New Roman"/>
          <w:bCs/>
          <w:szCs w:val="24"/>
        </w:rPr>
        <w:t xml:space="preserve"> realiz</w:t>
      </w:r>
      <w:r>
        <w:rPr>
          <w:rFonts w:eastAsia="Times New Roman"/>
          <w:bCs/>
          <w:szCs w:val="24"/>
        </w:rPr>
        <w:t>ó</w:t>
      </w:r>
      <w:r w:rsidRPr="00B83096">
        <w:rPr>
          <w:rFonts w:eastAsia="Times New Roman"/>
          <w:bCs/>
          <w:szCs w:val="24"/>
        </w:rPr>
        <w:t xml:space="preserve"> la tercera Feria de inclusión laboral y orientación de iniciativas productivas dirigida a la Población NARP en el Departamento de Bolívar, contando con una asignación presupuestal de </w:t>
      </w:r>
      <w:r>
        <w:rPr>
          <w:rFonts w:eastAsia="Times New Roman"/>
          <w:bCs/>
          <w:szCs w:val="24"/>
        </w:rPr>
        <w:t>$</w:t>
      </w:r>
      <w:r w:rsidRPr="00B83096">
        <w:rPr>
          <w:rFonts w:eastAsia="Times New Roman"/>
          <w:bCs/>
          <w:szCs w:val="24"/>
        </w:rPr>
        <w:t>18.000.000</w:t>
      </w:r>
      <w:r w:rsidR="00D0295C" w:rsidRPr="00973F39">
        <w:rPr>
          <w:rFonts w:eastAsia="Times New Roman"/>
          <w:bCs/>
          <w:sz w:val="18"/>
          <w:szCs w:val="18"/>
          <w:vertAlign w:val="superscript"/>
        </w:rPr>
        <w:footnoteReference w:id="114"/>
      </w:r>
      <w:r w:rsidRPr="00B83096">
        <w:rPr>
          <w:rFonts w:eastAsia="Times New Roman"/>
          <w:bCs/>
          <w:szCs w:val="24"/>
        </w:rPr>
        <w:t>.</w:t>
      </w:r>
    </w:p>
    <w:p w14:paraId="12A37029" w14:textId="07305C5B" w:rsidR="00095139" w:rsidRDefault="00095139" w:rsidP="008357BF">
      <w:pPr>
        <w:pStyle w:val="SingleTxtG"/>
        <w:numPr>
          <w:ilvl w:val="0"/>
          <w:numId w:val="27"/>
        </w:numPr>
        <w:ind w:left="1134" w:firstLine="0"/>
        <w:rPr>
          <w:rFonts w:eastAsia="Times New Roman"/>
          <w:bCs/>
          <w:szCs w:val="24"/>
        </w:rPr>
      </w:pPr>
      <w:r w:rsidRPr="00B83096">
        <w:rPr>
          <w:rFonts w:eastAsia="Times New Roman"/>
          <w:bCs/>
          <w:szCs w:val="24"/>
        </w:rPr>
        <w:t>De igual forma, se han realizado acciones de formación profesional integral, que permiten mejorar los perfiles ocupacionales de los miembros de la comunidad NARP (</w:t>
      </w:r>
      <w:r>
        <w:rPr>
          <w:rFonts w:eastAsia="Times New Roman"/>
          <w:bCs/>
          <w:szCs w:val="24"/>
        </w:rPr>
        <w:t xml:space="preserve">cifras de atención en el </w:t>
      </w:r>
      <w:r w:rsidRPr="0095136D">
        <w:rPr>
          <w:rFonts w:eastAsia="Times New Roman"/>
          <w:bCs/>
          <w:szCs w:val="24"/>
        </w:rPr>
        <w:t xml:space="preserve">Anexo </w:t>
      </w:r>
      <w:r>
        <w:rPr>
          <w:rFonts w:eastAsia="Times New Roman"/>
          <w:bCs/>
          <w:szCs w:val="24"/>
        </w:rPr>
        <w:t>10</w:t>
      </w:r>
      <w:r w:rsidRPr="0095136D">
        <w:rPr>
          <w:rFonts w:eastAsia="Times New Roman"/>
          <w:bCs/>
          <w:szCs w:val="24"/>
        </w:rPr>
        <w:t xml:space="preserve"> - Tabla 1</w:t>
      </w:r>
      <w:r w:rsidRPr="00B83096">
        <w:rPr>
          <w:rFonts w:eastAsia="Times New Roman"/>
          <w:bCs/>
          <w:szCs w:val="24"/>
        </w:rPr>
        <w:t>). Asimismo, se evidenció un aumento en la creación de empresas por parte de los miembros de estas comunidades (</w:t>
      </w:r>
      <w:r w:rsidRPr="0095136D">
        <w:rPr>
          <w:rFonts w:eastAsia="Times New Roman"/>
          <w:bCs/>
          <w:szCs w:val="24"/>
        </w:rPr>
        <w:t xml:space="preserve">Anexo </w:t>
      </w:r>
      <w:r>
        <w:rPr>
          <w:rFonts w:eastAsia="Times New Roman"/>
          <w:bCs/>
          <w:szCs w:val="24"/>
        </w:rPr>
        <w:t>10</w:t>
      </w:r>
      <w:r w:rsidRPr="0095136D">
        <w:rPr>
          <w:rFonts w:eastAsia="Times New Roman"/>
          <w:bCs/>
          <w:szCs w:val="24"/>
        </w:rPr>
        <w:t xml:space="preserve"> - Tabla 2</w:t>
      </w:r>
      <w:r w:rsidRPr="00B83096">
        <w:rPr>
          <w:rFonts w:eastAsia="Times New Roman"/>
          <w:bCs/>
          <w:szCs w:val="24"/>
        </w:rPr>
        <w:t>)</w:t>
      </w:r>
      <w:r w:rsidR="00D0295C" w:rsidRPr="00973F39">
        <w:rPr>
          <w:rFonts w:eastAsia="Times New Roman"/>
          <w:bCs/>
          <w:sz w:val="18"/>
          <w:szCs w:val="18"/>
          <w:vertAlign w:val="superscript"/>
        </w:rPr>
        <w:footnoteReference w:id="115"/>
      </w:r>
      <w:r w:rsidRPr="00B83096">
        <w:rPr>
          <w:rFonts w:eastAsia="Times New Roman"/>
          <w:bCs/>
          <w:szCs w:val="24"/>
        </w:rPr>
        <w:t>.</w:t>
      </w:r>
    </w:p>
    <w:p w14:paraId="2312A059" w14:textId="06B6BD96" w:rsidR="00095139" w:rsidRPr="00EE1D58" w:rsidRDefault="00D0295C" w:rsidP="00D91788">
      <w:pPr>
        <w:pStyle w:val="H4G"/>
      </w:pPr>
      <w:r>
        <w:tab/>
      </w:r>
      <w:r w:rsidR="00D91788">
        <w:t>e)</w:t>
      </w:r>
      <w:r w:rsidR="00D91788">
        <w:tab/>
      </w:r>
      <w:r w:rsidR="00095139">
        <w:t>Medidas para reducción de desnutrición</w:t>
      </w:r>
    </w:p>
    <w:p w14:paraId="1C9E4CCD" w14:textId="227B7C35" w:rsidR="00095139" w:rsidRPr="001A510C" w:rsidRDefault="00095139" w:rsidP="008357BF">
      <w:pPr>
        <w:pStyle w:val="SingleTxtG"/>
        <w:numPr>
          <w:ilvl w:val="0"/>
          <w:numId w:val="27"/>
        </w:numPr>
        <w:ind w:left="1134" w:firstLine="0"/>
        <w:rPr>
          <w:rFonts w:eastAsia="Times New Roman"/>
          <w:bCs/>
          <w:szCs w:val="24"/>
        </w:rPr>
      </w:pPr>
      <w:r>
        <w:rPr>
          <w:rFonts w:eastAsia="Times New Roman"/>
          <w:bCs/>
          <w:szCs w:val="24"/>
        </w:rPr>
        <w:t xml:space="preserve">Ahora bien, respecto a las estrategias para combatir las afectaciones del estado nutricional de NNA, el Estado cuenta </w:t>
      </w:r>
      <w:r w:rsidRPr="001A510C">
        <w:rPr>
          <w:rFonts w:eastAsia="Times New Roman"/>
          <w:bCs/>
          <w:szCs w:val="24"/>
        </w:rPr>
        <w:t>con una Política de Seguridad Alimentaria y Nutricional</w:t>
      </w:r>
      <w:r>
        <w:rPr>
          <w:rFonts w:eastAsia="Times New Roman"/>
          <w:bCs/>
          <w:szCs w:val="24"/>
        </w:rPr>
        <w:t xml:space="preserve"> (SAN)</w:t>
      </w:r>
      <w:r w:rsidRPr="001A510C">
        <w:rPr>
          <w:rFonts w:eastAsia="Times New Roman"/>
          <w:bCs/>
          <w:szCs w:val="24"/>
        </w:rPr>
        <w:t xml:space="preserve"> </w:t>
      </w:r>
      <w:r>
        <w:rPr>
          <w:rFonts w:eastAsia="Times New Roman"/>
          <w:bCs/>
          <w:szCs w:val="24"/>
        </w:rPr>
        <w:t>definida en</w:t>
      </w:r>
      <w:r w:rsidRPr="001A510C">
        <w:rPr>
          <w:rFonts w:eastAsia="Times New Roman"/>
          <w:bCs/>
          <w:szCs w:val="24"/>
        </w:rPr>
        <w:t xml:space="preserve"> el CONPES 113 de 2008 </w:t>
      </w:r>
      <w:r>
        <w:rPr>
          <w:rFonts w:eastAsia="Times New Roman"/>
          <w:bCs/>
          <w:szCs w:val="24"/>
        </w:rPr>
        <w:t xml:space="preserve">que está en reformulación para la adopción del enfoque del derecho humano a la alimentación, proceso liderado por la Comisión Intersectorial de Seguridad </w:t>
      </w:r>
      <w:r w:rsidRPr="006D49C3">
        <w:t>Alimentaria</w:t>
      </w:r>
      <w:r>
        <w:rPr>
          <w:rFonts w:eastAsia="Times New Roman"/>
          <w:bCs/>
          <w:szCs w:val="24"/>
        </w:rPr>
        <w:t xml:space="preserve"> y Nutricional (CISAN). En estos instrumentos se proponen mecanismos para garantizar la participación e incidencia de la sociedad civil e incorporar el enfoque diferencial, étnico y de género</w:t>
      </w:r>
      <w:r w:rsidR="00D0295C">
        <w:rPr>
          <w:rStyle w:val="Refdenotaalpie"/>
          <w:rFonts w:eastAsia="Times New Roman"/>
          <w:bCs/>
          <w:szCs w:val="24"/>
        </w:rPr>
        <w:footnoteReference w:id="116"/>
      </w:r>
      <w:r>
        <w:rPr>
          <w:rFonts w:eastAsia="Times New Roman"/>
          <w:bCs/>
          <w:szCs w:val="24"/>
        </w:rPr>
        <w:t>.</w:t>
      </w:r>
    </w:p>
    <w:p w14:paraId="7FF51F79" w14:textId="259196C3" w:rsidR="00095139" w:rsidRPr="001A510C" w:rsidRDefault="00095139" w:rsidP="008357BF">
      <w:pPr>
        <w:pStyle w:val="SingleTxtG"/>
        <w:numPr>
          <w:ilvl w:val="0"/>
          <w:numId w:val="27"/>
        </w:numPr>
        <w:ind w:left="1134" w:firstLine="0"/>
        <w:rPr>
          <w:rFonts w:eastAsia="Times New Roman"/>
          <w:bCs/>
          <w:szCs w:val="24"/>
        </w:rPr>
      </w:pPr>
      <w:r w:rsidRPr="001A510C">
        <w:rPr>
          <w:rFonts w:eastAsia="Times New Roman"/>
          <w:bCs/>
          <w:szCs w:val="24"/>
        </w:rPr>
        <w:t xml:space="preserve">De forma paralela a estos procesos y como compromisos del acuerdo de Paz, se avanza en la implementación del Plan Nacional Rural </w:t>
      </w:r>
      <w:r w:rsidRPr="006D49C3">
        <w:t>del</w:t>
      </w:r>
      <w:r w:rsidRPr="001A510C">
        <w:rPr>
          <w:rFonts w:eastAsia="Times New Roman"/>
          <w:bCs/>
          <w:szCs w:val="24"/>
        </w:rPr>
        <w:t xml:space="preserve"> Sistema de Garantía Progresiva del Derecho Humano a la Alimentación 2020-2031, que incorporó el enfoque étnico con perspectiva de género, mujer, familia y generación</w:t>
      </w:r>
      <w:r w:rsidR="00D0295C">
        <w:rPr>
          <w:rStyle w:val="Refdenotaalpie"/>
          <w:rFonts w:eastAsia="Times New Roman"/>
          <w:bCs/>
          <w:szCs w:val="24"/>
        </w:rPr>
        <w:footnoteReference w:id="117"/>
      </w:r>
      <w:r w:rsidRPr="001A510C">
        <w:rPr>
          <w:rFonts w:eastAsia="Times New Roman"/>
          <w:bCs/>
          <w:szCs w:val="24"/>
        </w:rPr>
        <w:t>.</w:t>
      </w:r>
    </w:p>
    <w:p w14:paraId="79C55E56" w14:textId="723F44E4" w:rsidR="00095139" w:rsidRPr="001A510C" w:rsidRDefault="00095139" w:rsidP="008357BF">
      <w:pPr>
        <w:pStyle w:val="SingleTxtG"/>
        <w:numPr>
          <w:ilvl w:val="0"/>
          <w:numId w:val="27"/>
        </w:numPr>
        <w:ind w:left="1134" w:firstLine="0"/>
        <w:rPr>
          <w:rFonts w:eastAsia="Times New Roman"/>
          <w:bCs/>
          <w:szCs w:val="24"/>
        </w:rPr>
      </w:pPr>
      <w:r w:rsidRPr="001A510C">
        <w:rPr>
          <w:rFonts w:eastAsia="Times New Roman"/>
          <w:bCs/>
          <w:szCs w:val="24"/>
        </w:rPr>
        <w:t>Este Plan establece como objetivo garantizar el derecho a la alimentación en la población rural incluidos los grupos étnicos, para lograrlo se establecen acciones como:</w:t>
      </w:r>
      <w:r>
        <w:rPr>
          <w:rFonts w:eastAsia="Times New Roman"/>
          <w:bCs/>
          <w:szCs w:val="24"/>
        </w:rPr>
        <w:t xml:space="preserve"> </w:t>
      </w:r>
      <w:r w:rsidRPr="001A510C">
        <w:rPr>
          <w:rFonts w:eastAsia="Times New Roman"/>
          <w:bCs/>
          <w:szCs w:val="24"/>
        </w:rPr>
        <w:t xml:space="preserve">i) </w:t>
      </w:r>
      <w:r>
        <w:rPr>
          <w:rFonts w:eastAsia="Times New Roman"/>
          <w:bCs/>
          <w:szCs w:val="24"/>
        </w:rPr>
        <w:t>l</w:t>
      </w:r>
      <w:r w:rsidRPr="001A510C">
        <w:rPr>
          <w:rFonts w:eastAsia="Times New Roman"/>
          <w:bCs/>
          <w:szCs w:val="24"/>
        </w:rPr>
        <w:t xml:space="preserve">a formulación e implementación de una estrategia de fortalecimiento de </w:t>
      </w:r>
      <w:r w:rsidRPr="006D49C3">
        <w:t>organizaciones</w:t>
      </w:r>
      <w:r w:rsidRPr="001A510C">
        <w:rPr>
          <w:rFonts w:eastAsia="Times New Roman"/>
          <w:bCs/>
          <w:szCs w:val="24"/>
        </w:rPr>
        <w:t xml:space="preserve"> rurales de base que prioriza las organizaciones de grupos étnicos y de mujeres</w:t>
      </w:r>
      <w:r>
        <w:rPr>
          <w:rFonts w:eastAsia="Times New Roman"/>
          <w:bCs/>
          <w:szCs w:val="24"/>
        </w:rPr>
        <w:t>;</w:t>
      </w:r>
      <w:r w:rsidRPr="001A510C">
        <w:rPr>
          <w:rFonts w:eastAsia="Times New Roman"/>
          <w:bCs/>
          <w:szCs w:val="24"/>
        </w:rPr>
        <w:t xml:space="preserve"> ii) </w:t>
      </w:r>
      <w:r>
        <w:rPr>
          <w:rFonts w:eastAsia="Times New Roman"/>
          <w:bCs/>
          <w:szCs w:val="24"/>
        </w:rPr>
        <w:t>l</w:t>
      </w:r>
      <w:r w:rsidRPr="001A510C">
        <w:rPr>
          <w:rFonts w:eastAsia="Times New Roman"/>
          <w:bCs/>
          <w:szCs w:val="24"/>
        </w:rPr>
        <w:t>a implementación de programas de atención y prevención a la desnutrición infantil en los territorios rurales mediante actividades para la nutrición de la primera infancia con enfoque diferencial y comunitario</w:t>
      </w:r>
      <w:r>
        <w:rPr>
          <w:rFonts w:eastAsia="Times New Roman"/>
          <w:bCs/>
          <w:szCs w:val="24"/>
        </w:rPr>
        <w:t>;</w:t>
      </w:r>
      <w:r w:rsidRPr="001A510C">
        <w:rPr>
          <w:rFonts w:eastAsia="Times New Roman"/>
          <w:bCs/>
          <w:szCs w:val="24"/>
        </w:rPr>
        <w:t xml:space="preserve"> iii) </w:t>
      </w:r>
      <w:r>
        <w:rPr>
          <w:rFonts w:eastAsia="Times New Roman"/>
          <w:bCs/>
          <w:szCs w:val="24"/>
        </w:rPr>
        <w:t>e</w:t>
      </w:r>
      <w:r w:rsidRPr="001A510C">
        <w:rPr>
          <w:rFonts w:eastAsia="Times New Roman"/>
          <w:bCs/>
          <w:szCs w:val="24"/>
        </w:rPr>
        <w:t>l mejoramiento de la infraestructura para la comercialización de los productos de las comunidades rurales y de los grupos étnicos</w:t>
      </w:r>
      <w:r>
        <w:rPr>
          <w:rFonts w:eastAsia="Times New Roman"/>
          <w:bCs/>
          <w:szCs w:val="24"/>
        </w:rPr>
        <w:t>;</w:t>
      </w:r>
      <w:r w:rsidRPr="001A510C">
        <w:rPr>
          <w:rFonts w:eastAsia="Times New Roman"/>
          <w:bCs/>
          <w:szCs w:val="24"/>
        </w:rPr>
        <w:t xml:space="preserve"> y iv) </w:t>
      </w:r>
      <w:r>
        <w:rPr>
          <w:rFonts w:eastAsia="Times New Roman"/>
          <w:bCs/>
          <w:szCs w:val="24"/>
        </w:rPr>
        <w:t>e</w:t>
      </w:r>
      <w:r w:rsidRPr="001A510C">
        <w:rPr>
          <w:rFonts w:eastAsia="Times New Roman"/>
          <w:bCs/>
          <w:szCs w:val="24"/>
        </w:rPr>
        <w:t>l fortalecimiento de las capacidades en los grupos étnico</w:t>
      </w:r>
      <w:r>
        <w:rPr>
          <w:rFonts w:eastAsia="Times New Roman"/>
          <w:bCs/>
          <w:szCs w:val="24"/>
        </w:rPr>
        <w:t>s</w:t>
      </w:r>
      <w:r w:rsidRPr="001A510C">
        <w:rPr>
          <w:rFonts w:eastAsia="Times New Roman"/>
          <w:bCs/>
          <w:szCs w:val="24"/>
        </w:rPr>
        <w:t xml:space="preserve"> para la comercialización de los productos de sus economías propias</w:t>
      </w:r>
      <w:r w:rsidR="00D0295C">
        <w:rPr>
          <w:rStyle w:val="Refdenotaalpie"/>
          <w:rFonts w:eastAsia="Times New Roman"/>
          <w:bCs/>
          <w:szCs w:val="24"/>
        </w:rPr>
        <w:footnoteReference w:id="118"/>
      </w:r>
      <w:r w:rsidRPr="001A510C">
        <w:rPr>
          <w:rFonts w:eastAsia="Times New Roman"/>
          <w:bCs/>
          <w:szCs w:val="24"/>
        </w:rPr>
        <w:t>.</w:t>
      </w:r>
    </w:p>
    <w:p w14:paraId="23C11356" w14:textId="6B843F36" w:rsidR="00095139" w:rsidRDefault="00095139" w:rsidP="008357BF">
      <w:pPr>
        <w:pStyle w:val="SingleTxtG"/>
        <w:numPr>
          <w:ilvl w:val="0"/>
          <w:numId w:val="27"/>
        </w:numPr>
        <w:ind w:left="1134" w:firstLine="0"/>
        <w:rPr>
          <w:rFonts w:eastAsia="Times New Roman"/>
          <w:bCs/>
          <w:szCs w:val="24"/>
        </w:rPr>
      </w:pPr>
      <w:r w:rsidRPr="001A510C">
        <w:rPr>
          <w:rFonts w:eastAsia="Times New Roman"/>
          <w:bCs/>
          <w:szCs w:val="24"/>
        </w:rPr>
        <w:lastRenderedPageBreak/>
        <w:t>Por su parte,</w:t>
      </w:r>
      <w:r w:rsidRPr="001A510C">
        <w:rPr>
          <w:rFonts w:eastAsia="Times New Roman"/>
          <w:b/>
          <w:bCs/>
          <w:szCs w:val="24"/>
        </w:rPr>
        <w:t xml:space="preserve"> </w:t>
      </w:r>
      <w:r w:rsidRPr="001A510C">
        <w:rPr>
          <w:rFonts w:eastAsia="Times New Roman"/>
          <w:bCs/>
          <w:szCs w:val="24"/>
        </w:rPr>
        <w:t xml:space="preserve">el ICBF ejecuta la Estrategia de Atención y Prevención de la Desnutrición, cuyo objetivo es contribuir a la atención y prevención del bajo peso para la edad gestacional en las mujeres gestantes y la desnutrición en niños y niñas menores de cinco años. Para esto, en articulación con las entidades del Sistema Nacional Bienestar Familiar (SNBF), la estrategia </w:t>
      </w:r>
      <w:r w:rsidRPr="006D49C3">
        <w:t>adelanta</w:t>
      </w:r>
      <w:r w:rsidRPr="001A510C">
        <w:rPr>
          <w:rFonts w:eastAsia="Times New Roman"/>
          <w:bCs/>
          <w:szCs w:val="24"/>
        </w:rPr>
        <w:t xml:space="preserve"> acciones en alimentación, nutrición y fortalecimiento familiar a través de dos modalidades de atención: </w:t>
      </w:r>
      <w:r>
        <w:rPr>
          <w:rFonts w:eastAsia="Times New Roman"/>
          <w:bCs/>
          <w:szCs w:val="24"/>
        </w:rPr>
        <w:t xml:space="preserve">i) </w:t>
      </w:r>
      <w:r w:rsidRPr="001A510C">
        <w:rPr>
          <w:rFonts w:eastAsia="Times New Roman"/>
          <w:bCs/>
          <w:szCs w:val="24"/>
        </w:rPr>
        <w:t xml:space="preserve">1.000 días para cambiar el mundo y </w:t>
      </w:r>
      <w:r>
        <w:rPr>
          <w:rFonts w:eastAsia="Times New Roman"/>
          <w:bCs/>
          <w:szCs w:val="24"/>
        </w:rPr>
        <w:t xml:space="preserve">ii) </w:t>
      </w:r>
      <w:r w:rsidRPr="001A510C">
        <w:rPr>
          <w:rFonts w:eastAsia="Times New Roman"/>
          <w:bCs/>
          <w:szCs w:val="24"/>
        </w:rPr>
        <w:t>Centros de Recuperación Nutricional</w:t>
      </w:r>
      <w:r w:rsidR="00D0295C">
        <w:rPr>
          <w:rStyle w:val="Refdenotaalpie"/>
          <w:rFonts w:eastAsia="Times New Roman"/>
          <w:bCs/>
          <w:szCs w:val="24"/>
        </w:rPr>
        <w:footnoteReference w:id="119"/>
      </w:r>
      <w:r w:rsidRPr="001A510C">
        <w:rPr>
          <w:rFonts w:eastAsia="Times New Roman"/>
          <w:bCs/>
          <w:szCs w:val="24"/>
        </w:rPr>
        <w:t>.</w:t>
      </w:r>
    </w:p>
    <w:p w14:paraId="410F9B17" w14:textId="1D6259EA" w:rsidR="00095139" w:rsidRPr="006463EF" w:rsidRDefault="00D0295C" w:rsidP="00C307AF">
      <w:pPr>
        <w:pStyle w:val="H56G"/>
      </w:pPr>
      <w:r>
        <w:tab/>
      </w:r>
      <w:r w:rsidR="00C307AF">
        <w:t>i)</w:t>
      </w:r>
      <w:r w:rsidR="00C307AF">
        <w:tab/>
      </w:r>
      <w:r w:rsidR="00095139" w:rsidRPr="006463EF">
        <w:t>1.000 días para cambiar el mundo</w:t>
      </w:r>
    </w:p>
    <w:p w14:paraId="0EBD9AD3" w14:textId="61E4D63E" w:rsidR="00095139" w:rsidRPr="001A510C" w:rsidRDefault="00095139" w:rsidP="00C307AF">
      <w:pPr>
        <w:pStyle w:val="SingleTxtG"/>
      </w:pPr>
      <w:r w:rsidRPr="001A510C">
        <w:t>Estas modalidades se ejecutan principalmente en territorios donde se presenta mayor vulnerabilidad nutricional para esta población, característica que confluye en gran medida con los territorios donde se encuentran asentamientos de pueblos indígenas, especialmente de zonas rurales y dispersas</w:t>
      </w:r>
      <w:r w:rsidR="00D0295C" w:rsidRPr="00973F39">
        <w:rPr>
          <w:sz w:val="18"/>
          <w:szCs w:val="18"/>
          <w:vertAlign w:val="superscript"/>
        </w:rPr>
        <w:footnoteReference w:id="120"/>
      </w:r>
      <w:r w:rsidRPr="001A510C">
        <w:t>.</w:t>
      </w:r>
    </w:p>
    <w:p w14:paraId="1AE93F7C" w14:textId="6553C5C1" w:rsidR="00095139" w:rsidRDefault="00095139" w:rsidP="00C307AF">
      <w:pPr>
        <w:pStyle w:val="SingleTxtG"/>
      </w:pPr>
      <w:r w:rsidRPr="001A510C">
        <w:t>La modalidad 1.000 días para cambiar el mundo, atiende a mujeres gestantes con bajo peso, niños y niñas menores de 5 años con riesgo de desnutrición aguda y sus familias</w:t>
      </w:r>
      <w:r>
        <w:t>,</w:t>
      </w:r>
      <w:r w:rsidRPr="001A510C">
        <w:t xml:space="preserve"> esta se desarrolla en el ámbito familiar y comunitario, con el apoyo de un equipo interdisciplinario, cuyas actividades están relacionadas con complementación alimentaria, seguimiento nutricional, educación alimentaria y nutricional y acciones de fortalecimiento familiar.</w:t>
      </w:r>
    </w:p>
    <w:p w14:paraId="01353FAF" w14:textId="43AB3934" w:rsidR="00095139" w:rsidRPr="001A510C" w:rsidRDefault="00095139" w:rsidP="00C307AF">
      <w:pPr>
        <w:pStyle w:val="SingleTxtG"/>
      </w:pPr>
      <w:r w:rsidRPr="001A510C">
        <w:t>La relación de usuarios atendidos pertenecientes a pueblos indígenas e inversión durante el año 2019 fue de $14.288.549.576 con un total de 10.681 usuarios; en el año 2020, la inversión fue de $20.812.102.829 con un total de 13.913 usuarios; finalmente en 2021, la inversión fue $22.870.794.603, con un total de 15.928 usuarios. (</w:t>
      </w:r>
      <w:r w:rsidRPr="0095136D">
        <w:t xml:space="preserve">Anexo </w:t>
      </w:r>
      <w:r>
        <w:t>1</w:t>
      </w:r>
      <w:r w:rsidRPr="0095136D">
        <w:t>1 - Tabla 1</w:t>
      </w:r>
      <w:r w:rsidRPr="001A510C">
        <w:t>)</w:t>
      </w:r>
      <w:r w:rsidRPr="00973F39">
        <w:rPr>
          <w:sz w:val="18"/>
          <w:szCs w:val="18"/>
          <w:vertAlign w:val="superscript"/>
        </w:rPr>
        <w:footnoteReference w:id="121"/>
      </w:r>
      <w:r w:rsidR="00D0295C">
        <w:t>.</w:t>
      </w:r>
    </w:p>
    <w:p w14:paraId="72D8C28F" w14:textId="25C9CB46" w:rsidR="00095139" w:rsidRDefault="00095139" w:rsidP="00C307AF">
      <w:pPr>
        <w:pStyle w:val="SingleTxtG"/>
      </w:pPr>
      <w:r w:rsidRPr="001A510C">
        <w:t>En relación con la vigencia 2022</w:t>
      </w:r>
      <w:r>
        <w:t xml:space="preserve"> </w:t>
      </w:r>
      <w:r w:rsidRPr="001A510C">
        <w:t xml:space="preserve">con corte a 31 de </w:t>
      </w:r>
      <w:r>
        <w:t>agosto</w:t>
      </w:r>
      <w:r w:rsidRPr="001A510C">
        <w:t xml:space="preserve">, se han atendido en la modalidad 1.000 días para cambiar el mundo </w:t>
      </w:r>
      <w:r>
        <w:t>13.425</w:t>
      </w:r>
      <w:r w:rsidRPr="001A510C">
        <w:t xml:space="preserve"> usuarios pertenecientes a pueblos indígenas, de los cuales, </w:t>
      </w:r>
      <w:r>
        <w:t>2.814</w:t>
      </w:r>
      <w:r w:rsidRPr="001A510C">
        <w:t xml:space="preserve"> (2</w:t>
      </w:r>
      <w:r>
        <w:t>1</w:t>
      </w:r>
      <w:r w:rsidR="00796131">
        <w:t xml:space="preserve"> </w:t>
      </w:r>
      <w:r w:rsidRPr="001A510C">
        <w:t xml:space="preserve">%) corresponde a gestantes, </w:t>
      </w:r>
      <w:r>
        <w:t>5.348</w:t>
      </w:r>
      <w:r w:rsidRPr="001A510C">
        <w:t xml:space="preserve"> (40</w:t>
      </w:r>
      <w:r w:rsidR="00796131">
        <w:t xml:space="preserve"> </w:t>
      </w:r>
      <w:r w:rsidRPr="001A510C">
        <w:t xml:space="preserve">%) son niños y </w:t>
      </w:r>
      <w:r>
        <w:t>5.263</w:t>
      </w:r>
      <w:r w:rsidRPr="001A510C">
        <w:t xml:space="preserve"> (</w:t>
      </w:r>
      <w:r>
        <w:t>39</w:t>
      </w:r>
      <w:r w:rsidR="00796131">
        <w:t xml:space="preserve"> </w:t>
      </w:r>
      <w:r w:rsidRPr="001A510C">
        <w:t>%) son niñas menores de cinco años</w:t>
      </w:r>
      <w:r w:rsidR="00D0295C" w:rsidRPr="00973F39">
        <w:rPr>
          <w:sz w:val="18"/>
          <w:szCs w:val="18"/>
          <w:vertAlign w:val="superscript"/>
        </w:rPr>
        <w:footnoteReference w:id="122"/>
      </w:r>
      <w:r w:rsidRPr="001A510C">
        <w:t xml:space="preserve">. </w:t>
      </w:r>
    </w:p>
    <w:p w14:paraId="00ACEBAE" w14:textId="2EA63FC1" w:rsidR="00095139" w:rsidRPr="006463EF" w:rsidRDefault="00D0295C" w:rsidP="00C307AF">
      <w:pPr>
        <w:pStyle w:val="H56G"/>
      </w:pPr>
      <w:r>
        <w:tab/>
      </w:r>
      <w:r w:rsidR="00095139" w:rsidRPr="006463EF">
        <w:t>ii)</w:t>
      </w:r>
      <w:r w:rsidR="00C307AF">
        <w:tab/>
      </w:r>
      <w:r w:rsidR="00095139" w:rsidRPr="006463EF">
        <w:t>Centros de Recuperación Nutricional</w:t>
      </w:r>
      <w:r w:rsidR="00095139">
        <w:t xml:space="preserve"> (CRN)</w:t>
      </w:r>
    </w:p>
    <w:p w14:paraId="04DA174E" w14:textId="4987F6F3" w:rsidR="00095139" w:rsidRPr="001A510C" w:rsidRDefault="00095139" w:rsidP="00C307AF">
      <w:pPr>
        <w:pStyle w:val="SingleTxtG"/>
      </w:pPr>
      <w:r>
        <w:t>De otro lado, l</w:t>
      </w:r>
      <w:r w:rsidRPr="001A510C">
        <w:t>os CRN son una modalidad que trabaja en articulación con el sector salud</w:t>
      </w:r>
      <w:r>
        <w:t xml:space="preserve"> y</w:t>
      </w:r>
      <w:r w:rsidRPr="001A510C">
        <w:t xml:space="preserve"> contribu</w:t>
      </w:r>
      <w:r>
        <w:t>ye</w:t>
      </w:r>
      <w:r w:rsidRPr="001A510C">
        <w:t xml:space="preserve"> en la recuperación del estado nutricional de niñas y niños menores de 5 años con desnutrición aguda</w:t>
      </w:r>
      <w:r>
        <w:t>,</w:t>
      </w:r>
      <w:r w:rsidRPr="001A510C">
        <w:t xml:space="preserve"> moderada y severa, con participación de un equipo interdisciplinario que </w:t>
      </w:r>
      <w:r>
        <w:t>brindan</w:t>
      </w:r>
      <w:r w:rsidRPr="001A510C">
        <w:t xml:space="preserve"> atención en salud, alimentación, suministro de complementos nutricionales, promoción y prevención en salud y nutrición, y acompañamiento familiar. Estas acciones se realizan en forma intramural, suministrando a los niños y niñas el 100</w:t>
      </w:r>
      <w:r w:rsidR="00796131">
        <w:t xml:space="preserve"> </w:t>
      </w:r>
      <w:r w:rsidRPr="001A510C">
        <w:t xml:space="preserve">% de sus recomendaciones nutricionales diariamente. La relación de niños y niñas menores de </w:t>
      </w:r>
      <w:r>
        <w:t>5</w:t>
      </w:r>
      <w:r w:rsidRPr="001A510C">
        <w:t xml:space="preserve"> años atendidos en los CRN, pertenecientes a pueblos indígenas e inversión durante 2019 a 2021</w:t>
      </w:r>
      <w:r>
        <w:t xml:space="preserve"> puede ser consultado en el </w:t>
      </w:r>
      <w:r w:rsidRPr="0095136D">
        <w:t>Anexo 1</w:t>
      </w:r>
      <w:r>
        <w:t>1</w:t>
      </w:r>
      <w:r w:rsidRPr="0095136D">
        <w:t xml:space="preserve"> - Tabla </w:t>
      </w:r>
      <w:r>
        <w:t>2</w:t>
      </w:r>
      <w:r w:rsidR="00D0295C" w:rsidRPr="00973F39">
        <w:rPr>
          <w:sz w:val="18"/>
          <w:szCs w:val="18"/>
          <w:vertAlign w:val="superscript"/>
        </w:rPr>
        <w:footnoteReference w:id="123"/>
      </w:r>
      <w:r>
        <w:t>.</w:t>
      </w:r>
    </w:p>
    <w:p w14:paraId="3DBCBB71" w14:textId="71A113C0" w:rsidR="00095139" w:rsidRPr="001A510C" w:rsidRDefault="00095139" w:rsidP="00C307AF">
      <w:pPr>
        <w:pStyle w:val="SingleTxtG"/>
      </w:pPr>
      <w:r>
        <w:t>C</w:t>
      </w:r>
      <w:r w:rsidRPr="001A510C">
        <w:t xml:space="preserve">on corte a 31 de </w:t>
      </w:r>
      <w:r>
        <w:t>agosto</w:t>
      </w:r>
      <w:r w:rsidRPr="001A510C">
        <w:t xml:space="preserve"> </w:t>
      </w:r>
      <w:r>
        <w:t>de</w:t>
      </w:r>
      <w:r w:rsidRPr="001A510C">
        <w:t xml:space="preserve"> 2022, se han atendido en la modalidad </w:t>
      </w:r>
      <w:r>
        <w:t>CRN</w:t>
      </w:r>
      <w:r w:rsidRPr="001A510C">
        <w:t xml:space="preserve"> </w:t>
      </w:r>
      <w:r>
        <w:t>467</w:t>
      </w:r>
      <w:r w:rsidRPr="001A510C">
        <w:t xml:space="preserve"> usuarios pertenecientes a pueblos indígenas, de los cuales, </w:t>
      </w:r>
      <w:r>
        <w:t>225</w:t>
      </w:r>
      <w:r w:rsidRPr="001A510C">
        <w:t xml:space="preserve"> (</w:t>
      </w:r>
      <w:r>
        <w:t>48</w:t>
      </w:r>
      <w:r w:rsidR="00796131">
        <w:t xml:space="preserve"> </w:t>
      </w:r>
      <w:r w:rsidRPr="001A510C">
        <w:t xml:space="preserve">%) son niños y </w:t>
      </w:r>
      <w:r>
        <w:t>242</w:t>
      </w:r>
      <w:r w:rsidRPr="001A510C">
        <w:t xml:space="preserve"> (</w:t>
      </w:r>
      <w:r>
        <w:t>52</w:t>
      </w:r>
      <w:r w:rsidR="00796131">
        <w:t xml:space="preserve"> </w:t>
      </w:r>
      <w:r w:rsidRPr="001A510C">
        <w:t xml:space="preserve">%) son niñas menores de </w:t>
      </w:r>
      <w:r>
        <w:t>5</w:t>
      </w:r>
      <w:r w:rsidRPr="001A510C">
        <w:t xml:space="preserve"> años</w:t>
      </w:r>
      <w:r w:rsidR="00D0295C" w:rsidRPr="00973F39">
        <w:rPr>
          <w:sz w:val="18"/>
          <w:szCs w:val="18"/>
          <w:vertAlign w:val="superscript"/>
        </w:rPr>
        <w:footnoteReference w:id="124"/>
      </w:r>
      <w:r w:rsidRPr="001A510C">
        <w:t>.</w:t>
      </w:r>
    </w:p>
    <w:p w14:paraId="0C6FB48E" w14:textId="0529FD4A" w:rsidR="00095139" w:rsidRPr="001A510C" w:rsidRDefault="00095139" w:rsidP="008357BF">
      <w:pPr>
        <w:pStyle w:val="SingleTxtG"/>
        <w:numPr>
          <w:ilvl w:val="0"/>
          <w:numId w:val="27"/>
        </w:numPr>
        <w:ind w:left="1134" w:firstLine="0"/>
        <w:rPr>
          <w:rFonts w:eastAsia="Times New Roman"/>
          <w:bCs/>
          <w:szCs w:val="24"/>
        </w:rPr>
      </w:pPr>
      <w:r w:rsidRPr="001A510C">
        <w:rPr>
          <w:rFonts w:eastAsia="Times New Roman"/>
          <w:bCs/>
          <w:szCs w:val="24"/>
        </w:rPr>
        <w:t xml:space="preserve">En línea con lo anterior, se precisa que las acciones ejecutadas, se enmarcan dentro de la implementación del Modelo de Enfoque diferencial de Derechos </w:t>
      </w:r>
      <w:r>
        <w:rPr>
          <w:rFonts w:eastAsia="Times New Roman"/>
          <w:bCs/>
          <w:szCs w:val="24"/>
        </w:rPr>
        <w:t>(</w:t>
      </w:r>
      <w:r w:rsidRPr="001A510C">
        <w:rPr>
          <w:rFonts w:eastAsia="Times New Roman"/>
          <w:bCs/>
          <w:szCs w:val="24"/>
        </w:rPr>
        <w:t>MEDD</w:t>
      </w:r>
      <w:r>
        <w:rPr>
          <w:rFonts w:eastAsia="Times New Roman"/>
          <w:bCs/>
          <w:szCs w:val="24"/>
        </w:rPr>
        <w:t>)</w:t>
      </w:r>
      <w:r w:rsidRPr="001A510C">
        <w:rPr>
          <w:rFonts w:eastAsia="Times New Roman"/>
          <w:bCs/>
          <w:szCs w:val="24"/>
        </w:rPr>
        <w:t xml:space="preserve">, el cual tiene como objetivo reconocer las particularidades, necesidades y expectativas de los </w:t>
      </w:r>
      <w:r>
        <w:rPr>
          <w:rFonts w:eastAsia="Times New Roman"/>
          <w:bCs/>
          <w:szCs w:val="24"/>
        </w:rPr>
        <w:t>NNA</w:t>
      </w:r>
      <w:r w:rsidRPr="001A510C">
        <w:rPr>
          <w:rFonts w:eastAsia="Times New Roman"/>
          <w:bCs/>
          <w:szCs w:val="24"/>
        </w:rPr>
        <w:t xml:space="preserve"> y las familias, para garantizar su protección integral desde una perspectiva diferencial de derechos, </w:t>
      </w:r>
      <w:r w:rsidRPr="001A510C">
        <w:rPr>
          <w:rFonts w:eastAsia="Times New Roman"/>
          <w:bCs/>
          <w:szCs w:val="24"/>
        </w:rPr>
        <w:lastRenderedPageBreak/>
        <w:t>mediante una respuesta que promueva la igualdad, la no discriminación y las características contextuales de los territorios</w:t>
      </w:r>
      <w:r w:rsidR="00CD54DA">
        <w:rPr>
          <w:rStyle w:val="Refdenotaalpie"/>
          <w:rFonts w:eastAsia="Times New Roman"/>
          <w:bCs/>
          <w:szCs w:val="24"/>
        </w:rPr>
        <w:footnoteReference w:id="125"/>
      </w:r>
      <w:r w:rsidRPr="001A510C">
        <w:rPr>
          <w:rFonts w:eastAsia="Times New Roman"/>
          <w:bCs/>
          <w:szCs w:val="24"/>
        </w:rPr>
        <w:t xml:space="preserve"> e incluye un componente étnico</w:t>
      </w:r>
      <w:r w:rsidR="00D0295C">
        <w:rPr>
          <w:rStyle w:val="Refdenotaalpie"/>
          <w:rFonts w:eastAsia="Times New Roman"/>
          <w:bCs/>
          <w:szCs w:val="24"/>
        </w:rPr>
        <w:footnoteReference w:id="126"/>
      </w:r>
      <w:r w:rsidRPr="001A510C">
        <w:rPr>
          <w:rFonts w:eastAsia="Times New Roman"/>
          <w:bCs/>
          <w:szCs w:val="24"/>
        </w:rPr>
        <w:t>.</w:t>
      </w:r>
    </w:p>
    <w:p w14:paraId="346E5F4A" w14:textId="46AC1A9C" w:rsidR="00095139" w:rsidRPr="001A510C" w:rsidRDefault="00095139" w:rsidP="008357BF">
      <w:pPr>
        <w:pStyle w:val="SingleTxtG"/>
        <w:numPr>
          <w:ilvl w:val="0"/>
          <w:numId w:val="27"/>
        </w:numPr>
        <w:ind w:left="1134" w:firstLine="0"/>
        <w:rPr>
          <w:rFonts w:eastAsia="Times New Roman"/>
          <w:bCs/>
          <w:szCs w:val="24"/>
        </w:rPr>
      </w:pPr>
      <w:r w:rsidRPr="001A510C">
        <w:rPr>
          <w:rFonts w:eastAsia="Times New Roman"/>
          <w:bCs/>
          <w:szCs w:val="24"/>
        </w:rPr>
        <w:t xml:space="preserve">En esta vía, el ICBF </w:t>
      </w:r>
      <w:r>
        <w:rPr>
          <w:rFonts w:eastAsia="Times New Roman"/>
          <w:bCs/>
          <w:szCs w:val="24"/>
        </w:rPr>
        <w:t>promueve</w:t>
      </w:r>
      <w:r w:rsidRPr="001A510C">
        <w:rPr>
          <w:rFonts w:eastAsia="Times New Roman"/>
          <w:bCs/>
          <w:szCs w:val="24"/>
        </w:rPr>
        <w:t xml:space="preserve"> acciones encaminadas a la progresividad del derecho humano a la alimentación </w:t>
      </w:r>
      <w:r>
        <w:rPr>
          <w:rFonts w:eastAsia="Times New Roman"/>
          <w:bCs/>
          <w:szCs w:val="24"/>
        </w:rPr>
        <w:t>como</w:t>
      </w:r>
      <w:r w:rsidRPr="001A510C">
        <w:rPr>
          <w:rFonts w:eastAsia="Times New Roman"/>
          <w:bCs/>
          <w:szCs w:val="24"/>
        </w:rPr>
        <w:t xml:space="preserve"> la promoción de una alimentación saludable mediante la </w:t>
      </w:r>
      <w:r>
        <w:rPr>
          <w:rFonts w:eastAsia="Times New Roman"/>
          <w:bCs/>
          <w:szCs w:val="24"/>
        </w:rPr>
        <w:t>a</w:t>
      </w:r>
      <w:r w:rsidRPr="001A510C">
        <w:rPr>
          <w:rFonts w:eastAsia="Times New Roman"/>
          <w:bCs/>
          <w:szCs w:val="24"/>
        </w:rPr>
        <w:t xml:space="preserve">daptación territorial de las guías alimentarias basadas en alimentos para la </w:t>
      </w:r>
      <w:r w:rsidRPr="006D49C3">
        <w:t>población</w:t>
      </w:r>
      <w:r w:rsidRPr="001A510C">
        <w:rPr>
          <w:rFonts w:eastAsia="Times New Roman"/>
          <w:bCs/>
          <w:szCs w:val="24"/>
        </w:rPr>
        <w:t xml:space="preserve"> colombiana (GABA)</w:t>
      </w:r>
      <w:r>
        <w:rPr>
          <w:rStyle w:val="Refdenotaalpie"/>
          <w:rFonts w:eastAsia="Times New Roman"/>
          <w:bCs/>
          <w:szCs w:val="24"/>
        </w:rPr>
        <w:footnoteReference w:id="127"/>
      </w:r>
      <w:r w:rsidRPr="001A510C">
        <w:rPr>
          <w:rFonts w:eastAsia="Times New Roman"/>
          <w:bCs/>
          <w:szCs w:val="24"/>
        </w:rPr>
        <w:t xml:space="preserve"> que orientan a las familias colombianas en la adopción y prácticas de alimentación saludable que contribuyen al bienestar nutricional y la prevención de enfermedades relacionadas con la alimentación</w:t>
      </w:r>
      <w:r w:rsidR="00D0295C" w:rsidRPr="00973F39">
        <w:rPr>
          <w:rFonts w:eastAsia="Times New Roman"/>
          <w:bCs/>
          <w:sz w:val="18"/>
          <w:szCs w:val="18"/>
          <w:vertAlign w:val="superscript"/>
        </w:rPr>
        <w:footnoteReference w:id="128"/>
      </w:r>
      <w:r w:rsidRPr="001A510C">
        <w:rPr>
          <w:rFonts w:eastAsia="Times New Roman"/>
          <w:bCs/>
          <w:szCs w:val="24"/>
        </w:rPr>
        <w:t>.</w:t>
      </w:r>
    </w:p>
    <w:p w14:paraId="094A5A1A" w14:textId="782AED0D" w:rsidR="00095139" w:rsidRPr="001A510C" w:rsidRDefault="00095139" w:rsidP="008357BF">
      <w:pPr>
        <w:pStyle w:val="SingleTxtG"/>
        <w:numPr>
          <w:ilvl w:val="0"/>
          <w:numId w:val="27"/>
        </w:numPr>
        <w:ind w:left="1134" w:firstLine="0"/>
        <w:rPr>
          <w:rFonts w:eastAsia="Times New Roman"/>
          <w:bCs/>
          <w:szCs w:val="24"/>
        </w:rPr>
      </w:pPr>
      <w:r w:rsidRPr="001A510C">
        <w:rPr>
          <w:rFonts w:eastAsia="Times New Roman"/>
          <w:bCs/>
          <w:szCs w:val="24"/>
        </w:rPr>
        <w:t xml:space="preserve">El ICBF adaptó territorialmente las GABAS </w:t>
      </w:r>
      <w:r>
        <w:rPr>
          <w:rFonts w:eastAsia="Times New Roman"/>
          <w:bCs/>
          <w:szCs w:val="24"/>
        </w:rPr>
        <w:t xml:space="preserve">en varias regiones del país, y </w:t>
      </w:r>
      <w:r w:rsidRPr="001A510C">
        <w:rPr>
          <w:rFonts w:eastAsia="Times New Roman"/>
          <w:bCs/>
          <w:szCs w:val="24"/>
        </w:rPr>
        <w:t>en 2019 contó con la participación de</w:t>
      </w:r>
      <w:r>
        <w:rPr>
          <w:rFonts w:eastAsia="Times New Roman"/>
          <w:bCs/>
          <w:szCs w:val="24"/>
        </w:rPr>
        <w:t>l Pueblo Indígena</w:t>
      </w:r>
      <w:r w:rsidRPr="001A510C">
        <w:rPr>
          <w:rFonts w:eastAsia="Times New Roman"/>
          <w:bCs/>
          <w:szCs w:val="24"/>
        </w:rPr>
        <w:t xml:space="preserve"> Pijao que habita en los municipios de Coyaima, Natagaima y Ortega, en el departamento del Tolima</w:t>
      </w:r>
      <w:r>
        <w:rPr>
          <w:rFonts w:eastAsia="Times New Roman"/>
          <w:bCs/>
          <w:szCs w:val="24"/>
        </w:rPr>
        <w:t>, así como del Pueblo Rrom en la ciudad de Bogotá</w:t>
      </w:r>
      <w:r w:rsidR="00D0295C" w:rsidRPr="00973F39">
        <w:rPr>
          <w:rFonts w:eastAsia="Times New Roman"/>
          <w:bCs/>
          <w:sz w:val="18"/>
          <w:szCs w:val="18"/>
          <w:vertAlign w:val="superscript"/>
        </w:rPr>
        <w:footnoteReference w:id="129"/>
      </w:r>
      <w:r>
        <w:rPr>
          <w:rFonts w:eastAsia="Times New Roman"/>
          <w:bCs/>
          <w:szCs w:val="24"/>
        </w:rPr>
        <w:t>.</w:t>
      </w:r>
    </w:p>
    <w:p w14:paraId="046F3E1D" w14:textId="28093901" w:rsidR="00095139" w:rsidRPr="001A510C" w:rsidRDefault="00095139" w:rsidP="008357BF">
      <w:pPr>
        <w:pStyle w:val="SingleTxtG"/>
        <w:numPr>
          <w:ilvl w:val="0"/>
          <w:numId w:val="27"/>
        </w:numPr>
        <w:ind w:left="1134" w:firstLine="0"/>
        <w:rPr>
          <w:rFonts w:eastAsia="Times New Roman"/>
          <w:bCs/>
          <w:szCs w:val="24"/>
        </w:rPr>
      </w:pPr>
      <w:r w:rsidRPr="001A510C">
        <w:rPr>
          <w:rFonts w:eastAsia="Times New Roman"/>
          <w:bCs/>
          <w:szCs w:val="24"/>
        </w:rPr>
        <w:t xml:space="preserve">De igual forma, se </w:t>
      </w:r>
      <w:r w:rsidRPr="006D49C3">
        <w:t>ha</w:t>
      </w:r>
      <w:r w:rsidRPr="001A510C">
        <w:rPr>
          <w:rFonts w:eastAsia="Times New Roman"/>
          <w:bCs/>
          <w:szCs w:val="24"/>
        </w:rPr>
        <w:t xml:space="preserve"> realizado el seguimiento nutricional a niños, niñas menores de 5 años indígenas en los programas del ICBF a través del</w:t>
      </w:r>
      <w:r w:rsidRPr="001A510C">
        <w:rPr>
          <w:rFonts w:eastAsia="Times New Roman"/>
          <w:b/>
          <w:bCs/>
          <w:szCs w:val="24"/>
        </w:rPr>
        <w:t xml:space="preserve"> </w:t>
      </w:r>
      <w:r w:rsidRPr="001A510C">
        <w:rPr>
          <w:rFonts w:eastAsia="Times New Roman"/>
          <w:bCs/>
          <w:szCs w:val="24"/>
        </w:rPr>
        <w:t xml:space="preserve">Sistema de Seguimiento Nutricional </w:t>
      </w:r>
      <w:r>
        <w:rPr>
          <w:rFonts w:eastAsia="Times New Roman"/>
          <w:bCs/>
          <w:szCs w:val="24"/>
        </w:rPr>
        <w:t xml:space="preserve">el cual </w:t>
      </w:r>
      <w:r w:rsidRPr="001A510C">
        <w:rPr>
          <w:rFonts w:eastAsia="Times New Roman"/>
          <w:bCs/>
          <w:szCs w:val="24"/>
        </w:rPr>
        <w:t>realiza diferentes mediciones antropométricas durante el periodo de atención, que han oscilado entre 66.716 y 118.984 registros en los últimos tres años</w:t>
      </w:r>
      <w:r>
        <w:rPr>
          <w:rFonts w:eastAsia="Times New Roman"/>
          <w:bCs/>
          <w:szCs w:val="24"/>
        </w:rPr>
        <w:t xml:space="preserve"> (2019-2021)</w:t>
      </w:r>
      <w:r w:rsidRPr="001A510C">
        <w:rPr>
          <w:rFonts w:eastAsia="Times New Roman"/>
          <w:bCs/>
          <w:szCs w:val="24"/>
        </w:rPr>
        <w:t>, de ellos se han identificado en diferentes proporciones afectaciones del estado nutricional que fueron debidamente notificadas y atendidas según los protocolos establecidos en las modalidades y servicios</w:t>
      </w:r>
      <w:r w:rsidR="00D0295C" w:rsidRPr="00973F39">
        <w:rPr>
          <w:rFonts w:eastAsia="Times New Roman"/>
          <w:bCs/>
          <w:sz w:val="18"/>
          <w:szCs w:val="18"/>
          <w:vertAlign w:val="superscript"/>
        </w:rPr>
        <w:footnoteReference w:id="130"/>
      </w:r>
      <w:r w:rsidRPr="001A510C">
        <w:rPr>
          <w:rFonts w:eastAsia="Times New Roman"/>
          <w:bCs/>
          <w:szCs w:val="24"/>
        </w:rPr>
        <w:t>.</w:t>
      </w:r>
    </w:p>
    <w:p w14:paraId="3AAE8786" w14:textId="2948FE5A" w:rsidR="00095139" w:rsidRPr="001A510C" w:rsidRDefault="00095139" w:rsidP="008357BF">
      <w:pPr>
        <w:pStyle w:val="SingleTxtG"/>
        <w:numPr>
          <w:ilvl w:val="0"/>
          <w:numId w:val="27"/>
        </w:numPr>
        <w:ind w:left="1134" w:firstLine="0"/>
        <w:rPr>
          <w:rFonts w:eastAsia="Times New Roman"/>
          <w:bCs/>
          <w:szCs w:val="24"/>
        </w:rPr>
      </w:pPr>
      <w:r w:rsidRPr="001A510C">
        <w:rPr>
          <w:rFonts w:eastAsia="Times New Roman"/>
          <w:bCs/>
          <w:szCs w:val="24"/>
        </w:rPr>
        <w:t xml:space="preserve">En el Plan Nacional de Desarrollo 2018 – 2022 se estableció el compromiso </w:t>
      </w:r>
      <w:r>
        <w:rPr>
          <w:rFonts w:eastAsia="Times New Roman"/>
          <w:bCs/>
          <w:szCs w:val="24"/>
        </w:rPr>
        <w:t>de crear</w:t>
      </w:r>
      <w:r w:rsidRPr="001A510C">
        <w:rPr>
          <w:rFonts w:eastAsia="Times New Roman"/>
          <w:bCs/>
          <w:szCs w:val="24"/>
        </w:rPr>
        <w:t xml:space="preserve"> una mesa técnica para la construcción de un módulo indígena en la Encuesta Nacional de Situación Nutricional de Colombia (ENSIN)</w:t>
      </w:r>
      <w:r>
        <w:rPr>
          <w:rFonts w:eastAsia="Times New Roman"/>
          <w:bCs/>
          <w:szCs w:val="24"/>
        </w:rPr>
        <w:t xml:space="preserve">. En 2019 se concertó </w:t>
      </w:r>
      <w:r w:rsidRPr="001A510C">
        <w:rPr>
          <w:rFonts w:eastAsia="Times New Roman"/>
          <w:bCs/>
          <w:szCs w:val="24"/>
        </w:rPr>
        <w:t xml:space="preserve">el </w:t>
      </w:r>
      <w:r w:rsidRPr="006D49C3">
        <w:t>indicador</w:t>
      </w:r>
      <w:r w:rsidRPr="001A510C">
        <w:rPr>
          <w:rFonts w:eastAsia="Times New Roman"/>
          <w:bCs/>
          <w:szCs w:val="24"/>
        </w:rPr>
        <w:t xml:space="preserve"> para seguimiento al compromiso</w:t>
      </w:r>
      <w:r w:rsidRPr="00AD184F">
        <w:rPr>
          <w:rFonts w:eastAsia="Times New Roman"/>
          <w:bCs/>
          <w:szCs w:val="24"/>
        </w:rPr>
        <w:t xml:space="preserve"> </w:t>
      </w:r>
      <w:r w:rsidRPr="001A510C">
        <w:rPr>
          <w:rFonts w:eastAsia="Times New Roman"/>
          <w:bCs/>
          <w:szCs w:val="24"/>
        </w:rPr>
        <w:t>denominado: Construcción del Módulo indígena de la ENSIN</w:t>
      </w:r>
      <w:r w:rsidR="00D0295C" w:rsidRPr="00973F39">
        <w:rPr>
          <w:rFonts w:eastAsia="Times New Roman"/>
          <w:bCs/>
          <w:sz w:val="18"/>
          <w:szCs w:val="18"/>
          <w:vertAlign w:val="superscript"/>
        </w:rPr>
        <w:footnoteReference w:id="131"/>
      </w:r>
      <w:r w:rsidRPr="001A510C">
        <w:rPr>
          <w:rFonts w:eastAsia="Times New Roman"/>
          <w:bCs/>
          <w:szCs w:val="24"/>
        </w:rPr>
        <w:t>.</w:t>
      </w:r>
    </w:p>
    <w:p w14:paraId="5491E0DE" w14:textId="117BE5FA" w:rsidR="00095139" w:rsidRPr="001A510C" w:rsidRDefault="00095139" w:rsidP="008357BF">
      <w:pPr>
        <w:pStyle w:val="SingleTxtG"/>
        <w:numPr>
          <w:ilvl w:val="0"/>
          <w:numId w:val="27"/>
        </w:numPr>
        <w:ind w:left="1134" w:firstLine="0"/>
        <w:rPr>
          <w:rFonts w:eastAsia="Times New Roman"/>
          <w:bCs/>
          <w:szCs w:val="24"/>
        </w:rPr>
      </w:pPr>
      <w:r>
        <w:rPr>
          <w:rFonts w:eastAsia="Times New Roman"/>
          <w:bCs/>
          <w:szCs w:val="24"/>
        </w:rPr>
        <w:t xml:space="preserve">En 2020 </w:t>
      </w:r>
      <w:r w:rsidRPr="001A510C">
        <w:rPr>
          <w:rFonts w:eastAsia="Times New Roman"/>
          <w:bCs/>
          <w:szCs w:val="24"/>
        </w:rPr>
        <w:t>asignaron recursos para conformar un equipo de delegados de las organizaciones indígenas de la MPC</w:t>
      </w:r>
      <w:r>
        <w:rPr>
          <w:rFonts w:eastAsia="Times New Roman"/>
          <w:bCs/>
          <w:szCs w:val="24"/>
        </w:rPr>
        <w:t>.</w:t>
      </w:r>
      <w:r w:rsidRPr="001A510C">
        <w:rPr>
          <w:rFonts w:eastAsia="Times New Roman"/>
          <w:bCs/>
          <w:szCs w:val="24"/>
        </w:rPr>
        <w:t xml:space="preserve"> Como resultado, se consolidó un documento técnico que recoge las necesidades de información identificadas, enfatizando en las </w:t>
      </w:r>
      <w:r w:rsidRPr="006D49C3">
        <w:t>prioridades</w:t>
      </w:r>
      <w:r w:rsidRPr="001A510C">
        <w:rPr>
          <w:rFonts w:eastAsia="Times New Roman"/>
          <w:bCs/>
          <w:szCs w:val="24"/>
        </w:rPr>
        <w:t xml:space="preserve"> relacionadas con: i) alimentación y nutrición en pueblos indígenas, ii) identificación de instrumentos de medición y Políticas Públicas con participación indígena, iii) definición de necesidades de información, iv) aspectos metodológicos, operativos y técnicos para el desarrollo del módulo, v) definición de una mesa técnica de trabajo para el desarrollo de diálogos entre la MPC y las instituciones</w:t>
      </w:r>
      <w:r w:rsidR="00D0295C" w:rsidRPr="00973F39">
        <w:rPr>
          <w:rFonts w:eastAsia="Times New Roman"/>
          <w:bCs/>
          <w:sz w:val="18"/>
          <w:szCs w:val="18"/>
          <w:vertAlign w:val="superscript"/>
        </w:rPr>
        <w:footnoteReference w:id="132"/>
      </w:r>
      <w:r w:rsidRPr="001A510C">
        <w:rPr>
          <w:rFonts w:eastAsia="Times New Roman"/>
          <w:bCs/>
          <w:szCs w:val="24"/>
        </w:rPr>
        <w:t>.</w:t>
      </w:r>
    </w:p>
    <w:p w14:paraId="7B6C7F88" w14:textId="21B4F741" w:rsidR="00095139" w:rsidRPr="001A510C" w:rsidRDefault="00095139" w:rsidP="008357BF">
      <w:pPr>
        <w:pStyle w:val="SingleTxtG"/>
        <w:numPr>
          <w:ilvl w:val="0"/>
          <w:numId w:val="27"/>
        </w:numPr>
        <w:ind w:left="1134" w:firstLine="0"/>
        <w:rPr>
          <w:rFonts w:eastAsia="Times New Roman"/>
          <w:bCs/>
          <w:szCs w:val="24"/>
        </w:rPr>
      </w:pPr>
      <w:r w:rsidRPr="001A510C">
        <w:rPr>
          <w:rFonts w:eastAsia="Times New Roman"/>
          <w:bCs/>
          <w:szCs w:val="24"/>
        </w:rPr>
        <w:t xml:space="preserve">En 2021, </w:t>
      </w:r>
      <w:r>
        <w:rPr>
          <w:rFonts w:eastAsia="Times New Roman"/>
          <w:bCs/>
          <w:szCs w:val="24"/>
        </w:rPr>
        <w:t xml:space="preserve">se conformó </w:t>
      </w:r>
      <w:r w:rsidRPr="001A510C">
        <w:rPr>
          <w:rFonts w:eastAsia="Times New Roman"/>
          <w:bCs/>
          <w:szCs w:val="24"/>
        </w:rPr>
        <w:t>una mesa técnica bipartita</w:t>
      </w:r>
      <w:r>
        <w:rPr>
          <w:rFonts w:eastAsia="Times New Roman"/>
          <w:bCs/>
          <w:szCs w:val="24"/>
        </w:rPr>
        <w:t xml:space="preserve"> que realizó</w:t>
      </w:r>
      <w:r w:rsidRPr="001A510C">
        <w:rPr>
          <w:rFonts w:eastAsia="Times New Roman"/>
          <w:bCs/>
          <w:szCs w:val="24"/>
        </w:rPr>
        <w:t xml:space="preserve"> 13 sesiones, donde se logró definir una agenda de trabajo, una </w:t>
      </w:r>
      <w:r w:rsidRPr="006D49C3">
        <w:t>versión</w:t>
      </w:r>
      <w:r w:rsidRPr="001A510C">
        <w:rPr>
          <w:rFonts w:eastAsia="Times New Roman"/>
          <w:bCs/>
          <w:szCs w:val="24"/>
        </w:rPr>
        <w:t xml:space="preserve"> preliminar de plan de acción y los productos necesarios para la elaboración del módulo, incluyendo las particularidades de información en alimentación y nutrición de los pueblos indígenas</w:t>
      </w:r>
      <w:r w:rsidR="00D0295C" w:rsidRPr="00973F39">
        <w:rPr>
          <w:rFonts w:eastAsia="Times New Roman"/>
          <w:bCs/>
          <w:sz w:val="18"/>
          <w:szCs w:val="18"/>
          <w:vertAlign w:val="superscript"/>
        </w:rPr>
        <w:footnoteReference w:id="133"/>
      </w:r>
      <w:r w:rsidRPr="001A510C">
        <w:rPr>
          <w:rFonts w:eastAsia="Times New Roman"/>
          <w:bCs/>
          <w:szCs w:val="24"/>
        </w:rPr>
        <w:t>.</w:t>
      </w:r>
    </w:p>
    <w:p w14:paraId="0C659146" w14:textId="492864D3" w:rsidR="00095139" w:rsidRPr="001A510C" w:rsidRDefault="00095139" w:rsidP="004D6C88">
      <w:pPr>
        <w:pStyle w:val="SingleTxtG"/>
        <w:numPr>
          <w:ilvl w:val="0"/>
          <w:numId w:val="27"/>
        </w:numPr>
        <w:ind w:left="1134" w:firstLine="0"/>
        <w:rPr>
          <w:rFonts w:eastAsia="Times New Roman"/>
          <w:bCs/>
          <w:szCs w:val="24"/>
        </w:rPr>
      </w:pPr>
      <w:r w:rsidRPr="001A510C">
        <w:rPr>
          <w:rFonts w:eastAsia="Times New Roman"/>
          <w:bCs/>
          <w:szCs w:val="24"/>
        </w:rPr>
        <w:t xml:space="preserve">En 2022 el ICBF suscribió el convenio de cooperación técnica y financiera con el Programa Mundial de Alimentos </w:t>
      </w:r>
      <w:r>
        <w:rPr>
          <w:rFonts w:eastAsia="Times New Roman"/>
          <w:bCs/>
          <w:szCs w:val="24"/>
        </w:rPr>
        <w:t>(</w:t>
      </w:r>
      <w:r w:rsidRPr="001A510C">
        <w:rPr>
          <w:rFonts w:eastAsia="Times New Roman"/>
          <w:bCs/>
          <w:szCs w:val="24"/>
        </w:rPr>
        <w:t>PMA</w:t>
      </w:r>
      <w:r>
        <w:rPr>
          <w:rFonts w:eastAsia="Times New Roman"/>
          <w:bCs/>
          <w:szCs w:val="24"/>
        </w:rPr>
        <w:t>)</w:t>
      </w:r>
      <w:r w:rsidRPr="001A510C">
        <w:rPr>
          <w:rFonts w:eastAsia="Times New Roman"/>
          <w:bCs/>
          <w:szCs w:val="24"/>
        </w:rPr>
        <w:t xml:space="preserve"> con el objeto de “</w:t>
      </w:r>
      <w:r w:rsidRPr="006D49C3">
        <w:t>Aunar</w:t>
      </w:r>
      <w:r w:rsidRPr="001A510C">
        <w:rPr>
          <w:rFonts w:eastAsia="Times New Roman"/>
          <w:bCs/>
          <w:szCs w:val="24"/>
        </w:rPr>
        <w:t xml:space="preserve"> esfuerzos técnicos, financieros y administrativos para la construcción del diseño temático, estadístico y operativo del módulo indígena en la </w:t>
      </w:r>
      <w:r>
        <w:rPr>
          <w:rFonts w:eastAsia="Times New Roman"/>
          <w:bCs/>
          <w:szCs w:val="24"/>
        </w:rPr>
        <w:t>ENSIN</w:t>
      </w:r>
      <w:r w:rsidRPr="001A510C">
        <w:rPr>
          <w:rFonts w:eastAsia="Times New Roman"/>
          <w:bCs/>
          <w:szCs w:val="24"/>
        </w:rPr>
        <w:t>, e implementación de la ruta de sensibilización, validación y retroalimentación, en el marco del compromiso F42 del Plan Nacional de Desarrollo 2018</w:t>
      </w:r>
      <w:r w:rsidR="00D0295C">
        <w:rPr>
          <w:rFonts w:eastAsia="Times New Roman"/>
          <w:bCs/>
          <w:szCs w:val="24"/>
        </w:rPr>
        <w:noBreakHyphen/>
        <w:t>2022”</w:t>
      </w:r>
      <w:r w:rsidR="00D0295C" w:rsidRPr="00D0295C">
        <w:rPr>
          <w:rFonts w:eastAsia="Times New Roman"/>
          <w:bCs/>
          <w:sz w:val="18"/>
          <w:szCs w:val="18"/>
          <w:vertAlign w:val="superscript"/>
        </w:rPr>
        <w:t xml:space="preserve"> </w:t>
      </w:r>
      <w:r w:rsidR="00D0295C" w:rsidRPr="00973F39">
        <w:rPr>
          <w:rFonts w:eastAsia="Times New Roman"/>
          <w:bCs/>
          <w:sz w:val="18"/>
          <w:szCs w:val="18"/>
          <w:vertAlign w:val="superscript"/>
        </w:rPr>
        <w:footnoteReference w:id="134"/>
      </w:r>
      <w:r w:rsidR="00D0295C">
        <w:rPr>
          <w:rFonts w:eastAsia="Times New Roman"/>
          <w:bCs/>
          <w:sz w:val="18"/>
          <w:szCs w:val="18"/>
        </w:rPr>
        <w:t>.</w:t>
      </w:r>
    </w:p>
    <w:p w14:paraId="2F82F07D" w14:textId="17F41392" w:rsidR="00095139" w:rsidRPr="00C822B3" w:rsidRDefault="00C307AF" w:rsidP="00C307AF">
      <w:pPr>
        <w:pStyle w:val="H23G"/>
      </w:pPr>
      <w:r>
        <w:lastRenderedPageBreak/>
        <w:tab/>
        <w:t>4.</w:t>
      </w:r>
      <w:r>
        <w:tab/>
      </w:r>
      <w:r w:rsidR="00095139" w:rsidRPr="00C822B3">
        <w:t>Garantía de la consulta previa para los grupos étnicos (recomendación párr. 19 CERD/C/COL/CO/17-19)</w:t>
      </w:r>
    </w:p>
    <w:p w14:paraId="4D50BEE1" w14:textId="2E35634A" w:rsidR="00095139" w:rsidRPr="00571FBC" w:rsidRDefault="00095139" w:rsidP="008357BF">
      <w:pPr>
        <w:pStyle w:val="SingleTxtG"/>
        <w:numPr>
          <w:ilvl w:val="0"/>
          <w:numId w:val="27"/>
        </w:numPr>
        <w:ind w:left="1134" w:firstLine="0"/>
        <w:rPr>
          <w:rFonts w:eastAsia="Times New Roman"/>
          <w:bCs/>
          <w:szCs w:val="24"/>
        </w:rPr>
      </w:pPr>
      <w:r w:rsidRPr="00C822B3">
        <w:rPr>
          <w:rFonts w:eastAsia="Times New Roman"/>
          <w:bCs/>
          <w:szCs w:val="24"/>
        </w:rPr>
        <w:t xml:space="preserve">En el marco de la Consulta Previa, es relevante mencionar que Colombia </w:t>
      </w:r>
      <w:r>
        <w:rPr>
          <w:rFonts w:eastAsia="Times New Roman"/>
          <w:bCs/>
          <w:szCs w:val="24"/>
        </w:rPr>
        <w:t>incluyó</w:t>
      </w:r>
      <w:r w:rsidRPr="00C822B3">
        <w:rPr>
          <w:rFonts w:eastAsia="Times New Roman"/>
          <w:bCs/>
          <w:szCs w:val="24"/>
        </w:rPr>
        <w:t xml:space="preserve"> este derecho en </w:t>
      </w:r>
      <w:r>
        <w:rPr>
          <w:rFonts w:eastAsia="Times New Roman"/>
          <w:bCs/>
          <w:szCs w:val="24"/>
        </w:rPr>
        <w:t>el</w:t>
      </w:r>
      <w:r w:rsidRPr="00C822B3">
        <w:rPr>
          <w:rFonts w:eastAsia="Times New Roman"/>
          <w:bCs/>
          <w:szCs w:val="24"/>
        </w:rPr>
        <w:t xml:space="preserve"> Plan Nacional de Desarrollo</w:t>
      </w:r>
      <w:r>
        <w:rPr>
          <w:rFonts w:eastAsia="Times New Roman"/>
          <w:bCs/>
          <w:szCs w:val="24"/>
        </w:rPr>
        <w:t xml:space="preserve"> (PND) </w:t>
      </w:r>
      <w:r w:rsidRPr="00C822B3">
        <w:rPr>
          <w:rFonts w:eastAsia="Times New Roman"/>
          <w:bCs/>
          <w:szCs w:val="24"/>
        </w:rPr>
        <w:t>2018 – 2022, “</w:t>
      </w:r>
      <w:r>
        <w:rPr>
          <w:rFonts w:eastAsia="Times New Roman"/>
          <w:bCs/>
          <w:szCs w:val="24"/>
        </w:rPr>
        <w:t xml:space="preserve">, en el capítulo </w:t>
      </w:r>
      <w:r w:rsidRPr="00C822B3">
        <w:rPr>
          <w:rFonts w:eastAsia="Times New Roman"/>
          <w:bCs/>
          <w:szCs w:val="24"/>
        </w:rPr>
        <w:t xml:space="preserve">“Pacto por los Grupos étnicos” </w:t>
      </w:r>
      <w:r>
        <w:rPr>
          <w:rFonts w:eastAsia="Times New Roman"/>
          <w:bCs/>
          <w:szCs w:val="24"/>
        </w:rPr>
        <w:t>donde</w:t>
      </w:r>
      <w:r w:rsidRPr="00C822B3">
        <w:rPr>
          <w:rFonts w:eastAsia="Times New Roman"/>
          <w:bCs/>
          <w:szCs w:val="24"/>
        </w:rPr>
        <w:t xml:space="preserve"> se concertaron 216 compromisos con pueblos </w:t>
      </w:r>
      <w:r w:rsidRPr="006D49C3">
        <w:t>indígenas</w:t>
      </w:r>
      <w:r w:rsidRPr="00C822B3">
        <w:rPr>
          <w:rFonts w:eastAsia="Times New Roman"/>
          <w:bCs/>
          <w:szCs w:val="24"/>
        </w:rPr>
        <w:t>, 239 con las comunidades NARP y 78 con el pueblo Rom, con sus respectivos indicadores</w:t>
      </w:r>
      <w:r w:rsidR="00D0295C">
        <w:rPr>
          <w:rStyle w:val="Refdenotaalpie"/>
          <w:rFonts w:eastAsia="Times New Roman"/>
          <w:bCs/>
          <w:szCs w:val="24"/>
        </w:rPr>
        <w:footnoteReference w:id="135"/>
      </w:r>
      <w:r w:rsidRPr="00C822B3">
        <w:rPr>
          <w:rFonts w:eastAsia="Times New Roman"/>
          <w:bCs/>
          <w:szCs w:val="24"/>
        </w:rPr>
        <w:t>.</w:t>
      </w:r>
    </w:p>
    <w:p w14:paraId="2DB7A4EA" w14:textId="0BF7F440" w:rsidR="00095139" w:rsidRPr="001A510C" w:rsidRDefault="00095139" w:rsidP="008357BF">
      <w:pPr>
        <w:pStyle w:val="SingleTxtG"/>
        <w:numPr>
          <w:ilvl w:val="0"/>
          <w:numId w:val="27"/>
        </w:numPr>
        <w:ind w:left="1134" w:firstLine="0"/>
        <w:rPr>
          <w:rFonts w:eastAsia="Times New Roman"/>
          <w:bCs/>
          <w:szCs w:val="24"/>
        </w:rPr>
      </w:pPr>
      <w:r w:rsidRPr="001A510C">
        <w:rPr>
          <w:rFonts w:eastAsia="Times New Roman"/>
          <w:bCs/>
          <w:szCs w:val="24"/>
        </w:rPr>
        <w:t xml:space="preserve">Asimismo, con el objeto de hacer seguimiento a los compromisos mencionados, </w:t>
      </w:r>
      <w:r>
        <w:rPr>
          <w:rFonts w:eastAsia="Times New Roman"/>
          <w:bCs/>
          <w:szCs w:val="24"/>
        </w:rPr>
        <w:t>se</w:t>
      </w:r>
      <w:r w:rsidRPr="001A510C">
        <w:rPr>
          <w:rFonts w:eastAsia="Times New Roman"/>
          <w:bCs/>
          <w:szCs w:val="24"/>
        </w:rPr>
        <w:t xml:space="preserve"> implementó la metodología de trazador presupuestal para los grupos étnicos, y el tablero de control en </w:t>
      </w:r>
      <w:r>
        <w:rPr>
          <w:rFonts w:eastAsia="Times New Roman"/>
          <w:bCs/>
          <w:szCs w:val="24"/>
        </w:rPr>
        <w:t xml:space="preserve">el </w:t>
      </w:r>
      <w:r w:rsidRPr="00312D90">
        <w:rPr>
          <w:rFonts w:eastAsia="Times New Roman"/>
          <w:bCs/>
          <w:szCs w:val="24"/>
        </w:rPr>
        <w:t xml:space="preserve">Sistema Nacional de Evaluación de Gestión y Resultados </w:t>
      </w:r>
      <w:r>
        <w:rPr>
          <w:rFonts w:eastAsia="Times New Roman"/>
          <w:bCs/>
          <w:szCs w:val="24"/>
        </w:rPr>
        <w:t>(</w:t>
      </w:r>
      <w:r w:rsidRPr="001A510C">
        <w:rPr>
          <w:rFonts w:eastAsia="Times New Roman"/>
          <w:bCs/>
          <w:szCs w:val="24"/>
        </w:rPr>
        <w:t>SINERGIA</w:t>
      </w:r>
      <w:r>
        <w:rPr>
          <w:rFonts w:eastAsia="Times New Roman"/>
          <w:bCs/>
          <w:szCs w:val="24"/>
        </w:rPr>
        <w:t>)</w:t>
      </w:r>
      <w:r w:rsidRPr="001A510C">
        <w:rPr>
          <w:rFonts w:eastAsia="Times New Roman"/>
          <w:bCs/>
          <w:szCs w:val="24"/>
        </w:rPr>
        <w:t xml:space="preserve">, los </w:t>
      </w:r>
      <w:r w:rsidR="00D0295C" w:rsidRPr="001A510C">
        <w:rPr>
          <w:rFonts w:eastAsia="Times New Roman"/>
          <w:bCs/>
          <w:szCs w:val="24"/>
        </w:rPr>
        <w:t>cuales</w:t>
      </w:r>
      <w:r w:rsidRPr="001A510C">
        <w:rPr>
          <w:rFonts w:eastAsia="Times New Roman"/>
          <w:bCs/>
          <w:szCs w:val="24"/>
        </w:rPr>
        <w:t xml:space="preserve"> permiten hacer un seguimiento detallado al avance de las metas e indicadores concertados en el marco del PND, así como a los recursos asignados por los sectores para el cumplimiento de los mismos. Este seguimiento se lleva a </w:t>
      </w:r>
      <w:r w:rsidRPr="006D49C3">
        <w:t>cabo</w:t>
      </w:r>
      <w:r w:rsidRPr="001A510C">
        <w:rPr>
          <w:rFonts w:eastAsia="Times New Roman"/>
          <w:bCs/>
          <w:szCs w:val="24"/>
        </w:rPr>
        <w:t xml:space="preserve"> con la participación de los pueblos y comunidades étnicas</w:t>
      </w:r>
      <w:r w:rsidR="00D0295C">
        <w:rPr>
          <w:rStyle w:val="Refdenotaalpie"/>
          <w:rFonts w:eastAsia="Times New Roman"/>
          <w:bCs/>
          <w:szCs w:val="24"/>
        </w:rPr>
        <w:footnoteReference w:id="136"/>
      </w:r>
      <w:r w:rsidRPr="001A510C">
        <w:rPr>
          <w:rFonts w:eastAsia="Times New Roman"/>
          <w:bCs/>
          <w:szCs w:val="24"/>
        </w:rPr>
        <w:t>.</w:t>
      </w:r>
    </w:p>
    <w:p w14:paraId="793E836A" w14:textId="7B2891BE" w:rsidR="00095139" w:rsidRPr="003501AB" w:rsidRDefault="00095139" w:rsidP="008357BF">
      <w:pPr>
        <w:pStyle w:val="SingleTxtG"/>
        <w:numPr>
          <w:ilvl w:val="0"/>
          <w:numId w:val="27"/>
        </w:numPr>
        <w:ind w:left="1134" w:firstLine="0"/>
        <w:rPr>
          <w:rFonts w:eastAsia="Times New Roman"/>
          <w:bCs/>
          <w:szCs w:val="24"/>
        </w:rPr>
      </w:pPr>
      <w:r w:rsidRPr="003501AB">
        <w:rPr>
          <w:rFonts w:eastAsia="Times New Roman"/>
          <w:bCs/>
          <w:szCs w:val="24"/>
        </w:rPr>
        <w:t xml:space="preserve">Es importante señalar que la Corte Constitucional de Colombia, mediante la sentencia SU-123 de 2018 exhortó al Estado para que adopte medidas pertinentes para regular lo relacionado con los certificados de presencia y afectación de comunidades étnicas y hacer efectivo el derecho a la consulta previa. Con el fin de dar cumplimiento a este pronunciamiento, mediante el </w:t>
      </w:r>
      <w:r w:rsidRPr="006D49C3">
        <w:t>Decreto</w:t>
      </w:r>
      <w:r w:rsidRPr="003501AB">
        <w:rPr>
          <w:rFonts w:eastAsia="Times New Roman"/>
          <w:bCs/>
          <w:szCs w:val="24"/>
        </w:rPr>
        <w:t xml:space="preserve"> 2353 de 2019 el Estado modificó la estructura del Ministerio del Interior y, entre otras cosas, creó la Dirección de la Autoridad Nacional de Consulta Previa como garante en el desarrollo del proceso de consulta previa. Esta Dirección cuenta con tres grandes áreas, la Subdirección Técnica, la Subdirección de Gestión y Subdirección Corporativa</w:t>
      </w:r>
      <w:r w:rsidR="00D0295C" w:rsidRPr="00973F39">
        <w:rPr>
          <w:rFonts w:eastAsia="Times New Roman"/>
          <w:bCs/>
          <w:sz w:val="18"/>
          <w:szCs w:val="18"/>
          <w:vertAlign w:val="superscript"/>
        </w:rPr>
        <w:footnoteReference w:id="137"/>
      </w:r>
      <w:r w:rsidRPr="003501AB">
        <w:rPr>
          <w:rFonts w:eastAsia="Times New Roman"/>
          <w:bCs/>
          <w:szCs w:val="24"/>
        </w:rPr>
        <w:t>.</w:t>
      </w:r>
    </w:p>
    <w:p w14:paraId="6E44749D" w14:textId="44B8971B" w:rsidR="00095139" w:rsidRPr="003501AB" w:rsidRDefault="00095139" w:rsidP="008357BF">
      <w:pPr>
        <w:pStyle w:val="SingleTxtG"/>
        <w:numPr>
          <w:ilvl w:val="0"/>
          <w:numId w:val="27"/>
        </w:numPr>
        <w:ind w:left="1134" w:firstLine="0"/>
        <w:rPr>
          <w:rFonts w:eastAsia="Times New Roman"/>
          <w:bCs/>
          <w:szCs w:val="24"/>
        </w:rPr>
      </w:pPr>
      <w:r w:rsidRPr="003501AB">
        <w:rPr>
          <w:rFonts w:eastAsia="Times New Roman"/>
          <w:bCs/>
          <w:szCs w:val="24"/>
        </w:rPr>
        <w:t>La Subdirección Técnica tiene como función determinar la procedencia y oportunidad de la consulta previa para la adopción de medidas administrativas y legislativas y la ejecución de los proyectos, obras, o actividades, de acuerdo con el criterio de afectación directa, y con fundamento en los estudios jurídicos, cartográficos, geográficos o espaciales que se requieran. Con ello se busca</w:t>
      </w:r>
      <w:r>
        <w:rPr>
          <w:rFonts w:eastAsia="Times New Roman"/>
          <w:bCs/>
          <w:szCs w:val="24"/>
        </w:rPr>
        <w:t xml:space="preserve"> que </w:t>
      </w:r>
      <w:r w:rsidRPr="003501AB">
        <w:rPr>
          <w:rFonts w:eastAsia="Times New Roman"/>
          <w:bCs/>
          <w:szCs w:val="24"/>
        </w:rPr>
        <w:t>se realice un análisis mediante el cual se establezca si el proyecto o medida tiene la potencialidad de generar a una comunidad étnica una afectación de tal magnitud que coarte sus asentamientos, usos y costumbres, tránsito y movilidad. Lo anterior, en concordancia con el análisis de posibles afectaciones a las estructuras sociales, culturales, económicas, territoriales y espirituales por una intervención o medida. Es de anotar que estos análisis se hacen con base en la información que suministra el ejecutor del proyecto, en la solicitud que debe presentar ante esta Dirección, de manera que se actúa a petición de parte</w:t>
      </w:r>
      <w:r w:rsidR="00D0295C" w:rsidRPr="00973F39">
        <w:rPr>
          <w:rFonts w:eastAsia="Times New Roman"/>
          <w:bCs/>
          <w:sz w:val="18"/>
          <w:szCs w:val="18"/>
          <w:vertAlign w:val="superscript"/>
        </w:rPr>
        <w:footnoteReference w:id="138"/>
      </w:r>
      <w:r w:rsidRPr="003501AB">
        <w:rPr>
          <w:rFonts w:eastAsia="Times New Roman"/>
          <w:bCs/>
          <w:szCs w:val="24"/>
        </w:rPr>
        <w:t>.</w:t>
      </w:r>
    </w:p>
    <w:p w14:paraId="533A95A8" w14:textId="44033E1C" w:rsidR="00095139" w:rsidRPr="003501AB" w:rsidRDefault="00095139" w:rsidP="008357BF">
      <w:pPr>
        <w:pStyle w:val="SingleTxtG"/>
        <w:numPr>
          <w:ilvl w:val="0"/>
          <w:numId w:val="27"/>
        </w:numPr>
        <w:ind w:left="1134" w:firstLine="0"/>
        <w:rPr>
          <w:rFonts w:eastAsia="Times New Roman"/>
          <w:bCs/>
          <w:szCs w:val="24"/>
        </w:rPr>
      </w:pPr>
      <w:r w:rsidRPr="003501AB">
        <w:rPr>
          <w:rFonts w:eastAsia="Times New Roman"/>
          <w:bCs/>
          <w:szCs w:val="24"/>
        </w:rPr>
        <w:t xml:space="preserve">A su vez, la Subdirección de Gestión de Consulta Previa se encarga del desarrollo del proceso de consulta previa, mediante </w:t>
      </w:r>
      <w:r w:rsidRPr="006D49C3">
        <w:t>procedimientos</w:t>
      </w:r>
      <w:r w:rsidRPr="003501AB">
        <w:rPr>
          <w:rFonts w:eastAsia="Times New Roman"/>
          <w:bCs/>
          <w:szCs w:val="24"/>
        </w:rPr>
        <w:t xml:space="preserve"> definidos para el efecto, garantizando la participación de las comunidades étnicas a través de sus instituciones representativas, con el fin de proteger su integridad étnica y cultural. Finalmente, la Subdirección Corporativa se encarga de los aspectos administrativos</w:t>
      </w:r>
      <w:r w:rsidR="00D0295C" w:rsidRPr="00973F39">
        <w:rPr>
          <w:rFonts w:eastAsia="Times New Roman"/>
          <w:bCs/>
          <w:sz w:val="18"/>
          <w:szCs w:val="18"/>
          <w:vertAlign w:val="superscript"/>
        </w:rPr>
        <w:footnoteReference w:id="139"/>
      </w:r>
      <w:r w:rsidRPr="003501AB">
        <w:rPr>
          <w:rFonts w:eastAsia="Times New Roman"/>
          <w:bCs/>
          <w:szCs w:val="24"/>
        </w:rPr>
        <w:t>.</w:t>
      </w:r>
    </w:p>
    <w:p w14:paraId="098C3A28" w14:textId="31098A89" w:rsidR="00095139" w:rsidRPr="003501AB" w:rsidRDefault="00095139" w:rsidP="008357BF">
      <w:pPr>
        <w:pStyle w:val="SingleTxtG"/>
        <w:numPr>
          <w:ilvl w:val="0"/>
          <w:numId w:val="27"/>
        </w:numPr>
        <w:ind w:left="1134" w:firstLine="0"/>
        <w:rPr>
          <w:rFonts w:eastAsia="Times New Roman"/>
          <w:bCs/>
          <w:szCs w:val="24"/>
        </w:rPr>
      </w:pPr>
      <w:r w:rsidRPr="003501AB">
        <w:rPr>
          <w:rFonts w:eastAsia="Times New Roman"/>
          <w:bCs/>
          <w:szCs w:val="24"/>
        </w:rPr>
        <w:t>Se debe señalar que</w:t>
      </w:r>
      <w:r>
        <w:rPr>
          <w:rFonts w:eastAsia="Times New Roman"/>
          <w:bCs/>
          <w:szCs w:val="24"/>
        </w:rPr>
        <w:t xml:space="preserve"> estos </w:t>
      </w:r>
      <w:r w:rsidRPr="003501AB">
        <w:rPr>
          <w:rFonts w:eastAsia="Times New Roman"/>
          <w:bCs/>
          <w:szCs w:val="24"/>
        </w:rPr>
        <w:t xml:space="preserve">esfuerzos se han visto reflejados en una mayor participación en los procesos consultivos de las </w:t>
      </w:r>
      <w:r w:rsidRPr="006D49C3">
        <w:t>comunidades</w:t>
      </w:r>
      <w:r w:rsidRPr="003501AB">
        <w:rPr>
          <w:rFonts w:eastAsia="Times New Roman"/>
          <w:bCs/>
          <w:szCs w:val="24"/>
        </w:rPr>
        <w:t xml:space="preserve"> étnicas, como se evidencia en los siguientes datos</w:t>
      </w:r>
      <w:r w:rsidR="00D0295C" w:rsidRPr="00973F39">
        <w:rPr>
          <w:rFonts w:eastAsia="Times New Roman"/>
          <w:bCs/>
          <w:sz w:val="18"/>
          <w:szCs w:val="18"/>
          <w:vertAlign w:val="superscript"/>
        </w:rPr>
        <w:footnoteReference w:id="140"/>
      </w:r>
      <w:r w:rsidRPr="003501AB">
        <w:rPr>
          <w:rFonts w:eastAsia="Times New Roman"/>
          <w:bCs/>
          <w:szCs w:val="24"/>
        </w:rPr>
        <w:t>:</w:t>
      </w:r>
    </w:p>
    <w:p w14:paraId="639FC820" w14:textId="47014406" w:rsidR="00095139" w:rsidRPr="003501AB" w:rsidRDefault="00095139" w:rsidP="008357BF">
      <w:pPr>
        <w:pStyle w:val="SingleTxtG"/>
        <w:numPr>
          <w:ilvl w:val="0"/>
          <w:numId w:val="27"/>
        </w:numPr>
        <w:ind w:left="1134" w:firstLine="0"/>
        <w:rPr>
          <w:rFonts w:eastAsia="Times New Roman"/>
          <w:bCs/>
          <w:szCs w:val="24"/>
        </w:rPr>
      </w:pPr>
      <w:r w:rsidRPr="003501AB">
        <w:rPr>
          <w:rFonts w:eastAsia="Times New Roman"/>
          <w:bCs/>
          <w:szCs w:val="24"/>
        </w:rPr>
        <w:t xml:space="preserve">De </w:t>
      </w:r>
      <w:r w:rsidRPr="006D49C3">
        <w:t>acuerdo</w:t>
      </w:r>
      <w:r w:rsidRPr="003501AB">
        <w:rPr>
          <w:rFonts w:eastAsia="Times New Roman"/>
          <w:bCs/>
          <w:szCs w:val="24"/>
        </w:rPr>
        <w:t xml:space="preserve"> con el sistema de Información de Consulta Previa de la Dirección de la Autoridad Nacional de Consulta Previa del Ministerio del Interior, durante el periodo comprendido del segundo semestre del 2018 al segundo semestre del 2021, se </w:t>
      </w:r>
      <w:r>
        <w:rPr>
          <w:rFonts w:eastAsia="Times New Roman"/>
          <w:bCs/>
          <w:szCs w:val="24"/>
        </w:rPr>
        <w:t>adelantaron</w:t>
      </w:r>
      <w:r w:rsidRPr="003501AB">
        <w:rPr>
          <w:rFonts w:eastAsia="Times New Roman"/>
          <w:bCs/>
          <w:szCs w:val="24"/>
        </w:rPr>
        <w:t xml:space="preserve"> 5.396 consultas previas en el marco de 1.410 proyectos. Es de recibo señalar que en Colombia </w:t>
      </w:r>
      <w:r w:rsidRPr="003501AB">
        <w:rPr>
          <w:rFonts w:eastAsia="Times New Roman"/>
          <w:bCs/>
          <w:szCs w:val="24"/>
        </w:rPr>
        <w:lastRenderedPageBreak/>
        <w:t>por cada comunidad se hace una consulta previa. Por lo cual, para un mismo proyecto puede haber varias consultas con varias comunidades étnicas</w:t>
      </w:r>
      <w:r w:rsidR="00D0295C" w:rsidRPr="00973F39">
        <w:rPr>
          <w:rFonts w:eastAsia="Times New Roman"/>
          <w:bCs/>
          <w:sz w:val="18"/>
          <w:szCs w:val="18"/>
          <w:vertAlign w:val="superscript"/>
        </w:rPr>
        <w:footnoteReference w:id="141"/>
      </w:r>
      <w:r w:rsidRPr="003501AB">
        <w:rPr>
          <w:rFonts w:eastAsia="Times New Roman"/>
          <w:bCs/>
          <w:szCs w:val="24"/>
        </w:rPr>
        <w:t>.</w:t>
      </w:r>
    </w:p>
    <w:p w14:paraId="03CD6B4A" w14:textId="729841CA" w:rsidR="00095139" w:rsidRPr="003501AB" w:rsidRDefault="00095139" w:rsidP="008357BF">
      <w:pPr>
        <w:pStyle w:val="SingleTxtG"/>
        <w:numPr>
          <w:ilvl w:val="0"/>
          <w:numId w:val="27"/>
        </w:numPr>
        <w:ind w:left="1134" w:firstLine="0"/>
        <w:rPr>
          <w:rFonts w:eastAsia="Times New Roman"/>
          <w:bCs/>
          <w:szCs w:val="24"/>
        </w:rPr>
      </w:pPr>
      <w:r w:rsidRPr="003501AB">
        <w:rPr>
          <w:rFonts w:eastAsia="Times New Roman"/>
          <w:bCs/>
          <w:szCs w:val="24"/>
        </w:rPr>
        <w:t xml:space="preserve">El Estado ha realizado un total de 20.840 reuniones con las comunidades étnicas en las diferentes etapas de un proceso </w:t>
      </w:r>
      <w:r w:rsidRPr="006D49C3">
        <w:t>consultivo</w:t>
      </w:r>
      <w:r w:rsidRPr="003501AB">
        <w:rPr>
          <w:rFonts w:eastAsia="Times New Roman"/>
          <w:bCs/>
          <w:szCs w:val="24"/>
        </w:rPr>
        <w:t xml:space="preserve"> durante el período comprendido del segundo semestre del 2018 al segundo semestre del 2021. Es decir que, en varias ocasiones, con el fin de garantizar el derecho a la consulta previa, se realiza una etapa del proceso en varias reuniones, toda vez que cada una de ellas contiene unos mínimos que deben ser surtidos para pasar a la siguiente etapa. Al no verse satisfechos estos mínimos se realiza nuevamente la reunión buscando la participación efectiva de toda la comunidad</w:t>
      </w:r>
      <w:r w:rsidR="00D0295C" w:rsidRPr="00973F39">
        <w:rPr>
          <w:rFonts w:eastAsia="Times New Roman"/>
          <w:bCs/>
          <w:sz w:val="18"/>
          <w:szCs w:val="18"/>
          <w:vertAlign w:val="superscript"/>
        </w:rPr>
        <w:footnoteReference w:id="142"/>
      </w:r>
      <w:r w:rsidRPr="003501AB">
        <w:rPr>
          <w:rFonts w:eastAsia="Times New Roman"/>
          <w:bCs/>
          <w:szCs w:val="24"/>
        </w:rPr>
        <w:t>.</w:t>
      </w:r>
    </w:p>
    <w:p w14:paraId="7A99AC6D" w14:textId="12875893" w:rsidR="00095139" w:rsidRPr="003501AB" w:rsidRDefault="00095139" w:rsidP="008357BF">
      <w:pPr>
        <w:pStyle w:val="SingleTxtG"/>
        <w:numPr>
          <w:ilvl w:val="0"/>
          <w:numId w:val="27"/>
        </w:numPr>
        <w:ind w:left="1134" w:firstLine="0"/>
        <w:rPr>
          <w:rFonts w:eastAsia="Times New Roman"/>
          <w:bCs/>
          <w:szCs w:val="24"/>
        </w:rPr>
      </w:pPr>
      <w:r w:rsidRPr="003501AB">
        <w:rPr>
          <w:rFonts w:eastAsia="Times New Roman"/>
          <w:bCs/>
          <w:szCs w:val="24"/>
        </w:rPr>
        <w:t xml:space="preserve">Se debe señalar que, durante el periodo comprendido del segundo semestre del 2018 al segundo semestre del 2021 se </w:t>
      </w:r>
      <w:r w:rsidRPr="006D49C3">
        <w:t>consultaron</w:t>
      </w:r>
      <w:r w:rsidRPr="003501AB">
        <w:rPr>
          <w:rFonts w:eastAsia="Times New Roman"/>
          <w:bCs/>
          <w:szCs w:val="24"/>
        </w:rPr>
        <w:t xml:space="preserve"> 5.351 comunidades étnicas (</w:t>
      </w:r>
      <w:r w:rsidR="00D0295C">
        <w:rPr>
          <w:rFonts w:eastAsia="Times New Roman"/>
          <w:bCs/>
          <w:szCs w:val="24"/>
        </w:rPr>
        <w:t>Anexo </w:t>
      </w:r>
      <w:r w:rsidRPr="00A8402C">
        <w:rPr>
          <w:rFonts w:eastAsia="Times New Roman"/>
          <w:bCs/>
          <w:szCs w:val="24"/>
        </w:rPr>
        <w:t>1</w:t>
      </w:r>
      <w:r>
        <w:rPr>
          <w:rFonts w:eastAsia="Times New Roman"/>
          <w:bCs/>
          <w:szCs w:val="24"/>
        </w:rPr>
        <w:t>2</w:t>
      </w:r>
      <w:r w:rsidR="00D0295C">
        <w:rPr>
          <w:rFonts w:eastAsia="Times New Roman"/>
          <w:bCs/>
          <w:szCs w:val="24"/>
        </w:rPr>
        <w:t xml:space="preserve"> </w:t>
      </w:r>
      <w:r w:rsidR="00D0295C">
        <w:rPr>
          <w:rFonts w:eastAsia="Times New Roman"/>
          <w:bCs/>
          <w:szCs w:val="24"/>
        </w:rPr>
        <w:noBreakHyphen/>
        <w:t xml:space="preserve"> Tabla </w:t>
      </w:r>
      <w:r w:rsidRPr="00A8402C">
        <w:rPr>
          <w:rFonts w:eastAsia="Times New Roman"/>
          <w:bCs/>
          <w:szCs w:val="24"/>
        </w:rPr>
        <w:t>1</w:t>
      </w:r>
      <w:r w:rsidRPr="003501AB">
        <w:rPr>
          <w:rFonts w:eastAsia="Times New Roman"/>
          <w:bCs/>
          <w:szCs w:val="24"/>
        </w:rPr>
        <w:t>)</w:t>
      </w:r>
      <w:r w:rsidRPr="00973F39">
        <w:rPr>
          <w:rFonts w:eastAsia="Times New Roman"/>
          <w:bCs/>
          <w:sz w:val="18"/>
          <w:szCs w:val="18"/>
          <w:vertAlign w:val="superscript"/>
        </w:rPr>
        <w:footnoteReference w:id="143"/>
      </w:r>
      <w:r w:rsidR="00D0295C">
        <w:rPr>
          <w:rFonts w:eastAsia="Times New Roman"/>
          <w:bCs/>
          <w:szCs w:val="24"/>
        </w:rPr>
        <w:t>.</w:t>
      </w:r>
    </w:p>
    <w:p w14:paraId="7478DACA" w14:textId="0E8DE590" w:rsidR="00095139" w:rsidRPr="00707866" w:rsidRDefault="00095139" w:rsidP="008357BF">
      <w:pPr>
        <w:pStyle w:val="SingleTxtG"/>
        <w:numPr>
          <w:ilvl w:val="0"/>
          <w:numId w:val="27"/>
        </w:numPr>
        <w:ind w:left="1134" w:firstLine="0"/>
        <w:rPr>
          <w:rFonts w:eastAsia="Times New Roman"/>
          <w:bCs/>
          <w:szCs w:val="24"/>
        </w:rPr>
      </w:pPr>
      <w:r>
        <w:rPr>
          <w:rFonts w:eastAsia="Times New Roman"/>
          <w:bCs/>
          <w:szCs w:val="24"/>
        </w:rPr>
        <w:t>E</w:t>
      </w:r>
      <w:r w:rsidRPr="00707866">
        <w:rPr>
          <w:rFonts w:eastAsia="Times New Roman"/>
          <w:bCs/>
          <w:szCs w:val="24"/>
        </w:rPr>
        <w:t xml:space="preserve">s importante señalar que de acuerdo con lo señalado en la Directiva Presidencial No. 8 del 9 de septiembre de 2020, </w:t>
      </w:r>
      <w:r>
        <w:rPr>
          <w:rFonts w:eastAsia="Times New Roman"/>
          <w:bCs/>
          <w:szCs w:val="24"/>
        </w:rPr>
        <w:t xml:space="preserve">una vez </w:t>
      </w:r>
      <w:r w:rsidRPr="00707866">
        <w:rPr>
          <w:rFonts w:eastAsia="Times New Roman"/>
          <w:bCs/>
          <w:szCs w:val="24"/>
        </w:rPr>
        <w:t>terminado el proceso de consulta, se dará aplicación al test de proporcionalidad y determinación de medidas de manejo en los siguientes casos</w:t>
      </w:r>
      <w:r w:rsidR="00D0295C" w:rsidRPr="00973F39">
        <w:rPr>
          <w:rFonts w:eastAsia="Times New Roman"/>
          <w:bCs/>
          <w:sz w:val="18"/>
          <w:szCs w:val="18"/>
          <w:vertAlign w:val="superscript"/>
        </w:rPr>
        <w:footnoteReference w:id="144"/>
      </w:r>
      <w:r w:rsidRPr="00707866">
        <w:rPr>
          <w:rFonts w:eastAsia="Times New Roman"/>
          <w:bCs/>
          <w:szCs w:val="24"/>
        </w:rPr>
        <w:t>:</w:t>
      </w:r>
    </w:p>
    <w:p w14:paraId="5B6E67B3" w14:textId="588AE826" w:rsidR="00095139" w:rsidRPr="00707866" w:rsidRDefault="00095139" w:rsidP="00C307AF">
      <w:pPr>
        <w:pStyle w:val="SingleTxtG"/>
        <w:numPr>
          <w:ilvl w:val="0"/>
          <w:numId w:val="31"/>
        </w:numPr>
        <w:ind w:left="1134" w:firstLine="567"/>
      </w:pPr>
      <w:r w:rsidRPr="00707866">
        <w:t>Por falta de acuerdo en la preconsulta o consulta</w:t>
      </w:r>
      <w:r w:rsidR="00280D2C">
        <w:t>;</w:t>
      </w:r>
    </w:p>
    <w:p w14:paraId="358D22A8" w14:textId="4D493894" w:rsidR="00095139" w:rsidRPr="00707866" w:rsidRDefault="00095139" w:rsidP="00C307AF">
      <w:pPr>
        <w:pStyle w:val="SingleTxtG"/>
        <w:numPr>
          <w:ilvl w:val="0"/>
          <w:numId w:val="31"/>
        </w:numPr>
        <w:ind w:left="1134" w:firstLine="567"/>
      </w:pPr>
      <w:r w:rsidRPr="00707866">
        <w:t>Por inasistencia de las autoridades representativas, una vez agotado los procedimientos de convocatoria establecidos;</w:t>
      </w:r>
    </w:p>
    <w:p w14:paraId="02775EB4" w14:textId="0D0C52B8" w:rsidR="00095139" w:rsidRPr="00707866" w:rsidRDefault="00095139" w:rsidP="00C307AF">
      <w:pPr>
        <w:pStyle w:val="SingleTxtG"/>
        <w:numPr>
          <w:ilvl w:val="0"/>
          <w:numId w:val="31"/>
        </w:numPr>
        <w:ind w:left="1134" w:firstLine="567"/>
      </w:pPr>
      <w:r w:rsidRPr="00707866">
        <w:t>Por la falta de solución del conflicto de representatividad en la comunidad étnica.</w:t>
      </w:r>
    </w:p>
    <w:p w14:paraId="3878C06F" w14:textId="63F8CD0C" w:rsidR="00095139" w:rsidRPr="00707866" w:rsidRDefault="00095139" w:rsidP="008357BF">
      <w:pPr>
        <w:pStyle w:val="SingleTxtG"/>
        <w:numPr>
          <w:ilvl w:val="0"/>
          <w:numId w:val="27"/>
        </w:numPr>
        <w:ind w:left="1134" w:firstLine="0"/>
        <w:rPr>
          <w:rFonts w:eastAsia="Times New Roman"/>
          <w:bCs/>
          <w:szCs w:val="24"/>
        </w:rPr>
      </w:pPr>
      <w:r w:rsidRPr="00707866">
        <w:rPr>
          <w:rFonts w:eastAsia="Times New Roman"/>
          <w:bCs/>
          <w:szCs w:val="24"/>
        </w:rPr>
        <w:t xml:space="preserve">El test de proporcionalidad tiene por finalidad determinar las medidas de manejo adecuadas para prevenir, corregir o mitigar las afectaciones directas. Las medidas deberán estar desprovistas de arbitrariedad, fundamentadas en criterios de razonabilidad, </w:t>
      </w:r>
      <w:r w:rsidRPr="006D49C3">
        <w:t>proporcionalidad</w:t>
      </w:r>
      <w:r w:rsidRPr="00707866">
        <w:rPr>
          <w:rFonts w:eastAsia="Times New Roman"/>
          <w:bCs/>
          <w:szCs w:val="24"/>
        </w:rPr>
        <w:t xml:space="preserve"> y objetividad, y tomarán en consideración las posiciones expresadas por la comunidad étnica y por la entidad promotora o el ejecutor del</w:t>
      </w:r>
      <w:r>
        <w:rPr>
          <w:rFonts w:eastAsia="Times New Roman"/>
          <w:bCs/>
          <w:szCs w:val="24"/>
        </w:rPr>
        <w:t xml:space="preserve"> </w:t>
      </w:r>
      <w:r w:rsidRPr="0068542F">
        <w:rPr>
          <w:rFonts w:eastAsia="Times New Roman"/>
          <w:bCs/>
          <w:szCs w:val="24"/>
        </w:rPr>
        <w:t>Proyecto, Obra o Actividad</w:t>
      </w:r>
      <w:r w:rsidRPr="00707866">
        <w:rPr>
          <w:rFonts w:eastAsia="Times New Roman"/>
          <w:bCs/>
          <w:szCs w:val="24"/>
        </w:rPr>
        <w:t xml:space="preserve"> </w:t>
      </w:r>
      <w:r>
        <w:rPr>
          <w:rFonts w:eastAsia="Times New Roman"/>
          <w:bCs/>
          <w:szCs w:val="24"/>
        </w:rPr>
        <w:t>(</w:t>
      </w:r>
      <w:r w:rsidRPr="00707866">
        <w:rPr>
          <w:rFonts w:eastAsia="Times New Roman"/>
          <w:bCs/>
          <w:szCs w:val="24"/>
        </w:rPr>
        <w:t>POA</w:t>
      </w:r>
      <w:r>
        <w:rPr>
          <w:rFonts w:eastAsia="Times New Roman"/>
          <w:bCs/>
          <w:szCs w:val="24"/>
        </w:rPr>
        <w:t>)</w:t>
      </w:r>
      <w:r w:rsidR="00D0295C" w:rsidRPr="00973F39">
        <w:rPr>
          <w:rFonts w:eastAsia="Times New Roman"/>
          <w:bCs/>
          <w:sz w:val="18"/>
          <w:szCs w:val="18"/>
          <w:vertAlign w:val="superscript"/>
        </w:rPr>
        <w:footnoteReference w:id="145"/>
      </w:r>
      <w:r w:rsidRPr="00707866">
        <w:rPr>
          <w:rFonts w:eastAsia="Times New Roman"/>
          <w:bCs/>
          <w:szCs w:val="24"/>
        </w:rPr>
        <w:t>.</w:t>
      </w:r>
    </w:p>
    <w:p w14:paraId="0B7B4024" w14:textId="142FD66B" w:rsidR="00095139" w:rsidRPr="00707866" w:rsidRDefault="00095139" w:rsidP="008357BF">
      <w:pPr>
        <w:pStyle w:val="SingleTxtG"/>
        <w:numPr>
          <w:ilvl w:val="0"/>
          <w:numId w:val="27"/>
        </w:numPr>
        <w:ind w:left="1134" w:firstLine="0"/>
        <w:rPr>
          <w:rFonts w:eastAsia="Times New Roman"/>
          <w:bCs/>
          <w:szCs w:val="24"/>
        </w:rPr>
      </w:pPr>
      <w:r>
        <w:rPr>
          <w:rFonts w:eastAsia="Times New Roman"/>
          <w:bCs/>
          <w:szCs w:val="24"/>
        </w:rPr>
        <w:t xml:space="preserve">De otra parte, el Ministerio del Interior, en articulación con la UARIV, </w:t>
      </w:r>
      <w:r w:rsidRPr="003501AB">
        <w:rPr>
          <w:rFonts w:eastAsia="Times New Roman"/>
          <w:bCs/>
          <w:szCs w:val="24"/>
        </w:rPr>
        <w:t xml:space="preserve">intervienen los territorios para avanzar en el cumplimiento del Auto 005/09 y del Decreto Ley 4635 de 2011. En esa medida, además, de la caracterización territorial se ha coordinado el proceso de Consulta Previa de los Planes Integrales de Reparación Colectiva de las comunidades </w:t>
      </w:r>
      <w:r>
        <w:rPr>
          <w:rFonts w:eastAsia="Times New Roman"/>
          <w:bCs/>
          <w:szCs w:val="24"/>
        </w:rPr>
        <w:t xml:space="preserve">NARP. El Ministerio del Interior </w:t>
      </w:r>
      <w:r w:rsidRPr="003501AB">
        <w:rPr>
          <w:rFonts w:eastAsia="Times New Roman"/>
          <w:bCs/>
          <w:szCs w:val="24"/>
        </w:rPr>
        <w:t>realiz</w:t>
      </w:r>
      <w:r>
        <w:rPr>
          <w:rFonts w:eastAsia="Times New Roman"/>
          <w:bCs/>
          <w:szCs w:val="24"/>
        </w:rPr>
        <w:t>ó</w:t>
      </w:r>
      <w:r w:rsidRPr="003501AB">
        <w:rPr>
          <w:rFonts w:eastAsia="Times New Roman"/>
          <w:bCs/>
          <w:szCs w:val="24"/>
        </w:rPr>
        <w:t xml:space="preserve"> un total de 74 de consultas previas </w:t>
      </w:r>
      <w:r>
        <w:rPr>
          <w:rFonts w:eastAsia="Times New Roman"/>
          <w:bCs/>
          <w:szCs w:val="24"/>
        </w:rPr>
        <w:t>en el marco del</w:t>
      </w:r>
      <w:r w:rsidRPr="003501AB">
        <w:rPr>
          <w:rFonts w:eastAsia="Times New Roman"/>
          <w:bCs/>
          <w:szCs w:val="24"/>
        </w:rPr>
        <w:t xml:space="preserve"> </w:t>
      </w:r>
      <w:r w:rsidRPr="009F28C4">
        <w:rPr>
          <w:rFonts w:eastAsia="Times New Roman"/>
          <w:bCs/>
          <w:szCs w:val="24"/>
        </w:rPr>
        <w:t xml:space="preserve">Plan Integral de Reparación Colectiva </w:t>
      </w:r>
      <w:r>
        <w:rPr>
          <w:rFonts w:eastAsia="Times New Roman"/>
          <w:bCs/>
          <w:szCs w:val="24"/>
        </w:rPr>
        <w:t>(</w:t>
      </w:r>
      <w:r w:rsidRPr="003501AB">
        <w:rPr>
          <w:rFonts w:eastAsia="Times New Roman"/>
          <w:bCs/>
          <w:szCs w:val="24"/>
        </w:rPr>
        <w:t>PIRC</w:t>
      </w:r>
      <w:r>
        <w:rPr>
          <w:rFonts w:eastAsia="Times New Roman"/>
          <w:bCs/>
          <w:szCs w:val="24"/>
        </w:rPr>
        <w:t xml:space="preserve">), </w:t>
      </w:r>
      <w:r w:rsidRPr="003501AB">
        <w:rPr>
          <w:rFonts w:eastAsia="Times New Roman"/>
          <w:bCs/>
          <w:szCs w:val="24"/>
        </w:rPr>
        <w:t>los departamentos en los que más intervenciones se realizaron fueron Bolívar con 16, Valle del cauca con 13 y Chocó con 10</w:t>
      </w:r>
      <w:r w:rsidR="00D0295C" w:rsidRPr="00973F39">
        <w:rPr>
          <w:rFonts w:eastAsia="Times New Roman"/>
          <w:bCs/>
          <w:sz w:val="18"/>
          <w:szCs w:val="18"/>
          <w:vertAlign w:val="superscript"/>
        </w:rPr>
        <w:footnoteReference w:id="146"/>
      </w:r>
      <w:r w:rsidRPr="003501AB">
        <w:rPr>
          <w:rFonts w:eastAsia="Times New Roman"/>
          <w:bCs/>
          <w:szCs w:val="24"/>
        </w:rPr>
        <w:t>.</w:t>
      </w:r>
    </w:p>
    <w:p w14:paraId="12585915" w14:textId="75E15888" w:rsidR="00095139" w:rsidRPr="00C469E9" w:rsidRDefault="00C307AF" w:rsidP="00C307AF">
      <w:pPr>
        <w:pStyle w:val="H23G"/>
      </w:pPr>
      <w:r>
        <w:tab/>
        <w:t>5.</w:t>
      </w:r>
      <w:r>
        <w:tab/>
      </w:r>
      <w:r w:rsidR="00095139" w:rsidRPr="00C469E9">
        <w:t>Derechos territoriales y restitución de tierras (recomendación párr. 21 CERD/C/COL/CO/17-19)</w:t>
      </w:r>
    </w:p>
    <w:p w14:paraId="625E305A" w14:textId="444D0DDD" w:rsidR="00095139" w:rsidRPr="00707866" w:rsidRDefault="00095139" w:rsidP="008357BF">
      <w:pPr>
        <w:pStyle w:val="SingleTxtG"/>
        <w:numPr>
          <w:ilvl w:val="0"/>
          <w:numId w:val="27"/>
        </w:numPr>
        <w:ind w:left="1134" w:firstLine="0"/>
        <w:rPr>
          <w:rFonts w:eastAsia="Times New Roman"/>
          <w:bCs/>
          <w:szCs w:val="24"/>
        </w:rPr>
      </w:pPr>
      <w:r>
        <w:rPr>
          <w:rFonts w:eastAsia="Times New Roman"/>
          <w:bCs/>
          <w:szCs w:val="24"/>
        </w:rPr>
        <w:t xml:space="preserve">El Estado colombiano ha dado continuidad a los procedimientos de restitución de tierras a comunidades étnicas, es así como, a </w:t>
      </w:r>
      <w:r w:rsidRPr="006D49C3">
        <w:t>través</w:t>
      </w:r>
      <w:r>
        <w:rPr>
          <w:rFonts w:eastAsia="Times New Roman"/>
          <w:bCs/>
          <w:szCs w:val="24"/>
        </w:rPr>
        <w:t xml:space="preserve"> de la Agencia Nacional de Tierras (</w:t>
      </w:r>
      <w:r w:rsidRPr="00707866">
        <w:rPr>
          <w:rFonts w:eastAsia="Times New Roman"/>
          <w:bCs/>
          <w:szCs w:val="24"/>
        </w:rPr>
        <w:t>ANT</w:t>
      </w:r>
      <w:r>
        <w:rPr>
          <w:rFonts w:eastAsia="Times New Roman"/>
          <w:bCs/>
          <w:szCs w:val="24"/>
        </w:rPr>
        <w:t>),</w:t>
      </w:r>
      <w:r w:rsidRPr="00707866">
        <w:rPr>
          <w:rFonts w:eastAsia="Times New Roman"/>
          <w:bCs/>
          <w:szCs w:val="24"/>
        </w:rPr>
        <w:t xml:space="preserve"> se encuentra ejecutando en su Plan de Atención 2022 un total de 905 procedimientos activos (</w:t>
      </w:r>
      <w:r w:rsidRPr="00FA0004">
        <w:rPr>
          <w:rFonts w:eastAsia="Times New Roman"/>
          <w:bCs/>
          <w:szCs w:val="24"/>
        </w:rPr>
        <w:t>Anexo 1</w:t>
      </w:r>
      <w:r>
        <w:rPr>
          <w:rFonts w:eastAsia="Times New Roman"/>
          <w:bCs/>
          <w:szCs w:val="24"/>
        </w:rPr>
        <w:t>3</w:t>
      </w:r>
      <w:r w:rsidRPr="00FA0004">
        <w:rPr>
          <w:rFonts w:eastAsia="Times New Roman"/>
          <w:bCs/>
          <w:szCs w:val="24"/>
        </w:rPr>
        <w:t xml:space="preserve"> – Tablas 1 - 6</w:t>
      </w:r>
      <w:r w:rsidRPr="00707866">
        <w:rPr>
          <w:rFonts w:eastAsia="Times New Roman"/>
          <w:bCs/>
          <w:szCs w:val="24"/>
        </w:rPr>
        <w:t>), distribuidos así</w:t>
      </w:r>
      <w:r w:rsidR="008433E5" w:rsidRPr="00973F39">
        <w:rPr>
          <w:rFonts w:eastAsia="Times New Roman"/>
          <w:bCs/>
          <w:sz w:val="18"/>
          <w:szCs w:val="18"/>
          <w:vertAlign w:val="superscript"/>
        </w:rPr>
        <w:footnoteReference w:id="147"/>
      </w:r>
      <w:r w:rsidRPr="00707866">
        <w:rPr>
          <w:rFonts w:eastAsia="Times New Roman"/>
          <w:bCs/>
          <w:szCs w:val="24"/>
        </w:rPr>
        <w:t>:</w:t>
      </w:r>
    </w:p>
    <w:p w14:paraId="5271CF9A" w14:textId="5ADF3DFE" w:rsidR="00095139" w:rsidRPr="00707866" w:rsidRDefault="00095139" w:rsidP="00C307AF">
      <w:pPr>
        <w:pStyle w:val="Bullet1G"/>
      </w:pPr>
      <w:r w:rsidRPr="00707866">
        <w:t>514 procedimientos de formalización de territorios a Comunidades Indígenas, constitución, ampliación y saneamiento.</w:t>
      </w:r>
    </w:p>
    <w:p w14:paraId="733617CA" w14:textId="77777777" w:rsidR="00095139" w:rsidRPr="00707866" w:rsidRDefault="00095139" w:rsidP="00C307AF">
      <w:pPr>
        <w:pStyle w:val="Bullet1G"/>
      </w:pPr>
      <w:r w:rsidRPr="00707866">
        <w:t>49 procedimientos de protección de territorio ancestral.</w:t>
      </w:r>
    </w:p>
    <w:p w14:paraId="7D3BA035" w14:textId="77777777" w:rsidR="00095139" w:rsidRPr="00707866" w:rsidRDefault="00095139" w:rsidP="00C307AF">
      <w:pPr>
        <w:pStyle w:val="Bullet1G"/>
      </w:pPr>
      <w:r w:rsidRPr="00707866">
        <w:t>34 procedimientos de vigencia del título de origen colonial.</w:t>
      </w:r>
    </w:p>
    <w:p w14:paraId="737E0CF5" w14:textId="77777777" w:rsidR="00095139" w:rsidRPr="00707866" w:rsidRDefault="00095139" w:rsidP="00C307AF">
      <w:pPr>
        <w:pStyle w:val="Bullet1G"/>
      </w:pPr>
      <w:r w:rsidRPr="00707866">
        <w:lastRenderedPageBreak/>
        <w:t>75 procedimientos de delimitación, vallas y mojones.</w:t>
      </w:r>
    </w:p>
    <w:p w14:paraId="45C40F03" w14:textId="77777777" w:rsidR="00095139" w:rsidRPr="00707866" w:rsidRDefault="00095139" w:rsidP="00C307AF">
      <w:pPr>
        <w:pStyle w:val="Bullet1G"/>
      </w:pPr>
      <w:r w:rsidRPr="00707866">
        <w:t>233 procedimientos de formalización de territorios a Comunidades Negras.</w:t>
      </w:r>
    </w:p>
    <w:p w14:paraId="0D80B13F" w14:textId="415A240C" w:rsidR="00095139" w:rsidRPr="006D49C3" w:rsidRDefault="00095139" w:rsidP="008357BF">
      <w:pPr>
        <w:pStyle w:val="SingleTxtG"/>
        <w:numPr>
          <w:ilvl w:val="0"/>
          <w:numId w:val="27"/>
        </w:numPr>
        <w:ind w:left="1134" w:firstLine="0"/>
      </w:pPr>
      <w:r w:rsidRPr="006D49C3">
        <w:t>Así mismo, ha tramitado el procedimiento de formalización de territorios en cumplimiento de las órdenes emanadas de la Corte Constitucional en concordancia con los procedimientos regulados y establecidos en el Decreto 1071 del 2015 y el Decreto 1066 del 2015. Al respecto, obra anexo el estado de cumplimiento y las gestiones adelantadas por la ANT en el marco de órdenes judiciales provenientes de Jueces de Restitución de Tierras y la Corte Constitucional (Anexo 13 - Tabla 7 y 8)</w:t>
      </w:r>
      <w:r w:rsidR="008433E5" w:rsidRPr="00973F39">
        <w:rPr>
          <w:sz w:val="18"/>
          <w:szCs w:val="18"/>
          <w:vertAlign w:val="superscript"/>
        </w:rPr>
        <w:footnoteReference w:id="148"/>
      </w:r>
      <w:r w:rsidRPr="006D49C3">
        <w:t>.</w:t>
      </w:r>
    </w:p>
    <w:p w14:paraId="1D1C787C" w14:textId="1C1E9C46" w:rsidR="00095139" w:rsidRPr="006D49C3" w:rsidRDefault="00095139" w:rsidP="008357BF">
      <w:pPr>
        <w:pStyle w:val="SingleTxtG"/>
        <w:numPr>
          <w:ilvl w:val="0"/>
          <w:numId w:val="27"/>
        </w:numPr>
        <w:ind w:left="1134" w:firstLine="0"/>
      </w:pPr>
      <w:r w:rsidRPr="006D49C3">
        <w:t>Respecto a la destinación de recursos, la Unidad Administrativa Especial de Gestión de Restitución de Tierras Despojadas (UAEGRTD o URT), que tiene como objetivo la restitución de tierras despojadas en los términos de la Ley 1448 de 2011, fortaleció sus equipos interdisciplinarios a nivel nacional y territorial y cuenta con un plan de capacitación continua a los funcionarios y colaboradores, creando espacios de formación en las diferentes temáticas que confluyen la restitución de derechos territoriales étnicos</w:t>
      </w:r>
      <w:r w:rsidR="008433E5" w:rsidRPr="00973F39">
        <w:rPr>
          <w:sz w:val="18"/>
          <w:szCs w:val="18"/>
          <w:vertAlign w:val="superscript"/>
        </w:rPr>
        <w:footnoteReference w:id="149"/>
      </w:r>
      <w:r w:rsidRPr="006D49C3">
        <w:t>.</w:t>
      </w:r>
    </w:p>
    <w:p w14:paraId="6846E22B" w14:textId="4B7F9E31" w:rsidR="00095139" w:rsidRPr="006D49C3" w:rsidRDefault="00095139" w:rsidP="008357BF">
      <w:pPr>
        <w:pStyle w:val="SingleTxtG"/>
        <w:numPr>
          <w:ilvl w:val="0"/>
          <w:numId w:val="27"/>
        </w:numPr>
        <w:ind w:left="1134" w:firstLine="0"/>
      </w:pPr>
      <w:r w:rsidRPr="006D49C3">
        <w:t>Así mismo, a través de la Dirección de Asuntos Étnicos de la UAEGRTD se consolidó la planeación por medio de la marcación exclusiva de recursos del presupuesto de la dependencia, pasando de 5.586 millones de pesos en el año 2015 a 16.623 millones de pesos en 2022, lo cual representa un aumento del 198</w:t>
      </w:r>
      <w:r w:rsidR="00796131">
        <w:t xml:space="preserve"> </w:t>
      </w:r>
      <w:r w:rsidRPr="006D49C3">
        <w:t>% que ha permitido aumentar considerablemente los resultados de la gestión de restitución de derechos territoriales étnicos</w:t>
      </w:r>
      <w:r w:rsidR="008433E5" w:rsidRPr="00973F39">
        <w:rPr>
          <w:sz w:val="18"/>
          <w:szCs w:val="18"/>
          <w:vertAlign w:val="superscript"/>
        </w:rPr>
        <w:footnoteReference w:id="150"/>
      </w:r>
      <w:r w:rsidRPr="006D49C3">
        <w:t>.</w:t>
      </w:r>
    </w:p>
    <w:p w14:paraId="025F8383" w14:textId="7637FA89" w:rsidR="00095139" w:rsidRPr="006D49C3" w:rsidRDefault="00095139" w:rsidP="008357BF">
      <w:pPr>
        <w:pStyle w:val="SingleTxtG"/>
        <w:numPr>
          <w:ilvl w:val="0"/>
          <w:numId w:val="27"/>
        </w:numPr>
        <w:ind w:left="1134" w:firstLine="0"/>
      </w:pPr>
      <w:r w:rsidRPr="006D49C3">
        <w:t>Por otra parte, el Estado ha dado continuidad a la garantía del derecho al territorio colectivo de las colectividades NARP mediante el mecanismo administrativo de protección - Ruta Étnica</w:t>
      </w:r>
      <w:r w:rsidRPr="006D49C3">
        <w:footnoteReference w:id="151"/>
      </w:r>
      <w:r w:rsidRPr="006D49C3">
        <w:t>, en virtud de lo dispuesto por la Orden Quinta del Auto 005 de 2009 de la Corte Constitucional</w:t>
      </w:r>
      <w:r w:rsidR="008433E5" w:rsidRPr="00973F39">
        <w:rPr>
          <w:sz w:val="18"/>
          <w:szCs w:val="18"/>
          <w:vertAlign w:val="superscript"/>
        </w:rPr>
        <w:footnoteReference w:id="152"/>
      </w:r>
      <w:r w:rsidRPr="006D49C3">
        <w:t>.</w:t>
      </w:r>
    </w:p>
    <w:p w14:paraId="2544DDAE" w14:textId="6A3E0E45" w:rsidR="00095139" w:rsidRPr="006D49C3" w:rsidRDefault="00095139" w:rsidP="008357BF">
      <w:pPr>
        <w:pStyle w:val="SingleTxtG"/>
        <w:numPr>
          <w:ilvl w:val="0"/>
          <w:numId w:val="27"/>
        </w:numPr>
        <w:ind w:left="1134" w:firstLine="0"/>
      </w:pPr>
      <w:r w:rsidRPr="006D49C3">
        <w:t>En esta medida, el Ministerio del Interior expide actos administrativos de Ruta Étnica con el objetivo de generar una protección formal de los territorios colectivos de las comunidades NARP. Así, de 2018 a junio de 2022 expidieron un total de 76 resoluciones de comunidades étnicas que, en contraste con el cuatrienio anterior, muestra un incremento pues para el periodo de 2013 a 2017 se realizaron 26 resoluciones</w:t>
      </w:r>
      <w:r w:rsidR="008433E5" w:rsidRPr="00973F39">
        <w:rPr>
          <w:sz w:val="18"/>
          <w:szCs w:val="18"/>
          <w:vertAlign w:val="superscript"/>
        </w:rPr>
        <w:footnoteReference w:id="153"/>
      </w:r>
      <w:r w:rsidR="008433E5">
        <w:t>.</w:t>
      </w:r>
    </w:p>
    <w:p w14:paraId="5DF932AE" w14:textId="1C6833DB" w:rsidR="00095139" w:rsidRPr="006D49C3" w:rsidRDefault="00095139" w:rsidP="008357BF">
      <w:pPr>
        <w:pStyle w:val="SingleTxtG"/>
        <w:numPr>
          <w:ilvl w:val="0"/>
          <w:numId w:val="27"/>
        </w:numPr>
        <w:ind w:left="1134" w:firstLine="0"/>
      </w:pPr>
      <w:r w:rsidRPr="006D49C3">
        <w:t>Por otra parte, es relevante destacar que la UAEGRTD, en conjunto con la Rama Judicial ha articulado la incorporación de elementos tecnológicos en los trámites de los procesos de restitución, como la demanda electrónica, una herramienta innovadora y efectiva que facilita y agiliza el trámite de la etapa judicial. Esta se encuentra incorporada en el Sistema de Registro de Tierras Despojadas y Abandonadas de la Unidad, y enlazada al Portal de Tierras del Consejo Superior de la Judicatura, lo que ha permitido aumentar el número de demandas radicadas y dar mayor calidad y celeridad en el proceso de restitución de los derechos territoriales para las comunidades indígenas y comunidades NARP</w:t>
      </w:r>
      <w:r w:rsidR="008433E5" w:rsidRPr="00973F39">
        <w:rPr>
          <w:sz w:val="18"/>
          <w:szCs w:val="18"/>
          <w:vertAlign w:val="superscript"/>
        </w:rPr>
        <w:footnoteReference w:id="154"/>
      </w:r>
      <w:r w:rsidRPr="006D49C3">
        <w:t xml:space="preserve">. </w:t>
      </w:r>
    </w:p>
    <w:p w14:paraId="3C1A1F38" w14:textId="34802DDE" w:rsidR="00095139" w:rsidRPr="00613A7F" w:rsidRDefault="00C307AF" w:rsidP="00C307AF">
      <w:pPr>
        <w:pStyle w:val="H23G"/>
      </w:pPr>
      <w:r>
        <w:tab/>
        <w:t>6.</w:t>
      </w:r>
      <w:r>
        <w:tab/>
      </w:r>
      <w:r w:rsidR="00095139" w:rsidRPr="00613A7F">
        <w:t>Pueblos indígenas en peligro de extinción, en aislamiento o contacto inicial (recomendación párr. 23 CERD/C/COL/CO/17-19)</w:t>
      </w:r>
    </w:p>
    <w:p w14:paraId="512C714C" w14:textId="3FB096D6" w:rsidR="00095139" w:rsidRDefault="00095139" w:rsidP="008357BF">
      <w:pPr>
        <w:pStyle w:val="SingleTxtG"/>
        <w:numPr>
          <w:ilvl w:val="0"/>
          <w:numId w:val="27"/>
        </w:numPr>
        <w:ind w:left="1134" w:firstLine="0"/>
        <w:rPr>
          <w:rFonts w:eastAsia="Times New Roman"/>
          <w:bCs/>
          <w:szCs w:val="24"/>
        </w:rPr>
      </w:pPr>
      <w:r>
        <w:rPr>
          <w:rFonts w:eastAsia="Times New Roman"/>
          <w:bCs/>
          <w:szCs w:val="24"/>
        </w:rPr>
        <w:t>El Estado colombiano ha continuado con la implementación de l</w:t>
      </w:r>
      <w:r w:rsidRPr="009755B0">
        <w:rPr>
          <w:rFonts w:eastAsia="Times New Roman"/>
          <w:bCs/>
          <w:szCs w:val="24"/>
        </w:rPr>
        <w:t>os planes de salvaguarda étnicos</w:t>
      </w:r>
      <w:r>
        <w:rPr>
          <w:rFonts w:eastAsia="Times New Roman"/>
          <w:bCs/>
          <w:szCs w:val="24"/>
        </w:rPr>
        <w:t xml:space="preserve"> que,</w:t>
      </w:r>
      <w:r w:rsidRPr="009755B0">
        <w:rPr>
          <w:rFonts w:eastAsia="Times New Roman"/>
          <w:bCs/>
          <w:szCs w:val="24"/>
        </w:rPr>
        <w:t xml:space="preserve"> deben entenderse como </w:t>
      </w:r>
      <w:r w:rsidRPr="006D49C3">
        <w:t>una</w:t>
      </w:r>
      <w:r w:rsidRPr="009755B0">
        <w:rPr>
          <w:rFonts w:eastAsia="Times New Roman"/>
          <w:bCs/>
          <w:szCs w:val="24"/>
        </w:rPr>
        <w:t xml:space="preserve"> medida de protección frente al riesgo </w:t>
      </w:r>
      <w:r w:rsidRPr="009755B0">
        <w:rPr>
          <w:rFonts w:eastAsia="Times New Roman"/>
          <w:bCs/>
          <w:szCs w:val="24"/>
        </w:rPr>
        <w:lastRenderedPageBreak/>
        <w:t>de extinción física y cultural de los pueblos indígenas determinados por la Corte Constitucional en los Autos 004 de 2009 y 266 de 2017 de la Sentencia T-025 de 2004</w:t>
      </w:r>
      <w:r w:rsidR="008433E5">
        <w:rPr>
          <w:rStyle w:val="Refdenotaalpie"/>
          <w:rFonts w:eastAsia="Times New Roman"/>
          <w:bCs/>
          <w:szCs w:val="24"/>
        </w:rPr>
        <w:footnoteReference w:id="155"/>
      </w:r>
      <w:r w:rsidRPr="009755B0">
        <w:rPr>
          <w:rFonts w:eastAsia="Times New Roman"/>
          <w:bCs/>
          <w:szCs w:val="24"/>
        </w:rPr>
        <w:t>.</w:t>
      </w:r>
      <w:r w:rsidRPr="00744F9D">
        <w:rPr>
          <w:rStyle w:val="Refdenotaalpie"/>
          <w:rFonts w:eastAsia="Times New Roman"/>
          <w:bCs/>
          <w:szCs w:val="24"/>
        </w:rPr>
        <w:t xml:space="preserve"> </w:t>
      </w:r>
    </w:p>
    <w:p w14:paraId="3103552A" w14:textId="3A25B3FB" w:rsidR="00095139" w:rsidRDefault="00095139" w:rsidP="008357BF">
      <w:pPr>
        <w:pStyle w:val="SingleTxtG"/>
        <w:numPr>
          <w:ilvl w:val="0"/>
          <w:numId w:val="27"/>
        </w:numPr>
        <w:ind w:left="1134" w:firstLine="0"/>
        <w:rPr>
          <w:rFonts w:eastAsia="Times New Roman"/>
          <w:bCs/>
          <w:szCs w:val="24"/>
        </w:rPr>
      </w:pPr>
      <w:r w:rsidRPr="009755B0">
        <w:rPr>
          <w:rFonts w:eastAsia="Times New Roman"/>
          <w:bCs/>
          <w:szCs w:val="24"/>
        </w:rPr>
        <w:t xml:space="preserve">El avance en el indicador de porcentaje de Planes de Salvaguarda formulados con acuerdos institucionales </w:t>
      </w:r>
      <w:r>
        <w:rPr>
          <w:rFonts w:eastAsia="Times New Roman"/>
          <w:bCs/>
          <w:szCs w:val="24"/>
        </w:rPr>
        <w:t>señala</w:t>
      </w:r>
      <w:r w:rsidRPr="009755B0">
        <w:rPr>
          <w:rFonts w:eastAsia="Times New Roman"/>
          <w:bCs/>
          <w:szCs w:val="24"/>
        </w:rPr>
        <w:t xml:space="preserve"> que 20 Planes de </w:t>
      </w:r>
      <w:r w:rsidRPr="006D49C3">
        <w:t>Salvaguarda</w:t>
      </w:r>
      <w:r w:rsidRPr="009755B0">
        <w:rPr>
          <w:rFonts w:eastAsia="Times New Roman"/>
          <w:bCs/>
          <w:szCs w:val="24"/>
        </w:rPr>
        <w:t xml:space="preserve"> se encuentran en estado de formulación de programas y proyectos, fase en la cual se realiza la concertación interinstitucional de las líneas de acción, previamente realizadas y validadas por las comunidades indígenas</w:t>
      </w:r>
      <w:r>
        <w:rPr>
          <w:rFonts w:eastAsia="Times New Roman"/>
          <w:bCs/>
          <w:szCs w:val="24"/>
        </w:rPr>
        <w:t xml:space="preserve">. </w:t>
      </w:r>
      <w:r w:rsidRPr="009755B0">
        <w:rPr>
          <w:rFonts w:eastAsia="Times New Roman"/>
          <w:bCs/>
          <w:szCs w:val="24"/>
        </w:rPr>
        <w:t>En tal sentido, el resultado del 51</w:t>
      </w:r>
      <w:r w:rsidR="00280D2C">
        <w:rPr>
          <w:rFonts w:eastAsia="Times New Roman"/>
          <w:bCs/>
          <w:szCs w:val="24"/>
        </w:rPr>
        <w:t xml:space="preserve"> </w:t>
      </w:r>
      <w:r w:rsidRPr="009755B0">
        <w:rPr>
          <w:rFonts w:eastAsia="Times New Roman"/>
          <w:bCs/>
          <w:szCs w:val="24"/>
        </w:rPr>
        <w:t>% de planes de salvaguarda con acuerdos institucionales corresponde a las comunidades: Awá, Nasa, Kisgó, Nukak, Embera, Wiwa, Tule, Koreguaje, Uitoto, Jiw, Caño Mochuelo, Siona, Wounaan, Eperara, Misak, Totoro, Kamentsa, Kofan, Yukpa y Zenú Antioquia</w:t>
      </w:r>
      <w:r w:rsidR="00014F56">
        <w:rPr>
          <w:rStyle w:val="Refdenotaalpie"/>
          <w:rFonts w:eastAsia="Times New Roman"/>
          <w:bCs/>
          <w:szCs w:val="24"/>
        </w:rPr>
        <w:footnoteReference w:id="156"/>
      </w:r>
      <w:r w:rsidRPr="009755B0">
        <w:rPr>
          <w:rFonts w:eastAsia="Times New Roman"/>
          <w:bCs/>
          <w:szCs w:val="24"/>
        </w:rPr>
        <w:t>.</w:t>
      </w:r>
    </w:p>
    <w:p w14:paraId="67E6FCF4" w14:textId="784FB491" w:rsidR="00095139" w:rsidRPr="009755B0" w:rsidRDefault="00095139" w:rsidP="008357BF">
      <w:pPr>
        <w:pStyle w:val="SingleTxtG"/>
        <w:numPr>
          <w:ilvl w:val="0"/>
          <w:numId w:val="27"/>
        </w:numPr>
        <w:ind w:left="1134" w:firstLine="0"/>
        <w:rPr>
          <w:rFonts w:eastAsia="Times New Roman"/>
          <w:bCs/>
          <w:szCs w:val="24"/>
        </w:rPr>
      </w:pPr>
      <w:r>
        <w:rPr>
          <w:rFonts w:eastAsia="Times New Roman"/>
          <w:bCs/>
          <w:szCs w:val="24"/>
        </w:rPr>
        <w:t>156. A julio de 2022, de</w:t>
      </w:r>
      <w:r w:rsidRPr="009755B0">
        <w:rPr>
          <w:rFonts w:eastAsia="Times New Roman"/>
          <w:bCs/>
          <w:szCs w:val="24"/>
        </w:rPr>
        <w:t xml:space="preserve"> los 20 Planes de Salvaguarda que se enc</w:t>
      </w:r>
      <w:r>
        <w:rPr>
          <w:rFonts w:eastAsia="Times New Roman"/>
          <w:bCs/>
          <w:szCs w:val="24"/>
        </w:rPr>
        <w:t>ontraban</w:t>
      </w:r>
      <w:r w:rsidRPr="009755B0">
        <w:rPr>
          <w:rFonts w:eastAsia="Times New Roman"/>
          <w:bCs/>
          <w:szCs w:val="24"/>
        </w:rPr>
        <w:t xml:space="preserve"> en la cuarta fase de construcción, </w:t>
      </w:r>
      <w:r>
        <w:rPr>
          <w:rFonts w:eastAsia="Times New Roman"/>
          <w:bCs/>
          <w:szCs w:val="24"/>
        </w:rPr>
        <w:t>es decir, en etapa de</w:t>
      </w:r>
      <w:r w:rsidRPr="009755B0">
        <w:rPr>
          <w:rFonts w:eastAsia="Times New Roman"/>
          <w:bCs/>
          <w:szCs w:val="24"/>
        </w:rPr>
        <w:t xml:space="preserve"> </w:t>
      </w:r>
      <w:r w:rsidRPr="006D49C3">
        <w:t>formulación</w:t>
      </w:r>
      <w:r w:rsidRPr="009755B0">
        <w:rPr>
          <w:rFonts w:eastAsia="Times New Roman"/>
          <w:bCs/>
          <w:szCs w:val="24"/>
        </w:rPr>
        <w:t xml:space="preserve"> y concertación de programas y proyectos, 10 c</w:t>
      </w:r>
      <w:r>
        <w:rPr>
          <w:rFonts w:eastAsia="Times New Roman"/>
          <w:bCs/>
          <w:szCs w:val="24"/>
        </w:rPr>
        <w:t>ontaban</w:t>
      </w:r>
      <w:r w:rsidRPr="009755B0">
        <w:rPr>
          <w:rFonts w:eastAsia="Times New Roman"/>
          <w:bCs/>
          <w:szCs w:val="24"/>
        </w:rPr>
        <w:t xml:space="preserve"> con eje de gobierno propio en implementación, demostrando el avance en el goce efectivo del derecho de autonomía y gobierno propio. Las comunidades que cuentan con el eje de gobierno propio en implementación son: Awá, Embera, Tule, Uitoto, Caño Mochuelo, Wounaan, Misak, Totor</w:t>
      </w:r>
      <w:r>
        <w:rPr>
          <w:rFonts w:eastAsia="Times New Roman"/>
          <w:bCs/>
          <w:szCs w:val="24"/>
        </w:rPr>
        <w:t>ó</w:t>
      </w:r>
      <w:r w:rsidRPr="009755B0">
        <w:rPr>
          <w:rFonts w:eastAsia="Times New Roman"/>
          <w:bCs/>
          <w:szCs w:val="24"/>
        </w:rPr>
        <w:t>, Kofan y Kaments</w:t>
      </w:r>
      <w:r>
        <w:rPr>
          <w:rFonts w:eastAsia="Times New Roman"/>
          <w:bCs/>
          <w:szCs w:val="24"/>
        </w:rPr>
        <w:t>á</w:t>
      </w:r>
      <w:r w:rsidR="00014F56">
        <w:rPr>
          <w:rStyle w:val="Refdenotaalpie"/>
          <w:rFonts w:eastAsia="Times New Roman"/>
          <w:bCs/>
          <w:szCs w:val="24"/>
        </w:rPr>
        <w:footnoteReference w:id="157"/>
      </w:r>
      <w:r>
        <w:rPr>
          <w:rFonts w:eastAsia="Times New Roman"/>
          <w:bCs/>
          <w:szCs w:val="24"/>
        </w:rPr>
        <w:t>.</w:t>
      </w:r>
    </w:p>
    <w:p w14:paraId="23830E89" w14:textId="4E4CEDD9" w:rsidR="00095139" w:rsidRPr="00652D1E" w:rsidRDefault="00C307AF" w:rsidP="00C307AF">
      <w:pPr>
        <w:pStyle w:val="H23G"/>
      </w:pPr>
      <w:r>
        <w:tab/>
        <w:t>7.</w:t>
      </w:r>
      <w:r>
        <w:tab/>
      </w:r>
      <w:r w:rsidR="00095139" w:rsidRPr="00652D1E">
        <w:t>Atención a las mujeres afrocolombianas e indígenas para la eliminación de la discriminación racial y garantía de derechos (recomendación párr. 25 a y b CERD/C/COL/CO/17-19)</w:t>
      </w:r>
    </w:p>
    <w:p w14:paraId="75D154D7" w14:textId="3342D117" w:rsidR="00095139" w:rsidRPr="00121CFB" w:rsidRDefault="00095139" w:rsidP="008357BF">
      <w:pPr>
        <w:pStyle w:val="SingleTxtG"/>
        <w:numPr>
          <w:ilvl w:val="0"/>
          <w:numId w:val="27"/>
        </w:numPr>
        <w:ind w:left="1134" w:firstLine="0"/>
        <w:rPr>
          <w:rFonts w:eastAsia="Times New Roman"/>
          <w:bCs/>
          <w:szCs w:val="24"/>
        </w:rPr>
      </w:pPr>
      <w:r>
        <w:rPr>
          <w:rFonts w:eastAsia="Times New Roman"/>
          <w:bCs/>
          <w:szCs w:val="24"/>
        </w:rPr>
        <w:t xml:space="preserve">El Estado colombiano adoptó </w:t>
      </w:r>
      <w:r w:rsidRPr="00121CFB">
        <w:rPr>
          <w:rFonts w:eastAsia="Times New Roman"/>
          <w:bCs/>
          <w:szCs w:val="24"/>
        </w:rPr>
        <w:t>la Comisión Nacional de Mujeres Indígenas</w:t>
      </w:r>
      <w:r>
        <w:rPr>
          <w:rFonts w:eastAsia="Times New Roman"/>
          <w:bCs/>
          <w:szCs w:val="24"/>
        </w:rPr>
        <w:t xml:space="preserve"> </w:t>
      </w:r>
      <w:r w:rsidRPr="00121CFB">
        <w:rPr>
          <w:rFonts w:eastAsia="Times New Roman"/>
          <w:bCs/>
          <w:szCs w:val="24"/>
        </w:rPr>
        <w:t xml:space="preserve">(CNMI), a través de los Decretos 1097 y 1158 de 2020, </w:t>
      </w:r>
      <w:r w:rsidRPr="006D49C3">
        <w:t>en</w:t>
      </w:r>
      <w:r w:rsidRPr="00121CFB">
        <w:rPr>
          <w:rFonts w:eastAsia="Times New Roman"/>
          <w:bCs/>
          <w:szCs w:val="24"/>
        </w:rPr>
        <w:t xml:space="preserve"> el marco de la Mesa Permanente de Concertación</w:t>
      </w:r>
      <w:r>
        <w:rPr>
          <w:rFonts w:eastAsia="Times New Roman"/>
          <w:bCs/>
          <w:szCs w:val="24"/>
        </w:rPr>
        <w:t xml:space="preserve">, como </w:t>
      </w:r>
      <w:r w:rsidRPr="00121CFB">
        <w:rPr>
          <w:rFonts w:eastAsia="Times New Roman"/>
          <w:bCs/>
          <w:szCs w:val="24"/>
        </w:rPr>
        <w:t>una instancia técnica, especializada y específica para garantizar la participación efectiva de las mujeres indígenas en el diseño, implementación y seguimiento de planes, programas y políticas que les conciernen, acorde con el auto 092 de 2008 de la sentencia T-025 de 2004</w:t>
      </w:r>
      <w:r w:rsidR="00014F56" w:rsidRPr="00973F39">
        <w:rPr>
          <w:rFonts w:eastAsia="Times New Roman"/>
          <w:bCs/>
          <w:sz w:val="18"/>
          <w:szCs w:val="18"/>
          <w:vertAlign w:val="superscript"/>
        </w:rPr>
        <w:footnoteReference w:id="158"/>
      </w:r>
      <w:r w:rsidRPr="00121CFB">
        <w:rPr>
          <w:rFonts w:eastAsia="Times New Roman"/>
          <w:bCs/>
          <w:szCs w:val="24"/>
        </w:rPr>
        <w:t>.</w:t>
      </w:r>
    </w:p>
    <w:p w14:paraId="7AB0A959" w14:textId="150F6221" w:rsidR="00095139" w:rsidRDefault="00095139" w:rsidP="008357BF">
      <w:pPr>
        <w:pStyle w:val="SingleTxtG"/>
        <w:numPr>
          <w:ilvl w:val="0"/>
          <w:numId w:val="27"/>
        </w:numPr>
        <w:ind w:left="1134" w:firstLine="0"/>
        <w:rPr>
          <w:rFonts w:eastAsia="Times New Roman"/>
          <w:bCs/>
          <w:szCs w:val="24"/>
        </w:rPr>
      </w:pPr>
      <w:r>
        <w:rPr>
          <w:rFonts w:eastAsia="Times New Roman"/>
          <w:bCs/>
          <w:szCs w:val="24"/>
        </w:rPr>
        <w:t xml:space="preserve">Con la CNMI, en 2020 se realizó un </w:t>
      </w:r>
      <w:r w:rsidRPr="0097789F">
        <w:rPr>
          <w:rFonts w:eastAsia="Times New Roman"/>
          <w:bCs/>
          <w:szCs w:val="24"/>
        </w:rPr>
        <w:t xml:space="preserve">piloto para la caracterización de las vulneraciones de los derechos de las mujeres </w:t>
      </w:r>
      <w:r w:rsidRPr="006D49C3">
        <w:t>indígenas</w:t>
      </w:r>
      <w:r w:rsidRPr="0097789F">
        <w:rPr>
          <w:rFonts w:eastAsia="Times New Roman"/>
          <w:bCs/>
          <w:szCs w:val="24"/>
        </w:rPr>
        <w:t xml:space="preserve"> y el diseño de campañas orientadas a prevenir y reducir la violencia sexual y demás formas de violencia, con alcance local y nacional. Este proceso se llevó a cabo en los territorios de San Juan del Cesar en la Guajira, Pueblo Bello en el Cesar, Quibdó en Choco, Ipiales en Nariño, Córdoba y</w:t>
      </w:r>
      <w:r>
        <w:rPr>
          <w:rFonts w:eastAsia="Times New Roman"/>
          <w:bCs/>
          <w:szCs w:val="24"/>
        </w:rPr>
        <w:t>,</w:t>
      </w:r>
      <w:r w:rsidRPr="0097789F">
        <w:rPr>
          <w:rFonts w:eastAsia="Times New Roman"/>
          <w:bCs/>
          <w:szCs w:val="24"/>
        </w:rPr>
        <w:t xml:space="preserve"> Fortul en Arauca</w:t>
      </w:r>
      <w:r w:rsidR="00014F56">
        <w:rPr>
          <w:rStyle w:val="Refdenotaalpie"/>
          <w:rFonts w:eastAsia="Times New Roman"/>
          <w:bCs/>
          <w:szCs w:val="24"/>
        </w:rPr>
        <w:footnoteReference w:id="159"/>
      </w:r>
      <w:r>
        <w:rPr>
          <w:rFonts w:eastAsia="Times New Roman"/>
          <w:bCs/>
          <w:szCs w:val="24"/>
        </w:rPr>
        <w:t>.</w:t>
      </w:r>
    </w:p>
    <w:p w14:paraId="665DB53D" w14:textId="4721A725" w:rsidR="00095139" w:rsidRDefault="00095139" w:rsidP="008357BF">
      <w:pPr>
        <w:pStyle w:val="SingleTxtG"/>
        <w:numPr>
          <w:ilvl w:val="0"/>
          <w:numId w:val="27"/>
        </w:numPr>
        <w:ind w:left="1134" w:firstLine="0"/>
        <w:rPr>
          <w:rFonts w:eastAsia="Times New Roman"/>
          <w:bCs/>
          <w:szCs w:val="24"/>
        </w:rPr>
      </w:pPr>
      <w:r>
        <w:rPr>
          <w:rFonts w:eastAsia="Times New Roman"/>
          <w:bCs/>
          <w:szCs w:val="24"/>
        </w:rPr>
        <w:t xml:space="preserve">De otro </w:t>
      </w:r>
      <w:r w:rsidRPr="006D49C3">
        <w:t>lado</w:t>
      </w:r>
      <w:r>
        <w:rPr>
          <w:rFonts w:eastAsia="Times New Roman"/>
          <w:bCs/>
          <w:szCs w:val="24"/>
        </w:rPr>
        <w:t>, durante 2020 y 2021, c</w:t>
      </w:r>
      <w:r w:rsidRPr="002F53F1">
        <w:rPr>
          <w:rFonts w:eastAsia="Times New Roman"/>
          <w:bCs/>
          <w:szCs w:val="24"/>
        </w:rPr>
        <w:t xml:space="preserve">omo respuesta a los compromisos asumidos por el </w:t>
      </w:r>
      <w:r>
        <w:rPr>
          <w:rFonts w:eastAsia="Times New Roman"/>
          <w:bCs/>
          <w:szCs w:val="24"/>
        </w:rPr>
        <w:t>Estado</w:t>
      </w:r>
      <w:r w:rsidRPr="002F53F1">
        <w:rPr>
          <w:rFonts w:eastAsia="Times New Roman"/>
          <w:bCs/>
          <w:szCs w:val="24"/>
        </w:rPr>
        <w:t xml:space="preserve"> en el marco de la Minga Social para la defensa de la vida, el territorio y la democracia, instancia conformada por autoridades del Consejo Regional Indígena de Cauca </w:t>
      </w:r>
      <w:r>
        <w:rPr>
          <w:rFonts w:eastAsia="Times New Roman"/>
          <w:bCs/>
          <w:szCs w:val="24"/>
        </w:rPr>
        <w:t>(</w:t>
      </w:r>
      <w:r w:rsidRPr="002F53F1">
        <w:rPr>
          <w:rFonts w:eastAsia="Times New Roman"/>
          <w:bCs/>
          <w:szCs w:val="24"/>
        </w:rPr>
        <w:t>CRIC</w:t>
      </w:r>
      <w:r>
        <w:rPr>
          <w:rFonts w:eastAsia="Times New Roman"/>
          <w:bCs/>
          <w:szCs w:val="24"/>
        </w:rPr>
        <w:t>)</w:t>
      </w:r>
      <w:r w:rsidRPr="002F53F1">
        <w:rPr>
          <w:rFonts w:eastAsia="Times New Roman"/>
          <w:bCs/>
          <w:szCs w:val="24"/>
        </w:rPr>
        <w:t xml:space="preserve">, del Consejo Regional Indígena de Caldas – CRIDEC y del Consejo Regional Indígena del Huila CRIHU, </w:t>
      </w:r>
      <w:r>
        <w:rPr>
          <w:rFonts w:eastAsia="Times New Roman"/>
          <w:bCs/>
          <w:szCs w:val="24"/>
        </w:rPr>
        <w:t>s</w:t>
      </w:r>
      <w:r w:rsidRPr="002F53F1">
        <w:rPr>
          <w:rFonts w:eastAsia="Times New Roman"/>
          <w:bCs/>
          <w:szCs w:val="24"/>
        </w:rPr>
        <w:t>e comenz</w:t>
      </w:r>
      <w:r>
        <w:rPr>
          <w:rFonts w:eastAsia="Times New Roman"/>
          <w:bCs/>
          <w:szCs w:val="24"/>
        </w:rPr>
        <w:t>aron</w:t>
      </w:r>
      <w:r w:rsidRPr="002F53F1">
        <w:rPr>
          <w:rFonts w:eastAsia="Times New Roman"/>
          <w:bCs/>
          <w:szCs w:val="24"/>
        </w:rPr>
        <w:t xml:space="preserve"> a desarrollar acciones orientadas a “</w:t>
      </w:r>
      <w:r>
        <w:rPr>
          <w:rFonts w:eastAsia="Times New Roman"/>
          <w:bCs/>
          <w:szCs w:val="24"/>
        </w:rPr>
        <w:t>f</w:t>
      </w:r>
      <w:r w:rsidRPr="002F53F1">
        <w:rPr>
          <w:rFonts w:eastAsia="Times New Roman"/>
          <w:bCs/>
          <w:szCs w:val="24"/>
        </w:rPr>
        <w:t xml:space="preserve">ortalecer el proceso organizativo de las mujeres indígenas”, permitiendo de esta manera, apoyar y promover su participación en espacios generadas por el </w:t>
      </w:r>
      <w:r>
        <w:rPr>
          <w:rFonts w:eastAsia="Times New Roman"/>
          <w:bCs/>
          <w:szCs w:val="24"/>
        </w:rPr>
        <w:t>g</w:t>
      </w:r>
      <w:r w:rsidRPr="002F53F1">
        <w:rPr>
          <w:rFonts w:eastAsia="Times New Roman"/>
          <w:bCs/>
          <w:szCs w:val="24"/>
        </w:rPr>
        <w:t>obierno propio, conocer y reconocer sus derechos, e identificar las iniciativas productivas que desarrollan en sus comunidades</w:t>
      </w:r>
      <w:r w:rsidR="00014F56">
        <w:rPr>
          <w:rStyle w:val="Refdenotaalpie"/>
          <w:rFonts w:eastAsia="Times New Roman"/>
          <w:bCs/>
          <w:szCs w:val="24"/>
        </w:rPr>
        <w:footnoteReference w:id="160"/>
      </w:r>
      <w:r w:rsidRPr="002F53F1">
        <w:rPr>
          <w:rFonts w:eastAsia="Times New Roman"/>
          <w:bCs/>
          <w:szCs w:val="24"/>
        </w:rPr>
        <w:t>.</w:t>
      </w:r>
    </w:p>
    <w:p w14:paraId="33FED361" w14:textId="4539608E" w:rsidR="00095139" w:rsidRDefault="00095139" w:rsidP="008357BF">
      <w:pPr>
        <w:pStyle w:val="SingleTxtG"/>
        <w:numPr>
          <w:ilvl w:val="0"/>
          <w:numId w:val="27"/>
        </w:numPr>
        <w:ind w:left="1134" w:firstLine="0"/>
      </w:pPr>
      <w:r>
        <w:t xml:space="preserve">Por otra parte, entre 2021 y 2022 el Estado a través de la </w:t>
      </w:r>
      <w:r w:rsidRPr="000521FB">
        <w:t>Consejería</w:t>
      </w:r>
      <w:r>
        <w:t xml:space="preserve"> Presidencial para la Equidad de la Mujer,</w:t>
      </w:r>
      <w:r w:rsidRPr="000521FB">
        <w:t xml:space="preserve"> avanz</w:t>
      </w:r>
      <w:r>
        <w:t>ó</w:t>
      </w:r>
      <w:r w:rsidRPr="000521FB">
        <w:t xml:space="preserve"> en la elaboración de un lineamiento técnico para la prevención de las violencias contra las mujeres afrodescendientes e indígenas ubicadas en la zona urbana y rural del Distrito de Buenaventura, que comprende el acompañamiento y orientación a mujeres víctimas de violencias o en riesgo de serlo y a mujeres u organizaciones de mujeres emprendedoras para el fortalecimiento de su autonomía económica</w:t>
      </w:r>
      <w:r w:rsidR="00014F56">
        <w:rPr>
          <w:rStyle w:val="Refdenotaalpie"/>
        </w:rPr>
        <w:footnoteReference w:id="161"/>
      </w:r>
      <w:r w:rsidRPr="000521FB">
        <w:t>.</w:t>
      </w:r>
    </w:p>
    <w:p w14:paraId="5200117F" w14:textId="576D0205" w:rsidR="00095139" w:rsidRDefault="00095139" w:rsidP="008357BF">
      <w:pPr>
        <w:pStyle w:val="SingleTxtG"/>
        <w:numPr>
          <w:ilvl w:val="0"/>
          <w:numId w:val="27"/>
        </w:numPr>
        <w:ind w:left="1134" w:firstLine="0"/>
      </w:pPr>
      <w:r>
        <w:t>Así mismo, e</w:t>
      </w:r>
      <w:r w:rsidRPr="000521FB">
        <w:t>n abril de 2022, se apr</w:t>
      </w:r>
      <w:r>
        <w:t>obó</w:t>
      </w:r>
      <w:r w:rsidRPr="000521FB">
        <w:t xml:space="preserve"> el Conpes 4080</w:t>
      </w:r>
      <w:r>
        <w:rPr>
          <w:rStyle w:val="Refdenotaalpie"/>
        </w:rPr>
        <w:footnoteReference w:id="162"/>
      </w:r>
      <w:r w:rsidRPr="000521FB">
        <w:t xml:space="preserve"> de la Política Pública de Equidad de Género para las mujeres, cuyo propósito principal es generar las condiciones para </w:t>
      </w:r>
      <w:r w:rsidRPr="000521FB">
        <w:lastRenderedPageBreak/>
        <w:t>que el país avance hacia la equidad de género y a la garantía de los derechos económicos, sociales, culturales, de participación y de salud de las mujeres, así como la posibilidad de vivir una vida libre de violencias de género</w:t>
      </w:r>
      <w:r w:rsidR="00014F56">
        <w:rPr>
          <w:rStyle w:val="Refdenotaalpie"/>
        </w:rPr>
        <w:footnoteReference w:id="163"/>
      </w:r>
      <w:r w:rsidRPr="000521FB">
        <w:t>.</w:t>
      </w:r>
    </w:p>
    <w:p w14:paraId="67AC0622" w14:textId="271A5C44" w:rsidR="00095139" w:rsidRDefault="00095139" w:rsidP="008357BF">
      <w:pPr>
        <w:pStyle w:val="SingleTxtG"/>
        <w:numPr>
          <w:ilvl w:val="0"/>
          <w:numId w:val="27"/>
        </w:numPr>
        <w:ind w:left="1134" w:firstLine="0"/>
        <w:rPr>
          <w:rFonts w:eastAsia="Times New Roman"/>
          <w:bCs/>
          <w:szCs w:val="24"/>
        </w:rPr>
      </w:pPr>
      <w:r w:rsidRPr="000521FB">
        <w:t>La mencionada política está dirigida a las mujeres colombianas de todos los grupos y sectores sociales: jóvenes y adultas, urbanas, rurales, campesinas, con pertenencia étnica, diversidad sexual y las que se encuentran en situación de especial vulnerabilidad, como las mujeres con discapacidad y las victimas de diversas formas de violencias</w:t>
      </w:r>
      <w:r w:rsidR="00014F56">
        <w:rPr>
          <w:rStyle w:val="Refdenotaalpie"/>
        </w:rPr>
        <w:footnoteReference w:id="164"/>
      </w:r>
      <w:r w:rsidRPr="000521FB">
        <w:t>.</w:t>
      </w:r>
    </w:p>
    <w:p w14:paraId="4D742DC1" w14:textId="6664DB06" w:rsidR="00095139" w:rsidRPr="00121CFB" w:rsidRDefault="00095139" w:rsidP="008357BF">
      <w:pPr>
        <w:pStyle w:val="SingleTxtG"/>
        <w:numPr>
          <w:ilvl w:val="0"/>
          <w:numId w:val="27"/>
        </w:numPr>
        <w:ind w:left="1134" w:firstLine="0"/>
        <w:rPr>
          <w:rFonts w:eastAsia="Times New Roman"/>
          <w:bCs/>
          <w:szCs w:val="24"/>
        </w:rPr>
      </w:pPr>
      <w:r>
        <w:rPr>
          <w:rFonts w:eastAsia="Times New Roman"/>
          <w:bCs/>
          <w:szCs w:val="24"/>
        </w:rPr>
        <w:t>En materia de salud sexual, p</w:t>
      </w:r>
      <w:r w:rsidRPr="00121CFB">
        <w:rPr>
          <w:rFonts w:eastAsia="Times New Roman"/>
          <w:bCs/>
          <w:szCs w:val="24"/>
        </w:rPr>
        <w:t>or medio del Convenio de Cooperación entre el Ministerio de Salud y ONU Mujeres</w:t>
      </w:r>
      <w:r>
        <w:rPr>
          <w:rFonts w:eastAsia="Times New Roman"/>
          <w:bCs/>
          <w:szCs w:val="24"/>
        </w:rPr>
        <w:t>,</w:t>
      </w:r>
      <w:r w:rsidRPr="00121CFB">
        <w:rPr>
          <w:rFonts w:eastAsia="Times New Roman"/>
          <w:bCs/>
          <w:szCs w:val="24"/>
        </w:rPr>
        <w:t xml:space="preserve"> durante el año 2019 y 2020, se llevó a cabo </w:t>
      </w:r>
      <w:r>
        <w:rPr>
          <w:rFonts w:eastAsia="Times New Roman"/>
          <w:bCs/>
          <w:szCs w:val="24"/>
        </w:rPr>
        <w:t>en</w:t>
      </w:r>
      <w:r w:rsidRPr="00121CFB">
        <w:rPr>
          <w:rFonts w:eastAsia="Times New Roman"/>
          <w:bCs/>
          <w:szCs w:val="24"/>
        </w:rPr>
        <w:t xml:space="preserve"> Riohacha, Santa Marta, Barranquilla y Maicao, un proceso de fortalecimiento y Desarrollo de capacidades de las entidades que conforman el Mecanismo Articulador para el abordaje integral de las violencias de género</w:t>
      </w:r>
      <w:r>
        <w:rPr>
          <w:rFonts w:eastAsia="Times New Roman"/>
          <w:bCs/>
          <w:szCs w:val="24"/>
        </w:rPr>
        <w:t xml:space="preserve">; igualmente, </w:t>
      </w:r>
      <w:r w:rsidRPr="00121CFB">
        <w:rPr>
          <w:rFonts w:eastAsia="Times New Roman"/>
          <w:bCs/>
          <w:szCs w:val="24"/>
        </w:rPr>
        <w:t>se realizaron dos talleres de sensibilización sobre prestación de servicios de salud y asistencia técnica a la secretaría de salud departamental</w:t>
      </w:r>
      <w:r>
        <w:rPr>
          <w:rFonts w:eastAsia="Times New Roman"/>
          <w:bCs/>
          <w:szCs w:val="24"/>
        </w:rPr>
        <w:t>;</w:t>
      </w:r>
      <w:r w:rsidRPr="00121CFB">
        <w:rPr>
          <w:rFonts w:eastAsia="Times New Roman"/>
          <w:bCs/>
          <w:szCs w:val="24"/>
        </w:rPr>
        <w:t xml:space="preserve"> y se elaboraron infografías sobre el comportamiento de las violencias de género</w:t>
      </w:r>
      <w:r w:rsidR="00014F56" w:rsidRPr="00973F39">
        <w:rPr>
          <w:rFonts w:eastAsia="Times New Roman"/>
          <w:bCs/>
          <w:sz w:val="18"/>
          <w:szCs w:val="18"/>
          <w:vertAlign w:val="superscript"/>
        </w:rPr>
        <w:footnoteReference w:id="165"/>
      </w:r>
      <w:r w:rsidRPr="00121CFB">
        <w:rPr>
          <w:rFonts w:eastAsia="Times New Roman"/>
          <w:bCs/>
          <w:szCs w:val="24"/>
        </w:rPr>
        <w:t>.</w:t>
      </w:r>
    </w:p>
    <w:p w14:paraId="7D0C1210" w14:textId="410B8F53" w:rsidR="00095139" w:rsidRPr="00121CFB" w:rsidRDefault="00095139" w:rsidP="008357BF">
      <w:pPr>
        <w:pStyle w:val="SingleTxtG"/>
        <w:numPr>
          <w:ilvl w:val="0"/>
          <w:numId w:val="27"/>
        </w:numPr>
        <w:ind w:left="1134" w:firstLine="0"/>
        <w:rPr>
          <w:rFonts w:eastAsia="Times New Roman"/>
          <w:bCs/>
          <w:szCs w:val="24"/>
        </w:rPr>
      </w:pPr>
      <w:r>
        <w:rPr>
          <w:rFonts w:eastAsia="Times New Roman"/>
          <w:bCs/>
          <w:szCs w:val="24"/>
        </w:rPr>
        <w:t>La información relacionada con el acceso a la justicia para las mujeres con enfoque étnico se encuentra relacionado en el apartado B “</w:t>
      </w:r>
      <w:r w:rsidRPr="004F0961">
        <w:rPr>
          <w:rFonts w:eastAsia="Times New Roman"/>
          <w:bCs/>
          <w:iCs/>
          <w:szCs w:val="24"/>
        </w:rPr>
        <w:t xml:space="preserve">Acceso a la </w:t>
      </w:r>
      <w:r w:rsidRPr="00014F56">
        <w:t>justicia</w:t>
      </w:r>
      <w:r w:rsidRPr="004F0961">
        <w:rPr>
          <w:rFonts w:eastAsia="Times New Roman"/>
          <w:bCs/>
          <w:iCs/>
          <w:szCs w:val="24"/>
        </w:rPr>
        <w:t>: Implementación del artículo 6 de la Convención</w:t>
      </w:r>
      <w:r>
        <w:rPr>
          <w:rFonts w:eastAsia="Times New Roman"/>
          <w:bCs/>
          <w:szCs w:val="24"/>
        </w:rPr>
        <w:t>”, título 2.</w:t>
      </w:r>
    </w:p>
    <w:p w14:paraId="531DDE8E" w14:textId="2D639EC1" w:rsidR="00095139" w:rsidRPr="00855E3A" w:rsidRDefault="00C307AF" w:rsidP="00C307AF">
      <w:pPr>
        <w:pStyle w:val="H23G"/>
      </w:pPr>
      <w:r>
        <w:tab/>
        <w:t>8.</w:t>
      </w:r>
      <w:r>
        <w:tab/>
      </w:r>
      <w:r w:rsidR="00095139" w:rsidRPr="00855E3A">
        <w:t>Migrantes venezolanos (recomendación párr. 27 CERD/C/COL/CO/17-19)</w:t>
      </w:r>
    </w:p>
    <w:p w14:paraId="3BEFD969" w14:textId="57F1F512" w:rsidR="00095139" w:rsidRPr="00121CFB" w:rsidRDefault="00095139" w:rsidP="008357BF">
      <w:pPr>
        <w:pStyle w:val="SingleTxtG"/>
        <w:numPr>
          <w:ilvl w:val="0"/>
          <w:numId w:val="27"/>
        </w:numPr>
        <w:ind w:left="1134" w:firstLine="0"/>
        <w:rPr>
          <w:rFonts w:eastAsia="Times New Roman"/>
          <w:bCs/>
          <w:szCs w:val="24"/>
        </w:rPr>
      </w:pPr>
      <w:r>
        <w:rPr>
          <w:rFonts w:eastAsia="Times New Roman"/>
          <w:bCs/>
          <w:szCs w:val="24"/>
        </w:rPr>
        <w:t>Respecto a la situación migratoria de nacionales venezolanos, a</w:t>
      </w:r>
      <w:r w:rsidRPr="00121CFB">
        <w:rPr>
          <w:rFonts w:eastAsia="Times New Roman"/>
          <w:bCs/>
          <w:szCs w:val="24"/>
        </w:rPr>
        <w:t xml:space="preserve"> corte de agosto de 2021, Migración Colombia estima que hay 1.842.390 migrantes venezolanos en el país</w:t>
      </w:r>
      <w:r>
        <w:rPr>
          <w:rStyle w:val="Refdenotaalpie"/>
          <w:rFonts w:eastAsia="Times New Roman"/>
          <w:bCs/>
          <w:szCs w:val="24"/>
        </w:rPr>
        <w:footnoteReference w:id="166"/>
      </w:r>
      <w:r w:rsidRPr="00121CFB">
        <w:rPr>
          <w:rFonts w:eastAsia="Times New Roman"/>
          <w:bCs/>
          <w:szCs w:val="24"/>
        </w:rPr>
        <w:t xml:space="preserve">, 344.688 con estatus migratorio regular, 1.182.059 en proceso de regularización a través del </w:t>
      </w:r>
      <w:r w:rsidRPr="006D49C3">
        <w:t>Estatuto</w:t>
      </w:r>
      <w:r w:rsidRPr="00121CFB">
        <w:rPr>
          <w:rFonts w:eastAsia="Times New Roman"/>
          <w:bCs/>
          <w:szCs w:val="24"/>
        </w:rPr>
        <w:t xml:space="preserve"> Temporal para migrantes venezolanos y 315.643 con estatus irregular, debido a que excedieron el tiempo de permanencia permitido o cruzaron por un paso irregular</w:t>
      </w:r>
      <w:r w:rsidR="00014F56" w:rsidRPr="00973F39">
        <w:rPr>
          <w:rFonts w:eastAsia="Times New Roman"/>
          <w:bCs/>
          <w:sz w:val="18"/>
          <w:szCs w:val="18"/>
          <w:vertAlign w:val="superscript"/>
        </w:rPr>
        <w:footnoteReference w:id="167"/>
      </w:r>
      <w:r w:rsidRPr="00121CFB">
        <w:rPr>
          <w:rFonts w:eastAsia="Times New Roman"/>
          <w:bCs/>
          <w:szCs w:val="24"/>
        </w:rPr>
        <w:t>.</w:t>
      </w:r>
    </w:p>
    <w:p w14:paraId="7B74533A" w14:textId="6833793F" w:rsidR="00095139" w:rsidRPr="00121CFB" w:rsidRDefault="00095139" w:rsidP="008357BF">
      <w:pPr>
        <w:pStyle w:val="SingleTxtG"/>
        <w:numPr>
          <w:ilvl w:val="0"/>
          <w:numId w:val="27"/>
        </w:numPr>
        <w:ind w:left="1134" w:firstLine="0"/>
        <w:rPr>
          <w:rFonts w:eastAsia="Times New Roman"/>
          <w:bCs/>
          <w:szCs w:val="24"/>
        </w:rPr>
      </w:pPr>
      <w:r>
        <w:rPr>
          <w:rFonts w:eastAsia="Times New Roman"/>
          <w:bCs/>
          <w:szCs w:val="24"/>
        </w:rPr>
        <w:t>E</w:t>
      </w:r>
      <w:r w:rsidRPr="00121CFB">
        <w:rPr>
          <w:rFonts w:eastAsia="Times New Roman"/>
          <w:bCs/>
          <w:szCs w:val="24"/>
        </w:rPr>
        <w:t xml:space="preserve">l </w:t>
      </w:r>
      <w:r>
        <w:rPr>
          <w:rFonts w:eastAsia="Times New Roman"/>
          <w:bCs/>
          <w:szCs w:val="24"/>
        </w:rPr>
        <w:t>Estado</w:t>
      </w:r>
      <w:r w:rsidRPr="00121CFB">
        <w:rPr>
          <w:rFonts w:eastAsia="Times New Roman"/>
          <w:bCs/>
          <w:szCs w:val="24"/>
        </w:rPr>
        <w:t xml:space="preserve"> ha liderado una estrategia integral para acoger e integrar a la población migrante proveniente de Venezuela, la cual se ha venido implementando como una política de Estado coherente y consistente, desde hace más de dos años</w:t>
      </w:r>
      <w:r w:rsidR="00014F56" w:rsidRPr="00973F39">
        <w:rPr>
          <w:rFonts w:eastAsia="Times New Roman"/>
          <w:bCs/>
          <w:sz w:val="18"/>
          <w:szCs w:val="18"/>
          <w:vertAlign w:val="superscript"/>
        </w:rPr>
        <w:footnoteReference w:id="168"/>
      </w:r>
      <w:r w:rsidRPr="00121CFB">
        <w:rPr>
          <w:rFonts w:eastAsia="Times New Roman"/>
          <w:bCs/>
          <w:szCs w:val="24"/>
        </w:rPr>
        <w:t>.</w:t>
      </w:r>
    </w:p>
    <w:p w14:paraId="38A9E037" w14:textId="65E6EA5E" w:rsidR="00095139" w:rsidRPr="00121CFB" w:rsidRDefault="00095139" w:rsidP="008357BF">
      <w:pPr>
        <w:pStyle w:val="SingleTxtG"/>
        <w:numPr>
          <w:ilvl w:val="0"/>
          <w:numId w:val="27"/>
        </w:numPr>
        <w:ind w:left="1134" w:firstLine="0"/>
        <w:rPr>
          <w:rFonts w:eastAsia="Times New Roman"/>
          <w:bCs/>
          <w:szCs w:val="24"/>
        </w:rPr>
      </w:pPr>
      <w:r w:rsidRPr="00121CFB">
        <w:rPr>
          <w:rFonts w:eastAsia="Times New Roman"/>
          <w:bCs/>
          <w:szCs w:val="24"/>
        </w:rPr>
        <w:t>El Estatuto Temporal de Protección (ETP) para migrantes venezolanos, adoptado mediante el Decreto 216</w:t>
      </w:r>
      <w:r>
        <w:rPr>
          <w:rFonts w:eastAsia="Times New Roman"/>
          <w:bCs/>
          <w:szCs w:val="24"/>
        </w:rPr>
        <w:t xml:space="preserve"> de 2021</w:t>
      </w:r>
      <w:r w:rsidRPr="00121CFB">
        <w:rPr>
          <w:rFonts w:eastAsia="Times New Roman"/>
          <w:bCs/>
          <w:szCs w:val="24"/>
        </w:rPr>
        <w:t>, es una herramienta jurídica práctica y complementaria al régimen de protección internacional de refugiados, que permite proteger los derechos fundamentales de los migrantes, ofreciendo resguardo a las personas que huyen de su país de origen por causa de la crisis. El Estatuto Temporal de Protección para Migrantes Venezolanos Bajo Régimen de Protección Temporal, está compuesto por</w:t>
      </w:r>
      <w:r w:rsidR="00014F56" w:rsidRPr="00973F39">
        <w:rPr>
          <w:rFonts w:eastAsia="Times New Roman"/>
          <w:bCs/>
          <w:sz w:val="18"/>
          <w:szCs w:val="18"/>
          <w:vertAlign w:val="superscript"/>
        </w:rPr>
        <w:footnoteReference w:id="169"/>
      </w:r>
      <w:r w:rsidRPr="00121CFB">
        <w:rPr>
          <w:rFonts w:eastAsia="Times New Roman"/>
          <w:bCs/>
          <w:szCs w:val="24"/>
        </w:rPr>
        <w:t>:</w:t>
      </w:r>
    </w:p>
    <w:p w14:paraId="680B7977" w14:textId="5B4FF1F7" w:rsidR="00095139" w:rsidRPr="00747553" w:rsidRDefault="00C307AF" w:rsidP="00C307AF">
      <w:pPr>
        <w:pStyle w:val="H4G"/>
      </w:pPr>
      <w:r>
        <w:tab/>
        <w:t>i)</w:t>
      </w:r>
      <w:r>
        <w:tab/>
      </w:r>
      <w:r w:rsidR="00095139" w:rsidRPr="00747553">
        <w:t xml:space="preserve">Registro Único de Migrantes Venezolanos (RUMV) </w:t>
      </w:r>
    </w:p>
    <w:p w14:paraId="1B3FC21E" w14:textId="5C945DBD" w:rsidR="00095139" w:rsidRPr="00121CFB" w:rsidRDefault="00095139" w:rsidP="008357BF">
      <w:pPr>
        <w:pStyle w:val="SingleTxtG"/>
        <w:numPr>
          <w:ilvl w:val="0"/>
          <w:numId w:val="27"/>
        </w:numPr>
        <w:ind w:left="1134" w:firstLine="0"/>
        <w:rPr>
          <w:rFonts w:eastAsia="Times New Roman"/>
          <w:bCs/>
          <w:szCs w:val="24"/>
        </w:rPr>
      </w:pPr>
      <w:r>
        <w:rPr>
          <w:rFonts w:eastAsia="Times New Roman"/>
          <w:bCs/>
          <w:szCs w:val="24"/>
        </w:rPr>
        <w:t>E</w:t>
      </w:r>
      <w:r w:rsidRPr="00121CFB">
        <w:rPr>
          <w:rFonts w:eastAsia="Times New Roman"/>
          <w:bCs/>
          <w:szCs w:val="24"/>
        </w:rPr>
        <w:t xml:space="preserve">stá a cargo de Migración Colombia, es obligatorio y gratuito para todos los migrantes venezolanos cobijados por el Decreto 216 de 2021 y se </w:t>
      </w:r>
      <w:r>
        <w:rPr>
          <w:rFonts w:eastAsia="Times New Roman"/>
          <w:bCs/>
          <w:szCs w:val="24"/>
        </w:rPr>
        <w:t>realiza</w:t>
      </w:r>
      <w:r w:rsidRPr="00121CFB">
        <w:rPr>
          <w:rFonts w:eastAsia="Times New Roman"/>
          <w:bCs/>
          <w:szCs w:val="24"/>
        </w:rPr>
        <w:t xml:space="preserve"> en tres actividades: El Pre- Registro Virtual a través de dispositivos móviles, el diligenciamiento de la </w:t>
      </w:r>
      <w:r w:rsidRPr="006D49C3">
        <w:t>encuesta</w:t>
      </w:r>
      <w:r w:rsidRPr="00121CFB">
        <w:rPr>
          <w:rFonts w:eastAsia="Times New Roman"/>
          <w:bCs/>
          <w:szCs w:val="24"/>
        </w:rPr>
        <w:t xml:space="preserve"> de caracterización socioeconómica y el Registro Biométrico Presencial. Contiene datos biométricos y biográficos para identificación y caracterización, puntualizando que la información recaudada, no podrá utilizarse con fines sancionatorios</w:t>
      </w:r>
      <w:r w:rsidR="00014F56" w:rsidRPr="00973F39">
        <w:rPr>
          <w:rFonts w:eastAsia="Times New Roman"/>
          <w:bCs/>
          <w:sz w:val="18"/>
          <w:szCs w:val="18"/>
          <w:vertAlign w:val="superscript"/>
        </w:rPr>
        <w:footnoteReference w:id="170"/>
      </w:r>
      <w:r w:rsidRPr="00121CFB">
        <w:rPr>
          <w:rFonts w:eastAsia="Times New Roman"/>
          <w:bCs/>
          <w:szCs w:val="24"/>
        </w:rPr>
        <w:t>.</w:t>
      </w:r>
    </w:p>
    <w:p w14:paraId="7806C459" w14:textId="1C9E337C" w:rsidR="00095139" w:rsidRPr="00121CFB" w:rsidRDefault="00095139" w:rsidP="008357BF">
      <w:pPr>
        <w:pStyle w:val="SingleTxtG"/>
        <w:numPr>
          <w:ilvl w:val="0"/>
          <w:numId w:val="27"/>
        </w:numPr>
        <w:ind w:left="1134" w:firstLine="0"/>
        <w:rPr>
          <w:rFonts w:eastAsia="Times New Roman"/>
          <w:bCs/>
          <w:szCs w:val="24"/>
        </w:rPr>
      </w:pPr>
      <w:r w:rsidRPr="00121CFB">
        <w:rPr>
          <w:rFonts w:eastAsia="Times New Roman"/>
          <w:bCs/>
          <w:szCs w:val="24"/>
        </w:rPr>
        <w:t xml:space="preserve">Para que el migrante venezolano pueda </w:t>
      </w:r>
      <w:r w:rsidRPr="006D49C3">
        <w:t>inscribirse</w:t>
      </w:r>
      <w:r w:rsidRPr="00121CFB">
        <w:rPr>
          <w:rFonts w:eastAsia="Times New Roman"/>
          <w:bCs/>
          <w:szCs w:val="24"/>
        </w:rPr>
        <w:t xml:space="preserve"> en el Registro Único de Migrantes Venezolanos debe cumplir los siguientes requisitos: encontrarse en el territorio colombiano, los irregulares deben aportar prueba sumaria e idónea de su fecha de ingreso antes del 31 de </w:t>
      </w:r>
      <w:r w:rsidRPr="00121CFB">
        <w:rPr>
          <w:rFonts w:eastAsia="Times New Roman"/>
          <w:bCs/>
          <w:szCs w:val="24"/>
        </w:rPr>
        <w:lastRenderedPageBreak/>
        <w:t>enero de 2021, presentar un documento de identificación, su declaración expresa de su intención de permanecer en Colombia y autorizar la recolección de sus datos biográficos, demográficos y biométricos, por último debe actualizar su información</w:t>
      </w:r>
      <w:r w:rsidR="00014F56" w:rsidRPr="00973F39">
        <w:rPr>
          <w:rFonts w:eastAsia="Times New Roman"/>
          <w:bCs/>
          <w:sz w:val="18"/>
          <w:szCs w:val="18"/>
          <w:vertAlign w:val="superscript"/>
        </w:rPr>
        <w:footnoteReference w:id="171"/>
      </w:r>
      <w:r w:rsidRPr="00121CFB">
        <w:rPr>
          <w:rFonts w:eastAsia="Times New Roman"/>
          <w:bCs/>
          <w:szCs w:val="24"/>
        </w:rPr>
        <w:t>.</w:t>
      </w:r>
    </w:p>
    <w:p w14:paraId="36A7872A" w14:textId="633C02CD" w:rsidR="00095139" w:rsidRPr="00747553" w:rsidRDefault="00014F56" w:rsidP="00C307AF">
      <w:pPr>
        <w:pStyle w:val="H4G"/>
      </w:pPr>
      <w:r>
        <w:tab/>
      </w:r>
      <w:r w:rsidR="00C307AF">
        <w:t>ii)</w:t>
      </w:r>
      <w:r w:rsidR="00C307AF">
        <w:tab/>
      </w:r>
      <w:r w:rsidR="00095139" w:rsidRPr="00747553">
        <w:t xml:space="preserve">Permiso por Protección Temporal (PPT), </w:t>
      </w:r>
    </w:p>
    <w:p w14:paraId="53F92169" w14:textId="115D5687" w:rsidR="00095139" w:rsidRPr="00121CFB" w:rsidRDefault="00095139" w:rsidP="008357BF">
      <w:pPr>
        <w:pStyle w:val="SingleTxtG"/>
        <w:numPr>
          <w:ilvl w:val="0"/>
          <w:numId w:val="27"/>
        </w:numPr>
        <w:ind w:left="1134" w:firstLine="0"/>
        <w:rPr>
          <w:rFonts w:eastAsia="Times New Roman"/>
          <w:bCs/>
          <w:szCs w:val="24"/>
        </w:rPr>
      </w:pPr>
      <w:r>
        <w:rPr>
          <w:rFonts w:eastAsia="Times New Roman"/>
          <w:bCs/>
          <w:szCs w:val="24"/>
        </w:rPr>
        <w:t>Es</w:t>
      </w:r>
      <w:r w:rsidRPr="00121CFB">
        <w:rPr>
          <w:rFonts w:eastAsia="Times New Roman"/>
          <w:bCs/>
          <w:szCs w:val="24"/>
        </w:rPr>
        <w:t xml:space="preserve"> un mecanismo de regularización y documento de identificación con características técnicas de seguridad, que permite la permanencia en Colombia en condiciones de regularidad migratorias especiales y desempeñar cualquier actividad lícita. Asimismo, </w:t>
      </w:r>
      <w:r w:rsidRPr="006D49C3">
        <w:t>permite</w:t>
      </w:r>
      <w:r w:rsidRPr="00121CFB">
        <w:rPr>
          <w:rFonts w:eastAsia="Times New Roman"/>
          <w:bCs/>
          <w:szCs w:val="24"/>
        </w:rPr>
        <w:t xml:space="preserve"> conmutar tiempo de permanencia para aplicar a una visa tipo R (Residente), lo que constituye un avance significativo frente al Permiso Especial de Permanencia (PEP), que no permitía esta acreditación</w:t>
      </w:r>
      <w:r w:rsidR="00014F56" w:rsidRPr="00973F39">
        <w:rPr>
          <w:rFonts w:eastAsia="Times New Roman"/>
          <w:bCs/>
          <w:sz w:val="18"/>
          <w:szCs w:val="18"/>
          <w:vertAlign w:val="superscript"/>
        </w:rPr>
        <w:footnoteReference w:id="172"/>
      </w:r>
      <w:r w:rsidRPr="00121CFB">
        <w:rPr>
          <w:rFonts w:eastAsia="Times New Roman"/>
          <w:bCs/>
          <w:szCs w:val="24"/>
        </w:rPr>
        <w:t>.</w:t>
      </w:r>
    </w:p>
    <w:p w14:paraId="17839A1B" w14:textId="1119687E" w:rsidR="00095139" w:rsidRPr="00121CFB" w:rsidRDefault="00095139" w:rsidP="008357BF">
      <w:pPr>
        <w:pStyle w:val="SingleTxtG"/>
        <w:numPr>
          <w:ilvl w:val="0"/>
          <w:numId w:val="27"/>
        </w:numPr>
        <w:ind w:left="1134" w:firstLine="0"/>
        <w:rPr>
          <w:rFonts w:eastAsia="Times New Roman"/>
          <w:bCs/>
          <w:szCs w:val="24"/>
        </w:rPr>
      </w:pPr>
      <w:r w:rsidRPr="00121CFB">
        <w:rPr>
          <w:rFonts w:eastAsia="Times New Roman"/>
          <w:bCs/>
          <w:szCs w:val="24"/>
        </w:rPr>
        <w:t xml:space="preserve">En virtud del Decreto 216 de 2021, los titulares del PEP también podrán acreditar con este documento su permanencia en el territorio </w:t>
      </w:r>
      <w:r w:rsidRPr="006D49C3">
        <w:t>colombiano</w:t>
      </w:r>
      <w:r w:rsidRPr="00121CFB">
        <w:rPr>
          <w:rFonts w:eastAsia="Times New Roman"/>
          <w:bCs/>
          <w:szCs w:val="24"/>
        </w:rPr>
        <w:t xml:space="preserve"> para los efectos de acumulación del tiempo requerido para aplicar a una visa tipo R, ante el Ministerio de Relaciones Exteriores</w:t>
      </w:r>
      <w:r w:rsidR="00014F56" w:rsidRPr="00973F39">
        <w:rPr>
          <w:rFonts w:eastAsia="Times New Roman"/>
          <w:bCs/>
          <w:sz w:val="18"/>
          <w:szCs w:val="18"/>
          <w:vertAlign w:val="superscript"/>
        </w:rPr>
        <w:footnoteReference w:id="173"/>
      </w:r>
      <w:r w:rsidRPr="00121CFB">
        <w:rPr>
          <w:rFonts w:eastAsia="Times New Roman"/>
          <w:bCs/>
          <w:szCs w:val="24"/>
        </w:rPr>
        <w:t>.</w:t>
      </w:r>
    </w:p>
    <w:p w14:paraId="2EBBB2EF" w14:textId="7E599B1E" w:rsidR="00095139" w:rsidRPr="00121CFB" w:rsidRDefault="00095139" w:rsidP="008357BF">
      <w:pPr>
        <w:pStyle w:val="SingleTxtG"/>
        <w:numPr>
          <w:ilvl w:val="0"/>
          <w:numId w:val="27"/>
        </w:numPr>
        <w:ind w:left="1134" w:firstLine="0"/>
        <w:rPr>
          <w:rFonts w:eastAsia="Times New Roman"/>
          <w:bCs/>
          <w:szCs w:val="24"/>
        </w:rPr>
      </w:pPr>
      <w:r w:rsidRPr="00121CFB">
        <w:rPr>
          <w:rFonts w:eastAsia="Times New Roman"/>
          <w:bCs/>
          <w:szCs w:val="24"/>
        </w:rPr>
        <w:t xml:space="preserve">El Estatuto aplica a los </w:t>
      </w:r>
      <w:r w:rsidRPr="006D49C3">
        <w:t>migrantes</w:t>
      </w:r>
      <w:r w:rsidRPr="00121CFB">
        <w:rPr>
          <w:rFonts w:eastAsia="Times New Roman"/>
          <w:bCs/>
          <w:szCs w:val="24"/>
        </w:rPr>
        <w:t xml:space="preserve"> venezolanos que sean Titulares de Permiso de Ingreso y Permanencia (PIP) o su prórroga (PTP) y Permiso Especial de Permanencia Vigente (PEP), Titulares de Salvoconducto SC-2, solicitantes de reconocimiento de la condición de refugiado, Irregulares que se encuentren en Colombia a 31 de enero de 2021 y Regulares que ingresen por Puesto de Control Migratorio dentro de los dos años posteriores a la entrada en vigencia</w:t>
      </w:r>
      <w:r>
        <w:rPr>
          <w:rFonts w:eastAsia="Times New Roman"/>
          <w:bCs/>
          <w:szCs w:val="24"/>
        </w:rPr>
        <w:t xml:space="preserve"> del Decreto</w:t>
      </w:r>
      <w:r w:rsidRPr="00121CFB">
        <w:rPr>
          <w:rFonts w:eastAsia="Times New Roman"/>
          <w:bCs/>
          <w:szCs w:val="24"/>
        </w:rPr>
        <w:t>, es decir, a partir del 29 de mayo de 2021</w:t>
      </w:r>
      <w:r w:rsidR="00014F56" w:rsidRPr="00973F39">
        <w:rPr>
          <w:rFonts w:eastAsia="Times New Roman"/>
          <w:bCs/>
          <w:sz w:val="18"/>
          <w:szCs w:val="18"/>
          <w:vertAlign w:val="superscript"/>
        </w:rPr>
        <w:footnoteReference w:id="174"/>
      </w:r>
      <w:r w:rsidRPr="00121CFB">
        <w:rPr>
          <w:rFonts w:eastAsia="Times New Roman"/>
          <w:bCs/>
          <w:szCs w:val="24"/>
        </w:rPr>
        <w:t>.</w:t>
      </w:r>
    </w:p>
    <w:p w14:paraId="71CC4C58" w14:textId="4FC04735" w:rsidR="00095139" w:rsidRPr="00121CFB" w:rsidRDefault="00095139" w:rsidP="008357BF">
      <w:pPr>
        <w:pStyle w:val="SingleTxtG"/>
        <w:numPr>
          <w:ilvl w:val="0"/>
          <w:numId w:val="27"/>
        </w:numPr>
        <w:ind w:left="1134" w:firstLine="0"/>
        <w:rPr>
          <w:rFonts w:eastAsia="Times New Roman"/>
          <w:bCs/>
          <w:szCs w:val="24"/>
        </w:rPr>
      </w:pPr>
      <w:r>
        <w:rPr>
          <w:rFonts w:eastAsia="Times New Roman"/>
          <w:szCs w:val="24"/>
        </w:rPr>
        <w:t xml:space="preserve">Por otra parte, teniendo en cuenta las necesidades </w:t>
      </w:r>
      <w:r w:rsidRPr="00121CFB">
        <w:rPr>
          <w:rFonts w:eastAsia="Times New Roman"/>
          <w:bCs/>
          <w:szCs w:val="24"/>
        </w:rPr>
        <w:t>en razón al género, edad</w:t>
      </w:r>
      <w:r>
        <w:rPr>
          <w:rFonts w:eastAsia="Times New Roman"/>
          <w:bCs/>
          <w:szCs w:val="24"/>
        </w:rPr>
        <w:t>,</w:t>
      </w:r>
      <w:r w:rsidRPr="00121CFB">
        <w:rPr>
          <w:rFonts w:eastAsia="Times New Roman"/>
          <w:bCs/>
          <w:szCs w:val="24"/>
        </w:rPr>
        <w:t xml:space="preserve"> discapacidad</w:t>
      </w:r>
      <w:r>
        <w:rPr>
          <w:rFonts w:eastAsia="Times New Roman"/>
          <w:bCs/>
          <w:szCs w:val="24"/>
        </w:rPr>
        <w:t xml:space="preserve">, entre otros, </w:t>
      </w:r>
      <w:r w:rsidRPr="00121CFB">
        <w:rPr>
          <w:rFonts w:eastAsia="Times New Roman"/>
          <w:bCs/>
          <w:szCs w:val="24"/>
        </w:rPr>
        <w:t xml:space="preserve">el Estatuto Temporal de Protección </w:t>
      </w:r>
      <w:r>
        <w:rPr>
          <w:rFonts w:eastAsia="Times New Roman"/>
          <w:bCs/>
          <w:szCs w:val="24"/>
        </w:rPr>
        <w:t>busca</w:t>
      </w:r>
      <w:r w:rsidRPr="00121CFB">
        <w:rPr>
          <w:rFonts w:eastAsia="Times New Roman"/>
          <w:bCs/>
          <w:szCs w:val="24"/>
        </w:rPr>
        <w:t xml:space="preserve"> cobijar a las personas más vulnerables que requieren de documentación y regularización migratoria.</w:t>
      </w:r>
      <w:r>
        <w:rPr>
          <w:rFonts w:eastAsia="Times New Roman"/>
          <w:bCs/>
          <w:szCs w:val="24"/>
        </w:rPr>
        <w:t xml:space="preserve"> </w:t>
      </w:r>
      <w:r w:rsidRPr="00121CFB">
        <w:rPr>
          <w:rFonts w:eastAsia="Times New Roman"/>
          <w:bCs/>
          <w:szCs w:val="24"/>
        </w:rPr>
        <w:t xml:space="preserve">De esta manera, el </w:t>
      </w:r>
      <w:r w:rsidRPr="006D49C3">
        <w:t>ejercicio</w:t>
      </w:r>
      <w:r w:rsidRPr="00121CFB">
        <w:rPr>
          <w:rFonts w:eastAsia="Times New Roman"/>
          <w:bCs/>
          <w:szCs w:val="24"/>
        </w:rPr>
        <w:t xml:space="preserve"> de la facultad discrecional se ejercerá en el marco de los principios constitucionales de igualdad y no discriminación, atendiendo las necesidades especiales de los grupos en situación de vulnerabilidad manifiesta, como la población indígena, LGBTI</w:t>
      </w:r>
      <w:r>
        <w:rPr>
          <w:rFonts w:eastAsia="Times New Roman"/>
          <w:bCs/>
          <w:szCs w:val="24"/>
        </w:rPr>
        <w:t>Q</w:t>
      </w:r>
      <w:r w:rsidRPr="00121CFB">
        <w:rPr>
          <w:rFonts w:eastAsia="Times New Roman"/>
          <w:bCs/>
          <w:szCs w:val="24"/>
        </w:rPr>
        <w:t xml:space="preserve">+, </w:t>
      </w:r>
      <w:r>
        <w:rPr>
          <w:rFonts w:eastAsia="Times New Roman"/>
          <w:bCs/>
          <w:szCs w:val="24"/>
        </w:rPr>
        <w:t>NNA</w:t>
      </w:r>
      <w:r w:rsidRPr="00121CFB">
        <w:rPr>
          <w:rFonts w:eastAsia="Times New Roman"/>
          <w:bCs/>
          <w:szCs w:val="24"/>
        </w:rPr>
        <w:t>, personas en situación de discapacidad y en general, aquellos individuos que requieran especial trato</w:t>
      </w:r>
      <w:r w:rsidR="00014F56" w:rsidRPr="00973F39">
        <w:rPr>
          <w:rFonts w:eastAsia="Times New Roman"/>
          <w:bCs/>
          <w:sz w:val="18"/>
          <w:szCs w:val="18"/>
          <w:vertAlign w:val="superscript"/>
        </w:rPr>
        <w:footnoteReference w:id="175"/>
      </w:r>
      <w:r w:rsidRPr="00121CFB">
        <w:rPr>
          <w:rFonts w:eastAsia="Times New Roman"/>
          <w:bCs/>
          <w:szCs w:val="24"/>
        </w:rPr>
        <w:t>.</w:t>
      </w:r>
    </w:p>
    <w:p w14:paraId="4599BDC9" w14:textId="1B717735" w:rsidR="00095139" w:rsidRPr="00121CFB" w:rsidRDefault="00095139" w:rsidP="008357BF">
      <w:pPr>
        <w:pStyle w:val="SingleTxtG"/>
        <w:numPr>
          <w:ilvl w:val="0"/>
          <w:numId w:val="27"/>
        </w:numPr>
        <w:ind w:left="1134" w:firstLine="0"/>
        <w:rPr>
          <w:rFonts w:eastAsia="Times New Roman"/>
          <w:bCs/>
          <w:szCs w:val="24"/>
        </w:rPr>
      </w:pPr>
      <w:r w:rsidRPr="00121CFB">
        <w:rPr>
          <w:rFonts w:eastAsia="Times New Roman"/>
          <w:bCs/>
          <w:szCs w:val="24"/>
        </w:rPr>
        <w:t xml:space="preserve">Respecto a los </w:t>
      </w:r>
      <w:r>
        <w:rPr>
          <w:rFonts w:eastAsia="Times New Roman"/>
          <w:bCs/>
          <w:szCs w:val="24"/>
        </w:rPr>
        <w:t>NNA</w:t>
      </w:r>
      <w:r w:rsidRPr="00121CFB">
        <w:rPr>
          <w:rFonts w:eastAsia="Times New Roman"/>
          <w:bCs/>
          <w:szCs w:val="24"/>
        </w:rPr>
        <w:t>, se contempla</w:t>
      </w:r>
      <w:r>
        <w:rPr>
          <w:rFonts w:eastAsia="Times New Roman"/>
          <w:bCs/>
          <w:szCs w:val="24"/>
        </w:rPr>
        <w:t>n</w:t>
      </w:r>
      <w:r w:rsidRPr="00121CFB">
        <w:rPr>
          <w:rFonts w:eastAsia="Times New Roman"/>
          <w:bCs/>
          <w:szCs w:val="24"/>
        </w:rPr>
        <w:t xml:space="preserve"> aquellas situaciones en que los menores de edad </w:t>
      </w:r>
      <w:r>
        <w:rPr>
          <w:rFonts w:eastAsia="Times New Roman"/>
          <w:bCs/>
          <w:szCs w:val="24"/>
        </w:rPr>
        <w:t xml:space="preserve">que </w:t>
      </w:r>
      <w:r w:rsidRPr="00121CFB">
        <w:rPr>
          <w:rFonts w:eastAsia="Times New Roman"/>
          <w:bCs/>
          <w:szCs w:val="24"/>
        </w:rPr>
        <w:t>se encuentr</w:t>
      </w:r>
      <w:r>
        <w:rPr>
          <w:rFonts w:eastAsia="Times New Roman"/>
          <w:bCs/>
          <w:szCs w:val="24"/>
        </w:rPr>
        <w:t>e</w:t>
      </w:r>
      <w:r w:rsidRPr="00121CFB">
        <w:rPr>
          <w:rFonts w:eastAsia="Times New Roman"/>
          <w:bCs/>
          <w:szCs w:val="24"/>
        </w:rPr>
        <w:t>n separados</w:t>
      </w:r>
      <w:r>
        <w:rPr>
          <w:rFonts w:eastAsia="Times New Roman"/>
          <w:bCs/>
          <w:szCs w:val="24"/>
        </w:rPr>
        <w:t xml:space="preserve"> de </w:t>
      </w:r>
      <w:r w:rsidRPr="00121CFB">
        <w:rPr>
          <w:rFonts w:eastAsia="Times New Roman"/>
          <w:bCs/>
          <w:szCs w:val="24"/>
        </w:rPr>
        <w:t xml:space="preserve">sus representantes legales puedan acceder al Registro Único de Migrantes y </w:t>
      </w:r>
      <w:r>
        <w:rPr>
          <w:rFonts w:eastAsia="Times New Roman"/>
          <w:bCs/>
          <w:szCs w:val="24"/>
        </w:rPr>
        <w:t>al</w:t>
      </w:r>
      <w:r w:rsidRPr="00121CFB">
        <w:rPr>
          <w:rFonts w:eastAsia="Times New Roman"/>
          <w:bCs/>
          <w:szCs w:val="24"/>
        </w:rPr>
        <w:t xml:space="preserve"> Permiso por Protección Temporal (PPT)</w:t>
      </w:r>
      <w:r w:rsidR="00014F56" w:rsidRPr="00014F56">
        <w:rPr>
          <w:rFonts w:eastAsia="Times New Roman"/>
          <w:bCs/>
          <w:sz w:val="18"/>
          <w:szCs w:val="18"/>
          <w:vertAlign w:val="superscript"/>
        </w:rPr>
        <w:t xml:space="preserve"> </w:t>
      </w:r>
      <w:r w:rsidR="00014F56" w:rsidRPr="00973F39">
        <w:rPr>
          <w:rFonts w:eastAsia="Times New Roman"/>
          <w:bCs/>
          <w:sz w:val="18"/>
          <w:szCs w:val="18"/>
          <w:vertAlign w:val="superscript"/>
        </w:rPr>
        <w:footnoteReference w:id="176"/>
      </w:r>
      <w:r w:rsidRPr="00121CFB">
        <w:rPr>
          <w:rFonts w:eastAsia="Times New Roman"/>
          <w:bCs/>
          <w:szCs w:val="24"/>
        </w:rPr>
        <w:t>.</w:t>
      </w:r>
    </w:p>
    <w:p w14:paraId="36129E90" w14:textId="09E27E31" w:rsidR="00095139" w:rsidRPr="00121CFB" w:rsidRDefault="00095139" w:rsidP="008357BF">
      <w:pPr>
        <w:pStyle w:val="SingleTxtG"/>
        <w:numPr>
          <w:ilvl w:val="0"/>
          <w:numId w:val="27"/>
        </w:numPr>
        <w:ind w:left="1134" w:firstLine="0"/>
        <w:rPr>
          <w:rFonts w:eastAsia="Times New Roman"/>
          <w:bCs/>
          <w:szCs w:val="24"/>
        </w:rPr>
      </w:pPr>
      <w:r w:rsidRPr="00121CFB">
        <w:rPr>
          <w:rFonts w:eastAsia="Times New Roman"/>
          <w:bCs/>
          <w:szCs w:val="24"/>
        </w:rPr>
        <w:t xml:space="preserve">Por otra parte, considerando las brechas en el acceso a servicios de salud derivadas de la situación migratoria irregular, en los procesos de </w:t>
      </w:r>
      <w:r w:rsidRPr="006D49C3">
        <w:t>registro</w:t>
      </w:r>
      <w:r w:rsidRPr="00121CFB">
        <w:rPr>
          <w:rFonts w:eastAsia="Times New Roman"/>
          <w:bCs/>
          <w:szCs w:val="24"/>
        </w:rPr>
        <w:t xml:space="preserve"> y expedición de los permisos por protección temporal (PPT) se priorizará a personas con necesidades especiales de protección, entre ellas mujeres gestantes y lactantes. Se espera así, que estas mujeres puedan acceder de forma prioritaria a los mecanismos del Estatuto Temporal de Protección, para que a la vez puedan hacer parte del </w:t>
      </w:r>
      <w:r>
        <w:rPr>
          <w:rFonts w:eastAsia="Times New Roman"/>
          <w:bCs/>
          <w:szCs w:val="24"/>
        </w:rPr>
        <w:t>SGSSS</w:t>
      </w:r>
      <w:r w:rsidRPr="00121CFB">
        <w:rPr>
          <w:rFonts w:eastAsia="Times New Roman"/>
          <w:bCs/>
          <w:szCs w:val="24"/>
        </w:rPr>
        <w:t>, y contar con controles prenatales y los servicios médicos que ellas y sus hijos requieran</w:t>
      </w:r>
      <w:r w:rsidR="00014F56" w:rsidRPr="00973F39">
        <w:rPr>
          <w:rFonts w:eastAsia="Times New Roman"/>
          <w:bCs/>
          <w:sz w:val="18"/>
          <w:szCs w:val="18"/>
          <w:vertAlign w:val="superscript"/>
        </w:rPr>
        <w:footnoteReference w:id="177"/>
      </w:r>
      <w:r w:rsidRPr="00121CFB">
        <w:rPr>
          <w:rFonts w:eastAsia="Times New Roman"/>
          <w:bCs/>
          <w:szCs w:val="24"/>
        </w:rPr>
        <w:t>.</w:t>
      </w:r>
    </w:p>
    <w:p w14:paraId="0359CC4A" w14:textId="79E4A593" w:rsidR="00095139" w:rsidRPr="00121CFB" w:rsidRDefault="00095139" w:rsidP="008357BF">
      <w:pPr>
        <w:pStyle w:val="SingleTxtG"/>
        <w:numPr>
          <w:ilvl w:val="0"/>
          <w:numId w:val="27"/>
        </w:numPr>
        <w:ind w:left="1134" w:firstLine="0"/>
        <w:rPr>
          <w:rFonts w:eastAsia="Times New Roman"/>
          <w:bCs/>
          <w:szCs w:val="24"/>
        </w:rPr>
      </w:pPr>
      <w:r w:rsidRPr="00121CFB">
        <w:rPr>
          <w:rFonts w:eastAsia="Times New Roman"/>
          <w:bCs/>
          <w:szCs w:val="24"/>
        </w:rPr>
        <w:t xml:space="preserve">En materia de cifras sobre </w:t>
      </w:r>
      <w:r w:rsidRPr="006D49C3">
        <w:t>atenciones</w:t>
      </w:r>
      <w:r w:rsidRPr="00121CFB">
        <w:rPr>
          <w:rFonts w:eastAsia="Times New Roman"/>
          <w:bCs/>
          <w:szCs w:val="24"/>
        </w:rPr>
        <w:t xml:space="preserve"> en salud, se reportan 14.037.825 de servicios acumulados a noviembre de 2021, servicios prestados a 1.591.971 migrantes venezolanos, con independencia de su estatus migratorio, en su mayoría, atenciones en salud a migrantes que no cuentan con afiliación al SGSSS, equivalentes al 68,5</w:t>
      </w:r>
      <w:r w:rsidR="00796131">
        <w:rPr>
          <w:rFonts w:eastAsia="Times New Roman"/>
          <w:bCs/>
          <w:szCs w:val="24"/>
        </w:rPr>
        <w:t xml:space="preserve"> </w:t>
      </w:r>
      <w:r w:rsidRPr="00121CFB">
        <w:rPr>
          <w:rFonts w:eastAsia="Times New Roman"/>
          <w:bCs/>
          <w:szCs w:val="24"/>
        </w:rPr>
        <w:t>% de la población total atendida. De igual forma, se han suministrado más de 299 millones de medicamentos en atenciones a refugiados y migrantes venezolanos</w:t>
      </w:r>
      <w:r w:rsidR="00014F56" w:rsidRPr="00973F39">
        <w:rPr>
          <w:rFonts w:eastAsia="Times New Roman"/>
          <w:bCs/>
          <w:sz w:val="18"/>
          <w:szCs w:val="18"/>
          <w:vertAlign w:val="superscript"/>
        </w:rPr>
        <w:footnoteReference w:id="178"/>
      </w:r>
      <w:r w:rsidRPr="00121CFB">
        <w:rPr>
          <w:rFonts w:eastAsia="Times New Roman"/>
          <w:bCs/>
          <w:szCs w:val="24"/>
        </w:rPr>
        <w:t>.</w:t>
      </w:r>
    </w:p>
    <w:p w14:paraId="26FEDB6C" w14:textId="7D02D2B3" w:rsidR="00095139" w:rsidRPr="00121CFB" w:rsidRDefault="00095139" w:rsidP="008357BF">
      <w:pPr>
        <w:pStyle w:val="SingleTxtG"/>
        <w:numPr>
          <w:ilvl w:val="0"/>
          <w:numId w:val="27"/>
        </w:numPr>
        <w:ind w:left="1134" w:firstLine="0"/>
        <w:rPr>
          <w:rFonts w:eastAsia="Times New Roman"/>
          <w:bCs/>
          <w:szCs w:val="24"/>
        </w:rPr>
      </w:pPr>
      <w:r w:rsidRPr="00121CFB">
        <w:rPr>
          <w:rFonts w:eastAsia="Times New Roman"/>
          <w:bCs/>
          <w:szCs w:val="24"/>
        </w:rPr>
        <w:lastRenderedPageBreak/>
        <w:t>Al 22 de febrero de 2022 se ha</w:t>
      </w:r>
      <w:r>
        <w:rPr>
          <w:rFonts w:eastAsia="Times New Roman"/>
          <w:bCs/>
          <w:szCs w:val="24"/>
        </w:rPr>
        <w:t>bía</w:t>
      </w:r>
      <w:r w:rsidRPr="00121CFB">
        <w:rPr>
          <w:rFonts w:eastAsia="Times New Roman"/>
          <w:bCs/>
          <w:szCs w:val="24"/>
        </w:rPr>
        <w:t xml:space="preserve"> vacunado con primera dosis COVID a 576.455 migrantes venezolanos, mientras que 330.953 tienen 2 dosis y 17.114 tienen dosis de refuerzo. A través del Programa Ampliado de Inmunizaciones </w:t>
      </w:r>
      <w:r>
        <w:rPr>
          <w:rFonts w:eastAsia="Times New Roman"/>
          <w:bCs/>
          <w:szCs w:val="24"/>
        </w:rPr>
        <w:t>(</w:t>
      </w:r>
      <w:r w:rsidRPr="00121CFB">
        <w:rPr>
          <w:rFonts w:eastAsia="Times New Roman"/>
          <w:bCs/>
          <w:szCs w:val="24"/>
        </w:rPr>
        <w:t>PAI</w:t>
      </w:r>
      <w:r>
        <w:rPr>
          <w:rFonts w:eastAsia="Times New Roman"/>
          <w:bCs/>
          <w:szCs w:val="24"/>
        </w:rPr>
        <w:t>)</w:t>
      </w:r>
      <w:r w:rsidRPr="00121CFB">
        <w:rPr>
          <w:rFonts w:eastAsia="Times New Roman"/>
          <w:bCs/>
          <w:szCs w:val="24"/>
        </w:rPr>
        <w:t xml:space="preserve"> se garantiza el mismo esquema de vacunación colombiano a la población migrante de manera gratuita con más de 2</w:t>
      </w:r>
      <w:r w:rsidR="00280D2C">
        <w:rPr>
          <w:rFonts w:eastAsia="Times New Roman"/>
          <w:bCs/>
          <w:szCs w:val="24"/>
        </w:rPr>
        <w:t>,</w:t>
      </w:r>
      <w:r w:rsidRPr="00121CFB">
        <w:rPr>
          <w:rFonts w:eastAsia="Times New Roman"/>
          <w:bCs/>
          <w:szCs w:val="24"/>
        </w:rPr>
        <w:t>5 millones de dosis aplicadas</w:t>
      </w:r>
      <w:r w:rsidR="00014F56" w:rsidRPr="00973F39">
        <w:rPr>
          <w:rFonts w:eastAsia="Times New Roman"/>
          <w:bCs/>
          <w:sz w:val="18"/>
          <w:szCs w:val="18"/>
          <w:vertAlign w:val="superscript"/>
        </w:rPr>
        <w:footnoteReference w:id="179"/>
      </w:r>
      <w:r w:rsidRPr="00121CFB">
        <w:rPr>
          <w:rFonts w:eastAsia="Times New Roman"/>
          <w:bCs/>
          <w:szCs w:val="24"/>
        </w:rPr>
        <w:t>.</w:t>
      </w:r>
    </w:p>
    <w:p w14:paraId="1A347BFA" w14:textId="3258DCEE" w:rsidR="00095139" w:rsidRDefault="00095139" w:rsidP="008357BF">
      <w:pPr>
        <w:pStyle w:val="SingleTxtG"/>
        <w:numPr>
          <w:ilvl w:val="0"/>
          <w:numId w:val="27"/>
        </w:numPr>
        <w:ind w:left="1134" w:firstLine="0"/>
        <w:rPr>
          <w:rFonts w:eastAsia="Times New Roman"/>
          <w:bCs/>
          <w:szCs w:val="24"/>
        </w:rPr>
      </w:pPr>
      <w:r w:rsidRPr="00121CFB">
        <w:rPr>
          <w:rFonts w:eastAsia="Times New Roman"/>
          <w:bCs/>
          <w:szCs w:val="24"/>
        </w:rPr>
        <w:t>El sector salud ha realizado adecuaciones de las políticas públicas y normas que han permitido: i) Viabilizar la atención de urgencias para el caso de los migrantes en situación irregular, ii) Acceder al aseguramiento de una parte de esta población de acuerdo con su estatus migratorio y iii) Fortalecer la gestión de la salud pública en las entidades territoriales más afectadas</w:t>
      </w:r>
      <w:r w:rsidR="00014F56" w:rsidRPr="00973F39">
        <w:rPr>
          <w:rFonts w:eastAsia="Times New Roman"/>
          <w:bCs/>
          <w:sz w:val="18"/>
          <w:szCs w:val="18"/>
          <w:vertAlign w:val="superscript"/>
        </w:rPr>
        <w:footnoteReference w:id="180"/>
      </w:r>
      <w:r w:rsidRPr="00121CFB">
        <w:rPr>
          <w:rFonts w:eastAsia="Times New Roman"/>
          <w:bCs/>
          <w:szCs w:val="24"/>
        </w:rPr>
        <w:t>.</w:t>
      </w:r>
    </w:p>
    <w:p w14:paraId="6A84F312" w14:textId="705A1C7A" w:rsidR="00095139" w:rsidRPr="006463EF" w:rsidRDefault="00095139" w:rsidP="008357BF">
      <w:pPr>
        <w:pStyle w:val="SingleTxtG"/>
        <w:numPr>
          <w:ilvl w:val="0"/>
          <w:numId w:val="27"/>
        </w:numPr>
        <w:ind w:left="1134" w:firstLine="0"/>
        <w:rPr>
          <w:rFonts w:eastAsia="Times New Roman"/>
          <w:bCs/>
          <w:szCs w:val="24"/>
          <w:lang w:val="es-CO"/>
        </w:rPr>
      </w:pPr>
      <w:r>
        <w:rPr>
          <w:rFonts w:eastAsia="Times New Roman"/>
          <w:bCs/>
          <w:szCs w:val="24"/>
          <w:lang w:val="es-CO"/>
        </w:rPr>
        <w:t xml:space="preserve">Con corte a julio de 2022, </w:t>
      </w:r>
      <w:r w:rsidRPr="006D49C3">
        <w:t>los</w:t>
      </w:r>
      <w:r w:rsidRPr="006463EF">
        <w:rPr>
          <w:rFonts w:eastAsia="Times New Roman"/>
          <w:bCs/>
          <w:szCs w:val="24"/>
          <w:lang w:val="es-CO"/>
        </w:rPr>
        <w:t xml:space="preserve"> afiliados activos al SGSSS son 837.576 personas. De este número, 174.262 </w:t>
      </w:r>
      <w:r>
        <w:rPr>
          <w:rFonts w:eastAsia="Times New Roman"/>
          <w:bCs/>
          <w:szCs w:val="24"/>
          <w:lang w:val="es-CO"/>
        </w:rPr>
        <w:t>con</w:t>
      </w:r>
      <w:r w:rsidRPr="006463EF">
        <w:rPr>
          <w:rFonts w:eastAsia="Times New Roman"/>
          <w:bCs/>
          <w:szCs w:val="24"/>
          <w:lang w:val="es-CO"/>
        </w:rPr>
        <w:t xml:space="preserve"> PEP y 663.314 </w:t>
      </w:r>
      <w:r>
        <w:rPr>
          <w:rFonts w:eastAsia="Times New Roman"/>
          <w:bCs/>
          <w:szCs w:val="24"/>
          <w:lang w:val="es-CO"/>
        </w:rPr>
        <w:t>con</w:t>
      </w:r>
      <w:r w:rsidRPr="006463EF">
        <w:rPr>
          <w:rFonts w:eastAsia="Times New Roman"/>
          <w:bCs/>
          <w:szCs w:val="24"/>
          <w:lang w:val="es-CO"/>
        </w:rPr>
        <w:t xml:space="preserve"> PPT</w:t>
      </w:r>
      <w:r>
        <w:rPr>
          <w:rFonts w:eastAsia="Times New Roman"/>
          <w:bCs/>
          <w:szCs w:val="24"/>
          <w:lang w:val="es-CO"/>
        </w:rPr>
        <w:t xml:space="preserve"> </w:t>
      </w:r>
      <w:r w:rsidRPr="00501F6F">
        <w:rPr>
          <w:rFonts w:eastAsia="Times New Roman"/>
          <w:bCs/>
          <w:szCs w:val="24"/>
        </w:rPr>
        <w:t>según la información cargada en Base de Datos Única de Afiliados (BDUA)</w:t>
      </w:r>
      <w:r w:rsidR="00014F56" w:rsidRPr="00973F39">
        <w:rPr>
          <w:rFonts w:eastAsia="Times New Roman"/>
          <w:bCs/>
          <w:sz w:val="18"/>
          <w:szCs w:val="18"/>
          <w:vertAlign w:val="superscript"/>
          <w:lang w:val="es-CO"/>
        </w:rPr>
        <w:footnoteReference w:id="181"/>
      </w:r>
      <w:r w:rsidRPr="006463EF">
        <w:rPr>
          <w:rFonts w:eastAsia="Times New Roman"/>
          <w:bCs/>
          <w:szCs w:val="24"/>
          <w:lang w:val="es-CO"/>
        </w:rPr>
        <w:t>.</w:t>
      </w:r>
    </w:p>
    <w:p w14:paraId="096DDDCC" w14:textId="44C8A04E" w:rsidR="00095139" w:rsidRDefault="00095139" w:rsidP="008357BF">
      <w:pPr>
        <w:pStyle w:val="SingleTxtG"/>
        <w:numPr>
          <w:ilvl w:val="0"/>
          <w:numId w:val="27"/>
        </w:numPr>
        <w:ind w:left="1134" w:firstLine="0"/>
        <w:rPr>
          <w:rFonts w:eastAsia="Times New Roman"/>
          <w:bCs/>
          <w:szCs w:val="24"/>
        </w:rPr>
      </w:pPr>
      <w:r w:rsidRPr="00121CFB">
        <w:rPr>
          <w:rFonts w:eastAsia="Times New Roman"/>
          <w:bCs/>
          <w:szCs w:val="24"/>
        </w:rPr>
        <w:t xml:space="preserve">A marzo de 2022 se cuentan 555.498 </w:t>
      </w:r>
      <w:r>
        <w:rPr>
          <w:rFonts w:eastAsia="Times New Roman"/>
          <w:bCs/>
          <w:szCs w:val="24"/>
        </w:rPr>
        <w:t>NNA</w:t>
      </w:r>
      <w:r w:rsidRPr="00121CFB">
        <w:rPr>
          <w:rFonts w:eastAsia="Times New Roman"/>
          <w:bCs/>
          <w:szCs w:val="24"/>
        </w:rPr>
        <w:t xml:space="preserve"> con acceso a la escuela y protegiendo la continuidad del proceso escolar con independencia de su </w:t>
      </w:r>
      <w:r w:rsidRPr="006D49C3">
        <w:t>lugar</w:t>
      </w:r>
      <w:r w:rsidRPr="00121CFB">
        <w:rPr>
          <w:rFonts w:eastAsia="Times New Roman"/>
          <w:bCs/>
          <w:szCs w:val="24"/>
        </w:rPr>
        <w:t xml:space="preserve"> de procedencia. El 95</w:t>
      </w:r>
      <w:r w:rsidR="00796131">
        <w:rPr>
          <w:rFonts w:eastAsia="Times New Roman"/>
          <w:bCs/>
          <w:szCs w:val="24"/>
        </w:rPr>
        <w:t xml:space="preserve"> </w:t>
      </w:r>
      <w:r w:rsidRPr="00121CFB">
        <w:rPr>
          <w:rFonts w:eastAsia="Times New Roman"/>
          <w:bCs/>
          <w:szCs w:val="24"/>
        </w:rPr>
        <w:t>% se encuentran matriculados en el sistema oficial y más del 66</w:t>
      </w:r>
      <w:r w:rsidR="00796131">
        <w:rPr>
          <w:rFonts w:eastAsia="Times New Roman"/>
          <w:bCs/>
          <w:szCs w:val="24"/>
        </w:rPr>
        <w:t xml:space="preserve"> </w:t>
      </w:r>
      <w:r w:rsidRPr="00121CFB">
        <w:rPr>
          <w:rFonts w:eastAsia="Times New Roman"/>
          <w:bCs/>
          <w:szCs w:val="24"/>
        </w:rPr>
        <w:t>% distribuidos en las regiones Centro, Oriente y Caribe del país</w:t>
      </w:r>
      <w:r w:rsidR="00014F56" w:rsidRPr="00973F39">
        <w:rPr>
          <w:rFonts w:eastAsia="Times New Roman"/>
          <w:bCs/>
          <w:sz w:val="18"/>
          <w:szCs w:val="18"/>
          <w:vertAlign w:val="superscript"/>
        </w:rPr>
        <w:footnoteReference w:id="182"/>
      </w:r>
      <w:r w:rsidRPr="00121CFB">
        <w:rPr>
          <w:rFonts w:eastAsia="Times New Roman"/>
          <w:bCs/>
          <w:szCs w:val="24"/>
        </w:rPr>
        <w:t>.</w:t>
      </w:r>
    </w:p>
    <w:p w14:paraId="56E28FEF" w14:textId="2EE4609A" w:rsidR="00095139" w:rsidRPr="00BB0CD5" w:rsidRDefault="00095139" w:rsidP="008357BF">
      <w:pPr>
        <w:pStyle w:val="SingleTxtG"/>
        <w:numPr>
          <w:ilvl w:val="0"/>
          <w:numId w:val="27"/>
        </w:numPr>
        <w:ind w:left="1134" w:firstLine="0"/>
        <w:rPr>
          <w:rFonts w:eastAsia="Times New Roman"/>
          <w:bCs/>
          <w:szCs w:val="24"/>
        </w:rPr>
      </w:pPr>
      <w:r w:rsidRPr="00121CFB">
        <w:rPr>
          <w:bCs/>
        </w:rPr>
        <w:t xml:space="preserve">Desde el reconocimiento de los </w:t>
      </w:r>
      <w:r>
        <w:rPr>
          <w:bCs/>
        </w:rPr>
        <w:t>NNA</w:t>
      </w:r>
      <w:r w:rsidRPr="00121CFB">
        <w:rPr>
          <w:bCs/>
        </w:rPr>
        <w:t xml:space="preserve"> como sujetos de derechos y la</w:t>
      </w:r>
      <w:r>
        <w:rPr>
          <w:bCs/>
        </w:rPr>
        <w:t xml:space="preserve"> </w:t>
      </w:r>
      <w:r w:rsidRPr="00121CFB">
        <w:rPr>
          <w:bCs/>
        </w:rPr>
        <w:t>prevención de las amenazas, 98.471 NNA migrantes ingresan a la oferta institucional del ICBF, bajo el principio de no discriminación, y 3.594 reciben atención en los servicios de protección.</w:t>
      </w:r>
      <w:r>
        <w:rPr>
          <w:bCs/>
        </w:rPr>
        <w:t xml:space="preserve"> </w:t>
      </w:r>
      <w:r w:rsidRPr="00121CFB">
        <w:rPr>
          <w:rFonts w:eastAsia="Times New Roman"/>
          <w:bCs/>
          <w:szCs w:val="24"/>
        </w:rPr>
        <w:t>De enero de 2015 al 30 de mayo de 2021, en aplicación del procedimiento para otorgar nacionalidad a recién nacidos en suelo colombiano, de padres venezolanos, se han beneficiado 62.885 niñas y niños nacidos en Colombia, en riesgo de apatridia</w:t>
      </w:r>
      <w:r w:rsidR="00014F56" w:rsidRPr="00973F39">
        <w:rPr>
          <w:rFonts w:eastAsia="Times New Roman"/>
          <w:bCs/>
          <w:sz w:val="18"/>
          <w:szCs w:val="18"/>
          <w:vertAlign w:val="superscript"/>
        </w:rPr>
        <w:footnoteReference w:id="183"/>
      </w:r>
      <w:r w:rsidRPr="00121CFB">
        <w:rPr>
          <w:rFonts w:eastAsia="Times New Roman"/>
          <w:bCs/>
          <w:szCs w:val="24"/>
        </w:rPr>
        <w:t>.</w:t>
      </w:r>
    </w:p>
    <w:p w14:paraId="4CB89FD6" w14:textId="17D33946" w:rsidR="00095139" w:rsidRPr="00121CFB" w:rsidRDefault="00095139" w:rsidP="008357BF">
      <w:pPr>
        <w:pStyle w:val="SingleTxtG"/>
        <w:numPr>
          <w:ilvl w:val="0"/>
          <w:numId w:val="27"/>
        </w:numPr>
        <w:ind w:left="1134" w:firstLine="0"/>
        <w:rPr>
          <w:rFonts w:eastAsia="Times New Roman"/>
          <w:bCs/>
          <w:szCs w:val="24"/>
        </w:rPr>
      </w:pPr>
      <w:r w:rsidRPr="00121CFB">
        <w:rPr>
          <w:rFonts w:eastAsia="Times New Roman"/>
          <w:bCs/>
          <w:szCs w:val="24"/>
        </w:rPr>
        <w:t>Con corte al 13 de mayo 2022, se cuentan 456.494 hogares y 446.409 migrantes con encuesta de caracterización Sisbén, la cual sirve como mecanismo para identificar las necesidades y capacidades de los hogares en el territorio colombiano y focalizar la ayuda social. Del total de migrantes venezolanos con encuesta Sisbén, 51,6</w:t>
      </w:r>
      <w:r w:rsidR="00280D2C">
        <w:rPr>
          <w:rFonts w:eastAsia="Times New Roman"/>
          <w:bCs/>
          <w:szCs w:val="24"/>
        </w:rPr>
        <w:t xml:space="preserve"> </w:t>
      </w:r>
      <w:r w:rsidRPr="00121CFB">
        <w:rPr>
          <w:rFonts w:eastAsia="Times New Roman"/>
          <w:bCs/>
          <w:szCs w:val="24"/>
        </w:rPr>
        <w:t>% corresponden a PPT, 32,6</w:t>
      </w:r>
      <w:r w:rsidR="00280D2C">
        <w:rPr>
          <w:rFonts w:eastAsia="Times New Roman"/>
          <w:bCs/>
          <w:szCs w:val="24"/>
        </w:rPr>
        <w:t xml:space="preserve"> </w:t>
      </w:r>
      <w:r w:rsidRPr="00121CFB">
        <w:rPr>
          <w:rFonts w:eastAsia="Times New Roman"/>
          <w:bCs/>
          <w:szCs w:val="24"/>
        </w:rPr>
        <w:t>% con PEP y el 15,8</w:t>
      </w:r>
      <w:r w:rsidR="00280D2C">
        <w:rPr>
          <w:rFonts w:eastAsia="Times New Roman"/>
          <w:bCs/>
          <w:szCs w:val="24"/>
        </w:rPr>
        <w:t xml:space="preserve"> </w:t>
      </w:r>
      <w:r w:rsidRPr="00121CFB">
        <w:rPr>
          <w:rFonts w:eastAsia="Times New Roman"/>
          <w:bCs/>
          <w:szCs w:val="24"/>
        </w:rPr>
        <w:t>% restante corresponde a otros tipos de documento (CE, DNI, Pasaporte y Salvoconducto)</w:t>
      </w:r>
      <w:r w:rsidR="00014F56" w:rsidRPr="00973F39">
        <w:rPr>
          <w:rFonts w:eastAsia="Times New Roman"/>
          <w:bCs/>
          <w:sz w:val="18"/>
          <w:szCs w:val="18"/>
          <w:vertAlign w:val="superscript"/>
        </w:rPr>
        <w:footnoteReference w:id="184"/>
      </w:r>
      <w:r w:rsidRPr="00121CFB">
        <w:rPr>
          <w:rFonts w:eastAsia="Times New Roman"/>
          <w:bCs/>
          <w:szCs w:val="24"/>
        </w:rPr>
        <w:t xml:space="preserve">. </w:t>
      </w:r>
    </w:p>
    <w:p w14:paraId="61D8B0AD" w14:textId="13E9F7C3" w:rsidR="00095139" w:rsidRPr="00121CFB" w:rsidRDefault="00095139" w:rsidP="008357BF">
      <w:pPr>
        <w:pStyle w:val="SingleTxtG"/>
        <w:numPr>
          <w:ilvl w:val="0"/>
          <w:numId w:val="27"/>
        </w:numPr>
        <w:ind w:left="1134" w:firstLine="0"/>
        <w:rPr>
          <w:rFonts w:eastAsia="Times New Roman"/>
          <w:bCs/>
          <w:szCs w:val="24"/>
        </w:rPr>
      </w:pPr>
      <w:r w:rsidRPr="00121CFB">
        <w:rPr>
          <w:rFonts w:eastAsia="Times New Roman"/>
          <w:bCs/>
          <w:szCs w:val="24"/>
        </w:rPr>
        <w:t>Para la vigencia 2022</w:t>
      </w:r>
      <w:r>
        <w:rPr>
          <w:rFonts w:eastAsia="Times New Roman"/>
          <w:bCs/>
          <w:szCs w:val="24"/>
        </w:rPr>
        <w:t>,</w:t>
      </w:r>
      <w:r w:rsidRPr="00121CFB">
        <w:rPr>
          <w:rFonts w:eastAsia="Times New Roman"/>
          <w:bCs/>
          <w:szCs w:val="24"/>
        </w:rPr>
        <w:t xml:space="preserve"> están incluidos dentro del Programa Ingreso Solidario </w:t>
      </w:r>
      <w:r>
        <w:rPr>
          <w:rFonts w:eastAsia="Times New Roman"/>
          <w:bCs/>
          <w:szCs w:val="24"/>
        </w:rPr>
        <w:t>(</w:t>
      </w:r>
      <w:r w:rsidRPr="00121CFB">
        <w:rPr>
          <w:rFonts w:eastAsia="Times New Roman"/>
          <w:bCs/>
          <w:szCs w:val="24"/>
        </w:rPr>
        <w:t>PIS</w:t>
      </w:r>
      <w:r>
        <w:rPr>
          <w:rFonts w:eastAsia="Times New Roman"/>
          <w:bCs/>
          <w:szCs w:val="24"/>
        </w:rPr>
        <w:t>)</w:t>
      </w:r>
      <w:r w:rsidRPr="00121CFB">
        <w:rPr>
          <w:rFonts w:eastAsia="Times New Roman"/>
          <w:bCs/>
          <w:szCs w:val="24"/>
        </w:rPr>
        <w:t xml:space="preserve"> 40.409 hogares de migrantes como beneficiarios. A marzo</w:t>
      </w:r>
      <w:r>
        <w:rPr>
          <w:rFonts w:eastAsia="Times New Roman"/>
          <w:bCs/>
          <w:szCs w:val="24"/>
        </w:rPr>
        <w:t xml:space="preserve"> de 2022</w:t>
      </w:r>
      <w:r w:rsidRPr="00121CFB">
        <w:rPr>
          <w:rFonts w:eastAsia="Times New Roman"/>
          <w:bCs/>
          <w:szCs w:val="24"/>
        </w:rPr>
        <w:t xml:space="preserve">, se </w:t>
      </w:r>
      <w:r w:rsidRPr="006D49C3">
        <w:t>programaron</w:t>
      </w:r>
      <w:r w:rsidRPr="00121CFB">
        <w:rPr>
          <w:rFonts w:eastAsia="Times New Roman"/>
          <w:bCs/>
          <w:szCs w:val="24"/>
        </w:rPr>
        <w:t xml:space="preserve"> 40.409</w:t>
      </w:r>
      <w:r w:rsidR="00014F56">
        <w:rPr>
          <w:rFonts w:eastAsia="Times New Roman"/>
          <w:bCs/>
          <w:szCs w:val="24"/>
        </w:rPr>
        <w:t> </w:t>
      </w:r>
      <w:r w:rsidRPr="00121CFB">
        <w:rPr>
          <w:rFonts w:eastAsia="Times New Roman"/>
          <w:bCs/>
          <w:szCs w:val="24"/>
        </w:rPr>
        <w:t xml:space="preserve">pagos a migrantes del </w:t>
      </w:r>
      <w:r>
        <w:rPr>
          <w:rFonts w:eastAsia="Times New Roman"/>
          <w:bCs/>
          <w:szCs w:val="24"/>
        </w:rPr>
        <w:t>PIS</w:t>
      </w:r>
      <w:r w:rsidR="00014F56" w:rsidRPr="00973F39">
        <w:rPr>
          <w:rFonts w:eastAsia="Times New Roman"/>
          <w:bCs/>
          <w:sz w:val="18"/>
          <w:szCs w:val="18"/>
          <w:vertAlign w:val="superscript"/>
        </w:rPr>
        <w:footnoteReference w:id="185"/>
      </w:r>
      <w:r w:rsidRPr="00121CFB">
        <w:rPr>
          <w:rFonts w:eastAsia="Times New Roman"/>
          <w:bCs/>
          <w:szCs w:val="24"/>
        </w:rPr>
        <w:t xml:space="preserve">. </w:t>
      </w:r>
    </w:p>
    <w:p w14:paraId="50FED82E" w14:textId="1D48E323" w:rsidR="00095139" w:rsidRPr="00121CFB" w:rsidRDefault="00095139" w:rsidP="008357BF">
      <w:pPr>
        <w:pStyle w:val="SingleTxtG"/>
        <w:numPr>
          <w:ilvl w:val="0"/>
          <w:numId w:val="27"/>
        </w:numPr>
        <w:ind w:left="1134" w:firstLine="0"/>
        <w:rPr>
          <w:rFonts w:eastAsia="Times New Roman"/>
          <w:bCs/>
          <w:szCs w:val="24"/>
        </w:rPr>
      </w:pPr>
      <w:r w:rsidRPr="00121CFB">
        <w:rPr>
          <w:rFonts w:eastAsia="Times New Roman"/>
          <w:bCs/>
          <w:szCs w:val="24"/>
        </w:rPr>
        <w:t>Por otra parte,</w:t>
      </w:r>
      <w:r w:rsidRPr="00121CFB">
        <w:rPr>
          <w:rFonts w:eastAsia="Times New Roman"/>
          <w:b/>
          <w:bCs/>
          <w:szCs w:val="24"/>
        </w:rPr>
        <w:t xml:space="preserve"> </w:t>
      </w:r>
      <w:r w:rsidRPr="00121CFB">
        <w:rPr>
          <w:rFonts w:eastAsia="Times New Roman"/>
          <w:bCs/>
          <w:szCs w:val="24"/>
        </w:rPr>
        <w:t xml:space="preserve">en el año 2019, </w:t>
      </w:r>
      <w:r>
        <w:rPr>
          <w:rFonts w:eastAsia="Times New Roman"/>
          <w:bCs/>
          <w:szCs w:val="24"/>
        </w:rPr>
        <w:t>el Estado</w:t>
      </w:r>
      <w:r w:rsidRPr="00121CFB">
        <w:rPr>
          <w:rFonts w:eastAsia="Times New Roman"/>
          <w:bCs/>
          <w:szCs w:val="24"/>
        </w:rPr>
        <w:t xml:space="preserve"> con el apoyo del PNUD</w:t>
      </w:r>
      <w:r>
        <w:rPr>
          <w:rFonts w:eastAsia="Times New Roman"/>
          <w:bCs/>
          <w:szCs w:val="24"/>
        </w:rPr>
        <w:t xml:space="preserve"> diseñó</w:t>
      </w:r>
      <w:r w:rsidRPr="00121CFB">
        <w:rPr>
          <w:rFonts w:eastAsia="Times New Roman"/>
          <w:bCs/>
          <w:szCs w:val="24"/>
        </w:rPr>
        <w:t xml:space="preserve"> la “Estrategia de generación de ingresos para la población migrante proveniente de Venezuela y las comunidades de acogida”, la cual se constituye en la hoja de ruta para identificar los obstáculos que frenan el </w:t>
      </w:r>
      <w:r w:rsidRPr="006D49C3">
        <w:t>proceso</w:t>
      </w:r>
      <w:r w:rsidRPr="00121CFB">
        <w:rPr>
          <w:rFonts w:eastAsia="Times New Roman"/>
          <w:bCs/>
          <w:szCs w:val="24"/>
        </w:rPr>
        <w:t xml:space="preserve"> de integración socioeconómica de los inmigrantes venezolanos y los retornados colombianos y eliminar estos obstáculos</w:t>
      </w:r>
      <w:r w:rsidR="00014F56" w:rsidRPr="00973F39">
        <w:rPr>
          <w:rFonts w:eastAsia="Times New Roman"/>
          <w:bCs/>
          <w:sz w:val="18"/>
          <w:szCs w:val="18"/>
          <w:vertAlign w:val="superscript"/>
        </w:rPr>
        <w:footnoteReference w:id="186"/>
      </w:r>
      <w:r w:rsidRPr="00121CFB">
        <w:rPr>
          <w:rFonts w:eastAsia="Times New Roman"/>
          <w:bCs/>
          <w:szCs w:val="24"/>
        </w:rPr>
        <w:t>.</w:t>
      </w:r>
    </w:p>
    <w:p w14:paraId="5BB835CD" w14:textId="103E6BBE" w:rsidR="00095139" w:rsidRPr="00121CFB" w:rsidRDefault="00095139" w:rsidP="008357BF">
      <w:pPr>
        <w:pStyle w:val="SingleTxtG"/>
        <w:numPr>
          <w:ilvl w:val="0"/>
          <w:numId w:val="27"/>
        </w:numPr>
        <w:ind w:left="1134" w:firstLine="0"/>
        <w:rPr>
          <w:rFonts w:eastAsia="Times New Roman"/>
          <w:bCs/>
          <w:szCs w:val="24"/>
        </w:rPr>
      </w:pPr>
      <w:r w:rsidRPr="00121CFB">
        <w:rPr>
          <w:rFonts w:eastAsia="Times New Roman"/>
          <w:bCs/>
          <w:szCs w:val="24"/>
        </w:rPr>
        <w:t xml:space="preserve">La estrategia fue recogida en el capítulo V de la Ley 2136 de 2021 o Ley de la Política Integral Migratoria </w:t>
      </w:r>
      <w:r>
        <w:rPr>
          <w:rFonts w:eastAsia="Times New Roman"/>
          <w:bCs/>
          <w:szCs w:val="24"/>
        </w:rPr>
        <w:t>(</w:t>
      </w:r>
      <w:r w:rsidRPr="00121CFB">
        <w:rPr>
          <w:rFonts w:eastAsia="Times New Roman"/>
          <w:bCs/>
          <w:szCs w:val="24"/>
        </w:rPr>
        <w:t>PIM</w:t>
      </w:r>
      <w:r>
        <w:rPr>
          <w:rFonts w:eastAsia="Times New Roman"/>
          <w:bCs/>
          <w:szCs w:val="24"/>
        </w:rPr>
        <w:t>)</w:t>
      </w:r>
      <w:r w:rsidRPr="00121CFB">
        <w:rPr>
          <w:rFonts w:eastAsia="Times New Roman"/>
          <w:bCs/>
          <w:szCs w:val="24"/>
        </w:rPr>
        <w:t xml:space="preserve"> y tiene como propósito implementar proyectos concretos, con el apoyo de actores del sector privado y de la cooperación internacional, </w:t>
      </w:r>
      <w:r>
        <w:rPr>
          <w:rFonts w:eastAsia="Times New Roman"/>
          <w:bCs/>
          <w:szCs w:val="24"/>
        </w:rPr>
        <w:t>para</w:t>
      </w:r>
      <w:r w:rsidRPr="00121CFB">
        <w:rPr>
          <w:rFonts w:eastAsia="Times New Roman"/>
          <w:bCs/>
          <w:szCs w:val="24"/>
        </w:rPr>
        <w:t xml:space="preserve"> facilitar la </w:t>
      </w:r>
      <w:r w:rsidRPr="006D49C3">
        <w:t>formalización</w:t>
      </w:r>
      <w:r w:rsidRPr="00121CFB">
        <w:rPr>
          <w:rFonts w:eastAsia="Times New Roman"/>
          <w:bCs/>
          <w:szCs w:val="24"/>
        </w:rPr>
        <w:t xml:space="preserve"> laboral y empresarial de las poblaciones migrante y de acogida</w:t>
      </w:r>
      <w:r>
        <w:rPr>
          <w:rFonts w:eastAsia="Times New Roman"/>
          <w:bCs/>
          <w:szCs w:val="24"/>
        </w:rPr>
        <w:t xml:space="preserve">, al igual que la inclusión financiera </w:t>
      </w:r>
      <w:r w:rsidRPr="00121CFB">
        <w:rPr>
          <w:rFonts w:eastAsia="Times New Roman"/>
          <w:bCs/>
          <w:szCs w:val="24"/>
        </w:rPr>
        <w:t>simplificando los procesos de apertura de cuentas bancarias y ofreciendo educación financiera</w:t>
      </w:r>
      <w:r w:rsidR="00014F56" w:rsidRPr="00973F39">
        <w:rPr>
          <w:rFonts w:eastAsia="Times New Roman"/>
          <w:bCs/>
          <w:sz w:val="18"/>
          <w:szCs w:val="18"/>
          <w:vertAlign w:val="superscript"/>
        </w:rPr>
        <w:footnoteReference w:id="187"/>
      </w:r>
      <w:r w:rsidRPr="00121CFB">
        <w:rPr>
          <w:rFonts w:eastAsia="Times New Roman"/>
          <w:bCs/>
          <w:szCs w:val="24"/>
        </w:rPr>
        <w:t>.</w:t>
      </w:r>
    </w:p>
    <w:p w14:paraId="44F4D230" w14:textId="45B80A13" w:rsidR="00095139" w:rsidRDefault="00095139" w:rsidP="008357BF">
      <w:pPr>
        <w:pStyle w:val="SingleTxtG"/>
        <w:numPr>
          <w:ilvl w:val="0"/>
          <w:numId w:val="27"/>
        </w:numPr>
        <w:ind w:left="1134" w:firstLine="0"/>
        <w:rPr>
          <w:rFonts w:eastAsia="Times New Roman"/>
          <w:bCs/>
          <w:szCs w:val="24"/>
        </w:rPr>
      </w:pPr>
      <w:r w:rsidRPr="0028432C">
        <w:rPr>
          <w:rFonts w:eastAsia="Times New Roman"/>
          <w:bCs/>
          <w:szCs w:val="24"/>
        </w:rPr>
        <w:t xml:space="preserve">En materia de igualdad y no </w:t>
      </w:r>
      <w:r w:rsidRPr="006D49C3">
        <w:t>discriminación</w:t>
      </w:r>
      <w:r w:rsidRPr="0028432C">
        <w:rPr>
          <w:rFonts w:eastAsia="Times New Roman"/>
          <w:bCs/>
          <w:szCs w:val="24"/>
        </w:rPr>
        <w:t xml:space="preserve"> durante la vigencia del año 2021, Migración</w:t>
      </w:r>
      <w:r w:rsidRPr="00121CFB">
        <w:rPr>
          <w:rFonts w:eastAsia="Times New Roman"/>
          <w:bCs/>
          <w:szCs w:val="24"/>
        </w:rPr>
        <w:t xml:space="preserve"> Colombia con el apoyo de ACNUR realizó la presentación del programa de lucha </w:t>
      </w:r>
      <w:r w:rsidRPr="00121CFB">
        <w:rPr>
          <w:rFonts w:eastAsia="Times New Roman"/>
          <w:bCs/>
          <w:szCs w:val="24"/>
        </w:rPr>
        <w:lastRenderedPageBreak/>
        <w:t>contra la xenofobia, “Mi casa es tu casa” en todas las regionales</w:t>
      </w:r>
      <w:r>
        <w:rPr>
          <w:rFonts w:eastAsia="Times New Roman"/>
          <w:bCs/>
          <w:szCs w:val="24"/>
        </w:rPr>
        <w:t xml:space="preserve"> del país,</w:t>
      </w:r>
      <w:r w:rsidRPr="00121CFB">
        <w:rPr>
          <w:rFonts w:eastAsia="Times New Roman"/>
          <w:bCs/>
          <w:szCs w:val="24"/>
        </w:rPr>
        <w:t xml:space="preserve"> dirigida inicialmente a directivos y funcionarios (401 funcionarios capacitados) con el fin de que sean multiplicadores de los contenidos del programa en sus jurisdicciones, realicen socializaciones y capacitaciones en los distintos sectores, con el </w:t>
      </w:r>
      <w:r>
        <w:rPr>
          <w:rFonts w:eastAsia="Times New Roman"/>
          <w:bCs/>
          <w:szCs w:val="24"/>
        </w:rPr>
        <w:t>propósito de implementar</w:t>
      </w:r>
      <w:r w:rsidRPr="00121CFB">
        <w:rPr>
          <w:rFonts w:eastAsia="Times New Roman"/>
          <w:bCs/>
          <w:szCs w:val="24"/>
        </w:rPr>
        <w:t xml:space="preserve"> acciones de prevención del fenómeno de xenofobia. Asimismo, para apoyar el proceso de trasmisión del Programa se diseñaron, diagramaron e imprimieron tres tipos de cartillas (15 mil ejemplares que se enviaron a las sedes regionales) con la información sobre la temática para tres tipos de público (niños y niñas; adolescentes y adultos)</w:t>
      </w:r>
      <w:r w:rsidR="00014F56" w:rsidRPr="00973F39">
        <w:rPr>
          <w:rFonts w:eastAsia="Times New Roman"/>
          <w:bCs/>
          <w:sz w:val="18"/>
          <w:szCs w:val="18"/>
          <w:vertAlign w:val="superscript"/>
        </w:rPr>
        <w:footnoteReference w:id="188"/>
      </w:r>
      <w:r w:rsidRPr="00121CFB">
        <w:rPr>
          <w:rFonts w:eastAsia="Times New Roman"/>
          <w:bCs/>
          <w:szCs w:val="24"/>
        </w:rPr>
        <w:t>.</w:t>
      </w:r>
    </w:p>
    <w:p w14:paraId="7F3057AC" w14:textId="24EF3ABC" w:rsidR="00095139" w:rsidRDefault="00095139" w:rsidP="008357BF">
      <w:pPr>
        <w:pStyle w:val="SingleTxtG"/>
        <w:numPr>
          <w:ilvl w:val="0"/>
          <w:numId w:val="27"/>
        </w:numPr>
        <w:ind w:left="1134" w:firstLine="0"/>
        <w:rPr>
          <w:rFonts w:eastAsia="Times New Roman"/>
          <w:bCs/>
          <w:szCs w:val="24"/>
        </w:rPr>
      </w:pPr>
      <w:r>
        <w:rPr>
          <w:rFonts w:eastAsia="Times New Roman"/>
          <w:bCs/>
          <w:szCs w:val="24"/>
        </w:rPr>
        <w:t xml:space="preserve">Finalmente, el Estado publicó </w:t>
      </w:r>
      <w:r w:rsidRPr="002714C3">
        <w:rPr>
          <w:rFonts w:eastAsia="Times New Roman"/>
          <w:bCs/>
          <w:szCs w:val="24"/>
        </w:rPr>
        <w:t>una guía para migrantes venezolanos, en la que presenta información sobre los procesos de inclusión de la población migrante en la dinámica social y económica colombiana</w:t>
      </w:r>
      <w:r>
        <w:rPr>
          <w:rStyle w:val="Refdenotaalpie"/>
          <w:rFonts w:eastAsia="Times New Roman"/>
          <w:bCs/>
          <w:szCs w:val="24"/>
        </w:rPr>
        <w:footnoteReference w:id="189"/>
      </w:r>
      <w:r w:rsidRPr="002714C3">
        <w:rPr>
          <w:rFonts w:eastAsia="Times New Roman"/>
          <w:bCs/>
          <w:szCs w:val="24"/>
        </w:rPr>
        <w:t>.</w:t>
      </w:r>
    </w:p>
    <w:p w14:paraId="7CA05253" w14:textId="08ACFC57" w:rsidR="00095139" w:rsidRDefault="00095139" w:rsidP="008357BF">
      <w:pPr>
        <w:pStyle w:val="SingleTxtG"/>
        <w:numPr>
          <w:ilvl w:val="0"/>
          <w:numId w:val="27"/>
        </w:numPr>
        <w:ind w:left="1134" w:firstLine="0"/>
        <w:rPr>
          <w:rFonts w:eastAsia="Times New Roman"/>
          <w:bCs/>
          <w:szCs w:val="24"/>
        </w:rPr>
      </w:pPr>
      <w:r>
        <w:rPr>
          <w:rFonts w:eastAsia="Times New Roman"/>
          <w:bCs/>
          <w:szCs w:val="24"/>
        </w:rPr>
        <w:t xml:space="preserve">Información adicional sobre </w:t>
      </w:r>
      <w:r w:rsidRPr="006D49C3">
        <w:t>estas</w:t>
      </w:r>
      <w:r>
        <w:rPr>
          <w:rFonts w:eastAsia="Times New Roman"/>
          <w:bCs/>
          <w:szCs w:val="24"/>
        </w:rPr>
        <w:t xml:space="preserve"> medidas de protección puede ser consultado en el </w:t>
      </w:r>
      <w:r w:rsidRPr="00FF5276">
        <w:rPr>
          <w:rFonts w:eastAsia="Times New Roman"/>
          <w:bCs/>
          <w:szCs w:val="24"/>
        </w:rPr>
        <w:t>Anexo</w:t>
      </w:r>
      <w:r>
        <w:rPr>
          <w:rFonts w:eastAsia="Times New Roman"/>
          <w:bCs/>
          <w:szCs w:val="24"/>
        </w:rPr>
        <w:t xml:space="preserve"> 14.</w:t>
      </w:r>
    </w:p>
    <w:p w14:paraId="2D832946" w14:textId="1D28BA1E" w:rsidR="00095139" w:rsidRPr="00855E3A" w:rsidRDefault="00C307AF" w:rsidP="00C307AF">
      <w:pPr>
        <w:pStyle w:val="H23G"/>
      </w:pPr>
      <w:r>
        <w:tab/>
        <w:t>9.</w:t>
      </w:r>
      <w:r>
        <w:tab/>
      </w:r>
      <w:r w:rsidR="00095139" w:rsidRPr="00855E3A">
        <w:t>Defensores de Derechos Humanos y líderes de pueblos indígenas y afrocolombianos (recomendación párr. 29 a, b, c, d CERD/C/COL/CO/17-19)</w:t>
      </w:r>
    </w:p>
    <w:p w14:paraId="1BD3244B" w14:textId="406761A1" w:rsidR="00095139" w:rsidRPr="0028432C" w:rsidRDefault="00095139" w:rsidP="008357BF">
      <w:pPr>
        <w:pStyle w:val="SingleTxtG"/>
        <w:numPr>
          <w:ilvl w:val="0"/>
          <w:numId w:val="27"/>
        </w:numPr>
        <w:ind w:left="1134" w:firstLine="0"/>
        <w:rPr>
          <w:rFonts w:eastAsia="Times New Roman"/>
          <w:bCs/>
          <w:szCs w:val="24"/>
        </w:rPr>
      </w:pPr>
      <w:r w:rsidRPr="0028432C">
        <w:rPr>
          <w:rFonts w:eastAsia="Times New Roman"/>
          <w:bCs/>
          <w:szCs w:val="24"/>
        </w:rPr>
        <w:t xml:space="preserve">El 29 de noviembre del 2021 </w:t>
      </w:r>
      <w:r>
        <w:rPr>
          <w:rFonts w:eastAsia="Times New Roman"/>
          <w:bCs/>
          <w:szCs w:val="24"/>
        </w:rPr>
        <w:t xml:space="preserve">el Estado </w:t>
      </w:r>
      <w:r w:rsidRPr="0028432C">
        <w:rPr>
          <w:rFonts w:eastAsia="Times New Roman"/>
          <w:bCs/>
          <w:szCs w:val="24"/>
        </w:rPr>
        <w:t>adoptó la Política Pública Nacional de Respeto y Garantías a la Labor de Defensa de los Derechos Humanos mediante CONPES 4063</w:t>
      </w:r>
      <w:r>
        <w:rPr>
          <w:rFonts w:eastAsia="Times New Roman"/>
          <w:bCs/>
          <w:szCs w:val="24"/>
        </w:rPr>
        <w:t xml:space="preserve"> que</w:t>
      </w:r>
      <w:r w:rsidRPr="0028432C">
        <w:rPr>
          <w:rFonts w:eastAsia="Times New Roman"/>
          <w:bCs/>
          <w:szCs w:val="24"/>
        </w:rPr>
        <w:t xml:space="preserve"> propone el cumplimiento de</w:t>
      </w:r>
      <w:r w:rsidR="00014F56">
        <w:rPr>
          <w:rFonts w:eastAsia="Times New Roman"/>
          <w:bCs/>
          <w:szCs w:val="24"/>
        </w:rPr>
        <w:t xml:space="preserve"> cuatro objetivos específicos: </w:t>
      </w:r>
      <w:r w:rsidRPr="0028432C">
        <w:rPr>
          <w:rFonts w:eastAsia="Times New Roman"/>
          <w:bCs/>
          <w:szCs w:val="24"/>
        </w:rPr>
        <w:t>i) articular el esfuerzo interinstitucional para intervenir los factores de riesgo que amenazan el ejercicio de la de</w:t>
      </w:r>
      <w:r w:rsidR="00014F56">
        <w:rPr>
          <w:rFonts w:eastAsia="Times New Roman"/>
          <w:bCs/>
          <w:szCs w:val="24"/>
        </w:rPr>
        <w:t xml:space="preserve">fensa de los Derechos Humanos; </w:t>
      </w:r>
      <w:r w:rsidRPr="0028432C">
        <w:rPr>
          <w:rFonts w:eastAsia="Times New Roman"/>
          <w:bCs/>
          <w:szCs w:val="24"/>
        </w:rPr>
        <w:t>ii) fortalecer las capacidades institucionales para la prevención temp</w:t>
      </w:r>
      <w:r w:rsidR="00014F56">
        <w:rPr>
          <w:rFonts w:eastAsia="Times New Roman"/>
          <w:bCs/>
          <w:szCs w:val="24"/>
        </w:rPr>
        <w:t xml:space="preserve">rana y la protección oportuna; </w:t>
      </w:r>
      <w:r w:rsidRPr="0028432C">
        <w:rPr>
          <w:rFonts w:eastAsia="Times New Roman"/>
          <w:bCs/>
          <w:szCs w:val="24"/>
        </w:rPr>
        <w:t>iii) incentivar la adopción de estrategias que fortalezcan las etapas de investigación, judicialización</w:t>
      </w:r>
      <w:r w:rsidR="00014F56">
        <w:rPr>
          <w:rFonts w:eastAsia="Times New Roman"/>
          <w:bCs/>
          <w:szCs w:val="24"/>
        </w:rPr>
        <w:t xml:space="preserve"> y sanción de las agresiones; y </w:t>
      </w:r>
      <w:r w:rsidRPr="0028432C">
        <w:rPr>
          <w:rFonts w:eastAsia="Times New Roman"/>
          <w:bCs/>
          <w:szCs w:val="24"/>
        </w:rPr>
        <w:t>iv) fortalecer las capacidades individuales y colectivas de los defensores de Derechos Humanos, para la promoción y el reconocimiento a dicha labor</w:t>
      </w:r>
      <w:r w:rsidR="00014F56" w:rsidRPr="00973F39">
        <w:rPr>
          <w:rFonts w:eastAsia="Times New Roman"/>
          <w:bCs/>
          <w:sz w:val="18"/>
          <w:szCs w:val="18"/>
          <w:vertAlign w:val="superscript"/>
        </w:rPr>
        <w:footnoteReference w:id="190"/>
      </w:r>
      <w:r w:rsidRPr="0028432C">
        <w:rPr>
          <w:rFonts w:eastAsia="Times New Roman"/>
          <w:bCs/>
          <w:szCs w:val="24"/>
        </w:rPr>
        <w:t>.</w:t>
      </w:r>
    </w:p>
    <w:p w14:paraId="0E241E20" w14:textId="59193873" w:rsidR="00095139" w:rsidRPr="00CE1D94" w:rsidRDefault="00095139" w:rsidP="008357BF">
      <w:pPr>
        <w:pStyle w:val="SingleTxtG"/>
        <w:numPr>
          <w:ilvl w:val="0"/>
          <w:numId w:val="27"/>
        </w:numPr>
        <w:ind w:left="1134" w:firstLine="0"/>
        <w:rPr>
          <w:rFonts w:eastAsia="Times New Roman"/>
          <w:bCs/>
          <w:szCs w:val="24"/>
        </w:rPr>
      </w:pPr>
      <w:r w:rsidRPr="0028432C">
        <w:rPr>
          <w:rFonts w:eastAsia="Times New Roman"/>
          <w:bCs/>
          <w:szCs w:val="24"/>
        </w:rPr>
        <w:t xml:space="preserve">Adicionalmente, </w:t>
      </w:r>
      <w:r>
        <w:rPr>
          <w:rFonts w:eastAsia="Times New Roman"/>
          <w:bCs/>
          <w:szCs w:val="24"/>
        </w:rPr>
        <w:t>d</w:t>
      </w:r>
      <w:r w:rsidRPr="00CE1D94">
        <w:rPr>
          <w:rFonts w:eastAsia="Times New Roman"/>
          <w:bCs/>
          <w:szCs w:val="24"/>
        </w:rPr>
        <w:t xml:space="preserve">esde el año 2016, la </w:t>
      </w:r>
      <w:r>
        <w:rPr>
          <w:rFonts w:eastAsia="Times New Roman"/>
          <w:bCs/>
          <w:szCs w:val="24"/>
        </w:rPr>
        <w:t>FGN</w:t>
      </w:r>
      <w:r w:rsidRPr="00CE1D94">
        <w:rPr>
          <w:rFonts w:eastAsia="Times New Roman"/>
          <w:bCs/>
          <w:szCs w:val="24"/>
        </w:rPr>
        <w:t xml:space="preserve"> creó una estrategia específica para la investigación de delitos contra personas </w:t>
      </w:r>
      <w:r w:rsidRPr="006D49C3">
        <w:t>defensoras</w:t>
      </w:r>
      <w:r w:rsidRPr="00CE1D94">
        <w:rPr>
          <w:rFonts w:eastAsia="Times New Roman"/>
          <w:bCs/>
          <w:szCs w:val="24"/>
        </w:rPr>
        <w:t xml:space="preserve"> de derechos humanos compuesta por varias líneas de acción, una de estas tiene que ver con el fortalecimiento de la investigación del delito de amenazas contra </w:t>
      </w:r>
      <w:r>
        <w:rPr>
          <w:rFonts w:eastAsia="Times New Roman"/>
          <w:bCs/>
          <w:szCs w:val="24"/>
        </w:rPr>
        <w:t>esta población, e</w:t>
      </w:r>
      <w:r w:rsidRPr="00CE1D94">
        <w:rPr>
          <w:rFonts w:eastAsia="Times New Roman"/>
          <w:bCs/>
          <w:szCs w:val="24"/>
        </w:rPr>
        <w:t xml:space="preserve"> incluye la aplicación del enfoque diferencial y territorial</w:t>
      </w:r>
      <w:r w:rsidR="00014F56" w:rsidRPr="00973F39">
        <w:rPr>
          <w:rFonts w:eastAsia="Times New Roman"/>
          <w:bCs/>
          <w:sz w:val="18"/>
          <w:szCs w:val="18"/>
          <w:vertAlign w:val="superscript"/>
        </w:rPr>
        <w:footnoteReference w:id="191"/>
      </w:r>
      <w:r w:rsidRPr="00CE1D94">
        <w:rPr>
          <w:rFonts w:eastAsia="Times New Roman"/>
          <w:bCs/>
          <w:szCs w:val="24"/>
        </w:rPr>
        <w:t>.</w:t>
      </w:r>
    </w:p>
    <w:p w14:paraId="1AA4730A" w14:textId="58A272A5" w:rsidR="00095139" w:rsidRPr="00CE1D94" w:rsidRDefault="00095139" w:rsidP="008357BF">
      <w:pPr>
        <w:pStyle w:val="SingleTxtG"/>
        <w:numPr>
          <w:ilvl w:val="0"/>
          <w:numId w:val="27"/>
        </w:numPr>
        <w:ind w:left="1134" w:firstLine="0"/>
        <w:rPr>
          <w:rFonts w:eastAsia="Times New Roman"/>
          <w:bCs/>
          <w:szCs w:val="24"/>
        </w:rPr>
      </w:pPr>
      <w:r w:rsidRPr="00CE1D94">
        <w:rPr>
          <w:rFonts w:eastAsia="Times New Roman"/>
          <w:bCs/>
          <w:szCs w:val="24"/>
        </w:rPr>
        <w:t xml:space="preserve">Ahora bien, frente al fortalecimiento de las capacidades investigativas en relación con el delito de amenazas, es preciso mencionar que, desde el año 2018, la Fiscalía cuenta con un Grupo de Trabajo Nacional para la Investigación de Amenazas </w:t>
      </w:r>
      <w:r w:rsidRPr="006D49C3">
        <w:t>contra</w:t>
      </w:r>
      <w:r w:rsidRPr="00CE1D94">
        <w:rPr>
          <w:rFonts w:eastAsia="Times New Roman"/>
          <w:bCs/>
          <w:szCs w:val="24"/>
        </w:rPr>
        <w:t xml:space="preserve"> personas defensoras de derechos humanos</w:t>
      </w:r>
      <w:r>
        <w:rPr>
          <w:rFonts w:eastAsia="Times New Roman"/>
          <w:bCs/>
          <w:szCs w:val="24"/>
        </w:rPr>
        <w:t xml:space="preserve"> que ha logrado</w:t>
      </w:r>
      <w:r w:rsidRPr="00BC45BF">
        <w:rPr>
          <w:rFonts w:eastAsia="Times New Roman"/>
          <w:bCs/>
          <w:szCs w:val="24"/>
        </w:rPr>
        <w:t xml:space="preserve"> </w:t>
      </w:r>
      <w:r w:rsidRPr="00CE1D94">
        <w:rPr>
          <w:rFonts w:eastAsia="Times New Roman"/>
          <w:bCs/>
          <w:szCs w:val="24"/>
        </w:rPr>
        <w:t>resultados significativos en el esclarecimiento</w:t>
      </w:r>
      <w:r w:rsidR="00014F56" w:rsidRPr="00973F39">
        <w:rPr>
          <w:rFonts w:eastAsia="Times New Roman"/>
          <w:bCs/>
          <w:sz w:val="18"/>
          <w:szCs w:val="18"/>
          <w:vertAlign w:val="superscript"/>
        </w:rPr>
        <w:footnoteReference w:id="192"/>
      </w:r>
      <w:r w:rsidRPr="00CE1D94">
        <w:rPr>
          <w:rFonts w:eastAsia="Times New Roman"/>
          <w:bCs/>
          <w:szCs w:val="24"/>
        </w:rPr>
        <w:t>.</w:t>
      </w:r>
    </w:p>
    <w:p w14:paraId="31DE1010" w14:textId="0299A349" w:rsidR="00095139" w:rsidRPr="00CE1D94" w:rsidRDefault="00095139" w:rsidP="008357BF">
      <w:pPr>
        <w:pStyle w:val="SingleTxtG"/>
        <w:numPr>
          <w:ilvl w:val="0"/>
          <w:numId w:val="27"/>
        </w:numPr>
        <w:ind w:left="1134" w:firstLine="0"/>
        <w:rPr>
          <w:rFonts w:eastAsia="Times New Roman"/>
          <w:bCs/>
          <w:szCs w:val="24"/>
        </w:rPr>
      </w:pPr>
      <w:r w:rsidRPr="00BC14F2">
        <w:rPr>
          <w:rFonts w:eastAsia="Times New Roman"/>
          <w:bCs/>
          <w:szCs w:val="24"/>
        </w:rPr>
        <w:t xml:space="preserve">En esta medida, de los homicidios reportados por la OACNUDH en Colombia </w:t>
      </w:r>
      <w:r w:rsidRPr="00224B68">
        <w:rPr>
          <w:rFonts w:eastAsia="Times New Roman"/>
          <w:bCs/>
          <w:szCs w:val="24"/>
        </w:rPr>
        <w:t>desde enero del 2016 hasta diciembre de 2020</w:t>
      </w:r>
      <w:r w:rsidRPr="00BC14F2">
        <w:rPr>
          <w:rFonts w:eastAsia="Times New Roman"/>
          <w:bCs/>
          <w:szCs w:val="24"/>
        </w:rPr>
        <w:t>, la Fiscalía tiene avances de esclarecimiento en el 70.43</w:t>
      </w:r>
      <w:r w:rsidR="00280D2C">
        <w:rPr>
          <w:rFonts w:eastAsia="Times New Roman"/>
          <w:bCs/>
          <w:szCs w:val="24"/>
        </w:rPr>
        <w:t xml:space="preserve"> </w:t>
      </w:r>
      <w:r w:rsidRPr="00BC14F2">
        <w:rPr>
          <w:rFonts w:eastAsia="Times New Roman"/>
          <w:bCs/>
          <w:szCs w:val="24"/>
        </w:rPr>
        <w:t>% de las afectaciones</w:t>
      </w:r>
      <w:r w:rsidRPr="00F057D6">
        <w:rPr>
          <w:rFonts w:eastAsia="Times New Roman"/>
          <w:bCs/>
          <w:szCs w:val="24"/>
        </w:rPr>
        <w:t xml:space="preserve"> con corte al 13 de abril de 2022</w:t>
      </w:r>
      <w:r w:rsidRPr="00BC14F2">
        <w:rPr>
          <w:rFonts w:eastAsia="Times New Roman"/>
          <w:bCs/>
          <w:szCs w:val="24"/>
        </w:rPr>
        <w:t>. Por su parte, de los casos reportados por la Defensoría del Pueblo, la Fiscalía registra</w:t>
      </w:r>
      <w:r>
        <w:rPr>
          <w:rFonts w:eastAsia="Times New Roman"/>
          <w:bCs/>
          <w:szCs w:val="24"/>
        </w:rPr>
        <w:t xml:space="preserve"> con esta misma fecha de corte,</w:t>
      </w:r>
      <w:r w:rsidRPr="00BC14F2">
        <w:rPr>
          <w:rFonts w:eastAsia="Times New Roman"/>
          <w:bCs/>
          <w:szCs w:val="24"/>
        </w:rPr>
        <w:t xml:space="preserve"> 66 casos con avance investigativo hacia el esclarecimiento, esto es el 30</w:t>
      </w:r>
      <w:r w:rsidR="00280D2C">
        <w:rPr>
          <w:rFonts w:eastAsia="Times New Roman"/>
          <w:bCs/>
          <w:szCs w:val="24"/>
        </w:rPr>
        <w:t xml:space="preserve"> </w:t>
      </w:r>
      <w:r w:rsidRPr="00BC14F2">
        <w:rPr>
          <w:rFonts w:eastAsia="Times New Roman"/>
          <w:bCs/>
          <w:szCs w:val="24"/>
        </w:rPr>
        <w:t>% de los casos</w:t>
      </w:r>
      <w:r w:rsidR="00014F56" w:rsidRPr="00973F39">
        <w:rPr>
          <w:rFonts w:eastAsia="Times New Roman"/>
          <w:bCs/>
          <w:sz w:val="18"/>
          <w:szCs w:val="18"/>
          <w:vertAlign w:val="superscript"/>
        </w:rPr>
        <w:footnoteReference w:id="193"/>
      </w:r>
      <w:r w:rsidRPr="00BC14F2">
        <w:rPr>
          <w:rFonts w:eastAsia="Times New Roman"/>
          <w:bCs/>
          <w:szCs w:val="24"/>
        </w:rPr>
        <w:t>.</w:t>
      </w:r>
    </w:p>
    <w:p w14:paraId="2F1B0FF4" w14:textId="5B19E4CF" w:rsidR="00095139" w:rsidRPr="008B6527" w:rsidRDefault="00095139" w:rsidP="008357BF">
      <w:pPr>
        <w:pStyle w:val="SingleTxtG"/>
        <w:numPr>
          <w:ilvl w:val="0"/>
          <w:numId w:val="27"/>
        </w:numPr>
        <w:ind w:left="1134" w:firstLine="0"/>
        <w:rPr>
          <w:rFonts w:eastAsia="Times New Roman"/>
          <w:bCs/>
          <w:szCs w:val="24"/>
        </w:rPr>
      </w:pPr>
      <w:r w:rsidRPr="008B6527">
        <w:rPr>
          <w:rFonts w:eastAsia="Times New Roman"/>
          <w:bCs/>
          <w:szCs w:val="24"/>
        </w:rPr>
        <w:t xml:space="preserve">Por otra parte, a través de la coordinación con la Comisión de Derechos Humanos para Pueblos Indígenas, </w:t>
      </w:r>
      <w:r>
        <w:rPr>
          <w:rFonts w:eastAsia="Times New Roman"/>
          <w:bCs/>
          <w:szCs w:val="24"/>
        </w:rPr>
        <w:t xml:space="preserve">el </w:t>
      </w:r>
      <w:r w:rsidRPr="008B6527">
        <w:rPr>
          <w:rFonts w:eastAsia="Times New Roman"/>
          <w:bCs/>
          <w:szCs w:val="24"/>
        </w:rPr>
        <w:t xml:space="preserve">Ministerio del Interior ha avanzado a través de reuniones bilaterales entre el Gobierno Nacional y los pueblos indígenas en la concertación de medidas de prevención y protección encaminadas en salvaguardar los derechos de pueblos indígenas </w:t>
      </w:r>
      <w:r w:rsidRPr="006D49C3">
        <w:t>asentados</w:t>
      </w:r>
      <w:r w:rsidRPr="008B6527">
        <w:rPr>
          <w:rFonts w:eastAsia="Times New Roman"/>
          <w:bCs/>
          <w:szCs w:val="24"/>
        </w:rPr>
        <w:t xml:space="preserve"> en territorio nacional</w:t>
      </w:r>
      <w:r w:rsidR="00014F56" w:rsidRPr="00973F39">
        <w:rPr>
          <w:rFonts w:eastAsia="Times New Roman"/>
          <w:bCs/>
          <w:sz w:val="18"/>
          <w:szCs w:val="18"/>
          <w:vertAlign w:val="superscript"/>
        </w:rPr>
        <w:footnoteReference w:id="194"/>
      </w:r>
      <w:r w:rsidRPr="008B6527">
        <w:rPr>
          <w:rFonts w:eastAsia="Times New Roman"/>
          <w:bCs/>
          <w:szCs w:val="24"/>
        </w:rPr>
        <w:t>.</w:t>
      </w:r>
    </w:p>
    <w:p w14:paraId="3C3FCAD3" w14:textId="18693462" w:rsidR="00095139" w:rsidRDefault="00095139" w:rsidP="008357BF">
      <w:pPr>
        <w:pStyle w:val="SingleTxtG"/>
        <w:numPr>
          <w:ilvl w:val="0"/>
          <w:numId w:val="27"/>
        </w:numPr>
        <w:ind w:left="1134" w:firstLine="0"/>
        <w:rPr>
          <w:rFonts w:eastAsia="Times New Roman"/>
          <w:bCs/>
          <w:szCs w:val="24"/>
        </w:rPr>
      </w:pPr>
      <w:r w:rsidRPr="008B6527">
        <w:rPr>
          <w:rFonts w:eastAsia="Times New Roman"/>
          <w:bCs/>
          <w:szCs w:val="24"/>
        </w:rPr>
        <w:lastRenderedPageBreak/>
        <w:t xml:space="preserve">A </w:t>
      </w:r>
      <w:r>
        <w:rPr>
          <w:rFonts w:eastAsia="Times New Roman"/>
          <w:bCs/>
          <w:szCs w:val="24"/>
        </w:rPr>
        <w:t>junio de 2022</w:t>
      </w:r>
      <w:r w:rsidRPr="008B6527">
        <w:rPr>
          <w:rFonts w:eastAsia="Times New Roman"/>
          <w:bCs/>
          <w:szCs w:val="24"/>
        </w:rPr>
        <w:t xml:space="preserve">, </w:t>
      </w:r>
      <w:r>
        <w:rPr>
          <w:rFonts w:eastAsia="Times New Roman"/>
          <w:bCs/>
          <w:szCs w:val="24"/>
        </w:rPr>
        <w:t>se</w:t>
      </w:r>
      <w:r w:rsidRPr="008B6527">
        <w:rPr>
          <w:rFonts w:eastAsia="Times New Roman"/>
          <w:bCs/>
          <w:szCs w:val="24"/>
        </w:rPr>
        <w:t xml:space="preserve"> ha</w:t>
      </w:r>
      <w:r>
        <w:rPr>
          <w:rFonts w:eastAsia="Times New Roman"/>
          <w:bCs/>
          <w:szCs w:val="24"/>
        </w:rPr>
        <w:t>bía</w:t>
      </w:r>
      <w:r w:rsidRPr="008B6527">
        <w:rPr>
          <w:rFonts w:eastAsia="Times New Roman"/>
          <w:bCs/>
          <w:szCs w:val="24"/>
        </w:rPr>
        <w:t xml:space="preserve"> invertido un total de </w:t>
      </w:r>
      <w:r>
        <w:rPr>
          <w:rFonts w:eastAsia="Times New Roman"/>
          <w:bCs/>
          <w:szCs w:val="24"/>
        </w:rPr>
        <w:t xml:space="preserve">$ </w:t>
      </w:r>
      <w:r w:rsidRPr="008B6527">
        <w:rPr>
          <w:rFonts w:eastAsia="Times New Roman"/>
          <w:bCs/>
          <w:szCs w:val="24"/>
        </w:rPr>
        <w:t>5.169.183.969 en el fortalecimiento de la Comisión de Derechos Humanos para los pueblos indígenas, a través de acciones de articulación a nivel nacional y territorial y formulación de política pública integral</w:t>
      </w:r>
      <w:r w:rsidR="00014F56" w:rsidRPr="00973F39">
        <w:rPr>
          <w:rFonts w:eastAsia="Times New Roman"/>
          <w:bCs/>
          <w:sz w:val="18"/>
          <w:szCs w:val="18"/>
          <w:vertAlign w:val="superscript"/>
        </w:rPr>
        <w:footnoteReference w:id="195"/>
      </w:r>
      <w:r>
        <w:rPr>
          <w:rFonts w:eastAsia="Times New Roman"/>
          <w:bCs/>
          <w:szCs w:val="24"/>
        </w:rPr>
        <w:t>.</w:t>
      </w:r>
    </w:p>
    <w:p w14:paraId="7654C98E" w14:textId="2C083BBC" w:rsidR="00095139" w:rsidRDefault="00095139" w:rsidP="008357BF">
      <w:pPr>
        <w:pStyle w:val="SingleTxtG"/>
        <w:numPr>
          <w:ilvl w:val="0"/>
          <w:numId w:val="27"/>
        </w:numPr>
        <w:ind w:left="1134" w:firstLine="0"/>
        <w:rPr>
          <w:rFonts w:eastAsia="Times New Roman"/>
          <w:bCs/>
          <w:szCs w:val="24"/>
        </w:rPr>
      </w:pPr>
      <w:r>
        <w:rPr>
          <w:rFonts w:eastAsia="Times New Roman"/>
          <w:bCs/>
          <w:szCs w:val="24"/>
        </w:rPr>
        <w:t>Por otra parte, l</w:t>
      </w:r>
      <w:r w:rsidRPr="00501F6F">
        <w:rPr>
          <w:rFonts w:eastAsia="Times New Roman"/>
          <w:bCs/>
          <w:szCs w:val="24"/>
        </w:rPr>
        <w:t xml:space="preserve">a UNP </w:t>
      </w:r>
      <w:r>
        <w:rPr>
          <w:rFonts w:eastAsia="Times New Roman"/>
          <w:bCs/>
          <w:szCs w:val="24"/>
        </w:rPr>
        <w:t>implementa</w:t>
      </w:r>
      <w:r w:rsidRPr="00501F6F">
        <w:rPr>
          <w:rFonts w:eastAsia="Times New Roman"/>
          <w:bCs/>
          <w:szCs w:val="24"/>
        </w:rPr>
        <w:t xml:space="preserve"> rutas de protección individual y colectiva </w:t>
      </w:r>
      <w:r>
        <w:rPr>
          <w:rFonts w:eastAsia="Times New Roman"/>
          <w:bCs/>
          <w:szCs w:val="24"/>
        </w:rPr>
        <w:t>para</w:t>
      </w:r>
      <w:r w:rsidRPr="00501F6F">
        <w:rPr>
          <w:rFonts w:eastAsia="Times New Roman"/>
          <w:bCs/>
          <w:szCs w:val="24"/>
        </w:rPr>
        <w:t xml:space="preserve"> la protección de los derechos a la vida, integridad, libertad y</w:t>
      </w:r>
      <w:r>
        <w:rPr>
          <w:rFonts w:eastAsia="Times New Roman"/>
          <w:bCs/>
          <w:szCs w:val="24"/>
        </w:rPr>
        <w:t xml:space="preserve"> </w:t>
      </w:r>
      <w:r w:rsidRPr="00501F6F">
        <w:rPr>
          <w:rFonts w:eastAsia="Times New Roman"/>
          <w:bCs/>
          <w:szCs w:val="24"/>
        </w:rPr>
        <w:t>seguridad personal de grupos y comunidades en situación de riesgo extraordinario o extremo</w:t>
      </w:r>
      <w:r>
        <w:rPr>
          <w:rFonts w:eastAsia="Times New Roman"/>
          <w:bCs/>
          <w:szCs w:val="24"/>
        </w:rPr>
        <w:t xml:space="preserve">. Entre 2019 y 05 de julio de 2022, implementó 66.342 </w:t>
      </w:r>
      <w:r w:rsidRPr="006D49C3">
        <w:t>medidas</w:t>
      </w:r>
      <w:r w:rsidRPr="001B1140">
        <w:rPr>
          <w:rFonts w:eastAsia="Times New Roman"/>
          <w:bCs/>
          <w:szCs w:val="24"/>
        </w:rPr>
        <w:t xml:space="preserve"> de protección individuales y colectivas</w:t>
      </w:r>
      <w:r>
        <w:rPr>
          <w:rFonts w:eastAsia="Times New Roman"/>
          <w:bCs/>
          <w:szCs w:val="24"/>
        </w:rPr>
        <w:t xml:space="preserve">, </w:t>
      </w:r>
      <w:r w:rsidRPr="004757D7">
        <w:rPr>
          <w:rFonts w:eastAsia="Times New Roman"/>
          <w:bCs/>
          <w:szCs w:val="24"/>
        </w:rPr>
        <w:t>185 Apoyos de Reubicación y 466 Apoyos de Transporte</w:t>
      </w:r>
      <w:r>
        <w:rPr>
          <w:rFonts w:eastAsia="Times New Roman"/>
          <w:bCs/>
          <w:szCs w:val="24"/>
        </w:rPr>
        <w:t xml:space="preserve"> a </w:t>
      </w:r>
      <w:r w:rsidRPr="001B1140">
        <w:rPr>
          <w:rFonts w:eastAsia="Times New Roman"/>
          <w:bCs/>
          <w:szCs w:val="24"/>
        </w:rPr>
        <w:t>la población</w:t>
      </w:r>
      <w:r>
        <w:rPr>
          <w:rFonts w:eastAsia="Times New Roman"/>
          <w:bCs/>
          <w:szCs w:val="24"/>
        </w:rPr>
        <w:t xml:space="preserve"> </w:t>
      </w:r>
      <w:r w:rsidRPr="001B1140">
        <w:rPr>
          <w:rFonts w:eastAsia="Times New Roman"/>
          <w:bCs/>
          <w:szCs w:val="24"/>
        </w:rPr>
        <w:t xml:space="preserve">identificada </w:t>
      </w:r>
      <w:r>
        <w:rPr>
          <w:rFonts w:eastAsia="Times New Roman"/>
          <w:bCs/>
          <w:szCs w:val="24"/>
        </w:rPr>
        <w:t>como</w:t>
      </w:r>
      <w:r w:rsidRPr="001B1140">
        <w:rPr>
          <w:rFonts w:eastAsia="Times New Roman"/>
          <w:bCs/>
          <w:szCs w:val="24"/>
        </w:rPr>
        <w:t xml:space="preserve"> </w:t>
      </w:r>
      <w:r>
        <w:rPr>
          <w:rFonts w:eastAsia="Times New Roman"/>
          <w:bCs/>
          <w:szCs w:val="24"/>
        </w:rPr>
        <w:t>d</w:t>
      </w:r>
      <w:r w:rsidRPr="001B1140">
        <w:rPr>
          <w:rFonts w:eastAsia="Times New Roman"/>
          <w:bCs/>
          <w:szCs w:val="24"/>
        </w:rPr>
        <w:t>irigentes, representantes o miembros de grupos étnicos</w:t>
      </w:r>
      <w:r w:rsidR="00014F56" w:rsidRPr="00973F39">
        <w:rPr>
          <w:sz w:val="18"/>
          <w:szCs w:val="18"/>
          <w:vertAlign w:val="superscript"/>
        </w:rPr>
        <w:footnoteReference w:id="196"/>
      </w:r>
      <w:r>
        <w:rPr>
          <w:rFonts w:eastAsia="Times New Roman"/>
          <w:bCs/>
          <w:szCs w:val="24"/>
        </w:rPr>
        <w:t>.</w:t>
      </w:r>
    </w:p>
    <w:p w14:paraId="2DC542AD" w14:textId="010AB255" w:rsidR="00095139" w:rsidRPr="00CE1D94" w:rsidRDefault="00095139" w:rsidP="008357BF">
      <w:pPr>
        <w:pStyle w:val="SingleTxtG"/>
        <w:numPr>
          <w:ilvl w:val="0"/>
          <w:numId w:val="27"/>
        </w:numPr>
        <w:ind w:left="1134" w:firstLine="0"/>
        <w:rPr>
          <w:rFonts w:eastAsia="Times New Roman"/>
          <w:bCs/>
          <w:szCs w:val="24"/>
        </w:rPr>
      </w:pPr>
      <w:r>
        <w:rPr>
          <w:rFonts w:eastAsia="Times New Roman"/>
          <w:bCs/>
          <w:szCs w:val="24"/>
        </w:rPr>
        <w:t xml:space="preserve">En este mismo periodo, implementó 66.559 medidas de protección a </w:t>
      </w:r>
      <w:r w:rsidRPr="004757D7">
        <w:rPr>
          <w:rFonts w:eastAsia="Times New Roman"/>
          <w:bCs/>
          <w:szCs w:val="24"/>
        </w:rPr>
        <w:t xml:space="preserve">personas defensoras de derechos humanos, en particular </w:t>
      </w:r>
      <w:r w:rsidR="00014F56" w:rsidRPr="004757D7">
        <w:rPr>
          <w:rFonts w:eastAsia="Times New Roman"/>
          <w:bCs/>
          <w:szCs w:val="24"/>
        </w:rPr>
        <w:t>líderes</w:t>
      </w:r>
      <w:r w:rsidRPr="004757D7">
        <w:rPr>
          <w:rFonts w:eastAsia="Times New Roman"/>
          <w:bCs/>
          <w:szCs w:val="24"/>
        </w:rPr>
        <w:t xml:space="preserve"> y</w:t>
      </w:r>
      <w:r>
        <w:rPr>
          <w:rFonts w:eastAsia="Times New Roman"/>
          <w:bCs/>
          <w:szCs w:val="24"/>
        </w:rPr>
        <w:t xml:space="preserve"> </w:t>
      </w:r>
      <w:r w:rsidRPr="004757D7">
        <w:rPr>
          <w:rFonts w:eastAsia="Times New Roman"/>
          <w:bCs/>
          <w:szCs w:val="24"/>
        </w:rPr>
        <w:t xml:space="preserve">lideresas de pueblos indígenas y </w:t>
      </w:r>
      <w:r w:rsidRPr="006D49C3">
        <w:t>comunidades</w:t>
      </w:r>
      <w:r w:rsidRPr="004757D7">
        <w:rPr>
          <w:rFonts w:eastAsia="Times New Roman"/>
          <w:bCs/>
          <w:szCs w:val="24"/>
        </w:rPr>
        <w:t xml:space="preserve"> afrodescendientes</w:t>
      </w:r>
      <w:r>
        <w:rPr>
          <w:rFonts w:eastAsia="Times New Roman"/>
          <w:bCs/>
          <w:szCs w:val="24"/>
        </w:rPr>
        <w:t xml:space="preserve">. La información adicional sobre acciones de protección implementada por la UNP a comunidades étnicas puede ser consultada en el </w:t>
      </w:r>
      <w:r w:rsidRPr="001C14F6">
        <w:rPr>
          <w:rFonts w:eastAsia="Times New Roman"/>
          <w:bCs/>
          <w:szCs w:val="24"/>
        </w:rPr>
        <w:t xml:space="preserve">Anexo </w:t>
      </w:r>
      <w:r>
        <w:rPr>
          <w:rFonts w:eastAsia="Times New Roman"/>
          <w:bCs/>
          <w:szCs w:val="24"/>
        </w:rPr>
        <w:t>7.</w:t>
      </w:r>
    </w:p>
    <w:p w14:paraId="039BA485" w14:textId="38CE43EB" w:rsidR="00095139" w:rsidRPr="00855E3A" w:rsidRDefault="00C307AF" w:rsidP="00C307AF">
      <w:pPr>
        <w:pStyle w:val="H23G"/>
      </w:pPr>
      <w:r>
        <w:tab/>
        <w:t>10.</w:t>
      </w:r>
      <w:r>
        <w:tab/>
      </w:r>
      <w:r w:rsidR="00095139" w:rsidRPr="00855E3A">
        <w:t>Aplicación de la Declaración y el Programa de Acción de Durban (recomendación párr. 34 CERD/C/COL/CO/17-19)</w:t>
      </w:r>
    </w:p>
    <w:p w14:paraId="0503223D" w14:textId="18A2A89B" w:rsidR="00095139" w:rsidRPr="006B3DE6" w:rsidRDefault="00095139" w:rsidP="008357BF">
      <w:pPr>
        <w:pStyle w:val="SingleTxtG"/>
        <w:numPr>
          <w:ilvl w:val="0"/>
          <w:numId w:val="27"/>
        </w:numPr>
        <w:ind w:left="1134" w:firstLine="0"/>
        <w:rPr>
          <w:rFonts w:eastAsia="Times New Roman"/>
          <w:bCs/>
          <w:szCs w:val="24"/>
        </w:rPr>
      </w:pPr>
      <w:r>
        <w:rPr>
          <w:rFonts w:eastAsia="Times New Roman"/>
          <w:bCs/>
          <w:szCs w:val="24"/>
        </w:rPr>
        <w:t>E</w:t>
      </w:r>
      <w:r w:rsidRPr="006B3DE6">
        <w:rPr>
          <w:rFonts w:eastAsia="Times New Roman"/>
          <w:bCs/>
          <w:szCs w:val="24"/>
        </w:rPr>
        <w:t xml:space="preserve">n 2021 </w:t>
      </w:r>
      <w:r>
        <w:rPr>
          <w:rFonts w:eastAsia="Times New Roman"/>
          <w:bCs/>
          <w:szCs w:val="24"/>
        </w:rPr>
        <w:t xml:space="preserve">el Estado construyó </w:t>
      </w:r>
      <w:r w:rsidRPr="006B3DE6">
        <w:rPr>
          <w:rFonts w:eastAsia="Times New Roman"/>
          <w:bCs/>
          <w:szCs w:val="24"/>
        </w:rPr>
        <w:t xml:space="preserve">la política de </w:t>
      </w:r>
      <w:r w:rsidRPr="008C3914">
        <w:rPr>
          <w:rFonts w:eastAsia="Times New Roman"/>
          <w:bCs/>
          <w:szCs w:val="24"/>
        </w:rPr>
        <w:t xml:space="preserve">“Lineamientos y Acciones del Gobierno Nacional para el Respeto y Garantía de los Derechos Humanos en Colombia 2021-2022”, y la </w:t>
      </w:r>
      <w:r w:rsidR="00280D2C">
        <w:rPr>
          <w:rFonts w:eastAsia="Times New Roman"/>
          <w:bCs/>
          <w:szCs w:val="24"/>
        </w:rPr>
        <w:t>“</w:t>
      </w:r>
      <w:r w:rsidRPr="008C3914">
        <w:rPr>
          <w:rFonts w:eastAsia="Times New Roman"/>
          <w:bCs/>
          <w:szCs w:val="24"/>
        </w:rPr>
        <w:t>Actualización y fortalecimiento del Plan Nacional de Educación en Derechos Humanos (</w:t>
      </w:r>
      <w:r w:rsidRPr="006D49C3">
        <w:t>PLANEDH</w:t>
      </w:r>
      <w:r w:rsidRPr="008C3914">
        <w:rPr>
          <w:rFonts w:eastAsia="Times New Roman"/>
          <w:bCs/>
          <w:szCs w:val="24"/>
        </w:rPr>
        <w:t xml:space="preserve"> 2021 - 2034)</w:t>
      </w:r>
      <w:r w:rsidR="00280D2C">
        <w:rPr>
          <w:rFonts w:eastAsia="Times New Roman"/>
          <w:bCs/>
          <w:szCs w:val="24"/>
        </w:rPr>
        <w:t>”</w:t>
      </w:r>
      <w:r w:rsidRPr="008C3914">
        <w:rPr>
          <w:rFonts w:eastAsia="Times New Roman"/>
          <w:bCs/>
          <w:szCs w:val="24"/>
        </w:rPr>
        <w:t xml:space="preserve">, con un componente denominado </w:t>
      </w:r>
      <w:r w:rsidR="00280D2C">
        <w:rPr>
          <w:rFonts w:eastAsia="Times New Roman"/>
          <w:bCs/>
          <w:szCs w:val="24"/>
        </w:rPr>
        <w:t>“</w:t>
      </w:r>
      <w:r w:rsidRPr="008C3914">
        <w:rPr>
          <w:rFonts w:eastAsia="Times New Roman"/>
          <w:bCs/>
          <w:szCs w:val="24"/>
        </w:rPr>
        <w:t>Igualdad, no discriminación y respeto por las identidades</w:t>
      </w:r>
      <w:r w:rsidR="00280D2C">
        <w:rPr>
          <w:rFonts w:eastAsia="Times New Roman"/>
          <w:bCs/>
          <w:szCs w:val="24"/>
        </w:rPr>
        <w:t>”</w:t>
      </w:r>
      <w:r w:rsidRPr="006B3DE6">
        <w:rPr>
          <w:rFonts w:eastAsia="Times New Roman"/>
          <w:bCs/>
          <w:szCs w:val="24"/>
        </w:rPr>
        <w:t>, que busca articular acciones para la eliminación del Racismo, la Discriminación Racial, la Xenofobia y las Formas Conexas de Intolerancia, dirigidas especialmente a las poblaciones más vulnerables del país</w:t>
      </w:r>
      <w:r w:rsidR="00014F56" w:rsidRPr="00973F39">
        <w:rPr>
          <w:rFonts w:eastAsia="Times New Roman"/>
          <w:bCs/>
          <w:sz w:val="18"/>
          <w:szCs w:val="18"/>
          <w:vertAlign w:val="superscript"/>
        </w:rPr>
        <w:footnoteReference w:id="197"/>
      </w:r>
      <w:r w:rsidRPr="006B3DE6">
        <w:rPr>
          <w:rFonts w:eastAsia="Times New Roman"/>
          <w:bCs/>
          <w:szCs w:val="24"/>
        </w:rPr>
        <w:t>.</w:t>
      </w:r>
    </w:p>
    <w:p w14:paraId="6445402C" w14:textId="4A5D77E9" w:rsidR="00095139" w:rsidRPr="006B3DE6" w:rsidRDefault="00095139" w:rsidP="008357BF">
      <w:pPr>
        <w:pStyle w:val="SingleTxtG"/>
        <w:numPr>
          <w:ilvl w:val="0"/>
          <w:numId w:val="27"/>
        </w:numPr>
        <w:ind w:left="1134" w:firstLine="0"/>
        <w:rPr>
          <w:rFonts w:eastAsia="Times New Roman"/>
          <w:bCs/>
          <w:szCs w:val="24"/>
        </w:rPr>
      </w:pPr>
      <w:r w:rsidRPr="006B3DE6">
        <w:rPr>
          <w:rFonts w:eastAsia="Times New Roman"/>
          <w:bCs/>
          <w:szCs w:val="24"/>
        </w:rPr>
        <w:t xml:space="preserve">Al respecto, se destaca que la construcción de los </w:t>
      </w:r>
      <w:r w:rsidRPr="008C3914">
        <w:rPr>
          <w:rFonts w:eastAsia="Times New Roman"/>
          <w:bCs/>
          <w:szCs w:val="24"/>
        </w:rPr>
        <w:t>“Lineamientos y Acciones del Gobierno Nacional para el Respeto y Garantía de los Derechos Humanos en Colombia 2021-2022”</w:t>
      </w:r>
      <w:r w:rsidRPr="006B3DE6">
        <w:rPr>
          <w:rFonts w:eastAsia="Times New Roman"/>
          <w:bCs/>
          <w:szCs w:val="24"/>
        </w:rPr>
        <w:t xml:space="preserve"> se realizó mediante un enfoque de innovación y co-creación, utilizando talleres </w:t>
      </w:r>
      <w:r w:rsidRPr="006D49C3">
        <w:t>virtuales</w:t>
      </w:r>
      <w:r w:rsidRPr="006B3DE6">
        <w:rPr>
          <w:rFonts w:eastAsia="Times New Roman"/>
          <w:bCs/>
          <w:szCs w:val="24"/>
        </w:rPr>
        <w:t>, whatsapp, facebook y formularios en línea en todo el país</w:t>
      </w:r>
      <w:r w:rsidR="00014F56" w:rsidRPr="00973F39">
        <w:rPr>
          <w:rFonts w:eastAsia="Times New Roman"/>
          <w:bCs/>
          <w:sz w:val="18"/>
          <w:szCs w:val="18"/>
          <w:vertAlign w:val="superscript"/>
        </w:rPr>
        <w:footnoteReference w:id="198"/>
      </w:r>
      <w:r w:rsidRPr="006B3DE6">
        <w:rPr>
          <w:rFonts w:eastAsia="Times New Roman"/>
          <w:bCs/>
          <w:szCs w:val="24"/>
        </w:rPr>
        <w:t>.</w:t>
      </w:r>
    </w:p>
    <w:p w14:paraId="4FBBB2CC" w14:textId="41831CFA" w:rsidR="00095139" w:rsidRPr="006B3DE6" w:rsidRDefault="00095139" w:rsidP="008357BF">
      <w:pPr>
        <w:pStyle w:val="SingleTxtG"/>
        <w:numPr>
          <w:ilvl w:val="0"/>
          <w:numId w:val="27"/>
        </w:numPr>
        <w:ind w:left="1134" w:firstLine="0"/>
        <w:rPr>
          <w:rFonts w:eastAsia="Times New Roman"/>
          <w:bCs/>
          <w:szCs w:val="24"/>
        </w:rPr>
      </w:pPr>
      <w:r w:rsidRPr="006B3DE6">
        <w:rPr>
          <w:rFonts w:eastAsia="Times New Roman"/>
          <w:bCs/>
          <w:szCs w:val="24"/>
        </w:rPr>
        <w:t>A través de esta estrategia de participación multicanal se obtuvieron en total 5.532 aportes al PNADDHH, de los cuales 2.322 fueron a través de talleres virtuales, 3.161 a través de grupos de whatsapp y 49 de difusión en redes sociales y página web</w:t>
      </w:r>
      <w:r w:rsidR="00014F56" w:rsidRPr="00973F39">
        <w:rPr>
          <w:rFonts w:eastAsia="Times New Roman"/>
          <w:bCs/>
          <w:sz w:val="18"/>
          <w:szCs w:val="18"/>
          <w:vertAlign w:val="superscript"/>
        </w:rPr>
        <w:footnoteReference w:id="199"/>
      </w:r>
      <w:r w:rsidRPr="006B3DE6">
        <w:rPr>
          <w:rFonts w:eastAsia="Times New Roman"/>
          <w:bCs/>
          <w:szCs w:val="24"/>
        </w:rPr>
        <w:t>.</w:t>
      </w:r>
    </w:p>
    <w:p w14:paraId="6EC71BA4" w14:textId="332B0525" w:rsidR="00095139" w:rsidRPr="006B3DE6" w:rsidRDefault="00095139" w:rsidP="008357BF">
      <w:pPr>
        <w:pStyle w:val="SingleTxtG"/>
        <w:numPr>
          <w:ilvl w:val="0"/>
          <w:numId w:val="27"/>
        </w:numPr>
        <w:ind w:left="1134" w:firstLine="0"/>
        <w:rPr>
          <w:rFonts w:eastAsia="Times New Roman"/>
          <w:bCs/>
          <w:szCs w:val="24"/>
        </w:rPr>
      </w:pPr>
      <w:r w:rsidRPr="006B3DE6">
        <w:rPr>
          <w:rFonts w:eastAsia="Times New Roman"/>
          <w:bCs/>
          <w:szCs w:val="24"/>
        </w:rPr>
        <w:t xml:space="preserve">De acuerdo con la base de datos, del total de 4.717 participantes en la estrategia multicanal de talleres y grupos de WhatsApp, la cual tuvo cubrimiento de </w:t>
      </w:r>
      <w:r w:rsidRPr="006D49C3">
        <w:t>todos</w:t>
      </w:r>
      <w:r w:rsidRPr="006B3DE6">
        <w:rPr>
          <w:rFonts w:eastAsia="Times New Roman"/>
          <w:bCs/>
          <w:szCs w:val="24"/>
        </w:rPr>
        <w:t xml:space="preserve"> los departamentos del país, 1.159 fueron personas con pertenencia étnica; 353 indígenas, 8 Rrom y 798 NARP. La población NARP que participó representa un 16,9</w:t>
      </w:r>
      <w:r w:rsidR="00280D2C">
        <w:rPr>
          <w:rFonts w:eastAsia="Times New Roman"/>
          <w:bCs/>
          <w:szCs w:val="24"/>
        </w:rPr>
        <w:t xml:space="preserve"> </w:t>
      </w:r>
      <w:r w:rsidRPr="006B3DE6">
        <w:rPr>
          <w:rFonts w:eastAsia="Times New Roman"/>
          <w:bCs/>
          <w:szCs w:val="24"/>
        </w:rPr>
        <w:t>% del total de personas que hicieron parte de la construcción del Plan</w:t>
      </w:r>
      <w:r w:rsidR="00014F56" w:rsidRPr="00973F39">
        <w:rPr>
          <w:rFonts w:eastAsia="Times New Roman"/>
          <w:bCs/>
          <w:sz w:val="18"/>
          <w:szCs w:val="18"/>
          <w:vertAlign w:val="superscript"/>
        </w:rPr>
        <w:footnoteReference w:id="200"/>
      </w:r>
      <w:r w:rsidRPr="006B3DE6">
        <w:rPr>
          <w:rFonts w:eastAsia="Times New Roman"/>
          <w:bCs/>
          <w:szCs w:val="24"/>
        </w:rPr>
        <w:t>.</w:t>
      </w:r>
    </w:p>
    <w:p w14:paraId="677C531E" w14:textId="7F62EFB5" w:rsidR="00095139" w:rsidRPr="006B3DE6" w:rsidRDefault="00095139" w:rsidP="008357BF">
      <w:pPr>
        <w:pStyle w:val="SingleTxtG"/>
        <w:numPr>
          <w:ilvl w:val="0"/>
          <w:numId w:val="27"/>
        </w:numPr>
        <w:ind w:left="1134" w:firstLine="0"/>
        <w:rPr>
          <w:rFonts w:eastAsia="Times New Roman"/>
          <w:bCs/>
          <w:szCs w:val="24"/>
        </w:rPr>
      </w:pPr>
      <w:r w:rsidRPr="006B3DE6">
        <w:rPr>
          <w:rFonts w:eastAsia="Times New Roman"/>
          <w:bCs/>
          <w:szCs w:val="24"/>
        </w:rPr>
        <w:t xml:space="preserve">De otra parte, </w:t>
      </w:r>
      <w:r>
        <w:rPr>
          <w:rFonts w:eastAsia="Times New Roman"/>
          <w:bCs/>
          <w:szCs w:val="24"/>
        </w:rPr>
        <w:t>se</w:t>
      </w:r>
      <w:r w:rsidRPr="006B3DE6">
        <w:rPr>
          <w:rFonts w:eastAsia="Times New Roman"/>
          <w:bCs/>
          <w:szCs w:val="24"/>
        </w:rPr>
        <w:t xml:space="preserve"> expidió el Plan Nacional de Acción de Empresas y Derechos Humanos 2020-2022 “</w:t>
      </w:r>
      <w:r w:rsidRPr="004F0961">
        <w:rPr>
          <w:rFonts w:eastAsia="Times New Roman"/>
          <w:bCs/>
          <w:szCs w:val="24"/>
        </w:rPr>
        <w:t>Juntos lo hacemos posible, resiliencia y solidaridad</w:t>
      </w:r>
      <w:r w:rsidRPr="00280D2C">
        <w:rPr>
          <w:rFonts w:eastAsia="Times New Roman"/>
          <w:bCs/>
          <w:iCs/>
          <w:szCs w:val="24"/>
        </w:rPr>
        <w:t>”</w:t>
      </w:r>
      <w:r w:rsidRPr="00280D2C">
        <w:rPr>
          <w:rFonts w:eastAsia="Times New Roman"/>
          <w:iCs/>
          <w:szCs w:val="24"/>
        </w:rPr>
        <w:t>,</w:t>
      </w:r>
      <w:r w:rsidRPr="006B3DE6">
        <w:rPr>
          <w:rFonts w:eastAsia="Times New Roman"/>
          <w:bCs/>
          <w:i/>
          <w:szCs w:val="24"/>
        </w:rPr>
        <w:t xml:space="preserve"> </w:t>
      </w:r>
      <w:r w:rsidRPr="006B3DE6">
        <w:rPr>
          <w:rFonts w:eastAsia="Times New Roman"/>
          <w:bCs/>
          <w:szCs w:val="24"/>
        </w:rPr>
        <w:t xml:space="preserve">con el cual se busca dar cumplimiento a los Principios Rectores bajo la premisa de impulsar el desarrollo económico sostenible, la conducta empresarial responsable y fortalecer la reactivación económica y social con perspectiva de </w:t>
      </w:r>
      <w:r w:rsidRPr="006D49C3">
        <w:t>Derechos</w:t>
      </w:r>
      <w:r w:rsidRPr="006B3DE6">
        <w:rPr>
          <w:rFonts w:eastAsia="Times New Roman"/>
          <w:bCs/>
          <w:szCs w:val="24"/>
        </w:rPr>
        <w:t xml:space="preserve"> Humanos</w:t>
      </w:r>
      <w:r w:rsidR="00014F56" w:rsidRPr="00973F39">
        <w:rPr>
          <w:rFonts w:eastAsia="Times New Roman"/>
          <w:bCs/>
          <w:sz w:val="18"/>
          <w:szCs w:val="18"/>
          <w:vertAlign w:val="superscript"/>
        </w:rPr>
        <w:footnoteReference w:id="201"/>
      </w:r>
      <w:r w:rsidRPr="006B3DE6">
        <w:rPr>
          <w:rFonts w:eastAsia="Times New Roman"/>
          <w:bCs/>
          <w:szCs w:val="24"/>
        </w:rPr>
        <w:t>.</w:t>
      </w:r>
    </w:p>
    <w:p w14:paraId="278D9F82" w14:textId="55A0FEA7" w:rsidR="00095139" w:rsidRPr="006B3DE6" w:rsidRDefault="00095139" w:rsidP="008357BF">
      <w:pPr>
        <w:pStyle w:val="SingleTxtG"/>
        <w:numPr>
          <w:ilvl w:val="0"/>
          <w:numId w:val="27"/>
        </w:numPr>
        <w:ind w:left="1134" w:firstLine="0"/>
        <w:rPr>
          <w:rFonts w:eastAsia="Times New Roman"/>
          <w:bCs/>
          <w:szCs w:val="24"/>
        </w:rPr>
      </w:pPr>
      <w:r w:rsidRPr="006B3DE6">
        <w:rPr>
          <w:rFonts w:eastAsia="Times New Roman"/>
          <w:bCs/>
          <w:szCs w:val="24"/>
        </w:rPr>
        <w:t>Este Plan cuenta con un enfoque de Derechos Humanos y enfoques diferenciales</w:t>
      </w:r>
      <w:r>
        <w:rPr>
          <w:rFonts w:eastAsia="Times New Roman"/>
          <w:bCs/>
          <w:szCs w:val="24"/>
        </w:rPr>
        <w:t>, y</w:t>
      </w:r>
      <w:r w:rsidRPr="006B3DE6">
        <w:rPr>
          <w:rFonts w:eastAsia="Times New Roman"/>
          <w:bCs/>
          <w:szCs w:val="24"/>
        </w:rPr>
        <w:t xml:space="preserve"> pretende impulsar a las empresas a liderar iniciativas de solidaridad, respeto y promoción de los derechos humanos, ayudando a los más vulnerables, a través de una conducta </w:t>
      </w:r>
      <w:r w:rsidRPr="006D49C3">
        <w:t>empresarial</w:t>
      </w:r>
      <w:r w:rsidRPr="006B3DE6">
        <w:rPr>
          <w:rFonts w:eastAsia="Times New Roman"/>
          <w:bCs/>
          <w:szCs w:val="24"/>
        </w:rPr>
        <w:t xml:space="preserve"> responsable y verificando que sus actividades no los afecten</w:t>
      </w:r>
      <w:r w:rsidR="00014F56" w:rsidRPr="00973F39">
        <w:rPr>
          <w:rFonts w:eastAsia="Times New Roman"/>
          <w:bCs/>
          <w:sz w:val="18"/>
          <w:szCs w:val="18"/>
          <w:vertAlign w:val="superscript"/>
        </w:rPr>
        <w:footnoteReference w:id="202"/>
      </w:r>
      <w:r w:rsidRPr="006B3DE6">
        <w:rPr>
          <w:rFonts w:eastAsia="Times New Roman"/>
          <w:bCs/>
          <w:szCs w:val="24"/>
        </w:rPr>
        <w:t>.</w:t>
      </w:r>
    </w:p>
    <w:p w14:paraId="7F2D107F" w14:textId="1471372F" w:rsidR="00095139" w:rsidRPr="006B3DE6" w:rsidRDefault="00095139" w:rsidP="008357BF">
      <w:pPr>
        <w:pStyle w:val="SingleTxtG"/>
        <w:numPr>
          <w:ilvl w:val="0"/>
          <w:numId w:val="27"/>
        </w:numPr>
        <w:ind w:left="1134" w:firstLine="0"/>
        <w:rPr>
          <w:rFonts w:eastAsia="Times New Roman"/>
          <w:bCs/>
          <w:szCs w:val="24"/>
        </w:rPr>
      </w:pPr>
      <w:r w:rsidRPr="006B3DE6">
        <w:rPr>
          <w:rFonts w:eastAsia="Times New Roman"/>
          <w:bCs/>
          <w:szCs w:val="24"/>
        </w:rPr>
        <w:t xml:space="preserve">El Plan cuenta con 3 pilares fundamentales: i) el deber del Estado de proteger los Derechos Humanos en las actividades empresariales, ii) el deber de respeto de los Derechos </w:t>
      </w:r>
      <w:r w:rsidRPr="006B3DE6">
        <w:rPr>
          <w:rFonts w:eastAsia="Times New Roman"/>
          <w:bCs/>
          <w:szCs w:val="24"/>
        </w:rPr>
        <w:lastRenderedPageBreak/>
        <w:t xml:space="preserve">Humanos </w:t>
      </w:r>
      <w:r w:rsidRPr="006D49C3">
        <w:t>por</w:t>
      </w:r>
      <w:r w:rsidRPr="006B3DE6">
        <w:rPr>
          <w:rFonts w:eastAsia="Times New Roman"/>
          <w:bCs/>
          <w:szCs w:val="24"/>
        </w:rPr>
        <w:t xml:space="preserve"> parte de las empresas y iii) los mecanismos de remediación. Cada pilar tiene ejes de trabajo que contienen acciones a cargo de entidades del Estado o de gremios empresariales. El plan cuenta con 95 acciones a cargo de 34 entidades del Estado</w:t>
      </w:r>
      <w:r w:rsidR="00014F56" w:rsidRPr="00973F39">
        <w:rPr>
          <w:rFonts w:eastAsia="Times New Roman"/>
          <w:bCs/>
          <w:sz w:val="18"/>
          <w:szCs w:val="18"/>
          <w:vertAlign w:val="superscript"/>
        </w:rPr>
        <w:footnoteReference w:id="203"/>
      </w:r>
      <w:r w:rsidRPr="006B3DE6">
        <w:rPr>
          <w:rFonts w:eastAsia="Times New Roman"/>
          <w:bCs/>
          <w:szCs w:val="24"/>
        </w:rPr>
        <w:t>.</w:t>
      </w:r>
    </w:p>
    <w:p w14:paraId="7EDEC2E8" w14:textId="0AD04A19" w:rsidR="00095139" w:rsidRPr="00855E3A" w:rsidRDefault="007103C4" w:rsidP="007103C4">
      <w:pPr>
        <w:pStyle w:val="H23G"/>
      </w:pPr>
      <w:r>
        <w:tab/>
        <w:t>11.</w:t>
      </w:r>
      <w:r>
        <w:tab/>
      </w:r>
      <w:r w:rsidR="00095139" w:rsidRPr="00855E3A">
        <w:t xml:space="preserve">Implementación del Decenio Internacional para los Afrodescendientes (recomendación párr. 35 CERD/C/COL/CO/17-19; </w:t>
      </w:r>
      <w:r w:rsidR="00280D2C">
        <w:br/>
      </w:r>
      <w:r w:rsidR="00095139" w:rsidRPr="00855E3A">
        <w:t>Recomendación General No.</w:t>
      </w:r>
      <w:r w:rsidR="00280D2C">
        <w:t xml:space="preserve"> </w:t>
      </w:r>
      <w:r w:rsidR="00095139" w:rsidRPr="00855E3A">
        <w:t>34)</w:t>
      </w:r>
    </w:p>
    <w:p w14:paraId="42E83857" w14:textId="73B74D70" w:rsidR="00095139" w:rsidRPr="006B3DE6" w:rsidRDefault="00095139" w:rsidP="008357BF">
      <w:pPr>
        <w:pStyle w:val="SingleTxtG"/>
        <w:numPr>
          <w:ilvl w:val="0"/>
          <w:numId w:val="27"/>
        </w:numPr>
        <w:ind w:left="1134" w:firstLine="0"/>
        <w:rPr>
          <w:rFonts w:eastAsia="Times New Roman"/>
          <w:bCs/>
          <w:szCs w:val="24"/>
        </w:rPr>
      </w:pPr>
      <w:r w:rsidRPr="006B3DE6">
        <w:rPr>
          <w:rFonts w:eastAsia="Times New Roman"/>
          <w:bCs/>
          <w:szCs w:val="24"/>
        </w:rPr>
        <w:t xml:space="preserve">El </w:t>
      </w:r>
      <w:r>
        <w:rPr>
          <w:rFonts w:eastAsia="Times New Roman"/>
          <w:bCs/>
          <w:szCs w:val="24"/>
        </w:rPr>
        <w:t>Estado</w:t>
      </w:r>
      <w:r w:rsidRPr="006B3DE6">
        <w:rPr>
          <w:rFonts w:eastAsia="Times New Roman"/>
          <w:bCs/>
          <w:szCs w:val="24"/>
        </w:rPr>
        <w:t xml:space="preserve"> en un trabajo articulado, logró el diseño de un curso de formación no formal en Derechos Humanos y Derecho Internacional Humanitario denominado </w:t>
      </w:r>
      <w:r w:rsidRPr="00E5743A">
        <w:rPr>
          <w:rFonts w:eastAsia="Times New Roman"/>
          <w:bCs/>
          <w:szCs w:val="24"/>
        </w:rPr>
        <w:t xml:space="preserve">“Derechos humanos y derecho internacional humanitario para comunidades </w:t>
      </w:r>
      <w:r>
        <w:rPr>
          <w:rFonts w:eastAsia="Times New Roman"/>
          <w:bCs/>
          <w:szCs w:val="24"/>
        </w:rPr>
        <w:t>NARP</w:t>
      </w:r>
      <w:r w:rsidRPr="00E5743A">
        <w:rPr>
          <w:rFonts w:eastAsia="Times New Roman"/>
          <w:bCs/>
          <w:szCs w:val="24"/>
        </w:rPr>
        <w:t>”</w:t>
      </w:r>
      <w:r w:rsidRPr="006B3DE6">
        <w:rPr>
          <w:rFonts w:eastAsia="Times New Roman"/>
          <w:bCs/>
          <w:szCs w:val="24"/>
        </w:rPr>
        <w:t>. La oferta y virtualización se ha dado desde del mes de diciembre de 2021 por parte de la ESAP, en la modalidad de diplomado de 80 horas, y está dirigido a miembros pertenecientes a comunidades NARP</w:t>
      </w:r>
      <w:r w:rsidR="00014F56" w:rsidRPr="00973F39">
        <w:rPr>
          <w:rFonts w:eastAsia="Times New Roman"/>
          <w:bCs/>
          <w:sz w:val="18"/>
          <w:szCs w:val="18"/>
          <w:vertAlign w:val="superscript"/>
        </w:rPr>
        <w:footnoteReference w:id="204"/>
      </w:r>
      <w:r w:rsidRPr="006B3DE6">
        <w:rPr>
          <w:rFonts w:eastAsia="Times New Roman"/>
          <w:bCs/>
          <w:szCs w:val="24"/>
        </w:rPr>
        <w:t>.</w:t>
      </w:r>
    </w:p>
    <w:p w14:paraId="61C63766" w14:textId="75868891" w:rsidR="00095139" w:rsidRPr="00E5743A" w:rsidRDefault="00095139" w:rsidP="008357BF">
      <w:pPr>
        <w:pStyle w:val="SingleTxtG"/>
        <w:numPr>
          <w:ilvl w:val="0"/>
          <w:numId w:val="27"/>
        </w:numPr>
        <w:ind w:left="1134" w:firstLine="0"/>
        <w:rPr>
          <w:rFonts w:eastAsia="Times New Roman"/>
          <w:bCs/>
          <w:szCs w:val="24"/>
        </w:rPr>
      </w:pPr>
      <w:r>
        <w:rPr>
          <w:rFonts w:eastAsia="Times New Roman"/>
          <w:bCs/>
          <w:szCs w:val="24"/>
        </w:rPr>
        <w:t>Igualmente, se han</w:t>
      </w:r>
      <w:r w:rsidRPr="00E5743A">
        <w:rPr>
          <w:rFonts w:eastAsia="Times New Roman"/>
          <w:bCs/>
          <w:szCs w:val="24"/>
        </w:rPr>
        <w:t xml:space="preserve"> realizado dos foros del Decenio Internacional, </w:t>
      </w:r>
      <w:r w:rsidRPr="00E5743A">
        <w:t>que</w:t>
      </w:r>
      <w:r>
        <w:t xml:space="preserve"> tuvieron </w:t>
      </w:r>
      <w:r w:rsidRPr="00E5743A">
        <w:rPr>
          <w:rFonts w:eastAsia="Times New Roman"/>
          <w:bCs/>
          <w:szCs w:val="24"/>
        </w:rPr>
        <w:t xml:space="preserve">como objetivo </w:t>
      </w:r>
      <w:r>
        <w:rPr>
          <w:rFonts w:eastAsia="Times New Roman"/>
          <w:bCs/>
          <w:szCs w:val="24"/>
        </w:rPr>
        <w:t>i</w:t>
      </w:r>
      <w:r w:rsidRPr="00E5743A">
        <w:rPr>
          <w:rFonts w:eastAsia="Times New Roman"/>
          <w:bCs/>
          <w:szCs w:val="24"/>
        </w:rPr>
        <w:t>mpulsar el diálogo para el cumplimiento de la política pública y los derechos de los pueblos y comunidades afrodescendientes de la región andina, mediante la realización del II</w:t>
      </w:r>
      <w:r w:rsidR="00014F56">
        <w:rPr>
          <w:rFonts w:eastAsia="Times New Roman"/>
          <w:bCs/>
          <w:szCs w:val="24"/>
        </w:rPr>
        <w:t> </w:t>
      </w:r>
      <w:r w:rsidRPr="00E5743A">
        <w:rPr>
          <w:rFonts w:eastAsia="Times New Roman"/>
          <w:bCs/>
          <w:szCs w:val="24"/>
        </w:rPr>
        <w:t>Foro Internacional Afro andino, que permita evidenciar los avances, buenas prácticas, desafíos y dificultades en la implementación del Decenio Internacional para los Afrodescendientes I y II Foro del Decenio Internacional. Se discutieron tres temáticas entre Colombia, Bolivia, Perú y Ecuador</w:t>
      </w:r>
      <w:r w:rsidR="00014F56" w:rsidRPr="00973F39">
        <w:rPr>
          <w:rFonts w:eastAsia="Times New Roman"/>
          <w:bCs/>
          <w:sz w:val="18"/>
          <w:szCs w:val="18"/>
          <w:vertAlign w:val="superscript"/>
        </w:rPr>
        <w:footnoteReference w:id="205"/>
      </w:r>
      <w:r w:rsidRPr="00E5743A">
        <w:rPr>
          <w:rFonts w:eastAsia="Times New Roman"/>
          <w:bCs/>
          <w:szCs w:val="24"/>
        </w:rPr>
        <w:t>:</w:t>
      </w:r>
    </w:p>
    <w:p w14:paraId="0C481D13" w14:textId="77777777" w:rsidR="00095139" w:rsidRPr="00E5743A" w:rsidRDefault="00095139" w:rsidP="007103C4">
      <w:pPr>
        <w:pStyle w:val="Bullet1G"/>
      </w:pPr>
      <w:r w:rsidRPr="00E5743A">
        <w:t>Evidenciar los avances y dificultades por parte de las instituciones de los Estados, encargadas del diseño y ejecución de las políticas, planes y programas en respuesta a las demandas de las poblaciones afrodescendientes, en el marco del Decenio.</w:t>
      </w:r>
    </w:p>
    <w:p w14:paraId="45900D49" w14:textId="77777777" w:rsidR="00095139" w:rsidRPr="00E5743A" w:rsidRDefault="00095139" w:rsidP="007103C4">
      <w:pPr>
        <w:pStyle w:val="Bullet1G"/>
      </w:pPr>
      <w:r w:rsidRPr="00E5743A">
        <w:t>Visibilizar las experiencias y buenas prácticas que permitan el fortalecimiento organizativo de la sociedad civil afrodescendiente de la subregión, promoviendo su participación, concertación, diálogo e incidencia ante las instituciones del Estado y los organismos internacionales.</w:t>
      </w:r>
    </w:p>
    <w:p w14:paraId="425A89E1" w14:textId="77777777" w:rsidR="00095139" w:rsidRPr="00E5743A" w:rsidRDefault="00095139" w:rsidP="007103C4">
      <w:pPr>
        <w:pStyle w:val="Bullet1G"/>
      </w:pPr>
      <w:r w:rsidRPr="00E5743A">
        <w:t>Plantear los desafíos de corresponsabilidad entre las instituciones, la sociedad civil y el Sistema de Integración Andino para lograr el cumplimiento de los objetivos del Decenio, a través de una declaración de compromisos y una hoja de ruta con acciones a corto y mediano plazo.</w:t>
      </w:r>
    </w:p>
    <w:p w14:paraId="266846D8" w14:textId="5CED98FB" w:rsidR="00095139" w:rsidRPr="008F1298" w:rsidRDefault="007103C4" w:rsidP="007103C4">
      <w:pPr>
        <w:pStyle w:val="H1G"/>
      </w:pPr>
      <w:r>
        <w:tab/>
        <w:t>B.</w:t>
      </w:r>
      <w:r>
        <w:tab/>
      </w:r>
      <w:r w:rsidR="00095139" w:rsidRPr="00855E3A">
        <w:t>Acceso a la justicia: Implementación del artículo 6 de la Convención</w:t>
      </w:r>
    </w:p>
    <w:p w14:paraId="09729899" w14:textId="15FC5E6F" w:rsidR="00095139" w:rsidRPr="00855E3A" w:rsidRDefault="007103C4" w:rsidP="007103C4">
      <w:pPr>
        <w:pStyle w:val="H23G"/>
      </w:pPr>
      <w:r>
        <w:tab/>
        <w:t>1.</w:t>
      </w:r>
      <w:r>
        <w:tab/>
      </w:r>
      <w:r w:rsidR="00095139" w:rsidRPr="00855E3A">
        <w:t>Medidas para la garantía y protección de los pueblos indígenas (recomendación</w:t>
      </w:r>
      <w:r w:rsidR="00280D2C">
        <w:t> </w:t>
      </w:r>
      <w:r w:rsidR="00095139" w:rsidRPr="00855E3A">
        <w:t>párr.</w:t>
      </w:r>
      <w:r w:rsidR="00280D2C">
        <w:t> </w:t>
      </w:r>
      <w:r w:rsidR="00095139" w:rsidRPr="00855E3A">
        <w:t>15 b CERD/C/COL/CO/17-19)</w:t>
      </w:r>
    </w:p>
    <w:p w14:paraId="0C54EE0B" w14:textId="5A4ABFF7" w:rsidR="00095139" w:rsidRPr="001650DF" w:rsidRDefault="00095139" w:rsidP="008357BF">
      <w:pPr>
        <w:pStyle w:val="SingleTxtG"/>
        <w:numPr>
          <w:ilvl w:val="0"/>
          <w:numId w:val="27"/>
        </w:numPr>
        <w:ind w:left="1134" w:firstLine="0"/>
        <w:rPr>
          <w:rFonts w:eastAsia="Times New Roman"/>
          <w:bCs/>
          <w:szCs w:val="24"/>
        </w:rPr>
      </w:pPr>
      <w:r>
        <w:rPr>
          <w:rFonts w:eastAsia="Times New Roman"/>
          <w:bCs/>
          <w:szCs w:val="24"/>
        </w:rPr>
        <w:t xml:space="preserve">El Estado, </w:t>
      </w:r>
      <w:r w:rsidRPr="001650DF">
        <w:rPr>
          <w:rFonts w:eastAsia="Times New Roman"/>
          <w:bCs/>
          <w:szCs w:val="24"/>
        </w:rPr>
        <w:t>mediante la Resolución 1049 de 2019, a través de la UARIV, adoptó el procedimiento para reconocer y otorgar la indemnización por vía administrativa</w:t>
      </w:r>
      <w:r>
        <w:rPr>
          <w:rFonts w:eastAsia="Times New Roman"/>
          <w:bCs/>
          <w:szCs w:val="24"/>
        </w:rPr>
        <w:t xml:space="preserve">. Este procedimiento contiene </w:t>
      </w:r>
      <w:r w:rsidRPr="001650DF">
        <w:rPr>
          <w:rFonts w:eastAsia="Times New Roman"/>
          <w:bCs/>
          <w:szCs w:val="24"/>
        </w:rPr>
        <w:t xml:space="preserve">criterios que dan prelación en el desembolso de la medida, </w:t>
      </w:r>
      <w:r>
        <w:rPr>
          <w:rFonts w:eastAsia="Times New Roman"/>
          <w:bCs/>
          <w:szCs w:val="24"/>
        </w:rPr>
        <w:t xml:space="preserve">y </w:t>
      </w:r>
      <w:r w:rsidRPr="001650DF">
        <w:rPr>
          <w:rFonts w:eastAsia="Times New Roman"/>
          <w:bCs/>
          <w:szCs w:val="24"/>
        </w:rPr>
        <w:t>tiene</w:t>
      </w:r>
      <w:r>
        <w:rPr>
          <w:rFonts w:eastAsia="Times New Roman"/>
          <w:bCs/>
          <w:szCs w:val="24"/>
        </w:rPr>
        <w:t>n</w:t>
      </w:r>
      <w:r w:rsidRPr="001650DF">
        <w:rPr>
          <w:rFonts w:eastAsia="Times New Roman"/>
          <w:bCs/>
          <w:szCs w:val="24"/>
        </w:rPr>
        <w:t xml:space="preserve"> como </w:t>
      </w:r>
      <w:r>
        <w:rPr>
          <w:rFonts w:eastAsia="Times New Roman"/>
          <w:bCs/>
          <w:szCs w:val="24"/>
        </w:rPr>
        <w:t xml:space="preserve">fin </w:t>
      </w:r>
      <w:r w:rsidRPr="001650DF">
        <w:rPr>
          <w:rFonts w:eastAsia="Times New Roman"/>
          <w:bCs/>
          <w:szCs w:val="24"/>
        </w:rPr>
        <w:t>priorizar a las personas que presentan una mayor vulnerabilidad</w:t>
      </w:r>
      <w:r w:rsidR="00014F56" w:rsidRPr="00973F39">
        <w:rPr>
          <w:rFonts w:eastAsia="Times New Roman"/>
          <w:bCs/>
          <w:sz w:val="18"/>
          <w:szCs w:val="18"/>
          <w:vertAlign w:val="superscript"/>
        </w:rPr>
        <w:footnoteReference w:id="206"/>
      </w:r>
      <w:r w:rsidRPr="001650DF">
        <w:rPr>
          <w:rFonts w:eastAsia="Times New Roman"/>
          <w:bCs/>
          <w:szCs w:val="24"/>
        </w:rPr>
        <w:t>.</w:t>
      </w:r>
    </w:p>
    <w:p w14:paraId="313CC1E9" w14:textId="6B13784F" w:rsidR="00095139" w:rsidRPr="001650DF" w:rsidRDefault="00095139" w:rsidP="008357BF">
      <w:pPr>
        <w:pStyle w:val="SingleTxtG"/>
        <w:numPr>
          <w:ilvl w:val="0"/>
          <w:numId w:val="27"/>
        </w:numPr>
        <w:ind w:left="1134" w:firstLine="0"/>
        <w:rPr>
          <w:rFonts w:eastAsia="Times New Roman"/>
          <w:bCs/>
          <w:szCs w:val="24"/>
        </w:rPr>
      </w:pPr>
      <w:r w:rsidRPr="001650DF">
        <w:rPr>
          <w:rFonts w:eastAsia="Times New Roman"/>
          <w:bCs/>
          <w:szCs w:val="24"/>
        </w:rPr>
        <w:t xml:space="preserve">Asimismo, el </w:t>
      </w:r>
      <w:r w:rsidRPr="006D49C3">
        <w:t>procedimiento</w:t>
      </w:r>
      <w:r w:rsidRPr="001650DF">
        <w:rPr>
          <w:rFonts w:eastAsia="Times New Roman"/>
          <w:bCs/>
          <w:szCs w:val="24"/>
        </w:rPr>
        <w:t xml:space="preserve"> reglado prevé que existen un número significativo de víctimas que no se encuentran en las situaciones descritas, por lo que estableció la aplicación del “Método Técnico de Priorización” para garantizar y determinar el orden de entrega de la medida de estas personas de acuerdo a la disponibilidad presupuestal anual y de conformidad con el análisis que se realiza de las variables demográficas, socioeconómicas, de caracterización del daño, y de avance en el proceso de reparación integral</w:t>
      </w:r>
      <w:r w:rsidR="00014F56" w:rsidRPr="00973F39">
        <w:rPr>
          <w:rFonts w:eastAsia="Times New Roman"/>
          <w:bCs/>
          <w:sz w:val="18"/>
          <w:szCs w:val="18"/>
          <w:vertAlign w:val="superscript"/>
        </w:rPr>
        <w:footnoteReference w:id="207"/>
      </w:r>
      <w:r w:rsidRPr="001650DF">
        <w:rPr>
          <w:rFonts w:eastAsia="Times New Roman"/>
          <w:bCs/>
          <w:szCs w:val="24"/>
        </w:rPr>
        <w:t xml:space="preserve">. </w:t>
      </w:r>
    </w:p>
    <w:p w14:paraId="02E7DE0A" w14:textId="3464ACFE" w:rsidR="00095139" w:rsidRDefault="00095139" w:rsidP="008357BF">
      <w:pPr>
        <w:pStyle w:val="SingleTxtG"/>
        <w:numPr>
          <w:ilvl w:val="0"/>
          <w:numId w:val="27"/>
        </w:numPr>
        <w:ind w:left="1134" w:firstLine="0"/>
        <w:rPr>
          <w:rFonts w:eastAsia="Times New Roman"/>
          <w:bCs/>
          <w:szCs w:val="24"/>
        </w:rPr>
      </w:pPr>
      <w:r w:rsidRPr="00240D24">
        <w:rPr>
          <w:rFonts w:eastAsia="Times New Roman"/>
          <w:bCs/>
          <w:szCs w:val="24"/>
        </w:rPr>
        <w:t xml:space="preserve">De conformidad con lo expuesto, es de mencionar que, entre el 01 de enero de 2019 al 28 de febrero de 2022, la UARIV ha ordenado el pago de la medida de indemnización administrativa a las víctimas con pertenencia étnica por un total de 541.993.563.903 </w:t>
      </w:r>
      <w:r w:rsidRPr="00240D24">
        <w:rPr>
          <w:rFonts w:eastAsia="Times New Roman"/>
          <w:bCs/>
          <w:szCs w:val="24"/>
        </w:rPr>
        <w:lastRenderedPageBreak/>
        <w:t>(</w:t>
      </w:r>
      <w:r w:rsidRPr="00FF5276">
        <w:rPr>
          <w:rFonts w:eastAsia="Times New Roman"/>
          <w:bCs/>
          <w:szCs w:val="24"/>
        </w:rPr>
        <w:t>Anexo</w:t>
      </w:r>
      <w:r w:rsidR="00014F56">
        <w:rPr>
          <w:rFonts w:eastAsia="Times New Roman"/>
          <w:bCs/>
          <w:szCs w:val="24"/>
        </w:rPr>
        <w:t> </w:t>
      </w:r>
      <w:r>
        <w:rPr>
          <w:rFonts w:eastAsia="Times New Roman"/>
          <w:bCs/>
          <w:szCs w:val="24"/>
        </w:rPr>
        <w:t>5</w:t>
      </w:r>
      <w:r w:rsidRPr="00FF5276">
        <w:rPr>
          <w:rFonts w:eastAsia="Times New Roman"/>
          <w:bCs/>
          <w:szCs w:val="24"/>
        </w:rPr>
        <w:t xml:space="preserve"> - Tabla 3</w:t>
      </w:r>
      <w:r w:rsidRPr="00240D24">
        <w:rPr>
          <w:rFonts w:eastAsia="Times New Roman"/>
          <w:bCs/>
          <w:szCs w:val="24"/>
        </w:rPr>
        <w:t>). De otra parte, respecto a los procesos de reparación colectiva, en materia de indemnizaciones a favor de indígenas, negros, afrocolom</w:t>
      </w:r>
      <w:r w:rsidR="00014F56">
        <w:rPr>
          <w:rFonts w:eastAsia="Times New Roman"/>
          <w:bCs/>
          <w:szCs w:val="24"/>
        </w:rPr>
        <w:t xml:space="preserve">bianos y palenqueros, entre el </w:t>
      </w:r>
      <w:r w:rsidRPr="00240D24">
        <w:rPr>
          <w:rFonts w:eastAsia="Times New Roman"/>
          <w:bCs/>
          <w:szCs w:val="24"/>
        </w:rPr>
        <w:t>1</w:t>
      </w:r>
      <w:r w:rsidR="00014F56">
        <w:rPr>
          <w:rFonts w:eastAsia="Times New Roman"/>
          <w:bCs/>
          <w:szCs w:val="24"/>
        </w:rPr>
        <w:t> </w:t>
      </w:r>
      <w:r w:rsidRPr="00240D24">
        <w:rPr>
          <w:rFonts w:eastAsia="Times New Roman"/>
          <w:bCs/>
          <w:szCs w:val="24"/>
        </w:rPr>
        <w:t>de enero de 2019 al 31 de marzo de 2022, se realizó la implementación de la medida de indemnización étnica a 62 sujetos étnicos con una inversión cercana a los 16.892 millones de pesos</w:t>
      </w:r>
      <w:r w:rsidR="00014F56">
        <w:rPr>
          <w:rStyle w:val="Refdenotaalpie"/>
          <w:rFonts w:eastAsia="Times New Roman"/>
          <w:bCs/>
          <w:szCs w:val="24"/>
        </w:rPr>
        <w:footnoteReference w:id="208"/>
      </w:r>
      <w:r w:rsidRPr="00240D24">
        <w:rPr>
          <w:rFonts w:eastAsia="Times New Roman"/>
          <w:bCs/>
          <w:szCs w:val="24"/>
        </w:rPr>
        <w:t>.</w:t>
      </w:r>
    </w:p>
    <w:p w14:paraId="143DE9AC" w14:textId="25E27F75" w:rsidR="00095139" w:rsidRPr="006D49C3" w:rsidRDefault="00095139" w:rsidP="008357BF">
      <w:pPr>
        <w:pStyle w:val="SingleTxtG"/>
        <w:numPr>
          <w:ilvl w:val="0"/>
          <w:numId w:val="27"/>
        </w:numPr>
        <w:ind w:left="1134" w:firstLine="0"/>
      </w:pPr>
      <w:r w:rsidRPr="006D49C3">
        <w:t>Durante el periodo 2019 a marzo 2022, en el marco del programa de reparación colectiva, se adelantó la implementación de 200 acciones de reparación beneficiando a 58</w:t>
      </w:r>
      <w:r w:rsidR="00014F56">
        <w:t> </w:t>
      </w:r>
      <w:r w:rsidRPr="006D49C3">
        <w:t>sujetos de reparación colectiva étnicos, acumulando así un total de 272 acciones reparadoras implementadas en 62 sujetos</w:t>
      </w:r>
      <w:r w:rsidR="00014F56" w:rsidRPr="00973F39">
        <w:rPr>
          <w:sz w:val="18"/>
          <w:szCs w:val="18"/>
          <w:vertAlign w:val="superscript"/>
        </w:rPr>
        <w:footnoteReference w:id="209"/>
      </w:r>
      <w:r w:rsidRPr="006D49C3">
        <w:t>.</w:t>
      </w:r>
    </w:p>
    <w:p w14:paraId="263A1C44" w14:textId="7C5C5894" w:rsidR="00095139" w:rsidRPr="006D49C3" w:rsidRDefault="00095139" w:rsidP="008357BF">
      <w:pPr>
        <w:pStyle w:val="SingleTxtG"/>
        <w:numPr>
          <w:ilvl w:val="0"/>
          <w:numId w:val="27"/>
        </w:numPr>
        <w:ind w:left="1134" w:firstLine="0"/>
      </w:pPr>
      <w:r w:rsidRPr="006D49C3">
        <w:t>También se entregaron dotaciones, bienes de uso colectivo a través del apoyo a proyectos productivos y proyectos de infraestructura social y comunitaria con una inversión cercana a los 28.623 millones a 32 sujetos de reparación colectiva étnicos. 22 de ellos se encuentran ubicados en municipios PDET</w:t>
      </w:r>
      <w:r w:rsidR="00014F56" w:rsidRPr="00973F39">
        <w:rPr>
          <w:sz w:val="18"/>
          <w:szCs w:val="18"/>
          <w:vertAlign w:val="superscript"/>
        </w:rPr>
        <w:footnoteReference w:id="210"/>
      </w:r>
      <w:r w:rsidRPr="006D49C3">
        <w:t>.</w:t>
      </w:r>
    </w:p>
    <w:p w14:paraId="1E5B30B3" w14:textId="628004B1" w:rsidR="00095139" w:rsidRPr="006D49C3" w:rsidRDefault="00095139" w:rsidP="008357BF">
      <w:pPr>
        <w:pStyle w:val="SingleTxtG"/>
        <w:numPr>
          <w:ilvl w:val="0"/>
          <w:numId w:val="27"/>
        </w:numPr>
        <w:ind w:left="1134" w:firstLine="0"/>
      </w:pPr>
      <w:r w:rsidRPr="006D49C3">
        <w:t>Durante el periodo reportado, se realizó la implementación de la medida de indemnización étnica a 34 sujetos en el marco del programa de reparación colectiva, con una inversión de 9.529.097.040,85.</w:t>
      </w:r>
    </w:p>
    <w:p w14:paraId="2B680E42" w14:textId="09FD2225" w:rsidR="00095139" w:rsidRPr="006D49C3" w:rsidRDefault="00095139" w:rsidP="008357BF">
      <w:pPr>
        <w:pStyle w:val="SingleTxtG"/>
        <w:numPr>
          <w:ilvl w:val="0"/>
          <w:numId w:val="27"/>
        </w:numPr>
        <w:ind w:left="1134" w:firstLine="0"/>
      </w:pPr>
      <w:r w:rsidRPr="006D49C3">
        <w:t>Es de señalar que la UARIV, desde la vigencia 2019 hasta abril de 2022, ha formulado y protocolizado 24 Planes Específicos y 4 Planes de Asistencia y Atención en el marco de la implementación de la orden 3 del Auto 005 de 2009 y la orden 2 del Auto 073 de 2014</w:t>
      </w:r>
      <w:r w:rsidR="00014F56" w:rsidRPr="00973F39">
        <w:rPr>
          <w:sz w:val="18"/>
          <w:szCs w:val="18"/>
          <w:vertAlign w:val="superscript"/>
        </w:rPr>
        <w:footnoteReference w:id="211"/>
      </w:r>
      <w:r w:rsidRPr="006D49C3">
        <w:t xml:space="preserve">. </w:t>
      </w:r>
    </w:p>
    <w:p w14:paraId="51F7BB8A" w14:textId="0DBF7D4D" w:rsidR="00095139" w:rsidRPr="006D49C3" w:rsidRDefault="00095139" w:rsidP="008357BF">
      <w:pPr>
        <w:pStyle w:val="SingleTxtG"/>
        <w:numPr>
          <w:ilvl w:val="0"/>
          <w:numId w:val="27"/>
        </w:numPr>
        <w:ind w:left="1134" w:firstLine="0"/>
      </w:pPr>
      <w:r w:rsidRPr="006D49C3">
        <w:t>En este sentido, durante el 2019, se formularon Planes Específicos con 14 consejos comunitarios de los departamentos de Cauca, Nariño y Chocó (Anexo 5 - Tabla 4) en la vigencia 2020, se formularon e implementaron Planes Específicos con 5 consejos comunitarios del departamento de Chocó (Anexo 5 - Tabla 5). Finalmente, en el año 2021, se formularon e implementaron Planes Específicos con 10 consejos comunitarios de los departamentos de Chocó y Bolívar (Anexo 5 - Tabla 6)</w:t>
      </w:r>
      <w:r w:rsidR="00014F56" w:rsidRPr="00973F39">
        <w:rPr>
          <w:sz w:val="18"/>
          <w:szCs w:val="18"/>
          <w:vertAlign w:val="superscript"/>
        </w:rPr>
        <w:footnoteReference w:id="212"/>
      </w:r>
      <w:r w:rsidRPr="006D49C3">
        <w:t>.</w:t>
      </w:r>
    </w:p>
    <w:p w14:paraId="27E27480" w14:textId="7C065FA4" w:rsidR="00095139" w:rsidRPr="006D49C3" w:rsidRDefault="00095139" w:rsidP="008357BF">
      <w:pPr>
        <w:pStyle w:val="SingleTxtG"/>
        <w:numPr>
          <w:ilvl w:val="0"/>
          <w:numId w:val="27"/>
        </w:numPr>
        <w:ind w:left="1134" w:firstLine="0"/>
      </w:pPr>
      <w:r w:rsidRPr="006D49C3">
        <w:t>En el marco del proceso de implementación de los Planes Específicos que se han formulado desde el año 2019, la UARIV ha implementado 46 medidas que corresponden a la línea de fortalecimiento político organizativo, de identidad cultural y de contribución a los emprendimientos comunitarios en el marco de la generación de ingresos. A partir del 2021, se vienen implementando acciones de fortalecimiento a la infraestructura social y comunitaria, proyectos agropecuarios y dotaciones a través de los Consejos Comunitarios con su respectiva identificación en el territorio (Anexo 5 - Tabla 7)</w:t>
      </w:r>
      <w:r w:rsidR="00014F56" w:rsidRPr="00973F39">
        <w:rPr>
          <w:sz w:val="18"/>
          <w:szCs w:val="18"/>
          <w:vertAlign w:val="superscript"/>
        </w:rPr>
        <w:footnoteReference w:id="213"/>
      </w:r>
      <w:r w:rsidRPr="006D49C3">
        <w:t>.</w:t>
      </w:r>
    </w:p>
    <w:p w14:paraId="359C2466" w14:textId="6A5D47DE" w:rsidR="00095139" w:rsidRPr="006D49C3" w:rsidRDefault="00095139" w:rsidP="008357BF">
      <w:pPr>
        <w:pStyle w:val="SingleTxtG"/>
        <w:numPr>
          <w:ilvl w:val="0"/>
          <w:numId w:val="27"/>
        </w:numPr>
        <w:ind w:left="1134" w:firstLine="0"/>
      </w:pPr>
      <w:r w:rsidRPr="006D49C3">
        <w:t>Durante el 2020, se realizaron asistencias en distintos componentes, como 16</w:t>
      </w:r>
      <w:r w:rsidR="00014F56">
        <w:t> </w:t>
      </w:r>
      <w:r w:rsidRPr="006D49C3">
        <w:t>asistencias técnicas a las comunidades en los Planes de Acción Territorial; 11 asistencias técnicas a comunidades NARP, con consejos comunitarios y con la Mesa Nacional; 19</w:t>
      </w:r>
      <w:r w:rsidR="00014F56">
        <w:t> </w:t>
      </w:r>
      <w:r w:rsidRPr="006D49C3">
        <w:t>asistencias técnicas a comunidades y Pueblos Indígenas; 15 asistencias técnicas con apoyo de la FAO con comunidades de tres departamentos y a nivel Nacional. Igualmente, se realizaron diálogos con las Mesas de participación de víctimas en asuntos relativos al seguimiento a los acuerdos con las Mesas departamentales, capacitación a entidades territoriales, capacitación a líderes y lideresas de las Mesas de Participación y, finalmente, a la gestión con entidades del SNARIV con Mesas Departamentales</w:t>
      </w:r>
      <w:r w:rsidR="00014F56" w:rsidRPr="00973F39">
        <w:rPr>
          <w:sz w:val="18"/>
          <w:szCs w:val="18"/>
          <w:vertAlign w:val="superscript"/>
        </w:rPr>
        <w:footnoteReference w:id="214"/>
      </w:r>
      <w:r w:rsidRPr="006D49C3">
        <w:t>.</w:t>
      </w:r>
    </w:p>
    <w:p w14:paraId="422D24FC" w14:textId="12315664" w:rsidR="00095139" w:rsidRPr="001650DF" w:rsidRDefault="00095139" w:rsidP="008357BF">
      <w:pPr>
        <w:pStyle w:val="SingleTxtG"/>
        <w:numPr>
          <w:ilvl w:val="0"/>
          <w:numId w:val="27"/>
        </w:numPr>
        <w:ind w:left="1134" w:firstLine="0"/>
        <w:rPr>
          <w:rFonts w:eastAsia="Times New Roman"/>
          <w:bCs/>
          <w:szCs w:val="24"/>
        </w:rPr>
      </w:pPr>
      <w:r w:rsidRPr="006D49C3">
        <w:t>Finalmente, para la vigencia 2021, se realizaron 50 asistencias técnicas a comunidades étnicas, desde las Direcciones Territoriales de la UARIV</w:t>
      </w:r>
      <w:r w:rsidRPr="00973F39">
        <w:rPr>
          <w:rFonts w:eastAsia="Times New Roman"/>
          <w:bCs/>
          <w:sz w:val="18"/>
          <w:szCs w:val="18"/>
          <w:vertAlign w:val="superscript"/>
        </w:rPr>
        <w:footnoteReference w:id="215"/>
      </w:r>
      <w:r w:rsidR="00014F56">
        <w:t>.</w:t>
      </w:r>
    </w:p>
    <w:p w14:paraId="58F0BFC5" w14:textId="0128AF72" w:rsidR="00095139" w:rsidRPr="005E3330" w:rsidRDefault="007103C4" w:rsidP="007103C4">
      <w:pPr>
        <w:pStyle w:val="H23G"/>
      </w:pPr>
      <w:r>
        <w:lastRenderedPageBreak/>
        <w:tab/>
        <w:t>2.</w:t>
      </w:r>
      <w:r>
        <w:tab/>
      </w:r>
      <w:r w:rsidR="00095139" w:rsidRPr="005E3330">
        <w:t xml:space="preserve">Acceso </w:t>
      </w:r>
      <w:r w:rsidR="00095139">
        <w:t xml:space="preserve">a la justicia </w:t>
      </w:r>
      <w:r w:rsidR="00095139" w:rsidRPr="005E3330">
        <w:t>para las mujeres afrocolombianas e indígenas (recomendación</w:t>
      </w:r>
      <w:r w:rsidR="00280D2C">
        <w:t> </w:t>
      </w:r>
      <w:r w:rsidR="00095139" w:rsidRPr="005E3330">
        <w:t>párr. 25 c CERD/C/COL/CO/17-19)</w:t>
      </w:r>
    </w:p>
    <w:p w14:paraId="26F9DBCF" w14:textId="6E12231F" w:rsidR="00095139" w:rsidRDefault="00095139" w:rsidP="008357BF">
      <w:pPr>
        <w:pStyle w:val="SingleTxtG"/>
        <w:numPr>
          <w:ilvl w:val="0"/>
          <w:numId w:val="27"/>
        </w:numPr>
        <w:ind w:left="1134" w:firstLine="0"/>
      </w:pPr>
      <w:r>
        <w:t>El Estado colombiano, a través de la Consejería Presidencial para la Equidad de la Mujer ha impulsado una Iniciativa Nacional de Equidad, Emprendimiento y Seguridad de Mujeres en Sectores Rurales – INES</w:t>
      </w:r>
      <w:r>
        <w:rPr>
          <w:rStyle w:val="Refdenotaalpie"/>
        </w:rPr>
        <w:footnoteReference w:id="216"/>
      </w:r>
      <w:r>
        <w:t>, que busca llevar justicia a la puerta a los hogares de las mujeres rurales y sus familias y despliega acciones para la prevención y atención de violencias contra las mujeres en zonas rurales</w:t>
      </w:r>
      <w:r w:rsidR="00014F56">
        <w:rPr>
          <w:rStyle w:val="Refdenotaalpie"/>
        </w:rPr>
        <w:footnoteReference w:id="217"/>
      </w:r>
      <w:r>
        <w:t>.</w:t>
      </w:r>
    </w:p>
    <w:p w14:paraId="5A72559C" w14:textId="234BB116" w:rsidR="00095139" w:rsidRDefault="00095139" w:rsidP="008357BF">
      <w:pPr>
        <w:pStyle w:val="SingleTxtG"/>
        <w:numPr>
          <w:ilvl w:val="0"/>
          <w:numId w:val="27"/>
        </w:numPr>
        <w:ind w:left="1134" w:firstLine="0"/>
        <w:rPr>
          <w:rFonts w:eastAsia="Times New Roman"/>
          <w:bCs/>
          <w:szCs w:val="24"/>
        </w:rPr>
      </w:pPr>
      <w:r>
        <w:t>La misma pretende incidir, mediante procesos de capacitación y sensibilización con la comunidad y de coordinación interinstitucional, en los municipios focalizados, entre los cuales se destacan Quibdó, Buenaventura, Palmira, Mitú y Leticia, en donde se encuentra un alto porcentaje de población afrodescendiente e indígena y adicionalmente se presentan mayores niveles de violencias contra las mujeres, así como brechas de acceso a la justicia en el ámbito rural. En el año 2022, se alcanzó un total de 5.089 personas beneficiadas en el total de municipios priorizados</w:t>
      </w:r>
      <w:r w:rsidR="00014F56">
        <w:rPr>
          <w:rStyle w:val="Refdenotaalpie"/>
        </w:rPr>
        <w:footnoteReference w:id="218"/>
      </w:r>
      <w:r>
        <w:t>.</w:t>
      </w:r>
    </w:p>
    <w:p w14:paraId="6F4B3176" w14:textId="10DF57EC" w:rsidR="00095139" w:rsidRPr="00DD170F" w:rsidRDefault="00095139" w:rsidP="008357BF">
      <w:pPr>
        <w:pStyle w:val="SingleTxtG"/>
        <w:numPr>
          <w:ilvl w:val="0"/>
          <w:numId w:val="27"/>
        </w:numPr>
        <w:ind w:left="1134" w:firstLine="0"/>
        <w:rPr>
          <w:rFonts w:eastAsia="Times New Roman"/>
          <w:bCs/>
          <w:szCs w:val="24"/>
        </w:rPr>
      </w:pPr>
      <w:r w:rsidRPr="00DD170F">
        <w:rPr>
          <w:rFonts w:eastAsia="Times New Roman"/>
          <w:bCs/>
          <w:szCs w:val="24"/>
        </w:rPr>
        <w:t xml:space="preserve">En relación con los casos de violencia sexual ocurridos con ocasión o en el marco del conflicto armado colombiano, la FGN ha </w:t>
      </w:r>
      <w:r w:rsidRPr="006D49C3">
        <w:t>trabajado</w:t>
      </w:r>
      <w:r w:rsidR="00014F56">
        <w:rPr>
          <w:rFonts w:eastAsia="Times New Roman"/>
          <w:bCs/>
          <w:szCs w:val="24"/>
        </w:rPr>
        <w:t xml:space="preserve"> de manera decidida en: </w:t>
      </w:r>
      <w:r w:rsidRPr="00DD170F">
        <w:rPr>
          <w:rFonts w:eastAsia="Times New Roman"/>
          <w:bCs/>
          <w:szCs w:val="24"/>
        </w:rPr>
        <w:t>i) el diseño e implementación del protocolo de inve</w:t>
      </w:r>
      <w:r w:rsidR="00014F56">
        <w:rPr>
          <w:rFonts w:eastAsia="Times New Roman"/>
          <w:bCs/>
          <w:szCs w:val="24"/>
        </w:rPr>
        <w:t xml:space="preserve">stigación de violencia sexual; </w:t>
      </w:r>
      <w:r w:rsidRPr="00DD170F">
        <w:rPr>
          <w:rFonts w:eastAsia="Times New Roman"/>
          <w:bCs/>
          <w:szCs w:val="24"/>
        </w:rPr>
        <w:t xml:space="preserve">ii) la puesta en marcha de una estrategia de priorización para la investigación y judicialización de la violencia sexual ocurría en </w:t>
      </w:r>
      <w:r w:rsidR="00014F56">
        <w:rPr>
          <w:rFonts w:eastAsia="Times New Roman"/>
          <w:bCs/>
          <w:szCs w:val="24"/>
        </w:rPr>
        <w:t xml:space="preserve">el marco del conflicto armado; </w:t>
      </w:r>
      <w:r w:rsidRPr="00DD170F">
        <w:rPr>
          <w:rFonts w:eastAsia="Times New Roman"/>
          <w:bCs/>
          <w:szCs w:val="24"/>
        </w:rPr>
        <w:t xml:space="preserve">iii) el fortalecimiento de las Direcciones Seccionales para la investigación de delitos de violencia sexual; </w:t>
      </w:r>
      <w:r>
        <w:rPr>
          <w:rFonts w:eastAsia="Times New Roman"/>
          <w:bCs/>
          <w:szCs w:val="24"/>
        </w:rPr>
        <w:t xml:space="preserve">y </w:t>
      </w:r>
      <w:r w:rsidRPr="00DD170F">
        <w:rPr>
          <w:rFonts w:eastAsia="Times New Roman"/>
          <w:bCs/>
          <w:szCs w:val="24"/>
        </w:rPr>
        <w:t>iv) el fortalecimiento de la estrategia de investigación en el marco de la ley de Justicia y Paz</w:t>
      </w:r>
      <w:r w:rsidR="00014F56" w:rsidRPr="00973F39">
        <w:rPr>
          <w:rFonts w:eastAsia="Times New Roman"/>
          <w:bCs/>
          <w:sz w:val="18"/>
          <w:szCs w:val="18"/>
          <w:vertAlign w:val="superscript"/>
        </w:rPr>
        <w:footnoteReference w:id="219"/>
      </w:r>
      <w:r w:rsidRPr="00DD170F">
        <w:rPr>
          <w:rFonts w:eastAsia="Times New Roman"/>
          <w:bCs/>
          <w:szCs w:val="24"/>
        </w:rPr>
        <w:t>.</w:t>
      </w:r>
    </w:p>
    <w:p w14:paraId="32B57C5F" w14:textId="633CB25B" w:rsidR="00095139" w:rsidRPr="00DD170F" w:rsidRDefault="00095139" w:rsidP="008357BF">
      <w:pPr>
        <w:pStyle w:val="SingleTxtG"/>
        <w:numPr>
          <w:ilvl w:val="0"/>
          <w:numId w:val="27"/>
        </w:numPr>
        <w:ind w:left="1134" w:firstLine="0"/>
        <w:rPr>
          <w:rFonts w:eastAsia="Times New Roman"/>
          <w:bCs/>
          <w:szCs w:val="24"/>
        </w:rPr>
      </w:pPr>
      <w:r w:rsidRPr="00DD170F">
        <w:rPr>
          <w:rFonts w:eastAsia="Times New Roman"/>
          <w:bCs/>
          <w:szCs w:val="24"/>
        </w:rPr>
        <w:t xml:space="preserve">A partir del 2020 y hasta la fecha, se ha venido desarrollando una estrategia sobre </w:t>
      </w:r>
      <w:r>
        <w:rPr>
          <w:rFonts w:eastAsia="Times New Roman"/>
          <w:bCs/>
          <w:szCs w:val="24"/>
        </w:rPr>
        <w:t>las</w:t>
      </w:r>
      <w:r w:rsidRPr="00DD170F">
        <w:rPr>
          <w:rFonts w:eastAsia="Times New Roman"/>
          <w:bCs/>
          <w:szCs w:val="24"/>
        </w:rPr>
        <w:t xml:space="preserve"> investigaciones adelantadas con ocasión de los casos remitidos por la Corte Constitucional, cuyo objetivo es lograr el impulso procesal a corto plazo, para así generar actuaciones judiciales que representen esclarecimiento.</w:t>
      </w:r>
      <w:r>
        <w:rPr>
          <w:rFonts w:eastAsia="Times New Roman"/>
          <w:bCs/>
          <w:szCs w:val="24"/>
        </w:rPr>
        <w:t xml:space="preserve"> </w:t>
      </w:r>
      <w:r w:rsidRPr="00DD170F">
        <w:rPr>
          <w:rFonts w:eastAsia="Times New Roman"/>
          <w:bCs/>
          <w:szCs w:val="24"/>
        </w:rPr>
        <w:t>El plan de trabajo está enfocado en la depuración e impulso de los casos, verificando el universo y estado actual de las investigaciones penales, priorizando y realizando seguimiento a los casos activos</w:t>
      </w:r>
      <w:r w:rsidR="00014F56" w:rsidRPr="00973F39">
        <w:rPr>
          <w:rFonts w:eastAsia="Times New Roman"/>
          <w:bCs/>
          <w:sz w:val="18"/>
          <w:szCs w:val="18"/>
          <w:vertAlign w:val="superscript"/>
        </w:rPr>
        <w:footnoteReference w:id="220"/>
      </w:r>
      <w:r w:rsidRPr="00DD170F">
        <w:rPr>
          <w:rFonts w:eastAsia="Times New Roman"/>
          <w:bCs/>
          <w:szCs w:val="24"/>
        </w:rPr>
        <w:t>.</w:t>
      </w:r>
    </w:p>
    <w:p w14:paraId="77710FC4" w14:textId="2A932630" w:rsidR="00095139" w:rsidRDefault="00095139" w:rsidP="008357BF">
      <w:pPr>
        <w:pStyle w:val="SingleTxtG"/>
        <w:numPr>
          <w:ilvl w:val="0"/>
          <w:numId w:val="27"/>
        </w:numPr>
        <w:ind w:left="1134" w:firstLine="0"/>
        <w:rPr>
          <w:rFonts w:eastAsia="Times New Roman"/>
          <w:bCs/>
          <w:szCs w:val="24"/>
        </w:rPr>
      </w:pPr>
      <w:r w:rsidRPr="00DD170F">
        <w:rPr>
          <w:rFonts w:eastAsia="Times New Roman"/>
          <w:bCs/>
          <w:szCs w:val="24"/>
        </w:rPr>
        <w:t xml:space="preserve">Esta estrategia fue planteada </w:t>
      </w:r>
      <w:r w:rsidRPr="006D49C3">
        <w:t>para</w:t>
      </w:r>
      <w:r w:rsidRPr="00DD170F">
        <w:rPr>
          <w:rFonts w:eastAsia="Times New Roman"/>
          <w:bCs/>
          <w:szCs w:val="24"/>
        </w:rPr>
        <w:t xml:space="preserve"> desarrollarse en las siguientes 2 fases</w:t>
      </w:r>
      <w:r>
        <w:rPr>
          <w:rFonts w:eastAsia="Times New Roman"/>
          <w:bCs/>
          <w:szCs w:val="24"/>
        </w:rPr>
        <w:t>:</w:t>
      </w:r>
    </w:p>
    <w:p w14:paraId="4776C871" w14:textId="628A7F38" w:rsidR="00095139" w:rsidRDefault="00095139" w:rsidP="007103C4">
      <w:pPr>
        <w:pStyle w:val="SingleTxtG"/>
        <w:numPr>
          <w:ilvl w:val="1"/>
          <w:numId w:val="34"/>
        </w:numPr>
        <w:ind w:left="1134" w:firstLine="567"/>
      </w:pPr>
      <w:r w:rsidRPr="00DD170F">
        <w:t>“Establecer Universos”, en la que se inicia por la verificación del universo y el estado actual de las investigaciones penales. De esa manera, con el propósito de normalizar la base de datos que contiene los registros, se consolidó la información en una herramienta de seguimiento</w:t>
      </w:r>
      <w:r>
        <w:t xml:space="preserve"> y </w:t>
      </w:r>
      <w:r w:rsidRPr="00DD170F">
        <w:t>se actualizó el estado de cada investigación</w:t>
      </w:r>
      <w:r w:rsidR="00014F56" w:rsidRPr="00973F39">
        <w:rPr>
          <w:sz w:val="18"/>
          <w:szCs w:val="18"/>
          <w:vertAlign w:val="superscript"/>
        </w:rPr>
        <w:footnoteReference w:id="221"/>
      </w:r>
      <w:r w:rsidR="00280D2C">
        <w:t>;</w:t>
      </w:r>
    </w:p>
    <w:p w14:paraId="32F462CE" w14:textId="763F745D" w:rsidR="00095139" w:rsidRPr="00DD170F" w:rsidRDefault="00095139" w:rsidP="007103C4">
      <w:pPr>
        <w:pStyle w:val="SingleTxtG"/>
        <w:numPr>
          <w:ilvl w:val="1"/>
          <w:numId w:val="34"/>
        </w:numPr>
        <w:ind w:left="1134" w:firstLine="567"/>
      </w:pPr>
      <w:r w:rsidRPr="00DD170F">
        <w:t>priorización y seguimiento de los casos activos</w:t>
      </w:r>
      <w:r>
        <w:t xml:space="preserve">, </w:t>
      </w:r>
      <w:r w:rsidRPr="00DD170F">
        <w:t>cada una de las Delegadas de la Fiscalía realizaría a través de mesas de seguimiento, la identificación de aquellos casos con proyección de esclarecimiento para dar impulso a dichas investigaciones</w:t>
      </w:r>
      <w:r w:rsidR="00014F56" w:rsidRPr="00973F39">
        <w:rPr>
          <w:sz w:val="18"/>
          <w:szCs w:val="18"/>
          <w:vertAlign w:val="superscript"/>
        </w:rPr>
        <w:footnoteReference w:id="222"/>
      </w:r>
      <w:r w:rsidRPr="00DD170F">
        <w:t>.</w:t>
      </w:r>
    </w:p>
    <w:p w14:paraId="647F44D0" w14:textId="2F48D93D" w:rsidR="00095139" w:rsidRPr="00DD170F" w:rsidRDefault="00095139" w:rsidP="008357BF">
      <w:pPr>
        <w:pStyle w:val="SingleTxtG"/>
        <w:numPr>
          <w:ilvl w:val="0"/>
          <w:numId w:val="27"/>
        </w:numPr>
        <w:ind w:left="1134" w:firstLine="0"/>
        <w:rPr>
          <w:rFonts w:eastAsia="Times New Roman"/>
          <w:bCs/>
          <w:szCs w:val="24"/>
        </w:rPr>
      </w:pPr>
      <w:r w:rsidRPr="00DD170F">
        <w:rPr>
          <w:rFonts w:eastAsia="Times New Roman"/>
          <w:bCs/>
          <w:szCs w:val="24"/>
        </w:rPr>
        <w:t>Adicionalmente, se adelanta una estrategia conjunta de revisión de casos con la Procuraduría General de la Nación, que ha permitido articular esfuerzos entre las dos entidades para el seguimiento de las investigaciones</w:t>
      </w:r>
      <w:r w:rsidR="00014F56" w:rsidRPr="00973F39">
        <w:rPr>
          <w:rFonts w:eastAsia="Times New Roman"/>
          <w:bCs/>
          <w:sz w:val="18"/>
          <w:szCs w:val="18"/>
          <w:vertAlign w:val="superscript"/>
        </w:rPr>
        <w:footnoteReference w:id="223"/>
      </w:r>
      <w:r w:rsidRPr="00DD170F">
        <w:rPr>
          <w:rFonts w:eastAsia="Times New Roman"/>
          <w:bCs/>
          <w:szCs w:val="24"/>
        </w:rPr>
        <w:t>.</w:t>
      </w:r>
    </w:p>
    <w:p w14:paraId="017FC073" w14:textId="7B5FF8A3" w:rsidR="00095139" w:rsidRDefault="00095139" w:rsidP="008357BF">
      <w:pPr>
        <w:pStyle w:val="SingleTxtG"/>
        <w:numPr>
          <w:ilvl w:val="0"/>
          <w:numId w:val="27"/>
        </w:numPr>
        <w:ind w:left="1134" w:firstLine="0"/>
        <w:rPr>
          <w:rFonts w:eastAsia="Times New Roman"/>
          <w:bCs/>
          <w:szCs w:val="24"/>
        </w:rPr>
      </w:pPr>
      <w:r w:rsidRPr="006B1CD7">
        <w:rPr>
          <w:rFonts w:eastAsia="Times New Roman"/>
          <w:bCs/>
          <w:szCs w:val="24"/>
        </w:rPr>
        <w:t xml:space="preserve">Por otra parte, respecto a la reparación integral, la </w:t>
      </w:r>
      <w:r>
        <w:rPr>
          <w:rFonts w:eastAsia="Times New Roman"/>
          <w:bCs/>
          <w:szCs w:val="24"/>
        </w:rPr>
        <w:t>UARIV</w:t>
      </w:r>
      <w:r w:rsidRPr="006B1CD7">
        <w:rPr>
          <w:rFonts w:eastAsia="Times New Roman"/>
          <w:bCs/>
          <w:szCs w:val="24"/>
        </w:rPr>
        <w:t>, en materia de indemnización por vía administrativa en favor de indígenas</w:t>
      </w:r>
      <w:r>
        <w:rPr>
          <w:rFonts w:eastAsia="Times New Roman"/>
          <w:bCs/>
          <w:szCs w:val="24"/>
        </w:rPr>
        <w:t xml:space="preserve"> y NARP</w:t>
      </w:r>
      <w:r w:rsidRPr="006B1CD7">
        <w:rPr>
          <w:rFonts w:eastAsia="Times New Roman"/>
          <w:bCs/>
          <w:szCs w:val="24"/>
        </w:rPr>
        <w:t>, durante el periodo comprendido entre el 01 de enero de 2019 al 28 de febrero de 2022, por el hecho victimizante de delitos contra la libertad y la integridad sexual, otorgó indemnización por un total de 13.466.926.224</w:t>
      </w:r>
      <w:r w:rsidRPr="00DD170F">
        <w:rPr>
          <w:rFonts w:eastAsia="Times New Roman"/>
          <w:bCs/>
          <w:szCs w:val="24"/>
        </w:rPr>
        <w:t xml:space="preserve"> (</w:t>
      </w:r>
      <w:r w:rsidRPr="00FF5276">
        <w:rPr>
          <w:rFonts w:eastAsia="Times New Roman"/>
          <w:bCs/>
          <w:szCs w:val="24"/>
        </w:rPr>
        <w:t xml:space="preserve">Anexo </w:t>
      </w:r>
      <w:r>
        <w:rPr>
          <w:rFonts w:eastAsia="Times New Roman"/>
          <w:bCs/>
          <w:szCs w:val="24"/>
        </w:rPr>
        <w:t>5</w:t>
      </w:r>
      <w:r w:rsidRPr="00FF5276">
        <w:rPr>
          <w:rFonts w:eastAsia="Times New Roman"/>
          <w:bCs/>
          <w:szCs w:val="24"/>
        </w:rPr>
        <w:t xml:space="preserve"> - Tabla 8</w:t>
      </w:r>
      <w:r w:rsidRPr="00DD170F">
        <w:rPr>
          <w:rFonts w:eastAsia="Times New Roman"/>
          <w:bCs/>
          <w:szCs w:val="24"/>
        </w:rPr>
        <w:t>)</w:t>
      </w:r>
      <w:r w:rsidR="00014F56" w:rsidRPr="00973F39">
        <w:rPr>
          <w:rFonts w:eastAsia="Times New Roman"/>
          <w:bCs/>
          <w:sz w:val="18"/>
          <w:szCs w:val="18"/>
          <w:vertAlign w:val="superscript"/>
        </w:rPr>
        <w:footnoteReference w:id="224"/>
      </w:r>
      <w:r>
        <w:rPr>
          <w:rFonts w:eastAsia="Times New Roman"/>
          <w:bCs/>
          <w:szCs w:val="24"/>
        </w:rPr>
        <w:t>.</w:t>
      </w:r>
    </w:p>
    <w:p w14:paraId="1D06A9F0" w14:textId="09477CC4" w:rsidR="00095139" w:rsidRPr="00D8748A" w:rsidRDefault="00095139" w:rsidP="008357BF">
      <w:pPr>
        <w:pStyle w:val="SingleTxtG"/>
        <w:numPr>
          <w:ilvl w:val="0"/>
          <w:numId w:val="27"/>
        </w:numPr>
        <w:ind w:left="1134" w:firstLine="0"/>
        <w:rPr>
          <w:rFonts w:eastAsia="Times New Roman"/>
          <w:bCs/>
          <w:szCs w:val="24"/>
        </w:rPr>
      </w:pPr>
      <w:r w:rsidRPr="00D8748A">
        <w:rPr>
          <w:rFonts w:eastAsia="Times New Roman"/>
          <w:bCs/>
          <w:szCs w:val="24"/>
        </w:rPr>
        <w:lastRenderedPageBreak/>
        <w:t xml:space="preserve">Desde el Ministerio de Justicia, se ha implementado la Iniciativa Estratégica: Acceso a la justicia dirigida a mujeres y población con identidad de género diversa víctimas de violencia sexual, RED JUSTAS, cuya actividad consiste en la implementación de la estrategia interinstitucional sobre el acceso a la justicia dirigida a mujeres y población con </w:t>
      </w:r>
      <w:r w:rsidRPr="006D49C3">
        <w:t>identidad</w:t>
      </w:r>
      <w:r w:rsidRPr="00D8748A">
        <w:rPr>
          <w:rFonts w:eastAsia="Times New Roman"/>
          <w:bCs/>
          <w:szCs w:val="24"/>
        </w:rPr>
        <w:t xml:space="preserve"> de género diversa víctimas de violencia sexual</w:t>
      </w:r>
      <w:r w:rsidR="001106AD" w:rsidRPr="00973F39">
        <w:rPr>
          <w:rFonts w:eastAsia="Times New Roman"/>
          <w:bCs/>
          <w:sz w:val="18"/>
          <w:szCs w:val="18"/>
          <w:vertAlign w:val="superscript"/>
        </w:rPr>
        <w:footnoteReference w:id="225"/>
      </w:r>
      <w:r w:rsidRPr="00D8748A">
        <w:rPr>
          <w:rFonts w:eastAsia="Times New Roman"/>
          <w:bCs/>
          <w:szCs w:val="24"/>
        </w:rPr>
        <w:t>.</w:t>
      </w:r>
    </w:p>
    <w:p w14:paraId="23B20B78" w14:textId="7A042CC4" w:rsidR="00095139" w:rsidRPr="00D8748A" w:rsidRDefault="00095139" w:rsidP="008357BF">
      <w:pPr>
        <w:pStyle w:val="SingleTxtG"/>
        <w:numPr>
          <w:ilvl w:val="0"/>
          <w:numId w:val="27"/>
        </w:numPr>
        <w:ind w:left="1134" w:firstLine="0"/>
        <w:rPr>
          <w:rFonts w:eastAsia="Times New Roman"/>
          <w:bCs/>
          <w:szCs w:val="24"/>
        </w:rPr>
      </w:pPr>
      <w:r w:rsidRPr="00D8748A">
        <w:rPr>
          <w:rFonts w:eastAsia="Times New Roman"/>
          <w:bCs/>
          <w:szCs w:val="24"/>
        </w:rPr>
        <w:t xml:space="preserve">RED </w:t>
      </w:r>
      <w:r w:rsidRPr="006D49C3">
        <w:t>JUSTAS</w:t>
      </w:r>
      <w:r w:rsidRPr="00D8748A">
        <w:rPr>
          <w:rFonts w:eastAsia="Times New Roman"/>
          <w:bCs/>
          <w:szCs w:val="24"/>
        </w:rPr>
        <w:t>, desde el componente psicosocial, busca lograr el bienestar emocional de las víctimas, como base fundamental para la reivindicación y restitución de sus derechos. En estos espacios debe ser posible el ejercicio del derecho de voz a través del cual pueden expresarse componentes vitales como la memoria, las historias, los miedos, las emociones, el cuerpo, los sueños, sus necesidades, sus expectativas, sus intereses</w:t>
      </w:r>
      <w:r w:rsidR="001106AD" w:rsidRPr="00973F39">
        <w:rPr>
          <w:rFonts w:eastAsia="Times New Roman"/>
          <w:bCs/>
          <w:sz w:val="18"/>
          <w:szCs w:val="18"/>
          <w:vertAlign w:val="superscript"/>
        </w:rPr>
        <w:footnoteReference w:id="226"/>
      </w:r>
      <w:r w:rsidRPr="00D8748A">
        <w:rPr>
          <w:rFonts w:eastAsia="Times New Roman"/>
          <w:bCs/>
          <w:szCs w:val="24"/>
        </w:rPr>
        <w:t>.</w:t>
      </w:r>
    </w:p>
    <w:p w14:paraId="006ED12D" w14:textId="463D976A" w:rsidR="00095139" w:rsidRPr="006D49C3" w:rsidRDefault="00095139" w:rsidP="008357BF">
      <w:pPr>
        <w:pStyle w:val="SingleTxtG"/>
        <w:numPr>
          <w:ilvl w:val="0"/>
          <w:numId w:val="27"/>
        </w:numPr>
        <w:ind w:left="1134" w:firstLine="0"/>
      </w:pPr>
      <w:r w:rsidRPr="006D49C3">
        <w:t>A nivel nacional, se contó con el apoyo de entidades como el Ministerio de Justicia y del Derecho, Fiscalía General de la Nación, Policía Nacional, UARIV, Defensoría del Pueblo, Procuraduría General de la Nación, Ministerio de Salud, JEP y el Consejo Superior de la Judicatura. Por su parte, en el sector Sociedad Civil, hubo participación de la Organización coordinadora para el acompañamiento integral, la formación y la gestión y análisis de información y las Organizaciones de base que trabajan con mujeres</w:t>
      </w:r>
      <w:r w:rsidR="001106AD" w:rsidRPr="00973F39">
        <w:rPr>
          <w:sz w:val="18"/>
          <w:szCs w:val="18"/>
          <w:vertAlign w:val="superscript"/>
        </w:rPr>
        <w:footnoteReference w:id="227"/>
      </w:r>
      <w:r w:rsidRPr="006D49C3">
        <w:t>.</w:t>
      </w:r>
    </w:p>
    <w:p w14:paraId="365B6D9F" w14:textId="2B6F1956" w:rsidR="00095139" w:rsidRPr="006D49C3" w:rsidRDefault="00095139" w:rsidP="008357BF">
      <w:pPr>
        <w:pStyle w:val="SingleTxtG"/>
        <w:numPr>
          <w:ilvl w:val="0"/>
          <w:numId w:val="27"/>
        </w:numPr>
        <w:ind w:left="1134" w:firstLine="0"/>
      </w:pPr>
      <w:r w:rsidRPr="006D49C3">
        <w:t>La información adicional sobre esta iniciativa puede ser consultada en el Anexo 16.</w:t>
      </w:r>
    </w:p>
    <w:p w14:paraId="6C894CC8" w14:textId="3A7569A9" w:rsidR="00095139" w:rsidRPr="00855E3A" w:rsidRDefault="007103C4" w:rsidP="007103C4">
      <w:pPr>
        <w:pStyle w:val="H23G"/>
      </w:pPr>
      <w:r>
        <w:tab/>
        <w:t>3.</w:t>
      </w:r>
      <w:r>
        <w:tab/>
      </w:r>
      <w:r w:rsidR="00095139" w:rsidRPr="00855E3A">
        <w:t>Acceso a la justicia (recomendación párr. 31 CERD/C/COL/CO/17-19)</w:t>
      </w:r>
    </w:p>
    <w:p w14:paraId="6A538472" w14:textId="5FBA9784" w:rsidR="00095139" w:rsidRPr="00395251" w:rsidRDefault="00095139" w:rsidP="008357BF">
      <w:pPr>
        <w:pStyle w:val="SingleTxtG"/>
        <w:numPr>
          <w:ilvl w:val="0"/>
          <w:numId w:val="27"/>
        </w:numPr>
        <w:ind w:left="1134" w:firstLine="0"/>
        <w:rPr>
          <w:rFonts w:eastAsia="Times New Roman"/>
          <w:bCs/>
          <w:i/>
          <w:szCs w:val="24"/>
        </w:rPr>
      </w:pPr>
      <w:r w:rsidRPr="00DD170F">
        <w:rPr>
          <w:rFonts w:eastAsia="Times New Roman"/>
          <w:bCs/>
          <w:szCs w:val="24"/>
        </w:rPr>
        <w:t xml:space="preserve">El sistema jurídico nacional </w:t>
      </w:r>
      <w:r>
        <w:rPr>
          <w:rFonts w:eastAsia="Times New Roman"/>
          <w:bCs/>
          <w:szCs w:val="24"/>
        </w:rPr>
        <w:t xml:space="preserve">del Estado </w:t>
      </w:r>
      <w:r w:rsidRPr="00DD170F">
        <w:rPr>
          <w:rFonts w:eastAsia="Times New Roman"/>
          <w:bCs/>
          <w:szCs w:val="24"/>
        </w:rPr>
        <w:t>cuenta con una oferta de 5.636 despachos judiciales distribuidos en todo el territorio nacional y como mínimo</w:t>
      </w:r>
      <w:r>
        <w:rPr>
          <w:rFonts w:eastAsia="Times New Roman"/>
          <w:bCs/>
          <w:szCs w:val="24"/>
        </w:rPr>
        <w:t>,</w:t>
      </w:r>
      <w:r w:rsidRPr="00DD170F">
        <w:rPr>
          <w:rFonts w:eastAsia="Times New Roman"/>
          <w:bCs/>
          <w:szCs w:val="24"/>
        </w:rPr>
        <w:t xml:space="preserve"> cuenta con un despacho judicial en cada uno de los 1.103 municipios del país</w:t>
      </w:r>
      <w:r w:rsidRPr="00973F39">
        <w:rPr>
          <w:rFonts w:eastAsia="Times New Roman"/>
          <w:bCs/>
          <w:sz w:val="18"/>
          <w:szCs w:val="18"/>
          <w:vertAlign w:val="superscript"/>
        </w:rPr>
        <w:t xml:space="preserve"> </w:t>
      </w:r>
      <w:r w:rsidRPr="00DD170F">
        <w:rPr>
          <w:rFonts w:eastAsia="Times New Roman"/>
          <w:bCs/>
          <w:szCs w:val="24"/>
        </w:rPr>
        <w:t>(</w:t>
      </w:r>
      <w:r w:rsidRPr="00FF5276">
        <w:rPr>
          <w:rFonts w:eastAsia="Times New Roman"/>
          <w:bCs/>
          <w:szCs w:val="24"/>
        </w:rPr>
        <w:t>Anexo 1</w:t>
      </w:r>
      <w:r>
        <w:rPr>
          <w:rFonts w:eastAsia="Times New Roman"/>
          <w:bCs/>
          <w:szCs w:val="24"/>
        </w:rPr>
        <w:t>5</w:t>
      </w:r>
      <w:r w:rsidRPr="00FF5276">
        <w:rPr>
          <w:rFonts w:eastAsia="Times New Roman"/>
          <w:bCs/>
          <w:szCs w:val="24"/>
        </w:rPr>
        <w:t xml:space="preserve"> - Tabla 1</w:t>
      </w:r>
      <w:r w:rsidRPr="00DD170F">
        <w:rPr>
          <w:rFonts w:eastAsia="Times New Roman"/>
          <w:bCs/>
          <w:szCs w:val="24"/>
        </w:rPr>
        <w:t>)</w:t>
      </w:r>
      <w:r>
        <w:rPr>
          <w:rFonts w:eastAsia="Times New Roman"/>
          <w:bCs/>
          <w:szCs w:val="24"/>
        </w:rPr>
        <w:t>.</w:t>
      </w:r>
      <w:r w:rsidRPr="00DD170F">
        <w:rPr>
          <w:rFonts w:eastAsia="Times New Roman"/>
          <w:bCs/>
          <w:szCs w:val="24"/>
        </w:rPr>
        <w:t xml:space="preserve"> Los </w:t>
      </w:r>
      <w:r w:rsidRPr="006D49C3">
        <w:t>departamentos</w:t>
      </w:r>
      <w:r w:rsidRPr="00DD170F">
        <w:rPr>
          <w:rFonts w:eastAsia="Times New Roman"/>
          <w:bCs/>
          <w:szCs w:val="24"/>
        </w:rPr>
        <w:t xml:space="preserve"> del Litoral Pacífico y Atlántico de Colombia, en d</w:t>
      </w:r>
      <w:r>
        <w:rPr>
          <w:rFonts w:eastAsia="Times New Roman"/>
          <w:bCs/>
          <w:szCs w:val="24"/>
        </w:rPr>
        <w:t>o</w:t>
      </w:r>
      <w:r w:rsidRPr="00DD170F">
        <w:rPr>
          <w:rFonts w:eastAsia="Times New Roman"/>
          <w:bCs/>
          <w:szCs w:val="24"/>
        </w:rPr>
        <w:t>nde se concentra gran parte de la población afrodescendiente, cuentan con 2.554 despachos Judiciales, es decir una cobertura de cerca del 44</w:t>
      </w:r>
      <w:r w:rsidR="00796131">
        <w:rPr>
          <w:rFonts w:eastAsia="Times New Roman"/>
          <w:bCs/>
          <w:szCs w:val="24"/>
        </w:rPr>
        <w:t xml:space="preserve"> </w:t>
      </w:r>
      <w:r w:rsidRPr="00DD170F">
        <w:rPr>
          <w:rFonts w:eastAsia="Times New Roman"/>
          <w:bCs/>
          <w:szCs w:val="24"/>
        </w:rPr>
        <w:t>% del total de despacho judiciales del país</w:t>
      </w:r>
      <w:r w:rsidR="001106AD" w:rsidRPr="00973F39">
        <w:rPr>
          <w:rFonts w:eastAsia="Times New Roman"/>
          <w:bCs/>
          <w:sz w:val="18"/>
          <w:szCs w:val="18"/>
          <w:vertAlign w:val="superscript"/>
        </w:rPr>
        <w:footnoteReference w:id="228"/>
      </w:r>
      <w:r w:rsidRPr="00DD170F">
        <w:rPr>
          <w:rFonts w:eastAsia="Times New Roman"/>
          <w:bCs/>
          <w:szCs w:val="24"/>
        </w:rPr>
        <w:t>.</w:t>
      </w:r>
    </w:p>
    <w:p w14:paraId="210D09EB" w14:textId="43E69A45" w:rsidR="00095139" w:rsidRPr="00DD170F" w:rsidRDefault="00095139" w:rsidP="008357BF">
      <w:pPr>
        <w:pStyle w:val="SingleTxtG"/>
        <w:numPr>
          <w:ilvl w:val="0"/>
          <w:numId w:val="27"/>
        </w:numPr>
        <w:ind w:left="1134" w:firstLine="0"/>
        <w:rPr>
          <w:rFonts w:eastAsia="Times New Roman"/>
          <w:bCs/>
          <w:szCs w:val="24"/>
        </w:rPr>
      </w:pPr>
      <w:r>
        <w:rPr>
          <w:rFonts w:eastAsia="Times New Roman"/>
          <w:bCs/>
          <w:szCs w:val="24"/>
        </w:rPr>
        <w:t xml:space="preserve">Por otra parte, en atención a </w:t>
      </w:r>
      <w:r w:rsidRPr="00DD170F">
        <w:rPr>
          <w:rFonts w:eastAsia="Times New Roman"/>
          <w:bCs/>
          <w:szCs w:val="24"/>
        </w:rPr>
        <w:t xml:space="preserve">los compromisos establecidos en el PND (2018-2022), se han elaborado cinco documentos de caracterización de justicias propias, los cuales han permitido vislumbrar y comprender la complejidad propia de las justicias </w:t>
      </w:r>
      <w:r w:rsidRPr="006D49C3">
        <w:t>indígenas</w:t>
      </w:r>
      <w:r w:rsidRPr="00DD170F">
        <w:rPr>
          <w:rFonts w:eastAsia="Times New Roman"/>
          <w:bCs/>
          <w:szCs w:val="24"/>
        </w:rPr>
        <w:t xml:space="preserve"> y del pluralismo jurídico en Colombia. Estos documentos corresponden a: Resguardo Caño Jabón, Resguardo Piguambí Palangala, Resguardo Kankuamo, Consejo Regional Indígena del Cauca, Resguardo Indígena de la Yuquera</w:t>
      </w:r>
      <w:r w:rsidRPr="000C2B7B">
        <w:rPr>
          <w:rFonts w:eastAsia="Times New Roman"/>
          <w:bCs/>
          <w:szCs w:val="24"/>
        </w:rPr>
        <w:t xml:space="preserve"> y la Asociación Cabildo Mayor Indígena de la zona del bajo y norte del Chocó </w:t>
      </w:r>
      <w:r>
        <w:rPr>
          <w:rFonts w:eastAsia="Times New Roman"/>
          <w:bCs/>
          <w:szCs w:val="24"/>
        </w:rPr>
        <w:t>(</w:t>
      </w:r>
      <w:r w:rsidRPr="000C2B7B">
        <w:rPr>
          <w:rFonts w:eastAsia="Times New Roman"/>
          <w:bCs/>
          <w:szCs w:val="24"/>
        </w:rPr>
        <w:t>CAMIZBA</w:t>
      </w:r>
      <w:r>
        <w:rPr>
          <w:rFonts w:eastAsia="Times New Roman"/>
          <w:bCs/>
          <w:szCs w:val="24"/>
        </w:rPr>
        <w:t>)</w:t>
      </w:r>
      <w:r w:rsidR="001106AD" w:rsidRPr="00973F39">
        <w:rPr>
          <w:rFonts w:eastAsia="Times New Roman"/>
          <w:bCs/>
          <w:sz w:val="18"/>
          <w:szCs w:val="18"/>
          <w:vertAlign w:val="superscript"/>
        </w:rPr>
        <w:footnoteReference w:id="229"/>
      </w:r>
      <w:r w:rsidRPr="00DD170F">
        <w:rPr>
          <w:rFonts w:eastAsia="Times New Roman"/>
          <w:bCs/>
          <w:szCs w:val="24"/>
        </w:rPr>
        <w:t>.</w:t>
      </w:r>
    </w:p>
    <w:p w14:paraId="0C42438E" w14:textId="6A5F63AD" w:rsidR="00095139" w:rsidRDefault="00095139" w:rsidP="008357BF">
      <w:pPr>
        <w:pStyle w:val="SingleTxtG"/>
        <w:numPr>
          <w:ilvl w:val="0"/>
          <w:numId w:val="27"/>
        </w:numPr>
        <w:ind w:left="1134" w:firstLine="0"/>
        <w:rPr>
          <w:rFonts w:eastAsia="Times New Roman"/>
          <w:bCs/>
          <w:szCs w:val="24"/>
        </w:rPr>
      </w:pPr>
      <w:r w:rsidRPr="00DD170F">
        <w:rPr>
          <w:rFonts w:eastAsia="Times New Roman"/>
          <w:bCs/>
          <w:szCs w:val="24"/>
        </w:rPr>
        <w:t xml:space="preserve">De igual forma, se han llevado a cabo actividades que han permitido la consolidación de la justicia propia al interior de los pueblos, como es el caso del “Banco de Iniciativas y Proyectos para el Fortalecimiento de la Justicia propia de los Pueblos Indígenas de Colombia”. </w:t>
      </w:r>
      <w:r>
        <w:rPr>
          <w:rFonts w:eastAsia="Times New Roman"/>
          <w:bCs/>
          <w:szCs w:val="24"/>
        </w:rPr>
        <w:t>L</w:t>
      </w:r>
      <w:r w:rsidRPr="000C2B7B">
        <w:rPr>
          <w:rFonts w:eastAsia="Times New Roman"/>
          <w:bCs/>
          <w:szCs w:val="24"/>
        </w:rPr>
        <w:t xml:space="preserve">o anterior surgió a raíz de los compromisos protocolizados con los pueblos indígenas en el Plan Nacional de Desarrollo 2018-2022 “Pacto por Colombia, pacto por la equidad”, y a partir de la necesidad de materializar lo dispuesto en el artículo constitucional 246 y en el título VI del Decreto 1953 de 2014. Vale mencionar que este Banco es administrado por </w:t>
      </w:r>
      <w:r>
        <w:rPr>
          <w:rFonts w:eastAsia="Times New Roman"/>
          <w:bCs/>
          <w:szCs w:val="24"/>
        </w:rPr>
        <w:t>el Ministerio de Justicia</w:t>
      </w:r>
      <w:r w:rsidR="002E4F3D">
        <w:rPr>
          <w:rStyle w:val="Refdenotaalpie"/>
          <w:rFonts w:eastAsia="Times New Roman"/>
          <w:bCs/>
          <w:szCs w:val="24"/>
        </w:rPr>
        <w:footnoteReference w:id="230"/>
      </w:r>
      <w:r w:rsidRPr="000C2B7B">
        <w:rPr>
          <w:rFonts w:eastAsia="Times New Roman"/>
          <w:bCs/>
          <w:szCs w:val="24"/>
        </w:rPr>
        <w:t>.</w:t>
      </w:r>
    </w:p>
    <w:p w14:paraId="6526677D" w14:textId="02D36437" w:rsidR="00095139" w:rsidRPr="00DD170F" w:rsidRDefault="00095139" w:rsidP="008357BF">
      <w:pPr>
        <w:pStyle w:val="SingleTxtG"/>
        <w:numPr>
          <w:ilvl w:val="0"/>
          <w:numId w:val="27"/>
        </w:numPr>
        <w:ind w:left="1134" w:firstLine="0"/>
        <w:rPr>
          <w:rFonts w:eastAsia="Times New Roman"/>
          <w:bCs/>
          <w:szCs w:val="24"/>
        </w:rPr>
      </w:pPr>
      <w:r w:rsidRPr="00DD170F">
        <w:rPr>
          <w:rFonts w:eastAsia="Times New Roman"/>
          <w:bCs/>
          <w:szCs w:val="24"/>
        </w:rPr>
        <w:t>En los años 2020 y 2021, se firmaron dos Convenios de Cooperación Internacional con la Organización de Estados Iberoamericanos, por medio de los cuales se apoyaron varias iniciativas para cada anualidad. Durante el 2020, se apoyaron 31 iniciativas (</w:t>
      </w:r>
      <w:r w:rsidRPr="006D49C3">
        <w:t>Anexo</w:t>
      </w:r>
      <w:r w:rsidR="002E4F3D">
        <w:t> </w:t>
      </w:r>
      <w:r w:rsidRPr="00287FE5">
        <w:rPr>
          <w:rFonts w:eastAsia="Times New Roman"/>
          <w:bCs/>
          <w:szCs w:val="24"/>
        </w:rPr>
        <w:t>1</w:t>
      </w:r>
      <w:r>
        <w:rPr>
          <w:rFonts w:eastAsia="Times New Roman"/>
          <w:bCs/>
          <w:szCs w:val="24"/>
        </w:rPr>
        <w:t>6</w:t>
      </w:r>
      <w:r w:rsidR="002E4F3D">
        <w:rPr>
          <w:rFonts w:eastAsia="Times New Roman"/>
          <w:bCs/>
          <w:szCs w:val="24"/>
        </w:rPr>
        <w:noBreakHyphen/>
      </w:r>
      <w:r w:rsidRPr="00287FE5">
        <w:rPr>
          <w:rFonts w:eastAsia="Times New Roman"/>
          <w:bCs/>
          <w:szCs w:val="24"/>
        </w:rPr>
        <w:t xml:space="preserve"> Tabla</w:t>
      </w:r>
      <w:r w:rsidR="002E4F3D">
        <w:rPr>
          <w:rFonts w:eastAsia="Times New Roman"/>
          <w:bCs/>
          <w:szCs w:val="24"/>
        </w:rPr>
        <w:t> </w:t>
      </w:r>
      <w:r w:rsidRPr="00287FE5">
        <w:rPr>
          <w:rFonts w:eastAsia="Times New Roman"/>
          <w:bCs/>
          <w:szCs w:val="24"/>
        </w:rPr>
        <w:t>1</w:t>
      </w:r>
      <w:r w:rsidRPr="00DD170F">
        <w:rPr>
          <w:rFonts w:eastAsia="Times New Roman"/>
          <w:bCs/>
          <w:szCs w:val="24"/>
        </w:rPr>
        <w:t>) y en el 2021, se brindó apoyo a 45 iniciativas en distintos pueblos indígenas ubicados al interior del país (</w:t>
      </w:r>
      <w:r w:rsidRPr="00287FE5">
        <w:rPr>
          <w:rFonts w:eastAsia="Times New Roman"/>
          <w:bCs/>
          <w:szCs w:val="24"/>
        </w:rPr>
        <w:t>Anexo 1</w:t>
      </w:r>
      <w:r>
        <w:rPr>
          <w:rFonts w:eastAsia="Times New Roman"/>
          <w:bCs/>
          <w:szCs w:val="24"/>
        </w:rPr>
        <w:t>6</w:t>
      </w:r>
      <w:r w:rsidRPr="00287FE5">
        <w:rPr>
          <w:rFonts w:eastAsia="Times New Roman"/>
          <w:bCs/>
          <w:szCs w:val="24"/>
        </w:rPr>
        <w:t xml:space="preserve"> – Tabla 2</w:t>
      </w:r>
      <w:r w:rsidRPr="00DD170F">
        <w:rPr>
          <w:rFonts w:eastAsia="Times New Roman"/>
          <w:bCs/>
          <w:szCs w:val="24"/>
        </w:rPr>
        <w:t>)</w:t>
      </w:r>
      <w:r w:rsidRPr="00973F39">
        <w:rPr>
          <w:rFonts w:eastAsia="Times New Roman"/>
          <w:bCs/>
          <w:sz w:val="18"/>
          <w:szCs w:val="18"/>
          <w:vertAlign w:val="superscript"/>
        </w:rPr>
        <w:footnoteReference w:id="231"/>
      </w:r>
      <w:r w:rsidR="002E4F3D">
        <w:rPr>
          <w:rFonts w:eastAsia="Times New Roman"/>
          <w:bCs/>
          <w:szCs w:val="24"/>
        </w:rPr>
        <w:t>.</w:t>
      </w:r>
    </w:p>
    <w:p w14:paraId="0D5D1C80" w14:textId="20115FF3" w:rsidR="00095139" w:rsidRPr="004F5A92" w:rsidRDefault="00095139" w:rsidP="008357BF">
      <w:pPr>
        <w:pStyle w:val="SingleTxtG"/>
        <w:numPr>
          <w:ilvl w:val="0"/>
          <w:numId w:val="27"/>
        </w:numPr>
        <w:ind w:left="1134" w:firstLine="0"/>
        <w:rPr>
          <w:rFonts w:eastAsia="Times New Roman"/>
          <w:bCs/>
          <w:szCs w:val="24"/>
        </w:rPr>
      </w:pPr>
      <w:r w:rsidRPr="003471F1">
        <w:rPr>
          <w:rFonts w:eastAsia="Times New Roman"/>
          <w:bCs/>
          <w:szCs w:val="24"/>
        </w:rPr>
        <w:t>Durante el año 2021, el Ministerio de Justicia y del Derecho, en colaboración con la Universidad Nacional, desarrolló el curso “</w:t>
      </w:r>
      <w:r w:rsidRPr="004F0961">
        <w:rPr>
          <w:rFonts w:eastAsia="Times New Roman"/>
          <w:bCs/>
          <w:iCs/>
          <w:szCs w:val="24"/>
        </w:rPr>
        <w:t>Jurisdicción Especial Indígena</w:t>
      </w:r>
      <w:r w:rsidRPr="003471F1">
        <w:rPr>
          <w:rFonts w:eastAsia="Times New Roman"/>
          <w:bCs/>
          <w:szCs w:val="24"/>
        </w:rPr>
        <w:t xml:space="preserve">”, dirigido a </w:t>
      </w:r>
      <w:r w:rsidRPr="003471F1">
        <w:rPr>
          <w:rFonts w:eastAsia="Times New Roman"/>
          <w:bCs/>
          <w:szCs w:val="24"/>
        </w:rPr>
        <w:lastRenderedPageBreak/>
        <w:t xml:space="preserve">operadores de justicia y miembros de las comunidades étnicas, en el cual </w:t>
      </w:r>
      <w:r w:rsidRPr="006D49C3">
        <w:t>participaron</w:t>
      </w:r>
      <w:r w:rsidRPr="003471F1">
        <w:rPr>
          <w:rFonts w:eastAsia="Times New Roman"/>
          <w:bCs/>
          <w:szCs w:val="24"/>
        </w:rPr>
        <w:t xml:space="preserve"> más de 1.200 beneficiarios</w:t>
      </w:r>
      <w:r w:rsidR="002E4F3D" w:rsidRPr="00973F39">
        <w:rPr>
          <w:rStyle w:val="Refdenotaalpie"/>
          <w:rFonts w:eastAsia="Times New Roman"/>
          <w:bCs/>
          <w:szCs w:val="18"/>
        </w:rPr>
        <w:footnoteReference w:id="232"/>
      </w:r>
      <w:r w:rsidRPr="003471F1">
        <w:rPr>
          <w:rFonts w:eastAsia="Times New Roman"/>
          <w:bCs/>
          <w:szCs w:val="24"/>
        </w:rPr>
        <w:t>.</w:t>
      </w:r>
    </w:p>
    <w:p w14:paraId="481B182A" w14:textId="4D7FCF7C" w:rsidR="00095139" w:rsidRDefault="00095139" w:rsidP="008357BF">
      <w:pPr>
        <w:pStyle w:val="SingleTxtG"/>
        <w:numPr>
          <w:ilvl w:val="0"/>
          <w:numId w:val="27"/>
        </w:numPr>
        <w:ind w:left="1134" w:firstLine="0"/>
        <w:rPr>
          <w:rFonts w:eastAsia="Times New Roman"/>
          <w:bCs/>
          <w:szCs w:val="24"/>
        </w:rPr>
      </w:pPr>
      <w:r w:rsidRPr="004F5A92">
        <w:rPr>
          <w:rFonts w:eastAsia="Times New Roman"/>
          <w:bCs/>
          <w:szCs w:val="24"/>
        </w:rPr>
        <w:t xml:space="preserve">En </w:t>
      </w:r>
      <w:r>
        <w:rPr>
          <w:rFonts w:eastAsia="Times New Roman"/>
          <w:bCs/>
          <w:szCs w:val="24"/>
        </w:rPr>
        <w:t>esta misma vigencia,</w:t>
      </w:r>
      <w:r w:rsidRPr="004F5A92">
        <w:rPr>
          <w:rFonts w:eastAsia="Times New Roman"/>
          <w:bCs/>
          <w:szCs w:val="24"/>
        </w:rPr>
        <w:t xml:space="preserve"> se suscribió un convenio con la Asociación Cultural Casa del Niño para el fortalecimiento de los mecanismos propios de resolución de conflictos de las comunidades NARP de 21 consejos comunitarios de los departamentos del Chocó, Cauca y Valle </w:t>
      </w:r>
      <w:r w:rsidRPr="006D49C3">
        <w:t>del</w:t>
      </w:r>
      <w:r w:rsidRPr="004F5A92">
        <w:rPr>
          <w:rFonts w:eastAsia="Times New Roman"/>
          <w:bCs/>
          <w:szCs w:val="24"/>
        </w:rPr>
        <w:t xml:space="preserve"> Cauca. El proceso cerró con la participación de 39 Consejos Comunitarios y otras formas organizativas de las comunidades negras</w:t>
      </w:r>
      <w:r w:rsidR="002E4F3D" w:rsidRPr="00973F39">
        <w:rPr>
          <w:rFonts w:eastAsia="Times New Roman"/>
          <w:bCs/>
          <w:sz w:val="18"/>
          <w:szCs w:val="18"/>
          <w:vertAlign w:val="superscript"/>
        </w:rPr>
        <w:footnoteReference w:id="233"/>
      </w:r>
      <w:r w:rsidRPr="004F5A92">
        <w:rPr>
          <w:rFonts w:eastAsia="Times New Roman"/>
          <w:bCs/>
          <w:szCs w:val="24"/>
        </w:rPr>
        <w:t>.</w:t>
      </w:r>
      <w:r w:rsidR="002E4F3D" w:rsidRPr="004F5A92">
        <w:rPr>
          <w:rFonts w:eastAsia="Times New Roman"/>
          <w:bCs/>
          <w:szCs w:val="24"/>
        </w:rPr>
        <w:t xml:space="preserve"> </w:t>
      </w:r>
      <w:r w:rsidRPr="004F5A92">
        <w:rPr>
          <w:rFonts w:eastAsia="Times New Roman"/>
          <w:bCs/>
          <w:szCs w:val="24"/>
        </w:rPr>
        <w:t xml:space="preserve">Otros convenios administrativos y acciones realizadas en la materia por </w:t>
      </w:r>
      <w:r>
        <w:rPr>
          <w:rFonts w:eastAsia="Times New Roman"/>
          <w:bCs/>
          <w:szCs w:val="24"/>
        </w:rPr>
        <w:t>las entidades del Estado</w:t>
      </w:r>
      <w:r w:rsidRPr="004F5A92">
        <w:rPr>
          <w:rFonts w:eastAsia="Times New Roman"/>
          <w:bCs/>
          <w:szCs w:val="24"/>
        </w:rPr>
        <w:t xml:space="preserve"> pueden ser consultadas en el </w:t>
      </w:r>
      <w:r w:rsidRPr="00287FE5">
        <w:rPr>
          <w:rFonts w:eastAsia="Times New Roman"/>
          <w:bCs/>
          <w:szCs w:val="24"/>
        </w:rPr>
        <w:t>Anexo 1</w:t>
      </w:r>
      <w:r>
        <w:rPr>
          <w:rFonts w:eastAsia="Times New Roman"/>
          <w:bCs/>
          <w:szCs w:val="24"/>
        </w:rPr>
        <w:t>6</w:t>
      </w:r>
      <w:r w:rsidRPr="004F5A92">
        <w:rPr>
          <w:rFonts w:eastAsia="Times New Roman"/>
          <w:bCs/>
          <w:szCs w:val="24"/>
        </w:rPr>
        <w:t>.</w:t>
      </w:r>
    </w:p>
    <w:p w14:paraId="527AEFE7" w14:textId="007BF681" w:rsidR="00095139" w:rsidRPr="00DD170F" w:rsidRDefault="00095139" w:rsidP="008357BF">
      <w:pPr>
        <w:pStyle w:val="SingleTxtG"/>
        <w:numPr>
          <w:ilvl w:val="0"/>
          <w:numId w:val="27"/>
        </w:numPr>
        <w:ind w:left="1134" w:firstLine="0"/>
        <w:rPr>
          <w:rFonts w:eastAsia="Times New Roman"/>
          <w:bCs/>
          <w:szCs w:val="24"/>
        </w:rPr>
      </w:pPr>
      <w:r>
        <w:rPr>
          <w:rFonts w:eastAsia="Times New Roman"/>
          <w:bCs/>
          <w:szCs w:val="24"/>
        </w:rPr>
        <w:t>Se ha venido implementando el</w:t>
      </w:r>
      <w:r w:rsidRPr="00DD170F">
        <w:rPr>
          <w:rFonts w:eastAsia="Times New Roman"/>
          <w:bCs/>
          <w:szCs w:val="24"/>
        </w:rPr>
        <w:t xml:space="preserve"> componente indígena del Plan Decenal del Sistema de Justicia </w:t>
      </w:r>
      <w:r>
        <w:rPr>
          <w:rFonts w:eastAsia="Times New Roman"/>
          <w:bCs/>
          <w:szCs w:val="24"/>
        </w:rPr>
        <w:t>(</w:t>
      </w:r>
      <w:r w:rsidRPr="00DD170F">
        <w:rPr>
          <w:rFonts w:eastAsia="Times New Roman"/>
          <w:bCs/>
          <w:szCs w:val="24"/>
        </w:rPr>
        <w:t>PDSJ</w:t>
      </w:r>
      <w:r>
        <w:rPr>
          <w:rFonts w:eastAsia="Times New Roman"/>
          <w:bCs/>
          <w:szCs w:val="24"/>
        </w:rPr>
        <w:t>)</w:t>
      </w:r>
      <w:r w:rsidRPr="00DD170F">
        <w:rPr>
          <w:rFonts w:eastAsia="Times New Roman"/>
          <w:bCs/>
          <w:szCs w:val="24"/>
        </w:rPr>
        <w:t xml:space="preserve"> 2017-2027: Después de dos años de</w:t>
      </w:r>
      <w:r>
        <w:rPr>
          <w:rFonts w:eastAsia="Times New Roman"/>
          <w:bCs/>
          <w:szCs w:val="24"/>
        </w:rPr>
        <w:t xml:space="preserve"> su expedición</w:t>
      </w:r>
      <w:r w:rsidRPr="00DD170F">
        <w:rPr>
          <w:rFonts w:eastAsia="Times New Roman"/>
          <w:bCs/>
          <w:szCs w:val="24"/>
        </w:rPr>
        <w:t xml:space="preserve"> se logró concretar la realización de la consulta previa del capítulo indígena, garantizando la participación de las comunidades con sus propuestas para el fortalecimiento de la justicia propia y para la sinergia </w:t>
      </w:r>
      <w:r w:rsidRPr="006D49C3">
        <w:t>institucional</w:t>
      </w:r>
      <w:r w:rsidRPr="00DD170F">
        <w:rPr>
          <w:rFonts w:eastAsia="Times New Roman"/>
          <w:bCs/>
          <w:szCs w:val="24"/>
        </w:rPr>
        <w:t>. La protocolización de la consulta previa culminó el 9 de noviembre de 2020</w:t>
      </w:r>
      <w:r w:rsidR="002E4F3D" w:rsidRPr="00973F39">
        <w:rPr>
          <w:rFonts w:eastAsia="Times New Roman"/>
          <w:bCs/>
          <w:sz w:val="18"/>
          <w:szCs w:val="18"/>
          <w:vertAlign w:val="superscript"/>
        </w:rPr>
        <w:footnoteReference w:id="234"/>
      </w:r>
      <w:r w:rsidRPr="00DD170F">
        <w:rPr>
          <w:rFonts w:eastAsia="Times New Roman"/>
          <w:bCs/>
          <w:szCs w:val="24"/>
        </w:rPr>
        <w:t>. </w:t>
      </w:r>
    </w:p>
    <w:p w14:paraId="5152594B" w14:textId="504D27DB" w:rsidR="00095139" w:rsidRPr="00DD170F" w:rsidRDefault="00095139" w:rsidP="008357BF">
      <w:pPr>
        <w:pStyle w:val="SingleTxtG"/>
        <w:numPr>
          <w:ilvl w:val="0"/>
          <w:numId w:val="27"/>
        </w:numPr>
        <w:ind w:left="1134" w:firstLine="0"/>
        <w:rPr>
          <w:rFonts w:eastAsia="Times New Roman"/>
          <w:bCs/>
          <w:szCs w:val="24"/>
        </w:rPr>
      </w:pPr>
      <w:r>
        <w:rPr>
          <w:rFonts w:eastAsia="Times New Roman"/>
          <w:bCs/>
          <w:szCs w:val="24"/>
        </w:rPr>
        <w:t>Por otra parte, a</w:t>
      </w:r>
      <w:r w:rsidRPr="00DD170F">
        <w:rPr>
          <w:rFonts w:eastAsia="Times New Roman"/>
          <w:bCs/>
          <w:szCs w:val="24"/>
        </w:rPr>
        <w:t xml:space="preserve"> través del Consejo Superior de la Judicatura se lleva a cabo la </w:t>
      </w:r>
      <w:r w:rsidRPr="004F5A92">
        <w:rPr>
          <w:rFonts w:eastAsia="Times New Roman"/>
          <w:bCs/>
          <w:szCs w:val="24"/>
        </w:rPr>
        <w:t xml:space="preserve">Comisión Nacional de Coordinación del </w:t>
      </w:r>
      <w:r w:rsidRPr="006D49C3">
        <w:t>Sistema</w:t>
      </w:r>
      <w:r w:rsidRPr="004F5A92">
        <w:rPr>
          <w:rFonts w:eastAsia="Times New Roman"/>
          <w:bCs/>
          <w:szCs w:val="24"/>
        </w:rPr>
        <w:t xml:space="preserve"> Judicial Nacional y la Jurisdicción Especial Indígena </w:t>
      </w:r>
      <w:r>
        <w:rPr>
          <w:rFonts w:eastAsia="Times New Roman"/>
          <w:bCs/>
          <w:szCs w:val="24"/>
        </w:rPr>
        <w:t>(</w:t>
      </w:r>
      <w:r w:rsidRPr="00DD170F">
        <w:rPr>
          <w:rFonts w:eastAsia="Times New Roman"/>
          <w:bCs/>
          <w:szCs w:val="24"/>
        </w:rPr>
        <w:t>COCOIN</w:t>
      </w:r>
      <w:r>
        <w:rPr>
          <w:rFonts w:eastAsia="Times New Roman"/>
          <w:bCs/>
          <w:szCs w:val="24"/>
        </w:rPr>
        <w:t>)</w:t>
      </w:r>
      <w:r w:rsidRPr="00DD170F">
        <w:rPr>
          <w:rFonts w:eastAsia="Times New Roman"/>
          <w:bCs/>
          <w:szCs w:val="24"/>
        </w:rPr>
        <w:t>, la cual cuenta con representación de pueblos indígenas, ramas ejecutiva y judicial del poder público, así como de diferentes órganos de control y en ella se analizan casos para la generación de lineamientos técnicos de coordinación interjurisdiccional. En el marco de esta instancia se trabaja en la construcción de un documento de proyecto borrador de reglamentación del artículo 246 de la Constitución Política respecto de la coordinación entre la Jurisdicción Especial Indígena y el Sistema Judicial Nacional, este documento se llevará a consulta previa en la presente vigencia</w:t>
      </w:r>
      <w:r w:rsidR="002E4F3D" w:rsidRPr="00973F39">
        <w:rPr>
          <w:rFonts w:eastAsia="Times New Roman"/>
          <w:bCs/>
          <w:sz w:val="18"/>
          <w:szCs w:val="18"/>
          <w:vertAlign w:val="superscript"/>
        </w:rPr>
        <w:footnoteReference w:id="235"/>
      </w:r>
      <w:r w:rsidRPr="00DD170F">
        <w:rPr>
          <w:rFonts w:eastAsia="Times New Roman"/>
          <w:bCs/>
          <w:szCs w:val="24"/>
        </w:rPr>
        <w:t>.</w:t>
      </w:r>
    </w:p>
    <w:p w14:paraId="5F386D0F" w14:textId="36374822" w:rsidR="00095139" w:rsidRDefault="00095139" w:rsidP="008357BF">
      <w:pPr>
        <w:pStyle w:val="SingleTxtG"/>
        <w:numPr>
          <w:ilvl w:val="0"/>
          <w:numId w:val="27"/>
        </w:numPr>
        <w:ind w:left="1134" w:firstLine="0"/>
        <w:rPr>
          <w:rFonts w:eastAsia="Times New Roman"/>
          <w:bCs/>
          <w:szCs w:val="24"/>
        </w:rPr>
      </w:pPr>
      <w:r w:rsidRPr="00DD170F">
        <w:rPr>
          <w:rFonts w:eastAsia="Times New Roman"/>
          <w:bCs/>
          <w:szCs w:val="24"/>
        </w:rPr>
        <w:t>Durante el 2021, se llevaron a cabo 5 sesiones de la COCOIN de manera híbrida, con la participación presencial y virtual de sus integrantes</w:t>
      </w:r>
      <w:r>
        <w:rPr>
          <w:rFonts w:eastAsia="Times New Roman"/>
          <w:bCs/>
          <w:szCs w:val="24"/>
        </w:rPr>
        <w:t xml:space="preserve">, en las que </w:t>
      </w:r>
      <w:r w:rsidRPr="00DD170F">
        <w:rPr>
          <w:rFonts w:eastAsia="Times New Roman"/>
          <w:bCs/>
          <w:szCs w:val="24"/>
        </w:rPr>
        <w:t>se avanzó en la articulación del trabajo de la COCOIN con el de las Mesas Departamentales</w:t>
      </w:r>
      <w:r>
        <w:rPr>
          <w:rFonts w:eastAsia="Times New Roman"/>
          <w:bCs/>
          <w:szCs w:val="24"/>
        </w:rPr>
        <w:t xml:space="preserve"> de Coordinación Interjurisdiccional. Al respecto, se destacan algunos avances como</w:t>
      </w:r>
      <w:r w:rsidRPr="00DD170F">
        <w:rPr>
          <w:rFonts w:eastAsia="Times New Roman"/>
          <w:bCs/>
          <w:szCs w:val="24"/>
        </w:rPr>
        <w:t xml:space="preserve"> el inicio del trabajo de elaboración de una propuesta de Ley de Coordinación Interjurisdiccional; la revisión de los avances en la socialización del documento de Recomendaciones de Medicina Legal para la aplicación del enfoque diferencial en el servicio forense y de la Directiva 05 de 2021</w:t>
      </w:r>
      <w:r>
        <w:rPr>
          <w:rFonts w:eastAsia="Times New Roman"/>
          <w:bCs/>
          <w:szCs w:val="24"/>
        </w:rPr>
        <w:t xml:space="preserve"> de la FGN que </w:t>
      </w:r>
      <w:r w:rsidRPr="001A0F60">
        <w:rPr>
          <w:rFonts w:eastAsia="Times New Roman"/>
          <w:bCs/>
          <w:szCs w:val="24"/>
        </w:rPr>
        <w:t>establece los lineamientos para la definición de los conflictos de competencia entre la jurisdicción ordinaria y la jurisdicción especial indígena</w:t>
      </w:r>
      <w:r w:rsidR="002E4F3D" w:rsidRPr="00973F39">
        <w:rPr>
          <w:rFonts w:eastAsia="Times New Roman"/>
          <w:bCs/>
          <w:sz w:val="18"/>
          <w:szCs w:val="18"/>
          <w:vertAlign w:val="superscript"/>
        </w:rPr>
        <w:footnoteReference w:id="236"/>
      </w:r>
      <w:r>
        <w:rPr>
          <w:rFonts w:eastAsia="Times New Roman"/>
          <w:bCs/>
          <w:szCs w:val="24"/>
        </w:rPr>
        <w:t>.</w:t>
      </w:r>
      <w:r w:rsidRPr="00973F39">
        <w:rPr>
          <w:rFonts w:eastAsia="Times New Roman"/>
          <w:bCs/>
          <w:sz w:val="18"/>
          <w:szCs w:val="18"/>
          <w:vertAlign w:val="superscript"/>
        </w:rPr>
        <w:t xml:space="preserve"> </w:t>
      </w:r>
    </w:p>
    <w:p w14:paraId="12BCB7FC" w14:textId="7A141517" w:rsidR="00095139" w:rsidRPr="00DD170F" w:rsidRDefault="00095139" w:rsidP="008357BF">
      <w:pPr>
        <w:pStyle w:val="SingleTxtG"/>
        <w:numPr>
          <w:ilvl w:val="0"/>
          <w:numId w:val="27"/>
        </w:numPr>
        <w:ind w:left="1134" w:firstLine="0"/>
        <w:rPr>
          <w:rFonts w:eastAsia="Times New Roman"/>
          <w:bCs/>
          <w:szCs w:val="24"/>
        </w:rPr>
      </w:pPr>
      <w:r w:rsidRPr="00DD170F">
        <w:rPr>
          <w:rFonts w:eastAsia="Times New Roman"/>
          <w:bCs/>
          <w:szCs w:val="24"/>
        </w:rPr>
        <w:t>En el nivel departamental se resalta el liderazgo de los Consejos Seccionales de la Judicatura, que lograron realizar al menos una sesión de sus mesas departamentales de coordinación interjurisdiccional. En total, durante el segundo semestre de 2021, se realizaron 22 mesas departamentales, la mayoría de manera híbrida</w:t>
      </w:r>
      <w:r>
        <w:rPr>
          <w:rFonts w:eastAsia="Times New Roman"/>
          <w:bCs/>
          <w:szCs w:val="24"/>
        </w:rPr>
        <w:t xml:space="preserve">, en las que se garantizó </w:t>
      </w:r>
      <w:r w:rsidRPr="00DD170F">
        <w:rPr>
          <w:rFonts w:eastAsia="Times New Roman"/>
          <w:bCs/>
          <w:szCs w:val="24"/>
        </w:rPr>
        <w:t xml:space="preserve">la participación de los </w:t>
      </w:r>
      <w:r w:rsidRPr="006D49C3">
        <w:t>pueblos</w:t>
      </w:r>
      <w:r w:rsidRPr="00DD170F">
        <w:rPr>
          <w:rFonts w:eastAsia="Times New Roman"/>
          <w:bCs/>
          <w:szCs w:val="24"/>
        </w:rPr>
        <w:t xml:space="preserve"> indígenas de cada departamento</w:t>
      </w:r>
      <w:r w:rsidR="002E4F3D" w:rsidRPr="00973F39">
        <w:rPr>
          <w:rFonts w:eastAsia="Times New Roman"/>
          <w:bCs/>
          <w:sz w:val="18"/>
          <w:szCs w:val="18"/>
          <w:vertAlign w:val="superscript"/>
        </w:rPr>
        <w:footnoteReference w:id="237"/>
      </w:r>
      <w:r w:rsidRPr="00DD170F">
        <w:rPr>
          <w:rFonts w:eastAsia="Times New Roman"/>
          <w:bCs/>
          <w:szCs w:val="24"/>
        </w:rPr>
        <w:t>.</w:t>
      </w:r>
    </w:p>
    <w:p w14:paraId="6CEB08B9" w14:textId="58BF387D" w:rsidR="00095139" w:rsidRPr="00EA4C10" w:rsidRDefault="007103C4" w:rsidP="007103C4">
      <w:pPr>
        <w:pStyle w:val="H1G"/>
      </w:pPr>
      <w:r>
        <w:tab/>
        <w:t>C.</w:t>
      </w:r>
      <w:r>
        <w:tab/>
      </w:r>
      <w:r w:rsidR="00095139" w:rsidRPr="00855E3A">
        <w:t>Medidas de educación que conduzcan a combatir los prejuicios que conducen a la discriminación racial: Implementación del artículo 7 de</w:t>
      </w:r>
      <w:r w:rsidR="00B261BA">
        <w:t> </w:t>
      </w:r>
      <w:r w:rsidR="00095139" w:rsidRPr="00855E3A">
        <w:t>la Convención</w:t>
      </w:r>
    </w:p>
    <w:p w14:paraId="0FBA9AAB" w14:textId="60ACC664" w:rsidR="00095139" w:rsidRPr="00610BF8" w:rsidRDefault="00D16B98" w:rsidP="007103C4">
      <w:pPr>
        <w:pStyle w:val="H23G"/>
        <w:rPr>
          <w:lang w:val="es-CO"/>
        </w:rPr>
      </w:pPr>
      <w:bookmarkStart w:id="6" w:name="_Hlk113890198"/>
      <w:r>
        <w:tab/>
      </w:r>
      <w:r w:rsidR="007103C4">
        <w:tab/>
      </w:r>
      <w:r w:rsidR="00095139" w:rsidRPr="00855E3A">
        <w:t>Medidas de educación</w:t>
      </w:r>
      <w:r w:rsidR="00095139">
        <w:t xml:space="preserve"> sobre defensa de los derechos humanos</w:t>
      </w:r>
      <w:r w:rsidR="00095139" w:rsidRPr="00855E3A">
        <w:t xml:space="preserve"> </w:t>
      </w:r>
      <w:bookmarkEnd w:id="6"/>
      <w:r w:rsidR="00095139" w:rsidRPr="00855E3A">
        <w:t>(recomendación</w:t>
      </w:r>
      <w:r w:rsidR="00B261BA">
        <w:t> </w:t>
      </w:r>
      <w:r w:rsidR="00095139" w:rsidRPr="00855E3A">
        <w:t>párr.</w:t>
      </w:r>
      <w:r w:rsidR="00B261BA">
        <w:t> </w:t>
      </w:r>
      <w:r w:rsidR="00095139" w:rsidRPr="00610BF8">
        <w:rPr>
          <w:lang w:val="es-CO"/>
        </w:rPr>
        <w:t>29 e CERD/C/COL/CO/17-19)</w:t>
      </w:r>
    </w:p>
    <w:p w14:paraId="04CC5689" w14:textId="61AFF1E0" w:rsidR="00095139" w:rsidRPr="007B6C70" w:rsidRDefault="00095139" w:rsidP="008357BF">
      <w:pPr>
        <w:pStyle w:val="SingleTxtG"/>
        <w:numPr>
          <w:ilvl w:val="0"/>
          <w:numId w:val="27"/>
        </w:numPr>
        <w:ind w:left="1134" w:firstLine="0"/>
        <w:rPr>
          <w:rFonts w:eastAsia="Times New Roman"/>
          <w:bCs/>
          <w:szCs w:val="24"/>
        </w:rPr>
      </w:pPr>
      <w:r w:rsidRPr="007B6C70">
        <w:rPr>
          <w:rFonts w:eastAsia="Times New Roman"/>
          <w:bCs/>
          <w:szCs w:val="24"/>
        </w:rPr>
        <w:t xml:space="preserve">En agosto del 2020, el </w:t>
      </w:r>
      <w:r>
        <w:rPr>
          <w:rFonts w:eastAsia="Times New Roman"/>
          <w:bCs/>
          <w:szCs w:val="24"/>
        </w:rPr>
        <w:t xml:space="preserve">Estado lanzó </w:t>
      </w:r>
      <w:r w:rsidRPr="007B6C70">
        <w:rPr>
          <w:rFonts w:eastAsia="Times New Roman"/>
          <w:bCs/>
          <w:szCs w:val="24"/>
        </w:rPr>
        <w:t xml:space="preserve">la campaña </w:t>
      </w:r>
      <w:r>
        <w:rPr>
          <w:rFonts w:eastAsia="Times New Roman"/>
          <w:bCs/>
          <w:szCs w:val="24"/>
        </w:rPr>
        <w:t>“</w:t>
      </w:r>
      <w:r w:rsidRPr="007B6C70">
        <w:rPr>
          <w:rFonts w:eastAsia="Times New Roman"/>
          <w:bCs/>
          <w:szCs w:val="24"/>
        </w:rPr>
        <w:t>#LíderEsColombia,</w:t>
      </w:r>
      <w:r>
        <w:rPr>
          <w:rFonts w:eastAsia="Times New Roman"/>
          <w:bCs/>
          <w:szCs w:val="24"/>
        </w:rPr>
        <w:t xml:space="preserve"> </w:t>
      </w:r>
      <w:r w:rsidRPr="007B6C70">
        <w:rPr>
          <w:rFonts w:eastAsia="Times New Roman"/>
          <w:bCs/>
          <w:szCs w:val="24"/>
        </w:rPr>
        <w:t>en la prevención y protección sumamos vidas</w:t>
      </w:r>
      <w:r>
        <w:rPr>
          <w:rFonts w:eastAsia="Times New Roman"/>
          <w:bCs/>
          <w:szCs w:val="24"/>
        </w:rPr>
        <w:t xml:space="preserve">” que </w:t>
      </w:r>
      <w:r w:rsidRPr="007B6C70">
        <w:rPr>
          <w:rFonts w:eastAsia="Times New Roman"/>
          <w:bCs/>
          <w:szCs w:val="24"/>
        </w:rPr>
        <w:t>reconoce</w:t>
      </w:r>
      <w:r>
        <w:rPr>
          <w:rFonts w:eastAsia="Times New Roman"/>
          <w:bCs/>
          <w:szCs w:val="24"/>
        </w:rPr>
        <w:t xml:space="preserve"> la</w:t>
      </w:r>
      <w:r w:rsidRPr="007B6C70">
        <w:rPr>
          <w:rFonts w:eastAsia="Times New Roman"/>
          <w:bCs/>
          <w:szCs w:val="24"/>
        </w:rPr>
        <w:t xml:space="preserve"> labor </w:t>
      </w:r>
      <w:r>
        <w:rPr>
          <w:rFonts w:eastAsia="Times New Roman"/>
          <w:bCs/>
          <w:szCs w:val="24"/>
        </w:rPr>
        <w:t xml:space="preserve">de </w:t>
      </w:r>
      <w:r w:rsidRPr="007B6C70">
        <w:rPr>
          <w:rFonts w:eastAsia="Times New Roman"/>
          <w:bCs/>
          <w:szCs w:val="24"/>
        </w:rPr>
        <w:t xml:space="preserve">los líderes sociales </w:t>
      </w:r>
      <w:r>
        <w:rPr>
          <w:rFonts w:eastAsia="Times New Roman"/>
          <w:bCs/>
          <w:szCs w:val="24"/>
        </w:rPr>
        <w:t xml:space="preserve">y </w:t>
      </w:r>
      <w:r w:rsidRPr="007B6C70">
        <w:rPr>
          <w:rFonts w:eastAsia="Times New Roman"/>
          <w:bCs/>
          <w:szCs w:val="24"/>
        </w:rPr>
        <w:t xml:space="preserve">busca visibilizar el ejercicio del liderazgo social, a través de actos de </w:t>
      </w:r>
      <w:r w:rsidRPr="006D49C3">
        <w:t>reconocimiento</w:t>
      </w:r>
      <w:r w:rsidRPr="007B6C70">
        <w:rPr>
          <w:rFonts w:eastAsia="Times New Roman"/>
          <w:bCs/>
          <w:szCs w:val="24"/>
        </w:rPr>
        <w:t xml:space="preserve"> y acciones pedagógicas.</w:t>
      </w:r>
      <w:r>
        <w:rPr>
          <w:rFonts w:eastAsia="Times New Roman"/>
          <w:bCs/>
          <w:szCs w:val="24"/>
        </w:rPr>
        <w:t xml:space="preserve"> Así, d</w:t>
      </w:r>
      <w:r w:rsidRPr="007B6C70">
        <w:rPr>
          <w:rFonts w:eastAsia="Times New Roman"/>
          <w:bCs/>
          <w:szCs w:val="24"/>
        </w:rPr>
        <w:t>urante 2020</w:t>
      </w:r>
      <w:r>
        <w:rPr>
          <w:rFonts w:eastAsia="Times New Roman"/>
          <w:bCs/>
          <w:szCs w:val="24"/>
        </w:rPr>
        <w:t xml:space="preserve"> </w:t>
      </w:r>
      <w:r w:rsidRPr="007B6C70">
        <w:rPr>
          <w:rFonts w:eastAsia="Times New Roman"/>
          <w:bCs/>
          <w:szCs w:val="24"/>
        </w:rPr>
        <w:t xml:space="preserve">i) se elaboraron 8 podcasts, 39 piezas gráficas y un comercial que es </w:t>
      </w:r>
      <w:r w:rsidRPr="007B6C70">
        <w:rPr>
          <w:rFonts w:eastAsia="Times New Roman"/>
          <w:bCs/>
          <w:szCs w:val="24"/>
        </w:rPr>
        <w:lastRenderedPageBreak/>
        <w:t>emitido en televisión nacional por medio del código cívico; ii) se implementaron 6 foros contra la estigmatización denominados “Construyendo liderazgo para la defensa de los derechos humanos” los cuales contaron con la participación de 226 líderes sociales en los departamentos del Meta, Risaralda, Córdoba, Arauca, Florencia y putumayo y una inversión de 123.000.000</w:t>
      </w:r>
      <w:r w:rsidR="002E4F3D" w:rsidRPr="00973F39">
        <w:rPr>
          <w:rFonts w:eastAsia="Times New Roman"/>
          <w:bCs/>
          <w:sz w:val="18"/>
          <w:szCs w:val="18"/>
          <w:vertAlign w:val="superscript"/>
        </w:rPr>
        <w:footnoteReference w:id="238"/>
      </w:r>
      <w:r w:rsidRPr="007B6C70">
        <w:rPr>
          <w:rFonts w:eastAsia="Times New Roman"/>
          <w:bCs/>
          <w:szCs w:val="24"/>
        </w:rPr>
        <w:t>.</w:t>
      </w:r>
    </w:p>
    <w:p w14:paraId="2E207307" w14:textId="46EBCA3B" w:rsidR="00095139" w:rsidRPr="008D5C91" w:rsidRDefault="00095139" w:rsidP="008357BF">
      <w:pPr>
        <w:pStyle w:val="SingleTxtG"/>
        <w:numPr>
          <w:ilvl w:val="0"/>
          <w:numId w:val="27"/>
        </w:numPr>
        <w:ind w:left="1134" w:firstLine="0"/>
        <w:rPr>
          <w:rFonts w:eastAsia="Times New Roman"/>
          <w:bCs/>
          <w:szCs w:val="24"/>
        </w:rPr>
      </w:pPr>
      <w:r w:rsidRPr="008D5C91">
        <w:rPr>
          <w:rFonts w:eastAsia="Times New Roman"/>
          <w:bCs/>
          <w:szCs w:val="24"/>
        </w:rPr>
        <w:t xml:space="preserve">Adicionalmente, en 2020 se adelantó la estrategia “Escuela de Líderes”, que busca fortalecer los liderazgos y la gobernanza en el país a través de una oferta académica virtual, multidisciplinaria y gratuita, orientada a la promoción de la inclusión y la equidad y al </w:t>
      </w:r>
      <w:r w:rsidRPr="006D49C3">
        <w:t>fortalecimiento</w:t>
      </w:r>
      <w:r w:rsidRPr="008D5C91">
        <w:rPr>
          <w:rFonts w:eastAsia="Times New Roman"/>
          <w:bCs/>
          <w:szCs w:val="24"/>
        </w:rPr>
        <w:t xml:space="preserve"> de las capacidades de los líderes en sus territorios. Esta estrategia, se desarrolló en los 32 departamentos del país con una destinación total de 8.610.890.173. El número total de personas inscritas en la Escuela ascendió a los 12.833. Los departamentos con mayor número de beneficiarios de la Escuela de Formación de Líderes Sociales fueron: Cauca (1.79), Antioquia (882), Bogotá (839) y Nariño (825)</w:t>
      </w:r>
      <w:r w:rsidR="002E4F3D" w:rsidRPr="00973F39">
        <w:rPr>
          <w:rFonts w:eastAsia="Times New Roman"/>
          <w:bCs/>
          <w:sz w:val="18"/>
          <w:szCs w:val="18"/>
          <w:vertAlign w:val="superscript"/>
        </w:rPr>
        <w:footnoteReference w:id="239"/>
      </w:r>
      <w:r w:rsidRPr="008D5C91">
        <w:rPr>
          <w:rFonts w:eastAsia="Times New Roman"/>
          <w:bCs/>
          <w:szCs w:val="24"/>
        </w:rPr>
        <w:t>.</w:t>
      </w:r>
    </w:p>
    <w:p w14:paraId="2DE9A24B" w14:textId="55D4F513" w:rsidR="00095139" w:rsidRPr="008D5C91" w:rsidRDefault="00095139" w:rsidP="008357BF">
      <w:pPr>
        <w:pStyle w:val="SingleTxtG"/>
        <w:numPr>
          <w:ilvl w:val="0"/>
          <w:numId w:val="27"/>
        </w:numPr>
        <w:ind w:left="1134" w:firstLine="0"/>
        <w:rPr>
          <w:rFonts w:eastAsia="Times New Roman"/>
          <w:bCs/>
          <w:szCs w:val="24"/>
        </w:rPr>
      </w:pPr>
      <w:r w:rsidRPr="008D5C91">
        <w:rPr>
          <w:rFonts w:eastAsia="Times New Roman"/>
          <w:bCs/>
          <w:szCs w:val="24"/>
        </w:rPr>
        <w:t xml:space="preserve">Durante el 2021, en el marco de esta estrategia, se realizaron 15 foros territoriales en las temáticas de Gestión Preventiva del Riesgo y de no estigmatización de los defensores de derechos humanos. En dichos foros participaron 717 personas y tuvieron una inversión </w:t>
      </w:r>
      <w:r>
        <w:rPr>
          <w:rFonts w:eastAsia="Times New Roman"/>
          <w:bCs/>
          <w:szCs w:val="24"/>
        </w:rPr>
        <w:t>de</w:t>
      </w:r>
      <w:r w:rsidRPr="008D5C91">
        <w:rPr>
          <w:rFonts w:eastAsia="Times New Roman"/>
          <w:bCs/>
          <w:szCs w:val="24"/>
        </w:rPr>
        <w:t xml:space="preserve"> 217.000.000. Adicionalmente, se realizaron dos talleres en Autoprotección y Autocuidado para Mujeres lideresas en los departamentos de Chocó y Norte de Santander con la participación de 72 personas con un </w:t>
      </w:r>
      <w:r w:rsidRPr="006D49C3">
        <w:t>valor</w:t>
      </w:r>
      <w:r w:rsidRPr="008D5C91">
        <w:rPr>
          <w:rFonts w:eastAsia="Times New Roman"/>
          <w:bCs/>
          <w:szCs w:val="24"/>
        </w:rPr>
        <w:t xml:space="preserve"> de 10.000.000. Asimismo, por medio de una inversión de 90 millones de pesos, se crearon dos MOOC (Cursos Online Masivos y Abiertos, por sus siglas en inglés), uno en Derechos Humanos y No estigmatización y otro en Reconciliación y Convivencia, para los que se inscribieron 397 personas</w:t>
      </w:r>
      <w:r w:rsidR="002E4F3D" w:rsidRPr="00973F39">
        <w:rPr>
          <w:rFonts w:eastAsia="Times New Roman"/>
          <w:bCs/>
          <w:sz w:val="18"/>
          <w:szCs w:val="18"/>
          <w:vertAlign w:val="superscript"/>
        </w:rPr>
        <w:footnoteReference w:id="240"/>
      </w:r>
      <w:r w:rsidRPr="008D5C91">
        <w:rPr>
          <w:rFonts w:eastAsia="Times New Roman"/>
          <w:bCs/>
          <w:szCs w:val="24"/>
        </w:rPr>
        <w:t>.</w:t>
      </w:r>
    </w:p>
    <w:p w14:paraId="7703ED69" w14:textId="6FEDF253" w:rsidR="00095139" w:rsidRPr="006D49C3" w:rsidRDefault="00095139" w:rsidP="008357BF">
      <w:pPr>
        <w:pStyle w:val="SingleTxtG"/>
        <w:numPr>
          <w:ilvl w:val="0"/>
          <w:numId w:val="27"/>
        </w:numPr>
        <w:ind w:left="1134" w:firstLine="0"/>
      </w:pPr>
      <w:r w:rsidRPr="008D5C91">
        <w:rPr>
          <w:rFonts w:eastAsia="Times New Roman"/>
          <w:bCs/>
          <w:szCs w:val="24"/>
        </w:rPr>
        <w:t xml:space="preserve">En la misma vigencia, la implementación del Decreto 660 recibió un impulso por medio de la creación de un diplomado para </w:t>
      </w:r>
      <w:r w:rsidRPr="006D49C3">
        <w:t>impulsar</w:t>
      </w:r>
      <w:r w:rsidRPr="008D5C91">
        <w:rPr>
          <w:rFonts w:eastAsia="Times New Roman"/>
          <w:bCs/>
          <w:szCs w:val="24"/>
        </w:rPr>
        <w:t xml:space="preserve"> la formación de los Defensores Comunitarios y de una cartilla para la implementación de este. Finalmente, se otorgaron alrededor de 55 becas a los estudiantes destacados. Para estas becas, se invirtió un total de 50 </w:t>
      </w:r>
      <w:r w:rsidRPr="006D49C3">
        <w:t>millones de pesos</w:t>
      </w:r>
      <w:r w:rsidR="002E4F3D" w:rsidRPr="00973F39">
        <w:rPr>
          <w:sz w:val="18"/>
          <w:szCs w:val="18"/>
          <w:vertAlign w:val="superscript"/>
        </w:rPr>
        <w:footnoteReference w:id="241"/>
      </w:r>
      <w:r w:rsidRPr="006D49C3">
        <w:t>.</w:t>
      </w:r>
    </w:p>
    <w:p w14:paraId="6CB7D100" w14:textId="61C6C198" w:rsidR="00095139" w:rsidRPr="007B6C70" w:rsidRDefault="00095139" w:rsidP="008357BF">
      <w:pPr>
        <w:pStyle w:val="SingleTxtG"/>
        <w:numPr>
          <w:ilvl w:val="0"/>
          <w:numId w:val="27"/>
        </w:numPr>
        <w:ind w:left="1134" w:firstLine="0"/>
        <w:rPr>
          <w:rFonts w:eastAsia="Times New Roman"/>
          <w:bCs/>
          <w:szCs w:val="24"/>
        </w:rPr>
      </w:pPr>
      <w:r w:rsidRPr="008D5C91">
        <w:rPr>
          <w:rFonts w:eastAsia="Times New Roman"/>
          <w:bCs/>
          <w:szCs w:val="24"/>
        </w:rPr>
        <w:t xml:space="preserve">En la vigencia 2021, se continuó con dicha estrategia, invirtiendo recursos </w:t>
      </w:r>
      <w:r>
        <w:rPr>
          <w:rFonts w:eastAsia="Times New Roman"/>
          <w:bCs/>
          <w:szCs w:val="24"/>
        </w:rPr>
        <w:t>por</w:t>
      </w:r>
      <w:r w:rsidRPr="008D5C91">
        <w:rPr>
          <w:rFonts w:eastAsia="Times New Roman"/>
          <w:bCs/>
          <w:szCs w:val="24"/>
        </w:rPr>
        <w:t xml:space="preserve"> 1.406.500.000, logrando en una primera fase certificar a 1.746 líderes del territorio nacional en múltiples cursos</w:t>
      </w:r>
      <w:r w:rsidR="002E4F3D" w:rsidRPr="00973F39">
        <w:rPr>
          <w:rFonts w:eastAsia="Times New Roman"/>
          <w:bCs/>
          <w:sz w:val="18"/>
          <w:szCs w:val="18"/>
          <w:vertAlign w:val="superscript"/>
        </w:rPr>
        <w:footnoteReference w:id="242"/>
      </w:r>
      <w:r w:rsidRPr="008D5C91">
        <w:rPr>
          <w:rFonts w:eastAsia="Times New Roman"/>
          <w:bCs/>
          <w:szCs w:val="24"/>
        </w:rPr>
        <w:t>.</w:t>
      </w:r>
    </w:p>
    <w:p w14:paraId="62D9D094" w14:textId="591CC14E" w:rsidR="00095139" w:rsidRPr="007B6C70" w:rsidRDefault="00095139" w:rsidP="008357BF">
      <w:pPr>
        <w:pStyle w:val="SingleTxtG"/>
        <w:numPr>
          <w:ilvl w:val="0"/>
          <w:numId w:val="27"/>
        </w:numPr>
        <w:ind w:left="1134" w:firstLine="0"/>
        <w:rPr>
          <w:rFonts w:eastAsia="Times New Roman"/>
          <w:bCs/>
          <w:szCs w:val="24"/>
        </w:rPr>
      </w:pPr>
      <w:r>
        <w:rPr>
          <w:rFonts w:eastAsia="Times New Roman"/>
          <w:bCs/>
          <w:szCs w:val="24"/>
        </w:rPr>
        <w:t>Entre</w:t>
      </w:r>
      <w:r w:rsidRPr="007B6C70">
        <w:rPr>
          <w:rFonts w:eastAsia="Times New Roman"/>
          <w:bCs/>
          <w:szCs w:val="24"/>
        </w:rPr>
        <w:t xml:space="preserve"> el 2019 </w:t>
      </w:r>
      <w:r>
        <w:rPr>
          <w:rFonts w:eastAsia="Times New Roman"/>
          <w:bCs/>
          <w:szCs w:val="24"/>
        </w:rPr>
        <w:t>y el</w:t>
      </w:r>
      <w:r w:rsidRPr="007B6C70">
        <w:rPr>
          <w:rFonts w:eastAsia="Times New Roman"/>
          <w:bCs/>
          <w:szCs w:val="24"/>
        </w:rPr>
        <w:t xml:space="preserve"> 2021</w:t>
      </w:r>
      <w:r>
        <w:rPr>
          <w:rFonts w:eastAsia="Times New Roman"/>
          <w:bCs/>
          <w:szCs w:val="24"/>
        </w:rPr>
        <w:t xml:space="preserve"> se dio continuidad a</w:t>
      </w:r>
      <w:r w:rsidRPr="007B6C70">
        <w:rPr>
          <w:rFonts w:eastAsia="Times New Roman"/>
          <w:bCs/>
          <w:szCs w:val="24"/>
        </w:rPr>
        <w:t xml:space="preserve"> las </w:t>
      </w:r>
      <w:r>
        <w:rPr>
          <w:rFonts w:eastAsia="Times New Roman"/>
          <w:bCs/>
          <w:szCs w:val="24"/>
        </w:rPr>
        <w:t>a</w:t>
      </w:r>
      <w:r w:rsidRPr="007B6C70">
        <w:rPr>
          <w:rFonts w:eastAsia="Times New Roman"/>
          <w:bCs/>
          <w:szCs w:val="24"/>
        </w:rPr>
        <w:t xml:space="preserve">sistencias técnicas del Observatorio contra la Discriminación Racial en el </w:t>
      </w:r>
      <w:r w:rsidRPr="006D49C3">
        <w:t>territorio</w:t>
      </w:r>
      <w:r w:rsidRPr="007B6C70">
        <w:rPr>
          <w:rFonts w:eastAsia="Times New Roman"/>
          <w:bCs/>
          <w:szCs w:val="24"/>
        </w:rPr>
        <w:t xml:space="preserve"> nacional con el propósito de brindar herramientas conceptuales y legales que permiten la exigibilidad de los derechos y mecanismos de protección existentes en la Constitución Política y la ruta interinstitucional con atención diferencial contra la discriminación racial y racismo</w:t>
      </w:r>
      <w:r w:rsidR="002E4F3D" w:rsidRPr="00973F39">
        <w:rPr>
          <w:rFonts w:eastAsia="Times New Roman"/>
          <w:bCs/>
          <w:sz w:val="18"/>
          <w:szCs w:val="18"/>
          <w:vertAlign w:val="superscript"/>
        </w:rPr>
        <w:footnoteReference w:id="243"/>
      </w:r>
      <w:r w:rsidRPr="007B6C70">
        <w:rPr>
          <w:rFonts w:eastAsia="Times New Roman"/>
          <w:bCs/>
          <w:szCs w:val="24"/>
        </w:rPr>
        <w:t>.</w:t>
      </w:r>
    </w:p>
    <w:p w14:paraId="5923A70A" w14:textId="600A3BAA" w:rsidR="00095139" w:rsidRPr="000A27AF" w:rsidRDefault="00095139" w:rsidP="008357BF">
      <w:pPr>
        <w:pStyle w:val="SingleTxtG"/>
        <w:numPr>
          <w:ilvl w:val="0"/>
          <w:numId w:val="27"/>
        </w:numPr>
        <w:ind w:left="1134" w:firstLine="0"/>
        <w:rPr>
          <w:rFonts w:eastAsia="Times New Roman"/>
          <w:bCs/>
          <w:szCs w:val="24"/>
        </w:rPr>
      </w:pPr>
      <w:r>
        <w:rPr>
          <w:rFonts w:eastAsia="Times New Roman"/>
          <w:bCs/>
          <w:szCs w:val="24"/>
        </w:rPr>
        <w:t xml:space="preserve">Otras acciones adelantadas por el Estado en materia de educación sobre líderes y defensores pueden ser consultada en el </w:t>
      </w:r>
      <w:r w:rsidRPr="006D49C3">
        <w:t>Anexo</w:t>
      </w:r>
      <w:r>
        <w:rPr>
          <w:rFonts w:eastAsia="Times New Roman"/>
          <w:bCs/>
          <w:szCs w:val="24"/>
        </w:rPr>
        <w:t xml:space="preserve"> 17.</w:t>
      </w:r>
    </w:p>
    <w:p w14:paraId="76837B42" w14:textId="221F4E7D" w:rsidR="00381C24" w:rsidRPr="00095139" w:rsidRDefault="00095139" w:rsidP="00095139">
      <w:pPr>
        <w:pStyle w:val="SingleTxtG"/>
        <w:suppressAutoHyphens/>
        <w:spacing w:before="240" w:after="0"/>
        <w:jc w:val="center"/>
        <w:rPr>
          <w:u w:val="single"/>
        </w:rPr>
      </w:pPr>
      <w:r>
        <w:rPr>
          <w:u w:val="single"/>
        </w:rPr>
        <w:tab/>
      </w:r>
      <w:r>
        <w:rPr>
          <w:u w:val="single"/>
        </w:rPr>
        <w:tab/>
      </w:r>
      <w:r>
        <w:rPr>
          <w:u w:val="single"/>
        </w:rPr>
        <w:tab/>
      </w:r>
    </w:p>
    <w:sectPr w:rsidR="00381C24" w:rsidRPr="00095139" w:rsidSect="00E56EE3">
      <w:headerReference w:type="even" r:id="rId9"/>
      <w:headerReference w:type="default" r:id="rId10"/>
      <w:footerReference w:type="even" r:id="rId11"/>
      <w:footerReference w:type="default" r:id="rId12"/>
      <w:headerReference w:type="first" r:id="rId13"/>
      <w:footerReference w:type="first" r:id="rId14"/>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E705C7" w14:textId="77777777" w:rsidR="0042099E" w:rsidRDefault="0042099E">
      <w:pPr>
        <w:spacing w:line="240" w:lineRule="auto"/>
      </w:pPr>
      <w:r>
        <w:separator/>
      </w:r>
    </w:p>
  </w:endnote>
  <w:endnote w:type="continuationSeparator" w:id="0">
    <w:p w14:paraId="53E981A3" w14:textId="77777777" w:rsidR="0042099E" w:rsidRDefault="0042099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8BDDCA" w14:textId="79840093" w:rsidR="0042099E" w:rsidRPr="001A4396" w:rsidRDefault="0042099E" w:rsidP="00935A0B">
    <w:pPr>
      <w:pStyle w:val="Piedepgina"/>
      <w:tabs>
        <w:tab w:val="right" w:pos="9638"/>
      </w:tabs>
      <w:spacing w:line="240" w:lineRule="auto"/>
    </w:pPr>
    <w:r w:rsidRPr="001A4396">
      <w:rPr>
        <w:b/>
        <w:sz w:val="18"/>
      </w:rPr>
      <w:fldChar w:fldCharType="begin"/>
    </w:r>
    <w:r w:rsidRPr="001A4396">
      <w:rPr>
        <w:b/>
        <w:sz w:val="18"/>
      </w:rPr>
      <w:instrText xml:space="preserve"> PAGE  \* MERGEFORMAT </w:instrText>
    </w:r>
    <w:r w:rsidRPr="001A4396">
      <w:rPr>
        <w:b/>
        <w:sz w:val="18"/>
      </w:rPr>
      <w:fldChar w:fldCharType="separate"/>
    </w:r>
    <w:r w:rsidR="00D16B98">
      <w:rPr>
        <w:b/>
        <w:noProof/>
        <w:sz w:val="18"/>
      </w:rPr>
      <w:t>34</w:t>
    </w:r>
    <w:r w:rsidRPr="001A4396">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A9097A" w14:textId="07352F81" w:rsidR="0042099E" w:rsidRPr="001A4396" w:rsidRDefault="0042099E" w:rsidP="00935A0B">
    <w:pPr>
      <w:pStyle w:val="Piedepgina"/>
      <w:tabs>
        <w:tab w:val="right" w:pos="9638"/>
      </w:tabs>
      <w:spacing w:line="240" w:lineRule="auto"/>
      <w:rPr>
        <w:b/>
        <w:sz w:val="18"/>
      </w:rPr>
    </w:pPr>
    <w:r>
      <w:tab/>
    </w:r>
    <w:r w:rsidRPr="001A4396">
      <w:rPr>
        <w:b/>
        <w:sz w:val="18"/>
      </w:rPr>
      <w:fldChar w:fldCharType="begin"/>
    </w:r>
    <w:r w:rsidRPr="001A4396">
      <w:rPr>
        <w:b/>
        <w:sz w:val="18"/>
      </w:rPr>
      <w:instrText xml:space="preserve"> PAGE  \* MERGEFORMAT </w:instrText>
    </w:r>
    <w:r w:rsidRPr="001A4396">
      <w:rPr>
        <w:b/>
        <w:sz w:val="18"/>
      </w:rPr>
      <w:fldChar w:fldCharType="separate"/>
    </w:r>
    <w:r w:rsidR="00D16B98">
      <w:rPr>
        <w:b/>
        <w:noProof/>
        <w:sz w:val="18"/>
      </w:rPr>
      <w:t>35</w:t>
    </w:r>
    <w:r w:rsidRPr="001A43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47EAA1" w14:textId="4D05D353" w:rsidR="0042099E" w:rsidRPr="00F3513F" w:rsidRDefault="00F3513F" w:rsidP="00F3513F">
    <w:pPr>
      <w:pStyle w:val="Piedepgina"/>
      <w:tabs>
        <w:tab w:val="left" w:pos="6520"/>
        <w:tab w:val="right" w:pos="9638"/>
      </w:tabs>
      <w:spacing w:before="120" w:line="240" w:lineRule="auto"/>
      <w:rPr>
        <w:sz w:val="20"/>
      </w:rPr>
    </w:pPr>
    <w:r>
      <w:rPr>
        <w:sz w:val="20"/>
      </w:rPr>
      <w:t>GE.22-26652  (S)</w:t>
    </w:r>
    <w:r>
      <w:rPr>
        <w:sz w:val="20"/>
      </w:rPr>
      <w:tab/>
    </w:r>
    <w:r w:rsidRPr="00F3513F">
      <w:rPr>
        <w:noProof/>
        <w:sz w:val="20"/>
        <w:lang w:val="fr-CH" w:eastAsia="zh-CN"/>
      </w:rPr>
      <w:drawing>
        <wp:inline distT="0" distB="0" distL="0" distR="0" wp14:anchorId="6A84336C" wp14:editId="6CB59EE8">
          <wp:extent cx="1087200" cy="230400"/>
          <wp:effectExtent l="0" t="0" r="0" b="0"/>
          <wp:docPr id="5" name="Imagen 5"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inline>
      </w:drawing>
    </w:r>
    <w:r>
      <w:rPr>
        <w:sz w:val="20"/>
      </w:rPr>
      <w:tab/>
    </w:r>
    <w:r>
      <w:rPr>
        <w:noProof/>
        <w:sz w:val="20"/>
      </w:rPr>
      <w:drawing>
        <wp:inline distT="0" distB="0" distL="0" distR="0" wp14:anchorId="7EF6EC1E" wp14:editId="5D3104A1">
          <wp:extent cx="561340" cy="561340"/>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340" cy="56134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74B55C" w14:textId="77777777" w:rsidR="0042099E" w:rsidRPr="001075E9" w:rsidRDefault="0042099E" w:rsidP="001075E9">
      <w:pPr>
        <w:tabs>
          <w:tab w:val="right" w:pos="2155"/>
        </w:tabs>
        <w:spacing w:after="80" w:line="240" w:lineRule="auto"/>
        <w:ind w:left="680"/>
        <w:rPr>
          <w:u w:val="single"/>
        </w:rPr>
      </w:pPr>
      <w:r>
        <w:rPr>
          <w:u w:val="single"/>
        </w:rPr>
        <w:tab/>
      </w:r>
    </w:p>
  </w:footnote>
  <w:footnote w:type="continuationSeparator" w:id="0">
    <w:p w14:paraId="6FD15DA5" w14:textId="77777777" w:rsidR="0042099E" w:rsidRDefault="0042099E" w:rsidP="00407B78">
      <w:pPr>
        <w:tabs>
          <w:tab w:val="right" w:pos="2155"/>
        </w:tabs>
        <w:spacing w:after="80"/>
        <w:ind w:left="680"/>
        <w:rPr>
          <w:u w:val="single"/>
        </w:rPr>
      </w:pPr>
      <w:r>
        <w:rPr>
          <w:u w:val="single"/>
        </w:rPr>
        <w:tab/>
      </w:r>
    </w:p>
  </w:footnote>
  <w:footnote w:id="1">
    <w:p w14:paraId="48207FAC" w14:textId="75FD8602" w:rsidR="0042099E" w:rsidRPr="003A3CE4" w:rsidRDefault="0042099E" w:rsidP="00D46FF5">
      <w:pPr>
        <w:pStyle w:val="Textonotapie"/>
        <w:rPr>
          <w:sz w:val="20"/>
        </w:rPr>
      </w:pPr>
      <w:r>
        <w:tab/>
      </w:r>
      <w:r w:rsidRPr="003A3CE4">
        <w:rPr>
          <w:rStyle w:val="Refdenotaalpie"/>
          <w:sz w:val="20"/>
          <w:vertAlign w:val="baseline"/>
        </w:rPr>
        <w:t>*</w:t>
      </w:r>
      <w:r w:rsidRPr="003A3CE4">
        <w:tab/>
      </w:r>
      <w:r w:rsidR="00467420">
        <w:t>El</w:t>
      </w:r>
      <w:r w:rsidR="00467420" w:rsidRPr="00FF059D">
        <w:t xml:space="preserve"> presente documento </w:t>
      </w:r>
      <w:r w:rsidR="00467420">
        <w:t>se publica sin haber sido objeto</w:t>
      </w:r>
      <w:r w:rsidR="00467420" w:rsidRPr="00FF059D">
        <w:t xml:space="preserve"> de revisión editorial oficial.</w:t>
      </w:r>
    </w:p>
  </w:footnote>
  <w:footnote w:id="2">
    <w:p w14:paraId="21CECC78" w14:textId="4E1A7093" w:rsidR="0042099E" w:rsidRPr="00431FC5" w:rsidRDefault="0042099E">
      <w:pPr>
        <w:pStyle w:val="Textonotapie"/>
      </w:pPr>
      <w:r>
        <w:rPr>
          <w:rStyle w:val="Refdenotaalpie"/>
        </w:rPr>
        <w:tab/>
      </w:r>
      <w:r w:rsidRPr="00770151">
        <w:rPr>
          <w:rStyle w:val="Refdenotaalpie"/>
          <w:sz w:val="20"/>
          <w:vertAlign w:val="baseline"/>
        </w:rPr>
        <w:t>**</w:t>
      </w:r>
      <w:r>
        <w:rPr>
          <w:rStyle w:val="Refdenotaalpie"/>
          <w:sz w:val="20"/>
          <w:vertAlign w:val="baseline"/>
        </w:rPr>
        <w:tab/>
      </w:r>
      <w:r w:rsidRPr="000F4B48">
        <w:t>Los anexos al presente informe se encuentran disponibles en la página web del Comité.</w:t>
      </w:r>
    </w:p>
  </w:footnote>
  <w:footnote w:id="3">
    <w:p w14:paraId="20586EDD" w14:textId="73FC1A72" w:rsidR="0042099E" w:rsidRPr="00501F6F" w:rsidRDefault="0042099E" w:rsidP="0013135A">
      <w:pPr>
        <w:pStyle w:val="Textonotapie"/>
        <w:rPr>
          <w:szCs w:val="18"/>
        </w:rPr>
      </w:pPr>
      <w:r>
        <w:rPr>
          <w:szCs w:val="18"/>
        </w:rPr>
        <w:tab/>
      </w:r>
      <w:r w:rsidRPr="00501F6F">
        <w:rPr>
          <w:rStyle w:val="Refdenotaalpie"/>
          <w:szCs w:val="18"/>
        </w:rPr>
        <w:footnoteRef/>
      </w:r>
      <w:r>
        <w:rPr>
          <w:szCs w:val="18"/>
        </w:rPr>
        <w:tab/>
      </w:r>
      <w:r w:rsidRPr="00501F6F">
        <w:rPr>
          <w:szCs w:val="18"/>
        </w:rPr>
        <w:t xml:space="preserve">Departamento Administrativo Nacional de Estadística -DANE. Disponible en: </w:t>
      </w:r>
      <w:hyperlink r:id="rId1" w:history="1">
        <w:r w:rsidRPr="00501F6F">
          <w:rPr>
            <w:rStyle w:val="Hipervnculo"/>
            <w:szCs w:val="18"/>
          </w:rPr>
          <w:t>https://www.dane.gov.co/index.php/estadisticas-por-tema/demografia-y-poblacion/grupos-etnicos/informacion-tecnica</w:t>
        </w:r>
      </w:hyperlink>
      <w:r w:rsidR="00D3621B">
        <w:rPr>
          <w:rStyle w:val="Hipervnculo"/>
          <w:szCs w:val="18"/>
        </w:rPr>
        <w:t>.</w:t>
      </w:r>
    </w:p>
  </w:footnote>
  <w:footnote w:id="4">
    <w:p w14:paraId="4279D366" w14:textId="357F5DAE" w:rsidR="0042099E" w:rsidRPr="00501F6F" w:rsidRDefault="0042099E" w:rsidP="00095139">
      <w:pPr>
        <w:pStyle w:val="Textonotapie"/>
        <w:rPr>
          <w:szCs w:val="18"/>
        </w:rPr>
      </w:pPr>
      <w:r>
        <w:rPr>
          <w:szCs w:val="18"/>
        </w:rPr>
        <w:tab/>
      </w:r>
      <w:r w:rsidRPr="00501F6F">
        <w:rPr>
          <w:rStyle w:val="Refdenotaalpie"/>
          <w:szCs w:val="18"/>
        </w:rPr>
        <w:footnoteRef/>
      </w:r>
      <w:r>
        <w:rPr>
          <w:szCs w:val="18"/>
        </w:rPr>
        <w:tab/>
      </w:r>
      <w:r w:rsidRPr="00501F6F">
        <w:rPr>
          <w:szCs w:val="18"/>
        </w:rPr>
        <w:t>La Encuesta de Calidad de Vida (ECV) 2018 tiene cobertura departamental y cuenta con cerca de 287 mil personas encuestadas.</w:t>
      </w:r>
    </w:p>
  </w:footnote>
  <w:footnote w:id="5">
    <w:p w14:paraId="11182E87" w14:textId="298F831F" w:rsidR="0042099E" w:rsidRPr="00431FC5" w:rsidRDefault="0042099E" w:rsidP="0013135A">
      <w:pPr>
        <w:pStyle w:val="Textonotapie"/>
        <w:rPr>
          <w:szCs w:val="18"/>
          <w:lang w:val="fr-FR"/>
        </w:rPr>
      </w:pPr>
      <w:r>
        <w:rPr>
          <w:szCs w:val="18"/>
        </w:rPr>
        <w:tab/>
      </w:r>
      <w:r w:rsidRPr="00501F6F">
        <w:rPr>
          <w:rStyle w:val="Refdenotaalpie"/>
          <w:szCs w:val="18"/>
        </w:rPr>
        <w:footnoteRef/>
      </w:r>
      <w:r>
        <w:rPr>
          <w:szCs w:val="18"/>
        </w:rPr>
        <w:tab/>
      </w:r>
      <w:r w:rsidRPr="00501F6F">
        <w:rPr>
          <w:szCs w:val="18"/>
        </w:rPr>
        <w:t xml:space="preserve">La población que se autorreconoció como NARP en el CNPV 2018 es 2.982.224. </w:t>
      </w:r>
      <w:r w:rsidRPr="00431FC5">
        <w:rPr>
          <w:szCs w:val="18"/>
          <w:lang w:val="fr-FR"/>
        </w:rPr>
        <w:t xml:space="preserve">DANE. Disponible en: </w:t>
      </w:r>
      <w:hyperlink r:id="rId2" w:history="1">
        <w:r w:rsidRPr="00431FC5">
          <w:rPr>
            <w:rStyle w:val="Hipervnculo"/>
            <w:szCs w:val="18"/>
            <w:lang w:val="fr-FR"/>
          </w:rPr>
          <w:t>https://www.dane.gov.co/index.php/estadisticas-por-tema/demografia-y-poblacion/grupos-etnicos/informacion-tecnica</w:t>
        </w:r>
      </w:hyperlink>
      <w:r w:rsidR="00D3621B">
        <w:rPr>
          <w:rStyle w:val="Hipervnculo"/>
          <w:szCs w:val="18"/>
          <w:lang w:val="fr-FR"/>
        </w:rPr>
        <w:t>.</w:t>
      </w:r>
    </w:p>
  </w:footnote>
  <w:footnote w:id="6">
    <w:p w14:paraId="2F4EB9F8" w14:textId="01A611E9" w:rsidR="0042099E" w:rsidRPr="00501F6F" w:rsidRDefault="0042099E" w:rsidP="00095139">
      <w:pPr>
        <w:pStyle w:val="Textonotapie"/>
        <w:rPr>
          <w:szCs w:val="18"/>
        </w:rPr>
      </w:pPr>
      <w:r w:rsidRPr="00431FC5">
        <w:rPr>
          <w:szCs w:val="18"/>
          <w:lang w:val="fr-FR"/>
        </w:rPr>
        <w:tab/>
      </w:r>
      <w:r w:rsidRPr="00501F6F">
        <w:rPr>
          <w:rStyle w:val="Refdenotaalpie"/>
          <w:szCs w:val="18"/>
        </w:rPr>
        <w:footnoteRef/>
      </w:r>
      <w:r>
        <w:rPr>
          <w:szCs w:val="18"/>
        </w:rPr>
        <w:tab/>
      </w:r>
      <w:r w:rsidRPr="00501F6F">
        <w:rPr>
          <w:szCs w:val="18"/>
        </w:rPr>
        <w:t xml:space="preserve">Declaración de apertura, Sustentación del Informe de Colombia ante el CERD, 17-19 Informe periódico combinado de Colombia, 27 y 28 de noviembre de 2019. Disponible en: </w:t>
      </w:r>
      <w:hyperlink r:id="rId3" w:history="1">
        <w:r w:rsidRPr="00501F6F">
          <w:rPr>
            <w:rStyle w:val="Hipervnculo"/>
            <w:szCs w:val="18"/>
          </w:rPr>
          <w:t>https://tbinternet.ohchr.org/_layouts/15/treatybodyexternal/Download.aspx?symbolno=INT%2fCERD%2fSTA%2fCOL%2f39727&amp;Lang=es</w:t>
        </w:r>
      </w:hyperlink>
      <w:r w:rsidR="00D3621B">
        <w:rPr>
          <w:rStyle w:val="Hipervnculo"/>
          <w:szCs w:val="18"/>
        </w:rPr>
        <w:t>.</w:t>
      </w:r>
    </w:p>
  </w:footnote>
  <w:footnote w:id="7">
    <w:p w14:paraId="7DBE7505" w14:textId="7DBCB913" w:rsidR="0042099E" w:rsidRPr="00431FC5" w:rsidRDefault="0042099E">
      <w:pPr>
        <w:pStyle w:val="Textonotapie"/>
      </w:pPr>
      <w:r>
        <w:tab/>
      </w:r>
      <w:r>
        <w:rPr>
          <w:rStyle w:val="Refdenotaalpie"/>
        </w:rPr>
        <w:footnoteRef/>
      </w:r>
      <w:r>
        <w:tab/>
      </w:r>
      <w:r>
        <w:rPr>
          <w:szCs w:val="18"/>
        </w:rPr>
        <w:t>DANE</w:t>
      </w:r>
      <w:r w:rsidRPr="00501F6F">
        <w:rPr>
          <w:szCs w:val="18"/>
        </w:rPr>
        <w:t xml:space="preserve">. </w:t>
      </w:r>
      <w:r>
        <w:rPr>
          <w:szCs w:val="18"/>
        </w:rPr>
        <w:t>C</w:t>
      </w:r>
      <w:r w:rsidRPr="00501F6F">
        <w:rPr>
          <w:szCs w:val="18"/>
        </w:rPr>
        <w:t>orreo electrónico</w:t>
      </w:r>
      <w:r>
        <w:rPr>
          <w:szCs w:val="18"/>
        </w:rPr>
        <w:t xml:space="preserve"> del</w:t>
      </w:r>
      <w:r w:rsidRPr="00501F6F">
        <w:rPr>
          <w:szCs w:val="18"/>
        </w:rPr>
        <w:t xml:space="preserve"> 11 de abril de 2022.</w:t>
      </w:r>
    </w:p>
  </w:footnote>
  <w:footnote w:id="8">
    <w:p w14:paraId="2F8FE4DF" w14:textId="5B09BC5C" w:rsidR="0042099E" w:rsidRPr="00431FC5" w:rsidRDefault="0042099E" w:rsidP="0013135A">
      <w:pPr>
        <w:pStyle w:val="Textonotapie"/>
      </w:pPr>
      <w:r>
        <w:tab/>
      </w:r>
      <w:r>
        <w:rPr>
          <w:rStyle w:val="Refdenotaalpie"/>
        </w:rPr>
        <w:footnoteRef/>
      </w:r>
      <w:r>
        <w:tab/>
      </w:r>
      <w:r w:rsidRPr="001854B7">
        <w:t xml:space="preserve">La Guía para la inclusión del enfoque diferencial e interseccional puede ser consultada en: </w:t>
      </w:r>
      <w:hyperlink r:id="rId4">
        <w:r w:rsidRPr="001854B7">
          <w:rPr>
            <w:rStyle w:val="Hipervnculo"/>
          </w:rPr>
          <w:t>https://www.dane.gov.co/files/investigaciones/genero/guia-inclusion-enfoque-difencias-intersecciones-produccion-estadistica-SEN.pdf</w:t>
        </w:r>
      </w:hyperlink>
      <w:r w:rsidRPr="001854B7">
        <w:t xml:space="preserve"> DANE. Correo electrónico del 11 de abril de 2022.</w:t>
      </w:r>
    </w:p>
  </w:footnote>
  <w:footnote w:id="9">
    <w:p w14:paraId="3C036DD9" w14:textId="77777777" w:rsidR="0042099E" w:rsidRPr="00431FC5" w:rsidRDefault="0042099E" w:rsidP="0013135A">
      <w:pPr>
        <w:pStyle w:val="Textonotapie"/>
      </w:pPr>
      <w:r>
        <w:tab/>
      </w:r>
      <w:r>
        <w:rPr>
          <w:rStyle w:val="Refdenotaalpie"/>
        </w:rPr>
        <w:footnoteRef/>
      </w:r>
      <w:r>
        <w:tab/>
      </w:r>
      <w:r>
        <w:rPr>
          <w:szCs w:val="18"/>
        </w:rPr>
        <w:t>DANE</w:t>
      </w:r>
      <w:r w:rsidRPr="00501F6F">
        <w:rPr>
          <w:szCs w:val="18"/>
        </w:rPr>
        <w:t xml:space="preserve">. </w:t>
      </w:r>
      <w:r>
        <w:rPr>
          <w:szCs w:val="18"/>
        </w:rPr>
        <w:t>C</w:t>
      </w:r>
      <w:r w:rsidRPr="00501F6F">
        <w:rPr>
          <w:szCs w:val="18"/>
        </w:rPr>
        <w:t>orreo electrónico</w:t>
      </w:r>
      <w:r>
        <w:rPr>
          <w:szCs w:val="18"/>
        </w:rPr>
        <w:t xml:space="preserve"> del</w:t>
      </w:r>
      <w:r w:rsidRPr="00501F6F">
        <w:rPr>
          <w:szCs w:val="18"/>
        </w:rPr>
        <w:t xml:space="preserve"> 11 de abril de 2022.</w:t>
      </w:r>
    </w:p>
  </w:footnote>
  <w:footnote w:id="10">
    <w:p w14:paraId="51483568" w14:textId="77777777" w:rsidR="0042099E" w:rsidRPr="00431FC5" w:rsidRDefault="0042099E" w:rsidP="0013135A">
      <w:pPr>
        <w:pStyle w:val="Textonotapie"/>
      </w:pPr>
      <w:r>
        <w:tab/>
      </w:r>
      <w:r>
        <w:rPr>
          <w:rStyle w:val="Refdenotaalpie"/>
        </w:rPr>
        <w:footnoteRef/>
      </w:r>
      <w:r>
        <w:tab/>
      </w:r>
      <w:r>
        <w:rPr>
          <w:szCs w:val="18"/>
        </w:rPr>
        <w:t>DANE</w:t>
      </w:r>
      <w:r w:rsidRPr="00501F6F">
        <w:rPr>
          <w:szCs w:val="18"/>
        </w:rPr>
        <w:t xml:space="preserve">. </w:t>
      </w:r>
      <w:r>
        <w:rPr>
          <w:szCs w:val="18"/>
        </w:rPr>
        <w:t>C</w:t>
      </w:r>
      <w:r w:rsidRPr="00501F6F">
        <w:rPr>
          <w:szCs w:val="18"/>
        </w:rPr>
        <w:t>orreo electrónico</w:t>
      </w:r>
      <w:r>
        <w:rPr>
          <w:szCs w:val="18"/>
        </w:rPr>
        <w:t xml:space="preserve"> del</w:t>
      </w:r>
      <w:r w:rsidRPr="00501F6F">
        <w:rPr>
          <w:szCs w:val="18"/>
        </w:rPr>
        <w:t xml:space="preserve"> 11 de abril de 2022.</w:t>
      </w:r>
    </w:p>
  </w:footnote>
  <w:footnote w:id="11">
    <w:p w14:paraId="4DC53125" w14:textId="1F8BEF6A" w:rsidR="0042099E" w:rsidRPr="00501F6F" w:rsidRDefault="0042099E" w:rsidP="0013135A">
      <w:pPr>
        <w:pStyle w:val="Textonotapie"/>
        <w:rPr>
          <w:szCs w:val="18"/>
        </w:rPr>
      </w:pPr>
      <w:r>
        <w:rPr>
          <w:szCs w:val="18"/>
        </w:rPr>
        <w:tab/>
      </w:r>
      <w:r w:rsidRPr="00501F6F">
        <w:rPr>
          <w:rStyle w:val="Refdenotaalpie"/>
          <w:szCs w:val="18"/>
        </w:rPr>
        <w:footnoteRef/>
      </w:r>
      <w:r>
        <w:rPr>
          <w:szCs w:val="18"/>
        </w:rPr>
        <w:tab/>
        <w:t>D</w:t>
      </w:r>
      <w:r w:rsidRPr="00501F6F">
        <w:rPr>
          <w:szCs w:val="18"/>
        </w:rPr>
        <w:t xml:space="preserve">isponible en: </w:t>
      </w:r>
      <w:hyperlink r:id="rId5" w:history="1">
        <w:r w:rsidRPr="00501F6F">
          <w:rPr>
            <w:rStyle w:val="Hipervnculo"/>
            <w:szCs w:val="18"/>
          </w:rPr>
          <w:t>https://www.dane.gov.co/files/censo2018/estudios-poscensales/06-analisis-dinamica-intercensal-autorreconocimiento-NARP-UNFPA.pdf</w:t>
        </w:r>
      </w:hyperlink>
      <w:r w:rsidR="00D3621B">
        <w:rPr>
          <w:rStyle w:val="Hipervnculo"/>
          <w:szCs w:val="18"/>
        </w:rPr>
        <w:t>.</w:t>
      </w:r>
    </w:p>
  </w:footnote>
  <w:footnote w:id="12">
    <w:p w14:paraId="4896D708" w14:textId="566C7A37" w:rsidR="0042099E" w:rsidRPr="00501F6F" w:rsidRDefault="0042099E" w:rsidP="00095139">
      <w:pPr>
        <w:pStyle w:val="Textonotapie"/>
        <w:rPr>
          <w:szCs w:val="18"/>
        </w:rPr>
      </w:pPr>
      <w:r>
        <w:rPr>
          <w:szCs w:val="18"/>
        </w:rPr>
        <w:tab/>
      </w:r>
      <w:r w:rsidRPr="00501F6F">
        <w:rPr>
          <w:rStyle w:val="Refdenotaalpie"/>
          <w:szCs w:val="18"/>
        </w:rPr>
        <w:footnoteRef/>
      </w:r>
      <w:r>
        <w:rPr>
          <w:szCs w:val="18"/>
        </w:rPr>
        <w:tab/>
        <w:t>D</w:t>
      </w:r>
      <w:r w:rsidRPr="00501F6F">
        <w:rPr>
          <w:szCs w:val="18"/>
        </w:rPr>
        <w:t xml:space="preserve">isponible en: </w:t>
      </w:r>
      <w:hyperlink r:id="rId6" w:history="1">
        <w:r w:rsidRPr="00501F6F">
          <w:rPr>
            <w:rStyle w:val="Hipervnculo"/>
            <w:szCs w:val="18"/>
          </w:rPr>
          <w:t>https://www.dane.gov.co/index.php/estadisticas-por-tema/demografia-y-poblacion/grupos-etnicos/informacion-tecnica</w:t>
        </w:r>
      </w:hyperlink>
      <w:r w:rsidR="00D3621B">
        <w:rPr>
          <w:rStyle w:val="Hipervnculo"/>
          <w:szCs w:val="18"/>
        </w:rPr>
        <w:t>.</w:t>
      </w:r>
    </w:p>
  </w:footnote>
  <w:footnote w:id="13">
    <w:p w14:paraId="291BE173" w14:textId="1A997F7A" w:rsidR="0042099E" w:rsidRPr="00501F6F" w:rsidRDefault="0042099E" w:rsidP="0013135A">
      <w:pPr>
        <w:pStyle w:val="Textonotapie"/>
        <w:rPr>
          <w:szCs w:val="18"/>
        </w:rPr>
      </w:pPr>
      <w:r>
        <w:rPr>
          <w:szCs w:val="18"/>
        </w:rPr>
        <w:tab/>
      </w:r>
      <w:r w:rsidRPr="00501F6F">
        <w:rPr>
          <w:rStyle w:val="Refdenotaalpie"/>
          <w:szCs w:val="18"/>
        </w:rPr>
        <w:footnoteRef/>
      </w:r>
      <w:r>
        <w:rPr>
          <w:szCs w:val="18"/>
        </w:rPr>
        <w:tab/>
      </w:r>
      <w:r w:rsidRPr="00501F6F">
        <w:rPr>
          <w:szCs w:val="18"/>
        </w:rPr>
        <w:t xml:space="preserve">Disponible en: </w:t>
      </w:r>
      <w:hyperlink r:id="rId7" w:history="1">
        <w:r w:rsidRPr="00501F6F">
          <w:rPr>
            <w:rStyle w:val="Hipervnculo"/>
            <w:szCs w:val="18"/>
          </w:rPr>
          <w:t>https://geoportal.dane.gov.co/geovisores/sociedad/autorreconocimiento-etnico/</w:t>
        </w:r>
      </w:hyperlink>
      <w:r w:rsidR="00D3621B">
        <w:rPr>
          <w:rStyle w:val="Hipervnculo"/>
          <w:szCs w:val="18"/>
        </w:rPr>
        <w:t>.</w:t>
      </w:r>
    </w:p>
  </w:footnote>
  <w:footnote w:id="14">
    <w:p w14:paraId="3044F1F6" w14:textId="0DBC2997" w:rsidR="0042099E" w:rsidRPr="00431FC5" w:rsidRDefault="0042099E" w:rsidP="0013135A">
      <w:pPr>
        <w:pStyle w:val="Textonotapie"/>
      </w:pPr>
      <w:r>
        <w:tab/>
      </w:r>
      <w:r>
        <w:rPr>
          <w:rStyle w:val="Refdenotaalpie"/>
        </w:rPr>
        <w:footnoteRef/>
      </w:r>
      <w:r>
        <w:tab/>
      </w:r>
      <w:r w:rsidRPr="00973F39">
        <w:rPr>
          <w:lang w:val="es-CO"/>
        </w:rPr>
        <w:t xml:space="preserve">Disponible en: </w:t>
      </w:r>
      <w:hyperlink r:id="rId8" w:history="1">
        <w:r w:rsidRPr="00973F39">
          <w:rPr>
            <w:rStyle w:val="Hipervnculo"/>
            <w:lang w:val="es-CO"/>
          </w:rPr>
          <w:t>https://www.dane.gov.co/index.php/estadisticas-por-tema/pobreza-y-condiciones-de-vida/necesidades-basicas-insatisfechas-nbi</w:t>
        </w:r>
      </w:hyperlink>
      <w:r w:rsidR="00D3621B">
        <w:rPr>
          <w:rStyle w:val="Hipervnculo"/>
          <w:lang w:val="es-CO"/>
        </w:rPr>
        <w:t>.</w:t>
      </w:r>
    </w:p>
  </w:footnote>
  <w:footnote w:id="15">
    <w:p w14:paraId="29353096" w14:textId="0694372A" w:rsidR="0042099E" w:rsidRPr="00501F6F" w:rsidRDefault="0042099E" w:rsidP="0013135A">
      <w:pPr>
        <w:pStyle w:val="Textonotapie"/>
        <w:rPr>
          <w:szCs w:val="18"/>
          <w:lang w:val="es-CO"/>
        </w:rPr>
      </w:pPr>
      <w:r>
        <w:rPr>
          <w:szCs w:val="18"/>
          <w:lang w:val="es-CO"/>
        </w:rPr>
        <w:tab/>
      </w:r>
      <w:r w:rsidRPr="00501F6F">
        <w:rPr>
          <w:rStyle w:val="Refdenotaalpie"/>
          <w:szCs w:val="18"/>
        </w:rPr>
        <w:footnoteRef/>
      </w:r>
      <w:r>
        <w:rPr>
          <w:szCs w:val="18"/>
          <w:lang w:val="es-CO"/>
        </w:rPr>
        <w:tab/>
      </w:r>
      <w:r w:rsidRPr="00501F6F">
        <w:rPr>
          <w:szCs w:val="18"/>
          <w:lang w:val="es-CO"/>
        </w:rPr>
        <w:t xml:space="preserve">Disponible en: </w:t>
      </w:r>
      <w:hyperlink r:id="rId9" w:history="1">
        <w:r w:rsidRPr="00501F6F">
          <w:rPr>
            <w:rStyle w:val="Hipervnculo"/>
            <w:szCs w:val="18"/>
            <w:lang w:val="es-CO"/>
          </w:rPr>
          <w:t>https://www.dane.gov.co/index.php/52-espanol/noticias/noticias/2396-microdatos-anonimizados-geih</w:t>
        </w:r>
      </w:hyperlink>
      <w:r w:rsidR="00D3621B">
        <w:rPr>
          <w:rStyle w:val="Hipervnculo"/>
          <w:szCs w:val="18"/>
          <w:lang w:val="es-CO"/>
        </w:rPr>
        <w:t>.</w:t>
      </w:r>
    </w:p>
  </w:footnote>
  <w:footnote w:id="16">
    <w:p w14:paraId="56912170" w14:textId="7F14E74C" w:rsidR="0042099E" w:rsidRPr="00501F6F" w:rsidRDefault="0042099E" w:rsidP="0013135A">
      <w:pPr>
        <w:pStyle w:val="Textonotapie"/>
        <w:rPr>
          <w:szCs w:val="18"/>
        </w:rPr>
      </w:pPr>
      <w:r>
        <w:rPr>
          <w:szCs w:val="18"/>
        </w:rPr>
        <w:tab/>
      </w:r>
      <w:r w:rsidRPr="00501F6F">
        <w:rPr>
          <w:rStyle w:val="Refdenotaalpie"/>
          <w:szCs w:val="18"/>
        </w:rPr>
        <w:footnoteRef/>
      </w:r>
      <w:r>
        <w:rPr>
          <w:szCs w:val="18"/>
        </w:rPr>
        <w:tab/>
      </w:r>
      <w:r w:rsidRPr="00501F6F">
        <w:rPr>
          <w:szCs w:val="18"/>
        </w:rPr>
        <w:t xml:space="preserve">Disponible en: </w:t>
      </w:r>
      <w:hyperlink r:id="rId10" w:history="1">
        <w:r w:rsidRPr="00501F6F">
          <w:rPr>
            <w:rStyle w:val="Hipervnculo"/>
            <w:szCs w:val="18"/>
          </w:rPr>
          <w:t>http://systema59.dane.gov.co/bincol/rpwebengine.exe/PortalAction?lang=esp</w:t>
        </w:r>
      </w:hyperlink>
      <w:r w:rsidR="00D3621B">
        <w:rPr>
          <w:szCs w:val="18"/>
        </w:rPr>
        <w:t>.</w:t>
      </w:r>
    </w:p>
  </w:footnote>
  <w:footnote w:id="17">
    <w:p w14:paraId="65A79413" w14:textId="5FFA52C8" w:rsidR="0042099E" w:rsidRPr="00431FC5" w:rsidRDefault="0042099E" w:rsidP="0013135A">
      <w:pPr>
        <w:pStyle w:val="Textonotapie"/>
        <w:rPr>
          <w:szCs w:val="18"/>
          <w:lang w:val="fr-FR"/>
        </w:rPr>
      </w:pPr>
      <w:r>
        <w:rPr>
          <w:szCs w:val="18"/>
        </w:rPr>
        <w:tab/>
      </w:r>
      <w:r w:rsidRPr="00501F6F">
        <w:rPr>
          <w:rStyle w:val="Refdenotaalpie"/>
          <w:szCs w:val="18"/>
        </w:rPr>
        <w:footnoteRef/>
      </w:r>
      <w:r w:rsidRPr="00431FC5">
        <w:rPr>
          <w:szCs w:val="18"/>
          <w:lang w:val="fr-FR"/>
        </w:rPr>
        <w:tab/>
        <w:t xml:space="preserve">Disponible en: </w:t>
      </w:r>
      <w:hyperlink r:id="rId11" w:history="1">
        <w:r w:rsidRPr="00431FC5">
          <w:rPr>
            <w:rStyle w:val="Hipervnculo"/>
            <w:szCs w:val="18"/>
            <w:lang w:val="fr-FR"/>
          </w:rPr>
          <w:t>https://www.dane.gov.co/files/investigaciones/boletines/grupos-etnicos/presentacion-grupos-etnicos-poblacion-NARP-2019.pdf</w:t>
        </w:r>
      </w:hyperlink>
      <w:r w:rsidR="00D3621B">
        <w:rPr>
          <w:rStyle w:val="Hipervnculo"/>
          <w:szCs w:val="18"/>
          <w:lang w:val="fr-FR"/>
        </w:rPr>
        <w:t>.</w:t>
      </w:r>
    </w:p>
  </w:footnote>
  <w:footnote w:id="18">
    <w:p w14:paraId="6BD23CB5" w14:textId="77777777" w:rsidR="0042099E" w:rsidRPr="00431FC5" w:rsidRDefault="0042099E" w:rsidP="0013135A">
      <w:pPr>
        <w:pStyle w:val="Textonotapie"/>
      </w:pPr>
      <w:r w:rsidRPr="00431FC5">
        <w:rPr>
          <w:lang w:val="fr-FR"/>
        </w:rPr>
        <w:tab/>
      </w:r>
      <w:r>
        <w:rPr>
          <w:rStyle w:val="Refdenotaalpie"/>
        </w:rPr>
        <w:footnoteRef/>
      </w:r>
      <w:r w:rsidRPr="00431FC5">
        <w:rPr>
          <w:lang w:val="fr-FR"/>
        </w:rPr>
        <w:tab/>
      </w:r>
      <w:r w:rsidRPr="00431FC5">
        <w:rPr>
          <w:szCs w:val="18"/>
          <w:lang w:val="fr-FR"/>
        </w:rPr>
        <w:t xml:space="preserve">DANE. </w:t>
      </w:r>
      <w:r>
        <w:rPr>
          <w:szCs w:val="18"/>
        </w:rPr>
        <w:t>C</w:t>
      </w:r>
      <w:r w:rsidRPr="00501F6F">
        <w:rPr>
          <w:szCs w:val="18"/>
        </w:rPr>
        <w:t>orreo electrónico</w:t>
      </w:r>
      <w:r>
        <w:rPr>
          <w:szCs w:val="18"/>
        </w:rPr>
        <w:t xml:space="preserve"> del</w:t>
      </w:r>
      <w:r w:rsidRPr="00501F6F">
        <w:rPr>
          <w:szCs w:val="18"/>
        </w:rPr>
        <w:t xml:space="preserve"> 11 de abril de 2022.</w:t>
      </w:r>
    </w:p>
  </w:footnote>
  <w:footnote w:id="19">
    <w:p w14:paraId="01D1279A" w14:textId="2146AC62" w:rsidR="0042099E" w:rsidRPr="00501F6F" w:rsidRDefault="0042099E" w:rsidP="00095139">
      <w:pPr>
        <w:pStyle w:val="Textonotapie"/>
        <w:rPr>
          <w:szCs w:val="18"/>
        </w:rPr>
      </w:pPr>
      <w:r>
        <w:rPr>
          <w:szCs w:val="18"/>
        </w:rPr>
        <w:tab/>
      </w:r>
      <w:r w:rsidRPr="00501F6F">
        <w:rPr>
          <w:rStyle w:val="Refdenotaalpie"/>
          <w:szCs w:val="18"/>
        </w:rPr>
        <w:footnoteRef/>
      </w:r>
      <w:r>
        <w:rPr>
          <w:szCs w:val="18"/>
        </w:rPr>
        <w:tab/>
      </w:r>
      <w:r w:rsidRPr="00501F6F">
        <w:rPr>
          <w:szCs w:val="18"/>
        </w:rPr>
        <w:t xml:space="preserve">Disponible en: </w:t>
      </w:r>
      <w:hyperlink r:id="rId12" w:history="1">
        <w:r w:rsidRPr="00501F6F">
          <w:rPr>
            <w:rStyle w:val="Hipervnculo"/>
            <w:szCs w:val="18"/>
          </w:rPr>
          <w:t>https://derechoshumanos.gov.co/Observatorio/Publicaciones/Documents/</w:t>
        </w:r>
        <w:r w:rsidR="00D3621B">
          <w:rPr>
            <w:rStyle w:val="Hipervnculo"/>
            <w:szCs w:val="18"/>
          </w:rPr>
          <w:br/>
        </w:r>
        <w:r w:rsidRPr="00501F6F">
          <w:rPr>
            <w:rStyle w:val="Hipervnculo"/>
            <w:szCs w:val="18"/>
          </w:rPr>
          <w:t>2021/030222-Mapa-de-Riesgo-NARP.pdf</w:t>
        </w:r>
      </w:hyperlink>
      <w:r w:rsidR="00D3621B">
        <w:rPr>
          <w:rStyle w:val="Hipervnculo"/>
          <w:szCs w:val="18"/>
        </w:rPr>
        <w:t>.</w:t>
      </w:r>
    </w:p>
  </w:footnote>
  <w:footnote w:id="20">
    <w:p w14:paraId="4FE8DE1D" w14:textId="2F4FEA65" w:rsidR="0042099E" w:rsidRPr="00501F6F" w:rsidRDefault="0042099E" w:rsidP="00095139">
      <w:pPr>
        <w:pStyle w:val="Textonotapie"/>
        <w:rPr>
          <w:szCs w:val="18"/>
        </w:rPr>
      </w:pPr>
      <w:r>
        <w:rPr>
          <w:szCs w:val="18"/>
        </w:rPr>
        <w:tab/>
      </w:r>
      <w:r w:rsidRPr="00501F6F">
        <w:rPr>
          <w:rStyle w:val="Refdenotaalpie"/>
          <w:szCs w:val="18"/>
        </w:rPr>
        <w:footnoteRef/>
      </w:r>
      <w:r>
        <w:rPr>
          <w:szCs w:val="18"/>
        </w:rPr>
        <w:tab/>
      </w:r>
      <w:r w:rsidRPr="00501F6F">
        <w:rPr>
          <w:szCs w:val="18"/>
        </w:rPr>
        <w:t xml:space="preserve">Disponible en: </w:t>
      </w:r>
      <w:hyperlink r:id="rId13" w:history="1">
        <w:r w:rsidRPr="00501F6F">
          <w:rPr>
            <w:rStyle w:val="Hipervnculo"/>
            <w:szCs w:val="18"/>
          </w:rPr>
          <w:t>https://derechoshumanos.gov.co/Observatorio/Publicaciones/Documents/</w:t>
        </w:r>
        <w:r w:rsidR="00D3621B">
          <w:rPr>
            <w:rStyle w:val="Hipervnculo"/>
            <w:szCs w:val="18"/>
          </w:rPr>
          <w:br/>
        </w:r>
        <w:r w:rsidRPr="00501F6F">
          <w:rPr>
            <w:rStyle w:val="Hipervnculo"/>
            <w:szCs w:val="18"/>
          </w:rPr>
          <w:t>2022/290622-Discriminacion-Racial-y-Desigualdad-Social-de-las-Comunidades-Afrocolombianas.pdf</w:t>
        </w:r>
      </w:hyperlink>
      <w:r w:rsidR="00D3621B">
        <w:rPr>
          <w:rStyle w:val="Hipervnculo"/>
          <w:szCs w:val="18"/>
        </w:rPr>
        <w:t>.</w:t>
      </w:r>
    </w:p>
  </w:footnote>
  <w:footnote w:id="21">
    <w:p w14:paraId="1B841B9B" w14:textId="77777777" w:rsidR="0042099E" w:rsidRPr="00501F6F" w:rsidRDefault="0042099E" w:rsidP="0013135A">
      <w:pPr>
        <w:pStyle w:val="Textonotapie"/>
        <w:rPr>
          <w:szCs w:val="18"/>
          <w:lang w:val="es-CO"/>
        </w:rPr>
      </w:pPr>
      <w:r>
        <w:rPr>
          <w:szCs w:val="18"/>
        </w:rPr>
        <w:tab/>
      </w:r>
      <w:r w:rsidRPr="00D3621B">
        <w:rPr>
          <w:szCs w:val="18"/>
          <w:vertAlign w:val="superscript"/>
        </w:rPr>
        <w:footnoteRef/>
      </w:r>
      <w:r>
        <w:rPr>
          <w:szCs w:val="18"/>
        </w:rPr>
        <w:tab/>
      </w:r>
      <w:r w:rsidRPr="00501F6F">
        <w:rPr>
          <w:szCs w:val="18"/>
        </w:rPr>
        <w:t xml:space="preserve">Ministerio del Interior. </w:t>
      </w:r>
      <w:r>
        <w:rPr>
          <w:szCs w:val="18"/>
        </w:rPr>
        <w:t>C</w:t>
      </w:r>
      <w:r w:rsidRPr="00501F6F">
        <w:rPr>
          <w:szCs w:val="18"/>
        </w:rPr>
        <w:t>orreo electrónico</w:t>
      </w:r>
      <w:r>
        <w:rPr>
          <w:szCs w:val="18"/>
        </w:rPr>
        <w:t xml:space="preserve"> del</w:t>
      </w:r>
      <w:r w:rsidRPr="00501F6F">
        <w:rPr>
          <w:szCs w:val="18"/>
        </w:rPr>
        <w:t xml:space="preserve"> 25 de julio de 2022</w:t>
      </w:r>
      <w:r>
        <w:rPr>
          <w:szCs w:val="18"/>
        </w:rPr>
        <w:t>.</w:t>
      </w:r>
    </w:p>
  </w:footnote>
  <w:footnote w:id="22">
    <w:p w14:paraId="17BDF96A" w14:textId="77777777" w:rsidR="0042099E" w:rsidRPr="00501F6F" w:rsidRDefault="0042099E" w:rsidP="0013135A">
      <w:pPr>
        <w:pStyle w:val="Textonotapie"/>
        <w:rPr>
          <w:szCs w:val="18"/>
        </w:rPr>
      </w:pPr>
      <w:r>
        <w:rPr>
          <w:szCs w:val="18"/>
        </w:rPr>
        <w:tab/>
      </w:r>
      <w:r w:rsidRPr="00501F6F">
        <w:rPr>
          <w:rStyle w:val="Refdenotaalpie"/>
          <w:szCs w:val="18"/>
        </w:rPr>
        <w:footnoteRef/>
      </w:r>
      <w:r>
        <w:rPr>
          <w:szCs w:val="18"/>
        </w:rPr>
        <w:tab/>
      </w:r>
      <w:r w:rsidRPr="00501F6F">
        <w:rPr>
          <w:szCs w:val="18"/>
        </w:rPr>
        <w:t xml:space="preserve">Ministerio del Interior. </w:t>
      </w:r>
      <w:r>
        <w:rPr>
          <w:szCs w:val="18"/>
        </w:rPr>
        <w:t>C</w:t>
      </w:r>
      <w:r w:rsidRPr="00501F6F">
        <w:rPr>
          <w:szCs w:val="18"/>
        </w:rPr>
        <w:t>orreo electrónico</w:t>
      </w:r>
      <w:r>
        <w:rPr>
          <w:szCs w:val="18"/>
        </w:rPr>
        <w:t xml:space="preserve"> del</w:t>
      </w:r>
      <w:r w:rsidRPr="00501F6F">
        <w:rPr>
          <w:szCs w:val="18"/>
        </w:rPr>
        <w:t xml:space="preserve"> 25 de julio de 2022</w:t>
      </w:r>
      <w:r>
        <w:rPr>
          <w:szCs w:val="18"/>
        </w:rPr>
        <w:t>.</w:t>
      </w:r>
    </w:p>
  </w:footnote>
  <w:footnote w:id="23">
    <w:p w14:paraId="0B86CAE3" w14:textId="77777777" w:rsidR="0042099E" w:rsidRPr="00501F6F" w:rsidRDefault="0042099E" w:rsidP="00E92E0A">
      <w:pPr>
        <w:pStyle w:val="Textonotapie"/>
        <w:rPr>
          <w:szCs w:val="18"/>
          <w:lang w:val="es-CO"/>
        </w:rPr>
      </w:pPr>
      <w:r>
        <w:rPr>
          <w:szCs w:val="18"/>
        </w:rPr>
        <w:tab/>
      </w:r>
      <w:r w:rsidRPr="00501F6F">
        <w:rPr>
          <w:rStyle w:val="Refdenotaalpie"/>
          <w:szCs w:val="18"/>
        </w:rPr>
        <w:footnoteRef/>
      </w:r>
      <w:r>
        <w:rPr>
          <w:szCs w:val="18"/>
        </w:rPr>
        <w:tab/>
      </w:r>
      <w:r w:rsidRPr="00501F6F">
        <w:rPr>
          <w:szCs w:val="18"/>
        </w:rPr>
        <w:t xml:space="preserve">Ministerio del Interior. </w:t>
      </w:r>
      <w:r>
        <w:rPr>
          <w:szCs w:val="18"/>
        </w:rPr>
        <w:t>C</w:t>
      </w:r>
      <w:r w:rsidRPr="00501F6F">
        <w:rPr>
          <w:szCs w:val="18"/>
        </w:rPr>
        <w:t>orreo electrónico</w:t>
      </w:r>
      <w:r>
        <w:rPr>
          <w:szCs w:val="18"/>
        </w:rPr>
        <w:t xml:space="preserve"> del</w:t>
      </w:r>
      <w:r w:rsidRPr="00501F6F">
        <w:rPr>
          <w:szCs w:val="18"/>
        </w:rPr>
        <w:t xml:space="preserve"> 25 de julio de 2022</w:t>
      </w:r>
      <w:r>
        <w:rPr>
          <w:szCs w:val="18"/>
        </w:rPr>
        <w:t>.</w:t>
      </w:r>
    </w:p>
  </w:footnote>
  <w:footnote w:id="24">
    <w:p w14:paraId="74B8AC4D" w14:textId="26367065" w:rsidR="0042099E" w:rsidRPr="00501F6F" w:rsidRDefault="0042099E" w:rsidP="00095139">
      <w:pPr>
        <w:pStyle w:val="Textonotapie"/>
        <w:rPr>
          <w:szCs w:val="18"/>
        </w:rPr>
      </w:pPr>
      <w:r>
        <w:rPr>
          <w:szCs w:val="18"/>
        </w:rPr>
        <w:tab/>
      </w:r>
      <w:r w:rsidRPr="00501F6F">
        <w:rPr>
          <w:rStyle w:val="Refdenotaalpie"/>
          <w:szCs w:val="18"/>
        </w:rPr>
        <w:footnoteRef/>
      </w:r>
      <w:r>
        <w:rPr>
          <w:szCs w:val="18"/>
        </w:rPr>
        <w:tab/>
      </w:r>
      <w:r w:rsidRPr="00501F6F">
        <w:rPr>
          <w:szCs w:val="18"/>
        </w:rPr>
        <w:t xml:space="preserve">Ministerio del Interior. </w:t>
      </w:r>
      <w:r>
        <w:rPr>
          <w:szCs w:val="18"/>
        </w:rPr>
        <w:t>C</w:t>
      </w:r>
      <w:r w:rsidRPr="00501F6F">
        <w:rPr>
          <w:szCs w:val="18"/>
        </w:rPr>
        <w:t>orreo electrónico</w:t>
      </w:r>
      <w:r>
        <w:rPr>
          <w:szCs w:val="18"/>
        </w:rPr>
        <w:t xml:space="preserve"> del</w:t>
      </w:r>
      <w:r w:rsidRPr="00501F6F">
        <w:rPr>
          <w:szCs w:val="18"/>
        </w:rPr>
        <w:t xml:space="preserve"> 25 de julio de 2022</w:t>
      </w:r>
      <w:r>
        <w:rPr>
          <w:szCs w:val="18"/>
        </w:rPr>
        <w:t>.</w:t>
      </w:r>
    </w:p>
  </w:footnote>
  <w:footnote w:id="25">
    <w:p w14:paraId="54A5C20A" w14:textId="77777777" w:rsidR="0042099E" w:rsidRPr="00501F6F" w:rsidRDefault="0042099E" w:rsidP="00E92E0A">
      <w:pPr>
        <w:pStyle w:val="Textonotapie"/>
        <w:rPr>
          <w:szCs w:val="18"/>
          <w:lang w:val="es-CO"/>
        </w:rPr>
      </w:pPr>
      <w:r>
        <w:rPr>
          <w:szCs w:val="18"/>
        </w:rPr>
        <w:tab/>
      </w:r>
      <w:r w:rsidRPr="00501F6F">
        <w:rPr>
          <w:rStyle w:val="Refdenotaalpie"/>
          <w:szCs w:val="18"/>
        </w:rPr>
        <w:footnoteRef/>
      </w:r>
      <w:r>
        <w:rPr>
          <w:szCs w:val="18"/>
        </w:rPr>
        <w:tab/>
      </w:r>
      <w:r w:rsidRPr="00501F6F">
        <w:rPr>
          <w:szCs w:val="18"/>
          <w:lang w:val="es-CO"/>
        </w:rPr>
        <w:t xml:space="preserve">Ministerio de Justicia y del Derecho. </w:t>
      </w:r>
      <w:r>
        <w:rPr>
          <w:szCs w:val="18"/>
          <w:lang w:val="es-CO"/>
        </w:rPr>
        <w:t>C</w:t>
      </w:r>
      <w:r w:rsidRPr="00501F6F">
        <w:rPr>
          <w:szCs w:val="18"/>
          <w:lang w:val="es-CO"/>
        </w:rPr>
        <w:t>orreo electrónico</w:t>
      </w:r>
      <w:r>
        <w:rPr>
          <w:szCs w:val="18"/>
          <w:lang w:val="es-CO"/>
        </w:rPr>
        <w:t xml:space="preserve"> del</w:t>
      </w:r>
      <w:r w:rsidRPr="00501F6F">
        <w:rPr>
          <w:szCs w:val="18"/>
          <w:lang w:val="es-CO"/>
        </w:rPr>
        <w:t xml:space="preserve"> 30 de junio de 2022.</w:t>
      </w:r>
    </w:p>
  </w:footnote>
  <w:footnote w:id="26">
    <w:p w14:paraId="650E5EA9" w14:textId="77777777" w:rsidR="0042099E" w:rsidRPr="00501F6F" w:rsidRDefault="0042099E" w:rsidP="00E92E0A">
      <w:pPr>
        <w:pStyle w:val="Textonotapie"/>
        <w:rPr>
          <w:szCs w:val="18"/>
          <w:lang w:val="es-CO"/>
        </w:rPr>
      </w:pPr>
      <w:r>
        <w:rPr>
          <w:szCs w:val="18"/>
        </w:rPr>
        <w:tab/>
      </w:r>
      <w:r w:rsidRPr="00501F6F">
        <w:rPr>
          <w:rStyle w:val="Refdenotaalpie"/>
          <w:szCs w:val="18"/>
        </w:rPr>
        <w:footnoteRef/>
      </w:r>
      <w:r>
        <w:rPr>
          <w:szCs w:val="18"/>
        </w:rPr>
        <w:tab/>
      </w:r>
      <w:r>
        <w:rPr>
          <w:szCs w:val="18"/>
          <w:lang w:val="es-CO"/>
        </w:rPr>
        <w:t>UNP</w:t>
      </w:r>
      <w:r w:rsidRPr="00501F6F">
        <w:rPr>
          <w:szCs w:val="18"/>
          <w:lang w:val="es-CO"/>
        </w:rPr>
        <w:t>. OFI22-00030023 del 8 de julio de 2022.</w:t>
      </w:r>
    </w:p>
  </w:footnote>
  <w:footnote w:id="27">
    <w:p w14:paraId="335121E5" w14:textId="77777777" w:rsidR="0042099E" w:rsidRPr="00501F6F" w:rsidRDefault="0042099E" w:rsidP="00E92E0A">
      <w:pPr>
        <w:pStyle w:val="Textonotapie"/>
        <w:rPr>
          <w:szCs w:val="18"/>
        </w:rPr>
      </w:pPr>
      <w:r>
        <w:rPr>
          <w:szCs w:val="18"/>
        </w:rPr>
        <w:tab/>
      </w:r>
      <w:r w:rsidRPr="00501F6F">
        <w:rPr>
          <w:rStyle w:val="Refdenotaalpie"/>
          <w:szCs w:val="18"/>
        </w:rPr>
        <w:footnoteRef/>
      </w:r>
      <w:r>
        <w:rPr>
          <w:szCs w:val="18"/>
        </w:rPr>
        <w:tab/>
      </w:r>
      <w:r w:rsidRPr="00501F6F">
        <w:rPr>
          <w:szCs w:val="18"/>
        </w:rPr>
        <w:t xml:space="preserve">Ministerio del Interior. </w:t>
      </w:r>
      <w:r>
        <w:rPr>
          <w:szCs w:val="18"/>
        </w:rPr>
        <w:t>C</w:t>
      </w:r>
      <w:r w:rsidRPr="00501F6F">
        <w:rPr>
          <w:szCs w:val="18"/>
        </w:rPr>
        <w:t>orreo electrónico</w:t>
      </w:r>
      <w:r>
        <w:rPr>
          <w:szCs w:val="18"/>
        </w:rPr>
        <w:t xml:space="preserve"> del</w:t>
      </w:r>
      <w:r w:rsidRPr="00501F6F">
        <w:rPr>
          <w:szCs w:val="18"/>
        </w:rPr>
        <w:t xml:space="preserve"> 9 de junio de 2022.</w:t>
      </w:r>
    </w:p>
  </w:footnote>
  <w:footnote w:id="28">
    <w:p w14:paraId="51FD2BA9" w14:textId="77777777" w:rsidR="0042099E" w:rsidRPr="00431FC5" w:rsidRDefault="0042099E" w:rsidP="00E92E0A">
      <w:pPr>
        <w:pStyle w:val="Textonotapie"/>
      </w:pPr>
      <w:r>
        <w:tab/>
      </w:r>
      <w:r>
        <w:rPr>
          <w:rStyle w:val="Refdenotaalpie"/>
        </w:rPr>
        <w:footnoteRef/>
      </w:r>
      <w:r>
        <w:tab/>
      </w:r>
      <w:r w:rsidRPr="00501F6F">
        <w:rPr>
          <w:szCs w:val="18"/>
        </w:rPr>
        <w:t xml:space="preserve">Ministerio del Interior. </w:t>
      </w:r>
      <w:r>
        <w:rPr>
          <w:szCs w:val="18"/>
        </w:rPr>
        <w:t>C</w:t>
      </w:r>
      <w:r w:rsidRPr="00501F6F">
        <w:rPr>
          <w:szCs w:val="18"/>
        </w:rPr>
        <w:t>orreo electrónico</w:t>
      </w:r>
      <w:r>
        <w:rPr>
          <w:szCs w:val="18"/>
        </w:rPr>
        <w:t xml:space="preserve"> del</w:t>
      </w:r>
      <w:r w:rsidRPr="00501F6F">
        <w:rPr>
          <w:szCs w:val="18"/>
        </w:rPr>
        <w:t xml:space="preserve"> 9 de junio de 2022.</w:t>
      </w:r>
    </w:p>
  </w:footnote>
  <w:footnote w:id="29">
    <w:p w14:paraId="01E1D792" w14:textId="77777777" w:rsidR="0042099E" w:rsidRPr="00501F6F" w:rsidRDefault="0042099E" w:rsidP="00E92E0A">
      <w:pPr>
        <w:pStyle w:val="Textonotapie"/>
        <w:rPr>
          <w:szCs w:val="18"/>
        </w:rPr>
      </w:pPr>
      <w:r>
        <w:rPr>
          <w:szCs w:val="18"/>
        </w:rPr>
        <w:tab/>
      </w:r>
      <w:r w:rsidRPr="00501F6F">
        <w:rPr>
          <w:rStyle w:val="Refdenotaalpie"/>
          <w:szCs w:val="18"/>
        </w:rPr>
        <w:footnoteRef/>
      </w:r>
      <w:r>
        <w:rPr>
          <w:szCs w:val="18"/>
        </w:rPr>
        <w:tab/>
      </w:r>
      <w:r w:rsidRPr="00501F6F">
        <w:rPr>
          <w:szCs w:val="18"/>
        </w:rPr>
        <w:t xml:space="preserve">Ministerio del Interior. </w:t>
      </w:r>
      <w:r>
        <w:rPr>
          <w:szCs w:val="18"/>
        </w:rPr>
        <w:t>C</w:t>
      </w:r>
      <w:r w:rsidRPr="00501F6F">
        <w:rPr>
          <w:szCs w:val="18"/>
        </w:rPr>
        <w:t>orreo electrónico</w:t>
      </w:r>
      <w:r>
        <w:rPr>
          <w:szCs w:val="18"/>
        </w:rPr>
        <w:t xml:space="preserve"> del</w:t>
      </w:r>
      <w:r w:rsidRPr="00501F6F">
        <w:rPr>
          <w:szCs w:val="18"/>
        </w:rPr>
        <w:t xml:space="preserve"> 9 de junio de 2022.</w:t>
      </w:r>
    </w:p>
  </w:footnote>
  <w:footnote w:id="30">
    <w:p w14:paraId="2E059758" w14:textId="59E794C1" w:rsidR="0042099E" w:rsidRPr="00501F6F" w:rsidRDefault="0042099E" w:rsidP="00095139">
      <w:pPr>
        <w:pStyle w:val="Textonotapie"/>
        <w:rPr>
          <w:szCs w:val="18"/>
        </w:rPr>
      </w:pPr>
      <w:r>
        <w:rPr>
          <w:szCs w:val="18"/>
        </w:rPr>
        <w:tab/>
      </w:r>
      <w:r w:rsidRPr="00501F6F">
        <w:rPr>
          <w:rStyle w:val="Refdenotaalpie"/>
          <w:szCs w:val="18"/>
        </w:rPr>
        <w:footnoteRef/>
      </w:r>
      <w:r>
        <w:rPr>
          <w:szCs w:val="18"/>
        </w:rPr>
        <w:tab/>
      </w:r>
      <w:r w:rsidRPr="00501F6F">
        <w:rPr>
          <w:szCs w:val="18"/>
        </w:rPr>
        <w:t>“Por medio de la cual se modifica la ley 1448 de 2011 y los decretos ley étnicos 4633 de 2011, 4634 de 2011y 4635 de 2011, prorrogando por 10 años su vigencia”</w:t>
      </w:r>
      <w:r>
        <w:rPr>
          <w:szCs w:val="18"/>
        </w:rPr>
        <w:t>.</w:t>
      </w:r>
    </w:p>
  </w:footnote>
  <w:footnote w:id="31">
    <w:p w14:paraId="0957602A" w14:textId="77777777" w:rsidR="0042099E" w:rsidRPr="00431FC5" w:rsidRDefault="0042099E" w:rsidP="00500ED6">
      <w:pPr>
        <w:pStyle w:val="Textonotapie"/>
      </w:pPr>
      <w:r>
        <w:tab/>
      </w:r>
      <w:r>
        <w:rPr>
          <w:rStyle w:val="Refdenotaalpie"/>
        </w:rPr>
        <w:footnoteRef/>
      </w:r>
      <w:r>
        <w:tab/>
      </w:r>
      <w:r w:rsidRPr="00501F6F">
        <w:rPr>
          <w:szCs w:val="18"/>
        </w:rPr>
        <w:t xml:space="preserve">DNP. </w:t>
      </w:r>
      <w:r>
        <w:rPr>
          <w:szCs w:val="18"/>
        </w:rPr>
        <w:t>C</w:t>
      </w:r>
      <w:r w:rsidRPr="00501F6F">
        <w:rPr>
          <w:szCs w:val="18"/>
        </w:rPr>
        <w:t>orreo electrónico</w:t>
      </w:r>
      <w:r>
        <w:rPr>
          <w:szCs w:val="18"/>
        </w:rPr>
        <w:t xml:space="preserve"> del</w:t>
      </w:r>
      <w:r w:rsidRPr="00501F6F">
        <w:rPr>
          <w:szCs w:val="18"/>
        </w:rPr>
        <w:t xml:space="preserve"> 25 de abril de 2022</w:t>
      </w:r>
      <w:r>
        <w:rPr>
          <w:szCs w:val="18"/>
        </w:rPr>
        <w:t>.</w:t>
      </w:r>
    </w:p>
  </w:footnote>
  <w:footnote w:id="32">
    <w:p w14:paraId="47BB86FF" w14:textId="77777777" w:rsidR="0042099E" w:rsidRPr="00501F6F" w:rsidRDefault="0042099E" w:rsidP="00500ED6">
      <w:pPr>
        <w:pStyle w:val="Textonotapie"/>
        <w:rPr>
          <w:szCs w:val="18"/>
        </w:rPr>
      </w:pPr>
      <w:r>
        <w:rPr>
          <w:szCs w:val="18"/>
        </w:rPr>
        <w:tab/>
      </w:r>
      <w:r w:rsidRPr="008357BF">
        <w:rPr>
          <w:szCs w:val="18"/>
          <w:vertAlign w:val="superscript"/>
        </w:rPr>
        <w:footnoteRef/>
      </w:r>
      <w:r>
        <w:rPr>
          <w:szCs w:val="18"/>
        </w:rPr>
        <w:tab/>
      </w:r>
      <w:r w:rsidRPr="00501F6F">
        <w:rPr>
          <w:szCs w:val="18"/>
        </w:rPr>
        <w:t xml:space="preserve">NP. </w:t>
      </w:r>
      <w:r>
        <w:rPr>
          <w:szCs w:val="18"/>
        </w:rPr>
        <w:t>C</w:t>
      </w:r>
      <w:r w:rsidRPr="00501F6F">
        <w:rPr>
          <w:szCs w:val="18"/>
        </w:rPr>
        <w:t>orreo electrónico</w:t>
      </w:r>
      <w:r>
        <w:rPr>
          <w:szCs w:val="18"/>
        </w:rPr>
        <w:t xml:space="preserve"> del</w:t>
      </w:r>
      <w:r w:rsidRPr="00501F6F">
        <w:rPr>
          <w:szCs w:val="18"/>
        </w:rPr>
        <w:t xml:space="preserve"> 25 de abril de 2022</w:t>
      </w:r>
      <w:r>
        <w:rPr>
          <w:szCs w:val="18"/>
        </w:rPr>
        <w:t>.</w:t>
      </w:r>
    </w:p>
  </w:footnote>
  <w:footnote w:id="33">
    <w:p w14:paraId="7877D6F9" w14:textId="77777777" w:rsidR="0042099E" w:rsidRPr="00501F6F" w:rsidRDefault="0042099E" w:rsidP="00500ED6">
      <w:pPr>
        <w:pStyle w:val="Textonotapie"/>
        <w:rPr>
          <w:szCs w:val="18"/>
        </w:rPr>
      </w:pPr>
      <w:r>
        <w:rPr>
          <w:szCs w:val="18"/>
        </w:rPr>
        <w:tab/>
      </w:r>
      <w:r w:rsidRPr="008357BF">
        <w:rPr>
          <w:szCs w:val="18"/>
          <w:vertAlign w:val="superscript"/>
        </w:rPr>
        <w:footnoteRef/>
      </w:r>
      <w:r>
        <w:rPr>
          <w:szCs w:val="18"/>
        </w:rPr>
        <w:tab/>
        <w:t>M</w:t>
      </w:r>
      <w:r w:rsidRPr="00501F6F">
        <w:rPr>
          <w:szCs w:val="18"/>
        </w:rPr>
        <w:t>inisterio de Defensa Nacional. Radicado No.RS20220509044436. 9 de mayo de 2022</w:t>
      </w:r>
      <w:r>
        <w:rPr>
          <w:szCs w:val="18"/>
        </w:rPr>
        <w:t>.</w:t>
      </w:r>
    </w:p>
  </w:footnote>
  <w:footnote w:id="34">
    <w:p w14:paraId="2639A59C" w14:textId="5B6293D1" w:rsidR="0042099E" w:rsidRPr="00501F6F" w:rsidRDefault="0042099E" w:rsidP="00500ED6">
      <w:pPr>
        <w:pStyle w:val="Textonotapie"/>
        <w:rPr>
          <w:szCs w:val="18"/>
        </w:rPr>
      </w:pPr>
      <w:r>
        <w:rPr>
          <w:szCs w:val="18"/>
        </w:rPr>
        <w:tab/>
      </w:r>
      <w:r w:rsidRPr="008357BF">
        <w:rPr>
          <w:szCs w:val="18"/>
          <w:vertAlign w:val="superscript"/>
        </w:rPr>
        <w:footnoteRef/>
      </w:r>
      <w:r>
        <w:rPr>
          <w:szCs w:val="18"/>
        </w:rPr>
        <w:tab/>
        <w:t>M</w:t>
      </w:r>
      <w:r w:rsidRPr="00501F6F">
        <w:rPr>
          <w:szCs w:val="18"/>
        </w:rPr>
        <w:t>inisterio de Defensa Nacional. Radicado No.RS20220509044436. 9 de mayo de 2022</w:t>
      </w:r>
      <w:r>
        <w:rPr>
          <w:szCs w:val="18"/>
        </w:rPr>
        <w:t>.</w:t>
      </w:r>
    </w:p>
  </w:footnote>
  <w:footnote w:id="35">
    <w:p w14:paraId="3307C835" w14:textId="354386E1" w:rsidR="0042099E" w:rsidRPr="00501F6F" w:rsidRDefault="0042099E" w:rsidP="00500ED6">
      <w:pPr>
        <w:pStyle w:val="Textonotapie"/>
        <w:rPr>
          <w:szCs w:val="18"/>
        </w:rPr>
      </w:pPr>
      <w:r>
        <w:rPr>
          <w:szCs w:val="18"/>
        </w:rPr>
        <w:tab/>
      </w:r>
      <w:r w:rsidRPr="008357BF">
        <w:rPr>
          <w:szCs w:val="18"/>
          <w:vertAlign w:val="superscript"/>
        </w:rPr>
        <w:footnoteRef/>
      </w:r>
      <w:r>
        <w:rPr>
          <w:szCs w:val="18"/>
        </w:rPr>
        <w:tab/>
      </w:r>
      <w:r w:rsidRPr="00501F6F">
        <w:rPr>
          <w:szCs w:val="18"/>
        </w:rPr>
        <w:t>Ministerio de Defensa Nacional. Radicado No.RS20220509044436. 9 de mayo de 2022</w:t>
      </w:r>
      <w:r>
        <w:rPr>
          <w:szCs w:val="18"/>
        </w:rPr>
        <w:t>.</w:t>
      </w:r>
    </w:p>
  </w:footnote>
  <w:footnote w:id="36">
    <w:p w14:paraId="156263D7" w14:textId="1184F9F9" w:rsidR="0042099E" w:rsidRPr="00501F6F" w:rsidRDefault="0042099E" w:rsidP="00500ED6">
      <w:pPr>
        <w:pStyle w:val="Textonotapie"/>
        <w:rPr>
          <w:szCs w:val="18"/>
        </w:rPr>
      </w:pPr>
      <w:r>
        <w:rPr>
          <w:szCs w:val="18"/>
        </w:rPr>
        <w:tab/>
      </w:r>
      <w:r w:rsidRPr="008357BF">
        <w:rPr>
          <w:szCs w:val="18"/>
          <w:vertAlign w:val="superscript"/>
        </w:rPr>
        <w:footnoteRef/>
      </w:r>
      <w:r>
        <w:rPr>
          <w:szCs w:val="18"/>
        </w:rPr>
        <w:tab/>
      </w:r>
      <w:r w:rsidRPr="00501F6F">
        <w:rPr>
          <w:szCs w:val="18"/>
        </w:rPr>
        <w:t>Ministerio de Defensa Nacional. Radicado No.RS20220509044436. 9 de mayo de 2022</w:t>
      </w:r>
      <w:r>
        <w:rPr>
          <w:szCs w:val="18"/>
        </w:rPr>
        <w:t>.</w:t>
      </w:r>
    </w:p>
  </w:footnote>
  <w:footnote w:id="37">
    <w:p w14:paraId="0D855D10" w14:textId="77777777" w:rsidR="0042099E" w:rsidRPr="00501F6F" w:rsidRDefault="0042099E" w:rsidP="00500ED6">
      <w:pPr>
        <w:pStyle w:val="Textonotapie"/>
        <w:rPr>
          <w:szCs w:val="18"/>
        </w:rPr>
      </w:pPr>
      <w:r>
        <w:rPr>
          <w:szCs w:val="18"/>
        </w:rPr>
        <w:tab/>
      </w:r>
      <w:r w:rsidRPr="008357BF">
        <w:rPr>
          <w:szCs w:val="18"/>
          <w:vertAlign w:val="superscript"/>
        </w:rPr>
        <w:footnoteRef/>
      </w:r>
      <w:r>
        <w:rPr>
          <w:szCs w:val="18"/>
        </w:rPr>
        <w:tab/>
      </w:r>
      <w:r w:rsidRPr="00501F6F">
        <w:rPr>
          <w:szCs w:val="18"/>
        </w:rPr>
        <w:t xml:space="preserve">ICBF. </w:t>
      </w:r>
      <w:r>
        <w:rPr>
          <w:szCs w:val="18"/>
        </w:rPr>
        <w:t>C</w:t>
      </w:r>
      <w:r w:rsidRPr="00501F6F">
        <w:rPr>
          <w:szCs w:val="18"/>
        </w:rPr>
        <w:t>orreo electrónico</w:t>
      </w:r>
      <w:r>
        <w:rPr>
          <w:szCs w:val="18"/>
        </w:rPr>
        <w:t xml:space="preserve"> del</w:t>
      </w:r>
      <w:r w:rsidRPr="00501F6F">
        <w:rPr>
          <w:szCs w:val="18"/>
        </w:rPr>
        <w:t xml:space="preserve"> 24 de abril de 2022</w:t>
      </w:r>
      <w:r>
        <w:rPr>
          <w:szCs w:val="18"/>
        </w:rPr>
        <w:t>.</w:t>
      </w:r>
    </w:p>
  </w:footnote>
  <w:footnote w:id="38">
    <w:p w14:paraId="6DD033E0" w14:textId="77777777" w:rsidR="0042099E" w:rsidRPr="00501F6F" w:rsidRDefault="0042099E" w:rsidP="00500ED6">
      <w:pPr>
        <w:pStyle w:val="Textonotapie"/>
        <w:rPr>
          <w:szCs w:val="18"/>
        </w:rPr>
      </w:pPr>
      <w:r>
        <w:rPr>
          <w:szCs w:val="18"/>
        </w:rPr>
        <w:tab/>
      </w:r>
      <w:r w:rsidRPr="008357BF">
        <w:rPr>
          <w:szCs w:val="18"/>
          <w:vertAlign w:val="superscript"/>
        </w:rPr>
        <w:footnoteRef/>
      </w:r>
      <w:r>
        <w:rPr>
          <w:szCs w:val="18"/>
        </w:rPr>
        <w:tab/>
      </w:r>
      <w:r w:rsidRPr="00501F6F">
        <w:rPr>
          <w:szCs w:val="18"/>
        </w:rPr>
        <w:t xml:space="preserve">ICBF. </w:t>
      </w:r>
      <w:r>
        <w:rPr>
          <w:szCs w:val="18"/>
        </w:rPr>
        <w:t>C</w:t>
      </w:r>
      <w:r w:rsidRPr="00501F6F">
        <w:rPr>
          <w:szCs w:val="18"/>
        </w:rPr>
        <w:t>orreo electrónico</w:t>
      </w:r>
      <w:r>
        <w:rPr>
          <w:szCs w:val="18"/>
        </w:rPr>
        <w:t xml:space="preserve"> del</w:t>
      </w:r>
      <w:r w:rsidRPr="00501F6F">
        <w:rPr>
          <w:szCs w:val="18"/>
        </w:rPr>
        <w:t xml:space="preserve"> 24 de abril de 2022</w:t>
      </w:r>
      <w:r>
        <w:rPr>
          <w:szCs w:val="18"/>
        </w:rPr>
        <w:t>.</w:t>
      </w:r>
    </w:p>
  </w:footnote>
  <w:footnote w:id="39">
    <w:p w14:paraId="5FD0B575" w14:textId="77777777" w:rsidR="0042099E" w:rsidRPr="00501F6F" w:rsidRDefault="0042099E" w:rsidP="00500ED6">
      <w:pPr>
        <w:pStyle w:val="Textonotapie"/>
        <w:rPr>
          <w:szCs w:val="18"/>
        </w:rPr>
      </w:pPr>
      <w:r>
        <w:rPr>
          <w:szCs w:val="18"/>
        </w:rPr>
        <w:tab/>
      </w:r>
      <w:r w:rsidRPr="008357BF">
        <w:rPr>
          <w:szCs w:val="18"/>
          <w:vertAlign w:val="superscript"/>
        </w:rPr>
        <w:footnoteRef/>
      </w:r>
      <w:r>
        <w:rPr>
          <w:szCs w:val="18"/>
        </w:rPr>
        <w:tab/>
      </w:r>
      <w:r w:rsidRPr="00501F6F">
        <w:rPr>
          <w:szCs w:val="18"/>
        </w:rPr>
        <w:t xml:space="preserve">ICBF. </w:t>
      </w:r>
      <w:r>
        <w:rPr>
          <w:szCs w:val="18"/>
        </w:rPr>
        <w:t>C</w:t>
      </w:r>
      <w:r w:rsidRPr="00501F6F">
        <w:rPr>
          <w:szCs w:val="18"/>
        </w:rPr>
        <w:t>orreo electrónico</w:t>
      </w:r>
      <w:r>
        <w:rPr>
          <w:szCs w:val="18"/>
        </w:rPr>
        <w:t xml:space="preserve"> del</w:t>
      </w:r>
      <w:r w:rsidRPr="00501F6F">
        <w:rPr>
          <w:szCs w:val="18"/>
        </w:rPr>
        <w:t xml:space="preserve"> 2</w:t>
      </w:r>
      <w:r>
        <w:rPr>
          <w:szCs w:val="18"/>
        </w:rPr>
        <w:t>2</w:t>
      </w:r>
      <w:r w:rsidRPr="00501F6F">
        <w:rPr>
          <w:szCs w:val="18"/>
        </w:rPr>
        <w:t xml:space="preserve"> de </w:t>
      </w:r>
      <w:r>
        <w:rPr>
          <w:szCs w:val="18"/>
        </w:rPr>
        <w:t>septiembre</w:t>
      </w:r>
      <w:r w:rsidRPr="00501F6F">
        <w:rPr>
          <w:szCs w:val="18"/>
        </w:rPr>
        <w:t xml:space="preserve"> de 2022</w:t>
      </w:r>
      <w:r>
        <w:rPr>
          <w:szCs w:val="18"/>
        </w:rPr>
        <w:t>.</w:t>
      </w:r>
    </w:p>
  </w:footnote>
  <w:footnote w:id="40">
    <w:p w14:paraId="0A959045" w14:textId="77777777" w:rsidR="0042099E" w:rsidRPr="00431FC5" w:rsidRDefault="0042099E" w:rsidP="00500ED6">
      <w:pPr>
        <w:pStyle w:val="Textonotapie"/>
      </w:pPr>
      <w:r w:rsidRPr="00431FC5">
        <w:tab/>
      </w:r>
      <w:r w:rsidRPr="008357BF">
        <w:rPr>
          <w:vertAlign w:val="superscript"/>
          <w:lang w:val="en-GB"/>
        </w:rPr>
        <w:footnoteRef/>
      </w:r>
      <w:r w:rsidRPr="00431FC5">
        <w:tab/>
        <w:t>ARIV. Radicado No. 20221109946991. 28 de abril de 2022</w:t>
      </w:r>
    </w:p>
  </w:footnote>
  <w:footnote w:id="41">
    <w:p w14:paraId="1443C676" w14:textId="77777777" w:rsidR="0042099E" w:rsidRPr="00431FC5" w:rsidRDefault="0042099E" w:rsidP="00500ED6">
      <w:pPr>
        <w:pStyle w:val="Textonotapie"/>
      </w:pPr>
      <w:r w:rsidRPr="00431FC5">
        <w:tab/>
      </w:r>
      <w:r w:rsidRPr="008357BF">
        <w:rPr>
          <w:vertAlign w:val="superscript"/>
          <w:lang w:val="en-GB"/>
        </w:rPr>
        <w:footnoteRef/>
      </w:r>
      <w:r w:rsidRPr="00431FC5">
        <w:tab/>
        <w:t>UARIV. Radicado No. 20221109946991. 28 de abril de 2022. Según la Resolución Numero 3320 de 2019, que adopta el Protocolo de retorno y reubicación conforme con el Artículo 2.2.6.5.8.8 del Decreto 1084 de 2015, e igualmente la Resolución Número 00027 del 13 enero de 2022 por el cual se adopta el Protocolo de Retorno y Reubicación para comunidades indígenas, y NARP, en el marco de los principios de la seguridad, dignidad y voluntariedad, contribuyendo así a la superación de su situación de vulnerabilidad, y con ello al proceso de integración comunitaria y arraigo territorial.</w:t>
      </w:r>
    </w:p>
  </w:footnote>
  <w:footnote w:id="42">
    <w:p w14:paraId="32B64780" w14:textId="77777777" w:rsidR="0042099E" w:rsidRPr="00431FC5" w:rsidRDefault="0042099E" w:rsidP="00500ED6">
      <w:pPr>
        <w:pStyle w:val="Textonotapie"/>
      </w:pPr>
      <w:r w:rsidRPr="00431FC5">
        <w:tab/>
      </w:r>
      <w:r w:rsidRPr="008357BF">
        <w:rPr>
          <w:vertAlign w:val="superscript"/>
          <w:lang w:val="en-GB"/>
        </w:rPr>
        <w:footnoteRef/>
      </w:r>
      <w:r w:rsidRPr="00431FC5">
        <w:tab/>
        <w:t>UARIV. Radicado No. 20221109946991. 28 de abril de 2022</w:t>
      </w:r>
    </w:p>
  </w:footnote>
  <w:footnote w:id="43">
    <w:p w14:paraId="5DC63F09" w14:textId="77777777" w:rsidR="0042099E" w:rsidRPr="00431FC5" w:rsidRDefault="0042099E" w:rsidP="00500ED6">
      <w:pPr>
        <w:pStyle w:val="Textonotapie"/>
      </w:pPr>
      <w:r w:rsidRPr="00431FC5">
        <w:tab/>
      </w:r>
      <w:r w:rsidRPr="008357BF">
        <w:rPr>
          <w:vertAlign w:val="superscript"/>
          <w:lang w:val="en-GB"/>
        </w:rPr>
        <w:footnoteRef/>
      </w:r>
      <w:r w:rsidRPr="00431FC5">
        <w:tab/>
        <w:t>Ministerio de Defensa Nacional. Radicado No.RS20220509044436. 9 de mayo de 2022</w:t>
      </w:r>
    </w:p>
  </w:footnote>
  <w:footnote w:id="44">
    <w:p w14:paraId="21F5FC3B" w14:textId="77777777" w:rsidR="0042099E" w:rsidRPr="00431FC5" w:rsidRDefault="0042099E" w:rsidP="00500ED6">
      <w:pPr>
        <w:pStyle w:val="Textonotapie"/>
      </w:pPr>
      <w:r w:rsidRPr="00431FC5">
        <w:tab/>
      </w:r>
      <w:r w:rsidRPr="008357BF">
        <w:rPr>
          <w:vertAlign w:val="superscript"/>
          <w:lang w:val="en-GB"/>
        </w:rPr>
        <w:footnoteRef/>
      </w:r>
      <w:r w:rsidRPr="00431FC5">
        <w:tab/>
        <w:t>ICBF. Correo electrónico del 24 de abril de 2022.</w:t>
      </w:r>
    </w:p>
  </w:footnote>
  <w:footnote w:id="45">
    <w:p w14:paraId="5B65810E" w14:textId="77777777" w:rsidR="0042099E" w:rsidRPr="00431FC5" w:rsidRDefault="0042099E" w:rsidP="00500ED6">
      <w:pPr>
        <w:pStyle w:val="Textonotapie"/>
      </w:pPr>
      <w:r w:rsidRPr="00431FC5">
        <w:tab/>
      </w:r>
      <w:r w:rsidRPr="008370F6">
        <w:rPr>
          <w:vertAlign w:val="superscript"/>
          <w:lang w:val="en-GB"/>
        </w:rPr>
        <w:footnoteRef/>
      </w:r>
      <w:r w:rsidRPr="00431FC5">
        <w:tab/>
        <w:t>ICBF. Correo electrónico del 24 de abril de 2022.</w:t>
      </w:r>
    </w:p>
  </w:footnote>
  <w:footnote w:id="46">
    <w:p w14:paraId="777F6313" w14:textId="77777777" w:rsidR="0042099E" w:rsidRPr="00431FC5" w:rsidRDefault="0042099E" w:rsidP="00500ED6">
      <w:pPr>
        <w:pStyle w:val="Textonotapie"/>
      </w:pPr>
      <w:r w:rsidRPr="00431FC5">
        <w:tab/>
      </w:r>
      <w:r w:rsidRPr="008370F6">
        <w:rPr>
          <w:vertAlign w:val="superscript"/>
          <w:lang w:val="en-GB"/>
        </w:rPr>
        <w:footnoteRef/>
      </w:r>
      <w:r w:rsidRPr="00431FC5">
        <w:tab/>
        <w:t>CPDHAI. Correo electrónico del 21 de abril de 2022.</w:t>
      </w:r>
    </w:p>
  </w:footnote>
  <w:footnote w:id="47">
    <w:p w14:paraId="47ACA33D" w14:textId="77777777" w:rsidR="0042099E" w:rsidRPr="00431FC5" w:rsidRDefault="0042099E" w:rsidP="00500ED6">
      <w:pPr>
        <w:pStyle w:val="Textonotapie"/>
      </w:pPr>
      <w:r w:rsidRPr="00431FC5">
        <w:tab/>
      </w:r>
      <w:r w:rsidRPr="008370F6">
        <w:rPr>
          <w:vertAlign w:val="superscript"/>
          <w:lang w:val="en-GB"/>
        </w:rPr>
        <w:footnoteRef/>
      </w:r>
      <w:r w:rsidRPr="00431FC5">
        <w:tab/>
        <w:t>CPDHAI. Correo electrónico del 21 de abril de 2022.</w:t>
      </w:r>
    </w:p>
  </w:footnote>
  <w:footnote w:id="48">
    <w:p w14:paraId="5207471C" w14:textId="4289CCD3" w:rsidR="0042099E" w:rsidRPr="00431FC5" w:rsidRDefault="0042099E" w:rsidP="00095139">
      <w:pPr>
        <w:pStyle w:val="Textonotapie"/>
      </w:pPr>
      <w:r w:rsidRPr="00431FC5">
        <w:tab/>
      </w:r>
      <w:r w:rsidRPr="008370F6">
        <w:rPr>
          <w:vertAlign w:val="superscript"/>
          <w:lang w:val="en-GB"/>
        </w:rPr>
        <w:footnoteRef/>
      </w:r>
      <w:r w:rsidRPr="00431FC5">
        <w:tab/>
        <w:t>El Equipo de Acción Inmediata (EAI) es la instancia operativa de articulación interinstitucional para el ajuste, ejecución, seguimiento y evaluación de las Rutas de Prevención Temprana, Prevención Urgente y Prevención en Protección del reclutamiento, uso, utilización y violencia sexual contra NNA.</w:t>
      </w:r>
    </w:p>
  </w:footnote>
  <w:footnote w:id="49">
    <w:p w14:paraId="33FD7E0E" w14:textId="77777777" w:rsidR="0042099E" w:rsidRPr="00431FC5" w:rsidRDefault="0042099E" w:rsidP="00500ED6">
      <w:pPr>
        <w:pStyle w:val="Textonotapie"/>
      </w:pPr>
      <w:r w:rsidRPr="00431FC5">
        <w:tab/>
      </w:r>
      <w:r w:rsidRPr="008370F6">
        <w:rPr>
          <w:vertAlign w:val="superscript"/>
          <w:lang w:val="en-GB"/>
        </w:rPr>
        <w:footnoteRef/>
      </w:r>
      <w:r w:rsidRPr="00431FC5">
        <w:tab/>
        <w:t>CPDHAI. Correo electrónico del 22 de septiembre de 2022.</w:t>
      </w:r>
    </w:p>
  </w:footnote>
  <w:footnote w:id="50">
    <w:p w14:paraId="1FEDA993" w14:textId="77777777" w:rsidR="0042099E" w:rsidRPr="00431FC5" w:rsidRDefault="0042099E" w:rsidP="00500ED6">
      <w:pPr>
        <w:pStyle w:val="Textonotapie"/>
      </w:pPr>
      <w:r w:rsidRPr="00431FC5">
        <w:tab/>
      </w:r>
      <w:r w:rsidRPr="008370F6">
        <w:rPr>
          <w:vertAlign w:val="superscript"/>
          <w:lang w:val="en-GB"/>
        </w:rPr>
        <w:footnoteRef/>
      </w:r>
      <w:r w:rsidRPr="00431FC5">
        <w:tab/>
        <w:t>CPDHAI. Correo electrónico del 22 de septiembre de 2022.</w:t>
      </w:r>
    </w:p>
  </w:footnote>
  <w:footnote w:id="51">
    <w:p w14:paraId="3CB4BDA9" w14:textId="77777777" w:rsidR="0042099E" w:rsidRPr="00431FC5" w:rsidRDefault="0042099E" w:rsidP="00500ED6">
      <w:pPr>
        <w:pStyle w:val="Textonotapie"/>
      </w:pPr>
      <w:r w:rsidRPr="00431FC5">
        <w:tab/>
      </w:r>
      <w:r w:rsidRPr="008370F6">
        <w:rPr>
          <w:vertAlign w:val="superscript"/>
          <w:lang w:val="en-GB"/>
        </w:rPr>
        <w:footnoteRef/>
      </w:r>
      <w:r w:rsidRPr="00431FC5">
        <w:tab/>
        <w:t>CPDHAI. Correo electrónico del 21 de abril de 2022.</w:t>
      </w:r>
    </w:p>
  </w:footnote>
  <w:footnote w:id="52">
    <w:p w14:paraId="5B9FFD58" w14:textId="77777777" w:rsidR="0042099E" w:rsidRPr="00431FC5" w:rsidRDefault="0042099E" w:rsidP="00920A1E">
      <w:pPr>
        <w:pStyle w:val="Textonotapie"/>
      </w:pPr>
      <w:r w:rsidRPr="00431FC5">
        <w:tab/>
      </w:r>
      <w:r w:rsidRPr="008370F6">
        <w:rPr>
          <w:vertAlign w:val="superscript"/>
          <w:lang w:val="en-GB"/>
        </w:rPr>
        <w:footnoteRef/>
      </w:r>
      <w:r w:rsidRPr="00431FC5">
        <w:tab/>
        <w:t>CPDHAI. Correo electrónico del 22 de septiembre de 2022.</w:t>
      </w:r>
    </w:p>
  </w:footnote>
  <w:footnote w:id="53">
    <w:p w14:paraId="1B60935B" w14:textId="77777777" w:rsidR="0042099E" w:rsidRPr="00FA7D6A" w:rsidRDefault="0042099E" w:rsidP="00920A1E">
      <w:pPr>
        <w:pStyle w:val="Textonotapie"/>
      </w:pPr>
      <w:r>
        <w:tab/>
      </w:r>
      <w:r>
        <w:rPr>
          <w:rStyle w:val="Refdenotaalpie"/>
        </w:rPr>
        <w:footnoteRef/>
      </w:r>
      <w:r>
        <w:tab/>
      </w:r>
      <w:r>
        <w:rPr>
          <w:szCs w:val="18"/>
        </w:rPr>
        <w:t>CPDHAI</w:t>
      </w:r>
      <w:r w:rsidRPr="00501F6F">
        <w:rPr>
          <w:szCs w:val="18"/>
        </w:rPr>
        <w:t>. Correo electrónico</w:t>
      </w:r>
      <w:r>
        <w:rPr>
          <w:szCs w:val="18"/>
        </w:rPr>
        <w:t xml:space="preserve"> del</w:t>
      </w:r>
      <w:r w:rsidRPr="00501F6F">
        <w:rPr>
          <w:szCs w:val="18"/>
        </w:rPr>
        <w:t xml:space="preserve"> 2</w:t>
      </w:r>
      <w:r>
        <w:rPr>
          <w:szCs w:val="18"/>
        </w:rPr>
        <w:t>2</w:t>
      </w:r>
      <w:r w:rsidRPr="00501F6F">
        <w:rPr>
          <w:szCs w:val="18"/>
        </w:rPr>
        <w:t xml:space="preserve"> de </w:t>
      </w:r>
      <w:r>
        <w:rPr>
          <w:szCs w:val="18"/>
        </w:rPr>
        <w:t>septiembre</w:t>
      </w:r>
      <w:r w:rsidRPr="00501F6F">
        <w:rPr>
          <w:szCs w:val="18"/>
        </w:rPr>
        <w:t xml:space="preserve"> de 2022.</w:t>
      </w:r>
    </w:p>
  </w:footnote>
  <w:footnote w:id="54">
    <w:p w14:paraId="505FAD2D" w14:textId="27DFE069" w:rsidR="0042099E" w:rsidRPr="009D5462" w:rsidRDefault="0042099E" w:rsidP="00095139">
      <w:pPr>
        <w:pStyle w:val="Textonotapie"/>
        <w:rPr>
          <w:szCs w:val="18"/>
        </w:rPr>
      </w:pPr>
      <w:r>
        <w:rPr>
          <w:szCs w:val="18"/>
        </w:rPr>
        <w:tab/>
      </w:r>
      <w:r w:rsidRPr="00501F6F">
        <w:rPr>
          <w:rStyle w:val="Refdenotaalpie"/>
          <w:szCs w:val="18"/>
        </w:rPr>
        <w:footnoteRef/>
      </w:r>
      <w:r w:rsidRPr="009D5462">
        <w:rPr>
          <w:szCs w:val="18"/>
        </w:rPr>
        <w:tab/>
        <w:t xml:space="preserve">Disponible en: </w:t>
      </w:r>
      <w:hyperlink r:id="rId14" w:history="1">
        <w:r w:rsidRPr="009D5462">
          <w:rPr>
            <w:rStyle w:val="Hipervnculo"/>
            <w:szCs w:val="18"/>
          </w:rPr>
          <w:t>https://derechoshumanos.gov.co/Observatorio/Publicaciones/Documents/</w:t>
        </w:r>
        <w:r w:rsidR="00D3621B">
          <w:rPr>
            <w:rStyle w:val="Hipervnculo"/>
            <w:szCs w:val="18"/>
          </w:rPr>
          <w:br/>
        </w:r>
        <w:r w:rsidRPr="009D5462">
          <w:rPr>
            <w:rStyle w:val="Hipervnculo"/>
            <w:szCs w:val="18"/>
          </w:rPr>
          <w:t>2021/170921-Manual-Rutas-PRUUVS.pdf</w:t>
        </w:r>
      </w:hyperlink>
      <w:r w:rsidR="00D3621B">
        <w:rPr>
          <w:rStyle w:val="Hipervnculo"/>
          <w:szCs w:val="18"/>
        </w:rPr>
        <w:t>.</w:t>
      </w:r>
    </w:p>
  </w:footnote>
  <w:footnote w:id="55">
    <w:p w14:paraId="381A272B" w14:textId="77777777" w:rsidR="0042099E" w:rsidRPr="00431FC5" w:rsidRDefault="0042099E" w:rsidP="00920A1E">
      <w:pPr>
        <w:pStyle w:val="Textonotapie"/>
      </w:pPr>
      <w:r w:rsidRPr="009D5462">
        <w:tab/>
      </w:r>
      <w:r>
        <w:rPr>
          <w:rStyle w:val="Refdenotaalpie"/>
        </w:rPr>
        <w:footnoteRef/>
      </w:r>
      <w:r w:rsidRPr="009D5462">
        <w:tab/>
        <w:t xml:space="preserve">CPDHAI. </w:t>
      </w:r>
      <w:r w:rsidRPr="009A1AF0">
        <w:t>Correo electrónico del 21 de abril de 2022.</w:t>
      </w:r>
    </w:p>
  </w:footnote>
  <w:footnote w:id="56">
    <w:p w14:paraId="51DFC91A" w14:textId="77777777" w:rsidR="0042099E" w:rsidRPr="00501F6F" w:rsidRDefault="0042099E" w:rsidP="00920A1E">
      <w:pPr>
        <w:pStyle w:val="Textonotapie"/>
        <w:rPr>
          <w:szCs w:val="18"/>
        </w:rPr>
      </w:pPr>
      <w:r>
        <w:rPr>
          <w:szCs w:val="18"/>
        </w:rPr>
        <w:tab/>
      </w:r>
      <w:r w:rsidRPr="00501F6F">
        <w:rPr>
          <w:rStyle w:val="Refdenotaalpie"/>
          <w:szCs w:val="18"/>
        </w:rPr>
        <w:footnoteRef/>
      </w:r>
      <w:r>
        <w:rPr>
          <w:szCs w:val="18"/>
        </w:rPr>
        <w:tab/>
      </w:r>
      <w:r w:rsidRPr="00501F6F">
        <w:rPr>
          <w:szCs w:val="18"/>
        </w:rPr>
        <w:t>Ministerio de Defensa Nacional. Radicado No.RS20220509044436. 9 de mayo de 2022</w:t>
      </w:r>
      <w:r>
        <w:rPr>
          <w:szCs w:val="18"/>
        </w:rPr>
        <w:t>.</w:t>
      </w:r>
    </w:p>
  </w:footnote>
  <w:footnote w:id="57">
    <w:p w14:paraId="4A17C80D" w14:textId="77777777" w:rsidR="0042099E" w:rsidRPr="00431FC5" w:rsidRDefault="0042099E" w:rsidP="00920A1E">
      <w:pPr>
        <w:pStyle w:val="Textonotapie"/>
      </w:pPr>
      <w:r>
        <w:tab/>
      </w:r>
      <w:r>
        <w:rPr>
          <w:rStyle w:val="Refdenotaalpie"/>
        </w:rPr>
        <w:footnoteRef/>
      </w:r>
      <w:r>
        <w:tab/>
      </w:r>
      <w:r w:rsidRPr="009A1AF0">
        <w:t>Ministerio de Defensa Nacional. Radicado No.RS20220509044436. 9 de mayo de 2022</w:t>
      </w:r>
      <w:r>
        <w:t>.</w:t>
      </w:r>
    </w:p>
  </w:footnote>
  <w:footnote w:id="58">
    <w:p w14:paraId="427D0946" w14:textId="77777777" w:rsidR="0042099E" w:rsidRPr="00431FC5" w:rsidRDefault="0042099E" w:rsidP="00100C31">
      <w:pPr>
        <w:pStyle w:val="Textonotapie"/>
      </w:pPr>
      <w:r>
        <w:tab/>
      </w:r>
      <w:r>
        <w:rPr>
          <w:rStyle w:val="Refdenotaalpie"/>
        </w:rPr>
        <w:footnoteRef/>
      </w:r>
      <w:r>
        <w:tab/>
      </w:r>
      <w:r w:rsidRPr="00501F6F">
        <w:rPr>
          <w:szCs w:val="18"/>
        </w:rPr>
        <w:t xml:space="preserve">Defensoría del Pueblo. </w:t>
      </w:r>
      <w:r>
        <w:rPr>
          <w:szCs w:val="18"/>
        </w:rPr>
        <w:t>C</w:t>
      </w:r>
      <w:r w:rsidRPr="00501F6F">
        <w:rPr>
          <w:szCs w:val="18"/>
        </w:rPr>
        <w:t>orreo electrónico</w:t>
      </w:r>
      <w:r>
        <w:rPr>
          <w:szCs w:val="18"/>
        </w:rPr>
        <w:t xml:space="preserve"> del</w:t>
      </w:r>
      <w:r w:rsidRPr="00501F6F">
        <w:rPr>
          <w:szCs w:val="18"/>
        </w:rPr>
        <w:t xml:space="preserve"> 3 de junio de 2022</w:t>
      </w:r>
      <w:r>
        <w:rPr>
          <w:szCs w:val="18"/>
        </w:rPr>
        <w:t>.</w:t>
      </w:r>
    </w:p>
  </w:footnote>
  <w:footnote w:id="59">
    <w:p w14:paraId="3D807026" w14:textId="77C4CAFE" w:rsidR="0042099E" w:rsidRPr="00501F6F" w:rsidRDefault="0042099E" w:rsidP="00095139">
      <w:pPr>
        <w:pStyle w:val="Textonotapie"/>
        <w:rPr>
          <w:szCs w:val="18"/>
        </w:rPr>
      </w:pPr>
      <w:r>
        <w:rPr>
          <w:szCs w:val="18"/>
        </w:rPr>
        <w:tab/>
      </w:r>
      <w:r w:rsidRPr="00501F6F">
        <w:rPr>
          <w:rStyle w:val="Refdenotaalpie"/>
          <w:szCs w:val="18"/>
        </w:rPr>
        <w:footnoteRef/>
      </w:r>
      <w:r>
        <w:rPr>
          <w:szCs w:val="18"/>
        </w:rPr>
        <w:tab/>
      </w:r>
      <w:r w:rsidRPr="00501F6F">
        <w:rPr>
          <w:bCs/>
          <w:szCs w:val="18"/>
        </w:rPr>
        <w:t xml:space="preserve">Los Informes de Seguimiento son los documentos en los que el </w:t>
      </w:r>
      <w:r>
        <w:rPr>
          <w:bCs/>
          <w:szCs w:val="18"/>
        </w:rPr>
        <w:t>SAT</w:t>
      </w:r>
      <w:r w:rsidRPr="00501F6F">
        <w:rPr>
          <w:bCs/>
          <w:szCs w:val="18"/>
        </w:rPr>
        <w:t xml:space="preserve"> analiza la respuesta institucional y la evolución del riesgo advertido. Al igual que las </w:t>
      </w:r>
      <w:r>
        <w:rPr>
          <w:bCs/>
          <w:szCs w:val="18"/>
        </w:rPr>
        <w:t>AT</w:t>
      </w:r>
      <w:r w:rsidRPr="00501F6F">
        <w:rPr>
          <w:bCs/>
          <w:szCs w:val="18"/>
        </w:rPr>
        <w:t>, los Informes son remitidos al Ministerio del Interior, instancia responsable de coordinar y asegurar la respuesta rápida por parte de las entidades concernidas.</w:t>
      </w:r>
    </w:p>
  </w:footnote>
  <w:footnote w:id="60">
    <w:p w14:paraId="069A7AA7" w14:textId="77777777" w:rsidR="0042099E" w:rsidRPr="0013135A" w:rsidRDefault="0042099E" w:rsidP="00100C31">
      <w:pPr>
        <w:pStyle w:val="Textonotapie"/>
      </w:pPr>
      <w:r>
        <w:tab/>
      </w:r>
      <w:r>
        <w:rPr>
          <w:rStyle w:val="Refdenotaalpie"/>
        </w:rPr>
        <w:footnoteRef/>
      </w:r>
      <w:r>
        <w:tab/>
      </w:r>
      <w:r w:rsidRPr="00DA6475">
        <w:rPr>
          <w:szCs w:val="18"/>
        </w:rPr>
        <w:t>Defensoría del Pueblo. Correo electrónico del 3 de junio de 2022.</w:t>
      </w:r>
    </w:p>
  </w:footnote>
  <w:footnote w:id="61">
    <w:p w14:paraId="1667E60B" w14:textId="77777777" w:rsidR="0042099E" w:rsidRPr="00501F6F" w:rsidRDefault="0042099E" w:rsidP="00100C31">
      <w:pPr>
        <w:pStyle w:val="Textonotapie"/>
        <w:rPr>
          <w:szCs w:val="18"/>
          <w:lang w:val="es-CO"/>
        </w:rPr>
      </w:pPr>
      <w:r>
        <w:rPr>
          <w:szCs w:val="18"/>
        </w:rPr>
        <w:tab/>
      </w:r>
      <w:r w:rsidRPr="00501F6F">
        <w:rPr>
          <w:rStyle w:val="Refdenotaalpie"/>
          <w:szCs w:val="18"/>
        </w:rPr>
        <w:footnoteRef/>
      </w:r>
      <w:r>
        <w:rPr>
          <w:szCs w:val="18"/>
        </w:rPr>
        <w:tab/>
      </w:r>
      <w:r w:rsidRPr="00501F6F">
        <w:rPr>
          <w:szCs w:val="18"/>
        </w:rPr>
        <w:t xml:space="preserve">ICBF. </w:t>
      </w:r>
      <w:r>
        <w:rPr>
          <w:szCs w:val="18"/>
        </w:rPr>
        <w:t>C</w:t>
      </w:r>
      <w:r w:rsidRPr="00501F6F">
        <w:rPr>
          <w:szCs w:val="18"/>
        </w:rPr>
        <w:t>orreo electrónico</w:t>
      </w:r>
      <w:r>
        <w:rPr>
          <w:szCs w:val="18"/>
        </w:rPr>
        <w:t xml:space="preserve"> del</w:t>
      </w:r>
      <w:r w:rsidRPr="00501F6F">
        <w:rPr>
          <w:szCs w:val="18"/>
        </w:rPr>
        <w:t xml:space="preserve"> 27 de julio de 2022</w:t>
      </w:r>
      <w:r>
        <w:rPr>
          <w:szCs w:val="18"/>
        </w:rPr>
        <w:t>.</w:t>
      </w:r>
    </w:p>
  </w:footnote>
  <w:footnote w:id="62">
    <w:p w14:paraId="7AB2A4C1" w14:textId="77777777" w:rsidR="0042099E" w:rsidRPr="00431FC5" w:rsidRDefault="0042099E" w:rsidP="00100C31">
      <w:pPr>
        <w:pStyle w:val="Textonotapie"/>
      </w:pPr>
      <w:r>
        <w:tab/>
      </w:r>
      <w:r>
        <w:rPr>
          <w:rStyle w:val="Refdenotaalpie"/>
        </w:rPr>
        <w:footnoteRef/>
      </w:r>
      <w:r>
        <w:tab/>
      </w:r>
      <w:r w:rsidRPr="00501F6F">
        <w:rPr>
          <w:szCs w:val="18"/>
        </w:rPr>
        <w:t>Ministerio de Defensa Nacional. Radicado No.RS20220509044436. 9 de mayo de 2022</w:t>
      </w:r>
      <w:r>
        <w:rPr>
          <w:szCs w:val="18"/>
        </w:rPr>
        <w:t>.</w:t>
      </w:r>
    </w:p>
  </w:footnote>
  <w:footnote w:id="63">
    <w:p w14:paraId="54163498" w14:textId="77777777" w:rsidR="0042099E" w:rsidRPr="00501F6F" w:rsidRDefault="0042099E" w:rsidP="00100C31">
      <w:pPr>
        <w:pStyle w:val="Textonotapie"/>
        <w:rPr>
          <w:szCs w:val="18"/>
          <w:lang w:val="es-CO"/>
        </w:rPr>
      </w:pPr>
      <w:r>
        <w:rPr>
          <w:szCs w:val="18"/>
          <w:lang w:val="es-CO"/>
        </w:rPr>
        <w:tab/>
      </w:r>
      <w:r w:rsidRPr="00501F6F">
        <w:rPr>
          <w:rStyle w:val="Refdenotaalpie"/>
          <w:szCs w:val="18"/>
        </w:rPr>
        <w:footnoteRef/>
      </w:r>
      <w:r>
        <w:rPr>
          <w:szCs w:val="18"/>
          <w:lang w:val="es-CO"/>
        </w:rPr>
        <w:tab/>
        <w:t>UNP</w:t>
      </w:r>
      <w:r w:rsidRPr="00501F6F">
        <w:rPr>
          <w:szCs w:val="18"/>
          <w:lang w:val="es-CO"/>
        </w:rPr>
        <w:t>. OFI22-00030023 del 8 de julio de 2022</w:t>
      </w:r>
      <w:r>
        <w:rPr>
          <w:szCs w:val="18"/>
        </w:rPr>
        <w:t>.</w:t>
      </w:r>
    </w:p>
  </w:footnote>
  <w:footnote w:id="64">
    <w:p w14:paraId="6FB7AB63" w14:textId="77777777" w:rsidR="0042099E" w:rsidRPr="00501F6F" w:rsidRDefault="0042099E" w:rsidP="00100C31">
      <w:pPr>
        <w:pStyle w:val="Textonotapie"/>
        <w:rPr>
          <w:szCs w:val="18"/>
          <w:lang w:val="es-CO"/>
        </w:rPr>
      </w:pPr>
      <w:r>
        <w:rPr>
          <w:szCs w:val="18"/>
        </w:rPr>
        <w:tab/>
      </w:r>
      <w:r w:rsidRPr="00501F6F">
        <w:rPr>
          <w:rStyle w:val="Refdenotaalpie"/>
          <w:szCs w:val="18"/>
        </w:rPr>
        <w:footnoteRef/>
      </w:r>
      <w:r>
        <w:rPr>
          <w:szCs w:val="18"/>
        </w:rPr>
        <w:tab/>
      </w:r>
      <w:r>
        <w:rPr>
          <w:szCs w:val="18"/>
          <w:lang w:val="es-CO"/>
        </w:rPr>
        <w:t>UNP</w:t>
      </w:r>
      <w:r w:rsidRPr="00501F6F">
        <w:rPr>
          <w:szCs w:val="18"/>
          <w:lang w:val="es-CO"/>
        </w:rPr>
        <w:t>. OFI22-00030023 del 8 de julio de 2022</w:t>
      </w:r>
      <w:r>
        <w:rPr>
          <w:szCs w:val="18"/>
        </w:rPr>
        <w:t>.</w:t>
      </w:r>
    </w:p>
  </w:footnote>
  <w:footnote w:id="65">
    <w:p w14:paraId="7626E73F" w14:textId="77777777" w:rsidR="0042099E" w:rsidRPr="00501F6F" w:rsidRDefault="0042099E" w:rsidP="00100C31">
      <w:pPr>
        <w:pStyle w:val="Textonotapie"/>
        <w:rPr>
          <w:szCs w:val="18"/>
          <w:lang w:val="es-CO"/>
        </w:rPr>
      </w:pPr>
      <w:r>
        <w:rPr>
          <w:szCs w:val="18"/>
        </w:rPr>
        <w:tab/>
      </w:r>
      <w:r w:rsidRPr="00501F6F">
        <w:rPr>
          <w:rStyle w:val="Refdenotaalpie"/>
          <w:szCs w:val="18"/>
        </w:rPr>
        <w:footnoteRef/>
      </w:r>
      <w:r>
        <w:rPr>
          <w:szCs w:val="18"/>
        </w:rPr>
        <w:tab/>
      </w:r>
      <w:r>
        <w:rPr>
          <w:szCs w:val="18"/>
          <w:lang w:val="es-CO"/>
        </w:rPr>
        <w:t>UNP</w:t>
      </w:r>
      <w:r w:rsidRPr="00501F6F">
        <w:rPr>
          <w:szCs w:val="18"/>
          <w:lang w:val="es-CO"/>
        </w:rPr>
        <w:t>. OFI22-00030023 del 8 de julio de 2022</w:t>
      </w:r>
      <w:r>
        <w:rPr>
          <w:szCs w:val="18"/>
        </w:rPr>
        <w:t>.</w:t>
      </w:r>
    </w:p>
  </w:footnote>
  <w:footnote w:id="66">
    <w:p w14:paraId="1C83259F" w14:textId="77777777" w:rsidR="0042099E" w:rsidRPr="00431FC5" w:rsidRDefault="0042099E" w:rsidP="00100C31">
      <w:pPr>
        <w:pStyle w:val="Textonotapie"/>
      </w:pPr>
      <w:r>
        <w:tab/>
      </w:r>
      <w:r>
        <w:rPr>
          <w:rStyle w:val="Refdenotaalpie"/>
        </w:rPr>
        <w:footnoteRef/>
      </w:r>
      <w:r>
        <w:tab/>
      </w:r>
      <w:r>
        <w:rPr>
          <w:szCs w:val="18"/>
        </w:rPr>
        <w:t>CPEC</w:t>
      </w:r>
      <w:r w:rsidRPr="00501F6F">
        <w:rPr>
          <w:szCs w:val="18"/>
        </w:rPr>
        <w:t xml:space="preserve">. </w:t>
      </w:r>
      <w:r>
        <w:rPr>
          <w:szCs w:val="18"/>
        </w:rPr>
        <w:t>C</w:t>
      </w:r>
      <w:r w:rsidRPr="00501F6F">
        <w:rPr>
          <w:szCs w:val="18"/>
        </w:rPr>
        <w:t>orreo electrónico</w:t>
      </w:r>
      <w:r>
        <w:rPr>
          <w:szCs w:val="18"/>
        </w:rPr>
        <w:t xml:space="preserve"> del</w:t>
      </w:r>
      <w:r w:rsidRPr="00501F6F">
        <w:rPr>
          <w:szCs w:val="18"/>
        </w:rPr>
        <w:t xml:space="preserve"> 21 de abril de 2022</w:t>
      </w:r>
      <w:r>
        <w:rPr>
          <w:szCs w:val="18"/>
        </w:rPr>
        <w:t>.</w:t>
      </w:r>
    </w:p>
  </w:footnote>
  <w:footnote w:id="67">
    <w:p w14:paraId="6BF2817B" w14:textId="77777777" w:rsidR="0042099E" w:rsidRPr="00431FC5" w:rsidRDefault="0042099E" w:rsidP="00100C31">
      <w:pPr>
        <w:pStyle w:val="Textonotapie"/>
      </w:pPr>
      <w:r>
        <w:tab/>
      </w:r>
      <w:r>
        <w:rPr>
          <w:rStyle w:val="Refdenotaalpie"/>
        </w:rPr>
        <w:footnoteRef/>
      </w:r>
      <w:r>
        <w:tab/>
      </w:r>
      <w:r>
        <w:rPr>
          <w:szCs w:val="18"/>
        </w:rPr>
        <w:t>CPEC</w:t>
      </w:r>
      <w:r w:rsidRPr="00501F6F">
        <w:rPr>
          <w:szCs w:val="18"/>
        </w:rPr>
        <w:t xml:space="preserve">. </w:t>
      </w:r>
      <w:r>
        <w:rPr>
          <w:szCs w:val="18"/>
        </w:rPr>
        <w:t>C</w:t>
      </w:r>
      <w:r w:rsidRPr="00501F6F">
        <w:rPr>
          <w:szCs w:val="18"/>
        </w:rPr>
        <w:t>orreo electrónico</w:t>
      </w:r>
      <w:r>
        <w:rPr>
          <w:szCs w:val="18"/>
        </w:rPr>
        <w:t xml:space="preserve"> del</w:t>
      </w:r>
      <w:r w:rsidRPr="00501F6F">
        <w:rPr>
          <w:szCs w:val="18"/>
        </w:rPr>
        <w:t xml:space="preserve"> 2</w:t>
      </w:r>
      <w:r>
        <w:rPr>
          <w:szCs w:val="18"/>
        </w:rPr>
        <w:t>0</w:t>
      </w:r>
      <w:r w:rsidRPr="00501F6F">
        <w:rPr>
          <w:szCs w:val="18"/>
        </w:rPr>
        <w:t xml:space="preserve"> de </w:t>
      </w:r>
      <w:r>
        <w:rPr>
          <w:szCs w:val="18"/>
        </w:rPr>
        <w:t>septiembre</w:t>
      </w:r>
      <w:r w:rsidRPr="00501F6F">
        <w:rPr>
          <w:szCs w:val="18"/>
        </w:rPr>
        <w:t xml:space="preserve"> de 2022</w:t>
      </w:r>
      <w:r>
        <w:rPr>
          <w:szCs w:val="18"/>
        </w:rPr>
        <w:t>.</w:t>
      </w:r>
    </w:p>
  </w:footnote>
  <w:footnote w:id="68">
    <w:p w14:paraId="5C15A561" w14:textId="77777777" w:rsidR="0042099E" w:rsidRPr="00431FC5" w:rsidRDefault="0042099E" w:rsidP="00100C31">
      <w:pPr>
        <w:pStyle w:val="Textonotapie"/>
      </w:pPr>
      <w:r>
        <w:tab/>
      </w:r>
      <w:r>
        <w:rPr>
          <w:rStyle w:val="Refdenotaalpie"/>
        </w:rPr>
        <w:footnoteRef/>
      </w:r>
      <w:r>
        <w:tab/>
      </w:r>
      <w:r w:rsidRPr="009A1AF0">
        <w:t>CPEC. Correo electrónico del 21 de abril de 2022.</w:t>
      </w:r>
    </w:p>
  </w:footnote>
  <w:footnote w:id="69">
    <w:p w14:paraId="66C866FB" w14:textId="77777777" w:rsidR="0042099E" w:rsidRPr="00431FC5" w:rsidRDefault="0042099E" w:rsidP="00100C31">
      <w:pPr>
        <w:pStyle w:val="Textonotapie"/>
      </w:pPr>
      <w:r>
        <w:tab/>
      </w:r>
      <w:r>
        <w:rPr>
          <w:rStyle w:val="Refdenotaalpie"/>
        </w:rPr>
        <w:footnoteRef/>
      </w:r>
      <w:r>
        <w:tab/>
      </w:r>
      <w:r>
        <w:rPr>
          <w:szCs w:val="18"/>
        </w:rPr>
        <w:t>CPEC</w:t>
      </w:r>
      <w:r w:rsidRPr="00501F6F">
        <w:rPr>
          <w:szCs w:val="18"/>
        </w:rPr>
        <w:t xml:space="preserve">. </w:t>
      </w:r>
      <w:r>
        <w:rPr>
          <w:szCs w:val="18"/>
        </w:rPr>
        <w:t>C</w:t>
      </w:r>
      <w:r w:rsidRPr="00501F6F">
        <w:rPr>
          <w:szCs w:val="18"/>
        </w:rPr>
        <w:t>orreo electrónico</w:t>
      </w:r>
      <w:r>
        <w:rPr>
          <w:szCs w:val="18"/>
        </w:rPr>
        <w:t xml:space="preserve"> del</w:t>
      </w:r>
      <w:r w:rsidRPr="00501F6F">
        <w:rPr>
          <w:szCs w:val="18"/>
        </w:rPr>
        <w:t xml:space="preserve"> 2</w:t>
      </w:r>
      <w:r>
        <w:rPr>
          <w:szCs w:val="18"/>
        </w:rPr>
        <w:t>0</w:t>
      </w:r>
      <w:r w:rsidRPr="00501F6F">
        <w:rPr>
          <w:szCs w:val="18"/>
        </w:rPr>
        <w:t xml:space="preserve"> de </w:t>
      </w:r>
      <w:r>
        <w:rPr>
          <w:szCs w:val="18"/>
        </w:rPr>
        <w:t>septiembre</w:t>
      </w:r>
      <w:r w:rsidRPr="00501F6F">
        <w:rPr>
          <w:szCs w:val="18"/>
        </w:rPr>
        <w:t xml:space="preserve"> de 2022</w:t>
      </w:r>
      <w:r>
        <w:rPr>
          <w:szCs w:val="18"/>
        </w:rPr>
        <w:t>.</w:t>
      </w:r>
    </w:p>
  </w:footnote>
  <w:footnote w:id="70">
    <w:p w14:paraId="2D9399A0" w14:textId="77777777" w:rsidR="0042099E" w:rsidRPr="00431FC5" w:rsidRDefault="0042099E" w:rsidP="00100C31">
      <w:pPr>
        <w:pStyle w:val="Textonotapie"/>
      </w:pPr>
      <w:r>
        <w:tab/>
      </w:r>
      <w:r>
        <w:rPr>
          <w:rStyle w:val="Refdenotaalpie"/>
        </w:rPr>
        <w:footnoteRef/>
      </w:r>
      <w:r>
        <w:tab/>
      </w:r>
      <w:r>
        <w:rPr>
          <w:szCs w:val="18"/>
        </w:rPr>
        <w:t>CPEC</w:t>
      </w:r>
      <w:r w:rsidRPr="00501F6F">
        <w:rPr>
          <w:szCs w:val="18"/>
        </w:rPr>
        <w:t xml:space="preserve">. </w:t>
      </w:r>
      <w:r w:rsidRPr="001D4984">
        <w:rPr>
          <w:szCs w:val="18"/>
        </w:rPr>
        <w:t>V Informe de avance de implementación del capítulo étnico del PMI, julio 2022</w:t>
      </w:r>
      <w:r>
        <w:rPr>
          <w:szCs w:val="18"/>
        </w:rPr>
        <w:t>.</w:t>
      </w:r>
    </w:p>
  </w:footnote>
  <w:footnote w:id="71">
    <w:p w14:paraId="2F6A9EAB" w14:textId="77777777" w:rsidR="0042099E" w:rsidRPr="00501F6F" w:rsidRDefault="0042099E" w:rsidP="00100C31">
      <w:pPr>
        <w:pStyle w:val="Textonotapie"/>
        <w:rPr>
          <w:szCs w:val="18"/>
          <w:lang w:val="es-CO"/>
        </w:rPr>
      </w:pPr>
      <w:r>
        <w:rPr>
          <w:szCs w:val="18"/>
        </w:rPr>
        <w:tab/>
      </w:r>
      <w:r w:rsidRPr="00501F6F">
        <w:rPr>
          <w:rStyle w:val="Refdenotaalpie"/>
          <w:szCs w:val="18"/>
        </w:rPr>
        <w:footnoteRef/>
      </w:r>
      <w:r>
        <w:rPr>
          <w:szCs w:val="18"/>
        </w:rPr>
        <w:tab/>
      </w:r>
      <w:r w:rsidRPr="00501F6F">
        <w:rPr>
          <w:szCs w:val="18"/>
        </w:rPr>
        <w:t xml:space="preserve">UARIV. </w:t>
      </w:r>
      <w:r>
        <w:rPr>
          <w:szCs w:val="18"/>
        </w:rPr>
        <w:t>C</w:t>
      </w:r>
      <w:r w:rsidRPr="00501F6F">
        <w:rPr>
          <w:szCs w:val="18"/>
        </w:rPr>
        <w:t>orreo electrónico</w:t>
      </w:r>
      <w:r>
        <w:rPr>
          <w:szCs w:val="18"/>
        </w:rPr>
        <w:t xml:space="preserve"> del</w:t>
      </w:r>
      <w:r w:rsidRPr="00501F6F">
        <w:rPr>
          <w:szCs w:val="18"/>
        </w:rPr>
        <w:t xml:space="preserve"> 15 de julio de 2022.</w:t>
      </w:r>
    </w:p>
  </w:footnote>
  <w:footnote w:id="72">
    <w:p w14:paraId="2DFA541E" w14:textId="77777777" w:rsidR="0042099E" w:rsidRPr="00422939" w:rsidRDefault="0042099E" w:rsidP="00100C31">
      <w:pPr>
        <w:pStyle w:val="Textonotapie"/>
      </w:pPr>
      <w:r>
        <w:tab/>
      </w:r>
      <w:r w:rsidRPr="00501F6F">
        <w:rPr>
          <w:szCs w:val="18"/>
          <w:vertAlign w:val="superscript"/>
        </w:rPr>
        <w:footnoteRef/>
      </w:r>
      <w:r>
        <w:tab/>
        <w:t>C</w:t>
      </w:r>
      <w:r w:rsidRPr="00422939">
        <w:t>PEC. Correo electrónico del 21 de abril de 2022.</w:t>
      </w:r>
    </w:p>
  </w:footnote>
  <w:footnote w:id="73">
    <w:p w14:paraId="032CDB72" w14:textId="77777777" w:rsidR="0042099E" w:rsidRPr="00422939" w:rsidRDefault="0042099E" w:rsidP="00100C31">
      <w:pPr>
        <w:pStyle w:val="Textonotapie"/>
      </w:pPr>
      <w:r>
        <w:tab/>
      </w:r>
      <w:r w:rsidRPr="00422939">
        <w:rPr>
          <w:vertAlign w:val="superscript"/>
        </w:rPr>
        <w:footnoteRef/>
      </w:r>
      <w:r>
        <w:tab/>
      </w:r>
      <w:r w:rsidRPr="00422939">
        <w:t>CPEC. Correo electrónico del 20 de septiembre de 2022.</w:t>
      </w:r>
    </w:p>
  </w:footnote>
  <w:footnote w:id="74">
    <w:p w14:paraId="1A5C9039" w14:textId="77777777" w:rsidR="0042099E" w:rsidRPr="00422939" w:rsidRDefault="0042099E" w:rsidP="00100C31">
      <w:pPr>
        <w:pStyle w:val="Textonotapie"/>
      </w:pPr>
      <w:r>
        <w:tab/>
      </w:r>
      <w:r w:rsidRPr="00422939">
        <w:rPr>
          <w:vertAlign w:val="superscript"/>
        </w:rPr>
        <w:footnoteRef/>
      </w:r>
      <w:r>
        <w:tab/>
      </w:r>
      <w:r w:rsidRPr="00422939">
        <w:t>CPEC. Correo electrónico del 21 de abril de 2022.</w:t>
      </w:r>
    </w:p>
  </w:footnote>
  <w:footnote w:id="75">
    <w:p w14:paraId="117D04E3" w14:textId="77777777" w:rsidR="0042099E" w:rsidRPr="00422939" w:rsidRDefault="0042099E" w:rsidP="00100C31">
      <w:pPr>
        <w:pStyle w:val="Textonotapie"/>
      </w:pPr>
      <w:r>
        <w:tab/>
      </w:r>
      <w:r w:rsidRPr="00422939">
        <w:rPr>
          <w:vertAlign w:val="superscript"/>
        </w:rPr>
        <w:footnoteRef/>
      </w:r>
      <w:r>
        <w:tab/>
      </w:r>
      <w:r w:rsidRPr="00422939">
        <w:t>Sierra Nevada - Perijá, Bajo Cauca, Chocó, Pacífico Nariñense, Montes de María, Sur de Córdoba, Arauca, Putumayo, Catatumbo, Sur del Tolima, Urabá Antioqueño, Alto Patía, Cuenca Caguán y Macarena.</w:t>
      </w:r>
    </w:p>
  </w:footnote>
  <w:footnote w:id="76">
    <w:p w14:paraId="51B4C732" w14:textId="77777777" w:rsidR="0042099E" w:rsidRPr="00C929BA" w:rsidRDefault="0042099E" w:rsidP="00100C31">
      <w:pPr>
        <w:pStyle w:val="Textonotapie"/>
      </w:pPr>
      <w:r>
        <w:tab/>
      </w:r>
      <w:r w:rsidRPr="00422939">
        <w:rPr>
          <w:vertAlign w:val="superscript"/>
        </w:rPr>
        <w:footnoteRef/>
      </w:r>
      <w:r>
        <w:tab/>
        <w:t>ICBF. Correo electrónico del 22 de septiembre de 2022.</w:t>
      </w:r>
    </w:p>
  </w:footnote>
  <w:footnote w:id="77">
    <w:p w14:paraId="7F5F7ED2" w14:textId="304EF3C6" w:rsidR="0042099E" w:rsidRPr="00422939" w:rsidRDefault="0042099E" w:rsidP="00100C31">
      <w:pPr>
        <w:pStyle w:val="Textonotapie"/>
      </w:pPr>
      <w:r>
        <w:tab/>
      </w:r>
      <w:r w:rsidRPr="00422939">
        <w:rPr>
          <w:vertAlign w:val="superscript"/>
        </w:rPr>
        <w:footnoteRef/>
      </w:r>
      <w:r>
        <w:tab/>
      </w:r>
      <w:r w:rsidRPr="00422939">
        <w:t>CPEC. Correo electrónico del 20 de septiembre de 2022</w:t>
      </w:r>
      <w:r>
        <w:t>.</w:t>
      </w:r>
    </w:p>
  </w:footnote>
  <w:footnote w:id="78">
    <w:p w14:paraId="402088DD" w14:textId="77777777" w:rsidR="0042099E" w:rsidRPr="00501F6F" w:rsidRDefault="0042099E" w:rsidP="00100C31">
      <w:pPr>
        <w:pStyle w:val="Textonotapie"/>
        <w:rPr>
          <w:szCs w:val="18"/>
          <w:lang w:val="es-CO"/>
        </w:rPr>
      </w:pPr>
      <w:r>
        <w:rPr>
          <w:szCs w:val="18"/>
        </w:rPr>
        <w:tab/>
      </w:r>
      <w:r w:rsidRPr="00501F6F">
        <w:rPr>
          <w:rStyle w:val="Refdenotaalpie"/>
          <w:szCs w:val="18"/>
        </w:rPr>
        <w:footnoteRef/>
      </w:r>
      <w:r>
        <w:rPr>
          <w:szCs w:val="18"/>
        </w:rPr>
        <w:tab/>
      </w:r>
      <w:r w:rsidRPr="00501F6F">
        <w:rPr>
          <w:szCs w:val="18"/>
        </w:rPr>
        <w:t xml:space="preserve">Ministerio del Interior. </w:t>
      </w:r>
      <w:r>
        <w:rPr>
          <w:szCs w:val="18"/>
        </w:rPr>
        <w:t>C</w:t>
      </w:r>
      <w:r w:rsidRPr="00501F6F">
        <w:rPr>
          <w:szCs w:val="18"/>
        </w:rPr>
        <w:t>orreo electrónico</w:t>
      </w:r>
      <w:r>
        <w:rPr>
          <w:szCs w:val="18"/>
        </w:rPr>
        <w:t xml:space="preserve"> del</w:t>
      </w:r>
      <w:r w:rsidRPr="00501F6F">
        <w:rPr>
          <w:szCs w:val="18"/>
        </w:rPr>
        <w:t xml:space="preserve"> 25 de julio de 2022</w:t>
      </w:r>
      <w:r>
        <w:rPr>
          <w:szCs w:val="18"/>
        </w:rPr>
        <w:t>.</w:t>
      </w:r>
    </w:p>
  </w:footnote>
  <w:footnote w:id="79">
    <w:p w14:paraId="5FF60EBC" w14:textId="52B0ED11" w:rsidR="0042099E" w:rsidRPr="00501F6F" w:rsidRDefault="0042099E" w:rsidP="00095139">
      <w:pPr>
        <w:pStyle w:val="Textonotapie"/>
        <w:rPr>
          <w:bCs/>
          <w:iCs/>
          <w:szCs w:val="18"/>
        </w:rPr>
      </w:pPr>
      <w:r>
        <w:rPr>
          <w:szCs w:val="18"/>
        </w:rPr>
        <w:tab/>
      </w:r>
      <w:r w:rsidRPr="00501F6F">
        <w:rPr>
          <w:rStyle w:val="Refdenotaalpie"/>
          <w:szCs w:val="18"/>
        </w:rPr>
        <w:footnoteRef/>
      </w:r>
      <w:r>
        <w:rPr>
          <w:szCs w:val="18"/>
        </w:rPr>
        <w:tab/>
      </w:r>
      <w:r w:rsidRPr="00501F6F">
        <w:rPr>
          <w:szCs w:val="18"/>
        </w:rPr>
        <w:t xml:space="preserve">Para mayor información consultar: </w:t>
      </w:r>
      <w:hyperlink r:id="rId15" w:history="1">
        <w:r w:rsidRPr="00501F6F">
          <w:rPr>
            <w:rStyle w:val="Hipervnculo"/>
            <w:bCs/>
            <w:iCs/>
            <w:szCs w:val="18"/>
          </w:rPr>
          <w:t>https://www.icontec.org/observatorio-para-la-promocion-de-la-inclusion/</w:t>
        </w:r>
      </w:hyperlink>
      <w:r w:rsidRPr="00501F6F">
        <w:rPr>
          <w:bCs/>
          <w:iCs/>
          <w:szCs w:val="18"/>
        </w:rPr>
        <w:t xml:space="preserve"> </w:t>
      </w:r>
    </w:p>
  </w:footnote>
  <w:footnote w:id="80">
    <w:p w14:paraId="00C16E0F" w14:textId="77777777" w:rsidR="0042099E" w:rsidRPr="00501F6F" w:rsidRDefault="0042099E" w:rsidP="00100C31">
      <w:pPr>
        <w:pStyle w:val="Textonotapie"/>
        <w:rPr>
          <w:szCs w:val="18"/>
          <w:lang w:val="es-CO"/>
        </w:rPr>
      </w:pPr>
      <w:r>
        <w:rPr>
          <w:szCs w:val="18"/>
        </w:rPr>
        <w:tab/>
      </w:r>
      <w:r w:rsidRPr="00501F6F">
        <w:rPr>
          <w:rStyle w:val="Refdenotaalpie"/>
          <w:szCs w:val="18"/>
        </w:rPr>
        <w:footnoteRef/>
      </w:r>
      <w:r>
        <w:rPr>
          <w:szCs w:val="18"/>
        </w:rPr>
        <w:tab/>
      </w:r>
      <w:r w:rsidRPr="00501F6F">
        <w:rPr>
          <w:szCs w:val="18"/>
        </w:rPr>
        <w:t xml:space="preserve">Ministerio del Interior. </w:t>
      </w:r>
      <w:r>
        <w:rPr>
          <w:szCs w:val="18"/>
        </w:rPr>
        <w:t>C</w:t>
      </w:r>
      <w:r w:rsidRPr="00501F6F">
        <w:rPr>
          <w:szCs w:val="18"/>
        </w:rPr>
        <w:t>orreo electrónico</w:t>
      </w:r>
      <w:r>
        <w:rPr>
          <w:szCs w:val="18"/>
        </w:rPr>
        <w:t xml:space="preserve"> del</w:t>
      </w:r>
      <w:r w:rsidRPr="00501F6F">
        <w:rPr>
          <w:szCs w:val="18"/>
        </w:rPr>
        <w:t xml:space="preserve"> 25 de julio de 2022</w:t>
      </w:r>
      <w:r>
        <w:rPr>
          <w:szCs w:val="18"/>
        </w:rPr>
        <w:t>.</w:t>
      </w:r>
    </w:p>
  </w:footnote>
  <w:footnote w:id="81">
    <w:p w14:paraId="00A762B1" w14:textId="77777777" w:rsidR="0042099E" w:rsidRPr="00501F6F" w:rsidRDefault="0042099E" w:rsidP="00100C31">
      <w:pPr>
        <w:pStyle w:val="Textonotapie"/>
        <w:rPr>
          <w:szCs w:val="18"/>
        </w:rPr>
      </w:pPr>
      <w:r>
        <w:rPr>
          <w:szCs w:val="18"/>
        </w:rPr>
        <w:tab/>
      </w:r>
      <w:r w:rsidRPr="00501F6F">
        <w:rPr>
          <w:rStyle w:val="Refdenotaalpie"/>
          <w:szCs w:val="18"/>
        </w:rPr>
        <w:footnoteRef/>
      </w:r>
      <w:r>
        <w:rPr>
          <w:szCs w:val="18"/>
        </w:rPr>
        <w:tab/>
      </w:r>
      <w:r w:rsidRPr="00501F6F">
        <w:rPr>
          <w:szCs w:val="18"/>
        </w:rPr>
        <w:t xml:space="preserve">Ministerio del Interior. </w:t>
      </w:r>
      <w:r>
        <w:rPr>
          <w:szCs w:val="18"/>
        </w:rPr>
        <w:t>C</w:t>
      </w:r>
      <w:r w:rsidRPr="00501F6F">
        <w:rPr>
          <w:szCs w:val="18"/>
        </w:rPr>
        <w:t>orreo electrónico</w:t>
      </w:r>
      <w:r>
        <w:rPr>
          <w:szCs w:val="18"/>
        </w:rPr>
        <w:t xml:space="preserve"> del</w:t>
      </w:r>
      <w:r w:rsidRPr="00501F6F">
        <w:rPr>
          <w:szCs w:val="18"/>
        </w:rPr>
        <w:t xml:space="preserve"> 25 de julio de 2022</w:t>
      </w:r>
      <w:r>
        <w:rPr>
          <w:szCs w:val="18"/>
        </w:rPr>
        <w:t>.</w:t>
      </w:r>
    </w:p>
  </w:footnote>
  <w:footnote w:id="82">
    <w:p w14:paraId="07F418D6" w14:textId="77777777" w:rsidR="0042099E" w:rsidRPr="00501F6F" w:rsidRDefault="0042099E" w:rsidP="00100C31">
      <w:pPr>
        <w:pStyle w:val="Textonotapie"/>
        <w:rPr>
          <w:szCs w:val="18"/>
          <w:lang w:val="es-CO"/>
        </w:rPr>
      </w:pPr>
      <w:r>
        <w:rPr>
          <w:szCs w:val="18"/>
        </w:rPr>
        <w:tab/>
      </w:r>
      <w:r w:rsidRPr="00501F6F">
        <w:rPr>
          <w:rStyle w:val="Refdenotaalpie"/>
          <w:szCs w:val="18"/>
        </w:rPr>
        <w:footnoteRef/>
      </w:r>
      <w:r>
        <w:rPr>
          <w:szCs w:val="18"/>
        </w:rPr>
        <w:tab/>
      </w:r>
      <w:r w:rsidRPr="00501F6F">
        <w:rPr>
          <w:szCs w:val="18"/>
        </w:rPr>
        <w:t xml:space="preserve">Ministerio del Interior. </w:t>
      </w:r>
      <w:r>
        <w:rPr>
          <w:szCs w:val="18"/>
        </w:rPr>
        <w:t>C</w:t>
      </w:r>
      <w:r w:rsidRPr="00501F6F">
        <w:rPr>
          <w:szCs w:val="18"/>
        </w:rPr>
        <w:t>orreo electrónico</w:t>
      </w:r>
      <w:r>
        <w:rPr>
          <w:szCs w:val="18"/>
        </w:rPr>
        <w:t xml:space="preserve"> del</w:t>
      </w:r>
      <w:r w:rsidRPr="00501F6F">
        <w:rPr>
          <w:szCs w:val="18"/>
        </w:rPr>
        <w:t xml:space="preserve"> 25 de julio de 2022</w:t>
      </w:r>
      <w:r>
        <w:rPr>
          <w:szCs w:val="18"/>
        </w:rPr>
        <w:t>.</w:t>
      </w:r>
    </w:p>
  </w:footnote>
  <w:footnote w:id="83">
    <w:p w14:paraId="344099E8" w14:textId="77777777" w:rsidR="0042099E" w:rsidRPr="00431FC5" w:rsidRDefault="0042099E" w:rsidP="00100C31">
      <w:pPr>
        <w:pStyle w:val="Textonotapie"/>
      </w:pPr>
      <w:r>
        <w:tab/>
      </w:r>
      <w:r>
        <w:rPr>
          <w:rStyle w:val="Refdenotaalpie"/>
        </w:rPr>
        <w:footnoteRef/>
      </w:r>
      <w:r>
        <w:tab/>
      </w:r>
      <w:r w:rsidRPr="00422939">
        <w:t>Ministerio del Interior. Correo electrónico del 9 de junio de 2022.</w:t>
      </w:r>
    </w:p>
  </w:footnote>
  <w:footnote w:id="84">
    <w:p w14:paraId="23937B4D" w14:textId="77777777" w:rsidR="0042099E" w:rsidRPr="00431FC5" w:rsidRDefault="0042099E" w:rsidP="0042099E">
      <w:pPr>
        <w:pStyle w:val="Textonotapie"/>
        <w:rPr>
          <w:b/>
          <w:bCs/>
        </w:rPr>
      </w:pPr>
      <w:r>
        <w:tab/>
      </w:r>
      <w:r>
        <w:rPr>
          <w:rStyle w:val="Refdenotaalpie"/>
        </w:rPr>
        <w:footnoteRef/>
      </w:r>
      <w:r>
        <w:tab/>
      </w:r>
      <w:r w:rsidRPr="00422939">
        <w:t>Ministerio del Interior. Correo electrónico del 9 de junio de 2022.</w:t>
      </w:r>
    </w:p>
  </w:footnote>
  <w:footnote w:id="85">
    <w:p w14:paraId="384C88CF" w14:textId="77777777" w:rsidR="0042099E" w:rsidRPr="00501F6F" w:rsidRDefault="0042099E" w:rsidP="0042099E">
      <w:pPr>
        <w:pStyle w:val="Textonotapie"/>
        <w:rPr>
          <w:szCs w:val="18"/>
        </w:rPr>
      </w:pPr>
      <w:r>
        <w:tab/>
      </w:r>
      <w:r w:rsidRPr="00501F6F">
        <w:rPr>
          <w:szCs w:val="18"/>
          <w:vertAlign w:val="superscript"/>
        </w:rPr>
        <w:footnoteRef/>
      </w:r>
      <w:r>
        <w:tab/>
        <w:t>M</w:t>
      </w:r>
      <w:r w:rsidRPr="00422939">
        <w:t>inisterio</w:t>
      </w:r>
      <w:r w:rsidRPr="00501F6F">
        <w:rPr>
          <w:szCs w:val="18"/>
        </w:rPr>
        <w:t xml:space="preserve"> del Interior. </w:t>
      </w:r>
      <w:r>
        <w:rPr>
          <w:szCs w:val="18"/>
        </w:rPr>
        <w:t>C</w:t>
      </w:r>
      <w:r w:rsidRPr="00501F6F">
        <w:rPr>
          <w:szCs w:val="18"/>
        </w:rPr>
        <w:t>orreo electrónico</w:t>
      </w:r>
      <w:r>
        <w:rPr>
          <w:szCs w:val="18"/>
        </w:rPr>
        <w:t xml:space="preserve"> del</w:t>
      </w:r>
      <w:r w:rsidRPr="00501F6F">
        <w:rPr>
          <w:szCs w:val="18"/>
        </w:rPr>
        <w:t xml:space="preserve"> 9 de junio de 2022.</w:t>
      </w:r>
    </w:p>
  </w:footnote>
  <w:footnote w:id="86">
    <w:p w14:paraId="762E138C" w14:textId="77777777" w:rsidR="0042099E" w:rsidRPr="00422939" w:rsidRDefault="0042099E" w:rsidP="0042099E">
      <w:pPr>
        <w:pStyle w:val="Textonotapie"/>
      </w:pPr>
      <w:r>
        <w:tab/>
      </w:r>
      <w:r w:rsidRPr="00422939">
        <w:rPr>
          <w:vertAlign w:val="superscript"/>
        </w:rPr>
        <w:footnoteRef/>
      </w:r>
      <w:r>
        <w:tab/>
        <w:t>M</w:t>
      </w:r>
      <w:r w:rsidRPr="00422939">
        <w:t>inisterio del Interior. Correo electrónico del 9 de junio de 2022.</w:t>
      </w:r>
    </w:p>
  </w:footnote>
  <w:footnote w:id="87">
    <w:p w14:paraId="0100FF42" w14:textId="77777777" w:rsidR="0042099E" w:rsidRPr="00422939" w:rsidRDefault="0042099E" w:rsidP="0042099E">
      <w:pPr>
        <w:pStyle w:val="Textonotapie"/>
      </w:pPr>
      <w:r>
        <w:tab/>
      </w:r>
      <w:r w:rsidRPr="00422939">
        <w:rPr>
          <w:vertAlign w:val="superscript"/>
        </w:rPr>
        <w:footnoteRef/>
      </w:r>
      <w:r>
        <w:tab/>
      </w:r>
      <w:r w:rsidRPr="00422939">
        <w:t>Ministerio del Interior. Correo electrónico del 9 de junio de 2022.</w:t>
      </w:r>
    </w:p>
  </w:footnote>
  <w:footnote w:id="88">
    <w:p w14:paraId="67C634FC" w14:textId="77777777" w:rsidR="0042099E" w:rsidRPr="00422939" w:rsidRDefault="0042099E" w:rsidP="0042099E">
      <w:pPr>
        <w:pStyle w:val="Textonotapie"/>
      </w:pPr>
      <w:r>
        <w:tab/>
      </w:r>
      <w:r w:rsidRPr="00422939">
        <w:rPr>
          <w:vertAlign w:val="superscript"/>
        </w:rPr>
        <w:footnoteRef/>
      </w:r>
      <w:r>
        <w:tab/>
      </w:r>
      <w:r w:rsidRPr="00422939">
        <w:t>Ministerio del Interior. Correo electrónico del 9 de junio de 2022.</w:t>
      </w:r>
    </w:p>
  </w:footnote>
  <w:footnote w:id="89">
    <w:p w14:paraId="5FA8C1F6" w14:textId="77777777" w:rsidR="0042099E" w:rsidRPr="00422939" w:rsidRDefault="0042099E" w:rsidP="0042099E">
      <w:pPr>
        <w:pStyle w:val="Textonotapie"/>
      </w:pPr>
      <w:r>
        <w:tab/>
      </w:r>
      <w:r w:rsidRPr="00422939">
        <w:rPr>
          <w:vertAlign w:val="superscript"/>
        </w:rPr>
        <w:footnoteRef/>
      </w:r>
      <w:r>
        <w:tab/>
      </w:r>
      <w:r w:rsidRPr="00422939">
        <w:t>Ministerio del Interior. Correo electrónico del 9 de junio de 2022.</w:t>
      </w:r>
    </w:p>
  </w:footnote>
  <w:footnote w:id="90">
    <w:p w14:paraId="16D34463" w14:textId="77777777" w:rsidR="0042099E" w:rsidRPr="00422939" w:rsidRDefault="0042099E" w:rsidP="0042099E">
      <w:pPr>
        <w:pStyle w:val="Textonotapie"/>
      </w:pPr>
      <w:r>
        <w:tab/>
      </w:r>
      <w:r w:rsidRPr="00422939">
        <w:rPr>
          <w:vertAlign w:val="superscript"/>
        </w:rPr>
        <w:footnoteRef/>
      </w:r>
      <w:r>
        <w:tab/>
      </w:r>
      <w:r w:rsidRPr="00422939">
        <w:t>Ministerio del Interior. Correo electrónico del 9 de junio de 2022.</w:t>
      </w:r>
    </w:p>
  </w:footnote>
  <w:footnote w:id="91">
    <w:p w14:paraId="34442238" w14:textId="77777777" w:rsidR="0042099E" w:rsidRPr="00422939" w:rsidRDefault="0042099E" w:rsidP="0042099E">
      <w:pPr>
        <w:pStyle w:val="Textonotapie"/>
      </w:pPr>
      <w:r>
        <w:tab/>
      </w:r>
      <w:r w:rsidRPr="00422939">
        <w:rPr>
          <w:vertAlign w:val="superscript"/>
        </w:rPr>
        <w:footnoteRef/>
      </w:r>
      <w:r>
        <w:tab/>
      </w:r>
      <w:r w:rsidRPr="00422939">
        <w:t>Ministerio del Interior. Correo electrónico del 9 de junio de 2022.</w:t>
      </w:r>
    </w:p>
  </w:footnote>
  <w:footnote w:id="92">
    <w:p w14:paraId="4C5A8520" w14:textId="6883859B" w:rsidR="0042099E" w:rsidRPr="00422939" w:rsidRDefault="0042099E" w:rsidP="00095139">
      <w:pPr>
        <w:pStyle w:val="Textonotapie"/>
      </w:pPr>
      <w:r>
        <w:tab/>
      </w:r>
      <w:r w:rsidRPr="00422939">
        <w:rPr>
          <w:vertAlign w:val="superscript"/>
        </w:rPr>
        <w:footnoteRef/>
      </w:r>
      <w:r>
        <w:tab/>
      </w:r>
      <w:r w:rsidRPr="00422939">
        <w:t xml:space="preserve">Disponible en: </w:t>
      </w:r>
      <w:hyperlink r:id="rId16" w:history="1">
        <w:r w:rsidRPr="00280D2C">
          <w:rPr>
            <w:rStyle w:val="Hipervnculo"/>
          </w:rPr>
          <w:t>https://prosperidadsocial.gov.co/sgsp/ruta-para-la-superacion-de-la-pobreza/#:~:text=Ruta%20para%20la%20Superaci%C3%B3n%20de%20la%20Pobreza%20%2D%20Prosperidad%20Social&amp;text=La%20Ruta%20es%20la%20estrategia,la%20superaci%C3%B3n%20de%20barreras%20sociales</w:t>
        </w:r>
      </w:hyperlink>
      <w:r w:rsidRPr="00422939">
        <w:t>.</w:t>
      </w:r>
    </w:p>
  </w:footnote>
  <w:footnote w:id="93">
    <w:p w14:paraId="5A287541" w14:textId="77777777" w:rsidR="0042099E" w:rsidRPr="00422939" w:rsidRDefault="0042099E" w:rsidP="0042099E">
      <w:pPr>
        <w:pStyle w:val="Textonotapie"/>
      </w:pPr>
      <w:r>
        <w:tab/>
      </w:r>
      <w:r w:rsidRPr="00422939">
        <w:rPr>
          <w:vertAlign w:val="superscript"/>
        </w:rPr>
        <w:footnoteRef/>
      </w:r>
      <w:r>
        <w:tab/>
      </w:r>
      <w:r w:rsidRPr="00422939">
        <w:t>DPS. Correo electrónico del 17 de junio de 2022.</w:t>
      </w:r>
    </w:p>
  </w:footnote>
  <w:footnote w:id="94">
    <w:p w14:paraId="587EBE66" w14:textId="77777777" w:rsidR="0042099E" w:rsidRPr="00422939" w:rsidRDefault="0042099E" w:rsidP="0042099E">
      <w:pPr>
        <w:pStyle w:val="Textonotapie"/>
      </w:pPr>
      <w:r>
        <w:tab/>
      </w:r>
      <w:r w:rsidRPr="00422939">
        <w:rPr>
          <w:vertAlign w:val="superscript"/>
        </w:rPr>
        <w:footnoteRef/>
      </w:r>
      <w:r>
        <w:tab/>
      </w:r>
      <w:r w:rsidRPr="00422939">
        <w:t>DPS. Correo electrónico del 17 de junio de 2022.</w:t>
      </w:r>
    </w:p>
  </w:footnote>
  <w:footnote w:id="95">
    <w:p w14:paraId="3AB85AF2" w14:textId="18A982BF" w:rsidR="0042099E" w:rsidRPr="00501F6F" w:rsidRDefault="0042099E" w:rsidP="00095139">
      <w:pPr>
        <w:pStyle w:val="Textonotapie"/>
        <w:rPr>
          <w:szCs w:val="18"/>
          <w:lang w:val="es-MX"/>
        </w:rPr>
      </w:pPr>
      <w:r>
        <w:rPr>
          <w:szCs w:val="18"/>
        </w:rPr>
        <w:tab/>
      </w:r>
      <w:r w:rsidRPr="00501F6F">
        <w:rPr>
          <w:rStyle w:val="Refdenotaalpie"/>
          <w:szCs w:val="18"/>
        </w:rPr>
        <w:footnoteRef/>
      </w:r>
      <w:r>
        <w:rPr>
          <w:szCs w:val="18"/>
        </w:rPr>
        <w:tab/>
      </w:r>
      <w:r w:rsidRPr="00501F6F">
        <w:rPr>
          <w:szCs w:val="18"/>
          <w:lang w:val="es-MX"/>
        </w:rPr>
        <w:t xml:space="preserve">Información disponible en: </w:t>
      </w:r>
      <w:hyperlink r:id="rId17" w:history="1">
        <w:r w:rsidRPr="00501F6F">
          <w:rPr>
            <w:rStyle w:val="Hipervnculo"/>
            <w:szCs w:val="18"/>
            <w:lang w:val="es-MX"/>
          </w:rPr>
          <w:t>https://www.mineducacion.gov.co/portal/micrositios-institucionales/</w:t>
        </w:r>
        <w:r w:rsidR="00280D2C">
          <w:rPr>
            <w:rStyle w:val="Hipervnculo"/>
            <w:szCs w:val="18"/>
            <w:lang w:val="es-MX"/>
          </w:rPr>
          <w:br/>
        </w:r>
        <w:r w:rsidRPr="00501F6F">
          <w:rPr>
            <w:rStyle w:val="Hipervnculo"/>
            <w:szCs w:val="18"/>
            <w:lang w:val="es-MX"/>
          </w:rPr>
          <w:t>Escuela-Corporativa/Nuestra-Escuela/377656:Ruta-de-aprendizaje</w:t>
        </w:r>
      </w:hyperlink>
      <w:r w:rsidR="00280D2C">
        <w:rPr>
          <w:rStyle w:val="Hipervnculo"/>
          <w:szCs w:val="18"/>
          <w:lang w:val="es-MX"/>
        </w:rPr>
        <w:t>.</w:t>
      </w:r>
    </w:p>
  </w:footnote>
  <w:footnote w:id="96">
    <w:p w14:paraId="73C169BB" w14:textId="76B5B997" w:rsidR="0042099E" w:rsidRPr="00431FC5" w:rsidRDefault="0042099E">
      <w:pPr>
        <w:pStyle w:val="Textonotapie"/>
      </w:pPr>
      <w:r>
        <w:tab/>
      </w:r>
      <w:r>
        <w:rPr>
          <w:rStyle w:val="Refdenotaalpie"/>
        </w:rPr>
        <w:footnoteRef/>
      </w:r>
      <w:r>
        <w:tab/>
      </w:r>
      <w:r w:rsidRPr="00D91788">
        <w:t>Ministerio de Educación Nacional (MEN). Correo electrónico del 22 de abril de 2022.</w:t>
      </w:r>
    </w:p>
  </w:footnote>
  <w:footnote w:id="97">
    <w:p w14:paraId="55D8532C" w14:textId="77777777" w:rsidR="00D0295C" w:rsidRPr="0013135A" w:rsidRDefault="00D0295C" w:rsidP="00D0295C">
      <w:pPr>
        <w:pStyle w:val="Textonotapie"/>
      </w:pPr>
      <w:r>
        <w:tab/>
      </w:r>
      <w:r>
        <w:rPr>
          <w:rStyle w:val="Refdenotaalpie"/>
        </w:rPr>
        <w:footnoteRef/>
      </w:r>
      <w:r>
        <w:tab/>
      </w:r>
      <w:r w:rsidRPr="00D91788">
        <w:t>MEN. Correo electrónico del 22 de abril de 2022.</w:t>
      </w:r>
    </w:p>
  </w:footnote>
  <w:footnote w:id="98">
    <w:p w14:paraId="313DF607" w14:textId="77777777" w:rsidR="00D0295C" w:rsidRPr="00501F6F" w:rsidRDefault="00D0295C" w:rsidP="00D0295C">
      <w:pPr>
        <w:pStyle w:val="Textonotapie"/>
        <w:rPr>
          <w:szCs w:val="18"/>
        </w:rPr>
      </w:pPr>
      <w:r>
        <w:rPr>
          <w:szCs w:val="18"/>
        </w:rPr>
        <w:tab/>
      </w:r>
      <w:r w:rsidRPr="00D91788">
        <w:rPr>
          <w:szCs w:val="18"/>
          <w:vertAlign w:val="superscript"/>
        </w:rPr>
        <w:footnoteRef/>
      </w:r>
      <w:r>
        <w:rPr>
          <w:szCs w:val="18"/>
        </w:rPr>
        <w:tab/>
        <w:t>MEN</w:t>
      </w:r>
      <w:r w:rsidRPr="00501F6F">
        <w:rPr>
          <w:szCs w:val="18"/>
        </w:rPr>
        <w:t xml:space="preserve">. </w:t>
      </w:r>
      <w:r>
        <w:rPr>
          <w:szCs w:val="18"/>
        </w:rPr>
        <w:t>C</w:t>
      </w:r>
      <w:r w:rsidRPr="00501F6F">
        <w:rPr>
          <w:szCs w:val="18"/>
        </w:rPr>
        <w:t>orreo electrónico</w:t>
      </w:r>
      <w:r>
        <w:rPr>
          <w:szCs w:val="18"/>
        </w:rPr>
        <w:t xml:space="preserve"> del</w:t>
      </w:r>
      <w:r w:rsidRPr="00501F6F">
        <w:rPr>
          <w:szCs w:val="18"/>
        </w:rPr>
        <w:t xml:space="preserve"> 22 de abril de 2022</w:t>
      </w:r>
      <w:r>
        <w:rPr>
          <w:szCs w:val="18"/>
        </w:rPr>
        <w:t>.</w:t>
      </w:r>
    </w:p>
  </w:footnote>
  <w:footnote w:id="99">
    <w:p w14:paraId="6896E13B" w14:textId="77777777" w:rsidR="00D0295C" w:rsidRPr="00501F6F" w:rsidRDefault="00D0295C" w:rsidP="00D0295C">
      <w:pPr>
        <w:pStyle w:val="Textonotapie"/>
        <w:rPr>
          <w:szCs w:val="18"/>
        </w:rPr>
      </w:pPr>
      <w:r>
        <w:rPr>
          <w:szCs w:val="18"/>
        </w:rPr>
        <w:tab/>
      </w:r>
      <w:r w:rsidRPr="00D91788">
        <w:rPr>
          <w:szCs w:val="18"/>
          <w:vertAlign w:val="superscript"/>
        </w:rPr>
        <w:footnoteRef/>
      </w:r>
      <w:r>
        <w:rPr>
          <w:szCs w:val="18"/>
        </w:rPr>
        <w:tab/>
        <w:t>MEN</w:t>
      </w:r>
      <w:r w:rsidRPr="00501F6F">
        <w:rPr>
          <w:szCs w:val="18"/>
        </w:rPr>
        <w:t xml:space="preserve">. </w:t>
      </w:r>
      <w:r>
        <w:rPr>
          <w:szCs w:val="18"/>
        </w:rPr>
        <w:t>C</w:t>
      </w:r>
      <w:r w:rsidRPr="00501F6F">
        <w:rPr>
          <w:szCs w:val="18"/>
        </w:rPr>
        <w:t>orreo electrónico</w:t>
      </w:r>
      <w:r>
        <w:rPr>
          <w:szCs w:val="18"/>
        </w:rPr>
        <w:t xml:space="preserve"> del</w:t>
      </w:r>
      <w:r w:rsidRPr="00501F6F">
        <w:rPr>
          <w:szCs w:val="18"/>
        </w:rPr>
        <w:t xml:space="preserve"> 22 de abril de 2022</w:t>
      </w:r>
      <w:r>
        <w:rPr>
          <w:szCs w:val="18"/>
        </w:rPr>
        <w:t>.</w:t>
      </w:r>
    </w:p>
  </w:footnote>
  <w:footnote w:id="100">
    <w:p w14:paraId="3B380F68" w14:textId="49F173B9" w:rsidR="0042099E" w:rsidRPr="00501F6F" w:rsidRDefault="0042099E" w:rsidP="00D91788">
      <w:pPr>
        <w:pStyle w:val="Textonotapie"/>
        <w:rPr>
          <w:szCs w:val="18"/>
        </w:rPr>
      </w:pPr>
      <w:r>
        <w:rPr>
          <w:szCs w:val="18"/>
        </w:rPr>
        <w:tab/>
      </w:r>
      <w:r w:rsidRPr="00D91788">
        <w:rPr>
          <w:szCs w:val="18"/>
          <w:vertAlign w:val="superscript"/>
        </w:rPr>
        <w:footnoteRef/>
      </w:r>
      <w:r>
        <w:rPr>
          <w:szCs w:val="18"/>
        </w:rPr>
        <w:tab/>
        <w:t>MEN</w:t>
      </w:r>
      <w:r w:rsidRPr="00501F6F">
        <w:rPr>
          <w:szCs w:val="18"/>
        </w:rPr>
        <w:t xml:space="preserve">. </w:t>
      </w:r>
      <w:r>
        <w:rPr>
          <w:szCs w:val="18"/>
        </w:rPr>
        <w:t>C</w:t>
      </w:r>
      <w:r w:rsidRPr="00501F6F">
        <w:rPr>
          <w:szCs w:val="18"/>
        </w:rPr>
        <w:t>orreo electrónico</w:t>
      </w:r>
      <w:r>
        <w:rPr>
          <w:szCs w:val="18"/>
        </w:rPr>
        <w:t xml:space="preserve"> del</w:t>
      </w:r>
      <w:r w:rsidRPr="00501F6F">
        <w:rPr>
          <w:szCs w:val="18"/>
        </w:rPr>
        <w:t xml:space="preserve"> 22 de abril de 2022</w:t>
      </w:r>
      <w:r>
        <w:rPr>
          <w:szCs w:val="18"/>
        </w:rPr>
        <w:t>.</w:t>
      </w:r>
    </w:p>
  </w:footnote>
  <w:footnote w:id="101">
    <w:p w14:paraId="74CD29FD" w14:textId="77777777" w:rsidR="00D0295C" w:rsidRPr="00D91788" w:rsidRDefault="00D0295C" w:rsidP="00D0295C">
      <w:pPr>
        <w:pStyle w:val="Textonotapie"/>
        <w:rPr>
          <w:szCs w:val="18"/>
        </w:rPr>
      </w:pPr>
      <w:r>
        <w:rPr>
          <w:szCs w:val="18"/>
        </w:rPr>
        <w:tab/>
      </w:r>
      <w:r w:rsidRPr="00D91788">
        <w:rPr>
          <w:szCs w:val="18"/>
          <w:vertAlign w:val="superscript"/>
        </w:rPr>
        <w:footnoteRef/>
      </w:r>
      <w:r>
        <w:rPr>
          <w:szCs w:val="18"/>
        </w:rPr>
        <w:tab/>
      </w:r>
      <w:r w:rsidRPr="00D91788">
        <w:rPr>
          <w:szCs w:val="18"/>
        </w:rPr>
        <w:t>Ministerio del Trabajo. Correo electrónico del 26 de septiembre de 2022.</w:t>
      </w:r>
    </w:p>
  </w:footnote>
  <w:footnote w:id="102">
    <w:p w14:paraId="22EF0A2B" w14:textId="77777777" w:rsidR="00D0295C" w:rsidRPr="00D91788" w:rsidRDefault="00D0295C" w:rsidP="00D0295C">
      <w:pPr>
        <w:pStyle w:val="Textonotapie"/>
        <w:rPr>
          <w:szCs w:val="18"/>
        </w:rPr>
      </w:pPr>
      <w:r>
        <w:rPr>
          <w:szCs w:val="18"/>
        </w:rPr>
        <w:tab/>
      </w:r>
      <w:r w:rsidRPr="00D91788">
        <w:rPr>
          <w:szCs w:val="18"/>
          <w:vertAlign w:val="superscript"/>
        </w:rPr>
        <w:footnoteRef/>
      </w:r>
      <w:r>
        <w:rPr>
          <w:szCs w:val="18"/>
        </w:rPr>
        <w:tab/>
      </w:r>
      <w:r w:rsidRPr="00D91788">
        <w:rPr>
          <w:szCs w:val="18"/>
        </w:rPr>
        <w:t>Ministerio del Trabajo. Correo electrónico del 26 de septiembre de 2022.</w:t>
      </w:r>
    </w:p>
  </w:footnote>
  <w:footnote w:id="103">
    <w:p w14:paraId="74A33BB3" w14:textId="77777777" w:rsidR="00D0295C" w:rsidRPr="00431FC5" w:rsidRDefault="00D0295C" w:rsidP="00D0295C">
      <w:pPr>
        <w:pStyle w:val="Textonotapie"/>
      </w:pPr>
      <w:r>
        <w:tab/>
      </w:r>
      <w:r>
        <w:rPr>
          <w:rStyle w:val="Refdenotaalpie"/>
        </w:rPr>
        <w:footnoteRef/>
      </w:r>
      <w:r>
        <w:tab/>
      </w:r>
      <w:r w:rsidRPr="00501F6F">
        <w:rPr>
          <w:szCs w:val="18"/>
        </w:rPr>
        <w:t>Ministerio de Salud y Protección Social</w:t>
      </w:r>
      <w:r>
        <w:rPr>
          <w:szCs w:val="18"/>
        </w:rPr>
        <w:t xml:space="preserve"> (MSPS)</w:t>
      </w:r>
      <w:r w:rsidRPr="00501F6F">
        <w:rPr>
          <w:szCs w:val="18"/>
        </w:rPr>
        <w:t xml:space="preserve">. </w:t>
      </w:r>
      <w:r>
        <w:rPr>
          <w:szCs w:val="18"/>
        </w:rPr>
        <w:t>C</w:t>
      </w:r>
      <w:r w:rsidRPr="00501F6F">
        <w:rPr>
          <w:szCs w:val="18"/>
        </w:rPr>
        <w:t>orreo electrónico</w:t>
      </w:r>
      <w:r>
        <w:rPr>
          <w:szCs w:val="18"/>
        </w:rPr>
        <w:t xml:space="preserve"> del</w:t>
      </w:r>
      <w:r w:rsidRPr="00501F6F">
        <w:rPr>
          <w:szCs w:val="18"/>
        </w:rPr>
        <w:t xml:space="preserve"> 3 de mayo de 2022</w:t>
      </w:r>
      <w:r>
        <w:rPr>
          <w:szCs w:val="18"/>
        </w:rPr>
        <w:t>.</w:t>
      </w:r>
    </w:p>
  </w:footnote>
  <w:footnote w:id="104">
    <w:p w14:paraId="1B0A9D35" w14:textId="585A4260" w:rsidR="0042099E" w:rsidRPr="00501F6F" w:rsidRDefault="0042099E" w:rsidP="00095139">
      <w:pPr>
        <w:pStyle w:val="Textonotapie"/>
        <w:rPr>
          <w:szCs w:val="18"/>
          <w:lang w:val="es-MX"/>
        </w:rPr>
      </w:pPr>
      <w:r>
        <w:rPr>
          <w:szCs w:val="18"/>
        </w:rPr>
        <w:tab/>
      </w:r>
      <w:r w:rsidRPr="00501F6F">
        <w:rPr>
          <w:rStyle w:val="Refdenotaalpie"/>
          <w:szCs w:val="18"/>
        </w:rPr>
        <w:footnoteRef/>
      </w:r>
      <w:r>
        <w:rPr>
          <w:szCs w:val="18"/>
        </w:rPr>
        <w:tab/>
      </w:r>
      <w:r w:rsidRPr="00501F6F">
        <w:rPr>
          <w:szCs w:val="18"/>
          <w:lang w:val="es-MX"/>
        </w:rPr>
        <w:t>Entre ellos leyes anteriores como la</w:t>
      </w:r>
      <w:r w:rsidRPr="00501F6F">
        <w:rPr>
          <w:rFonts w:eastAsia="Times New Roman"/>
          <w:bCs/>
          <w:szCs w:val="18"/>
        </w:rPr>
        <w:t xml:space="preserve"> Ley 1438 de 2012 y la Ley 1751 de 2015.</w:t>
      </w:r>
    </w:p>
  </w:footnote>
  <w:footnote w:id="105">
    <w:p w14:paraId="76B7EEA3" w14:textId="77777777" w:rsidR="00D0295C" w:rsidRPr="00501F6F" w:rsidRDefault="00D0295C" w:rsidP="00D0295C">
      <w:pPr>
        <w:pStyle w:val="Textonotapie"/>
        <w:rPr>
          <w:szCs w:val="18"/>
        </w:rPr>
      </w:pPr>
      <w:r>
        <w:rPr>
          <w:szCs w:val="18"/>
        </w:rPr>
        <w:tab/>
      </w:r>
      <w:r w:rsidRPr="00501F6F">
        <w:rPr>
          <w:szCs w:val="18"/>
          <w:vertAlign w:val="superscript"/>
        </w:rPr>
        <w:footnoteRef/>
      </w:r>
      <w:r>
        <w:rPr>
          <w:szCs w:val="18"/>
        </w:rPr>
        <w:tab/>
        <w:t>MSPS</w:t>
      </w:r>
      <w:r w:rsidRPr="00501F6F">
        <w:rPr>
          <w:szCs w:val="18"/>
        </w:rPr>
        <w:t xml:space="preserve">. </w:t>
      </w:r>
      <w:r>
        <w:rPr>
          <w:szCs w:val="18"/>
        </w:rPr>
        <w:t>C</w:t>
      </w:r>
      <w:r w:rsidRPr="00501F6F">
        <w:rPr>
          <w:szCs w:val="18"/>
        </w:rPr>
        <w:t>orreo electrónico</w:t>
      </w:r>
      <w:r>
        <w:rPr>
          <w:szCs w:val="18"/>
        </w:rPr>
        <w:t xml:space="preserve"> del</w:t>
      </w:r>
      <w:r w:rsidRPr="00501F6F">
        <w:rPr>
          <w:szCs w:val="18"/>
        </w:rPr>
        <w:t xml:space="preserve"> 3 de mayo de 2022</w:t>
      </w:r>
      <w:r>
        <w:rPr>
          <w:szCs w:val="18"/>
        </w:rPr>
        <w:t>.</w:t>
      </w:r>
    </w:p>
  </w:footnote>
  <w:footnote w:id="106">
    <w:p w14:paraId="46019CEC" w14:textId="77777777" w:rsidR="00D0295C" w:rsidRPr="00501F6F" w:rsidRDefault="00D0295C" w:rsidP="00D0295C">
      <w:pPr>
        <w:pStyle w:val="Textonotapie"/>
        <w:rPr>
          <w:szCs w:val="18"/>
        </w:rPr>
      </w:pPr>
      <w:r>
        <w:rPr>
          <w:szCs w:val="18"/>
        </w:rPr>
        <w:tab/>
      </w:r>
      <w:r w:rsidRPr="00501F6F">
        <w:rPr>
          <w:szCs w:val="18"/>
          <w:vertAlign w:val="superscript"/>
        </w:rPr>
        <w:footnoteRef/>
      </w:r>
      <w:r>
        <w:rPr>
          <w:szCs w:val="18"/>
        </w:rPr>
        <w:tab/>
        <w:t>MSPS</w:t>
      </w:r>
      <w:r w:rsidRPr="00501F6F">
        <w:rPr>
          <w:szCs w:val="18"/>
        </w:rPr>
        <w:t xml:space="preserve">. </w:t>
      </w:r>
      <w:r>
        <w:rPr>
          <w:szCs w:val="18"/>
        </w:rPr>
        <w:t>C</w:t>
      </w:r>
      <w:r w:rsidRPr="00501F6F">
        <w:rPr>
          <w:szCs w:val="18"/>
        </w:rPr>
        <w:t>orreo electrónico</w:t>
      </w:r>
      <w:r>
        <w:rPr>
          <w:szCs w:val="18"/>
        </w:rPr>
        <w:t xml:space="preserve"> del</w:t>
      </w:r>
      <w:r w:rsidRPr="00501F6F">
        <w:rPr>
          <w:szCs w:val="18"/>
        </w:rPr>
        <w:t xml:space="preserve"> 3 de mayo de 2022</w:t>
      </w:r>
      <w:r>
        <w:rPr>
          <w:szCs w:val="18"/>
        </w:rPr>
        <w:t>.</w:t>
      </w:r>
    </w:p>
  </w:footnote>
  <w:footnote w:id="107">
    <w:p w14:paraId="119DBDDF" w14:textId="77777777" w:rsidR="00D0295C" w:rsidRPr="00501F6F" w:rsidRDefault="00D0295C" w:rsidP="00D0295C">
      <w:pPr>
        <w:pStyle w:val="Textonotapie"/>
        <w:rPr>
          <w:szCs w:val="18"/>
        </w:rPr>
      </w:pPr>
      <w:r>
        <w:rPr>
          <w:szCs w:val="18"/>
        </w:rPr>
        <w:tab/>
      </w:r>
      <w:r w:rsidRPr="00501F6F">
        <w:rPr>
          <w:szCs w:val="18"/>
          <w:vertAlign w:val="superscript"/>
        </w:rPr>
        <w:footnoteRef/>
      </w:r>
      <w:r>
        <w:rPr>
          <w:szCs w:val="18"/>
        </w:rPr>
        <w:tab/>
        <w:t>MEN</w:t>
      </w:r>
      <w:r w:rsidRPr="00501F6F">
        <w:rPr>
          <w:szCs w:val="18"/>
        </w:rPr>
        <w:t xml:space="preserve">. </w:t>
      </w:r>
      <w:r>
        <w:rPr>
          <w:szCs w:val="18"/>
        </w:rPr>
        <w:t>C</w:t>
      </w:r>
      <w:r w:rsidRPr="00501F6F">
        <w:rPr>
          <w:szCs w:val="18"/>
        </w:rPr>
        <w:t>orreo electrónico</w:t>
      </w:r>
      <w:r>
        <w:rPr>
          <w:szCs w:val="18"/>
        </w:rPr>
        <w:t xml:space="preserve"> del</w:t>
      </w:r>
      <w:r w:rsidRPr="00501F6F">
        <w:rPr>
          <w:szCs w:val="18"/>
        </w:rPr>
        <w:t xml:space="preserve"> 22 de abril de 2022</w:t>
      </w:r>
      <w:r>
        <w:rPr>
          <w:szCs w:val="18"/>
        </w:rPr>
        <w:t>.</w:t>
      </w:r>
    </w:p>
  </w:footnote>
  <w:footnote w:id="108">
    <w:p w14:paraId="6E053ED8" w14:textId="77777777" w:rsidR="00D0295C" w:rsidRPr="00501F6F" w:rsidRDefault="00D0295C" w:rsidP="00D0295C">
      <w:pPr>
        <w:pStyle w:val="Textonotapie"/>
        <w:rPr>
          <w:szCs w:val="18"/>
        </w:rPr>
      </w:pPr>
      <w:r>
        <w:rPr>
          <w:szCs w:val="18"/>
        </w:rPr>
        <w:tab/>
      </w:r>
      <w:r w:rsidRPr="00501F6F">
        <w:rPr>
          <w:szCs w:val="18"/>
          <w:vertAlign w:val="superscript"/>
        </w:rPr>
        <w:footnoteRef/>
      </w:r>
      <w:r>
        <w:rPr>
          <w:szCs w:val="18"/>
        </w:rPr>
        <w:tab/>
        <w:t>MEN</w:t>
      </w:r>
      <w:r w:rsidRPr="00501F6F">
        <w:rPr>
          <w:szCs w:val="18"/>
        </w:rPr>
        <w:t xml:space="preserve">. </w:t>
      </w:r>
      <w:r>
        <w:rPr>
          <w:szCs w:val="18"/>
        </w:rPr>
        <w:t>C</w:t>
      </w:r>
      <w:r w:rsidRPr="00501F6F">
        <w:rPr>
          <w:szCs w:val="18"/>
        </w:rPr>
        <w:t>orreo electrónico</w:t>
      </w:r>
      <w:r>
        <w:rPr>
          <w:szCs w:val="18"/>
        </w:rPr>
        <w:t xml:space="preserve"> del</w:t>
      </w:r>
      <w:r w:rsidRPr="00501F6F">
        <w:rPr>
          <w:szCs w:val="18"/>
        </w:rPr>
        <w:t xml:space="preserve"> 22 de abril de 2022</w:t>
      </w:r>
      <w:r>
        <w:rPr>
          <w:szCs w:val="18"/>
        </w:rPr>
        <w:t>.</w:t>
      </w:r>
    </w:p>
  </w:footnote>
  <w:footnote w:id="109">
    <w:p w14:paraId="3F71579C" w14:textId="77777777" w:rsidR="00D0295C" w:rsidRPr="00501F6F" w:rsidRDefault="00D0295C" w:rsidP="00D0295C">
      <w:pPr>
        <w:pStyle w:val="Textonotapie"/>
        <w:rPr>
          <w:szCs w:val="18"/>
        </w:rPr>
      </w:pPr>
      <w:r>
        <w:rPr>
          <w:szCs w:val="18"/>
        </w:rPr>
        <w:tab/>
      </w:r>
      <w:r w:rsidRPr="00501F6F">
        <w:rPr>
          <w:szCs w:val="18"/>
          <w:vertAlign w:val="superscript"/>
        </w:rPr>
        <w:footnoteRef/>
      </w:r>
      <w:r>
        <w:rPr>
          <w:szCs w:val="18"/>
        </w:rPr>
        <w:tab/>
        <w:t>MEN</w:t>
      </w:r>
      <w:r w:rsidRPr="00501F6F">
        <w:rPr>
          <w:szCs w:val="18"/>
        </w:rPr>
        <w:t xml:space="preserve">. </w:t>
      </w:r>
      <w:r>
        <w:rPr>
          <w:szCs w:val="18"/>
        </w:rPr>
        <w:t>C</w:t>
      </w:r>
      <w:r w:rsidRPr="00501F6F">
        <w:rPr>
          <w:szCs w:val="18"/>
        </w:rPr>
        <w:t>orreo electrónico</w:t>
      </w:r>
      <w:r>
        <w:rPr>
          <w:szCs w:val="18"/>
        </w:rPr>
        <w:t xml:space="preserve"> del</w:t>
      </w:r>
      <w:r w:rsidRPr="00501F6F">
        <w:rPr>
          <w:szCs w:val="18"/>
        </w:rPr>
        <w:t xml:space="preserve"> 22 de abril de 2022</w:t>
      </w:r>
      <w:r>
        <w:rPr>
          <w:szCs w:val="18"/>
        </w:rPr>
        <w:t>.</w:t>
      </w:r>
    </w:p>
  </w:footnote>
  <w:footnote w:id="110">
    <w:p w14:paraId="693F8F13" w14:textId="77777777" w:rsidR="00D0295C" w:rsidRPr="00501F6F" w:rsidRDefault="00D0295C" w:rsidP="00D0295C">
      <w:pPr>
        <w:pStyle w:val="Textonotapie"/>
        <w:rPr>
          <w:szCs w:val="18"/>
        </w:rPr>
      </w:pPr>
      <w:r>
        <w:rPr>
          <w:szCs w:val="18"/>
        </w:rPr>
        <w:tab/>
      </w:r>
      <w:r w:rsidRPr="00501F6F">
        <w:rPr>
          <w:szCs w:val="18"/>
          <w:vertAlign w:val="superscript"/>
        </w:rPr>
        <w:footnoteRef/>
      </w:r>
      <w:r>
        <w:rPr>
          <w:szCs w:val="18"/>
        </w:rPr>
        <w:tab/>
        <w:t>MEN</w:t>
      </w:r>
      <w:r w:rsidRPr="00501F6F">
        <w:rPr>
          <w:szCs w:val="18"/>
        </w:rPr>
        <w:t xml:space="preserve">. </w:t>
      </w:r>
      <w:r>
        <w:rPr>
          <w:szCs w:val="18"/>
        </w:rPr>
        <w:t>C</w:t>
      </w:r>
      <w:r w:rsidRPr="00501F6F">
        <w:rPr>
          <w:szCs w:val="18"/>
        </w:rPr>
        <w:t>orreo electrónico</w:t>
      </w:r>
      <w:r>
        <w:rPr>
          <w:szCs w:val="18"/>
        </w:rPr>
        <w:t xml:space="preserve"> del</w:t>
      </w:r>
      <w:r w:rsidRPr="00501F6F">
        <w:rPr>
          <w:szCs w:val="18"/>
        </w:rPr>
        <w:t xml:space="preserve"> 22 de abril de 2022</w:t>
      </w:r>
      <w:r>
        <w:rPr>
          <w:szCs w:val="18"/>
        </w:rPr>
        <w:t>.</w:t>
      </w:r>
    </w:p>
  </w:footnote>
  <w:footnote w:id="111">
    <w:p w14:paraId="11B3DFFD" w14:textId="2233D3E4" w:rsidR="00D0295C" w:rsidRPr="00431FC5" w:rsidRDefault="00D0295C" w:rsidP="00D0295C">
      <w:pPr>
        <w:pStyle w:val="Textonotapie"/>
      </w:pPr>
      <w:r>
        <w:tab/>
      </w:r>
      <w:r>
        <w:rPr>
          <w:rStyle w:val="Refdenotaalpie"/>
        </w:rPr>
        <w:footnoteRef/>
      </w:r>
      <w:r>
        <w:tab/>
      </w:r>
      <w:r w:rsidRPr="00D91788">
        <w:t>Ministerio del Interior. Correo electrónico del 9 de junio de 2022</w:t>
      </w:r>
      <w:r>
        <w:t>.</w:t>
      </w:r>
    </w:p>
  </w:footnote>
  <w:footnote w:id="112">
    <w:p w14:paraId="5E035A08" w14:textId="77777777" w:rsidR="00D0295C" w:rsidRPr="00501F6F" w:rsidRDefault="00D0295C" w:rsidP="00D0295C">
      <w:pPr>
        <w:pStyle w:val="Textonotapie"/>
        <w:rPr>
          <w:szCs w:val="18"/>
        </w:rPr>
      </w:pPr>
      <w:r>
        <w:rPr>
          <w:szCs w:val="18"/>
        </w:rPr>
        <w:tab/>
      </w:r>
      <w:r w:rsidRPr="00501F6F">
        <w:rPr>
          <w:rStyle w:val="Refdenotaalpie"/>
          <w:szCs w:val="18"/>
        </w:rPr>
        <w:footnoteRef/>
      </w:r>
      <w:r>
        <w:rPr>
          <w:szCs w:val="18"/>
        </w:rPr>
        <w:tab/>
      </w:r>
      <w:r w:rsidRPr="00501F6F">
        <w:rPr>
          <w:szCs w:val="18"/>
        </w:rPr>
        <w:t xml:space="preserve">Ministerio de Trabajo. </w:t>
      </w:r>
      <w:r>
        <w:rPr>
          <w:szCs w:val="18"/>
        </w:rPr>
        <w:t>C</w:t>
      </w:r>
      <w:r w:rsidRPr="00501F6F">
        <w:rPr>
          <w:szCs w:val="18"/>
        </w:rPr>
        <w:t>orreo electrónico</w:t>
      </w:r>
      <w:r>
        <w:rPr>
          <w:szCs w:val="18"/>
        </w:rPr>
        <w:t xml:space="preserve"> del</w:t>
      </w:r>
      <w:r w:rsidRPr="00501F6F">
        <w:rPr>
          <w:szCs w:val="18"/>
        </w:rPr>
        <w:t xml:space="preserve"> 20 de mayo de 2022.</w:t>
      </w:r>
    </w:p>
  </w:footnote>
  <w:footnote w:id="113">
    <w:p w14:paraId="18A71B89" w14:textId="77777777" w:rsidR="00D0295C" w:rsidRPr="00501F6F" w:rsidRDefault="00D0295C" w:rsidP="00D0295C">
      <w:pPr>
        <w:pStyle w:val="Textonotapie"/>
        <w:rPr>
          <w:szCs w:val="18"/>
        </w:rPr>
      </w:pPr>
      <w:r>
        <w:rPr>
          <w:szCs w:val="18"/>
        </w:rPr>
        <w:tab/>
      </w:r>
      <w:r w:rsidRPr="00501F6F">
        <w:rPr>
          <w:rStyle w:val="Refdenotaalpie"/>
          <w:szCs w:val="18"/>
        </w:rPr>
        <w:footnoteRef/>
      </w:r>
      <w:r>
        <w:rPr>
          <w:szCs w:val="18"/>
        </w:rPr>
        <w:tab/>
      </w:r>
      <w:r w:rsidRPr="00501F6F">
        <w:rPr>
          <w:szCs w:val="18"/>
        </w:rPr>
        <w:t xml:space="preserve">Ministerio de Trabajo. </w:t>
      </w:r>
      <w:r>
        <w:rPr>
          <w:szCs w:val="18"/>
        </w:rPr>
        <w:t>C</w:t>
      </w:r>
      <w:r w:rsidRPr="00501F6F">
        <w:rPr>
          <w:szCs w:val="18"/>
        </w:rPr>
        <w:t>orreo electrónico</w:t>
      </w:r>
      <w:r>
        <w:rPr>
          <w:szCs w:val="18"/>
        </w:rPr>
        <w:t xml:space="preserve"> del</w:t>
      </w:r>
      <w:r w:rsidRPr="00501F6F">
        <w:rPr>
          <w:szCs w:val="18"/>
        </w:rPr>
        <w:t xml:space="preserve"> 20 de mayo de 2022.</w:t>
      </w:r>
    </w:p>
  </w:footnote>
  <w:footnote w:id="114">
    <w:p w14:paraId="796A6639" w14:textId="77777777" w:rsidR="00D0295C" w:rsidRPr="00501F6F" w:rsidRDefault="00D0295C" w:rsidP="00D0295C">
      <w:pPr>
        <w:pStyle w:val="Textonotapie"/>
        <w:rPr>
          <w:szCs w:val="18"/>
        </w:rPr>
      </w:pPr>
      <w:r>
        <w:rPr>
          <w:szCs w:val="18"/>
        </w:rPr>
        <w:tab/>
      </w:r>
      <w:r w:rsidRPr="00501F6F">
        <w:rPr>
          <w:rStyle w:val="Refdenotaalpie"/>
          <w:szCs w:val="18"/>
        </w:rPr>
        <w:footnoteRef/>
      </w:r>
      <w:r>
        <w:rPr>
          <w:szCs w:val="18"/>
        </w:rPr>
        <w:tab/>
      </w:r>
      <w:r w:rsidRPr="00501F6F">
        <w:rPr>
          <w:szCs w:val="18"/>
        </w:rPr>
        <w:t xml:space="preserve">Ministerio de Trabajo. </w:t>
      </w:r>
      <w:r>
        <w:rPr>
          <w:szCs w:val="18"/>
        </w:rPr>
        <w:t>C</w:t>
      </w:r>
      <w:r w:rsidRPr="00501F6F">
        <w:rPr>
          <w:szCs w:val="18"/>
        </w:rPr>
        <w:t>orreo electrónico</w:t>
      </w:r>
      <w:r>
        <w:rPr>
          <w:szCs w:val="18"/>
        </w:rPr>
        <w:t xml:space="preserve"> del</w:t>
      </w:r>
      <w:r w:rsidRPr="00501F6F">
        <w:rPr>
          <w:szCs w:val="18"/>
        </w:rPr>
        <w:t xml:space="preserve"> 20 de mayo de 2022.</w:t>
      </w:r>
    </w:p>
  </w:footnote>
  <w:footnote w:id="115">
    <w:p w14:paraId="1096E87C" w14:textId="77777777" w:rsidR="00D0295C" w:rsidRPr="00501F6F" w:rsidRDefault="00D0295C" w:rsidP="00D0295C">
      <w:pPr>
        <w:pStyle w:val="Textonotapie"/>
        <w:rPr>
          <w:szCs w:val="18"/>
        </w:rPr>
      </w:pPr>
      <w:r>
        <w:rPr>
          <w:szCs w:val="18"/>
        </w:rPr>
        <w:tab/>
      </w:r>
      <w:r w:rsidRPr="00501F6F">
        <w:rPr>
          <w:rStyle w:val="Refdenotaalpie"/>
          <w:szCs w:val="18"/>
        </w:rPr>
        <w:footnoteRef/>
      </w:r>
      <w:r>
        <w:rPr>
          <w:szCs w:val="18"/>
        </w:rPr>
        <w:tab/>
      </w:r>
      <w:r w:rsidRPr="00501F6F">
        <w:rPr>
          <w:szCs w:val="18"/>
        </w:rPr>
        <w:t xml:space="preserve">Ministerio de Trabajo. </w:t>
      </w:r>
      <w:r>
        <w:rPr>
          <w:szCs w:val="18"/>
        </w:rPr>
        <w:t>C</w:t>
      </w:r>
      <w:r w:rsidRPr="00501F6F">
        <w:rPr>
          <w:szCs w:val="18"/>
        </w:rPr>
        <w:t>orreo electrónico</w:t>
      </w:r>
      <w:r>
        <w:rPr>
          <w:szCs w:val="18"/>
        </w:rPr>
        <w:t xml:space="preserve"> del</w:t>
      </w:r>
      <w:r w:rsidRPr="00501F6F">
        <w:rPr>
          <w:szCs w:val="18"/>
        </w:rPr>
        <w:t xml:space="preserve"> 20 de mayo de 2022.</w:t>
      </w:r>
    </w:p>
  </w:footnote>
  <w:footnote w:id="116">
    <w:p w14:paraId="7658BBBE" w14:textId="77777777" w:rsidR="00D0295C" w:rsidRPr="00431FC5" w:rsidRDefault="00D0295C" w:rsidP="00D0295C">
      <w:pPr>
        <w:pStyle w:val="Textonotapie"/>
      </w:pPr>
      <w:r>
        <w:tab/>
      </w:r>
      <w:r>
        <w:rPr>
          <w:rStyle w:val="Refdenotaalpie"/>
        </w:rPr>
        <w:footnoteRef/>
      </w:r>
      <w:r>
        <w:tab/>
      </w:r>
      <w:r w:rsidRPr="00501F6F">
        <w:rPr>
          <w:szCs w:val="18"/>
        </w:rPr>
        <w:t xml:space="preserve">ICBF. </w:t>
      </w:r>
      <w:r>
        <w:rPr>
          <w:szCs w:val="18"/>
        </w:rPr>
        <w:t>C</w:t>
      </w:r>
      <w:r w:rsidRPr="00501F6F">
        <w:rPr>
          <w:szCs w:val="18"/>
        </w:rPr>
        <w:t>orreo electrónico</w:t>
      </w:r>
      <w:r>
        <w:rPr>
          <w:szCs w:val="18"/>
        </w:rPr>
        <w:t xml:space="preserve"> del</w:t>
      </w:r>
      <w:r w:rsidRPr="00501F6F">
        <w:rPr>
          <w:szCs w:val="18"/>
        </w:rPr>
        <w:t xml:space="preserve"> 2</w:t>
      </w:r>
      <w:r>
        <w:rPr>
          <w:szCs w:val="18"/>
        </w:rPr>
        <w:t>2</w:t>
      </w:r>
      <w:r w:rsidRPr="00501F6F">
        <w:rPr>
          <w:szCs w:val="18"/>
        </w:rPr>
        <w:t xml:space="preserve"> de </w:t>
      </w:r>
      <w:r>
        <w:rPr>
          <w:szCs w:val="18"/>
        </w:rPr>
        <w:t xml:space="preserve">septiembre </w:t>
      </w:r>
      <w:r w:rsidRPr="00501F6F">
        <w:rPr>
          <w:szCs w:val="18"/>
        </w:rPr>
        <w:t>de 2022</w:t>
      </w:r>
      <w:r>
        <w:rPr>
          <w:szCs w:val="18"/>
        </w:rPr>
        <w:t>.</w:t>
      </w:r>
    </w:p>
  </w:footnote>
  <w:footnote w:id="117">
    <w:p w14:paraId="5D517D59" w14:textId="77777777" w:rsidR="00D0295C" w:rsidRPr="00431FC5" w:rsidRDefault="00D0295C" w:rsidP="00D0295C">
      <w:pPr>
        <w:pStyle w:val="Textonotapie"/>
      </w:pPr>
      <w:r>
        <w:tab/>
      </w:r>
      <w:r>
        <w:rPr>
          <w:rStyle w:val="Refdenotaalpie"/>
        </w:rPr>
        <w:footnoteRef/>
      </w:r>
      <w:r>
        <w:tab/>
      </w:r>
      <w:r w:rsidRPr="00501F6F">
        <w:rPr>
          <w:szCs w:val="18"/>
        </w:rPr>
        <w:t xml:space="preserve">ICBF. </w:t>
      </w:r>
      <w:r>
        <w:rPr>
          <w:szCs w:val="18"/>
        </w:rPr>
        <w:t>C</w:t>
      </w:r>
      <w:r w:rsidRPr="00501F6F">
        <w:rPr>
          <w:szCs w:val="18"/>
        </w:rPr>
        <w:t>orreo electrónico</w:t>
      </w:r>
      <w:r>
        <w:rPr>
          <w:szCs w:val="18"/>
        </w:rPr>
        <w:t xml:space="preserve"> del</w:t>
      </w:r>
      <w:r w:rsidRPr="00501F6F">
        <w:rPr>
          <w:szCs w:val="18"/>
        </w:rPr>
        <w:t xml:space="preserve"> 24 de abril de 2022</w:t>
      </w:r>
      <w:r>
        <w:rPr>
          <w:szCs w:val="18"/>
        </w:rPr>
        <w:t>.</w:t>
      </w:r>
    </w:p>
  </w:footnote>
  <w:footnote w:id="118">
    <w:p w14:paraId="0042CA48" w14:textId="77777777" w:rsidR="00D0295C" w:rsidRPr="00431FC5" w:rsidRDefault="00D0295C" w:rsidP="00D0295C">
      <w:pPr>
        <w:pStyle w:val="Textonotapie"/>
      </w:pPr>
      <w:r>
        <w:tab/>
      </w:r>
      <w:r>
        <w:rPr>
          <w:rStyle w:val="Refdenotaalpie"/>
        </w:rPr>
        <w:footnoteRef/>
      </w:r>
      <w:r>
        <w:tab/>
      </w:r>
      <w:r w:rsidRPr="00501F6F">
        <w:rPr>
          <w:szCs w:val="18"/>
        </w:rPr>
        <w:t xml:space="preserve">ICBF. </w:t>
      </w:r>
      <w:r>
        <w:rPr>
          <w:szCs w:val="18"/>
        </w:rPr>
        <w:t>C</w:t>
      </w:r>
      <w:r w:rsidRPr="00501F6F">
        <w:rPr>
          <w:szCs w:val="18"/>
        </w:rPr>
        <w:t>orreo electrónico</w:t>
      </w:r>
      <w:r>
        <w:rPr>
          <w:szCs w:val="18"/>
        </w:rPr>
        <w:t xml:space="preserve"> del</w:t>
      </w:r>
      <w:r w:rsidRPr="00501F6F">
        <w:rPr>
          <w:szCs w:val="18"/>
        </w:rPr>
        <w:t xml:space="preserve"> 24 de abril de 2022</w:t>
      </w:r>
      <w:r>
        <w:rPr>
          <w:szCs w:val="18"/>
        </w:rPr>
        <w:t>.</w:t>
      </w:r>
    </w:p>
  </w:footnote>
  <w:footnote w:id="119">
    <w:p w14:paraId="4B79EE28" w14:textId="77777777" w:rsidR="00D0295C" w:rsidRPr="00431FC5" w:rsidRDefault="00D0295C" w:rsidP="00D0295C">
      <w:pPr>
        <w:pStyle w:val="Textonotapie"/>
      </w:pPr>
      <w:r>
        <w:tab/>
      </w:r>
      <w:r>
        <w:rPr>
          <w:rStyle w:val="Refdenotaalpie"/>
        </w:rPr>
        <w:footnoteRef/>
      </w:r>
      <w:r>
        <w:tab/>
      </w:r>
      <w:r w:rsidRPr="00501F6F">
        <w:rPr>
          <w:szCs w:val="18"/>
        </w:rPr>
        <w:t xml:space="preserve">ICBF. </w:t>
      </w:r>
      <w:r>
        <w:rPr>
          <w:szCs w:val="18"/>
        </w:rPr>
        <w:t>C</w:t>
      </w:r>
      <w:r w:rsidRPr="00501F6F">
        <w:rPr>
          <w:szCs w:val="18"/>
        </w:rPr>
        <w:t>orreo electrónico</w:t>
      </w:r>
      <w:r>
        <w:rPr>
          <w:szCs w:val="18"/>
        </w:rPr>
        <w:t xml:space="preserve"> del</w:t>
      </w:r>
      <w:r w:rsidRPr="00501F6F">
        <w:rPr>
          <w:szCs w:val="18"/>
        </w:rPr>
        <w:t xml:space="preserve"> 24 de abril de 2022</w:t>
      </w:r>
      <w:r>
        <w:rPr>
          <w:szCs w:val="18"/>
        </w:rPr>
        <w:t>.</w:t>
      </w:r>
    </w:p>
  </w:footnote>
  <w:footnote w:id="120">
    <w:p w14:paraId="22FBF446" w14:textId="77777777" w:rsidR="00D0295C" w:rsidRPr="00501F6F" w:rsidRDefault="00D0295C" w:rsidP="00D0295C">
      <w:pPr>
        <w:pStyle w:val="Textonotapie"/>
        <w:rPr>
          <w:szCs w:val="18"/>
        </w:rPr>
      </w:pPr>
      <w:r>
        <w:tab/>
      </w:r>
      <w:r w:rsidRPr="00501F6F">
        <w:rPr>
          <w:szCs w:val="18"/>
          <w:vertAlign w:val="superscript"/>
        </w:rPr>
        <w:footnoteRef/>
      </w:r>
      <w:r>
        <w:tab/>
      </w:r>
      <w:r w:rsidRPr="005E3D5F">
        <w:t>CBF</w:t>
      </w:r>
      <w:r w:rsidRPr="00501F6F">
        <w:rPr>
          <w:szCs w:val="18"/>
        </w:rPr>
        <w:t xml:space="preserve">. </w:t>
      </w:r>
      <w:r>
        <w:rPr>
          <w:szCs w:val="18"/>
        </w:rPr>
        <w:t>C</w:t>
      </w:r>
      <w:r w:rsidRPr="00501F6F">
        <w:rPr>
          <w:szCs w:val="18"/>
        </w:rPr>
        <w:t>orreo electrónico</w:t>
      </w:r>
      <w:r>
        <w:rPr>
          <w:szCs w:val="18"/>
        </w:rPr>
        <w:t xml:space="preserve"> del</w:t>
      </w:r>
      <w:r w:rsidRPr="00501F6F">
        <w:rPr>
          <w:szCs w:val="18"/>
        </w:rPr>
        <w:t xml:space="preserve"> 24 de abril de 2022</w:t>
      </w:r>
      <w:r>
        <w:rPr>
          <w:szCs w:val="18"/>
        </w:rPr>
        <w:t>.</w:t>
      </w:r>
    </w:p>
  </w:footnote>
  <w:footnote w:id="121">
    <w:p w14:paraId="43DCC2C5" w14:textId="21E3FF91" w:rsidR="0042099E" w:rsidRPr="00501F6F" w:rsidRDefault="0042099E" w:rsidP="005E3D5F">
      <w:pPr>
        <w:pStyle w:val="Textonotapie"/>
        <w:rPr>
          <w:szCs w:val="18"/>
        </w:rPr>
      </w:pPr>
      <w:r>
        <w:rPr>
          <w:szCs w:val="18"/>
        </w:rPr>
        <w:tab/>
      </w:r>
      <w:r w:rsidRPr="00501F6F">
        <w:rPr>
          <w:szCs w:val="18"/>
          <w:vertAlign w:val="superscript"/>
        </w:rPr>
        <w:footnoteRef/>
      </w:r>
      <w:r>
        <w:rPr>
          <w:szCs w:val="18"/>
        </w:rPr>
        <w:tab/>
      </w:r>
      <w:r w:rsidRPr="00501F6F">
        <w:rPr>
          <w:szCs w:val="18"/>
        </w:rPr>
        <w:t xml:space="preserve">ICBF. </w:t>
      </w:r>
      <w:r>
        <w:rPr>
          <w:szCs w:val="18"/>
        </w:rPr>
        <w:t>C</w:t>
      </w:r>
      <w:r w:rsidRPr="00501F6F">
        <w:rPr>
          <w:szCs w:val="18"/>
        </w:rPr>
        <w:t>orreo electrónico</w:t>
      </w:r>
      <w:r>
        <w:rPr>
          <w:szCs w:val="18"/>
        </w:rPr>
        <w:t xml:space="preserve"> del</w:t>
      </w:r>
      <w:r w:rsidRPr="00501F6F">
        <w:rPr>
          <w:szCs w:val="18"/>
        </w:rPr>
        <w:t xml:space="preserve"> 24 de abril de 2022</w:t>
      </w:r>
      <w:r>
        <w:rPr>
          <w:szCs w:val="18"/>
        </w:rPr>
        <w:t>.</w:t>
      </w:r>
    </w:p>
  </w:footnote>
  <w:footnote w:id="122">
    <w:p w14:paraId="705A035F" w14:textId="77777777" w:rsidR="00D0295C" w:rsidRPr="00501F6F" w:rsidRDefault="00D0295C" w:rsidP="00D0295C">
      <w:pPr>
        <w:pStyle w:val="Textonotapie"/>
        <w:rPr>
          <w:szCs w:val="18"/>
        </w:rPr>
      </w:pPr>
      <w:r>
        <w:rPr>
          <w:szCs w:val="18"/>
        </w:rPr>
        <w:tab/>
      </w:r>
      <w:r w:rsidRPr="00501F6F">
        <w:rPr>
          <w:szCs w:val="18"/>
          <w:vertAlign w:val="superscript"/>
        </w:rPr>
        <w:footnoteRef/>
      </w:r>
      <w:r>
        <w:rPr>
          <w:szCs w:val="18"/>
        </w:rPr>
        <w:tab/>
      </w:r>
      <w:r w:rsidRPr="00501F6F">
        <w:rPr>
          <w:szCs w:val="18"/>
        </w:rPr>
        <w:t xml:space="preserve">ICBF. </w:t>
      </w:r>
      <w:r>
        <w:rPr>
          <w:szCs w:val="18"/>
        </w:rPr>
        <w:t>C</w:t>
      </w:r>
      <w:r w:rsidRPr="00501F6F">
        <w:rPr>
          <w:szCs w:val="18"/>
        </w:rPr>
        <w:t>orreo electrónico</w:t>
      </w:r>
      <w:r>
        <w:rPr>
          <w:szCs w:val="18"/>
        </w:rPr>
        <w:t xml:space="preserve"> del</w:t>
      </w:r>
      <w:r w:rsidRPr="00501F6F">
        <w:rPr>
          <w:szCs w:val="18"/>
        </w:rPr>
        <w:t xml:space="preserve"> 2</w:t>
      </w:r>
      <w:r>
        <w:rPr>
          <w:szCs w:val="18"/>
        </w:rPr>
        <w:t>2</w:t>
      </w:r>
      <w:r w:rsidRPr="00501F6F">
        <w:rPr>
          <w:szCs w:val="18"/>
        </w:rPr>
        <w:t xml:space="preserve"> de </w:t>
      </w:r>
      <w:r>
        <w:rPr>
          <w:szCs w:val="18"/>
        </w:rPr>
        <w:t>septiembre</w:t>
      </w:r>
      <w:r w:rsidRPr="00501F6F">
        <w:rPr>
          <w:szCs w:val="18"/>
        </w:rPr>
        <w:t xml:space="preserve"> de 2022</w:t>
      </w:r>
      <w:r>
        <w:rPr>
          <w:szCs w:val="18"/>
        </w:rPr>
        <w:t>.</w:t>
      </w:r>
    </w:p>
  </w:footnote>
  <w:footnote w:id="123">
    <w:p w14:paraId="3BE0AADC" w14:textId="77777777" w:rsidR="00D0295C" w:rsidRPr="00501F6F" w:rsidRDefault="00D0295C" w:rsidP="00D0295C">
      <w:pPr>
        <w:pStyle w:val="Textonotapie"/>
        <w:rPr>
          <w:szCs w:val="18"/>
        </w:rPr>
      </w:pPr>
      <w:r>
        <w:rPr>
          <w:szCs w:val="18"/>
        </w:rPr>
        <w:tab/>
      </w:r>
      <w:r w:rsidRPr="00501F6F">
        <w:rPr>
          <w:szCs w:val="18"/>
          <w:vertAlign w:val="superscript"/>
        </w:rPr>
        <w:footnoteRef/>
      </w:r>
      <w:r>
        <w:rPr>
          <w:szCs w:val="18"/>
        </w:rPr>
        <w:tab/>
      </w:r>
      <w:r w:rsidRPr="00501F6F">
        <w:rPr>
          <w:szCs w:val="18"/>
        </w:rPr>
        <w:t xml:space="preserve">ICBF. </w:t>
      </w:r>
      <w:r>
        <w:rPr>
          <w:szCs w:val="18"/>
        </w:rPr>
        <w:t>C</w:t>
      </w:r>
      <w:r w:rsidRPr="00501F6F">
        <w:rPr>
          <w:szCs w:val="18"/>
        </w:rPr>
        <w:t>orreo electrónico</w:t>
      </w:r>
      <w:r>
        <w:rPr>
          <w:szCs w:val="18"/>
        </w:rPr>
        <w:t xml:space="preserve"> del</w:t>
      </w:r>
      <w:r w:rsidRPr="00501F6F">
        <w:rPr>
          <w:szCs w:val="18"/>
        </w:rPr>
        <w:t xml:space="preserve"> 24 de abril de 2022</w:t>
      </w:r>
      <w:r>
        <w:rPr>
          <w:szCs w:val="18"/>
        </w:rPr>
        <w:t>.</w:t>
      </w:r>
    </w:p>
  </w:footnote>
  <w:footnote w:id="124">
    <w:p w14:paraId="2BAEAF38" w14:textId="77777777" w:rsidR="00D0295C" w:rsidRPr="00501F6F" w:rsidRDefault="00D0295C" w:rsidP="00D0295C">
      <w:pPr>
        <w:pStyle w:val="Textonotapie"/>
        <w:rPr>
          <w:szCs w:val="18"/>
        </w:rPr>
      </w:pPr>
      <w:r>
        <w:rPr>
          <w:szCs w:val="18"/>
        </w:rPr>
        <w:tab/>
      </w:r>
      <w:r w:rsidRPr="00501F6F">
        <w:rPr>
          <w:szCs w:val="18"/>
          <w:vertAlign w:val="superscript"/>
        </w:rPr>
        <w:footnoteRef/>
      </w:r>
      <w:r>
        <w:rPr>
          <w:szCs w:val="18"/>
        </w:rPr>
        <w:tab/>
      </w:r>
      <w:r w:rsidRPr="00501F6F">
        <w:rPr>
          <w:szCs w:val="18"/>
        </w:rPr>
        <w:t xml:space="preserve">ICBF. </w:t>
      </w:r>
      <w:r>
        <w:rPr>
          <w:szCs w:val="18"/>
        </w:rPr>
        <w:t>C</w:t>
      </w:r>
      <w:r w:rsidRPr="00501F6F">
        <w:rPr>
          <w:szCs w:val="18"/>
        </w:rPr>
        <w:t>orreo electrónico</w:t>
      </w:r>
      <w:r>
        <w:rPr>
          <w:szCs w:val="18"/>
        </w:rPr>
        <w:t xml:space="preserve"> del</w:t>
      </w:r>
      <w:r w:rsidRPr="00501F6F">
        <w:rPr>
          <w:szCs w:val="18"/>
        </w:rPr>
        <w:t xml:space="preserve"> 2</w:t>
      </w:r>
      <w:r>
        <w:rPr>
          <w:szCs w:val="18"/>
        </w:rPr>
        <w:t>2</w:t>
      </w:r>
      <w:r w:rsidRPr="00501F6F">
        <w:rPr>
          <w:szCs w:val="18"/>
        </w:rPr>
        <w:t xml:space="preserve"> de </w:t>
      </w:r>
      <w:r>
        <w:rPr>
          <w:szCs w:val="18"/>
        </w:rPr>
        <w:t>septiembre</w:t>
      </w:r>
      <w:r w:rsidRPr="00501F6F">
        <w:rPr>
          <w:szCs w:val="18"/>
        </w:rPr>
        <w:t xml:space="preserve"> de 2022</w:t>
      </w:r>
      <w:r>
        <w:rPr>
          <w:szCs w:val="18"/>
        </w:rPr>
        <w:t>.</w:t>
      </w:r>
    </w:p>
  </w:footnote>
  <w:footnote w:id="125">
    <w:p w14:paraId="1629EFC3" w14:textId="3A09A165" w:rsidR="0042099E" w:rsidRPr="00431FC5" w:rsidRDefault="0042099E" w:rsidP="00CD54DA">
      <w:pPr>
        <w:pStyle w:val="Textonotapie"/>
      </w:pPr>
      <w:r>
        <w:tab/>
      </w:r>
      <w:r>
        <w:rPr>
          <w:rStyle w:val="Refdenotaalpie"/>
        </w:rPr>
        <w:footnoteRef/>
      </w:r>
      <w:r>
        <w:tab/>
      </w:r>
      <w:r w:rsidRPr="00CD54DA">
        <w:t xml:space="preserve">ICBF. Modelo Enfoque Diferencial - Proceso Direccionamiento estratégico. Disponible en: </w:t>
      </w:r>
      <w:hyperlink r:id="rId18" w:history="1">
        <w:r w:rsidRPr="00CD54DA">
          <w:rPr>
            <w:rStyle w:val="Hipervnculo"/>
          </w:rPr>
          <w:t>https://www.icbf.gov.co/sites/default/files/procesos/md1.de_modelo_de_enfoque_diferencial_de_derechos_medd_v1.pdf</w:t>
        </w:r>
      </w:hyperlink>
      <w:r w:rsidRPr="00CD54DA">
        <w:t>. P. 46. 2017</w:t>
      </w:r>
      <w:r w:rsidR="00D0295C">
        <w:t>.</w:t>
      </w:r>
    </w:p>
  </w:footnote>
  <w:footnote w:id="126">
    <w:p w14:paraId="36E6B2D6" w14:textId="74525D97" w:rsidR="00D0295C" w:rsidRPr="00431FC5" w:rsidRDefault="00D0295C" w:rsidP="00D0295C">
      <w:pPr>
        <w:pStyle w:val="Textonotapie"/>
      </w:pPr>
      <w:r>
        <w:tab/>
      </w:r>
      <w:r>
        <w:rPr>
          <w:rStyle w:val="Refdenotaalpie"/>
        </w:rPr>
        <w:footnoteRef/>
      </w:r>
      <w:r>
        <w:tab/>
      </w:r>
      <w:r w:rsidRPr="00501F6F">
        <w:rPr>
          <w:szCs w:val="18"/>
        </w:rPr>
        <w:t>Ibídem. p.42</w:t>
      </w:r>
      <w:r>
        <w:rPr>
          <w:szCs w:val="18"/>
        </w:rPr>
        <w:t>.</w:t>
      </w:r>
    </w:p>
  </w:footnote>
  <w:footnote w:id="127">
    <w:p w14:paraId="0E9A9A52" w14:textId="1E816886" w:rsidR="0042099E" w:rsidRPr="00BC1238" w:rsidRDefault="0042099E" w:rsidP="00095139">
      <w:pPr>
        <w:pStyle w:val="Textonotapie"/>
      </w:pPr>
      <w:r>
        <w:rPr>
          <w:szCs w:val="18"/>
        </w:rPr>
        <w:tab/>
      </w:r>
      <w:r w:rsidRPr="00501F6F">
        <w:rPr>
          <w:rStyle w:val="Refdenotaalpie"/>
          <w:szCs w:val="18"/>
        </w:rPr>
        <w:footnoteRef/>
      </w:r>
      <w:r>
        <w:rPr>
          <w:szCs w:val="18"/>
        </w:rPr>
        <w:tab/>
      </w:r>
      <w:r w:rsidRPr="00501F6F">
        <w:rPr>
          <w:szCs w:val="18"/>
          <w:lang w:val="es-MX"/>
        </w:rPr>
        <w:t xml:space="preserve">Disponible en: </w:t>
      </w:r>
      <w:hyperlink r:id="rId19" w:history="1">
        <w:r w:rsidRPr="00280D2C">
          <w:rPr>
            <w:rStyle w:val="Hipervnculo"/>
          </w:rPr>
          <w:t>https://www.icbf.gov.co/guias-alimentarias-basadas-en-alimentos-para-la-poblacion-colombiana-mayor-de-2-anos-0</w:t>
        </w:r>
      </w:hyperlink>
      <w:r w:rsidR="00280D2C">
        <w:t>.</w:t>
      </w:r>
    </w:p>
  </w:footnote>
  <w:footnote w:id="128">
    <w:p w14:paraId="53859C37" w14:textId="77777777" w:rsidR="00D0295C" w:rsidRPr="00501F6F" w:rsidRDefault="00D0295C" w:rsidP="00D0295C">
      <w:pPr>
        <w:pStyle w:val="Textonotapie"/>
        <w:rPr>
          <w:szCs w:val="18"/>
        </w:rPr>
      </w:pPr>
      <w:r>
        <w:rPr>
          <w:szCs w:val="18"/>
        </w:rPr>
        <w:tab/>
      </w:r>
      <w:r w:rsidRPr="00501F6F">
        <w:rPr>
          <w:szCs w:val="18"/>
          <w:vertAlign w:val="superscript"/>
        </w:rPr>
        <w:footnoteRef/>
      </w:r>
      <w:r>
        <w:rPr>
          <w:szCs w:val="18"/>
        </w:rPr>
        <w:tab/>
      </w:r>
      <w:r w:rsidRPr="00501F6F">
        <w:rPr>
          <w:szCs w:val="18"/>
        </w:rPr>
        <w:t xml:space="preserve">ICBF. </w:t>
      </w:r>
      <w:r>
        <w:rPr>
          <w:szCs w:val="18"/>
        </w:rPr>
        <w:t>C</w:t>
      </w:r>
      <w:r w:rsidRPr="00501F6F">
        <w:rPr>
          <w:szCs w:val="18"/>
        </w:rPr>
        <w:t>orreo electrónico</w:t>
      </w:r>
      <w:r>
        <w:rPr>
          <w:szCs w:val="18"/>
        </w:rPr>
        <w:t xml:space="preserve"> del</w:t>
      </w:r>
      <w:r w:rsidRPr="00501F6F">
        <w:rPr>
          <w:szCs w:val="18"/>
        </w:rPr>
        <w:t xml:space="preserve"> 24 de abril de 2022</w:t>
      </w:r>
      <w:r>
        <w:rPr>
          <w:szCs w:val="18"/>
        </w:rPr>
        <w:t>.</w:t>
      </w:r>
    </w:p>
  </w:footnote>
  <w:footnote w:id="129">
    <w:p w14:paraId="21D4FD64" w14:textId="77777777" w:rsidR="00D0295C" w:rsidRPr="00501F6F" w:rsidRDefault="00D0295C" w:rsidP="00D0295C">
      <w:pPr>
        <w:pStyle w:val="Textonotapie"/>
        <w:rPr>
          <w:szCs w:val="18"/>
        </w:rPr>
      </w:pPr>
      <w:r>
        <w:rPr>
          <w:szCs w:val="18"/>
        </w:rPr>
        <w:tab/>
      </w:r>
      <w:r w:rsidRPr="00501F6F">
        <w:rPr>
          <w:szCs w:val="18"/>
          <w:vertAlign w:val="superscript"/>
        </w:rPr>
        <w:footnoteRef/>
      </w:r>
      <w:r>
        <w:rPr>
          <w:szCs w:val="18"/>
        </w:rPr>
        <w:tab/>
      </w:r>
      <w:r w:rsidRPr="00BC1238">
        <w:t>ICBF</w:t>
      </w:r>
      <w:r w:rsidRPr="00501F6F">
        <w:rPr>
          <w:szCs w:val="18"/>
        </w:rPr>
        <w:t xml:space="preserve">. </w:t>
      </w:r>
      <w:r>
        <w:rPr>
          <w:szCs w:val="18"/>
        </w:rPr>
        <w:t>C</w:t>
      </w:r>
      <w:r w:rsidRPr="00501F6F">
        <w:rPr>
          <w:szCs w:val="18"/>
        </w:rPr>
        <w:t>orreo electrónico</w:t>
      </w:r>
      <w:r>
        <w:rPr>
          <w:szCs w:val="18"/>
        </w:rPr>
        <w:t xml:space="preserve"> del</w:t>
      </w:r>
      <w:r w:rsidRPr="00501F6F">
        <w:rPr>
          <w:szCs w:val="18"/>
        </w:rPr>
        <w:t xml:space="preserve"> 2</w:t>
      </w:r>
      <w:r>
        <w:rPr>
          <w:szCs w:val="18"/>
        </w:rPr>
        <w:t>2</w:t>
      </w:r>
      <w:r w:rsidRPr="00501F6F">
        <w:rPr>
          <w:szCs w:val="18"/>
        </w:rPr>
        <w:t xml:space="preserve"> de </w:t>
      </w:r>
      <w:r>
        <w:rPr>
          <w:szCs w:val="18"/>
        </w:rPr>
        <w:t>septiembre</w:t>
      </w:r>
      <w:r w:rsidRPr="00501F6F">
        <w:rPr>
          <w:szCs w:val="18"/>
        </w:rPr>
        <w:t xml:space="preserve"> de 2022</w:t>
      </w:r>
      <w:r>
        <w:rPr>
          <w:szCs w:val="18"/>
        </w:rPr>
        <w:t>.</w:t>
      </w:r>
    </w:p>
  </w:footnote>
  <w:footnote w:id="130">
    <w:p w14:paraId="04DC99B5" w14:textId="77777777" w:rsidR="00D0295C" w:rsidRPr="00501F6F" w:rsidRDefault="00D0295C" w:rsidP="00D0295C">
      <w:pPr>
        <w:pStyle w:val="Textonotapie"/>
        <w:rPr>
          <w:szCs w:val="18"/>
        </w:rPr>
      </w:pPr>
      <w:r>
        <w:rPr>
          <w:szCs w:val="18"/>
        </w:rPr>
        <w:tab/>
      </w:r>
      <w:r w:rsidRPr="00501F6F">
        <w:rPr>
          <w:szCs w:val="18"/>
          <w:vertAlign w:val="superscript"/>
        </w:rPr>
        <w:footnoteRef/>
      </w:r>
      <w:r>
        <w:rPr>
          <w:szCs w:val="18"/>
        </w:rPr>
        <w:tab/>
      </w:r>
      <w:r w:rsidRPr="00501F6F">
        <w:rPr>
          <w:szCs w:val="18"/>
        </w:rPr>
        <w:t xml:space="preserve">ICBF. </w:t>
      </w:r>
      <w:r>
        <w:rPr>
          <w:szCs w:val="18"/>
        </w:rPr>
        <w:t>C</w:t>
      </w:r>
      <w:r w:rsidRPr="00501F6F">
        <w:rPr>
          <w:szCs w:val="18"/>
        </w:rPr>
        <w:t>orreo electrónico</w:t>
      </w:r>
      <w:r>
        <w:rPr>
          <w:szCs w:val="18"/>
        </w:rPr>
        <w:t xml:space="preserve"> del</w:t>
      </w:r>
      <w:r w:rsidRPr="00501F6F">
        <w:rPr>
          <w:szCs w:val="18"/>
        </w:rPr>
        <w:t xml:space="preserve"> 24 de abril de 2022</w:t>
      </w:r>
      <w:r>
        <w:rPr>
          <w:szCs w:val="18"/>
        </w:rPr>
        <w:t>.</w:t>
      </w:r>
    </w:p>
  </w:footnote>
  <w:footnote w:id="131">
    <w:p w14:paraId="70528DC5" w14:textId="77777777" w:rsidR="00D0295C" w:rsidRPr="00501F6F" w:rsidRDefault="00D0295C" w:rsidP="00D0295C">
      <w:pPr>
        <w:pStyle w:val="Textonotapie"/>
        <w:rPr>
          <w:szCs w:val="18"/>
        </w:rPr>
      </w:pPr>
      <w:r>
        <w:rPr>
          <w:szCs w:val="18"/>
        </w:rPr>
        <w:tab/>
      </w:r>
      <w:r w:rsidRPr="00501F6F">
        <w:rPr>
          <w:szCs w:val="18"/>
          <w:vertAlign w:val="superscript"/>
        </w:rPr>
        <w:footnoteRef/>
      </w:r>
      <w:r>
        <w:rPr>
          <w:szCs w:val="18"/>
        </w:rPr>
        <w:tab/>
      </w:r>
      <w:r w:rsidRPr="00501F6F">
        <w:rPr>
          <w:szCs w:val="18"/>
        </w:rPr>
        <w:t xml:space="preserve">ICBF. </w:t>
      </w:r>
      <w:r>
        <w:rPr>
          <w:szCs w:val="18"/>
        </w:rPr>
        <w:t>C</w:t>
      </w:r>
      <w:r w:rsidRPr="00501F6F">
        <w:rPr>
          <w:szCs w:val="18"/>
        </w:rPr>
        <w:t>orreo electrónico</w:t>
      </w:r>
      <w:r>
        <w:rPr>
          <w:szCs w:val="18"/>
        </w:rPr>
        <w:t xml:space="preserve"> del</w:t>
      </w:r>
      <w:r w:rsidRPr="00501F6F">
        <w:rPr>
          <w:szCs w:val="18"/>
        </w:rPr>
        <w:t xml:space="preserve"> 24 de abril de 2022</w:t>
      </w:r>
      <w:r>
        <w:rPr>
          <w:szCs w:val="18"/>
        </w:rPr>
        <w:t>.</w:t>
      </w:r>
    </w:p>
  </w:footnote>
  <w:footnote w:id="132">
    <w:p w14:paraId="59326D21" w14:textId="77777777" w:rsidR="00D0295C" w:rsidRPr="00501F6F" w:rsidRDefault="00D0295C" w:rsidP="00D0295C">
      <w:pPr>
        <w:pStyle w:val="Textonotapie"/>
        <w:rPr>
          <w:szCs w:val="18"/>
        </w:rPr>
      </w:pPr>
      <w:r>
        <w:rPr>
          <w:szCs w:val="18"/>
        </w:rPr>
        <w:tab/>
      </w:r>
      <w:r w:rsidRPr="00501F6F">
        <w:rPr>
          <w:szCs w:val="18"/>
          <w:vertAlign w:val="superscript"/>
        </w:rPr>
        <w:footnoteRef/>
      </w:r>
      <w:r>
        <w:rPr>
          <w:szCs w:val="18"/>
        </w:rPr>
        <w:tab/>
      </w:r>
      <w:r w:rsidRPr="00501F6F">
        <w:rPr>
          <w:szCs w:val="18"/>
        </w:rPr>
        <w:t xml:space="preserve">ICBF. </w:t>
      </w:r>
      <w:r>
        <w:rPr>
          <w:szCs w:val="18"/>
        </w:rPr>
        <w:t>C</w:t>
      </w:r>
      <w:r w:rsidRPr="00501F6F">
        <w:rPr>
          <w:szCs w:val="18"/>
        </w:rPr>
        <w:t>orreo electrónico</w:t>
      </w:r>
      <w:r>
        <w:rPr>
          <w:szCs w:val="18"/>
        </w:rPr>
        <w:t xml:space="preserve"> del</w:t>
      </w:r>
      <w:r w:rsidRPr="00501F6F">
        <w:rPr>
          <w:szCs w:val="18"/>
        </w:rPr>
        <w:t xml:space="preserve"> 24 de abril de 2022</w:t>
      </w:r>
      <w:r>
        <w:rPr>
          <w:szCs w:val="18"/>
        </w:rPr>
        <w:t>.</w:t>
      </w:r>
    </w:p>
  </w:footnote>
  <w:footnote w:id="133">
    <w:p w14:paraId="367E48B6" w14:textId="77777777" w:rsidR="00D0295C" w:rsidRPr="00501F6F" w:rsidRDefault="00D0295C" w:rsidP="00D0295C">
      <w:pPr>
        <w:pStyle w:val="Textonotapie"/>
        <w:rPr>
          <w:szCs w:val="18"/>
        </w:rPr>
      </w:pPr>
      <w:r>
        <w:rPr>
          <w:szCs w:val="18"/>
        </w:rPr>
        <w:tab/>
      </w:r>
      <w:r w:rsidRPr="00501F6F">
        <w:rPr>
          <w:szCs w:val="18"/>
          <w:vertAlign w:val="superscript"/>
        </w:rPr>
        <w:footnoteRef/>
      </w:r>
      <w:r>
        <w:rPr>
          <w:szCs w:val="18"/>
        </w:rPr>
        <w:tab/>
      </w:r>
      <w:r w:rsidRPr="00501F6F">
        <w:rPr>
          <w:szCs w:val="18"/>
        </w:rPr>
        <w:t xml:space="preserve">ICBF. </w:t>
      </w:r>
      <w:r>
        <w:rPr>
          <w:szCs w:val="18"/>
        </w:rPr>
        <w:t>C</w:t>
      </w:r>
      <w:r w:rsidRPr="00501F6F">
        <w:rPr>
          <w:szCs w:val="18"/>
        </w:rPr>
        <w:t>orreo electrónico</w:t>
      </w:r>
      <w:r>
        <w:rPr>
          <w:szCs w:val="18"/>
        </w:rPr>
        <w:t xml:space="preserve"> del</w:t>
      </w:r>
      <w:r w:rsidRPr="00501F6F">
        <w:rPr>
          <w:szCs w:val="18"/>
        </w:rPr>
        <w:t xml:space="preserve"> 24 de abril de 2022</w:t>
      </w:r>
      <w:r>
        <w:rPr>
          <w:szCs w:val="18"/>
        </w:rPr>
        <w:t>.</w:t>
      </w:r>
    </w:p>
  </w:footnote>
  <w:footnote w:id="134">
    <w:p w14:paraId="744CB7B8" w14:textId="77777777" w:rsidR="00D0295C" w:rsidRPr="00501F6F" w:rsidRDefault="00D0295C" w:rsidP="00D0295C">
      <w:pPr>
        <w:pStyle w:val="Textonotapie"/>
        <w:rPr>
          <w:szCs w:val="18"/>
        </w:rPr>
      </w:pPr>
      <w:r>
        <w:rPr>
          <w:szCs w:val="18"/>
        </w:rPr>
        <w:tab/>
      </w:r>
      <w:r w:rsidRPr="00501F6F">
        <w:rPr>
          <w:szCs w:val="18"/>
          <w:vertAlign w:val="superscript"/>
        </w:rPr>
        <w:footnoteRef/>
      </w:r>
      <w:r>
        <w:rPr>
          <w:szCs w:val="18"/>
        </w:rPr>
        <w:tab/>
      </w:r>
      <w:r w:rsidRPr="00501F6F">
        <w:rPr>
          <w:szCs w:val="18"/>
        </w:rPr>
        <w:t xml:space="preserve">ICBF. </w:t>
      </w:r>
      <w:r>
        <w:rPr>
          <w:szCs w:val="18"/>
        </w:rPr>
        <w:t>C</w:t>
      </w:r>
      <w:r w:rsidRPr="00501F6F">
        <w:rPr>
          <w:szCs w:val="18"/>
        </w:rPr>
        <w:t>orreo electrónico</w:t>
      </w:r>
      <w:r>
        <w:rPr>
          <w:szCs w:val="18"/>
        </w:rPr>
        <w:t xml:space="preserve"> del</w:t>
      </w:r>
      <w:r w:rsidRPr="00501F6F">
        <w:rPr>
          <w:szCs w:val="18"/>
        </w:rPr>
        <w:t xml:space="preserve"> 24 de abril de 2022</w:t>
      </w:r>
      <w:r>
        <w:rPr>
          <w:szCs w:val="18"/>
        </w:rPr>
        <w:t>.</w:t>
      </w:r>
    </w:p>
  </w:footnote>
  <w:footnote w:id="135">
    <w:p w14:paraId="512ED849" w14:textId="77777777" w:rsidR="00D0295C" w:rsidRPr="00431FC5" w:rsidRDefault="00D0295C" w:rsidP="00D0295C">
      <w:pPr>
        <w:pStyle w:val="Textonotapie"/>
      </w:pPr>
      <w:r>
        <w:tab/>
      </w:r>
      <w:r>
        <w:rPr>
          <w:rStyle w:val="Refdenotaalpie"/>
        </w:rPr>
        <w:footnoteRef/>
      </w:r>
      <w:r>
        <w:tab/>
      </w:r>
      <w:r w:rsidRPr="00501F6F">
        <w:rPr>
          <w:szCs w:val="18"/>
        </w:rPr>
        <w:t xml:space="preserve">DNP. </w:t>
      </w:r>
      <w:r>
        <w:rPr>
          <w:szCs w:val="18"/>
        </w:rPr>
        <w:t>C</w:t>
      </w:r>
      <w:r w:rsidRPr="00501F6F">
        <w:rPr>
          <w:szCs w:val="18"/>
        </w:rPr>
        <w:t>orreo electrónico</w:t>
      </w:r>
      <w:r>
        <w:rPr>
          <w:szCs w:val="18"/>
        </w:rPr>
        <w:t xml:space="preserve"> del</w:t>
      </w:r>
      <w:r w:rsidRPr="00501F6F">
        <w:rPr>
          <w:szCs w:val="18"/>
        </w:rPr>
        <w:t xml:space="preserve"> 25 de abril de 2022</w:t>
      </w:r>
      <w:r>
        <w:rPr>
          <w:szCs w:val="18"/>
        </w:rPr>
        <w:t>.</w:t>
      </w:r>
    </w:p>
  </w:footnote>
  <w:footnote w:id="136">
    <w:p w14:paraId="42620368" w14:textId="77777777" w:rsidR="00D0295C" w:rsidRPr="00431FC5" w:rsidRDefault="00D0295C" w:rsidP="00D0295C">
      <w:pPr>
        <w:pStyle w:val="Textonotapie"/>
      </w:pPr>
      <w:r>
        <w:tab/>
      </w:r>
      <w:r>
        <w:rPr>
          <w:rStyle w:val="Refdenotaalpie"/>
        </w:rPr>
        <w:footnoteRef/>
      </w:r>
      <w:r>
        <w:tab/>
      </w:r>
      <w:r w:rsidRPr="00501F6F">
        <w:rPr>
          <w:szCs w:val="18"/>
        </w:rPr>
        <w:t xml:space="preserve">DNP. </w:t>
      </w:r>
      <w:r>
        <w:rPr>
          <w:szCs w:val="18"/>
        </w:rPr>
        <w:t>C</w:t>
      </w:r>
      <w:r w:rsidRPr="00501F6F">
        <w:rPr>
          <w:szCs w:val="18"/>
        </w:rPr>
        <w:t>orreo electrónico</w:t>
      </w:r>
      <w:r>
        <w:rPr>
          <w:szCs w:val="18"/>
        </w:rPr>
        <w:t xml:space="preserve"> del</w:t>
      </w:r>
      <w:r w:rsidRPr="00501F6F">
        <w:rPr>
          <w:szCs w:val="18"/>
        </w:rPr>
        <w:t xml:space="preserve"> 25 de abril de 2022</w:t>
      </w:r>
      <w:r>
        <w:rPr>
          <w:szCs w:val="18"/>
        </w:rPr>
        <w:t>.</w:t>
      </w:r>
    </w:p>
  </w:footnote>
  <w:footnote w:id="137">
    <w:p w14:paraId="5E6C28FF" w14:textId="77777777" w:rsidR="00D0295C" w:rsidRPr="005E3D5F" w:rsidRDefault="00D0295C" w:rsidP="00D0295C">
      <w:pPr>
        <w:pStyle w:val="Textonotapie"/>
      </w:pPr>
      <w:r>
        <w:tab/>
      </w:r>
      <w:r w:rsidRPr="005E3D5F">
        <w:rPr>
          <w:vertAlign w:val="superscript"/>
        </w:rPr>
        <w:footnoteRef/>
      </w:r>
      <w:r>
        <w:tab/>
      </w:r>
      <w:r w:rsidRPr="005E3D5F">
        <w:t>Ministerio del Interior. Correo electrónico del 9 de junio de 2022.</w:t>
      </w:r>
    </w:p>
  </w:footnote>
  <w:footnote w:id="138">
    <w:p w14:paraId="34670E2E" w14:textId="77777777" w:rsidR="00D0295C" w:rsidRPr="005E3D5F" w:rsidRDefault="00D0295C" w:rsidP="00D0295C">
      <w:pPr>
        <w:pStyle w:val="Textonotapie"/>
      </w:pPr>
      <w:r>
        <w:tab/>
      </w:r>
      <w:r w:rsidRPr="005E3D5F">
        <w:rPr>
          <w:vertAlign w:val="superscript"/>
        </w:rPr>
        <w:footnoteRef/>
      </w:r>
      <w:r>
        <w:tab/>
      </w:r>
      <w:r w:rsidRPr="005E3D5F">
        <w:t>Ministerio del Interior. Correo electrónico del 9 de junio de 2022.</w:t>
      </w:r>
    </w:p>
  </w:footnote>
  <w:footnote w:id="139">
    <w:p w14:paraId="4B729635" w14:textId="77777777" w:rsidR="00D0295C" w:rsidRPr="005E3D5F" w:rsidRDefault="00D0295C" w:rsidP="00D0295C">
      <w:pPr>
        <w:pStyle w:val="Textonotapie"/>
      </w:pPr>
      <w:r>
        <w:tab/>
      </w:r>
      <w:r w:rsidRPr="005E3D5F">
        <w:rPr>
          <w:vertAlign w:val="superscript"/>
        </w:rPr>
        <w:footnoteRef/>
      </w:r>
      <w:r>
        <w:tab/>
      </w:r>
      <w:r w:rsidRPr="005E3D5F">
        <w:t>Ministerio del Interior. Correo electrónico del 9 de junio de 2022.</w:t>
      </w:r>
    </w:p>
  </w:footnote>
  <w:footnote w:id="140">
    <w:p w14:paraId="56146EED" w14:textId="77777777" w:rsidR="00D0295C" w:rsidRPr="00501F6F" w:rsidRDefault="00D0295C" w:rsidP="00D0295C">
      <w:pPr>
        <w:pStyle w:val="Textonotapie"/>
        <w:rPr>
          <w:szCs w:val="18"/>
        </w:rPr>
      </w:pPr>
      <w:r>
        <w:rPr>
          <w:szCs w:val="18"/>
        </w:rPr>
        <w:tab/>
      </w:r>
      <w:r w:rsidRPr="00501F6F">
        <w:rPr>
          <w:szCs w:val="18"/>
          <w:vertAlign w:val="superscript"/>
        </w:rPr>
        <w:footnoteRef/>
      </w:r>
      <w:r>
        <w:rPr>
          <w:szCs w:val="18"/>
        </w:rPr>
        <w:tab/>
      </w:r>
      <w:r w:rsidRPr="00501F6F">
        <w:rPr>
          <w:szCs w:val="18"/>
        </w:rPr>
        <w:t xml:space="preserve">Ministerio del Interior. </w:t>
      </w:r>
      <w:r>
        <w:rPr>
          <w:szCs w:val="18"/>
        </w:rPr>
        <w:t>C</w:t>
      </w:r>
      <w:r w:rsidRPr="00501F6F">
        <w:rPr>
          <w:szCs w:val="18"/>
        </w:rPr>
        <w:t>orreo electrónico</w:t>
      </w:r>
      <w:r>
        <w:rPr>
          <w:szCs w:val="18"/>
        </w:rPr>
        <w:t xml:space="preserve"> del</w:t>
      </w:r>
      <w:r w:rsidRPr="00501F6F">
        <w:rPr>
          <w:szCs w:val="18"/>
        </w:rPr>
        <w:t xml:space="preserve"> 9 de junio de 2022.</w:t>
      </w:r>
    </w:p>
  </w:footnote>
  <w:footnote w:id="141">
    <w:p w14:paraId="169B7DFD" w14:textId="77777777" w:rsidR="00D0295C" w:rsidRPr="00501F6F" w:rsidRDefault="00D0295C" w:rsidP="00D0295C">
      <w:pPr>
        <w:pStyle w:val="Textonotapie"/>
        <w:rPr>
          <w:szCs w:val="18"/>
        </w:rPr>
      </w:pPr>
      <w:r>
        <w:rPr>
          <w:szCs w:val="18"/>
        </w:rPr>
        <w:tab/>
      </w:r>
      <w:r w:rsidRPr="00501F6F">
        <w:rPr>
          <w:szCs w:val="18"/>
          <w:vertAlign w:val="superscript"/>
        </w:rPr>
        <w:footnoteRef/>
      </w:r>
      <w:r>
        <w:rPr>
          <w:szCs w:val="18"/>
        </w:rPr>
        <w:tab/>
      </w:r>
      <w:r w:rsidRPr="00501F6F">
        <w:rPr>
          <w:szCs w:val="18"/>
        </w:rPr>
        <w:t xml:space="preserve">Ministerio del Interior. </w:t>
      </w:r>
      <w:r>
        <w:rPr>
          <w:szCs w:val="18"/>
        </w:rPr>
        <w:t>C</w:t>
      </w:r>
      <w:r w:rsidRPr="00501F6F">
        <w:rPr>
          <w:szCs w:val="18"/>
        </w:rPr>
        <w:t>orreo electrónico</w:t>
      </w:r>
      <w:r>
        <w:rPr>
          <w:szCs w:val="18"/>
        </w:rPr>
        <w:t xml:space="preserve"> del</w:t>
      </w:r>
      <w:r w:rsidRPr="00501F6F">
        <w:rPr>
          <w:szCs w:val="18"/>
        </w:rPr>
        <w:t xml:space="preserve"> 9 de junio de 2022.</w:t>
      </w:r>
    </w:p>
  </w:footnote>
  <w:footnote w:id="142">
    <w:p w14:paraId="5620E0A3" w14:textId="77777777" w:rsidR="00D0295C" w:rsidRPr="00501F6F" w:rsidRDefault="00D0295C" w:rsidP="00D0295C">
      <w:pPr>
        <w:pStyle w:val="Textonotapie"/>
        <w:rPr>
          <w:szCs w:val="18"/>
        </w:rPr>
      </w:pPr>
      <w:r>
        <w:rPr>
          <w:szCs w:val="18"/>
        </w:rPr>
        <w:tab/>
      </w:r>
      <w:r w:rsidRPr="00501F6F">
        <w:rPr>
          <w:szCs w:val="18"/>
          <w:vertAlign w:val="superscript"/>
        </w:rPr>
        <w:footnoteRef/>
      </w:r>
      <w:r>
        <w:rPr>
          <w:szCs w:val="18"/>
        </w:rPr>
        <w:tab/>
      </w:r>
      <w:r w:rsidRPr="00501F6F">
        <w:rPr>
          <w:szCs w:val="18"/>
        </w:rPr>
        <w:t xml:space="preserve">Ministerio del Interior. </w:t>
      </w:r>
      <w:r>
        <w:rPr>
          <w:szCs w:val="18"/>
        </w:rPr>
        <w:t>C</w:t>
      </w:r>
      <w:r w:rsidRPr="00501F6F">
        <w:rPr>
          <w:szCs w:val="18"/>
        </w:rPr>
        <w:t>orreo electrónico</w:t>
      </w:r>
      <w:r>
        <w:rPr>
          <w:szCs w:val="18"/>
        </w:rPr>
        <w:t xml:space="preserve"> del</w:t>
      </w:r>
      <w:r w:rsidRPr="00501F6F">
        <w:rPr>
          <w:szCs w:val="18"/>
        </w:rPr>
        <w:t xml:space="preserve"> 9 de junio de 2022.</w:t>
      </w:r>
    </w:p>
  </w:footnote>
  <w:footnote w:id="143">
    <w:p w14:paraId="4F956EFE" w14:textId="3317B266" w:rsidR="0042099E" w:rsidRPr="00501F6F" w:rsidRDefault="0042099E" w:rsidP="00BC1238">
      <w:pPr>
        <w:pStyle w:val="Textonotapie"/>
        <w:rPr>
          <w:szCs w:val="18"/>
        </w:rPr>
      </w:pPr>
      <w:r>
        <w:rPr>
          <w:szCs w:val="18"/>
        </w:rPr>
        <w:tab/>
      </w:r>
      <w:r w:rsidRPr="00501F6F">
        <w:rPr>
          <w:szCs w:val="18"/>
          <w:vertAlign w:val="superscript"/>
        </w:rPr>
        <w:footnoteRef/>
      </w:r>
      <w:r>
        <w:rPr>
          <w:szCs w:val="18"/>
        </w:rPr>
        <w:tab/>
      </w:r>
      <w:r w:rsidRPr="00501F6F">
        <w:rPr>
          <w:szCs w:val="18"/>
        </w:rPr>
        <w:t xml:space="preserve">Ministerio del Interior. </w:t>
      </w:r>
      <w:r>
        <w:rPr>
          <w:szCs w:val="18"/>
        </w:rPr>
        <w:t>C</w:t>
      </w:r>
      <w:r w:rsidRPr="00501F6F">
        <w:rPr>
          <w:szCs w:val="18"/>
        </w:rPr>
        <w:t>orreo electrónico</w:t>
      </w:r>
      <w:r>
        <w:rPr>
          <w:szCs w:val="18"/>
        </w:rPr>
        <w:t xml:space="preserve"> del</w:t>
      </w:r>
      <w:r w:rsidRPr="00501F6F">
        <w:rPr>
          <w:szCs w:val="18"/>
        </w:rPr>
        <w:t xml:space="preserve"> 9 de junio de 2022.</w:t>
      </w:r>
    </w:p>
  </w:footnote>
  <w:footnote w:id="144">
    <w:p w14:paraId="74AC78A3" w14:textId="77777777" w:rsidR="00D0295C" w:rsidRPr="00501F6F" w:rsidRDefault="00D0295C" w:rsidP="00D0295C">
      <w:pPr>
        <w:pStyle w:val="Textonotapie"/>
        <w:rPr>
          <w:szCs w:val="18"/>
        </w:rPr>
      </w:pPr>
      <w:r>
        <w:rPr>
          <w:szCs w:val="18"/>
        </w:rPr>
        <w:tab/>
      </w:r>
      <w:r w:rsidRPr="00501F6F">
        <w:rPr>
          <w:szCs w:val="18"/>
          <w:vertAlign w:val="superscript"/>
        </w:rPr>
        <w:footnoteRef/>
      </w:r>
      <w:r>
        <w:rPr>
          <w:szCs w:val="18"/>
        </w:rPr>
        <w:tab/>
      </w:r>
      <w:r w:rsidRPr="00501F6F">
        <w:rPr>
          <w:szCs w:val="18"/>
        </w:rPr>
        <w:t>ANLA. Radicado 2022106328-2-000. 27 de mayo de 2022.</w:t>
      </w:r>
    </w:p>
  </w:footnote>
  <w:footnote w:id="145">
    <w:p w14:paraId="6F106B73" w14:textId="77777777" w:rsidR="00D0295C" w:rsidRPr="00501F6F" w:rsidRDefault="00D0295C" w:rsidP="00D0295C">
      <w:pPr>
        <w:pStyle w:val="Textonotapie"/>
        <w:rPr>
          <w:szCs w:val="18"/>
        </w:rPr>
      </w:pPr>
      <w:r>
        <w:rPr>
          <w:szCs w:val="18"/>
        </w:rPr>
        <w:tab/>
      </w:r>
      <w:r w:rsidRPr="00501F6F">
        <w:rPr>
          <w:szCs w:val="18"/>
          <w:vertAlign w:val="superscript"/>
        </w:rPr>
        <w:footnoteRef/>
      </w:r>
      <w:r>
        <w:rPr>
          <w:szCs w:val="18"/>
        </w:rPr>
        <w:tab/>
      </w:r>
      <w:r w:rsidRPr="00501F6F">
        <w:rPr>
          <w:szCs w:val="18"/>
        </w:rPr>
        <w:t>ANLA. Radicado 2022106328-2-000. 27 de mayo de 2022.</w:t>
      </w:r>
    </w:p>
  </w:footnote>
  <w:footnote w:id="146">
    <w:p w14:paraId="0A4176D4" w14:textId="77777777" w:rsidR="00D0295C" w:rsidRPr="00501F6F" w:rsidRDefault="00D0295C" w:rsidP="00D0295C">
      <w:pPr>
        <w:pStyle w:val="Textonotapie"/>
        <w:rPr>
          <w:szCs w:val="18"/>
        </w:rPr>
      </w:pPr>
      <w:r>
        <w:rPr>
          <w:szCs w:val="18"/>
        </w:rPr>
        <w:tab/>
      </w:r>
      <w:r w:rsidRPr="00501F6F">
        <w:rPr>
          <w:szCs w:val="18"/>
          <w:vertAlign w:val="superscript"/>
        </w:rPr>
        <w:footnoteRef/>
      </w:r>
      <w:r>
        <w:rPr>
          <w:szCs w:val="18"/>
        </w:rPr>
        <w:tab/>
      </w:r>
      <w:r w:rsidRPr="00501F6F">
        <w:rPr>
          <w:szCs w:val="18"/>
        </w:rPr>
        <w:t xml:space="preserve">Ministerio del Interior. </w:t>
      </w:r>
      <w:r>
        <w:rPr>
          <w:szCs w:val="18"/>
        </w:rPr>
        <w:t>C</w:t>
      </w:r>
      <w:r w:rsidRPr="00501F6F">
        <w:rPr>
          <w:szCs w:val="18"/>
        </w:rPr>
        <w:t>orreo electrónico</w:t>
      </w:r>
      <w:r>
        <w:rPr>
          <w:szCs w:val="18"/>
        </w:rPr>
        <w:t xml:space="preserve"> del</w:t>
      </w:r>
      <w:r w:rsidRPr="00501F6F">
        <w:rPr>
          <w:szCs w:val="18"/>
        </w:rPr>
        <w:t xml:space="preserve"> 9 de junio de 2022.</w:t>
      </w:r>
    </w:p>
  </w:footnote>
  <w:footnote w:id="147">
    <w:p w14:paraId="5B19B58B" w14:textId="77777777" w:rsidR="008433E5" w:rsidRPr="00501F6F" w:rsidRDefault="008433E5" w:rsidP="008433E5">
      <w:pPr>
        <w:pStyle w:val="Textonotapie"/>
        <w:rPr>
          <w:szCs w:val="18"/>
        </w:rPr>
      </w:pPr>
      <w:r>
        <w:rPr>
          <w:szCs w:val="18"/>
        </w:rPr>
        <w:tab/>
      </w:r>
      <w:r w:rsidRPr="00501F6F">
        <w:rPr>
          <w:szCs w:val="18"/>
          <w:vertAlign w:val="superscript"/>
        </w:rPr>
        <w:footnoteRef/>
      </w:r>
      <w:r>
        <w:rPr>
          <w:szCs w:val="18"/>
        </w:rPr>
        <w:tab/>
        <w:t>ANT</w:t>
      </w:r>
      <w:r w:rsidRPr="00501F6F">
        <w:rPr>
          <w:szCs w:val="18"/>
        </w:rPr>
        <w:t>. Radicado No. 20225100507791. 02 de mayo de 2022.</w:t>
      </w:r>
    </w:p>
  </w:footnote>
  <w:footnote w:id="148">
    <w:p w14:paraId="3BBB5754" w14:textId="77777777" w:rsidR="008433E5" w:rsidRPr="00501F6F" w:rsidRDefault="008433E5" w:rsidP="008433E5">
      <w:pPr>
        <w:pStyle w:val="Textonotapie"/>
        <w:rPr>
          <w:szCs w:val="18"/>
        </w:rPr>
      </w:pPr>
      <w:r>
        <w:rPr>
          <w:szCs w:val="18"/>
        </w:rPr>
        <w:tab/>
      </w:r>
      <w:r w:rsidRPr="00501F6F">
        <w:rPr>
          <w:szCs w:val="18"/>
          <w:vertAlign w:val="superscript"/>
        </w:rPr>
        <w:footnoteRef/>
      </w:r>
      <w:r>
        <w:rPr>
          <w:szCs w:val="18"/>
        </w:rPr>
        <w:tab/>
        <w:t>ANT</w:t>
      </w:r>
      <w:r w:rsidRPr="00501F6F">
        <w:rPr>
          <w:szCs w:val="18"/>
        </w:rPr>
        <w:t>. Radicado No. 20225100507791. 02 de mayo de 2022.</w:t>
      </w:r>
    </w:p>
  </w:footnote>
  <w:footnote w:id="149">
    <w:p w14:paraId="5D5DFC60" w14:textId="61C321E8" w:rsidR="008433E5" w:rsidRPr="00501F6F" w:rsidRDefault="008433E5" w:rsidP="008433E5">
      <w:pPr>
        <w:pStyle w:val="Textonotapie"/>
        <w:rPr>
          <w:szCs w:val="18"/>
        </w:rPr>
      </w:pPr>
      <w:r>
        <w:rPr>
          <w:szCs w:val="18"/>
        </w:rPr>
        <w:tab/>
      </w:r>
      <w:r w:rsidRPr="00501F6F">
        <w:rPr>
          <w:szCs w:val="18"/>
          <w:vertAlign w:val="superscript"/>
        </w:rPr>
        <w:footnoteRef/>
      </w:r>
      <w:r>
        <w:rPr>
          <w:szCs w:val="18"/>
        </w:rPr>
        <w:tab/>
      </w:r>
      <w:r w:rsidRPr="001E6487">
        <w:rPr>
          <w:bCs/>
          <w:szCs w:val="18"/>
        </w:rPr>
        <w:t>UAEGRTD</w:t>
      </w:r>
      <w:r w:rsidRPr="00501F6F">
        <w:rPr>
          <w:szCs w:val="18"/>
        </w:rPr>
        <w:t>. Radicado No: DSC2-202205215. 22 de abril de 2022</w:t>
      </w:r>
      <w:r>
        <w:rPr>
          <w:szCs w:val="18"/>
        </w:rPr>
        <w:t>.</w:t>
      </w:r>
    </w:p>
  </w:footnote>
  <w:footnote w:id="150">
    <w:p w14:paraId="4C542997" w14:textId="5F782D18" w:rsidR="008433E5" w:rsidRPr="00501F6F" w:rsidRDefault="008433E5" w:rsidP="008433E5">
      <w:pPr>
        <w:pStyle w:val="Textonotapie"/>
        <w:rPr>
          <w:szCs w:val="18"/>
        </w:rPr>
      </w:pPr>
      <w:r>
        <w:rPr>
          <w:szCs w:val="18"/>
        </w:rPr>
        <w:tab/>
      </w:r>
      <w:r w:rsidRPr="00501F6F">
        <w:rPr>
          <w:szCs w:val="18"/>
          <w:vertAlign w:val="superscript"/>
        </w:rPr>
        <w:footnoteRef/>
      </w:r>
      <w:r>
        <w:rPr>
          <w:szCs w:val="18"/>
        </w:rPr>
        <w:tab/>
      </w:r>
      <w:r w:rsidRPr="001E6487">
        <w:rPr>
          <w:bCs/>
          <w:szCs w:val="18"/>
        </w:rPr>
        <w:t>UAEGRTD</w:t>
      </w:r>
      <w:r w:rsidRPr="00501F6F">
        <w:rPr>
          <w:szCs w:val="18"/>
        </w:rPr>
        <w:t>. Radicado No: DSC2-202205215. 22 de abril de 2022</w:t>
      </w:r>
      <w:r>
        <w:rPr>
          <w:szCs w:val="18"/>
        </w:rPr>
        <w:t>.</w:t>
      </w:r>
    </w:p>
  </w:footnote>
  <w:footnote w:id="151">
    <w:p w14:paraId="5DDA4C76" w14:textId="04CC3AEB" w:rsidR="0042099E" w:rsidRPr="00501F6F" w:rsidRDefault="0042099E" w:rsidP="00095139">
      <w:pPr>
        <w:pStyle w:val="Textonotapie"/>
        <w:rPr>
          <w:szCs w:val="18"/>
          <w:lang w:val="es-MX"/>
        </w:rPr>
      </w:pPr>
      <w:r>
        <w:rPr>
          <w:szCs w:val="18"/>
        </w:rPr>
        <w:tab/>
      </w:r>
      <w:r w:rsidRPr="00501F6F">
        <w:rPr>
          <w:rStyle w:val="Refdenotaalpie"/>
          <w:szCs w:val="18"/>
        </w:rPr>
        <w:footnoteRef/>
      </w:r>
      <w:r>
        <w:rPr>
          <w:szCs w:val="18"/>
        </w:rPr>
        <w:tab/>
        <w:t>L</w:t>
      </w:r>
      <w:r w:rsidRPr="00501F6F">
        <w:rPr>
          <w:bCs/>
          <w:szCs w:val="18"/>
        </w:rPr>
        <w:t xml:space="preserve">a Ruta Étnica es un mecanismo de protección administrativo de carácter tutelar que contribuye a la salvaguarda del derecho fundamental al territorio colectivo de las comunidades NARP que se encuentran en riesgo de desplazamiento, </w:t>
      </w:r>
      <w:r w:rsidRPr="00501F6F">
        <w:rPr>
          <w:rFonts w:eastAsia="Times New Roman"/>
          <w:bCs/>
          <w:szCs w:val="18"/>
        </w:rPr>
        <w:t>vulneradas o amenazadas por el conflicto armado o por el desarrollo de actividades en sus territorios sin el lleno de los requisitos de la consulta previa</w:t>
      </w:r>
      <w:r w:rsidRPr="00501F6F">
        <w:rPr>
          <w:bCs/>
          <w:szCs w:val="18"/>
        </w:rPr>
        <w:t>.</w:t>
      </w:r>
    </w:p>
  </w:footnote>
  <w:footnote w:id="152">
    <w:p w14:paraId="5C935D44" w14:textId="77777777" w:rsidR="008433E5" w:rsidRPr="00501F6F" w:rsidRDefault="008433E5" w:rsidP="008433E5">
      <w:pPr>
        <w:pStyle w:val="Textonotapie"/>
        <w:rPr>
          <w:szCs w:val="18"/>
        </w:rPr>
      </w:pPr>
      <w:r>
        <w:rPr>
          <w:szCs w:val="18"/>
        </w:rPr>
        <w:tab/>
      </w:r>
      <w:r w:rsidRPr="00501F6F">
        <w:rPr>
          <w:szCs w:val="18"/>
          <w:vertAlign w:val="superscript"/>
        </w:rPr>
        <w:footnoteRef/>
      </w:r>
      <w:r>
        <w:rPr>
          <w:szCs w:val="18"/>
        </w:rPr>
        <w:tab/>
      </w:r>
      <w:r w:rsidRPr="00501F6F">
        <w:rPr>
          <w:szCs w:val="18"/>
        </w:rPr>
        <w:t xml:space="preserve">Ministerio del Interior. </w:t>
      </w:r>
      <w:r>
        <w:rPr>
          <w:szCs w:val="18"/>
        </w:rPr>
        <w:t>C</w:t>
      </w:r>
      <w:r w:rsidRPr="00501F6F">
        <w:rPr>
          <w:szCs w:val="18"/>
        </w:rPr>
        <w:t>orreo electrónico</w:t>
      </w:r>
      <w:r>
        <w:rPr>
          <w:szCs w:val="18"/>
        </w:rPr>
        <w:t xml:space="preserve"> del</w:t>
      </w:r>
      <w:r w:rsidRPr="00501F6F">
        <w:rPr>
          <w:szCs w:val="18"/>
        </w:rPr>
        <w:t xml:space="preserve"> 9 de junio de 2022.</w:t>
      </w:r>
    </w:p>
  </w:footnote>
  <w:footnote w:id="153">
    <w:p w14:paraId="17E81B9C" w14:textId="77777777" w:rsidR="008433E5" w:rsidRPr="00501F6F" w:rsidRDefault="008433E5" w:rsidP="008433E5">
      <w:pPr>
        <w:pStyle w:val="Textonotapie"/>
        <w:rPr>
          <w:szCs w:val="18"/>
        </w:rPr>
      </w:pPr>
      <w:r>
        <w:rPr>
          <w:szCs w:val="18"/>
        </w:rPr>
        <w:tab/>
      </w:r>
      <w:r w:rsidRPr="00501F6F">
        <w:rPr>
          <w:szCs w:val="18"/>
          <w:vertAlign w:val="superscript"/>
        </w:rPr>
        <w:footnoteRef/>
      </w:r>
      <w:r>
        <w:rPr>
          <w:szCs w:val="18"/>
        </w:rPr>
        <w:tab/>
      </w:r>
      <w:r w:rsidRPr="00501F6F">
        <w:rPr>
          <w:szCs w:val="18"/>
        </w:rPr>
        <w:t xml:space="preserve">Ministerio del Interior. </w:t>
      </w:r>
      <w:r>
        <w:rPr>
          <w:szCs w:val="18"/>
        </w:rPr>
        <w:t>C</w:t>
      </w:r>
      <w:r w:rsidRPr="00501F6F">
        <w:rPr>
          <w:szCs w:val="18"/>
        </w:rPr>
        <w:t>orreo electrónico</w:t>
      </w:r>
      <w:r>
        <w:rPr>
          <w:szCs w:val="18"/>
        </w:rPr>
        <w:t xml:space="preserve"> del</w:t>
      </w:r>
      <w:r w:rsidRPr="00501F6F">
        <w:rPr>
          <w:szCs w:val="18"/>
        </w:rPr>
        <w:t xml:space="preserve"> 9 de junio de 2022.</w:t>
      </w:r>
    </w:p>
  </w:footnote>
  <w:footnote w:id="154">
    <w:p w14:paraId="649A244F" w14:textId="77777777" w:rsidR="008433E5" w:rsidRPr="00501F6F" w:rsidRDefault="008433E5" w:rsidP="008433E5">
      <w:pPr>
        <w:pStyle w:val="Textonotapie"/>
        <w:rPr>
          <w:szCs w:val="18"/>
        </w:rPr>
      </w:pPr>
      <w:r>
        <w:rPr>
          <w:szCs w:val="18"/>
        </w:rPr>
        <w:tab/>
      </w:r>
      <w:r w:rsidRPr="00501F6F">
        <w:rPr>
          <w:szCs w:val="18"/>
          <w:vertAlign w:val="superscript"/>
        </w:rPr>
        <w:footnoteRef/>
      </w:r>
      <w:r>
        <w:rPr>
          <w:szCs w:val="18"/>
        </w:rPr>
        <w:tab/>
      </w:r>
      <w:r w:rsidRPr="001E6487">
        <w:rPr>
          <w:bCs/>
          <w:szCs w:val="18"/>
        </w:rPr>
        <w:t>UAEGRTD</w:t>
      </w:r>
      <w:r w:rsidRPr="00501F6F">
        <w:rPr>
          <w:szCs w:val="18"/>
        </w:rPr>
        <w:t>. Radicado No: DSC2-202205215. 22 de abril de 2022</w:t>
      </w:r>
      <w:r>
        <w:rPr>
          <w:szCs w:val="18"/>
        </w:rPr>
        <w:t>.</w:t>
      </w:r>
    </w:p>
  </w:footnote>
  <w:footnote w:id="155">
    <w:p w14:paraId="7497671B" w14:textId="77777777" w:rsidR="008433E5" w:rsidRPr="00501F6F" w:rsidRDefault="008433E5" w:rsidP="008433E5">
      <w:pPr>
        <w:pStyle w:val="Textonotapie"/>
        <w:rPr>
          <w:szCs w:val="18"/>
        </w:rPr>
      </w:pPr>
      <w:r>
        <w:rPr>
          <w:szCs w:val="18"/>
        </w:rPr>
        <w:tab/>
      </w:r>
      <w:r w:rsidRPr="00501F6F">
        <w:rPr>
          <w:rStyle w:val="Refdenotaalpie"/>
          <w:szCs w:val="18"/>
        </w:rPr>
        <w:footnoteRef/>
      </w:r>
      <w:r>
        <w:rPr>
          <w:szCs w:val="18"/>
        </w:rPr>
        <w:tab/>
      </w:r>
      <w:r w:rsidRPr="00501F6F">
        <w:rPr>
          <w:szCs w:val="18"/>
        </w:rPr>
        <w:t xml:space="preserve">Ministerio del Interior. </w:t>
      </w:r>
      <w:r>
        <w:rPr>
          <w:szCs w:val="18"/>
        </w:rPr>
        <w:t>C</w:t>
      </w:r>
      <w:r w:rsidRPr="00501F6F">
        <w:rPr>
          <w:szCs w:val="18"/>
        </w:rPr>
        <w:t>orreo electrónico</w:t>
      </w:r>
      <w:r>
        <w:rPr>
          <w:szCs w:val="18"/>
        </w:rPr>
        <w:t xml:space="preserve"> del</w:t>
      </w:r>
      <w:r w:rsidRPr="00501F6F">
        <w:rPr>
          <w:szCs w:val="18"/>
        </w:rPr>
        <w:t xml:space="preserve"> 25 de julio de 2022.</w:t>
      </w:r>
    </w:p>
  </w:footnote>
  <w:footnote w:id="156">
    <w:p w14:paraId="554559CD" w14:textId="77777777" w:rsidR="00014F56" w:rsidRPr="00501F6F" w:rsidRDefault="00014F56" w:rsidP="00014F56">
      <w:pPr>
        <w:pStyle w:val="Textonotapie"/>
        <w:rPr>
          <w:szCs w:val="18"/>
        </w:rPr>
      </w:pPr>
      <w:r>
        <w:rPr>
          <w:szCs w:val="18"/>
        </w:rPr>
        <w:tab/>
      </w:r>
      <w:r w:rsidRPr="00501F6F">
        <w:rPr>
          <w:rStyle w:val="Refdenotaalpie"/>
          <w:szCs w:val="18"/>
        </w:rPr>
        <w:footnoteRef/>
      </w:r>
      <w:r>
        <w:rPr>
          <w:szCs w:val="18"/>
        </w:rPr>
        <w:tab/>
      </w:r>
      <w:r w:rsidRPr="00501F6F">
        <w:rPr>
          <w:szCs w:val="18"/>
        </w:rPr>
        <w:t xml:space="preserve">Ministerio del Interior. </w:t>
      </w:r>
      <w:r>
        <w:rPr>
          <w:szCs w:val="18"/>
        </w:rPr>
        <w:t>C</w:t>
      </w:r>
      <w:r w:rsidRPr="00501F6F">
        <w:rPr>
          <w:szCs w:val="18"/>
        </w:rPr>
        <w:t>orreo electrónico</w:t>
      </w:r>
      <w:r>
        <w:rPr>
          <w:szCs w:val="18"/>
        </w:rPr>
        <w:t xml:space="preserve"> del</w:t>
      </w:r>
      <w:r w:rsidRPr="00501F6F">
        <w:rPr>
          <w:szCs w:val="18"/>
        </w:rPr>
        <w:t xml:space="preserve"> 25 de julio de 2022.</w:t>
      </w:r>
    </w:p>
  </w:footnote>
  <w:footnote w:id="157">
    <w:p w14:paraId="24CF203B" w14:textId="77777777" w:rsidR="00014F56" w:rsidRPr="00501F6F" w:rsidRDefault="00014F56" w:rsidP="00014F56">
      <w:pPr>
        <w:pStyle w:val="Textonotapie"/>
        <w:rPr>
          <w:szCs w:val="18"/>
        </w:rPr>
      </w:pPr>
      <w:r>
        <w:rPr>
          <w:szCs w:val="18"/>
        </w:rPr>
        <w:tab/>
      </w:r>
      <w:r w:rsidRPr="00501F6F">
        <w:rPr>
          <w:rStyle w:val="Refdenotaalpie"/>
          <w:szCs w:val="18"/>
        </w:rPr>
        <w:footnoteRef/>
      </w:r>
      <w:r>
        <w:rPr>
          <w:szCs w:val="18"/>
        </w:rPr>
        <w:tab/>
      </w:r>
      <w:r w:rsidRPr="00501F6F">
        <w:rPr>
          <w:szCs w:val="18"/>
        </w:rPr>
        <w:t xml:space="preserve">Ministerio del Interior. </w:t>
      </w:r>
      <w:r>
        <w:rPr>
          <w:szCs w:val="18"/>
        </w:rPr>
        <w:t>C</w:t>
      </w:r>
      <w:r w:rsidRPr="00501F6F">
        <w:rPr>
          <w:szCs w:val="18"/>
        </w:rPr>
        <w:t>orreo electrónico</w:t>
      </w:r>
      <w:r>
        <w:rPr>
          <w:szCs w:val="18"/>
        </w:rPr>
        <w:t xml:space="preserve"> del</w:t>
      </w:r>
      <w:r w:rsidRPr="00501F6F">
        <w:rPr>
          <w:szCs w:val="18"/>
        </w:rPr>
        <w:t xml:space="preserve"> 25 de julio de 2022.</w:t>
      </w:r>
    </w:p>
  </w:footnote>
  <w:footnote w:id="158">
    <w:p w14:paraId="255C2A10" w14:textId="77777777" w:rsidR="00014F56" w:rsidRPr="00501F6F" w:rsidRDefault="00014F56" w:rsidP="00014F56">
      <w:pPr>
        <w:pStyle w:val="Textonotapie"/>
        <w:rPr>
          <w:szCs w:val="18"/>
        </w:rPr>
      </w:pPr>
      <w:r>
        <w:rPr>
          <w:szCs w:val="18"/>
        </w:rPr>
        <w:tab/>
      </w:r>
      <w:r w:rsidRPr="00501F6F">
        <w:rPr>
          <w:szCs w:val="18"/>
          <w:vertAlign w:val="superscript"/>
        </w:rPr>
        <w:footnoteRef/>
      </w:r>
      <w:r>
        <w:rPr>
          <w:szCs w:val="18"/>
        </w:rPr>
        <w:tab/>
        <w:t>PGN</w:t>
      </w:r>
      <w:r w:rsidRPr="00501F6F">
        <w:rPr>
          <w:szCs w:val="18"/>
        </w:rPr>
        <w:t xml:space="preserve">. </w:t>
      </w:r>
      <w:r>
        <w:rPr>
          <w:szCs w:val="18"/>
        </w:rPr>
        <w:t>C</w:t>
      </w:r>
      <w:r w:rsidRPr="00501F6F">
        <w:rPr>
          <w:szCs w:val="18"/>
        </w:rPr>
        <w:t>orreo electrónico</w:t>
      </w:r>
      <w:r>
        <w:rPr>
          <w:szCs w:val="18"/>
        </w:rPr>
        <w:t xml:space="preserve"> del</w:t>
      </w:r>
      <w:r w:rsidRPr="00501F6F">
        <w:rPr>
          <w:szCs w:val="18"/>
        </w:rPr>
        <w:t xml:space="preserve"> 13 de mayo de 2022.</w:t>
      </w:r>
    </w:p>
  </w:footnote>
  <w:footnote w:id="159">
    <w:p w14:paraId="0A343654" w14:textId="77777777" w:rsidR="00014F56" w:rsidRPr="006B33E7" w:rsidRDefault="00014F56" w:rsidP="00014F56">
      <w:pPr>
        <w:pStyle w:val="Textonotapie"/>
        <w:rPr>
          <w:lang w:val="es-CO"/>
        </w:rPr>
      </w:pPr>
      <w:r>
        <w:rPr>
          <w:lang w:val="es-CO"/>
        </w:rPr>
        <w:tab/>
      </w:r>
      <w:r>
        <w:rPr>
          <w:rStyle w:val="Refdenotaalpie"/>
        </w:rPr>
        <w:footnoteRef/>
      </w:r>
      <w:r>
        <w:rPr>
          <w:lang w:val="es-CO"/>
        </w:rPr>
        <w:tab/>
      </w:r>
      <w:r w:rsidRPr="009A3C95">
        <w:rPr>
          <w:lang w:val="es-CO"/>
        </w:rPr>
        <w:t xml:space="preserve">CPEM. </w:t>
      </w:r>
      <w:r w:rsidRPr="006B33E7">
        <w:rPr>
          <w:lang w:val="es-CO"/>
        </w:rPr>
        <w:t>OFI22-00107464/GFPU 11020000 del 2</w:t>
      </w:r>
      <w:r>
        <w:rPr>
          <w:lang w:val="es-CO"/>
        </w:rPr>
        <w:t>1 de septiembre de 2022.</w:t>
      </w:r>
    </w:p>
  </w:footnote>
  <w:footnote w:id="160">
    <w:p w14:paraId="71160D35" w14:textId="77777777" w:rsidR="00014F56" w:rsidRPr="006B33E7" w:rsidRDefault="00014F56" w:rsidP="00014F56">
      <w:pPr>
        <w:pStyle w:val="Textonotapie"/>
      </w:pPr>
      <w:r>
        <w:tab/>
      </w:r>
      <w:r>
        <w:rPr>
          <w:rStyle w:val="Refdenotaalpie"/>
        </w:rPr>
        <w:footnoteRef/>
      </w:r>
      <w:r>
        <w:tab/>
      </w:r>
      <w:r w:rsidRPr="006B33E7">
        <w:rPr>
          <w:lang w:val="es-CO"/>
        </w:rPr>
        <w:t>CPEM. OFI22-00107464/GFPU 11020000 del 2</w:t>
      </w:r>
      <w:r>
        <w:rPr>
          <w:lang w:val="es-CO"/>
        </w:rPr>
        <w:t>1 de septiembre de 2022.</w:t>
      </w:r>
    </w:p>
  </w:footnote>
  <w:footnote w:id="161">
    <w:p w14:paraId="4539FA62" w14:textId="77777777" w:rsidR="00014F56" w:rsidRPr="000521FB" w:rsidRDefault="00014F56" w:rsidP="00014F56">
      <w:pPr>
        <w:pStyle w:val="Textonotapie"/>
      </w:pPr>
      <w:r>
        <w:tab/>
      </w:r>
      <w:r>
        <w:rPr>
          <w:rStyle w:val="Refdenotaalpie"/>
        </w:rPr>
        <w:footnoteRef/>
      </w:r>
      <w:r>
        <w:tab/>
      </w:r>
      <w:r w:rsidRPr="006B33E7">
        <w:rPr>
          <w:lang w:val="es-CO"/>
        </w:rPr>
        <w:t>CPEM. OFI22-00107464/GFPU 11020000 del 2</w:t>
      </w:r>
      <w:r>
        <w:rPr>
          <w:lang w:val="es-CO"/>
        </w:rPr>
        <w:t>1 de septiembre de 2022.</w:t>
      </w:r>
    </w:p>
  </w:footnote>
  <w:footnote w:id="162">
    <w:p w14:paraId="7B631DC4" w14:textId="6593A56F" w:rsidR="0042099E" w:rsidRPr="000521FB" w:rsidRDefault="0042099E" w:rsidP="00095139">
      <w:pPr>
        <w:pStyle w:val="Textonotapie"/>
      </w:pPr>
      <w:r>
        <w:tab/>
      </w:r>
      <w:r>
        <w:rPr>
          <w:rStyle w:val="Refdenotaalpie"/>
        </w:rPr>
        <w:footnoteRef/>
      </w:r>
      <w:r>
        <w:tab/>
        <w:t xml:space="preserve">Disponible en: </w:t>
      </w:r>
      <w:hyperlink r:id="rId20" w:history="1">
        <w:r w:rsidRPr="000521FB">
          <w:rPr>
            <w:rStyle w:val="Hipervnculo"/>
          </w:rPr>
          <w:t>https://colaboracion.dnp.gov.co/CDT/Conpes/Econ%C3%B3micos/4080.pdf</w:t>
        </w:r>
      </w:hyperlink>
      <w:r w:rsidR="00280D2C">
        <w:rPr>
          <w:rStyle w:val="Hipervnculo"/>
        </w:rPr>
        <w:t>.</w:t>
      </w:r>
    </w:p>
  </w:footnote>
  <w:footnote w:id="163">
    <w:p w14:paraId="0BF36664" w14:textId="77777777" w:rsidR="00014F56" w:rsidRPr="000521FB" w:rsidRDefault="00014F56" w:rsidP="00014F56">
      <w:pPr>
        <w:pStyle w:val="Textonotapie"/>
      </w:pPr>
      <w:r>
        <w:tab/>
      </w:r>
      <w:r>
        <w:rPr>
          <w:rStyle w:val="Refdenotaalpie"/>
        </w:rPr>
        <w:footnoteRef/>
      </w:r>
      <w:r>
        <w:tab/>
      </w:r>
      <w:r w:rsidRPr="006B33E7">
        <w:rPr>
          <w:lang w:val="es-CO"/>
        </w:rPr>
        <w:t>CPEM. OFI22-00107464/GFPU 11020000 del 2</w:t>
      </w:r>
      <w:r>
        <w:rPr>
          <w:lang w:val="es-CO"/>
        </w:rPr>
        <w:t>1 de septiembre de 2022.</w:t>
      </w:r>
    </w:p>
  </w:footnote>
  <w:footnote w:id="164">
    <w:p w14:paraId="39525F9D" w14:textId="77777777" w:rsidR="00014F56" w:rsidRPr="000521FB" w:rsidRDefault="00014F56" w:rsidP="00014F56">
      <w:pPr>
        <w:pStyle w:val="Textonotapie"/>
      </w:pPr>
      <w:r>
        <w:tab/>
      </w:r>
      <w:r>
        <w:rPr>
          <w:rStyle w:val="Refdenotaalpie"/>
        </w:rPr>
        <w:footnoteRef/>
      </w:r>
      <w:r>
        <w:tab/>
      </w:r>
      <w:r w:rsidRPr="006B33E7">
        <w:rPr>
          <w:lang w:val="es-CO"/>
        </w:rPr>
        <w:t>CPEM. OFI22-00107464/GFPU 11020000 del 2</w:t>
      </w:r>
      <w:r>
        <w:rPr>
          <w:lang w:val="es-CO"/>
        </w:rPr>
        <w:t>1 de septiembre de 2022.</w:t>
      </w:r>
    </w:p>
  </w:footnote>
  <w:footnote w:id="165">
    <w:p w14:paraId="10B7FC7A" w14:textId="77777777" w:rsidR="00014F56" w:rsidRPr="00501F6F" w:rsidRDefault="00014F56" w:rsidP="00014F56">
      <w:pPr>
        <w:pStyle w:val="Textonotapie"/>
        <w:rPr>
          <w:szCs w:val="18"/>
        </w:rPr>
      </w:pPr>
      <w:r>
        <w:rPr>
          <w:szCs w:val="18"/>
          <w:lang w:val="es-CO"/>
        </w:rPr>
        <w:tab/>
      </w:r>
      <w:r w:rsidRPr="00501F6F">
        <w:rPr>
          <w:szCs w:val="18"/>
          <w:vertAlign w:val="superscript"/>
        </w:rPr>
        <w:footnoteRef/>
      </w:r>
      <w:r>
        <w:rPr>
          <w:szCs w:val="18"/>
          <w:lang w:val="es-CO"/>
        </w:rPr>
        <w:tab/>
      </w:r>
      <w:r w:rsidRPr="006B33E7">
        <w:rPr>
          <w:szCs w:val="18"/>
          <w:lang w:val="es-CO"/>
        </w:rPr>
        <w:t xml:space="preserve">MSPS. </w:t>
      </w:r>
      <w:r>
        <w:rPr>
          <w:szCs w:val="18"/>
        </w:rPr>
        <w:t>C</w:t>
      </w:r>
      <w:r w:rsidRPr="00501F6F">
        <w:rPr>
          <w:szCs w:val="18"/>
        </w:rPr>
        <w:t>orreo electrónico</w:t>
      </w:r>
      <w:r>
        <w:rPr>
          <w:szCs w:val="18"/>
        </w:rPr>
        <w:t xml:space="preserve"> del</w:t>
      </w:r>
      <w:r w:rsidRPr="00501F6F">
        <w:rPr>
          <w:szCs w:val="18"/>
        </w:rPr>
        <w:t xml:space="preserve"> 3 de mayo de 2022</w:t>
      </w:r>
      <w:r>
        <w:rPr>
          <w:szCs w:val="18"/>
        </w:rPr>
        <w:t>.</w:t>
      </w:r>
    </w:p>
  </w:footnote>
  <w:footnote w:id="166">
    <w:p w14:paraId="7FCB1CE7" w14:textId="6C3E7B79" w:rsidR="0042099E" w:rsidRPr="00F334BD" w:rsidRDefault="0042099E" w:rsidP="00095139">
      <w:pPr>
        <w:pStyle w:val="Textonotapie"/>
        <w:rPr>
          <w:szCs w:val="18"/>
          <w:lang w:val="es-CO"/>
        </w:rPr>
      </w:pPr>
      <w:r>
        <w:rPr>
          <w:szCs w:val="18"/>
          <w:lang w:val="es-CO"/>
        </w:rPr>
        <w:tab/>
      </w:r>
      <w:r w:rsidRPr="00501F6F">
        <w:rPr>
          <w:rStyle w:val="Refdenotaalpie"/>
          <w:szCs w:val="18"/>
        </w:rPr>
        <w:footnoteRef/>
      </w:r>
      <w:r>
        <w:rPr>
          <w:szCs w:val="18"/>
          <w:lang w:val="es-CO"/>
        </w:rPr>
        <w:tab/>
      </w:r>
      <w:r w:rsidRPr="00F334BD">
        <w:rPr>
          <w:szCs w:val="18"/>
          <w:lang w:val="es-CO"/>
        </w:rPr>
        <w:t>Informac</w:t>
      </w:r>
      <w:r>
        <w:rPr>
          <w:szCs w:val="18"/>
          <w:lang w:val="es-CO"/>
        </w:rPr>
        <w:t>ión disponible en:</w:t>
      </w:r>
      <w:r w:rsidRPr="00F334BD">
        <w:rPr>
          <w:szCs w:val="18"/>
          <w:lang w:val="es-CO"/>
        </w:rPr>
        <w:t xml:space="preserve"> </w:t>
      </w:r>
      <w:hyperlink r:id="rId21" w:history="1">
        <w:r w:rsidRPr="00F334BD">
          <w:rPr>
            <w:rStyle w:val="Hipervnculo"/>
            <w:szCs w:val="18"/>
            <w:lang w:val="es-CO"/>
          </w:rPr>
          <w:t>https://www.migracioncolombia.gov.co/infografias/distribucion-de-venezolanos-en-colombia-corte-31-de-agosto-de-2021</w:t>
        </w:r>
      </w:hyperlink>
      <w:r w:rsidR="00280D2C">
        <w:rPr>
          <w:rStyle w:val="Hipervnculo"/>
          <w:szCs w:val="18"/>
          <w:lang w:val="es-CO"/>
        </w:rPr>
        <w:t>.</w:t>
      </w:r>
    </w:p>
  </w:footnote>
  <w:footnote w:id="167">
    <w:p w14:paraId="78539A43" w14:textId="77777777" w:rsidR="00014F56" w:rsidRPr="00501F6F" w:rsidRDefault="00014F56" w:rsidP="00014F56">
      <w:pPr>
        <w:pStyle w:val="Textonotapie"/>
        <w:rPr>
          <w:szCs w:val="18"/>
        </w:rPr>
      </w:pPr>
      <w:r>
        <w:rPr>
          <w:szCs w:val="18"/>
        </w:rPr>
        <w:tab/>
      </w:r>
      <w:r w:rsidRPr="00501F6F">
        <w:rPr>
          <w:szCs w:val="18"/>
          <w:vertAlign w:val="superscript"/>
        </w:rPr>
        <w:footnoteRef/>
      </w:r>
      <w:r>
        <w:rPr>
          <w:szCs w:val="18"/>
        </w:rPr>
        <w:tab/>
      </w:r>
      <w:r w:rsidRPr="00501F6F">
        <w:rPr>
          <w:szCs w:val="18"/>
        </w:rPr>
        <w:t xml:space="preserve">Gerencia de Fronteras. </w:t>
      </w:r>
      <w:r>
        <w:rPr>
          <w:szCs w:val="18"/>
        </w:rPr>
        <w:t>C</w:t>
      </w:r>
      <w:r w:rsidRPr="00501F6F">
        <w:rPr>
          <w:szCs w:val="18"/>
        </w:rPr>
        <w:t>orreo electrónico</w:t>
      </w:r>
      <w:r>
        <w:rPr>
          <w:szCs w:val="18"/>
        </w:rPr>
        <w:t xml:space="preserve"> del</w:t>
      </w:r>
      <w:r w:rsidRPr="00501F6F">
        <w:rPr>
          <w:szCs w:val="18"/>
        </w:rPr>
        <w:t xml:space="preserve"> 16 de mayo de 2022</w:t>
      </w:r>
      <w:r>
        <w:rPr>
          <w:szCs w:val="18"/>
        </w:rPr>
        <w:t>.</w:t>
      </w:r>
    </w:p>
  </w:footnote>
  <w:footnote w:id="168">
    <w:p w14:paraId="19BF45DF" w14:textId="77777777" w:rsidR="00014F56" w:rsidRPr="00501F6F" w:rsidRDefault="00014F56" w:rsidP="00014F56">
      <w:pPr>
        <w:pStyle w:val="Textonotapie"/>
        <w:rPr>
          <w:szCs w:val="18"/>
        </w:rPr>
      </w:pPr>
      <w:r>
        <w:rPr>
          <w:szCs w:val="18"/>
        </w:rPr>
        <w:tab/>
      </w:r>
      <w:r w:rsidRPr="00501F6F">
        <w:rPr>
          <w:szCs w:val="18"/>
          <w:vertAlign w:val="superscript"/>
        </w:rPr>
        <w:footnoteRef/>
      </w:r>
      <w:r>
        <w:rPr>
          <w:szCs w:val="18"/>
        </w:rPr>
        <w:tab/>
      </w:r>
      <w:r w:rsidRPr="00501F6F">
        <w:rPr>
          <w:szCs w:val="18"/>
        </w:rPr>
        <w:t xml:space="preserve">Gerencia de Fronteras. </w:t>
      </w:r>
      <w:r>
        <w:rPr>
          <w:szCs w:val="18"/>
        </w:rPr>
        <w:t>C</w:t>
      </w:r>
      <w:r w:rsidRPr="00501F6F">
        <w:rPr>
          <w:szCs w:val="18"/>
        </w:rPr>
        <w:t>orreo electrónico</w:t>
      </w:r>
      <w:r>
        <w:rPr>
          <w:szCs w:val="18"/>
        </w:rPr>
        <w:t xml:space="preserve"> del</w:t>
      </w:r>
      <w:r w:rsidRPr="00501F6F">
        <w:rPr>
          <w:szCs w:val="18"/>
        </w:rPr>
        <w:t xml:space="preserve"> 16 de mayo de 2022</w:t>
      </w:r>
      <w:r>
        <w:rPr>
          <w:szCs w:val="18"/>
        </w:rPr>
        <w:t>.</w:t>
      </w:r>
    </w:p>
  </w:footnote>
  <w:footnote w:id="169">
    <w:p w14:paraId="66BA02EB" w14:textId="77777777" w:rsidR="00014F56" w:rsidRPr="00501F6F" w:rsidRDefault="00014F56" w:rsidP="00014F56">
      <w:pPr>
        <w:pStyle w:val="Textonotapie"/>
        <w:rPr>
          <w:szCs w:val="18"/>
        </w:rPr>
      </w:pPr>
      <w:r>
        <w:rPr>
          <w:szCs w:val="18"/>
        </w:rPr>
        <w:tab/>
      </w:r>
      <w:r w:rsidRPr="00501F6F">
        <w:rPr>
          <w:szCs w:val="18"/>
          <w:vertAlign w:val="superscript"/>
        </w:rPr>
        <w:footnoteRef/>
      </w:r>
      <w:r>
        <w:rPr>
          <w:szCs w:val="18"/>
        </w:rPr>
        <w:tab/>
      </w:r>
      <w:r w:rsidRPr="00501F6F">
        <w:rPr>
          <w:szCs w:val="18"/>
        </w:rPr>
        <w:t xml:space="preserve">Gerencia de Fronteras. </w:t>
      </w:r>
      <w:r>
        <w:rPr>
          <w:szCs w:val="18"/>
        </w:rPr>
        <w:t>C</w:t>
      </w:r>
      <w:r w:rsidRPr="00501F6F">
        <w:rPr>
          <w:szCs w:val="18"/>
        </w:rPr>
        <w:t>orreo electrónico</w:t>
      </w:r>
      <w:r>
        <w:rPr>
          <w:szCs w:val="18"/>
        </w:rPr>
        <w:t xml:space="preserve"> del</w:t>
      </w:r>
      <w:r w:rsidRPr="00501F6F">
        <w:rPr>
          <w:szCs w:val="18"/>
        </w:rPr>
        <w:t xml:space="preserve"> 16 de mayo de 2022</w:t>
      </w:r>
      <w:r>
        <w:rPr>
          <w:szCs w:val="18"/>
        </w:rPr>
        <w:t>.</w:t>
      </w:r>
    </w:p>
  </w:footnote>
  <w:footnote w:id="170">
    <w:p w14:paraId="42DCF294" w14:textId="77777777" w:rsidR="00014F56" w:rsidRPr="00501F6F" w:rsidRDefault="00014F56" w:rsidP="00014F56">
      <w:pPr>
        <w:pStyle w:val="Textonotapie"/>
        <w:rPr>
          <w:szCs w:val="18"/>
        </w:rPr>
      </w:pPr>
      <w:r>
        <w:rPr>
          <w:szCs w:val="18"/>
        </w:rPr>
        <w:tab/>
      </w:r>
      <w:r w:rsidRPr="00501F6F">
        <w:rPr>
          <w:szCs w:val="18"/>
          <w:vertAlign w:val="superscript"/>
        </w:rPr>
        <w:footnoteRef/>
      </w:r>
      <w:r>
        <w:rPr>
          <w:szCs w:val="18"/>
        </w:rPr>
        <w:tab/>
      </w:r>
      <w:r w:rsidRPr="00501F6F">
        <w:rPr>
          <w:szCs w:val="18"/>
        </w:rPr>
        <w:t xml:space="preserve">Gerencia de Fronteras. </w:t>
      </w:r>
      <w:r>
        <w:rPr>
          <w:szCs w:val="18"/>
        </w:rPr>
        <w:t>C</w:t>
      </w:r>
      <w:r w:rsidRPr="00501F6F">
        <w:rPr>
          <w:szCs w:val="18"/>
        </w:rPr>
        <w:t>orreo electrónico</w:t>
      </w:r>
      <w:r>
        <w:rPr>
          <w:szCs w:val="18"/>
        </w:rPr>
        <w:t xml:space="preserve"> del</w:t>
      </w:r>
      <w:r w:rsidRPr="00501F6F">
        <w:rPr>
          <w:szCs w:val="18"/>
        </w:rPr>
        <w:t xml:space="preserve"> 16 de mayo de 2022</w:t>
      </w:r>
      <w:r>
        <w:rPr>
          <w:szCs w:val="18"/>
        </w:rPr>
        <w:t>.</w:t>
      </w:r>
    </w:p>
  </w:footnote>
  <w:footnote w:id="171">
    <w:p w14:paraId="7C29EA0B" w14:textId="77777777" w:rsidR="00014F56" w:rsidRPr="00501F6F" w:rsidRDefault="00014F56" w:rsidP="00014F56">
      <w:pPr>
        <w:pStyle w:val="Textonotapie"/>
        <w:rPr>
          <w:szCs w:val="18"/>
        </w:rPr>
      </w:pPr>
      <w:r>
        <w:rPr>
          <w:szCs w:val="18"/>
        </w:rPr>
        <w:tab/>
      </w:r>
      <w:r w:rsidRPr="00501F6F">
        <w:rPr>
          <w:szCs w:val="18"/>
          <w:vertAlign w:val="superscript"/>
        </w:rPr>
        <w:footnoteRef/>
      </w:r>
      <w:r>
        <w:rPr>
          <w:szCs w:val="18"/>
        </w:rPr>
        <w:tab/>
      </w:r>
      <w:r w:rsidRPr="00501F6F">
        <w:rPr>
          <w:szCs w:val="18"/>
        </w:rPr>
        <w:t xml:space="preserve">Gerencia de Fronteras. </w:t>
      </w:r>
      <w:r>
        <w:rPr>
          <w:szCs w:val="18"/>
        </w:rPr>
        <w:t>C</w:t>
      </w:r>
      <w:r w:rsidRPr="00501F6F">
        <w:rPr>
          <w:szCs w:val="18"/>
        </w:rPr>
        <w:t>orreo electrónico</w:t>
      </w:r>
      <w:r>
        <w:rPr>
          <w:szCs w:val="18"/>
        </w:rPr>
        <w:t xml:space="preserve"> del</w:t>
      </w:r>
      <w:r w:rsidRPr="00501F6F">
        <w:rPr>
          <w:szCs w:val="18"/>
        </w:rPr>
        <w:t xml:space="preserve"> 16 de mayo de 2022</w:t>
      </w:r>
      <w:r>
        <w:rPr>
          <w:szCs w:val="18"/>
        </w:rPr>
        <w:t>.</w:t>
      </w:r>
    </w:p>
  </w:footnote>
  <w:footnote w:id="172">
    <w:p w14:paraId="44CD3C8E" w14:textId="77777777" w:rsidR="00014F56" w:rsidRPr="00501F6F" w:rsidRDefault="00014F56" w:rsidP="00014F56">
      <w:pPr>
        <w:pStyle w:val="Textonotapie"/>
        <w:rPr>
          <w:szCs w:val="18"/>
        </w:rPr>
      </w:pPr>
      <w:r>
        <w:rPr>
          <w:szCs w:val="18"/>
        </w:rPr>
        <w:tab/>
      </w:r>
      <w:r w:rsidRPr="00501F6F">
        <w:rPr>
          <w:szCs w:val="18"/>
          <w:vertAlign w:val="superscript"/>
        </w:rPr>
        <w:footnoteRef/>
      </w:r>
      <w:r>
        <w:rPr>
          <w:szCs w:val="18"/>
        </w:rPr>
        <w:tab/>
      </w:r>
      <w:r w:rsidRPr="00501F6F">
        <w:rPr>
          <w:szCs w:val="18"/>
        </w:rPr>
        <w:t xml:space="preserve">Gerencia de Fronteras. </w:t>
      </w:r>
      <w:r>
        <w:rPr>
          <w:szCs w:val="18"/>
        </w:rPr>
        <w:t>C</w:t>
      </w:r>
      <w:r w:rsidRPr="00501F6F">
        <w:rPr>
          <w:szCs w:val="18"/>
        </w:rPr>
        <w:t>orreo electrónico</w:t>
      </w:r>
      <w:r>
        <w:rPr>
          <w:szCs w:val="18"/>
        </w:rPr>
        <w:t xml:space="preserve"> del</w:t>
      </w:r>
      <w:r w:rsidRPr="00501F6F">
        <w:rPr>
          <w:szCs w:val="18"/>
        </w:rPr>
        <w:t xml:space="preserve"> 16 de mayo de 2022</w:t>
      </w:r>
      <w:r>
        <w:rPr>
          <w:szCs w:val="18"/>
        </w:rPr>
        <w:t>.</w:t>
      </w:r>
    </w:p>
  </w:footnote>
  <w:footnote w:id="173">
    <w:p w14:paraId="16CA73BB" w14:textId="77777777" w:rsidR="00014F56" w:rsidRPr="00501F6F" w:rsidRDefault="00014F56" w:rsidP="00014F56">
      <w:pPr>
        <w:pStyle w:val="Textonotapie"/>
        <w:rPr>
          <w:szCs w:val="18"/>
        </w:rPr>
      </w:pPr>
      <w:r>
        <w:rPr>
          <w:szCs w:val="18"/>
        </w:rPr>
        <w:tab/>
      </w:r>
      <w:r w:rsidRPr="00501F6F">
        <w:rPr>
          <w:szCs w:val="18"/>
          <w:vertAlign w:val="superscript"/>
        </w:rPr>
        <w:footnoteRef/>
      </w:r>
      <w:r>
        <w:rPr>
          <w:szCs w:val="18"/>
        </w:rPr>
        <w:tab/>
      </w:r>
      <w:r w:rsidRPr="00501F6F">
        <w:rPr>
          <w:szCs w:val="18"/>
        </w:rPr>
        <w:t xml:space="preserve">Gerencia de Fronteras. </w:t>
      </w:r>
      <w:r>
        <w:rPr>
          <w:szCs w:val="18"/>
        </w:rPr>
        <w:t>C</w:t>
      </w:r>
      <w:r w:rsidRPr="00501F6F">
        <w:rPr>
          <w:szCs w:val="18"/>
        </w:rPr>
        <w:t>orreo electrónico</w:t>
      </w:r>
      <w:r>
        <w:rPr>
          <w:szCs w:val="18"/>
        </w:rPr>
        <w:t xml:space="preserve"> del</w:t>
      </w:r>
      <w:r w:rsidRPr="00501F6F">
        <w:rPr>
          <w:szCs w:val="18"/>
        </w:rPr>
        <w:t xml:space="preserve"> 16 de mayo de 2022</w:t>
      </w:r>
      <w:r>
        <w:rPr>
          <w:szCs w:val="18"/>
        </w:rPr>
        <w:t>.</w:t>
      </w:r>
    </w:p>
  </w:footnote>
  <w:footnote w:id="174">
    <w:p w14:paraId="4EA0C09D" w14:textId="77777777" w:rsidR="00014F56" w:rsidRPr="00501F6F" w:rsidRDefault="00014F56" w:rsidP="00014F56">
      <w:pPr>
        <w:pStyle w:val="Textonotapie"/>
        <w:rPr>
          <w:szCs w:val="18"/>
        </w:rPr>
      </w:pPr>
      <w:r>
        <w:rPr>
          <w:szCs w:val="18"/>
        </w:rPr>
        <w:tab/>
      </w:r>
      <w:r w:rsidRPr="00501F6F">
        <w:rPr>
          <w:szCs w:val="18"/>
          <w:vertAlign w:val="superscript"/>
        </w:rPr>
        <w:footnoteRef/>
      </w:r>
      <w:r>
        <w:rPr>
          <w:szCs w:val="18"/>
        </w:rPr>
        <w:tab/>
      </w:r>
      <w:r w:rsidRPr="00501F6F">
        <w:rPr>
          <w:szCs w:val="18"/>
        </w:rPr>
        <w:t xml:space="preserve">Gerencia de Fronteras. </w:t>
      </w:r>
      <w:r>
        <w:rPr>
          <w:szCs w:val="18"/>
        </w:rPr>
        <w:t>C</w:t>
      </w:r>
      <w:r w:rsidRPr="00501F6F">
        <w:rPr>
          <w:szCs w:val="18"/>
        </w:rPr>
        <w:t>orreo electrónico</w:t>
      </w:r>
      <w:r>
        <w:rPr>
          <w:szCs w:val="18"/>
        </w:rPr>
        <w:t xml:space="preserve"> del</w:t>
      </w:r>
      <w:r w:rsidRPr="00501F6F">
        <w:rPr>
          <w:szCs w:val="18"/>
        </w:rPr>
        <w:t xml:space="preserve"> 16 de mayo de 2022</w:t>
      </w:r>
      <w:r>
        <w:rPr>
          <w:szCs w:val="18"/>
        </w:rPr>
        <w:t>.</w:t>
      </w:r>
    </w:p>
  </w:footnote>
  <w:footnote w:id="175">
    <w:p w14:paraId="1E78A6F4" w14:textId="77777777" w:rsidR="00014F56" w:rsidRPr="00501F6F" w:rsidRDefault="00014F56" w:rsidP="00014F56">
      <w:pPr>
        <w:pStyle w:val="Textonotapie"/>
        <w:rPr>
          <w:szCs w:val="18"/>
        </w:rPr>
      </w:pPr>
      <w:r>
        <w:rPr>
          <w:szCs w:val="18"/>
        </w:rPr>
        <w:tab/>
      </w:r>
      <w:r w:rsidRPr="00501F6F">
        <w:rPr>
          <w:szCs w:val="18"/>
          <w:vertAlign w:val="superscript"/>
        </w:rPr>
        <w:footnoteRef/>
      </w:r>
      <w:r>
        <w:rPr>
          <w:szCs w:val="18"/>
        </w:rPr>
        <w:tab/>
      </w:r>
      <w:r w:rsidRPr="00501F6F">
        <w:rPr>
          <w:szCs w:val="18"/>
        </w:rPr>
        <w:t xml:space="preserve">Gerencia de Fronteras. </w:t>
      </w:r>
      <w:r>
        <w:rPr>
          <w:szCs w:val="18"/>
        </w:rPr>
        <w:t>C</w:t>
      </w:r>
      <w:r w:rsidRPr="00501F6F">
        <w:rPr>
          <w:szCs w:val="18"/>
        </w:rPr>
        <w:t>orreo electrónico</w:t>
      </w:r>
      <w:r>
        <w:rPr>
          <w:szCs w:val="18"/>
        </w:rPr>
        <w:t xml:space="preserve"> del</w:t>
      </w:r>
      <w:r w:rsidRPr="00501F6F">
        <w:rPr>
          <w:szCs w:val="18"/>
        </w:rPr>
        <w:t xml:space="preserve"> 16 de mayo de 2022</w:t>
      </w:r>
      <w:r>
        <w:rPr>
          <w:szCs w:val="18"/>
        </w:rPr>
        <w:t>.</w:t>
      </w:r>
    </w:p>
  </w:footnote>
  <w:footnote w:id="176">
    <w:p w14:paraId="5EB6874D" w14:textId="77777777" w:rsidR="00014F56" w:rsidRPr="00501F6F" w:rsidRDefault="00014F56" w:rsidP="00014F56">
      <w:pPr>
        <w:pStyle w:val="Textonotapie"/>
        <w:rPr>
          <w:szCs w:val="18"/>
        </w:rPr>
      </w:pPr>
      <w:r>
        <w:rPr>
          <w:szCs w:val="18"/>
        </w:rPr>
        <w:tab/>
      </w:r>
      <w:r w:rsidRPr="00501F6F">
        <w:rPr>
          <w:szCs w:val="18"/>
          <w:vertAlign w:val="superscript"/>
        </w:rPr>
        <w:footnoteRef/>
      </w:r>
      <w:r>
        <w:rPr>
          <w:szCs w:val="18"/>
        </w:rPr>
        <w:tab/>
      </w:r>
      <w:r w:rsidRPr="00501F6F">
        <w:rPr>
          <w:szCs w:val="18"/>
        </w:rPr>
        <w:t xml:space="preserve">Gerencia de Fronteras. </w:t>
      </w:r>
      <w:r>
        <w:rPr>
          <w:szCs w:val="18"/>
        </w:rPr>
        <w:t>C</w:t>
      </w:r>
      <w:r w:rsidRPr="00501F6F">
        <w:rPr>
          <w:szCs w:val="18"/>
        </w:rPr>
        <w:t>orreo electrónico</w:t>
      </w:r>
      <w:r>
        <w:rPr>
          <w:szCs w:val="18"/>
        </w:rPr>
        <w:t xml:space="preserve"> del</w:t>
      </w:r>
      <w:r w:rsidRPr="00501F6F">
        <w:rPr>
          <w:szCs w:val="18"/>
        </w:rPr>
        <w:t xml:space="preserve"> 16 de mayo de 2022</w:t>
      </w:r>
      <w:r>
        <w:rPr>
          <w:szCs w:val="18"/>
        </w:rPr>
        <w:t>.</w:t>
      </w:r>
    </w:p>
  </w:footnote>
  <w:footnote w:id="177">
    <w:p w14:paraId="510FDE63" w14:textId="77777777" w:rsidR="00014F56" w:rsidRPr="00501F6F" w:rsidRDefault="00014F56" w:rsidP="00014F56">
      <w:pPr>
        <w:pStyle w:val="Textonotapie"/>
        <w:rPr>
          <w:szCs w:val="18"/>
        </w:rPr>
      </w:pPr>
      <w:r>
        <w:rPr>
          <w:szCs w:val="18"/>
        </w:rPr>
        <w:tab/>
      </w:r>
      <w:r w:rsidRPr="00501F6F">
        <w:rPr>
          <w:szCs w:val="18"/>
          <w:vertAlign w:val="superscript"/>
        </w:rPr>
        <w:footnoteRef/>
      </w:r>
      <w:r>
        <w:rPr>
          <w:szCs w:val="18"/>
        </w:rPr>
        <w:tab/>
      </w:r>
      <w:r w:rsidRPr="00501F6F">
        <w:rPr>
          <w:szCs w:val="18"/>
        </w:rPr>
        <w:t xml:space="preserve">Gerencia de Fronteras. </w:t>
      </w:r>
      <w:r>
        <w:rPr>
          <w:szCs w:val="18"/>
        </w:rPr>
        <w:t>C</w:t>
      </w:r>
      <w:r w:rsidRPr="00501F6F">
        <w:rPr>
          <w:szCs w:val="18"/>
        </w:rPr>
        <w:t>orreo electrónico</w:t>
      </w:r>
      <w:r>
        <w:rPr>
          <w:szCs w:val="18"/>
        </w:rPr>
        <w:t xml:space="preserve"> del</w:t>
      </w:r>
      <w:r w:rsidRPr="00501F6F">
        <w:rPr>
          <w:szCs w:val="18"/>
        </w:rPr>
        <w:t xml:space="preserve"> 16 de mayo de 2022</w:t>
      </w:r>
      <w:r>
        <w:rPr>
          <w:szCs w:val="18"/>
        </w:rPr>
        <w:t>.</w:t>
      </w:r>
    </w:p>
  </w:footnote>
  <w:footnote w:id="178">
    <w:p w14:paraId="014FDBF7" w14:textId="77777777" w:rsidR="00014F56" w:rsidRPr="00501F6F" w:rsidRDefault="00014F56" w:rsidP="00014F56">
      <w:pPr>
        <w:pStyle w:val="Textonotapie"/>
        <w:rPr>
          <w:szCs w:val="18"/>
        </w:rPr>
      </w:pPr>
      <w:r>
        <w:rPr>
          <w:szCs w:val="18"/>
        </w:rPr>
        <w:tab/>
      </w:r>
      <w:r w:rsidRPr="00501F6F">
        <w:rPr>
          <w:szCs w:val="18"/>
          <w:vertAlign w:val="superscript"/>
        </w:rPr>
        <w:footnoteRef/>
      </w:r>
      <w:r>
        <w:rPr>
          <w:szCs w:val="18"/>
        </w:rPr>
        <w:tab/>
      </w:r>
      <w:r w:rsidRPr="00501F6F">
        <w:rPr>
          <w:szCs w:val="18"/>
        </w:rPr>
        <w:t xml:space="preserve">Gerencia de Fronteras. </w:t>
      </w:r>
      <w:r>
        <w:rPr>
          <w:szCs w:val="18"/>
        </w:rPr>
        <w:t>C</w:t>
      </w:r>
      <w:r w:rsidRPr="00501F6F">
        <w:rPr>
          <w:szCs w:val="18"/>
        </w:rPr>
        <w:t>orreo electrónico</w:t>
      </w:r>
      <w:r>
        <w:rPr>
          <w:szCs w:val="18"/>
        </w:rPr>
        <w:t xml:space="preserve"> del</w:t>
      </w:r>
      <w:r w:rsidRPr="00501F6F">
        <w:rPr>
          <w:szCs w:val="18"/>
        </w:rPr>
        <w:t xml:space="preserve"> 16 de mayo de 2022</w:t>
      </w:r>
      <w:r>
        <w:rPr>
          <w:szCs w:val="18"/>
        </w:rPr>
        <w:t>.</w:t>
      </w:r>
    </w:p>
  </w:footnote>
  <w:footnote w:id="179">
    <w:p w14:paraId="00A85B12" w14:textId="77777777" w:rsidR="00014F56" w:rsidRPr="00501F6F" w:rsidRDefault="00014F56" w:rsidP="00014F56">
      <w:pPr>
        <w:pStyle w:val="Textonotapie"/>
        <w:rPr>
          <w:szCs w:val="18"/>
        </w:rPr>
      </w:pPr>
      <w:r>
        <w:rPr>
          <w:szCs w:val="18"/>
        </w:rPr>
        <w:tab/>
      </w:r>
      <w:r w:rsidRPr="00501F6F">
        <w:rPr>
          <w:szCs w:val="18"/>
          <w:vertAlign w:val="superscript"/>
        </w:rPr>
        <w:footnoteRef/>
      </w:r>
      <w:r>
        <w:rPr>
          <w:szCs w:val="18"/>
        </w:rPr>
        <w:tab/>
      </w:r>
      <w:r w:rsidRPr="00501F6F">
        <w:rPr>
          <w:szCs w:val="18"/>
        </w:rPr>
        <w:t xml:space="preserve">Gerencia de Fronteras. </w:t>
      </w:r>
      <w:r>
        <w:rPr>
          <w:szCs w:val="18"/>
        </w:rPr>
        <w:t>C</w:t>
      </w:r>
      <w:r w:rsidRPr="00501F6F">
        <w:rPr>
          <w:szCs w:val="18"/>
        </w:rPr>
        <w:t>orreo electrónico</w:t>
      </w:r>
      <w:r>
        <w:rPr>
          <w:szCs w:val="18"/>
        </w:rPr>
        <w:t xml:space="preserve"> del</w:t>
      </w:r>
      <w:r w:rsidRPr="00501F6F">
        <w:rPr>
          <w:szCs w:val="18"/>
        </w:rPr>
        <w:t xml:space="preserve"> 16 de mayo de 2022</w:t>
      </w:r>
      <w:r>
        <w:rPr>
          <w:szCs w:val="18"/>
        </w:rPr>
        <w:t>.</w:t>
      </w:r>
    </w:p>
  </w:footnote>
  <w:footnote w:id="180">
    <w:p w14:paraId="162056C1" w14:textId="77777777" w:rsidR="00014F56" w:rsidRPr="00501F6F" w:rsidRDefault="00014F56" w:rsidP="00014F56">
      <w:pPr>
        <w:pStyle w:val="Textonotapie"/>
        <w:rPr>
          <w:szCs w:val="18"/>
        </w:rPr>
      </w:pPr>
      <w:r>
        <w:rPr>
          <w:szCs w:val="18"/>
        </w:rPr>
        <w:tab/>
      </w:r>
      <w:r w:rsidRPr="00501F6F">
        <w:rPr>
          <w:szCs w:val="18"/>
          <w:vertAlign w:val="superscript"/>
        </w:rPr>
        <w:footnoteRef/>
      </w:r>
      <w:r>
        <w:rPr>
          <w:szCs w:val="18"/>
        </w:rPr>
        <w:tab/>
      </w:r>
      <w:r w:rsidRPr="00501F6F">
        <w:rPr>
          <w:szCs w:val="18"/>
        </w:rPr>
        <w:t xml:space="preserve">Gerencia de Fronteras. </w:t>
      </w:r>
      <w:r>
        <w:rPr>
          <w:szCs w:val="18"/>
        </w:rPr>
        <w:t>C</w:t>
      </w:r>
      <w:r w:rsidRPr="00501F6F">
        <w:rPr>
          <w:szCs w:val="18"/>
        </w:rPr>
        <w:t>orreo electrónico</w:t>
      </w:r>
      <w:r>
        <w:rPr>
          <w:szCs w:val="18"/>
        </w:rPr>
        <w:t xml:space="preserve"> del</w:t>
      </w:r>
      <w:r w:rsidRPr="00501F6F">
        <w:rPr>
          <w:szCs w:val="18"/>
        </w:rPr>
        <w:t xml:space="preserve"> 16 de mayo de 2022</w:t>
      </w:r>
      <w:r>
        <w:rPr>
          <w:szCs w:val="18"/>
        </w:rPr>
        <w:t>.</w:t>
      </w:r>
    </w:p>
  </w:footnote>
  <w:footnote w:id="181">
    <w:p w14:paraId="31E4BEA4" w14:textId="77777777" w:rsidR="00014F56" w:rsidRPr="00501F6F" w:rsidRDefault="00014F56" w:rsidP="00014F56">
      <w:pPr>
        <w:pStyle w:val="Textonotapie"/>
        <w:rPr>
          <w:szCs w:val="18"/>
        </w:rPr>
      </w:pPr>
      <w:r>
        <w:rPr>
          <w:szCs w:val="18"/>
        </w:rPr>
        <w:tab/>
      </w:r>
      <w:r w:rsidRPr="00501F6F">
        <w:rPr>
          <w:rStyle w:val="Refdenotaalpie"/>
          <w:szCs w:val="18"/>
        </w:rPr>
        <w:footnoteRef/>
      </w:r>
      <w:r>
        <w:rPr>
          <w:szCs w:val="18"/>
        </w:rPr>
        <w:tab/>
      </w:r>
      <w:r w:rsidRPr="00501F6F">
        <w:rPr>
          <w:szCs w:val="18"/>
        </w:rPr>
        <w:t>Base de datos BDUA con corte a julio de 2022.</w:t>
      </w:r>
    </w:p>
  </w:footnote>
  <w:footnote w:id="182">
    <w:p w14:paraId="705801DC" w14:textId="77777777" w:rsidR="00014F56" w:rsidRPr="00501F6F" w:rsidRDefault="00014F56" w:rsidP="00014F56">
      <w:pPr>
        <w:pStyle w:val="Textonotapie"/>
        <w:rPr>
          <w:szCs w:val="18"/>
        </w:rPr>
      </w:pPr>
      <w:r>
        <w:rPr>
          <w:szCs w:val="18"/>
        </w:rPr>
        <w:tab/>
      </w:r>
      <w:r w:rsidRPr="00501F6F">
        <w:rPr>
          <w:szCs w:val="18"/>
          <w:vertAlign w:val="superscript"/>
        </w:rPr>
        <w:footnoteRef/>
      </w:r>
      <w:r>
        <w:rPr>
          <w:szCs w:val="18"/>
        </w:rPr>
        <w:tab/>
      </w:r>
      <w:r w:rsidRPr="00501F6F">
        <w:rPr>
          <w:szCs w:val="18"/>
        </w:rPr>
        <w:t xml:space="preserve">Gerencia de Fronteras. </w:t>
      </w:r>
      <w:r>
        <w:rPr>
          <w:szCs w:val="18"/>
        </w:rPr>
        <w:t>C</w:t>
      </w:r>
      <w:r w:rsidRPr="00501F6F">
        <w:rPr>
          <w:szCs w:val="18"/>
        </w:rPr>
        <w:t>orreo electrónico</w:t>
      </w:r>
      <w:r>
        <w:rPr>
          <w:szCs w:val="18"/>
        </w:rPr>
        <w:t xml:space="preserve"> del</w:t>
      </w:r>
      <w:r w:rsidRPr="00501F6F">
        <w:rPr>
          <w:szCs w:val="18"/>
        </w:rPr>
        <w:t xml:space="preserve"> 16 de mayo de 2022</w:t>
      </w:r>
      <w:r>
        <w:rPr>
          <w:szCs w:val="18"/>
        </w:rPr>
        <w:t>.</w:t>
      </w:r>
    </w:p>
  </w:footnote>
  <w:footnote w:id="183">
    <w:p w14:paraId="0A5ABF67" w14:textId="77777777" w:rsidR="00014F56" w:rsidRPr="00501F6F" w:rsidRDefault="00014F56" w:rsidP="00014F56">
      <w:pPr>
        <w:pStyle w:val="Textonotapie"/>
        <w:rPr>
          <w:szCs w:val="18"/>
        </w:rPr>
      </w:pPr>
      <w:r>
        <w:rPr>
          <w:szCs w:val="18"/>
        </w:rPr>
        <w:tab/>
      </w:r>
      <w:r w:rsidRPr="00501F6F">
        <w:rPr>
          <w:szCs w:val="18"/>
          <w:vertAlign w:val="superscript"/>
        </w:rPr>
        <w:footnoteRef/>
      </w:r>
      <w:r>
        <w:rPr>
          <w:szCs w:val="18"/>
        </w:rPr>
        <w:tab/>
      </w:r>
      <w:r w:rsidRPr="00501F6F">
        <w:rPr>
          <w:szCs w:val="18"/>
        </w:rPr>
        <w:t xml:space="preserve">Gerencia de Fronteras. </w:t>
      </w:r>
      <w:r>
        <w:rPr>
          <w:szCs w:val="18"/>
        </w:rPr>
        <w:t>C</w:t>
      </w:r>
      <w:r w:rsidRPr="00501F6F">
        <w:rPr>
          <w:szCs w:val="18"/>
        </w:rPr>
        <w:t>orreo electrónico</w:t>
      </w:r>
      <w:r>
        <w:rPr>
          <w:szCs w:val="18"/>
        </w:rPr>
        <w:t xml:space="preserve"> del</w:t>
      </w:r>
      <w:r w:rsidRPr="00501F6F">
        <w:rPr>
          <w:szCs w:val="18"/>
        </w:rPr>
        <w:t xml:space="preserve"> 16 de mayo de 2022</w:t>
      </w:r>
      <w:r>
        <w:rPr>
          <w:szCs w:val="18"/>
        </w:rPr>
        <w:t>.</w:t>
      </w:r>
    </w:p>
  </w:footnote>
  <w:footnote w:id="184">
    <w:p w14:paraId="0D242A6E" w14:textId="77777777" w:rsidR="00014F56" w:rsidRPr="00501F6F" w:rsidRDefault="00014F56" w:rsidP="00014F56">
      <w:pPr>
        <w:pStyle w:val="Textonotapie"/>
        <w:rPr>
          <w:szCs w:val="18"/>
        </w:rPr>
      </w:pPr>
      <w:r>
        <w:rPr>
          <w:szCs w:val="18"/>
        </w:rPr>
        <w:tab/>
      </w:r>
      <w:r w:rsidRPr="00501F6F">
        <w:rPr>
          <w:szCs w:val="18"/>
          <w:vertAlign w:val="superscript"/>
        </w:rPr>
        <w:footnoteRef/>
      </w:r>
      <w:r>
        <w:rPr>
          <w:szCs w:val="18"/>
        </w:rPr>
        <w:tab/>
      </w:r>
      <w:r w:rsidRPr="00501F6F">
        <w:rPr>
          <w:szCs w:val="18"/>
        </w:rPr>
        <w:t xml:space="preserve">Gerencia de Fronteras. </w:t>
      </w:r>
      <w:r>
        <w:rPr>
          <w:szCs w:val="18"/>
        </w:rPr>
        <w:t>C</w:t>
      </w:r>
      <w:r w:rsidRPr="00501F6F">
        <w:rPr>
          <w:szCs w:val="18"/>
        </w:rPr>
        <w:t>orreo electrónico</w:t>
      </w:r>
      <w:r>
        <w:rPr>
          <w:szCs w:val="18"/>
        </w:rPr>
        <w:t xml:space="preserve"> del</w:t>
      </w:r>
      <w:r w:rsidRPr="00501F6F">
        <w:rPr>
          <w:szCs w:val="18"/>
        </w:rPr>
        <w:t xml:space="preserve"> 16 de mayo de 2022</w:t>
      </w:r>
      <w:r>
        <w:rPr>
          <w:szCs w:val="18"/>
        </w:rPr>
        <w:t>.</w:t>
      </w:r>
    </w:p>
  </w:footnote>
  <w:footnote w:id="185">
    <w:p w14:paraId="1A3C81BF" w14:textId="77777777" w:rsidR="00014F56" w:rsidRPr="00501F6F" w:rsidRDefault="00014F56" w:rsidP="00014F56">
      <w:pPr>
        <w:pStyle w:val="Textonotapie"/>
        <w:rPr>
          <w:szCs w:val="18"/>
        </w:rPr>
      </w:pPr>
      <w:r>
        <w:rPr>
          <w:szCs w:val="18"/>
        </w:rPr>
        <w:tab/>
      </w:r>
      <w:r w:rsidRPr="00501F6F">
        <w:rPr>
          <w:szCs w:val="18"/>
          <w:vertAlign w:val="superscript"/>
        </w:rPr>
        <w:footnoteRef/>
      </w:r>
      <w:r>
        <w:rPr>
          <w:szCs w:val="18"/>
        </w:rPr>
        <w:tab/>
      </w:r>
      <w:r w:rsidRPr="00501F6F">
        <w:rPr>
          <w:szCs w:val="18"/>
        </w:rPr>
        <w:t xml:space="preserve">Gerencia de Fronteras. </w:t>
      </w:r>
      <w:r>
        <w:rPr>
          <w:szCs w:val="18"/>
        </w:rPr>
        <w:t>C</w:t>
      </w:r>
      <w:r w:rsidRPr="00501F6F">
        <w:rPr>
          <w:szCs w:val="18"/>
        </w:rPr>
        <w:t>orreo electrónico</w:t>
      </w:r>
      <w:r>
        <w:rPr>
          <w:szCs w:val="18"/>
        </w:rPr>
        <w:t xml:space="preserve"> del</w:t>
      </w:r>
      <w:r w:rsidRPr="00501F6F">
        <w:rPr>
          <w:szCs w:val="18"/>
        </w:rPr>
        <w:t xml:space="preserve"> 16 de mayo de 2022</w:t>
      </w:r>
      <w:r>
        <w:rPr>
          <w:szCs w:val="18"/>
        </w:rPr>
        <w:t>.</w:t>
      </w:r>
    </w:p>
  </w:footnote>
  <w:footnote w:id="186">
    <w:p w14:paraId="3FF0D747" w14:textId="77777777" w:rsidR="00014F56" w:rsidRPr="00501F6F" w:rsidRDefault="00014F56" w:rsidP="00014F56">
      <w:pPr>
        <w:pStyle w:val="Textonotapie"/>
        <w:rPr>
          <w:szCs w:val="18"/>
        </w:rPr>
      </w:pPr>
      <w:r>
        <w:rPr>
          <w:szCs w:val="18"/>
        </w:rPr>
        <w:tab/>
      </w:r>
      <w:r w:rsidRPr="00501F6F">
        <w:rPr>
          <w:szCs w:val="18"/>
          <w:vertAlign w:val="superscript"/>
        </w:rPr>
        <w:footnoteRef/>
      </w:r>
      <w:r>
        <w:rPr>
          <w:szCs w:val="18"/>
        </w:rPr>
        <w:tab/>
      </w:r>
      <w:r w:rsidRPr="00501F6F">
        <w:rPr>
          <w:szCs w:val="18"/>
        </w:rPr>
        <w:t xml:space="preserve">Gerencia de Fronteras. </w:t>
      </w:r>
      <w:r>
        <w:rPr>
          <w:szCs w:val="18"/>
        </w:rPr>
        <w:t>C</w:t>
      </w:r>
      <w:r w:rsidRPr="00501F6F">
        <w:rPr>
          <w:szCs w:val="18"/>
        </w:rPr>
        <w:t>orreo electrónico</w:t>
      </w:r>
      <w:r>
        <w:rPr>
          <w:szCs w:val="18"/>
        </w:rPr>
        <w:t xml:space="preserve"> del</w:t>
      </w:r>
      <w:r w:rsidRPr="00501F6F">
        <w:rPr>
          <w:szCs w:val="18"/>
        </w:rPr>
        <w:t xml:space="preserve"> 16 de mayo de 2022</w:t>
      </w:r>
      <w:r>
        <w:rPr>
          <w:szCs w:val="18"/>
        </w:rPr>
        <w:t>.</w:t>
      </w:r>
    </w:p>
  </w:footnote>
  <w:footnote w:id="187">
    <w:p w14:paraId="02745A95" w14:textId="77777777" w:rsidR="00014F56" w:rsidRPr="00501F6F" w:rsidRDefault="00014F56" w:rsidP="00014F56">
      <w:pPr>
        <w:pStyle w:val="Textonotapie"/>
        <w:rPr>
          <w:szCs w:val="18"/>
        </w:rPr>
      </w:pPr>
      <w:r>
        <w:rPr>
          <w:szCs w:val="18"/>
        </w:rPr>
        <w:tab/>
      </w:r>
      <w:r w:rsidRPr="00501F6F">
        <w:rPr>
          <w:szCs w:val="18"/>
          <w:vertAlign w:val="superscript"/>
        </w:rPr>
        <w:footnoteRef/>
      </w:r>
      <w:r>
        <w:rPr>
          <w:szCs w:val="18"/>
        </w:rPr>
        <w:tab/>
      </w:r>
      <w:r w:rsidRPr="00501F6F">
        <w:rPr>
          <w:szCs w:val="18"/>
        </w:rPr>
        <w:t xml:space="preserve">Gerencia de Fronteras. </w:t>
      </w:r>
      <w:r>
        <w:rPr>
          <w:szCs w:val="18"/>
        </w:rPr>
        <w:t>C</w:t>
      </w:r>
      <w:r w:rsidRPr="00501F6F">
        <w:rPr>
          <w:szCs w:val="18"/>
        </w:rPr>
        <w:t>orreo electrónico</w:t>
      </w:r>
      <w:r>
        <w:rPr>
          <w:szCs w:val="18"/>
        </w:rPr>
        <w:t xml:space="preserve"> del</w:t>
      </w:r>
      <w:r w:rsidRPr="00501F6F">
        <w:rPr>
          <w:szCs w:val="18"/>
        </w:rPr>
        <w:t xml:space="preserve"> 16 de mayo de 2022</w:t>
      </w:r>
      <w:r>
        <w:rPr>
          <w:szCs w:val="18"/>
        </w:rPr>
        <w:t>.</w:t>
      </w:r>
    </w:p>
  </w:footnote>
  <w:footnote w:id="188">
    <w:p w14:paraId="3CC2E3F4" w14:textId="77777777" w:rsidR="00014F56" w:rsidRPr="00501F6F" w:rsidRDefault="00014F56" w:rsidP="00014F56">
      <w:pPr>
        <w:pStyle w:val="Textonotapie"/>
        <w:rPr>
          <w:szCs w:val="18"/>
        </w:rPr>
      </w:pPr>
      <w:r>
        <w:rPr>
          <w:szCs w:val="18"/>
        </w:rPr>
        <w:tab/>
      </w:r>
      <w:r w:rsidRPr="00501F6F">
        <w:rPr>
          <w:szCs w:val="18"/>
          <w:vertAlign w:val="superscript"/>
        </w:rPr>
        <w:footnoteRef/>
      </w:r>
      <w:r>
        <w:rPr>
          <w:szCs w:val="18"/>
        </w:rPr>
        <w:tab/>
      </w:r>
      <w:r w:rsidRPr="00501F6F">
        <w:rPr>
          <w:szCs w:val="18"/>
        </w:rPr>
        <w:t xml:space="preserve">Migración Colombia. </w:t>
      </w:r>
      <w:r>
        <w:rPr>
          <w:szCs w:val="18"/>
        </w:rPr>
        <w:t>C</w:t>
      </w:r>
      <w:r w:rsidRPr="00501F6F">
        <w:rPr>
          <w:szCs w:val="18"/>
        </w:rPr>
        <w:t>orreo electrónico</w:t>
      </w:r>
      <w:r>
        <w:rPr>
          <w:szCs w:val="18"/>
        </w:rPr>
        <w:t xml:space="preserve"> del</w:t>
      </w:r>
      <w:r w:rsidRPr="00501F6F">
        <w:rPr>
          <w:szCs w:val="18"/>
        </w:rPr>
        <w:t xml:space="preserve"> 16 de mayo de 2022</w:t>
      </w:r>
      <w:r>
        <w:rPr>
          <w:szCs w:val="18"/>
        </w:rPr>
        <w:t>.</w:t>
      </w:r>
    </w:p>
  </w:footnote>
  <w:footnote w:id="189">
    <w:p w14:paraId="25CACCEE" w14:textId="3413BD3B" w:rsidR="0042099E" w:rsidRPr="002714C3" w:rsidRDefault="0042099E" w:rsidP="00095139">
      <w:pPr>
        <w:pStyle w:val="Textonotapie"/>
      </w:pPr>
      <w:r>
        <w:tab/>
      </w:r>
      <w:r>
        <w:rPr>
          <w:rStyle w:val="Refdenotaalpie"/>
        </w:rPr>
        <w:footnoteRef/>
      </w:r>
      <w:r>
        <w:tab/>
        <w:t>Ministerio de Justicia, 16 de septiembre de 2022. Información disponible en:</w:t>
      </w:r>
      <w:r w:rsidRPr="002714C3">
        <w:rPr>
          <w:rFonts w:eastAsia="Times New Roman"/>
          <w:bCs/>
          <w:sz w:val="24"/>
          <w:szCs w:val="24"/>
        </w:rPr>
        <w:t xml:space="preserve"> </w:t>
      </w:r>
      <w:hyperlink r:id="rId22" w:history="1">
        <w:r w:rsidRPr="00280D2C">
          <w:rPr>
            <w:rStyle w:val="Hipervnculo"/>
          </w:rPr>
          <w:t>https://www.suin-juriscol.gov.co/legislacion/migrantesvenezolanos.html</w:t>
        </w:r>
      </w:hyperlink>
      <w:r w:rsidRPr="00BC1238">
        <w:t>.</w:t>
      </w:r>
    </w:p>
  </w:footnote>
  <w:footnote w:id="190">
    <w:p w14:paraId="749CAEBB" w14:textId="77777777" w:rsidR="00014F56" w:rsidRPr="00501F6F" w:rsidRDefault="00014F56" w:rsidP="00014F56">
      <w:pPr>
        <w:pStyle w:val="Textonotapie"/>
        <w:rPr>
          <w:szCs w:val="18"/>
        </w:rPr>
      </w:pPr>
      <w:r>
        <w:rPr>
          <w:szCs w:val="18"/>
        </w:rPr>
        <w:tab/>
      </w:r>
      <w:r w:rsidRPr="00501F6F">
        <w:rPr>
          <w:szCs w:val="18"/>
          <w:vertAlign w:val="superscript"/>
        </w:rPr>
        <w:footnoteRef/>
      </w:r>
      <w:r>
        <w:rPr>
          <w:szCs w:val="18"/>
        </w:rPr>
        <w:tab/>
      </w:r>
      <w:r w:rsidRPr="00501F6F">
        <w:rPr>
          <w:szCs w:val="18"/>
        </w:rPr>
        <w:t xml:space="preserve">Ministerio del Interior. </w:t>
      </w:r>
      <w:r>
        <w:rPr>
          <w:szCs w:val="18"/>
        </w:rPr>
        <w:t>C</w:t>
      </w:r>
      <w:r w:rsidRPr="00501F6F">
        <w:rPr>
          <w:szCs w:val="18"/>
        </w:rPr>
        <w:t>orreo electrónico</w:t>
      </w:r>
      <w:r>
        <w:rPr>
          <w:szCs w:val="18"/>
        </w:rPr>
        <w:t xml:space="preserve"> del</w:t>
      </w:r>
      <w:r w:rsidRPr="00501F6F">
        <w:rPr>
          <w:szCs w:val="18"/>
        </w:rPr>
        <w:t xml:space="preserve"> 9 de junio de 2022.</w:t>
      </w:r>
    </w:p>
  </w:footnote>
  <w:footnote w:id="191">
    <w:p w14:paraId="0AD9581B" w14:textId="77777777" w:rsidR="00014F56" w:rsidRPr="00501F6F" w:rsidRDefault="00014F56" w:rsidP="00014F56">
      <w:pPr>
        <w:pStyle w:val="Textonotapie"/>
        <w:rPr>
          <w:szCs w:val="18"/>
        </w:rPr>
      </w:pPr>
      <w:r>
        <w:rPr>
          <w:szCs w:val="18"/>
        </w:rPr>
        <w:tab/>
      </w:r>
      <w:r w:rsidRPr="00501F6F">
        <w:rPr>
          <w:szCs w:val="18"/>
          <w:vertAlign w:val="superscript"/>
        </w:rPr>
        <w:footnoteRef/>
      </w:r>
      <w:r>
        <w:rPr>
          <w:szCs w:val="18"/>
        </w:rPr>
        <w:tab/>
        <w:t>FGN</w:t>
      </w:r>
      <w:r w:rsidRPr="00501F6F">
        <w:rPr>
          <w:szCs w:val="18"/>
        </w:rPr>
        <w:t>. Radicado No. 20221700028821. 25 de abril de 2022.</w:t>
      </w:r>
    </w:p>
  </w:footnote>
  <w:footnote w:id="192">
    <w:p w14:paraId="6B150246" w14:textId="77777777" w:rsidR="00014F56" w:rsidRPr="00501F6F" w:rsidRDefault="00014F56" w:rsidP="00014F56">
      <w:pPr>
        <w:pStyle w:val="Textonotapie"/>
        <w:rPr>
          <w:szCs w:val="18"/>
        </w:rPr>
      </w:pPr>
      <w:r>
        <w:rPr>
          <w:szCs w:val="18"/>
        </w:rPr>
        <w:tab/>
      </w:r>
      <w:r w:rsidRPr="00501F6F">
        <w:rPr>
          <w:szCs w:val="18"/>
          <w:vertAlign w:val="superscript"/>
        </w:rPr>
        <w:footnoteRef/>
      </w:r>
      <w:r>
        <w:rPr>
          <w:szCs w:val="18"/>
        </w:rPr>
        <w:tab/>
        <w:t>FGN</w:t>
      </w:r>
      <w:r w:rsidRPr="00501F6F">
        <w:rPr>
          <w:szCs w:val="18"/>
        </w:rPr>
        <w:t>. Radicado No. 20221700028821. 25 de abril de 2022.</w:t>
      </w:r>
    </w:p>
  </w:footnote>
  <w:footnote w:id="193">
    <w:p w14:paraId="13EF6BA2" w14:textId="77777777" w:rsidR="00014F56" w:rsidRPr="00501F6F" w:rsidRDefault="00014F56" w:rsidP="00014F56">
      <w:pPr>
        <w:pStyle w:val="Textonotapie"/>
        <w:rPr>
          <w:szCs w:val="18"/>
        </w:rPr>
      </w:pPr>
      <w:r>
        <w:rPr>
          <w:szCs w:val="18"/>
        </w:rPr>
        <w:tab/>
      </w:r>
      <w:r w:rsidRPr="00501F6F">
        <w:rPr>
          <w:szCs w:val="18"/>
          <w:vertAlign w:val="superscript"/>
        </w:rPr>
        <w:footnoteRef/>
      </w:r>
      <w:r>
        <w:rPr>
          <w:szCs w:val="18"/>
        </w:rPr>
        <w:tab/>
        <w:t>FGN</w:t>
      </w:r>
      <w:r w:rsidRPr="00501F6F">
        <w:rPr>
          <w:szCs w:val="18"/>
        </w:rPr>
        <w:t>. Radicado No. 20221700028821. 25 de abril de 2022.</w:t>
      </w:r>
    </w:p>
  </w:footnote>
  <w:footnote w:id="194">
    <w:p w14:paraId="3BACB147" w14:textId="77777777" w:rsidR="00014F56" w:rsidRPr="00501F6F" w:rsidRDefault="00014F56" w:rsidP="00014F56">
      <w:pPr>
        <w:pStyle w:val="Textonotapie"/>
        <w:rPr>
          <w:szCs w:val="18"/>
        </w:rPr>
      </w:pPr>
      <w:r>
        <w:rPr>
          <w:szCs w:val="18"/>
        </w:rPr>
        <w:tab/>
      </w:r>
      <w:r w:rsidRPr="00501F6F">
        <w:rPr>
          <w:szCs w:val="18"/>
          <w:vertAlign w:val="superscript"/>
        </w:rPr>
        <w:footnoteRef/>
      </w:r>
      <w:r>
        <w:rPr>
          <w:szCs w:val="18"/>
        </w:rPr>
        <w:tab/>
      </w:r>
      <w:r w:rsidRPr="00501F6F">
        <w:rPr>
          <w:szCs w:val="18"/>
        </w:rPr>
        <w:t xml:space="preserve">Ministerio del Interior. </w:t>
      </w:r>
      <w:r>
        <w:rPr>
          <w:szCs w:val="18"/>
        </w:rPr>
        <w:t>C</w:t>
      </w:r>
      <w:r w:rsidRPr="00501F6F">
        <w:rPr>
          <w:szCs w:val="18"/>
        </w:rPr>
        <w:t>orreo electrónico</w:t>
      </w:r>
      <w:r>
        <w:rPr>
          <w:szCs w:val="18"/>
        </w:rPr>
        <w:t xml:space="preserve"> del</w:t>
      </w:r>
      <w:r w:rsidRPr="00501F6F">
        <w:rPr>
          <w:szCs w:val="18"/>
        </w:rPr>
        <w:t xml:space="preserve"> 9 de junio de 2022.</w:t>
      </w:r>
    </w:p>
  </w:footnote>
  <w:footnote w:id="195">
    <w:p w14:paraId="170B46C8" w14:textId="77777777" w:rsidR="00014F56" w:rsidRPr="00501F6F" w:rsidRDefault="00014F56" w:rsidP="00014F56">
      <w:pPr>
        <w:pStyle w:val="Textonotapie"/>
        <w:rPr>
          <w:szCs w:val="18"/>
        </w:rPr>
      </w:pPr>
      <w:r>
        <w:rPr>
          <w:szCs w:val="18"/>
        </w:rPr>
        <w:tab/>
      </w:r>
      <w:r w:rsidRPr="00501F6F">
        <w:rPr>
          <w:szCs w:val="18"/>
          <w:vertAlign w:val="superscript"/>
        </w:rPr>
        <w:footnoteRef/>
      </w:r>
      <w:r>
        <w:rPr>
          <w:szCs w:val="18"/>
        </w:rPr>
        <w:tab/>
      </w:r>
      <w:r w:rsidRPr="00501F6F">
        <w:rPr>
          <w:szCs w:val="18"/>
        </w:rPr>
        <w:t xml:space="preserve">Ministerio del Interior. </w:t>
      </w:r>
      <w:r>
        <w:rPr>
          <w:szCs w:val="18"/>
        </w:rPr>
        <w:t>C</w:t>
      </w:r>
      <w:r w:rsidRPr="00501F6F">
        <w:rPr>
          <w:szCs w:val="18"/>
        </w:rPr>
        <w:t>orreo electrónico</w:t>
      </w:r>
      <w:r>
        <w:rPr>
          <w:szCs w:val="18"/>
        </w:rPr>
        <w:t xml:space="preserve"> del</w:t>
      </w:r>
      <w:r w:rsidRPr="00501F6F">
        <w:rPr>
          <w:szCs w:val="18"/>
        </w:rPr>
        <w:t xml:space="preserve"> 9 de junio de 2022.</w:t>
      </w:r>
    </w:p>
  </w:footnote>
  <w:footnote w:id="196">
    <w:p w14:paraId="52E85CA2" w14:textId="77777777" w:rsidR="00014F56" w:rsidRPr="00CD04C9" w:rsidRDefault="00014F56" w:rsidP="00014F56">
      <w:pPr>
        <w:pStyle w:val="Textonotapie"/>
        <w:rPr>
          <w:szCs w:val="18"/>
          <w:lang w:val="es-CO"/>
        </w:rPr>
      </w:pPr>
      <w:r>
        <w:rPr>
          <w:szCs w:val="18"/>
        </w:rPr>
        <w:tab/>
      </w:r>
      <w:r w:rsidRPr="00CD04C9">
        <w:rPr>
          <w:rStyle w:val="Refdenotaalpie"/>
          <w:szCs w:val="18"/>
        </w:rPr>
        <w:footnoteRef/>
      </w:r>
      <w:r>
        <w:rPr>
          <w:szCs w:val="18"/>
        </w:rPr>
        <w:tab/>
      </w:r>
      <w:r>
        <w:rPr>
          <w:szCs w:val="18"/>
          <w:lang w:val="es-CO"/>
        </w:rPr>
        <w:t>UNP</w:t>
      </w:r>
      <w:r w:rsidRPr="00CD04C9">
        <w:rPr>
          <w:szCs w:val="18"/>
          <w:lang w:val="es-CO"/>
        </w:rPr>
        <w:t>. OFI22-00030023 del 8 de julio de 2022.</w:t>
      </w:r>
    </w:p>
  </w:footnote>
  <w:footnote w:id="197">
    <w:p w14:paraId="0DE596FF" w14:textId="77777777" w:rsidR="00014F56" w:rsidRPr="00501F6F" w:rsidRDefault="00014F56" w:rsidP="00014F56">
      <w:pPr>
        <w:pStyle w:val="Textonotapie"/>
        <w:rPr>
          <w:szCs w:val="18"/>
        </w:rPr>
      </w:pPr>
      <w:r>
        <w:rPr>
          <w:szCs w:val="18"/>
        </w:rPr>
        <w:tab/>
      </w:r>
      <w:r w:rsidRPr="00501F6F">
        <w:rPr>
          <w:szCs w:val="18"/>
          <w:vertAlign w:val="superscript"/>
        </w:rPr>
        <w:footnoteRef/>
      </w:r>
      <w:r>
        <w:rPr>
          <w:szCs w:val="18"/>
        </w:rPr>
        <w:tab/>
      </w:r>
      <w:r w:rsidRPr="00501F6F">
        <w:rPr>
          <w:szCs w:val="18"/>
        </w:rPr>
        <w:t>C</w:t>
      </w:r>
      <w:r>
        <w:rPr>
          <w:szCs w:val="18"/>
        </w:rPr>
        <w:t>PDHAI</w:t>
      </w:r>
      <w:r w:rsidRPr="00501F6F">
        <w:rPr>
          <w:szCs w:val="18"/>
        </w:rPr>
        <w:t xml:space="preserve">. </w:t>
      </w:r>
      <w:r>
        <w:rPr>
          <w:szCs w:val="18"/>
        </w:rPr>
        <w:t>C</w:t>
      </w:r>
      <w:r w:rsidRPr="00501F6F">
        <w:rPr>
          <w:szCs w:val="18"/>
        </w:rPr>
        <w:t>orreo electrónico</w:t>
      </w:r>
      <w:r>
        <w:rPr>
          <w:szCs w:val="18"/>
        </w:rPr>
        <w:t xml:space="preserve"> del</w:t>
      </w:r>
      <w:r w:rsidRPr="00501F6F">
        <w:rPr>
          <w:szCs w:val="18"/>
        </w:rPr>
        <w:t xml:space="preserve"> 21 de abril de 2022</w:t>
      </w:r>
      <w:r>
        <w:rPr>
          <w:szCs w:val="18"/>
        </w:rPr>
        <w:t>.</w:t>
      </w:r>
    </w:p>
  </w:footnote>
  <w:footnote w:id="198">
    <w:p w14:paraId="7ECDFA63" w14:textId="77777777" w:rsidR="00014F56" w:rsidRPr="00501F6F" w:rsidRDefault="00014F56" w:rsidP="00014F56">
      <w:pPr>
        <w:pStyle w:val="Textonotapie"/>
        <w:rPr>
          <w:szCs w:val="18"/>
        </w:rPr>
      </w:pPr>
      <w:r>
        <w:rPr>
          <w:szCs w:val="18"/>
        </w:rPr>
        <w:tab/>
      </w:r>
      <w:r w:rsidRPr="00501F6F">
        <w:rPr>
          <w:szCs w:val="18"/>
          <w:vertAlign w:val="superscript"/>
        </w:rPr>
        <w:footnoteRef/>
      </w:r>
      <w:r>
        <w:rPr>
          <w:szCs w:val="18"/>
        </w:rPr>
        <w:tab/>
      </w:r>
      <w:r w:rsidRPr="00501F6F">
        <w:rPr>
          <w:szCs w:val="18"/>
        </w:rPr>
        <w:t>C</w:t>
      </w:r>
      <w:r>
        <w:rPr>
          <w:szCs w:val="18"/>
        </w:rPr>
        <w:t>PDHAI</w:t>
      </w:r>
      <w:r w:rsidRPr="00501F6F">
        <w:rPr>
          <w:szCs w:val="18"/>
        </w:rPr>
        <w:t xml:space="preserve">. </w:t>
      </w:r>
      <w:r>
        <w:rPr>
          <w:szCs w:val="18"/>
        </w:rPr>
        <w:t>C</w:t>
      </w:r>
      <w:r w:rsidRPr="00501F6F">
        <w:rPr>
          <w:szCs w:val="18"/>
        </w:rPr>
        <w:t>orreo electrónico</w:t>
      </w:r>
      <w:r>
        <w:rPr>
          <w:szCs w:val="18"/>
        </w:rPr>
        <w:t xml:space="preserve"> del</w:t>
      </w:r>
      <w:r w:rsidRPr="00501F6F">
        <w:rPr>
          <w:szCs w:val="18"/>
        </w:rPr>
        <w:t xml:space="preserve"> 21 de abril de 2022</w:t>
      </w:r>
      <w:r>
        <w:rPr>
          <w:szCs w:val="18"/>
        </w:rPr>
        <w:t>.</w:t>
      </w:r>
    </w:p>
  </w:footnote>
  <w:footnote w:id="199">
    <w:p w14:paraId="5DFB6761" w14:textId="77777777" w:rsidR="00014F56" w:rsidRPr="00501F6F" w:rsidRDefault="00014F56" w:rsidP="00014F56">
      <w:pPr>
        <w:pStyle w:val="Textonotapie"/>
        <w:rPr>
          <w:szCs w:val="18"/>
        </w:rPr>
      </w:pPr>
      <w:r>
        <w:rPr>
          <w:szCs w:val="18"/>
        </w:rPr>
        <w:tab/>
      </w:r>
      <w:r w:rsidRPr="00501F6F">
        <w:rPr>
          <w:szCs w:val="18"/>
          <w:vertAlign w:val="superscript"/>
        </w:rPr>
        <w:footnoteRef/>
      </w:r>
      <w:r>
        <w:rPr>
          <w:szCs w:val="18"/>
        </w:rPr>
        <w:tab/>
      </w:r>
      <w:r w:rsidRPr="00501F6F">
        <w:rPr>
          <w:szCs w:val="18"/>
        </w:rPr>
        <w:t>C</w:t>
      </w:r>
      <w:r>
        <w:rPr>
          <w:szCs w:val="18"/>
        </w:rPr>
        <w:t>PDHAI</w:t>
      </w:r>
      <w:r w:rsidRPr="00501F6F">
        <w:rPr>
          <w:szCs w:val="18"/>
        </w:rPr>
        <w:t xml:space="preserve">. </w:t>
      </w:r>
      <w:r>
        <w:rPr>
          <w:szCs w:val="18"/>
        </w:rPr>
        <w:t>C</w:t>
      </w:r>
      <w:r w:rsidRPr="00501F6F">
        <w:rPr>
          <w:szCs w:val="18"/>
        </w:rPr>
        <w:t>orreo electrónico</w:t>
      </w:r>
      <w:r>
        <w:rPr>
          <w:szCs w:val="18"/>
        </w:rPr>
        <w:t xml:space="preserve"> del</w:t>
      </w:r>
      <w:r w:rsidRPr="00501F6F">
        <w:rPr>
          <w:szCs w:val="18"/>
        </w:rPr>
        <w:t xml:space="preserve"> 21 de abril de 2022</w:t>
      </w:r>
      <w:r>
        <w:rPr>
          <w:szCs w:val="18"/>
        </w:rPr>
        <w:t>.</w:t>
      </w:r>
    </w:p>
  </w:footnote>
  <w:footnote w:id="200">
    <w:p w14:paraId="793A1767" w14:textId="77777777" w:rsidR="00014F56" w:rsidRPr="00501F6F" w:rsidRDefault="00014F56" w:rsidP="00014F56">
      <w:pPr>
        <w:pStyle w:val="Textonotapie"/>
        <w:rPr>
          <w:szCs w:val="18"/>
        </w:rPr>
      </w:pPr>
      <w:r>
        <w:rPr>
          <w:szCs w:val="18"/>
        </w:rPr>
        <w:tab/>
      </w:r>
      <w:r w:rsidRPr="00501F6F">
        <w:rPr>
          <w:szCs w:val="18"/>
          <w:vertAlign w:val="superscript"/>
        </w:rPr>
        <w:footnoteRef/>
      </w:r>
      <w:r>
        <w:rPr>
          <w:szCs w:val="18"/>
        </w:rPr>
        <w:tab/>
      </w:r>
      <w:r w:rsidRPr="00501F6F">
        <w:rPr>
          <w:szCs w:val="18"/>
        </w:rPr>
        <w:t>C</w:t>
      </w:r>
      <w:r>
        <w:rPr>
          <w:szCs w:val="18"/>
        </w:rPr>
        <w:t>PDHAI</w:t>
      </w:r>
      <w:r w:rsidRPr="00501F6F">
        <w:rPr>
          <w:szCs w:val="18"/>
        </w:rPr>
        <w:t xml:space="preserve">. </w:t>
      </w:r>
      <w:r>
        <w:rPr>
          <w:szCs w:val="18"/>
        </w:rPr>
        <w:t>C</w:t>
      </w:r>
      <w:r w:rsidRPr="00501F6F">
        <w:rPr>
          <w:szCs w:val="18"/>
        </w:rPr>
        <w:t>orreo electrónico</w:t>
      </w:r>
      <w:r>
        <w:rPr>
          <w:szCs w:val="18"/>
        </w:rPr>
        <w:t xml:space="preserve"> del</w:t>
      </w:r>
      <w:r w:rsidRPr="00501F6F">
        <w:rPr>
          <w:szCs w:val="18"/>
        </w:rPr>
        <w:t xml:space="preserve"> 21 de abril de 2022</w:t>
      </w:r>
      <w:r>
        <w:rPr>
          <w:szCs w:val="18"/>
        </w:rPr>
        <w:t>.</w:t>
      </w:r>
    </w:p>
  </w:footnote>
  <w:footnote w:id="201">
    <w:p w14:paraId="1192F38F" w14:textId="77777777" w:rsidR="00014F56" w:rsidRPr="00501F6F" w:rsidRDefault="00014F56" w:rsidP="00014F56">
      <w:pPr>
        <w:pStyle w:val="Textonotapie"/>
        <w:rPr>
          <w:szCs w:val="18"/>
        </w:rPr>
      </w:pPr>
      <w:r>
        <w:rPr>
          <w:szCs w:val="18"/>
        </w:rPr>
        <w:tab/>
      </w:r>
      <w:r w:rsidRPr="00501F6F">
        <w:rPr>
          <w:szCs w:val="18"/>
          <w:vertAlign w:val="superscript"/>
        </w:rPr>
        <w:footnoteRef/>
      </w:r>
      <w:r>
        <w:rPr>
          <w:szCs w:val="18"/>
        </w:rPr>
        <w:tab/>
      </w:r>
      <w:r w:rsidRPr="00501F6F">
        <w:rPr>
          <w:szCs w:val="18"/>
        </w:rPr>
        <w:t>C</w:t>
      </w:r>
      <w:r>
        <w:rPr>
          <w:szCs w:val="18"/>
        </w:rPr>
        <w:t>PDHAI</w:t>
      </w:r>
      <w:r w:rsidRPr="00501F6F">
        <w:rPr>
          <w:szCs w:val="18"/>
        </w:rPr>
        <w:t xml:space="preserve">. </w:t>
      </w:r>
      <w:r>
        <w:rPr>
          <w:szCs w:val="18"/>
        </w:rPr>
        <w:t>C</w:t>
      </w:r>
      <w:r w:rsidRPr="00501F6F">
        <w:rPr>
          <w:szCs w:val="18"/>
        </w:rPr>
        <w:t>orreo electrónico</w:t>
      </w:r>
      <w:r>
        <w:rPr>
          <w:szCs w:val="18"/>
        </w:rPr>
        <w:t xml:space="preserve"> del</w:t>
      </w:r>
      <w:r w:rsidRPr="00501F6F">
        <w:rPr>
          <w:szCs w:val="18"/>
        </w:rPr>
        <w:t xml:space="preserve"> 21 de abril de 2022</w:t>
      </w:r>
      <w:r>
        <w:rPr>
          <w:szCs w:val="18"/>
        </w:rPr>
        <w:t>.</w:t>
      </w:r>
    </w:p>
  </w:footnote>
  <w:footnote w:id="202">
    <w:p w14:paraId="1C56320C" w14:textId="77777777" w:rsidR="00014F56" w:rsidRPr="00501F6F" w:rsidRDefault="00014F56" w:rsidP="00014F56">
      <w:pPr>
        <w:pStyle w:val="Textonotapie"/>
        <w:rPr>
          <w:szCs w:val="18"/>
        </w:rPr>
      </w:pPr>
      <w:r>
        <w:rPr>
          <w:szCs w:val="18"/>
        </w:rPr>
        <w:tab/>
      </w:r>
      <w:r w:rsidRPr="00501F6F">
        <w:rPr>
          <w:szCs w:val="18"/>
          <w:vertAlign w:val="superscript"/>
        </w:rPr>
        <w:footnoteRef/>
      </w:r>
      <w:r>
        <w:rPr>
          <w:szCs w:val="18"/>
        </w:rPr>
        <w:tab/>
      </w:r>
      <w:r w:rsidRPr="00501F6F">
        <w:rPr>
          <w:szCs w:val="18"/>
        </w:rPr>
        <w:t>C</w:t>
      </w:r>
      <w:r>
        <w:rPr>
          <w:szCs w:val="18"/>
        </w:rPr>
        <w:t>PDHAI</w:t>
      </w:r>
      <w:r w:rsidRPr="00501F6F">
        <w:rPr>
          <w:szCs w:val="18"/>
        </w:rPr>
        <w:t xml:space="preserve">. </w:t>
      </w:r>
      <w:r>
        <w:rPr>
          <w:szCs w:val="18"/>
        </w:rPr>
        <w:t>C</w:t>
      </w:r>
      <w:r w:rsidRPr="00501F6F">
        <w:rPr>
          <w:szCs w:val="18"/>
        </w:rPr>
        <w:t>orreo electrónico</w:t>
      </w:r>
      <w:r>
        <w:rPr>
          <w:szCs w:val="18"/>
        </w:rPr>
        <w:t xml:space="preserve"> del</w:t>
      </w:r>
      <w:r w:rsidRPr="00501F6F">
        <w:rPr>
          <w:szCs w:val="18"/>
        </w:rPr>
        <w:t xml:space="preserve"> 21 de abril de 2022</w:t>
      </w:r>
      <w:r>
        <w:rPr>
          <w:szCs w:val="18"/>
        </w:rPr>
        <w:t>.</w:t>
      </w:r>
    </w:p>
  </w:footnote>
  <w:footnote w:id="203">
    <w:p w14:paraId="57154A5A" w14:textId="77777777" w:rsidR="00014F56" w:rsidRPr="00501F6F" w:rsidRDefault="00014F56" w:rsidP="00014F56">
      <w:pPr>
        <w:pStyle w:val="Textonotapie"/>
        <w:rPr>
          <w:szCs w:val="18"/>
        </w:rPr>
      </w:pPr>
      <w:r>
        <w:rPr>
          <w:szCs w:val="18"/>
        </w:rPr>
        <w:tab/>
      </w:r>
      <w:r w:rsidRPr="00501F6F">
        <w:rPr>
          <w:szCs w:val="18"/>
          <w:vertAlign w:val="superscript"/>
        </w:rPr>
        <w:footnoteRef/>
      </w:r>
      <w:r>
        <w:rPr>
          <w:szCs w:val="18"/>
        </w:rPr>
        <w:tab/>
      </w:r>
      <w:r w:rsidRPr="00501F6F">
        <w:rPr>
          <w:szCs w:val="18"/>
        </w:rPr>
        <w:t>C</w:t>
      </w:r>
      <w:r>
        <w:rPr>
          <w:szCs w:val="18"/>
        </w:rPr>
        <w:t>PDHAI</w:t>
      </w:r>
      <w:r w:rsidRPr="00501F6F">
        <w:rPr>
          <w:szCs w:val="18"/>
        </w:rPr>
        <w:t xml:space="preserve">. </w:t>
      </w:r>
      <w:r>
        <w:rPr>
          <w:szCs w:val="18"/>
        </w:rPr>
        <w:t>C</w:t>
      </w:r>
      <w:r w:rsidRPr="00501F6F">
        <w:rPr>
          <w:szCs w:val="18"/>
        </w:rPr>
        <w:t>orreo electrónico</w:t>
      </w:r>
      <w:r>
        <w:rPr>
          <w:szCs w:val="18"/>
        </w:rPr>
        <w:t xml:space="preserve"> del</w:t>
      </w:r>
      <w:r w:rsidRPr="00501F6F">
        <w:rPr>
          <w:szCs w:val="18"/>
        </w:rPr>
        <w:t xml:space="preserve"> 21 de abril de 2022</w:t>
      </w:r>
      <w:r>
        <w:rPr>
          <w:szCs w:val="18"/>
        </w:rPr>
        <w:t>.</w:t>
      </w:r>
    </w:p>
  </w:footnote>
  <w:footnote w:id="204">
    <w:p w14:paraId="38E61E00" w14:textId="77777777" w:rsidR="00014F56" w:rsidRPr="00501F6F" w:rsidRDefault="00014F56" w:rsidP="00014F56">
      <w:pPr>
        <w:pStyle w:val="Textonotapie"/>
        <w:rPr>
          <w:szCs w:val="18"/>
        </w:rPr>
      </w:pPr>
      <w:r>
        <w:rPr>
          <w:szCs w:val="18"/>
        </w:rPr>
        <w:tab/>
      </w:r>
      <w:r w:rsidRPr="00501F6F">
        <w:rPr>
          <w:szCs w:val="18"/>
          <w:vertAlign w:val="superscript"/>
        </w:rPr>
        <w:footnoteRef/>
      </w:r>
      <w:r>
        <w:rPr>
          <w:szCs w:val="18"/>
        </w:rPr>
        <w:tab/>
      </w:r>
      <w:r w:rsidRPr="00501F6F">
        <w:rPr>
          <w:szCs w:val="18"/>
        </w:rPr>
        <w:t>C</w:t>
      </w:r>
      <w:r>
        <w:rPr>
          <w:szCs w:val="18"/>
        </w:rPr>
        <w:t>PDHAI</w:t>
      </w:r>
      <w:r w:rsidRPr="00501F6F">
        <w:rPr>
          <w:szCs w:val="18"/>
        </w:rPr>
        <w:t xml:space="preserve">. </w:t>
      </w:r>
      <w:r>
        <w:rPr>
          <w:szCs w:val="18"/>
        </w:rPr>
        <w:t>C</w:t>
      </w:r>
      <w:r w:rsidRPr="00501F6F">
        <w:rPr>
          <w:szCs w:val="18"/>
        </w:rPr>
        <w:t>orreo electrónico</w:t>
      </w:r>
      <w:r>
        <w:rPr>
          <w:szCs w:val="18"/>
        </w:rPr>
        <w:t xml:space="preserve"> del</w:t>
      </w:r>
      <w:r w:rsidRPr="00501F6F">
        <w:rPr>
          <w:szCs w:val="18"/>
        </w:rPr>
        <w:t xml:space="preserve"> 21 de abril de 2022</w:t>
      </w:r>
      <w:r>
        <w:rPr>
          <w:szCs w:val="18"/>
        </w:rPr>
        <w:t>.</w:t>
      </w:r>
    </w:p>
  </w:footnote>
  <w:footnote w:id="205">
    <w:p w14:paraId="7C819B1A" w14:textId="77777777" w:rsidR="00014F56" w:rsidRPr="00501F6F" w:rsidRDefault="00014F56" w:rsidP="00014F56">
      <w:pPr>
        <w:pStyle w:val="Textonotapie"/>
        <w:rPr>
          <w:szCs w:val="18"/>
        </w:rPr>
      </w:pPr>
      <w:r>
        <w:rPr>
          <w:szCs w:val="18"/>
        </w:rPr>
        <w:tab/>
      </w:r>
      <w:r w:rsidRPr="00501F6F">
        <w:rPr>
          <w:szCs w:val="18"/>
          <w:vertAlign w:val="superscript"/>
        </w:rPr>
        <w:footnoteRef/>
      </w:r>
      <w:r>
        <w:rPr>
          <w:szCs w:val="18"/>
        </w:rPr>
        <w:tab/>
      </w:r>
      <w:r w:rsidRPr="00501F6F">
        <w:rPr>
          <w:szCs w:val="18"/>
        </w:rPr>
        <w:t xml:space="preserve">Ministerio del Interior. </w:t>
      </w:r>
      <w:r>
        <w:rPr>
          <w:szCs w:val="18"/>
        </w:rPr>
        <w:t>C</w:t>
      </w:r>
      <w:r w:rsidRPr="00501F6F">
        <w:rPr>
          <w:szCs w:val="18"/>
        </w:rPr>
        <w:t>orreo electrónico</w:t>
      </w:r>
      <w:r>
        <w:rPr>
          <w:szCs w:val="18"/>
        </w:rPr>
        <w:t xml:space="preserve"> del</w:t>
      </w:r>
      <w:r w:rsidRPr="00501F6F">
        <w:rPr>
          <w:szCs w:val="18"/>
        </w:rPr>
        <w:t xml:space="preserve"> 9 de junio de 2022.</w:t>
      </w:r>
    </w:p>
  </w:footnote>
  <w:footnote w:id="206">
    <w:p w14:paraId="00B35853" w14:textId="77777777" w:rsidR="00014F56" w:rsidRPr="00501F6F" w:rsidRDefault="00014F56" w:rsidP="00014F56">
      <w:pPr>
        <w:pStyle w:val="Textonotapie"/>
        <w:rPr>
          <w:szCs w:val="18"/>
        </w:rPr>
      </w:pPr>
      <w:r>
        <w:rPr>
          <w:szCs w:val="18"/>
        </w:rPr>
        <w:tab/>
      </w:r>
      <w:r w:rsidRPr="00501F6F">
        <w:rPr>
          <w:szCs w:val="18"/>
          <w:vertAlign w:val="superscript"/>
        </w:rPr>
        <w:footnoteRef/>
      </w:r>
      <w:r>
        <w:rPr>
          <w:szCs w:val="18"/>
        </w:rPr>
        <w:tab/>
      </w:r>
      <w:r w:rsidRPr="00501F6F">
        <w:rPr>
          <w:szCs w:val="18"/>
        </w:rPr>
        <w:t>UARIV. Radicado No. 20221109946991. 28 de abril de 2022.</w:t>
      </w:r>
    </w:p>
  </w:footnote>
  <w:footnote w:id="207">
    <w:p w14:paraId="64FB5D97" w14:textId="77777777" w:rsidR="00014F56" w:rsidRPr="00501F6F" w:rsidRDefault="00014F56" w:rsidP="00014F56">
      <w:pPr>
        <w:pStyle w:val="Textonotapie"/>
        <w:rPr>
          <w:szCs w:val="18"/>
        </w:rPr>
      </w:pPr>
      <w:r>
        <w:rPr>
          <w:szCs w:val="18"/>
        </w:rPr>
        <w:tab/>
      </w:r>
      <w:r w:rsidRPr="00501F6F">
        <w:rPr>
          <w:szCs w:val="18"/>
          <w:vertAlign w:val="superscript"/>
        </w:rPr>
        <w:footnoteRef/>
      </w:r>
      <w:r>
        <w:rPr>
          <w:szCs w:val="18"/>
        </w:rPr>
        <w:tab/>
      </w:r>
      <w:r w:rsidRPr="00501F6F">
        <w:rPr>
          <w:szCs w:val="18"/>
        </w:rPr>
        <w:t>UARIV. Radicado No. 20221109946991. 28 de abril de 2022.</w:t>
      </w:r>
    </w:p>
  </w:footnote>
  <w:footnote w:id="208">
    <w:p w14:paraId="154D53D5" w14:textId="2355AD9A" w:rsidR="00014F56" w:rsidRPr="00501F6F" w:rsidRDefault="00014F56" w:rsidP="00014F56">
      <w:pPr>
        <w:pStyle w:val="Textonotapie"/>
        <w:rPr>
          <w:szCs w:val="18"/>
          <w:lang w:val="es-CO"/>
        </w:rPr>
      </w:pPr>
      <w:r>
        <w:rPr>
          <w:szCs w:val="18"/>
        </w:rPr>
        <w:tab/>
      </w:r>
      <w:r w:rsidRPr="00501F6F">
        <w:rPr>
          <w:rStyle w:val="Refdenotaalpie"/>
          <w:szCs w:val="18"/>
        </w:rPr>
        <w:footnoteRef/>
      </w:r>
      <w:r>
        <w:rPr>
          <w:szCs w:val="18"/>
        </w:rPr>
        <w:tab/>
      </w:r>
      <w:r w:rsidRPr="00501F6F">
        <w:rPr>
          <w:szCs w:val="18"/>
        </w:rPr>
        <w:t>UARIV. Información enviada por correo electrónico. 15 de julio de 2022</w:t>
      </w:r>
      <w:r>
        <w:rPr>
          <w:szCs w:val="18"/>
        </w:rPr>
        <w:t>.</w:t>
      </w:r>
    </w:p>
  </w:footnote>
  <w:footnote w:id="209">
    <w:p w14:paraId="2E2DBDBA" w14:textId="77777777" w:rsidR="00014F56" w:rsidRPr="00501F6F" w:rsidRDefault="00014F56" w:rsidP="00014F56">
      <w:pPr>
        <w:pStyle w:val="Textonotapie"/>
        <w:rPr>
          <w:szCs w:val="18"/>
        </w:rPr>
      </w:pPr>
      <w:r>
        <w:rPr>
          <w:szCs w:val="18"/>
        </w:rPr>
        <w:tab/>
      </w:r>
      <w:r w:rsidRPr="00501F6F">
        <w:rPr>
          <w:szCs w:val="18"/>
          <w:vertAlign w:val="superscript"/>
        </w:rPr>
        <w:footnoteRef/>
      </w:r>
      <w:r>
        <w:rPr>
          <w:szCs w:val="18"/>
        </w:rPr>
        <w:tab/>
      </w:r>
      <w:r w:rsidRPr="00501F6F">
        <w:rPr>
          <w:szCs w:val="18"/>
        </w:rPr>
        <w:t>UARIV. Radicado No. 20221109946991. 28 de abril de 2022.</w:t>
      </w:r>
    </w:p>
  </w:footnote>
  <w:footnote w:id="210">
    <w:p w14:paraId="7DBF20B8" w14:textId="77777777" w:rsidR="00014F56" w:rsidRPr="00501F6F" w:rsidRDefault="00014F56" w:rsidP="00014F56">
      <w:pPr>
        <w:pStyle w:val="Textonotapie"/>
        <w:rPr>
          <w:szCs w:val="18"/>
        </w:rPr>
      </w:pPr>
      <w:r>
        <w:rPr>
          <w:szCs w:val="18"/>
        </w:rPr>
        <w:tab/>
      </w:r>
      <w:r w:rsidRPr="00501F6F">
        <w:rPr>
          <w:szCs w:val="18"/>
          <w:vertAlign w:val="superscript"/>
        </w:rPr>
        <w:footnoteRef/>
      </w:r>
      <w:r>
        <w:rPr>
          <w:szCs w:val="18"/>
        </w:rPr>
        <w:tab/>
      </w:r>
      <w:r w:rsidRPr="00501F6F">
        <w:rPr>
          <w:szCs w:val="18"/>
        </w:rPr>
        <w:t>UARIV. Radicado No. 20221109946991. 28 de abril de 2022.</w:t>
      </w:r>
    </w:p>
  </w:footnote>
  <w:footnote w:id="211">
    <w:p w14:paraId="4F138D4D" w14:textId="77777777" w:rsidR="00014F56" w:rsidRPr="00501F6F" w:rsidRDefault="00014F56" w:rsidP="00014F56">
      <w:pPr>
        <w:pStyle w:val="Textonotapie"/>
        <w:rPr>
          <w:szCs w:val="18"/>
        </w:rPr>
      </w:pPr>
      <w:r>
        <w:rPr>
          <w:szCs w:val="18"/>
        </w:rPr>
        <w:tab/>
      </w:r>
      <w:r w:rsidRPr="00501F6F">
        <w:rPr>
          <w:szCs w:val="18"/>
          <w:vertAlign w:val="superscript"/>
        </w:rPr>
        <w:footnoteRef/>
      </w:r>
      <w:r>
        <w:rPr>
          <w:szCs w:val="18"/>
        </w:rPr>
        <w:tab/>
      </w:r>
      <w:r w:rsidRPr="00501F6F">
        <w:rPr>
          <w:szCs w:val="18"/>
        </w:rPr>
        <w:t>UARIV. Radicado No. 20221109946991. 28 de abril de 2022.</w:t>
      </w:r>
    </w:p>
  </w:footnote>
  <w:footnote w:id="212">
    <w:p w14:paraId="26FC9700" w14:textId="77777777" w:rsidR="00014F56" w:rsidRPr="00501F6F" w:rsidRDefault="00014F56" w:rsidP="00014F56">
      <w:pPr>
        <w:pStyle w:val="Textonotapie"/>
        <w:rPr>
          <w:szCs w:val="18"/>
        </w:rPr>
      </w:pPr>
      <w:r>
        <w:rPr>
          <w:szCs w:val="18"/>
        </w:rPr>
        <w:tab/>
      </w:r>
      <w:r w:rsidRPr="00501F6F">
        <w:rPr>
          <w:szCs w:val="18"/>
          <w:vertAlign w:val="superscript"/>
        </w:rPr>
        <w:footnoteRef/>
      </w:r>
      <w:r>
        <w:rPr>
          <w:szCs w:val="18"/>
        </w:rPr>
        <w:tab/>
      </w:r>
      <w:r w:rsidRPr="00501F6F">
        <w:rPr>
          <w:szCs w:val="18"/>
        </w:rPr>
        <w:t>UARIV. Radicado No. 20221109946991. 28 de abril de 2022.</w:t>
      </w:r>
    </w:p>
  </w:footnote>
  <w:footnote w:id="213">
    <w:p w14:paraId="2FA52E0D" w14:textId="77777777" w:rsidR="00014F56" w:rsidRPr="00501F6F" w:rsidRDefault="00014F56" w:rsidP="00014F56">
      <w:pPr>
        <w:pStyle w:val="Textonotapie"/>
        <w:rPr>
          <w:szCs w:val="18"/>
        </w:rPr>
      </w:pPr>
      <w:r>
        <w:rPr>
          <w:szCs w:val="18"/>
        </w:rPr>
        <w:tab/>
      </w:r>
      <w:r w:rsidRPr="00501F6F">
        <w:rPr>
          <w:szCs w:val="18"/>
          <w:vertAlign w:val="superscript"/>
        </w:rPr>
        <w:footnoteRef/>
      </w:r>
      <w:r>
        <w:rPr>
          <w:szCs w:val="18"/>
        </w:rPr>
        <w:tab/>
      </w:r>
      <w:r w:rsidRPr="00501F6F">
        <w:rPr>
          <w:szCs w:val="18"/>
        </w:rPr>
        <w:t>UARIV. Radicado No. 20221109946991. 28 de abril de 2022</w:t>
      </w:r>
    </w:p>
  </w:footnote>
  <w:footnote w:id="214">
    <w:p w14:paraId="179B1241" w14:textId="518E4BA8" w:rsidR="00014F56" w:rsidRPr="00501F6F" w:rsidRDefault="00014F56" w:rsidP="00014F56">
      <w:pPr>
        <w:pStyle w:val="Textonotapie"/>
        <w:rPr>
          <w:szCs w:val="18"/>
          <w:lang w:val="es-CO"/>
        </w:rPr>
      </w:pPr>
      <w:r>
        <w:rPr>
          <w:szCs w:val="18"/>
        </w:rPr>
        <w:tab/>
      </w:r>
      <w:r w:rsidRPr="00501F6F">
        <w:rPr>
          <w:rStyle w:val="Refdenotaalpie"/>
          <w:szCs w:val="18"/>
        </w:rPr>
        <w:footnoteRef/>
      </w:r>
      <w:r>
        <w:rPr>
          <w:szCs w:val="18"/>
        </w:rPr>
        <w:tab/>
      </w:r>
      <w:r w:rsidRPr="00501F6F">
        <w:rPr>
          <w:szCs w:val="18"/>
        </w:rPr>
        <w:t>UARIV. Información enviada por correo electrónico. 15 de julio de 2022</w:t>
      </w:r>
      <w:r>
        <w:rPr>
          <w:szCs w:val="18"/>
        </w:rPr>
        <w:t>.</w:t>
      </w:r>
    </w:p>
  </w:footnote>
  <w:footnote w:id="215">
    <w:p w14:paraId="435B238C" w14:textId="257447EE" w:rsidR="0042099E" w:rsidRPr="00501F6F" w:rsidRDefault="0042099E" w:rsidP="00BC1238">
      <w:pPr>
        <w:pStyle w:val="Textonotapie"/>
        <w:rPr>
          <w:szCs w:val="18"/>
        </w:rPr>
      </w:pPr>
      <w:r>
        <w:rPr>
          <w:szCs w:val="18"/>
        </w:rPr>
        <w:tab/>
      </w:r>
      <w:r w:rsidRPr="00501F6F">
        <w:rPr>
          <w:szCs w:val="18"/>
          <w:vertAlign w:val="superscript"/>
        </w:rPr>
        <w:footnoteRef/>
      </w:r>
      <w:r>
        <w:rPr>
          <w:szCs w:val="18"/>
        </w:rPr>
        <w:tab/>
      </w:r>
      <w:r w:rsidRPr="00501F6F">
        <w:rPr>
          <w:szCs w:val="18"/>
        </w:rPr>
        <w:t>DT Antioquia (1), DT Bolívar y San Andrés (2), DT Cauca (5), D. Central (4), DT Cesar-Guajira (1), DT Chocó (3), DT Eje Cafetero (1), DT Magdalena (2), DT Putumayo (2), DT Nariño (4), DT Urabá (4), DT Valle (3), DT Meta y Llanos Orientales (7), DT Norte de Santander -Arauca (3), DT Magdalena Medio (2), Nivel Nacional (6).</w:t>
      </w:r>
    </w:p>
  </w:footnote>
  <w:footnote w:id="216">
    <w:p w14:paraId="1A6F7EBD" w14:textId="744F460A" w:rsidR="0042099E" w:rsidRPr="005E3330" w:rsidRDefault="0042099E" w:rsidP="00095139">
      <w:pPr>
        <w:pStyle w:val="Textonotapie"/>
      </w:pPr>
      <w:r>
        <w:tab/>
      </w:r>
      <w:r>
        <w:rPr>
          <w:rStyle w:val="Refdenotaalpie"/>
        </w:rPr>
        <w:footnoteRef/>
      </w:r>
      <w:r>
        <w:tab/>
        <w:t xml:space="preserve">Información adicional disponible en: </w:t>
      </w:r>
      <w:hyperlink r:id="rId23" w:history="1">
        <w:r w:rsidRPr="002035E0">
          <w:rPr>
            <w:rStyle w:val="Hipervnculo"/>
          </w:rPr>
          <w:t>http://www.equidadmujer.gov.co/prensa/2021/Documents/</w:t>
        </w:r>
        <w:r w:rsidR="00B261BA">
          <w:rPr>
            <w:rStyle w:val="Hipervnculo"/>
          </w:rPr>
          <w:br/>
        </w:r>
        <w:r w:rsidRPr="002035E0">
          <w:rPr>
            <w:rStyle w:val="Hipervnculo"/>
          </w:rPr>
          <w:t>210823-Terminos-referencia-Equipo-Facilitacion-Territorial-INES.pdf</w:t>
        </w:r>
      </w:hyperlink>
      <w:r w:rsidR="00B261BA">
        <w:rPr>
          <w:rStyle w:val="Hipervnculo"/>
        </w:rPr>
        <w:t>.</w:t>
      </w:r>
    </w:p>
  </w:footnote>
  <w:footnote w:id="217">
    <w:p w14:paraId="48DA3CEB" w14:textId="77777777" w:rsidR="00014F56" w:rsidRPr="005E3330" w:rsidRDefault="00014F56" w:rsidP="00014F56">
      <w:pPr>
        <w:pStyle w:val="Textonotapie"/>
        <w:rPr>
          <w:lang w:val="es-CO"/>
        </w:rPr>
      </w:pPr>
      <w:r>
        <w:rPr>
          <w:lang w:val="es-CO"/>
        </w:rPr>
        <w:tab/>
      </w:r>
      <w:r>
        <w:rPr>
          <w:rStyle w:val="Refdenotaalpie"/>
        </w:rPr>
        <w:footnoteRef/>
      </w:r>
      <w:r>
        <w:rPr>
          <w:lang w:val="es-CO"/>
        </w:rPr>
        <w:tab/>
      </w:r>
      <w:r w:rsidRPr="009A3C95">
        <w:rPr>
          <w:lang w:val="es-CO"/>
        </w:rPr>
        <w:t xml:space="preserve">CPEM. </w:t>
      </w:r>
      <w:r w:rsidRPr="005E3330">
        <w:rPr>
          <w:lang w:val="es-CO"/>
        </w:rPr>
        <w:t>OFI22-00107464 / GFPU 11020000 del 21 de se</w:t>
      </w:r>
      <w:r>
        <w:rPr>
          <w:lang w:val="es-CO"/>
        </w:rPr>
        <w:t>ptiembre de 2022.</w:t>
      </w:r>
    </w:p>
  </w:footnote>
  <w:footnote w:id="218">
    <w:p w14:paraId="29D565CC" w14:textId="77777777" w:rsidR="00014F56" w:rsidRPr="005E3330" w:rsidRDefault="00014F56" w:rsidP="00014F56">
      <w:pPr>
        <w:pStyle w:val="Textonotapie"/>
      </w:pPr>
      <w:r>
        <w:tab/>
      </w:r>
      <w:r>
        <w:rPr>
          <w:rStyle w:val="Refdenotaalpie"/>
        </w:rPr>
        <w:footnoteRef/>
      </w:r>
      <w:r>
        <w:tab/>
      </w:r>
      <w:r w:rsidRPr="005E3330">
        <w:rPr>
          <w:lang w:val="es-CO"/>
        </w:rPr>
        <w:t>CPEM. OFI22-00107464 / GFPU 11020000 del 21 de se</w:t>
      </w:r>
      <w:r>
        <w:rPr>
          <w:lang w:val="es-CO"/>
        </w:rPr>
        <w:t>ptiembre de 2022.</w:t>
      </w:r>
    </w:p>
  </w:footnote>
  <w:footnote w:id="219">
    <w:p w14:paraId="68D5B4ED" w14:textId="77777777" w:rsidR="00014F56" w:rsidRPr="007103C4" w:rsidRDefault="00014F56" w:rsidP="00014F56">
      <w:pPr>
        <w:pStyle w:val="Textonotapie"/>
        <w:rPr>
          <w:lang w:val="es-CO"/>
        </w:rPr>
      </w:pPr>
      <w:r>
        <w:rPr>
          <w:szCs w:val="18"/>
          <w:lang w:val="es-CO"/>
        </w:rPr>
        <w:tab/>
      </w:r>
      <w:r w:rsidRPr="00501F6F">
        <w:rPr>
          <w:szCs w:val="18"/>
          <w:vertAlign w:val="superscript"/>
        </w:rPr>
        <w:footnoteRef/>
      </w:r>
      <w:r>
        <w:rPr>
          <w:szCs w:val="18"/>
          <w:lang w:val="es-CO"/>
        </w:rPr>
        <w:tab/>
      </w:r>
      <w:r w:rsidRPr="007103C4">
        <w:rPr>
          <w:lang w:val="es-CO"/>
        </w:rPr>
        <w:t>FGN. Radicado No. 20221700028821. 25 de abril de 2022.</w:t>
      </w:r>
    </w:p>
  </w:footnote>
  <w:footnote w:id="220">
    <w:p w14:paraId="73C1AFA8" w14:textId="77777777" w:rsidR="00014F56" w:rsidRPr="007103C4" w:rsidRDefault="00014F56" w:rsidP="00014F56">
      <w:pPr>
        <w:pStyle w:val="Textonotapie"/>
        <w:rPr>
          <w:lang w:val="es-CO"/>
        </w:rPr>
      </w:pPr>
      <w:r>
        <w:rPr>
          <w:lang w:val="es-CO"/>
        </w:rPr>
        <w:tab/>
      </w:r>
      <w:r w:rsidRPr="007103C4">
        <w:rPr>
          <w:vertAlign w:val="superscript"/>
          <w:lang w:val="es-CO"/>
        </w:rPr>
        <w:footnoteRef/>
      </w:r>
      <w:r>
        <w:rPr>
          <w:lang w:val="es-CO"/>
        </w:rPr>
        <w:tab/>
      </w:r>
      <w:r w:rsidRPr="007103C4">
        <w:rPr>
          <w:lang w:val="es-CO"/>
        </w:rPr>
        <w:t>FGN. Radicado No. 20221700028821. 25 de abril de 2022.</w:t>
      </w:r>
    </w:p>
  </w:footnote>
  <w:footnote w:id="221">
    <w:p w14:paraId="0A0DDB28" w14:textId="77777777" w:rsidR="00014F56" w:rsidRPr="007103C4" w:rsidRDefault="00014F56" w:rsidP="00014F56">
      <w:pPr>
        <w:pStyle w:val="Textonotapie"/>
        <w:rPr>
          <w:lang w:val="es-CO"/>
        </w:rPr>
      </w:pPr>
      <w:r>
        <w:rPr>
          <w:lang w:val="es-CO"/>
        </w:rPr>
        <w:tab/>
      </w:r>
      <w:r w:rsidRPr="007103C4">
        <w:rPr>
          <w:vertAlign w:val="superscript"/>
          <w:lang w:val="es-CO"/>
        </w:rPr>
        <w:footnoteRef/>
      </w:r>
      <w:r>
        <w:rPr>
          <w:lang w:val="es-CO"/>
        </w:rPr>
        <w:tab/>
      </w:r>
      <w:r w:rsidRPr="007103C4">
        <w:rPr>
          <w:lang w:val="es-CO"/>
        </w:rPr>
        <w:t>FGN. Radicado No. 20221700028821. 25 de abril de 2022.</w:t>
      </w:r>
    </w:p>
  </w:footnote>
  <w:footnote w:id="222">
    <w:p w14:paraId="608DE5B6" w14:textId="77777777" w:rsidR="00014F56" w:rsidRPr="007103C4" w:rsidRDefault="00014F56" w:rsidP="00014F56">
      <w:pPr>
        <w:pStyle w:val="Textonotapie"/>
        <w:rPr>
          <w:lang w:val="es-CO"/>
        </w:rPr>
      </w:pPr>
      <w:r>
        <w:rPr>
          <w:lang w:val="es-CO"/>
        </w:rPr>
        <w:tab/>
      </w:r>
      <w:r w:rsidRPr="007103C4">
        <w:rPr>
          <w:vertAlign w:val="superscript"/>
          <w:lang w:val="es-CO"/>
        </w:rPr>
        <w:footnoteRef/>
      </w:r>
      <w:r>
        <w:rPr>
          <w:lang w:val="es-CO"/>
        </w:rPr>
        <w:tab/>
      </w:r>
      <w:r w:rsidRPr="007103C4">
        <w:rPr>
          <w:lang w:val="es-CO"/>
        </w:rPr>
        <w:t>FGN. Radicado No. 20221700028821. 25 de abril de 2022.</w:t>
      </w:r>
    </w:p>
  </w:footnote>
  <w:footnote w:id="223">
    <w:p w14:paraId="18C2BE66" w14:textId="77777777" w:rsidR="00014F56" w:rsidRPr="007103C4" w:rsidRDefault="00014F56" w:rsidP="00014F56">
      <w:pPr>
        <w:pStyle w:val="Textonotapie"/>
        <w:rPr>
          <w:lang w:val="es-CO"/>
        </w:rPr>
      </w:pPr>
      <w:r>
        <w:rPr>
          <w:lang w:val="es-CO"/>
        </w:rPr>
        <w:tab/>
      </w:r>
      <w:r w:rsidRPr="007103C4">
        <w:rPr>
          <w:vertAlign w:val="superscript"/>
          <w:lang w:val="es-CO"/>
        </w:rPr>
        <w:footnoteRef/>
      </w:r>
      <w:r>
        <w:rPr>
          <w:lang w:val="es-CO"/>
        </w:rPr>
        <w:tab/>
      </w:r>
      <w:r w:rsidRPr="007103C4">
        <w:rPr>
          <w:lang w:val="es-CO"/>
        </w:rPr>
        <w:t>FGN. Radicado No. 20221700028821. 25 de abril de 2022.</w:t>
      </w:r>
    </w:p>
  </w:footnote>
  <w:footnote w:id="224">
    <w:p w14:paraId="0E09E194" w14:textId="77777777" w:rsidR="00014F56" w:rsidRPr="007103C4" w:rsidRDefault="00014F56" w:rsidP="00014F56">
      <w:pPr>
        <w:pStyle w:val="Textonotapie"/>
        <w:rPr>
          <w:lang w:val="es-CO"/>
        </w:rPr>
      </w:pPr>
      <w:r>
        <w:rPr>
          <w:lang w:val="es-CO"/>
        </w:rPr>
        <w:tab/>
      </w:r>
      <w:r w:rsidRPr="007103C4">
        <w:rPr>
          <w:vertAlign w:val="superscript"/>
          <w:lang w:val="es-CO"/>
        </w:rPr>
        <w:footnoteRef/>
      </w:r>
      <w:r>
        <w:rPr>
          <w:lang w:val="es-CO"/>
        </w:rPr>
        <w:tab/>
      </w:r>
      <w:r w:rsidRPr="007103C4">
        <w:rPr>
          <w:lang w:val="es-CO"/>
        </w:rPr>
        <w:t>UARIV. Radicado 2022-0044944-1 del 14 de julio de 2022.</w:t>
      </w:r>
    </w:p>
  </w:footnote>
  <w:footnote w:id="225">
    <w:p w14:paraId="168A1444" w14:textId="77777777" w:rsidR="001106AD" w:rsidRPr="00501F6F" w:rsidRDefault="001106AD" w:rsidP="001106AD">
      <w:pPr>
        <w:pStyle w:val="Textonotapie"/>
        <w:rPr>
          <w:szCs w:val="18"/>
        </w:rPr>
      </w:pPr>
      <w:r>
        <w:rPr>
          <w:szCs w:val="18"/>
        </w:rPr>
        <w:tab/>
      </w:r>
      <w:r w:rsidRPr="00501F6F">
        <w:rPr>
          <w:szCs w:val="18"/>
          <w:vertAlign w:val="superscript"/>
        </w:rPr>
        <w:footnoteRef/>
      </w:r>
      <w:r>
        <w:rPr>
          <w:szCs w:val="18"/>
        </w:rPr>
        <w:tab/>
        <w:t>M</w:t>
      </w:r>
      <w:r w:rsidRPr="00501F6F">
        <w:rPr>
          <w:szCs w:val="18"/>
        </w:rPr>
        <w:t xml:space="preserve">inisterio de Justicia. </w:t>
      </w:r>
      <w:r>
        <w:rPr>
          <w:szCs w:val="18"/>
        </w:rPr>
        <w:t>C</w:t>
      </w:r>
      <w:r w:rsidRPr="00501F6F">
        <w:rPr>
          <w:szCs w:val="18"/>
        </w:rPr>
        <w:t>orreo electrónico</w:t>
      </w:r>
      <w:r>
        <w:rPr>
          <w:szCs w:val="18"/>
        </w:rPr>
        <w:t xml:space="preserve"> del</w:t>
      </w:r>
      <w:r w:rsidRPr="00501F6F">
        <w:rPr>
          <w:szCs w:val="18"/>
        </w:rPr>
        <w:t xml:space="preserve"> 22 de abril de 2022</w:t>
      </w:r>
      <w:r>
        <w:rPr>
          <w:szCs w:val="18"/>
        </w:rPr>
        <w:t>.</w:t>
      </w:r>
    </w:p>
  </w:footnote>
  <w:footnote w:id="226">
    <w:p w14:paraId="0D36611A" w14:textId="77777777" w:rsidR="001106AD" w:rsidRPr="00BC1238" w:rsidRDefault="001106AD" w:rsidP="001106AD">
      <w:pPr>
        <w:pStyle w:val="Textonotapie"/>
      </w:pPr>
      <w:r>
        <w:tab/>
      </w:r>
      <w:r w:rsidRPr="00626482">
        <w:rPr>
          <w:vertAlign w:val="superscript"/>
        </w:rPr>
        <w:footnoteRef/>
      </w:r>
      <w:r>
        <w:tab/>
      </w:r>
      <w:r w:rsidRPr="00BC1238">
        <w:t>Ministerio de Justicia. Correo electrónico del 22 de abril de 2022.</w:t>
      </w:r>
    </w:p>
  </w:footnote>
  <w:footnote w:id="227">
    <w:p w14:paraId="4DEA7B2E" w14:textId="77777777" w:rsidR="001106AD" w:rsidRPr="00501F6F" w:rsidRDefault="001106AD" w:rsidP="001106AD">
      <w:pPr>
        <w:pStyle w:val="Textonotapie"/>
        <w:rPr>
          <w:szCs w:val="18"/>
        </w:rPr>
      </w:pPr>
      <w:r>
        <w:rPr>
          <w:szCs w:val="18"/>
        </w:rPr>
        <w:tab/>
      </w:r>
      <w:r w:rsidRPr="00501F6F">
        <w:rPr>
          <w:szCs w:val="18"/>
          <w:vertAlign w:val="superscript"/>
        </w:rPr>
        <w:footnoteRef/>
      </w:r>
      <w:r>
        <w:rPr>
          <w:szCs w:val="18"/>
        </w:rPr>
        <w:tab/>
      </w:r>
      <w:r w:rsidRPr="00501F6F">
        <w:rPr>
          <w:szCs w:val="18"/>
        </w:rPr>
        <w:t xml:space="preserve">Ministerio de Justicia. </w:t>
      </w:r>
      <w:r>
        <w:rPr>
          <w:szCs w:val="18"/>
        </w:rPr>
        <w:t>C</w:t>
      </w:r>
      <w:r w:rsidRPr="00501F6F">
        <w:rPr>
          <w:szCs w:val="18"/>
        </w:rPr>
        <w:t>orreo electrónico</w:t>
      </w:r>
      <w:r>
        <w:rPr>
          <w:szCs w:val="18"/>
        </w:rPr>
        <w:t xml:space="preserve"> del</w:t>
      </w:r>
      <w:r w:rsidRPr="00501F6F">
        <w:rPr>
          <w:szCs w:val="18"/>
        </w:rPr>
        <w:t xml:space="preserve"> 22 de abril de 2022</w:t>
      </w:r>
      <w:r>
        <w:rPr>
          <w:szCs w:val="18"/>
        </w:rPr>
        <w:t>.</w:t>
      </w:r>
    </w:p>
  </w:footnote>
  <w:footnote w:id="228">
    <w:p w14:paraId="4C8C84DE" w14:textId="77777777" w:rsidR="001106AD" w:rsidRPr="00501F6F" w:rsidRDefault="001106AD" w:rsidP="001106AD">
      <w:pPr>
        <w:pStyle w:val="Textonotapie"/>
        <w:rPr>
          <w:szCs w:val="18"/>
        </w:rPr>
      </w:pPr>
      <w:r>
        <w:rPr>
          <w:szCs w:val="18"/>
        </w:rPr>
        <w:tab/>
      </w:r>
      <w:r w:rsidRPr="00501F6F">
        <w:rPr>
          <w:szCs w:val="18"/>
          <w:vertAlign w:val="superscript"/>
        </w:rPr>
        <w:footnoteRef/>
      </w:r>
      <w:r>
        <w:rPr>
          <w:szCs w:val="18"/>
        </w:rPr>
        <w:tab/>
      </w:r>
      <w:r w:rsidRPr="00501F6F">
        <w:rPr>
          <w:szCs w:val="18"/>
        </w:rPr>
        <w:t>Consejo Superior de la Judicatura. Oficio UDAEO22-802. 16 de mayo de 2022.</w:t>
      </w:r>
    </w:p>
  </w:footnote>
  <w:footnote w:id="229">
    <w:p w14:paraId="68523B4B" w14:textId="77777777" w:rsidR="001106AD" w:rsidRPr="00501F6F" w:rsidRDefault="001106AD" w:rsidP="001106AD">
      <w:pPr>
        <w:pStyle w:val="Textonotapie"/>
        <w:rPr>
          <w:color w:val="000000"/>
          <w:szCs w:val="18"/>
        </w:rPr>
      </w:pPr>
      <w:r>
        <w:rPr>
          <w:color w:val="000000"/>
          <w:szCs w:val="18"/>
        </w:rPr>
        <w:tab/>
      </w:r>
      <w:r w:rsidRPr="00501F6F">
        <w:rPr>
          <w:szCs w:val="18"/>
          <w:vertAlign w:val="superscript"/>
        </w:rPr>
        <w:footnoteRef/>
      </w:r>
      <w:r>
        <w:rPr>
          <w:color w:val="000000"/>
          <w:szCs w:val="18"/>
        </w:rPr>
        <w:tab/>
      </w:r>
      <w:r w:rsidRPr="00501F6F">
        <w:rPr>
          <w:color w:val="000000"/>
          <w:szCs w:val="18"/>
        </w:rPr>
        <w:t xml:space="preserve">Ministerio de Justicia. </w:t>
      </w:r>
      <w:r>
        <w:rPr>
          <w:color w:val="000000"/>
          <w:szCs w:val="18"/>
        </w:rPr>
        <w:t>C</w:t>
      </w:r>
      <w:r w:rsidRPr="00501F6F">
        <w:rPr>
          <w:color w:val="000000"/>
          <w:szCs w:val="18"/>
        </w:rPr>
        <w:t>orreo electrónico</w:t>
      </w:r>
      <w:r>
        <w:rPr>
          <w:color w:val="000000"/>
          <w:szCs w:val="18"/>
        </w:rPr>
        <w:t xml:space="preserve"> del</w:t>
      </w:r>
      <w:r w:rsidRPr="00501F6F">
        <w:rPr>
          <w:color w:val="000000"/>
          <w:szCs w:val="18"/>
        </w:rPr>
        <w:t xml:space="preserve"> 19 de abril de 2022.</w:t>
      </w:r>
    </w:p>
  </w:footnote>
  <w:footnote w:id="230">
    <w:p w14:paraId="687FC6AD" w14:textId="77777777" w:rsidR="002E4F3D" w:rsidRPr="000C2B7B" w:rsidRDefault="002E4F3D" w:rsidP="002E4F3D">
      <w:pPr>
        <w:pStyle w:val="Textonotapie"/>
      </w:pPr>
      <w:r>
        <w:tab/>
      </w:r>
      <w:r>
        <w:rPr>
          <w:rStyle w:val="Refdenotaalpie"/>
        </w:rPr>
        <w:footnoteRef/>
      </w:r>
      <w:r>
        <w:tab/>
      </w:r>
      <w:r w:rsidRPr="00501F6F">
        <w:rPr>
          <w:color w:val="000000"/>
          <w:szCs w:val="18"/>
        </w:rPr>
        <w:t xml:space="preserve">Ministerio de Justicia. </w:t>
      </w:r>
      <w:r>
        <w:rPr>
          <w:color w:val="000000"/>
          <w:szCs w:val="18"/>
        </w:rPr>
        <w:t>C</w:t>
      </w:r>
      <w:r w:rsidRPr="00501F6F">
        <w:rPr>
          <w:color w:val="000000"/>
          <w:szCs w:val="18"/>
        </w:rPr>
        <w:t>orreo electrónico</w:t>
      </w:r>
      <w:r>
        <w:rPr>
          <w:color w:val="000000"/>
          <w:szCs w:val="18"/>
        </w:rPr>
        <w:t xml:space="preserve"> del</w:t>
      </w:r>
      <w:r w:rsidRPr="00501F6F">
        <w:rPr>
          <w:color w:val="000000"/>
          <w:szCs w:val="18"/>
        </w:rPr>
        <w:t xml:space="preserve"> </w:t>
      </w:r>
      <w:r>
        <w:rPr>
          <w:color w:val="000000"/>
          <w:szCs w:val="18"/>
        </w:rPr>
        <w:t>21</w:t>
      </w:r>
      <w:r w:rsidRPr="00501F6F">
        <w:rPr>
          <w:color w:val="000000"/>
          <w:szCs w:val="18"/>
        </w:rPr>
        <w:t xml:space="preserve"> de </w:t>
      </w:r>
      <w:r>
        <w:rPr>
          <w:color w:val="000000"/>
          <w:szCs w:val="18"/>
        </w:rPr>
        <w:t>septiembre</w:t>
      </w:r>
      <w:r w:rsidRPr="00501F6F">
        <w:rPr>
          <w:color w:val="000000"/>
          <w:szCs w:val="18"/>
        </w:rPr>
        <w:t xml:space="preserve"> de 2022.</w:t>
      </w:r>
    </w:p>
  </w:footnote>
  <w:footnote w:id="231">
    <w:p w14:paraId="1A06A685" w14:textId="17BE690E" w:rsidR="0042099E" w:rsidRPr="00501F6F" w:rsidRDefault="0042099E" w:rsidP="00BC1238">
      <w:pPr>
        <w:pStyle w:val="Textonotapie"/>
        <w:rPr>
          <w:color w:val="000000"/>
          <w:szCs w:val="18"/>
        </w:rPr>
      </w:pPr>
      <w:r>
        <w:rPr>
          <w:color w:val="000000"/>
          <w:szCs w:val="18"/>
        </w:rPr>
        <w:tab/>
      </w:r>
      <w:r w:rsidRPr="00501F6F">
        <w:rPr>
          <w:szCs w:val="18"/>
          <w:vertAlign w:val="superscript"/>
        </w:rPr>
        <w:footnoteRef/>
      </w:r>
      <w:r>
        <w:rPr>
          <w:color w:val="000000"/>
          <w:szCs w:val="18"/>
        </w:rPr>
        <w:tab/>
      </w:r>
      <w:r w:rsidRPr="00501F6F">
        <w:rPr>
          <w:color w:val="000000"/>
          <w:szCs w:val="18"/>
        </w:rPr>
        <w:t xml:space="preserve">Ministerio de Justicia. </w:t>
      </w:r>
      <w:r>
        <w:rPr>
          <w:color w:val="000000"/>
          <w:szCs w:val="18"/>
        </w:rPr>
        <w:t>C</w:t>
      </w:r>
      <w:r w:rsidRPr="00501F6F">
        <w:rPr>
          <w:color w:val="000000"/>
          <w:szCs w:val="18"/>
        </w:rPr>
        <w:t>orreo electrónico</w:t>
      </w:r>
      <w:r>
        <w:rPr>
          <w:color w:val="000000"/>
          <w:szCs w:val="18"/>
        </w:rPr>
        <w:t xml:space="preserve"> del</w:t>
      </w:r>
      <w:r w:rsidRPr="00501F6F">
        <w:rPr>
          <w:color w:val="000000"/>
          <w:szCs w:val="18"/>
        </w:rPr>
        <w:t xml:space="preserve"> 19 de abril de 2022.</w:t>
      </w:r>
    </w:p>
  </w:footnote>
  <w:footnote w:id="232">
    <w:p w14:paraId="559AC099" w14:textId="77777777" w:rsidR="002E4F3D" w:rsidRPr="003471F1" w:rsidRDefault="002E4F3D" w:rsidP="002E4F3D">
      <w:pPr>
        <w:pStyle w:val="Textonotapie"/>
      </w:pPr>
      <w:r>
        <w:tab/>
      </w:r>
      <w:r>
        <w:rPr>
          <w:rStyle w:val="Refdenotaalpie"/>
        </w:rPr>
        <w:footnoteRef/>
      </w:r>
      <w:r>
        <w:tab/>
      </w:r>
      <w:r w:rsidRPr="00501F6F">
        <w:rPr>
          <w:color w:val="000000"/>
          <w:szCs w:val="18"/>
        </w:rPr>
        <w:t xml:space="preserve">Ministerio de Justicia. </w:t>
      </w:r>
      <w:r>
        <w:rPr>
          <w:color w:val="000000"/>
          <w:szCs w:val="18"/>
        </w:rPr>
        <w:t>C</w:t>
      </w:r>
      <w:r w:rsidRPr="00501F6F">
        <w:rPr>
          <w:color w:val="000000"/>
          <w:szCs w:val="18"/>
        </w:rPr>
        <w:t>orreo electrónico</w:t>
      </w:r>
      <w:r>
        <w:rPr>
          <w:color w:val="000000"/>
          <w:szCs w:val="18"/>
        </w:rPr>
        <w:t xml:space="preserve"> del</w:t>
      </w:r>
      <w:r w:rsidRPr="00501F6F">
        <w:rPr>
          <w:color w:val="000000"/>
          <w:szCs w:val="18"/>
        </w:rPr>
        <w:t xml:space="preserve"> 19 de abril de 2022.</w:t>
      </w:r>
    </w:p>
  </w:footnote>
  <w:footnote w:id="233">
    <w:p w14:paraId="3B47B644" w14:textId="77777777" w:rsidR="002E4F3D" w:rsidRPr="00501F6F" w:rsidRDefault="002E4F3D" w:rsidP="002E4F3D">
      <w:pPr>
        <w:pStyle w:val="Textonotapie"/>
        <w:rPr>
          <w:color w:val="000000"/>
          <w:szCs w:val="18"/>
        </w:rPr>
      </w:pPr>
      <w:r>
        <w:rPr>
          <w:color w:val="000000"/>
          <w:szCs w:val="18"/>
        </w:rPr>
        <w:tab/>
      </w:r>
      <w:r w:rsidRPr="00501F6F">
        <w:rPr>
          <w:szCs w:val="18"/>
          <w:vertAlign w:val="superscript"/>
        </w:rPr>
        <w:footnoteRef/>
      </w:r>
      <w:r>
        <w:rPr>
          <w:color w:val="000000"/>
          <w:szCs w:val="18"/>
        </w:rPr>
        <w:tab/>
      </w:r>
      <w:r w:rsidRPr="00501F6F">
        <w:rPr>
          <w:color w:val="000000"/>
          <w:szCs w:val="18"/>
        </w:rPr>
        <w:t xml:space="preserve">Ministerio de Justicia. </w:t>
      </w:r>
      <w:r>
        <w:rPr>
          <w:color w:val="000000"/>
          <w:szCs w:val="18"/>
        </w:rPr>
        <w:t>C</w:t>
      </w:r>
      <w:r w:rsidRPr="00501F6F">
        <w:rPr>
          <w:color w:val="000000"/>
          <w:szCs w:val="18"/>
        </w:rPr>
        <w:t>orreo electrónico</w:t>
      </w:r>
      <w:r>
        <w:rPr>
          <w:color w:val="000000"/>
          <w:szCs w:val="18"/>
        </w:rPr>
        <w:t xml:space="preserve"> del</w:t>
      </w:r>
      <w:r w:rsidRPr="00501F6F">
        <w:rPr>
          <w:color w:val="000000"/>
          <w:szCs w:val="18"/>
        </w:rPr>
        <w:t xml:space="preserve"> 19 de abril de 2022.</w:t>
      </w:r>
    </w:p>
  </w:footnote>
  <w:footnote w:id="234">
    <w:p w14:paraId="221CCE9C" w14:textId="77777777" w:rsidR="002E4F3D" w:rsidRPr="00501F6F" w:rsidRDefault="002E4F3D" w:rsidP="002E4F3D">
      <w:pPr>
        <w:pStyle w:val="Textonotapie"/>
        <w:rPr>
          <w:color w:val="000000"/>
          <w:szCs w:val="18"/>
        </w:rPr>
      </w:pPr>
      <w:r>
        <w:rPr>
          <w:color w:val="000000"/>
          <w:szCs w:val="18"/>
        </w:rPr>
        <w:tab/>
      </w:r>
      <w:r w:rsidRPr="00501F6F">
        <w:rPr>
          <w:szCs w:val="18"/>
          <w:vertAlign w:val="superscript"/>
        </w:rPr>
        <w:footnoteRef/>
      </w:r>
      <w:r>
        <w:rPr>
          <w:color w:val="000000"/>
          <w:szCs w:val="18"/>
        </w:rPr>
        <w:tab/>
      </w:r>
      <w:r w:rsidRPr="00501F6F">
        <w:rPr>
          <w:color w:val="000000"/>
          <w:szCs w:val="18"/>
        </w:rPr>
        <w:t xml:space="preserve">Ministerio de Justicia. </w:t>
      </w:r>
      <w:r>
        <w:rPr>
          <w:color w:val="000000"/>
          <w:szCs w:val="18"/>
        </w:rPr>
        <w:t>C</w:t>
      </w:r>
      <w:r w:rsidRPr="00501F6F">
        <w:rPr>
          <w:color w:val="000000"/>
          <w:szCs w:val="18"/>
        </w:rPr>
        <w:t>orreo electrónico</w:t>
      </w:r>
      <w:r>
        <w:rPr>
          <w:color w:val="000000"/>
          <w:szCs w:val="18"/>
        </w:rPr>
        <w:t xml:space="preserve"> del</w:t>
      </w:r>
      <w:r w:rsidRPr="00501F6F">
        <w:rPr>
          <w:color w:val="000000"/>
          <w:szCs w:val="18"/>
        </w:rPr>
        <w:t xml:space="preserve"> 19 de abril de 2022.</w:t>
      </w:r>
    </w:p>
  </w:footnote>
  <w:footnote w:id="235">
    <w:p w14:paraId="3AFEE456" w14:textId="77777777" w:rsidR="002E4F3D" w:rsidRPr="00501F6F" w:rsidRDefault="002E4F3D" w:rsidP="002E4F3D">
      <w:pPr>
        <w:pStyle w:val="Textonotapie"/>
        <w:rPr>
          <w:color w:val="000000"/>
          <w:szCs w:val="18"/>
        </w:rPr>
      </w:pPr>
      <w:r>
        <w:rPr>
          <w:color w:val="000000"/>
          <w:szCs w:val="18"/>
        </w:rPr>
        <w:tab/>
      </w:r>
      <w:r w:rsidRPr="00501F6F">
        <w:rPr>
          <w:szCs w:val="18"/>
          <w:vertAlign w:val="superscript"/>
        </w:rPr>
        <w:footnoteRef/>
      </w:r>
      <w:r>
        <w:rPr>
          <w:color w:val="000000"/>
          <w:szCs w:val="18"/>
        </w:rPr>
        <w:tab/>
      </w:r>
      <w:r w:rsidRPr="00501F6F">
        <w:rPr>
          <w:color w:val="000000"/>
          <w:szCs w:val="18"/>
        </w:rPr>
        <w:t xml:space="preserve">Ministerio de Justicia. </w:t>
      </w:r>
      <w:r>
        <w:rPr>
          <w:color w:val="000000"/>
          <w:szCs w:val="18"/>
        </w:rPr>
        <w:t>C</w:t>
      </w:r>
      <w:r w:rsidRPr="00501F6F">
        <w:rPr>
          <w:color w:val="000000"/>
          <w:szCs w:val="18"/>
        </w:rPr>
        <w:t>orreo electrónico</w:t>
      </w:r>
      <w:r>
        <w:rPr>
          <w:color w:val="000000"/>
          <w:szCs w:val="18"/>
        </w:rPr>
        <w:t xml:space="preserve"> del</w:t>
      </w:r>
      <w:r w:rsidRPr="00501F6F">
        <w:rPr>
          <w:color w:val="000000"/>
          <w:szCs w:val="18"/>
        </w:rPr>
        <w:t xml:space="preserve"> 19 de abril de 2022.</w:t>
      </w:r>
    </w:p>
  </w:footnote>
  <w:footnote w:id="236">
    <w:p w14:paraId="01D71F97" w14:textId="77777777" w:rsidR="002E4F3D" w:rsidRPr="00501F6F" w:rsidRDefault="002E4F3D" w:rsidP="002E4F3D">
      <w:pPr>
        <w:pStyle w:val="Textonotapie"/>
        <w:rPr>
          <w:szCs w:val="18"/>
        </w:rPr>
      </w:pPr>
      <w:r>
        <w:rPr>
          <w:szCs w:val="18"/>
        </w:rPr>
        <w:tab/>
      </w:r>
      <w:r w:rsidRPr="00501F6F">
        <w:rPr>
          <w:szCs w:val="18"/>
          <w:vertAlign w:val="superscript"/>
        </w:rPr>
        <w:footnoteRef/>
      </w:r>
      <w:r>
        <w:rPr>
          <w:szCs w:val="18"/>
        </w:rPr>
        <w:tab/>
      </w:r>
      <w:r w:rsidRPr="00501F6F">
        <w:rPr>
          <w:szCs w:val="18"/>
        </w:rPr>
        <w:t>Consejo Superior de la Judicatura. Oficio UDAEO22-802. 16 de mayo de 2022.</w:t>
      </w:r>
    </w:p>
  </w:footnote>
  <w:footnote w:id="237">
    <w:p w14:paraId="6F7A1B59" w14:textId="77777777" w:rsidR="002E4F3D" w:rsidRPr="00501F6F" w:rsidRDefault="002E4F3D" w:rsidP="002E4F3D">
      <w:pPr>
        <w:pStyle w:val="Textonotapie"/>
        <w:rPr>
          <w:szCs w:val="18"/>
        </w:rPr>
      </w:pPr>
      <w:r>
        <w:rPr>
          <w:szCs w:val="18"/>
        </w:rPr>
        <w:tab/>
      </w:r>
      <w:r w:rsidRPr="00501F6F">
        <w:rPr>
          <w:szCs w:val="18"/>
          <w:vertAlign w:val="superscript"/>
        </w:rPr>
        <w:footnoteRef/>
      </w:r>
      <w:r>
        <w:rPr>
          <w:szCs w:val="18"/>
        </w:rPr>
        <w:tab/>
      </w:r>
      <w:r w:rsidRPr="00501F6F">
        <w:rPr>
          <w:szCs w:val="18"/>
        </w:rPr>
        <w:t>Consejo Superior de la Judicatura. Oficio UDAEO22-802. 16 de mayo de 2022.</w:t>
      </w:r>
    </w:p>
  </w:footnote>
  <w:footnote w:id="238">
    <w:p w14:paraId="35DF1583" w14:textId="77777777" w:rsidR="002E4F3D" w:rsidRPr="00501F6F" w:rsidRDefault="002E4F3D" w:rsidP="002E4F3D">
      <w:pPr>
        <w:pStyle w:val="Textonotapie"/>
        <w:rPr>
          <w:szCs w:val="18"/>
        </w:rPr>
      </w:pPr>
      <w:r>
        <w:rPr>
          <w:szCs w:val="18"/>
        </w:rPr>
        <w:tab/>
      </w:r>
      <w:r w:rsidRPr="00501F6F">
        <w:rPr>
          <w:szCs w:val="18"/>
          <w:vertAlign w:val="superscript"/>
        </w:rPr>
        <w:footnoteRef/>
      </w:r>
      <w:r>
        <w:rPr>
          <w:szCs w:val="18"/>
        </w:rPr>
        <w:tab/>
      </w:r>
      <w:r w:rsidRPr="00501F6F">
        <w:rPr>
          <w:szCs w:val="18"/>
        </w:rPr>
        <w:t xml:space="preserve">Ministerio del Interior. </w:t>
      </w:r>
      <w:r>
        <w:rPr>
          <w:szCs w:val="18"/>
        </w:rPr>
        <w:t>C</w:t>
      </w:r>
      <w:r w:rsidRPr="00501F6F">
        <w:rPr>
          <w:szCs w:val="18"/>
        </w:rPr>
        <w:t>orreo electrónico</w:t>
      </w:r>
      <w:r>
        <w:rPr>
          <w:szCs w:val="18"/>
        </w:rPr>
        <w:t xml:space="preserve"> del</w:t>
      </w:r>
      <w:r w:rsidRPr="00501F6F">
        <w:rPr>
          <w:szCs w:val="18"/>
        </w:rPr>
        <w:t xml:space="preserve"> 9 de junio de 2022</w:t>
      </w:r>
      <w:r>
        <w:rPr>
          <w:szCs w:val="18"/>
        </w:rPr>
        <w:t>.</w:t>
      </w:r>
    </w:p>
  </w:footnote>
  <w:footnote w:id="239">
    <w:p w14:paraId="34C283E1" w14:textId="77777777" w:rsidR="002E4F3D" w:rsidRPr="00501F6F" w:rsidRDefault="002E4F3D" w:rsidP="002E4F3D">
      <w:pPr>
        <w:pStyle w:val="Textonotapie"/>
        <w:rPr>
          <w:szCs w:val="18"/>
        </w:rPr>
      </w:pPr>
      <w:r>
        <w:rPr>
          <w:szCs w:val="18"/>
        </w:rPr>
        <w:tab/>
      </w:r>
      <w:r w:rsidRPr="00501F6F">
        <w:rPr>
          <w:szCs w:val="18"/>
          <w:vertAlign w:val="superscript"/>
        </w:rPr>
        <w:footnoteRef/>
      </w:r>
      <w:r>
        <w:rPr>
          <w:szCs w:val="18"/>
        </w:rPr>
        <w:tab/>
      </w:r>
      <w:r w:rsidRPr="00501F6F">
        <w:rPr>
          <w:szCs w:val="18"/>
        </w:rPr>
        <w:t xml:space="preserve">Ministerio del Interior. </w:t>
      </w:r>
      <w:r>
        <w:rPr>
          <w:szCs w:val="18"/>
        </w:rPr>
        <w:t>C</w:t>
      </w:r>
      <w:r w:rsidRPr="00501F6F">
        <w:rPr>
          <w:szCs w:val="18"/>
        </w:rPr>
        <w:t>orreo electrónico</w:t>
      </w:r>
      <w:r>
        <w:rPr>
          <w:szCs w:val="18"/>
        </w:rPr>
        <w:t xml:space="preserve"> del</w:t>
      </w:r>
      <w:r w:rsidRPr="00501F6F">
        <w:rPr>
          <w:szCs w:val="18"/>
        </w:rPr>
        <w:t xml:space="preserve"> 9 de junio de 2022</w:t>
      </w:r>
      <w:r>
        <w:rPr>
          <w:szCs w:val="18"/>
        </w:rPr>
        <w:t>.</w:t>
      </w:r>
    </w:p>
  </w:footnote>
  <w:footnote w:id="240">
    <w:p w14:paraId="65CACF63" w14:textId="77777777" w:rsidR="002E4F3D" w:rsidRPr="00501F6F" w:rsidRDefault="002E4F3D" w:rsidP="002E4F3D">
      <w:pPr>
        <w:pStyle w:val="Textonotapie"/>
        <w:rPr>
          <w:szCs w:val="18"/>
        </w:rPr>
      </w:pPr>
      <w:r>
        <w:rPr>
          <w:szCs w:val="18"/>
        </w:rPr>
        <w:tab/>
      </w:r>
      <w:r w:rsidRPr="00501F6F">
        <w:rPr>
          <w:szCs w:val="18"/>
          <w:vertAlign w:val="superscript"/>
        </w:rPr>
        <w:footnoteRef/>
      </w:r>
      <w:r>
        <w:rPr>
          <w:szCs w:val="18"/>
        </w:rPr>
        <w:tab/>
      </w:r>
      <w:r w:rsidRPr="00501F6F">
        <w:rPr>
          <w:szCs w:val="18"/>
        </w:rPr>
        <w:t xml:space="preserve">Ministerio del Interior. </w:t>
      </w:r>
      <w:r>
        <w:rPr>
          <w:szCs w:val="18"/>
        </w:rPr>
        <w:t>C</w:t>
      </w:r>
      <w:r w:rsidRPr="00501F6F">
        <w:rPr>
          <w:szCs w:val="18"/>
        </w:rPr>
        <w:t>orreo electrónico</w:t>
      </w:r>
      <w:r>
        <w:rPr>
          <w:szCs w:val="18"/>
        </w:rPr>
        <w:t xml:space="preserve"> del</w:t>
      </w:r>
      <w:r w:rsidRPr="00501F6F">
        <w:rPr>
          <w:szCs w:val="18"/>
        </w:rPr>
        <w:t xml:space="preserve"> 9 de junio de 2022</w:t>
      </w:r>
      <w:r>
        <w:rPr>
          <w:szCs w:val="18"/>
        </w:rPr>
        <w:t>.</w:t>
      </w:r>
    </w:p>
  </w:footnote>
  <w:footnote w:id="241">
    <w:p w14:paraId="16766034" w14:textId="77777777" w:rsidR="002E4F3D" w:rsidRPr="00501F6F" w:rsidRDefault="002E4F3D" w:rsidP="002E4F3D">
      <w:pPr>
        <w:pStyle w:val="Textonotapie"/>
        <w:rPr>
          <w:szCs w:val="18"/>
        </w:rPr>
      </w:pPr>
      <w:r>
        <w:rPr>
          <w:szCs w:val="18"/>
        </w:rPr>
        <w:tab/>
      </w:r>
      <w:r w:rsidRPr="00501F6F">
        <w:rPr>
          <w:szCs w:val="18"/>
          <w:vertAlign w:val="superscript"/>
        </w:rPr>
        <w:footnoteRef/>
      </w:r>
      <w:r>
        <w:rPr>
          <w:szCs w:val="18"/>
        </w:rPr>
        <w:tab/>
      </w:r>
      <w:r w:rsidRPr="00501F6F">
        <w:rPr>
          <w:szCs w:val="18"/>
        </w:rPr>
        <w:t xml:space="preserve">Ministerio del Interior. </w:t>
      </w:r>
      <w:r>
        <w:rPr>
          <w:szCs w:val="18"/>
        </w:rPr>
        <w:t>C</w:t>
      </w:r>
      <w:r w:rsidRPr="00501F6F">
        <w:rPr>
          <w:szCs w:val="18"/>
        </w:rPr>
        <w:t>orreo electrónico</w:t>
      </w:r>
      <w:r>
        <w:rPr>
          <w:szCs w:val="18"/>
        </w:rPr>
        <w:t xml:space="preserve"> del</w:t>
      </w:r>
      <w:r w:rsidRPr="00501F6F">
        <w:rPr>
          <w:szCs w:val="18"/>
        </w:rPr>
        <w:t xml:space="preserve"> 9 de junio de 2022</w:t>
      </w:r>
      <w:r>
        <w:rPr>
          <w:szCs w:val="18"/>
        </w:rPr>
        <w:t>.</w:t>
      </w:r>
    </w:p>
  </w:footnote>
  <w:footnote w:id="242">
    <w:p w14:paraId="20FDBEF6" w14:textId="77777777" w:rsidR="002E4F3D" w:rsidRPr="00501F6F" w:rsidRDefault="002E4F3D" w:rsidP="002E4F3D">
      <w:pPr>
        <w:pStyle w:val="Textonotapie"/>
        <w:rPr>
          <w:szCs w:val="18"/>
        </w:rPr>
      </w:pPr>
      <w:r>
        <w:rPr>
          <w:szCs w:val="18"/>
        </w:rPr>
        <w:tab/>
      </w:r>
      <w:r w:rsidRPr="00501F6F">
        <w:rPr>
          <w:szCs w:val="18"/>
          <w:vertAlign w:val="superscript"/>
        </w:rPr>
        <w:footnoteRef/>
      </w:r>
      <w:r>
        <w:rPr>
          <w:szCs w:val="18"/>
        </w:rPr>
        <w:tab/>
      </w:r>
      <w:r w:rsidRPr="00501F6F">
        <w:rPr>
          <w:szCs w:val="18"/>
        </w:rPr>
        <w:t>Diplomado en construcción de paz y derechos humanos, Diplomado en formulación de proyectos, Diplomado en políticas públicas, Diplomado en autoprotección y ruta de protección, Diplomado en Sistema de Alertas Tempranas para la prevención de riesgos en Derechos Humanos, Diplomado Diálogo Social e intercultural con enfoque diferencial.</w:t>
      </w:r>
    </w:p>
  </w:footnote>
  <w:footnote w:id="243">
    <w:p w14:paraId="3F30A05B" w14:textId="77777777" w:rsidR="002E4F3D" w:rsidRPr="00501F6F" w:rsidRDefault="002E4F3D" w:rsidP="002E4F3D">
      <w:pPr>
        <w:pStyle w:val="Textonotapie"/>
        <w:rPr>
          <w:szCs w:val="18"/>
        </w:rPr>
      </w:pPr>
      <w:r>
        <w:rPr>
          <w:szCs w:val="18"/>
        </w:rPr>
        <w:tab/>
      </w:r>
      <w:r w:rsidRPr="00501F6F">
        <w:rPr>
          <w:szCs w:val="18"/>
          <w:vertAlign w:val="superscript"/>
        </w:rPr>
        <w:footnoteRef/>
      </w:r>
      <w:r>
        <w:rPr>
          <w:szCs w:val="18"/>
        </w:rPr>
        <w:tab/>
      </w:r>
      <w:r w:rsidRPr="00501F6F">
        <w:rPr>
          <w:szCs w:val="18"/>
        </w:rPr>
        <w:t xml:space="preserve">Ministerio del Interior. </w:t>
      </w:r>
      <w:r>
        <w:rPr>
          <w:szCs w:val="18"/>
        </w:rPr>
        <w:t>C</w:t>
      </w:r>
      <w:r w:rsidRPr="00501F6F">
        <w:rPr>
          <w:szCs w:val="18"/>
        </w:rPr>
        <w:t>orreo electrónico</w:t>
      </w:r>
      <w:r>
        <w:rPr>
          <w:szCs w:val="18"/>
        </w:rPr>
        <w:t xml:space="preserve"> del</w:t>
      </w:r>
      <w:r w:rsidRPr="00501F6F">
        <w:rPr>
          <w:szCs w:val="18"/>
        </w:rPr>
        <w:t xml:space="preserve"> 9 de junio de 2022</w:t>
      </w:r>
      <w:r>
        <w:rPr>
          <w:szCs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74B63A" w14:textId="325B64B7" w:rsidR="0042099E" w:rsidRPr="001A4396" w:rsidRDefault="0042099E">
    <w:pPr>
      <w:pStyle w:val="Encabezado"/>
    </w:pPr>
    <w:r>
      <w:t>CERD/C/COL/20-21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2A8D42" w14:textId="6237ECAA" w:rsidR="0042099E" w:rsidRPr="00935A0B" w:rsidRDefault="0042099E" w:rsidP="00935A0B">
    <w:pPr>
      <w:pStyle w:val="Encabezado"/>
      <w:jc w:val="right"/>
      <w:rPr>
        <w:u w:val="double"/>
      </w:rPr>
    </w:pPr>
    <w:r>
      <w:t>CERD/C/COL/20-21</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7FF6E3" w14:textId="77777777" w:rsidR="0042099E" w:rsidRDefault="0042099E" w:rsidP="00A711FB">
    <w:pPr>
      <w:pStyle w:val="Encabezado"/>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3F33141"/>
    <w:multiLevelType w:val="hybridMultilevel"/>
    <w:tmpl w:val="4ECC575C"/>
    <w:lvl w:ilvl="0" w:tplc="FFFFFFFF">
      <w:start w:val="1"/>
      <w:numFmt w:val="lowerRoman"/>
      <w:lvlText w:val="(%1)"/>
      <w:lvlJc w:val="left"/>
      <w:pPr>
        <w:ind w:left="1854" w:hanging="360"/>
      </w:pPr>
    </w:lvl>
    <w:lvl w:ilvl="1" w:tplc="17847536">
      <w:start w:val="1"/>
      <w:numFmt w:val="lowerRoman"/>
      <w:lvlText w:val="%2)"/>
      <w:lvlJc w:val="left"/>
      <w:pPr>
        <w:ind w:left="2574" w:hanging="360"/>
      </w:pPr>
      <w:rPr>
        <w:rFonts w:hint="default"/>
      </w:r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11" w15:restartNumberingAfterBreak="0">
    <w:nsid w:val="0C5975C9"/>
    <w:multiLevelType w:val="hybridMultilevel"/>
    <w:tmpl w:val="9192F8F2"/>
    <w:lvl w:ilvl="0" w:tplc="17847536">
      <w:start w:val="1"/>
      <w:numFmt w:val="lowerRoman"/>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15:restartNumberingAfterBreak="0">
    <w:nsid w:val="0D954887"/>
    <w:multiLevelType w:val="hybridMultilevel"/>
    <w:tmpl w:val="5A48E46A"/>
    <w:lvl w:ilvl="0" w:tplc="ACDC1B90">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BA98DA3A" w:tentative="1">
      <w:start w:val="1"/>
      <w:numFmt w:val="lowerLetter"/>
      <w:lvlText w:val="%2."/>
      <w:lvlJc w:val="left"/>
      <w:pPr>
        <w:tabs>
          <w:tab w:val="num" w:pos="1440"/>
        </w:tabs>
        <w:ind w:left="1440" w:hanging="360"/>
      </w:pPr>
    </w:lvl>
    <w:lvl w:ilvl="2" w:tplc="791CC5B8" w:tentative="1">
      <w:start w:val="1"/>
      <w:numFmt w:val="lowerRoman"/>
      <w:lvlText w:val="%3."/>
      <w:lvlJc w:val="right"/>
      <w:pPr>
        <w:tabs>
          <w:tab w:val="num" w:pos="2160"/>
        </w:tabs>
        <w:ind w:left="2160" w:hanging="180"/>
      </w:pPr>
    </w:lvl>
    <w:lvl w:ilvl="3" w:tplc="C68EABFC" w:tentative="1">
      <w:start w:val="1"/>
      <w:numFmt w:val="decimal"/>
      <w:lvlText w:val="%4."/>
      <w:lvlJc w:val="left"/>
      <w:pPr>
        <w:tabs>
          <w:tab w:val="num" w:pos="2880"/>
        </w:tabs>
        <w:ind w:left="2880" w:hanging="360"/>
      </w:pPr>
    </w:lvl>
    <w:lvl w:ilvl="4" w:tplc="8C10DD90" w:tentative="1">
      <w:start w:val="1"/>
      <w:numFmt w:val="lowerLetter"/>
      <w:lvlText w:val="%5."/>
      <w:lvlJc w:val="left"/>
      <w:pPr>
        <w:tabs>
          <w:tab w:val="num" w:pos="3600"/>
        </w:tabs>
        <w:ind w:left="3600" w:hanging="360"/>
      </w:pPr>
    </w:lvl>
    <w:lvl w:ilvl="5" w:tplc="65AE3A88" w:tentative="1">
      <w:start w:val="1"/>
      <w:numFmt w:val="lowerRoman"/>
      <w:lvlText w:val="%6."/>
      <w:lvlJc w:val="right"/>
      <w:pPr>
        <w:tabs>
          <w:tab w:val="num" w:pos="4320"/>
        </w:tabs>
        <w:ind w:left="4320" w:hanging="180"/>
      </w:pPr>
    </w:lvl>
    <w:lvl w:ilvl="6" w:tplc="FB0EF8B0" w:tentative="1">
      <w:start w:val="1"/>
      <w:numFmt w:val="decimal"/>
      <w:lvlText w:val="%7."/>
      <w:lvlJc w:val="left"/>
      <w:pPr>
        <w:tabs>
          <w:tab w:val="num" w:pos="5040"/>
        </w:tabs>
        <w:ind w:left="5040" w:hanging="360"/>
      </w:pPr>
    </w:lvl>
    <w:lvl w:ilvl="7" w:tplc="FE0CB836" w:tentative="1">
      <w:start w:val="1"/>
      <w:numFmt w:val="lowerLetter"/>
      <w:lvlText w:val="%8."/>
      <w:lvlJc w:val="left"/>
      <w:pPr>
        <w:tabs>
          <w:tab w:val="num" w:pos="5760"/>
        </w:tabs>
        <w:ind w:left="5760" w:hanging="360"/>
      </w:pPr>
    </w:lvl>
    <w:lvl w:ilvl="8" w:tplc="6D28FD1E" w:tentative="1">
      <w:start w:val="1"/>
      <w:numFmt w:val="lowerRoman"/>
      <w:lvlText w:val="%9."/>
      <w:lvlJc w:val="right"/>
      <w:pPr>
        <w:tabs>
          <w:tab w:val="num" w:pos="6480"/>
        </w:tabs>
        <w:ind w:left="6480" w:hanging="180"/>
      </w:pPr>
    </w:lvl>
  </w:abstractNum>
  <w:abstractNum w:abstractNumId="13" w15:restartNumberingAfterBreak="0">
    <w:nsid w:val="12E934FC"/>
    <w:multiLevelType w:val="hybridMultilevel"/>
    <w:tmpl w:val="C58C2D50"/>
    <w:lvl w:ilvl="0" w:tplc="711E1DE2">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4" w15:restartNumberingAfterBreak="0">
    <w:nsid w:val="19A0526C"/>
    <w:multiLevelType w:val="hybridMultilevel"/>
    <w:tmpl w:val="CBAC428E"/>
    <w:lvl w:ilvl="0" w:tplc="41E201C8">
      <w:start w:val="1"/>
      <w:numFmt w:val="lowerRoman"/>
      <w:lvlText w:val="(%1)"/>
      <w:lvlJc w:val="left"/>
      <w:pPr>
        <w:ind w:left="1854" w:hanging="72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5" w15:restartNumberingAfterBreak="0">
    <w:nsid w:val="208A76AF"/>
    <w:multiLevelType w:val="multilevel"/>
    <w:tmpl w:val="D7462F0A"/>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6" w15:restartNumberingAfterBreak="0">
    <w:nsid w:val="22BC405D"/>
    <w:multiLevelType w:val="multilevel"/>
    <w:tmpl w:val="D450AE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23D25D2C"/>
    <w:multiLevelType w:val="multilevel"/>
    <w:tmpl w:val="7BB2B86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8" w15:restartNumberingAfterBreak="0">
    <w:nsid w:val="248B1D9F"/>
    <w:multiLevelType w:val="multilevel"/>
    <w:tmpl w:val="0AEA0DF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26FA1000"/>
    <w:multiLevelType w:val="multilevel"/>
    <w:tmpl w:val="22C2E7A0"/>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0" w15:restartNumberingAfterBreak="0">
    <w:nsid w:val="2A0A73D0"/>
    <w:multiLevelType w:val="multilevel"/>
    <w:tmpl w:val="9698EC0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1" w15:restartNumberingAfterBreak="0">
    <w:nsid w:val="331326C8"/>
    <w:multiLevelType w:val="hybridMultilevel"/>
    <w:tmpl w:val="A76C7C2E"/>
    <w:lvl w:ilvl="0" w:tplc="FFFFFFFF">
      <w:start w:val="1"/>
      <w:numFmt w:val="lowerRoman"/>
      <w:lvlText w:val="(%1)"/>
      <w:lvlJc w:val="left"/>
      <w:pPr>
        <w:ind w:left="1854" w:hanging="360"/>
      </w:pPr>
    </w:lvl>
    <w:lvl w:ilvl="1" w:tplc="17847536">
      <w:start w:val="1"/>
      <w:numFmt w:val="lowerRoman"/>
      <w:lvlText w:val="%2)"/>
      <w:lvlJc w:val="left"/>
      <w:pPr>
        <w:ind w:left="3905" w:hanging="360"/>
      </w:pPr>
      <w:rPr>
        <w:rFonts w:hint="default"/>
      </w:rPr>
    </w:lvl>
    <w:lvl w:ilvl="2" w:tplc="FFFFFFFF">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22" w15:restartNumberingAfterBreak="0">
    <w:nsid w:val="34D046BF"/>
    <w:multiLevelType w:val="multilevel"/>
    <w:tmpl w:val="C0A29B5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3" w15:restartNumberingAfterBreak="0">
    <w:nsid w:val="36A7743B"/>
    <w:multiLevelType w:val="hybridMultilevel"/>
    <w:tmpl w:val="165289D8"/>
    <w:lvl w:ilvl="0" w:tplc="C0C03422">
      <w:start w:val="1"/>
      <w:numFmt w:val="bullet"/>
      <w:pStyle w:val="Bullet2G"/>
      <w:lvlText w:val="•"/>
      <w:lvlJc w:val="left"/>
      <w:pPr>
        <w:tabs>
          <w:tab w:val="num" w:pos="2268"/>
        </w:tabs>
        <w:ind w:left="2268" w:hanging="170"/>
      </w:pPr>
      <w:rPr>
        <w:rFonts w:ascii="Times New Roman" w:hAnsi="Times New Roman" w:cs="Times New Roman" w:hint="default"/>
      </w:rPr>
    </w:lvl>
    <w:lvl w:ilvl="1" w:tplc="641E34DC" w:tentative="1">
      <w:start w:val="1"/>
      <w:numFmt w:val="bullet"/>
      <w:lvlText w:val="o"/>
      <w:lvlJc w:val="left"/>
      <w:pPr>
        <w:tabs>
          <w:tab w:val="num" w:pos="1440"/>
        </w:tabs>
        <w:ind w:left="1440" w:hanging="360"/>
      </w:pPr>
      <w:rPr>
        <w:rFonts w:ascii="Courier New" w:hAnsi="Courier New" w:hint="default"/>
      </w:rPr>
    </w:lvl>
    <w:lvl w:ilvl="2" w:tplc="3FF896EE" w:tentative="1">
      <w:start w:val="1"/>
      <w:numFmt w:val="bullet"/>
      <w:lvlText w:val=""/>
      <w:lvlJc w:val="left"/>
      <w:pPr>
        <w:tabs>
          <w:tab w:val="num" w:pos="2160"/>
        </w:tabs>
        <w:ind w:left="2160" w:hanging="360"/>
      </w:pPr>
      <w:rPr>
        <w:rFonts w:ascii="Wingdings" w:hAnsi="Wingdings" w:hint="default"/>
      </w:rPr>
    </w:lvl>
    <w:lvl w:ilvl="3" w:tplc="AD3ED64A" w:tentative="1">
      <w:start w:val="1"/>
      <w:numFmt w:val="bullet"/>
      <w:lvlText w:val=""/>
      <w:lvlJc w:val="left"/>
      <w:pPr>
        <w:tabs>
          <w:tab w:val="num" w:pos="2880"/>
        </w:tabs>
        <w:ind w:left="2880" w:hanging="360"/>
      </w:pPr>
      <w:rPr>
        <w:rFonts w:ascii="Symbol" w:hAnsi="Symbol" w:hint="default"/>
      </w:rPr>
    </w:lvl>
    <w:lvl w:ilvl="4" w:tplc="52AE634E" w:tentative="1">
      <w:start w:val="1"/>
      <w:numFmt w:val="bullet"/>
      <w:lvlText w:val="o"/>
      <w:lvlJc w:val="left"/>
      <w:pPr>
        <w:tabs>
          <w:tab w:val="num" w:pos="3600"/>
        </w:tabs>
        <w:ind w:left="3600" w:hanging="360"/>
      </w:pPr>
      <w:rPr>
        <w:rFonts w:ascii="Courier New" w:hAnsi="Courier New" w:hint="default"/>
      </w:rPr>
    </w:lvl>
    <w:lvl w:ilvl="5" w:tplc="1564F132" w:tentative="1">
      <w:start w:val="1"/>
      <w:numFmt w:val="bullet"/>
      <w:lvlText w:val=""/>
      <w:lvlJc w:val="left"/>
      <w:pPr>
        <w:tabs>
          <w:tab w:val="num" w:pos="4320"/>
        </w:tabs>
        <w:ind w:left="4320" w:hanging="360"/>
      </w:pPr>
      <w:rPr>
        <w:rFonts w:ascii="Wingdings" w:hAnsi="Wingdings" w:hint="default"/>
      </w:rPr>
    </w:lvl>
    <w:lvl w:ilvl="6" w:tplc="B38C97D6" w:tentative="1">
      <w:start w:val="1"/>
      <w:numFmt w:val="bullet"/>
      <w:lvlText w:val=""/>
      <w:lvlJc w:val="left"/>
      <w:pPr>
        <w:tabs>
          <w:tab w:val="num" w:pos="5040"/>
        </w:tabs>
        <w:ind w:left="5040" w:hanging="360"/>
      </w:pPr>
      <w:rPr>
        <w:rFonts w:ascii="Symbol" w:hAnsi="Symbol" w:hint="default"/>
      </w:rPr>
    </w:lvl>
    <w:lvl w:ilvl="7" w:tplc="93BCFBEE" w:tentative="1">
      <w:start w:val="1"/>
      <w:numFmt w:val="bullet"/>
      <w:lvlText w:val="o"/>
      <w:lvlJc w:val="left"/>
      <w:pPr>
        <w:tabs>
          <w:tab w:val="num" w:pos="5760"/>
        </w:tabs>
        <w:ind w:left="5760" w:hanging="360"/>
      </w:pPr>
      <w:rPr>
        <w:rFonts w:ascii="Courier New" w:hAnsi="Courier New" w:hint="default"/>
      </w:rPr>
    </w:lvl>
    <w:lvl w:ilvl="8" w:tplc="803C078E"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3C622BDE"/>
    <w:multiLevelType w:val="hybridMultilevel"/>
    <w:tmpl w:val="E3BC6896"/>
    <w:lvl w:ilvl="0" w:tplc="BBA686E2">
      <w:start w:val="9"/>
      <w:numFmt w:val="lowerLetter"/>
      <w:lvlText w:val="%1)"/>
      <w:lvlJc w:val="left"/>
      <w:pPr>
        <w:ind w:left="720" w:hanging="360"/>
      </w:pPr>
      <w:rPr>
        <w:rFonts w:hint="default"/>
        <w:b w:val="0"/>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3C635232"/>
    <w:multiLevelType w:val="hybridMultilevel"/>
    <w:tmpl w:val="2A36DE16"/>
    <w:lvl w:ilvl="0" w:tplc="81529968">
      <w:start w:val="1"/>
      <w:numFmt w:val="lowerRoman"/>
      <w:lvlText w:val="(%1)"/>
      <w:lvlJc w:val="left"/>
      <w:pPr>
        <w:ind w:left="1854" w:hanging="360"/>
      </w:p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6" w15:restartNumberingAfterBreak="0">
    <w:nsid w:val="4446613D"/>
    <w:multiLevelType w:val="hybridMultilevel"/>
    <w:tmpl w:val="61381BF4"/>
    <w:lvl w:ilvl="0" w:tplc="17847536">
      <w:start w:val="1"/>
      <w:numFmt w:val="lowerRoman"/>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7" w15:restartNumberingAfterBreak="0">
    <w:nsid w:val="58FE4AFD"/>
    <w:multiLevelType w:val="hybridMultilevel"/>
    <w:tmpl w:val="C3C86956"/>
    <w:lvl w:ilvl="0" w:tplc="7A326E38">
      <w:start w:val="1"/>
      <w:numFmt w:val="decimal"/>
      <w:lvlText w:val="%1."/>
      <w:lvlJc w:val="left"/>
      <w:pPr>
        <w:ind w:left="1854" w:hanging="360"/>
      </w:pPr>
      <w:rPr>
        <w:b w:val="0"/>
        <w:bCs w:val="0"/>
        <w:i w:val="0"/>
        <w:sz w:val="20"/>
        <w:szCs w:val="20"/>
        <w:vertAlign w:val="baseline"/>
      </w:rPr>
    </w:lvl>
    <w:lvl w:ilvl="1" w:tplc="17847536">
      <w:start w:val="1"/>
      <w:numFmt w:val="lowerRoman"/>
      <w:lvlText w:val="%2)"/>
      <w:lvlJc w:val="left"/>
      <w:pPr>
        <w:ind w:left="2934" w:hanging="72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8"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9" w15:restartNumberingAfterBreak="0">
    <w:nsid w:val="67056921"/>
    <w:multiLevelType w:val="hybridMultilevel"/>
    <w:tmpl w:val="84342AB4"/>
    <w:lvl w:ilvl="0" w:tplc="741482E8">
      <w:start w:val="1"/>
      <w:numFmt w:val="lowerRoman"/>
      <w:lvlText w:val="(%1)"/>
      <w:lvlJc w:val="left"/>
      <w:pPr>
        <w:ind w:left="1854" w:hanging="72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0" w15:restartNumberingAfterBreak="0">
    <w:nsid w:val="6AFD3DE4"/>
    <w:multiLevelType w:val="hybridMultilevel"/>
    <w:tmpl w:val="569E52D4"/>
    <w:lvl w:ilvl="0" w:tplc="58449BCE">
      <w:start w:val="1"/>
      <w:numFmt w:val="bullet"/>
      <w:pStyle w:val="Bullet1G"/>
      <w:lvlText w:val="•"/>
      <w:lvlJc w:val="left"/>
      <w:pPr>
        <w:tabs>
          <w:tab w:val="num" w:pos="1701"/>
        </w:tabs>
        <w:ind w:left="1701" w:hanging="170"/>
      </w:pPr>
      <w:rPr>
        <w:rFonts w:ascii="Times New Roman" w:hAnsi="Times New Roman" w:cs="Times New Roman" w:hint="default"/>
      </w:rPr>
    </w:lvl>
    <w:lvl w:ilvl="1" w:tplc="D06C49CC" w:tentative="1">
      <w:start w:val="1"/>
      <w:numFmt w:val="bullet"/>
      <w:lvlText w:val="o"/>
      <w:lvlJc w:val="left"/>
      <w:pPr>
        <w:tabs>
          <w:tab w:val="num" w:pos="1440"/>
        </w:tabs>
        <w:ind w:left="1440" w:hanging="360"/>
      </w:pPr>
      <w:rPr>
        <w:rFonts w:ascii="Courier New" w:hAnsi="Courier New" w:hint="default"/>
      </w:rPr>
    </w:lvl>
    <w:lvl w:ilvl="2" w:tplc="805E172C" w:tentative="1">
      <w:start w:val="1"/>
      <w:numFmt w:val="bullet"/>
      <w:lvlText w:val=""/>
      <w:lvlJc w:val="left"/>
      <w:pPr>
        <w:tabs>
          <w:tab w:val="num" w:pos="2160"/>
        </w:tabs>
        <w:ind w:left="2160" w:hanging="360"/>
      </w:pPr>
      <w:rPr>
        <w:rFonts w:ascii="Wingdings" w:hAnsi="Wingdings" w:hint="default"/>
      </w:rPr>
    </w:lvl>
    <w:lvl w:ilvl="3" w:tplc="74A8B684" w:tentative="1">
      <w:start w:val="1"/>
      <w:numFmt w:val="bullet"/>
      <w:lvlText w:val=""/>
      <w:lvlJc w:val="left"/>
      <w:pPr>
        <w:tabs>
          <w:tab w:val="num" w:pos="2880"/>
        </w:tabs>
        <w:ind w:left="2880" w:hanging="360"/>
      </w:pPr>
      <w:rPr>
        <w:rFonts w:ascii="Symbol" w:hAnsi="Symbol" w:hint="default"/>
      </w:rPr>
    </w:lvl>
    <w:lvl w:ilvl="4" w:tplc="98440ABE" w:tentative="1">
      <w:start w:val="1"/>
      <w:numFmt w:val="bullet"/>
      <w:lvlText w:val="o"/>
      <w:lvlJc w:val="left"/>
      <w:pPr>
        <w:tabs>
          <w:tab w:val="num" w:pos="3600"/>
        </w:tabs>
        <w:ind w:left="3600" w:hanging="360"/>
      </w:pPr>
      <w:rPr>
        <w:rFonts w:ascii="Courier New" w:hAnsi="Courier New" w:hint="default"/>
      </w:rPr>
    </w:lvl>
    <w:lvl w:ilvl="5" w:tplc="9AC8757E" w:tentative="1">
      <w:start w:val="1"/>
      <w:numFmt w:val="bullet"/>
      <w:lvlText w:val=""/>
      <w:lvlJc w:val="left"/>
      <w:pPr>
        <w:tabs>
          <w:tab w:val="num" w:pos="4320"/>
        </w:tabs>
        <w:ind w:left="4320" w:hanging="360"/>
      </w:pPr>
      <w:rPr>
        <w:rFonts w:ascii="Wingdings" w:hAnsi="Wingdings" w:hint="default"/>
      </w:rPr>
    </w:lvl>
    <w:lvl w:ilvl="6" w:tplc="F0EC4916" w:tentative="1">
      <w:start w:val="1"/>
      <w:numFmt w:val="bullet"/>
      <w:lvlText w:val=""/>
      <w:lvlJc w:val="left"/>
      <w:pPr>
        <w:tabs>
          <w:tab w:val="num" w:pos="5040"/>
        </w:tabs>
        <w:ind w:left="5040" w:hanging="360"/>
      </w:pPr>
      <w:rPr>
        <w:rFonts w:ascii="Symbol" w:hAnsi="Symbol" w:hint="default"/>
      </w:rPr>
    </w:lvl>
    <w:lvl w:ilvl="7" w:tplc="2F380478" w:tentative="1">
      <w:start w:val="1"/>
      <w:numFmt w:val="bullet"/>
      <w:lvlText w:val="o"/>
      <w:lvlJc w:val="left"/>
      <w:pPr>
        <w:tabs>
          <w:tab w:val="num" w:pos="5760"/>
        </w:tabs>
        <w:ind w:left="5760" w:hanging="360"/>
      </w:pPr>
      <w:rPr>
        <w:rFonts w:ascii="Courier New" w:hAnsi="Courier New" w:hint="default"/>
      </w:rPr>
    </w:lvl>
    <w:lvl w:ilvl="8" w:tplc="C7B28300"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2"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3" w15:restartNumberingAfterBreak="0">
    <w:nsid w:val="7E4B56DC"/>
    <w:multiLevelType w:val="hybridMultilevel"/>
    <w:tmpl w:val="F85A519C"/>
    <w:lvl w:ilvl="0" w:tplc="2C4839BC">
      <w:start w:val="2"/>
      <w:numFmt w:val="lowerRoman"/>
      <w:lvlText w:val="%1)"/>
      <w:lvlJc w:val="left"/>
      <w:pPr>
        <w:ind w:left="1080" w:hanging="720"/>
      </w:pPr>
      <w:rPr>
        <w:rFonts w:hint="default"/>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32"/>
  </w:num>
  <w:num w:numId="2">
    <w:abstractNumId w:val="31"/>
  </w:num>
  <w:num w:numId="3">
    <w:abstractNumId w:val="28"/>
  </w:num>
  <w:num w:numId="4">
    <w:abstractNumId w:val="12"/>
  </w:num>
  <w:num w:numId="5">
    <w:abstractNumId w:val="30"/>
  </w:num>
  <w:num w:numId="6">
    <w:abstractNumId w:val="23"/>
  </w:num>
  <w:num w:numId="7">
    <w:abstractNumId w:val="9"/>
  </w:num>
  <w:num w:numId="8">
    <w:abstractNumId w:val="7"/>
  </w:num>
  <w:num w:numId="9">
    <w:abstractNumId w:val="6"/>
  </w:num>
  <w:num w:numId="10">
    <w:abstractNumId w:val="5"/>
  </w:num>
  <w:num w:numId="11">
    <w:abstractNumId w:val="4"/>
  </w:num>
  <w:num w:numId="12">
    <w:abstractNumId w:val="8"/>
  </w:num>
  <w:num w:numId="13">
    <w:abstractNumId w:val="3"/>
  </w:num>
  <w:num w:numId="14">
    <w:abstractNumId w:val="2"/>
  </w:num>
  <w:num w:numId="15">
    <w:abstractNumId w:val="1"/>
  </w:num>
  <w:num w:numId="16">
    <w:abstractNumId w:val="0"/>
  </w:num>
  <w:num w:numId="17">
    <w:abstractNumId w:val="17"/>
  </w:num>
  <w:num w:numId="18">
    <w:abstractNumId w:val="20"/>
  </w:num>
  <w:num w:numId="19">
    <w:abstractNumId w:val="15"/>
  </w:num>
  <w:num w:numId="20">
    <w:abstractNumId w:val="22"/>
  </w:num>
  <w:num w:numId="21">
    <w:abstractNumId w:val="19"/>
  </w:num>
  <w:num w:numId="22">
    <w:abstractNumId w:val="18"/>
  </w:num>
  <w:num w:numId="23">
    <w:abstractNumId w:val="16"/>
  </w:num>
  <w:num w:numId="24">
    <w:abstractNumId w:val="24"/>
  </w:num>
  <w:num w:numId="25">
    <w:abstractNumId w:val="33"/>
  </w:num>
  <w:num w:numId="26">
    <w:abstractNumId w:val="13"/>
  </w:num>
  <w:num w:numId="27">
    <w:abstractNumId w:val="27"/>
  </w:num>
  <w:num w:numId="28">
    <w:abstractNumId w:val="21"/>
  </w:num>
  <w:num w:numId="29">
    <w:abstractNumId w:val="26"/>
  </w:num>
  <w:num w:numId="30">
    <w:abstractNumId w:val="14"/>
  </w:num>
  <w:num w:numId="31">
    <w:abstractNumId w:val="11"/>
  </w:num>
  <w:num w:numId="32">
    <w:abstractNumId w:val="29"/>
  </w:num>
  <w:num w:numId="33">
    <w:abstractNumId w:val="25"/>
  </w:num>
  <w:num w:numId="34">
    <w:abstractNumId w:val="10"/>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9"/>
  <w:embedSystemFonts/>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6F80"/>
    <w:rsid w:val="000107AA"/>
    <w:rsid w:val="00014068"/>
    <w:rsid w:val="00014F56"/>
    <w:rsid w:val="00033EE1"/>
    <w:rsid w:val="00042B72"/>
    <w:rsid w:val="00053EA6"/>
    <w:rsid w:val="000558BD"/>
    <w:rsid w:val="00095139"/>
    <w:rsid w:val="000B1F2E"/>
    <w:rsid w:val="000B57E7"/>
    <w:rsid w:val="000B6373"/>
    <w:rsid w:val="000B71E1"/>
    <w:rsid w:val="000D3664"/>
    <w:rsid w:val="000F09DF"/>
    <w:rsid w:val="000F4B48"/>
    <w:rsid w:val="000F61B2"/>
    <w:rsid w:val="00100C31"/>
    <w:rsid w:val="001075E9"/>
    <w:rsid w:val="001106AD"/>
    <w:rsid w:val="001205A4"/>
    <w:rsid w:val="0013135A"/>
    <w:rsid w:val="00143FE2"/>
    <w:rsid w:val="001534CC"/>
    <w:rsid w:val="00180183"/>
    <w:rsid w:val="0018024D"/>
    <w:rsid w:val="001854B7"/>
    <w:rsid w:val="0018649F"/>
    <w:rsid w:val="00196389"/>
    <w:rsid w:val="001A4396"/>
    <w:rsid w:val="001B3EF6"/>
    <w:rsid w:val="001C7A89"/>
    <w:rsid w:val="002105E2"/>
    <w:rsid w:val="00256D8F"/>
    <w:rsid w:val="00277395"/>
    <w:rsid w:val="00280D2C"/>
    <w:rsid w:val="002A02C6"/>
    <w:rsid w:val="002A2EFC"/>
    <w:rsid w:val="002C0E18"/>
    <w:rsid w:val="002D4172"/>
    <w:rsid w:val="002D5AAC"/>
    <w:rsid w:val="002E4F3D"/>
    <w:rsid w:val="002F405F"/>
    <w:rsid w:val="00301299"/>
    <w:rsid w:val="00307FB6"/>
    <w:rsid w:val="00317339"/>
    <w:rsid w:val="00322004"/>
    <w:rsid w:val="003402C2"/>
    <w:rsid w:val="00356166"/>
    <w:rsid w:val="00376E4E"/>
    <w:rsid w:val="00381C24"/>
    <w:rsid w:val="00385E17"/>
    <w:rsid w:val="003958D0"/>
    <w:rsid w:val="003A3CE4"/>
    <w:rsid w:val="003B00E5"/>
    <w:rsid w:val="003D3526"/>
    <w:rsid w:val="003E0332"/>
    <w:rsid w:val="003E118C"/>
    <w:rsid w:val="003F43D1"/>
    <w:rsid w:val="003F6FF0"/>
    <w:rsid w:val="00407B78"/>
    <w:rsid w:val="0042099E"/>
    <w:rsid w:val="00422939"/>
    <w:rsid w:val="00424203"/>
    <w:rsid w:val="00431FC5"/>
    <w:rsid w:val="004452DE"/>
    <w:rsid w:val="00454E07"/>
    <w:rsid w:val="00467420"/>
    <w:rsid w:val="004B2D90"/>
    <w:rsid w:val="004B6CC2"/>
    <w:rsid w:val="004D1828"/>
    <w:rsid w:val="004D6C88"/>
    <w:rsid w:val="004F0961"/>
    <w:rsid w:val="00500ED6"/>
    <w:rsid w:val="0050108D"/>
    <w:rsid w:val="00513081"/>
    <w:rsid w:val="005172CB"/>
    <w:rsid w:val="00517901"/>
    <w:rsid w:val="00521DC1"/>
    <w:rsid w:val="00526683"/>
    <w:rsid w:val="005275CD"/>
    <w:rsid w:val="005709E0"/>
    <w:rsid w:val="00572E19"/>
    <w:rsid w:val="005961C8"/>
    <w:rsid w:val="005D7914"/>
    <w:rsid w:val="005E3D5F"/>
    <w:rsid w:val="005F0B42"/>
    <w:rsid w:val="00615628"/>
    <w:rsid w:val="00621949"/>
    <w:rsid w:val="00626482"/>
    <w:rsid w:val="006551F6"/>
    <w:rsid w:val="00681A10"/>
    <w:rsid w:val="006C2031"/>
    <w:rsid w:val="006D317E"/>
    <w:rsid w:val="006D461A"/>
    <w:rsid w:val="006D49C3"/>
    <w:rsid w:val="006F35EE"/>
    <w:rsid w:val="007021FF"/>
    <w:rsid w:val="00707760"/>
    <w:rsid w:val="007103C4"/>
    <w:rsid w:val="00712895"/>
    <w:rsid w:val="00754B77"/>
    <w:rsid w:val="00757357"/>
    <w:rsid w:val="00757957"/>
    <w:rsid w:val="00770151"/>
    <w:rsid w:val="00796131"/>
    <w:rsid w:val="007A7740"/>
    <w:rsid w:val="007C333F"/>
    <w:rsid w:val="007E072F"/>
    <w:rsid w:val="007F3514"/>
    <w:rsid w:val="00805D1C"/>
    <w:rsid w:val="0081572B"/>
    <w:rsid w:val="00816959"/>
    <w:rsid w:val="00825F8D"/>
    <w:rsid w:val="00834B71"/>
    <w:rsid w:val="008357BF"/>
    <w:rsid w:val="008370F6"/>
    <w:rsid w:val="00841CBA"/>
    <w:rsid w:val="008433E5"/>
    <w:rsid w:val="0086445C"/>
    <w:rsid w:val="00866AAA"/>
    <w:rsid w:val="00894693"/>
    <w:rsid w:val="008A08D7"/>
    <w:rsid w:val="008B6909"/>
    <w:rsid w:val="009063C3"/>
    <w:rsid w:val="00906890"/>
    <w:rsid w:val="00911BE4"/>
    <w:rsid w:val="00920A1E"/>
    <w:rsid w:val="009273F3"/>
    <w:rsid w:val="00935A0B"/>
    <w:rsid w:val="00951972"/>
    <w:rsid w:val="00953B31"/>
    <w:rsid w:val="009608F3"/>
    <w:rsid w:val="009713F0"/>
    <w:rsid w:val="00973F39"/>
    <w:rsid w:val="009874BF"/>
    <w:rsid w:val="009A1AF0"/>
    <w:rsid w:val="009D5462"/>
    <w:rsid w:val="00A32382"/>
    <w:rsid w:val="00A44918"/>
    <w:rsid w:val="00A44B2D"/>
    <w:rsid w:val="00A711FB"/>
    <w:rsid w:val="00A84021"/>
    <w:rsid w:val="00A86F80"/>
    <w:rsid w:val="00A90C2B"/>
    <w:rsid w:val="00A917B3"/>
    <w:rsid w:val="00AA75B7"/>
    <w:rsid w:val="00AB4B51"/>
    <w:rsid w:val="00AE5F3B"/>
    <w:rsid w:val="00B10CC7"/>
    <w:rsid w:val="00B261BA"/>
    <w:rsid w:val="00B539E7"/>
    <w:rsid w:val="00B563EB"/>
    <w:rsid w:val="00B62458"/>
    <w:rsid w:val="00B80A93"/>
    <w:rsid w:val="00BC1238"/>
    <w:rsid w:val="00BD33EE"/>
    <w:rsid w:val="00BF2E5C"/>
    <w:rsid w:val="00C106D6"/>
    <w:rsid w:val="00C307AF"/>
    <w:rsid w:val="00C4294A"/>
    <w:rsid w:val="00C60F0C"/>
    <w:rsid w:val="00C805C9"/>
    <w:rsid w:val="00C853FE"/>
    <w:rsid w:val="00C92939"/>
    <w:rsid w:val="00CA1679"/>
    <w:rsid w:val="00CB151C"/>
    <w:rsid w:val="00CB242B"/>
    <w:rsid w:val="00CB6514"/>
    <w:rsid w:val="00CD54DA"/>
    <w:rsid w:val="00CD7FCF"/>
    <w:rsid w:val="00CE5A1A"/>
    <w:rsid w:val="00CF55F6"/>
    <w:rsid w:val="00D0295C"/>
    <w:rsid w:val="00D04407"/>
    <w:rsid w:val="00D16B98"/>
    <w:rsid w:val="00D33D63"/>
    <w:rsid w:val="00D3621B"/>
    <w:rsid w:val="00D46FF5"/>
    <w:rsid w:val="00D4778E"/>
    <w:rsid w:val="00D7481B"/>
    <w:rsid w:val="00D82740"/>
    <w:rsid w:val="00D90138"/>
    <w:rsid w:val="00D91788"/>
    <w:rsid w:val="00DD01CB"/>
    <w:rsid w:val="00E31CF9"/>
    <w:rsid w:val="00E56EE3"/>
    <w:rsid w:val="00E73F76"/>
    <w:rsid w:val="00E86371"/>
    <w:rsid w:val="00E92E0A"/>
    <w:rsid w:val="00EA2C9F"/>
    <w:rsid w:val="00ED0BDA"/>
    <w:rsid w:val="00ED3749"/>
    <w:rsid w:val="00EE7654"/>
    <w:rsid w:val="00EF1360"/>
    <w:rsid w:val="00EF3220"/>
    <w:rsid w:val="00F002EC"/>
    <w:rsid w:val="00F057B6"/>
    <w:rsid w:val="00F3513F"/>
    <w:rsid w:val="00F37BF0"/>
    <w:rsid w:val="00F43810"/>
    <w:rsid w:val="00F44F75"/>
    <w:rsid w:val="00F63772"/>
    <w:rsid w:val="00F67A47"/>
    <w:rsid w:val="00F76A49"/>
    <w:rsid w:val="00F9377E"/>
    <w:rsid w:val="00F94155"/>
    <w:rsid w:val="00FD234F"/>
    <w:rsid w:val="00FD2EF7"/>
    <w:rsid w:val="00FE3B47"/>
    <w:rsid w:val="00FE447E"/>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E89A445"/>
  <w15:docId w15:val="{D7B0DF0C-E0E8-4320-A64F-A560AA13F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7481B"/>
    <w:pPr>
      <w:spacing w:line="240" w:lineRule="atLeast"/>
    </w:pPr>
    <w:rPr>
      <w:rFonts w:eastAsiaTheme="minorEastAsia"/>
      <w:lang w:val="es-ES" w:eastAsia="es-ES"/>
    </w:rPr>
  </w:style>
  <w:style w:type="paragraph" w:styleId="Ttulo1">
    <w:name w:val="heading 1"/>
    <w:aliases w:val="Cuadro_G"/>
    <w:basedOn w:val="SingleTxtG"/>
    <w:next w:val="SingleTxtG"/>
    <w:link w:val="Ttulo1Car"/>
    <w:uiPriority w:val="9"/>
    <w:qFormat/>
    <w:rsid w:val="00D7481B"/>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uiPriority w:val="9"/>
    <w:semiHidden/>
    <w:qFormat/>
    <w:rsid w:val="00D7481B"/>
    <w:pPr>
      <w:keepNext/>
      <w:outlineLvl w:val="1"/>
    </w:pPr>
    <w:rPr>
      <w:rFonts w:cs="Arial"/>
      <w:bCs/>
      <w:iCs/>
      <w:szCs w:val="28"/>
    </w:rPr>
  </w:style>
  <w:style w:type="paragraph" w:styleId="Ttulo3">
    <w:name w:val="heading 3"/>
    <w:basedOn w:val="Normal"/>
    <w:next w:val="Normal"/>
    <w:uiPriority w:val="9"/>
    <w:semiHidden/>
    <w:qFormat/>
    <w:rsid w:val="00D7481B"/>
    <w:pPr>
      <w:keepNext/>
      <w:spacing w:before="240" w:after="60"/>
      <w:outlineLvl w:val="2"/>
    </w:pPr>
    <w:rPr>
      <w:rFonts w:ascii="Arial" w:hAnsi="Arial" w:cs="Arial"/>
      <w:b/>
      <w:bCs/>
      <w:sz w:val="26"/>
      <w:szCs w:val="26"/>
    </w:rPr>
  </w:style>
  <w:style w:type="paragraph" w:styleId="Ttulo4">
    <w:name w:val="heading 4"/>
    <w:basedOn w:val="Normal"/>
    <w:next w:val="Normal"/>
    <w:uiPriority w:val="9"/>
    <w:semiHidden/>
    <w:qFormat/>
    <w:rsid w:val="00D7481B"/>
    <w:pPr>
      <w:keepNext/>
      <w:spacing w:before="240" w:after="60"/>
      <w:outlineLvl w:val="3"/>
    </w:pPr>
    <w:rPr>
      <w:b/>
      <w:bCs/>
      <w:sz w:val="28"/>
      <w:szCs w:val="28"/>
    </w:rPr>
  </w:style>
  <w:style w:type="paragraph" w:styleId="Ttulo5">
    <w:name w:val="heading 5"/>
    <w:basedOn w:val="Normal"/>
    <w:next w:val="Normal"/>
    <w:uiPriority w:val="9"/>
    <w:semiHidden/>
    <w:qFormat/>
    <w:rsid w:val="00D7481B"/>
    <w:pPr>
      <w:spacing w:before="240" w:after="60"/>
      <w:outlineLvl w:val="4"/>
    </w:pPr>
    <w:rPr>
      <w:b/>
      <w:bCs/>
      <w:i/>
      <w:iCs/>
      <w:sz w:val="26"/>
      <w:szCs w:val="26"/>
    </w:rPr>
  </w:style>
  <w:style w:type="paragraph" w:styleId="Ttulo6">
    <w:name w:val="heading 6"/>
    <w:basedOn w:val="Normal"/>
    <w:next w:val="Normal"/>
    <w:uiPriority w:val="9"/>
    <w:semiHidden/>
    <w:qFormat/>
    <w:rsid w:val="00D7481B"/>
    <w:pPr>
      <w:spacing w:before="240" w:after="60"/>
      <w:outlineLvl w:val="5"/>
    </w:pPr>
    <w:rPr>
      <w:b/>
      <w:bCs/>
      <w:sz w:val="22"/>
      <w:szCs w:val="22"/>
    </w:rPr>
  </w:style>
  <w:style w:type="paragraph" w:styleId="Ttulo7">
    <w:name w:val="heading 7"/>
    <w:basedOn w:val="Normal"/>
    <w:next w:val="Normal"/>
    <w:semiHidden/>
    <w:rsid w:val="00D7481B"/>
    <w:pPr>
      <w:spacing w:before="240" w:after="60"/>
      <w:outlineLvl w:val="6"/>
    </w:pPr>
    <w:rPr>
      <w:sz w:val="24"/>
      <w:szCs w:val="24"/>
    </w:rPr>
  </w:style>
  <w:style w:type="paragraph" w:styleId="Ttulo8">
    <w:name w:val="heading 8"/>
    <w:basedOn w:val="Normal"/>
    <w:next w:val="Normal"/>
    <w:semiHidden/>
    <w:rsid w:val="00D7481B"/>
    <w:pPr>
      <w:spacing w:before="240" w:after="60"/>
      <w:outlineLvl w:val="7"/>
    </w:pPr>
    <w:rPr>
      <w:i/>
      <w:iCs/>
      <w:sz w:val="24"/>
      <w:szCs w:val="24"/>
    </w:rPr>
  </w:style>
  <w:style w:type="paragraph" w:styleId="Ttulo9">
    <w:name w:val="heading 9"/>
    <w:basedOn w:val="Normal"/>
    <w:next w:val="Normal"/>
    <w:semiHidden/>
    <w:rsid w:val="00D7481B"/>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99"/>
    <w:qFormat/>
    <w:rsid w:val="00D7481B"/>
    <w:rPr>
      <w:rFonts w:ascii="Times New Roman" w:hAnsi="Times New Roman"/>
      <w:sz w:val="18"/>
      <w:vertAlign w:val="superscript"/>
    </w:rPr>
  </w:style>
  <w:style w:type="paragraph" w:customStyle="1" w:styleId="HMG">
    <w:name w:val="_ H __M_G"/>
    <w:basedOn w:val="Normal"/>
    <w:next w:val="Normal"/>
    <w:link w:val="HMGChar"/>
    <w:qFormat/>
    <w:rsid w:val="00D7481B"/>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81B"/>
    <w:pPr>
      <w:keepNext/>
      <w:keepLines/>
      <w:tabs>
        <w:tab w:val="right" w:pos="851"/>
      </w:tabs>
      <w:suppressAutoHyphens/>
      <w:spacing w:before="360" w:after="240" w:line="300" w:lineRule="exact"/>
      <w:ind w:left="1134" w:right="1134" w:hanging="1134"/>
      <w:outlineLvl w:val="1"/>
    </w:pPr>
    <w:rPr>
      <w:b/>
      <w:sz w:val="28"/>
    </w:rPr>
  </w:style>
  <w:style w:type="character" w:customStyle="1" w:styleId="HMGChar">
    <w:name w:val="_ H __M_G Char"/>
    <w:link w:val="HMG"/>
    <w:rsid w:val="001A4396"/>
    <w:rPr>
      <w:rFonts w:eastAsiaTheme="minorEastAsia"/>
      <w:b/>
      <w:sz w:val="34"/>
      <w:lang w:val="es-ES" w:eastAsia="es-ES"/>
    </w:rPr>
  </w:style>
  <w:style w:type="character" w:customStyle="1" w:styleId="HChGChar">
    <w:name w:val="_ H _Ch_G Char"/>
    <w:link w:val="HChG"/>
    <w:rsid w:val="001A4396"/>
    <w:rPr>
      <w:rFonts w:eastAsiaTheme="minorEastAsia"/>
      <w:b/>
      <w:sz w:val="28"/>
      <w:lang w:val="es-ES" w:eastAsia="es-ES"/>
    </w:rPr>
  </w:style>
  <w:style w:type="paragraph" w:customStyle="1" w:styleId="H1G">
    <w:name w:val="_ H_1_G"/>
    <w:basedOn w:val="Normal"/>
    <w:next w:val="Normal"/>
    <w:qFormat/>
    <w:rsid w:val="00D7481B"/>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7481B"/>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7481B"/>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7481B"/>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99"/>
    <w:qFormat/>
    <w:rsid w:val="00D7481B"/>
    <w:pPr>
      <w:pBdr>
        <w:bottom w:val="single" w:sz="4" w:space="4" w:color="auto"/>
      </w:pBdr>
      <w:spacing w:line="240" w:lineRule="auto"/>
    </w:pPr>
    <w:rPr>
      <w:b/>
      <w:sz w:val="18"/>
    </w:rPr>
  </w:style>
  <w:style w:type="paragraph" w:customStyle="1" w:styleId="SingleTxtG">
    <w:name w:val="_ Single Txt_G"/>
    <w:basedOn w:val="Normal"/>
    <w:qFormat/>
    <w:rsid w:val="00D7481B"/>
    <w:pPr>
      <w:tabs>
        <w:tab w:val="left" w:pos="1701"/>
        <w:tab w:val="left" w:pos="2268"/>
        <w:tab w:val="left" w:pos="2835"/>
      </w:tabs>
      <w:spacing w:after="120"/>
      <w:ind w:left="1134" w:right="1134"/>
      <w:jc w:val="both"/>
    </w:pPr>
  </w:style>
  <w:style w:type="paragraph" w:customStyle="1" w:styleId="SMG">
    <w:name w:val="__S_M_G"/>
    <w:basedOn w:val="Normal"/>
    <w:next w:val="Normal"/>
    <w:rsid w:val="00D7481B"/>
    <w:pPr>
      <w:keepNext/>
      <w:keepLines/>
      <w:suppressAutoHyphens/>
      <w:spacing w:before="240" w:after="240" w:line="420" w:lineRule="exact"/>
      <w:ind w:left="1134" w:right="1134"/>
    </w:pPr>
    <w:rPr>
      <w:b/>
      <w:sz w:val="40"/>
    </w:rPr>
  </w:style>
  <w:style w:type="paragraph" w:customStyle="1" w:styleId="SLG">
    <w:name w:val="__S_L_G"/>
    <w:basedOn w:val="Normal"/>
    <w:next w:val="Normal"/>
    <w:rsid w:val="00D7481B"/>
    <w:pPr>
      <w:keepNext/>
      <w:keepLines/>
      <w:spacing w:before="240" w:after="240" w:line="580" w:lineRule="exact"/>
      <w:ind w:left="1134" w:right="1134"/>
    </w:pPr>
    <w:rPr>
      <w:b/>
      <w:sz w:val="56"/>
    </w:rPr>
  </w:style>
  <w:style w:type="paragraph" w:customStyle="1" w:styleId="SSG">
    <w:name w:val="__S_S_G"/>
    <w:basedOn w:val="Normal"/>
    <w:next w:val="Normal"/>
    <w:rsid w:val="00D7481B"/>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99"/>
    <w:qFormat/>
    <w:rsid w:val="00D7481B"/>
    <w:rPr>
      <w:sz w:val="16"/>
    </w:rPr>
  </w:style>
  <w:style w:type="paragraph" w:customStyle="1" w:styleId="XLargeG">
    <w:name w:val="__XLarge_G"/>
    <w:basedOn w:val="Normal"/>
    <w:next w:val="Normal"/>
    <w:rsid w:val="00D7481B"/>
    <w:pPr>
      <w:keepNext/>
      <w:keepLines/>
      <w:spacing w:before="240" w:after="240" w:line="420" w:lineRule="exact"/>
      <w:ind w:left="1134" w:right="1134"/>
    </w:pPr>
    <w:rPr>
      <w:b/>
      <w:sz w:val="40"/>
    </w:rPr>
  </w:style>
  <w:style w:type="paragraph" w:styleId="Textonotapie">
    <w:name w:val="footnote text"/>
    <w:aliases w:val="5_G,Footnote Text Char Char Char Char Char,Footnote Text Char Char Char Char,Footnote reference,FA Fu,Footnote Text Char Char Char,Footnote Text Cha,FA Fußnotentext,FA Fuﬂnotentext,FA Fu?notentext,Footnote Text Char Ch,Car1,Char,F1"/>
    <w:basedOn w:val="Normal"/>
    <w:link w:val="TextonotapieCar"/>
    <w:qFormat/>
    <w:rsid w:val="00D7481B"/>
    <w:pPr>
      <w:tabs>
        <w:tab w:val="right" w:pos="1021"/>
      </w:tabs>
      <w:spacing w:line="220" w:lineRule="exact"/>
      <w:ind w:left="1134" w:right="1134" w:hanging="1134"/>
    </w:pPr>
    <w:rPr>
      <w:sz w:val="18"/>
    </w:rPr>
  </w:style>
  <w:style w:type="table" w:styleId="Tablaconcuadrcula">
    <w:name w:val="Table Grid"/>
    <w:basedOn w:val="Tablanormal"/>
    <w:uiPriority w:val="39"/>
    <w:rsid w:val="00D7481B"/>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D7481B"/>
    <w:pPr>
      <w:numPr>
        <w:numId w:val="1"/>
      </w:numPr>
    </w:pPr>
  </w:style>
  <w:style w:type="numbering" w:styleId="1ai">
    <w:name w:val="Outline List 1"/>
    <w:basedOn w:val="Sinlista"/>
    <w:semiHidden/>
    <w:rsid w:val="00D7481B"/>
    <w:pPr>
      <w:numPr>
        <w:numId w:val="2"/>
      </w:numPr>
    </w:pPr>
  </w:style>
  <w:style w:type="character" w:styleId="AcrnimoHTML">
    <w:name w:val="HTML Acronym"/>
    <w:basedOn w:val="Fuentedeprrafopredeter"/>
    <w:semiHidden/>
    <w:rsid w:val="00D7481B"/>
  </w:style>
  <w:style w:type="numbering" w:styleId="ArtculoSeccin">
    <w:name w:val="Outline List 3"/>
    <w:basedOn w:val="Sinlista"/>
    <w:semiHidden/>
    <w:rsid w:val="00D7481B"/>
    <w:pPr>
      <w:numPr>
        <w:numId w:val="3"/>
      </w:numPr>
    </w:pPr>
  </w:style>
  <w:style w:type="paragraph" w:styleId="Cierre">
    <w:name w:val="Closing"/>
    <w:basedOn w:val="Normal"/>
    <w:semiHidden/>
    <w:rsid w:val="00D7481B"/>
    <w:pPr>
      <w:ind w:left="4252"/>
    </w:pPr>
  </w:style>
  <w:style w:type="character" w:styleId="CitaHTML">
    <w:name w:val="HTML Cite"/>
    <w:semiHidden/>
    <w:rsid w:val="00D7481B"/>
    <w:rPr>
      <w:i/>
      <w:iCs/>
    </w:rPr>
  </w:style>
  <w:style w:type="character" w:styleId="CdigoHTML">
    <w:name w:val="HTML Code"/>
    <w:semiHidden/>
    <w:rsid w:val="00D7481B"/>
    <w:rPr>
      <w:rFonts w:ascii="Courier New" w:hAnsi="Courier New" w:cs="Courier New"/>
      <w:sz w:val="20"/>
      <w:szCs w:val="20"/>
    </w:rPr>
  </w:style>
  <w:style w:type="paragraph" w:styleId="Continuarlista">
    <w:name w:val="List Continue"/>
    <w:basedOn w:val="Normal"/>
    <w:semiHidden/>
    <w:rsid w:val="00D7481B"/>
    <w:pPr>
      <w:spacing w:after="120"/>
      <w:ind w:left="283"/>
    </w:pPr>
  </w:style>
  <w:style w:type="paragraph" w:styleId="Continuarlista2">
    <w:name w:val="List Continue 2"/>
    <w:basedOn w:val="Normal"/>
    <w:semiHidden/>
    <w:rsid w:val="00D7481B"/>
    <w:pPr>
      <w:spacing w:after="120"/>
      <w:ind w:left="566"/>
    </w:pPr>
  </w:style>
  <w:style w:type="paragraph" w:styleId="Continuarlista3">
    <w:name w:val="List Continue 3"/>
    <w:basedOn w:val="Normal"/>
    <w:semiHidden/>
    <w:rsid w:val="00D7481B"/>
    <w:pPr>
      <w:spacing w:after="120"/>
      <w:ind w:left="849"/>
    </w:pPr>
  </w:style>
  <w:style w:type="paragraph" w:styleId="Continuarlista4">
    <w:name w:val="List Continue 4"/>
    <w:basedOn w:val="Normal"/>
    <w:semiHidden/>
    <w:rsid w:val="00D7481B"/>
    <w:pPr>
      <w:spacing w:after="120"/>
      <w:ind w:left="1132"/>
    </w:pPr>
  </w:style>
  <w:style w:type="paragraph" w:styleId="Continuarlista5">
    <w:name w:val="List Continue 5"/>
    <w:basedOn w:val="Normal"/>
    <w:semiHidden/>
    <w:rsid w:val="00D7481B"/>
    <w:pPr>
      <w:spacing w:after="120"/>
      <w:ind w:left="1415"/>
    </w:pPr>
  </w:style>
  <w:style w:type="character" w:styleId="DefinicinHTML">
    <w:name w:val="HTML Definition"/>
    <w:semiHidden/>
    <w:rsid w:val="00D7481B"/>
    <w:rPr>
      <w:i/>
      <w:iCs/>
    </w:rPr>
  </w:style>
  <w:style w:type="paragraph" w:styleId="DireccinHTML">
    <w:name w:val="HTML Address"/>
    <w:basedOn w:val="Normal"/>
    <w:semiHidden/>
    <w:rsid w:val="00D7481B"/>
    <w:rPr>
      <w:i/>
      <w:iCs/>
    </w:rPr>
  </w:style>
  <w:style w:type="paragraph" w:styleId="Direccinsobre">
    <w:name w:val="envelope address"/>
    <w:basedOn w:val="Normal"/>
    <w:semiHidden/>
    <w:rsid w:val="00D7481B"/>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7481B"/>
    <w:rPr>
      <w:rFonts w:ascii="Courier New" w:hAnsi="Courier New" w:cs="Courier New"/>
    </w:rPr>
  </w:style>
  <w:style w:type="paragraph" w:styleId="Encabezadodemensaje">
    <w:name w:val="Message Header"/>
    <w:basedOn w:val="Normal"/>
    <w:semiHidden/>
    <w:rsid w:val="00D7481B"/>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D7481B"/>
  </w:style>
  <w:style w:type="character" w:styleId="nfasis">
    <w:name w:val="Emphasis"/>
    <w:semiHidden/>
    <w:rsid w:val="00D7481B"/>
    <w:rPr>
      <w:i/>
      <w:iCs/>
    </w:rPr>
  </w:style>
  <w:style w:type="paragraph" w:styleId="Fecha">
    <w:name w:val="Date"/>
    <w:basedOn w:val="Normal"/>
    <w:next w:val="Normal"/>
    <w:semiHidden/>
    <w:rsid w:val="00D7481B"/>
  </w:style>
  <w:style w:type="paragraph" w:styleId="Firma">
    <w:name w:val="Signature"/>
    <w:basedOn w:val="Normal"/>
    <w:semiHidden/>
    <w:rsid w:val="00D7481B"/>
    <w:pPr>
      <w:ind w:left="4252"/>
    </w:pPr>
  </w:style>
  <w:style w:type="paragraph" w:styleId="Firmadecorreoelectrnico">
    <w:name w:val="E-mail Signature"/>
    <w:basedOn w:val="Normal"/>
    <w:semiHidden/>
    <w:rsid w:val="00D7481B"/>
  </w:style>
  <w:style w:type="character" w:styleId="Hipervnculo">
    <w:name w:val="Hyperlink"/>
    <w:uiPriority w:val="99"/>
    <w:rsid w:val="00D7481B"/>
    <w:rPr>
      <w:color w:val="0000FF"/>
      <w:u w:val="none"/>
    </w:rPr>
  </w:style>
  <w:style w:type="character" w:styleId="Hipervnculovisitado">
    <w:name w:val="FollowedHyperlink"/>
    <w:uiPriority w:val="99"/>
    <w:rsid w:val="00D7481B"/>
    <w:rPr>
      <w:color w:val="0000FF"/>
      <w:u w:val="none"/>
    </w:rPr>
  </w:style>
  <w:style w:type="paragraph" w:styleId="HTMLconformatoprevio">
    <w:name w:val="HTML Preformatted"/>
    <w:basedOn w:val="Normal"/>
    <w:semiHidden/>
    <w:rsid w:val="00D7481B"/>
    <w:rPr>
      <w:rFonts w:ascii="Courier New" w:hAnsi="Courier New" w:cs="Courier New"/>
    </w:rPr>
  </w:style>
  <w:style w:type="paragraph" w:styleId="Lista">
    <w:name w:val="List"/>
    <w:basedOn w:val="Normal"/>
    <w:semiHidden/>
    <w:rsid w:val="00D7481B"/>
    <w:pPr>
      <w:ind w:left="283" w:hanging="283"/>
    </w:pPr>
  </w:style>
  <w:style w:type="paragraph" w:styleId="Lista2">
    <w:name w:val="List 2"/>
    <w:basedOn w:val="Normal"/>
    <w:semiHidden/>
    <w:rsid w:val="00D7481B"/>
    <w:pPr>
      <w:ind w:left="566" w:hanging="283"/>
    </w:pPr>
  </w:style>
  <w:style w:type="paragraph" w:styleId="Lista3">
    <w:name w:val="List 3"/>
    <w:basedOn w:val="Normal"/>
    <w:semiHidden/>
    <w:rsid w:val="00D7481B"/>
    <w:pPr>
      <w:ind w:left="849" w:hanging="283"/>
    </w:pPr>
  </w:style>
  <w:style w:type="paragraph" w:styleId="Lista4">
    <w:name w:val="List 4"/>
    <w:basedOn w:val="Normal"/>
    <w:semiHidden/>
    <w:rsid w:val="00D7481B"/>
    <w:pPr>
      <w:ind w:left="1132" w:hanging="283"/>
    </w:pPr>
  </w:style>
  <w:style w:type="paragraph" w:styleId="Lista5">
    <w:name w:val="List 5"/>
    <w:basedOn w:val="Normal"/>
    <w:semiHidden/>
    <w:rsid w:val="00D7481B"/>
    <w:pPr>
      <w:ind w:left="1415" w:hanging="283"/>
    </w:pPr>
  </w:style>
  <w:style w:type="paragraph" w:styleId="Listaconnmeros">
    <w:name w:val="List Number"/>
    <w:basedOn w:val="Normal"/>
    <w:semiHidden/>
    <w:rsid w:val="00D7481B"/>
    <w:pPr>
      <w:numPr>
        <w:numId w:val="12"/>
      </w:numPr>
    </w:pPr>
  </w:style>
  <w:style w:type="paragraph" w:styleId="Listaconnmeros2">
    <w:name w:val="List Number 2"/>
    <w:basedOn w:val="Normal"/>
    <w:semiHidden/>
    <w:rsid w:val="00D7481B"/>
    <w:pPr>
      <w:numPr>
        <w:numId w:val="13"/>
      </w:numPr>
    </w:pPr>
  </w:style>
  <w:style w:type="paragraph" w:styleId="Listaconnmeros3">
    <w:name w:val="List Number 3"/>
    <w:basedOn w:val="Normal"/>
    <w:semiHidden/>
    <w:rsid w:val="00D7481B"/>
    <w:pPr>
      <w:numPr>
        <w:numId w:val="14"/>
      </w:numPr>
    </w:pPr>
  </w:style>
  <w:style w:type="paragraph" w:styleId="Listaconnmeros4">
    <w:name w:val="List Number 4"/>
    <w:basedOn w:val="Normal"/>
    <w:semiHidden/>
    <w:rsid w:val="00D7481B"/>
    <w:pPr>
      <w:numPr>
        <w:numId w:val="15"/>
      </w:numPr>
    </w:pPr>
  </w:style>
  <w:style w:type="paragraph" w:styleId="Listaconnmeros5">
    <w:name w:val="List Number 5"/>
    <w:basedOn w:val="Normal"/>
    <w:semiHidden/>
    <w:rsid w:val="00D7481B"/>
    <w:pPr>
      <w:numPr>
        <w:numId w:val="16"/>
      </w:numPr>
    </w:pPr>
  </w:style>
  <w:style w:type="paragraph" w:styleId="Listaconvietas">
    <w:name w:val="List Bullet"/>
    <w:basedOn w:val="Normal"/>
    <w:semiHidden/>
    <w:rsid w:val="00D7481B"/>
    <w:pPr>
      <w:numPr>
        <w:numId w:val="7"/>
      </w:numPr>
    </w:pPr>
  </w:style>
  <w:style w:type="paragraph" w:styleId="Listaconvietas2">
    <w:name w:val="List Bullet 2"/>
    <w:basedOn w:val="Normal"/>
    <w:semiHidden/>
    <w:rsid w:val="00D7481B"/>
    <w:pPr>
      <w:numPr>
        <w:numId w:val="8"/>
      </w:numPr>
    </w:pPr>
  </w:style>
  <w:style w:type="paragraph" w:styleId="Listaconvietas3">
    <w:name w:val="List Bullet 3"/>
    <w:basedOn w:val="Normal"/>
    <w:semiHidden/>
    <w:rsid w:val="00D7481B"/>
    <w:pPr>
      <w:numPr>
        <w:numId w:val="9"/>
      </w:numPr>
    </w:pPr>
  </w:style>
  <w:style w:type="paragraph" w:styleId="Listaconvietas4">
    <w:name w:val="List Bullet 4"/>
    <w:basedOn w:val="Normal"/>
    <w:semiHidden/>
    <w:rsid w:val="00D7481B"/>
    <w:pPr>
      <w:numPr>
        <w:numId w:val="10"/>
      </w:numPr>
    </w:pPr>
  </w:style>
  <w:style w:type="paragraph" w:styleId="Listaconvietas5">
    <w:name w:val="List Bullet 5"/>
    <w:basedOn w:val="Normal"/>
    <w:semiHidden/>
    <w:rsid w:val="00D7481B"/>
    <w:pPr>
      <w:numPr>
        <w:numId w:val="11"/>
      </w:numPr>
    </w:pPr>
  </w:style>
  <w:style w:type="character" w:styleId="MquinadeescribirHTML">
    <w:name w:val="HTML Typewriter"/>
    <w:semiHidden/>
    <w:rsid w:val="00D7481B"/>
    <w:rPr>
      <w:rFonts w:ascii="Courier New" w:hAnsi="Courier New" w:cs="Courier New"/>
      <w:sz w:val="20"/>
      <w:szCs w:val="20"/>
    </w:rPr>
  </w:style>
  <w:style w:type="paragraph" w:styleId="NormalWeb">
    <w:name w:val="Normal (Web)"/>
    <w:basedOn w:val="Normal"/>
    <w:uiPriority w:val="99"/>
    <w:rsid w:val="00D7481B"/>
    <w:rPr>
      <w:sz w:val="24"/>
      <w:szCs w:val="24"/>
    </w:rPr>
  </w:style>
  <w:style w:type="character" w:styleId="Nmerodelnea">
    <w:name w:val="line number"/>
    <w:basedOn w:val="Fuentedeprrafopredeter"/>
    <w:semiHidden/>
    <w:rsid w:val="00D7481B"/>
  </w:style>
  <w:style w:type="character" w:styleId="Nmerodepgina">
    <w:name w:val="page number"/>
    <w:aliases w:val="7_G"/>
    <w:qFormat/>
    <w:rsid w:val="00D7481B"/>
    <w:rPr>
      <w:b/>
      <w:sz w:val="18"/>
    </w:rPr>
  </w:style>
  <w:style w:type="character" w:styleId="Refdenotaalfinal">
    <w:name w:val="endnote reference"/>
    <w:aliases w:val="1_G"/>
    <w:qFormat/>
    <w:rsid w:val="00D7481B"/>
    <w:rPr>
      <w:rFonts w:ascii="Times New Roman" w:hAnsi="Times New Roman"/>
      <w:sz w:val="18"/>
      <w:vertAlign w:val="superscript"/>
    </w:rPr>
  </w:style>
  <w:style w:type="paragraph" w:styleId="Remitedesobre">
    <w:name w:val="envelope return"/>
    <w:basedOn w:val="Normal"/>
    <w:semiHidden/>
    <w:rsid w:val="00D7481B"/>
    <w:rPr>
      <w:rFonts w:ascii="Arial" w:hAnsi="Arial" w:cs="Arial"/>
    </w:rPr>
  </w:style>
  <w:style w:type="paragraph" w:styleId="Saludo">
    <w:name w:val="Salutation"/>
    <w:basedOn w:val="Normal"/>
    <w:next w:val="Normal"/>
    <w:semiHidden/>
    <w:rsid w:val="00D7481B"/>
  </w:style>
  <w:style w:type="paragraph" w:styleId="Sangra2detindependiente">
    <w:name w:val="Body Text Indent 2"/>
    <w:basedOn w:val="Normal"/>
    <w:semiHidden/>
    <w:rsid w:val="00D7481B"/>
    <w:pPr>
      <w:spacing w:after="120" w:line="480" w:lineRule="auto"/>
      <w:ind w:left="283"/>
    </w:pPr>
  </w:style>
  <w:style w:type="paragraph" w:styleId="Sangra3detindependiente">
    <w:name w:val="Body Text Indent 3"/>
    <w:basedOn w:val="Normal"/>
    <w:semiHidden/>
    <w:rsid w:val="00D7481B"/>
    <w:pPr>
      <w:spacing w:after="120"/>
      <w:ind w:left="283"/>
    </w:pPr>
    <w:rPr>
      <w:sz w:val="16"/>
      <w:szCs w:val="16"/>
    </w:rPr>
  </w:style>
  <w:style w:type="paragraph" w:styleId="Sangradetextonormal">
    <w:name w:val="Body Text Indent"/>
    <w:basedOn w:val="Normal"/>
    <w:semiHidden/>
    <w:rsid w:val="00D7481B"/>
    <w:pPr>
      <w:spacing w:after="120"/>
      <w:ind w:left="283"/>
    </w:pPr>
  </w:style>
  <w:style w:type="paragraph" w:styleId="Sangranormal">
    <w:name w:val="Normal Indent"/>
    <w:basedOn w:val="Normal"/>
    <w:semiHidden/>
    <w:rsid w:val="00D7481B"/>
    <w:pPr>
      <w:ind w:left="567"/>
    </w:pPr>
  </w:style>
  <w:style w:type="paragraph" w:styleId="Subttulo">
    <w:name w:val="Subtitle"/>
    <w:basedOn w:val="Normal"/>
    <w:uiPriority w:val="11"/>
    <w:qFormat/>
    <w:rsid w:val="00D7481B"/>
    <w:pPr>
      <w:spacing w:after="60"/>
      <w:jc w:val="center"/>
      <w:outlineLvl w:val="1"/>
    </w:pPr>
    <w:rPr>
      <w:rFonts w:ascii="Arial" w:hAnsi="Arial" w:cs="Arial"/>
      <w:sz w:val="24"/>
      <w:szCs w:val="24"/>
    </w:rPr>
  </w:style>
  <w:style w:type="table" w:styleId="Tablabsica1">
    <w:name w:val="Table Simple 1"/>
    <w:basedOn w:val="Tablanormal"/>
    <w:semiHidden/>
    <w:rsid w:val="00D7481B"/>
    <w:pPr>
      <w:spacing w:line="240" w:lineRule="atLeast"/>
    </w:pPr>
    <w:rPr>
      <w:rFonts w:eastAsiaTheme="minorEastAsia"/>
      <w:lang w:val="en-US" w:eastAsia="zh-C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D7481B"/>
    <w:pPr>
      <w:spacing w:line="240" w:lineRule="atLeast"/>
    </w:pPr>
    <w:rPr>
      <w:rFonts w:eastAsiaTheme="minorEastAsia"/>
      <w:lang w:val="en-US" w:eastAsia="zh-C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D7481B"/>
    <w:pPr>
      <w:spacing w:line="240" w:lineRule="atLeast"/>
    </w:pPr>
    <w:rPr>
      <w:rFonts w:eastAsiaTheme="minorEastAsia"/>
      <w:color w:val="000080"/>
      <w:lang w:val="en-US" w:eastAsia="zh-CN"/>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D7481B"/>
    <w:pPr>
      <w:spacing w:line="240" w:lineRule="atLeast"/>
    </w:pPr>
    <w:rPr>
      <w:rFonts w:eastAsiaTheme="minorEastAsia"/>
      <w:lang w:val="en-US" w:eastAsia="zh-C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D7481B"/>
    <w:pPr>
      <w:spacing w:line="240" w:lineRule="atLeast"/>
    </w:pPr>
    <w:rPr>
      <w:rFonts w:eastAsiaTheme="minorEastAsia"/>
      <w:b/>
      <w:bCs/>
      <w:lang w:val="en-US" w:eastAsia="zh-CN"/>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D7481B"/>
    <w:pPr>
      <w:spacing w:line="240" w:lineRule="atLeast"/>
    </w:pPr>
    <w:rPr>
      <w:rFonts w:eastAsiaTheme="minorEastAsia"/>
      <w:b/>
      <w:bCs/>
      <w:lang w:val="en-US" w:eastAsia="zh-CN"/>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D7481B"/>
    <w:pPr>
      <w:spacing w:line="240" w:lineRule="atLeast"/>
    </w:pPr>
    <w:rPr>
      <w:rFonts w:eastAsiaTheme="minorEastAsia"/>
      <w:b/>
      <w:bCs/>
      <w:lang w:val="en-US" w:eastAsia="zh-CN"/>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D7481B"/>
    <w:pPr>
      <w:spacing w:line="240" w:lineRule="atLeast"/>
    </w:pPr>
    <w:rPr>
      <w:rFonts w:eastAsiaTheme="minorEastAsia"/>
      <w:lang w:val="en-US" w:eastAsia="zh-C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D7481B"/>
    <w:pPr>
      <w:spacing w:line="240" w:lineRule="atLeast"/>
    </w:pPr>
    <w:rPr>
      <w:rFonts w:eastAsiaTheme="minorEastAsia"/>
      <w:lang w:val="en-US" w:eastAsia="zh-C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D7481B"/>
    <w:pPr>
      <w:spacing w:line="240" w:lineRule="atLeast"/>
    </w:pPr>
    <w:rPr>
      <w:rFonts w:eastAsiaTheme="minorEastAsia"/>
      <w:lang w:val="en-US" w:eastAsia="zh-C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D7481B"/>
    <w:pPr>
      <w:spacing w:line="240" w:lineRule="atLeast"/>
    </w:pPr>
    <w:rPr>
      <w:rFonts w:eastAsiaTheme="minorEastAsia"/>
      <w:lang w:val="en-US" w:eastAsia="zh-C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D7481B"/>
    <w:pPr>
      <w:spacing w:line="240" w:lineRule="atLeast"/>
    </w:pPr>
    <w:rPr>
      <w:rFonts w:eastAsiaTheme="minorEastAsia"/>
      <w:lang w:val="en-US" w:eastAsia="zh-C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D7481B"/>
    <w:pPr>
      <w:spacing w:line="240" w:lineRule="atLeast"/>
    </w:pPr>
    <w:rPr>
      <w:rFonts w:eastAsiaTheme="minorEastAsia"/>
      <w:b/>
      <w:bCs/>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D7481B"/>
    <w:pPr>
      <w:spacing w:line="240" w:lineRule="atLeast"/>
    </w:pPr>
    <w:rPr>
      <w:rFonts w:eastAsiaTheme="minorEastAsia"/>
      <w:lang w:val="en-US" w:eastAsia="zh-C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D7481B"/>
    <w:pPr>
      <w:spacing w:line="240" w:lineRule="atLeast"/>
    </w:pPr>
    <w:rPr>
      <w:rFonts w:eastAsiaTheme="minorEastAsia"/>
      <w:lang w:val="en-US" w:eastAsia="zh-C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D7481B"/>
    <w:pPr>
      <w:spacing w:line="240" w:lineRule="atLeast"/>
    </w:pPr>
    <w:rPr>
      <w:rFonts w:eastAsiaTheme="minorEastAsia"/>
      <w:lang w:val="en-US" w:eastAsia="zh-C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D7481B"/>
    <w:pPr>
      <w:spacing w:line="240" w:lineRule="atLeast"/>
    </w:pPr>
    <w:rPr>
      <w:rFonts w:eastAsiaTheme="minorEastAsia"/>
      <w:lang w:val="en-US" w:eastAsia="zh-C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D7481B"/>
    <w:pPr>
      <w:spacing w:line="240" w:lineRule="atLeast"/>
    </w:pPr>
    <w:rPr>
      <w:rFonts w:eastAsiaTheme="minorEastAsia"/>
      <w:lang w:val="en-US" w:eastAsia="zh-C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D7481B"/>
    <w:pPr>
      <w:spacing w:line="240" w:lineRule="atLeast"/>
    </w:pPr>
    <w:rPr>
      <w:rFonts w:eastAsiaTheme="minorEastAsia"/>
      <w:lang w:val="en-US" w:eastAsia="zh-C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D7481B"/>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D7481B"/>
    <w:pPr>
      <w:spacing w:line="240" w:lineRule="atLeast"/>
    </w:pPr>
    <w:rPr>
      <w:rFonts w:eastAsiaTheme="minorEastAsia"/>
      <w:lang w:val="en-US" w:eastAsia="zh-C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D7481B"/>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D7481B"/>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D7481B"/>
    <w:pPr>
      <w:spacing w:line="240" w:lineRule="atLeast"/>
    </w:pPr>
    <w:rPr>
      <w:rFonts w:eastAsiaTheme="minorEastAsia"/>
      <w:lang w:val="en-US" w:eastAsia="zh-C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D7481B"/>
    <w:pPr>
      <w:spacing w:line="240" w:lineRule="atLeast"/>
    </w:pPr>
    <w:rPr>
      <w:rFonts w:eastAsiaTheme="minorEastAsia"/>
      <w:lang w:val="en-US" w:eastAsia="zh-C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D7481B"/>
    <w:pPr>
      <w:spacing w:line="240" w:lineRule="atLeast"/>
    </w:pPr>
    <w:rPr>
      <w:rFonts w:eastAsiaTheme="minorEastAsia"/>
      <w:lang w:val="en-US" w:eastAsia="zh-C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D7481B"/>
    <w:pPr>
      <w:spacing w:line="240" w:lineRule="atLeast"/>
    </w:pPr>
    <w:rPr>
      <w:rFonts w:eastAsiaTheme="minorEastAsia"/>
      <w:lang w:val="en-US" w:eastAsia="zh-C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D7481B"/>
    <w:pPr>
      <w:spacing w:line="240" w:lineRule="atLeast"/>
    </w:pPr>
    <w:rPr>
      <w:rFonts w:eastAsiaTheme="minorEastAsia"/>
      <w:color w:val="FFFFFF"/>
      <w:lang w:val="en-US" w:eastAsia="zh-CN"/>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D7481B"/>
    <w:pPr>
      <w:spacing w:line="240" w:lineRule="atLeast"/>
    </w:pPr>
    <w:rPr>
      <w:rFonts w:eastAsiaTheme="minorEastAsia"/>
      <w:lang w:val="en-US" w:eastAsia="zh-C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D7481B"/>
    <w:pPr>
      <w:spacing w:line="240" w:lineRule="atLeast"/>
    </w:pPr>
    <w:rPr>
      <w:rFonts w:eastAsiaTheme="minorEastAsia"/>
      <w:lang w:val="en-US" w:eastAsia="zh-C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D7481B"/>
    <w:pPr>
      <w:spacing w:line="240" w:lineRule="atLeast"/>
    </w:pPr>
    <w:rPr>
      <w:rFonts w:eastAsiaTheme="minorEastAsia"/>
      <w:lang w:val="en-US" w:eastAsia="zh-C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D7481B"/>
    <w:pPr>
      <w:spacing w:line="240" w:lineRule="atLeast"/>
    </w:pPr>
    <w:rPr>
      <w:rFonts w:eastAsiaTheme="minorEastAsia"/>
      <w:lang w:val="en-US" w:eastAsia="zh-C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D7481B"/>
    <w:pPr>
      <w:spacing w:line="240" w:lineRule="atLeast"/>
    </w:pPr>
    <w:rPr>
      <w:rFonts w:eastAsiaTheme="minorEastAsia"/>
      <w:lang w:val="en-US" w:eastAsia="zh-C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7481B"/>
    <w:rPr>
      <w:rFonts w:ascii="Courier New" w:hAnsi="Courier New" w:cs="Courier New"/>
      <w:sz w:val="20"/>
      <w:szCs w:val="20"/>
    </w:rPr>
  </w:style>
  <w:style w:type="paragraph" w:styleId="Textodebloque">
    <w:name w:val="Block Text"/>
    <w:basedOn w:val="Normal"/>
    <w:semiHidden/>
    <w:rsid w:val="00D7481B"/>
    <w:pPr>
      <w:spacing w:after="120"/>
      <w:ind w:left="1440" w:right="1440"/>
    </w:pPr>
  </w:style>
  <w:style w:type="character" w:styleId="Textoennegrita">
    <w:name w:val="Strong"/>
    <w:uiPriority w:val="22"/>
    <w:qFormat/>
    <w:rsid w:val="00D7481B"/>
    <w:rPr>
      <w:b/>
      <w:bCs/>
    </w:rPr>
  </w:style>
  <w:style w:type="paragraph" w:styleId="Textoindependiente">
    <w:name w:val="Body Text"/>
    <w:basedOn w:val="Normal"/>
    <w:semiHidden/>
    <w:rsid w:val="00D7481B"/>
    <w:pPr>
      <w:spacing w:after="120"/>
    </w:pPr>
  </w:style>
  <w:style w:type="paragraph" w:styleId="Textoindependiente2">
    <w:name w:val="Body Text 2"/>
    <w:basedOn w:val="Normal"/>
    <w:semiHidden/>
    <w:rsid w:val="00D7481B"/>
    <w:pPr>
      <w:spacing w:after="120" w:line="480" w:lineRule="auto"/>
    </w:pPr>
  </w:style>
  <w:style w:type="paragraph" w:styleId="Textoindependiente3">
    <w:name w:val="Body Text 3"/>
    <w:basedOn w:val="Normal"/>
    <w:semiHidden/>
    <w:rsid w:val="00D7481B"/>
    <w:pPr>
      <w:spacing w:after="120"/>
    </w:pPr>
    <w:rPr>
      <w:sz w:val="16"/>
      <w:szCs w:val="16"/>
    </w:rPr>
  </w:style>
  <w:style w:type="paragraph" w:styleId="Textoindependienteprimerasangra">
    <w:name w:val="Body Text First Indent"/>
    <w:basedOn w:val="Textoindependiente"/>
    <w:semiHidden/>
    <w:rsid w:val="00D7481B"/>
    <w:pPr>
      <w:ind w:firstLine="210"/>
    </w:pPr>
  </w:style>
  <w:style w:type="paragraph" w:styleId="Textoindependienteprimerasangra2">
    <w:name w:val="Body Text First Indent 2"/>
    <w:basedOn w:val="Sangradetextonormal"/>
    <w:semiHidden/>
    <w:rsid w:val="00D7481B"/>
    <w:pPr>
      <w:ind w:firstLine="210"/>
    </w:pPr>
  </w:style>
  <w:style w:type="paragraph" w:styleId="Textonotaalfinal">
    <w:name w:val="endnote text"/>
    <w:aliases w:val="2_G"/>
    <w:basedOn w:val="Textonotapie"/>
    <w:qFormat/>
    <w:rsid w:val="00D7481B"/>
  </w:style>
  <w:style w:type="paragraph" w:styleId="Textosinformato">
    <w:name w:val="Plain Text"/>
    <w:basedOn w:val="Normal"/>
    <w:semiHidden/>
    <w:rsid w:val="00D7481B"/>
    <w:rPr>
      <w:rFonts w:ascii="Courier New" w:hAnsi="Courier New" w:cs="Courier New"/>
    </w:rPr>
  </w:style>
  <w:style w:type="paragraph" w:styleId="Ttulo">
    <w:name w:val="Title"/>
    <w:basedOn w:val="Normal"/>
    <w:uiPriority w:val="10"/>
    <w:qFormat/>
    <w:rsid w:val="00D7481B"/>
    <w:pPr>
      <w:spacing w:before="240" w:after="60"/>
      <w:jc w:val="center"/>
      <w:outlineLvl w:val="0"/>
    </w:pPr>
    <w:rPr>
      <w:rFonts w:ascii="Arial" w:hAnsi="Arial" w:cs="Arial"/>
      <w:b/>
      <w:bCs/>
      <w:kern w:val="28"/>
      <w:sz w:val="32"/>
      <w:szCs w:val="32"/>
    </w:rPr>
  </w:style>
  <w:style w:type="character" w:styleId="VariableHTML">
    <w:name w:val="HTML Variable"/>
    <w:semiHidden/>
    <w:rsid w:val="00D7481B"/>
    <w:rPr>
      <w:i/>
      <w:iCs/>
    </w:rPr>
  </w:style>
  <w:style w:type="paragraph" w:customStyle="1" w:styleId="Bullet1G">
    <w:name w:val="_Bullet 1_G"/>
    <w:basedOn w:val="Normal"/>
    <w:qFormat/>
    <w:rsid w:val="00D7481B"/>
    <w:pPr>
      <w:numPr>
        <w:numId w:val="5"/>
      </w:numPr>
      <w:spacing w:after="120"/>
      <w:ind w:right="1134"/>
      <w:jc w:val="both"/>
    </w:pPr>
    <w:rPr>
      <w:lang w:eastAsia="en-US"/>
    </w:rPr>
  </w:style>
  <w:style w:type="paragraph" w:customStyle="1" w:styleId="Bullet2G">
    <w:name w:val="_Bullet 2_G"/>
    <w:basedOn w:val="Normal"/>
    <w:qFormat/>
    <w:rsid w:val="00D7481B"/>
    <w:pPr>
      <w:numPr>
        <w:numId w:val="6"/>
      </w:numPr>
      <w:spacing w:after="120"/>
      <w:ind w:right="1134"/>
      <w:jc w:val="both"/>
    </w:pPr>
  </w:style>
  <w:style w:type="paragraph" w:styleId="Textodeglobo">
    <w:name w:val="Balloon Text"/>
    <w:basedOn w:val="Normal"/>
    <w:link w:val="TextodegloboCar"/>
    <w:uiPriority w:val="99"/>
    <w:semiHidden/>
    <w:rsid w:val="00A44B2D"/>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21DC1"/>
    <w:rPr>
      <w:rFonts w:ascii="Tahoma" w:hAnsi="Tahoma" w:cs="Tahoma"/>
      <w:sz w:val="16"/>
      <w:szCs w:val="16"/>
      <w:lang w:val="es-ES" w:eastAsia="es-ES"/>
    </w:rPr>
  </w:style>
  <w:style w:type="paragraph" w:styleId="Citadestacada">
    <w:name w:val="Intense Quote"/>
    <w:basedOn w:val="Normal"/>
    <w:next w:val="Normal"/>
    <w:link w:val="CitadestacadaCar"/>
    <w:uiPriority w:val="30"/>
    <w:semiHidden/>
    <w:rsid w:val="00D7481B"/>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7481B"/>
    <w:rPr>
      <w:rFonts w:eastAsiaTheme="minorEastAsia"/>
      <w:b/>
      <w:bCs/>
      <w:i/>
      <w:iCs/>
      <w:color w:val="4F81BD"/>
      <w:lang w:val="es-ES" w:eastAsia="es-ES"/>
    </w:rPr>
  </w:style>
  <w:style w:type="character" w:styleId="nfasisintenso">
    <w:name w:val="Intense Emphasis"/>
    <w:uiPriority w:val="21"/>
    <w:semiHidden/>
    <w:rsid w:val="00D7481B"/>
    <w:rPr>
      <w:b/>
      <w:bCs/>
      <w:i/>
      <w:iCs/>
      <w:color w:val="4F81BD"/>
    </w:rPr>
  </w:style>
  <w:style w:type="character" w:customStyle="1" w:styleId="Ttulo1Car">
    <w:name w:val="Título 1 Car"/>
    <w:aliases w:val="Cuadro_G Car"/>
    <w:basedOn w:val="Fuentedeprrafopredeter"/>
    <w:link w:val="Ttulo1"/>
    <w:uiPriority w:val="9"/>
    <w:rsid w:val="00D7481B"/>
    <w:rPr>
      <w:rFonts w:eastAsiaTheme="minorEastAsia"/>
      <w:lang w:val="fr-CH" w:eastAsia="en-US"/>
    </w:rPr>
  </w:style>
  <w:style w:type="table" w:customStyle="1" w:styleId="Tablaconcuadrcula10">
    <w:name w:val="Tabla con cuadrícula1"/>
    <w:basedOn w:val="Tablanormal"/>
    <w:uiPriority w:val="39"/>
    <w:rsid w:val="002D4172"/>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2D4172"/>
    <w:pPr>
      <w:numPr>
        <w:numId w:val="4"/>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val="fr-CH" w:eastAsia="en-US"/>
    </w:rPr>
  </w:style>
  <w:style w:type="character" w:customStyle="1" w:styleId="TextonotapieCar">
    <w:name w:val="Texto nota pie Car"/>
    <w:aliases w:val="5_G Car,Footnote Text Char Char Char Char Char Car,Footnote Text Char Char Char Char Car,Footnote reference Car,FA Fu Car,Footnote Text Char Char Char Car,Footnote Text Cha Car,FA Fußnotentext Car,FA Fuﬂnotentext Car,Car1 Car,Char Car"/>
    <w:basedOn w:val="Fuentedeprrafopredeter"/>
    <w:link w:val="Textonotapie"/>
    <w:rsid w:val="00770151"/>
    <w:rPr>
      <w:rFonts w:eastAsiaTheme="minorEastAsia"/>
      <w:sz w:val="18"/>
      <w:lang w:val="es-ES" w:eastAsia="es-ES"/>
    </w:rPr>
  </w:style>
  <w:style w:type="paragraph" w:customStyle="1" w:styleId="Default">
    <w:name w:val="Default"/>
    <w:uiPriority w:val="99"/>
    <w:rsid w:val="00770151"/>
    <w:pPr>
      <w:autoSpaceDE w:val="0"/>
      <w:autoSpaceDN w:val="0"/>
      <w:adjustRightInd w:val="0"/>
    </w:pPr>
    <w:rPr>
      <w:rFonts w:eastAsiaTheme="minorHAnsi"/>
      <w:color w:val="000000"/>
      <w:sz w:val="24"/>
      <w:szCs w:val="24"/>
      <w:lang w:val="es-AR" w:eastAsia="en-US"/>
    </w:rPr>
  </w:style>
  <w:style w:type="paragraph" w:styleId="Prrafodelista">
    <w:name w:val="List Paragraph"/>
    <w:basedOn w:val="Normal"/>
    <w:uiPriority w:val="34"/>
    <w:qFormat/>
    <w:rsid w:val="00770151"/>
    <w:pPr>
      <w:spacing w:after="200" w:line="276" w:lineRule="auto"/>
      <w:ind w:left="720"/>
      <w:contextualSpacing/>
    </w:pPr>
    <w:rPr>
      <w:rFonts w:asciiTheme="minorHAnsi" w:eastAsiaTheme="minorHAnsi" w:hAnsiTheme="minorHAnsi" w:cstheme="minorBidi"/>
      <w:sz w:val="22"/>
      <w:szCs w:val="22"/>
      <w:lang w:val="es-AR" w:eastAsia="en-US"/>
    </w:rPr>
  </w:style>
  <w:style w:type="paragraph" w:customStyle="1" w:styleId="xmsolistparagraph">
    <w:name w:val="x_msolistparagraph"/>
    <w:basedOn w:val="Normal"/>
    <w:rsid w:val="00770151"/>
    <w:pPr>
      <w:spacing w:before="100" w:beforeAutospacing="1" w:after="100" w:afterAutospacing="1" w:line="240" w:lineRule="auto"/>
    </w:pPr>
    <w:rPr>
      <w:rFonts w:eastAsia="Times New Roman"/>
      <w:sz w:val="24"/>
      <w:szCs w:val="24"/>
      <w:lang w:val="es-AR" w:eastAsia="es-AR"/>
    </w:rPr>
  </w:style>
  <w:style w:type="paragraph" w:customStyle="1" w:styleId="xmsonormal">
    <w:name w:val="x_msonormal"/>
    <w:basedOn w:val="Normal"/>
    <w:rsid w:val="00770151"/>
    <w:pPr>
      <w:spacing w:before="100" w:beforeAutospacing="1" w:after="100" w:afterAutospacing="1" w:line="240" w:lineRule="auto"/>
    </w:pPr>
    <w:rPr>
      <w:rFonts w:eastAsia="Times New Roman"/>
      <w:sz w:val="24"/>
      <w:szCs w:val="24"/>
      <w:lang w:val="es-AR" w:eastAsia="es-AR"/>
    </w:rPr>
  </w:style>
  <w:style w:type="paragraph" w:styleId="Sinespaciado">
    <w:name w:val="No Spacing"/>
    <w:link w:val="SinespaciadoCar"/>
    <w:uiPriority w:val="1"/>
    <w:qFormat/>
    <w:rsid w:val="00770151"/>
    <w:rPr>
      <w:rFonts w:ascii="Calibri" w:eastAsia="Calibri" w:hAnsi="Calibri"/>
      <w:sz w:val="22"/>
      <w:szCs w:val="22"/>
      <w:lang w:val="es-ES" w:eastAsia="es-AR"/>
    </w:rPr>
  </w:style>
  <w:style w:type="character" w:customStyle="1" w:styleId="SinespaciadoCar">
    <w:name w:val="Sin espaciado Car"/>
    <w:basedOn w:val="Fuentedeprrafopredeter"/>
    <w:link w:val="Sinespaciado"/>
    <w:uiPriority w:val="1"/>
    <w:rsid w:val="00770151"/>
    <w:rPr>
      <w:rFonts w:ascii="Calibri" w:eastAsia="Calibri" w:hAnsi="Calibri"/>
      <w:sz w:val="22"/>
      <w:szCs w:val="22"/>
      <w:lang w:val="es-ES" w:eastAsia="es-AR"/>
    </w:rPr>
  </w:style>
  <w:style w:type="character" w:styleId="Refdecomentario">
    <w:name w:val="annotation reference"/>
    <w:basedOn w:val="Fuentedeprrafopredeter"/>
    <w:uiPriority w:val="99"/>
    <w:semiHidden/>
    <w:unhideWhenUsed/>
    <w:rsid w:val="00770151"/>
    <w:rPr>
      <w:sz w:val="16"/>
      <w:szCs w:val="16"/>
    </w:rPr>
  </w:style>
  <w:style w:type="paragraph" w:styleId="Textocomentario">
    <w:name w:val="annotation text"/>
    <w:basedOn w:val="Normal"/>
    <w:link w:val="TextocomentarioCar"/>
    <w:uiPriority w:val="99"/>
    <w:unhideWhenUsed/>
    <w:rsid w:val="00770151"/>
    <w:pPr>
      <w:spacing w:after="200" w:line="240" w:lineRule="auto"/>
    </w:pPr>
    <w:rPr>
      <w:rFonts w:asciiTheme="minorHAnsi" w:eastAsiaTheme="minorHAnsi" w:hAnsiTheme="minorHAnsi" w:cstheme="minorBidi"/>
      <w:lang w:val="es-AR" w:eastAsia="en-US"/>
    </w:rPr>
  </w:style>
  <w:style w:type="character" w:customStyle="1" w:styleId="TextocomentarioCar">
    <w:name w:val="Texto comentario Car"/>
    <w:basedOn w:val="Fuentedeprrafopredeter"/>
    <w:link w:val="Textocomentario"/>
    <w:uiPriority w:val="99"/>
    <w:rsid w:val="00770151"/>
    <w:rPr>
      <w:rFonts w:asciiTheme="minorHAnsi" w:eastAsiaTheme="minorHAnsi" w:hAnsiTheme="minorHAnsi" w:cstheme="minorBidi"/>
      <w:lang w:val="es-AR" w:eastAsia="en-US"/>
    </w:rPr>
  </w:style>
  <w:style w:type="paragraph" w:styleId="Asuntodelcomentario">
    <w:name w:val="annotation subject"/>
    <w:basedOn w:val="Textocomentario"/>
    <w:next w:val="Textocomentario"/>
    <w:link w:val="AsuntodelcomentarioCar"/>
    <w:uiPriority w:val="99"/>
    <w:semiHidden/>
    <w:unhideWhenUsed/>
    <w:rsid w:val="00770151"/>
    <w:rPr>
      <w:b/>
      <w:bCs/>
    </w:rPr>
  </w:style>
  <w:style w:type="character" w:customStyle="1" w:styleId="AsuntodelcomentarioCar">
    <w:name w:val="Asunto del comentario Car"/>
    <w:basedOn w:val="TextocomentarioCar"/>
    <w:link w:val="Asuntodelcomentario"/>
    <w:uiPriority w:val="99"/>
    <w:semiHidden/>
    <w:rsid w:val="00770151"/>
    <w:rPr>
      <w:rFonts w:asciiTheme="minorHAnsi" w:eastAsiaTheme="minorHAnsi" w:hAnsiTheme="minorHAnsi" w:cstheme="minorBidi"/>
      <w:b/>
      <w:bCs/>
      <w:lang w:val="es-AR" w:eastAsia="en-US"/>
    </w:rPr>
  </w:style>
  <w:style w:type="paragraph" w:styleId="Revisin">
    <w:name w:val="Revision"/>
    <w:hidden/>
    <w:uiPriority w:val="99"/>
    <w:semiHidden/>
    <w:rsid w:val="00770151"/>
    <w:rPr>
      <w:rFonts w:asciiTheme="minorHAnsi" w:eastAsiaTheme="minorHAnsi" w:hAnsiTheme="minorHAnsi" w:cstheme="minorBidi"/>
      <w:sz w:val="22"/>
      <w:szCs w:val="22"/>
      <w:lang w:val="es-AR" w:eastAsia="en-US"/>
    </w:rPr>
  </w:style>
  <w:style w:type="character" w:customStyle="1" w:styleId="EncabezadoCar">
    <w:name w:val="Encabezado Car"/>
    <w:aliases w:val="6_G Car"/>
    <w:basedOn w:val="Fuentedeprrafopredeter"/>
    <w:link w:val="Encabezado"/>
    <w:uiPriority w:val="99"/>
    <w:rsid w:val="00770151"/>
    <w:rPr>
      <w:rFonts w:eastAsiaTheme="minorEastAsia"/>
      <w:b/>
      <w:sz w:val="18"/>
      <w:lang w:val="es-ES" w:eastAsia="es-ES"/>
    </w:rPr>
  </w:style>
  <w:style w:type="character" w:customStyle="1" w:styleId="PiedepginaCar">
    <w:name w:val="Pie de página Car"/>
    <w:aliases w:val="3_G Car"/>
    <w:basedOn w:val="Fuentedeprrafopredeter"/>
    <w:link w:val="Piedepgina"/>
    <w:uiPriority w:val="99"/>
    <w:rsid w:val="00770151"/>
    <w:rPr>
      <w:rFonts w:eastAsiaTheme="minorEastAsia"/>
      <w:sz w:val="16"/>
      <w:lang w:val="es-ES" w:eastAsia="es-ES"/>
    </w:rPr>
  </w:style>
  <w:style w:type="table" w:customStyle="1" w:styleId="TableNormal1">
    <w:name w:val="Table Normal1"/>
    <w:rsid w:val="00095139"/>
    <w:pPr>
      <w:spacing w:line="276" w:lineRule="auto"/>
    </w:pPr>
    <w:rPr>
      <w:rFonts w:ascii="Arial" w:eastAsia="Arial" w:hAnsi="Arial" w:cs="Arial"/>
      <w:sz w:val="22"/>
      <w:szCs w:val="22"/>
      <w:lang w:val="es" w:eastAsia="es-CO"/>
    </w:rPr>
    <w:tblPr>
      <w:tblCellMar>
        <w:top w:w="0" w:type="dxa"/>
        <w:left w:w="0" w:type="dxa"/>
        <w:bottom w:w="0" w:type="dxa"/>
        <w:right w:w="0" w:type="dxa"/>
      </w:tblCellMar>
    </w:tblPr>
  </w:style>
  <w:style w:type="table" w:customStyle="1" w:styleId="TableNormal2">
    <w:name w:val="Table Normal2"/>
    <w:rsid w:val="00095139"/>
    <w:pPr>
      <w:spacing w:line="276" w:lineRule="auto"/>
    </w:pPr>
    <w:rPr>
      <w:rFonts w:ascii="Arial" w:eastAsia="Arial" w:hAnsi="Arial" w:cs="Arial"/>
      <w:sz w:val="22"/>
      <w:szCs w:val="22"/>
      <w:lang w:val="es" w:eastAsia="es-CO"/>
    </w:rPr>
    <w:tblPr>
      <w:tblCellMar>
        <w:top w:w="0" w:type="dxa"/>
        <w:left w:w="0" w:type="dxa"/>
        <w:bottom w:w="0" w:type="dxa"/>
        <w:right w:w="0" w:type="dxa"/>
      </w:tblCellMar>
    </w:tblPr>
  </w:style>
  <w:style w:type="character" w:customStyle="1" w:styleId="UnresolvedMention1">
    <w:name w:val="Unresolved Mention1"/>
    <w:basedOn w:val="Fuentedeprrafopredeter"/>
    <w:uiPriority w:val="99"/>
    <w:semiHidden/>
    <w:unhideWhenUsed/>
    <w:rsid w:val="00095139"/>
    <w:rPr>
      <w:color w:val="605E5C"/>
      <w:shd w:val="clear" w:color="auto" w:fill="E1DFDD"/>
    </w:rPr>
  </w:style>
  <w:style w:type="paragraph" w:customStyle="1" w:styleId="pf0">
    <w:name w:val="pf0"/>
    <w:basedOn w:val="Normal"/>
    <w:rsid w:val="00095139"/>
    <w:pPr>
      <w:spacing w:before="100" w:beforeAutospacing="1" w:after="100" w:afterAutospacing="1" w:line="240" w:lineRule="auto"/>
    </w:pPr>
    <w:rPr>
      <w:rFonts w:eastAsia="Times New Roman"/>
      <w:sz w:val="24"/>
      <w:szCs w:val="24"/>
      <w:lang w:val="es-CO" w:eastAsia="es-CO"/>
    </w:rPr>
  </w:style>
  <w:style w:type="character" w:customStyle="1" w:styleId="cf01">
    <w:name w:val="cf01"/>
    <w:basedOn w:val="Fuentedeprrafopredeter"/>
    <w:rsid w:val="00095139"/>
    <w:rPr>
      <w:rFonts w:ascii="Segoe UI" w:hAnsi="Segoe UI" w:cs="Segoe UI" w:hint="default"/>
      <w:sz w:val="18"/>
      <w:szCs w:val="18"/>
    </w:rPr>
  </w:style>
  <w:style w:type="character" w:styleId="Mencinsinresolver">
    <w:name w:val="Unresolved Mention"/>
    <w:basedOn w:val="Fuentedeprrafopredeter"/>
    <w:uiPriority w:val="99"/>
    <w:semiHidden/>
    <w:unhideWhenUsed/>
    <w:rsid w:val="00280D2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www.dane.gov.co/index.php/estadisticas-por-tema/pobreza-y-condiciones-de-vida/necesidades-basicas-insatisfechas-nbi" TargetMode="External"/><Relationship Id="rId13" Type="http://schemas.openxmlformats.org/officeDocument/2006/relationships/hyperlink" Target="https://derechoshumanos.gov.co/Observatorio/Publicaciones/Documents/2022/290622-Discriminacion-Racial-y-Desigualdad-Social-de-las-Comunidades-Afrocolombianas.pdf" TargetMode="External"/><Relationship Id="rId18" Type="http://schemas.openxmlformats.org/officeDocument/2006/relationships/hyperlink" Target="https://www.icbf.gov.co/sites/default/files/procesos/md1.de_modelo_de_enfoque_diferencial_de_derechos_medd_v1.pdf" TargetMode="External"/><Relationship Id="rId3" Type="http://schemas.openxmlformats.org/officeDocument/2006/relationships/hyperlink" Target="https://tbinternet.ohchr.org/_layouts/15/treatybodyexternal/Download.aspx?symbolno=INT%2fCERD%2fSTA%2fCOL%2f39727&amp;Lang=es" TargetMode="External"/><Relationship Id="rId21" Type="http://schemas.openxmlformats.org/officeDocument/2006/relationships/hyperlink" Target="https://www.migracioncolombia.gov.co/infografias/distribucion-de-venezolanos-en-colombia-corte-31-de-agosto-de-2021" TargetMode="External"/><Relationship Id="rId7" Type="http://schemas.openxmlformats.org/officeDocument/2006/relationships/hyperlink" Target="https://geoportal.dane.gov.co/geovisores/sociedad/autorreconocimiento-etnico/" TargetMode="External"/><Relationship Id="rId12" Type="http://schemas.openxmlformats.org/officeDocument/2006/relationships/hyperlink" Target="https://derechoshumanos.gov.co/Observatorio/Publicaciones/Documents/2021/030222-Mapa-de-Riesgo-NARP.pdf" TargetMode="External"/><Relationship Id="rId17" Type="http://schemas.openxmlformats.org/officeDocument/2006/relationships/hyperlink" Target="https://www.mineducacion.gov.co/portal/micrositios-institucionales/Escuela-Corporativa/Nuestra-Escuela/377656:Ruta-de-aprendizaje" TargetMode="External"/><Relationship Id="rId2" Type="http://schemas.openxmlformats.org/officeDocument/2006/relationships/hyperlink" Target="https://www.dane.gov.co/index.php/estadisticas-por-tema/demografia-y-poblacion/grupos-etnicos/informacion-tecnica" TargetMode="External"/><Relationship Id="rId16" Type="http://schemas.openxmlformats.org/officeDocument/2006/relationships/hyperlink" Target="https://prosperidadsocial.gov.co/sgsp/ruta-para-la-superacion-de-la-pobreza/%23:~:text=Ruta%20para%20la%20Superaci%C3%B3n%20de%20la%20Pobreza%20%2D%20Prosperidad%20Social&amp;text=La%20Ruta%20es%20la%20estrategia,la%20superaci%C3%B3n%20de%20barreras%20sociales" TargetMode="External"/><Relationship Id="rId20" Type="http://schemas.openxmlformats.org/officeDocument/2006/relationships/hyperlink" Target="https://colaboracion.dnp.gov.co/CDT/Conpes/Econ%C3%B3micos/4080.pdf" TargetMode="External"/><Relationship Id="rId1" Type="http://schemas.openxmlformats.org/officeDocument/2006/relationships/hyperlink" Target="https://www.dane.gov.co/index.php/estadisticas-por-tema/demografia-y-poblacion/grupos-etnicos/informacion-tecnica" TargetMode="External"/><Relationship Id="rId6" Type="http://schemas.openxmlformats.org/officeDocument/2006/relationships/hyperlink" Target="https://www.dane.gov.co/index.php/estadisticas-por-tema/demografia-y-poblacion/grupos-etnicos/informacion-tecnica" TargetMode="External"/><Relationship Id="rId11" Type="http://schemas.openxmlformats.org/officeDocument/2006/relationships/hyperlink" Target="https://www.dane.gov.co/files/investigaciones/boletines/grupos-etnicos/presentacion-grupos-etnicos-poblacion-NARP-2019.pdf" TargetMode="External"/><Relationship Id="rId5" Type="http://schemas.openxmlformats.org/officeDocument/2006/relationships/hyperlink" Target="https://www.dane.gov.co/files/censo2018/estudios-poscensales/06-analisis-dinamica-intercensal-autorreconocimiento-NARP-UNFPA.pdf" TargetMode="External"/><Relationship Id="rId15" Type="http://schemas.openxmlformats.org/officeDocument/2006/relationships/hyperlink" Target="https://www.icontec.org/observatorio-para-la-promocion-de-la-inclusion/" TargetMode="External"/><Relationship Id="rId23" Type="http://schemas.openxmlformats.org/officeDocument/2006/relationships/hyperlink" Target="http://www.equidadmujer.gov.co/prensa/2021/Documents/210823-Terminos-referencia-Equipo-Facilitacion-Territorial-INES.pdf" TargetMode="External"/><Relationship Id="rId10" Type="http://schemas.openxmlformats.org/officeDocument/2006/relationships/hyperlink" Target="http://systema59.dane.gov.co/bincol/rpwebengine.exe/PortalAction?lang=esp" TargetMode="External"/><Relationship Id="rId19" Type="http://schemas.openxmlformats.org/officeDocument/2006/relationships/hyperlink" Target="https://www.icbf.gov.co/guias-alimentarias-basadas-en-alimentos-para-la-poblacion-colombiana-mayor-de-2-anos-0%20" TargetMode="External"/><Relationship Id="rId4" Type="http://schemas.openxmlformats.org/officeDocument/2006/relationships/hyperlink" Target="https://www.dane.gov.co/files/investigaciones/genero/guia-inclusion-enfoque-difencias-intersecciones-produccion-estadistica-SEN.pdf" TargetMode="External"/><Relationship Id="rId9" Type="http://schemas.openxmlformats.org/officeDocument/2006/relationships/hyperlink" Target="https://www.dane.gov.co/index.php/52-espanol/noticias/noticias/2396-microdatos-anonimizados-geih" TargetMode="External"/><Relationship Id="rId14" Type="http://schemas.openxmlformats.org/officeDocument/2006/relationships/hyperlink" Target="https://derechoshumanos.gov.co/Observatorio/Publicaciones/Documents/2021/170921-Manual-Rutas-PRUUVS.pdf" TargetMode="External"/><Relationship Id="rId22" Type="http://schemas.openxmlformats.org/officeDocument/2006/relationships/hyperlink" Target="https://www.suin-juriscol.gov.co/legislacion/migrantesvenezolanos.html"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FDB81D-8CD4-47DD-9855-19D5E04EA0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36</Pages>
  <Words>18597</Words>
  <Characters>100611</Characters>
  <Application>Microsoft Office Word</Application>
  <DocSecurity>0</DocSecurity>
  <Lines>1524</Lines>
  <Paragraphs>397</Paragraphs>
  <ScaleCrop>false</ScaleCrop>
  <HeadingPairs>
    <vt:vector size="6" baseType="variant">
      <vt:variant>
        <vt:lpstr>Título</vt:lpstr>
      </vt:variant>
      <vt:variant>
        <vt:i4>1</vt:i4>
      </vt:variant>
      <vt:variant>
        <vt:lpstr>Title</vt:lpstr>
      </vt:variant>
      <vt:variant>
        <vt:i4>1</vt:i4>
      </vt:variant>
      <vt:variant>
        <vt:lpstr>Titre</vt:lpstr>
      </vt:variant>
      <vt:variant>
        <vt:i4>1</vt:i4>
      </vt:variant>
    </vt:vector>
  </HeadingPairs>
  <TitlesOfParts>
    <vt:vector size="3" baseType="lpstr">
      <vt:lpstr>CERD/C/COL/20-21</vt:lpstr>
      <vt:lpstr>CERD/C/ARG/24-26</vt:lpstr>
      <vt:lpstr>CAT/C/XXX/Y</vt:lpstr>
    </vt:vector>
  </TitlesOfParts>
  <Company>DCM</Company>
  <LinksUpToDate>false</LinksUpToDate>
  <CharactersWithSpaces>118811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CERD/C/COL/20-21</dc:title>
  <dc:subject/>
  <dc:creator>Gloria</dc:creator>
  <cp:keywords/>
  <cp:lastModifiedBy>Luz Urquizu Marroquin</cp:lastModifiedBy>
  <cp:revision>3</cp:revision>
  <cp:lastPrinted>2022-12-05T12:12:00Z</cp:lastPrinted>
  <dcterms:created xsi:type="dcterms:W3CDTF">2022-12-05T12:12:00Z</dcterms:created>
  <dcterms:modified xsi:type="dcterms:W3CDTF">2022-12-05T12:13:00Z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CERD</vt:lpwstr>
  </property>
  <property fmtid="{D5CDD505-2E9C-101B-9397-08002B2CF9AE}" pid="7" name="count">
    <vt:lpwstr>de la Argentina</vt:lpwstr>
  </property>
  <property fmtid="{D5CDD505-2E9C-101B-9397-08002B2CF9AE}" pid="8" name="countw">
    <vt:lpwstr>Argentina</vt:lpwstr>
  </property>
  <property fmtid="{D5CDD505-2E9C-101B-9397-08002B2CF9AE}" pid="9" name="countwd">
    <vt:lpwstr>la Argentina</vt:lpwstr>
  </property>
  <property fmtid="{D5CDD505-2E9C-101B-9397-08002B2CF9AE}" pid="10" name="date">
    <vt:lpwstr>4 de marzo de 2020</vt:lpwstr>
  </property>
  <property fmtid="{D5CDD505-2E9C-101B-9397-08002B2CF9AE}" pid="11" name="Date-Generated">
    <vt:filetime>2020-03-04T15:23:38Z</vt:filetime>
  </property>
  <property fmtid="{D5CDD505-2E9C-101B-9397-08002B2CF9AE}" pid="12" name="dist">
    <vt:lpwstr>general</vt:lpwstr>
  </property>
  <property fmtid="{D5CDD505-2E9C-101B-9397-08002B2CF9AE}" pid="13" name="doctype">
    <vt:lpwstr>Final</vt:lpwstr>
  </property>
  <property fmtid="{D5CDD505-2E9C-101B-9397-08002B2CF9AE}" pid="14" name="Entity">
    <vt:lpwstr>Country report</vt:lpwstr>
  </property>
  <property fmtid="{D5CDD505-2E9C-101B-9397-08002B2CF9AE}" pid="15" name="gdoc">
    <vt:lpwstr/>
  </property>
  <property fmtid="{D5CDD505-2E9C-101B-9397-08002B2CF9AE}" pid="16" name="gdocf">
    <vt:lpwstr/>
  </property>
  <property fmtid="{D5CDD505-2E9C-101B-9397-08002B2CF9AE}" pid="17" name="gdocs">
    <vt:lpwstr>gdocs</vt:lpwstr>
  </property>
  <property fmtid="{D5CDD505-2E9C-101B-9397-08002B2CF9AE}" pid="18" name="olang">
    <vt:lpwstr>español</vt:lpwstr>
  </property>
  <property fmtid="{D5CDD505-2E9C-101B-9397-08002B2CF9AE}" pid="19" name="Org">
    <vt:lpwstr>OHCHR</vt:lpwstr>
  </property>
  <property fmtid="{D5CDD505-2E9C-101B-9397-08002B2CF9AE}" pid="20" name="prep">
    <vt:lpwstr>a los informes periódicos 24ᵒ a 26ᵒ combinados de la Argentina</vt:lpwstr>
  </property>
  <property fmtid="{D5CDD505-2E9C-101B-9397-08002B2CF9AE}" pid="21" name="preps">
    <vt:lpwstr>informes periódicos 24ᵒ a 26ᵒ combinados de la Argentina</vt:lpwstr>
  </property>
  <property fmtid="{D5CDD505-2E9C-101B-9397-08002B2CF9AE}" pid="22" name="prepw">
    <vt:lpwstr>a los informes periódicos 24ᵒ a 26ᵒ combinados</vt:lpwstr>
  </property>
  <property fmtid="{D5CDD505-2E9C-101B-9397-08002B2CF9AE}" pid="23" name="prepwc">
    <vt:lpwstr>Informes periódicos 24ᵒ a 26ᵒ combinados </vt:lpwstr>
  </property>
  <property fmtid="{D5CDD505-2E9C-101B-9397-08002B2CF9AE}" pid="24" name="prepws">
    <vt:lpwstr>informes periódicos 24ᵒ a 26ᵒ combinados de la Argentina</vt:lpwstr>
  </property>
  <property fmtid="{D5CDD505-2E9C-101B-9397-08002B2CF9AE}" pid="25" name="sdate">
    <vt:lpwstr>[Start-End Dates ]</vt:lpwstr>
  </property>
  <property fmtid="{D5CDD505-2E9C-101B-9397-08002B2CF9AE}" pid="26" name="snum">
    <vt:lpwstr>[NUMBER]</vt:lpwstr>
  </property>
  <property fmtid="{D5CDD505-2E9C-101B-9397-08002B2CF9AE}" pid="27" name="stitle">
    <vt:lpwstr>[Title]</vt:lpwstr>
  </property>
  <property fmtid="{D5CDD505-2E9C-101B-9397-08002B2CF9AE}" pid="28" name="sym1">
    <vt:lpwstr>C/ARG/24-26</vt:lpwstr>
  </property>
  <property fmtid="{D5CDD505-2E9C-101B-9397-08002B2CF9AE}" pid="29" name="symh">
    <vt:lpwstr>CERD/C/ARG/24-26</vt:lpwstr>
  </property>
  <property fmtid="{D5CDD505-2E9C-101B-9397-08002B2CF9AE}" pid="30" name="tlang">
    <vt:lpwstr/>
  </property>
  <property fmtid="{D5CDD505-2E9C-101B-9397-08002B2CF9AE}" pid="31" name="virs">
    <vt:lpwstr>Español, francés e inglés únicamente</vt:lpwstr>
  </property>
</Properties>
</file>