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087C04" w:rsidP="00087C04">
            <w:pPr>
              <w:jc w:val="right"/>
            </w:pPr>
            <w:r w:rsidRPr="00087C04">
              <w:rPr>
                <w:sz w:val="40"/>
              </w:rPr>
              <w:t>CRPD</w:t>
            </w:r>
            <w:r>
              <w:t>/C/DEU/Q/1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087C04" w:rsidRDefault="00087C04" w:rsidP="00A56EA8">
            <w:pPr>
              <w:spacing w:before="240"/>
            </w:pPr>
            <w:r>
              <w:t>Distr. générale</w:t>
            </w:r>
          </w:p>
          <w:p w:rsidR="00087C04" w:rsidRDefault="00087C04" w:rsidP="00087C04">
            <w:pPr>
              <w:spacing w:line="240" w:lineRule="exact"/>
            </w:pPr>
            <w:r>
              <w:t>12 mai 2014</w:t>
            </w:r>
          </w:p>
          <w:p w:rsidR="00087C04" w:rsidRDefault="00087C04" w:rsidP="00087C04">
            <w:pPr>
              <w:spacing w:line="240" w:lineRule="exact"/>
            </w:pPr>
            <w:r>
              <w:t>Français</w:t>
            </w:r>
          </w:p>
          <w:p w:rsidR="00297B00" w:rsidRPr="00DB58B5" w:rsidRDefault="00087C04" w:rsidP="00087C04">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087C04" w:rsidRPr="00A50199" w:rsidRDefault="00087C04" w:rsidP="00087C04">
      <w:pPr>
        <w:pStyle w:val="HChG"/>
        <w:rPr>
          <w:lang w:val="en-US"/>
        </w:rPr>
      </w:pPr>
      <w:r w:rsidRPr="00A50199">
        <w:rPr>
          <w:lang w:val="en-US"/>
        </w:rPr>
        <w:tab/>
      </w:r>
      <w:r w:rsidRPr="00A50199">
        <w:rPr>
          <w:lang w:val="en-US"/>
        </w:rPr>
        <w:tab/>
      </w:r>
      <w:r w:rsidRPr="00EC7468">
        <w:t>Liste de points concernant le rapport initial de l</w:t>
      </w:r>
      <w:r>
        <w:t>’</w:t>
      </w:r>
      <w:r w:rsidRPr="00EC7468">
        <w:t>Allemagne</w:t>
      </w:r>
      <w:r w:rsidRPr="00087C04">
        <w:rPr>
          <w:rStyle w:val="FootnoteReference"/>
          <w:b w:val="0"/>
          <w:sz w:val="20"/>
          <w:vertAlign w:val="baseline"/>
        </w:rPr>
        <w:footnoteReference w:customMarkFollows="1" w:id="2"/>
        <w:t>*</w:t>
      </w:r>
    </w:p>
    <w:p w:rsidR="00087C04" w:rsidRPr="00A50199" w:rsidRDefault="00087C04" w:rsidP="00087C04">
      <w:pPr>
        <w:pStyle w:val="H1G"/>
        <w:rPr>
          <w:szCs w:val="24"/>
          <w:lang w:val="en-US" w:eastAsia="en-GB"/>
        </w:rPr>
      </w:pPr>
      <w:r w:rsidRPr="00A50199">
        <w:rPr>
          <w:szCs w:val="24"/>
          <w:lang w:val="en-US" w:eastAsia="en-GB"/>
        </w:rPr>
        <w:tab/>
        <w:t>A.</w:t>
      </w:r>
      <w:r w:rsidRPr="00A50199">
        <w:rPr>
          <w:szCs w:val="24"/>
          <w:lang w:val="en-US" w:eastAsia="en-GB"/>
        </w:rPr>
        <w:tab/>
      </w:r>
      <w:r w:rsidRPr="00EC7468">
        <w:t>Objet et obligations générales (art. 1</w:t>
      </w:r>
      <w:r w:rsidRPr="00EC7468">
        <w:rPr>
          <w:vertAlign w:val="superscript"/>
        </w:rPr>
        <w:t>er</w:t>
      </w:r>
      <w:r w:rsidRPr="00EC7468">
        <w:t xml:space="preserve"> à</w:t>
      </w:r>
      <w:r>
        <w:t> </w:t>
      </w:r>
      <w:r w:rsidRPr="00EC7468">
        <w:t>4)</w:t>
      </w:r>
    </w:p>
    <w:p w:rsidR="00087C04" w:rsidRPr="00A50199" w:rsidRDefault="00087C04" w:rsidP="00087C04">
      <w:pPr>
        <w:pStyle w:val="H23G"/>
        <w:rPr>
          <w:lang w:val="en-US" w:eastAsia="en-GB"/>
        </w:rPr>
      </w:pPr>
      <w:r w:rsidRPr="00A50199">
        <w:rPr>
          <w:lang w:val="en-US" w:eastAsia="en-GB"/>
        </w:rPr>
        <w:tab/>
      </w:r>
      <w:r w:rsidRPr="00A50199">
        <w:rPr>
          <w:lang w:val="en-US" w:eastAsia="en-GB"/>
        </w:rPr>
        <w:tab/>
      </w:r>
      <w:r w:rsidRPr="00EC7468">
        <w:t>Obligations générales (art. 4)</w:t>
      </w:r>
    </w:p>
    <w:p w:rsidR="00087C04" w:rsidRPr="00087C04" w:rsidRDefault="00087C04" w:rsidP="00087C04">
      <w:pPr>
        <w:pStyle w:val="ParNoG"/>
        <w:rPr>
          <w:lang w:val="en-US"/>
        </w:rPr>
      </w:pPr>
      <w:r>
        <w:rPr>
          <w:lang w:eastAsia="en-GB"/>
        </w:rPr>
        <w:t>Donner</w:t>
      </w:r>
      <w:r w:rsidRPr="00AE5333">
        <w:rPr>
          <w:lang w:eastAsia="en-GB"/>
        </w:rPr>
        <w:t>, pour chacun des 16</w:t>
      </w:r>
      <w:r>
        <w:rPr>
          <w:lang w:eastAsia="en-GB"/>
        </w:rPr>
        <w:t> </w:t>
      </w:r>
      <w:r w:rsidRPr="00AE5333">
        <w:rPr>
          <w:lang w:eastAsia="en-GB"/>
        </w:rPr>
        <w:t>Länder</w:t>
      </w:r>
      <w:r>
        <w:rPr>
          <w:lang w:eastAsia="en-GB"/>
        </w:rPr>
        <w:t>, des informations sur la manière dont ils comprennent leurs obligations juridiques découlant de la Convention relative aux droits des personnes handicapées et leur donnent effet, ainsi que sur les plans d’action qu’ils ont élaborés pour l’application de la Convention</w:t>
      </w:r>
      <w:r w:rsidRPr="00AE5333">
        <w:rPr>
          <w:lang w:eastAsia="en-GB"/>
        </w:rPr>
        <w:t xml:space="preserve">, </w:t>
      </w:r>
      <w:r w:rsidRPr="00EC7468">
        <w:t xml:space="preserve">notamment en expliquant comment les droits </w:t>
      </w:r>
      <w:r>
        <w:t>de l’homme</w:t>
      </w:r>
      <w:r w:rsidRPr="00EC7468">
        <w:t xml:space="preserve"> des groupes les p</w:t>
      </w:r>
      <w:r>
        <w:t xml:space="preserve">lus marginalisés, </w:t>
      </w:r>
      <w:r w:rsidRPr="00EC7468">
        <w:t>par exemple des personnes placées en institution</w:t>
      </w:r>
      <w:r>
        <w:t>, sont garantis</w:t>
      </w:r>
      <w:r>
        <w:rPr>
          <w:lang w:eastAsia="en-GB"/>
        </w:rPr>
        <w:t>.</w:t>
      </w:r>
    </w:p>
    <w:p w:rsidR="00087C04" w:rsidRPr="004A21E2" w:rsidRDefault="00087C04" w:rsidP="00087C04">
      <w:pPr>
        <w:pStyle w:val="ParNoG"/>
        <w:rPr>
          <w:spacing w:val="-1"/>
          <w:lang w:eastAsia="en-GB"/>
        </w:rPr>
      </w:pPr>
      <w:r w:rsidRPr="004A21E2">
        <w:rPr>
          <w:spacing w:val="-1"/>
        </w:rPr>
        <w:t>Indiquer dans quelle mesure les organisations de personnes handicapées ont participé à l’élaboration et au suivi des programmes nationaux financés par le Fonds social européen et dans quelle mesure les personnes handicapées vont bénéficier de ces programmes</w:t>
      </w:r>
      <w:r w:rsidRPr="004A21E2">
        <w:rPr>
          <w:spacing w:val="-1"/>
          <w:lang w:val="en-US"/>
        </w:rPr>
        <w:t>.</w:t>
      </w:r>
    </w:p>
    <w:p w:rsidR="00087C04" w:rsidRPr="008A5CE6" w:rsidRDefault="00087C04" w:rsidP="00087C04">
      <w:pPr>
        <w:pStyle w:val="ParNoG"/>
        <w:rPr>
          <w:lang w:eastAsia="en-GB"/>
        </w:rPr>
      </w:pPr>
      <w:r w:rsidRPr="008A5CE6">
        <w:t>Décrire les mesures prises pour assurer la conformité</w:t>
      </w:r>
      <w:r>
        <w:t xml:space="preserve"> </w:t>
      </w:r>
      <w:r w:rsidRPr="008A5CE6">
        <w:t>des lois existantes</w:t>
      </w:r>
      <w:r>
        <w:t xml:space="preserve"> comme</w:t>
      </w:r>
      <w:r w:rsidRPr="008A5CE6">
        <w:t xml:space="preserve"> des lois nouvelles avec la Convention relative aux droits des personnes handicapées</w:t>
      </w:r>
      <w:r w:rsidRPr="008A5CE6">
        <w:rPr>
          <w:lang w:eastAsia="en-GB"/>
        </w:rPr>
        <w:t xml:space="preserve">. Comment le Gouvernement </w:t>
      </w:r>
      <w:r>
        <w:rPr>
          <w:lang w:eastAsia="en-GB"/>
        </w:rPr>
        <w:t xml:space="preserve">fédéral et les gouvernements des </w:t>
      </w:r>
      <w:r w:rsidRPr="00AE5333">
        <w:rPr>
          <w:lang w:eastAsia="en-GB"/>
        </w:rPr>
        <w:t>Länder</w:t>
      </w:r>
      <w:r>
        <w:rPr>
          <w:lang w:eastAsia="en-GB"/>
        </w:rPr>
        <w:t xml:space="preserve"> ont-ils aligné leur législation en vigueur et leurs projets de lois sur les obligations découlant de la Convention?</w:t>
      </w:r>
    </w:p>
    <w:p w:rsidR="00087C04" w:rsidRPr="00A50199" w:rsidRDefault="00087C04" w:rsidP="00087C04">
      <w:pPr>
        <w:pStyle w:val="H1G"/>
        <w:rPr>
          <w:lang w:val="en-US" w:eastAsia="en-GB"/>
        </w:rPr>
      </w:pPr>
      <w:r w:rsidRPr="00A50199">
        <w:rPr>
          <w:lang w:val="en-US" w:eastAsia="en-GB"/>
        </w:rPr>
        <w:tab/>
        <w:t>B.</w:t>
      </w:r>
      <w:r w:rsidRPr="00A50199">
        <w:rPr>
          <w:lang w:val="en-US" w:eastAsia="en-GB"/>
        </w:rPr>
        <w:tab/>
      </w:r>
      <w:r w:rsidRPr="00EC7468">
        <w:t>Droits spécifiques</w:t>
      </w:r>
      <w:r>
        <w:t xml:space="preserve"> </w:t>
      </w:r>
      <w:r>
        <w:rPr>
          <w:lang w:val="en-US" w:eastAsia="en-GB"/>
        </w:rPr>
        <w:t>(</w:t>
      </w:r>
      <w:r>
        <w:t>art. 5 à 30)</w:t>
      </w:r>
    </w:p>
    <w:p w:rsidR="00087C04" w:rsidRPr="00A50199" w:rsidRDefault="00087C04" w:rsidP="00087C04">
      <w:pPr>
        <w:pStyle w:val="H23G"/>
        <w:rPr>
          <w:lang w:val="en-US" w:eastAsia="en-GB"/>
        </w:rPr>
      </w:pPr>
      <w:r w:rsidRPr="00A50199">
        <w:rPr>
          <w:lang w:val="en-US" w:eastAsia="en-GB"/>
        </w:rPr>
        <w:tab/>
      </w:r>
      <w:r w:rsidRPr="00A50199">
        <w:rPr>
          <w:lang w:val="en-US" w:eastAsia="en-GB"/>
        </w:rPr>
        <w:tab/>
      </w:r>
      <w:r w:rsidRPr="00EC7468">
        <w:t xml:space="preserve">Égalité et non-discrimination </w:t>
      </w:r>
      <w:r>
        <w:rPr>
          <w:lang w:val="en-US" w:eastAsia="en-GB"/>
        </w:rPr>
        <w:t>(art. </w:t>
      </w:r>
      <w:r w:rsidRPr="00A50199">
        <w:rPr>
          <w:lang w:val="en-US" w:eastAsia="en-GB"/>
        </w:rPr>
        <w:t>5)</w:t>
      </w:r>
    </w:p>
    <w:p w:rsidR="00087C04" w:rsidRPr="00663A78" w:rsidRDefault="00087C04" w:rsidP="00087C04">
      <w:pPr>
        <w:pStyle w:val="ParNoG"/>
      </w:pPr>
      <w:r>
        <w:t>Préciser à quelle échéance le</w:t>
      </w:r>
      <w:r w:rsidRPr="00EC7468">
        <w:t xml:space="preserve"> droit à des aménagements raisonnables</w:t>
      </w:r>
      <w:r>
        <w:t xml:space="preserve"> sera mis en œuvre par le Gouvernement fédéral et par les gouvernements des </w:t>
      </w:r>
      <w:r w:rsidRPr="00AE5333">
        <w:rPr>
          <w:lang w:eastAsia="en-GB"/>
        </w:rPr>
        <w:t>Länder</w:t>
      </w:r>
      <w:r w:rsidRPr="00663A78">
        <w:t xml:space="preserve">, </w:t>
      </w:r>
      <w:r>
        <w:t>y</w:t>
      </w:r>
      <w:r w:rsidR="00BF4390">
        <w:t> </w:t>
      </w:r>
      <w:r>
        <w:t>compris via l’adoption de politiques qualifiant le refus d’effectuer des aménagements raisonnables de discriminatoire</w:t>
      </w:r>
      <w:r w:rsidRPr="00663A78">
        <w:t xml:space="preserve">, </w:t>
      </w:r>
      <w:r>
        <w:t>ainsi que cela a été évoqué en</w:t>
      </w:r>
      <w:r w:rsidR="004A21E2">
        <w:t xml:space="preserve"> </w:t>
      </w:r>
      <w:r>
        <w:t>2013 dans le cadre de l’Examen périodique universel</w:t>
      </w:r>
      <w:r w:rsidRPr="00663A78">
        <w:t xml:space="preserve"> (A/HRC/WG.6/16</w:t>
      </w:r>
      <w:r>
        <w:t>/DEU/1).</w:t>
      </w:r>
    </w:p>
    <w:p w:rsidR="00087C04" w:rsidRPr="00663A78" w:rsidRDefault="00087C04" w:rsidP="00130B95">
      <w:pPr>
        <w:pStyle w:val="H23G"/>
        <w:rPr>
          <w:lang w:eastAsia="en-GB"/>
        </w:rPr>
      </w:pPr>
      <w:r w:rsidRPr="00663A78">
        <w:rPr>
          <w:lang w:eastAsia="en-GB"/>
        </w:rPr>
        <w:tab/>
      </w:r>
      <w:r w:rsidRPr="00663A78">
        <w:rPr>
          <w:lang w:eastAsia="en-GB"/>
        </w:rPr>
        <w:tab/>
      </w:r>
      <w:r w:rsidRPr="00EC7468">
        <w:t>Accessibilité</w:t>
      </w:r>
      <w:r>
        <w:rPr>
          <w:lang w:eastAsia="en-GB"/>
        </w:rPr>
        <w:t xml:space="preserve"> (art. </w:t>
      </w:r>
      <w:r w:rsidRPr="00663A78">
        <w:rPr>
          <w:lang w:eastAsia="en-GB"/>
        </w:rPr>
        <w:t xml:space="preserve">9) </w:t>
      </w:r>
    </w:p>
    <w:p w:rsidR="00130B95" w:rsidRPr="00130B95" w:rsidRDefault="00087C04" w:rsidP="004A21E2">
      <w:pPr>
        <w:pStyle w:val="ParNoG"/>
        <w:keepLines/>
        <w:rPr>
          <w:lang w:val="en-US" w:eastAsia="en-GB"/>
        </w:rPr>
      </w:pPr>
      <w:r w:rsidRPr="00CA4322">
        <w:t>Comment l</w:t>
      </w:r>
      <w:r>
        <w:t>’</w:t>
      </w:r>
      <w:r w:rsidRPr="00CA4322">
        <w:t>État partie entend-il élargir les prescriptions légales existant</w:t>
      </w:r>
      <w:r>
        <w:t>es de manière à assurer l’accès sans obstacle des personnes handicapées aux</w:t>
      </w:r>
      <w:r w:rsidRPr="00CA4322">
        <w:t xml:space="preserve"> entités privées qui fournissent des biens et</w:t>
      </w:r>
      <w:r>
        <w:t xml:space="preserve"> services au public</w:t>
      </w:r>
      <w:r w:rsidRPr="00CA4322">
        <w:rPr>
          <w:lang w:eastAsia="en-GB"/>
        </w:rPr>
        <w:t xml:space="preserve">, comme cela </w:t>
      </w:r>
      <w:r>
        <w:rPr>
          <w:lang w:eastAsia="en-GB"/>
        </w:rPr>
        <w:t>a été évoqué en</w:t>
      </w:r>
      <w:r w:rsidR="00130B95">
        <w:rPr>
          <w:lang w:eastAsia="en-GB"/>
        </w:rPr>
        <w:t> </w:t>
      </w:r>
      <w:r>
        <w:rPr>
          <w:lang w:eastAsia="en-GB"/>
        </w:rPr>
        <w:t>2013 dans le rapport national soumis par l’État partie</w:t>
      </w:r>
      <w:r w:rsidRPr="00CA4322">
        <w:rPr>
          <w:lang w:eastAsia="en-GB"/>
        </w:rPr>
        <w:t xml:space="preserve"> </w:t>
      </w:r>
      <w:r>
        <w:t>dans le cadre de l’Examen périodique universel</w:t>
      </w:r>
      <w:r w:rsidRPr="00663A78">
        <w:t xml:space="preserve"> </w:t>
      </w:r>
      <w:r w:rsidRPr="00130B95">
        <w:t>(A/HRC/WG.6/16/DEU/1</w:t>
      </w:r>
      <w:r w:rsidR="00130B95">
        <w:t>)</w:t>
      </w:r>
      <w:r w:rsidRPr="00130B95">
        <w:rPr>
          <w:lang w:eastAsia="en-GB"/>
        </w:rPr>
        <w:t>?</w:t>
      </w:r>
    </w:p>
    <w:p w:rsidR="00087C04" w:rsidRPr="00A50199" w:rsidRDefault="00FD4C10" w:rsidP="00FD4C10">
      <w:pPr>
        <w:pStyle w:val="H23G"/>
        <w:rPr>
          <w:lang w:val="en-US" w:eastAsia="en-GB"/>
        </w:rPr>
      </w:pPr>
      <w:r>
        <w:tab/>
      </w:r>
      <w:r>
        <w:tab/>
      </w:r>
      <w:r w:rsidR="00087C04" w:rsidRPr="00EC7468">
        <w:t>Reconnaissance de la personnalité jur</w:t>
      </w:r>
      <w:r w:rsidR="00087C04">
        <w:t xml:space="preserve">idique </w:t>
      </w:r>
      <w:r w:rsidR="00087C04" w:rsidRPr="00EC7468">
        <w:t>dans des conditions d</w:t>
      </w:r>
      <w:r w:rsidR="00087C04">
        <w:t>’</w:t>
      </w:r>
      <w:r w:rsidR="00087C04" w:rsidRPr="00EC7468">
        <w:t xml:space="preserve">égalité </w:t>
      </w:r>
      <w:r w:rsidR="00087C04">
        <w:rPr>
          <w:lang w:val="en-US" w:eastAsia="en-GB"/>
        </w:rPr>
        <w:t>(art. </w:t>
      </w:r>
      <w:r w:rsidR="00087C04" w:rsidRPr="00A50199">
        <w:rPr>
          <w:lang w:val="en-US" w:eastAsia="en-GB"/>
        </w:rPr>
        <w:t>12)</w:t>
      </w:r>
    </w:p>
    <w:p w:rsidR="00877AA3" w:rsidRPr="00877AA3" w:rsidRDefault="00087C04" w:rsidP="00877AA3">
      <w:pPr>
        <w:pStyle w:val="ParNoG"/>
        <w:rPr>
          <w:lang w:eastAsia="en-GB"/>
        </w:rPr>
      </w:pPr>
      <w:r>
        <w:t>Donner</w:t>
      </w:r>
      <w:r w:rsidRPr="00EC7468">
        <w:t xml:space="preserve"> des informations à jour sur toutes les modifications apportées au système de tutelle actuel</w:t>
      </w:r>
      <w:r>
        <w:t>lement en vigueur</w:t>
      </w:r>
      <w:r w:rsidRPr="00EC7468">
        <w:t xml:space="preserve">, notamment des renseignements détaillés sur les mesures </w:t>
      </w:r>
      <w:r>
        <w:t>visant à mettre en œuvre le principe de la prise de décision</w:t>
      </w:r>
      <w:r w:rsidRPr="00EC7468">
        <w:t xml:space="preserve"> </w:t>
      </w:r>
      <w:r>
        <w:t>assistée dans les domaines où le régime de prise de décision</w:t>
      </w:r>
      <w:r w:rsidRPr="00EC7468">
        <w:t xml:space="preserve"> substitu</w:t>
      </w:r>
      <w:r>
        <w:t>tive est actuellement pratiqué</w:t>
      </w:r>
      <w:r w:rsidRPr="00A50199">
        <w:rPr>
          <w:lang w:val="en-US" w:eastAsia="en-GB"/>
        </w:rPr>
        <w:t>.</w:t>
      </w:r>
    </w:p>
    <w:p w:rsidR="00087C04" w:rsidRPr="004A21E2" w:rsidRDefault="00087C04" w:rsidP="00877AA3">
      <w:pPr>
        <w:pStyle w:val="ParNoG"/>
        <w:rPr>
          <w:spacing w:val="-2"/>
          <w:lang w:eastAsia="en-GB"/>
        </w:rPr>
      </w:pPr>
      <w:r w:rsidRPr="004A21E2">
        <w:rPr>
          <w:spacing w:val="-2"/>
          <w:lang w:eastAsia="en-GB"/>
        </w:rPr>
        <w:t xml:space="preserve">Préciser en quoi la notion de «réserve de consentement» </w:t>
      </w:r>
      <w:r w:rsidRPr="004A21E2">
        <w:rPr>
          <w:i/>
          <w:spacing w:val="-2"/>
          <w:lang w:eastAsia="en-GB"/>
        </w:rPr>
        <w:t>(Einwilligungsvorbehalt),</w:t>
      </w:r>
      <w:r w:rsidRPr="004A21E2">
        <w:rPr>
          <w:spacing w:val="-2"/>
          <w:lang w:eastAsia="en-GB"/>
        </w:rPr>
        <w:t xml:space="preserve"> en vertu de laquelle l’individu conserve la capacité juridique d’agir en son nom propre sous réserve d’obtenir le consentement de son tuteur, est conforme à l’article 12 de la Convention.</w:t>
      </w:r>
    </w:p>
    <w:p w:rsidR="00087C04" w:rsidRPr="00A50199" w:rsidRDefault="00087C04" w:rsidP="00877AA3">
      <w:pPr>
        <w:pStyle w:val="H23G"/>
        <w:rPr>
          <w:lang w:val="en-US" w:eastAsia="en-GB"/>
        </w:rPr>
      </w:pPr>
      <w:r w:rsidRPr="00A50199">
        <w:rPr>
          <w:lang w:val="en-US" w:eastAsia="en-GB"/>
        </w:rPr>
        <w:tab/>
      </w:r>
      <w:r w:rsidRPr="00A50199">
        <w:rPr>
          <w:lang w:val="en-US" w:eastAsia="en-GB"/>
        </w:rPr>
        <w:tab/>
      </w:r>
      <w:r w:rsidRPr="00EC7468">
        <w:t xml:space="preserve">Accès à la justice </w:t>
      </w:r>
      <w:r>
        <w:rPr>
          <w:lang w:val="en-US" w:eastAsia="en-GB"/>
        </w:rPr>
        <w:t>(art. </w:t>
      </w:r>
      <w:r w:rsidRPr="00A50199">
        <w:rPr>
          <w:lang w:val="en-US" w:eastAsia="en-GB"/>
        </w:rPr>
        <w:t>13)</w:t>
      </w:r>
    </w:p>
    <w:p w:rsidR="00087C04" w:rsidRPr="007D7ED4" w:rsidRDefault="00087C04" w:rsidP="00877AA3">
      <w:pPr>
        <w:pStyle w:val="ParNoG"/>
        <w:rPr>
          <w:lang w:val="en-US" w:eastAsia="en-GB"/>
        </w:rPr>
      </w:pPr>
      <w:r w:rsidRPr="00EC7468">
        <w:t>Donner des informations à jour sur</w:t>
      </w:r>
      <w:r>
        <w:t xml:space="preserve"> ’la façon dont les procédures ont été aménagées et l’accès aux services de police et aux tribunaux amélioré, en vue ’de faciliter l’accès des personnes handicapées à la justice</w:t>
      </w:r>
      <w:r w:rsidRPr="007D7ED4">
        <w:rPr>
          <w:lang w:val="en-US" w:eastAsia="en-GB"/>
        </w:rPr>
        <w:t>.</w:t>
      </w:r>
    </w:p>
    <w:p w:rsidR="00087C04" w:rsidRPr="006B2F34" w:rsidRDefault="00087C04" w:rsidP="00877AA3">
      <w:pPr>
        <w:pStyle w:val="ParNoG"/>
        <w:rPr>
          <w:lang w:eastAsia="en-GB"/>
        </w:rPr>
      </w:pPr>
      <w:r w:rsidRPr="006B2F34">
        <w:rPr>
          <w:lang w:eastAsia="en-GB"/>
        </w:rPr>
        <w:t>P</w:t>
      </w:r>
      <w:r>
        <w:rPr>
          <w:lang w:eastAsia="en-GB"/>
        </w:rPr>
        <w:t xml:space="preserve">réciser si les tribunaux fédéraux et les tribunaux des </w:t>
      </w:r>
      <w:r w:rsidRPr="006B2F34">
        <w:rPr>
          <w:lang w:eastAsia="en-GB"/>
        </w:rPr>
        <w:t>Länder</w:t>
      </w:r>
      <w:r>
        <w:rPr>
          <w:lang w:eastAsia="en-GB"/>
        </w:rPr>
        <w:t xml:space="preserve"> sont soumis aux obligations juridiques découlant de la Convention relative aux droits des personnes handicapées</w:t>
      </w:r>
      <w:r w:rsidRPr="006B2F34">
        <w:rPr>
          <w:lang w:eastAsia="en-GB"/>
        </w:rPr>
        <w:t>.</w:t>
      </w:r>
    </w:p>
    <w:p w:rsidR="00087C04" w:rsidRPr="004A21E2" w:rsidRDefault="00087C04" w:rsidP="00877AA3">
      <w:pPr>
        <w:pStyle w:val="ParNoG"/>
        <w:rPr>
          <w:spacing w:val="-2"/>
          <w:lang w:eastAsia="en-GB"/>
        </w:rPr>
      </w:pPr>
      <w:r w:rsidRPr="004A21E2">
        <w:rPr>
          <w:spacing w:val="-2"/>
          <w:lang w:eastAsia="en-GB"/>
        </w:rPr>
        <w:t xml:space="preserve">Indiquer si les personnes handicapées vivant en institution spécialisée ont accès à des mécanismes de plainte, ainsi que cela a été évoqué en 2013 dans le rapport national soumis par l’État partie </w:t>
      </w:r>
      <w:r w:rsidRPr="004A21E2">
        <w:rPr>
          <w:spacing w:val="-2"/>
        </w:rPr>
        <w:t>dans le cadre de l’Examen périodique universel (A/HRC/WG.6/16/DEU/1</w:t>
      </w:r>
      <w:r w:rsidR="00877AA3" w:rsidRPr="004A21E2">
        <w:rPr>
          <w:spacing w:val="-2"/>
        </w:rPr>
        <w:t>)</w:t>
      </w:r>
      <w:r w:rsidRPr="004A21E2">
        <w:rPr>
          <w:spacing w:val="-2"/>
          <w:lang w:eastAsia="en-GB"/>
        </w:rPr>
        <w:t>.</w:t>
      </w:r>
    </w:p>
    <w:p w:rsidR="00087C04" w:rsidRPr="00A50199" w:rsidRDefault="00087C04" w:rsidP="005665E2">
      <w:pPr>
        <w:pStyle w:val="H23G"/>
        <w:rPr>
          <w:lang w:val="en-US" w:eastAsia="en-GB"/>
        </w:rPr>
      </w:pPr>
      <w:r w:rsidRPr="00A50199">
        <w:rPr>
          <w:lang w:val="en-US" w:eastAsia="en-GB"/>
        </w:rPr>
        <w:tab/>
      </w:r>
      <w:r w:rsidRPr="00A50199">
        <w:rPr>
          <w:lang w:val="en-US" w:eastAsia="en-GB"/>
        </w:rPr>
        <w:tab/>
      </w:r>
      <w:r w:rsidRPr="00EC7468">
        <w:t>Droit de ne pas être soumis à la torture ni à des peines ou traitements cruels,</w:t>
      </w:r>
      <w:r w:rsidR="005665E2">
        <w:br/>
      </w:r>
      <w:r w:rsidRPr="00EC7468">
        <w:t xml:space="preserve">inhumains ou dégradants </w:t>
      </w:r>
      <w:r>
        <w:rPr>
          <w:lang w:val="en-US" w:eastAsia="en-GB"/>
        </w:rPr>
        <w:t>(art. </w:t>
      </w:r>
      <w:r w:rsidRPr="00A50199">
        <w:rPr>
          <w:lang w:val="en-US" w:eastAsia="en-GB"/>
        </w:rPr>
        <w:t>15)</w:t>
      </w:r>
    </w:p>
    <w:p w:rsidR="00087C04" w:rsidRPr="00A50199" w:rsidRDefault="00087C04" w:rsidP="00DB1817">
      <w:pPr>
        <w:pStyle w:val="ParNoG"/>
        <w:rPr>
          <w:lang w:val="en-US" w:eastAsia="en-GB"/>
        </w:rPr>
      </w:pPr>
      <w:r w:rsidRPr="00EC7468">
        <w:t>L</w:t>
      </w:r>
      <w:r>
        <w:t>’</w:t>
      </w:r>
      <w:r w:rsidRPr="00EC7468">
        <w:t>article 40 de l</w:t>
      </w:r>
      <w:r>
        <w:t>’</w:t>
      </w:r>
      <w:r w:rsidRPr="00EC7468">
        <w:rPr>
          <w:i/>
          <w:iCs/>
        </w:rPr>
        <w:t>Arzneimittelgesetz</w:t>
      </w:r>
      <w:r w:rsidRPr="00EC7468">
        <w:t xml:space="preserve"> (loi sur les médicaments) permet de soumettre des personnes ayant une capacité juridique réduite, par exemple </w:t>
      </w:r>
      <w:r>
        <w:t>d</w:t>
      </w:r>
      <w:r w:rsidRPr="00EC7468">
        <w:t>es enfants handicapés, à des recherches scientifiques sans leur consentement libre et éclairé</w:t>
      </w:r>
      <w:r w:rsidRPr="00A50199">
        <w:rPr>
          <w:lang w:val="en-US" w:eastAsia="en-GB"/>
        </w:rPr>
        <w:t xml:space="preserve">. </w:t>
      </w:r>
      <w:r w:rsidRPr="007558A1">
        <w:rPr>
          <w:lang w:eastAsia="en-GB"/>
        </w:rPr>
        <w:t xml:space="preserve">Expliquer </w:t>
      </w:r>
      <w:r>
        <w:rPr>
          <w:lang w:eastAsia="en-GB"/>
        </w:rPr>
        <w:t xml:space="preserve">comment cette pratique est compatible avec le </w:t>
      </w:r>
      <w:r w:rsidRPr="007558A1">
        <w:rPr>
          <w:lang w:eastAsia="en-GB"/>
        </w:rPr>
        <w:t>paragraph</w:t>
      </w:r>
      <w:r>
        <w:rPr>
          <w:lang w:eastAsia="en-GB"/>
        </w:rPr>
        <w:t>e 1 de l’article </w:t>
      </w:r>
      <w:r w:rsidRPr="007558A1">
        <w:rPr>
          <w:lang w:eastAsia="en-GB"/>
        </w:rPr>
        <w:t xml:space="preserve">15 </w:t>
      </w:r>
      <w:r>
        <w:rPr>
          <w:lang w:eastAsia="en-GB"/>
        </w:rPr>
        <w:t>de la Convention</w:t>
      </w:r>
      <w:r w:rsidRPr="00A50199">
        <w:rPr>
          <w:lang w:val="en-US" w:eastAsia="en-GB"/>
        </w:rPr>
        <w:t>.</w:t>
      </w:r>
    </w:p>
    <w:p w:rsidR="00087C04" w:rsidRPr="00A50199" w:rsidRDefault="00087C04" w:rsidP="001612CA">
      <w:pPr>
        <w:pStyle w:val="H23G"/>
        <w:rPr>
          <w:lang w:val="en-US" w:eastAsia="en-GB"/>
        </w:rPr>
      </w:pPr>
      <w:r w:rsidRPr="00A50199">
        <w:rPr>
          <w:lang w:val="en-US" w:eastAsia="en-GB"/>
        </w:rPr>
        <w:tab/>
      </w:r>
      <w:r w:rsidRPr="00A50199">
        <w:rPr>
          <w:lang w:val="en-US" w:eastAsia="en-GB"/>
        </w:rPr>
        <w:tab/>
      </w:r>
      <w:r w:rsidRPr="00EC7468">
        <w:t>Droit de ne pas être soumis à l</w:t>
      </w:r>
      <w:r>
        <w:t xml:space="preserve">’exploitation, à la violence </w:t>
      </w:r>
      <w:r w:rsidRPr="00EC7468">
        <w:t xml:space="preserve">et à la maltraitance </w:t>
      </w:r>
      <w:r>
        <w:rPr>
          <w:lang w:val="en-US" w:eastAsia="en-GB"/>
        </w:rPr>
        <w:t>(art. </w:t>
      </w:r>
      <w:r w:rsidRPr="00A50199">
        <w:rPr>
          <w:lang w:val="en-US" w:eastAsia="en-GB"/>
        </w:rPr>
        <w:t>16)</w:t>
      </w:r>
    </w:p>
    <w:p w:rsidR="001612CA" w:rsidRDefault="00087C04" w:rsidP="001612CA">
      <w:pPr>
        <w:pStyle w:val="ParNoG"/>
        <w:rPr>
          <w:lang w:eastAsia="en-GB"/>
        </w:rPr>
      </w:pPr>
      <w:r>
        <w:rPr>
          <w:lang w:eastAsia="en-GB"/>
        </w:rPr>
        <w:t>Combien d’interventions chirurgicales irréversibles ont été pratiquées sur des enfants intersexués avant qu’ils n’aient atteint un âge auquel ils auraient été capables de</w:t>
      </w:r>
      <w:r w:rsidR="004A21E2">
        <w:rPr>
          <w:lang w:eastAsia="en-GB"/>
        </w:rPr>
        <w:t> </w:t>
      </w:r>
      <w:r>
        <w:rPr>
          <w:lang w:eastAsia="en-GB"/>
        </w:rPr>
        <w:t>donner leur consentement éclairé</w:t>
      </w:r>
      <w:r w:rsidRPr="006A2826">
        <w:rPr>
          <w:lang w:eastAsia="en-GB"/>
        </w:rPr>
        <w:t xml:space="preserve">? </w:t>
      </w:r>
      <w:r>
        <w:rPr>
          <w:lang w:eastAsia="en-GB"/>
        </w:rPr>
        <w:t>L’État partie a-t-il l’intention de mettre un terme à cette pratique?</w:t>
      </w:r>
    </w:p>
    <w:p w:rsidR="00087C04" w:rsidRPr="006A2826" w:rsidRDefault="00087C04" w:rsidP="001612CA">
      <w:pPr>
        <w:pStyle w:val="ParNoG"/>
        <w:rPr>
          <w:lang w:eastAsia="en-GB"/>
        </w:rPr>
      </w:pPr>
      <w:r w:rsidRPr="00EC7468">
        <w:t xml:space="preserve">Fournir </w:t>
      </w:r>
      <w:r>
        <w:t>des statistiques à jour sur</w:t>
      </w:r>
      <w:r w:rsidRPr="00EC7468">
        <w:t xml:space="preserve"> </w:t>
      </w:r>
      <w:r>
        <w:t>les cas de stérilisation forcée</w:t>
      </w:r>
      <w:r w:rsidRPr="006A2826">
        <w:rPr>
          <w:lang w:eastAsia="en-GB"/>
        </w:rPr>
        <w:t xml:space="preserve">, </w:t>
      </w:r>
      <w:r>
        <w:t>à savoir</w:t>
      </w:r>
      <w:r w:rsidRPr="00EC7468">
        <w:t xml:space="preserve"> </w:t>
      </w:r>
      <w:r>
        <w:t>les stérilisations pratiquées sans le</w:t>
      </w:r>
      <w:r w:rsidRPr="00EC7468">
        <w:t xml:space="preserve"> consentement libre et éclairé</w:t>
      </w:r>
      <w:r>
        <w:t xml:space="preserve"> des intéressés</w:t>
      </w:r>
      <w:r w:rsidRPr="006A2826">
        <w:rPr>
          <w:lang w:eastAsia="en-GB"/>
        </w:rPr>
        <w:t>.</w:t>
      </w:r>
    </w:p>
    <w:p w:rsidR="00087C04" w:rsidRPr="00A50199" w:rsidRDefault="00087C04" w:rsidP="00CB68DF">
      <w:pPr>
        <w:pStyle w:val="H23G"/>
        <w:rPr>
          <w:lang w:val="en-US" w:eastAsia="en-GB"/>
        </w:rPr>
      </w:pPr>
      <w:r w:rsidRPr="00A50199">
        <w:rPr>
          <w:lang w:val="en-US" w:eastAsia="en-GB"/>
        </w:rPr>
        <w:tab/>
      </w:r>
      <w:r w:rsidRPr="00A50199">
        <w:rPr>
          <w:lang w:val="en-US" w:eastAsia="en-GB"/>
        </w:rPr>
        <w:tab/>
      </w:r>
      <w:r w:rsidRPr="00EC7468">
        <w:t>Protection de l</w:t>
      </w:r>
      <w:r>
        <w:t>’</w:t>
      </w:r>
      <w:r w:rsidRPr="00EC7468">
        <w:t xml:space="preserve">intégrité de la personne </w:t>
      </w:r>
      <w:r>
        <w:rPr>
          <w:lang w:val="en-US" w:eastAsia="en-GB"/>
        </w:rPr>
        <w:t>(art. </w:t>
      </w:r>
      <w:r w:rsidRPr="00A50199">
        <w:rPr>
          <w:lang w:val="en-US" w:eastAsia="en-GB"/>
        </w:rPr>
        <w:t>17)</w:t>
      </w:r>
    </w:p>
    <w:p w:rsidR="00087C04" w:rsidRPr="00D31EA8" w:rsidRDefault="00087C04" w:rsidP="00CB68DF">
      <w:pPr>
        <w:pStyle w:val="ParNoG"/>
        <w:rPr>
          <w:lang w:eastAsia="en-GB"/>
        </w:rPr>
      </w:pPr>
      <w:r>
        <w:t>Indiquer</w:t>
      </w:r>
      <w:r w:rsidRPr="00D31EA8">
        <w:t xml:space="preserve"> le nombre de cas où des personnes ont été soumises contre leur gré à un traitement obligatoire depuis février</w:t>
      </w:r>
      <w:r w:rsidR="00C30000">
        <w:t xml:space="preserve"> </w:t>
      </w:r>
      <w:r w:rsidRPr="00D31EA8">
        <w:t>2013</w:t>
      </w:r>
      <w:r w:rsidRPr="00D31EA8">
        <w:rPr>
          <w:lang w:eastAsia="en-GB"/>
        </w:rPr>
        <w:t xml:space="preserve">. Dans </w:t>
      </w:r>
      <w:r>
        <w:rPr>
          <w:lang w:eastAsia="en-GB"/>
        </w:rPr>
        <w:t>combien</w:t>
      </w:r>
      <w:r w:rsidRPr="00D31EA8">
        <w:rPr>
          <w:lang w:eastAsia="en-GB"/>
        </w:rPr>
        <w:t xml:space="preserve"> de cas </w:t>
      </w:r>
      <w:r>
        <w:rPr>
          <w:lang w:eastAsia="en-GB"/>
        </w:rPr>
        <w:t>les nouvelles dispositions législatives</w:t>
      </w:r>
      <w:r w:rsidRPr="00D31EA8">
        <w:rPr>
          <w:lang w:eastAsia="en-GB"/>
        </w:rPr>
        <w:t xml:space="preserve"> (</w:t>
      </w:r>
      <w:r w:rsidR="00CB68DF">
        <w:rPr>
          <w:lang w:eastAsia="en-GB"/>
        </w:rPr>
        <w:t>art.</w:t>
      </w:r>
      <w:r>
        <w:rPr>
          <w:lang w:eastAsia="en-GB"/>
        </w:rPr>
        <w:t> </w:t>
      </w:r>
      <w:r w:rsidRPr="00D31EA8">
        <w:rPr>
          <w:lang w:eastAsia="en-GB"/>
        </w:rPr>
        <w:t>1906</w:t>
      </w:r>
      <w:r>
        <w:rPr>
          <w:lang w:eastAsia="en-GB"/>
        </w:rPr>
        <w:t xml:space="preserve"> du</w:t>
      </w:r>
      <w:r w:rsidRPr="00D31EA8">
        <w:rPr>
          <w:lang w:eastAsia="en-GB"/>
        </w:rPr>
        <w:t xml:space="preserve"> </w:t>
      </w:r>
      <w:r w:rsidRPr="00D31EA8">
        <w:rPr>
          <w:i/>
          <w:lang w:eastAsia="en-GB"/>
        </w:rPr>
        <w:t>Bürgerliches Gesetzbuch</w:t>
      </w:r>
      <w:r w:rsidRPr="00D31EA8">
        <w:rPr>
          <w:lang w:eastAsia="en-GB"/>
        </w:rPr>
        <w:t xml:space="preserve">) </w:t>
      </w:r>
      <w:r>
        <w:rPr>
          <w:lang w:eastAsia="en-GB"/>
        </w:rPr>
        <w:t>ont-elles été invoquées</w:t>
      </w:r>
      <w:r w:rsidRPr="00D31EA8">
        <w:rPr>
          <w:lang w:eastAsia="en-GB"/>
        </w:rPr>
        <w:t>?</w:t>
      </w:r>
    </w:p>
    <w:p w:rsidR="00087C04" w:rsidRPr="00A50199" w:rsidRDefault="00087C04" w:rsidP="007B6993">
      <w:pPr>
        <w:pStyle w:val="H23G"/>
        <w:rPr>
          <w:lang w:val="en-US" w:eastAsia="en-GB"/>
        </w:rPr>
      </w:pPr>
      <w:r w:rsidRPr="00A50199">
        <w:rPr>
          <w:lang w:val="en-US" w:eastAsia="en-GB"/>
        </w:rPr>
        <w:tab/>
      </w:r>
      <w:r w:rsidRPr="00A50199">
        <w:rPr>
          <w:lang w:val="en-US" w:eastAsia="en-GB"/>
        </w:rPr>
        <w:tab/>
      </w:r>
      <w:r w:rsidRPr="00EC7468">
        <w:t>Autonomie de v</w:t>
      </w:r>
      <w:r>
        <w:t>ie et inclusion dans la société</w:t>
      </w:r>
      <w:r>
        <w:rPr>
          <w:lang w:val="en-US" w:eastAsia="en-GB"/>
        </w:rPr>
        <w:t xml:space="preserve"> (art. </w:t>
      </w:r>
      <w:r w:rsidRPr="00A50199">
        <w:rPr>
          <w:lang w:val="en-US" w:eastAsia="en-GB"/>
        </w:rPr>
        <w:t>19)</w:t>
      </w:r>
    </w:p>
    <w:p w:rsidR="007B6993" w:rsidRDefault="00087C04" w:rsidP="007B6993">
      <w:pPr>
        <w:pStyle w:val="ParNoG"/>
        <w:rPr>
          <w:lang w:eastAsia="en-GB"/>
        </w:rPr>
      </w:pPr>
      <w:r w:rsidRPr="001432EA">
        <w:t xml:space="preserve">Donner des informations à jour sur les mesures de désinstitutionalisation prises </w:t>
      </w:r>
      <w:r>
        <w:t>concernant le</w:t>
      </w:r>
      <w:r w:rsidRPr="001432EA">
        <w:t xml:space="preserve"> logement (y compris l</w:t>
      </w:r>
      <w:r>
        <w:t>’</w:t>
      </w:r>
      <w:r w:rsidRPr="001432EA">
        <w:t>accessibilité des infrastructures)</w:t>
      </w:r>
      <w:r w:rsidRPr="001432EA">
        <w:rPr>
          <w:lang w:eastAsia="en-GB"/>
        </w:rPr>
        <w:t xml:space="preserve"> </w:t>
      </w:r>
      <w:r>
        <w:rPr>
          <w:lang w:eastAsia="en-GB"/>
        </w:rPr>
        <w:t>et l</w:t>
      </w:r>
      <w:r w:rsidRPr="001432EA">
        <w:rPr>
          <w:lang w:eastAsia="en-GB"/>
        </w:rPr>
        <w:t>es hôpitaux psychiatriques.</w:t>
      </w:r>
    </w:p>
    <w:p w:rsidR="00087C04" w:rsidRPr="004A21E2" w:rsidRDefault="00087C04" w:rsidP="007B6993">
      <w:pPr>
        <w:pStyle w:val="ParNoG"/>
        <w:rPr>
          <w:spacing w:val="-2"/>
          <w:lang w:eastAsia="en-GB"/>
        </w:rPr>
      </w:pPr>
      <w:r w:rsidRPr="004A21E2">
        <w:rPr>
          <w:spacing w:val="-2"/>
        </w:rPr>
        <w:t>Fournir une analyse comparative des coûts pour une personne handicapée</w:t>
      </w:r>
      <w:r w:rsidRPr="004A21E2">
        <w:rPr>
          <w:spacing w:val="-2"/>
          <w:lang w:eastAsia="en-GB"/>
        </w:rPr>
        <w:t xml:space="preserve"> selon </w:t>
      </w:r>
      <w:r w:rsidRPr="004A21E2">
        <w:rPr>
          <w:spacing w:val="-2"/>
        </w:rPr>
        <w:t xml:space="preserve">qu’elle vit </w:t>
      </w:r>
      <w:r w:rsidRPr="004A21E2">
        <w:rPr>
          <w:spacing w:val="-2"/>
          <w:lang w:eastAsia="en-GB"/>
        </w:rPr>
        <w:t>a)</w:t>
      </w:r>
      <w:r w:rsidR="00C67372" w:rsidRPr="004A21E2">
        <w:rPr>
          <w:spacing w:val="-2"/>
          <w:lang w:eastAsia="en-GB"/>
        </w:rPr>
        <w:t> </w:t>
      </w:r>
      <w:r w:rsidRPr="004A21E2">
        <w:rPr>
          <w:spacing w:val="-2"/>
        </w:rPr>
        <w:t>en institution</w:t>
      </w:r>
      <w:r w:rsidRPr="004A21E2">
        <w:rPr>
          <w:spacing w:val="-2"/>
          <w:lang w:eastAsia="en-GB"/>
        </w:rPr>
        <w:t xml:space="preserve"> (</w:t>
      </w:r>
      <w:r w:rsidRPr="004A21E2">
        <w:rPr>
          <w:i/>
          <w:spacing w:val="-2"/>
          <w:lang w:eastAsia="en-GB"/>
        </w:rPr>
        <w:t>Mehrkostenvorbehalt</w:t>
      </w:r>
      <w:r w:rsidRPr="004A21E2">
        <w:rPr>
          <w:spacing w:val="-2"/>
          <w:lang w:eastAsia="en-GB"/>
        </w:rPr>
        <w:t>) ou b)</w:t>
      </w:r>
      <w:r w:rsidR="00C67372" w:rsidRPr="004A21E2">
        <w:rPr>
          <w:spacing w:val="-2"/>
          <w:lang w:eastAsia="en-GB"/>
        </w:rPr>
        <w:t> </w:t>
      </w:r>
      <w:r w:rsidRPr="004A21E2">
        <w:rPr>
          <w:spacing w:val="-2"/>
          <w:lang w:eastAsia="en-GB"/>
        </w:rPr>
        <w:t>de façon autonome au sein de la société.</w:t>
      </w:r>
    </w:p>
    <w:p w:rsidR="00087C04" w:rsidRPr="00A50199" w:rsidRDefault="00087C04" w:rsidP="00C67372">
      <w:pPr>
        <w:pStyle w:val="H23G"/>
        <w:rPr>
          <w:lang w:val="en-US" w:eastAsia="en-GB"/>
        </w:rPr>
      </w:pPr>
      <w:r w:rsidRPr="00A50199">
        <w:rPr>
          <w:lang w:val="en-US" w:eastAsia="en-GB"/>
        </w:rPr>
        <w:tab/>
      </w:r>
      <w:r w:rsidRPr="00A50199">
        <w:rPr>
          <w:lang w:val="en-US" w:eastAsia="en-GB"/>
        </w:rPr>
        <w:tab/>
      </w:r>
      <w:r w:rsidRPr="00EC7468">
        <w:t>Respe</w:t>
      </w:r>
      <w:r>
        <w:t>ct du domicile et de la famille</w:t>
      </w:r>
      <w:r>
        <w:rPr>
          <w:lang w:val="en-US" w:eastAsia="en-GB"/>
        </w:rPr>
        <w:t xml:space="preserve"> (art. </w:t>
      </w:r>
      <w:r w:rsidRPr="00A50199">
        <w:rPr>
          <w:lang w:val="en-US" w:eastAsia="en-GB"/>
        </w:rPr>
        <w:t xml:space="preserve">23) </w:t>
      </w:r>
    </w:p>
    <w:p w:rsidR="00087C04" w:rsidRPr="00A50199" w:rsidRDefault="00087C04" w:rsidP="00C67372">
      <w:pPr>
        <w:pStyle w:val="ParNoG"/>
        <w:rPr>
          <w:lang w:val="en-US" w:eastAsia="en-GB"/>
        </w:rPr>
      </w:pPr>
      <w:r w:rsidRPr="00EC7468">
        <w:t xml:space="preserve">Indiquer </w:t>
      </w:r>
      <w:r>
        <w:t>quelle aide est apportée aux parents d’enfants handicapés, qu’ils travaillent ou non,</w:t>
      </w:r>
      <w:r w:rsidRPr="00EC7468">
        <w:t xml:space="preserve"> afin de permettre à ces enfants de </w:t>
      </w:r>
      <w:r>
        <w:t>vivre</w:t>
      </w:r>
      <w:r w:rsidRPr="00EC7468">
        <w:t xml:space="preserve"> dans leur </w:t>
      </w:r>
      <w:r>
        <w:t>famille plutôt qu’</w:t>
      </w:r>
      <w:r w:rsidRPr="00EC7468">
        <w:t>en institution</w:t>
      </w:r>
      <w:r w:rsidRPr="00A50199">
        <w:rPr>
          <w:lang w:val="en-US" w:eastAsia="en-GB"/>
        </w:rPr>
        <w:t>.</w:t>
      </w:r>
    </w:p>
    <w:p w:rsidR="00087C04" w:rsidRPr="00C728D5" w:rsidRDefault="00087C04" w:rsidP="00C67372">
      <w:pPr>
        <w:pStyle w:val="H23G"/>
        <w:rPr>
          <w:lang w:eastAsia="en-GB"/>
        </w:rPr>
      </w:pPr>
      <w:r>
        <w:rPr>
          <w:lang w:val="en-US" w:eastAsia="en-GB"/>
        </w:rPr>
        <w:tab/>
      </w:r>
      <w:r>
        <w:rPr>
          <w:lang w:val="en-US" w:eastAsia="en-GB"/>
        </w:rPr>
        <w:tab/>
      </w:r>
      <w:r w:rsidRPr="00C728D5">
        <w:rPr>
          <w:lang w:eastAsia="en-GB"/>
        </w:rPr>
        <w:t xml:space="preserve">Éducation (art. 24) </w:t>
      </w:r>
    </w:p>
    <w:p w:rsidR="00C67372" w:rsidRPr="004A21E2" w:rsidRDefault="00087C04" w:rsidP="00C67372">
      <w:pPr>
        <w:pStyle w:val="ParNoG"/>
        <w:rPr>
          <w:spacing w:val="-2"/>
          <w:lang w:eastAsia="en-GB"/>
        </w:rPr>
      </w:pPr>
      <w:r w:rsidRPr="004A21E2">
        <w:rPr>
          <w:spacing w:val="-2"/>
        </w:rPr>
        <w:t>Fournir des données sur le taux d’inclusion des enfants handicapés entre</w:t>
      </w:r>
      <w:r w:rsidR="00C67372" w:rsidRPr="004A21E2">
        <w:rPr>
          <w:spacing w:val="-2"/>
        </w:rPr>
        <w:t> </w:t>
      </w:r>
      <w:r w:rsidRPr="004A21E2">
        <w:rPr>
          <w:spacing w:val="-2"/>
        </w:rPr>
        <w:t>2008 et 2014</w:t>
      </w:r>
      <w:r w:rsidRPr="004A21E2">
        <w:rPr>
          <w:spacing w:val="-2"/>
          <w:lang w:eastAsia="en-GB"/>
        </w:rPr>
        <w:t xml:space="preserve">, </w:t>
      </w:r>
      <w:r w:rsidRPr="004A21E2">
        <w:rPr>
          <w:spacing w:val="-2"/>
        </w:rPr>
        <w:t>en pourcentage et en nombre d’enfants, en les ventilant selon que ces enfants fréquentent des classes externes</w:t>
      </w:r>
      <w:r w:rsidR="00C67372" w:rsidRPr="004A21E2">
        <w:rPr>
          <w:spacing w:val="-2"/>
        </w:rPr>
        <w:t xml:space="preserve"> </w:t>
      </w:r>
      <w:r w:rsidRPr="004A21E2">
        <w:rPr>
          <w:spacing w:val="-2"/>
        </w:rPr>
        <w:t>ou des classes d’intégration, ainsi que</w:t>
      </w:r>
      <w:r w:rsidRPr="004A21E2">
        <w:rPr>
          <w:spacing w:val="-2"/>
          <w:lang w:eastAsia="en-GB"/>
        </w:rPr>
        <w:t xml:space="preserve"> par Land (État fédéré).</w:t>
      </w:r>
    </w:p>
    <w:p w:rsidR="00087C04" w:rsidRPr="004A21E2" w:rsidRDefault="00087C04" w:rsidP="00C67372">
      <w:pPr>
        <w:pStyle w:val="ParNoG"/>
        <w:rPr>
          <w:spacing w:val="-2"/>
          <w:lang w:eastAsia="en-GB"/>
        </w:rPr>
      </w:pPr>
      <w:r w:rsidRPr="004A21E2">
        <w:rPr>
          <w:spacing w:val="-2"/>
        </w:rPr>
        <w:t>Quelles mesures le Gouvernement fédéral a-t-il prises afin que les Länder respectent l’obligation qui leur est faite à l’article 24 de mettre en place un système éducatif inclusif</w:t>
      </w:r>
      <w:r w:rsidRPr="004A21E2">
        <w:rPr>
          <w:spacing w:val="-2"/>
          <w:lang w:eastAsia="en-GB"/>
        </w:rPr>
        <w:t>? En relation avec les renseignements donnés à ce sujet en</w:t>
      </w:r>
      <w:r w:rsidR="00C67372" w:rsidRPr="004A21E2">
        <w:rPr>
          <w:spacing w:val="-2"/>
          <w:lang w:eastAsia="en-GB"/>
        </w:rPr>
        <w:t> </w:t>
      </w:r>
      <w:r w:rsidRPr="004A21E2">
        <w:rPr>
          <w:spacing w:val="-2"/>
          <w:lang w:eastAsia="en-GB"/>
        </w:rPr>
        <w:t xml:space="preserve">2013 dans le rapport national soumis par l’État partie dans le cadre de l’Examen périodique universel (A/HRC/WG.6/16/DEU/1), </w:t>
      </w:r>
      <w:r w:rsidRPr="004A21E2">
        <w:rPr>
          <w:spacing w:val="-2"/>
        </w:rPr>
        <w:t>donner des informations détaillées sur les plans mis en place</w:t>
      </w:r>
      <w:r w:rsidR="00C67372" w:rsidRPr="004A21E2">
        <w:rPr>
          <w:spacing w:val="-2"/>
        </w:rPr>
        <w:t xml:space="preserve"> </w:t>
      </w:r>
      <w:r w:rsidRPr="004A21E2">
        <w:rPr>
          <w:spacing w:val="-2"/>
        </w:rPr>
        <w:t>par les Länder à cet égard,</w:t>
      </w:r>
      <w:r w:rsidRPr="004A21E2">
        <w:rPr>
          <w:spacing w:val="-2"/>
          <w:lang w:eastAsia="en-GB"/>
        </w:rPr>
        <w:t xml:space="preserve"> en précisant notamment les crédits alloués et</w:t>
      </w:r>
      <w:r w:rsidRPr="004A21E2">
        <w:rPr>
          <w:spacing w:val="-2"/>
        </w:rPr>
        <w:t xml:space="preserve"> en montrant que les obligations juridiques découlant de la Convention sur les droits des personnes handicapées sont comprises</w:t>
      </w:r>
      <w:r w:rsidRPr="004A21E2">
        <w:rPr>
          <w:spacing w:val="-2"/>
          <w:lang w:eastAsia="en-GB"/>
        </w:rPr>
        <w:t>.</w:t>
      </w:r>
    </w:p>
    <w:p w:rsidR="00087C04" w:rsidRPr="00C67372" w:rsidRDefault="00087C04" w:rsidP="0063304F">
      <w:pPr>
        <w:pStyle w:val="H23G"/>
        <w:rPr>
          <w:lang w:val="en-US" w:eastAsia="en-GB"/>
        </w:rPr>
      </w:pPr>
      <w:r w:rsidRPr="00C67372">
        <w:rPr>
          <w:lang w:val="en-US" w:eastAsia="en-GB"/>
        </w:rPr>
        <w:tab/>
      </w:r>
      <w:r w:rsidRPr="00C67372">
        <w:rPr>
          <w:lang w:val="en-US" w:eastAsia="en-GB"/>
        </w:rPr>
        <w:tab/>
      </w:r>
      <w:r w:rsidRPr="00C67372">
        <w:t xml:space="preserve">Travail et emploi </w:t>
      </w:r>
      <w:r w:rsidRPr="00C67372">
        <w:rPr>
          <w:lang w:val="en-US" w:eastAsia="en-GB"/>
        </w:rPr>
        <w:t>(art. 27)</w:t>
      </w:r>
    </w:p>
    <w:p w:rsidR="00CE66FD" w:rsidRPr="00CE66FD" w:rsidRDefault="00087C04" w:rsidP="00CE66FD">
      <w:pPr>
        <w:pStyle w:val="ParNoG"/>
        <w:rPr>
          <w:lang w:val="en-US" w:eastAsia="en-GB"/>
        </w:rPr>
      </w:pPr>
      <w:r w:rsidRPr="0063304F">
        <w:t xml:space="preserve">Le nombre de personnes handicapées employées à titre permanent dans les 700 ateliers protégés continuant d’augmenter, préciser les mesures prises pour aider ces personnes à accéder au </w:t>
      </w:r>
      <w:r w:rsidR="0063304F">
        <w:t>marché du travail</w:t>
      </w:r>
      <w:r w:rsidRPr="0063304F">
        <w:rPr>
          <w:lang w:eastAsia="en-GB"/>
        </w:rPr>
        <w:t>, comme indiqué dans les observations finales formulées en 2011 par le Comité des droits économiques, sociaux et culturels (E/C.12/DEU/CO/5)</w:t>
      </w:r>
      <w:r w:rsidR="0063304F">
        <w:rPr>
          <w:lang w:eastAsia="en-GB"/>
        </w:rPr>
        <w:t xml:space="preserve"> </w:t>
      </w:r>
      <w:r w:rsidRPr="0063304F">
        <w:rPr>
          <w:lang w:eastAsia="en-GB"/>
        </w:rPr>
        <w:t>et dans le rapport national de l’État partie soumis dans le cadre de l’Examen périodique universel (A/HRC/WG.6/16/DEU/1).</w:t>
      </w:r>
    </w:p>
    <w:p w:rsidR="00087C04" w:rsidRPr="004A21E2" w:rsidRDefault="00087C04" w:rsidP="00CE66FD">
      <w:pPr>
        <w:pStyle w:val="ParNoG"/>
        <w:rPr>
          <w:spacing w:val="-1"/>
          <w:lang w:val="en-US" w:eastAsia="en-GB"/>
        </w:rPr>
      </w:pPr>
      <w:r w:rsidRPr="004A21E2">
        <w:rPr>
          <w:spacing w:val="-1"/>
        </w:rPr>
        <w:t xml:space="preserve">Indiquer le nombre de lieux de travail où sont appliquées les dispositions relatives à l’accessibilité </w:t>
      </w:r>
      <w:r w:rsidRPr="004A21E2">
        <w:rPr>
          <w:spacing w:val="-1"/>
          <w:lang w:val="en-US" w:eastAsia="en-GB"/>
        </w:rPr>
        <w:t>(</w:t>
      </w:r>
      <w:r w:rsidRPr="004A21E2">
        <w:rPr>
          <w:i/>
          <w:spacing w:val="-1"/>
          <w:lang w:val="en-US" w:eastAsia="en-GB"/>
        </w:rPr>
        <w:t>Arbeitsstättenverordnung</w:t>
      </w:r>
      <w:r w:rsidRPr="004A21E2">
        <w:rPr>
          <w:spacing w:val="-1"/>
          <w:lang w:val="en-US" w:eastAsia="en-GB"/>
        </w:rPr>
        <w:t xml:space="preserve">) </w:t>
      </w:r>
      <w:r w:rsidRPr="004A21E2">
        <w:rPr>
          <w:spacing w:val="-1"/>
        </w:rPr>
        <w:t>et le nombre d’employeurs qui ont apporté des aménagements raisonnables, conformément à la réglementation relative aux lieux de travail</w:t>
      </w:r>
      <w:r w:rsidRPr="004A21E2">
        <w:rPr>
          <w:spacing w:val="-1"/>
          <w:lang w:val="en-US" w:eastAsia="en-GB"/>
        </w:rPr>
        <w:t>.</w:t>
      </w:r>
    </w:p>
    <w:p w:rsidR="00087C04" w:rsidRPr="00A50199" w:rsidRDefault="00087C04" w:rsidP="00CE66FD">
      <w:pPr>
        <w:pStyle w:val="H23G"/>
        <w:rPr>
          <w:lang w:val="en-US" w:eastAsia="en-GB"/>
        </w:rPr>
      </w:pPr>
      <w:r w:rsidRPr="00A50199">
        <w:rPr>
          <w:lang w:val="en-US" w:eastAsia="en-GB"/>
        </w:rPr>
        <w:tab/>
      </w:r>
      <w:r w:rsidRPr="00A50199">
        <w:rPr>
          <w:lang w:val="en-US" w:eastAsia="en-GB"/>
        </w:rPr>
        <w:tab/>
      </w:r>
      <w:r w:rsidRPr="00EC7468">
        <w:t xml:space="preserve">Participation à la vie politique et à la vie publique </w:t>
      </w:r>
      <w:r>
        <w:rPr>
          <w:lang w:val="en-US" w:eastAsia="en-GB"/>
        </w:rPr>
        <w:t>(art. </w:t>
      </w:r>
      <w:r w:rsidRPr="00A50199">
        <w:rPr>
          <w:lang w:val="en-US" w:eastAsia="en-GB"/>
        </w:rPr>
        <w:t>29)</w:t>
      </w:r>
    </w:p>
    <w:p w:rsidR="00087C04" w:rsidRPr="00A50199" w:rsidRDefault="00087C04" w:rsidP="00CE66FD">
      <w:pPr>
        <w:pStyle w:val="ParNoG"/>
        <w:rPr>
          <w:lang w:val="en-US" w:eastAsia="en-GB"/>
        </w:rPr>
      </w:pPr>
      <w:r w:rsidRPr="00EC7468">
        <w:t xml:space="preserve">Donner des informations sur les personnes handicapées </w:t>
      </w:r>
      <w:r>
        <w:t>qui n’ont pas le</w:t>
      </w:r>
      <w:r w:rsidRPr="00EC7468">
        <w:t xml:space="preserve"> droit de vot</w:t>
      </w:r>
      <w:r>
        <w:t>e, ainsi que sur les</w:t>
      </w:r>
      <w:r w:rsidRPr="00EC7468">
        <w:t xml:space="preserve"> </w:t>
      </w:r>
      <w:r>
        <w:t>modifications</w:t>
      </w:r>
      <w:r w:rsidRPr="00EC7468">
        <w:t xml:space="preserve"> </w:t>
      </w:r>
      <w:r>
        <w:t>qu’il conviendrait d’apporter pour</w:t>
      </w:r>
      <w:r w:rsidRPr="00EC7468">
        <w:t xml:space="preserve"> que toutes les personnes handicapées puissent participer aux élections</w:t>
      </w:r>
      <w:r w:rsidRPr="00A50199">
        <w:rPr>
          <w:lang w:val="en-US" w:eastAsia="en-GB"/>
        </w:rPr>
        <w:t>.</w:t>
      </w:r>
    </w:p>
    <w:p w:rsidR="00087C04" w:rsidRPr="008D2392" w:rsidRDefault="00087C04" w:rsidP="0075788E">
      <w:pPr>
        <w:pStyle w:val="H1G"/>
        <w:rPr>
          <w:lang w:eastAsia="en-GB"/>
        </w:rPr>
      </w:pPr>
      <w:r w:rsidRPr="00A50199">
        <w:rPr>
          <w:lang w:val="en-US" w:eastAsia="en-GB"/>
        </w:rPr>
        <w:tab/>
        <w:t>C.</w:t>
      </w:r>
      <w:r w:rsidRPr="00A50199">
        <w:rPr>
          <w:lang w:val="en-US" w:eastAsia="en-GB"/>
        </w:rPr>
        <w:tab/>
      </w:r>
      <w:r>
        <w:rPr>
          <w:lang w:eastAsia="en-GB"/>
        </w:rPr>
        <w:t>Obligations particulières</w:t>
      </w:r>
    </w:p>
    <w:p w:rsidR="00087C04" w:rsidRPr="008D2392" w:rsidRDefault="00087C04" w:rsidP="00657054">
      <w:pPr>
        <w:pStyle w:val="H23G"/>
        <w:rPr>
          <w:lang w:eastAsia="en-GB"/>
        </w:rPr>
      </w:pPr>
      <w:r w:rsidRPr="008D2392">
        <w:rPr>
          <w:lang w:eastAsia="en-GB"/>
        </w:rPr>
        <w:tab/>
      </w:r>
      <w:r w:rsidRPr="008D2392">
        <w:rPr>
          <w:lang w:eastAsia="en-GB"/>
        </w:rPr>
        <w:tab/>
        <w:t xml:space="preserve">Statistiques </w:t>
      </w:r>
      <w:r>
        <w:rPr>
          <w:lang w:eastAsia="en-GB"/>
        </w:rPr>
        <w:t>et collecte des données (art. </w:t>
      </w:r>
      <w:r w:rsidRPr="008D2392">
        <w:rPr>
          <w:lang w:eastAsia="en-GB"/>
        </w:rPr>
        <w:t>31)</w:t>
      </w:r>
    </w:p>
    <w:p w:rsidR="00087C04" w:rsidRPr="00657054" w:rsidRDefault="00087C04" w:rsidP="00657054">
      <w:pPr>
        <w:pStyle w:val="ParNoG"/>
        <w:rPr>
          <w:lang w:eastAsia="en-GB"/>
        </w:rPr>
      </w:pPr>
      <w:r w:rsidRPr="00657054">
        <w:rPr>
          <w:lang w:eastAsia="en-GB"/>
        </w:rPr>
        <w:t xml:space="preserve">Expliquer quelles mesures l’État partie envisage de prendre pour mettre au point un système d’indicateurs fondé sur les droits de l’homme, </w:t>
      </w:r>
      <w:r w:rsidRPr="00657054">
        <w:t>en coopération avec les personnes handicapées et les organisations qui les représentent</w:t>
      </w:r>
      <w:r w:rsidRPr="00657054">
        <w:rPr>
          <w:lang w:eastAsia="en-GB"/>
        </w:rPr>
        <w:t>, ainsi qu’un système global de collecte des données qui tienne compte des enfants handicapés, comme l’a recommandé le Comité des droits de l’enfant (CRC/C/DEU/CO/3</w:t>
      </w:r>
      <w:r w:rsidR="004A21E2">
        <w:rPr>
          <w:lang w:eastAsia="en-GB"/>
        </w:rPr>
        <w:t>-</w:t>
      </w:r>
      <w:r w:rsidRPr="00657054">
        <w:rPr>
          <w:lang w:eastAsia="en-GB"/>
        </w:rPr>
        <w:t>4).</w:t>
      </w:r>
    </w:p>
    <w:p w:rsidR="00087C04" w:rsidRPr="008D2392" w:rsidRDefault="00087C04" w:rsidP="00013249">
      <w:pPr>
        <w:pStyle w:val="H23G"/>
        <w:rPr>
          <w:lang w:eastAsia="en-GB"/>
        </w:rPr>
      </w:pPr>
      <w:r w:rsidRPr="008D2392">
        <w:rPr>
          <w:lang w:eastAsia="en-GB"/>
        </w:rPr>
        <w:tab/>
      </w:r>
      <w:r w:rsidRPr="008D2392">
        <w:rPr>
          <w:lang w:eastAsia="en-GB"/>
        </w:rPr>
        <w:tab/>
      </w:r>
      <w:r>
        <w:rPr>
          <w:lang w:eastAsia="en-GB"/>
        </w:rPr>
        <w:t>Coopération internationale (art. </w:t>
      </w:r>
      <w:r w:rsidRPr="008D2392">
        <w:rPr>
          <w:lang w:eastAsia="en-GB"/>
        </w:rPr>
        <w:t>32)</w:t>
      </w:r>
    </w:p>
    <w:p w:rsidR="00087C04" w:rsidRPr="00071B0F" w:rsidRDefault="00087C04" w:rsidP="00013249">
      <w:pPr>
        <w:pStyle w:val="ParNoG"/>
        <w:rPr>
          <w:lang w:eastAsia="en-GB"/>
        </w:rPr>
      </w:pPr>
      <w:r>
        <w:t>Donner des renseignements à jour sur les mesures que l’État partie a prises pour évaluer dans quelle mesure les programmes et les projets généraux intègrent des initiatives en faveur des personnes handicapées et pour mesurer la qualité et les effets</w:t>
      </w:r>
      <w:r w:rsidRPr="00EC7468">
        <w:t xml:space="preserve"> des programmes et </w:t>
      </w:r>
      <w:r>
        <w:t xml:space="preserve">des </w:t>
      </w:r>
      <w:r w:rsidRPr="00EC7468">
        <w:t>projets visant spécifiquement les personnes handicapées, en indiquant de façon dét</w:t>
      </w:r>
      <w:r>
        <w:t>aillée les ressources allouées</w:t>
      </w:r>
      <w:r w:rsidRPr="00071B0F">
        <w:rPr>
          <w:lang w:eastAsia="en-GB"/>
        </w:rPr>
        <w:t>.</w:t>
      </w:r>
    </w:p>
    <w:p w:rsidR="00087C04" w:rsidRPr="00071B0F" w:rsidRDefault="00087C04" w:rsidP="00013249">
      <w:pPr>
        <w:pStyle w:val="H23G"/>
        <w:rPr>
          <w:lang w:eastAsia="en-GB"/>
        </w:rPr>
      </w:pPr>
      <w:r w:rsidRPr="00071B0F">
        <w:rPr>
          <w:lang w:eastAsia="en-GB"/>
        </w:rPr>
        <w:tab/>
      </w:r>
      <w:r w:rsidRPr="00071B0F">
        <w:rPr>
          <w:lang w:eastAsia="en-GB"/>
        </w:rPr>
        <w:tab/>
      </w:r>
      <w:r w:rsidRPr="00EC7468">
        <w:t>Applicat</w:t>
      </w:r>
      <w:r>
        <w:t>ion et suivi au niveau national</w:t>
      </w:r>
      <w:r w:rsidRPr="00071B0F">
        <w:rPr>
          <w:lang w:eastAsia="en-GB"/>
        </w:rPr>
        <w:t xml:space="preserve"> </w:t>
      </w:r>
      <w:r>
        <w:rPr>
          <w:lang w:eastAsia="en-GB"/>
        </w:rPr>
        <w:t>(art. </w:t>
      </w:r>
      <w:r w:rsidRPr="00071B0F">
        <w:rPr>
          <w:lang w:eastAsia="en-GB"/>
        </w:rPr>
        <w:t>33)</w:t>
      </w:r>
    </w:p>
    <w:p w:rsidR="00087C04" w:rsidRPr="00071B0F" w:rsidRDefault="00087C04" w:rsidP="00013249">
      <w:pPr>
        <w:pStyle w:val="ParNoG"/>
        <w:rPr>
          <w:lang w:eastAsia="en-GB"/>
        </w:rPr>
      </w:pPr>
      <w:r w:rsidRPr="00EC7468">
        <w:t xml:space="preserve">Quelles </w:t>
      </w:r>
      <w:r>
        <w:t>mesures l’État partie a</w:t>
      </w:r>
      <w:r w:rsidR="00774EA2">
        <w:noBreakHyphen/>
      </w:r>
      <w:r>
        <w:t>t</w:t>
      </w:r>
      <w:r w:rsidR="00774EA2">
        <w:noBreakHyphen/>
      </w:r>
      <w:r>
        <w:t>il prises</w:t>
      </w:r>
      <w:r w:rsidRPr="00EC7468">
        <w:t xml:space="preserve"> pour </w:t>
      </w:r>
      <w:r>
        <w:t>garantir</w:t>
      </w:r>
      <w:r w:rsidRPr="00EC7468">
        <w:t xml:space="preserve"> la coordination</w:t>
      </w:r>
      <w:r>
        <w:t xml:space="preserve"> pleine et entière des travaux des commissaires chargés du handicap entre chaque Land et </w:t>
      </w:r>
      <w:r>
        <w:rPr>
          <w:lang w:eastAsia="en-GB"/>
        </w:rPr>
        <w:t>le Gouvernement fédéral d’une part et</w:t>
      </w:r>
      <w:r w:rsidRPr="00071B0F">
        <w:rPr>
          <w:lang w:eastAsia="en-GB"/>
        </w:rPr>
        <w:t xml:space="preserve"> </w:t>
      </w:r>
      <w:r>
        <w:rPr>
          <w:lang w:eastAsia="en-GB"/>
        </w:rPr>
        <w:t xml:space="preserve">entre </w:t>
      </w:r>
      <w:r>
        <w:t xml:space="preserve">l’ensemble des 16 </w:t>
      </w:r>
      <w:r w:rsidRPr="00071B0F">
        <w:rPr>
          <w:lang w:eastAsia="en-GB"/>
        </w:rPr>
        <w:t>Länder</w:t>
      </w:r>
      <w:r>
        <w:rPr>
          <w:lang w:eastAsia="en-GB"/>
        </w:rPr>
        <w:t xml:space="preserve"> et le Gouvernement fédéral d’autre part?</w:t>
      </w:r>
    </w:p>
    <w:p w:rsidR="004407B7" w:rsidRPr="00013249" w:rsidRDefault="00013249" w:rsidP="00013249">
      <w:pPr>
        <w:pStyle w:val="SingleTxtG"/>
        <w:spacing w:before="240" w:after="0"/>
        <w:jc w:val="center"/>
        <w:rPr>
          <w:u w:val="single"/>
        </w:rPr>
      </w:pPr>
      <w:r>
        <w:rPr>
          <w:u w:val="single"/>
        </w:rPr>
        <w:tab/>
      </w:r>
      <w:r>
        <w:rPr>
          <w:u w:val="single"/>
        </w:rPr>
        <w:tab/>
      </w:r>
      <w:r>
        <w:rPr>
          <w:u w:val="single"/>
        </w:rPr>
        <w:tab/>
      </w:r>
    </w:p>
    <w:sectPr w:rsidR="004407B7" w:rsidRPr="00013249" w:rsidSect="00087C0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7C0C" w:rsidRDefault="000B7C0C"/>
  </w:endnote>
  <w:endnote w:type="continuationSeparator" w:id="0">
    <w:p w:rsidR="000B7C0C" w:rsidRDefault="000B7C0C"/>
  </w:endnote>
  <w:endnote w:type="continuationNotice" w:id="1">
    <w:p w:rsidR="000B7C0C" w:rsidRPr="00766910" w:rsidRDefault="000B7C0C"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712" w:rsidRPr="00087C04" w:rsidRDefault="006C5712" w:rsidP="00087C04">
    <w:pPr>
      <w:pStyle w:val="Footer"/>
      <w:tabs>
        <w:tab w:val="right" w:pos="9638"/>
      </w:tabs>
    </w:pPr>
    <w:r w:rsidRPr="00087C04">
      <w:rPr>
        <w:b/>
        <w:sz w:val="18"/>
      </w:rPr>
      <w:fldChar w:fldCharType="begin"/>
    </w:r>
    <w:r w:rsidRPr="00087C04">
      <w:rPr>
        <w:b/>
        <w:sz w:val="18"/>
      </w:rPr>
      <w:instrText xml:space="preserve"> PAGE  \* MERGEFORMAT </w:instrText>
    </w:r>
    <w:r w:rsidRPr="00087C04">
      <w:rPr>
        <w:b/>
        <w:sz w:val="18"/>
      </w:rPr>
      <w:fldChar w:fldCharType="separate"/>
    </w:r>
    <w:r w:rsidR="00991983">
      <w:rPr>
        <w:b/>
        <w:noProof/>
        <w:sz w:val="18"/>
      </w:rPr>
      <w:t>4</w:t>
    </w:r>
    <w:r w:rsidRPr="00087C04">
      <w:rPr>
        <w:b/>
        <w:sz w:val="18"/>
      </w:rPr>
      <w:fldChar w:fldCharType="end"/>
    </w:r>
    <w:r>
      <w:rPr>
        <w:b/>
        <w:sz w:val="18"/>
      </w:rPr>
      <w:tab/>
    </w:r>
    <w:r>
      <w:t>GE.14-02823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712" w:rsidRPr="00087C04" w:rsidRDefault="006C5712" w:rsidP="00087C04">
    <w:pPr>
      <w:pStyle w:val="Footer"/>
      <w:tabs>
        <w:tab w:val="right" w:pos="9638"/>
      </w:tabs>
      <w:rPr>
        <w:b/>
        <w:sz w:val="18"/>
      </w:rPr>
    </w:pPr>
    <w:r>
      <w:t>GE.14-02823</w:t>
    </w:r>
    <w:r>
      <w:tab/>
    </w:r>
    <w:r w:rsidRPr="00087C04">
      <w:rPr>
        <w:b/>
        <w:sz w:val="18"/>
      </w:rPr>
      <w:fldChar w:fldCharType="begin"/>
    </w:r>
    <w:r w:rsidRPr="00087C04">
      <w:rPr>
        <w:b/>
        <w:sz w:val="18"/>
      </w:rPr>
      <w:instrText xml:space="preserve"> PAGE  \* MERGEFORMAT </w:instrText>
    </w:r>
    <w:r w:rsidRPr="00087C04">
      <w:rPr>
        <w:b/>
        <w:sz w:val="18"/>
      </w:rPr>
      <w:fldChar w:fldCharType="separate"/>
    </w:r>
    <w:r w:rsidR="00991983">
      <w:rPr>
        <w:b/>
        <w:noProof/>
        <w:sz w:val="18"/>
      </w:rPr>
      <w:t>3</w:t>
    </w:r>
    <w:r w:rsidRPr="00087C0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712" w:rsidRPr="00087C04" w:rsidRDefault="006C5712" w:rsidP="00087C04">
    <w:pPr>
      <w:pStyle w:val="Footer"/>
      <w:spacing w:before="120"/>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34.75pt;margin-top:632.1pt;width:50.25pt;height:50.25pt;z-index:2;mso-position-horizontal-relative:margin;mso-position-vertical-relative:margin">
          <v:imagedata r:id="rId1" o:title="1&amp;Size=2&amp;Lang=F"/>
          <w10:wrap anchorx="margin" anchory="margin"/>
        </v:shape>
      </w:pict>
    </w:r>
    <w:r>
      <w:rPr>
        <w:sz w:val="20"/>
      </w:rPr>
      <w:t>GE.</w:t>
    </w:r>
    <w:r>
      <w:rPr>
        <w:noProof/>
        <w:lang w:val="fr-FR" w:eastAsia="fr-FR"/>
      </w:rPr>
      <w:pict>
        <v:shape id="_x0000_s2049" type="#_x0000_t75" style="position:absolute;margin-left:340.15pt;margin-top:651.95pt;width:86.95pt;height:18.35pt;z-index:1;mso-position-horizontal-relative:margin;mso-position-vertical-relative:margin">
          <v:imagedata r:id="rId2" o:title="recycle_French"/>
          <w10:wrap anchorx="margin" anchory="margin"/>
        </v:shape>
      </w:pict>
    </w:r>
    <w:r>
      <w:rPr>
        <w:sz w:val="20"/>
      </w:rPr>
      <w:t>14-02823  (F)    050614    050614</w:t>
    </w:r>
    <w:r>
      <w:rPr>
        <w:sz w:val="20"/>
      </w:rPr>
      <w:br/>
    </w:r>
    <w:r w:rsidRPr="00087C04">
      <w:rPr>
        <w:rFonts w:ascii="C39T30Lfz" w:hAnsi="C39T30Lfz"/>
        <w:sz w:val="56"/>
      </w:rPr>
      <w:t></w:t>
    </w:r>
    <w:r w:rsidRPr="00087C04">
      <w:rPr>
        <w:rFonts w:ascii="C39T30Lfz" w:hAnsi="C39T30Lfz"/>
        <w:sz w:val="56"/>
      </w:rPr>
      <w:t></w:t>
    </w:r>
    <w:r w:rsidRPr="00087C04">
      <w:rPr>
        <w:rFonts w:ascii="C39T30Lfz" w:hAnsi="C39T30Lfz"/>
        <w:sz w:val="56"/>
      </w:rPr>
      <w:t></w:t>
    </w:r>
    <w:r w:rsidRPr="00087C04">
      <w:rPr>
        <w:rFonts w:ascii="C39T30Lfz" w:hAnsi="C39T30Lfz"/>
        <w:sz w:val="56"/>
      </w:rPr>
      <w:t></w:t>
    </w:r>
    <w:r w:rsidRPr="00087C04">
      <w:rPr>
        <w:rFonts w:ascii="C39T30Lfz" w:hAnsi="C39T30Lfz"/>
        <w:sz w:val="56"/>
      </w:rPr>
      <w:t></w:t>
    </w:r>
    <w:r w:rsidRPr="00087C04">
      <w:rPr>
        <w:rFonts w:ascii="C39T30Lfz" w:hAnsi="C39T30Lfz"/>
        <w:sz w:val="56"/>
      </w:rPr>
      <w:t></w:t>
    </w:r>
    <w:r w:rsidRPr="00087C04">
      <w:rPr>
        <w:rFonts w:ascii="C39T30Lfz" w:hAnsi="C39T30Lfz"/>
        <w:sz w:val="56"/>
      </w:rPr>
      <w:t></w:t>
    </w:r>
    <w:r w:rsidRPr="00087C04">
      <w:rPr>
        <w:rFonts w:ascii="C39T30Lfz" w:hAnsi="C39T30Lfz"/>
        <w:sz w:val="56"/>
      </w:rPr>
      <w:t></w:t>
    </w:r>
    <w:r w:rsidRPr="00087C04">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7C0C" w:rsidRPr="00D27D5E" w:rsidRDefault="000B7C0C" w:rsidP="00D27D5E">
      <w:pPr>
        <w:tabs>
          <w:tab w:val="right" w:pos="2155"/>
        </w:tabs>
        <w:spacing w:after="80"/>
        <w:ind w:left="680"/>
        <w:rPr>
          <w:u w:val="single"/>
        </w:rPr>
      </w:pPr>
      <w:r>
        <w:rPr>
          <w:u w:val="single"/>
        </w:rPr>
        <w:tab/>
      </w:r>
    </w:p>
  </w:footnote>
  <w:footnote w:type="continuationSeparator" w:id="0">
    <w:p w:rsidR="000B7C0C" w:rsidRPr="0061073E" w:rsidRDefault="000B7C0C" w:rsidP="0061073E">
      <w:pPr>
        <w:tabs>
          <w:tab w:val="right" w:pos="2155"/>
        </w:tabs>
        <w:spacing w:after="80"/>
        <w:ind w:left="680"/>
        <w:rPr>
          <w:u w:val="single"/>
        </w:rPr>
      </w:pPr>
      <w:r w:rsidRPr="0061073E">
        <w:rPr>
          <w:u w:val="single"/>
        </w:rPr>
        <w:tab/>
      </w:r>
    </w:p>
  </w:footnote>
  <w:footnote w:type="continuationNotice" w:id="1">
    <w:p w:rsidR="000B7C0C" w:rsidRPr="00766910" w:rsidRDefault="000B7C0C" w:rsidP="00766910">
      <w:pPr>
        <w:spacing w:line="240" w:lineRule="auto"/>
        <w:rPr>
          <w:sz w:val="2"/>
          <w:szCs w:val="2"/>
        </w:rPr>
      </w:pPr>
    </w:p>
  </w:footnote>
  <w:footnote w:id="2">
    <w:p w:rsidR="006C5712" w:rsidRPr="00087C04" w:rsidRDefault="006C5712" w:rsidP="004A21E2">
      <w:pPr>
        <w:pStyle w:val="FootnoteText"/>
        <w:jc w:val="center"/>
      </w:pPr>
      <w:r w:rsidRPr="00087C04">
        <w:rPr>
          <w:rStyle w:val="FootnoteReference"/>
          <w:sz w:val="20"/>
          <w:vertAlign w:val="baseline"/>
        </w:rPr>
        <w:t>*</w:t>
      </w:r>
      <w:r>
        <w:rPr>
          <w:sz w:val="20"/>
        </w:rPr>
        <w:tab/>
      </w:r>
      <w:r>
        <w:t>Adoptée par le groupe de travail de présession à sa première session (14-17 avril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712" w:rsidRPr="00087C04" w:rsidRDefault="006C5712">
    <w:pPr>
      <w:pStyle w:val="Header"/>
    </w:pPr>
    <w:r>
      <w:t>CRPD/C/DEU/Q/1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712" w:rsidRPr="00087C04" w:rsidRDefault="006C5712" w:rsidP="00087C04">
    <w:pPr>
      <w:pStyle w:val="Header"/>
      <w:jc w:val="right"/>
    </w:pPr>
    <w:r>
      <w:t>CRPD/C/DEU/Q/1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A622A0C"/>
    <w:multiLevelType w:val="hybridMultilevel"/>
    <w:tmpl w:val="6FB61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0"/>
  </w:num>
  <w:num w:numId="4">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1753"/>
    <w:rsid w:val="00013249"/>
    <w:rsid w:val="00016AC5"/>
    <w:rsid w:val="00087C04"/>
    <w:rsid w:val="000B7C0C"/>
    <w:rsid w:val="000F2881"/>
    <w:rsid w:val="000F41F2"/>
    <w:rsid w:val="00130B95"/>
    <w:rsid w:val="00160540"/>
    <w:rsid w:val="001612CA"/>
    <w:rsid w:val="00192EEB"/>
    <w:rsid w:val="001A20FB"/>
    <w:rsid w:val="001D7F8A"/>
    <w:rsid w:val="001E3FEB"/>
    <w:rsid w:val="001E4A02"/>
    <w:rsid w:val="00225A8C"/>
    <w:rsid w:val="00241753"/>
    <w:rsid w:val="002659F1"/>
    <w:rsid w:val="00287E79"/>
    <w:rsid w:val="002928F9"/>
    <w:rsid w:val="00297B00"/>
    <w:rsid w:val="002A5D07"/>
    <w:rsid w:val="002D00A8"/>
    <w:rsid w:val="002E0C1D"/>
    <w:rsid w:val="002F6EA8"/>
    <w:rsid w:val="003016B7"/>
    <w:rsid w:val="00311ADA"/>
    <w:rsid w:val="00315FFF"/>
    <w:rsid w:val="003515AA"/>
    <w:rsid w:val="00374106"/>
    <w:rsid w:val="00391146"/>
    <w:rsid w:val="003976D5"/>
    <w:rsid w:val="003B681D"/>
    <w:rsid w:val="003D4E3D"/>
    <w:rsid w:val="003D6C68"/>
    <w:rsid w:val="004159D0"/>
    <w:rsid w:val="004407B7"/>
    <w:rsid w:val="00455D94"/>
    <w:rsid w:val="004A21E2"/>
    <w:rsid w:val="004B4ED7"/>
    <w:rsid w:val="004C7459"/>
    <w:rsid w:val="00525DBB"/>
    <w:rsid w:val="00543D5E"/>
    <w:rsid w:val="005610B3"/>
    <w:rsid w:val="005665E2"/>
    <w:rsid w:val="00571F41"/>
    <w:rsid w:val="005D0661"/>
    <w:rsid w:val="005E0932"/>
    <w:rsid w:val="005E5D1F"/>
    <w:rsid w:val="0061073E"/>
    <w:rsid w:val="00611D43"/>
    <w:rsid w:val="00612D48"/>
    <w:rsid w:val="00616B45"/>
    <w:rsid w:val="00630D9B"/>
    <w:rsid w:val="00631953"/>
    <w:rsid w:val="0063304F"/>
    <w:rsid w:val="006439EC"/>
    <w:rsid w:val="00657054"/>
    <w:rsid w:val="00657F02"/>
    <w:rsid w:val="006647E0"/>
    <w:rsid w:val="006712FE"/>
    <w:rsid w:val="006B4590"/>
    <w:rsid w:val="006C340C"/>
    <w:rsid w:val="006C5712"/>
    <w:rsid w:val="0070347C"/>
    <w:rsid w:val="007176C1"/>
    <w:rsid w:val="0075788E"/>
    <w:rsid w:val="00766910"/>
    <w:rsid w:val="00774EA2"/>
    <w:rsid w:val="00795791"/>
    <w:rsid w:val="007B6993"/>
    <w:rsid w:val="007F55CB"/>
    <w:rsid w:val="00844750"/>
    <w:rsid w:val="008464C8"/>
    <w:rsid w:val="00877AA3"/>
    <w:rsid w:val="008B44C4"/>
    <w:rsid w:val="008E675E"/>
    <w:rsid w:val="008E7FAE"/>
    <w:rsid w:val="00911BF7"/>
    <w:rsid w:val="00911E21"/>
    <w:rsid w:val="00977EC8"/>
    <w:rsid w:val="00991983"/>
    <w:rsid w:val="00996CB4"/>
    <w:rsid w:val="009B3646"/>
    <w:rsid w:val="009C7153"/>
    <w:rsid w:val="009D3A8C"/>
    <w:rsid w:val="009E7956"/>
    <w:rsid w:val="00A2492E"/>
    <w:rsid w:val="00A56EA8"/>
    <w:rsid w:val="00A6421D"/>
    <w:rsid w:val="00AC67A1"/>
    <w:rsid w:val="00AC7977"/>
    <w:rsid w:val="00AE352C"/>
    <w:rsid w:val="00B17033"/>
    <w:rsid w:val="00B32E2D"/>
    <w:rsid w:val="00B33DB8"/>
    <w:rsid w:val="00B501F6"/>
    <w:rsid w:val="00B61990"/>
    <w:rsid w:val="00B63A55"/>
    <w:rsid w:val="00B77C99"/>
    <w:rsid w:val="00BA31B5"/>
    <w:rsid w:val="00BF0556"/>
    <w:rsid w:val="00BF4390"/>
    <w:rsid w:val="00C005F9"/>
    <w:rsid w:val="00C1562D"/>
    <w:rsid w:val="00C261F8"/>
    <w:rsid w:val="00C30000"/>
    <w:rsid w:val="00C33100"/>
    <w:rsid w:val="00C42566"/>
    <w:rsid w:val="00C67372"/>
    <w:rsid w:val="00CA7CAA"/>
    <w:rsid w:val="00CB68DF"/>
    <w:rsid w:val="00CB7951"/>
    <w:rsid w:val="00CD1A71"/>
    <w:rsid w:val="00CD1FBB"/>
    <w:rsid w:val="00CE5558"/>
    <w:rsid w:val="00CE66FD"/>
    <w:rsid w:val="00D016B5"/>
    <w:rsid w:val="00D034F1"/>
    <w:rsid w:val="00D27D5E"/>
    <w:rsid w:val="00D3549A"/>
    <w:rsid w:val="00D64B35"/>
    <w:rsid w:val="00D722D3"/>
    <w:rsid w:val="00DB1817"/>
    <w:rsid w:val="00DE6D90"/>
    <w:rsid w:val="00DF002F"/>
    <w:rsid w:val="00E0244D"/>
    <w:rsid w:val="00E81E94"/>
    <w:rsid w:val="00E82607"/>
    <w:rsid w:val="00E870A7"/>
    <w:rsid w:val="00EE1A0D"/>
    <w:rsid w:val="00F10076"/>
    <w:rsid w:val="00F14264"/>
    <w:rsid w:val="00F14845"/>
    <w:rsid w:val="00FA5A79"/>
    <w:rsid w:val="00FB0BFE"/>
    <w:rsid w:val="00FB4C51"/>
    <w:rsid w:val="00FD4C10"/>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CH"/>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
    <w:basedOn w:val="DefaultParagraphFont"/>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basedOn w:val="DefaultParagraphFont"/>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basedOn w:val="DefaultParagraphFont"/>
    <w:semiHidden/>
    <w:rsid w:val="00391146"/>
    <w:rPr>
      <w:color w:val="auto"/>
      <w:u w:val="none"/>
    </w:rPr>
  </w:style>
  <w:style w:type="character" w:styleId="FollowedHyperlink">
    <w:name w:val="FollowedHyperlink"/>
    <w:basedOn w:val="DefaultParagraphFont"/>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6712FE"/>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Pages>
  <Words>1308</Words>
  <Characters>7448</Characters>
  <Application>Microsoft Office Outlook</Application>
  <DocSecurity>4</DocSecurity>
  <Lines>128</Lines>
  <Paragraphs>61</Paragraphs>
  <ScaleCrop>false</ScaleCrop>
  <HeadingPairs>
    <vt:vector size="2" baseType="variant">
      <vt:variant>
        <vt:lpstr>Titre</vt:lpstr>
      </vt:variant>
      <vt:variant>
        <vt:i4>1</vt:i4>
      </vt:variant>
    </vt:vector>
  </HeadingPairs>
  <TitlesOfParts>
    <vt:vector size="1" baseType="lpstr">
      <vt:lpstr>CRPD/C/DEU/Q/1</vt:lpstr>
    </vt:vector>
  </TitlesOfParts>
  <Company>Corinne</Company>
  <LinksUpToDate>false</LinksUpToDate>
  <CharactersWithSpaces>8695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CRPD/C/DEU/Q/1</dc:title>
  <dc:subject>FINAL CRPD</dc:subject>
  <dc:creator>NR</dc:creator>
  <cp:keywords/>
  <dc:description/>
  <cp:lastModifiedBy>Morin</cp:lastModifiedBy>
  <cp:revision>3</cp:revision>
  <cp:lastPrinted>2014-06-05T15:05:00Z</cp:lastPrinted>
  <dcterms:created xsi:type="dcterms:W3CDTF">2014-06-05T15:05:00Z</dcterms:created>
  <dcterms:modified xsi:type="dcterms:W3CDTF">2014-06-05T15:05:00Z</dcterms:modified>
</cp:coreProperties>
</file>