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SingleTxt"/>
        <w:spacing w:after="0" w:line="240" w:lineRule="auto"/>
        <w:rPr>
          <w:sz w:val="2"/>
        </w:rPr>
        <w:sectPr w:rsidR="00000000">
          <w:headerReference w:type="even" r:id="rId7"/>
          <w:headerReference w:type="default" r:id="rId8"/>
          <w:footerReference w:type="even" r:id="rId9"/>
          <w:footerReference w:type="default" r:id="rId10"/>
          <w:headerReference w:type="first" r:id="rId11"/>
          <w:footerReference w:type="first" r:id="rId12"/>
          <w:footnotePr>
            <w:numFmt w:val="chicago"/>
          </w:footnotePr>
          <w:endnotePr>
            <w:numFmt w:val="decimal"/>
          </w:endnotePr>
          <w:type w:val="continuous"/>
          <w:pgSz w:w="12240" w:h="15840" w:code="1"/>
          <w:pgMar w:top="1742" w:right="1195" w:bottom="1898" w:left="1195" w:header="576" w:footer="1030" w:gutter="0"/>
          <w:pgNumType w:start="1"/>
          <w:cols w:space="720"/>
          <w:noEndnote/>
          <w:titlePg/>
        </w:sectPr>
      </w:pPr>
      <w:r>
        <w:rPr>
          <w:sz w:val="2"/>
        </w:rPr>
        <w:t>18</w:t>
      </w: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suppressAutoHyphens w:val="0"/>
      </w:pPr>
      <w:r>
        <w:t>Комитет по ликвидации дискриминации</w:t>
      </w:r>
      <w:r>
        <w:br/>
        <w:t>в отношении женщин</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suppressAutoHyphens/>
        <w:spacing w:line="240" w:lineRule="auto"/>
        <w:ind w:left="1267"/>
        <w:rPr>
          <w:b/>
          <w:sz w:val="28"/>
        </w:rPr>
      </w:pPr>
      <w:r>
        <w:rPr>
          <w:b/>
          <w:sz w:val="28"/>
        </w:rPr>
        <w:t>Рассмотрение докладов, представленных государствами-участниками в соответствии со статьей 18 Конвенции о ликвидации всех форм дискриминации в отношении женщин</w:t>
      </w: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SingleTxt"/>
        <w:suppressAutoHyphens/>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20" w:lineRule="exact"/>
        <w:ind w:left="1267" w:right="1267" w:hanging="1267"/>
      </w:pPr>
      <w:r>
        <w:tab/>
      </w:r>
      <w:r>
        <w:tab/>
        <w:t>Пятые периодические доклады государств-участников</w:t>
      </w:r>
    </w:p>
    <w:p w:rsidR="00000000" w:rsidRDefault="00000000">
      <w:pPr>
        <w:pStyle w:val="SingleTxt"/>
        <w:suppressAutoHyphens/>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1267" w:right="1260" w:hanging="1267"/>
      </w:pPr>
      <w:r>
        <w:tab/>
      </w:r>
      <w:r>
        <w:tab/>
        <w:t>Швеция*</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SingleTxt"/>
        <w:spacing w:after="0" w:line="120" w:lineRule="exact"/>
        <w:rPr>
          <w:sz w:val="10"/>
        </w:rPr>
      </w:pPr>
      <w:r>
        <w:rPr>
          <w:sz w:val="10"/>
        </w:rPr>
        <w:t>_________________________</w:t>
      </w:r>
    </w:p>
    <w:p w:rsidR="00000000" w:rsidRDefault="00000000">
      <w:pPr>
        <w:pStyle w:val="SingleTxt"/>
        <w:spacing w:after="0" w:line="120" w:lineRule="exact"/>
        <w:rPr>
          <w:sz w:val="10"/>
        </w:rPr>
      </w:pPr>
    </w:p>
    <w:p w:rsidR="00000000" w:rsidRDefault="00000000">
      <w:pPr>
        <w:pStyle w:val="FootnoteText"/>
        <w:tabs>
          <w:tab w:val="clear" w:pos="418"/>
          <w:tab w:val="right" w:pos="1195"/>
          <w:tab w:val="left" w:pos="1267"/>
          <w:tab w:val="left" w:pos="1742"/>
          <w:tab w:val="left" w:pos="2218"/>
          <w:tab w:val="left" w:pos="2693"/>
        </w:tabs>
        <w:suppressAutoHyphens w:val="0"/>
        <w:spacing w:after="120"/>
        <w:ind w:left="1350" w:right="1267" w:hanging="515"/>
        <w:jc w:val="both"/>
        <w:rPr>
          <w:sz w:val="20"/>
        </w:rPr>
      </w:pPr>
      <w:r>
        <w:tab/>
      </w:r>
      <w:r>
        <w:tab/>
      </w:r>
      <w:r>
        <w:rPr>
          <w:sz w:val="14"/>
        </w:rPr>
        <w:t>*</w:t>
      </w:r>
      <w:r>
        <w:rPr>
          <w:sz w:val="20"/>
        </w:rPr>
        <w:tab/>
      </w:r>
      <w:r>
        <w:t>Настоящий документ выпускается без официальной редакции</w:t>
      </w:r>
      <w:r>
        <w:rPr>
          <w:sz w:val="20"/>
        </w:rPr>
        <w:t>.</w:t>
      </w:r>
    </w:p>
    <w:p w:rsidR="00000000" w:rsidRDefault="00000000">
      <w:pPr>
        <w:pStyle w:val="FootnoteText"/>
        <w:tabs>
          <w:tab w:val="clear" w:pos="418"/>
          <w:tab w:val="right" w:pos="1195"/>
          <w:tab w:val="left" w:pos="1267"/>
          <w:tab w:val="left" w:pos="1742"/>
          <w:tab w:val="left" w:pos="2218"/>
          <w:tab w:val="left" w:pos="2693"/>
        </w:tabs>
        <w:suppressAutoHyphens w:val="0"/>
        <w:spacing w:after="120"/>
        <w:ind w:left="1350" w:right="1267" w:hanging="515"/>
        <w:jc w:val="both"/>
      </w:pPr>
      <w:r>
        <w:tab/>
      </w:r>
      <w:r>
        <w:tab/>
      </w:r>
      <w:r>
        <w:tab/>
        <w:t>Первоначальный доклад, представленный правительством Швеции, см. документ CEDAW/C/5/Add.8, который был рассмотрен Комитетом на его второй сессии. Второй п</w:t>
      </w:r>
      <w:r>
        <w:t>е</w:t>
      </w:r>
      <w:r>
        <w:t>риодический доклад, представленный правительством Швеции, см. документ CEDAW/C/13/Add.6 и Corr.1, который был рассмотрен Комитетом на его седьмой сессии. Третий периодический доклад, представленный правительством Швеции, см. документ CEDAW/C/18/Add.1, который был рассмотрен Комитетом на его двенадцатой сессии. Че</w:t>
      </w:r>
      <w:r>
        <w:t>т</w:t>
      </w:r>
      <w:r>
        <w:t>вертый периодический доклад, представленный правительством Швеции, см. документ CEDAW/C/SWE/4</w:t>
      </w:r>
      <w:r>
        <w:rPr>
          <w:sz w:val="20"/>
        </w:rPr>
        <w:t>.</w:t>
      </w:r>
    </w:p>
    <w:p w:rsidR="00000000" w:rsidRDefault="00000000">
      <w:pPr>
        <w:pStyle w:val="SingleTxt"/>
        <w:outlineLvl w:val="0"/>
      </w:pPr>
      <w:r>
        <w:br w:type="page"/>
        <w:t>Содержание</w:t>
      </w:r>
    </w:p>
    <w:tbl>
      <w:tblPr>
        <w:tblW w:w="0" w:type="auto"/>
        <w:tblInd w:w="2" w:type="dxa"/>
        <w:tblLayout w:type="fixed"/>
        <w:tblCellMar>
          <w:left w:w="0" w:type="dxa"/>
          <w:right w:w="0" w:type="dxa"/>
        </w:tblCellMar>
        <w:tblLook w:val="0000" w:firstRow="0" w:lastRow="0" w:firstColumn="0" w:lastColumn="0" w:noHBand="0" w:noVBand="0"/>
      </w:tblPr>
      <w:tblGrid>
        <w:gridCol w:w="1060"/>
        <w:gridCol w:w="7315"/>
        <w:gridCol w:w="542"/>
      </w:tblGrid>
      <w:tr w:rsidR="00000000">
        <w:tblPrEx>
          <w:tblCellMar>
            <w:top w:w="0" w:type="dxa"/>
            <w:left w:w="0" w:type="dxa"/>
            <w:bottom w:w="0" w:type="dxa"/>
            <w:right w:w="0" w:type="dxa"/>
          </w:tblCellMar>
        </w:tblPrEx>
        <w:trPr>
          <w:trHeight w:val="184"/>
        </w:trPr>
        <w:tc>
          <w:tcPr>
            <w:tcW w:w="1060" w:type="dxa"/>
          </w:tcPr>
          <w:p w:rsidR="00000000" w:rsidRDefault="00000000">
            <w:pPr>
              <w:spacing w:after="120" w:line="240" w:lineRule="auto"/>
              <w:jc w:val="right"/>
              <w:rPr>
                <w:i/>
                <w:sz w:val="14"/>
              </w:rPr>
            </w:pPr>
          </w:p>
        </w:tc>
        <w:tc>
          <w:tcPr>
            <w:tcW w:w="7315" w:type="dxa"/>
          </w:tcPr>
          <w:p w:rsidR="00000000" w:rsidRDefault="00000000">
            <w:pPr>
              <w:spacing w:after="120" w:line="240" w:lineRule="auto"/>
              <w:rPr>
                <w:i/>
                <w:sz w:val="14"/>
              </w:rPr>
            </w:pPr>
          </w:p>
        </w:tc>
        <w:tc>
          <w:tcPr>
            <w:tcW w:w="542" w:type="dxa"/>
          </w:tcPr>
          <w:p w:rsidR="00000000" w:rsidRDefault="00000000">
            <w:pPr>
              <w:spacing w:after="120" w:line="240" w:lineRule="auto"/>
              <w:jc w:val="right"/>
              <w:rPr>
                <w:i/>
                <w:sz w:val="14"/>
              </w:rPr>
            </w:pPr>
            <w:r>
              <w:rPr>
                <w:i/>
                <w:sz w:val="14"/>
              </w:rPr>
              <w:t>Стр.</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right" w:leader="dot" w:pos="8381"/>
              </w:tabs>
              <w:spacing w:after="120"/>
              <w:ind w:left="2160" w:hanging="2160"/>
              <w:jc w:val="both"/>
            </w:pPr>
            <w:r>
              <w:tab/>
              <w:t>ВВЕДЕНИЕ</w:t>
            </w:r>
            <w:r>
              <w:tab/>
            </w:r>
            <w:r>
              <w:tab/>
            </w:r>
            <w:r>
              <w:tab/>
            </w:r>
            <w:r>
              <w:tab/>
            </w:r>
          </w:p>
        </w:tc>
        <w:tc>
          <w:tcPr>
            <w:tcW w:w="542" w:type="dxa"/>
            <w:vAlign w:val="bottom"/>
          </w:tcPr>
          <w:p w:rsidR="00000000" w:rsidRDefault="00000000">
            <w:pPr>
              <w:spacing w:after="120"/>
              <w:jc w:val="right"/>
              <w:rPr>
                <w:lang w:val="en-US"/>
              </w:rPr>
            </w:pPr>
            <w:r>
              <w:rPr>
                <w:lang w:val="en-US"/>
              </w:rPr>
              <w:t>3</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right" w:leader="dot" w:pos="8381"/>
              </w:tabs>
              <w:spacing w:after="120"/>
              <w:jc w:val="both"/>
            </w:pPr>
            <w:r>
              <w:tab/>
              <w:t>Часть I</w:t>
            </w:r>
          </w:p>
        </w:tc>
        <w:tc>
          <w:tcPr>
            <w:tcW w:w="542" w:type="dxa"/>
            <w:vAlign w:val="bottom"/>
          </w:tcPr>
          <w:p w:rsidR="00000000" w:rsidRDefault="00000000">
            <w:pPr>
              <w:spacing w:after="120"/>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right" w:leader="dot" w:pos="8381"/>
              </w:tabs>
              <w:spacing w:after="120"/>
              <w:ind w:left="2160" w:hanging="2160"/>
            </w:pPr>
            <w:r>
              <w:tab/>
            </w:r>
            <w:r>
              <w:tab/>
              <w:t>Статья 1</w:t>
            </w:r>
            <w:r>
              <w:tab/>
            </w:r>
          </w:p>
        </w:tc>
        <w:tc>
          <w:tcPr>
            <w:tcW w:w="542" w:type="dxa"/>
            <w:vAlign w:val="bottom"/>
          </w:tcPr>
          <w:p w:rsidR="00000000" w:rsidRDefault="00000000">
            <w:pPr>
              <w:spacing w:after="120"/>
              <w:jc w:val="right"/>
              <w:rPr>
                <w:lang w:val="en-US"/>
              </w:rPr>
            </w:pPr>
            <w:r>
              <w:rPr>
                <w:lang w:val="en-US"/>
              </w:rPr>
              <w:t>5</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right" w:leader="dot" w:pos="8381"/>
              </w:tabs>
              <w:spacing w:after="120"/>
              <w:ind w:left="2160" w:hanging="1710"/>
              <w:jc w:val="both"/>
            </w:pPr>
            <w:r>
              <w:tab/>
            </w:r>
            <w:r>
              <w:tab/>
              <w:t>Статья 2</w:t>
            </w:r>
            <w:r>
              <w:tab/>
            </w:r>
          </w:p>
        </w:tc>
        <w:tc>
          <w:tcPr>
            <w:tcW w:w="542" w:type="dxa"/>
            <w:vAlign w:val="bottom"/>
          </w:tcPr>
          <w:p w:rsidR="00000000" w:rsidRDefault="00000000">
            <w:pPr>
              <w:spacing w:after="120"/>
              <w:jc w:val="right"/>
              <w:rPr>
                <w:lang w:val="en-US"/>
              </w:rPr>
            </w:pPr>
            <w:r>
              <w:rPr>
                <w:lang w:val="en-US"/>
              </w:rPr>
              <w:t>5</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right" w:leader="dot" w:pos="8381"/>
              </w:tabs>
              <w:spacing w:after="120"/>
              <w:ind w:left="2160" w:hanging="1710"/>
              <w:jc w:val="both"/>
            </w:pPr>
            <w:r>
              <w:tab/>
            </w:r>
            <w:r>
              <w:tab/>
              <w:t>Статья 3</w:t>
            </w:r>
            <w:r>
              <w:tab/>
            </w:r>
          </w:p>
        </w:tc>
        <w:tc>
          <w:tcPr>
            <w:tcW w:w="542" w:type="dxa"/>
            <w:vAlign w:val="bottom"/>
          </w:tcPr>
          <w:p w:rsidR="00000000" w:rsidRDefault="00000000">
            <w:pPr>
              <w:spacing w:after="120"/>
              <w:jc w:val="right"/>
              <w:rPr>
                <w:lang w:val="en-US"/>
              </w:rPr>
            </w:pPr>
            <w:r>
              <w:rPr>
                <w:lang w:val="en-US"/>
              </w:rPr>
              <w:t>8</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right" w:leader="dot" w:pos="8381"/>
              </w:tabs>
              <w:spacing w:after="120"/>
              <w:ind w:left="2160" w:hanging="1710"/>
              <w:jc w:val="both"/>
            </w:pPr>
            <w:r>
              <w:tab/>
            </w:r>
            <w:r>
              <w:tab/>
              <w:t>Статья 4</w:t>
            </w:r>
            <w:r>
              <w:tab/>
            </w:r>
          </w:p>
        </w:tc>
        <w:tc>
          <w:tcPr>
            <w:tcW w:w="542" w:type="dxa"/>
            <w:vAlign w:val="bottom"/>
          </w:tcPr>
          <w:p w:rsidR="00000000" w:rsidRDefault="00000000">
            <w:pPr>
              <w:spacing w:after="120"/>
              <w:jc w:val="right"/>
              <w:rPr>
                <w:lang w:val="en-US"/>
              </w:rPr>
            </w:pPr>
            <w:r>
              <w:rPr>
                <w:lang w:val="en-US"/>
              </w:rPr>
              <w:t>8</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right" w:leader="dot" w:pos="8381"/>
              </w:tabs>
              <w:spacing w:after="120"/>
              <w:ind w:left="2160" w:hanging="1710"/>
              <w:jc w:val="both"/>
            </w:pPr>
            <w:r>
              <w:tab/>
            </w:r>
            <w:r>
              <w:tab/>
              <w:t>Статья 5</w:t>
            </w:r>
            <w:r>
              <w:tab/>
            </w:r>
          </w:p>
        </w:tc>
        <w:tc>
          <w:tcPr>
            <w:tcW w:w="542" w:type="dxa"/>
            <w:tcBorders>
              <w:left w:val="nil"/>
            </w:tcBorders>
            <w:vAlign w:val="bottom"/>
          </w:tcPr>
          <w:p w:rsidR="00000000" w:rsidRDefault="00000000">
            <w:pPr>
              <w:spacing w:after="120"/>
              <w:jc w:val="right"/>
              <w:rPr>
                <w:lang w:val="en-US"/>
              </w:rPr>
            </w:pPr>
            <w:r>
              <w:rPr>
                <w:lang w:val="en-US"/>
              </w:rPr>
              <w:t>9</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right" w:leader="dot" w:pos="8381"/>
              </w:tabs>
              <w:spacing w:after="120"/>
              <w:ind w:left="2160" w:hanging="1710"/>
              <w:jc w:val="both"/>
            </w:pPr>
            <w:r>
              <w:tab/>
            </w:r>
            <w:r>
              <w:tab/>
              <w:t>Статья 6</w:t>
            </w:r>
            <w:r>
              <w:tab/>
            </w:r>
          </w:p>
        </w:tc>
        <w:tc>
          <w:tcPr>
            <w:tcW w:w="542" w:type="dxa"/>
            <w:tcBorders>
              <w:left w:val="nil"/>
            </w:tcBorders>
            <w:vAlign w:val="bottom"/>
          </w:tcPr>
          <w:p w:rsidR="00000000" w:rsidRDefault="00000000">
            <w:pPr>
              <w:spacing w:after="120"/>
              <w:jc w:val="right"/>
              <w:rPr>
                <w:lang w:val="en-US"/>
              </w:rPr>
            </w:pPr>
            <w:r>
              <w:rPr>
                <w:lang w:val="en-US"/>
              </w:rPr>
              <w:t>11</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right" w:leader="dot" w:pos="8381"/>
              </w:tabs>
              <w:spacing w:after="120"/>
              <w:ind w:left="2160" w:hanging="1710"/>
              <w:jc w:val="both"/>
            </w:pPr>
            <w:r>
              <w:tab/>
              <w:t>Часть II</w:t>
            </w:r>
          </w:p>
        </w:tc>
        <w:tc>
          <w:tcPr>
            <w:tcW w:w="542" w:type="dxa"/>
            <w:tcBorders>
              <w:left w:val="nil"/>
            </w:tcBorders>
            <w:vAlign w:val="bottom"/>
          </w:tcPr>
          <w:p w:rsidR="00000000" w:rsidRDefault="00000000">
            <w:pPr>
              <w:spacing w:after="120"/>
              <w:ind w:left="2160" w:hanging="1710"/>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right" w:leader="dot" w:pos="8381"/>
              </w:tabs>
              <w:spacing w:after="120"/>
              <w:ind w:left="2160" w:hanging="1710"/>
              <w:jc w:val="both"/>
            </w:pPr>
            <w:r>
              <w:tab/>
            </w:r>
            <w:r>
              <w:tab/>
              <w:t>Статья 7:</w:t>
            </w:r>
            <w:r>
              <w:tab/>
            </w:r>
          </w:p>
        </w:tc>
        <w:tc>
          <w:tcPr>
            <w:tcW w:w="542" w:type="dxa"/>
            <w:vAlign w:val="bottom"/>
          </w:tcPr>
          <w:p w:rsidR="00000000" w:rsidRDefault="00000000">
            <w:pPr>
              <w:spacing w:after="120"/>
              <w:ind w:left="355" w:hanging="180"/>
              <w:jc w:val="right"/>
              <w:rPr>
                <w:lang w:val="en-US"/>
              </w:rPr>
            </w:pPr>
            <w:r>
              <w:rPr>
                <w:lang w:val="en-US"/>
              </w:rPr>
              <w:t>20</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right" w:leader="dot" w:pos="8381"/>
              </w:tabs>
              <w:spacing w:after="120"/>
              <w:ind w:left="2160" w:hanging="1710"/>
              <w:jc w:val="both"/>
            </w:pPr>
            <w:r>
              <w:tab/>
            </w:r>
            <w:r>
              <w:tab/>
              <w:t>Статья 8</w:t>
            </w:r>
            <w:r>
              <w:tab/>
            </w:r>
          </w:p>
        </w:tc>
        <w:tc>
          <w:tcPr>
            <w:tcW w:w="542" w:type="dxa"/>
            <w:vAlign w:val="bottom"/>
          </w:tcPr>
          <w:p w:rsidR="00000000" w:rsidRDefault="00000000">
            <w:pPr>
              <w:spacing w:after="120"/>
              <w:ind w:left="355" w:hanging="180"/>
              <w:jc w:val="right"/>
              <w:rPr>
                <w:lang w:val="en-US"/>
              </w:rPr>
            </w:pPr>
            <w:r>
              <w:rPr>
                <w:lang w:val="en-US"/>
              </w:rPr>
              <w:t>20</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right" w:leader="dot" w:pos="8381"/>
              </w:tabs>
              <w:spacing w:after="120"/>
              <w:ind w:left="2160" w:hanging="1710"/>
              <w:jc w:val="both"/>
            </w:pPr>
            <w:r>
              <w:tab/>
            </w:r>
            <w:r>
              <w:tab/>
              <w:t>Статья 9</w:t>
            </w:r>
            <w:r>
              <w:tab/>
            </w:r>
          </w:p>
        </w:tc>
        <w:tc>
          <w:tcPr>
            <w:tcW w:w="542" w:type="dxa"/>
            <w:vAlign w:val="bottom"/>
          </w:tcPr>
          <w:p w:rsidR="00000000" w:rsidRDefault="00000000">
            <w:pPr>
              <w:spacing w:after="120"/>
              <w:ind w:left="355" w:hanging="180"/>
              <w:jc w:val="right"/>
              <w:rPr>
                <w:lang w:val="en-US"/>
              </w:rPr>
            </w:pPr>
            <w:r>
              <w:rPr>
                <w:lang w:val="en-US"/>
              </w:rPr>
              <w:t>20</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right" w:leader="dot" w:pos="8381"/>
              </w:tabs>
              <w:spacing w:after="120"/>
              <w:ind w:left="2160" w:hanging="1710"/>
              <w:jc w:val="both"/>
            </w:pPr>
            <w:r>
              <w:tab/>
              <w:t>Часть III</w:t>
            </w:r>
          </w:p>
        </w:tc>
        <w:tc>
          <w:tcPr>
            <w:tcW w:w="542" w:type="dxa"/>
            <w:vAlign w:val="bottom"/>
          </w:tcPr>
          <w:p w:rsidR="00000000" w:rsidRDefault="00000000">
            <w:pPr>
              <w:spacing w:after="120"/>
              <w:ind w:left="2160" w:hanging="1710"/>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right" w:leader="dot" w:pos="8381"/>
              </w:tabs>
              <w:spacing w:after="120"/>
              <w:ind w:left="2160" w:hanging="1710"/>
              <w:jc w:val="both"/>
            </w:pPr>
            <w:r>
              <w:tab/>
            </w:r>
            <w:r>
              <w:tab/>
              <w:t>Статья 10</w:t>
            </w:r>
            <w:r>
              <w:tab/>
            </w:r>
          </w:p>
        </w:tc>
        <w:tc>
          <w:tcPr>
            <w:tcW w:w="542" w:type="dxa"/>
            <w:vAlign w:val="bottom"/>
          </w:tcPr>
          <w:p w:rsidR="00000000" w:rsidRDefault="00000000">
            <w:pPr>
              <w:spacing w:after="120"/>
              <w:ind w:left="355" w:hanging="180"/>
              <w:jc w:val="right"/>
              <w:rPr>
                <w:lang w:val="en-US"/>
              </w:rPr>
            </w:pPr>
            <w:r>
              <w:rPr>
                <w:lang w:val="en-US"/>
              </w:rPr>
              <w:t>20</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right" w:leader="dot" w:pos="8381"/>
              </w:tabs>
              <w:spacing w:after="120"/>
              <w:ind w:left="2160" w:hanging="1710"/>
              <w:jc w:val="both"/>
            </w:pPr>
            <w:r>
              <w:tab/>
            </w:r>
            <w:r>
              <w:tab/>
              <w:t>Статья 11</w:t>
            </w:r>
            <w:r>
              <w:tab/>
            </w:r>
          </w:p>
        </w:tc>
        <w:tc>
          <w:tcPr>
            <w:tcW w:w="542" w:type="dxa"/>
            <w:vAlign w:val="bottom"/>
          </w:tcPr>
          <w:p w:rsidR="00000000" w:rsidRDefault="00000000">
            <w:pPr>
              <w:spacing w:after="120"/>
              <w:ind w:left="355" w:hanging="180"/>
              <w:jc w:val="right"/>
              <w:rPr>
                <w:lang w:val="en-US"/>
              </w:rPr>
            </w:pPr>
            <w:r>
              <w:rPr>
                <w:lang w:val="en-US"/>
              </w:rPr>
              <w:t>25</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right" w:leader="dot" w:pos="8381"/>
              </w:tabs>
              <w:spacing w:after="120"/>
              <w:ind w:left="2160" w:hanging="1710"/>
              <w:jc w:val="both"/>
            </w:pPr>
            <w:r>
              <w:tab/>
            </w:r>
            <w:r>
              <w:tab/>
              <w:t>Статья 12</w:t>
            </w:r>
            <w:r>
              <w:tab/>
            </w:r>
          </w:p>
        </w:tc>
        <w:tc>
          <w:tcPr>
            <w:tcW w:w="542" w:type="dxa"/>
            <w:vAlign w:val="bottom"/>
          </w:tcPr>
          <w:p w:rsidR="00000000" w:rsidRDefault="00000000">
            <w:pPr>
              <w:spacing w:after="120"/>
              <w:ind w:left="355" w:hanging="180"/>
              <w:jc w:val="right"/>
              <w:rPr>
                <w:lang w:val="en-US"/>
              </w:rPr>
            </w:pPr>
            <w:r>
              <w:rPr>
                <w:lang w:val="en-US"/>
              </w:rPr>
              <w:t>35</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right" w:leader="dot" w:pos="8381"/>
              </w:tabs>
              <w:spacing w:after="120"/>
              <w:ind w:left="2160" w:hanging="1710"/>
              <w:jc w:val="both"/>
            </w:pPr>
            <w:r>
              <w:tab/>
            </w:r>
            <w:r>
              <w:tab/>
              <w:t>Статья 13</w:t>
            </w:r>
            <w:r>
              <w:tab/>
            </w:r>
          </w:p>
        </w:tc>
        <w:tc>
          <w:tcPr>
            <w:tcW w:w="542" w:type="dxa"/>
            <w:vAlign w:val="bottom"/>
          </w:tcPr>
          <w:p w:rsidR="00000000" w:rsidRDefault="00000000">
            <w:pPr>
              <w:spacing w:after="120"/>
              <w:ind w:left="355" w:hanging="180"/>
              <w:jc w:val="right"/>
              <w:rPr>
                <w:lang w:val="en-US"/>
              </w:rPr>
            </w:pPr>
            <w:r>
              <w:rPr>
                <w:lang w:val="en-US"/>
              </w:rPr>
              <w:t>35</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right" w:leader="dot" w:pos="8381"/>
              </w:tabs>
              <w:spacing w:after="120"/>
              <w:ind w:left="2160" w:hanging="1710"/>
              <w:jc w:val="both"/>
            </w:pPr>
            <w:r>
              <w:tab/>
            </w:r>
            <w:r>
              <w:tab/>
              <w:t>Статья 14</w:t>
            </w:r>
            <w:r>
              <w:tab/>
            </w:r>
          </w:p>
        </w:tc>
        <w:tc>
          <w:tcPr>
            <w:tcW w:w="542" w:type="dxa"/>
            <w:vAlign w:val="bottom"/>
          </w:tcPr>
          <w:p w:rsidR="00000000" w:rsidRDefault="00000000">
            <w:pPr>
              <w:spacing w:after="120"/>
              <w:ind w:left="355" w:hanging="180"/>
              <w:jc w:val="right"/>
              <w:rPr>
                <w:lang w:val="en-US"/>
              </w:rPr>
            </w:pPr>
            <w:r>
              <w:rPr>
                <w:lang w:val="en-US"/>
              </w:rPr>
              <w:t>37</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right" w:leader="dot" w:pos="8381"/>
              </w:tabs>
              <w:spacing w:after="120"/>
              <w:ind w:left="2160" w:hanging="1710"/>
              <w:jc w:val="both"/>
            </w:pPr>
            <w:r>
              <w:tab/>
              <w:t>Часть IV</w:t>
            </w:r>
          </w:p>
        </w:tc>
        <w:tc>
          <w:tcPr>
            <w:tcW w:w="542" w:type="dxa"/>
            <w:vAlign w:val="bottom"/>
          </w:tcPr>
          <w:p w:rsidR="00000000" w:rsidRDefault="00000000">
            <w:pPr>
              <w:spacing w:after="120"/>
              <w:ind w:left="2160" w:hanging="1710"/>
              <w:jc w:val="right"/>
            </w:pP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right" w:leader="dot" w:pos="8381"/>
              </w:tabs>
              <w:spacing w:after="120"/>
              <w:ind w:left="2160" w:hanging="1710"/>
              <w:jc w:val="both"/>
            </w:pPr>
            <w:r>
              <w:tab/>
            </w:r>
            <w:r>
              <w:tab/>
              <w:t>Статья 15</w:t>
            </w:r>
            <w:r>
              <w:tab/>
            </w:r>
          </w:p>
        </w:tc>
        <w:tc>
          <w:tcPr>
            <w:tcW w:w="542" w:type="dxa"/>
            <w:vAlign w:val="bottom"/>
          </w:tcPr>
          <w:p w:rsidR="00000000" w:rsidRDefault="00000000">
            <w:pPr>
              <w:spacing w:after="120"/>
              <w:ind w:left="355" w:hanging="180"/>
              <w:jc w:val="right"/>
              <w:rPr>
                <w:lang w:val="en-US"/>
              </w:rPr>
            </w:pPr>
            <w:r>
              <w:rPr>
                <w:lang w:val="en-US"/>
              </w:rPr>
              <w:t>37</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right" w:leader="dot" w:pos="8381"/>
              </w:tabs>
              <w:spacing w:after="120"/>
              <w:ind w:left="2160" w:hanging="1710"/>
              <w:jc w:val="both"/>
            </w:pPr>
            <w:r>
              <w:tab/>
            </w:r>
            <w:r>
              <w:tab/>
              <w:t>Статья 16</w:t>
            </w:r>
            <w:r>
              <w:tab/>
            </w:r>
          </w:p>
        </w:tc>
        <w:tc>
          <w:tcPr>
            <w:tcW w:w="542" w:type="dxa"/>
            <w:vAlign w:val="bottom"/>
          </w:tcPr>
          <w:p w:rsidR="00000000" w:rsidRDefault="00000000">
            <w:pPr>
              <w:spacing w:after="120"/>
              <w:ind w:left="355" w:hanging="180"/>
              <w:jc w:val="right"/>
              <w:rPr>
                <w:lang w:val="en-US"/>
              </w:rPr>
            </w:pPr>
            <w:r>
              <w:rPr>
                <w:lang w:val="en-US"/>
              </w:rPr>
              <w:t>37</w:t>
            </w:r>
          </w:p>
        </w:tc>
      </w:tr>
      <w:tr w:rsidR="00000000">
        <w:tblPrEx>
          <w:tblCellMar>
            <w:top w:w="0" w:type="dxa"/>
            <w:left w:w="0" w:type="dxa"/>
            <w:bottom w:w="0" w:type="dxa"/>
            <w:right w:w="0" w:type="dxa"/>
          </w:tblCellMar>
        </w:tblPrEx>
        <w:trPr>
          <w:cantSplit/>
        </w:trPr>
        <w:tc>
          <w:tcPr>
            <w:tcW w:w="8375" w:type="dxa"/>
            <w:gridSpan w:val="2"/>
          </w:tcPr>
          <w:p w:rsidR="00000000" w:rsidRDefault="00000000">
            <w:pPr>
              <w:tabs>
                <w:tab w:val="left" w:pos="1080"/>
                <w:tab w:val="left" w:pos="1728"/>
                <w:tab w:val="left" w:pos="2160"/>
                <w:tab w:val="right" w:leader="dot" w:pos="8381"/>
              </w:tabs>
              <w:spacing w:after="120"/>
              <w:ind w:left="2160" w:hanging="1710"/>
              <w:jc w:val="both"/>
            </w:pPr>
          </w:p>
        </w:tc>
        <w:tc>
          <w:tcPr>
            <w:tcW w:w="542" w:type="dxa"/>
            <w:vAlign w:val="bottom"/>
          </w:tcPr>
          <w:p w:rsidR="00000000" w:rsidRDefault="00000000">
            <w:pPr>
              <w:spacing w:after="120"/>
              <w:ind w:left="2160" w:hanging="1710"/>
              <w:jc w:val="right"/>
              <w:rPr>
                <w:lang w:val="en-US"/>
              </w:rPr>
            </w:pPr>
          </w:p>
        </w:tc>
      </w:tr>
    </w:tbl>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ind w:left="355" w:right="1260" w:hanging="180"/>
        <w:sectPr w:rsidR="00000000">
          <w:headerReference w:type="first" r:id="rId14"/>
          <w:footerReference w:type="first" r:id="rId15"/>
          <w:footnotePr>
            <w:numFmt w:val="chicago"/>
          </w:footnotePr>
          <w:endnotePr>
            <w:numFmt w:val="decimal"/>
          </w:endnotePr>
          <w:type w:val="continuous"/>
          <w:pgSz w:w="12240" w:h="15840" w:code="1"/>
          <w:pgMar w:top="1742" w:right="1195" w:bottom="1898" w:left="1195" w:header="576" w:footer="1030" w:gutter="0"/>
          <w:cols w:space="720"/>
          <w:noEndnote/>
        </w:sectPr>
      </w:pPr>
      <w:r>
        <w:br w:type="page"/>
      </w:r>
    </w:p>
    <w:p w:rsidR="00000000" w:rsidRDefault="00000000">
      <w:pPr>
        <w:tabs>
          <w:tab w:val="left" w:pos="475"/>
          <w:tab w:val="left" w:pos="965"/>
          <w:tab w:val="left" w:pos="1440"/>
          <w:tab w:val="left" w:pos="1915"/>
          <w:tab w:val="left" w:pos="2405"/>
          <w:tab w:val="left" w:pos="2880"/>
          <w:tab w:val="left" w:pos="3355"/>
          <w:tab w:val="left" w:pos="3845"/>
        </w:tabs>
        <w:spacing w:line="300" w:lineRule="exact"/>
        <w:jc w:val="both"/>
        <w:rPr>
          <w:b/>
          <w:sz w:val="28"/>
        </w:rPr>
      </w:pPr>
      <w:r>
        <w:rPr>
          <w:b/>
          <w:sz w:val="28"/>
        </w:rPr>
        <w:tab/>
        <w:t>Введение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Пятый доклад правительства Швеции о мерах, принятых с целью реализации положений Конве</w:t>
      </w:r>
      <w:r>
        <w:t>н</w:t>
      </w:r>
      <w:r>
        <w:t>ции о ликвидации всех форм дискриминации в о</w:t>
      </w:r>
      <w:r>
        <w:t>т</w:t>
      </w:r>
      <w:r>
        <w:t>ношении женщин, ограничивается рассмотрением изменений в области обеспечения равенства му</w:t>
      </w:r>
      <w:r>
        <w:t>ж</w:t>
      </w:r>
      <w:r>
        <w:t>чин и женщин в период с момента составления че</w:t>
      </w:r>
      <w:r>
        <w:t>т</w:t>
      </w:r>
      <w:r>
        <w:t>вертого доклада в 1995 году до 2000 года.</w:t>
      </w:r>
    </w:p>
    <w:p w:rsidR="00000000" w:rsidRDefault="00000000">
      <w:pPr>
        <w:tabs>
          <w:tab w:val="left" w:pos="475"/>
          <w:tab w:val="left" w:pos="965"/>
          <w:tab w:val="left" w:pos="1440"/>
          <w:tab w:val="left" w:pos="1915"/>
          <w:tab w:val="left" w:pos="2405"/>
          <w:tab w:val="left" w:pos="2880"/>
          <w:tab w:val="left" w:pos="3355"/>
          <w:tab w:val="left" w:pos="3845"/>
        </w:tabs>
        <w:jc w:val="both"/>
      </w:pPr>
      <w:r>
        <w:tab/>
        <w:t>В связи с этим некоторым статьям и подпун</w:t>
      </w:r>
      <w:r>
        <w:t>к</w:t>
      </w:r>
      <w:r>
        <w:t>там Конвенции никакой информации не приводится, п</w:t>
      </w:r>
      <w:r>
        <w:t>о</w:t>
      </w:r>
      <w:r>
        <w:t>скольку никаких новых мер принято не было.</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line="270" w:lineRule="exact"/>
        <w:jc w:val="both"/>
        <w:rPr>
          <w:b/>
        </w:rPr>
      </w:pPr>
      <w:r>
        <w:rPr>
          <w:b/>
          <w:sz w:val="24"/>
        </w:rPr>
        <w:tab/>
        <w:t>Основные изменения после 1995 года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tab/>
        <w:t>Общая цель шведского правительства в отн</w:t>
      </w:r>
      <w:r>
        <w:t>о</w:t>
      </w:r>
      <w:r>
        <w:t>шении равенства полов остается неизменной: му</w:t>
      </w:r>
      <w:r>
        <w:t>ж</w:t>
      </w:r>
      <w:r>
        <w:t>чины и женщины должны обладать равными прав</w:t>
      </w:r>
      <w:r>
        <w:t>а</w:t>
      </w:r>
      <w:r>
        <w:t>ми, обязанностями и возможностями во всех обла</w:t>
      </w:r>
      <w:r>
        <w:t>с</w:t>
      </w:r>
      <w:r>
        <w:t>тях жизни. Среди различных приоритетных вопр</w:t>
      </w:r>
      <w:r>
        <w:t>о</w:t>
      </w:r>
      <w:r>
        <w:t>сов особое внимание в политике Швеции, напра</w:t>
      </w:r>
      <w:r>
        <w:t>в</w:t>
      </w:r>
      <w:r>
        <w:t>ленной на достижение равенства полов в последние годы, уделялось четырем основным областям. К ним относятся: насилие в отношении женщин, ра</w:t>
      </w:r>
      <w:r>
        <w:t>в</w:t>
      </w:r>
      <w:r>
        <w:t>ное вознаграждение мужчин и женщин за равный труд, мужчины и равенство полов и учет гендерной проблематики в основных направлениях деятельн</w:t>
      </w:r>
      <w:r>
        <w:t>о</w:t>
      </w:r>
      <w:r>
        <w:t>сти.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jc w:val="both"/>
        <w:rPr>
          <w:b/>
        </w:rPr>
      </w:pPr>
      <w:r>
        <w:rPr>
          <w:b/>
        </w:rPr>
        <w:tab/>
        <w:t>Насилие в отношении женщин</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Насилие в отношении женщин продолжает о</w:t>
      </w:r>
      <w:r>
        <w:t>с</w:t>
      </w:r>
      <w:r>
        <w:t>таваться препятствием на пути к достижению р</w:t>
      </w:r>
      <w:r>
        <w:t>а</w:t>
      </w:r>
      <w:r>
        <w:t>венства между мужчинами и женщинами. Оно явл</w:t>
      </w:r>
      <w:r>
        <w:t>я</w:t>
      </w:r>
      <w:r>
        <w:t>ется также серьезной социальной проблемой. Пр</w:t>
      </w:r>
      <w:r>
        <w:t>и</w:t>
      </w:r>
      <w:r>
        <w:t>нятие мер против этой формы преступности соста</w:t>
      </w:r>
      <w:r>
        <w:t>в</w:t>
      </w:r>
      <w:r>
        <w:t>ляет, таким образом, задачу, которой, по заявлению правительства, необходимо уделять первоочередное внимание. В начале 1998 года правительство пре</w:t>
      </w:r>
      <w:r>
        <w:t>д</w:t>
      </w:r>
      <w:r>
        <w:t>ставило в риксдаг (шведский парламент) закон</w:t>
      </w:r>
      <w:r>
        <w:t>о</w:t>
      </w:r>
      <w:r>
        <w:t>проект, предлагающий принятие мер против нас</w:t>
      </w:r>
      <w:r>
        <w:t>и</w:t>
      </w:r>
      <w:r>
        <w:t>лия в отношении женщин. Законопроект, принятый риксдагом весной 1998 года, охватывает три гла</w:t>
      </w:r>
      <w:r>
        <w:t>в</w:t>
      </w:r>
      <w:r>
        <w:t>ных вопроса: насилие в семье, проституцию и се</w:t>
      </w:r>
      <w:r>
        <w:t>к</w:t>
      </w:r>
      <w:r>
        <w:t>суальные домогательства на работе.</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Насилие в отношении женщин происходит в большинстве случаев в сфере личных отношений и является выражением неравновесия с точки зрения главенства в супружеской паре. В целях ликвидации насилия в отношении женщин принимаются реш</w:t>
      </w:r>
      <w:r>
        <w:t>и</w:t>
      </w:r>
      <w:r>
        <w:t>тельные меры. Внесены поправки в соответству</w:t>
      </w:r>
      <w:r>
        <w:t>ю</w:t>
      </w:r>
      <w:r>
        <w:t>щее законодательство, ужесточены некоторые его положения, принимаются превентивные меры в ц</w:t>
      </w:r>
      <w:r>
        <w:t>е</w:t>
      </w:r>
      <w:r>
        <w:t>лях более заботливого, чем ранее, обращения с п</w:t>
      </w:r>
      <w:r>
        <w:t>о</w:t>
      </w:r>
      <w:r>
        <w:t>терпевшими женщинами.</w:t>
      </w:r>
    </w:p>
    <w:p w:rsidR="00000000" w:rsidRDefault="00000000">
      <w:pPr>
        <w:tabs>
          <w:tab w:val="left" w:pos="475"/>
          <w:tab w:val="left" w:pos="965"/>
          <w:tab w:val="left" w:pos="1440"/>
          <w:tab w:val="left" w:pos="1915"/>
          <w:tab w:val="left" w:pos="2405"/>
          <w:tab w:val="left" w:pos="2880"/>
          <w:tab w:val="left" w:pos="3355"/>
          <w:tab w:val="left" w:pos="3845"/>
        </w:tabs>
        <w:jc w:val="both"/>
      </w:pPr>
      <w:r>
        <w:tab/>
        <w:t>С 1 января 1999 года обеспечение заказных сексуальных услуг (проституция) запрещено. З</w:t>
      </w:r>
      <w:r>
        <w:t>а</w:t>
      </w:r>
      <w:r>
        <w:t>прет на покупку сексуальных услуг свидетельствует об отношении Швеции к проституции; проституция неприе</w:t>
      </w:r>
      <w:r>
        <w:t>м</w:t>
      </w:r>
      <w:r>
        <w:t>лема.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jc w:val="both"/>
        <w:rPr>
          <w:b/>
        </w:rPr>
      </w:pPr>
      <w:r>
        <w:rPr>
          <w:b/>
        </w:rPr>
        <w:tab/>
        <w:t>Различия в оплате труда женщин и мужчин</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tab/>
        <w:t>В Швеции установление заработной платы р</w:t>
      </w:r>
      <w:r>
        <w:t>е</w:t>
      </w:r>
      <w:r>
        <w:t>гулируется организациями наемных работников и нанимателей. Шведское правительство, однако, н</w:t>
      </w:r>
      <w:r>
        <w:t>а</w:t>
      </w:r>
      <w:r>
        <w:t>лаживает диалог между двумя сторонами в отнош</w:t>
      </w:r>
      <w:r>
        <w:t>е</w:t>
      </w:r>
      <w:r>
        <w:t>нии установления заработной платы и различий в оплате труда женщин и мужчин. Правительство приняло ряд мер по ликвидации неоправданных различий в оплате труда женщин и мужчин. К на</w:t>
      </w:r>
      <w:r>
        <w:t>и</w:t>
      </w:r>
      <w:r>
        <w:t>более важным из них относится поддержка де</w:t>
      </w:r>
      <w:r>
        <w:t>я</w:t>
      </w:r>
      <w:r>
        <w:t>тельности омбудсмена по равным возможностям, разработка высококачественных статистических данных о заработной плате и разработка нейтрал</w:t>
      </w:r>
      <w:r>
        <w:t>ь</w:t>
      </w:r>
      <w:r>
        <w:t>ной в гендерном отношении системы оценки раб</w:t>
      </w:r>
      <w:r>
        <w:t>о</w:t>
      </w:r>
      <w:r>
        <w:t>ты.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jc w:val="both"/>
        <w:rPr>
          <w:b/>
        </w:rPr>
      </w:pPr>
      <w:r>
        <w:rPr>
          <w:b/>
        </w:rPr>
        <w:tab/>
        <w:t>Мужчины и равенство полов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Вопросы равенства волнуют как мужчин, так и женщин. Полная приверженность мужчин идее ра</w:t>
      </w:r>
      <w:r>
        <w:t>в</w:t>
      </w:r>
      <w:r>
        <w:t>ноправной в гендерном отношении работе — н</w:t>
      </w:r>
      <w:r>
        <w:t>е</w:t>
      </w:r>
      <w:r>
        <w:t>пременное условие достижения равенства мужчин и женщин. Именно поэтому роль мужчин в усилиях по достижению равенства в шведском обществе становится в последние годы приоритетной. Усилия правительства, направленные на привлечение большего числа мужчин к решению вопроса о р</w:t>
      </w:r>
      <w:r>
        <w:t>а</w:t>
      </w:r>
      <w:r>
        <w:t>венстве полов, сосредоточены на убеждении бол</w:t>
      </w:r>
      <w:r>
        <w:t>ь</w:t>
      </w:r>
      <w:r>
        <w:t>шего количества отцов брать родительский отпуск, на поощрении мужчин, работающих в школах и детских садах, и на оказании поддержки мужчинам, участвующим в мерах по борьбе с насилием в о</w:t>
      </w:r>
      <w:r>
        <w:t>т</w:t>
      </w:r>
      <w:r>
        <w:t>ношении женщин.</w:t>
      </w:r>
    </w:p>
    <w:p w:rsidR="00000000" w:rsidRDefault="00000000">
      <w:pPr>
        <w:keepNext/>
        <w:tabs>
          <w:tab w:val="left" w:pos="475"/>
          <w:tab w:val="left" w:pos="965"/>
          <w:tab w:val="left" w:pos="1440"/>
          <w:tab w:val="left" w:pos="1915"/>
          <w:tab w:val="left" w:pos="2405"/>
          <w:tab w:val="left" w:pos="2880"/>
          <w:tab w:val="left" w:pos="3355"/>
          <w:tab w:val="left" w:pos="3845"/>
        </w:tabs>
        <w:suppressAutoHyphens/>
        <w:ind w:left="475" w:hanging="475"/>
        <w:rPr>
          <w:b/>
        </w:rPr>
      </w:pPr>
      <w:r>
        <w:rPr>
          <w:b/>
        </w:rPr>
        <w:tab/>
        <w:t>Учет гендерной проблематики в основных н</w:t>
      </w:r>
      <w:r>
        <w:rPr>
          <w:b/>
        </w:rPr>
        <w:t>а</w:t>
      </w:r>
      <w:r>
        <w:rPr>
          <w:b/>
        </w:rPr>
        <w:t>правлениях деятельности</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Каждый год начиная с 1994 года правительство в своем ежегодном Заявлении о государственной политике выражает политическую убежденность в том, что вопрос равенства полов должен учитыват</w:t>
      </w:r>
      <w:r>
        <w:t>ь</w:t>
      </w:r>
      <w:r>
        <w:t>ся во всех направлениях правительственной де</w:t>
      </w:r>
      <w:r>
        <w:t>я</w:t>
      </w:r>
      <w:r>
        <w:t>тельности.</w:t>
      </w:r>
    </w:p>
    <w:p w:rsidR="00000000" w:rsidRDefault="00000000">
      <w:pPr>
        <w:tabs>
          <w:tab w:val="left" w:pos="475"/>
          <w:tab w:val="left" w:pos="965"/>
          <w:tab w:val="left" w:pos="1440"/>
          <w:tab w:val="left" w:pos="1915"/>
          <w:tab w:val="left" w:pos="2405"/>
          <w:tab w:val="left" w:pos="2880"/>
          <w:tab w:val="left" w:pos="3355"/>
          <w:tab w:val="left" w:pos="3845"/>
        </w:tabs>
        <w:spacing w:after="120"/>
        <w:ind w:firstLine="475"/>
        <w:jc w:val="both"/>
      </w:pPr>
      <w:r>
        <w:t>Если раньше деятельность по обеспечению р</w:t>
      </w:r>
      <w:r>
        <w:t>а</w:t>
      </w:r>
      <w:r>
        <w:t>венства полов была сосредоточена на специальных мероприятиях по искоренению дискриминации по признаку пола и ликвидации неравных условий для женщин и мужчин путем принятия законодательных и прочих действенных мер, то теперь деятельность по достижению равенства полов является частью повседневной политической и административной работы. Учет гендерных аспектов в основных н</w:t>
      </w:r>
      <w:r>
        <w:t>а</w:t>
      </w:r>
      <w:r>
        <w:t>правлениях деятельности означает, что гендерная проблематика пронизывает и политическую, и а</w:t>
      </w:r>
      <w:r>
        <w:t>д</w:t>
      </w:r>
      <w:r>
        <w:t>министративную деятельность на всех уровнях и во всех областях и что штатные сотрудники должны претворять такой подход в жизнь. Высшее руков</w:t>
      </w:r>
      <w:r>
        <w:t>о</w:t>
      </w:r>
      <w:r>
        <w:t>дство несет ответственность за обеспечение этого и в административной, и в исполнительской сферах. Основную ответственность за достижение целей в области равенства несет правительство, при этом каждый министр отвечает, как отмечалось в пред</w:t>
      </w:r>
      <w:r>
        <w:t>ы</w:t>
      </w:r>
      <w:r>
        <w:t>дущем докладе, за осуществление политики раве</w:t>
      </w:r>
      <w:r>
        <w:t>н</w:t>
      </w:r>
      <w:r>
        <w:t>ства полов в ее/его сфере. Министр по вопросам р</w:t>
      </w:r>
      <w:r>
        <w:t>а</w:t>
      </w:r>
      <w:r>
        <w:t>венства полов координирует эту работу и отвечает за последующую деятельность и дальнейшее разв</w:t>
      </w:r>
      <w:r>
        <w:t>и</w:t>
      </w:r>
      <w:r>
        <w:t>тие политики в области равенства полов.</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Учет гендерной проблематики — это страт</w:t>
      </w:r>
      <w:r>
        <w:t>е</w:t>
      </w:r>
      <w:r>
        <w:t>гия, метод достижения целей в области равенства полов (см. предыдущий доклад), предполагающий сл</w:t>
      </w:r>
      <w:r>
        <w:t>е</w:t>
      </w:r>
      <w:r>
        <w:t>дующее:</w:t>
      </w:r>
    </w:p>
    <w:p w:rsidR="00000000" w:rsidRDefault="00000000">
      <w:pPr>
        <w:tabs>
          <w:tab w:val="left" w:pos="475"/>
          <w:tab w:val="left" w:pos="965"/>
          <w:tab w:val="left" w:pos="1440"/>
          <w:tab w:val="left" w:pos="1915"/>
          <w:tab w:val="left" w:pos="2405"/>
          <w:tab w:val="left" w:pos="2880"/>
          <w:tab w:val="left" w:pos="3355"/>
          <w:tab w:val="left" w:pos="3845"/>
        </w:tabs>
        <w:spacing w:after="120"/>
        <w:ind w:left="475" w:hanging="475"/>
        <w:jc w:val="both"/>
      </w:pPr>
      <w:r>
        <w:t>–</w:t>
      </w:r>
      <w:r>
        <w:tab/>
        <w:t>необходимо выявлять различие в условиях и требованиях для женщин и мужчин;</w:t>
      </w:r>
    </w:p>
    <w:p w:rsidR="00000000" w:rsidRDefault="00000000">
      <w:pPr>
        <w:tabs>
          <w:tab w:val="left" w:pos="475"/>
          <w:tab w:val="left" w:pos="965"/>
          <w:tab w:val="left" w:pos="1440"/>
          <w:tab w:val="left" w:pos="1915"/>
          <w:tab w:val="left" w:pos="2405"/>
          <w:tab w:val="left" w:pos="2880"/>
          <w:tab w:val="left" w:pos="3355"/>
          <w:tab w:val="left" w:pos="3845"/>
        </w:tabs>
        <w:spacing w:after="120"/>
        <w:ind w:left="475" w:hanging="475"/>
        <w:jc w:val="both"/>
      </w:pPr>
      <w:r>
        <w:t>–</w:t>
      </w:r>
      <w:r>
        <w:tab/>
        <w:t>каждый вопрос, касающийся личности, след</w:t>
      </w:r>
      <w:r>
        <w:t>у</w:t>
      </w:r>
      <w:r>
        <w:t>ет рассматривать с точки зрения гендерной проблемат</w:t>
      </w:r>
      <w:r>
        <w:t>и</w:t>
      </w:r>
      <w:r>
        <w:t>ки;</w:t>
      </w:r>
    </w:p>
    <w:p w:rsidR="00000000" w:rsidRDefault="00000000">
      <w:pPr>
        <w:tabs>
          <w:tab w:val="left" w:pos="475"/>
          <w:tab w:val="left" w:pos="965"/>
          <w:tab w:val="left" w:pos="1440"/>
          <w:tab w:val="left" w:pos="1915"/>
          <w:tab w:val="left" w:pos="2405"/>
          <w:tab w:val="left" w:pos="2880"/>
          <w:tab w:val="left" w:pos="3355"/>
          <w:tab w:val="left" w:pos="3845"/>
        </w:tabs>
        <w:spacing w:after="120"/>
        <w:ind w:left="475" w:hanging="475"/>
        <w:jc w:val="both"/>
      </w:pPr>
      <w:r>
        <w:t>–</w:t>
      </w:r>
      <w:r>
        <w:tab/>
        <w:t>необходимо проанализировать ожидаемые п</w:t>
      </w:r>
      <w:r>
        <w:t>о</w:t>
      </w:r>
      <w:r>
        <w:t>следствия изменений соответственно для женщин и мужчин;</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Ряд мер был принят для разработки рабочих методов применения гендерной проблематики на ра</w:t>
      </w:r>
      <w:r>
        <w:t>з</w:t>
      </w:r>
      <w:r>
        <w:t>личных национальных уровнях.</w:t>
      </w:r>
    </w:p>
    <w:p w:rsidR="00000000" w:rsidRDefault="00000000">
      <w:pPr>
        <w:tabs>
          <w:tab w:val="left" w:pos="475"/>
          <w:tab w:val="left" w:pos="965"/>
          <w:tab w:val="left" w:pos="1440"/>
          <w:tab w:val="left" w:pos="1915"/>
          <w:tab w:val="left" w:pos="2405"/>
          <w:tab w:val="left" w:pos="2880"/>
          <w:tab w:val="left" w:pos="3355"/>
          <w:tab w:val="left" w:pos="3845"/>
        </w:tabs>
        <w:spacing w:after="120"/>
        <w:ind w:left="475" w:hanging="475"/>
        <w:jc w:val="both"/>
      </w:pPr>
      <w:r>
        <w:t>–</w:t>
      </w:r>
      <w:r>
        <w:tab/>
        <w:t>В конце 1997 года правительство создало р</w:t>
      </w:r>
      <w:r>
        <w:t>а</w:t>
      </w:r>
      <w:r>
        <w:t>бочую группу для ускорения и облегчения ра</w:t>
      </w:r>
      <w:r>
        <w:t>з</w:t>
      </w:r>
      <w:r>
        <w:t>работки методов работы в области равенства полов. Эту группу, которая завершит свою р</w:t>
      </w:r>
      <w:r>
        <w:t>а</w:t>
      </w:r>
      <w:r>
        <w:t>боту в декабре 2000 года, возглавляет госуда</w:t>
      </w:r>
      <w:r>
        <w:t>р</w:t>
      </w:r>
      <w:r>
        <w:t>ственный секретарь по вопросам равенства полов. В состав группы входят также предст</w:t>
      </w:r>
      <w:r>
        <w:t>а</w:t>
      </w:r>
      <w:r>
        <w:t>вители государственных органов власти, гос</w:t>
      </w:r>
      <w:r>
        <w:t>у</w:t>
      </w:r>
      <w:r>
        <w:t>дарственных учреждений и компаний в сфере обслуживания на национальном, региональном и местном уровнях.</w:t>
      </w:r>
    </w:p>
    <w:p w:rsidR="00000000" w:rsidRDefault="00000000">
      <w:pPr>
        <w:tabs>
          <w:tab w:val="left" w:pos="475"/>
          <w:tab w:val="left" w:pos="965"/>
          <w:tab w:val="left" w:pos="1440"/>
          <w:tab w:val="left" w:pos="1915"/>
          <w:tab w:val="left" w:pos="2405"/>
          <w:tab w:val="left" w:pos="2880"/>
          <w:tab w:val="left" w:pos="3355"/>
          <w:tab w:val="left" w:pos="3845"/>
        </w:tabs>
        <w:spacing w:after="120"/>
        <w:ind w:left="475" w:hanging="475"/>
        <w:jc w:val="both"/>
      </w:pPr>
      <w:r>
        <w:t>–</w:t>
      </w:r>
      <w:r>
        <w:tab/>
        <w:t>Необходимы систематические последовател</w:t>
      </w:r>
      <w:r>
        <w:t>ь</w:t>
      </w:r>
      <w:r>
        <w:t>ные усилия по учету аспекта равенства полов во всех областях политики, с тем чтобы обо</w:t>
      </w:r>
      <w:r>
        <w:t>б</w:t>
      </w:r>
      <w:r>
        <w:t>щить опыт и оценить потребность в мерах в целях развития. Каждое министерство несет ответственность за дальнейшую реализацию и оценку своих усилий в области равенства п</w:t>
      </w:r>
      <w:r>
        <w:t>о</w:t>
      </w:r>
      <w:r>
        <w:t>лов. Отдел по вопросам равенства полов, функционирующий под общим руководством министра по вопросам равенства полов играет инициирующую, координирующую и консул</w:t>
      </w:r>
      <w:r>
        <w:t>ь</w:t>
      </w:r>
      <w:r>
        <w:t>тативную роль в отношениях с министерств</w:t>
      </w:r>
      <w:r>
        <w:t>а</w:t>
      </w:r>
      <w:r>
        <w:t>ми. Отдел, ставший преемником Межмин</w:t>
      </w:r>
      <w:r>
        <w:t>и</w:t>
      </w:r>
      <w:r>
        <w:t>стерского комитета, выполняет его функции в отношении гендерного анализа, правительс</w:t>
      </w:r>
      <w:r>
        <w:t>т</w:t>
      </w:r>
      <w:r>
        <w:t>венных законопроектов, ассигнований и еж</w:t>
      </w:r>
      <w:r>
        <w:t>е</w:t>
      </w:r>
      <w:r>
        <w:t>годных финансовых отчетов. Резюме и анал</w:t>
      </w:r>
      <w:r>
        <w:t>и</w:t>
      </w:r>
      <w:r>
        <w:t>зы возвращаются в соответствующие мин</w:t>
      </w:r>
      <w:r>
        <w:t>и</w:t>
      </w:r>
      <w:r>
        <w:t>стерства в диалоговой форме.</w:t>
      </w:r>
    </w:p>
    <w:p w:rsidR="00000000" w:rsidRDefault="00000000">
      <w:pPr>
        <w:tabs>
          <w:tab w:val="left" w:pos="475"/>
          <w:tab w:val="left" w:pos="965"/>
          <w:tab w:val="left" w:pos="1440"/>
          <w:tab w:val="left" w:pos="1915"/>
          <w:tab w:val="left" w:pos="2405"/>
          <w:tab w:val="left" w:pos="2880"/>
          <w:tab w:val="left" w:pos="3355"/>
          <w:tab w:val="left" w:pos="3845"/>
        </w:tabs>
        <w:spacing w:after="120"/>
        <w:ind w:left="475" w:hanging="475"/>
        <w:jc w:val="both"/>
      </w:pPr>
      <w:r>
        <w:t>–</w:t>
      </w:r>
      <w:r>
        <w:tab/>
        <w:t>С 1995 года к административному бюро ка</w:t>
      </w:r>
      <w:r>
        <w:t>ж</w:t>
      </w:r>
      <w:r>
        <w:t>дого лена прикомандирован эксперт по вопр</w:t>
      </w:r>
      <w:r>
        <w:t>о</w:t>
      </w:r>
      <w:r>
        <w:t>сам равенства полов. (Дополнительная инфо</w:t>
      </w:r>
      <w:r>
        <w:t>р</w:t>
      </w:r>
      <w:r>
        <w:t>мация приводится ниже).</w:t>
      </w:r>
    </w:p>
    <w:p w:rsidR="00000000" w:rsidRDefault="00000000">
      <w:pPr>
        <w:tabs>
          <w:tab w:val="left" w:pos="475"/>
          <w:tab w:val="left" w:pos="965"/>
          <w:tab w:val="left" w:pos="1440"/>
          <w:tab w:val="left" w:pos="1915"/>
          <w:tab w:val="left" w:pos="2405"/>
          <w:tab w:val="left" w:pos="2880"/>
          <w:tab w:val="left" w:pos="3355"/>
          <w:tab w:val="left" w:pos="3845"/>
        </w:tabs>
        <w:ind w:left="475" w:hanging="475"/>
        <w:jc w:val="both"/>
      </w:pPr>
      <w:r>
        <w:t>–</w:t>
      </w:r>
      <w:r>
        <w:tab/>
        <w:t>В 1995 году Шведской ассоциации местных органов власти на проект, имевший целью о</w:t>
      </w:r>
      <w:r>
        <w:t>с</w:t>
      </w:r>
      <w:r>
        <w:t>воение новых знаний, разработку новых мет</w:t>
      </w:r>
      <w:r>
        <w:t>о</w:t>
      </w:r>
      <w:r>
        <w:t>дов деятельности в области равенства полов и внедрение в работу местных органов власти гендерной проблематики, правительство выд</w:t>
      </w:r>
      <w:r>
        <w:t>е</w:t>
      </w:r>
      <w:r>
        <w:t>лило 2 млн. шведских крон. Итогом проекта явилась разработка руководства по анализу вопросов равенства полов. Это руководство должно помочь найти ответы на вопросы о том, как распределяется власть между женщ</w:t>
      </w:r>
      <w:r>
        <w:t>и</w:t>
      </w:r>
      <w:r>
        <w:t>нами и мужчинами, какое влияние оказывает пол на формирование структур и организац</w:t>
      </w:r>
      <w:r>
        <w:t>и</w:t>
      </w:r>
      <w:r>
        <w:t>онные решения и каким образом устанавлив</w:t>
      </w:r>
      <w:r>
        <w:t>а</w:t>
      </w:r>
      <w:r>
        <w:t>ются нормы деятельности с точки зрения р</w:t>
      </w:r>
      <w:r>
        <w:t>а</w:t>
      </w:r>
      <w:r>
        <w:t>венства полов в различных органах местного самоуправления.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uppressAutoHyphens/>
        <w:ind w:left="475" w:hanging="475"/>
        <w:rPr>
          <w:b/>
        </w:rPr>
      </w:pPr>
      <w:r>
        <w:rPr>
          <w:b/>
        </w:rPr>
        <w:tab/>
        <w:t>Национальный механизм достижения равенства п</w:t>
      </w:r>
      <w:r>
        <w:rPr>
          <w:b/>
        </w:rPr>
        <w:t>о</w:t>
      </w:r>
      <w:r>
        <w:rPr>
          <w:b/>
        </w:rPr>
        <w:t>лов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Основную ответственность за деятельность в области обеспечения равенства несет министр по делам равенства. После нашего последнего доклада в организацию работы правительственных учре</w:t>
      </w:r>
      <w:r>
        <w:t>ж</w:t>
      </w:r>
      <w:r>
        <w:t>дений в этой области были внесены некоторые и</w:t>
      </w:r>
      <w:r>
        <w:t>з</w:t>
      </w:r>
      <w:r>
        <w:t xml:space="preserve">менения. После всеобщих выборов 1998 года </w:t>
      </w:r>
      <w:r>
        <w:rPr>
          <w:b/>
          <w:i/>
        </w:rPr>
        <w:t>О</w:t>
      </w:r>
      <w:r>
        <w:rPr>
          <w:b/>
          <w:i/>
        </w:rPr>
        <w:t>т</w:t>
      </w:r>
      <w:r>
        <w:rPr>
          <w:b/>
          <w:i/>
        </w:rPr>
        <w:t xml:space="preserve">дел по вопросам равенства полов </w:t>
      </w:r>
      <w:r>
        <w:t>был передан в ведение министерства промышленности, занятости и связи. Задачи его остались теми же, что и упом</w:t>
      </w:r>
      <w:r>
        <w:t>и</w:t>
      </w:r>
      <w:r>
        <w:t>наемые в четвертом докладе Швеции.</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rPr>
          <w:u w:val="single"/>
        </w:rPr>
      </w:pPr>
      <w:r>
        <w:tab/>
      </w:r>
      <w:r>
        <w:rPr>
          <w:b/>
          <w:i/>
        </w:rPr>
        <w:t>Функции омбудсмена по равным возможн</w:t>
      </w:r>
      <w:r>
        <w:rPr>
          <w:b/>
          <w:i/>
        </w:rPr>
        <w:t>о</w:t>
      </w:r>
      <w:r>
        <w:rPr>
          <w:b/>
          <w:i/>
        </w:rPr>
        <w:t xml:space="preserve">стям </w:t>
      </w:r>
      <w:r>
        <w:t xml:space="preserve">остались без изменений. </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r>
      <w:r>
        <w:rPr>
          <w:b/>
          <w:i/>
        </w:rPr>
        <w:t xml:space="preserve">Комиссия по равным возможностям </w:t>
      </w:r>
      <w:r>
        <w:t>дейс</w:t>
      </w:r>
      <w:r>
        <w:t>т</w:t>
      </w:r>
      <w:r>
        <w:t>вует под руководством министерства промышле</w:t>
      </w:r>
      <w:r>
        <w:t>н</w:t>
      </w:r>
      <w:r>
        <w:t>ности, занятости и связи. Ее функции описаны во втором докладе Швеции.</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 xml:space="preserve">Задачи </w:t>
      </w:r>
      <w:r>
        <w:rPr>
          <w:b/>
          <w:i/>
        </w:rPr>
        <w:t xml:space="preserve">Совета по вопросам равенства </w:t>
      </w:r>
      <w:r>
        <w:t>уп</w:t>
      </w:r>
      <w:r>
        <w:t>о</w:t>
      </w:r>
      <w:r>
        <w:t>минаются в четвертом докладе Швеции.</w:t>
      </w:r>
    </w:p>
    <w:p w:rsidR="00000000" w:rsidRDefault="00000000">
      <w:pPr>
        <w:tabs>
          <w:tab w:val="left" w:pos="475"/>
          <w:tab w:val="left" w:pos="965"/>
          <w:tab w:val="left" w:pos="1440"/>
          <w:tab w:val="left" w:pos="1915"/>
          <w:tab w:val="left" w:pos="2405"/>
          <w:tab w:val="left" w:pos="2880"/>
          <w:tab w:val="left" w:pos="3355"/>
          <w:tab w:val="left" w:pos="3845"/>
        </w:tabs>
        <w:jc w:val="both"/>
      </w:pPr>
      <w:r>
        <w:tab/>
        <w:t>С 1995 года к административному бюро ка</w:t>
      </w:r>
      <w:r>
        <w:t>ж</w:t>
      </w:r>
      <w:r>
        <w:t>дого лена</w:t>
      </w:r>
      <w:r>
        <w:rPr>
          <w:u w:val="single"/>
        </w:rPr>
        <w:t xml:space="preserve"> </w:t>
      </w:r>
      <w:r>
        <w:t xml:space="preserve">прикомандирован </w:t>
      </w:r>
      <w:r>
        <w:rPr>
          <w:b/>
          <w:i/>
        </w:rPr>
        <w:t>региональный эксперт по вопросам равенства полов</w:t>
      </w:r>
      <w:r>
        <w:t>. Задача эксперта с</w:t>
      </w:r>
      <w:r>
        <w:t>о</w:t>
      </w:r>
      <w:r>
        <w:t>стоит в оказании помощи бюро в осуществлении определенных его мандатом мер в области равенс</w:t>
      </w:r>
      <w:r>
        <w:t>т</w:t>
      </w:r>
      <w:r>
        <w:t>ва полов. Административное бюро каждого лена разработало стратегию в области равенства полов в своем лене.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jc w:val="both"/>
        <w:rPr>
          <w:b/>
        </w:rPr>
      </w:pPr>
      <w:r>
        <w:rPr>
          <w:b/>
        </w:rPr>
        <w:tab/>
        <w:t>Разное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Некоторые поправки были внесены в Закон о равных возможностях. Поправки касаются главным образом сексуального домогательства на работе, з</w:t>
      </w:r>
      <w:r>
        <w:t>а</w:t>
      </w:r>
      <w:r>
        <w:t>прещения дискриминации, ущерба, возникающего в результате нарушения запрета на дискриминацию, и обзоров ставок заработной платы.</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Как отмечалось в предыдущем докладе, прав</w:t>
      </w:r>
      <w:r>
        <w:t>и</w:t>
      </w:r>
      <w:r>
        <w:t>тельство назначило Комитет по расследованиям для установления данных о распределении экономич</w:t>
      </w:r>
      <w:r>
        <w:t>е</w:t>
      </w:r>
      <w:r>
        <w:t>ских ресурсов между мужчинами и женщинами. Р</w:t>
      </w:r>
      <w:r>
        <w:t>е</w:t>
      </w:r>
      <w:r>
        <w:t>зультат этой работы представлен в настоящем до</w:t>
      </w:r>
      <w:r>
        <w:t>к</w:t>
      </w:r>
      <w:r>
        <w:t>ладе в разделе, посвященном статье 13.</w:t>
      </w:r>
    </w:p>
    <w:p w:rsidR="00000000" w:rsidRDefault="00000000">
      <w:pPr>
        <w:pStyle w:val="HCh"/>
        <w:tabs>
          <w:tab w:val="right" w:pos="360"/>
          <w:tab w:val="left" w:pos="475"/>
          <w:tab w:val="left" w:pos="965"/>
          <w:tab w:val="left" w:pos="1440"/>
          <w:tab w:val="left" w:pos="1915"/>
          <w:tab w:val="left" w:pos="2405"/>
          <w:tab w:val="left" w:pos="2880"/>
          <w:tab w:val="left" w:pos="3355"/>
        </w:tabs>
        <w:ind w:left="475" w:hanging="475"/>
      </w:pPr>
      <w:r>
        <w:tab/>
        <w:t>Часть I</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См. второй доклад Швеции.</w:t>
      </w: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2</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Первоначальная информация о шведском зак</w:t>
      </w:r>
      <w:r>
        <w:t>о</w:t>
      </w:r>
      <w:r>
        <w:t>нодательстве, касающемся ликвидации дискрим</w:t>
      </w:r>
      <w:r>
        <w:t>и</w:t>
      </w:r>
      <w:r>
        <w:t>нации в отношении женщин, приводится в разделах, посвященных статье 2, предыдущих докладов Шв</w:t>
      </w:r>
      <w:r>
        <w:t>е</w:t>
      </w:r>
      <w:r>
        <w:t>ции.</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После публикации четвертого доклада в Закон о равных возможностях были внесены поправки. Эти поправки представлены в разделе, посвяще</w:t>
      </w:r>
      <w:r>
        <w:t>н</w:t>
      </w:r>
      <w:r>
        <w:t>ном статье 2, подпункт (b). Работа омбудсмена по равным возможностям представлена в разделе, п</w:t>
      </w:r>
      <w:r>
        <w:t>о</w:t>
      </w:r>
      <w:r>
        <w:t>священном подпункту (с).</w:t>
      </w:r>
    </w:p>
    <w:p w:rsidR="00000000" w:rsidRDefault="00000000">
      <w:pPr>
        <w:tabs>
          <w:tab w:val="left" w:pos="475"/>
          <w:tab w:val="left" w:pos="965"/>
          <w:tab w:val="left" w:pos="1440"/>
          <w:tab w:val="left" w:pos="1915"/>
          <w:tab w:val="left" w:pos="2405"/>
          <w:tab w:val="left" w:pos="2880"/>
          <w:tab w:val="left" w:pos="3355"/>
          <w:tab w:val="left" w:pos="3845"/>
        </w:tabs>
        <w:jc w:val="both"/>
      </w:pPr>
      <w:r>
        <w:tab/>
        <w:t>Факультативный протокол к КЛДЖ Швеция подписала 10 декабря 1999 года. Вопрос о его б</w:t>
      </w:r>
      <w:r>
        <w:t>у</w:t>
      </w:r>
      <w:r>
        <w:t>дущей ратификации находится на рассмотрении правительства.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2 (a)</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См. второй доклад Швеции.</w:t>
      </w: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2 (b)</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Heading3"/>
        <w:tabs>
          <w:tab w:val="left" w:pos="475"/>
          <w:tab w:val="left" w:pos="965"/>
          <w:tab w:val="left" w:pos="1440"/>
          <w:tab w:val="left" w:pos="1915"/>
          <w:tab w:val="left" w:pos="2405"/>
          <w:tab w:val="left" w:pos="2880"/>
          <w:tab w:val="left" w:pos="3355"/>
          <w:tab w:val="left" w:pos="3845"/>
        </w:tabs>
        <w:spacing w:line="240" w:lineRule="exact"/>
        <w:jc w:val="both"/>
        <w:rPr>
          <w:sz w:val="20"/>
          <w:lang w:val="ru-RU"/>
        </w:rPr>
      </w:pPr>
      <w:r>
        <w:rPr>
          <w:sz w:val="20"/>
          <w:lang w:val="ru-RU"/>
        </w:rPr>
        <w:tab/>
        <w:t>Поправки к Закону о равных возможностях</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1998 году в Законе о равных возможностях были усилены положения, касающиеся сексуальн</w:t>
      </w:r>
      <w:r>
        <w:t>о</w:t>
      </w:r>
      <w:r>
        <w:t>го домогательства. Во-первых, в Закон было вкл</w:t>
      </w:r>
      <w:r>
        <w:t>ю</w:t>
      </w:r>
      <w:r>
        <w:t xml:space="preserve">чено следующее определение: </w:t>
      </w:r>
      <w:r>
        <w:rPr>
          <w:i/>
        </w:rPr>
        <w:t>Сексуальное домог</w:t>
      </w:r>
      <w:r>
        <w:rPr>
          <w:i/>
        </w:rPr>
        <w:t>а</w:t>
      </w:r>
      <w:r>
        <w:rPr>
          <w:i/>
        </w:rPr>
        <w:t>тельство означает такое основанное на сексе н</w:t>
      </w:r>
      <w:r>
        <w:rPr>
          <w:i/>
        </w:rPr>
        <w:t>е</w:t>
      </w:r>
      <w:r>
        <w:rPr>
          <w:i/>
        </w:rPr>
        <w:t>желательное поведение или такое нежелательное поведение сексуального характера, которое явл</w:t>
      </w:r>
      <w:r>
        <w:rPr>
          <w:i/>
        </w:rPr>
        <w:t>я</w:t>
      </w:r>
      <w:r>
        <w:rPr>
          <w:i/>
        </w:rPr>
        <w:t xml:space="preserve">ется насилием в отношении неприкосновенности наемного работника на работе. </w:t>
      </w:r>
      <w:r>
        <w:t>В Закон были вн</w:t>
      </w:r>
      <w:r>
        <w:t>е</w:t>
      </w:r>
      <w:r>
        <w:t>сены уточнения, с тем чтобы было абсолютно ясно, что наниматель обязан принимать решительные м</w:t>
      </w:r>
      <w:r>
        <w:t>е</w:t>
      </w:r>
      <w:r>
        <w:t>ры для ограждения наемного работника от секс</w:t>
      </w:r>
      <w:r>
        <w:t>у</w:t>
      </w:r>
      <w:r>
        <w:t>ального домогательства. Наниматель, характеризуя свою общую кадровую политику, обязан четко и о</w:t>
      </w:r>
      <w:r>
        <w:t>п</w:t>
      </w:r>
      <w:r>
        <w:t>ределенно заявить, что сексуальные домогательства в отношении его работников совершенно нетерп</w:t>
      </w:r>
      <w:r>
        <w:t>и</w:t>
      </w:r>
      <w:r>
        <w:t>мы. Такая политика должна быть известна служ</w:t>
      </w:r>
      <w:r>
        <w:t>а</w:t>
      </w:r>
      <w:r>
        <w:t>щим. Необходимо также выработать порядок ра</w:t>
      </w:r>
      <w:r>
        <w:t>з</w:t>
      </w:r>
      <w:r>
        <w:t>решения ситуаций, связанных с предполагаемыми или подтвердившимися случаями сексуального д</w:t>
      </w:r>
      <w:r>
        <w:t>о</w:t>
      </w:r>
      <w:r>
        <w:t>могательства. Наниматель, не выполняющий свои обязательства, будет вынужден выполнить их под угрозой наказания в виде штрафа. Более того, н</w:t>
      </w:r>
      <w:r>
        <w:t>а</w:t>
      </w:r>
      <w:r>
        <w:t>ниматель, получивший информацию о том, что один из работников подвергся сексуальному домогател</w:t>
      </w:r>
      <w:r>
        <w:t>ь</w:t>
      </w:r>
      <w:r>
        <w:t>ству со стороны другого работника, должен рассл</w:t>
      </w:r>
      <w:r>
        <w:t>е</w:t>
      </w:r>
      <w:r>
        <w:t>довать обстоятельства, связанные с предполага</w:t>
      </w:r>
      <w:r>
        <w:t>е</w:t>
      </w:r>
      <w:r>
        <w:t>мым домогательством. В необходимых случаях н</w:t>
      </w:r>
      <w:r>
        <w:t>а</w:t>
      </w:r>
      <w:r>
        <w:t>ниматель должен принять соответствующие меры для пресечения продолжающегося сексуального преследования. Наниматель, не выполняющий этих обязательств, должен возместить ущерб потерпе</w:t>
      </w:r>
      <w:r>
        <w:t>в</w:t>
      </w:r>
      <w:r>
        <w:t>шему работнику. Ущерб возмещается за насилие, к которому привело пренебрежение необходимыми мерами. Наниматель не может подвергать работн</w:t>
      </w:r>
      <w:r>
        <w:t>и</w:t>
      </w:r>
      <w:r>
        <w:t>ка преследованиям только потому, что последний отверг сексуальные притязания нанимателя или п</w:t>
      </w:r>
      <w:r>
        <w:t>о</w:t>
      </w:r>
      <w:r>
        <w:t>дал жалобу на него за дискриминацию по признаку пола. В случаях, когда преследование работника со стороны нанимателя приобретает сексуальный х</w:t>
      </w:r>
      <w:r>
        <w:t>а</w:t>
      </w:r>
      <w:r>
        <w:t>рактер, применяются нормы Уголовного кодекса, касающиеся домогательств или домогательств се</w:t>
      </w:r>
      <w:r>
        <w:t>к</w:t>
      </w:r>
      <w:r>
        <w:t>суального характера.</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июле 1998 года шведское правительство со</w:t>
      </w:r>
      <w:r>
        <w:t>з</w:t>
      </w:r>
      <w:r>
        <w:t>дало Комиссию по расследованиям с целью пер</w:t>
      </w:r>
      <w:r>
        <w:t>е</w:t>
      </w:r>
      <w:r>
        <w:t>смотра ею некоторых частей Закона о равных во</w:t>
      </w:r>
      <w:r>
        <w:t>з</w:t>
      </w:r>
      <w:r>
        <w:t>можностях. Комиссия должна была, среди прочего, изучить вопрос о том, есть ли необходимость во внесении дополнительных поправок в Закон о ра</w:t>
      </w:r>
      <w:r>
        <w:t>в</w:t>
      </w:r>
      <w:r>
        <w:t>ных возможностях в связи с Законом о коммунах. Окончательный доклад был представлен в сентябре 1999 года (Официальный доклад правительства 1999:91). В мае 2000 года правительство представ</w:t>
      </w:r>
      <w:r>
        <w:t>и</w:t>
      </w:r>
      <w:r>
        <w:t>ло законопроект (1999/2000:143) о поправках к З</w:t>
      </w:r>
      <w:r>
        <w:t>а</w:t>
      </w:r>
      <w:r>
        <w:t>кону о равных возможностях в риксдаг. Риксдаг принял законопроект 18 октября 2000 года, при этом поправки вступят в силу 1 января 2001 года.</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Суть поправок заключается в следующем:</w:t>
      </w:r>
    </w:p>
    <w:p w:rsidR="00000000" w:rsidRDefault="00000000">
      <w:pPr>
        <w:tabs>
          <w:tab w:val="left" w:pos="475"/>
          <w:tab w:val="left" w:pos="965"/>
          <w:tab w:val="left" w:pos="1440"/>
          <w:tab w:val="left" w:pos="1915"/>
          <w:tab w:val="left" w:pos="2405"/>
          <w:tab w:val="left" w:pos="2880"/>
          <w:tab w:val="left" w:pos="3355"/>
          <w:tab w:val="left" w:pos="3845"/>
        </w:tabs>
        <w:spacing w:after="120"/>
        <w:ind w:left="475" w:hanging="475"/>
        <w:jc w:val="both"/>
      </w:pPr>
      <w:r>
        <w:t>–</w:t>
      </w:r>
      <w:r>
        <w:tab/>
        <w:t>Защита от дискриминации претендентов на рабочие места будет осуществляться в отн</w:t>
      </w:r>
      <w:r>
        <w:t>о</w:t>
      </w:r>
      <w:r>
        <w:t>шении претендентов в течение всего процесса найма независимо от того, принято решение о найме или нет. Для установления факта ди</w:t>
      </w:r>
      <w:r>
        <w:t>с</w:t>
      </w:r>
      <w:r>
        <w:t>криминации нет необходимости проводить прямое сравнение с лицом противоположного пола.</w:t>
      </w:r>
    </w:p>
    <w:p w:rsidR="00000000" w:rsidRDefault="00000000">
      <w:pPr>
        <w:tabs>
          <w:tab w:val="left" w:pos="475"/>
          <w:tab w:val="left" w:pos="965"/>
          <w:tab w:val="left" w:pos="1440"/>
          <w:tab w:val="left" w:pos="1915"/>
          <w:tab w:val="left" w:pos="2405"/>
          <w:tab w:val="left" w:pos="2880"/>
          <w:tab w:val="left" w:pos="3355"/>
          <w:tab w:val="left" w:pos="3845"/>
        </w:tabs>
        <w:spacing w:after="120"/>
        <w:ind w:left="475" w:hanging="475"/>
        <w:jc w:val="both"/>
      </w:pPr>
      <w:r>
        <w:t>–</w:t>
      </w:r>
      <w:r>
        <w:tab/>
        <w:t>В своих усилиях по достижению равенства в трудовой жизни наниматели и работники должны способствовать созданию одинаковых возможностей для изменения уровня зарабо</w:t>
      </w:r>
      <w:r>
        <w:t>т</w:t>
      </w:r>
      <w:r>
        <w:t>ной платы мужчин и женщин.</w:t>
      </w:r>
    </w:p>
    <w:p w:rsidR="00000000" w:rsidRDefault="00000000">
      <w:pPr>
        <w:tabs>
          <w:tab w:val="left" w:pos="475"/>
          <w:tab w:val="left" w:pos="965"/>
          <w:tab w:val="left" w:pos="1440"/>
          <w:tab w:val="left" w:pos="1915"/>
          <w:tab w:val="left" w:pos="2405"/>
          <w:tab w:val="left" w:pos="2880"/>
          <w:tab w:val="left" w:pos="3355"/>
          <w:tab w:val="left" w:pos="3845"/>
        </w:tabs>
        <w:spacing w:after="120"/>
        <w:ind w:left="475" w:hanging="475"/>
        <w:jc w:val="both"/>
      </w:pPr>
      <w:r>
        <w:t>–</w:t>
      </w:r>
      <w:r>
        <w:tab/>
        <w:t>Ежегодно все наниматели проводят обзор и анализ норм и практики с точки зрения зар</w:t>
      </w:r>
      <w:r>
        <w:t>а</w:t>
      </w:r>
      <w:r>
        <w:t>ботной платы и различий в заработной плате между мужчинами и женщинами, выполня</w:t>
      </w:r>
      <w:r>
        <w:t>ю</w:t>
      </w:r>
      <w:r>
        <w:t>щими на рабочих местах работу равной знач</w:t>
      </w:r>
      <w:r>
        <w:t>и</w:t>
      </w:r>
      <w:r>
        <w:t>мости. Цель обзора ставок заработной платы состоит в выявлении, предупреждении н</w:t>
      </w:r>
      <w:r>
        <w:t>е</w:t>
      </w:r>
      <w:r>
        <w:t>обоснованных различий в заработной плате и условий занятости между мужчинами и же</w:t>
      </w:r>
      <w:r>
        <w:t>н</w:t>
      </w:r>
      <w:r>
        <w:t>щинами и принятии в этой связи соответс</w:t>
      </w:r>
      <w:r>
        <w:t>т</w:t>
      </w:r>
      <w:r>
        <w:t>вующих мер.</w:t>
      </w:r>
    </w:p>
    <w:p w:rsidR="00000000" w:rsidRDefault="00000000">
      <w:pPr>
        <w:tabs>
          <w:tab w:val="left" w:pos="475"/>
          <w:tab w:val="left" w:pos="965"/>
          <w:tab w:val="left" w:pos="1440"/>
          <w:tab w:val="left" w:pos="1915"/>
          <w:tab w:val="left" w:pos="2405"/>
          <w:tab w:val="left" w:pos="2880"/>
          <w:tab w:val="left" w:pos="3355"/>
          <w:tab w:val="left" w:pos="3845"/>
        </w:tabs>
        <w:spacing w:after="120"/>
        <w:ind w:left="475" w:hanging="475"/>
        <w:jc w:val="both"/>
      </w:pPr>
      <w:r>
        <w:t>–</w:t>
      </w:r>
      <w:r>
        <w:tab/>
        <w:t>Все наниматели, имеющие в своем штате б</w:t>
      </w:r>
      <w:r>
        <w:t>о</w:t>
      </w:r>
      <w:r>
        <w:t>лее девяти работников, обязаны разработать план действий по обеспечению равной зар</w:t>
      </w:r>
      <w:r>
        <w:t>а</w:t>
      </w:r>
      <w:r>
        <w:t>ботной платы.</w:t>
      </w:r>
    </w:p>
    <w:p w:rsidR="00000000" w:rsidRDefault="00000000">
      <w:pPr>
        <w:tabs>
          <w:tab w:val="left" w:pos="475"/>
          <w:tab w:val="left" w:pos="965"/>
          <w:tab w:val="left" w:pos="1440"/>
          <w:tab w:val="left" w:pos="1915"/>
          <w:tab w:val="left" w:pos="2405"/>
          <w:tab w:val="left" w:pos="2880"/>
          <w:tab w:val="left" w:pos="3355"/>
          <w:tab w:val="left" w:pos="3845"/>
        </w:tabs>
        <w:spacing w:after="120"/>
        <w:ind w:left="475" w:hanging="475"/>
        <w:jc w:val="both"/>
      </w:pPr>
      <w:r>
        <w:t>–</w:t>
      </w:r>
      <w:r>
        <w:tab/>
        <w:t>Общие денежные возмещения различным по</w:t>
      </w:r>
      <w:r>
        <w:t>д</w:t>
      </w:r>
      <w:r>
        <w:t>вергшимся дискриминации лицам не должны распределяться поровну между ними, а дол</w:t>
      </w:r>
      <w:r>
        <w:t>ж</w:t>
      </w:r>
      <w:r>
        <w:t>ны выплачиваться каждому человеку индив</w:t>
      </w:r>
      <w:r>
        <w:t>и</w:t>
      </w:r>
      <w:r>
        <w:t>дуально с учетом причиненного ему ущерба.</w:t>
      </w:r>
    </w:p>
    <w:p w:rsidR="00000000" w:rsidRDefault="00000000">
      <w:pPr>
        <w:tabs>
          <w:tab w:val="left" w:pos="475"/>
          <w:tab w:val="left" w:pos="965"/>
          <w:tab w:val="left" w:pos="1440"/>
          <w:tab w:val="left" w:pos="1915"/>
          <w:tab w:val="left" w:pos="2405"/>
          <w:tab w:val="left" w:pos="2880"/>
          <w:tab w:val="left" w:pos="3355"/>
          <w:tab w:val="left" w:pos="3845"/>
        </w:tabs>
        <w:spacing w:after="120"/>
        <w:ind w:left="475" w:hanging="475"/>
        <w:jc w:val="both"/>
      </w:pPr>
      <w:r>
        <w:t>–</w:t>
      </w:r>
      <w:r>
        <w:tab/>
        <w:t>В законодательство должно быть включено определение концепции косвенной дискрим</w:t>
      </w:r>
      <w:r>
        <w:t>и</w:t>
      </w:r>
      <w:r>
        <w:t>нации.</w:t>
      </w:r>
    </w:p>
    <w:p w:rsidR="00000000" w:rsidRDefault="00000000">
      <w:pPr>
        <w:tabs>
          <w:tab w:val="left" w:pos="475"/>
          <w:tab w:val="left" w:pos="965"/>
          <w:tab w:val="left" w:pos="1440"/>
          <w:tab w:val="left" w:pos="1915"/>
          <w:tab w:val="left" w:pos="2405"/>
          <w:tab w:val="left" w:pos="2880"/>
          <w:tab w:val="left" w:pos="3355"/>
          <w:tab w:val="left" w:pos="3845"/>
        </w:tabs>
        <w:spacing w:after="120"/>
        <w:ind w:left="475" w:hanging="475"/>
        <w:jc w:val="both"/>
      </w:pPr>
      <w:r>
        <w:t>–</w:t>
      </w:r>
      <w:r>
        <w:tab/>
        <w:t>Омбудсмену по равным возможностям будет предоставлено право доступа на рабочее место для пр</w:t>
      </w:r>
      <w:r>
        <w:t>о</w:t>
      </w:r>
      <w:r>
        <w:t>ведения расследования.</w:t>
      </w:r>
    </w:p>
    <w:p w:rsidR="00000000" w:rsidRDefault="00000000">
      <w:pPr>
        <w:tabs>
          <w:tab w:val="left" w:pos="475"/>
          <w:tab w:val="left" w:pos="965"/>
          <w:tab w:val="left" w:pos="1440"/>
          <w:tab w:val="left" w:pos="1915"/>
          <w:tab w:val="left" w:pos="2405"/>
          <w:tab w:val="left" w:pos="2880"/>
          <w:tab w:val="left" w:pos="3355"/>
          <w:tab w:val="left" w:pos="3845"/>
        </w:tabs>
        <w:ind w:left="475" w:hanging="475"/>
        <w:jc w:val="both"/>
      </w:pPr>
      <w:r>
        <w:t>–</w:t>
      </w:r>
      <w:r>
        <w:tab/>
        <w:t>Центральные профсоюзы, с которыми работ</w:t>
      </w:r>
      <w:r>
        <w:t>о</w:t>
      </w:r>
      <w:r>
        <w:t>датели вступили в коллективные соглашения, обладают процессуальной правоспособностью в Трибунале по равным возможностям в отн</w:t>
      </w:r>
      <w:r>
        <w:t>о</w:t>
      </w:r>
      <w:r>
        <w:t>шении судебных запретов с условными штр</w:t>
      </w:r>
      <w:r>
        <w:t>а</w:t>
      </w:r>
      <w:r>
        <w:t>фами, а также процессуальной правоспосо</w:t>
      </w:r>
      <w:r>
        <w:t>б</w:t>
      </w:r>
      <w:r>
        <w:t>ностью в окружном суде в отношении офор</w:t>
      </w:r>
      <w:r>
        <w:t>м</w:t>
      </w:r>
      <w:r>
        <w:t>ления штрафов.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2 (c)</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Heading3"/>
        <w:tabs>
          <w:tab w:val="left" w:pos="475"/>
          <w:tab w:val="left" w:pos="965"/>
          <w:tab w:val="left" w:pos="1440"/>
          <w:tab w:val="left" w:pos="1915"/>
          <w:tab w:val="left" w:pos="2405"/>
          <w:tab w:val="left" w:pos="2880"/>
          <w:tab w:val="left" w:pos="3355"/>
          <w:tab w:val="left" w:pos="3845"/>
        </w:tabs>
        <w:spacing w:line="240" w:lineRule="exact"/>
        <w:jc w:val="both"/>
        <w:rPr>
          <w:sz w:val="20"/>
          <w:lang w:val="ru-RU"/>
        </w:rPr>
      </w:pPr>
      <w:r>
        <w:rPr>
          <w:sz w:val="20"/>
          <w:lang w:val="ru-RU"/>
        </w:rPr>
        <w:tab/>
        <w:t>Омбудсмен по равным возможностям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tab/>
        <w:t xml:space="preserve">Обязанности </w:t>
      </w:r>
      <w:r>
        <w:rPr>
          <w:b/>
          <w:i/>
        </w:rPr>
        <w:t xml:space="preserve">омбудсмена </w:t>
      </w:r>
      <w:r>
        <w:t>по равным возмо</w:t>
      </w:r>
      <w:r>
        <w:t>ж</w:t>
      </w:r>
      <w:r>
        <w:t xml:space="preserve">ностям были описаны в данной статье во втором докладе Швеции. Чтобы </w:t>
      </w:r>
      <w:r>
        <w:rPr>
          <w:b/>
          <w:i/>
        </w:rPr>
        <w:t>омбудсмен</w:t>
      </w:r>
      <w:r>
        <w:t xml:space="preserve"> по равным во</w:t>
      </w:r>
      <w:r>
        <w:t>з</w:t>
      </w:r>
      <w:r>
        <w:t>можностям мог справляться с возросшей рабочей нагрузкой, правительство с 1997 года повысило г</w:t>
      </w:r>
      <w:r>
        <w:t>о</w:t>
      </w:r>
      <w:r>
        <w:t xml:space="preserve">довой объем средств, выделяемых </w:t>
      </w:r>
      <w:r>
        <w:rPr>
          <w:b/>
          <w:i/>
        </w:rPr>
        <w:t>омбудсмен</w:t>
      </w:r>
      <w:r>
        <w:t xml:space="preserve">у, на 5 млн. шведских крон. Дополнительные средства позволили </w:t>
      </w:r>
      <w:r>
        <w:rPr>
          <w:b/>
          <w:i/>
        </w:rPr>
        <w:t>омбудсмен</w:t>
      </w:r>
      <w:r>
        <w:t xml:space="preserve">у активизировать свою работу, особенно в связи с ориентацией работодателей на то, чтобы они принимали активные меры в целях содействия равенству полов на работе. </w:t>
      </w:r>
      <w:r>
        <w:rPr>
          <w:b/>
          <w:i/>
        </w:rPr>
        <w:t>Омбудсмен</w:t>
      </w:r>
      <w:r>
        <w:t>у по равным возможностям выделены также дополн</w:t>
      </w:r>
      <w:r>
        <w:t>и</w:t>
      </w:r>
      <w:r>
        <w:t xml:space="preserve">тельные ресурсы на то, чтобы повысить значимость вопроса о дискриминации в оплате. Общий объем средств </w:t>
      </w:r>
      <w:r>
        <w:rPr>
          <w:b/>
          <w:i/>
        </w:rPr>
        <w:t>омбудсмен</w:t>
      </w:r>
      <w:r>
        <w:t>а по равным возможностям с</w:t>
      </w:r>
      <w:r>
        <w:t>о</w:t>
      </w:r>
      <w:r>
        <w:t>ставляет 18 млн. шведских крон.</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jc w:val="both"/>
        <w:rPr>
          <w:b/>
        </w:rPr>
      </w:pPr>
      <w:r>
        <w:rPr>
          <w:b/>
        </w:rPr>
        <w:tab/>
        <w:t>Жалобы на дискриминацию</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Общее количество подаваемых омбудсмену жалоб с разделением на так называемые активные меры и жалобы на дискриминацию продолжает во</w:t>
      </w:r>
      <w:r>
        <w:t>з</w:t>
      </w:r>
      <w:r>
        <w:t>растать. Количество дел по активным мерам увел</w:t>
      </w:r>
      <w:r>
        <w:t>и</w:t>
      </w:r>
      <w:r>
        <w:t>чилось с 435 в 1997 году до 531 в 1998 году. Из них 372 дела касались оценки планов действий в инт</w:t>
      </w:r>
      <w:r>
        <w:t>е</w:t>
      </w:r>
      <w:r>
        <w:t>ресах равенства на работе. Соответствующее кол</w:t>
      </w:r>
      <w:r>
        <w:t>и</w:t>
      </w:r>
      <w:r>
        <w:t>чество жалоб на дискриминацию составляет соо</w:t>
      </w:r>
      <w:r>
        <w:t>т</w:t>
      </w:r>
      <w:r>
        <w:t>ветственно 85 и 91, причем увеличение произошло за счет жалоб на сексуальные домогательства и дискриминационное рук</w:t>
      </w:r>
      <w:r>
        <w:t>о</w:t>
      </w:r>
      <w:r>
        <w:t>водство.</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1997 году в Суде по трудовым спорам з</w:t>
      </w:r>
      <w:r>
        <w:t>а</w:t>
      </w:r>
      <w:r>
        <w:t>вершилось слушание дела, касающегося назнач</w:t>
      </w:r>
      <w:r>
        <w:t>е</w:t>
      </w:r>
      <w:r>
        <w:t>ний, которое было проиграно омбудсменом по ра</w:t>
      </w:r>
      <w:r>
        <w:t>в</w:t>
      </w:r>
      <w:r>
        <w:t>ным возможностям, а в 1998 году не было заверш</w:t>
      </w:r>
      <w:r>
        <w:t>е</w:t>
      </w:r>
      <w:r>
        <w:t>но ни одного дела. В 1999 году омбудсмен по ра</w:t>
      </w:r>
      <w:r>
        <w:t>в</w:t>
      </w:r>
      <w:r>
        <w:t>ным возможностям в Суде по трудовым спорам во</w:t>
      </w:r>
      <w:r>
        <w:t>з</w:t>
      </w:r>
      <w:r>
        <w:t>будил четыре дела. Три из них касались дискрим</w:t>
      </w:r>
      <w:r>
        <w:t>и</w:t>
      </w:r>
      <w:r>
        <w:t>нации в области заработной платы. Одно дело, св</w:t>
      </w:r>
      <w:r>
        <w:t>я</w:t>
      </w:r>
      <w:r>
        <w:t>занное с дискриминацией в связи с заработной пл</w:t>
      </w:r>
      <w:r>
        <w:t>а</w:t>
      </w:r>
      <w:r>
        <w:t>той акушерок по сравнению с инженерно–технич</w:t>
      </w:r>
      <w:r>
        <w:t>е</w:t>
      </w:r>
      <w:r>
        <w:t>ским составом медицинских учреждений, находится на рассмотрении Европейского суда. Суд поддержал мнение омбудсмена по равным возможностям о том, что сопоставление заработной платы акушерок и инженерно-технического состава медицинских у</w:t>
      </w:r>
      <w:r>
        <w:t>ч</w:t>
      </w:r>
      <w:r>
        <w:t>реждений следует проводить только по основной заработной плате без учета компенсации за неудо</w:t>
      </w:r>
      <w:r>
        <w:t>б</w:t>
      </w:r>
      <w:r>
        <w:t>ные часы работы. В конце 2000 года омбудсмен по равным возможностям представит это дело в Суд по трудовым спорам.</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настоящее время в Суде по трудовым спорам по инициативе омбудсмена по равным возможн</w:t>
      </w:r>
      <w:r>
        <w:t>о</w:t>
      </w:r>
      <w:r>
        <w:t>стям рассматриваются три других дела, которые также связаны с дискриминацией в области зар</w:t>
      </w:r>
      <w:r>
        <w:t>а</w:t>
      </w:r>
      <w:r>
        <w:t>ботной платы.</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Одной из причин, по которым увеличилось к</w:t>
      </w:r>
      <w:r>
        <w:t>о</w:t>
      </w:r>
      <w:r>
        <w:t>личество жалоб на сексуальную дискриминацию, являются еще и информационные кампании, пров</w:t>
      </w:r>
      <w:r>
        <w:t>о</w:t>
      </w:r>
      <w:r>
        <w:t>дившиеся омбудсменом по равным возможностям. Благодаря успешному распространению информ</w:t>
      </w:r>
      <w:r>
        <w:t>а</w:t>
      </w:r>
      <w:r>
        <w:t>ции о сексуальных домогательствах узнали не тол</w:t>
      </w:r>
      <w:r>
        <w:t>ь</w:t>
      </w:r>
      <w:r>
        <w:t>ко служащие, подвергшиеся домогательствам, но и работодатели и профсоюзы.</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Омбудсмен по равным возможностям оказыв</w:t>
      </w:r>
      <w:r>
        <w:t>а</w:t>
      </w:r>
      <w:r>
        <w:t>ет содействие работодателям как из частного, так и из государственного секторов и обучает их тому, как содействовать равенству между мужчинами и же</w:t>
      </w:r>
      <w:r>
        <w:t>н</w:t>
      </w:r>
      <w:r>
        <w:t>щинами на работе. За последние три года по ин</w:t>
      </w:r>
      <w:r>
        <w:t>и</w:t>
      </w:r>
      <w:r>
        <w:t>циативе омбудсмена по равным возможностям был проведен ряд так называемых массовых экспертиз планов действий в интересах равенства в различных секторах. Банковское дело и финансирование, го</w:t>
      </w:r>
      <w:r>
        <w:t>с</w:t>
      </w:r>
      <w:r>
        <w:t>тиничный и ресторанный бизнес, национальная оборона, рекламный бизнес и информационные технологии — это лишь часть секторов, которые подвергались тщательному изучению. В связи с этими экспертизами омбудсмен по равным возмо</w:t>
      </w:r>
      <w:r>
        <w:t>ж</w:t>
      </w:r>
      <w:r>
        <w:t>ностям предложил организовать курсы, рассчита</w:t>
      </w:r>
      <w:r>
        <w:t>н</w:t>
      </w:r>
      <w:r>
        <w:t>ные на неполный рабочий день, по вопросу о том, как составлять план действий, в результате чего эти планы в качественном отношении улучш</w:t>
      </w:r>
      <w:r>
        <w:t>и</w:t>
      </w:r>
      <w:r>
        <w:t>лись.</w:t>
      </w:r>
    </w:p>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both"/>
        <w:rPr>
          <w:b/>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rPr>
          <w:b/>
        </w:rPr>
      </w:pPr>
      <w:r>
        <w:rPr>
          <w:b/>
        </w:rPr>
        <w:tab/>
        <w:t>Состав судов</w:t>
      </w:r>
    </w:p>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both"/>
        <w:rPr>
          <w:b/>
          <w:i/>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rPr>
          <w:b/>
          <w:i/>
        </w:rPr>
      </w:pPr>
      <w:r>
        <w:rPr>
          <w:b/>
          <w:i/>
        </w:rPr>
        <w:tab/>
        <w:t>Суд по трудовым спорам</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1999 году из 85 членов Суда по трудовым спорам 46 процентов составляли женщины (39 женщин в составе Суда) и 54 процента — мужчины (46 членов Суда). Это означает, что доля женщин с 1995 года увеличилась на 7 процентов, когда же</w:t>
      </w:r>
      <w:r>
        <w:t>н</w:t>
      </w:r>
      <w:r>
        <w:t>щины составляли 39 процентов.</w:t>
      </w:r>
    </w:p>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both"/>
        <w:rPr>
          <w:sz w:val="10"/>
        </w:rPr>
      </w:pPr>
    </w:p>
    <w:p w:rsidR="00000000" w:rsidRDefault="00000000">
      <w:pPr>
        <w:tabs>
          <w:tab w:val="left" w:pos="475"/>
          <w:tab w:val="left" w:pos="965"/>
          <w:tab w:val="left" w:pos="1440"/>
          <w:tab w:val="left" w:pos="1915"/>
          <w:tab w:val="left" w:pos="2405"/>
          <w:tab w:val="left" w:pos="2880"/>
          <w:tab w:val="left" w:pos="3355"/>
          <w:tab w:val="left" w:pos="3845"/>
        </w:tabs>
        <w:suppressAutoHyphens/>
        <w:spacing w:after="120"/>
        <w:ind w:left="475" w:hanging="475"/>
        <w:rPr>
          <w:b/>
          <w:i/>
        </w:rPr>
      </w:pPr>
      <w:r>
        <w:rPr>
          <w:b/>
          <w:i/>
        </w:rPr>
        <w:tab/>
        <w:t>Общие административные суды и суды общей юрисдикции</w:t>
      </w:r>
    </w:p>
    <w:p w:rsidR="00000000" w:rsidRDefault="00000000">
      <w:pPr>
        <w:tabs>
          <w:tab w:val="left" w:pos="475"/>
          <w:tab w:val="left" w:pos="965"/>
          <w:tab w:val="left" w:pos="1440"/>
          <w:tab w:val="left" w:pos="1915"/>
          <w:tab w:val="left" w:pos="2405"/>
          <w:tab w:val="left" w:pos="2880"/>
          <w:tab w:val="left" w:pos="3355"/>
          <w:tab w:val="left" w:pos="3845"/>
        </w:tabs>
        <w:jc w:val="both"/>
      </w:pPr>
      <w:r>
        <w:tab/>
        <w:t>В 1999 году женщины составляли 26 проце</w:t>
      </w:r>
      <w:r>
        <w:t>н</w:t>
      </w:r>
      <w:r>
        <w:t>тов постоянных судей в общих административных судах, в то время как число мужчин составляло 74 процента. С 1995 года это означает 6</w:t>
      </w:r>
      <w:r>
        <w:noBreakHyphen/>
        <w:t>процентное увеличение доли женщин среди постоянных судей. Что касается судов общей юрисдикции, в 1999 году женщины составляли 17 процентов постоянных с</w:t>
      </w:r>
      <w:r>
        <w:t>у</w:t>
      </w:r>
      <w:r>
        <w:t>дей, а мужчины, соо</w:t>
      </w:r>
      <w:r>
        <w:t>т</w:t>
      </w:r>
      <w:r>
        <w:t>ветственно — 83 процента.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2 (d)</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tab/>
        <w:t>См. второй доклад Швеции и подпункты (b) (c) статьи 2 настоящего доклада.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2 (e)</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tab/>
        <w:t>См. подпункты (b) (c) статьи 2 настоящего доклада.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2 (f)</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tab/>
        <w:t>См. второй доклад Швеции.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2 (g)</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tab/>
        <w:t>См. второй доклад Швеции.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3</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Соблюдение прав человека в отношении же</w:t>
      </w:r>
      <w:r>
        <w:t>н</w:t>
      </w:r>
      <w:r>
        <w:t>щин гарантируется Конституцией и рядом законов, главным из которых является Закон о равных во</w:t>
      </w:r>
      <w:r>
        <w:t>з</w:t>
      </w:r>
      <w:r>
        <w:t>можностях. Семейное законодательство и законод</w:t>
      </w:r>
      <w:r>
        <w:t>а</w:t>
      </w:r>
      <w:r>
        <w:t>тельство в области образования, а также другие з</w:t>
      </w:r>
      <w:r>
        <w:t>а</w:t>
      </w:r>
      <w:r>
        <w:t>коны содержат положения, направленные на укре</w:t>
      </w:r>
      <w:r>
        <w:t>п</w:t>
      </w:r>
      <w:r>
        <w:t>ление положения женщин и на обеспечение раве</w:t>
      </w:r>
      <w:r>
        <w:t>н</w:t>
      </w:r>
      <w:r>
        <w:t>ства между мужчинами и женщинами. Отдел по в</w:t>
      </w:r>
      <w:r>
        <w:t>о</w:t>
      </w:r>
      <w:r>
        <w:t>просам равенства полов министерства промышле</w:t>
      </w:r>
      <w:r>
        <w:t>н</w:t>
      </w:r>
      <w:r>
        <w:t>ности, занятости и связи тщательно изучает все предложения для нового законодательства, с тем чтобы отразить проблему равенства между мужч</w:t>
      </w:r>
      <w:r>
        <w:t>и</w:t>
      </w:r>
      <w:r>
        <w:t>нами и женщинами. В рамках соответствующей статьи рассматриваются национальные меры и з</w:t>
      </w:r>
      <w:r>
        <w:t>а</w:t>
      </w:r>
      <w:r>
        <w:t>конодательство по этим вопросам.</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Швеция будет продолжать работу над решен</w:t>
      </w:r>
      <w:r>
        <w:t>и</w:t>
      </w:r>
      <w:r>
        <w:t>ем вопросов о правах женщин в качестве неотъе</w:t>
      </w:r>
      <w:r>
        <w:t>м</w:t>
      </w:r>
      <w:r>
        <w:t>лемой части всех мероприятий по линии ООН, и в частности в связи с их включением во все механи</w:t>
      </w:r>
      <w:r>
        <w:t>з</w:t>
      </w:r>
      <w:r>
        <w:t>мы ООН по правам человека. Исходя из этого, Швеция выделила 2 млн. шведских крон ВКООНПЧ на поддержание усилий по соблюдению прав чел</w:t>
      </w:r>
      <w:r>
        <w:t>о</w:t>
      </w:r>
      <w:r>
        <w:t>века в отношении женщин. Кроме того, Швеция по</w:t>
      </w:r>
      <w:r>
        <w:noBreakHyphen/>
        <w:t xml:space="preserve">прежнему поддерживает работу Специального докладчика ООН по вопросам насилия в отношении женщин и причинам и последствиям этого явления </w:t>
      </w:r>
      <w:r>
        <w:rPr>
          <w:spacing w:val="-20"/>
        </w:rPr>
        <w:t>(б</w:t>
      </w:r>
      <w:r>
        <w:t>олее под</w:t>
      </w:r>
      <w:r>
        <w:rPr>
          <w:spacing w:val="-20"/>
        </w:rPr>
        <w:t>роб</w:t>
      </w:r>
      <w:r>
        <w:t>ную инф</w:t>
      </w:r>
      <w:r>
        <w:rPr>
          <w:spacing w:val="-20"/>
        </w:rPr>
        <w:t>ор</w:t>
      </w:r>
      <w:r>
        <w:t>мацию о н</w:t>
      </w:r>
      <w:r>
        <w:rPr>
          <w:spacing w:val="-20"/>
        </w:rPr>
        <w:t>а</w:t>
      </w:r>
      <w:r>
        <w:t>силии в отн</w:t>
      </w:r>
      <w:r>
        <w:rPr>
          <w:spacing w:val="-20"/>
        </w:rPr>
        <w:t>о</w:t>
      </w:r>
      <w:r>
        <w:t>ш</w:t>
      </w:r>
      <w:r>
        <w:t>е</w:t>
      </w:r>
      <w:r>
        <w:t>нии женщин см. статью 6).</w:t>
      </w:r>
    </w:p>
    <w:p w:rsidR="00000000" w:rsidRDefault="00000000">
      <w:pPr>
        <w:tabs>
          <w:tab w:val="left" w:pos="475"/>
          <w:tab w:val="left" w:pos="965"/>
          <w:tab w:val="left" w:pos="1440"/>
          <w:tab w:val="left" w:pos="1915"/>
          <w:tab w:val="left" w:pos="2405"/>
          <w:tab w:val="left" w:pos="2880"/>
          <w:tab w:val="left" w:pos="3355"/>
          <w:tab w:val="left" w:pos="3845"/>
        </w:tabs>
        <w:jc w:val="both"/>
      </w:pPr>
      <w:r>
        <w:tab/>
        <w:t>Шведское агентство по сотрудничеству в о</w:t>
      </w:r>
      <w:r>
        <w:t>б</w:t>
      </w:r>
      <w:r>
        <w:t>ласти международного развития (СИДА) поддерж</w:t>
      </w:r>
      <w:r>
        <w:t>и</w:t>
      </w:r>
      <w:r>
        <w:t>вает проекты и другие меры, направленные на у</w:t>
      </w:r>
      <w:r>
        <w:t>к</w:t>
      </w:r>
      <w:r>
        <w:t>репление прав человека в отношении женщин, в том числе в связи с вопросами, касающимися повре</w:t>
      </w:r>
      <w:r>
        <w:t>ж</w:t>
      </w:r>
      <w:r>
        <w:t>дения женских половых органов, в рамках сотру</w:t>
      </w:r>
      <w:r>
        <w:t>д</w:t>
      </w:r>
      <w:r>
        <w:t>ничества Швеции в интересах развития. В 1998 г</w:t>
      </w:r>
      <w:r>
        <w:t>о</w:t>
      </w:r>
      <w:r>
        <w:t>ду СИДА опубликовало справочник по Конвенции о ликвидации всех форм дискриминации в отношении женщин. В этом справочнике даются разъяснения положений Конвенции в контексте других докуме</w:t>
      </w:r>
      <w:r>
        <w:t>н</w:t>
      </w:r>
      <w:r>
        <w:t>тов о правах человека, а также самая последняя и</w:t>
      </w:r>
      <w:r>
        <w:t>н</w:t>
      </w:r>
      <w:r>
        <w:t>формация о том, как около тридцати стран выпо</w:t>
      </w:r>
      <w:r>
        <w:t>л</w:t>
      </w:r>
      <w:r>
        <w:t>няют данную Конвенцию согласно их собственным докладам, и общие замечания Комитета по ликв</w:t>
      </w:r>
      <w:r>
        <w:t>и</w:t>
      </w:r>
      <w:r>
        <w:t>дации дискриминации в отношении женщин. Этот справочник получил широкое распространение, с тем чтобы его можно было использовать в двуст</w:t>
      </w:r>
      <w:r>
        <w:t>о</w:t>
      </w:r>
      <w:r>
        <w:t>ронних диалогах по вопросам развития, и в октябре 1998 года он был представлен министерством ин</w:t>
      </w:r>
      <w:r>
        <w:t>о</w:t>
      </w:r>
      <w:r>
        <w:t>странных дел на семинаре ООН/ДАК в Риме по в</w:t>
      </w:r>
      <w:r>
        <w:t>о</w:t>
      </w:r>
      <w:r>
        <w:t>просу о равенстве полов с точки зрения прав чел</w:t>
      </w:r>
      <w:r>
        <w:t>о</w:t>
      </w:r>
      <w:r>
        <w:t>века.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4</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4.1</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tab/>
        <w:t>См. второй и третий доклады Швеции. Меры, направленные на то, чтобы фактически содейств</w:t>
      </w:r>
      <w:r>
        <w:t>о</w:t>
      </w:r>
      <w:r>
        <w:t>вать равенству между мужчинами и женщинами в различных областях, изложены в рамках соответс</w:t>
      </w:r>
      <w:r>
        <w:t>т</w:t>
      </w:r>
      <w:r>
        <w:t>вующей статьи.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4.2</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Первоначальные сведения о шведском закон</w:t>
      </w:r>
      <w:r>
        <w:t>о</w:t>
      </w:r>
      <w:r>
        <w:t>дательстве, направленном на защиту материнства, см. в предыдущих докладах Швеции. По вопросу о том, чтобы родителям было легче совмещать работу и семейные обязанности, см. также подпункт (с) статьи 11.2 настоящего доклада.</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Сегодня родители имеют право на пособие из расчета 450 дней на ребенка помимо предоставля</w:t>
      </w:r>
      <w:r>
        <w:t>е</w:t>
      </w:r>
      <w:r>
        <w:t>мого родителям временного пособия по уходу за больным ребенком. По состоянию на январь 1998 года пособие в размере 80 процентов дохода род</w:t>
      </w:r>
      <w:r>
        <w:t>и</w:t>
      </w:r>
      <w:r>
        <w:t>теля, остающегося дома, выплачивается за 360 из 450 дней и по фиксированному ежедневному тар</w:t>
      </w:r>
      <w:r>
        <w:t>и</w:t>
      </w:r>
      <w:r>
        <w:t>фу 60 шведских крон — за остальные 90 дней.</w:t>
      </w:r>
    </w:p>
    <w:p w:rsidR="00000000" w:rsidRDefault="00000000">
      <w:pPr>
        <w:tabs>
          <w:tab w:val="left" w:pos="475"/>
          <w:tab w:val="left" w:pos="965"/>
          <w:tab w:val="left" w:pos="1440"/>
          <w:tab w:val="left" w:pos="1915"/>
          <w:tab w:val="left" w:pos="2405"/>
          <w:tab w:val="left" w:pos="2880"/>
          <w:tab w:val="left" w:pos="3355"/>
          <w:tab w:val="left" w:pos="3845"/>
        </w:tabs>
        <w:jc w:val="both"/>
      </w:pPr>
      <w:r>
        <w:tab/>
        <w:t>Для того чтобы отцы могли использовать о</w:t>
      </w:r>
      <w:r>
        <w:t>т</w:t>
      </w:r>
      <w:r>
        <w:t>пуск по уходу за ребенком, а также для того, чтобы легче было совмещать приносящую доход занятость с родительским долгом, в настоящее время в прав</w:t>
      </w:r>
      <w:r>
        <w:t>и</w:t>
      </w:r>
      <w:r>
        <w:t>тельственных учреждениях готовится предложение о том, чтобы отец получил право на 30</w:t>
      </w:r>
      <w:r>
        <w:noBreakHyphen/>
        <w:t>дневный о</w:t>
      </w:r>
      <w:r>
        <w:t>т</w:t>
      </w:r>
      <w:r>
        <w:t>пуск по уходу за ребенком. Как говорилось в п</w:t>
      </w:r>
      <w:r>
        <w:t>о</w:t>
      </w:r>
      <w:r>
        <w:t>следнем докладе, право на пособие для родителей должно поровну разделяться между матерью и о</w:t>
      </w:r>
      <w:r>
        <w:t>т</w:t>
      </w:r>
      <w:r>
        <w:t>цом. Вместе с тем родители могут передавать друг другу ту долю пособия для родителей, которая не относится к месяцу, отведенному для отца или м</w:t>
      </w:r>
      <w:r>
        <w:t>а</w:t>
      </w:r>
      <w:r>
        <w:t>тери. 30</w:t>
      </w:r>
      <w:r>
        <w:noBreakHyphen/>
        <w:t>дневный срок для родительского пособия означает, что отец или мать будут иметь исключ</w:t>
      </w:r>
      <w:r>
        <w:t>и</w:t>
      </w:r>
      <w:r>
        <w:t>тельное право получать пособие в общей сложности за 60 дней. Правительство также рассматривает возможность вновь ввести "контактные дни", о к</w:t>
      </w:r>
      <w:r>
        <w:t>о</w:t>
      </w:r>
      <w:r>
        <w:t>торых говорилось в четвертом докладе. Предлага</w:t>
      </w:r>
      <w:r>
        <w:t>е</w:t>
      </w:r>
      <w:r>
        <w:t>мые поправки вступят в силу 1 января 2002 года. Правительственный законопроект будет предста</w:t>
      </w:r>
      <w:r>
        <w:t>в</w:t>
      </w:r>
      <w:r>
        <w:t>лен в риксдаг в конце 2000 года.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5</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5 (a)</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Для того чтобы добиться равенства полов во всех областях и на всех уровнях общества, и му</w:t>
      </w:r>
      <w:r>
        <w:t>ж</w:t>
      </w:r>
      <w:r>
        <w:t>чины, и женщины должны стремиться к переменам. Для успеха усилий по установлению равенства н</w:t>
      </w:r>
      <w:r>
        <w:t>е</w:t>
      </w:r>
      <w:r>
        <w:t>обходимо, чтобы проблема полов была видима. В 1994 году правительство постановило разделить всю официальную статистику с личными данными по признаку пола, если нет каких-то особых причин не делать этого. В 1999 году было проведено обсл</w:t>
      </w:r>
      <w:r>
        <w:t>е</w:t>
      </w:r>
      <w:r>
        <w:t>дование по оценке регулирования официальной ст</w:t>
      </w:r>
      <w:r>
        <w:t>а</w:t>
      </w:r>
      <w:r>
        <w:t>тистики, и в заключительном докладе (Национал</w:t>
      </w:r>
      <w:r>
        <w:t>ь</w:t>
      </w:r>
      <w:r>
        <w:t>ные официальные доклады Швеции 1999:96) сделан вывод о том, что, несмотря на еще сохраняющиеся отдельные недостатки, большинство индивидуал</w:t>
      </w:r>
      <w:r>
        <w:t>ь</w:t>
      </w:r>
      <w:r>
        <w:t>ных официальных статистических данных Швеции имеют разделение по полу.</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Жизненно важным элементом для борьбы с предрассудками является образование. В связи с этим с 1994 года правительство организует курсы по изучению вопроса о равенстве полов для мин</w:t>
      </w:r>
      <w:r>
        <w:t>и</w:t>
      </w:r>
      <w:r>
        <w:t>стров, государственных секретарей, пресс–секрет</w:t>
      </w:r>
      <w:r>
        <w:t>а</w:t>
      </w:r>
      <w:r>
        <w:t>рей и политических советников, сотрудников мин</w:t>
      </w:r>
      <w:r>
        <w:t>и</w:t>
      </w:r>
      <w:r>
        <w:t>стерств и других ведомств в сфере государственн</w:t>
      </w:r>
      <w:r>
        <w:t>о</w:t>
      </w:r>
      <w:r>
        <w:t>го управления, а также для руководителей и секр</w:t>
      </w:r>
      <w:r>
        <w:t>е</w:t>
      </w:r>
      <w:r>
        <w:t>тарей комитетов центрального правительства и к</w:t>
      </w:r>
      <w:r>
        <w:t>о</w:t>
      </w:r>
      <w:r>
        <w:t>миссий по проведению обследований. Цель такой подготовки заключается в том, чтобы углублять знания об условиях жизни мужчин и женщин в о</w:t>
      </w:r>
      <w:r>
        <w:t>б</w:t>
      </w:r>
      <w:r>
        <w:t>ществе, распространять информацию о целях пол</w:t>
      </w:r>
      <w:r>
        <w:t>и</w:t>
      </w:r>
      <w:r>
        <w:t>тики в области равенства полов и расширять осв</w:t>
      </w:r>
      <w:r>
        <w:t>е</w:t>
      </w:r>
      <w:r>
        <w:t>домленность официальных лиц, с тем чтобы учит</w:t>
      </w:r>
      <w:r>
        <w:t>ы</w:t>
      </w:r>
      <w:r>
        <w:t>вать гендерную проблематику в основных напра</w:t>
      </w:r>
      <w:r>
        <w:t>в</w:t>
      </w:r>
      <w:r>
        <w:t>лениях деятельности.</w:t>
      </w:r>
    </w:p>
    <w:p w:rsidR="00000000" w:rsidRDefault="00000000">
      <w:pPr>
        <w:tabs>
          <w:tab w:val="left" w:pos="475"/>
          <w:tab w:val="left" w:pos="965"/>
          <w:tab w:val="left" w:pos="1440"/>
          <w:tab w:val="left" w:pos="1915"/>
          <w:tab w:val="left" w:pos="2405"/>
          <w:tab w:val="left" w:pos="2880"/>
          <w:tab w:val="left" w:pos="3355"/>
          <w:tab w:val="left" w:pos="3845"/>
        </w:tabs>
        <w:jc w:val="both"/>
      </w:pPr>
      <w:r>
        <w:tab/>
        <w:t>С 1998 года стали проводиться курсы по по</w:t>
      </w:r>
      <w:r>
        <w:t>д</w:t>
      </w:r>
      <w:r>
        <w:t>готовке дополнительного числа инструкторов.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Heading3"/>
        <w:tabs>
          <w:tab w:val="left" w:pos="475"/>
          <w:tab w:val="left" w:pos="965"/>
          <w:tab w:val="left" w:pos="1440"/>
          <w:tab w:val="left" w:pos="1915"/>
          <w:tab w:val="left" w:pos="2405"/>
          <w:tab w:val="left" w:pos="2880"/>
          <w:tab w:val="left" w:pos="3355"/>
          <w:tab w:val="left" w:pos="3845"/>
        </w:tabs>
        <w:suppressAutoHyphens/>
        <w:spacing w:line="240" w:lineRule="exact"/>
        <w:ind w:left="475" w:hanging="475"/>
        <w:jc w:val="left"/>
        <w:rPr>
          <w:sz w:val="20"/>
          <w:lang w:val="ru-RU"/>
        </w:rPr>
      </w:pPr>
      <w:r>
        <w:rPr>
          <w:sz w:val="20"/>
          <w:lang w:val="ru-RU"/>
        </w:rPr>
        <w:tab/>
        <w:t>Рекламные материалы дискриминационного хара</w:t>
      </w:r>
      <w:r>
        <w:rPr>
          <w:sz w:val="20"/>
          <w:lang w:val="ru-RU"/>
        </w:rPr>
        <w:t>к</w:t>
      </w:r>
      <w:r>
        <w:rPr>
          <w:sz w:val="20"/>
          <w:lang w:val="ru-RU"/>
        </w:rPr>
        <w:t>тера по признаку пола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tab/>
        <w:t>См. последний доклад.</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5 (b)</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tab/>
        <w:t>Первоначальный отчет о системе родительск</w:t>
      </w:r>
      <w:r>
        <w:t>о</w:t>
      </w:r>
      <w:r>
        <w:t>го страхования Швеции см. предыдущие доклады Шв</w:t>
      </w:r>
      <w:r>
        <w:t>е</w:t>
      </w:r>
      <w:r>
        <w:t>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Heading3"/>
        <w:tabs>
          <w:tab w:val="left" w:pos="475"/>
          <w:tab w:val="left" w:pos="965"/>
          <w:tab w:val="left" w:pos="1440"/>
          <w:tab w:val="left" w:pos="1915"/>
          <w:tab w:val="left" w:pos="2405"/>
          <w:tab w:val="left" w:pos="2880"/>
          <w:tab w:val="left" w:pos="3355"/>
          <w:tab w:val="left" w:pos="3845"/>
        </w:tabs>
        <w:spacing w:line="240" w:lineRule="exact"/>
        <w:jc w:val="both"/>
        <w:rPr>
          <w:sz w:val="20"/>
          <w:lang w:val="ru-RU"/>
        </w:rPr>
      </w:pPr>
      <w:r>
        <w:rPr>
          <w:sz w:val="20"/>
          <w:lang w:val="ru-RU"/>
        </w:rPr>
        <w:tab/>
        <w:t>Совместная опека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С самого рождения ребенок находится под опекой обоих родителей, если они женаты, в пр</w:t>
      </w:r>
      <w:r>
        <w:t>о</w:t>
      </w:r>
      <w:r>
        <w:t>тивном случае он находится только на попечении матери. Если опеку несет только один из родителей и если родители хотят нести совместную опеку, они должны подать соответствующее заявление в суд. Родители, не состоящие в браке, могут добиться с</w:t>
      </w:r>
      <w:r>
        <w:t>о</w:t>
      </w:r>
      <w:r>
        <w:t>вместной опеки, уведомив об этом комитет соц</w:t>
      </w:r>
      <w:r>
        <w:t>и</w:t>
      </w:r>
      <w:r>
        <w:t>ального обеспечения, а также комитет, утвержда</w:t>
      </w:r>
      <w:r>
        <w:t>ю</w:t>
      </w:r>
      <w:r>
        <w:t>щий признание отцовства. Родители могут также добиться совместной опеки, подав совместное ув</w:t>
      </w:r>
      <w:r>
        <w:t>е</w:t>
      </w:r>
      <w:r>
        <w:t>домление в налоговые органы. Если у родителей есть судебное решение о разводе, оба родителя пр</w:t>
      </w:r>
      <w:r>
        <w:t>о</w:t>
      </w:r>
      <w:r>
        <w:t>должают нести опеку над ребенком, если только они оба или один из них не заявят о прекращении совместной опеки.</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1 октября 1998 года в положения Кодекса д</w:t>
      </w:r>
      <w:r>
        <w:t>е</w:t>
      </w:r>
      <w:r>
        <w:t>тей и родителей, касающиеся попечительства и ко</w:t>
      </w:r>
      <w:r>
        <w:t>н</w:t>
      </w:r>
      <w:r>
        <w:t>тактов, были внесены поправки (правительстве</w:t>
      </w:r>
      <w:r>
        <w:t>н</w:t>
      </w:r>
      <w:r>
        <w:t>ный законопроект 1997/98:7). Цель этих поправок заключалась в том, чтобы подчеркнуть важность вынесения согласованных решений и помочь в этом родителям. Еще одна цель заключалась в том, чтобы способствовать более активной подаче заявлений о совместной опеке и подчеркнуть самые насущные интересы ребенка.</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основе поправок лежит желание подчер</w:t>
      </w:r>
      <w:r>
        <w:t>к</w:t>
      </w:r>
      <w:r>
        <w:t>нуть, что родители несут совместную ответстве</w:t>
      </w:r>
      <w:r>
        <w:t>н</w:t>
      </w:r>
      <w:r>
        <w:t>ность за своих детей и должны стараться решать вопросы в отношении своих детей согласованно, поскольку это отвечает самым насущным интересам ребенка. Очевидно, что у ребенка будет больше возможностей иметь тесные и хорошие контакты с обоими родителями, если родители могут совмес</w:t>
      </w:r>
      <w:r>
        <w:t>т</w:t>
      </w:r>
      <w:r>
        <w:t>но решать все вопросы, касающиеся ребенка. Не подлежит сомнению и то, что предварительные у</w:t>
      </w:r>
      <w:r>
        <w:t>с</w:t>
      </w:r>
      <w:r>
        <w:t>ловия для такого сотрудничества будут лучше, если сами родители смогут договариваться между собой по всем вопросам, касающимся ребенка, а не оста</w:t>
      </w:r>
      <w:r>
        <w:t>в</w:t>
      </w:r>
      <w:r>
        <w:t>лять их на усмотрение суда. Родители могут решать вопросы, касающиеся опеки, места жительства и контактов, заключая соглашение, одобряемое ком</w:t>
      </w:r>
      <w:r>
        <w:t>и</w:t>
      </w:r>
      <w:r>
        <w:t>тетом социального обеспечения. Это соглашение должно быть составлено в письменной форме и подписано обоими родителями. Утвержденное с</w:t>
      </w:r>
      <w:r>
        <w:t>о</w:t>
      </w:r>
      <w:r>
        <w:t>глашение находится в силе и может осуществляться как имеющее обязательную юридическую силу р</w:t>
      </w:r>
      <w:r>
        <w:t>е</w:t>
      </w:r>
      <w:r>
        <w:t>шение суда.</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Кодекс детей и родителей было включено новое положение, согласно которому самые насу</w:t>
      </w:r>
      <w:r>
        <w:t>щ</w:t>
      </w:r>
      <w:r>
        <w:t>ные интересы ребенка должны учитываться в пе</w:t>
      </w:r>
      <w:r>
        <w:t>р</w:t>
      </w:r>
      <w:r>
        <w:t>вую очередь в решениях по всем вопросам, каса</w:t>
      </w:r>
      <w:r>
        <w:t>ю</w:t>
      </w:r>
      <w:r>
        <w:t>щимся опеки над детьми. В этом положении более четко, чем раньше, указывается, что в основе реш</w:t>
      </w:r>
      <w:r>
        <w:t>е</w:t>
      </w:r>
      <w:r>
        <w:t>ний всегда должны лежать самые насущные интер</w:t>
      </w:r>
      <w:r>
        <w:t>е</w:t>
      </w:r>
      <w:r>
        <w:t>сы ребенка. Если один из родителей желает пер</w:t>
      </w:r>
      <w:r>
        <w:t>е</w:t>
      </w:r>
      <w:r>
        <w:t>дать опеку, суд может принять решение о совмес</w:t>
      </w:r>
      <w:r>
        <w:t>т</w:t>
      </w:r>
      <w:r>
        <w:t>ной опеке или прекратить совместную опеку, даже если один из родителей возражает против этого. Вместе с тем суд, принимая решение против воли одного из родителей, исходит из того, что это дел</w:t>
      </w:r>
      <w:r>
        <w:t>а</w:t>
      </w:r>
      <w:r>
        <w:t>ется в наилучших интересах ребенка. Риксдаг дал свое заключение о том, что следует препятствовать совместной опеке против воли одного из родителей в том случае, если другой родитель подвергает о</w:t>
      </w:r>
      <w:r>
        <w:t>д</w:t>
      </w:r>
      <w:r>
        <w:t>ного из членов семьи насилию, домогательствам или другому оскорбительному обращ</w:t>
      </w:r>
      <w:r>
        <w:t>е</w:t>
      </w:r>
      <w:r>
        <w:t>нию.</w:t>
      </w:r>
    </w:p>
    <w:p w:rsidR="00000000" w:rsidRDefault="00000000">
      <w:pPr>
        <w:tabs>
          <w:tab w:val="left" w:pos="475"/>
          <w:tab w:val="left" w:pos="965"/>
          <w:tab w:val="left" w:pos="1440"/>
          <w:tab w:val="left" w:pos="1915"/>
          <w:tab w:val="left" w:pos="2405"/>
          <w:tab w:val="left" w:pos="2880"/>
          <w:tab w:val="left" w:pos="3355"/>
          <w:tab w:val="left" w:pos="3845"/>
        </w:tabs>
        <w:jc w:val="both"/>
      </w:pPr>
      <w:r>
        <w:tab/>
        <w:t>Если родители несут совместную опеку над ребенком, суд может принять решение о месте ж</w:t>
      </w:r>
      <w:r>
        <w:t>и</w:t>
      </w:r>
      <w:r>
        <w:t>тельства ребенка. Такое решение может означать, что ребенок должен жить только с одним из родит</w:t>
      </w:r>
      <w:r>
        <w:t>е</w:t>
      </w:r>
      <w:r>
        <w:t>лей или поочередно у каждого из них. Кроме того, суд может принять решение о контактах. Это отн</w:t>
      </w:r>
      <w:r>
        <w:t>о</w:t>
      </w:r>
      <w:r>
        <w:t>сится и к тем случаям, когда родители несут совм</w:t>
      </w:r>
      <w:r>
        <w:t>е</w:t>
      </w:r>
      <w:r>
        <w:t>стную опеку.</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uppressAutoHyphens/>
        <w:ind w:left="475" w:hanging="475"/>
        <w:rPr>
          <w:b/>
        </w:rPr>
      </w:pPr>
      <w:r>
        <w:rPr>
          <w:b/>
        </w:rPr>
        <w:tab/>
        <w:t>Подготовка к выполнению родительских об</w:t>
      </w:r>
      <w:r>
        <w:rPr>
          <w:b/>
        </w:rPr>
        <w:t>я</w:t>
      </w:r>
      <w:r>
        <w:rPr>
          <w:b/>
        </w:rPr>
        <w:t>занностей</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См. также последний доклад.</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Последующая оценка специальных проектов по подготовке отцов, о которых говорилось в п</w:t>
      </w:r>
      <w:r>
        <w:t>о</w:t>
      </w:r>
      <w:r>
        <w:t>следнем докладе, свидетельствует о том, что эти проекты восприняты хорошо и что в среднем пр</w:t>
      </w:r>
      <w:r>
        <w:t>и</w:t>
      </w:r>
      <w:r>
        <w:t>нимающие в них участие отцы берут более дл</w:t>
      </w:r>
      <w:r>
        <w:t>и</w:t>
      </w:r>
      <w:r>
        <w:t>тельные отпуска по уходу за ребенком, чем те, кот</w:t>
      </w:r>
      <w:r>
        <w:t>о</w:t>
      </w:r>
      <w:r>
        <w:t>рые в них участия не принимали. Долгосрочная цель состоит в том, чтобы программы для отцов стали регулярным дополнением к существующей подготовке родителей. В некоторых ленах эти пр</w:t>
      </w:r>
      <w:r>
        <w:t>о</w:t>
      </w:r>
      <w:r>
        <w:t>граммы уже осуществляются.</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1996 году правительство выделило средства Национальному совету социального обеспечения для проведения в течение двух лет общенационал</w:t>
      </w:r>
      <w:r>
        <w:t>ь</w:t>
      </w:r>
      <w:r>
        <w:t>ной информационной кампании, пропагандиру</w:t>
      </w:r>
      <w:r>
        <w:t>ю</w:t>
      </w:r>
      <w:r>
        <w:t>щей отпуск отцов по уходу за ребенком. Во взаим</w:t>
      </w:r>
      <w:r>
        <w:t>о</w:t>
      </w:r>
      <w:r>
        <w:t>действии с местными отделениями социального страхования Совет предлагает проводить перс</w:t>
      </w:r>
      <w:r>
        <w:t>о</w:t>
      </w:r>
      <w:r>
        <w:t>нальные консультации, информационные совещ</w:t>
      </w:r>
      <w:r>
        <w:t>а</w:t>
      </w:r>
      <w:r>
        <w:t>ния в сотрудничестве с родильными домами, н</w:t>
      </w:r>
      <w:r>
        <w:t>а</w:t>
      </w:r>
      <w:r>
        <w:t>прямую информировать тех мужчин, кто недавно стали отцами, давать рекламные материалы по т</w:t>
      </w:r>
      <w:r>
        <w:t>е</w:t>
      </w:r>
      <w:r>
        <w:t>левидению и в видеозаписях. Эта кампания получ</w:t>
      </w:r>
      <w:r>
        <w:t>и</w:t>
      </w:r>
      <w:r>
        <w:t>ла весьма высокую оценку.</w:t>
      </w:r>
    </w:p>
    <w:p w:rsidR="00000000" w:rsidRDefault="00000000">
      <w:pPr>
        <w:tabs>
          <w:tab w:val="left" w:pos="475"/>
          <w:tab w:val="left" w:pos="965"/>
          <w:tab w:val="left" w:pos="1440"/>
          <w:tab w:val="left" w:pos="1915"/>
          <w:tab w:val="left" w:pos="2405"/>
          <w:tab w:val="left" w:pos="2880"/>
          <w:tab w:val="left" w:pos="3355"/>
          <w:tab w:val="left" w:pos="3845"/>
        </w:tabs>
        <w:jc w:val="both"/>
      </w:pPr>
      <w:r>
        <w:tab/>
        <w:t>В 1997 году правительство постановило пр</w:t>
      </w:r>
      <w:r>
        <w:t>о</w:t>
      </w:r>
      <w:r>
        <w:t>вести обследование по вопросу о том, как можно развивать и поощрять подготовку к выполнению родительских обязанностей и другие формы по</w:t>
      </w:r>
      <w:r>
        <w:t>д</w:t>
      </w:r>
      <w:r>
        <w:t>держки родителей. Впоследствии вышел доклад под названием "Обеспечение подготовки к выполнению родительских обязанностей (Национальные офиц</w:t>
      </w:r>
      <w:r>
        <w:t>и</w:t>
      </w:r>
      <w:r>
        <w:t>альные доклады Швеции 1997:161). Национальному институту здравоохранения будет поручено соб</w:t>
      </w:r>
      <w:r>
        <w:t>и</w:t>
      </w:r>
      <w:r>
        <w:t>рать и распространять положительные примеры р</w:t>
      </w:r>
      <w:r>
        <w:t>о</w:t>
      </w:r>
      <w:r>
        <w:t>дительской подготовки, например, проект подгото</w:t>
      </w:r>
      <w:r>
        <w:t>в</w:t>
      </w:r>
      <w:r>
        <w:t>ки для отцов. Институт также будет получать ф</w:t>
      </w:r>
      <w:r>
        <w:t>и</w:t>
      </w:r>
      <w:r>
        <w:t>нансирование на поддержку проектов развития.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jc w:val="both"/>
        <w:rPr>
          <w:b/>
        </w:rPr>
      </w:pPr>
      <w:r>
        <w:rPr>
          <w:b/>
        </w:rPr>
        <w:tab/>
        <w:t>Использование родительских льгот</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1995 году был введен отцовский месячный отпуск в расчете на то, что отцы будут шире пол</w:t>
      </w:r>
      <w:r>
        <w:t>ь</w:t>
      </w:r>
      <w:r>
        <w:t>зоваться родительскими льготами. Поскольку род</w:t>
      </w:r>
      <w:r>
        <w:t>и</w:t>
      </w:r>
      <w:r>
        <w:t>тельские льготы выплачиваются до достижения р</w:t>
      </w:r>
      <w:r>
        <w:t>е</w:t>
      </w:r>
      <w:r>
        <w:t>бенком восьмилетнего возраста, сейчас еще сли</w:t>
      </w:r>
      <w:r>
        <w:t>ш</w:t>
      </w:r>
      <w:r>
        <w:t>ком рано говорить о том, как отцовский месячный отпуск повлиял на использование этой системы мужчинами. Однако предварительные данные из Национального совета социального обеспечения г</w:t>
      </w:r>
      <w:r>
        <w:t>о</w:t>
      </w:r>
      <w:r>
        <w:t>ворят о том, что количество отцов, пользующихся родительскими льготами в течение первого года жизни ребенка, увеличилось.</w:t>
      </w:r>
    </w:p>
    <w:p w:rsidR="00000000" w:rsidRDefault="00000000">
      <w:pPr>
        <w:tabs>
          <w:tab w:val="left" w:pos="475"/>
          <w:tab w:val="left" w:pos="965"/>
          <w:tab w:val="left" w:pos="1440"/>
          <w:tab w:val="left" w:pos="1915"/>
          <w:tab w:val="left" w:pos="2405"/>
          <w:tab w:val="left" w:pos="2880"/>
          <w:tab w:val="left" w:pos="3355"/>
          <w:tab w:val="left" w:pos="3845"/>
        </w:tabs>
        <w:jc w:val="both"/>
      </w:pPr>
      <w:r>
        <w:tab/>
        <w:t>Доля отцов, пользующихся отпуском по уходу за ребенком, становится тем выше, чем выше обр</w:t>
      </w:r>
      <w:r>
        <w:t>а</w:t>
      </w:r>
      <w:r>
        <w:t xml:space="preserve">зование и матери, и отца. Наметилась тенденция к тому, что те, кто пользуется отпуском по уходу за ребенком, берут на это все большее количество дней, но, с точки зрения равенства полов, прогресс идет медленно. В 1996 году доля родительских льгот, которыми пользовались женщины, составляла 89 процентов, в то время как доля мужчин — 11 процентов. Соответствующие цифры за 1999 год составляли, соответственно, 88 и 12 процентов. </w:t>
      </w:r>
      <w:r>
        <w:rPr>
          <w:i/>
        </w:rPr>
        <w:t>Временная</w:t>
      </w:r>
      <w:r>
        <w:t xml:space="preserve"> родительская льгота, то есть домашний уход за больным ребенком со стороны мужчин и женщин в те же годы составляла, соответственно, 69 и 31 процент и 66 и 34 процента. Таким образом очевидно, что мужчины больше склонны польз</w:t>
      </w:r>
      <w:r>
        <w:t>о</w:t>
      </w:r>
      <w:r>
        <w:t>ваться временным отпуском по уходу за ребенком, чем очередным родительским отпуском.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jc w:val="both"/>
        <w:rPr>
          <w:b/>
        </w:rPr>
      </w:pPr>
      <w:r>
        <w:rPr>
          <w:b/>
        </w:rPr>
        <w:tab/>
        <w:t>Мужчины и равенство полов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Правительство приступило к осуществлению двухгодичного проекта, посвященного работе с мужчинами и по вопросу равенства полов. С прое</w:t>
      </w:r>
      <w:r>
        <w:t>к</w:t>
      </w:r>
      <w:r>
        <w:t>том работает ответственная группа экспертов. Цель проекта заключается в том, чтобы шире ознак</w:t>
      </w:r>
      <w:r>
        <w:t>о</w:t>
      </w:r>
      <w:r>
        <w:t>миться с теми проблемами, которые существуют в этой области, и более глубоко изучить вопрос о том, какие дальнейшие меры необходимо принять для того, чтобы больше мужчин вовлечь в работу над проблемой равенства полов. Завершение проекта намечено на июнь 2001 г</w:t>
      </w:r>
      <w:r>
        <w:t>о</w:t>
      </w:r>
      <w:r>
        <w:t>да.</w:t>
      </w:r>
    </w:p>
    <w:p w:rsidR="00000000" w:rsidRDefault="00000000">
      <w:pPr>
        <w:tabs>
          <w:tab w:val="left" w:pos="475"/>
          <w:tab w:val="left" w:pos="965"/>
          <w:tab w:val="left" w:pos="1440"/>
          <w:tab w:val="left" w:pos="1915"/>
          <w:tab w:val="left" w:pos="2405"/>
          <w:tab w:val="left" w:pos="2880"/>
          <w:tab w:val="left" w:pos="3355"/>
          <w:tab w:val="left" w:pos="3845"/>
        </w:tabs>
        <w:jc w:val="both"/>
      </w:pPr>
      <w:r>
        <w:tab/>
        <w:t>Правительство предоставило финансовую поддержку ряду проектов, направленных на то, чт</w:t>
      </w:r>
      <w:r>
        <w:t>о</w:t>
      </w:r>
      <w:r>
        <w:t>бы содействовать использованию мужчинами род</w:t>
      </w:r>
      <w:r>
        <w:t>и</w:t>
      </w:r>
      <w:r>
        <w:t>тельского отпуска, чтобы больше мужчин заним</w:t>
      </w:r>
      <w:r>
        <w:t>а</w:t>
      </w:r>
      <w:r>
        <w:t>лись обеспечением ребенка и работали в школах, и чтобы поддерживать мужчин, участвующих в раб</w:t>
      </w:r>
      <w:r>
        <w:t>о</w:t>
      </w:r>
      <w:r>
        <w:t>те по противодействию насилию в отношении же</w:t>
      </w:r>
      <w:r>
        <w:t>н</w:t>
      </w:r>
      <w:r>
        <w:t>щин.</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rPr>
          <w:b/>
          <w:sz w:val="24"/>
        </w:rPr>
      </w:pPr>
      <w:r>
        <w:rPr>
          <w:b/>
          <w:sz w:val="24"/>
        </w:rPr>
        <w:tab/>
        <w:t>Статья 6</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данной статье, как и в предыдущих докладах Швеции, рассматриваются вопросы, касающиеся насилия в отношении женщин.</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За последнее десятилетие значительно возро</w:t>
      </w:r>
      <w:r>
        <w:t>с</w:t>
      </w:r>
      <w:r>
        <w:t>ло количество зарегистрированных случаев оскор</w:t>
      </w:r>
      <w:r>
        <w:t>б</w:t>
      </w:r>
      <w:r>
        <w:t>ления и различных форм сексуальных правонар</w:t>
      </w:r>
      <w:r>
        <w:t>у</w:t>
      </w:r>
      <w:r>
        <w:t>шений. Зачастую эти правонарушения совершаются мужчиной, который имеет тесные взаимоотношения с женщинами, которые подверглись нападению.</w:t>
      </w:r>
    </w:p>
    <w:p w:rsidR="00000000" w:rsidRDefault="00000000">
      <w:pPr>
        <w:tabs>
          <w:tab w:val="left" w:pos="475"/>
          <w:tab w:val="left" w:pos="965"/>
          <w:tab w:val="left" w:pos="1440"/>
          <w:tab w:val="left" w:pos="1915"/>
          <w:tab w:val="left" w:pos="2405"/>
          <w:tab w:val="left" w:pos="2880"/>
          <w:tab w:val="left" w:pos="3355"/>
          <w:tab w:val="left" w:pos="3845"/>
        </w:tabs>
        <w:jc w:val="both"/>
      </w:pPr>
      <w:r>
        <w:tab/>
        <w:t>По статистике зарегистрированных престу</w:t>
      </w:r>
      <w:r>
        <w:t>п</w:t>
      </w:r>
      <w:r>
        <w:t>лений, в 1999 году около 20 тысяч женщин подве</w:t>
      </w:r>
      <w:r>
        <w:t>р</w:t>
      </w:r>
      <w:r>
        <w:t>гались оскорблениям, причем в 60 процентах сл</w:t>
      </w:r>
      <w:r>
        <w:t>у</w:t>
      </w:r>
      <w:r>
        <w:t>чаев со стороны лица, с которым они имеют или имели тесные взаимоотношения. При этом есть очень большое число случаев оскорбления, о кот</w:t>
      </w:r>
      <w:r>
        <w:t>о</w:t>
      </w:r>
      <w:r>
        <w:t>рых властям так и не сообщалось.</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uppressAutoHyphens/>
        <w:ind w:left="475" w:hanging="475"/>
        <w:rPr>
          <w:b/>
        </w:rPr>
      </w:pPr>
      <w:r>
        <w:rPr>
          <w:b/>
        </w:rPr>
        <w:tab/>
        <w:t>Правительственный законопроект о насилии в о</w:t>
      </w:r>
      <w:r>
        <w:rPr>
          <w:b/>
        </w:rPr>
        <w:t>т</w:t>
      </w:r>
      <w:r>
        <w:rPr>
          <w:b/>
        </w:rPr>
        <w:t>ношении женщин</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1998 году правительство представило зак</w:t>
      </w:r>
      <w:r>
        <w:t>о</w:t>
      </w:r>
      <w:r>
        <w:t>нопроект о насилии в отношении женщин (прав</w:t>
      </w:r>
      <w:r>
        <w:t>и</w:t>
      </w:r>
      <w:r>
        <w:t>тельственный законопроект 1997/98:55). В том же году данный законопроект был принят риксдагом. Этот законопроект является прямым результатом работы Комиссии по расследованию фактов прост</w:t>
      </w:r>
      <w:r>
        <w:t>и</w:t>
      </w:r>
      <w:r>
        <w:t>туции и Комиссии по вопросам насилия в отнош</w:t>
      </w:r>
      <w:r>
        <w:t>е</w:t>
      </w:r>
      <w:r>
        <w:t>нии женщин. В законопроекте поставлен целый ряд вопросов и имеются три основных отправных пун</w:t>
      </w:r>
      <w:r>
        <w:t>к</w:t>
      </w:r>
      <w:r>
        <w:t>та: улучшение действующего законодательства, принятие дополнительных профилактических мер и более мягкое, чем раньше, обращение с женщин</w:t>
      </w:r>
      <w:r>
        <w:t>а</w:t>
      </w:r>
      <w:r>
        <w:t>ми, подвергнувшимися насилию. В целом прав</w:t>
      </w:r>
      <w:r>
        <w:t>и</w:t>
      </w:r>
      <w:r>
        <w:t>тельство выделило в 1998 году 41 млн. шведских крон для принятия и осуществления мер и закон</w:t>
      </w:r>
      <w:r>
        <w:t>о</w:t>
      </w:r>
      <w:r>
        <w:t>дательных поправок.</w:t>
      </w:r>
    </w:p>
    <w:p w:rsidR="00000000" w:rsidRDefault="00000000">
      <w:pPr>
        <w:tabs>
          <w:tab w:val="left" w:pos="475"/>
          <w:tab w:val="left" w:pos="965"/>
          <w:tab w:val="left" w:pos="1440"/>
          <w:tab w:val="left" w:pos="1915"/>
          <w:tab w:val="left" w:pos="2405"/>
          <w:tab w:val="left" w:pos="2880"/>
          <w:tab w:val="left" w:pos="3355"/>
          <w:tab w:val="left" w:pos="3845"/>
        </w:tabs>
        <w:jc w:val="both"/>
      </w:pPr>
      <w:r>
        <w:tab/>
        <w:t>Законодательные изменения, предложенные в законопроекте, вступили в силу 1 июля 1998 года. Запрет на покупку сексуальных услуг вступил в с</w:t>
      </w:r>
      <w:r>
        <w:t>и</w:t>
      </w:r>
      <w:r>
        <w:t>лу 1 января 1999 года. Ниже дается краткое излож</w:t>
      </w:r>
      <w:r>
        <w:t>е</w:t>
      </w:r>
      <w:r>
        <w:t>ние законопроекта о законодательных и других м</w:t>
      </w:r>
      <w:r>
        <w:t>е</w:t>
      </w:r>
      <w:r>
        <w:t>рах противодействия насилию в отношении же</w:t>
      </w:r>
      <w:r>
        <w:t>н</w:t>
      </w:r>
      <w:r>
        <w:t>щин.</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rPr>
          <w:b/>
        </w:rPr>
      </w:pPr>
      <w:r>
        <w:rPr>
          <w:b/>
        </w:rPr>
        <w:tab/>
        <w:t>Законодательство</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0"/>
          <w:numId w:val="20"/>
        </w:numPr>
        <w:tabs>
          <w:tab w:val="clear" w:pos="720"/>
          <w:tab w:val="num" w:pos="450"/>
          <w:tab w:val="left" w:pos="965"/>
          <w:tab w:val="left" w:pos="1440"/>
          <w:tab w:val="left" w:pos="1915"/>
          <w:tab w:val="left" w:pos="2405"/>
          <w:tab w:val="left" w:pos="2880"/>
          <w:tab w:val="left" w:pos="3355"/>
          <w:tab w:val="left" w:pos="3845"/>
        </w:tabs>
        <w:spacing w:after="120"/>
        <w:ind w:left="450" w:hanging="450"/>
        <w:jc w:val="both"/>
      </w:pPr>
      <w:r>
        <w:t>В Уголовный кодекс было включено определ</w:t>
      </w:r>
      <w:r>
        <w:t>е</w:t>
      </w:r>
      <w:r>
        <w:t>ние нового правонарушения — грубого нар</w:t>
      </w:r>
      <w:r>
        <w:t>у</w:t>
      </w:r>
      <w:r>
        <w:t>шения неприкосновенности личности женщ</w:t>
      </w:r>
      <w:r>
        <w:t>и</w:t>
      </w:r>
      <w:r>
        <w:t>ны. Оно подразумевает повторяющиеся, уг</w:t>
      </w:r>
      <w:r>
        <w:t>о</w:t>
      </w:r>
      <w:r>
        <w:t>ловно наказуемые действия мужчин в отнош</w:t>
      </w:r>
      <w:r>
        <w:t>е</w:t>
      </w:r>
      <w:r>
        <w:t>нии женщин, которые состоят или состояли в близких отношениях с правонарушителями. Грубое нарушение неприкосновенности личн</w:t>
      </w:r>
      <w:r>
        <w:t>о</w:t>
      </w:r>
      <w:r>
        <w:t>сти женщины означает, что в случае соверш</w:t>
      </w:r>
      <w:r>
        <w:t>е</w:t>
      </w:r>
      <w:r>
        <w:t>ния мужчиной определенных преступных де</w:t>
      </w:r>
      <w:r>
        <w:t>й</w:t>
      </w:r>
      <w:r>
        <w:t>ствий (нападение, противоправные угрозы или принуждение, сексуальное или иное домог</w:t>
      </w:r>
      <w:r>
        <w:t>а</w:t>
      </w:r>
      <w:r>
        <w:t>тельство, сексуальная эксплуатация и т. д.) в отношении женщины, с которой он состоит или состоял в браке или с которой он сож</w:t>
      </w:r>
      <w:r>
        <w:t>и</w:t>
      </w:r>
      <w:r>
        <w:t>тельствует или сожительствовал, он несет н</w:t>
      </w:r>
      <w:r>
        <w:t>а</w:t>
      </w:r>
      <w:r>
        <w:t>казание за грубое нарушение неприкоснове</w:t>
      </w:r>
      <w:r>
        <w:t>н</w:t>
      </w:r>
      <w:r>
        <w:t>ности личности женщины, а не за каждое о</w:t>
      </w:r>
      <w:r>
        <w:t>т</w:t>
      </w:r>
      <w:r>
        <w:t>дельное правонарушение, совершенное им. Наказание за этот новый вид преступления н</w:t>
      </w:r>
      <w:r>
        <w:t>а</w:t>
      </w:r>
      <w:r>
        <w:t>значается в том случае, если эти действия св</w:t>
      </w:r>
      <w:r>
        <w:t>я</w:t>
      </w:r>
      <w:r>
        <w:t>заны с неоднократным нарушением неприко</w:t>
      </w:r>
      <w:r>
        <w:t>с</w:t>
      </w:r>
      <w:r>
        <w:t>новенности личности женщины и были сове</w:t>
      </w:r>
      <w:r>
        <w:t>р</w:t>
      </w:r>
      <w:r>
        <w:t>шены с намерением нанести серьезный ущерб ее чувству собственного достоинства. Благод</w:t>
      </w:r>
      <w:r>
        <w:t>а</w:t>
      </w:r>
      <w:r>
        <w:t>ря введению в оборот определения этого нов</w:t>
      </w:r>
      <w:r>
        <w:t>о</w:t>
      </w:r>
      <w:r>
        <w:t>го преступления у судов появляется возмо</w:t>
      </w:r>
      <w:r>
        <w:t>ж</w:t>
      </w:r>
      <w:r>
        <w:t>ность назначать более тяжкие наказания за эти преступления в тех случаях, когда они являю</w:t>
      </w:r>
      <w:r>
        <w:t>т</w:t>
      </w:r>
      <w:r>
        <w:t>ся элементами процесса, составляющего н</w:t>
      </w:r>
      <w:r>
        <w:t>а</w:t>
      </w:r>
      <w:r>
        <w:t>рушение неприкосновенности личности, с чем часто связано насилие в семье. Таким образом, это также позволит учитывать в целом пол</w:t>
      </w:r>
      <w:r>
        <w:t>о</w:t>
      </w:r>
      <w:r>
        <w:t>жение женщины, подвергшейся насилию. Н</w:t>
      </w:r>
      <w:r>
        <w:t>а</w:t>
      </w:r>
      <w:r>
        <w:t>казание предусматривает лишение свободы на срок не менее шести месяцев и не более шести лет. Это новое преступление не исключает возможности одновременного наказания пр</w:t>
      </w:r>
      <w:r>
        <w:t>а</w:t>
      </w:r>
      <w:r>
        <w:t>вонарушителя, например, за нападение при отягчающих обстоятельствах или изнасилов</w:t>
      </w:r>
      <w:r>
        <w:t>а</w:t>
      </w:r>
      <w:r>
        <w:t>ние. С момента вступления в силу нового п</w:t>
      </w:r>
      <w:r>
        <w:t>о</w:t>
      </w:r>
      <w:r>
        <w:t>ложения на его основе было вынесено н</w:t>
      </w:r>
      <w:r>
        <w:t>е</w:t>
      </w:r>
      <w:r>
        <w:t>сколько судебных решений. В период с 1 июля 1998 года по 31 декабря 1999 года обвинение в совершении этого преступления было пред</w:t>
      </w:r>
      <w:r>
        <w:t>ъ</w:t>
      </w:r>
      <w:r>
        <w:t>явлено 120 мужчинам. 70 из них были осужд</w:t>
      </w:r>
      <w:r>
        <w:t>е</w:t>
      </w:r>
      <w:r>
        <w:t>ны за грубое нарушение неприкосновенности личности женщины, а остальные — за другие преступления, такие как нападение и против</w:t>
      </w:r>
      <w:r>
        <w:t>о</w:t>
      </w:r>
      <w:r>
        <w:t>правные угрозы.</w:t>
      </w:r>
    </w:p>
    <w:p w:rsidR="00000000" w:rsidRDefault="00000000">
      <w:pPr>
        <w:numPr>
          <w:ilvl w:val="0"/>
          <w:numId w:val="21"/>
        </w:numPr>
        <w:tabs>
          <w:tab w:val="left" w:pos="450"/>
          <w:tab w:val="left" w:pos="965"/>
          <w:tab w:val="left" w:pos="1440"/>
          <w:tab w:val="left" w:pos="1915"/>
          <w:tab w:val="left" w:pos="2405"/>
          <w:tab w:val="left" w:pos="2880"/>
          <w:tab w:val="left" w:pos="3355"/>
          <w:tab w:val="left" w:pos="3845"/>
        </w:tabs>
        <w:spacing w:after="120"/>
        <w:ind w:left="450" w:hanging="450"/>
        <w:jc w:val="both"/>
      </w:pPr>
      <w:r>
        <w:t>Определение изнасилования было расширено таким образом, чтобы квалифицировать прочие случаи, связанные с совершением полового а</w:t>
      </w:r>
      <w:r>
        <w:t>к</w:t>
      </w:r>
      <w:r>
        <w:t>та, в качестве полового сношения, если, с уч</w:t>
      </w:r>
      <w:r>
        <w:t>е</w:t>
      </w:r>
      <w:r>
        <w:t>том характера правонарушения и других о</w:t>
      </w:r>
      <w:r>
        <w:t>б</w:t>
      </w:r>
      <w:r>
        <w:t>стоятельств, рассматриваемое действие можно квалифицировать как половые сношения с применением насилия. Это означает, что нек</w:t>
      </w:r>
      <w:r>
        <w:t>о</w:t>
      </w:r>
      <w:r>
        <w:t>торые действия, которые в соответствии с р</w:t>
      </w:r>
      <w:r>
        <w:t>а</w:t>
      </w:r>
      <w:r>
        <w:t>нее действовавшим законодательством квал</w:t>
      </w:r>
      <w:r>
        <w:t>и</w:t>
      </w:r>
      <w:r>
        <w:t>фицировались в качестве принуждения к вст</w:t>
      </w:r>
      <w:r>
        <w:t>у</w:t>
      </w:r>
      <w:r>
        <w:t>плению в половую связь с применением грубой физической силы, теперь будут квалифицир</w:t>
      </w:r>
      <w:r>
        <w:t>о</w:t>
      </w:r>
      <w:r>
        <w:t>ваться как изнасилование.</w:t>
      </w:r>
    </w:p>
    <w:p w:rsidR="00000000" w:rsidRDefault="00000000">
      <w:pPr>
        <w:numPr>
          <w:ilvl w:val="0"/>
          <w:numId w:val="22"/>
        </w:numPr>
        <w:tabs>
          <w:tab w:val="left" w:pos="475"/>
          <w:tab w:val="left" w:pos="965"/>
          <w:tab w:val="left" w:pos="1440"/>
          <w:tab w:val="left" w:pos="1915"/>
          <w:tab w:val="left" w:pos="2405"/>
          <w:tab w:val="left" w:pos="2880"/>
          <w:tab w:val="left" w:pos="3355"/>
          <w:tab w:val="left" w:pos="3845"/>
        </w:tabs>
        <w:spacing w:after="120"/>
        <w:ind w:left="475" w:hanging="475"/>
        <w:jc w:val="both"/>
      </w:pPr>
      <w:r>
        <w:t>Недонесение о случаях совершения тяжких половых преступлений (изнасилование, изн</w:t>
      </w:r>
      <w:r>
        <w:t>а</w:t>
      </w:r>
      <w:r>
        <w:t>силование при отягчающих обстоятельствах, а также сексуальная эксплуатация несоверше</w:t>
      </w:r>
      <w:r>
        <w:t>н</w:t>
      </w:r>
      <w:r>
        <w:t>нолетнего при отягчающих обстоятельствах или домогательство с применением угроз) или другие формы их сокрытия внесены в катег</w:t>
      </w:r>
      <w:r>
        <w:t>о</w:t>
      </w:r>
      <w:r>
        <w:t>рию уголовно наказуемых прест</w:t>
      </w:r>
      <w:r>
        <w:t>у</w:t>
      </w:r>
      <w:r>
        <w:t>плений.</w:t>
      </w:r>
    </w:p>
    <w:p w:rsidR="00000000" w:rsidRDefault="00000000">
      <w:pPr>
        <w:numPr>
          <w:ilvl w:val="0"/>
          <w:numId w:val="23"/>
        </w:numPr>
        <w:tabs>
          <w:tab w:val="left" w:pos="475"/>
          <w:tab w:val="left" w:pos="965"/>
          <w:tab w:val="left" w:pos="1440"/>
          <w:tab w:val="left" w:pos="1915"/>
          <w:tab w:val="left" w:pos="2405"/>
          <w:tab w:val="left" w:pos="2880"/>
          <w:tab w:val="left" w:pos="3355"/>
          <w:tab w:val="left" w:pos="3845"/>
        </w:tabs>
        <w:spacing w:after="120"/>
        <w:ind w:left="475" w:hanging="475"/>
        <w:jc w:val="both"/>
      </w:pPr>
      <w:r>
        <w:t>Новый закон запрещает получение сексуал</w:t>
      </w:r>
      <w:r>
        <w:t>ь</w:t>
      </w:r>
      <w:r>
        <w:t>ных услуг за плату. Это вызвало значительный интерес за рубежом, так как закон запрещает покупку сексуальных услуг и наказывает п</w:t>
      </w:r>
      <w:r>
        <w:t>о</w:t>
      </w:r>
      <w:r>
        <w:t>купателя, а не продавца. За данное преступл</w:t>
      </w:r>
      <w:r>
        <w:t>е</w:t>
      </w:r>
      <w:r>
        <w:t>ние назначается наказание в виде штрафа или лишения свободы на срок до шести месяцев. Покушение на совершение этого преступления также подлежит наказанию. Это преступление включает все виды сексуальных услуг, незав</w:t>
      </w:r>
      <w:r>
        <w:t>и</w:t>
      </w:r>
      <w:r>
        <w:t>симо от того, приобретаются ли они на улице, в публичных домах, в так называемых "ма</w:t>
      </w:r>
      <w:r>
        <w:t>с</w:t>
      </w:r>
      <w:r>
        <w:t>сажных салонах" и т. д. По мнению правител</w:t>
      </w:r>
      <w:r>
        <w:t>ь</w:t>
      </w:r>
      <w:r>
        <w:t>ства, нецелесообразно наказывать лицо, зан</w:t>
      </w:r>
      <w:r>
        <w:t>и</w:t>
      </w:r>
      <w:r>
        <w:t>мающееся продажей сексуальных услуг. В большинстве случаев это лицо является более слабой стороной, подвергающейся эксплуат</w:t>
      </w:r>
      <w:r>
        <w:t>а</w:t>
      </w:r>
      <w:r>
        <w:t>ции со стороны тех, кто стремится лишь к удовлетворению своих сексуальных желаний. Также важно побудить проституток обращат</w:t>
      </w:r>
      <w:r>
        <w:t>ь</w:t>
      </w:r>
      <w:r>
        <w:t>ся за помощью в том случае, если они хотят изменить свой образ жизни. Они не должны подвергаться риску понести наказание за зан</w:t>
      </w:r>
      <w:r>
        <w:t>я</w:t>
      </w:r>
      <w:r>
        <w:t>тие проституцией. По мнению правительства Швеции, запрет на покупку сексуальных услуг позволит более эффективно, чем до сих пор, бороться с проституцией и ее пагубными п</w:t>
      </w:r>
      <w:r>
        <w:t>о</w:t>
      </w:r>
      <w:r>
        <w:t>следствиями. Правительство, однако, убежд</w:t>
      </w:r>
      <w:r>
        <w:t>е</w:t>
      </w:r>
      <w:r>
        <w:t>но в том, что запрет лишь дополняет усилия, направленные на сокращение масштабов пр</w:t>
      </w:r>
      <w:r>
        <w:t>о</w:t>
      </w:r>
      <w:r>
        <w:t>ституции, и он не может подменить более масштабных мер со стороны общества. Запрет на покупку сексуальных услуг вступил в силу 1 января 1999 года. По данным обзора, пров</w:t>
      </w:r>
      <w:r>
        <w:t>е</w:t>
      </w:r>
      <w:r>
        <w:t>денного Национальным советом по здрав</w:t>
      </w:r>
      <w:r>
        <w:t>о</w:t>
      </w:r>
      <w:r>
        <w:t>охранению и социальному обеспечению, с вступлением в силу нового запрета сократ</w:t>
      </w:r>
      <w:r>
        <w:t>и</w:t>
      </w:r>
      <w:r>
        <w:t>лись масштабы уличной проституции, но о</w:t>
      </w:r>
      <w:r>
        <w:t>д</w:t>
      </w:r>
      <w:r>
        <w:t>новременно выросли масштабы скрытой пр</w:t>
      </w:r>
      <w:r>
        <w:t>о</w:t>
      </w:r>
      <w:r>
        <w:t xml:space="preserve">ституции. В связи с этим </w:t>
      </w:r>
      <w:r>
        <w:rPr>
          <w:color w:val="000000"/>
        </w:rPr>
        <w:t>Национальному п</w:t>
      </w:r>
      <w:r>
        <w:rPr>
          <w:color w:val="000000"/>
        </w:rPr>
        <w:t>о</w:t>
      </w:r>
      <w:r>
        <w:rPr>
          <w:color w:val="000000"/>
        </w:rPr>
        <w:t>лицейскому управлению были выделены д</w:t>
      </w:r>
      <w:r>
        <w:rPr>
          <w:color w:val="000000"/>
        </w:rPr>
        <w:t>о</w:t>
      </w:r>
      <w:r>
        <w:rPr>
          <w:color w:val="000000"/>
        </w:rPr>
        <w:t>полнительные средства.</w:t>
      </w:r>
    </w:p>
    <w:p w:rsidR="00000000" w:rsidRDefault="00000000">
      <w:pPr>
        <w:numPr>
          <w:ilvl w:val="0"/>
          <w:numId w:val="33"/>
        </w:numPr>
        <w:tabs>
          <w:tab w:val="left" w:pos="475"/>
          <w:tab w:val="left" w:pos="965"/>
          <w:tab w:val="left" w:pos="1440"/>
          <w:tab w:val="left" w:pos="1915"/>
          <w:tab w:val="left" w:pos="2405"/>
          <w:tab w:val="left" w:pos="2880"/>
          <w:tab w:val="left" w:pos="3355"/>
          <w:tab w:val="left" w:pos="3845"/>
        </w:tabs>
        <w:spacing w:after="120"/>
        <w:ind w:left="475" w:hanging="475"/>
        <w:jc w:val="both"/>
      </w:pPr>
      <w:r>
        <w:t>Понятие "циркумцизия" заменено в законод</w:t>
      </w:r>
      <w:r>
        <w:t>а</w:t>
      </w:r>
      <w:r>
        <w:t>тельстве на "нанесение увечий половым орг</w:t>
      </w:r>
      <w:r>
        <w:t>а</w:t>
      </w:r>
      <w:r>
        <w:t>нам", для того чтобы подчеркнуть тяжкий х</w:t>
      </w:r>
      <w:r>
        <w:t>а</w:t>
      </w:r>
      <w:r>
        <w:t>рактер этого преступления. По этой же прич</w:t>
      </w:r>
      <w:r>
        <w:t>и</w:t>
      </w:r>
      <w:r>
        <w:t>не из шкалы наказаний исключены штрафы. Наказания были ужесточены. Максимальный срок лишения свободы за обычную форму эт</w:t>
      </w:r>
      <w:r>
        <w:t>о</w:t>
      </w:r>
      <w:r>
        <w:t>го преступления был увеличен с двух лет до четырех. Минимальное наказание за тяжкие формы этого преступления изменено с одного на два года лишения свободы. Подготовка пр</w:t>
      </w:r>
      <w:r>
        <w:t>е</w:t>
      </w:r>
      <w:r>
        <w:t>ступления, сговор с целью его совершения, а также недонесение о случаях нанесения ув</w:t>
      </w:r>
      <w:r>
        <w:t>е</w:t>
      </w:r>
      <w:r>
        <w:t>чий женским половым органам или их сокр</w:t>
      </w:r>
      <w:r>
        <w:t>ы</w:t>
      </w:r>
      <w:r>
        <w:t>тие также являются уголовно наказуемыми правонарушениями. Кроме того, уголовная о</w:t>
      </w:r>
      <w:r>
        <w:t>т</w:t>
      </w:r>
      <w:r>
        <w:t>ветственность распространена в том числе и на лицо, нанесшее увечья женским половым органам на территории другой страны, даже если в той стране такая практика не запрещ</w:t>
      </w:r>
      <w:r>
        <w:t>е</w:t>
      </w:r>
      <w:r>
        <w:t>на.</w:t>
      </w:r>
    </w:p>
    <w:p w:rsidR="00000000" w:rsidRDefault="00000000">
      <w:pPr>
        <w:numPr>
          <w:ilvl w:val="0"/>
          <w:numId w:val="34"/>
        </w:numPr>
        <w:tabs>
          <w:tab w:val="left" w:pos="475"/>
          <w:tab w:val="left" w:pos="965"/>
          <w:tab w:val="left" w:pos="1440"/>
          <w:tab w:val="left" w:pos="1915"/>
          <w:tab w:val="left" w:pos="2405"/>
          <w:tab w:val="left" w:pos="2880"/>
          <w:tab w:val="left" w:pos="3355"/>
          <w:tab w:val="left" w:pos="3845"/>
        </w:tabs>
        <w:spacing w:after="120"/>
        <w:ind w:left="475" w:hanging="475"/>
        <w:jc w:val="both"/>
      </w:pPr>
      <w:r>
        <w:t>В законодательство в области социального обеспечения было внесено дополнительное положение, обязывающее органы социального обеспечения на местах оказывать помощь и поддержку женщинам, подвергающимся или подвергшимся насилию или другим видам жестокого обращения у себя дома. В этом п</w:t>
      </w:r>
      <w:r>
        <w:t>о</w:t>
      </w:r>
      <w:r>
        <w:t>ложении ясно предусмотрена ответственность этих органов социального обеспечения. В с</w:t>
      </w:r>
      <w:r>
        <w:t>о</w:t>
      </w:r>
      <w:r>
        <w:t>ответствии с этим положением, необходимо и далее расширять полномочия органов соц</w:t>
      </w:r>
      <w:r>
        <w:t>и</w:t>
      </w:r>
      <w:r>
        <w:t>ального обеспечения в том, что касается ко</w:t>
      </w:r>
      <w:r>
        <w:t>н</w:t>
      </w:r>
      <w:r>
        <w:t>сультирования женщин, подвергшихся нас</w:t>
      </w:r>
      <w:r>
        <w:t>и</w:t>
      </w:r>
      <w:r>
        <w:t>лию, а также поощрять их к оказанию таких услуг по первому требованию.</w:t>
      </w:r>
    </w:p>
    <w:p w:rsidR="00000000" w:rsidRDefault="00000000">
      <w:pPr>
        <w:numPr>
          <w:ilvl w:val="0"/>
          <w:numId w:val="36"/>
        </w:numPr>
        <w:tabs>
          <w:tab w:val="left" w:pos="475"/>
          <w:tab w:val="left" w:pos="965"/>
          <w:tab w:val="left" w:pos="1440"/>
          <w:tab w:val="left" w:pos="1915"/>
          <w:tab w:val="left" w:pos="2405"/>
          <w:tab w:val="left" w:pos="2880"/>
          <w:tab w:val="left" w:pos="3355"/>
          <w:tab w:val="left" w:pos="3845"/>
        </w:tabs>
        <w:spacing w:after="120"/>
        <w:ind w:left="475" w:hanging="475"/>
        <w:jc w:val="both"/>
      </w:pPr>
      <w:r>
        <w:t>В Уголовный кодекс были внесены нейтрал</w:t>
      </w:r>
      <w:r>
        <w:t>ь</w:t>
      </w:r>
      <w:r>
        <w:t>ные в гендерном отношении формулировки. Уголовный кодекс и далее будет подвергаться лингвистическ</w:t>
      </w:r>
      <w:r>
        <w:t>о</w:t>
      </w:r>
      <w:r>
        <w:t>му анализу.</w:t>
      </w:r>
    </w:p>
    <w:p w:rsidR="00000000" w:rsidRDefault="00000000">
      <w:pPr>
        <w:numPr>
          <w:ilvl w:val="0"/>
          <w:numId w:val="37"/>
        </w:numPr>
        <w:tabs>
          <w:tab w:val="left" w:pos="475"/>
          <w:tab w:val="left" w:pos="965"/>
          <w:tab w:val="left" w:pos="1440"/>
          <w:tab w:val="left" w:pos="1915"/>
          <w:tab w:val="left" w:pos="2405"/>
          <w:tab w:val="left" w:pos="2880"/>
          <w:tab w:val="left" w:pos="3355"/>
          <w:tab w:val="left" w:pos="3845"/>
        </w:tabs>
        <w:spacing w:after="120"/>
        <w:ind w:left="475" w:hanging="475"/>
        <w:jc w:val="both"/>
      </w:pPr>
      <w:r>
        <w:t>Были ужесточены нормы в отношении секс</w:t>
      </w:r>
      <w:r>
        <w:t>у</w:t>
      </w:r>
      <w:r>
        <w:t>ального домогательства, предусмотренные в Законе о равных возможностях. Дополнител</w:t>
      </w:r>
      <w:r>
        <w:t>ь</w:t>
      </w:r>
      <w:r>
        <w:t>ные детали содержатся в подпункте (b) статьи 2 настоящего до</w:t>
      </w:r>
      <w:r>
        <w:t>к</w:t>
      </w:r>
      <w:r>
        <w:t>лада.</w:t>
      </w:r>
    </w:p>
    <w:p w:rsidR="00000000" w:rsidRDefault="00000000">
      <w:pPr>
        <w:numPr>
          <w:ilvl w:val="0"/>
          <w:numId w:val="38"/>
        </w:numPr>
        <w:tabs>
          <w:tab w:val="left" w:pos="475"/>
          <w:tab w:val="left" w:pos="965"/>
          <w:tab w:val="left" w:pos="1440"/>
          <w:tab w:val="left" w:pos="1915"/>
          <w:tab w:val="left" w:pos="2405"/>
          <w:tab w:val="left" w:pos="2880"/>
          <w:tab w:val="left" w:pos="3355"/>
          <w:tab w:val="left" w:pos="3845"/>
        </w:tabs>
        <w:ind w:left="475" w:hanging="475"/>
        <w:jc w:val="both"/>
      </w:pPr>
      <w:r>
        <w:t>В июне 1998 года был учрежден Парламен</w:t>
      </w:r>
      <w:r>
        <w:t>т</w:t>
      </w:r>
      <w:r>
        <w:t>ский юридический комитет по сексуальным преступлениям, который должен пересмотреть положения Уголовного кодекса, касающиеся сексуальных преступлений, и рассмотреть в</w:t>
      </w:r>
      <w:r>
        <w:t>о</w:t>
      </w:r>
      <w:r>
        <w:t>прос о необходимости ужесточения законод</w:t>
      </w:r>
      <w:r>
        <w:t>а</w:t>
      </w:r>
      <w:r>
        <w:t>тельства в ряде аспектов. Комитет рассмотрит вопрос о том, какую роль в составе такого преступления, как изнасилование, должен и</w:t>
      </w:r>
      <w:r>
        <w:t>г</w:t>
      </w:r>
      <w:r>
        <w:t>рать фактор согласия, а не насилия. Кроме т</w:t>
      </w:r>
      <w:r>
        <w:t>о</w:t>
      </w:r>
      <w:r>
        <w:t>го, необходимо проанализировать судебную практику в определении наказания и обосн</w:t>
      </w:r>
      <w:r>
        <w:t>о</w:t>
      </w:r>
      <w:r>
        <w:t>вания его тяжести в тех случаях, когда речь идет о сексуальных преступлениях. Комитет также рассмотрит вопрос о необходимости введения в оборот конкретного определения такого преступления, как торговля людьми в целях сексуальной эксплуатации, несмотря на то, что другие положения уголовного закон</w:t>
      </w:r>
      <w:r>
        <w:t>о</w:t>
      </w:r>
      <w:r>
        <w:t>дательства уже могут предусматривать уг</w:t>
      </w:r>
      <w:r>
        <w:t>о</w:t>
      </w:r>
      <w:r>
        <w:t>ловную ответственность за такую торговлю. В зависимости от обстоятельств конкретного д</w:t>
      </w:r>
      <w:r>
        <w:t>е</w:t>
      </w:r>
      <w:r>
        <w:t>ла могут применяться положения о, например, похищении с целью выкупа, незаконном л</w:t>
      </w:r>
      <w:r>
        <w:t>и</w:t>
      </w:r>
      <w:r>
        <w:t>шении свободы, жестоком обращении, нез</w:t>
      </w:r>
      <w:r>
        <w:t>а</w:t>
      </w:r>
      <w:r>
        <w:t>конном принуждении, незаконных угрозах и/или домогательстве. И наконец, Комитет рассмотрит вопрос о том, должна ли Швеция отменить существующее в настоящее время требование о двойной подсудности в отнош</w:t>
      </w:r>
      <w:r>
        <w:t>е</w:t>
      </w:r>
      <w:r>
        <w:t>нии юрисдикции, когда речь идет о сексуал</w:t>
      </w:r>
      <w:r>
        <w:t>ь</w:t>
      </w:r>
      <w:r>
        <w:t>ных преступлениях, совершенных за предел</w:t>
      </w:r>
      <w:r>
        <w:t>а</w:t>
      </w:r>
      <w:r>
        <w:t>ми страны против женщин и детей. Не позднее февраля 2001 года Комитет должен предст</w:t>
      </w:r>
      <w:r>
        <w:t>а</w:t>
      </w:r>
      <w:r>
        <w:t>вить прав</w:t>
      </w:r>
      <w:r>
        <w:t>и</w:t>
      </w:r>
      <w:r>
        <w:t>тельству окончательный доклад.</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rPr>
          <w:b/>
        </w:rPr>
      </w:pPr>
      <w:r>
        <w:rPr>
          <w:b/>
        </w:rPr>
        <w:tab/>
        <w:t>Превентивные меры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0"/>
          <w:numId w:val="35"/>
        </w:numPr>
        <w:tabs>
          <w:tab w:val="left" w:pos="475"/>
          <w:tab w:val="left" w:pos="965"/>
          <w:tab w:val="left" w:pos="1440"/>
          <w:tab w:val="left" w:pos="1915"/>
          <w:tab w:val="left" w:pos="2405"/>
          <w:tab w:val="left" w:pos="2880"/>
          <w:tab w:val="left" w:pos="3355"/>
          <w:tab w:val="left" w:pos="3845"/>
        </w:tabs>
        <w:spacing w:after="120"/>
        <w:ind w:left="475" w:hanging="475"/>
        <w:jc w:val="both"/>
      </w:pPr>
      <w:r>
        <w:t>В декабре 1997 года правительство обязало некоторые государственные и администрати</w:t>
      </w:r>
      <w:r>
        <w:t>в</w:t>
      </w:r>
      <w:r>
        <w:t>ные органы приступить к реализации общих задач, связанных с проблемой насилия в отн</w:t>
      </w:r>
      <w:r>
        <w:t>о</w:t>
      </w:r>
      <w:r>
        <w:t>шении женщин. Необходимо четко зафиксир</w:t>
      </w:r>
      <w:r>
        <w:t>о</w:t>
      </w:r>
      <w:r>
        <w:t>вать обязанности государственных органов в том, что касается принятия соответствующих мер для решения проблем, связанных с нас</w:t>
      </w:r>
      <w:r>
        <w:t>и</w:t>
      </w:r>
      <w:r>
        <w:t>лием в отношении женщин. Речь идет о таких государственных и административных орг</w:t>
      </w:r>
      <w:r>
        <w:t>а</w:t>
      </w:r>
      <w:r>
        <w:t>нах, как Генеральная прокуратура и все органы прокуратуры, Национальное полицейское управление и все органы полиции, Национал</w:t>
      </w:r>
      <w:r>
        <w:t>ь</w:t>
      </w:r>
      <w:r>
        <w:t>ный совет по предотвращению преступности, Национальное управление по тюрьмам и по работе с условно осужденными, Управление по реабилитации и оказанию поддержки п</w:t>
      </w:r>
      <w:r>
        <w:t>о</w:t>
      </w:r>
      <w:r>
        <w:t>терпевшим от преступлений, Национальный совет по здравоохранению и социальному обеспечению, советы ленов и, в некоторых случаях, о Национальном судебном управл</w:t>
      </w:r>
      <w:r>
        <w:t>е</w:t>
      </w:r>
      <w:r>
        <w:t>нии. Всем этим органам предписано наращ</w:t>
      </w:r>
      <w:r>
        <w:t>и</w:t>
      </w:r>
      <w:r>
        <w:t>вать усилия в области предотвращения нас</w:t>
      </w:r>
      <w:r>
        <w:t>и</w:t>
      </w:r>
      <w:r>
        <w:t>лия в отношении женщин, подготовить план действий или программный документ по соо</w:t>
      </w:r>
      <w:r>
        <w:t>т</w:t>
      </w:r>
      <w:r>
        <w:t>ветствующей работе, налаживать сотруднич</w:t>
      </w:r>
      <w:r>
        <w:t>е</w:t>
      </w:r>
      <w:r>
        <w:t>ство с другими административными органами и с соответствующими общественными орг</w:t>
      </w:r>
      <w:r>
        <w:t>а</w:t>
      </w:r>
      <w:r>
        <w:t>низациями, отслеживать международные те</w:t>
      </w:r>
      <w:r>
        <w:t>н</w:t>
      </w:r>
      <w:r>
        <w:t>денции, связанные с проблемой насилия в о</w:t>
      </w:r>
      <w:r>
        <w:t>т</w:t>
      </w:r>
      <w:r>
        <w:t>ношении женщин, а также регулярно отчит</w:t>
      </w:r>
      <w:r>
        <w:t>ы</w:t>
      </w:r>
      <w:r>
        <w:t>ваться перед правительством о принятых м</w:t>
      </w:r>
      <w:r>
        <w:t>е</w:t>
      </w:r>
      <w:r>
        <w:t>рах. Весной 2000 года Национальное управл</w:t>
      </w:r>
      <w:r>
        <w:t>е</w:t>
      </w:r>
      <w:r>
        <w:t>ние по здравоохранению и социальному обе</w:t>
      </w:r>
      <w:r>
        <w:t>с</w:t>
      </w:r>
      <w:r>
        <w:t>печению выступило с инициативой, каса</w:t>
      </w:r>
      <w:r>
        <w:t>ю</w:t>
      </w:r>
      <w:r>
        <w:t>щейся укрепления сотрудничества между г</w:t>
      </w:r>
      <w:r>
        <w:t>о</w:t>
      </w:r>
      <w:r>
        <w:t>сударственными органами. Задача состоит в том, чтобы разработать программу действий, предусматривающую принимаемые государс</w:t>
      </w:r>
      <w:r>
        <w:t>т</w:t>
      </w:r>
      <w:r>
        <w:t>венными органами меры в целях эффективного использования ресурсов. Регулярно проводя</w:t>
      </w:r>
      <w:r>
        <w:t>т</w:t>
      </w:r>
      <w:r>
        <w:t>ся совещания с участием представителей ра</w:t>
      </w:r>
      <w:r>
        <w:t>з</w:t>
      </w:r>
      <w:r>
        <w:t>личных гос</w:t>
      </w:r>
      <w:r>
        <w:t>у</w:t>
      </w:r>
      <w:r>
        <w:t>дарственных органов.</w:t>
      </w:r>
    </w:p>
    <w:p w:rsidR="00000000" w:rsidRDefault="00000000">
      <w:pPr>
        <w:numPr>
          <w:ilvl w:val="0"/>
          <w:numId w:val="39"/>
        </w:numPr>
        <w:tabs>
          <w:tab w:val="left" w:pos="475"/>
          <w:tab w:val="left" w:pos="965"/>
          <w:tab w:val="left" w:pos="1440"/>
          <w:tab w:val="left" w:pos="1915"/>
          <w:tab w:val="left" w:pos="2405"/>
          <w:tab w:val="left" w:pos="2880"/>
          <w:tab w:val="left" w:pos="3355"/>
          <w:tab w:val="left" w:pos="3845"/>
        </w:tabs>
        <w:spacing w:after="120"/>
        <w:ind w:left="475" w:hanging="475"/>
        <w:jc w:val="both"/>
      </w:pPr>
      <w:r>
        <w:t>Национальному полицейскому управлению было предписано подготовить перечень мер, предпринятых полицией для решения пробл</w:t>
      </w:r>
      <w:r>
        <w:t>е</w:t>
      </w:r>
      <w:r>
        <w:t>мы насилия в отношении женщин, и довести содержание перечня до сведения правительс</w:t>
      </w:r>
      <w:r>
        <w:t>т</w:t>
      </w:r>
      <w:r>
        <w:t>ва. Перечень также содержит выводы, сдела</w:t>
      </w:r>
      <w:r>
        <w:t>н</w:t>
      </w:r>
      <w:r>
        <w:t>ные после выяснения того, насколько дост</w:t>
      </w:r>
      <w:r>
        <w:t>о</w:t>
      </w:r>
      <w:r>
        <w:t>верной и достаточной является информация, предоставляемая потерпевшим от преступл</w:t>
      </w:r>
      <w:r>
        <w:t>е</w:t>
      </w:r>
      <w:r>
        <w:t>ний. В июне 1999 года был представлен пе</w:t>
      </w:r>
      <w:r>
        <w:t>р</w:t>
      </w:r>
      <w:r>
        <w:t>вый предварительный доклад. По данным о</w:t>
      </w:r>
      <w:r>
        <w:t>б</w:t>
      </w:r>
      <w:r>
        <w:t>зора, во многих районах страны принимаются меры, с тем чтобы изменить общественное мнение и содействовать более чуткому обр</w:t>
      </w:r>
      <w:r>
        <w:t>а</w:t>
      </w:r>
      <w:r>
        <w:t>щению с женщинами, подвергшимися нас</w:t>
      </w:r>
      <w:r>
        <w:t>и</w:t>
      </w:r>
      <w:r>
        <w:t>лию. Эти меры нацелены на то, чтобы сокр</w:t>
      </w:r>
      <w:r>
        <w:t>а</w:t>
      </w:r>
      <w:r>
        <w:t>тить срок судопроизводства по таким делам, ускорить процесс вынесения решений, сове</w:t>
      </w:r>
      <w:r>
        <w:t>р</w:t>
      </w:r>
      <w:r>
        <w:t>шенствовать методы оценки риска и степени угрозы, а также координировать политику м</w:t>
      </w:r>
      <w:r>
        <w:t>е</w:t>
      </w:r>
      <w:r>
        <w:t>стных и региональных властей в областях, св</w:t>
      </w:r>
      <w:r>
        <w:t>я</w:t>
      </w:r>
      <w:r>
        <w:t>занных с реабилитацией всех сторон. В докл</w:t>
      </w:r>
      <w:r>
        <w:t>а</w:t>
      </w:r>
      <w:r>
        <w:t>де также заявляется о необходимости продо</w:t>
      </w:r>
      <w:r>
        <w:t>л</w:t>
      </w:r>
      <w:r>
        <w:t>жить усилия.</w:t>
      </w:r>
    </w:p>
    <w:p w:rsidR="00000000" w:rsidRDefault="00000000">
      <w:pPr>
        <w:numPr>
          <w:ilvl w:val="0"/>
          <w:numId w:val="40"/>
        </w:numPr>
        <w:tabs>
          <w:tab w:val="left" w:pos="475"/>
          <w:tab w:val="left" w:pos="965"/>
          <w:tab w:val="left" w:pos="1440"/>
          <w:tab w:val="left" w:pos="1915"/>
          <w:tab w:val="left" w:pos="2405"/>
          <w:tab w:val="left" w:pos="2880"/>
          <w:tab w:val="left" w:pos="3355"/>
          <w:tab w:val="left" w:pos="3845"/>
        </w:tabs>
        <w:spacing w:after="120"/>
        <w:ind w:left="475" w:hanging="475"/>
        <w:jc w:val="both"/>
      </w:pPr>
      <w:r>
        <w:t>Национальное полицейское управление также занимается составлением справочника о п</w:t>
      </w:r>
      <w:r>
        <w:t>о</w:t>
      </w:r>
      <w:r>
        <w:t>терпевших от преступлений, который будет использоваться на курсах подготовки полице</w:t>
      </w:r>
      <w:r>
        <w:t>й</w:t>
      </w:r>
      <w:r>
        <w:t>ских.</w:t>
      </w:r>
    </w:p>
    <w:p w:rsidR="00000000" w:rsidRDefault="00000000">
      <w:pPr>
        <w:numPr>
          <w:ilvl w:val="0"/>
          <w:numId w:val="41"/>
        </w:numPr>
        <w:tabs>
          <w:tab w:val="left" w:pos="475"/>
          <w:tab w:val="left" w:pos="965"/>
          <w:tab w:val="left" w:pos="1440"/>
          <w:tab w:val="left" w:pos="1915"/>
          <w:tab w:val="left" w:pos="2405"/>
          <w:tab w:val="left" w:pos="2880"/>
          <w:tab w:val="left" w:pos="3355"/>
          <w:tab w:val="left" w:pos="3845"/>
        </w:tabs>
        <w:spacing w:after="120"/>
        <w:ind w:left="475" w:hanging="475"/>
        <w:jc w:val="both"/>
      </w:pPr>
      <w:r>
        <w:t>В соответствии с декларацией ЕС, подписа</w:t>
      </w:r>
      <w:r>
        <w:t>н</w:t>
      </w:r>
      <w:r>
        <w:t>ной совместно министрами юстиции и мин</w:t>
      </w:r>
      <w:r>
        <w:t>и</w:t>
      </w:r>
      <w:r>
        <w:t>страми по вопросам равенства, национальным докладчиком от Швеции было назначено Н</w:t>
      </w:r>
      <w:r>
        <w:t>а</w:t>
      </w:r>
      <w:r>
        <w:t>циональное полицейское управление. Наци</w:t>
      </w:r>
      <w:r>
        <w:t>о</w:t>
      </w:r>
      <w:r>
        <w:t>нальное полицейское управление займется, среди прочего, сбором информации о масшт</w:t>
      </w:r>
      <w:r>
        <w:t>а</w:t>
      </w:r>
      <w:r>
        <w:t>бах торговли женщинами Швеции, а также о масштабах такой торговли между Швецией и другими странами, в том за пределами ЕС, и рассмотрит возможные меры по предотвращ</w:t>
      </w:r>
      <w:r>
        <w:t>е</w:t>
      </w:r>
      <w:r>
        <w:t>нию и искоренению такой торговли. Оно об</w:t>
      </w:r>
      <w:r>
        <w:t>я</w:t>
      </w:r>
      <w:r>
        <w:t>зано регулярно отчитываться перед правител</w:t>
      </w:r>
      <w:r>
        <w:t>ь</w:t>
      </w:r>
      <w:r>
        <w:t>ством; на данный момент было представлено два отчета.</w:t>
      </w:r>
    </w:p>
    <w:p w:rsidR="00000000" w:rsidRDefault="00000000">
      <w:pPr>
        <w:numPr>
          <w:ilvl w:val="0"/>
          <w:numId w:val="42"/>
        </w:numPr>
        <w:tabs>
          <w:tab w:val="clear" w:pos="720"/>
          <w:tab w:val="left" w:pos="475"/>
          <w:tab w:val="left" w:pos="965"/>
          <w:tab w:val="left" w:pos="1440"/>
          <w:tab w:val="left" w:pos="1915"/>
          <w:tab w:val="left" w:pos="2405"/>
          <w:tab w:val="left" w:pos="2880"/>
          <w:tab w:val="left" w:pos="3355"/>
          <w:tab w:val="left" w:pos="3845"/>
        </w:tabs>
        <w:spacing w:after="120"/>
        <w:ind w:left="475" w:hanging="475"/>
        <w:jc w:val="both"/>
      </w:pPr>
      <w:r>
        <w:t>Весьма важной проблемой является предо</w:t>
      </w:r>
      <w:r>
        <w:t>т</w:t>
      </w:r>
      <w:r>
        <w:t>вращение торговли людьми и ее искоренение. В структуре правительственных органов была учреждена рабочая группа, в состав которой вошли представители министерства юстиции, министерства здравоохранения и социального обеспечения, министерства иностранных дел, а также министерства промышленности, труда и связи. Рабочая группа будет осуществлять координацию усилий в этой области в то вр</w:t>
      </w:r>
      <w:r>
        <w:t>е</w:t>
      </w:r>
      <w:r>
        <w:t>мя, когда Швеция будет председательствовать в Европейском союзе.</w:t>
      </w:r>
    </w:p>
    <w:p w:rsidR="00000000" w:rsidRDefault="00000000">
      <w:pPr>
        <w:numPr>
          <w:ilvl w:val="0"/>
          <w:numId w:val="50"/>
        </w:numPr>
        <w:tabs>
          <w:tab w:val="left" w:pos="475"/>
          <w:tab w:val="left" w:pos="965"/>
          <w:tab w:val="left" w:pos="1440"/>
          <w:tab w:val="left" w:pos="1915"/>
          <w:tab w:val="left" w:pos="2405"/>
          <w:tab w:val="left" w:pos="2880"/>
          <w:tab w:val="left" w:pos="3355"/>
          <w:tab w:val="left" w:pos="3845"/>
        </w:tabs>
        <w:spacing w:after="120"/>
        <w:ind w:left="475" w:hanging="475"/>
        <w:jc w:val="both"/>
      </w:pPr>
      <w:r>
        <w:t>Национальному совету по здравоохранению и социальному обеспечению предписано занят</w:t>
      </w:r>
      <w:r>
        <w:t>ь</w:t>
      </w:r>
      <w:r>
        <w:t>ся проработкой вопросов, связанных с насил</w:t>
      </w:r>
      <w:r>
        <w:t>и</w:t>
      </w:r>
      <w:r>
        <w:t>ем в отношении женщин и проституцией. Эта деятельность будет осуществляться, с тем чт</w:t>
      </w:r>
      <w:r>
        <w:t>о</w:t>
      </w:r>
      <w:r>
        <w:t>бы содействовать расширению полномочий органов социального обеспечения и здрав</w:t>
      </w:r>
      <w:r>
        <w:t>о</w:t>
      </w:r>
      <w:r>
        <w:t>охранения и совершенствованию их методов. Для решения этой задачи предусматривается, в частности, осуществление и поддержка совм</w:t>
      </w:r>
      <w:r>
        <w:t>е</w:t>
      </w:r>
      <w:r>
        <w:t>стных проектов, распространение информации и скрупулезный анализ международных те</w:t>
      </w:r>
      <w:r>
        <w:t>н</w:t>
      </w:r>
      <w:r>
        <w:t>денций. Для решения вышеперечисленных з</w:t>
      </w:r>
      <w:r>
        <w:t>а</w:t>
      </w:r>
      <w:r>
        <w:t>дач на период 1998-2000 годов Совету были выделены дополнительные средства. После 2000 года Совет должен выполнять эти задачи в рамках своей обычной деятельности.</w:t>
      </w:r>
    </w:p>
    <w:p w:rsidR="00000000" w:rsidRDefault="00000000">
      <w:pPr>
        <w:numPr>
          <w:ilvl w:val="0"/>
          <w:numId w:val="51"/>
        </w:numPr>
        <w:tabs>
          <w:tab w:val="left" w:pos="475"/>
          <w:tab w:val="left" w:pos="965"/>
          <w:tab w:val="left" w:pos="1440"/>
          <w:tab w:val="left" w:pos="1915"/>
          <w:tab w:val="left" w:pos="2405"/>
          <w:tab w:val="left" w:pos="2880"/>
          <w:tab w:val="left" w:pos="3355"/>
          <w:tab w:val="left" w:pos="3845"/>
        </w:tabs>
        <w:spacing w:after="120"/>
        <w:ind w:left="475" w:hanging="475"/>
        <w:jc w:val="both"/>
      </w:pPr>
      <w:r>
        <w:t>В 1998 году правительство Швеции предпис</w:t>
      </w:r>
      <w:r>
        <w:t>а</w:t>
      </w:r>
      <w:r>
        <w:t>ло Национальному совету Швеции по здрав</w:t>
      </w:r>
      <w:r>
        <w:t>о</w:t>
      </w:r>
      <w:r>
        <w:t>охранению и социальному обеспечению пр</w:t>
      </w:r>
      <w:r>
        <w:t>и</w:t>
      </w:r>
      <w:r>
        <w:t>ступить к реализации проекта, нацеленного на искоренение случаев нанесения увечий же</w:t>
      </w:r>
      <w:r>
        <w:t>н</w:t>
      </w:r>
      <w:r>
        <w:t>ским половым органам. Реализация данного проекта, рассчитанного на три года, началась с накопления и оценки профессиональных зн</w:t>
      </w:r>
      <w:r>
        <w:t>а</w:t>
      </w:r>
      <w:r>
        <w:t>ний и опыта, уже имеющихся в этой сфере. Уже создана экспертная группа, в состав кот</w:t>
      </w:r>
      <w:r>
        <w:t>о</w:t>
      </w:r>
      <w:r>
        <w:t>рой входят представители полиции, органов прокуратуры, школ и т. д., а на следующем этапе начнется процесс распространения и</w:t>
      </w:r>
      <w:r>
        <w:t>н</w:t>
      </w:r>
      <w:r>
        <w:t>фо</w:t>
      </w:r>
      <w:r>
        <w:t>р</w:t>
      </w:r>
      <w:r>
        <w:t>мации.</w:t>
      </w:r>
    </w:p>
    <w:p w:rsidR="00000000" w:rsidRDefault="00000000">
      <w:pPr>
        <w:numPr>
          <w:ilvl w:val="0"/>
          <w:numId w:val="52"/>
        </w:numPr>
        <w:tabs>
          <w:tab w:val="clear" w:pos="720"/>
          <w:tab w:val="left" w:pos="475"/>
          <w:tab w:val="left" w:pos="965"/>
          <w:tab w:val="left" w:pos="1440"/>
          <w:tab w:val="left" w:pos="1915"/>
          <w:tab w:val="left" w:pos="2405"/>
          <w:tab w:val="left" w:pos="2880"/>
          <w:tab w:val="left" w:pos="3355"/>
          <w:tab w:val="left" w:pos="3845"/>
        </w:tabs>
        <w:spacing w:after="120"/>
        <w:ind w:left="475" w:hanging="475"/>
        <w:jc w:val="both"/>
      </w:pPr>
      <w:r>
        <w:t>В начале 1997 года были проведены слушания по проблеме насилия в отношении женщин-мигрантов. По сравнению с другими, эти же</w:t>
      </w:r>
      <w:r>
        <w:t>н</w:t>
      </w:r>
      <w:r>
        <w:t>щины подвергаются большему риску постр</w:t>
      </w:r>
      <w:r>
        <w:t>а</w:t>
      </w:r>
      <w:r>
        <w:t>дать от насильственных действий. В соотве</w:t>
      </w:r>
      <w:r>
        <w:t>т</w:t>
      </w:r>
      <w:r>
        <w:t>ствии с положениями об отсрочке рассмотр</w:t>
      </w:r>
      <w:r>
        <w:t>е</w:t>
      </w:r>
      <w:r>
        <w:t>ния дел иммигрантов, женщинам–иностра</w:t>
      </w:r>
      <w:r>
        <w:t>н</w:t>
      </w:r>
      <w:r>
        <w:t>кам, прибывающим в Швецию с целью восс</w:t>
      </w:r>
      <w:r>
        <w:t>о</w:t>
      </w:r>
      <w:r>
        <w:t>единения с лицом, постоянно проживающим в этой стране, обычно предоставляется вид на жительство с ограниченным сроком действия, приобретающий статус постоянного по ист</w:t>
      </w:r>
      <w:r>
        <w:t>е</w:t>
      </w:r>
      <w:r>
        <w:t>чении двух лет с момента возникновения взаимоотношений. Это правило именуется правилом двух лет. Женщины, чье прибытие в Швецию обусловлено взаимоотношениями с мужчиной, постоянно проживающим в этой стране, которые подверглись насилию со ст</w:t>
      </w:r>
      <w:r>
        <w:t>о</w:t>
      </w:r>
      <w:r>
        <w:t>роны этого мужчины, часто вынуждены по</w:t>
      </w:r>
      <w:r>
        <w:t>д</w:t>
      </w:r>
      <w:r>
        <w:t>держивать эти взаимоотношения до истечения, как минимум, двух лет, опасаясь подвергнут</w:t>
      </w:r>
      <w:r>
        <w:t>ь</w:t>
      </w:r>
      <w:r>
        <w:t>ся высылке. В феврале 1999 года Парламен</w:t>
      </w:r>
      <w:r>
        <w:t>т</w:t>
      </w:r>
      <w:r>
        <w:t>ский комитет представил доклад с предлож</w:t>
      </w:r>
      <w:r>
        <w:t>е</w:t>
      </w:r>
      <w:r>
        <w:t>нием мер для искоренения этого явления, а в январе 2000 года правительство представило законопроект (1999/2000:43), который в марте 2000 года был принят парламентом. Поправки вступили в силу 1 июля 2000 года. В закон</w:t>
      </w:r>
      <w:r>
        <w:t>о</w:t>
      </w:r>
      <w:r>
        <w:t>проекте правительство подчеркивает, что н</w:t>
      </w:r>
      <w:r>
        <w:t>е</w:t>
      </w:r>
      <w:r>
        <w:t>обходимо проводить более тщательное рассл</w:t>
      </w:r>
      <w:r>
        <w:t>е</w:t>
      </w:r>
      <w:r>
        <w:t>дование характера взаимоотношений, возни</w:t>
      </w:r>
      <w:r>
        <w:t>к</w:t>
      </w:r>
      <w:r>
        <w:t>ших между лицом, претендующим на получ</w:t>
      </w:r>
      <w:r>
        <w:t>е</w:t>
      </w:r>
      <w:r>
        <w:t>ние вида на жительство, и ее партнером, кот</w:t>
      </w:r>
      <w:r>
        <w:t>о</w:t>
      </w:r>
      <w:r>
        <w:t>рый уже проживает в Швеции. В случае нео</w:t>
      </w:r>
      <w:r>
        <w:t>б</w:t>
      </w:r>
      <w:r>
        <w:t>ходимости источником сведений о лице, уже имеющем постоянное местожительство в Швеции, должны являться полицейские досье. При наличии оснований для заключения, что заявитель подвергнется насилию, заявление о выдаче вида на жительство отклоняется нез</w:t>
      </w:r>
      <w:r>
        <w:t>а</w:t>
      </w:r>
      <w:r>
        <w:t>висимо от того, насколько серьезными кажутся эти взаимоотношения. Более того, необходимо предусмотреть возможность отхода от правила двух лет в тех случаях, когда с момента во</w:t>
      </w:r>
      <w:r>
        <w:t>з</w:t>
      </w:r>
      <w:r>
        <w:t>никновения взаимоотношений прошло менее двух лет, а также возможность выдачи видов на жительство на более длительный срок, если заявитель или ребенок заявителя подвергались насилию.</w:t>
      </w:r>
    </w:p>
    <w:p w:rsidR="00000000" w:rsidRDefault="00000000">
      <w:pPr>
        <w:numPr>
          <w:ilvl w:val="0"/>
          <w:numId w:val="54"/>
        </w:numPr>
        <w:tabs>
          <w:tab w:val="clear" w:pos="720"/>
          <w:tab w:val="left" w:pos="475"/>
          <w:tab w:val="left" w:pos="965"/>
          <w:tab w:val="left" w:pos="1440"/>
          <w:tab w:val="left" w:pos="1915"/>
          <w:tab w:val="left" w:pos="2405"/>
          <w:tab w:val="left" w:pos="2880"/>
          <w:tab w:val="left" w:pos="3355"/>
          <w:tab w:val="left" w:pos="3845"/>
        </w:tabs>
        <w:spacing w:after="120"/>
        <w:ind w:left="475" w:hanging="475"/>
        <w:jc w:val="both"/>
      </w:pPr>
      <w:r>
        <w:t>Национальный совет по предотвращению пр</w:t>
      </w:r>
      <w:r>
        <w:t>е</w:t>
      </w:r>
      <w:r>
        <w:t>ступности предпринимал усилия, направле</w:t>
      </w:r>
      <w:r>
        <w:t>н</w:t>
      </w:r>
      <w:r>
        <w:t>ные на совершенствование официальной ст</w:t>
      </w:r>
      <w:r>
        <w:t>а</w:t>
      </w:r>
      <w:r>
        <w:t>тистики преступности. Ранее в статистических данных не указывался, например, пол поте</w:t>
      </w:r>
      <w:r>
        <w:t>р</w:t>
      </w:r>
      <w:r>
        <w:t>певших, а отмечался только пол преступников. Начиная с 2000 года фиксируются пол пр</w:t>
      </w:r>
      <w:r>
        <w:t>е</w:t>
      </w:r>
      <w:r>
        <w:t>ступника и потерпевшего, их возраст и родс</w:t>
      </w:r>
      <w:r>
        <w:t>т</w:t>
      </w:r>
      <w:r>
        <w:t>во.</w:t>
      </w:r>
    </w:p>
    <w:p w:rsidR="00000000" w:rsidRDefault="00000000">
      <w:pPr>
        <w:numPr>
          <w:ilvl w:val="0"/>
          <w:numId w:val="57"/>
        </w:numPr>
        <w:tabs>
          <w:tab w:val="left" w:pos="475"/>
          <w:tab w:val="left" w:pos="965"/>
          <w:tab w:val="left" w:pos="1440"/>
          <w:tab w:val="left" w:pos="1915"/>
          <w:tab w:val="left" w:pos="2405"/>
          <w:tab w:val="left" w:pos="2880"/>
          <w:tab w:val="left" w:pos="3355"/>
          <w:tab w:val="left" w:pos="3845"/>
        </w:tabs>
        <w:spacing w:after="120"/>
        <w:ind w:left="475" w:hanging="475"/>
        <w:jc w:val="both"/>
      </w:pPr>
      <w:r>
        <w:t>Правительство предписало Генеральной пр</w:t>
      </w:r>
      <w:r>
        <w:t>о</w:t>
      </w:r>
      <w:r>
        <w:t>куратуре регулярно представлять доклады о количестве изданных запретительных суде</w:t>
      </w:r>
      <w:r>
        <w:t>б</w:t>
      </w:r>
      <w:r>
        <w:t>ных приказов и выдвигать предложения о м</w:t>
      </w:r>
      <w:r>
        <w:t>е</w:t>
      </w:r>
      <w:r>
        <w:t>тодах, позволяющих согласовать такую стат</w:t>
      </w:r>
      <w:r>
        <w:t>и</w:t>
      </w:r>
      <w:r>
        <w:t>стику со статистикой случаев нарушения з</w:t>
      </w:r>
      <w:r>
        <w:t>а</w:t>
      </w:r>
      <w:r>
        <w:t>претительных судебных пр</w:t>
      </w:r>
      <w:r>
        <w:t>и</w:t>
      </w:r>
      <w:r>
        <w:t>казов.</w:t>
      </w:r>
    </w:p>
    <w:p w:rsidR="00000000" w:rsidRDefault="00000000">
      <w:pPr>
        <w:numPr>
          <w:ilvl w:val="0"/>
          <w:numId w:val="58"/>
        </w:numPr>
        <w:tabs>
          <w:tab w:val="left" w:pos="475"/>
          <w:tab w:val="left" w:pos="965"/>
          <w:tab w:val="left" w:pos="1440"/>
          <w:tab w:val="left" w:pos="1915"/>
          <w:tab w:val="left" w:pos="2405"/>
          <w:tab w:val="left" w:pos="2880"/>
          <w:tab w:val="left" w:pos="3355"/>
          <w:tab w:val="left" w:pos="3845"/>
        </w:tabs>
        <w:ind w:left="475" w:hanging="475"/>
        <w:jc w:val="both"/>
      </w:pPr>
      <w:r>
        <w:t>Официальные статистические данные о зар</w:t>
      </w:r>
      <w:r>
        <w:t>е</w:t>
      </w:r>
      <w:r>
        <w:t>гистрированных преступлениях не могут дать полного представления о масштабах насилия в отношении женщин. Поэтому Управлению по реабилитации и оказанию помощи жертвам преступлений были выделены финансовые средства для проведения специального нау</w:t>
      </w:r>
      <w:r>
        <w:t>ч</w:t>
      </w:r>
      <w:r>
        <w:t>ного исследования с конкретной целью из</w:t>
      </w:r>
      <w:r>
        <w:t>у</w:t>
      </w:r>
      <w:r>
        <w:t>чить незарегистрированные полицией случаи насилия в отношении женщин на выявление подлинной природы этой формы преступности и на оценку ресурсов, требующихся для ее и</w:t>
      </w:r>
      <w:r>
        <w:t>с</w:t>
      </w:r>
      <w:r>
        <w:t>коренения. Это исследование будет завершено в начале 2001 года.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suppressAutoHyphens/>
        <w:ind w:left="475" w:hanging="475"/>
        <w:rPr>
          <w:b/>
        </w:rPr>
      </w:pPr>
      <w:r>
        <w:rPr>
          <w:b/>
        </w:rPr>
        <w:tab/>
        <w:t>Усовершенствованные пути и средства оказания поддержки потерпевшим женщинам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numPr>
          <w:ilvl w:val="0"/>
          <w:numId w:val="59"/>
        </w:numPr>
        <w:tabs>
          <w:tab w:val="clear" w:pos="720"/>
          <w:tab w:val="left" w:pos="475"/>
          <w:tab w:val="left" w:pos="965"/>
          <w:tab w:val="left" w:pos="1440"/>
          <w:tab w:val="left" w:pos="1915"/>
          <w:tab w:val="left" w:pos="2405"/>
          <w:tab w:val="left" w:pos="2880"/>
          <w:tab w:val="left" w:pos="3355"/>
          <w:tab w:val="left" w:pos="3845"/>
        </w:tabs>
        <w:spacing w:after="120"/>
        <w:ind w:left="475" w:hanging="475"/>
        <w:jc w:val="both"/>
      </w:pPr>
      <w:r>
        <w:t>В будущем женщины, потерпевшие от насил</w:t>
      </w:r>
      <w:r>
        <w:t>ь</w:t>
      </w:r>
      <w:r>
        <w:t>ственных действий, должны находить большее сочувствие и пользоваться более действенной поддержкой со стороны профессиональных групп, с которыми они соприкасаются. Этого можно добиться, организовав обучение перс</w:t>
      </w:r>
      <w:r>
        <w:t>о</w:t>
      </w:r>
      <w:r>
        <w:t>нала по таким вопросам, связанным с насил</w:t>
      </w:r>
      <w:r>
        <w:t>и</w:t>
      </w:r>
      <w:r>
        <w:t>ем в отношении женщин, как механизмы, в</w:t>
      </w:r>
      <w:r>
        <w:t>ы</w:t>
      </w:r>
      <w:r>
        <w:t>зывающие обусловленные гендерными факт</w:t>
      </w:r>
      <w:r>
        <w:t>о</w:t>
      </w:r>
      <w:r>
        <w:t>рами насильственные действия, способы их предотвращения и средства оказания поддер</w:t>
      </w:r>
      <w:r>
        <w:t>ж</w:t>
      </w:r>
      <w:r>
        <w:t>ки женщинам — потерпевшим от насилия. П</w:t>
      </w:r>
      <w:r>
        <w:t>о</w:t>
      </w:r>
      <w:r>
        <w:t>этому на Национальное полицейское управл</w:t>
      </w:r>
      <w:r>
        <w:t>е</w:t>
      </w:r>
      <w:r>
        <w:t>ние было возложено осуществление общен</w:t>
      </w:r>
      <w:r>
        <w:t>а</w:t>
      </w:r>
      <w:r>
        <w:t>циональной программы обучения работников системы уголовного судопроизводства, орг</w:t>
      </w:r>
      <w:r>
        <w:t>а</w:t>
      </w:r>
      <w:r>
        <w:t>нов социального обеспечения и здравоохран</w:t>
      </w:r>
      <w:r>
        <w:t>е</w:t>
      </w:r>
      <w:r>
        <w:t>ния в консультации с Национальным судебным управлением, Генеральным прокурором и Н</w:t>
      </w:r>
      <w:r>
        <w:t>а</w:t>
      </w:r>
      <w:r>
        <w:t>циональным советом по здравоохранению и социальному обеспечению на центральном, региональном и местном уровнях. На цели обучения из государственного бюджета было выделено 6,5 млн. шведских крон, 1,5 млн. из которых пошли на финансирование обучения судей и обеспечение информационными мат</w:t>
      </w:r>
      <w:r>
        <w:t>е</w:t>
      </w:r>
      <w:r>
        <w:t>риалами вызываемых в суд экспертов–ко</w:t>
      </w:r>
      <w:r>
        <w:t>н</w:t>
      </w:r>
      <w:r>
        <w:t>сультантов, не являющихся работниками пр</w:t>
      </w:r>
      <w:r>
        <w:t>а</w:t>
      </w:r>
      <w:r>
        <w:t>воохран</w:t>
      </w:r>
      <w:r>
        <w:t>и</w:t>
      </w:r>
      <w:r>
        <w:t>тельных органов.</w:t>
      </w:r>
    </w:p>
    <w:p w:rsidR="00000000" w:rsidRDefault="00000000">
      <w:pPr>
        <w:numPr>
          <w:ilvl w:val="0"/>
          <w:numId w:val="61"/>
        </w:numPr>
        <w:tabs>
          <w:tab w:val="left" w:pos="475"/>
          <w:tab w:val="left" w:pos="965"/>
          <w:tab w:val="left" w:pos="1440"/>
          <w:tab w:val="left" w:pos="1915"/>
          <w:tab w:val="left" w:pos="2405"/>
          <w:tab w:val="left" w:pos="2880"/>
          <w:tab w:val="left" w:pos="3355"/>
          <w:tab w:val="left" w:pos="3845"/>
        </w:tabs>
        <w:spacing w:after="120"/>
        <w:ind w:left="475" w:hanging="475"/>
        <w:jc w:val="both"/>
      </w:pPr>
      <w:r>
        <w:t>В настоящее время Национальное управление судебной медицины, в сотрудничестве с Ген</w:t>
      </w:r>
      <w:r>
        <w:t>е</w:t>
      </w:r>
      <w:r>
        <w:t>ральной прокуратурой и Национальным пол</w:t>
      </w:r>
      <w:r>
        <w:t>и</w:t>
      </w:r>
      <w:r>
        <w:t>цейским управлением, предпринимает усилия для повышения качества судебных свид</w:t>
      </w:r>
      <w:r>
        <w:t>е</w:t>
      </w:r>
      <w:r>
        <w:t>тельств. В городах Карльстад и Кальмар врачи прошли специальную подготовку по выдаче таких свидетельств. Национальное управление судебной медицины должно рассмотреть в</w:t>
      </w:r>
      <w:r>
        <w:t>о</w:t>
      </w:r>
      <w:r>
        <w:t>прос о возможности наделения ряда отобра</w:t>
      </w:r>
      <w:r>
        <w:t>н</w:t>
      </w:r>
      <w:r>
        <w:t>ных больниц страны исключительным правом выдавать судебные свид</w:t>
      </w:r>
      <w:r>
        <w:t>е</w:t>
      </w:r>
      <w:r>
        <w:t>тельства.</w:t>
      </w:r>
    </w:p>
    <w:p w:rsidR="00000000" w:rsidRDefault="00000000">
      <w:pPr>
        <w:numPr>
          <w:ilvl w:val="0"/>
          <w:numId w:val="62"/>
        </w:numPr>
        <w:tabs>
          <w:tab w:val="left" w:pos="475"/>
          <w:tab w:val="left" w:pos="965"/>
          <w:tab w:val="left" w:pos="1440"/>
          <w:tab w:val="left" w:pos="1915"/>
          <w:tab w:val="left" w:pos="2405"/>
          <w:tab w:val="left" w:pos="2880"/>
          <w:tab w:val="left" w:pos="3355"/>
          <w:tab w:val="left" w:pos="3845"/>
        </w:tabs>
        <w:spacing w:after="120"/>
        <w:ind w:left="475" w:hanging="475"/>
        <w:jc w:val="both"/>
      </w:pPr>
      <w:r>
        <w:t>В 1994 году был создан Национальный центр для женщин, подвергшихся побоям. Прав</w:t>
      </w:r>
      <w:r>
        <w:t>и</w:t>
      </w:r>
      <w:r>
        <w:t>тельство финансировало создание центра, к</w:t>
      </w:r>
      <w:r>
        <w:t>о</w:t>
      </w:r>
      <w:r>
        <w:t>торый, как предполагалось, должен послужить примером для аналогичных мер в других ча</w:t>
      </w:r>
      <w:r>
        <w:t>с</w:t>
      </w:r>
      <w:r>
        <w:t>тях страны. Задача Центра, открытого 24 часа в сутки, состоит в том, чтобы давать убежище женщинам, ставшим жертвами нападения, и</w:t>
      </w:r>
      <w:r>
        <w:t>з</w:t>
      </w:r>
      <w:r>
        <w:t>насилования и т. д., и содействовать более чуткому обращению с такими пациентками в учреждениях системы здравоохранения. В 1998 году Центру были выделено 3 млн. шве</w:t>
      </w:r>
      <w:r>
        <w:t>д</w:t>
      </w:r>
      <w:r>
        <w:t>ских крон, после чего Центр должен был сам найти другие источники финансирования. Кроме того, в 1999 году Центр получил 1 млн. шве</w:t>
      </w:r>
      <w:r>
        <w:t>д</w:t>
      </w:r>
      <w:r>
        <w:t>ских крон.</w:t>
      </w:r>
    </w:p>
    <w:p w:rsidR="00000000" w:rsidRDefault="00000000">
      <w:pPr>
        <w:numPr>
          <w:ilvl w:val="0"/>
          <w:numId w:val="63"/>
        </w:numPr>
        <w:tabs>
          <w:tab w:val="clear" w:pos="720"/>
          <w:tab w:val="left" w:pos="475"/>
          <w:tab w:val="left" w:pos="965"/>
          <w:tab w:val="left" w:pos="1440"/>
          <w:tab w:val="left" w:pos="1915"/>
          <w:tab w:val="left" w:pos="2405"/>
          <w:tab w:val="left" w:pos="2880"/>
          <w:tab w:val="left" w:pos="3355"/>
          <w:tab w:val="left" w:pos="3845"/>
        </w:tabs>
        <w:spacing w:after="120"/>
        <w:ind w:left="475" w:hanging="475"/>
        <w:jc w:val="both"/>
      </w:pPr>
      <w:r>
        <w:t>За последние годы было создано 140 местных временных приютов для женщин и около 25 приютов для молодых женщин. Они являются важной формой защиты и поддержки женщин, подвергшихся насилию, а также их детей. Эти приюты объединены в две общенациональные организации. Эти общенациональные орган</w:t>
      </w:r>
      <w:r>
        <w:t>и</w:t>
      </w:r>
      <w:r>
        <w:t>зации ежегодно получают помощь организ</w:t>
      </w:r>
      <w:r>
        <w:t>а</w:t>
      </w:r>
      <w:r>
        <w:t>ционного характера из государственного бю</w:t>
      </w:r>
      <w:r>
        <w:t>д</w:t>
      </w:r>
      <w:r>
        <w:t>жета. Местные приюты финансируются мун</w:t>
      </w:r>
      <w:r>
        <w:t>и</w:t>
      </w:r>
      <w:r>
        <w:t>ципалитетами, на территории которых они расположены, однако масштабы этой поддер</w:t>
      </w:r>
      <w:r>
        <w:t>ж</w:t>
      </w:r>
      <w:r>
        <w:t>ки различны. В целях развития они также м</w:t>
      </w:r>
      <w:r>
        <w:t>о</w:t>
      </w:r>
      <w:r>
        <w:t>гут обращаться за государственной поддер</w:t>
      </w:r>
      <w:r>
        <w:t>ж</w:t>
      </w:r>
      <w:r>
        <w:t>кой. Одна из организаций, объединяющих приюты для женщин, с 1997 года, например, организует летние лагеря для женщин–инв</w:t>
      </w:r>
      <w:r>
        <w:t>а</w:t>
      </w:r>
      <w:r>
        <w:t>лидов и женщин–служащих пр</w:t>
      </w:r>
      <w:r>
        <w:t>и</w:t>
      </w:r>
      <w:r>
        <w:t>ютов.</w:t>
      </w:r>
    </w:p>
    <w:p w:rsidR="00000000" w:rsidRDefault="00000000">
      <w:pPr>
        <w:numPr>
          <w:ilvl w:val="0"/>
          <w:numId w:val="66"/>
        </w:numPr>
        <w:tabs>
          <w:tab w:val="left" w:pos="475"/>
          <w:tab w:val="left" w:pos="965"/>
          <w:tab w:val="left" w:pos="1440"/>
          <w:tab w:val="left" w:pos="1915"/>
          <w:tab w:val="left" w:pos="2405"/>
          <w:tab w:val="left" w:pos="2880"/>
          <w:tab w:val="left" w:pos="3355"/>
          <w:tab w:val="left" w:pos="3845"/>
        </w:tabs>
        <w:spacing w:after="120"/>
        <w:ind w:left="475" w:hanging="475"/>
        <w:jc w:val="both"/>
      </w:pPr>
      <w:r>
        <w:t>Согласно решению правительства, при распр</w:t>
      </w:r>
      <w:r>
        <w:t>е</w:t>
      </w:r>
      <w:r>
        <w:t>делении средств из Фонда реабилитации и п</w:t>
      </w:r>
      <w:r>
        <w:t>о</w:t>
      </w:r>
      <w:r>
        <w:t>мощи жертвам преступлений приоритет до</w:t>
      </w:r>
      <w:r>
        <w:t>л</w:t>
      </w:r>
      <w:r>
        <w:t>жен отдаваться проектам, в которых первост</w:t>
      </w:r>
      <w:r>
        <w:t>е</w:t>
      </w:r>
      <w:r>
        <w:t>пенное внимание уделяется проблеме насилия в отношении женщин. В 1998 году 32 проекта, занимающиеся проблемой насилия в отнош</w:t>
      </w:r>
      <w:r>
        <w:t>е</w:t>
      </w:r>
      <w:r>
        <w:t>нии женщин, получили из этого фонда в общей сложности 3,2 млн. шведских крон.</w:t>
      </w:r>
    </w:p>
    <w:p w:rsidR="00000000" w:rsidRDefault="00000000">
      <w:pPr>
        <w:numPr>
          <w:ilvl w:val="0"/>
          <w:numId w:val="67"/>
        </w:numPr>
        <w:tabs>
          <w:tab w:val="left" w:pos="475"/>
          <w:tab w:val="left" w:pos="965"/>
          <w:tab w:val="left" w:pos="1440"/>
          <w:tab w:val="left" w:pos="1915"/>
          <w:tab w:val="left" w:pos="2405"/>
          <w:tab w:val="left" w:pos="2880"/>
          <w:tab w:val="left" w:pos="3355"/>
          <w:tab w:val="left" w:pos="3845"/>
        </w:tabs>
        <w:spacing w:after="120"/>
        <w:ind w:left="475" w:hanging="475"/>
        <w:jc w:val="both"/>
      </w:pPr>
      <w:r>
        <w:t>В июле 1999 года отчисления в Фонд реабил</w:t>
      </w:r>
      <w:r>
        <w:t>и</w:t>
      </w:r>
      <w:r>
        <w:t>тации и помощи жертвам преступлений были подняты с 300 до 500 шведских крон, чтобы увеличить финансирование неправительстве</w:t>
      </w:r>
      <w:r>
        <w:t>н</w:t>
      </w:r>
      <w:r>
        <w:t>ных организаций, прежде всего программ п</w:t>
      </w:r>
      <w:r>
        <w:t>о</w:t>
      </w:r>
      <w:r>
        <w:t>мощи жертвам преступлений.</w:t>
      </w:r>
    </w:p>
    <w:p w:rsidR="00000000" w:rsidRDefault="00000000">
      <w:pPr>
        <w:numPr>
          <w:ilvl w:val="0"/>
          <w:numId w:val="68"/>
        </w:numPr>
        <w:tabs>
          <w:tab w:val="clear" w:pos="720"/>
          <w:tab w:val="left" w:pos="475"/>
          <w:tab w:val="left" w:pos="965"/>
          <w:tab w:val="left" w:pos="1440"/>
          <w:tab w:val="left" w:pos="1915"/>
          <w:tab w:val="left" w:pos="2405"/>
          <w:tab w:val="left" w:pos="2880"/>
          <w:tab w:val="left" w:pos="3355"/>
          <w:tab w:val="left" w:pos="3845"/>
        </w:tabs>
        <w:spacing w:after="120"/>
        <w:ind w:left="475" w:hanging="475"/>
        <w:jc w:val="both"/>
      </w:pPr>
      <w:r>
        <w:t>Национальному управлению по тюрьмам и по работе с условно осужденными было поруч</w:t>
      </w:r>
      <w:r>
        <w:t>е</w:t>
      </w:r>
      <w:r>
        <w:t>но, в консультации с Национальным советом здравоохранения и социального обеспечения, подготовить обзор имеющихся методов нек</w:t>
      </w:r>
      <w:r>
        <w:t>а</w:t>
      </w:r>
      <w:r>
        <w:t>рательного воздействия на мужчин, осужде</w:t>
      </w:r>
      <w:r>
        <w:t>н</w:t>
      </w:r>
      <w:r>
        <w:t>ных за насилие в отношении женщин. Обзор был подготовлен весной 1999 года. Чтобы у</w:t>
      </w:r>
      <w:r>
        <w:t>с</w:t>
      </w:r>
      <w:r>
        <w:t>тановить, какие методы являются приемлем</w:t>
      </w:r>
      <w:r>
        <w:t>ы</w:t>
      </w:r>
      <w:r>
        <w:t>ми и эффективными, правительство организует и профинансирует мероприятия по оценке с</w:t>
      </w:r>
      <w:r>
        <w:t>у</w:t>
      </w:r>
      <w:r>
        <w:t>ществующих методов некарательного возде</w:t>
      </w:r>
      <w:r>
        <w:t>й</w:t>
      </w:r>
      <w:r>
        <w:t>ствия на мужчин, совершивших насильстве</w:t>
      </w:r>
      <w:r>
        <w:t>н</w:t>
      </w:r>
      <w:r>
        <w:t>ные преступления против женщин. В декабре 2000 года правительство организует междун</w:t>
      </w:r>
      <w:r>
        <w:t>а</w:t>
      </w:r>
      <w:r>
        <w:t>родную конференцию для выявления к</w:t>
      </w:r>
      <w:r>
        <w:t>а</w:t>
      </w:r>
      <w:r>
        <w:t>ких-либо международных методов, применимых в условиях Швеции.</w:t>
      </w:r>
    </w:p>
    <w:p w:rsidR="00000000" w:rsidRDefault="00000000">
      <w:pPr>
        <w:numPr>
          <w:ilvl w:val="0"/>
          <w:numId w:val="69"/>
        </w:numPr>
        <w:tabs>
          <w:tab w:val="clear" w:pos="720"/>
          <w:tab w:val="left" w:pos="475"/>
          <w:tab w:val="left" w:pos="965"/>
          <w:tab w:val="left" w:pos="1440"/>
          <w:tab w:val="left" w:pos="1915"/>
          <w:tab w:val="left" w:pos="2405"/>
          <w:tab w:val="left" w:pos="2880"/>
          <w:tab w:val="left" w:pos="3355"/>
          <w:tab w:val="left" w:pos="3845"/>
        </w:tabs>
        <w:spacing w:after="120"/>
        <w:ind w:left="475" w:hanging="475"/>
        <w:jc w:val="both"/>
      </w:pPr>
      <w:r>
        <w:t>Национальному совету по предотвращению преступности было предписано провести из</w:t>
      </w:r>
      <w:r>
        <w:t>у</w:t>
      </w:r>
      <w:r>
        <w:t>чение практических и технических условий, необходимых для организации электронного наблюдения за мужчинами, нарушающими з</w:t>
      </w:r>
      <w:r>
        <w:t>а</w:t>
      </w:r>
      <w:r>
        <w:t>претительный судебный приказ. В марте 1999 года Совет представил свой доклад правител</w:t>
      </w:r>
      <w:r>
        <w:t>ь</w:t>
      </w:r>
      <w:r>
        <w:t>ству. Такая форма контроля предполагает б</w:t>
      </w:r>
      <w:r>
        <w:t>о</w:t>
      </w:r>
      <w:r>
        <w:t>лее высокую вероятность обнаружения, что может сыграть роль сдерживающего фактора, а также обеспечить соответствующей женщине более высокий уровень безопасности. Эле</w:t>
      </w:r>
      <w:r>
        <w:t>к</w:t>
      </w:r>
      <w:r>
        <w:t>тронное наблюдение ограничило бы свободу передвижения преступника, а не женщин — как это часто бывает сегодня, — которые об</w:t>
      </w:r>
      <w:r>
        <w:t>я</w:t>
      </w:r>
      <w:r>
        <w:t>заны информировать полицию о нарушениях. Реализация такого проекта, однако, зависит от доступности надежных технологий и возмо</w:t>
      </w:r>
      <w:r>
        <w:t>ж</w:t>
      </w:r>
      <w:r>
        <w:t>ностей организации такого наблюдения на практике. В докладе Совета содержится вывод о том, что электронное наблюдение в связи с запретительными судебными приказами впо</w:t>
      </w:r>
      <w:r>
        <w:t>л</w:t>
      </w:r>
      <w:r>
        <w:t>не осуществимо с использованием имеющихся на сегодняшний день технологий, однако такое наблюдение не гарантирует полностью наде</w:t>
      </w:r>
      <w:r>
        <w:t>ж</w:t>
      </w:r>
      <w:r>
        <w:t>ную защиту. До проведения практических и</w:t>
      </w:r>
      <w:r>
        <w:t>с</w:t>
      </w:r>
      <w:r>
        <w:t>пытаний подобной системы наблюдения нео</w:t>
      </w:r>
      <w:r>
        <w:t>б</w:t>
      </w:r>
      <w:r>
        <w:t>ходимо тщательно изучить юридические и о</w:t>
      </w:r>
      <w:r>
        <w:t>р</w:t>
      </w:r>
      <w:r>
        <w:t>ганизационные предпосылки. Этот вопрос прорабатывается в правительственных ведо</w:t>
      </w:r>
      <w:r>
        <w:t>м</w:t>
      </w:r>
      <w:r>
        <w:t>ствах.</w:t>
      </w:r>
    </w:p>
    <w:p w:rsidR="00000000" w:rsidRDefault="00000000">
      <w:pPr>
        <w:numPr>
          <w:ilvl w:val="0"/>
          <w:numId w:val="71"/>
        </w:numPr>
        <w:tabs>
          <w:tab w:val="left" w:pos="475"/>
          <w:tab w:val="left" w:pos="965"/>
          <w:tab w:val="left" w:pos="1440"/>
          <w:tab w:val="left" w:pos="1915"/>
          <w:tab w:val="left" w:pos="2405"/>
          <w:tab w:val="left" w:pos="2880"/>
          <w:tab w:val="left" w:pos="3355"/>
          <w:tab w:val="left" w:pos="3845"/>
        </w:tabs>
        <w:spacing w:after="120"/>
        <w:ind w:left="475" w:hanging="475"/>
        <w:jc w:val="both"/>
      </w:pPr>
      <w:r>
        <w:t>Правительственная комиссия по делам жертв преступлений, задача которой состоит в оце</w:t>
      </w:r>
      <w:r>
        <w:t>н</w:t>
      </w:r>
      <w:r>
        <w:t>ке всех мер, предпринятых в интересах жертв преступлений в течение последних десяти лет, представила свой официальный доклад в 1998 году. В начале 2001 года правительство дол</w:t>
      </w:r>
      <w:r>
        <w:t>ж</w:t>
      </w:r>
      <w:r>
        <w:t>но представить в парламент законопроект, с</w:t>
      </w:r>
      <w:r>
        <w:t>о</w:t>
      </w:r>
      <w:r>
        <w:t>держащий предложения относительно мер, н</w:t>
      </w:r>
      <w:r>
        <w:t>а</w:t>
      </w:r>
      <w:r>
        <w:t>целенных на улучшение положения жертв пр</w:t>
      </w:r>
      <w:r>
        <w:t>е</w:t>
      </w:r>
      <w:r>
        <w:t>ступлений.</w:t>
      </w:r>
    </w:p>
    <w:p w:rsidR="00000000" w:rsidRDefault="00000000">
      <w:pPr>
        <w:numPr>
          <w:ilvl w:val="0"/>
          <w:numId w:val="72"/>
        </w:numPr>
        <w:tabs>
          <w:tab w:val="left" w:pos="475"/>
          <w:tab w:val="left" w:pos="965"/>
          <w:tab w:val="left" w:pos="1440"/>
          <w:tab w:val="left" w:pos="1915"/>
          <w:tab w:val="left" w:pos="2405"/>
          <w:tab w:val="left" w:pos="2880"/>
          <w:tab w:val="left" w:pos="3355"/>
          <w:tab w:val="left" w:pos="3845"/>
        </w:tabs>
        <w:spacing w:after="120"/>
        <w:ind w:left="475" w:hanging="475"/>
        <w:jc w:val="both"/>
      </w:pPr>
      <w:r>
        <w:t>Правительство предписало Генеральной пр</w:t>
      </w:r>
      <w:r>
        <w:t>о</w:t>
      </w:r>
      <w:r>
        <w:t>куратуре, во взаимодействии с Национальным полицейским управлением, рассмотреть и ус</w:t>
      </w:r>
      <w:r>
        <w:t>о</w:t>
      </w:r>
      <w:r>
        <w:t>вершенствовать практику ведения дел, связа</w:t>
      </w:r>
      <w:r>
        <w:t>н</w:t>
      </w:r>
      <w:r>
        <w:t>ных с запретительными судебными приказами. Была учреждена рабочая группа. Группой б</w:t>
      </w:r>
      <w:r>
        <w:t>ы</w:t>
      </w:r>
      <w:r>
        <w:t>ли внесены предложения, касающиеся практ</w:t>
      </w:r>
      <w:r>
        <w:t>и</w:t>
      </w:r>
      <w:r>
        <w:t>ки обеспечения информации и качества. Эти предложения проходят дальнейшую прорабо</w:t>
      </w:r>
      <w:r>
        <w:t>т</w:t>
      </w:r>
      <w:r>
        <w:t>ку в гос</w:t>
      </w:r>
      <w:r>
        <w:t>у</w:t>
      </w:r>
      <w:r>
        <w:t>дарственных органах.</w:t>
      </w:r>
    </w:p>
    <w:p w:rsidR="00000000" w:rsidRDefault="00000000">
      <w:pPr>
        <w:numPr>
          <w:ilvl w:val="0"/>
          <w:numId w:val="73"/>
        </w:numPr>
        <w:tabs>
          <w:tab w:val="clear" w:pos="720"/>
          <w:tab w:val="left" w:pos="475"/>
          <w:tab w:val="left" w:pos="965"/>
          <w:tab w:val="left" w:pos="1440"/>
          <w:tab w:val="left" w:pos="1915"/>
          <w:tab w:val="left" w:pos="2405"/>
          <w:tab w:val="left" w:pos="2880"/>
          <w:tab w:val="left" w:pos="3355"/>
          <w:tab w:val="left" w:pos="3845"/>
        </w:tabs>
        <w:spacing w:after="120"/>
        <w:ind w:left="475" w:hanging="475"/>
        <w:jc w:val="both"/>
      </w:pPr>
      <w:r>
        <w:t>В целях оказания помощи и поддержки му</w:t>
      </w:r>
      <w:r>
        <w:t>ж</w:t>
      </w:r>
      <w:r>
        <w:t>чинам, склонным к совершению насильстве</w:t>
      </w:r>
      <w:r>
        <w:t>н</w:t>
      </w:r>
      <w:r>
        <w:t>ных преступлений против женщин, или уже совершившим такие преступления, в Швеции за последние годы было учреждено несколько мужских организаций. Среди них можно отм</w:t>
      </w:r>
      <w:r>
        <w:t>е</w:t>
      </w:r>
      <w:r>
        <w:t>тить центры экстренной помощи, организ</w:t>
      </w:r>
      <w:r>
        <w:t>о</w:t>
      </w:r>
      <w:r>
        <w:t>ванные мужчинами в интересах мужчин, а также "Мужское сообщество против насилия, совершаемого мужчинами". В соответствии с законопроектом о насилии в отношении же</w:t>
      </w:r>
      <w:r>
        <w:t>н</w:t>
      </w:r>
      <w:r>
        <w:t>щин правительство выделило этим организ</w:t>
      </w:r>
      <w:r>
        <w:t>а</w:t>
      </w:r>
      <w:r>
        <w:t>циям финансовые средства (1,5 млн. шведских крон) для оказания помощи в реализации пр</w:t>
      </w:r>
      <w:r>
        <w:t>о</w:t>
      </w:r>
      <w:r>
        <w:t>ектов, нацеленных на искоренение насилия, совершаемого мужчинами в отношении же</w:t>
      </w:r>
      <w:r>
        <w:t>н</w:t>
      </w:r>
      <w:r>
        <w:t>щин.</w:t>
      </w:r>
    </w:p>
    <w:p w:rsidR="00000000" w:rsidRDefault="00000000">
      <w:pPr>
        <w:numPr>
          <w:ilvl w:val="0"/>
          <w:numId w:val="75"/>
        </w:numPr>
        <w:tabs>
          <w:tab w:val="left" w:pos="475"/>
          <w:tab w:val="left" w:pos="965"/>
          <w:tab w:val="left" w:pos="1440"/>
          <w:tab w:val="left" w:pos="1915"/>
          <w:tab w:val="left" w:pos="2405"/>
          <w:tab w:val="left" w:pos="2880"/>
          <w:tab w:val="left" w:pos="3355"/>
          <w:tab w:val="left" w:pos="3845"/>
        </w:tabs>
        <w:spacing w:after="120"/>
        <w:ind w:left="475" w:hanging="475"/>
        <w:jc w:val="both"/>
      </w:pPr>
      <w:r>
        <w:t>С целью получения новой информации и акт</w:t>
      </w:r>
      <w:r>
        <w:t>и</w:t>
      </w:r>
      <w:r>
        <w:t>визации обсуждения проблемы мужского н</w:t>
      </w:r>
      <w:r>
        <w:t>а</w:t>
      </w:r>
      <w:r>
        <w:t>силия в 1997 и 1998 годах правительство пр</w:t>
      </w:r>
      <w:r>
        <w:t>о</w:t>
      </w:r>
      <w:r>
        <w:t>вело ряд конференций, посвященных этой т</w:t>
      </w:r>
      <w:r>
        <w:t>е</w:t>
      </w:r>
      <w:r>
        <w:t>ме. Их цель состояла в уделении первоочере</w:t>
      </w:r>
      <w:r>
        <w:t>д</w:t>
      </w:r>
      <w:r>
        <w:t>ного внимания роли и ответственности му</w:t>
      </w:r>
      <w:r>
        <w:t>ж</w:t>
      </w:r>
      <w:r>
        <w:t>чин в связи с насилием в отношении же</w:t>
      </w:r>
      <w:r>
        <w:t>н</w:t>
      </w:r>
      <w:r>
        <w:t>щин.</w:t>
      </w:r>
    </w:p>
    <w:p w:rsidR="00000000" w:rsidRDefault="00000000">
      <w:pPr>
        <w:numPr>
          <w:ilvl w:val="0"/>
          <w:numId w:val="76"/>
        </w:numPr>
        <w:tabs>
          <w:tab w:val="left" w:pos="475"/>
          <w:tab w:val="left" w:pos="965"/>
          <w:tab w:val="left" w:pos="1440"/>
          <w:tab w:val="left" w:pos="1915"/>
          <w:tab w:val="left" w:pos="2405"/>
          <w:tab w:val="left" w:pos="2880"/>
          <w:tab w:val="left" w:pos="3355"/>
          <w:tab w:val="left" w:pos="3845"/>
        </w:tabs>
        <w:spacing w:after="120"/>
        <w:ind w:left="475" w:hanging="475"/>
        <w:jc w:val="both"/>
      </w:pPr>
      <w:r>
        <w:t>Особенно важно донести до молодых людей проблемы, связанные с насилием в отношении женщин. Поэтому на проекты, связанные с м</w:t>
      </w:r>
      <w:r>
        <w:t>о</w:t>
      </w:r>
      <w:r>
        <w:t>лодыми людьми и их организациями, осущес</w:t>
      </w:r>
      <w:r>
        <w:t>т</w:t>
      </w:r>
      <w:r>
        <w:t>вляемые по их инициативе и касающиеся пр</w:t>
      </w:r>
      <w:r>
        <w:t>о</w:t>
      </w:r>
      <w:r>
        <w:t>блемы насилия в отношении женщин, были выделены средства в размере 2 млн. шведских крон. Итоги реализации пяти проектов по профилактике насилия в отношении женщин, на которые был выделен в общей сложности 1 млн. шведских крон, были представлены в феврале 1999 года на конференции для подр</w:t>
      </w:r>
      <w:r>
        <w:t>о</w:t>
      </w:r>
      <w:r>
        <w:t>стков и взрослых. Задача конференции, орг</w:t>
      </w:r>
      <w:r>
        <w:t>а</w:t>
      </w:r>
      <w:r>
        <w:t>низованной министром по вопросам равенства полов, состояла в том, чтобы привлечь вним</w:t>
      </w:r>
      <w:r>
        <w:t>а</w:t>
      </w:r>
      <w:r>
        <w:t>ние к проблеме уязвимости молодых людей и ответственности взрослых по созданию для подростков позитивных примеров поведения мужчин и женщин в том, что касается отнош</w:t>
      </w:r>
      <w:r>
        <w:t>е</w:t>
      </w:r>
      <w:r>
        <w:t>ний между полами.</w:t>
      </w:r>
    </w:p>
    <w:p w:rsidR="00000000" w:rsidRDefault="00000000">
      <w:pPr>
        <w:numPr>
          <w:ilvl w:val="0"/>
          <w:numId w:val="77"/>
        </w:numPr>
        <w:tabs>
          <w:tab w:val="left" w:pos="475"/>
          <w:tab w:val="left" w:pos="965"/>
          <w:tab w:val="left" w:pos="1440"/>
          <w:tab w:val="left" w:pos="1915"/>
          <w:tab w:val="left" w:pos="2405"/>
          <w:tab w:val="left" w:pos="2880"/>
          <w:tab w:val="left" w:pos="3355"/>
          <w:tab w:val="left" w:pos="3845"/>
        </w:tabs>
        <w:spacing w:after="120"/>
        <w:ind w:left="475" w:hanging="475"/>
        <w:jc w:val="both"/>
      </w:pPr>
      <w:r>
        <w:t>Организации, действующие в интересах же</w:t>
      </w:r>
      <w:r>
        <w:t>н</w:t>
      </w:r>
      <w:r>
        <w:t>щин-иммигрантов, получили финансовую по</w:t>
      </w:r>
      <w:r>
        <w:t>д</w:t>
      </w:r>
      <w:r>
        <w:t>держку для реализации проектов и других м</w:t>
      </w:r>
      <w:r>
        <w:t>е</w:t>
      </w:r>
      <w:r>
        <w:t>роприятий в этой области.</w:t>
      </w:r>
    </w:p>
    <w:p w:rsidR="00000000" w:rsidRDefault="00000000">
      <w:pPr>
        <w:numPr>
          <w:ilvl w:val="0"/>
          <w:numId w:val="78"/>
        </w:numPr>
        <w:tabs>
          <w:tab w:val="left" w:pos="475"/>
          <w:tab w:val="left" w:pos="965"/>
          <w:tab w:val="left" w:pos="1440"/>
          <w:tab w:val="left" w:pos="1915"/>
          <w:tab w:val="left" w:pos="2405"/>
          <w:tab w:val="left" w:pos="2880"/>
          <w:tab w:val="left" w:pos="3355"/>
          <w:tab w:val="left" w:pos="3845"/>
        </w:tabs>
        <w:spacing w:after="120"/>
        <w:ind w:left="475" w:hanging="475"/>
        <w:jc w:val="both"/>
      </w:pPr>
      <w:r>
        <w:t>Организации, действующие в интересах же</w:t>
      </w:r>
      <w:r>
        <w:t>н</w:t>
      </w:r>
      <w:r>
        <w:t>щин-инвалидов, также получили финансовую поддержку для реализации проектов и других мероприятий в этой области. Женщины–инв</w:t>
      </w:r>
      <w:r>
        <w:t>а</w:t>
      </w:r>
      <w:r>
        <w:t>лиды, подвергающиеся насилию, представл</w:t>
      </w:r>
      <w:r>
        <w:t>я</w:t>
      </w:r>
      <w:r>
        <w:t>ют собой весьма уязвимую группу из-за своей зависимости от др</w:t>
      </w:r>
      <w:r>
        <w:t>у</w:t>
      </w:r>
      <w:r>
        <w:t>гих лиц.</w:t>
      </w:r>
    </w:p>
    <w:p w:rsidR="00000000" w:rsidRDefault="00000000">
      <w:pPr>
        <w:numPr>
          <w:ilvl w:val="0"/>
          <w:numId w:val="79"/>
        </w:numPr>
        <w:tabs>
          <w:tab w:val="left" w:pos="475"/>
          <w:tab w:val="left" w:pos="965"/>
          <w:tab w:val="left" w:pos="1440"/>
          <w:tab w:val="left" w:pos="1915"/>
          <w:tab w:val="left" w:pos="2405"/>
          <w:tab w:val="left" w:pos="2880"/>
          <w:tab w:val="left" w:pos="3355"/>
          <w:tab w:val="left" w:pos="3845"/>
        </w:tabs>
        <w:spacing w:after="120"/>
        <w:ind w:left="475" w:hanging="475"/>
        <w:jc w:val="both"/>
      </w:pPr>
      <w:r>
        <w:t>В 2000 году правительство учредило Наци</w:t>
      </w:r>
      <w:r>
        <w:t>о</w:t>
      </w:r>
      <w:r>
        <w:t>нальный совет по проблемам насилия в отн</w:t>
      </w:r>
      <w:r>
        <w:t>о</w:t>
      </w:r>
      <w:r>
        <w:t>шении женщин. Совету присвоены совещ</w:t>
      </w:r>
      <w:r>
        <w:t>а</w:t>
      </w:r>
      <w:r>
        <w:t>тельные функции в том, что касается проблем насилия в отношении женщин. Он должен стать форумом, в рамках которого правител</w:t>
      </w:r>
      <w:r>
        <w:t>ь</w:t>
      </w:r>
      <w:r>
        <w:t>ство могло бы обмениваться опытом и идеями с представителями организаций и исследов</w:t>
      </w:r>
      <w:r>
        <w:t>а</w:t>
      </w:r>
      <w:r>
        <w:t>телями, изучающими эти проблемы. Министр по вопросам равенства полов возглавляет да</w:t>
      </w:r>
      <w:r>
        <w:t>н</w:t>
      </w:r>
      <w:r>
        <w:t>ный Совет, куда входят представители непр</w:t>
      </w:r>
      <w:r>
        <w:t>а</w:t>
      </w:r>
      <w:r>
        <w:t>вительственных организаций, общественных движений, научных кругов, социальных пар</w:t>
      </w:r>
      <w:r>
        <w:t>т</w:t>
      </w:r>
      <w:r>
        <w:t>неров, а также соответствующие представит</w:t>
      </w:r>
      <w:r>
        <w:t>е</w:t>
      </w:r>
      <w:r>
        <w:t>ли государственного сектора. Совет учрежден на двухлетний период, после чего будет пров</w:t>
      </w:r>
      <w:r>
        <w:t>е</w:t>
      </w:r>
      <w:r>
        <w:t>дена оценка его деятельности.</w:t>
      </w:r>
    </w:p>
    <w:p w:rsidR="00000000" w:rsidRDefault="00000000">
      <w:pPr>
        <w:numPr>
          <w:ilvl w:val="0"/>
          <w:numId w:val="49"/>
        </w:numPr>
        <w:tabs>
          <w:tab w:val="left" w:pos="475"/>
          <w:tab w:val="left" w:pos="965"/>
          <w:tab w:val="left" w:pos="1440"/>
          <w:tab w:val="left" w:pos="1915"/>
          <w:tab w:val="left" w:pos="2405"/>
          <w:tab w:val="left" w:pos="2880"/>
          <w:tab w:val="left" w:pos="3355"/>
          <w:tab w:val="left" w:pos="3845"/>
        </w:tabs>
        <w:spacing w:after="120"/>
        <w:ind w:left="475" w:hanging="475"/>
        <w:jc w:val="both"/>
      </w:pPr>
      <w:r>
        <w:t>Правительство создало веб-сайт, посвяще</w:t>
      </w:r>
      <w:r>
        <w:t>н</w:t>
      </w:r>
      <w:r>
        <w:t>ный проблемам насилия в отношении женщин (www.naring.regeringen.se./fragor/jamstalldhet). Администрированием данного веб-сайта зан</w:t>
      </w:r>
      <w:r>
        <w:t>и</w:t>
      </w:r>
      <w:r>
        <w:t>мается отдел по вопросам равенства полов м</w:t>
      </w:r>
      <w:r>
        <w:t>и</w:t>
      </w:r>
      <w:r>
        <w:t>нистерства промышленности, занятости и св</w:t>
      </w:r>
      <w:r>
        <w:t>я</w:t>
      </w:r>
      <w:r>
        <w:t>зи.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300" w:lineRule="exact"/>
        <w:jc w:val="both"/>
        <w:rPr>
          <w:b/>
          <w:sz w:val="28"/>
        </w:rPr>
      </w:pPr>
      <w:r>
        <w:rPr>
          <w:b/>
          <w:sz w:val="28"/>
        </w:rPr>
        <w:t>Часть II</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7</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ind w:firstLine="720"/>
        <w:jc w:val="both"/>
      </w:pPr>
      <w:r>
        <w:t>Комментарии по данной статье будут сдел</w:t>
      </w:r>
      <w:r>
        <w:t>а</w:t>
      </w:r>
      <w:r>
        <w:t>ны применительно к подпунктам (а)</w:t>
      </w:r>
      <w:r>
        <w:noBreakHyphen/>
        <w:t>(с), с сохран</w:t>
      </w:r>
      <w:r>
        <w:t>е</w:t>
      </w:r>
      <w:r>
        <w:t>нием этой последовательности.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jc w:val="both"/>
        <w:rPr>
          <w:b/>
        </w:rPr>
      </w:pPr>
      <w:r>
        <w:rPr>
          <w:b/>
        </w:rPr>
        <w:tab/>
        <w:t>Избирательная активность</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tab/>
        <w:t>В Швеции традиционно отмечается высокий уровень активности избирателей. Активность изб</w:t>
      </w:r>
      <w:r>
        <w:t>и</w:t>
      </w:r>
      <w:r>
        <w:t>рателей на последних выборах сократилась с 87 процентов в 1994 году до 81,4 процента в 1998 году, что является самым низким показателем за многие годы. Уровень активности женщин, как правило, немного выше, чем уровень активности мужчин, и на выборах 1998 года наиболее высокие показатели, а именно 90,8 (</w:t>
      </w:r>
      <w:r>
        <w:rPr>
          <w:u w:val="single"/>
        </w:rPr>
        <w:t>+ </w:t>
      </w:r>
      <w:r>
        <w:t>1,7) процента, были отмечены ср</w:t>
      </w:r>
      <w:r>
        <w:t>е</w:t>
      </w:r>
      <w:r>
        <w:t>ди женщин возрастной группы 60-64 лет.</w:t>
      </w:r>
    </w:p>
    <w:p w:rsidR="00000000" w:rsidRDefault="00000000">
      <w:pPr>
        <w:pStyle w:val="DualTxt"/>
        <w:tabs>
          <w:tab w:val="clear" w:pos="480"/>
          <w:tab w:val="clear" w:pos="960"/>
          <w:tab w:val="left" w:pos="475"/>
          <w:tab w:val="left" w:pos="96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jc w:val="both"/>
        <w:rPr>
          <w:b/>
        </w:rPr>
      </w:pPr>
      <w:r>
        <w:rPr>
          <w:b/>
        </w:rPr>
        <w:tab/>
        <w:t>Риксдаг и правительство</w:t>
      </w:r>
    </w:p>
    <w:p w:rsidR="00000000" w:rsidRDefault="00000000">
      <w:pPr>
        <w:pStyle w:val="DualTxt"/>
        <w:tabs>
          <w:tab w:val="clear" w:pos="480"/>
          <w:tab w:val="clear" w:pos="960"/>
          <w:tab w:val="left" w:pos="475"/>
          <w:tab w:val="left" w:pos="96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Начиная со всеобщих выборов 1994 года, в правительстве Швеции мужчины и женщины пре</w:t>
      </w:r>
      <w:r>
        <w:t>д</w:t>
      </w:r>
      <w:r>
        <w:t>ставлены одинаково. Более того, женщины–минис</w:t>
      </w:r>
      <w:r>
        <w:t>т</w:t>
      </w:r>
      <w:r>
        <w:t>ры отвечают за те сферы деятельности, которые традиционно не считаются "женскими", такие как юстиция, связь, внешние сношения и сельскохозя</w:t>
      </w:r>
      <w:r>
        <w:t>й</w:t>
      </w:r>
      <w:r>
        <w:t>стве</w:t>
      </w:r>
      <w:r>
        <w:t>н</w:t>
      </w:r>
      <w:r>
        <w:t>ная политика.</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риксдаге на долю женщин приходится 43 процента мест, что на 3 процента больше по сра</w:t>
      </w:r>
      <w:r>
        <w:t>в</w:t>
      </w:r>
      <w:r>
        <w:t>нению с 1994 годом. В приведенной ниже таблице показана представленность мужчин и женщин в риксдаге в процентах и количественном выражении по семи политическим партиям.</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p>
    <w:p w:rsidR="00000000" w:rsidRDefault="00000000">
      <w:pPr>
        <w:tabs>
          <w:tab w:val="left" w:pos="475"/>
          <w:tab w:val="left" w:pos="965"/>
          <w:tab w:val="left" w:pos="1440"/>
          <w:tab w:val="left" w:pos="1915"/>
          <w:tab w:val="left" w:pos="2405"/>
          <w:tab w:val="left" w:pos="2880"/>
          <w:tab w:val="left" w:pos="3355"/>
          <w:tab w:val="left" w:pos="3845"/>
        </w:tabs>
        <w:spacing w:after="120"/>
        <w:jc w:val="center"/>
        <w:rPr>
          <w:b/>
        </w:rPr>
      </w:pPr>
      <w:r>
        <w:rPr>
          <w:b/>
        </w:rPr>
        <w:t>Состав риксдага, 1998 год</w:t>
      </w:r>
    </w:p>
    <w:tbl>
      <w:tblPr>
        <w:tblW w:w="0" w:type="auto"/>
        <w:tblInd w:w="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350"/>
        <w:gridCol w:w="810"/>
        <w:gridCol w:w="810"/>
        <w:gridCol w:w="900"/>
        <w:gridCol w:w="810"/>
      </w:tblGrid>
      <w:tr w:rsidR="00000000">
        <w:tblPrEx>
          <w:tblCellMar>
            <w:top w:w="0" w:type="dxa"/>
            <w:bottom w:w="0" w:type="dxa"/>
          </w:tblCellMar>
        </w:tblPrEx>
        <w:tc>
          <w:tcPr>
            <w:tcW w:w="135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both"/>
              <w:rPr>
                <w:sz w:val="12"/>
              </w:rPr>
            </w:pPr>
            <w:r>
              <w:rPr>
                <w:b/>
                <w:sz w:val="12"/>
              </w:rPr>
              <w:t>Политическая партия</w:t>
            </w:r>
          </w:p>
        </w:tc>
        <w:tc>
          <w:tcPr>
            <w:tcW w:w="81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both"/>
              <w:rPr>
                <w:sz w:val="12"/>
              </w:rPr>
            </w:pPr>
          </w:p>
        </w:tc>
        <w:tc>
          <w:tcPr>
            <w:tcW w:w="81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both"/>
              <w:rPr>
                <w:sz w:val="12"/>
              </w:rPr>
            </w:pPr>
          </w:p>
        </w:tc>
        <w:tc>
          <w:tcPr>
            <w:tcW w:w="90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both"/>
              <w:rPr>
                <w:sz w:val="12"/>
              </w:rPr>
            </w:pPr>
          </w:p>
        </w:tc>
        <w:tc>
          <w:tcPr>
            <w:tcW w:w="81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both"/>
              <w:rPr>
                <w:sz w:val="12"/>
              </w:rPr>
            </w:pPr>
          </w:p>
        </w:tc>
      </w:tr>
      <w:tr w:rsidR="00000000">
        <w:tblPrEx>
          <w:tblCellMar>
            <w:top w:w="0" w:type="dxa"/>
            <w:bottom w:w="0" w:type="dxa"/>
          </w:tblCellMar>
        </w:tblPrEx>
        <w:tc>
          <w:tcPr>
            <w:tcW w:w="135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center"/>
              <w:rPr>
                <w:sz w:val="12"/>
              </w:rPr>
            </w:pPr>
          </w:p>
        </w:tc>
        <w:tc>
          <w:tcPr>
            <w:tcW w:w="81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center"/>
              <w:rPr>
                <w:sz w:val="12"/>
              </w:rPr>
            </w:pPr>
            <w:r>
              <w:rPr>
                <w:b/>
                <w:sz w:val="12"/>
              </w:rPr>
              <w:t>Число</w:t>
            </w:r>
          </w:p>
        </w:tc>
        <w:tc>
          <w:tcPr>
            <w:tcW w:w="81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center"/>
              <w:rPr>
                <w:sz w:val="12"/>
              </w:rPr>
            </w:pPr>
          </w:p>
        </w:tc>
        <w:tc>
          <w:tcPr>
            <w:tcW w:w="90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center"/>
              <w:rPr>
                <w:sz w:val="12"/>
              </w:rPr>
            </w:pPr>
            <w:r>
              <w:rPr>
                <w:b/>
                <w:sz w:val="12"/>
              </w:rPr>
              <w:t>Проце</w:t>
            </w:r>
            <w:r>
              <w:rPr>
                <w:b/>
                <w:sz w:val="12"/>
              </w:rPr>
              <w:t>н</w:t>
            </w:r>
            <w:r>
              <w:rPr>
                <w:b/>
                <w:sz w:val="12"/>
              </w:rPr>
              <w:t>ты</w:t>
            </w:r>
          </w:p>
        </w:tc>
        <w:tc>
          <w:tcPr>
            <w:tcW w:w="81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center"/>
              <w:rPr>
                <w:sz w:val="12"/>
              </w:rPr>
            </w:pPr>
          </w:p>
        </w:tc>
      </w:tr>
      <w:tr w:rsidR="00000000">
        <w:tblPrEx>
          <w:tblCellMar>
            <w:top w:w="0" w:type="dxa"/>
            <w:bottom w:w="0" w:type="dxa"/>
          </w:tblCellMar>
        </w:tblPrEx>
        <w:tc>
          <w:tcPr>
            <w:tcW w:w="135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center"/>
              <w:rPr>
                <w:sz w:val="12"/>
              </w:rPr>
            </w:pPr>
          </w:p>
        </w:tc>
        <w:tc>
          <w:tcPr>
            <w:tcW w:w="81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center"/>
              <w:rPr>
                <w:sz w:val="12"/>
              </w:rPr>
            </w:pPr>
            <w:r>
              <w:rPr>
                <w:sz w:val="12"/>
              </w:rPr>
              <w:t>Женщины</w:t>
            </w:r>
          </w:p>
        </w:tc>
        <w:tc>
          <w:tcPr>
            <w:tcW w:w="81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center"/>
              <w:rPr>
                <w:sz w:val="12"/>
              </w:rPr>
            </w:pPr>
            <w:r>
              <w:rPr>
                <w:sz w:val="12"/>
              </w:rPr>
              <w:t>Мужч</w:t>
            </w:r>
            <w:r>
              <w:rPr>
                <w:sz w:val="12"/>
              </w:rPr>
              <w:t>и</w:t>
            </w:r>
            <w:r>
              <w:rPr>
                <w:sz w:val="12"/>
              </w:rPr>
              <w:t>ны</w:t>
            </w:r>
          </w:p>
        </w:tc>
        <w:tc>
          <w:tcPr>
            <w:tcW w:w="90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center"/>
              <w:rPr>
                <w:sz w:val="12"/>
              </w:rPr>
            </w:pPr>
            <w:r>
              <w:rPr>
                <w:sz w:val="12"/>
              </w:rPr>
              <w:t>Женщины</w:t>
            </w:r>
          </w:p>
        </w:tc>
        <w:tc>
          <w:tcPr>
            <w:tcW w:w="81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center"/>
              <w:rPr>
                <w:sz w:val="12"/>
              </w:rPr>
            </w:pPr>
            <w:r>
              <w:rPr>
                <w:sz w:val="12"/>
              </w:rPr>
              <w:t>Мужч</w:t>
            </w:r>
            <w:r>
              <w:rPr>
                <w:sz w:val="12"/>
              </w:rPr>
              <w:t>и</w:t>
            </w:r>
            <w:r>
              <w:rPr>
                <w:sz w:val="12"/>
              </w:rPr>
              <w:t>ны</w:t>
            </w:r>
          </w:p>
        </w:tc>
      </w:tr>
      <w:tr w:rsidR="00000000">
        <w:tblPrEx>
          <w:tblCellMar>
            <w:top w:w="0" w:type="dxa"/>
            <w:bottom w:w="0" w:type="dxa"/>
          </w:tblCellMar>
        </w:tblPrEx>
        <w:tc>
          <w:tcPr>
            <w:tcW w:w="135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both"/>
              <w:rPr>
                <w:sz w:val="12"/>
              </w:rPr>
            </w:pPr>
            <w:r>
              <w:rPr>
                <w:sz w:val="12"/>
              </w:rPr>
              <w:t>Умеренные</w:t>
            </w:r>
          </w:p>
        </w:tc>
        <w:tc>
          <w:tcPr>
            <w:tcW w:w="81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right"/>
              <w:rPr>
                <w:sz w:val="12"/>
              </w:rPr>
            </w:pPr>
            <w:r>
              <w:rPr>
                <w:sz w:val="12"/>
              </w:rPr>
              <w:t>25</w:t>
            </w:r>
          </w:p>
        </w:tc>
        <w:tc>
          <w:tcPr>
            <w:tcW w:w="81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right"/>
              <w:rPr>
                <w:sz w:val="12"/>
              </w:rPr>
            </w:pPr>
            <w:r>
              <w:rPr>
                <w:sz w:val="12"/>
              </w:rPr>
              <w:t>57</w:t>
            </w:r>
          </w:p>
        </w:tc>
        <w:tc>
          <w:tcPr>
            <w:tcW w:w="90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right"/>
              <w:rPr>
                <w:sz w:val="12"/>
              </w:rPr>
            </w:pPr>
            <w:r>
              <w:rPr>
                <w:sz w:val="12"/>
              </w:rPr>
              <w:t>30,5</w:t>
            </w:r>
          </w:p>
        </w:tc>
        <w:tc>
          <w:tcPr>
            <w:tcW w:w="81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right"/>
              <w:rPr>
                <w:sz w:val="12"/>
              </w:rPr>
            </w:pPr>
            <w:r>
              <w:rPr>
                <w:sz w:val="12"/>
              </w:rPr>
              <w:t>69,5</w:t>
            </w:r>
          </w:p>
        </w:tc>
      </w:tr>
      <w:tr w:rsidR="00000000">
        <w:tblPrEx>
          <w:tblCellMar>
            <w:top w:w="0" w:type="dxa"/>
            <w:bottom w:w="0" w:type="dxa"/>
          </w:tblCellMar>
        </w:tblPrEx>
        <w:tc>
          <w:tcPr>
            <w:tcW w:w="135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both"/>
              <w:rPr>
                <w:sz w:val="12"/>
              </w:rPr>
            </w:pPr>
            <w:r>
              <w:rPr>
                <w:sz w:val="12"/>
              </w:rPr>
              <w:t>Партия центра</w:t>
            </w:r>
          </w:p>
        </w:tc>
        <w:tc>
          <w:tcPr>
            <w:tcW w:w="81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right"/>
              <w:rPr>
                <w:sz w:val="12"/>
              </w:rPr>
            </w:pPr>
            <w:r>
              <w:rPr>
                <w:sz w:val="12"/>
              </w:rPr>
              <w:t>10</w:t>
            </w:r>
          </w:p>
        </w:tc>
        <w:tc>
          <w:tcPr>
            <w:tcW w:w="81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right"/>
              <w:rPr>
                <w:sz w:val="12"/>
              </w:rPr>
            </w:pPr>
            <w:r>
              <w:rPr>
                <w:sz w:val="12"/>
              </w:rPr>
              <w:t>8</w:t>
            </w:r>
          </w:p>
        </w:tc>
        <w:tc>
          <w:tcPr>
            <w:tcW w:w="90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right"/>
              <w:rPr>
                <w:sz w:val="12"/>
              </w:rPr>
            </w:pPr>
            <w:r>
              <w:rPr>
                <w:sz w:val="12"/>
              </w:rPr>
              <w:t>55,6</w:t>
            </w:r>
          </w:p>
        </w:tc>
        <w:tc>
          <w:tcPr>
            <w:tcW w:w="81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right"/>
              <w:rPr>
                <w:sz w:val="12"/>
              </w:rPr>
            </w:pPr>
            <w:r>
              <w:rPr>
                <w:sz w:val="12"/>
              </w:rPr>
              <w:t>44,4</w:t>
            </w:r>
          </w:p>
        </w:tc>
      </w:tr>
      <w:tr w:rsidR="00000000">
        <w:tblPrEx>
          <w:tblCellMar>
            <w:top w:w="0" w:type="dxa"/>
            <w:bottom w:w="0" w:type="dxa"/>
          </w:tblCellMar>
        </w:tblPrEx>
        <w:tc>
          <w:tcPr>
            <w:tcW w:w="135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both"/>
              <w:rPr>
                <w:sz w:val="12"/>
              </w:rPr>
            </w:pPr>
            <w:r>
              <w:rPr>
                <w:sz w:val="12"/>
              </w:rPr>
              <w:t>Либералы</w:t>
            </w:r>
          </w:p>
        </w:tc>
        <w:tc>
          <w:tcPr>
            <w:tcW w:w="81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right"/>
              <w:rPr>
                <w:sz w:val="12"/>
              </w:rPr>
            </w:pPr>
            <w:r>
              <w:rPr>
                <w:sz w:val="12"/>
              </w:rPr>
              <w:t>6</w:t>
            </w:r>
          </w:p>
        </w:tc>
        <w:tc>
          <w:tcPr>
            <w:tcW w:w="81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right"/>
              <w:rPr>
                <w:sz w:val="12"/>
              </w:rPr>
            </w:pPr>
            <w:r>
              <w:rPr>
                <w:sz w:val="12"/>
              </w:rPr>
              <w:t>11</w:t>
            </w:r>
          </w:p>
        </w:tc>
        <w:tc>
          <w:tcPr>
            <w:tcW w:w="90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right"/>
              <w:rPr>
                <w:sz w:val="12"/>
              </w:rPr>
            </w:pPr>
            <w:r>
              <w:rPr>
                <w:sz w:val="12"/>
              </w:rPr>
              <w:t>35,3</w:t>
            </w:r>
          </w:p>
        </w:tc>
        <w:tc>
          <w:tcPr>
            <w:tcW w:w="81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right"/>
              <w:rPr>
                <w:sz w:val="12"/>
              </w:rPr>
            </w:pPr>
            <w:r>
              <w:rPr>
                <w:sz w:val="12"/>
              </w:rPr>
              <w:t>64,7</w:t>
            </w:r>
          </w:p>
        </w:tc>
      </w:tr>
      <w:tr w:rsidR="00000000">
        <w:tblPrEx>
          <w:tblCellMar>
            <w:top w:w="0" w:type="dxa"/>
            <w:bottom w:w="0" w:type="dxa"/>
          </w:tblCellMar>
        </w:tblPrEx>
        <w:tc>
          <w:tcPr>
            <w:tcW w:w="135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both"/>
              <w:rPr>
                <w:sz w:val="12"/>
              </w:rPr>
            </w:pPr>
            <w:r>
              <w:rPr>
                <w:sz w:val="12"/>
              </w:rPr>
              <w:t>Социал-демократы</w:t>
            </w:r>
          </w:p>
        </w:tc>
        <w:tc>
          <w:tcPr>
            <w:tcW w:w="81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right"/>
              <w:rPr>
                <w:sz w:val="12"/>
              </w:rPr>
            </w:pPr>
            <w:r>
              <w:rPr>
                <w:sz w:val="12"/>
              </w:rPr>
              <w:t>65</w:t>
            </w:r>
          </w:p>
        </w:tc>
        <w:tc>
          <w:tcPr>
            <w:tcW w:w="81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right"/>
              <w:rPr>
                <w:sz w:val="12"/>
              </w:rPr>
            </w:pPr>
            <w:r>
              <w:rPr>
                <w:sz w:val="12"/>
              </w:rPr>
              <w:t>66</w:t>
            </w:r>
          </w:p>
        </w:tc>
        <w:tc>
          <w:tcPr>
            <w:tcW w:w="90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right"/>
              <w:rPr>
                <w:sz w:val="12"/>
              </w:rPr>
            </w:pPr>
            <w:r>
              <w:rPr>
                <w:sz w:val="12"/>
              </w:rPr>
              <w:t>49,6</w:t>
            </w:r>
          </w:p>
        </w:tc>
        <w:tc>
          <w:tcPr>
            <w:tcW w:w="81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right"/>
              <w:rPr>
                <w:sz w:val="12"/>
              </w:rPr>
            </w:pPr>
            <w:r>
              <w:rPr>
                <w:sz w:val="12"/>
              </w:rPr>
              <w:t>50,4</w:t>
            </w:r>
          </w:p>
        </w:tc>
      </w:tr>
      <w:tr w:rsidR="00000000">
        <w:tblPrEx>
          <w:tblCellMar>
            <w:top w:w="0" w:type="dxa"/>
            <w:bottom w:w="0" w:type="dxa"/>
          </w:tblCellMar>
        </w:tblPrEx>
        <w:tc>
          <w:tcPr>
            <w:tcW w:w="135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both"/>
              <w:rPr>
                <w:sz w:val="12"/>
              </w:rPr>
            </w:pPr>
            <w:r>
              <w:rPr>
                <w:sz w:val="12"/>
              </w:rPr>
              <w:t>Левая партия</w:t>
            </w:r>
          </w:p>
        </w:tc>
        <w:tc>
          <w:tcPr>
            <w:tcW w:w="81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right"/>
              <w:rPr>
                <w:sz w:val="12"/>
              </w:rPr>
            </w:pPr>
            <w:r>
              <w:rPr>
                <w:sz w:val="12"/>
              </w:rPr>
              <w:t>18</w:t>
            </w:r>
          </w:p>
        </w:tc>
        <w:tc>
          <w:tcPr>
            <w:tcW w:w="81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right"/>
              <w:rPr>
                <w:sz w:val="12"/>
              </w:rPr>
            </w:pPr>
            <w:r>
              <w:rPr>
                <w:sz w:val="12"/>
              </w:rPr>
              <w:t>25</w:t>
            </w:r>
          </w:p>
        </w:tc>
        <w:tc>
          <w:tcPr>
            <w:tcW w:w="90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right"/>
              <w:rPr>
                <w:sz w:val="12"/>
              </w:rPr>
            </w:pPr>
            <w:r>
              <w:rPr>
                <w:sz w:val="12"/>
              </w:rPr>
              <w:t>41,9</w:t>
            </w:r>
          </w:p>
        </w:tc>
        <w:tc>
          <w:tcPr>
            <w:tcW w:w="81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right"/>
              <w:rPr>
                <w:sz w:val="12"/>
              </w:rPr>
            </w:pPr>
            <w:r>
              <w:rPr>
                <w:sz w:val="12"/>
              </w:rPr>
              <w:t>58,1</w:t>
            </w:r>
          </w:p>
        </w:tc>
      </w:tr>
      <w:tr w:rsidR="00000000">
        <w:tblPrEx>
          <w:tblCellMar>
            <w:top w:w="0" w:type="dxa"/>
            <w:bottom w:w="0" w:type="dxa"/>
          </w:tblCellMar>
        </w:tblPrEx>
        <w:tc>
          <w:tcPr>
            <w:tcW w:w="135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both"/>
              <w:rPr>
                <w:sz w:val="12"/>
              </w:rPr>
            </w:pPr>
            <w:r>
              <w:rPr>
                <w:sz w:val="12"/>
              </w:rPr>
              <w:t>Партия зел</w:t>
            </w:r>
            <w:r>
              <w:rPr>
                <w:sz w:val="12"/>
              </w:rPr>
              <w:t>е</w:t>
            </w:r>
            <w:r>
              <w:rPr>
                <w:sz w:val="12"/>
              </w:rPr>
              <w:t>ных</w:t>
            </w:r>
          </w:p>
        </w:tc>
        <w:tc>
          <w:tcPr>
            <w:tcW w:w="81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right"/>
              <w:rPr>
                <w:sz w:val="12"/>
              </w:rPr>
            </w:pPr>
            <w:r>
              <w:rPr>
                <w:sz w:val="12"/>
              </w:rPr>
              <w:t>8</w:t>
            </w:r>
          </w:p>
        </w:tc>
        <w:tc>
          <w:tcPr>
            <w:tcW w:w="81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right"/>
              <w:rPr>
                <w:sz w:val="12"/>
              </w:rPr>
            </w:pPr>
            <w:r>
              <w:rPr>
                <w:sz w:val="12"/>
              </w:rPr>
              <w:t>8</w:t>
            </w:r>
          </w:p>
        </w:tc>
        <w:tc>
          <w:tcPr>
            <w:tcW w:w="90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right"/>
              <w:rPr>
                <w:sz w:val="12"/>
              </w:rPr>
            </w:pPr>
            <w:r>
              <w:rPr>
                <w:sz w:val="12"/>
              </w:rPr>
              <w:t>50,0</w:t>
            </w:r>
          </w:p>
        </w:tc>
        <w:tc>
          <w:tcPr>
            <w:tcW w:w="81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right"/>
              <w:rPr>
                <w:sz w:val="12"/>
              </w:rPr>
            </w:pPr>
            <w:r>
              <w:rPr>
                <w:sz w:val="12"/>
              </w:rPr>
              <w:t>50,0</w:t>
            </w:r>
          </w:p>
        </w:tc>
      </w:tr>
      <w:tr w:rsidR="00000000">
        <w:tblPrEx>
          <w:tblCellMar>
            <w:top w:w="0" w:type="dxa"/>
            <w:bottom w:w="0" w:type="dxa"/>
          </w:tblCellMar>
        </w:tblPrEx>
        <w:tc>
          <w:tcPr>
            <w:tcW w:w="135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both"/>
              <w:rPr>
                <w:sz w:val="12"/>
              </w:rPr>
            </w:pPr>
            <w:r>
              <w:rPr>
                <w:sz w:val="12"/>
              </w:rPr>
              <w:t>Христианские д</w:t>
            </w:r>
            <w:r>
              <w:rPr>
                <w:sz w:val="12"/>
              </w:rPr>
              <w:t>е</w:t>
            </w:r>
            <w:r>
              <w:rPr>
                <w:sz w:val="12"/>
              </w:rPr>
              <w:t>мократы</w:t>
            </w:r>
          </w:p>
        </w:tc>
        <w:tc>
          <w:tcPr>
            <w:tcW w:w="81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right"/>
              <w:rPr>
                <w:sz w:val="12"/>
              </w:rPr>
            </w:pPr>
            <w:r>
              <w:rPr>
                <w:sz w:val="12"/>
              </w:rPr>
              <w:t>17</w:t>
            </w:r>
          </w:p>
        </w:tc>
        <w:tc>
          <w:tcPr>
            <w:tcW w:w="81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right"/>
              <w:rPr>
                <w:sz w:val="12"/>
              </w:rPr>
            </w:pPr>
            <w:r>
              <w:rPr>
                <w:sz w:val="12"/>
              </w:rPr>
              <w:t>25</w:t>
            </w:r>
          </w:p>
        </w:tc>
        <w:tc>
          <w:tcPr>
            <w:tcW w:w="90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right"/>
              <w:rPr>
                <w:sz w:val="12"/>
              </w:rPr>
            </w:pPr>
            <w:r>
              <w:rPr>
                <w:sz w:val="12"/>
              </w:rPr>
              <w:t>40,5</w:t>
            </w:r>
          </w:p>
        </w:tc>
        <w:tc>
          <w:tcPr>
            <w:tcW w:w="81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right"/>
              <w:rPr>
                <w:sz w:val="12"/>
              </w:rPr>
            </w:pPr>
            <w:r>
              <w:rPr>
                <w:sz w:val="12"/>
              </w:rPr>
              <w:t>59,5</w:t>
            </w:r>
          </w:p>
        </w:tc>
      </w:tr>
      <w:tr w:rsidR="00000000">
        <w:tblPrEx>
          <w:tblCellMar>
            <w:top w:w="0" w:type="dxa"/>
            <w:bottom w:w="0" w:type="dxa"/>
          </w:tblCellMar>
        </w:tblPrEx>
        <w:tc>
          <w:tcPr>
            <w:tcW w:w="135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both"/>
              <w:rPr>
                <w:b/>
                <w:sz w:val="12"/>
              </w:rPr>
            </w:pPr>
            <w:r>
              <w:rPr>
                <w:b/>
                <w:sz w:val="12"/>
              </w:rPr>
              <w:t>Все политические партии</w:t>
            </w:r>
          </w:p>
        </w:tc>
        <w:tc>
          <w:tcPr>
            <w:tcW w:w="81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right"/>
              <w:rPr>
                <w:b/>
                <w:sz w:val="12"/>
              </w:rPr>
            </w:pPr>
            <w:r>
              <w:rPr>
                <w:b/>
                <w:sz w:val="12"/>
              </w:rPr>
              <w:t>149</w:t>
            </w:r>
          </w:p>
        </w:tc>
        <w:tc>
          <w:tcPr>
            <w:tcW w:w="81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right"/>
              <w:rPr>
                <w:b/>
                <w:sz w:val="12"/>
              </w:rPr>
            </w:pPr>
            <w:r>
              <w:rPr>
                <w:b/>
                <w:sz w:val="12"/>
              </w:rPr>
              <w:t>200</w:t>
            </w:r>
          </w:p>
        </w:tc>
        <w:tc>
          <w:tcPr>
            <w:tcW w:w="90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right"/>
              <w:rPr>
                <w:b/>
                <w:sz w:val="12"/>
              </w:rPr>
            </w:pPr>
            <w:r>
              <w:rPr>
                <w:b/>
                <w:sz w:val="12"/>
              </w:rPr>
              <w:t>43</w:t>
            </w:r>
          </w:p>
        </w:tc>
        <w:tc>
          <w:tcPr>
            <w:tcW w:w="810" w:type="dxa"/>
          </w:tcPr>
          <w:p w:rsidR="00000000" w:rsidRDefault="00000000">
            <w:pPr>
              <w:tabs>
                <w:tab w:val="left" w:pos="475"/>
                <w:tab w:val="left" w:pos="965"/>
                <w:tab w:val="left" w:pos="1440"/>
                <w:tab w:val="left" w:pos="1915"/>
                <w:tab w:val="left" w:pos="2405"/>
                <w:tab w:val="left" w:pos="2880"/>
                <w:tab w:val="left" w:pos="3355"/>
                <w:tab w:val="left" w:pos="3845"/>
              </w:tabs>
              <w:spacing w:line="240" w:lineRule="auto"/>
              <w:jc w:val="right"/>
              <w:rPr>
                <w:b/>
                <w:sz w:val="12"/>
              </w:rPr>
            </w:pPr>
            <w:r>
              <w:rPr>
                <w:b/>
                <w:sz w:val="12"/>
              </w:rPr>
              <w:t>57</w:t>
            </w:r>
          </w:p>
        </w:tc>
      </w:tr>
    </w:tbl>
    <w:p w:rsidR="00000000" w:rsidRDefault="00000000">
      <w:pPr>
        <w:tabs>
          <w:tab w:val="left" w:pos="475"/>
          <w:tab w:val="left" w:pos="965"/>
          <w:tab w:val="left" w:pos="1440"/>
          <w:tab w:val="left" w:pos="1915"/>
          <w:tab w:val="left" w:pos="2405"/>
          <w:tab w:val="left" w:pos="2880"/>
          <w:tab w:val="left" w:pos="3355"/>
          <w:tab w:val="left" w:pos="3845"/>
        </w:tabs>
        <w:spacing w:before="120" w:after="120" w:line="240" w:lineRule="auto"/>
        <w:jc w:val="both"/>
      </w:pPr>
      <w:r>
        <w:tab/>
        <w:t>Источник: Парламент Швеции</w:t>
      </w:r>
    </w:p>
    <w:p w:rsidR="00000000" w:rsidRDefault="00000000">
      <w:pPr>
        <w:tabs>
          <w:tab w:val="left" w:pos="475"/>
          <w:tab w:val="left" w:pos="965"/>
          <w:tab w:val="left" w:pos="1440"/>
          <w:tab w:val="left" w:pos="1915"/>
          <w:tab w:val="left" w:pos="2405"/>
          <w:tab w:val="left" w:pos="2880"/>
          <w:tab w:val="left" w:pos="3355"/>
          <w:tab w:val="left" w:pos="3845"/>
        </w:tabs>
        <w:jc w:val="both"/>
      </w:pPr>
      <w:r>
        <w:tab/>
        <w:t>В парламенте имеется 16 постоянных комит</w:t>
      </w:r>
      <w:r>
        <w:t>е</w:t>
      </w:r>
      <w:r>
        <w:t>тов. Наивысший уровень представительства же</w:t>
      </w:r>
      <w:r>
        <w:t>н</w:t>
      </w:r>
      <w:r>
        <w:t>щин (65 процентов) зафиксирован в Постоянном комитете по юстиции. В 12 комитетах женщины с</w:t>
      </w:r>
      <w:r>
        <w:t>о</w:t>
      </w:r>
      <w:r>
        <w:t>ставляют более 40 процентов членов. Женщины возглавляют семь из 16 комитетов. В большинстве случаев распределение председательских постов отражает традиционное разделение сфер деятел</w:t>
      </w:r>
      <w:r>
        <w:t>ь</w:t>
      </w:r>
      <w:r>
        <w:t>ности на "мужские" и "женские". Женщины во</w:t>
      </w:r>
      <w:r>
        <w:t>з</w:t>
      </w:r>
      <w:r>
        <w:t>главляют такие комитеты, как Комитет по социал</w:t>
      </w:r>
      <w:r>
        <w:t>ь</w:t>
      </w:r>
      <w:r>
        <w:t>ному страхованию, Комитет по здравоохранению и социальному обеспечению и Комитет по культу</w:t>
      </w:r>
      <w:r>
        <w:t>р</w:t>
      </w:r>
      <w:r>
        <w:t>ным вопросам. Во главе Комитета по юстиции, К</w:t>
      </w:r>
      <w:r>
        <w:t>о</w:t>
      </w:r>
      <w:r>
        <w:t>митета по гражданскому законодательству и Ком</w:t>
      </w:r>
      <w:r>
        <w:t>и</w:t>
      </w:r>
      <w:r>
        <w:t>тета по транспорту и связи также стоят женщины. Мужчины возглавляют такие комитеты, как Конст</w:t>
      </w:r>
      <w:r>
        <w:t>и</w:t>
      </w:r>
      <w:r>
        <w:t>туционный комитет, Комитет по налогообложению и Комитет по промышленности и торговле.</w:t>
      </w:r>
    </w:p>
    <w:p w:rsidR="00000000" w:rsidRDefault="00000000">
      <w:pPr>
        <w:pStyle w:val="DualTxt"/>
        <w:tabs>
          <w:tab w:val="clear" w:pos="480"/>
          <w:tab w:val="clear" w:pos="960"/>
          <w:tab w:val="left" w:pos="475"/>
          <w:tab w:val="left" w:pos="96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jc w:val="both"/>
        <w:rPr>
          <w:b/>
        </w:rPr>
      </w:pPr>
      <w:r>
        <w:rPr>
          <w:b/>
        </w:rPr>
        <w:tab/>
        <w:t>Муниципалитеты и советы ленов</w:t>
      </w:r>
    </w:p>
    <w:p w:rsidR="00000000" w:rsidRDefault="00000000">
      <w:pPr>
        <w:pStyle w:val="DualTxt"/>
        <w:tabs>
          <w:tab w:val="clear" w:pos="480"/>
          <w:tab w:val="clear" w:pos="960"/>
          <w:tab w:val="left" w:pos="475"/>
          <w:tab w:val="left" w:pos="96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ind w:firstLine="90"/>
        <w:jc w:val="both"/>
      </w:pPr>
      <w:r>
        <w:tab/>
        <w:t>С момента написания предыдущего доклада не произошло никаких изменений в уровне представ</w:t>
      </w:r>
      <w:r>
        <w:t>и</w:t>
      </w:r>
      <w:r>
        <w:t>тельства женщин в муниципалитетах (41 процент) и советах ленов (48 процентов).</w:t>
      </w:r>
    </w:p>
    <w:p w:rsidR="00000000" w:rsidRDefault="00000000">
      <w:pPr>
        <w:tabs>
          <w:tab w:val="left" w:pos="475"/>
          <w:tab w:val="left" w:pos="965"/>
          <w:tab w:val="left" w:pos="1440"/>
          <w:tab w:val="left" w:pos="1915"/>
          <w:tab w:val="left" w:pos="2405"/>
          <w:tab w:val="left" w:pos="2880"/>
          <w:tab w:val="left" w:pos="3355"/>
          <w:tab w:val="left" w:pos="3845"/>
        </w:tabs>
        <w:jc w:val="both"/>
      </w:pPr>
      <w:r>
        <w:tab/>
        <w:t>В 1996 году правительство Швеции выделило средства как Шведской ассоциации местных орг</w:t>
      </w:r>
      <w:r>
        <w:t>а</w:t>
      </w:r>
      <w:r>
        <w:t>нов власти, так и Федерации советов ленов на ре</w:t>
      </w:r>
      <w:r>
        <w:t>а</w:t>
      </w:r>
      <w:r>
        <w:t>лизацию проекта, нацеленного, среди прочего, на увеличение представительства женщин в муниц</w:t>
      </w:r>
      <w:r>
        <w:t>и</w:t>
      </w:r>
      <w:r>
        <w:t>пальных комитетах и советах. Цель данного проекта заключалась в том, чтобы содействовать участию женщин в политической жизни, особо подчеркнуть позицию мужчин в связи с проблемой равенства п</w:t>
      </w:r>
      <w:r>
        <w:t>о</w:t>
      </w:r>
      <w:r>
        <w:t>лов и разработать практические методы, направле</w:t>
      </w:r>
      <w:r>
        <w:t>н</w:t>
      </w:r>
      <w:r>
        <w:t>ные на увеличение представительства женщин. О</w:t>
      </w:r>
      <w:r>
        <w:t>д</w:t>
      </w:r>
      <w:r>
        <w:t>на из важных задач проекта предусматривала улу</w:t>
      </w:r>
      <w:r>
        <w:t>ч</w:t>
      </w:r>
      <w:r>
        <w:t>шение условий для совмещения участия в полит</w:t>
      </w:r>
      <w:r>
        <w:t>и</w:t>
      </w:r>
      <w:r>
        <w:t>ческой жизни, выполнения семейных и трудовых обязанностей. Опыт, полученный в результате ре</w:t>
      </w:r>
      <w:r>
        <w:t>а</w:t>
      </w:r>
      <w:r>
        <w:t>лизации данного проекта, лег в основу методич</w:t>
      </w:r>
      <w:r>
        <w:t>е</w:t>
      </w:r>
      <w:r>
        <w:t>ских материалов и видеофильма, демонстрирова</w:t>
      </w:r>
      <w:r>
        <w:t>в</w:t>
      </w:r>
      <w:r>
        <w:t>шихся осенью 1999 года на различных с</w:t>
      </w:r>
      <w:r>
        <w:t>е</w:t>
      </w:r>
      <w:r>
        <w:t>минарах.</w:t>
      </w:r>
    </w:p>
    <w:p w:rsidR="00000000" w:rsidRDefault="00000000">
      <w:pPr>
        <w:pStyle w:val="DualTxt"/>
        <w:tabs>
          <w:tab w:val="clear" w:pos="480"/>
          <w:tab w:val="clear" w:pos="960"/>
          <w:tab w:val="left" w:pos="475"/>
          <w:tab w:val="left" w:pos="96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jc w:val="both"/>
        <w:rPr>
          <w:b/>
        </w:rPr>
      </w:pPr>
      <w:r>
        <w:rPr>
          <w:b/>
        </w:rPr>
        <w:tab/>
        <w:t>Правительственные советы</w:t>
      </w:r>
    </w:p>
    <w:p w:rsidR="00000000" w:rsidRDefault="00000000">
      <w:pPr>
        <w:pStyle w:val="DualTxt"/>
        <w:tabs>
          <w:tab w:val="clear" w:pos="480"/>
          <w:tab w:val="clear" w:pos="960"/>
          <w:tab w:val="left" w:pos="475"/>
          <w:tab w:val="left" w:pos="96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1999 году в центральных правительственных советах доля женщин составляла в общей сложн</w:t>
      </w:r>
      <w:r>
        <w:t>о</w:t>
      </w:r>
      <w:r>
        <w:t>сти 46 процентов, а в выборных учреждениях при региональных органах самоуправления — 43 пр</w:t>
      </w:r>
      <w:r>
        <w:t>о</w:t>
      </w:r>
      <w:r>
        <w:t>цента. Это означает, что цель обеспечить равное представительство мужчин и женщин в централ</w:t>
      </w:r>
      <w:r>
        <w:t>ь</w:t>
      </w:r>
      <w:r>
        <w:t>ных правительственных и региональных советах, предусмотренная в десятилетнем плане правител</w:t>
      </w:r>
      <w:r>
        <w:t>ь</w:t>
      </w:r>
      <w:r>
        <w:t>ства Швеции (см. четвертый доклад Швеции), пока еще не достигнута.</w:t>
      </w:r>
    </w:p>
    <w:p w:rsidR="00000000" w:rsidRDefault="00000000">
      <w:pPr>
        <w:tabs>
          <w:tab w:val="left" w:pos="475"/>
          <w:tab w:val="left" w:pos="965"/>
          <w:tab w:val="left" w:pos="1440"/>
          <w:tab w:val="left" w:pos="1915"/>
          <w:tab w:val="left" w:pos="2405"/>
          <w:tab w:val="left" w:pos="2880"/>
          <w:tab w:val="left" w:pos="3355"/>
          <w:tab w:val="left" w:pos="3845"/>
        </w:tabs>
        <w:jc w:val="both"/>
      </w:pPr>
      <w:r>
        <w:tab/>
        <w:t>Доля женщин в правлениях компаний, нах</w:t>
      </w:r>
      <w:r>
        <w:t>о</w:t>
      </w:r>
      <w:r>
        <w:t>дящихся под контролем государства, составляла в 1999 году 28 процентов. Задача правительства с</w:t>
      </w:r>
      <w:r>
        <w:t>о</w:t>
      </w:r>
      <w:r>
        <w:t>стоит в том, чтобы довести уровень представител</w:t>
      </w:r>
      <w:r>
        <w:t>ь</w:t>
      </w:r>
      <w:r>
        <w:t>ства женщин в правлениях контролируемых гос</w:t>
      </w:r>
      <w:r>
        <w:t>у</w:t>
      </w:r>
      <w:r>
        <w:t>дарством компаний как минимум до 40 процентов к 2003 году.</w:t>
      </w:r>
    </w:p>
    <w:p w:rsidR="00000000" w:rsidRDefault="00000000">
      <w:pPr>
        <w:pStyle w:val="DualTxt"/>
        <w:tabs>
          <w:tab w:val="clear" w:pos="480"/>
          <w:tab w:val="clear" w:pos="960"/>
          <w:tab w:val="left" w:pos="475"/>
          <w:tab w:val="left" w:pos="96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jc w:val="both"/>
        <w:rPr>
          <w:b/>
        </w:rPr>
      </w:pPr>
      <w:r>
        <w:rPr>
          <w:b/>
        </w:rPr>
        <w:tab/>
        <w:t>Центральные правительственные советы</w:t>
      </w:r>
    </w:p>
    <w:p w:rsidR="00000000" w:rsidRDefault="00000000">
      <w:pPr>
        <w:pStyle w:val="DualTxt"/>
        <w:tabs>
          <w:tab w:val="clear" w:pos="480"/>
          <w:tab w:val="clear" w:pos="960"/>
          <w:tab w:val="left" w:pos="475"/>
          <w:tab w:val="left" w:pos="96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1999 году женщины составляли 46 проце</w:t>
      </w:r>
      <w:r>
        <w:t>н</w:t>
      </w:r>
      <w:r>
        <w:t>тов служащих центральных правительственных с</w:t>
      </w:r>
      <w:r>
        <w:t>о</w:t>
      </w:r>
      <w:r>
        <w:t>ветов. В 1995 году этот показатель составлял 42 процента. Среди руководителей центральных сов</w:t>
      </w:r>
      <w:r>
        <w:t>е</w:t>
      </w:r>
      <w:r>
        <w:t>тов женщины составляли 28 процентов, что на шесть процентов меньше по сравнению с 1998 г</w:t>
      </w:r>
      <w:r>
        <w:t>о</w:t>
      </w:r>
      <w:r>
        <w:t>дом.</w:t>
      </w:r>
    </w:p>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both"/>
        <w:rPr>
          <w:b/>
          <w:sz w:val="10"/>
        </w:rPr>
      </w:pPr>
    </w:p>
    <w:p w:rsidR="00000000" w:rsidRDefault="00000000">
      <w:pPr>
        <w:tabs>
          <w:tab w:val="left" w:pos="475"/>
          <w:tab w:val="left" w:pos="965"/>
          <w:tab w:val="left" w:pos="1440"/>
          <w:tab w:val="left" w:pos="1915"/>
          <w:tab w:val="left" w:pos="2405"/>
          <w:tab w:val="left" w:pos="2880"/>
          <w:tab w:val="left" w:pos="3355"/>
          <w:tab w:val="left" w:pos="3845"/>
        </w:tabs>
        <w:suppressAutoHyphens/>
        <w:spacing w:after="120"/>
        <w:ind w:left="475" w:hanging="475"/>
        <w:rPr>
          <w:b/>
        </w:rPr>
      </w:pPr>
      <w:r>
        <w:rPr>
          <w:b/>
        </w:rPr>
        <w:tab/>
        <w:t>Выборные советы при региональных органах самоуправления</w:t>
      </w:r>
    </w:p>
    <w:p w:rsidR="00000000" w:rsidRDefault="00000000">
      <w:pPr>
        <w:tabs>
          <w:tab w:val="left" w:pos="475"/>
          <w:tab w:val="left" w:pos="965"/>
          <w:tab w:val="left" w:pos="1440"/>
          <w:tab w:val="left" w:pos="1915"/>
          <w:tab w:val="left" w:pos="2405"/>
          <w:tab w:val="left" w:pos="2880"/>
          <w:tab w:val="left" w:pos="3355"/>
          <w:tab w:val="left" w:pos="3845"/>
        </w:tabs>
        <w:jc w:val="both"/>
      </w:pPr>
      <w:r>
        <w:tab/>
        <w:t>На региональном уровне в 1999 году предст</w:t>
      </w:r>
      <w:r>
        <w:t>а</w:t>
      </w:r>
      <w:r>
        <w:t>вительство женщин находилось на уровне 43 пр</w:t>
      </w:r>
      <w:r>
        <w:t>о</w:t>
      </w:r>
      <w:r>
        <w:t>центов. В 1995 году этот показатель составлял 34 процента. На региональном уровне у правительства имеется меньше возможностей для оказания во</w:t>
      </w:r>
      <w:r>
        <w:t>з</w:t>
      </w:r>
      <w:r>
        <w:t>действия на процедуру выдвижения кандидатов.</w:t>
      </w:r>
    </w:p>
    <w:p w:rsidR="00000000" w:rsidRDefault="00000000">
      <w:pPr>
        <w:pStyle w:val="DualTxt"/>
        <w:tabs>
          <w:tab w:val="clear" w:pos="480"/>
          <w:tab w:val="clear" w:pos="960"/>
          <w:tab w:val="left" w:pos="475"/>
          <w:tab w:val="left" w:pos="96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uppressAutoHyphens/>
        <w:ind w:left="475" w:hanging="475"/>
        <w:rPr>
          <w:b/>
        </w:rPr>
      </w:pPr>
      <w:r>
        <w:rPr>
          <w:b/>
        </w:rPr>
        <w:tab/>
        <w:t>Меры по увеличению представительства же</w:t>
      </w:r>
      <w:r>
        <w:rPr>
          <w:b/>
        </w:rPr>
        <w:t>н</w:t>
      </w:r>
      <w:r>
        <w:rPr>
          <w:b/>
        </w:rPr>
        <w:t>щин</w:t>
      </w:r>
    </w:p>
    <w:p w:rsidR="00000000" w:rsidRDefault="00000000">
      <w:pPr>
        <w:pStyle w:val="DualTxt"/>
        <w:tabs>
          <w:tab w:val="clear" w:pos="480"/>
          <w:tab w:val="clear" w:pos="960"/>
          <w:tab w:val="left" w:pos="475"/>
          <w:tab w:val="left" w:pos="96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Меры, предпринятые до настоящего времени с тем, чтобы увеличить представительство женщин в правительственных советах, можно разделить на три группы: ужесточение внутренних процедур при назначении правительством служащих советов, ра</w:t>
      </w:r>
      <w:r>
        <w:t>з</w:t>
      </w:r>
      <w:r>
        <w:t>личные стимулы по увеличению доли женщин, а также разъяснение структурных различий, обусло</w:t>
      </w:r>
      <w:r>
        <w:t>в</w:t>
      </w:r>
      <w:r>
        <w:t>ленных гендерными факторами, путем распростр</w:t>
      </w:r>
      <w:r>
        <w:t>а</w:t>
      </w:r>
      <w:r>
        <w:t>нения ст</w:t>
      </w:r>
      <w:r>
        <w:t>а</w:t>
      </w:r>
      <w:r>
        <w:t>тистических данных.</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Имеются четкие директивы относительно пр</w:t>
      </w:r>
      <w:r>
        <w:t>о</w:t>
      </w:r>
      <w:r>
        <w:t>цедур отбора кандидатов на посты членов советов и комитетов центрального правительства. При в</w:t>
      </w:r>
      <w:r>
        <w:t>ы</w:t>
      </w:r>
      <w:r>
        <w:t>движении кандидатур, например, в обязательном порядке необходимо включать кандидатуры как женщин, так и мужчин. Поощрительные меры включали, в основном, выделение средств наци</w:t>
      </w:r>
      <w:r>
        <w:t>о</w:t>
      </w:r>
      <w:r>
        <w:t>нальным агентствам, организациям и т. д. на реал</w:t>
      </w:r>
      <w:r>
        <w:t>и</w:t>
      </w:r>
      <w:r>
        <w:t>зацию проектов и другие виды деятельности.</w:t>
      </w:r>
    </w:p>
    <w:p w:rsidR="00000000" w:rsidRDefault="00000000">
      <w:pPr>
        <w:tabs>
          <w:tab w:val="left" w:pos="475"/>
          <w:tab w:val="left" w:pos="965"/>
          <w:tab w:val="left" w:pos="1440"/>
          <w:tab w:val="left" w:pos="1915"/>
          <w:tab w:val="left" w:pos="2405"/>
          <w:tab w:val="left" w:pos="2880"/>
          <w:tab w:val="left" w:pos="3355"/>
          <w:tab w:val="left" w:pos="3845"/>
        </w:tabs>
        <w:jc w:val="both"/>
      </w:pPr>
      <w:r>
        <w:tab/>
        <w:t>Что касается представителей в советах и ком</w:t>
      </w:r>
      <w:r>
        <w:t>и</w:t>
      </w:r>
      <w:r>
        <w:t>тетах центрального правительства, то здесь прав</w:t>
      </w:r>
      <w:r>
        <w:t>и</w:t>
      </w:r>
      <w:r>
        <w:t>тельство имеет возможность оказывать непосредс</w:t>
      </w:r>
      <w:r>
        <w:t>т</w:t>
      </w:r>
      <w:r>
        <w:t>венное воздействие на развитие событий. Задача правительства состоит в том, чтобы добиться сб</w:t>
      </w:r>
      <w:r>
        <w:t>а</w:t>
      </w:r>
      <w:r>
        <w:t>лансированного представительства мужчин и же</w:t>
      </w:r>
      <w:r>
        <w:t>н</w:t>
      </w:r>
      <w:r>
        <w:t>щин в советах и комитетах центрального прав</w:t>
      </w:r>
      <w:r>
        <w:t>и</w:t>
      </w:r>
      <w:r>
        <w:t>тельства не позднее 2001 года.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8</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После присоединения Швеции к Европейскому союзу в 1995 году правительство Швеции приним</w:t>
      </w:r>
      <w:r>
        <w:t>а</w:t>
      </w:r>
      <w:r>
        <w:t>ло меры с тем, чтобы повлиять на назначение му</w:t>
      </w:r>
      <w:r>
        <w:t>ж</w:t>
      </w:r>
      <w:r>
        <w:t>чин и женщин на посты в учреждениях ЕС. Однако возможности правительства в том, что касается во</w:t>
      </w:r>
      <w:r>
        <w:t>з</w:t>
      </w:r>
      <w:r>
        <w:t>действия на отбор кандидатов, ограничены высш</w:t>
      </w:r>
      <w:r>
        <w:t>и</w:t>
      </w:r>
      <w:r>
        <w:t>ми постами (А1) и, до некоторой степени, постами директоров (А2). По состоянию на февраль 1999 г</w:t>
      </w:r>
      <w:r>
        <w:t>о</w:t>
      </w:r>
      <w:r>
        <w:t>да, в том или ином учреждении ЕС на постах уро</w:t>
      </w:r>
      <w:r>
        <w:t>в</w:t>
      </w:r>
      <w:r>
        <w:t>ня А находилось 97 женщин и 158 мужчин из Шв</w:t>
      </w:r>
      <w:r>
        <w:t>е</w:t>
      </w:r>
      <w:r>
        <w:t>ции, что в итоге составило 255 должностных лиц. Большинство из них, а именно 161 должностное лицо — 65 женщин и 96 мужчин — являлись с</w:t>
      </w:r>
      <w:r>
        <w:t>о</w:t>
      </w:r>
      <w:r>
        <w:t>трудниками Комиссии. Следует отметить, что на 1 февраля 1999 года из 15 граждан Швеции, зан</w:t>
      </w:r>
      <w:r>
        <w:t>и</w:t>
      </w:r>
      <w:r>
        <w:t>мавших в Комиссии посты уровня директора по</w:t>
      </w:r>
      <w:r>
        <w:t>д</w:t>
      </w:r>
      <w:r>
        <w:t>разделения, 8 были женщинами.</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Общее число шведских сотрудников в том или ином учреждении ЕС, составило в феврале 1999 г</w:t>
      </w:r>
      <w:r>
        <w:t>о</w:t>
      </w:r>
      <w:r>
        <w:t>да 870 человек, 558 из которых были женщинами, а 312 — мужчинами. 777 сотрудников из 870 имели постоянные контракты, а 93 — временные. Служ</w:t>
      </w:r>
      <w:r>
        <w:t>а</w:t>
      </w:r>
      <w:r>
        <w:t>щие, имевшие постоянные контракты, включали 506 женщин и 271 мужчину. Соответствующие п</w:t>
      </w:r>
      <w:r>
        <w:t>о</w:t>
      </w:r>
      <w:r>
        <w:t>казатели для служащих на временных контрактах составили 52 и 41, соответственно. Приведенные выше данные означают, что среди служащих на всех уровнях управления, очевидно, преобладают же</w:t>
      </w:r>
      <w:r>
        <w:t>н</w:t>
      </w:r>
      <w:r>
        <w:t>щины из Швеции.</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Самые последние статистические данные о представительстве женщин из Швеции в междун</w:t>
      </w:r>
      <w:r>
        <w:t>а</w:t>
      </w:r>
      <w:r>
        <w:t>родных организациях, за исключением ЕС, относя</w:t>
      </w:r>
      <w:r>
        <w:t>т</w:t>
      </w:r>
      <w:r>
        <w:t>ся к ноябрю 1999 года. На тот момент в штате Се</w:t>
      </w:r>
      <w:r>
        <w:t>к</w:t>
      </w:r>
      <w:r>
        <w:t>ретариате Организации Объединенных Наций с</w:t>
      </w:r>
      <w:r>
        <w:t>о</w:t>
      </w:r>
      <w:r>
        <w:t>стояли 104 гражданина Швеции: 40 женщин и 66 мужчин. Четверо женщин занимали посты уровня Д-1 в ЮНИСЕФ (1), ПРООН (1) и Секретариате Организации Объединенных Наций (2). Три же</w:t>
      </w:r>
      <w:r>
        <w:t>н</w:t>
      </w:r>
      <w:r>
        <w:t>щины занимали посты уровня D-2 в ЮНИСЕФ (1) и Секретариате Организации Объединенных Наций (2).</w:t>
      </w:r>
    </w:p>
    <w:p w:rsidR="00000000" w:rsidRDefault="00000000">
      <w:pPr>
        <w:tabs>
          <w:tab w:val="left" w:pos="475"/>
          <w:tab w:val="left" w:pos="965"/>
          <w:tab w:val="left" w:pos="1440"/>
          <w:tab w:val="left" w:pos="1915"/>
          <w:tab w:val="left" w:pos="2405"/>
          <w:tab w:val="left" w:pos="2880"/>
          <w:tab w:val="left" w:pos="3355"/>
          <w:tab w:val="left" w:pos="3845"/>
        </w:tabs>
        <w:jc w:val="both"/>
      </w:pPr>
      <w:r>
        <w:tab/>
        <w:t>В 1999 году в штате министерства иностра</w:t>
      </w:r>
      <w:r>
        <w:t>н</w:t>
      </w:r>
      <w:r>
        <w:t>ных дел Швеции состояли 117 послов и генерал</w:t>
      </w:r>
      <w:r>
        <w:t>ь</w:t>
      </w:r>
      <w:r>
        <w:t>ных консулов. 14 из них (12 процентов) были же</w:t>
      </w:r>
      <w:r>
        <w:t>н</w:t>
      </w:r>
      <w:r>
        <w:t>щинами, а 103 (88 процентов) — мужчинами. Соо</w:t>
      </w:r>
      <w:r>
        <w:t>т</w:t>
      </w:r>
      <w:r>
        <w:t>ветствующие данные за 1990 год: 6 женщин против 86 мужчин, а за 1995 год: 11 женщин против 82 мужчин.</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9</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9.1</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tab/>
        <w:t>См. второй доклад Швеции.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9.2</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tab/>
        <w:t>См. второй доклад и третий доклад Швеции.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line="300" w:lineRule="exact"/>
        <w:jc w:val="both"/>
        <w:rPr>
          <w:b/>
          <w:sz w:val="28"/>
        </w:rPr>
      </w:pPr>
      <w:r>
        <w:rPr>
          <w:b/>
          <w:sz w:val="28"/>
        </w:rPr>
        <w:t>Часть III</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10</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tab/>
        <w:t>См. второй и четвертый доклады Швеции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10(a)</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uppressAutoHyphens/>
        <w:ind w:left="475" w:hanging="475"/>
        <w:rPr>
          <w:b/>
        </w:rPr>
      </w:pPr>
      <w:r>
        <w:rPr>
          <w:b/>
        </w:rPr>
        <w:tab/>
        <w:t>Дошкольное, начальное, незаконченное среднее и полное среднее образование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Проблеме достижения равенства полов удел</w:t>
      </w:r>
      <w:r>
        <w:t>я</w:t>
      </w:r>
      <w:r>
        <w:t>ется особое внимание во всех школьных програ</w:t>
      </w:r>
      <w:r>
        <w:t>м</w:t>
      </w:r>
      <w:r>
        <w:t>мах. В программах дошкольного образования, н</w:t>
      </w:r>
      <w:r>
        <w:t>а</w:t>
      </w:r>
      <w:r>
        <w:t>пример, особо подчеркивается, что школы будут прилагать усилия для искоренения традиционных гендерных ролей и стереотипов, для активного п</w:t>
      </w:r>
      <w:r>
        <w:t>о</w:t>
      </w:r>
      <w:r>
        <w:t>ощрения девочек и мальчиков к развитию своих способностей и интересов независимо от половой принадлежности. В учебных планах обязательной школы зафиксировано, что все школы будут обесп</w:t>
      </w:r>
      <w:r>
        <w:t>е</w:t>
      </w:r>
      <w:r>
        <w:t>чивать женщинам и мужчинам равные права и во</w:t>
      </w:r>
      <w:r>
        <w:t>з</w:t>
      </w:r>
      <w:r>
        <w:t xml:space="preserve">можности. </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Достижение равенства полов в школе является педагогической проблемой, для решения которой требуются учителя, обладающие знаниями и квал</w:t>
      </w:r>
      <w:r>
        <w:t>и</w:t>
      </w:r>
      <w:r>
        <w:t>фикацией. Между девочками и мальчиками сущес</w:t>
      </w:r>
      <w:r>
        <w:t>т</w:t>
      </w:r>
      <w:r>
        <w:t>вуют различия в том, что касается овладения школьной программой, авторитета, внимания, пол</w:t>
      </w:r>
      <w:r>
        <w:t>у</w:t>
      </w:r>
      <w:r>
        <w:t>чаемого от учителей, выбора учебных программ в старших классах средней школы и т. д. Девочки з</w:t>
      </w:r>
      <w:r>
        <w:t>а</w:t>
      </w:r>
      <w:r>
        <w:t>метно более успешно, чем мальчики, овладевают программой обязательной школы как при новой, так и при старой системе оценки успеваемости. За и</w:t>
      </w:r>
      <w:r>
        <w:t>с</w:t>
      </w:r>
      <w:r>
        <w:t>ключением физической культуры, мальчики, чаще чем девочки, получают средние оценки, в то время как девочки чаще отличаются высокой или очень хорошей успеваемостью. Поэтому крайне важно адаптировать школьное обучение таким образом, чтобы оно соответствовало интересам как мальч</w:t>
      </w:r>
      <w:r>
        <w:t>и</w:t>
      </w:r>
      <w:r>
        <w:t>ков, так и девочек, а также потребностям их соци</w:t>
      </w:r>
      <w:r>
        <w:t>а</w:t>
      </w:r>
      <w:r>
        <w:t>лизации.</w:t>
      </w:r>
    </w:p>
    <w:p w:rsidR="00000000" w:rsidRDefault="00000000">
      <w:pPr>
        <w:keepNext/>
        <w:tabs>
          <w:tab w:val="left" w:pos="475"/>
          <w:tab w:val="left" w:pos="965"/>
          <w:tab w:val="left" w:pos="1440"/>
          <w:tab w:val="left" w:pos="1915"/>
          <w:tab w:val="left" w:pos="2405"/>
          <w:tab w:val="left" w:pos="2880"/>
          <w:tab w:val="left" w:pos="3355"/>
          <w:tab w:val="left" w:pos="3845"/>
        </w:tabs>
        <w:spacing w:line="120" w:lineRule="exact"/>
        <w:jc w:val="both"/>
        <w:rPr>
          <w:b/>
          <w:sz w:val="10"/>
        </w:rPr>
      </w:pPr>
    </w:p>
    <w:p w:rsidR="00000000" w:rsidRDefault="00000000">
      <w:pPr>
        <w:keepNext/>
        <w:tabs>
          <w:tab w:val="left" w:pos="475"/>
          <w:tab w:val="left" w:pos="965"/>
          <w:tab w:val="left" w:pos="1440"/>
          <w:tab w:val="left" w:pos="1915"/>
          <w:tab w:val="left" w:pos="2405"/>
          <w:tab w:val="left" w:pos="2880"/>
          <w:tab w:val="left" w:pos="3355"/>
          <w:tab w:val="left" w:pos="3845"/>
        </w:tabs>
        <w:suppressAutoHyphens/>
        <w:ind w:left="475" w:hanging="475"/>
        <w:rPr>
          <w:b/>
        </w:rPr>
      </w:pPr>
      <w:r>
        <w:rPr>
          <w:b/>
        </w:rPr>
        <w:tab/>
        <w:t>Выбор программ обучения, обусловленный ге</w:t>
      </w:r>
      <w:r>
        <w:rPr>
          <w:b/>
        </w:rPr>
        <w:t>н</w:t>
      </w:r>
      <w:r>
        <w:rPr>
          <w:b/>
        </w:rPr>
        <w:t>дерными факторами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Доля девочек, заканчивающих обязательную школу и выбирающих в старших классах средней школы программу научно-технического направл</w:t>
      </w:r>
      <w:r>
        <w:t>е</w:t>
      </w:r>
      <w:r>
        <w:t>ния, с 1993 года возросла незначительно (34 пр</w:t>
      </w:r>
      <w:r>
        <w:t>о</w:t>
      </w:r>
      <w:r>
        <w:t>цента). В 1999 году доля девочек составляла 40 процентов, что означает ежегодный прирост на один процент. Доля учащихся одной возрастной группы, выбирающих программу научно–технич</w:t>
      </w:r>
      <w:r>
        <w:t>е</w:t>
      </w:r>
      <w:r>
        <w:t>ского направления, составляла в 1993 году 18 пр</w:t>
      </w:r>
      <w:r>
        <w:t>о</w:t>
      </w:r>
      <w:r>
        <w:t>центов. Соответствующий показатель для 1999 года равнялся 22 процентам.</w:t>
      </w:r>
    </w:p>
    <w:p w:rsidR="00000000" w:rsidRDefault="00000000">
      <w:pPr>
        <w:tabs>
          <w:tab w:val="left" w:pos="475"/>
          <w:tab w:val="left" w:pos="965"/>
          <w:tab w:val="left" w:pos="1440"/>
          <w:tab w:val="left" w:pos="1915"/>
          <w:tab w:val="left" w:pos="2405"/>
          <w:tab w:val="left" w:pos="2880"/>
          <w:tab w:val="left" w:pos="3355"/>
          <w:tab w:val="left" w:pos="3845"/>
        </w:tabs>
        <w:jc w:val="both"/>
      </w:pPr>
      <w:r>
        <w:tab/>
        <w:t>Что касается 2000 года, то в старших классах средней школы была введена программа, посв</w:t>
      </w:r>
      <w:r>
        <w:t>я</w:t>
      </w:r>
      <w:r>
        <w:t>щенная новым технологиям. Эта новая учебная программа рассчитана на то, чтобы привлечь бол</w:t>
      </w:r>
      <w:r>
        <w:t>ь</w:t>
      </w:r>
      <w:r>
        <w:t>шее число как девочек, так и мальчиков к этой фо</w:t>
      </w:r>
      <w:r>
        <w:t>р</w:t>
      </w:r>
      <w:r>
        <w:t>ме обуч</w:t>
      </w:r>
      <w:r>
        <w:t>е</w:t>
      </w:r>
      <w:r>
        <w:t>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jc w:val="both"/>
        <w:rPr>
          <w:b/>
        </w:rPr>
      </w:pPr>
      <w:r>
        <w:rPr>
          <w:b/>
        </w:rPr>
        <w:tab/>
        <w:t>Школьные проекты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1998 году по инициативе омбудсмена по равным возможностям началось осуществление проекта по обеспечению равенства полов и предо</w:t>
      </w:r>
      <w:r>
        <w:t>т</w:t>
      </w:r>
      <w:r>
        <w:t>вращение случаев сексуальных домогательств в школах. На основе проекта были организованы ку</w:t>
      </w:r>
      <w:r>
        <w:t>р</w:t>
      </w:r>
      <w:r>
        <w:t>сы по этой тематике для работников школьного о</w:t>
      </w:r>
      <w:r>
        <w:t>б</w:t>
      </w:r>
      <w:r>
        <w:t>разования из всех районов Швеции и было подг</w:t>
      </w:r>
      <w:r>
        <w:t>о</w:t>
      </w:r>
      <w:r>
        <w:t>товлено руководство по предупреждению запугив</w:t>
      </w:r>
      <w:r>
        <w:t>а</w:t>
      </w:r>
      <w:r>
        <w:t>ния и домогательств, обусловленных гендерными факторами.</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Министерством образования и науки начата реализация проекта, связанного с "общими осно</w:t>
      </w:r>
      <w:r>
        <w:t>в</w:t>
      </w:r>
      <w:r>
        <w:t>ными ценностями". Его задача состоит в том, чтобы оказать поддержку и содействие усилиям на местах, нацеленным на пропаганду основных демократич</w:t>
      </w:r>
      <w:r>
        <w:t>е</w:t>
      </w:r>
      <w:r>
        <w:t>ских ценностей в рамках дошкольного, школьного и профессионального образования. В связи с этим важной проблемой остается равенство полов. В т</w:t>
      </w:r>
      <w:r>
        <w:t>е</w:t>
      </w:r>
      <w:r>
        <w:t>чение первого года в ходе реализации проекта были выявлены знания и опыт, имеющиеся в этой обла</w:t>
      </w:r>
      <w:r>
        <w:t>с</w:t>
      </w:r>
      <w:r>
        <w:t>ти, а в 2000 году этот материал подвергся анализу и оценке. Осуществление этого проекта было заве</w:t>
      </w:r>
      <w:r>
        <w:t>р</w:t>
      </w:r>
      <w:r>
        <w:t>шено в марте 2000 года. В рамках проекта был по</w:t>
      </w:r>
      <w:r>
        <w:t>д</w:t>
      </w:r>
      <w:r>
        <w:t>готовлен учебный материал для проведения акти</w:t>
      </w:r>
      <w:r>
        <w:t>в</w:t>
      </w:r>
      <w:r>
        <w:t>ных дискуссий по вопросам демократии, норм и этики в детских дошкольных учреждениях и н</w:t>
      </w:r>
      <w:r>
        <w:t>а</w:t>
      </w:r>
      <w:r>
        <w:t>чальных школах. Кроме того, были подготовлены книга и три подробных доклада, рассчитанные на взрослую аудиторию.</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Национальному управлению образования было поручено подготовить справочный материал, к</w:t>
      </w:r>
      <w:r>
        <w:t>а</w:t>
      </w:r>
      <w:r>
        <w:t>сающийся способов решения на местах таких пр</w:t>
      </w:r>
      <w:r>
        <w:t>о</w:t>
      </w:r>
      <w:r>
        <w:t>блем, имеющих отношение к общим ценностям, как запугивание и домогательства по гендерным пр</w:t>
      </w:r>
      <w:r>
        <w:t>и</w:t>
      </w:r>
      <w:r>
        <w:t>знакам.</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1999 году Национальному управлению обр</w:t>
      </w:r>
      <w:r>
        <w:t>а</w:t>
      </w:r>
      <w:r>
        <w:t>зования было поручено изучить, с точки зрения а</w:t>
      </w:r>
      <w:r>
        <w:t>с</w:t>
      </w:r>
      <w:r>
        <w:t>пекта равенства полов, организацию системы пол</w:t>
      </w:r>
      <w:r>
        <w:t>о</w:t>
      </w:r>
      <w:r>
        <w:t>вого просвещения в школах. Вслед за этим перед Управлением была поставлена другая задача, а именно — подготовить долгосрочные стратегич</w:t>
      </w:r>
      <w:r>
        <w:t>е</w:t>
      </w:r>
      <w:r>
        <w:t>ские планы деятельности Управления в области о</w:t>
      </w:r>
      <w:r>
        <w:t>с</w:t>
      </w:r>
      <w:r>
        <w:t>новных демократических ценностей. Эта задача связана также с разработкой стратегии деятельн</w:t>
      </w:r>
      <w:r>
        <w:t>о</w:t>
      </w:r>
      <w:r>
        <w:t>сти Управления по достижению равенства полов в шк</w:t>
      </w:r>
      <w:r>
        <w:t>о</w:t>
      </w:r>
      <w:r>
        <w:t>ле.</w:t>
      </w:r>
    </w:p>
    <w:p w:rsidR="00000000" w:rsidRDefault="00000000">
      <w:pPr>
        <w:tabs>
          <w:tab w:val="left" w:pos="475"/>
          <w:tab w:val="left" w:pos="965"/>
          <w:tab w:val="left" w:pos="1440"/>
          <w:tab w:val="left" w:pos="1915"/>
          <w:tab w:val="left" w:pos="2405"/>
          <w:tab w:val="left" w:pos="2880"/>
          <w:tab w:val="left" w:pos="3355"/>
          <w:tab w:val="left" w:pos="3845"/>
        </w:tabs>
        <w:jc w:val="both"/>
      </w:pPr>
      <w:r>
        <w:tab/>
        <w:t>В учебных планах обязательной школы, к</w:t>
      </w:r>
      <w:r>
        <w:t>а</w:t>
      </w:r>
      <w:r>
        <w:t>сающихся, например, социальных дисциплин, по</w:t>
      </w:r>
      <w:r>
        <w:t>д</w:t>
      </w:r>
      <w:r>
        <w:t>черкивается, что учащимся будет предоставлена возможность обсуждать и рассматривать вопросы сексуальности, личной идентификации, любви и р</w:t>
      </w:r>
      <w:r>
        <w:t>а</w:t>
      </w:r>
      <w:r>
        <w:t>ве</w:t>
      </w:r>
      <w:r>
        <w:t>н</w:t>
      </w:r>
      <w:r>
        <w:t>ства полов.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jc w:val="both"/>
        <w:rPr>
          <w:b/>
        </w:rPr>
      </w:pPr>
      <w:r>
        <w:rPr>
          <w:b/>
        </w:rPr>
        <w:tab/>
        <w:t>Высшее образование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Университеты и университетские колледжи призваны в первую очередь обеспечивать равенство полов в этом секторе. Для достижения равенства полов в сфере высшего образования правительство принимает меры, с тем чтобы добиться более сб</w:t>
      </w:r>
      <w:r>
        <w:t>а</w:t>
      </w:r>
      <w:r>
        <w:t>лансированного представительства мужчин и же</w:t>
      </w:r>
      <w:r>
        <w:t>н</w:t>
      </w:r>
      <w:r>
        <w:t>щин среди профессорско-преподавательского с</w:t>
      </w:r>
      <w:r>
        <w:t>о</w:t>
      </w:r>
      <w:r>
        <w:t>става, изменить систему выбора изучаемых дисци</w:t>
      </w:r>
      <w:r>
        <w:t>п</w:t>
      </w:r>
      <w:r>
        <w:t>лин, обусловленную гендерными факторами, вкл</w:t>
      </w:r>
      <w:r>
        <w:t>ю</w:t>
      </w:r>
      <w:r>
        <w:t>чить гендерный аспект в учебный процесс и расш</w:t>
      </w:r>
      <w:r>
        <w:t>и</w:t>
      </w:r>
      <w:r>
        <w:t>рить исследования, посвященные гендерной пр</w:t>
      </w:r>
      <w:r>
        <w:t>о</w:t>
      </w:r>
      <w:r>
        <w:t>блем</w:t>
      </w:r>
      <w:r>
        <w:t>а</w:t>
      </w:r>
      <w:r>
        <w:t>тике.</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Желая подчеркнуть ответственность универс</w:t>
      </w:r>
      <w:r>
        <w:t>и</w:t>
      </w:r>
      <w:r>
        <w:t>тетов и университетских колледжей в деле обесп</w:t>
      </w:r>
      <w:r>
        <w:t>е</w:t>
      </w:r>
      <w:r>
        <w:t>чения равенства полов, правительство в 1997 году внесло поправку в Закон о высшем образовании (1992:1434), обязывающую университеты и униве</w:t>
      </w:r>
      <w:r>
        <w:t>р</w:t>
      </w:r>
      <w:r>
        <w:t>ситетские колледжи активно способствовать дост</w:t>
      </w:r>
      <w:r>
        <w:t>и</w:t>
      </w:r>
      <w:r>
        <w:t>жению равенства между мужчинами и женщинами. Эта поправка вступила в силу в январе 1999 года.</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Во исполнение принятых в 1995 году пост</w:t>
      </w:r>
      <w:r>
        <w:t>а</w:t>
      </w:r>
      <w:r>
        <w:t>новлений, в которых Национальному управлению по высшему образованию предписано обеспечивать соблюдение принципа равенства полов своей де</w:t>
      </w:r>
      <w:r>
        <w:t>я</w:t>
      </w:r>
      <w:r>
        <w:t>тельности, Управление учредило Совет по вопросам равенства полов. Совет, представляющий собой подразделение Управления, в функции которого входит подготовка справочных материалов и пре</w:t>
      </w:r>
      <w:r>
        <w:t>д</w:t>
      </w:r>
      <w:r>
        <w:t>ложений, является "генератором идей" для Упра</w:t>
      </w:r>
      <w:r>
        <w:t>в</w:t>
      </w:r>
      <w:r>
        <w:t>ления.</w:t>
      </w:r>
    </w:p>
    <w:p w:rsidR="00000000" w:rsidRDefault="00000000">
      <w:pPr>
        <w:tabs>
          <w:tab w:val="left" w:pos="475"/>
          <w:tab w:val="left" w:pos="965"/>
          <w:tab w:val="left" w:pos="1440"/>
          <w:tab w:val="left" w:pos="1915"/>
          <w:tab w:val="left" w:pos="2405"/>
          <w:tab w:val="left" w:pos="2880"/>
          <w:tab w:val="left" w:pos="3355"/>
          <w:tab w:val="left" w:pos="3845"/>
        </w:tabs>
        <w:jc w:val="both"/>
      </w:pPr>
      <w:r>
        <w:tab/>
        <w:t>В 1998 году в Постановление о высшем обр</w:t>
      </w:r>
      <w:r>
        <w:t>а</w:t>
      </w:r>
      <w:r>
        <w:t>зовании была внесена поправка, в соответствии с которой университеты и университетские колледжи обязаны противодействовать сексуальным домог</w:t>
      </w:r>
      <w:r>
        <w:t>а</w:t>
      </w:r>
      <w:r>
        <w:t>тельствам в отношении студентов. В это Постано</w:t>
      </w:r>
      <w:r>
        <w:t>в</w:t>
      </w:r>
      <w:r>
        <w:t>ление было также включено определение понятия сексуального домогательства и была предусмотрена возможность применения дисциплинарных мер в случаях секс</w:t>
      </w:r>
      <w:r>
        <w:t>у</w:t>
      </w:r>
      <w:r>
        <w:t>альных домогательств.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uppressAutoHyphens/>
        <w:ind w:left="475" w:hanging="475"/>
        <w:rPr>
          <w:b/>
        </w:rPr>
      </w:pPr>
      <w:r>
        <w:rPr>
          <w:b/>
        </w:rPr>
        <w:tab/>
        <w:t xml:space="preserve">Соотношение между мужчинами и женщинами среди профессорско–преподавательского состава и среди </w:t>
      </w:r>
      <w:r>
        <w:rPr>
          <w:b/>
        </w:rPr>
        <w:br/>
        <w:t>студе</w:t>
      </w:r>
      <w:r>
        <w:rPr>
          <w:b/>
        </w:rPr>
        <w:t>н</w:t>
      </w:r>
      <w:r>
        <w:rPr>
          <w:b/>
        </w:rPr>
        <w:t>тов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1997/98 учебном году, как и в предыдущие годы, доля женщин среди всех студентов первого года обучения в университетах Швеции была выше, чем доля мужчин (57 процентов женщин против 43 процентов мужчин). В том же году женщины с</w:t>
      </w:r>
      <w:r>
        <w:t>о</w:t>
      </w:r>
      <w:r>
        <w:t>ставляли 61 процент выпускников высших учебных заведений (120 зачтенных часов и более).</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Что касается аспирантуры, то отмечается ув</w:t>
      </w:r>
      <w:r>
        <w:t>е</w:t>
      </w:r>
      <w:r>
        <w:t>личение доли женщин по сравнению с 1994/95 г</w:t>
      </w:r>
      <w:r>
        <w:t>о</w:t>
      </w:r>
      <w:r>
        <w:t>дом. В 1997/98 году 44 процента всех зачисленных в аспирантуру составляли женщины, против 38 процентов в 1994/95 году. В 1997/98 году женщины составляли 32 процента выпускников аспирантур, против 30 пр</w:t>
      </w:r>
      <w:r>
        <w:t>о</w:t>
      </w:r>
      <w:r>
        <w:t>центов в 1994/95 году.</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1997/98 учебном году женщины составляли около трети всего преподавательского состава в системе высшего образования. Женщины составл</w:t>
      </w:r>
      <w:r>
        <w:t>я</w:t>
      </w:r>
      <w:r>
        <w:t>ли 37 процентов научных сотрудников, 25 проце</w:t>
      </w:r>
      <w:r>
        <w:t>н</w:t>
      </w:r>
      <w:r>
        <w:t>тов старших преподавателей и 11 процентов пр</w:t>
      </w:r>
      <w:r>
        <w:t>о</w:t>
      </w:r>
      <w:r>
        <w:t>фессоров. В 1994/95 году эти показатели составляли 26, 21 и 7 процентов, соответственно. Из 32 пр</w:t>
      </w:r>
      <w:r>
        <w:t>о</w:t>
      </w:r>
      <w:r>
        <w:t>фессорских вакансий, открытых в соответствии с постановлением правительства о равенстве между мужчинами и женщинами в области образования от 1995 года (см. предыдущий доклад Швеции), 31 б</w:t>
      </w:r>
      <w:r>
        <w:t>ы</w:t>
      </w:r>
      <w:r>
        <w:t>ла заполнена в 1999 году, причем исключительно женщинами. В постановлении правительства от 1998 года было предварительно зафиксировано, к</w:t>
      </w:r>
      <w:r>
        <w:t>а</w:t>
      </w:r>
      <w:r>
        <w:t>кую долю должны составлять женщины среди пр</w:t>
      </w:r>
      <w:r>
        <w:t>о</w:t>
      </w:r>
      <w:r>
        <w:t>фессоров университетов и университетских ко</w:t>
      </w:r>
      <w:r>
        <w:t>л</w:t>
      </w:r>
      <w:r>
        <w:t>леджей, назначаемых на период 1997-99 годов. По мнению правительства Швеции, увеличение в три раза доли женщин среди профессорского состава за период в десять лет является реально осуществ</w:t>
      </w:r>
      <w:r>
        <w:t>и</w:t>
      </w:r>
      <w:r>
        <w:t>мой задачей. К 2008 году долю женщин в профе</w:t>
      </w:r>
      <w:r>
        <w:t>с</w:t>
      </w:r>
      <w:r>
        <w:t>сорском составе необходимо довести до 25 проце</w:t>
      </w:r>
      <w:r>
        <w:t>н</w:t>
      </w:r>
      <w:r>
        <w:t>тов. Правительство изменило нормы, касающиеся назначения и продвижения по службе преподават</w:t>
      </w:r>
      <w:r>
        <w:t>е</w:t>
      </w:r>
      <w:r>
        <w:t>лей университетов и университетских колледжей, содержащиеся в Постановлении о высшем образ</w:t>
      </w:r>
      <w:r>
        <w:t>о</w:t>
      </w:r>
      <w:r>
        <w:t>вании, таким образом, чтобы дать возможность университетам и университетским колледжам в</w:t>
      </w:r>
      <w:r>
        <w:t>ы</w:t>
      </w:r>
      <w:r>
        <w:t>полнить планы по найму персонала.</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Это дело рассматривалось в Суде Европейских сообществ. Суд отклонил поправки к Постановл</w:t>
      </w:r>
      <w:r>
        <w:t>е</w:t>
      </w:r>
      <w:r>
        <w:t>нию о высшем образовании, поскольку, по его мн</w:t>
      </w:r>
      <w:r>
        <w:t>е</w:t>
      </w:r>
      <w:r>
        <w:t>нию, они автоматически дают преимущество нед</w:t>
      </w:r>
      <w:r>
        <w:t>о</w:t>
      </w:r>
      <w:r>
        <w:t>представленному полу и нарушают принцип пр</w:t>
      </w:r>
      <w:r>
        <w:t>о</w:t>
      </w:r>
      <w:r>
        <w:t>порциональности. По определению Суда, способн</w:t>
      </w:r>
      <w:r>
        <w:t>о</w:t>
      </w:r>
      <w:r>
        <w:t>сти во всех случаях должны оцениваться объекти</w:t>
      </w:r>
      <w:r>
        <w:t>в</w:t>
      </w:r>
      <w:r>
        <w:t>но и суждения о всех претендентах должны вын</w:t>
      </w:r>
      <w:r>
        <w:t>о</w:t>
      </w:r>
      <w:r>
        <w:t>ситься именно таким объективным образом. По мнению Суда, при аттестации признак пола не м</w:t>
      </w:r>
      <w:r>
        <w:t>о</w:t>
      </w:r>
      <w:r>
        <w:t>жет превалировать над другими достоинствами. Однако, по мнению Суда, выбор кандидатуры, о</w:t>
      </w:r>
      <w:r>
        <w:t>т</w:t>
      </w:r>
      <w:r>
        <w:t>носящейся к недопредставленному полу, является приемлемым в случае полного или практически полного равенства достоинства.</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Университетам и университетским колледжам было вменено в обязанность докладывать прав</w:t>
      </w:r>
      <w:r>
        <w:t>и</w:t>
      </w:r>
      <w:r>
        <w:t>тельству о конкретных планах найма, а также о сл</w:t>
      </w:r>
      <w:r>
        <w:t>у</w:t>
      </w:r>
      <w:r>
        <w:t>чаях отклонения от таких планов, а также об орг</w:t>
      </w:r>
      <w:r>
        <w:t>а</w:t>
      </w:r>
      <w:r>
        <w:t>низации системы обучения учителей по проблем</w:t>
      </w:r>
      <w:r>
        <w:t>а</w:t>
      </w:r>
      <w:r>
        <w:t>тике равенства полов. Университеты и университе</w:t>
      </w:r>
      <w:r>
        <w:t>т</w:t>
      </w:r>
      <w:r>
        <w:t>ские колледжи обязаны представлять статистич</w:t>
      </w:r>
      <w:r>
        <w:t>е</w:t>
      </w:r>
      <w:r>
        <w:t>ские данные с разбивкой по полу и сообщать о м</w:t>
      </w:r>
      <w:r>
        <w:t>е</w:t>
      </w:r>
      <w:r>
        <w:t>рах, направленных на обеспечение сбалансирова</w:t>
      </w:r>
      <w:r>
        <w:t>н</w:t>
      </w:r>
      <w:r>
        <w:t>ной представленности полов при найме исследов</w:t>
      </w:r>
      <w:r>
        <w:t>а</w:t>
      </w:r>
      <w:r>
        <w:t>телей и докторов наук и подаче заявок на ссуды для аспирантов. Они также обязаны представлять да</w:t>
      </w:r>
      <w:r>
        <w:t>н</w:t>
      </w:r>
      <w:r>
        <w:t>ные о мерах, направленных на оказание поддержки недопредставленному полу в сфере научных иссл</w:t>
      </w:r>
      <w:r>
        <w:t>е</w:t>
      </w:r>
      <w:r>
        <w:t>дов</w:t>
      </w:r>
      <w:r>
        <w:t>а</w:t>
      </w:r>
      <w:r>
        <w:t>ний.</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Были выделены средства на открытие 32 пр</w:t>
      </w:r>
      <w:r>
        <w:t>о</w:t>
      </w:r>
      <w:r>
        <w:t>фессорских вакансий, о которых шла речь выше, для недопредставленного пола, а также 10 вакансий внештатного профессора для женщин. Кроме того, за недопредставленным полом закреплены 73 в</w:t>
      </w:r>
      <w:r>
        <w:t>а</w:t>
      </w:r>
      <w:r>
        <w:t>кансии для ученых, имеющих докторскую степень. Эти средства выделяются на период с 1995/96 до 2002 года включительно. Кроме того, были выдел</w:t>
      </w:r>
      <w:r>
        <w:t>е</w:t>
      </w:r>
      <w:r>
        <w:t>ны средства для женщин — внештатных професс</w:t>
      </w:r>
      <w:r>
        <w:t>о</w:t>
      </w:r>
      <w:r>
        <w:t>ров, докторантов и исследователей с докторской степенью. Согласно оценкам Национального упра</w:t>
      </w:r>
      <w:r>
        <w:t>в</w:t>
      </w:r>
      <w:r>
        <w:t>ления высшего образования, эта инициатива позв</w:t>
      </w:r>
      <w:r>
        <w:t>о</w:t>
      </w:r>
      <w:r>
        <w:t>лила добиться полож</w:t>
      </w:r>
      <w:r>
        <w:t>и</w:t>
      </w:r>
      <w:r>
        <w:t>тельных результатов.</w:t>
      </w:r>
    </w:p>
    <w:p w:rsidR="00000000" w:rsidRDefault="00000000">
      <w:pPr>
        <w:tabs>
          <w:tab w:val="left" w:pos="475"/>
          <w:tab w:val="left" w:pos="965"/>
          <w:tab w:val="left" w:pos="1440"/>
          <w:tab w:val="left" w:pos="1915"/>
          <w:tab w:val="left" w:pos="2405"/>
          <w:tab w:val="left" w:pos="2880"/>
          <w:tab w:val="left" w:pos="3355"/>
          <w:tab w:val="left" w:pos="3845"/>
        </w:tabs>
        <w:jc w:val="both"/>
      </w:pPr>
      <w:r>
        <w:tab/>
        <w:t>В настоящее время по всем категориям сп</w:t>
      </w:r>
      <w:r>
        <w:t>е</w:t>
      </w:r>
      <w:r>
        <w:t>циалистов необходимо представлять сведения о прогрессе, достигнутом в таких сферах, как пре</w:t>
      </w:r>
      <w:r>
        <w:t>д</w:t>
      </w:r>
      <w:r>
        <w:t>ставленность полов при наборе аспирантов и до</w:t>
      </w:r>
      <w:r>
        <w:t>к</w:t>
      </w:r>
      <w:r>
        <w:t>торантов, занятость выпускников высших учебных заведений и т. д.</w:t>
      </w:r>
    </w:p>
    <w:p w:rsidR="00000000" w:rsidRDefault="00000000">
      <w:pPr>
        <w:keepNext/>
        <w:tabs>
          <w:tab w:val="left" w:pos="475"/>
          <w:tab w:val="left" w:pos="965"/>
          <w:tab w:val="left" w:pos="1440"/>
          <w:tab w:val="left" w:pos="1915"/>
          <w:tab w:val="left" w:pos="2405"/>
          <w:tab w:val="left" w:pos="2880"/>
          <w:tab w:val="left" w:pos="3355"/>
          <w:tab w:val="left" w:pos="3845"/>
        </w:tabs>
        <w:suppressAutoHyphens/>
        <w:ind w:left="475" w:hanging="475"/>
        <w:rPr>
          <w:b/>
        </w:rPr>
      </w:pPr>
      <w:r>
        <w:rPr>
          <w:b/>
        </w:rPr>
        <w:tab/>
        <w:t>Выбор образования с учетом гендерного фактора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tab/>
        <w:t>Мужчины и женщины по-прежнему руков</w:t>
      </w:r>
      <w:r>
        <w:t>о</w:t>
      </w:r>
      <w:r>
        <w:t>дствуются гендерными соображениями при выборе высшего образования. В период 1997-99 годов н</w:t>
      </w:r>
      <w:r>
        <w:t>о</w:t>
      </w:r>
      <w:r>
        <w:t>вый элемент был включен в круг полномочий пр</w:t>
      </w:r>
      <w:r>
        <w:t>а</w:t>
      </w:r>
      <w:r>
        <w:t>вительства, касающихся политики в области обр</w:t>
      </w:r>
      <w:r>
        <w:t>а</w:t>
      </w:r>
      <w:r>
        <w:t>зования. Всем высшим учебным заведениям, имеющим программы подготовки по научно-техническим дисциплинам, было предписано пр</w:t>
      </w:r>
      <w:r>
        <w:t>и</w:t>
      </w:r>
      <w:r>
        <w:t>нять меры для увеличения доли женщин в тех пр</w:t>
      </w:r>
      <w:r>
        <w:t>о</w:t>
      </w:r>
      <w:r>
        <w:t>граммах, где женщины недопредставлены. Учебным заведениям по подготовке среднего медперсонала и учителей было предписано увеличить число му</w:t>
      </w:r>
      <w:r>
        <w:t>ж</w:t>
      </w:r>
      <w:r>
        <w:t>чин в программах, где мужчины недопредставлены. Детальное описание принятых мер содержится в ежегодных докладах различных учебных заведений.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jc w:val="both"/>
        <w:rPr>
          <w:b/>
        </w:rPr>
      </w:pPr>
      <w:r>
        <w:rPr>
          <w:b/>
        </w:rPr>
        <w:tab/>
        <w:t>Интеграция гендерной проблематики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Национальному управлению высшего образ</w:t>
      </w:r>
      <w:r>
        <w:t>о</w:t>
      </w:r>
      <w:r>
        <w:t>вания было поручено разработать руководящие принципы в области равенства полов для интегр</w:t>
      </w:r>
      <w:r>
        <w:t>а</w:t>
      </w:r>
      <w:r>
        <w:t>ции в учебные программы в области юриспруде</w:t>
      </w:r>
      <w:r>
        <w:t>н</w:t>
      </w:r>
      <w:r>
        <w:t>ции, экономики теории и делового администрир</w:t>
      </w:r>
      <w:r>
        <w:t>о</w:t>
      </w:r>
      <w:r>
        <w:t>вания.</w:t>
      </w:r>
    </w:p>
    <w:p w:rsidR="00000000" w:rsidRDefault="00000000">
      <w:pPr>
        <w:tabs>
          <w:tab w:val="left" w:pos="475"/>
          <w:tab w:val="left" w:pos="965"/>
          <w:tab w:val="left" w:pos="1440"/>
          <w:tab w:val="left" w:pos="1915"/>
          <w:tab w:val="left" w:pos="2405"/>
          <w:tab w:val="left" w:pos="2880"/>
          <w:tab w:val="left" w:pos="3355"/>
          <w:tab w:val="left" w:pos="3845"/>
        </w:tabs>
        <w:jc w:val="both"/>
      </w:pPr>
      <w:r>
        <w:tab/>
        <w:t>Вопросы равенства полов и насилия в отнош</w:t>
      </w:r>
      <w:r>
        <w:t>е</w:t>
      </w:r>
      <w:r>
        <w:t>нии женщин были включены в учебные программы для студентов-юристов.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jc w:val="both"/>
        <w:rPr>
          <w:b/>
        </w:rPr>
      </w:pPr>
      <w:r>
        <w:rPr>
          <w:b/>
        </w:rPr>
        <w:tab/>
        <w:t>Расширение гендерных исследований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Центры по исследованию гендерной пробл</w:t>
      </w:r>
      <w:r>
        <w:t>е</w:t>
      </w:r>
      <w:r>
        <w:t>матики созданы при девяти университетах и ун</w:t>
      </w:r>
      <w:r>
        <w:t>и</w:t>
      </w:r>
      <w:r>
        <w:t>верситетских колледжах Швеции. В ряде этих це</w:t>
      </w:r>
      <w:r>
        <w:t>н</w:t>
      </w:r>
      <w:r>
        <w:t>тров, например, в центре при Университете Карл</w:t>
      </w:r>
      <w:r>
        <w:t>ь</w:t>
      </w:r>
      <w:r>
        <w:t>стада, также проводятся исследования, посвяще</w:t>
      </w:r>
      <w:r>
        <w:t>н</w:t>
      </w:r>
      <w:r>
        <w:t>ные такой проблеме, как мужчины и равенство п</w:t>
      </w:r>
      <w:r>
        <w:t>о</w:t>
      </w:r>
      <w:r>
        <w:t>лов. В период 1997-1999 годов в целях расширения гендерных исследований были приняты следующие меры, предусмотренные в постановлении прав</w:t>
      </w:r>
      <w:r>
        <w:t>и</w:t>
      </w:r>
      <w:r>
        <w:t>тельства о научных исследованиях и общ</w:t>
      </w:r>
      <w:r>
        <w:t>е</w:t>
      </w:r>
      <w:r>
        <w:t>стве.</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сентябре 1998 года при университете Гёт</w:t>
      </w:r>
      <w:r>
        <w:t>е</w:t>
      </w:r>
      <w:r>
        <w:t>борга был учрежден Шведский секретариат по в</w:t>
      </w:r>
      <w:r>
        <w:t>о</w:t>
      </w:r>
      <w:r>
        <w:t>просам гендерных исследований. В круг его осно</w:t>
      </w:r>
      <w:r>
        <w:t>в</w:t>
      </w:r>
      <w:r>
        <w:t>ных задач входит сбор сведений о проводимых в Швеции гендерных исследованиях, распростран</w:t>
      </w:r>
      <w:r>
        <w:t>е</w:t>
      </w:r>
      <w:r>
        <w:t>ние информации о результатах исследований, пр</w:t>
      </w:r>
      <w:r>
        <w:t>и</w:t>
      </w:r>
      <w:r>
        <w:t>нятие мер для повышения информированности о включении гендерной проблематики в основные н</w:t>
      </w:r>
      <w:r>
        <w:t>а</w:t>
      </w:r>
      <w:r>
        <w:t>правления деятельности, а также анализ возможн</w:t>
      </w:r>
      <w:r>
        <w:t>о</w:t>
      </w:r>
      <w:r>
        <w:t>стей, связанных с их осуществлением во всех о</w:t>
      </w:r>
      <w:r>
        <w:t>б</w:t>
      </w:r>
      <w:r>
        <w:t>ластях науки. Кроме того, Собрание исторических материалов по женской проблематике при униве</w:t>
      </w:r>
      <w:r>
        <w:t>р</w:t>
      </w:r>
      <w:r>
        <w:t>ситете Гётеборга было реорганизовано в Наци</w:t>
      </w:r>
      <w:r>
        <w:t>о</w:t>
      </w:r>
      <w:r>
        <w:t>нальную библиотеку, в функции которой входит проведение исследований, посвященных женщинам, мужчинам и вопросам пола.</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итоге в стране было открыто 18 новых в</w:t>
      </w:r>
      <w:r>
        <w:t>а</w:t>
      </w:r>
      <w:r>
        <w:t>кансий в области гендерных исследований, шесть из них — это вакансии профессоров, а в универс</w:t>
      </w:r>
      <w:r>
        <w:t>и</w:t>
      </w:r>
      <w:r>
        <w:t>тете Линчепинга была начата реализация новой программы междисциплинарных исследований по гендерной проблематике. Правительством рассма</w:t>
      </w:r>
      <w:r>
        <w:t>т</w:t>
      </w:r>
      <w:r>
        <w:t>ривается политический законопроект (2000/2001:3), содержащий предложение о выделении средств 16 научно-исследовательским центрам, одним из кот</w:t>
      </w:r>
      <w:r>
        <w:t>о</w:t>
      </w:r>
      <w:r>
        <w:t>рых является отраслевой научный центр по генде</w:t>
      </w:r>
      <w:r>
        <w:t>р</w:t>
      </w:r>
      <w:r>
        <w:t>ным проблемам при университете в Умео. Обсу</w:t>
      </w:r>
      <w:r>
        <w:t>ж</w:t>
      </w:r>
      <w:r>
        <w:t>дение этого законопроекта и голосование по нему пройдут в конце ноября 2000 года.</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обязанности различных научно–исследов</w:t>
      </w:r>
      <w:r>
        <w:t>а</w:t>
      </w:r>
      <w:r>
        <w:t>тельских советов, организованных под эгидой м</w:t>
      </w:r>
      <w:r>
        <w:t>и</w:t>
      </w:r>
      <w:r>
        <w:t>нистерства образования и науки, входит обеспеч</w:t>
      </w:r>
      <w:r>
        <w:t>е</w:t>
      </w:r>
      <w:r>
        <w:t>ние равенства между мужчинами и женщинами при их включении в различные рабочие группы и ком</w:t>
      </w:r>
      <w:r>
        <w:t>и</w:t>
      </w:r>
      <w:r>
        <w:t>теты по приоритетным вопросам. По запросу пр</w:t>
      </w:r>
      <w:r>
        <w:t>а</w:t>
      </w:r>
      <w:r>
        <w:t>вительства Совет по планированию и координации научных исследований разработал программу ге</w:t>
      </w:r>
      <w:r>
        <w:t>н</w:t>
      </w:r>
      <w:r>
        <w:t>дерных исследований, объем финансирования кот</w:t>
      </w:r>
      <w:r>
        <w:t>о</w:t>
      </w:r>
      <w:r>
        <w:t>рой возрос с 3 млн. шведских крон в 1990/91 до 10 млн. шведских крон в 1998 году. Несмотря на то, что прогресс идет медленными темпами, за после</w:t>
      </w:r>
      <w:r>
        <w:t>д</w:t>
      </w:r>
      <w:r>
        <w:t>ние годы в советах возросла численность женщин. Если два претендента противоположного пола им</w:t>
      </w:r>
      <w:r>
        <w:t>е</w:t>
      </w:r>
      <w:r>
        <w:t>ют аналогичную квалификацию, предпочтение, как правило, отдается претенденту, относящемуся к н</w:t>
      </w:r>
      <w:r>
        <w:t>е</w:t>
      </w:r>
      <w:r>
        <w:t>допредставленному полу.</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Была учреждена совместная группа из пре</w:t>
      </w:r>
      <w:r>
        <w:t>д</w:t>
      </w:r>
      <w:r>
        <w:t>ставителей ряда государственных учреждений, з</w:t>
      </w:r>
      <w:r>
        <w:t>а</w:t>
      </w:r>
      <w:r>
        <w:t>нимающихся финансированием исследований (С</w:t>
      </w:r>
      <w:r>
        <w:t>о</w:t>
      </w:r>
      <w:r>
        <w:t>вет по планированию и координации научных и</w:t>
      </w:r>
      <w:r>
        <w:t>с</w:t>
      </w:r>
      <w:r>
        <w:t>следований, Национальный совет Швеции по ко</w:t>
      </w:r>
      <w:r>
        <w:t>с</w:t>
      </w:r>
      <w:r>
        <w:t>мическому пространству, Совет Швеции по иссл</w:t>
      </w:r>
      <w:r>
        <w:t>е</w:t>
      </w:r>
      <w:r>
        <w:t>дованиям в области лесного и сельского хозяйства, а также Совет Швеции по социальным исследов</w:t>
      </w:r>
      <w:r>
        <w:t>а</w:t>
      </w:r>
      <w:r>
        <w:t>ниям). Ее задача состоит в том, чтобы поощрять и координировать деятельность государственных у</w:t>
      </w:r>
      <w:r>
        <w:t>ч</w:t>
      </w:r>
      <w:r>
        <w:t>реждений в области междисциплинарных исслед</w:t>
      </w:r>
      <w:r>
        <w:t>о</w:t>
      </w:r>
      <w:r>
        <w:t>ваний и повышать информированность как о ге</w:t>
      </w:r>
      <w:r>
        <w:t>н</w:t>
      </w:r>
      <w:r>
        <w:t>дерном аспекте исследований, так и о мерах, пр</w:t>
      </w:r>
      <w:r>
        <w:t>и</w:t>
      </w:r>
      <w:r>
        <w:t>нимаемых в области равенства полов. В конце 2000 года будет представлена оценка работы, продела</w:t>
      </w:r>
      <w:r>
        <w:t>н</w:t>
      </w:r>
      <w:r>
        <w:t>ной этой группой.</w:t>
      </w:r>
    </w:p>
    <w:p w:rsidR="00000000" w:rsidRDefault="00000000">
      <w:pPr>
        <w:tabs>
          <w:tab w:val="left" w:pos="475"/>
          <w:tab w:val="left" w:pos="965"/>
          <w:tab w:val="left" w:pos="1440"/>
          <w:tab w:val="left" w:pos="1915"/>
          <w:tab w:val="left" w:pos="2405"/>
          <w:tab w:val="left" w:pos="2880"/>
          <w:tab w:val="left" w:pos="3355"/>
          <w:tab w:val="left" w:pos="3845"/>
        </w:tabs>
        <w:jc w:val="both"/>
      </w:pPr>
      <w:r>
        <w:tab/>
        <w:t>Правительство поручило Совету Швеции по планированию и координации научных исследов</w:t>
      </w:r>
      <w:r>
        <w:t>а</w:t>
      </w:r>
      <w:r>
        <w:t>ний подготовить программу гендерных исследов</w:t>
      </w:r>
      <w:r>
        <w:t>а</w:t>
      </w:r>
      <w:r>
        <w:t>ний. В 1998 году на финансирование этой програ</w:t>
      </w:r>
      <w:r>
        <w:t>м</w:t>
      </w:r>
      <w:r>
        <w:t>мы было выделено 10 млн. шведских крон.</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10(b)</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jc w:val="both"/>
        <w:rPr>
          <w:b/>
        </w:rPr>
      </w:pPr>
      <w:r>
        <w:rPr>
          <w:b/>
        </w:rPr>
        <w:tab/>
        <w:t>Учителя и администрация школ</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Женщины продолжают преобладать среди уч</w:t>
      </w:r>
      <w:r>
        <w:t>и</w:t>
      </w:r>
      <w:r>
        <w:t>телей обязательной школы и в системе высших учебных заведений педагогического профиля. Му</w:t>
      </w:r>
      <w:r>
        <w:t>ж</w:t>
      </w:r>
      <w:r>
        <w:t>чины составляют пять процентов работников д</w:t>
      </w:r>
      <w:r>
        <w:t>о</w:t>
      </w:r>
      <w:r>
        <w:t>школьных учреждений и центров организации д</w:t>
      </w:r>
      <w:r>
        <w:t>о</w:t>
      </w:r>
      <w:r>
        <w:t>суга.</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Для того чтобы ослабить доминирующую роль женщин в профессии учителя, в течение ряда лет правительство Швеции выделяло средства на ре</w:t>
      </w:r>
      <w:r>
        <w:t>а</w:t>
      </w:r>
      <w:r>
        <w:t>лизацию проектов по привлечению большего числа мужчин к программам подготовки педагогических работников для детских яслей, дошкольных учре</w:t>
      </w:r>
      <w:r>
        <w:t>ж</w:t>
      </w:r>
      <w:r>
        <w:t>дений и центров организации досуга. Одной из т</w:t>
      </w:r>
      <w:r>
        <w:t>а</w:t>
      </w:r>
      <w:r>
        <w:t>ких инициатив является, например, решение об и</w:t>
      </w:r>
      <w:r>
        <w:t>с</w:t>
      </w:r>
      <w:r>
        <w:t>ключении Стокгольмского института образования из действий положений Постановления о высшем образовании, касающихся квалификационных тр</w:t>
      </w:r>
      <w:r>
        <w:t>е</w:t>
      </w:r>
      <w:r>
        <w:t>бований, с тем чтобы колледж мог привлекать му</w:t>
      </w:r>
      <w:r>
        <w:t>ж</w:t>
      </w:r>
      <w:r>
        <w:t>чин к обучению через подготовительные курсы. Кроме того, принимаются специальные меры в о</w:t>
      </w:r>
      <w:r>
        <w:t>т</w:t>
      </w:r>
      <w:r>
        <w:t>ношении военнослужащих и других лиц со средним специальным или высшим образованием с целью повышения заинтересованности мужчин в приобр</w:t>
      </w:r>
      <w:r>
        <w:t>е</w:t>
      </w:r>
      <w:r>
        <w:t>тении профессии педагога. Перед университетами и университетскими колледжами также была поста</w:t>
      </w:r>
      <w:r>
        <w:t>в</w:t>
      </w:r>
      <w:r>
        <w:t>лена задача привлечь большее число мужчин к уч</w:t>
      </w:r>
      <w:r>
        <w:t>а</w:t>
      </w:r>
      <w:r>
        <w:t>стию в программах педагогической по</w:t>
      </w:r>
      <w:r>
        <w:t>д</w:t>
      </w:r>
      <w:r>
        <w:t>готовки.</w:t>
      </w:r>
    </w:p>
    <w:p w:rsidR="00000000" w:rsidRDefault="00000000">
      <w:pPr>
        <w:tabs>
          <w:tab w:val="left" w:pos="475"/>
          <w:tab w:val="left" w:pos="965"/>
          <w:tab w:val="left" w:pos="1440"/>
          <w:tab w:val="left" w:pos="1915"/>
          <w:tab w:val="left" w:pos="2405"/>
          <w:tab w:val="left" w:pos="2880"/>
          <w:tab w:val="left" w:pos="3355"/>
          <w:tab w:val="left" w:pos="3845"/>
        </w:tabs>
        <w:jc w:val="both"/>
      </w:pPr>
      <w:r>
        <w:tab/>
        <w:t>В своем официальном докладе, представле</w:t>
      </w:r>
      <w:r>
        <w:t>н</w:t>
      </w:r>
      <w:r>
        <w:t>ном правительству весной 1999 года, Парламен</w:t>
      </w:r>
      <w:r>
        <w:t>т</w:t>
      </w:r>
      <w:r>
        <w:t>ский комитет по проблемам педагогического обр</w:t>
      </w:r>
      <w:r>
        <w:t>а</w:t>
      </w:r>
      <w:r>
        <w:t>зования рекомендовал принять целый ряд мер, н</w:t>
      </w:r>
      <w:r>
        <w:t>а</w:t>
      </w:r>
      <w:r>
        <w:t>целенных на привлечение большего числа мужчин к работе в системе дошкольного и школьного образ</w:t>
      </w:r>
      <w:r>
        <w:t>о</w:t>
      </w:r>
      <w:r>
        <w:t>вания. Исходя из положений этого доклада, прав</w:t>
      </w:r>
      <w:r>
        <w:t>и</w:t>
      </w:r>
      <w:r>
        <w:t>тельство подготовило законопроект, который был направлен в риксдаг. Этот законопроект был рат</w:t>
      </w:r>
      <w:r>
        <w:t>и</w:t>
      </w:r>
      <w:r>
        <w:t>фицирован риксдагом в конце октября 2000 г</w:t>
      </w:r>
      <w:r>
        <w:t>о</w:t>
      </w:r>
      <w:r>
        <w:t>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jc w:val="both"/>
        <w:rPr>
          <w:b/>
        </w:rPr>
      </w:pPr>
      <w:r>
        <w:rPr>
          <w:b/>
        </w:rPr>
        <w:tab/>
        <w:t>Прочие вопросы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tab/>
        <w:t>Проект "Классный наставник", пользующийся поддержкой административного совета и совета по вопросам занятости лена Стокгольма, рассчитан на безработных мужчин старше 50 лет. Задача прое</w:t>
      </w:r>
      <w:r>
        <w:t>к</w:t>
      </w:r>
      <w:r>
        <w:t>та — привлечь большее число мужчин к работе в шк</w:t>
      </w:r>
      <w:r>
        <w:t>о</w:t>
      </w:r>
      <w:r>
        <w:t>лах.</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10(c)</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tab/>
        <w:t>См. статью 10(а) настоящего доклада.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10(d)</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tab/>
        <w:t>См. предыдущий доклад Швеции.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10(e)</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jc w:val="both"/>
        <w:rPr>
          <w:b/>
        </w:rPr>
      </w:pPr>
      <w:r>
        <w:rPr>
          <w:b/>
        </w:rPr>
        <w:tab/>
        <w:t>Образование для взрослых</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течение длительного времени среди лиц, продолжавших образование по муниципальным программам для взрослых, женщин было в два раза больше, чем мужчин. Невзирая на то, что некоторые муниципалитеты принимали меры по привлечению к обучению исключительно мужчин, доля мужчин в системе образования для взрослых не увеличилась. В 1998 году наибольшая доля мужчин была зафи</w:t>
      </w:r>
      <w:r>
        <w:t>к</w:t>
      </w:r>
      <w:r>
        <w:t>сирована в крупных городах (39 процентов). Выбор участниками учебных программ был, несомненно, обусловлен гендерными стереотипами. Однако имеются признаки того, что гендерные факторы п</w:t>
      </w:r>
      <w:r>
        <w:t>о</w:t>
      </w:r>
      <w:r>
        <w:t>степенно перестают играть решающую роль при выборе программ обучения.</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Что касается программ профессиональной подготовки для лиц, обладающих соответствующей квалификацией, то в 1998 году мужчины составляли 51 процент от вновь зачисленных слушателей, а женщины — 49 процентов, причем доля женщин возросла на три процента по сравнению с пред</w:t>
      </w:r>
      <w:r>
        <w:t>ы</w:t>
      </w:r>
      <w:r>
        <w:t>дущим годом. Что касается представленности му</w:t>
      </w:r>
      <w:r>
        <w:t>ж</w:t>
      </w:r>
      <w:r>
        <w:t>чин и женщин среди участников различных пр</w:t>
      </w:r>
      <w:r>
        <w:t>о</w:t>
      </w:r>
      <w:r>
        <w:t>грамм этого типа образования, то здесь просматр</w:t>
      </w:r>
      <w:r>
        <w:t>и</w:t>
      </w:r>
      <w:r>
        <w:t>вается аналогичная тенденция, обусловленная ге</w:t>
      </w:r>
      <w:r>
        <w:t>н</w:t>
      </w:r>
      <w:r>
        <w:t>дерными стереотипами. Однако в период 1996-98 годов были зафиксированы признаки того, что эта тенденция меняется на прямо противоположную.</w:t>
      </w:r>
    </w:p>
    <w:p w:rsidR="00000000" w:rsidRDefault="00000000">
      <w:pPr>
        <w:tabs>
          <w:tab w:val="left" w:pos="475"/>
          <w:tab w:val="left" w:pos="965"/>
          <w:tab w:val="left" w:pos="1440"/>
          <w:tab w:val="left" w:pos="1915"/>
          <w:tab w:val="left" w:pos="2405"/>
          <w:tab w:val="left" w:pos="2880"/>
          <w:tab w:val="left" w:pos="3355"/>
          <w:tab w:val="left" w:pos="3845"/>
        </w:tabs>
        <w:jc w:val="both"/>
      </w:pPr>
      <w:r>
        <w:tab/>
        <w:t>Правительство выступило с инициативой ос</w:t>
      </w:r>
      <w:r>
        <w:t>у</w:t>
      </w:r>
      <w:r>
        <w:t>ществления пятилетней программы образования для взрослых с созданием 100 000 новых мест. Пр</w:t>
      </w:r>
      <w:r>
        <w:t>о</w:t>
      </w:r>
      <w:r>
        <w:t>грамма образования для взрослых, осуществление которой было начато 1 июля 1997 года, имеет особо важное значение для мужчин и женщин в тех отра</w:t>
      </w:r>
      <w:r>
        <w:t>с</w:t>
      </w:r>
      <w:r>
        <w:t>лях, на ситуацию в которых повлияли экономич</w:t>
      </w:r>
      <w:r>
        <w:t>е</w:t>
      </w:r>
      <w:r>
        <w:t>ские и структурные реформы, например, в здрав</w:t>
      </w:r>
      <w:r>
        <w:t>о</w:t>
      </w:r>
      <w:r>
        <w:t>охранении и обрабатывающей промышленности. Эта программа также сыграет активную роль в ли</w:t>
      </w:r>
      <w:r>
        <w:t>к</w:t>
      </w:r>
      <w:r>
        <w:t>видации гендерных диспропорций, сложившихся на рынке труда. Кроме того, по мнению правительства, Национальное управление образования должно продолжить осуществление мер, направленных на исключение гендерных стереотипов при выборе программ обучения, а также на привлечение безр</w:t>
      </w:r>
      <w:r>
        <w:t>а</w:t>
      </w:r>
      <w:r>
        <w:t>ботных мужчин, имеющих невысокий уровень о</w:t>
      </w:r>
      <w:r>
        <w:t>б</w:t>
      </w:r>
      <w:r>
        <w:t>разования.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10(f)</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Со времени подготовки третьего доклада Швеции в этой области не произошло никаких и</w:t>
      </w:r>
      <w:r>
        <w:t>з</w:t>
      </w:r>
      <w:r>
        <w:t>менений.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10(g)</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tab/>
        <w:t>Со времени подготовки третьего доклада Швеции в этой области не произошло никаких и</w:t>
      </w:r>
      <w:r>
        <w:t>з</w:t>
      </w:r>
      <w:r>
        <w:t>менений.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10(h)</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tab/>
        <w:t>Со времени подготовки третьего доклада Швеции в этой области не произошло никаких и</w:t>
      </w:r>
      <w:r>
        <w:t>з</w:t>
      </w:r>
      <w:r>
        <w:t>менений.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11</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11.1</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tab/>
        <w:t>См. четвертый доклад Швеции.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11.1(a)</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jc w:val="both"/>
        <w:rPr>
          <w:b/>
        </w:rPr>
      </w:pPr>
      <w:r>
        <w:rPr>
          <w:b/>
        </w:rPr>
        <w:tab/>
        <w:t>Женщины, занятые оплачиваемым трудом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По сравнению с другими странами мира, зн</w:t>
      </w:r>
      <w:r>
        <w:t>а</w:t>
      </w:r>
      <w:r>
        <w:t>чительная доля шведских женщин занята оплач</w:t>
      </w:r>
      <w:r>
        <w:t>и</w:t>
      </w:r>
      <w:r>
        <w:t>ваемым трудом. Вопреки экономическому спаду д</w:t>
      </w:r>
      <w:r>
        <w:t>е</w:t>
      </w:r>
      <w:r>
        <w:t>вяностых годов, доля женщин на рынке труда по</w:t>
      </w:r>
      <w:r>
        <w:noBreakHyphen/>
        <w:t>прежнему о</w:t>
      </w:r>
      <w:r>
        <w:t>с</w:t>
      </w:r>
      <w:r>
        <w:t>тается высокой.</w:t>
      </w:r>
    </w:p>
    <w:p w:rsidR="00000000" w:rsidRDefault="00000000">
      <w:pPr>
        <w:tabs>
          <w:tab w:val="left" w:pos="475"/>
          <w:tab w:val="left" w:pos="965"/>
          <w:tab w:val="left" w:pos="1440"/>
          <w:tab w:val="left" w:pos="1915"/>
          <w:tab w:val="left" w:pos="2405"/>
          <w:tab w:val="left" w:pos="2880"/>
          <w:tab w:val="left" w:pos="3355"/>
          <w:tab w:val="left" w:pos="3845"/>
        </w:tabs>
        <w:spacing w:after="120"/>
        <w:jc w:val="center"/>
        <w:rPr>
          <w:b/>
        </w:rPr>
      </w:pPr>
      <w:r>
        <w:rPr>
          <w:b/>
        </w:rPr>
        <w:t>Доля рабочей силы и доля безработных среди мужчин и женщин в возрасте от 20 до 64 лет, 1995-1999 годы</w:t>
      </w:r>
    </w:p>
    <w:tbl>
      <w:tblPr>
        <w:tblW w:w="0" w:type="auto"/>
        <w:tblInd w:w="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30"/>
        <w:gridCol w:w="990"/>
        <w:gridCol w:w="990"/>
        <w:gridCol w:w="1080"/>
        <w:gridCol w:w="990"/>
      </w:tblGrid>
      <w:tr w:rsidR="00000000">
        <w:tblPrEx>
          <w:tblCellMar>
            <w:top w:w="0" w:type="dxa"/>
            <w:bottom w:w="0" w:type="dxa"/>
          </w:tblCellMar>
        </w:tblPrEx>
        <w:tc>
          <w:tcPr>
            <w:tcW w:w="63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center"/>
              <w:rPr>
                <w:sz w:val="12"/>
              </w:rPr>
            </w:pPr>
            <w:r>
              <w:rPr>
                <w:sz w:val="12"/>
              </w:rPr>
              <w:t>Год</w:t>
            </w:r>
          </w:p>
        </w:tc>
        <w:tc>
          <w:tcPr>
            <w:tcW w:w="99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center"/>
              <w:rPr>
                <w:sz w:val="12"/>
              </w:rPr>
            </w:pPr>
            <w:r>
              <w:rPr>
                <w:sz w:val="12"/>
              </w:rPr>
              <w:t>Доля рабочей с</w:t>
            </w:r>
            <w:r>
              <w:rPr>
                <w:sz w:val="12"/>
              </w:rPr>
              <w:t>и</w:t>
            </w:r>
            <w:r>
              <w:rPr>
                <w:sz w:val="12"/>
              </w:rPr>
              <w:t>лы</w:t>
            </w:r>
          </w:p>
        </w:tc>
        <w:tc>
          <w:tcPr>
            <w:tcW w:w="99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center"/>
              <w:rPr>
                <w:sz w:val="12"/>
              </w:rPr>
            </w:pPr>
          </w:p>
        </w:tc>
        <w:tc>
          <w:tcPr>
            <w:tcW w:w="108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center"/>
              <w:rPr>
                <w:sz w:val="12"/>
              </w:rPr>
            </w:pPr>
            <w:r>
              <w:rPr>
                <w:sz w:val="12"/>
              </w:rPr>
              <w:t>Доля безр</w:t>
            </w:r>
            <w:r>
              <w:rPr>
                <w:sz w:val="12"/>
              </w:rPr>
              <w:t>а</w:t>
            </w:r>
            <w:r>
              <w:rPr>
                <w:sz w:val="12"/>
              </w:rPr>
              <w:t>ботных</w:t>
            </w:r>
          </w:p>
        </w:tc>
        <w:tc>
          <w:tcPr>
            <w:tcW w:w="99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center"/>
              <w:rPr>
                <w:sz w:val="12"/>
              </w:rPr>
            </w:pPr>
          </w:p>
        </w:tc>
      </w:tr>
      <w:tr w:rsidR="00000000">
        <w:tblPrEx>
          <w:tblCellMar>
            <w:top w:w="0" w:type="dxa"/>
            <w:bottom w:w="0" w:type="dxa"/>
          </w:tblCellMar>
        </w:tblPrEx>
        <w:tc>
          <w:tcPr>
            <w:tcW w:w="63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center"/>
              <w:rPr>
                <w:sz w:val="12"/>
              </w:rPr>
            </w:pPr>
          </w:p>
        </w:tc>
        <w:tc>
          <w:tcPr>
            <w:tcW w:w="99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center"/>
              <w:rPr>
                <w:sz w:val="12"/>
              </w:rPr>
            </w:pPr>
            <w:r>
              <w:rPr>
                <w:sz w:val="12"/>
              </w:rPr>
              <w:t>Женщины</w:t>
            </w:r>
          </w:p>
        </w:tc>
        <w:tc>
          <w:tcPr>
            <w:tcW w:w="99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center"/>
              <w:rPr>
                <w:sz w:val="12"/>
              </w:rPr>
            </w:pPr>
            <w:r>
              <w:rPr>
                <w:sz w:val="12"/>
              </w:rPr>
              <w:t>Мужчины</w:t>
            </w:r>
          </w:p>
        </w:tc>
        <w:tc>
          <w:tcPr>
            <w:tcW w:w="108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center"/>
              <w:rPr>
                <w:sz w:val="12"/>
              </w:rPr>
            </w:pPr>
            <w:r>
              <w:rPr>
                <w:sz w:val="12"/>
              </w:rPr>
              <w:t>Женщины</w:t>
            </w:r>
          </w:p>
        </w:tc>
        <w:tc>
          <w:tcPr>
            <w:tcW w:w="99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center"/>
              <w:rPr>
                <w:sz w:val="12"/>
              </w:rPr>
            </w:pPr>
            <w:r>
              <w:rPr>
                <w:sz w:val="12"/>
              </w:rPr>
              <w:t>Мужчины</w:t>
            </w:r>
          </w:p>
        </w:tc>
      </w:tr>
      <w:tr w:rsidR="00000000">
        <w:tblPrEx>
          <w:tblCellMar>
            <w:top w:w="0" w:type="dxa"/>
            <w:bottom w:w="0" w:type="dxa"/>
          </w:tblCellMar>
        </w:tblPrEx>
        <w:tc>
          <w:tcPr>
            <w:tcW w:w="63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center"/>
              <w:rPr>
                <w:sz w:val="12"/>
              </w:rPr>
            </w:pPr>
          </w:p>
        </w:tc>
        <w:tc>
          <w:tcPr>
            <w:tcW w:w="99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center"/>
              <w:rPr>
                <w:sz w:val="12"/>
              </w:rPr>
            </w:pPr>
            <w:r>
              <w:rPr>
                <w:sz w:val="12"/>
              </w:rPr>
              <w:t>в процентах</w:t>
            </w:r>
          </w:p>
        </w:tc>
        <w:tc>
          <w:tcPr>
            <w:tcW w:w="99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center"/>
              <w:rPr>
                <w:sz w:val="12"/>
              </w:rPr>
            </w:pPr>
            <w:r>
              <w:rPr>
                <w:sz w:val="12"/>
              </w:rPr>
              <w:t>в процентах</w:t>
            </w:r>
          </w:p>
        </w:tc>
        <w:tc>
          <w:tcPr>
            <w:tcW w:w="108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center"/>
              <w:rPr>
                <w:sz w:val="12"/>
              </w:rPr>
            </w:pPr>
            <w:r>
              <w:rPr>
                <w:sz w:val="12"/>
              </w:rPr>
              <w:t>в процентах</w:t>
            </w:r>
          </w:p>
        </w:tc>
        <w:tc>
          <w:tcPr>
            <w:tcW w:w="99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center"/>
              <w:rPr>
                <w:sz w:val="12"/>
              </w:rPr>
            </w:pPr>
            <w:r>
              <w:rPr>
                <w:sz w:val="12"/>
              </w:rPr>
              <w:t>в процентах</w:t>
            </w:r>
          </w:p>
        </w:tc>
      </w:tr>
      <w:tr w:rsidR="00000000">
        <w:tblPrEx>
          <w:tblCellMar>
            <w:top w:w="0" w:type="dxa"/>
            <w:bottom w:w="0" w:type="dxa"/>
          </w:tblCellMar>
        </w:tblPrEx>
        <w:tc>
          <w:tcPr>
            <w:tcW w:w="63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both"/>
              <w:rPr>
                <w:sz w:val="12"/>
              </w:rPr>
            </w:pPr>
            <w:r>
              <w:rPr>
                <w:sz w:val="12"/>
              </w:rPr>
              <w:t>1993</w:t>
            </w:r>
          </w:p>
        </w:tc>
        <w:tc>
          <w:tcPr>
            <w:tcW w:w="99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right"/>
              <w:rPr>
                <w:sz w:val="12"/>
              </w:rPr>
            </w:pPr>
            <w:r>
              <w:rPr>
                <w:sz w:val="12"/>
              </w:rPr>
              <w:t>81</w:t>
            </w:r>
          </w:p>
        </w:tc>
        <w:tc>
          <w:tcPr>
            <w:tcW w:w="99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right"/>
              <w:rPr>
                <w:sz w:val="12"/>
              </w:rPr>
            </w:pPr>
            <w:r>
              <w:rPr>
                <w:sz w:val="12"/>
              </w:rPr>
              <w:t>85</w:t>
            </w:r>
          </w:p>
        </w:tc>
        <w:tc>
          <w:tcPr>
            <w:tcW w:w="108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right"/>
              <w:rPr>
                <w:sz w:val="12"/>
              </w:rPr>
            </w:pPr>
            <w:r>
              <w:rPr>
                <w:sz w:val="12"/>
              </w:rPr>
              <w:t>6,3</w:t>
            </w:r>
          </w:p>
        </w:tc>
        <w:tc>
          <w:tcPr>
            <w:tcW w:w="99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right"/>
              <w:rPr>
                <w:sz w:val="12"/>
              </w:rPr>
            </w:pPr>
            <w:r>
              <w:rPr>
                <w:sz w:val="12"/>
              </w:rPr>
              <w:t>9,4</w:t>
            </w:r>
          </w:p>
        </w:tc>
      </w:tr>
      <w:tr w:rsidR="00000000">
        <w:tblPrEx>
          <w:tblCellMar>
            <w:top w:w="0" w:type="dxa"/>
            <w:bottom w:w="0" w:type="dxa"/>
          </w:tblCellMar>
        </w:tblPrEx>
        <w:tc>
          <w:tcPr>
            <w:tcW w:w="63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both"/>
              <w:rPr>
                <w:sz w:val="12"/>
              </w:rPr>
            </w:pPr>
            <w:r>
              <w:rPr>
                <w:sz w:val="12"/>
              </w:rPr>
              <w:t>1995</w:t>
            </w:r>
          </w:p>
        </w:tc>
        <w:tc>
          <w:tcPr>
            <w:tcW w:w="99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right"/>
              <w:rPr>
                <w:sz w:val="12"/>
              </w:rPr>
            </w:pPr>
            <w:r>
              <w:rPr>
                <w:sz w:val="12"/>
              </w:rPr>
              <w:t>80</w:t>
            </w:r>
          </w:p>
        </w:tc>
        <w:tc>
          <w:tcPr>
            <w:tcW w:w="99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right"/>
              <w:rPr>
                <w:sz w:val="12"/>
              </w:rPr>
            </w:pPr>
            <w:r>
              <w:rPr>
                <w:sz w:val="12"/>
              </w:rPr>
              <w:t>85</w:t>
            </w:r>
          </w:p>
        </w:tc>
        <w:tc>
          <w:tcPr>
            <w:tcW w:w="108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right"/>
              <w:rPr>
                <w:sz w:val="12"/>
              </w:rPr>
            </w:pPr>
            <w:r>
              <w:rPr>
                <w:sz w:val="12"/>
              </w:rPr>
              <w:t>6,7</w:t>
            </w:r>
          </w:p>
        </w:tc>
        <w:tc>
          <w:tcPr>
            <w:tcW w:w="99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right"/>
              <w:rPr>
                <w:sz w:val="12"/>
              </w:rPr>
            </w:pPr>
            <w:r>
              <w:rPr>
                <w:sz w:val="12"/>
              </w:rPr>
              <w:t>8,3</w:t>
            </w:r>
          </w:p>
        </w:tc>
      </w:tr>
      <w:tr w:rsidR="00000000">
        <w:tblPrEx>
          <w:tblCellMar>
            <w:top w:w="0" w:type="dxa"/>
            <w:bottom w:w="0" w:type="dxa"/>
          </w:tblCellMar>
        </w:tblPrEx>
        <w:tc>
          <w:tcPr>
            <w:tcW w:w="63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both"/>
              <w:rPr>
                <w:sz w:val="12"/>
              </w:rPr>
            </w:pPr>
            <w:r>
              <w:rPr>
                <w:sz w:val="12"/>
              </w:rPr>
              <w:t>1997</w:t>
            </w:r>
          </w:p>
        </w:tc>
        <w:tc>
          <w:tcPr>
            <w:tcW w:w="99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right"/>
              <w:rPr>
                <w:sz w:val="12"/>
              </w:rPr>
            </w:pPr>
            <w:r>
              <w:rPr>
                <w:sz w:val="12"/>
              </w:rPr>
              <w:t>78</w:t>
            </w:r>
          </w:p>
        </w:tc>
        <w:tc>
          <w:tcPr>
            <w:tcW w:w="99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right"/>
              <w:rPr>
                <w:sz w:val="12"/>
              </w:rPr>
            </w:pPr>
            <w:r>
              <w:rPr>
                <w:sz w:val="12"/>
              </w:rPr>
              <w:t>84</w:t>
            </w:r>
          </w:p>
        </w:tc>
        <w:tc>
          <w:tcPr>
            <w:tcW w:w="108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right"/>
              <w:rPr>
                <w:sz w:val="12"/>
              </w:rPr>
            </w:pPr>
            <w:r>
              <w:rPr>
                <w:sz w:val="12"/>
              </w:rPr>
              <w:t>6,0</w:t>
            </w:r>
          </w:p>
        </w:tc>
        <w:tc>
          <w:tcPr>
            <w:tcW w:w="99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right"/>
              <w:rPr>
                <w:sz w:val="12"/>
              </w:rPr>
            </w:pPr>
            <w:r>
              <w:rPr>
                <w:sz w:val="12"/>
              </w:rPr>
              <w:t>7,0</w:t>
            </w:r>
          </w:p>
        </w:tc>
      </w:tr>
      <w:tr w:rsidR="00000000">
        <w:tblPrEx>
          <w:tblCellMar>
            <w:top w:w="0" w:type="dxa"/>
            <w:bottom w:w="0" w:type="dxa"/>
          </w:tblCellMar>
        </w:tblPrEx>
        <w:tc>
          <w:tcPr>
            <w:tcW w:w="63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both"/>
              <w:rPr>
                <w:sz w:val="12"/>
              </w:rPr>
            </w:pPr>
            <w:r>
              <w:rPr>
                <w:sz w:val="12"/>
              </w:rPr>
              <w:t>1998</w:t>
            </w:r>
          </w:p>
        </w:tc>
        <w:tc>
          <w:tcPr>
            <w:tcW w:w="99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right"/>
              <w:rPr>
                <w:sz w:val="12"/>
              </w:rPr>
            </w:pPr>
            <w:r>
              <w:rPr>
                <w:sz w:val="12"/>
              </w:rPr>
              <w:t>77</w:t>
            </w:r>
          </w:p>
        </w:tc>
        <w:tc>
          <w:tcPr>
            <w:tcW w:w="99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right"/>
              <w:rPr>
                <w:sz w:val="12"/>
              </w:rPr>
            </w:pPr>
            <w:r>
              <w:rPr>
                <w:sz w:val="12"/>
              </w:rPr>
              <w:t>83</w:t>
            </w:r>
          </w:p>
        </w:tc>
        <w:tc>
          <w:tcPr>
            <w:tcW w:w="108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right"/>
              <w:rPr>
                <w:sz w:val="12"/>
              </w:rPr>
            </w:pPr>
            <w:r>
              <w:rPr>
                <w:sz w:val="12"/>
              </w:rPr>
              <w:t>6,0</w:t>
            </w:r>
          </w:p>
        </w:tc>
        <w:tc>
          <w:tcPr>
            <w:tcW w:w="99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right"/>
              <w:rPr>
                <w:sz w:val="12"/>
              </w:rPr>
            </w:pPr>
            <w:r>
              <w:rPr>
                <w:sz w:val="12"/>
              </w:rPr>
              <w:t>7,0</w:t>
            </w:r>
          </w:p>
        </w:tc>
      </w:tr>
      <w:tr w:rsidR="00000000">
        <w:tblPrEx>
          <w:tblCellMar>
            <w:top w:w="0" w:type="dxa"/>
            <w:bottom w:w="0" w:type="dxa"/>
          </w:tblCellMar>
        </w:tblPrEx>
        <w:tc>
          <w:tcPr>
            <w:tcW w:w="63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both"/>
              <w:rPr>
                <w:sz w:val="12"/>
              </w:rPr>
            </w:pPr>
            <w:r>
              <w:rPr>
                <w:sz w:val="12"/>
              </w:rPr>
              <w:t>1998</w:t>
            </w:r>
          </w:p>
        </w:tc>
        <w:tc>
          <w:tcPr>
            <w:tcW w:w="99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right"/>
              <w:rPr>
                <w:sz w:val="12"/>
              </w:rPr>
            </w:pPr>
            <w:r>
              <w:rPr>
                <w:sz w:val="12"/>
              </w:rPr>
              <w:t>78</w:t>
            </w:r>
          </w:p>
        </w:tc>
        <w:tc>
          <w:tcPr>
            <w:tcW w:w="99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right"/>
              <w:rPr>
                <w:sz w:val="12"/>
              </w:rPr>
            </w:pPr>
            <w:r>
              <w:rPr>
                <w:sz w:val="12"/>
              </w:rPr>
              <w:t>84</w:t>
            </w:r>
          </w:p>
        </w:tc>
        <w:tc>
          <w:tcPr>
            <w:tcW w:w="108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right"/>
              <w:rPr>
                <w:sz w:val="12"/>
              </w:rPr>
            </w:pPr>
            <w:r>
              <w:rPr>
                <w:sz w:val="12"/>
              </w:rPr>
              <w:t>4,0</w:t>
            </w:r>
          </w:p>
        </w:tc>
        <w:tc>
          <w:tcPr>
            <w:tcW w:w="990" w:type="dxa"/>
          </w:tcPr>
          <w:p w:rsidR="00000000" w:rsidRDefault="00000000">
            <w:pPr>
              <w:tabs>
                <w:tab w:val="left" w:pos="475"/>
                <w:tab w:val="left" w:pos="965"/>
                <w:tab w:val="left" w:pos="1440"/>
                <w:tab w:val="left" w:pos="1915"/>
                <w:tab w:val="left" w:pos="2405"/>
                <w:tab w:val="left" w:pos="2880"/>
                <w:tab w:val="left" w:pos="3355"/>
                <w:tab w:val="left" w:pos="3845"/>
              </w:tabs>
              <w:spacing w:line="120" w:lineRule="exact"/>
              <w:jc w:val="right"/>
              <w:rPr>
                <w:sz w:val="12"/>
              </w:rPr>
            </w:pPr>
            <w:r>
              <w:rPr>
                <w:sz w:val="12"/>
              </w:rPr>
              <w:t>5,0</w:t>
            </w:r>
          </w:p>
        </w:tc>
      </w:tr>
    </w:tbl>
    <w:p w:rsidR="00000000" w:rsidRDefault="00000000">
      <w:pPr>
        <w:tabs>
          <w:tab w:val="left" w:pos="475"/>
          <w:tab w:val="left" w:pos="965"/>
          <w:tab w:val="left" w:pos="1440"/>
          <w:tab w:val="left" w:pos="1915"/>
          <w:tab w:val="left" w:pos="2405"/>
          <w:tab w:val="left" w:pos="2880"/>
          <w:tab w:val="left" w:pos="3355"/>
          <w:tab w:val="left" w:pos="3845"/>
        </w:tabs>
        <w:spacing w:before="120" w:after="120"/>
        <w:jc w:val="both"/>
      </w:pPr>
      <w:r>
        <w:tab/>
        <w:t>Источник: Statistics Sweden.</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Как явствует из таблицы, приведенной выше, в 1999 году 78 процентов всех женщин в возрасте от 20 до 64 лет составляли часть рабочей силы. Около 55 процентов женщин, занятых оплачиваемым тр</w:t>
      </w:r>
      <w:r>
        <w:t>у</w:t>
      </w:r>
      <w:r>
        <w:t>дом, работают в государственном секторе, а 45 пр</w:t>
      </w:r>
      <w:r>
        <w:t>о</w:t>
      </w:r>
      <w:r>
        <w:t>центов — в частном секторе. Для мужчин эти пок</w:t>
      </w:r>
      <w:r>
        <w:t>а</w:t>
      </w:r>
      <w:r>
        <w:t>затели составляют 20 и 80 процентов, соответс</w:t>
      </w:r>
      <w:r>
        <w:t>т</w:t>
      </w:r>
      <w:r>
        <w:t>венно.</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результате экономического спада 90-х годов в Швеции в первую очередь сократилась занятость среди мужчин, а затем — среди женщин. В резул</w:t>
      </w:r>
      <w:r>
        <w:t>ь</w:t>
      </w:r>
      <w:r>
        <w:t>тате сокращений в государственном секторе уху</w:t>
      </w:r>
      <w:r>
        <w:t>д</w:t>
      </w:r>
      <w:r>
        <w:t>шилось положение женщин, а также конторских служащих; в течение ряда последних лет перестали существовать около 100 000 рабочих мест. В мун</w:t>
      </w:r>
      <w:r>
        <w:t>и</w:t>
      </w:r>
      <w:r>
        <w:t>ципальном секторе исчезло почти столько же мест. Спад производства сказался также на постоянных контрактах: их вытеснили временные контракты. Количество временных контрактов в основном ув</w:t>
      </w:r>
      <w:r>
        <w:t>е</w:t>
      </w:r>
      <w:r>
        <w:t>личилось среди молодых женщин, что объясняется, по всей вероятности, тем, что доля таких контра</w:t>
      </w:r>
      <w:r>
        <w:t>к</w:t>
      </w:r>
      <w:r>
        <w:t>тов выше в тех областях, где преобладают женщ</w:t>
      </w:r>
      <w:r>
        <w:t>и</w:t>
      </w:r>
      <w:r>
        <w:t>ны, а именно в здравоохранении и торговле. Однако в первом полугодии 1999 года темпы прироста п</w:t>
      </w:r>
      <w:r>
        <w:t>о</w:t>
      </w:r>
      <w:r>
        <w:t>стоянных контрактов сравнялись с темпами приро</w:t>
      </w:r>
      <w:r>
        <w:t>с</w:t>
      </w:r>
      <w:r>
        <w:t>та временных контрактов. Разница в показателях безработицы между мужчинами и женщинами уп</w:t>
      </w:r>
      <w:r>
        <w:t>а</w:t>
      </w:r>
      <w:r>
        <w:t>ла с 3 процентов в 1993 году до 1 процента в 1999 году.</w:t>
      </w:r>
    </w:p>
    <w:p w:rsidR="00000000" w:rsidRDefault="00000000">
      <w:pPr>
        <w:tabs>
          <w:tab w:val="left" w:pos="475"/>
          <w:tab w:val="left" w:pos="965"/>
          <w:tab w:val="left" w:pos="1440"/>
          <w:tab w:val="left" w:pos="1915"/>
          <w:tab w:val="left" w:pos="2405"/>
          <w:tab w:val="left" w:pos="2880"/>
          <w:tab w:val="left" w:pos="3355"/>
          <w:tab w:val="left" w:pos="3845"/>
        </w:tabs>
        <w:jc w:val="both"/>
      </w:pPr>
      <w:r>
        <w:tab/>
        <w:t>От созданных в последние годы новых раб</w:t>
      </w:r>
      <w:r>
        <w:t>о</w:t>
      </w:r>
      <w:r>
        <w:t>чих мест больше выиграли мужчины, чем женщ</w:t>
      </w:r>
      <w:r>
        <w:t>и</w:t>
      </w:r>
      <w:r>
        <w:t>ны. С осени 1998 года отмечаются высокие темпы прироста новых рабочих мест, причем каждый год создается около 100 000 рабочих мест, что соотве</w:t>
      </w:r>
      <w:r>
        <w:t>т</w:t>
      </w:r>
      <w:r>
        <w:t>ствует 2,5 процентам рабочей силы.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11.1(b)</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jc w:val="both"/>
        <w:rPr>
          <w:b/>
        </w:rPr>
      </w:pPr>
      <w:r>
        <w:rPr>
          <w:b/>
        </w:rPr>
        <w:tab/>
        <w:t>Неполная занятость</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1999 году 35 процентов женщин в возрасте от 20 до 64 лет, занятых оплачиваемым трудом, и 8 процентов мужчин, занятых оплачиваемым трудом, работали неполный рабочий день. Из них женщины составляли 79 процентов, а мужчины — 21 процент. 10 процентов всех женщин, занятых оплачиваемым трудом, составляют женщины, работающие непо</w:t>
      </w:r>
      <w:r>
        <w:t>л</w:t>
      </w:r>
      <w:r>
        <w:t>ный рабочий день. У мужчин этот показатель с</w:t>
      </w:r>
      <w:r>
        <w:t>о</w:t>
      </w:r>
      <w:r>
        <w:t>ставляет 4 процента. Из всех лиц, занятых непо</w:t>
      </w:r>
      <w:r>
        <w:t>л</w:t>
      </w:r>
      <w:r>
        <w:t>ный рабочий день, женщины составляют 71 пр</w:t>
      </w:r>
      <w:r>
        <w:t>о</w:t>
      </w:r>
      <w:r>
        <w:t>цент, а мужчины — 29 процентов.</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правительственном законопроекте "Закон</w:t>
      </w:r>
      <w:r>
        <w:t>о</w:t>
      </w:r>
      <w:r>
        <w:t>дательство о труде для стимулирования роста" (Правительственный законопроект 1996/97:16), принятом риксдагом, содержались поправки к Зак</w:t>
      </w:r>
      <w:r>
        <w:t>о</w:t>
      </w:r>
      <w:r>
        <w:t>ну об обеспечении занятости, в соответствии с к</w:t>
      </w:r>
      <w:r>
        <w:t>о</w:t>
      </w:r>
      <w:r>
        <w:t>торыми занятые неполный рабочий день пользую</w:t>
      </w:r>
      <w:r>
        <w:t>т</w:t>
      </w:r>
      <w:r>
        <w:t>ся преимущественным правом на увеличение кол</w:t>
      </w:r>
      <w:r>
        <w:t>и</w:t>
      </w:r>
      <w:r>
        <w:t>чества рабочих часов или переход к полной занят</w:t>
      </w:r>
      <w:r>
        <w:t>о</w:t>
      </w:r>
      <w:r>
        <w:t>сти в том случае, если их работодателю потребуется д</w:t>
      </w:r>
      <w:r>
        <w:t>о</w:t>
      </w:r>
      <w:r>
        <w:t>полнительная рабочая сила.</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Значительная часть занятых неполный рабочий день, особенно женщин, приходится на сферу здр</w:t>
      </w:r>
      <w:r>
        <w:t>а</w:t>
      </w:r>
      <w:r>
        <w:t>воохранения и социального обеспечения. Прав</w:t>
      </w:r>
      <w:r>
        <w:t>и</w:t>
      </w:r>
      <w:r>
        <w:t>тельство поставило цель сократить с ноября 1999 года по ноябрь 2000 года численность занятых н</w:t>
      </w:r>
      <w:r>
        <w:t>е</w:t>
      </w:r>
      <w:r>
        <w:t>полный рабочий день в этом секторе в два раза. З</w:t>
      </w:r>
      <w:r>
        <w:t>а</w:t>
      </w:r>
      <w:r>
        <w:t>тем Шведский совет по рынку труда производит оценку.</w:t>
      </w:r>
    </w:p>
    <w:p w:rsidR="00000000" w:rsidRDefault="00000000">
      <w:pPr>
        <w:tabs>
          <w:tab w:val="left" w:pos="475"/>
          <w:tab w:val="left" w:pos="965"/>
          <w:tab w:val="left" w:pos="1440"/>
          <w:tab w:val="left" w:pos="1915"/>
          <w:tab w:val="left" w:pos="2405"/>
          <w:tab w:val="left" w:pos="2880"/>
          <w:tab w:val="left" w:pos="3355"/>
          <w:tab w:val="left" w:pos="3845"/>
        </w:tabs>
        <w:jc w:val="both"/>
      </w:pPr>
      <w:r>
        <w:tab/>
        <w:t>Вопрос рабочего времени играет ключевую роль в том случае, если женщинам и мужчинам приходится совмещать трудовую деятельность и обязанности по воспитанию детей. При правител</w:t>
      </w:r>
      <w:r>
        <w:t>ь</w:t>
      </w:r>
      <w:r>
        <w:t>стве создана рабочая группа, в задачи которой вх</w:t>
      </w:r>
      <w:r>
        <w:t>о</w:t>
      </w:r>
      <w:r>
        <w:t>дит сбор более детальной базовой информации о проблеме рабочего времени. Весной 2000 года р</w:t>
      </w:r>
      <w:r>
        <w:t>а</w:t>
      </w:r>
      <w:r>
        <w:t>бочая группа представила оценки последствий ра</w:t>
      </w:r>
      <w:r>
        <w:t>з</w:t>
      </w:r>
      <w:r>
        <w:t>личных изменений в рабочих часах для женщин и мужчин, и представила предложения относительно дополнительных мер, которые могут быть приняты в этой сфере. В правительстве в настоящее время идет подготовка проекта заключительного доклада рабочей группы.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Статья 11.1(c)</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tab/>
        <w:t>Все государственные учреждения, связанные с рынком труда, обязаны активно содействовать ре</w:t>
      </w:r>
      <w:r>
        <w:t>а</w:t>
      </w:r>
      <w:r>
        <w:t>лизации права мужчин и женщин на равные условия труда, а также противодействовать распределению служебных обязанностей по признаку пола. Прав</w:t>
      </w:r>
      <w:r>
        <w:t>и</w:t>
      </w:r>
      <w:r>
        <w:t>тельство предприняло ряд шагов для преодоления. Одной из первоочередных задач политики в области равенства полов, проводимой в Швеции, является противодействие сегрегации по признаку пола на рынке труда.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uppressAutoHyphens/>
        <w:ind w:left="475" w:hanging="475"/>
        <w:rPr>
          <w:b/>
        </w:rPr>
      </w:pPr>
      <w:r>
        <w:rPr>
          <w:b/>
        </w:rPr>
        <w:tab/>
        <w:t>Меры, касающиеся рынка труда, и сегрегация на рынке труда по признаку пола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1999 году реализация мер на рынке труда з</w:t>
      </w:r>
      <w:r>
        <w:t>а</w:t>
      </w:r>
      <w:r>
        <w:t>тронула 47 процентов женщин (48 процентов в 1998 году), что превышает долю женщин среди безр</w:t>
      </w:r>
      <w:r>
        <w:t>а</w:t>
      </w:r>
      <w:r>
        <w:t>ботных. Однако, если отнести занятых неполный рабочий день к категории безработных, то окажется, что доля женщин, которых коснулись меры на ры</w:t>
      </w:r>
      <w:r>
        <w:t>н</w:t>
      </w:r>
      <w:r>
        <w:t>ке труда, меньше доли женщин среди безработных. Соотношение между мужчинами и женщинами в рамках таких мер, как создание рабочих мест, обмен профессиональным опытом, организация време</w:t>
      </w:r>
      <w:r>
        <w:t>н</w:t>
      </w:r>
      <w:r>
        <w:t>ных общественных работ для лиц старшего возра</w:t>
      </w:r>
      <w:r>
        <w:t>с</w:t>
      </w:r>
      <w:r>
        <w:t>та и профессиональная подготовка без отрыва от производства, приблизительно соответствовало с</w:t>
      </w:r>
      <w:r>
        <w:t>о</w:t>
      </w:r>
      <w:r>
        <w:t>отношению между ними среди безработных. Однако мужчины чаще, чем женщины получали ссуды для стимулирования поиска работы. Среди участников программ, направленных на увеличение числа женщин-предпринимателей в области торговли и промышленности, женщины составляли в 1999 году 45 процентов (против 48 процентов в 1998 году).</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Чтобы дать правительству возможность сл</w:t>
      </w:r>
      <w:r>
        <w:t>е</w:t>
      </w:r>
      <w:r>
        <w:t>дить за динамикой на рынке труда с гендерной то</w:t>
      </w:r>
      <w:r>
        <w:t>ч</w:t>
      </w:r>
      <w:r>
        <w:t>ки зрения, в 1996 году Национальному совету по рынку труда было предложено дезагрегировать всю статистику по гендерному признаку.</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1996 году правительство дало указание Шведскому национальному ревизионному управл</w:t>
      </w:r>
      <w:r>
        <w:t>е</w:t>
      </w:r>
      <w:r>
        <w:t>нию проанализировать меры, принимаемые на ры</w:t>
      </w:r>
      <w:r>
        <w:t>н</w:t>
      </w:r>
      <w:r>
        <w:t>ке труда под руководством Шведской национальной администрации по рынку труда (в состав которой входит Национальный совет по рынку труда, Сов</w:t>
      </w:r>
      <w:r>
        <w:t>е</w:t>
      </w:r>
      <w:r>
        <w:t>ты по вопросам труда всех ленов и государственные службы занятости на территории всей Швеции) с учетом гендерной проблематики. Результаты этого инспекционного мероприятия, проводившегося в период 1992-1996 годов, были включены в Фина</w:t>
      </w:r>
      <w:r>
        <w:t>н</w:t>
      </w:r>
      <w:r>
        <w:t>совый законопроект 1999 года. По мнению Упра</w:t>
      </w:r>
      <w:r>
        <w:t>в</w:t>
      </w:r>
      <w:r>
        <w:t>ления возможности Администрации по искорен</w:t>
      </w:r>
      <w:r>
        <w:t>е</w:t>
      </w:r>
      <w:r>
        <w:t>нию сегрегации по признаку пола на рынке труда весьма ограничены, поскольку при поиске работы значительная часть безработных не обращается в службы занятости. Управление также считает, что соотношение между мужчинами и женщинами ср</w:t>
      </w:r>
      <w:r>
        <w:t>е</w:t>
      </w:r>
      <w:r>
        <w:t>ди лиц, затронутых реализацией мер на рынке тр</w:t>
      </w:r>
      <w:r>
        <w:t>у</w:t>
      </w:r>
      <w:r>
        <w:t>да, также в основном соответствует их соотнош</w:t>
      </w:r>
      <w:r>
        <w:t>е</w:t>
      </w:r>
      <w:r>
        <w:t>нию среди безработных. Однако, осуществление этих мер, по всей видимости, приводит к тому, что характер занятости мужчин и женщин определяется гендерными стереотипами. Наконец, доля мужчин в относительно дорогостоящих программах, чем доля женщин.</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Меры в сфере образования играют важную роль в искоренении сегрегации по признаку пола на рынке труда. Однако программы профессиональной подготовки на рынке труда лишь спорадически сп</w:t>
      </w:r>
      <w:r>
        <w:t>о</w:t>
      </w:r>
      <w:r>
        <w:t>собствуют этому процессу. Женщины преобладают в программах обучения в области здравоохранения и администрирования, а мужчины — в программах обучения компьютерному делу, промышленным и прочим технологиям. На деятельность служб зан</w:t>
      </w:r>
      <w:r>
        <w:t>я</w:t>
      </w:r>
      <w:r>
        <w:t>тости также оказывают влияние гендерные стере</w:t>
      </w:r>
      <w:r>
        <w:t>о</w:t>
      </w:r>
      <w:r>
        <w:t>типы. Безработным мужчинам чаще всего предл</w:t>
      </w:r>
      <w:r>
        <w:t>а</w:t>
      </w:r>
      <w:r>
        <w:t>гаются вакансии в обрабатывающей промышленн</w:t>
      </w:r>
      <w:r>
        <w:t>о</w:t>
      </w:r>
      <w:r>
        <w:t>сти, а женщинам — в сфере розничной торговли, ухода за больными и бытового обслуживания.</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течение ряда лет правительство выделило 28 млн. шведских крон Национальному совету по ры</w:t>
      </w:r>
      <w:r>
        <w:t>н</w:t>
      </w:r>
      <w:r>
        <w:t>ку труда на реализацию мероприятий по против</w:t>
      </w:r>
      <w:r>
        <w:t>о</w:t>
      </w:r>
      <w:r>
        <w:t>действию сегрегации по признаку пола на рынке труда, а также на реализацию программ обучения собственного персонала проблемам равенства п</w:t>
      </w:r>
      <w:r>
        <w:t>о</w:t>
      </w:r>
      <w:r>
        <w:t>лов. Средства распределяются между советами л</w:t>
      </w:r>
      <w:r>
        <w:t>е</w:t>
      </w:r>
      <w:r>
        <w:t>нов по вопросам труда. Все советы осуществляют различные проекты, нацеленные на поиск методов, позволяющих решить гендерные проблемы во вза</w:t>
      </w:r>
      <w:r>
        <w:t>и</w:t>
      </w:r>
      <w:r>
        <w:t>модействии с лицами, ищущими работу, и работод</w:t>
      </w:r>
      <w:r>
        <w:t>а</w:t>
      </w:r>
      <w:r>
        <w:t>телями. Кроме того, анализируются последствия различных мер на рынке труда для мужчин и же</w:t>
      </w:r>
      <w:r>
        <w:t>н</w:t>
      </w:r>
      <w:r>
        <w:t>щин. В данном случае это позволит выявить, какие изменения необходимы в распределении мер на рынке труда.</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Правительственными учреждениями начата реализация ряда различных проектов, нацеленных на продолжение борьбы с сегрегацией по признаку пола. В 1998 году правительство учредило Комитет по вопросам найма персонала в системе здрав</w:t>
      </w:r>
      <w:r>
        <w:t>о</w:t>
      </w:r>
      <w:r>
        <w:t>охранения и социального обеспечения. Комитет должен был провести обзор требований в отнош</w:t>
      </w:r>
      <w:r>
        <w:t>е</w:t>
      </w:r>
      <w:r>
        <w:t>нии уровня образования и вырабатывать предлож</w:t>
      </w:r>
      <w:r>
        <w:t>е</w:t>
      </w:r>
      <w:r>
        <w:t>ния по облегчению найма персонала для сектора здравоохранения и социального обеспечения. Ком</w:t>
      </w:r>
      <w:r>
        <w:t>и</w:t>
      </w:r>
      <w:r>
        <w:t>тету было предложено обратить особое внимание на проблему сокращения разрыва между мужчинами и женщинами в этом секторе, т.е. увеличить долю мужчин. Комитет завершил свою работу в июле 1999 года. В связи с этим правительство предлож</w:t>
      </w:r>
      <w:r>
        <w:t>и</w:t>
      </w:r>
      <w:r>
        <w:t>ло Совету по рынку труда организовать подготовку персонала, занятого в секторах с избытком рабочей силы, чтобы обеспечить его работой в секторе здр</w:t>
      </w:r>
      <w:r>
        <w:t>а</w:t>
      </w:r>
      <w:r>
        <w:t>воохранения и социального обеспечения. Кроме т</w:t>
      </w:r>
      <w:r>
        <w:t>о</w:t>
      </w:r>
      <w:r>
        <w:t>го, необходимо создать новые места в рамках уче</w:t>
      </w:r>
      <w:r>
        <w:t>б</w:t>
      </w:r>
      <w:r>
        <w:t>ных программ для медсестер.</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Другой проект, реализуемый также по иници</w:t>
      </w:r>
      <w:r>
        <w:t>а</w:t>
      </w:r>
      <w:r>
        <w:t>тиве министерства промышленности, занятости и связи, нацелен на изучение и анализ, с учетом пр</w:t>
      </w:r>
      <w:r>
        <w:t>о</w:t>
      </w:r>
      <w:r>
        <w:t>блем роста, влияния признаков пола, класса, этн</w:t>
      </w:r>
      <w:r>
        <w:t>и</w:t>
      </w:r>
      <w:r>
        <w:t>ческой принадлежности, возрастных критериев, сексуальной ориентации и физических и умстве</w:t>
      </w:r>
      <w:r>
        <w:t>н</w:t>
      </w:r>
      <w:r>
        <w:t>ных недостатков на возможности найти работу и предпринимательскую деятельность, а также того воздействия, которое оказывает на экономический рост разнообразие возможностей в торговле и пр</w:t>
      </w:r>
      <w:r>
        <w:t>о</w:t>
      </w:r>
      <w:r>
        <w:t>мышленности. Заключительный доклад будет пре</w:t>
      </w:r>
      <w:r>
        <w:t>д</w:t>
      </w:r>
      <w:r>
        <w:t>ставлен в ноябре 2000 года.</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В октябре 1999 года правительство приняло решение учредить совет по вопросам обеспечения равенства полов в области транспорта и информ</w:t>
      </w:r>
      <w:r>
        <w:t>а</w:t>
      </w:r>
      <w:r>
        <w:t>ционных технологий — Совет по вопросам обесп</w:t>
      </w:r>
      <w:r>
        <w:t>е</w:t>
      </w:r>
      <w:r>
        <w:t>чения равенства полов в области транспорта и и</w:t>
      </w:r>
      <w:r>
        <w:t>н</w:t>
      </w:r>
      <w:r>
        <w:t>формационных технологий. Основные задачи, стоящие перед Советом, предусматривают следу</w:t>
      </w:r>
      <w:r>
        <w:t>ю</w:t>
      </w:r>
      <w:r>
        <w:t>щее:</w:t>
      </w:r>
    </w:p>
    <w:p w:rsidR="00000000" w:rsidRDefault="00000000">
      <w:pPr>
        <w:tabs>
          <w:tab w:val="left" w:pos="475"/>
          <w:tab w:val="left" w:pos="965"/>
          <w:tab w:val="left" w:pos="1440"/>
          <w:tab w:val="left" w:pos="1915"/>
          <w:tab w:val="left" w:pos="2405"/>
          <w:tab w:val="left" w:pos="2880"/>
          <w:tab w:val="left" w:pos="3355"/>
          <w:tab w:val="left" w:pos="3845"/>
        </w:tabs>
        <w:spacing w:after="120"/>
        <w:ind w:left="490" w:hanging="490"/>
        <w:jc w:val="both"/>
      </w:pPr>
      <w:r>
        <w:t>–</w:t>
      </w:r>
      <w:r>
        <w:tab/>
        <w:t>отслеживание и анализ, как в долгосрочной, так и в краткосрочной перспективе, различных проблем равенства полов в области информ</w:t>
      </w:r>
      <w:r>
        <w:t>а</w:t>
      </w:r>
      <w:r>
        <w:t>ционных технологий и тран</w:t>
      </w:r>
      <w:r>
        <w:t>с</w:t>
      </w:r>
      <w:r>
        <w:t>порта;</w:t>
      </w:r>
    </w:p>
    <w:p w:rsidR="00000000" w:rsidRDefault="00000000">
      <w:pPr>
        <w:tabs>
          <w:tab w:val="left" w:pos="475"/>
          <w:tab w:val="left" w:pos="965"/>
          <w:tab w:val="left" w:pos="1440"/>
          <w:tab w:val="left" w:pos="1915"/>
          <w:tab w:val="left" w:pos="2405"/>
          <w:tab w:val="left" w:pos="2880"/>
          <w:tab w:val="left" w:pos="3355"/>
          <w:tab w:val="left" w:pos="3845"/>
        </w:tabs>
        <w:spacing w:after="120"/>
        <w:ind w:left="490" w:hanging="490"/>
        <w:jc w:val="both"/>
      </w:pPr>
      <w:r>
        <w:t>–</w:t>
      </w:r>
      <w:r>
        <w:tab/>
        <w:t>сбор информации, связанной с проблемой р</w:t>
      </w:r>
      <w:r>
        <w:t>а</w:t>
      </w:r>
      <w:r>
        <w:t>венства полов в этих обла</w:t>
      </w:r>
      <w:r>
        <w:t>с</w:t>
      </w:r>
      <w:r>
        <w:t>тях;</w:t>
      </w:r>
    </w:p>
    <w:p w:rsidR="00000000" w:rsidRDefault="00000000">
      <w:pPr>
        <w:tabs>
          <w:tab w:val="left" w:pos="475"/>
          <w:tab w:val="left" w:pos="965"/>
          <w:tab w:val="left" w:pos="1440"/>
          <w:tab w:val="left" w:pos="1915"/>
          <w:tab w:val="left" w:pos="2405"/>
          <w:tab w:val="left" w:pos="2880"/>
          <w:tab w:val="left" w:pos="3355"/>
          <w:tab w:val="left" w:pos="3845"/>
        </w:tabs>
        <w:spacing w:after="120"/>
        <w:ind w:left="490" w:hanging="490"/>
        <w:jc w:val="both"/>
      </w:pPr>
      <w:r>
        <w:t>–</w:t>
      </w:r>
      <w:r>
        <w:tab/>
        <w:t>внесение предложений относительно путей и средств укрепления равенства полов в этих областях;</w:t>
      </w:r>
    </w:p>
    <w:p w:rsidR="00000000" w:rsidRDefault="00000000">
      <w:pPr>
        <w:tabs>
          <w:tab w:val="left" w:pos="475"/>
          <w:tab w:val="left" w:pos="965"/>
          <w:tab w:val="left" w:pos="1440"/>
          <w:tab w:val="left" w:pos="1915"/>
          <w:tab w:val="left" w:pos="2405"/>
          <w:tab w:val="left" w:pos="2880"/>
          <w:tab w:val="left" w:pos="3355"/>
          <w:tab w:val="left" w:pos="3845"/>
        </w:tabs>
        <w:spacing w:after="120"/>
        <w:ind w:left="490" w:hanging="490"/>
        <w:jc w:val="both"/>
      </w:pPr>
      <w:r>
        <w:t>–</w:t>
      </w:r>
      <w:r>
        <w:tab/>
        <w:t>выработка мнений и распространение знаний.</w:t>
      </w:r>
    </w:p>
    <w:p w:rsidR="00000000" w:rsidRDefault="00000000">
      <w:pPr>
        <w:tabs>
          <w:tab w:val="left" w:pos="475"/>
          <w:tab w:val="left" w:pos="965"/>
          <w:tab w:val="left" w:pos="1440"/>
          <w:tab w:val="left" w:pos="1915"/>
          <w:tab w:val="left" w:pos="2405"/>
          <w:tab w:val="left" w:pos="2880"/>
          <w:tab w:val="left" w:pos="3355"/>
          <w:tab w:val="left" w:pos="3845"/>
        </w:tabs>
        <w:jc w:val="both"/>
      </w:pPr>
      <w:r>
        <w:tab/>
        <w:t>В предварительном докладе (Официальный доклад правительства 2000:58), представленном правительству в июне 2000 года, Совет заявил, что в сфере информационных технологий главенс</w:t>
      </w:r>
      <w:r>
        <w:t>т</w:t>
      </w:r>
      <w:r>
        <w:t>вующую роль играют мужчины, хотя характер их применения в равной степени отвечает потребн</w:t>
      </w:r>
      <w:r>
        <w:t>о</w:t>
      </w:r>
      <w:r>
        <w:t>стям как женщин, так и мужчин. Эта главенству</w:t>
      </w:r>
      <w:r>
        <w:t>ю</w:t>
      </w:r>
      <w:r>
        <w:t>щая роль поддерживается разными способами, в том числе посредством лингвистических средств, посредством принижения ценности женского по</w:t>
      </w:r>
      <w:r>
        <w:t>д</w:t>
      </w:r>
      <w:r>
        <w:t>хода к технологиям через отказ женщин от к техн</w:t>
      </w:r>
      <w:r>
        <w:t>о</w:t>
      </w:r>
      <w:r>
        <w:t>логий, а также посредством исключения мужчинами допуска женщин к технологиям при помощи сущ</w:t>
      </w:r>
      <w:r>
        <w:t>е</w:t>
      </w:r>
      <w:r>
        <w:t>ствующих де-факто квот. Поэтому суть проблемы заключается в решимости изменить имеющиеся м</w:t>
      </w:r>
      <w:r>
        <w:t>о</w:t>
      </w:r>
      <w:r>
        <w:t>дели и выявить средства, позволяющие провести в жизнь такие изменения. Совет должен завершить свою работу 30 июня 2001 года.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uppressAutoHyphens/>
        <w:ind w:left="475" w:hanging="475"/>
        <w:rPr>
          <w:b/>
        </w:rPr>
      </w:pPr>
      <w:r>
        <w:rPr>
          <w:b/>
        </w:rPr>
        <w:tab/>
        <w:t>Меры для поощрения женщин к предприним</w:t>
      </w:r>
      <w:r>
        <w:rPr>
          <w:b/>
        </w:rPr>
        <w:t>а</w:t>
      </w:r>
      <w:r>
        <w:rPr>
          <w:b/>
        </w:rPr>
        <w:t>тельской деятельности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Женщины недопредставлены среди предпр</w:t>
      </w:r>
      <w:r>
        <w:t>и</w:t>
      </w:r>
      <w:r>
        <w:t>нимателей: они составляют около 25 процентов всех предпринимателей. Поэтому в 1997 году стали реализовываться особые меры в интересах этих групп. На период 1998-2000 годов правительство выделило 30 млн. шведских крон на реализацию мер по поощрению женщин к предпринимательской деятельности. В течение 90-х годов доля женщин среди начинающих предпринимателей повысилась с 15 до 31 процента. В сравнении с началом 90-х г</w:t>
      </w:r>
      <w:r>
        <w:t>о</w:t>
      </w:r>
      <w:r>
        <w:t>дов к концу десятилетия доля женщин–предприн</w:t>
      </w:r>
      <w:r>
        <w:t>и</w:t>
      </w:r>
      <w:r>
        <w:t>мателей возросла. Число женщин и мужчин-предпринимателей остается на том же высоком уровне; по прошествии трех лет продолжают у</w:t>
      </w:r>
      <w:r>
        <w:t>с</w:t>
      </w:r>
      <w:r>
        <w:t>пешно работать 63 процента новых компаний, со</w:t>
      </w:r>
      <w:r>
        <w:t>з</w:t>
      </w:r>
      <w:r>
        <w:t>данных женщинами и мужч</w:t>
      </w:r>
      <w:r>
        <w:t>и</w:t>
      </w:r>
      <w:r>
        <w:t>нами.</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С 1994 года женщины получили возможность брать ссуды на создание предприятий. Женщины могут получить ссуду для создания нового и разв</w:t>
      </w:r>
      <w:r>
        <w:t>и</w:t>
      </w:r>
      <w:r>
        <w:t>тия уже существующего предприятия. В период между 1994 и 1998 годами для более чем 5000 ко</w:t>
      </w:r>
      <w:r>
        <w:t>м</w:t>
      </w:r>
      <w:r>
        <w:t>паний было выдано ссуд на общую сумму 379 млн. шведских крон. Дальнейшие исследования показ</w:t>
      </w:r>
      <w:r>
        <w:t>ы</w:t>
      </w:r>
      <w:r>
        <w:t>вают, что каждая ссуда приводит к созданию двух рабочих мест, что в сумме составляет около 10 000 новых рабочих мест.</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Национальный совет по промышленному и техническому развитию (НУТЕК) профинансировал создание консалтинговой компании для женщин. В 1994 году в 62 районах местного самоуправления была начата реализация проектов с участием же</w:t>
      </w:r>
      <w:r>
        <w:t>н</w:t>
      </w:r>
      <w:r>
        <w:t>щин-консультантов по вопросам коммерческой де</w:t>
      </w:r>
      <w:r>
        <w:t>я</w:t>
      </w:r>
      <w:r>
        <w:t>тельности. На сегодняшний день в более, чем 110 муниципалитетах активно работают женщины-консультанты по вопросам коммерческой деятел</w:t>
      </w:r>
      <w:r>
        <w:t>ь</w:t>
      </w:r>
      <w:r>
        <w:t>ности, перед которыми стоит задача привлечь большее число женщин к предпринимательской деятельности. Оценка показывает, что благодаря т</w:t>
      </w:r>
      <w:r>
        <w:t>а</w:t>
      </w:r>
      <w:r>
        <w:t>кой поддержке женщин-предпринимателей в ка</w:t>
      </w:r>
      <w:r>
        <w:t>ж</w:t>
      </w:r>
      <w:r>
        <w:t>дом районе местного самоуправления возникло от 15 до 45 новых предприятий.</w:t>
      </w:r>
    </w:p>
    <w:p w:rsidR="00000000" w:rsidRDefault="00000000">
      <w:pPr>
        <w:tabs>
          <w:tab w:val="left" w:pos="475"/>
          <w:tab w:val="left" w:pos="965"/>
          <w:tab w:val="left" w:pos="1440"/>
          <w:tab w:val="left" w:pos="1915"/>
          <w:tab w:val="left" w:pos="2405"/>
          <w:tab w:val="left" w:pos="2880"/>
          <w:tab w:val="left" w:pos="3355"/>
          <w:tab w:val="left" w:pos="3845"/>
        </w:tabs>
        <w:spacing w:after="120"/>
        <w:jc w:val="both"/>
      </w:pPr>
      <w:r>
        <w:tab/>
        <w:t>Приблизительно в 120 населенных пунктах в разных районах Швеции были учреждены реги</w:t>
      </w:r>
      <w:r>
        <w:t>о</w:t>
      </w:r>
      <w:r>
        <w:t>нальные и местные центры ресурсов для женщин. Реализацию этого проекта координирует НУТЕК в консультации с Национальным агентством развития сельских районов через Национальный центр р</w:t>
      </w:r>
      <w:r>
        <w:t>е</w:t>
      </w:r>
      <w:r>
        <w:t>сурсов для женщин. Перед центрами ресурсов п</w:t>
      </w:r>
      <w:r>
        <w:t>о</w:t>
      </w:r>
      <w:r>
        <w:t>ставлена задача привлечь большее число женщин к предпринимательской деятельности и инициировать осуществление местных проектов развития. Их де</w:t>
      </w:r>
      <w:r>
        <w:t>я</w:t>
      </w:r>
      <w:r>
        <w:t>тельность прежде всего направлена на женщин, ж</w:t>
      </w:r>
      <w:r>
        <w:t>е</w:t>
      </w:r>
      <w:r>
        <w:t>лающих открыть свои предприятия. Некоторые це</w:t>
      </w:r>
      <w:r>
        <w:t>н</w:t>
      </w:r>
      <w:r>
        <w:t>тры ресурсов, в сотрудничестве с Национальным советом по делам молодежи, начали реализацию специальных проектов в интересах молодых же</w:t>
      </w:r>
      <w:r>
        <w:t>н</w:t>
      </w:r>
      <w:r>
        <w:t>щин.</w:t>
      </w:r>
    </w:p>
    <w:p w:rsidR="00000000" w:rsidRDefault="00000000">
      <w:pPr>
        <w:tabs>
          <w:tab w:val="left" w:pos="475"/>
          <w:tab w:val="left" w:pos="965"/>
          <w:tab w:val="left" w:pos="1440"/>
          <w:tab w:val="left" w:pos="1915"/>
          <w:tab w:val="left" w:pos="2405"/>
          <w:tab w:val="left" w:pos="2880"/>
          <w:tab w:val="left" w:pos="3355"/>
          <w:tab w:val="left" w:pos="3845"/>
        </w:tabs>
        <w:jc w:val="both"/>
      </w:pPr>
      <w:r>
        <w:tab/>
        <w:t>Перед "АЛМИ Бизнес партнер инк." также б</w:t>
      </w:r>
      <w:r>
        <w:t>ы</w:t>
      </w:r>
      <w:r>
        <w:t>ла поставлена задача подготовить информационный материал и создать консультативную службу для же</w:t>
      </w:r>
      <w:r>
        <w:t>н</w:t>
      </w:r>
      <w:r>
        <w:t>щин.</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jc w:val="both"/>
        <w:rPr>
          <w:b/>
        </w:rPr>
      </w:pPr>
      <w:r>
        <w:rPr>
          <w:b/>
        </w:rPr>
        <w:tab/>
        <w:t>Прочие вопросы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tabs>
          <w:tab w:val="left" w:pos="475"/>
          <w:tab w:val="left" w:pos="965"/>
          <w:tab w:val="left" w:pos="1440"/>
          <w:tab w:val="left" w:pos="1915"/>
          <w:tab w:val="left" w:pos="2405"/>
          <w:tab w:val="left" w:pos="2880"/>
          <w:tab w:val="left" w:pos="3355"/>
          <w:tab w:val="left" w:pos="3845"/>
        </w:tabs>
        <w:jc w:val="both"/>
      </w:pPr>
      <w:r>
        <w:tab/>
        <w:t>1 января 2000 года в Закон об обеспечении з</w:t>
      </w:r>
      <w:r>
        <w:t>а</w:t>
      </w:r>
      <w:r>
        <w:t>нятости было внесено новое положение, огранич</w:t>
      </w:r>
      <w:r>
        <w:t>и</w:t>
      </w:r>
      <w:r>
        <w:t>вающее срок временно вакантных должностей. В соответствии с этим положением, временное зам</w:t>
      </w:r>
      <w:r>
        <w:t>е</w:t>
      </w:r>
      <w:r>
        <w:t>щение вакантной должности более трех лет в теч</w:t>
      </w:r>
      <w:r>
        <w:t>е</w:t>
      </w:r>
      <w:r>
        <w:t>ние пятилетнего периода преобразуется в постоя</w:t>
      </w:r>
      <w:r>
        <w:t>н</w:t>
      </w:r>
      <w:r>
        <w:t>ное назначение на эту должность.</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11.1(d)</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spacing w:after="120"/>
        <w:jc w:val="both"/>
      </w:pPr>
      <w:r>
        <w:tab/>
        <w:t>См. предыдущие доклады Швеции.</w:t>
      </w:r>
    </w:p>
    <w:p w:rsidR="00000000" w:rsidRDefault="00000000">
      <w:pPr>
        <w:spacing w:after="120"/>
        <w:jc w:val="both"/>
      </w:pPr>
      <w:r>
        <w:tab/>
        <w:t>Положения этого подпункта гарантируются Законом о равных возможностях. Положение Закона о равных возможностях, запрещающее против</w:t>
      </w:r>
      <w:r>
        <w:t>о</w:t>
      </w:r>
      <w:r>
        <w:t>правную дискриминацию в области оплаты труда, а также недавно внесенные и предлагаемые поправки рассматриваются в подпунктах (b) и (с) статьи 2, в предыд</w:t>
      </w:r>
      <w:r>
        <w:t>у</w:t>
      </w:r>
      <w:r>
        <w:t>щем и настоящем докладах.</w:t>
      </w:r>
    </w:p>
    <w:p w:rsidR="00000000" w:rsidRDefault="00000000">
      <w:pPr>
        <w:suppressAutoHyphens/>
        <w:jc w:val="center"/>
        <w:rPr>
          <w:b/>
        </w:rPr>
      </w:pPr>
      <w:r>
        <w:rPr>
          <w:b/>
        </w:rPr>
        <w:t>Оклады/заработная плата женщин в процентах от окладов/заработной платы мужчин,</w:t>
      </w:r>
    </w:p>
    <w:p w:rsidR="00000000" w:rsidRDefault="00000000">
      <w:pPr>
        <w:suppressAutoHyphens/>
        <w:spacing w:after="120"/>
        <w:jc w:val="center"/>
        <w:rPr>
          <w:b/>
        </w:rPr>
      </w:pPr>
      <w:r>
        <w:rPr>
          <w:b/>
        </w:rPr>
        <w:t>1991-1998 годы</w:t>
      </w:r>
    </w:p>
    <w:tbl>
      <w:tblPr>
        <w:tblW w:w="0" w:type="auto"/>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40"/>
        <w:gridCol w:w="810"/>
        <w:gridCol w:w="810"/>
        <w:gridCol w:w="720"/>
      </w:tblGrid>
      <w:tr w:rsidR="00000000">
        <w:tblPrEx>
          <w:tblCellMar>
            <w:top w:w="0" w:type="dxa"/>
            <w:bottom w:w="0" w:type="dxa"/>
          </w:tblCellMar>
        </w:tblPrEx>
        <w:tc>
          <w:tcPr>
            <w:tcW w:w="2340" w:type="dxa"/>
          </w:tcPr>
          <w:p w:rsidR="00000000" w:rsidRDefault="00000000">
            <w:pPr>
              <w:spacing w:after="120"/>
              <w:jc w:val="both"/>
              <w:rPr>
                <w:sz w:val="12"/>
              </w:rPr>
            </w:pPr>
          </w:p>
        </w:tc>
        <w:tc>
          <w:tcPr>
            <w:tcW w:w="810" w:type="dxa"/>
          </w:tcPr>
          <w:p w:rsidR="00000000" w:rsidRDefault="00000000">
            <w:pPr>
              <w:spacing w:after="120"/>
              <w:jc w:val="both"/>
              <w:rPr>
                <w:sz w:val="12"/>
              </w:rPr>
            </w:pPr>
            <w:r>
              <w:rPr>
                <w:sz w:val="12"/>
              </w:rPr>
              <w:t>1991 год</w:t>
            </w:r>
          </w:p>
        </w:tc>
        <w:tc>
          <w:tcPr>
            <w:tcW w:w="810" w:type="dxa"/>
          </w:tcPr>
          <w:p w:rsidR="00000000" w:rsidRDefault="00000000">
            <w:pPr>
              <w:spacing w:after="120"/>
              <w:jc w:val="both"/>
              <w:rPr>
                <w:sz w:val="12"/>
              </w:rPr>
            </w:pPr>
            <w:r>
              <w:rPr>
                <w:sz w:val="12"/>
              </w:rPr>
              <w:t>1994 год</w:t>
            </w:r>
          </w:p>
        </w:tc>
        <w:tc>
          <w:tcPr>
            <w:tcW w:w="720" w:type="dxa"/>
          </w:tcPr>
          <w:p w:rsidR="00000000" w:rsidRDefault="00000000">
            <w:pPr>
              <w:spacing w:after="120"/>
              <w:jc w:val="both"/>
              <w:rPr>
                <w:sz w:val="12"/>
              </w:rPr>
            </w:pPr>
            <w:r>
              <w:rPr>
                <w:sz w:val="12"/>
              </w:rPr>
              <w:t>1998 год</w:t>
            </w:r>
          </w:p>
        </w:tc>
      </w:tr>
      <w:tr w:rsidR="00000000">
        <w:tblPrEx>
          <w:tblCellMar>
            <w:top w:w="0" w:type="dxa"/>
            <w:bottom w:w="0" w:type="dxa"/>
          </w:tblCellMar>
        </w:tblPrEx>
        <w:tc>
          <w:tcPr>
            <w:tcW w:w="2340" w:type="dxa"/>
          </w:tcPr>
          <w:p w:rsidR="00000000" w:rsidRDefault="00000000">
            <w:pPr>
              <w:spacing w:after="120"/>
              <w:jc w:val="both"/>
              <w:rPr>
                <w:sz w:val="12"/>
              </w:rPr>
            </w:pPr>
            <w:r>
              <w:rPr>
                <w:sz w:val="12"/>
              </w:rPr>
              <w:t>Инженерно-технические рабо</w:t>
            </w:r>
            <w:r>
              <w:rPr>
                <w:sz w:val="12"/>
              </w:rPr>
              <w:t>т</w:t>
            </w:r>
            <w:r>
              <w:rPr>
                <w:sz w:val="12"/>
              </w:rPr>
              <w:t>ники</w:t>
            </w:r>
          </w:p>
        </w:tc>
        <w:tc>
          <w:tcPr>
            <w:tcW w:w="810" w:type="dxa"/>
          </w:tcPr>
          <w:p w:rsidR="00000000" w:rsidRDefault="00000000">
            <w:pPr>
              <w:spacing w:after="120"/>
              <w:jc w:val="both"/>
              <w:rPr>
                <w:sz w:val="12"/>
              </w:rPr>
            </w:pPr>
            <w:r>
              <w:rPr>
                <w:sz w:val="12"/>
              </w:rPr>
              <w:t>75</w:t>
            </w:r>
          </w:p>
        </w:tc>
        <w:tc>
          <w:tcPr>
            <w:tcW w:w="810" w:type="dxa"/>
          </w:tcPr>
          <w:p w:rsidR="00000000" w:rsidRDefault="00000000">
            <w:pPr>
              <w:spacing w:after="120"/>
              <w:jc w:val="both"/>
              <w:rPr>
                <w:sz w:val="12"/>
              </w:rPr>
            </w:pPr>
            <w:r>
              <w:rPr>
                <w:sz w:val="12"/>
              </w:rPr>
              <w:t>75</w:t>
            </w:r>
          </w:p>
        </w:tc>
        <w:tc>
          <w:tcPr>
            <w:tcW w:w="720" w:type="dxa"/>
          </w:tcPr>
          <w:p w:rsidR="00000000" w:rsidRDefault="00000000">
            <w:pPr>
              <w:spacing w:after="120"/>
              <w:jc w:val="both"/>
              <w:rPr>
                <w:sz w:val="12"/>
              </w:rPr>
            </w:pPr>
            <w:r>
              <w:rPr>
                <w:sz w:val="12"/>
              </w:rPr>
              <w:t>75</w:t>
            </w:r>
          </w:p>
        </w:tc>
      </w:tr>
      <w:tr w:rsidR="00000000">
        <w:tblPrEx>
          <w:tblCellMar>
            <w:top w:w="0" w:type="dxa"/>
            <w:bottom w:w="0" w:type="dxa"/>
          </w:tblCellMar>
        </w:tblPrEx>
        <w:tc>
          <w:tcPr>
            <w:tcW w:w="2340" w:type="dxa"/>
          </w:tcPr>
          <w:p w:rsidR="00000000" w:rsidRDefault="00000000">
            <w:pPr>
              <w:spacing w:after="120"/>
              <w:jc w:val="both"/>
              <w:rPr>
                <w:sz w:val="12"/>
              </w:rPr>
            </w:pPr>
            <w:r>
              <w:rPr>
                <w:sz w:val="12"/>
              </w:rPr>
              <w:t>Производственные рабочие</w:t>
            </w:r>
          </w:p>
        </w:tc>
        <w:tc>
          <w:tcPr>
            <w:tcW w:w="810" w:type="dxa"/>
          </w:tcPr>
          <w:p w:rsidR="00000000" w:rsidRDefault="00000000">
            <w:pPr>
              <w:spacing w:after="120"/>
              <w:jc w:val="both"/>
              <w:rPr>
                <w:sz w:val="12"/>
              </w:rPr>
            </w:pPr>
            <w:r>
              <w:rPr>
                <w:sz w:val="12"/>
              </w:rPr>
              <w:t>90</w:t>
            </w:r>
          </w:p>
        </w:tc>
        <w:tc>
          <w:tcPr>
            <w:tcW w:w="810" w:type="dxa"/>
          </w:tcPr>
          <w:p w:rsidR="00000000" w:rsidRDefault="00000000">
            <w:pPr>
              <w:spacing w:after="120"/>
              <w:jc w:val="both"/>
              <w:rPr>
                <w:sz w:val="12"/>
              </w:rPr>
            </w:pPr>
            <w:r>
              <w:rPr>
                <w:sz w:val="12"/>
              </w:rPr>
              <w:t>91</w:t>
            </w:r>
          </w:p>
        </w:tc>
        <w:tc>
          <w:tcPr>
            <w:tcW w:w="720" w:type="dxa"/>
          </w:tcPr>
          <w:p w:rsidR="00000000" w:rsidRDefault="00000000">
            <w:pPr>
              <w:spacing w:after="120"/>
              <w:jc w:val="both"/>
              <w:rPr>
                <w:sz w:val="12"/>
              </w:rPr>
            </w:pPr>
            <w:r>
              <w:rPr>
                <w:sz w:val="12"/>
              </w:rPr>
              <w:t>91</w:t>
            </w:r>
          </w:p>
        </w:tc>
      </w:tr>
      <w:tr w:rsidR="00000000">
        <w:tblPrEx>
          <w:tblCellMar>
            <w:top w:w="0" w:type="dxa"/>
            <w:bottom w:w="0" w:type="dxa"/>
          </w:tblCellMar>
        </w:tblPrEx>
        <w:tc>
          <w:tcPr>
            <w:tcW w:w="2340" w:type="dxa"/>
          </w:tcPr>
          <w:p w:rsidR="00000000" w:rsidRDefault="00000000">
            <w:pPr>
              <w:spacing w:after="120"/>
              <w:jc w:val="both"/>
              <w:rPr>
                <w:sz w:val="12"/>
              </w:rPr>
            </w:pPr>
            <w:r>
              <w:rPr>
                <w:sz w:val="12"/>
              </w:rPr>
              <w:t>Государственные служащие</w:t>
            </w:r>
          </w:p>
        </w:tc>
        <w:tc>
          <w:tcPr>
            <w:tcW w:w="810" w:type="dxa"/>
          </w:tcPr>
          <w:p w:rsidR="00000000" w:rsidRDefault="00000000">
            <w:pPr>
              <w:spacing w:after="120"/>
              <w:jc w:val="both"/>
              <w:rPr>
                <w:sz w:val="12"/>
              </w:rPr>
            </w:pPr>
            <w:r>
              <w:rPr>
                <w:sz w:val="12"/>
              </w:rPr>
              <w:t>85</w:t>
            </w:r>
          </w:p>
        </w:tc>
        <w:tc>
          <w:tcPr>
            <w:tcW w:w="810" w:type="dxa"/>
          </w:tcPr>
          <w:p w:rsidR="00000000" w:rsidRDefault="00000000">
            <w:pPr>
              <w:spacing w:after="120"/>
              <w:jc w:val="both"/>
              <w:rPr>
                <w:sz w:val="12"/>
              </w:rPr>
            </w:pPr>
            <w:r>
              <w:rPr>
                <w:sz w:val="12"/>
              </w:rPr>
              <w:t>83</w:t>
            </w:r>
          </w:p>
        </w:tc>
        <w:tc>
          <w:tcPr>
            <w:tcW w:w="720" w:type="dxa"/>
          </w:tcPr>
          <w:p w:rsidR="00000000" w:rsidRDefault="00000000">
            <w:pPr>
              <w:spacing w:after="120"/>
              <w:jc w:val="both"/>
              <w:rPr>
                <w:sz w:val="12"/>
              </w:rPr>
            </w:pPr>
            <w:r>
              <w:rPr>
                <w:sz w:val="12"/>
              </w:rPr>
              <w:t>84</w:t>
            </w:r>
          </w:p>
        </w:tc>
      </w:tr>
      <w:tr w:rsidR="00000000">
        <w:tblPrEx>
          <w:tblCellMar>
            <w:top w:w="0" w:type="dxa"/>
            <w:bottom w:w="0" w:type="dxa"/>
          </w:tblCellMar>
        </w:tblPrEx>
        <w:tc>
          <w:tcPr>
            <w:tcW w:w="2340" w:type="dxa"/>
          </w:tcPr>
          <w:p w:rsidR="00000000" w:rsidRDefault="00000000">
            <w:pPr>
              <w:spacing w:after="120"/>
              <w:jc w:val="both"/>
              <w:rPr>
                <w:sz w:val="12"/>
              </w:rPr>
            </w:pPr>
            <w:r>
              <w:rPr>
                <w:sz w:val="12"/>
              </w:rPr>
              <w:t>Служащие муниципалитетов</w:t>
            </w:r>
          </w:p>
        </w:tc>
        <w:tc>
          <w:tcPr>
            <w:tcW w:w="810" w:type="dxa"/>
          </w:tcPr>
          <w:p w:rsidR="00000000" w:rsidRDefault="00000000">
            <w:pPr>
              <w:spacing w:after="120"/>
              <w:jc w:val="both"/>
              <w:rPr>
                <w:sz w:val="12"/>
              </w:rPr>
            </w:pPr>
            <w:r>
              <w:rPr>
                <w:sz w:val="12"/>
              </w:rPr>
              <w:t>87</w:t>
            </w:r>
          </w:p>
        </w:tc>
        <w:tc>
          <w:tcPr>
            <w:tcW w:w="810" w:type="dxa"/>
          </w:tcPr>
          <w:p w:rsidR="00000000" w:rsidRDefault="00000000">
            <w:pPr>
              <w:spacing w:after="120"/>
              <w:jc w:val="both"/>
              <w:rPr>
                <w:sz w:val="12"/>
              </w:rPr>
            </w:pPr>
            <w:r>
              <w:rPr>
                <w:sz w:val="12"/>
              </w:rPr>
              <w:t>86</w:t>
            </w:r>
          </w:p>
        </w:tc>
        <w:tc>
          <w:tcPr>
            <w:tcW w:w="720" w:type="dxa"/>
          </w:tcPr>
          <w:p w:rsidR="00000000" w:rsidRDefault="00000000">
            <w:pPr>
              <w:spacing w:after="120"/>
              <w:jc w:val="both"/>
              <w:rPr>
                <w:sz w:val="12"/>
              </w:rPr>
            </w:pPr>
            <w:r>
              <w:rPr>
                <w:sz w:val="12"/>
              </w:rPr>
              <w:t>89</w:t>
            </w:r>
          </w:p>
        </w:tc>
      </w:tr>
      <w:tr w:rsidR="00000000">
        <w:tblPrEx>
          <w:tblCellMar>
            <w:top w:w="0" w:type="dxa"/>
            <w:bottom w:w="0" w:type="dxa"/>
          </w:tblCellMar>
        </w:tblPrEx>
        <w:tc>
          <w:tcPr>
            <w:tcW w:w="2340" w:type="dxa"/>
          </w:tcPr>
          <w:p w:rsidR="00000000" w:rsidRDefault="00000000">
            <w:pPr>
              <w:spacing w:after="120"/>
              <w:jc w:val="both"/>
              <w:rPr>
                <w:sz w:val="12"/>
              </w:rPr>
            </w:pPr>
            <w:r>
              <w:rPr>
                <w:sz w:val="12"/>
              </w:rPr>
              <w:t>Служащие советов ленов</w:t>
            </w:r>
          </w:p>
        </w:tc>
        <w:tc>
          <w:tcPr>
            <w:tcW w:w="810" w:type="dxa"/>
          </w:tcPr>
          <w:p w:rsidR="00000000" w:rsidRDefault="00000000">
            <w:pPr>
              <w:spacing w:after="120"/>
              <w:jc w:val="both"/>
              <w:rPr>
                <w:sz w:val="12"/>
              </w:rPr>
            </w:pPr>
            <w:r>
              <w:rPr>
                <w:sz w:val="12"/>
              </w:rPr>
              <w:t>74</w:t>
            </w:r>
          </w:p>
        </w:tc>
        <w:tc>
          <w:tcPr>
            <w:tcW w:w="810" w:type="dxa"/>
          </w:tcPr>
          <w:p w:rsidR="00000000" w:rsidRDefault="00000000">
            <w:pPr>
              <w:spacing w:after="120"/>
              <w:jc w:val="both"/>
              <w:rPr>
                <w:sz w:val="12"/>
              </w:rPr>
            </w:pPr>
            <w:r>
              <w:rPr>
                <w:sz w:val="12"/>
              </w:rPr>
              <w:t>74</w:t>
            </w:r>
          </w:p>
        </w:tc>
        <w:tc>
          <w:tcPr>
            <w:tcW w:w="720" w:type="dxa"/>
          </w:tcPr>
          <w:p w:rsidR="00000000" w:rsidRDefault="00000000">
            <w:pPr>
              <w:spacing w:after="120"/>
              <w:jc w:val="both"/>
              <w:rPr>
                <w:sz w:val="12"/>
              </w:rPr>
            </w:pPr>
            <w:r>
              <w:rPr>
                <w:sz w:val="12"/>
              </w:rPr>
              <w:t>71</w:t>
            </w:r>
          </w:p>
        </w:tc>
      </w:tr>
      <w:tr w:rsidR="00000000">
        <w:tblPrEx>
          <w:tblCellMar>
            <w:top w:w="0" w:type="dxa"/>
            <w:bottom w:w="0" w:type="dxa"/>
          </w:tblCellMar>
        </w:tblPrEx>
        <w:tc>
          <w:tcPr>
            <w:tcW w:w="2340" w:type="dxa"/>
          </w:tcPr>
          <w:p w:rsidR="00000000" w:rsidRDefault="00000000">
            <w:pPr>
              <w:spacing w:after="120"/>
              <w:jc w:val="both"/>
              <w:rPr>
                <w:sz w:val="12"/>
              </w:rPr>
            </w:pPr>
            <w:r>
              <w:rPr>
                <w:sz w:val="12"/>
              </w:rPr>
              <w:t>Источник: Statistics Sweden</w:t>
            </w:r>
          </w:p>
        </w:tc>
        <w:tc>
          <w:tcPr>
            <w:tcW w:w="810" w:type="dxa"/>
          </w:tcPr>
          <w:p w:rsidR="00000000" w:rsidRDefault="00000000">
            <w:pPr>
              <w:spacing w:after="120"/>
              <w:jc w:val="both"/>
              <w:rPr>
                <w:sz w:val="12"/>
              </w:rPr>
            </w:pPr>
          </w:p>
        </w:tc>
        <w:tc>
          <w:tcPr>
            <w:tcW w:w="810" w:type="dxa"/>
          </w:tcPr>
          <w:p w:rsidR="00000000" w:rsidRDefault="00000000">
            <w:pPr>
              <w:spacing w:after="120"/>
              <w:jc w:val="both"/>
              <w:rPr>
                <w:sz w:val="12"/>
              </w:rPr>
            </w:pPr>
          </w:p>
        </w:tc>
        <w:tc>
          <w:tcPr>
            <w:tcW w:w="720" w:type="dxa"/>
          </w:tcPr>
          <w:p w:rsidR="00000000" w:rsidRDefault="00000000">
            <w:pPr>
              <w:spacing w:after="120"/>
              <w:jc w:val="both"/>
              <w:rPr>
                <w:sz w:val="12"/>
              </w:rPr>
            </w:pPr>
          </w:p>
        </w:tc>
      </w:tr>
    </w:tbl>
    <w:p w:rsidR="00000000" w:rsidRDefault="00000000">
      <w:pPr>
        <w:keepNext/>
        <w:spacing w:line="120" w:lineRule="exact"/>
        <w:jc w:val="both"/>
        <w:rPr>
          <w:b/>
          <w:sz w:val="10"/>
        </w:rPr>
      </w:pPr>
    </w:p>
    <w:p w:rsidR="00000000" w:rsidRDefault="00000000">
      <w:pPr>
        <w:keepNext/>
        <w:suppressAutoHyphens/>
        <w:spacing w:before="120" w:after="120"/>
        <w:ind w:left="475" w:hanging="475"/>
        <w:rPr>
          <w:b/>
        </w:rPr>
      </w:pPr>
      <w:r>
        <w:rPr>
          <w:b/>
        </w:rPr>
        <w:tab/>
        <w:t>Меры по сокращению различий в заработной плате</w:t>
      </w:r>
    </w:p>
    <w:p w:rsidR="00000000" w:rsidRDefault="00000000">
      <w:pPr>
        <w:spacing w:after="120"/>
        <w:jc w:val="both"/>
      </w:pPr>
      <w:r>
        <w:tab/>
        <w:t>Правительство стремится с помощью разноо</w:t>
      </w:r>
      <w:r>
        <w:t>б</w:t>
      </w:r>
      <w:r>
        <w:t>разных мер решить проблему существующих в н</w:t>
      </w:r>
      <w:r>
        <w:t>а</w:t>
      </w:r>
      <w:r>
        <w:t>стоящее время неоправданных различий в оплате труда мужчин и женщин.</w:t>
      </w:r>
    </w:p>
    <w:p w:rsidR="00000000" w:rsidRDefault="00000000">
      <w:pPr>
        <w:spacing w:line="120" w:lineRule="exact"/>
        <w:jc w:val="both"/>
        <w:rPr>
          <w:sz w:val="10"/>
        </w:rPr>
      </w:pPr>
    </w:p>
    <w:p w:rsidR="00000000" w:rsidRDefault="00000000">
      <w:pPr>
        <w:keepNext/>
        <w:suppressAutoHyphens/>
        <w:spacing w:after="120"/>
        <w:ind w:left="475" w:hanging="475"/>
        <w:rPr>
          <w:b/>
          <w:i/>
        </w:rPr>
      </w:pPr>
      <w:r>
        <w:rPr>
          <w:b/>
          <w:i/>
        </w:rPr>
        <w:tab/>
        <w:t>Официальные статистические данные о зар</w:t>
      </w:r>
      <w:r>
        <w:rPr>
          <w:b/>
          <w:i/>
        </w:rPr>
        <w:t>а</w:t>
      </w:r>
      <w:r>
        <w:rPr>
          <w:b/>
          <w:i/>
        </w:rPr>
        <w:t>ботной плате</w:t>
      </w:r>
    </w:p>
    <w:p w:rsidR="00000000" w:rsidRDefault="00000000">
      <w:pPr>
        <w:jc w:val="both"/>
      </w:pPr>
      <w:r>
        <w:tab/>
        <w:t>Официальная статистика о заработной плате жизненно важна для того, чтобы правительство и парламент могли следить за динамикой становления заработной платы, а эксперты имели возможность проводить более глубокий, чем прежде, анализ ра</w:t>
      </w:r>
      <w:r>
        <w:t>з</w:t>
      </w:r>
      <w:r>
        <w:t>личий в оплате труда между мужчинами и женщ</w:t>
      </w:r>
      <w:r>
        <w:t>и</w:t>
      </w:r>
      <w:r>
        <w:t>нами. Статистическому бюро Швеции и Наци</w:t>
      </w:r>
      <w:r>
        <w:t>о</w:t>
      </w:r>
      <w:r>
        <w:t>нальному институту труда поручено обрабатывать статистические данные, которые могли бы стать о</w:t>
      </w:r>
      <w:r>
        <w:t>с</w:t>
      </w:r>
      <w:r>
        <w:t>новой для более детального анализа различий в о</w:t>
      </w:r>
      <w:r>
        <w:t>п</w:t>
      </w:r>
      <w:r>
        <w:t>лате труда между му</w:t>
      </w:r>
      <w:r>
        <w:t>ж</w:t>
      </w:r>
      <w:r>
        <w:t>чинами и женщинами.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suppressAutoHyphens/>
        <w:ind w:left="475" w:hanging="475"/>
        <w:rPr>
          <w:b/>
          <w:i/>
        </w:rPr>
      </w:pPr>
      <w:r>
        <w:rPr>
          <w:b/>
          <w:i/>
        </w:rPr>
        <w:tab/>
        <w:t>Система оценки функциональных обязанностей</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uppressAutoHyphens/>
        <w:spacing w:after="0" w:line="120" w:lineRule="exact"/>
        <w:jc w:val="left"/>
        <w:rPr>
          <w:sz w:val="10"/>
        </w:rPr>
      </w:pPr>
    </w:p>
    <w:p w:rsidR="00000000" w:rsidRDefault="00000000">
      <w:pPr>
        <w:spacing w:after="120"/>
        <w:jc w:val="both"/>
      </w:pPr>
      <w:r>
        <w:tab/>
        <w:t>В соответствии с решением правительства в 1994 году в Национальном институте труда нач</w:t>
      </w:r>
      <w:r>
        <w:t>а</w:t>
      </w:r>
      <w:r>
        <w:t>лось осуществление специальной программы и</w:t>
      </w:r>
      <w:r>
        <w:t>с</w:t>
      </w:r>
      <w:r>
        <w:t>следований и разработок в области формирования ставок заработной платы и оценки функциональных обязанностей. Заключительный доклад программы был представлен в сентябре 1999 года. В рамках программы, которая охватывает свыше 40 проектов, в основном посвященных оценке функциональных обязанностей, эксперты по заработной плате разр</w:t>
      </w:r>
      <w:r>
        <w:t>а</w:t>
      </w:r>
      <w:r>
        <w:t>ботали нейтральную в гендерном плане систему оценки функциональных обязанностей и она была испытана многими местными властями и окружн</w:t>
      </w:r>
      <w:r>
        <w:t>ы</w:t>
      </w:r>
      <w:r>
        <w:t>ми советами. Результаты усилий по оценке фун</w:t>
      </w:r>
      <w:r>
        <w:t>к</w:t>
      </w:r>
      <w:r>
        <w:t>циональных обязанностей, предпринятых в рамках программы, безусловно свидетельствуют, что зн</w:t>
      </w:r>
      <w:r>
        <w:t>а</w:t>
      </w:r>
      <w:r>
        <w:t>чимость многих выполняемых женщинами обяза</w:t>
      </w:r>
      <w:r>
        <w:t>н</w:t>
      </w:r>
      <w:r>
        <w:t>ностей занижена и что существующие различия в оплате труда нельзя объяснить различиями в треб</w:t>
      </w:r>
      <w:r>
        <w:t>о</w:t>
      </w:r>
      <w:r>
        <w:t>ваниях к функциональным обязанностям. Обяза</w:t>
      </w:r>
      <w:r>
        <w:t>н</w:t>
      </w:r>
      <w:r>
        <w:t>ности санитарок, младшего медицинского персон</w:t>
      </w:r>
      <w:r>
        <w:t>а</w:t>
      </w:r>
      <w:r>
        <w:t>ла и воспитателей муниципальных дневных це</w:t>
      </w:r>
      <w:r>
        <w:t>н</w:t>
      </w:r>
      <w:r>
        <w:t>тров для детей, например, часто оцениваются более высоко, чем некоторые мужские специальности, и все же труд мужчин неизменно оплачивается лучше.</w:t>
      </w:r>
    </w:p>
    <w:p w:rsidR="00000000" w:rsidRDefault="00000000">
      <w:pPr>
        <w:jc w:val="both"/>
      </w:pPr>
      <w:r>
        <w:tab/>
        <w:t>С целью распространения знаний и опыта, н</w:t>
      </w:r>
      <w:r>
        <w:t>а</w:t>
      </w:r>
      <w:r>
        <w:t>копленного в рамках этой программы, было пров</w:t>
      </w:r>
      <w:r>
        <w:t>е</w:t>
      </w:r>
      <w:r>
        <w:t>дено несколько конференций. Омбудсмен по ра</w:t>
      </w:r>
      <w:r>
        <w:t>в</w:t>
      </w:r>
      <w:r>
        <w:t>ным возможностям следит за реализацией выводов этой пр</w:t>
      </w:r>
      <w:r>
        <w:t>о</w:t>
      </w:r>
      <w:r>
        <w:t>граммы.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jc w:val="both"/>
        <w:rPr>
          <w:b/>
        </w:rPr>
      </w:pPr>
      <w:r>
        <w:rPr>
          <w:b/>
        </w:rPr>
        <w:tab/>
        <w:t>Прочие меры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spacing w:after="120"/>
        <w:jc w:val="both"/>
      </w:pPr>
      <w:r>
        <w:tab/>
        <w:t>Проект закона о формулировании заработной платы был представлен в 1999 году (Правительс</w:t>
      </w:r>
      <w:r>
        <w:t>т</w:t>
      </w:r>
      <w:r>
        <w:t>венный законопроект 1999/2000:8). Этот законопр</w:t>
      </w:r>
      <w:r>
        <w:t>о</w:t>
      </w:r>
      <w:r>
        <w:t>ект включает предложение о создании нового орг</w:t>
      </w:r>
      <w:r>
        <w:t>а</w:t>
      </w:r>
      <w:r>
        <w:t>на под названием Арбитражный институт. Парл</w:t>
      </w:r>
      <w:r>
        <w:t>а</w:t>
      </w:r>
      <w:r>
        <w:t>мент принял законопроект в марте 2000 года. А</w:t>
      </w:r>
      <w:r>
        <w:t>р</w:t>
      </w:r>
      <w:r>
        <w:t>битражный институт был создан 1 июня 2000 года, и ему было поручено выступать в качестве арбитра в трудовых спорах и добиваться формирования э</w:t>
      </w:r>
      <w:r>
        <w:t>ф</w:t>
      </w:r>
      <w:r>
        <w:t>фективной заработной платы. Институт должен ежегодно публиковать доклад о тенденциях в обла</w:t>
      </w:r>
      <w:r>
        <w:t>с</w:t>
      </w:r>
      <w:r>
        <w:t>ти заработной платы, одна из глав которого посв</w:t>
      </w:r>
      <w:r>
        <w:t>я</w:t>
      </w:r>
      <w:r>
        <w:t>щена анализу тенденций с учетом перспектив обе</w:t>
      </w:r>
      <w:r>
        <w:t>с</w:t>
      </w:r>
      <w:r>
        <w:t>печения равенства полов. С 1 января 2000 года И</w:t>
      </w:r>
      <w:r>
        <w:t>н</w:t>
      </w:r>
      <w:r>
        <w:t>ститут будет также представлять официальную ст</w:t>
      </w:r>
      <w:r>
        <w:t>а</w:t>
      </w:r>
      <w:r>
        <w:t>тистику по заработной плате. Более точные стат</w:t>
      </w:r>
      <w:r>
        <w:t>и</w:t>
      </w:r>
      <w:r>
        <w:t>стические данные по заработной плате позволят б</w:t>
      </w:r>
      <w:r>
        <w:t>о</w:t>
      </w:r>
      <w:r>
        <w:t>лее внимательно следить за тенденциями в области оплаты труда женщин и мужчин и анализировать их.</w:t>
      </w:r>
    </w:p>
    <w:p w:rsidR="00000000" w:rsidRDefault="00000000">
      <w:pPr>
        <w:spacing w:after="120"/>
        <w:jc w:val="both"/>
      </w:pPr>
      <w:r>
        <w:tab/>
        <w:t>Весной 1999 года Министр по делам равенства полов провела консультации с  предпринимателями Швеции и профсоюзами с целью добиться ускор</w:t>
      </w:r>
      <w:r>
        <w:t>е</w:t>
      </w:r>
      <w:r>
        <w:t>ния ими работы над искоренением дискриминации при оплате за труд. По результатам этих обсужд</w:t>
      </w:r>
      <w:r>
        <w:t>е</w:t>
      </w:r>
      <w:r>
        <w:t>ний должны быть приняты соответствующие меры.</w:t>
      </w:r>
    </w:p>
    <w:p w:rsidR="00000000" w:rsidRDefault="00000000">
      <w:pPr>
        <w:spacing w:after="120"/>
        <w:jc w:val="both"/>
      </w:pPr>
      <w:r>
        <w:tab/>
        <w:t>Омбудсмен по равным возможностям получил от правительства дополнительные ассигнования в 1997 и 1999 годах на цели усиления работы по в</w:t>
      </w:r>
      <w:r>
        <w:t>о</w:t>
      </w:r>
      <w:r>
        <w:t>просам дискриминации в области заработной платы (см. ст</w:t>
      </w:r>
      <w:r>
        <w:t>а</w:t>
      </w:r>
      <w:r>
        <w:t>тью 2, подпункт (с)).</w:t>
      </w:r>
    </w:p>
    <w:p w:rsidR="00000000" w:rsidRDefault="00000000">
      <w:pPr>
        <w:jc w:val="both"/>
      </w:pPr>
      <w:r>
        <w:tab/>
        <w:t>В ноябре 1999 года в Швеции прошла конф</w:t>
      </w:r>
      <w:r>
        <w:t>е</w:t>
      </w:r>
      <w:r>
        <w:t>ренция ЕС под названием «Равная оплата труда и экономическая независимость как основа равенства полов». Среди приглашенных были министры ЕС, ответственные за вопросы равенства полов, пре</w:t>
      </w:r>
      <w:r>
        <w:t>д</w:t>
      </w:r>
      <w:r>
        <w:t>ставители стран, подавших заявки на вступление в ЕС, Северных стран, представители работодателей и профсоюзов.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11.1(e)</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jc w:val="both"/>
        <w:rPr>
          <w:b/>
        </w:rPr>
      </w:pPr>
      <w:r>
        <w:rPr>
          <w:b/>
        </w:rPr>
        <w:tab/>
        <w:t>Социальное обеспечение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jc w:val="both"/>
        <w:rPr>
          <w:b/>
          <w:i/>
        </w:rPr>
      </w:pPr>
      <w:r>
        <w:rPr>
          <w:b/>
          <w:i/>
        </w:rPr>
        <w:tab/>
        <w:t>Реформированная пенсионная система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spacing w:after="120"/>
        <w:jc w:val="both"/>
      </w:pPr>
      <w:r>
        <w:tab/>
        <w:t>Характерные для рынка труда различия в п</w:t>
      </w:r>
      <w:r>
        <w:t>о</w:t>
      </w:r>
      <w:r>
        <w:t>ложении мужчин и женщин отражаются и в системе пенсионного обеспечения. У мужчин размер пенсий обычно выше, чем у женщин. Пенсии у мужчин в основном состоят из дополнительных пенсионных выплат (ATП), в то время как женские пенсии скл</w:t>
      </w:r>
      <w:r>
        <w:t>а</w:t>
      </w:r>
      <w:r>
        <w:t>дываются в значительной степени из основных пе</w:t>
      </w:r>
      <w:r>
        <w:t>н</w:t>
      </w:r>
      <w:r>
        <w:t>сионных отчислений. Новая, реформированная си</w:t>
      </w:r>
      <w:r>
        <w:t>с</w:t>
      </w:r>
      <w:r>
        <w:t>тема пенсионного обеспечения содержит ряд таких элементов политики перераспределения средств, как особые пособия для родителей, берущих отпуск по уходу за ребенком в первые четыре года его жи</w:t>
      </w:r>
      <w:r>
        <w:t>з</w:t>
      </w:r>
      <w:r>
        <w:t>ни. Такая особая льгота добавляется к пенсии по старости и выплачивается родителям из расчета т</w:t>
      </w:r>
      <w:r>
        <w:t>о</w:t>
      </w:r>
      <w:r>
        <w:t>го дохода, который они получали бы, если бы раб</w:t>
      </w:r>
      <w:r>
        <w:t>о</w:t>
      </w:r>
      <w:r>
        <w:t>тали эти четыре года.</w:t>
      </w:r>
    </w:p>
    <w:p w:rsidR="00000000" w:rsidRDefault="00000000">
      <w:pPr>
        <w:jc w:val="both"/>
      </w:pPr>
      <w:r>
        <w:tab/>
        <w:t>Реформированная система пенсионного обе</w:t>
      </w:r>
      <w:r>
        <w:t>с</w:t>
      </w:r>
      <w:r>
        <w:t>печения не учитывает среднюю продолжительность жизни. Женщины обычно живут дольше, чем му</w:t>
      </w:r>
      <w:r>
        <w:t>ж</w:t>
      </w:r>
      <w:r>
        <w:t>чины и, таким образом, в принципе, они должны получать меньшую пенсию по старости. Однако расчетный коэффициент все же одинаков и для женщин, и для мужчин. Поскольку женщины в среднем получают меньше, чем мужчины, базовая ставка, очевидно, будет играть важную роль для женщин и в будущем. Реформированная система пенсии по старости предусматривает гарантирова</w:t>
      </w:r>
      <w:r>
        <w:t>н</w:t>
      </w:r>
      <w:r>
        <w:t>ную пенсию, которая выше существующей в н</w:t>
      </w:r>
      <w:r>
        <w:t>а</w:t>
      </w:r>
      <w:r>
        <w:t>стоящее время базовой ставки.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jc w:val="both"/>
        <w:rPr>
          <w:b/>
          <w:i/>
        </w:rPr>
      </w:pPr>
      <w:r>
        <w:rPr>
          <w:b/>
          <w:i/>
        </w:rPr>
        <w:tab/>
        <w:t>Социальное страхование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jc w:val="both"/>
      </w:pPr>
      <w:r>
        <w:tab/>
        <w:t>Национальный совет социального страхования занимается вопросами социального страхования в стране. С 1997 года Совет обязан рассматривать и анализировать все предложения и меры с учетом гендерной проблематики. В 1997 году Совет провел исследование пособий и выплат, распределяемых властями и местными страховыми управлениями с учетом гендерной проблематики. В своем заключ</w:t>
      </w:r>
      <w:r>
        <w:t>и</w:t>
      </w:r>
      <w:r>
        <w:t>тельном докладе Совет отмечает, что положения с</w:t>
      </w:r>
      <w:r>
        <w:t>о</w:t>
      </w:r>
      <w:r>
        <w:t>циального страхования в равной степени распр</w:t>
      </w:r>
      <w:r>
        <w:t>о</w:t>
      </w:r>
      <w:r>
        <w:t>страняются на мужчин и женщин за исключением экономических пособий по болезни и инвалидн</w:t>
      </w:r>
      <w:r>
        <w:t>о</w:t>
      </w:r>
      <w:r>
        <w:t>сти. Исследование выявило также, что при прин</w:t>
      </w:r>
      <w:r>
        <w:t>я</w:t>
      </w:r>
      <w:r>
        <w:t>тии решений в конкретных случаях играют роль взгляды людей, занимающихся вопросами социал</w:t>
      </w:r>
      <w:r>
        <w:t>ь</w:t>
      </w:r>
      <w:r>
        <w:t>ного страхования.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suppressAutoHyphens/>
        <w:ind w:left="475" w:hanging="475"/>
        <w:rPr>
          <w:b/>
          <w:i/>
        </w:rPr>
      </w:pPr>
      <w:r>
        <w:rPr>
          <w:b/>
          <w:i/>
        </w:rPr>
        <w:tab/>
        <w:t>Страхование на случай производственных травм</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spacing w:after="120"/>
        <w:jc w:val="both"/>
      </w:pPr>
      <w:r>
        <w:tab/>
        <w:t>В связи с внесением в 1993 году поправок в законодательство о страховании на случай прои</w:t>
      </w:r>
      <w:r>
        <w:t>з</w:t>
      </w:r>
      <w:r>
        <w:t>водственных травм, что привело к конкретизации положений о доказывании, оценка связанных с р</w:t>
      </w:r>
      <w:r>
        <w:t>а</w:t>
      </w:r>
      <w:r>
        <w:t>ботой травм у женщин стала более сложной. Разл</w:t>
      </w:r>
      <w:r>
        <w:t>и</w:t>
      </w:r>
      <w:r>
        <w:t>чия в производственных травмах между мужчинами и женщинами заключаются в том, что женщины обычно подвержены травмам в связи с переутомл</w:t>
      </w:r>
      <w:r>
        <w:t>е</w:t>
      </w:r>
      <w:r>
        <w:t>нием, которые, как считается, трудно поддаются оценке, в то время как мужчины страдают от других видов травм, считающихся более легко определ</w:t>
      </w:r>
      <w:r>
        <w:t>и</w:t>
      </w:r>
      <w:r>
        <w:t>мыми. В 1998 году частота отказов в удовлетвор</w:t>
      </w:r>
      <w:r>
        <w:t>е</w:t>
      </w:r>
      <w:r>
        <w:t>нии исков составила у женщин 39 процентов, а у мужчин — 31 процент.</w:t>
      </w:r>
    </w:p>
    <w:p w:rsidR="00000000" w:rsidRDefault="00000000">
      <w:pPr>
        <w:spacing w:after="120"/>
        <w:jc w:val="both"/>
      </w:pPr>
      <w:r>
        <w:tab/>
        <w:t>Поскольку важно продолжить тщательный анализ национальной системы страхования на сл</w:t>
      </w:r>
      <w:r>
        <w:t>у</w:t>
      </w:r>
      <w:r>
        <w:t>чай производственных травм, правительство пров</w:t>
      </w:r>
      <w:r>
        <w:t>е</w:t>
      </w:r>
      <w:r>
        <w:t>ло в декабре 1999 года семинар по обмену опытом с целью сбора важной информации об имеющихся данных о гендерных различиях при оценке прои</w:t>
      </w:r>
      <w:r>
        <w:t>з</w:t>
      </w:r>
      <w:r>
        <w:t>водственных травм.</w:t>
      </w:r>
    </w:p>
    <w:p w:rsidR="00000000" w:rsidRDefault="00000000">
      <w:pPr>
        <w:jc w:val="both"/>
      </w:pPr>
      <w:r>
        <w:tab/>
        <w:t>В середине октября 2000 года правительство поручило Национальному совету социального стр</w:t>
      </w:r>
      <w:r>
        <w:t>а</w:t>
      </w:r>
      <w:r>
        <w:t>хования проанализировать систему страхования на случай производственных травм с тем, чтобы опр</w:t>
      </w:r>
      <w:r>
        <w:t>е</w:t>
      </w:r>
      <w:r>
        <w:t>делить, какие изменения следует внести в систему страхования. Большое внимание будет уделено п</w:t>
      </w:r>
      <w:r>
        <w:t>о</w:t>
      </w:r>
      <w:r>
        <w:t>следствиям страхования для женщин. Совет пре</w:t>
      </w:r>
      <w:r>
        <w:t>д</w:t>
      </w:r>
      <w:r>
        <w:t>ставит результаты своей работы весной 2001 года. Впоследствии работа будет проводиться правител</w:t>
      </w:r>
      <w:r>
        <w:t>ь</w:t>
      </w:r>
      <w:r>
        <w:t>ственными учреждениями.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jc w:val="both"/>
        <w:rPr>
          <w:b/>
          <w:i/>
        </w:rPr>
      </w:pPr>
      <w:r>
        <w:rPr>
          <w:b/>
          <w:i/>
        </w:rPr>
        <w:tab/>
        <w:t>Забота о престарелых</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spacing w:after="120"/>
        <w:jc w:val="both"/>
      </w:pPr>
      <w:r>
        <w:tab/>
        <w:t>В правительственном законопроекте по бю</w:t>
      </w:r>
      <w:r>
        <w:t>д</w:t>
      </w:r>
      <w:r>
        <w:t>жету на 2000 год подчеркивается, что все меропри</w:t>
      </w:r>
      <w:r>
        <w:t>я</w:t>
      </w:r>
      <w:r>
        <w:t>тия в области социального обеспечения должны осуществляться с учетом гендерных проблем. Пр</w:t>
      </w:r>
      <w:r>
        <w:t>а</w:t>
      </w:r>
      <w:r>
        <w:t>вительство поручило Национальному совету по здравоохранению и социальным делам внимательно проанализировать изменения в области заботы о престарелых до 2000 года. В докладе за 1998 год Совет заявил, что в этом десятилетии в результате сокращения финансирования на цели ухода за п</w:t>
      </w:r>
      <w:r>
        <w:t>о</w:t>
      </w:r>
      <w:r>
        <w:t>жилыми бремя забот о них было переложено на родственников, особенно женщин. Если не считать увеличение рабочей нагрузки, то сокращение ф</w:t>
      </w:r>
      <w:r>
        <w:t>и</w:t>
      </w:r>
      <w:r>
        <w:t>нансирования не сказалось на женщинах, нужда</w:t>
      </w:r>
      <w:r>
        <w:t>ю</w:t>
      </w:r>
      <w:r>
        <w:t>щихся в уходе, больше, чем на мужчинах.</w:t>
      </w:r>
    </w:p>
    <w:p w:rsidR="00000000" w:rsidRDefault="00000000">
      <w:pPr>
        <w:jc w:val="both"/>
      </w:pPr>
      <w:r>
        <w:tab/>
        <w:t>В июне 1998 года парламент утвердил закон</w:t>
      </w:r>
      <w:r>
        <w:t>о</w:t>
      </w:r>
      <w:r>
        <w:t>проект правительства о будущей политике в сфере обеспечения престарелых, в котором подчеркивае</w:t>
      </w:r>
      <w:r>
        <w:t>т</w:t>
      </w:r>
      <w:r>
        <w:t>ся важность применения ко всем видам деятельн</w:t>
      </w:r>
      <w:r>
        <w:t>о</w:t>
      </w:r>
      <w:r>
        <w:t>сти в области социальной защиты принципа раве</w:t>
      </w:r>
      <w:r>
        <w:t>н</w:t>
      </w:r>
      <w:r>
        <w:t>ства мужчин и женщин. Кроме того, был назначен комитет по проблемам престарелых с целью созд</w:t>
      </w:r>
      <w:r>
        <w:t>а</w:t>
      </w:r>
      <w:r>
        <w:t>ния благоприятных условий для перспективной ра</w:t>
      </w:r>
      <w:r>
        <w:t>з</w:t>
      </w:r>
      <w:r>
        <w:t>работки национальной политики в этой сфере. К</w:t>
      </w:r>
      <w:r>
        <w:t>о</w:t>
      </w:r>
      <w:r>
        <w:t>митет должен представить результаты своей работы к 1 мая 2003 года.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jc w:val="both"/>
        <w:rPr>
          <w:b/>
          <w:i/>
        </w:rPr>
      </w:pPr>
      <w:r>
        <w:rPr>
          <w:b/>
          <w:i/>
        </w:rPr>
        <w:tab/>
        <w:t>Женщины-инвалиды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spacing w:after="120"/>
        <w:jc w:val="both"/>
      </w:pPr>
      <w:r>
        <w:tab/>
        <w:t>Отделу омбудсмена по делам инвалидов, со</w:t>
      </w:r>
      <w:r>
        <w:t>з</w:t>
      </w:r>
      <w:r>
        <w:t>данному в 1994 году, было предложено изучить п</w:t>
      </w:r>
      <w:r>
        <w:t>о</w:t>
      </w:r>
      <w:r>
        <w:t>ложение женщин-инвалидов и доложить выводы правительству. В рамках этой работы омбудсмен призвал органы власти предоставить статистич</w:t>
      </w:r>
      <w:r>
        <w:t>е</w:t>
      </w:r>
      <w:r>
        <w:t>ские данные в отношении инвалидов с разбивкой по полу. Исследования омбудсмена вместе с обновле</w:t>
      </w:r>
      <w:r>
        <w:t>н</w:t>
      </w:r>
      <w:r>
        <w:t>ными статистическими данными помогли выявл</w:t>
      </w:r>
      <w:r>
        <w:t>е</w:t>
      </w:r>
      <w:r>
        <w:t>нию дискриминации по гендерному признаку в сфере обеспечения инвалидов. Обзор, проведенный в 1995 году, выявил несколько случаев дискримин</w:t>
      </w:r>
      <w:r>
        <w:t>а</w:t>
      </w:r>
      <w:r>
        <w:t>ции в отношении женщин-инвалидов в том, что к</w:t>
      </w:r>
      <w:r>
        <w:t>а</w:t>
      </w:r>
      <w:r>
        <w:t>сается поддержки со стороны общества, доступа к рынку труда, досрочной пенсии и т.д.</w:t>
      </w:r>
    </w:p>
    <w:p w:rsidR="00000000" w:rsidRDefault="00000000">
      <w:pPr>
        <w:spacing w:after="120"/>
        <w:jc w:val="both"/>
      </w:pPr>
      <w:r>
        <w:tab/>
        <w:t>В дополнение к вышеупомянутой работе, в 1999 году омбудсмен представил правительству два доклада о применении закона об услугах такси для инвалидов и о практике учета окружными админ</w:t>
      </w:r>
      <w:r>
        <w:t>и</w:t>
      </w:r>
      <w:r>
        <w:t>стративными советами проблем фактора инвали</w:t>
      </w:r>
      <w:r>
        <w:t>д</w:t>
      </w:r>
      <w:r>
        <w:t>ности при обеспечении равенства полов. В первом докладе делается вывод о наличии дискриминации в отношении женщин по сравнению с мужчинами в том, что касается доступа к услугам такси для инв</w:t>
      </w:r>
      <w:r>
        <w:t>а</w:t>
      </w:r>
      <w:r>
        <w:t>лидов. Вывод второго доклада состоит в том, что инвалиды почти не упоминаются в программах и иных документах окружных административных с</w:t>
      </w:r>
      <w:r>
        <w:t>о</w:t>
      </w:r>
      <w:r>
        <w:t>ветов.</w:t>
      </w:r>
    </w:p>
    <w:p w:rsidR="00000000" w:rsidRDefault="00000000">
      <w:pPr>
        <w:spacing w:after="120"/>
        <w:jc w:val="both"/>
      </w:pPr>
      <w:r>
        <w:tab/>
        <w:t>Национальное агентство по оказанию специ</w:t>
      </w:r>
      <w:r>
        <w:t>а</w:t>
      </w:r>
      <w:r>
        <w:t>лизированной помощи в области образования пр</w:t>
      </w:r>
      <w:r>
        <w:t>о</w:t>
      </w:r>
      <w:r>
        <w:t>анализировало работу специализированных реги</w:t>
      </w:r>
      <w:r>
        <w:t>о</w:t>
      </w:r>
      <w:r>
        <w:t>нальных полных средних школ для учащихся с т</w:t>
      </w:r>
      <w:r>
        <w:t>я</w:t>
      </w:r>
      <w:r>
        <w:t>желыми формами инвалидности с точки зрения обеспечения равенства полов. Результаты указыв</w:t>
      </w:r>
      <w:r>
        <w:t>а</w:t>
      </w:r>
      <w:r>
        <w:t>ют на неравномерное распределение учащихся по гендерному признаку в полных средних школах для подростков с физическими недостатками. В 1997 году девочки составляли 43 процента учащихся, а мальчики — 57 процентов. Для 1996 года соотве</w:t>
      </w:r>
      <w:r>
        <w:t>т</w:t>
      </w:r>
      <w:r>
        <w:t>ствующие показатели были 34 и 66 процентов.</w:t>
      </w:r>
    </w:p>
    <w:p w:rsidR="00000000" w:rsidRDefault="00000000">
      <w:pPr>
        <w:spacing w:after="120"/>
        <w:jc w:val="both"/>
      </w:pPr>
      <w:r>
        <w:tab/>
        <w:t>Женщины-инвалиды сталкиваются с дискр</w:t>
      </w:r>
      <w:r>
        <w:t>и</w:t>
      </w:r>
      <w:r>
        <w:t>минацией и в том, что касается пособий по инв</w:t>
      </w:r>
      <w:r>
        <w:t>а</w:t>
      </w:r>
      <w:r>
        <w:t>лидности, пособий на уход, доплат на средства п</w:t>
      </w:r>
      <w:r>
        <w:t>е</w:t>
      </w:r>
      <w:r>
        <w:t>редвижения и оказание помощи. В 1994 году, н</w:t>
      </w:r>
      <w:r>
        <w:t>а</w:t>
      </w:r>
      <w:r>
        <w:t>пример, больше женщин чем мужчин обращались за получением пособий инвалидности, однако больше мужчин, чем женщин получали их. Из числа лиц, получивших право на пособие по инвалидности, больше мужчин, чем женщин получали максимал</w:t>
      </w:r>
      <w:r>
        <w:t>ь</w:t>
      </w:r>
      <w:r>
        <w:t>ные ставки таких пособий.</w:t>
      </w:r>
    </w:p>
    <w:p w:rsidR="00000000" w:rsidRDefault="00000000">
      <w:pPr>
        <w:spacing w:after="120"/>
        <w:jc w:val="both"/>
      </w:pPr>
      <w:r>
        <w:tab/>
        <w:t>В официальном докладе о том, как власти о</w:t>
      </w:r>
      <w:r>
        <w:t>т</w:t>
      </w:r>
      <w:r>
        <w:t>носятся к мужчинам и женщинам-инвалидам (Swedish National Official Reports 1998:138), прив</w:t>
      </w:r>
      <w:r>
        <w:t>о</w:t>
      </w:r>
      <w:r>
        <w:t>дится ряд факторов, которые могут влиять на ра</w:t>
      </w:r>
      <w:r>
        <w:t>з</w:t>
      </w:r>
      <w:r>
        <w:t>личное отношение к инвалидам — женщинам и мужчинам. С учетом результатов обследований проблем инвалидности правительство Швеции п</w:t>
      </w:r>
      <w:r>
        <w:t>о</w:t>
      </w:r>
      <w:r>
        <w:t>лагает, что в политике в отношении инвалидов еще не удалось добиться равенства между мужчинами и женщинами. Объяснение такому положению можно найти в отношении общества к инвалидам, которое вместо того, чтобы видеть в них прежде всего му</w:t>
      </w:r>
      <w:r>
        <w:t>ж</w:t>
      </w:r>
      <w:r>
        <w:t>чин и женщин, относиться к ним как к инвалидам.</w:t>
      </w:r>
    </w:p>
    <w:p w:rsidR="00000000" w:rsidRDefault="00000000">
      <w:pPr>
        <w:jc w:val="both"/>
      </w:pPr>
      <w:r>
        <w:tab/>
        <w:t>Весной 2000 года правительство Швеции представило национальный план действий, соде</w:t>
      </w:r>
      <w:r>
        <w:t>р</w:t>
      </w:r>
      <w:r>
        <w:t>жащий меры, направленные на улучшение полож</w:t>
      </w:r>
      <w:r>
        <w:t>е</w:t>
      </w:r>
      <w:r>
        <w:t>ния инвалидов — мужчин и женщин, который был одобрен парламентом в мае 2000 года. Правительс</w:t>
      </w:r>
      <w:r>
        <w:t>т</w:t>
      </w:r>
      <w:r>
        <w:t>во полагает, что необходимы решительные полит</w:t>
      </w:r>
      <w:r>
        <w:t>и</w:t>
      </w:r>
      <w:r>
        <w:t>ческие усилия для обеспечения инвалидам гарантии полноправного участия в жизни общества, уваж</w:t>
      </w:r>
      <w:r>
        <w:t>и</w:t>
      </w:r>
      <w:r>
        <w:t>тельного отношения к ним и возможности прин</w:t>
      </w:r>
      <w:r>
        <w:t>и</w:t>
      </w:r>
      <w:r>
        <w:t>мать важные для их жизни решения. Эти усилия н</w:t>
      </w:r>
      <w:r>
        <w:t>а</w:t>
      </w:r>
      <w:r>
        <w:t>правлены на достижение следующих национальных целей: социальная общность, основанная на разн</w:t>
      </w:r>
      <w:r>
        <w:t>о</w:t>
      </w:r>
      <w:r>
        <w:t>образии, общество, обеспечивающее для инвалидов всех возрастов возможность полноправного участия в жизни страны и одинаковые жизненные условия для инвалидов — девушек и юношей, женщин и мужчин. Планируется национальный центр помощи инвалидам и к 2010 году переоборудовать сущес</w:t>
      </w:r>
      <w:r>
        <w:t>т</w:t>
      </w:r>
      <w:r>
        <w:t>вующие здания и другие общественные места с ц</w:t>
      </w:r>
      <w:r>
        <w:t>е</w:t>
      </w:r>
      <w:r>
        <w:t>лью обеспечения доступа в них для инвалидов. Г</w:t>
      </w:r>
      <w:r>
        <w:t>о</w:t>
      </w:r>
      <w:r>
        <w:t>сударственным органам следует вменить в обяза</w:t>
      </w:r>
      <w:r>
        <w:t>н</w:t>
      </w:r>
      <w:r>
        <w:t>ность добиваться того, чтобы интересы инвалидов учитывались во всех сферах жизни общества. Ве</w:t>
      </w:r>
      <w:r>
        <w:t>с</w:t>
      </w:r>
      <w:r>
        <w:t>ной 2002 года правительство направит в парламент письменное сообщение с отчетом о ходе осущест</w:t>
      </w:r>
      <w:r>
        <w:t>в</w:t>
      </w:r>
      <w:r>
        <w:t>ления национального плана действий. Важно, чтобы гендерное измерение присутствовало на всех уро</w:t>
      </w:r>
      <w:r>
        <w:t>в</w:t>
      </w:r>
      <w:r>
        <w:t>нях осуществления плана.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suppressAutoHyphens/>
        <w:ind w:left="475" w:hanging="475"/>
        <w:rPr>
          <w:b/>
          <w:i/>
        </w:rPr>
      </w:pPr>
      <w:r>
        <w:rPr>
          <w:b/>
          <w:i/>
        </w:rPr>
        <w:tab/>
        <w:t>Гендерная программа социального обеспечения</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jc w:val="both"/>
      </w:pPr>
      <w:r>
        <w:tab/>
        <w:t>Осенью 1997 года министерство здравоохр</w:t>
      </w:r>
      <w:r>
        <w:t>а</w:t>
      </w:r>
      <w:r>
        <w:t>нения и социальных дел приступило к разработке программы развития, озаглавленную "Гендерная программа социальной помощи". Целью программы является обеспечение доступа населения к качес</w:t>
      </w:r>
      <w:r>
        <w:t>т</w:t>
      </w:r>
      <w:r>
        <w:t>венной помощи и обслуживанию на равных услов</w:t>
      </w:r>
      <w:r>
        <w:t>и</w:t>
      </w:r>
      <w:r>
        <w:t>ях, вне зависимости от пола, в рамках усилий по интеграции вопросов обеспечения равенства му</w:t>
      </w:r>
      <w:r>
        <w:t>ж</w:t>
      </w:r>
      <w:r>
        <w:t>чин и женщин во все виды деятельности. Програ</w:t>
      </w:r>
      <w:r>
        <w:t>м</w:t>
      </w:r>
      <w:r>
        <w:t>ма будет завершена в сентябре 2001 года.</w:t>
      </w:r>
    </w:p>
    <w:p w:rsidR="00000000" w:rsidRDefault="00000000">
      <w:pPr>
        <w:spacing w:line="120" w:lineRule="exact"/>
        <w:jc w:val="both"/>
        <w:rPr>
          <w:sz w:val="10"/>
        </w:rPr>
      </w:pPr>
    </w:p>
    <w:p w:rsidR="00000000" w:rsidRDefault="00000000">
      <w:pPr>
        <w:spacing w:line="120" w:lineRule="exact"/>
        <w:jc w:val="both"/>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11.1(f)</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jc w:val="both"/>
      </w:pPr>
      <w:r>
        <w:tab/>
        <w:t>См. предыдущие доклады Швеции. В том, что касается сексуальных домогательств, см. подпункт (b) стати 2 настоящего доклада. Относительно р</w:t>
      </w:r>
      <w:r>
        <w:t>а</w:t>
      </w:r>
      <w:r>
        <w:t>бочего времени см. подпункт (b) статью 11.1 н</w:t>
      </w:r>
      <w:r>
        <w:t>а</w:t>
      </w:r>
      <w:r>
        <w:t>стоящего доклада.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jc w:val="both"/>
        <w:rPr>
          <w:b/>
          <w:i/>
        </w:rPr>
      </w:pPr>
      <w:r>
        <w:rPr>
          <w:b/>
          <w:i/>
        </w:rPr>
        <w:tab/>
        <w:t>Условия труда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spacing w:after="120"/>
        <w:jc w:val="both"/>
      </w:pPr>
      <w:r>
        <w:tab/>
        <w:t>Политика в области труда должна содейств</w:t>
      </w:r>
      <w:r>
        <w:t>о</w:t>
      </w:r>
      <w:r>
        <w:t>вать обеспечению равенства мужчин и женщин и созданию здоровых условий труда. Следует уделять внимание развитию навыков, гибким формам орг</w:t>
      </w:r>
      <w:r>
        <w:t>а</w:t>
      </w:r>
      <w:r>
        <w:t>низации труда и новым технологиям.</w:t>
      </w:r>
    </w:p>
    <w:p w:rsidR="00000000" w:rsidRDefault="00000000">
      <w:pPr>
        <w:spacing w:after="120"/>
        <w:jc w:val="both"/>
      </w:pPr>
      <w:r>
        <w:tab/>
        <w:t>Национальному совету по вопросам техники безопасности и охраны здоровья вместе с инспе</w:t>
      </w:r>
      <w:r>
        <w:t>к</w:t>
      </w:r>
      <w:r>
        <w:t>цией по трудовым отношениям поручено уделять особое внимание условиям труда женщин. В своем докладе о заболеваниях и несчастных случаях, св</w:t>
      </w:r>
      <w:r>
        <w:t>я</w:t>
      </w:r>
      <w:r>
        <w:t>занных с возможными различиями в условиях труда мужчин и женщин, Совет отмечает, что в условиях труда мужчин и женщин имеются различия в отн</w:t>
      </w:r>
      <w:r>
        <w:t>о</w:t>
      </w:r>
      <w:r>
        <w:t>шении рисков, заболеваний и несчастных случаев. В марте 1999 года Совет разработал стратегию пр</w:t>
      </w:r>
      <w:r>
        <w:t>е</w:t>
      </w:r>
      <w:r>
        <w:t>одоления различий в условиях труда мужчин и женщин. В этой стратегии подчеркивается важность того, чтобы в ежедневной работе Управления по в</w:t>
      </w:r>
      <w:r>
        <w:t>о</w:t>
      </w:r>
      <w:r>
        <w:t>просам техники безопасности и охране здоровья упор делался на подготовку анализа, осуществление контроля и оценку результатов с учетом различий в условиях труда мужчин и же</w:t>
      </w:r>
      <w:r>
        <w:t>н</w:t>
      </w:r>
      <w:r>
        <w:t>щин.</w:t>
      </w:r>
    </w:p>
    <w:p w:rsidR="00000000" w:rsidRDefault="00000000">
      <w:pPr>
        <w:spacing w:after="120"/>
        <w:jc w:val="both"/>
      </w:pPr>
      <w:r>
        <w:tab/>
        <w:t>Национальный институт труда в настоящее время осуществляет проекты по вопросам рынка труда, организации и условий работы с целью в</w:t>
      </w:r>
      <w:r>
        <w:t>ы</w:t>
      </w:r>
      <w:r>
        <w:t>яснения положения женщин на рынке труда. В 1999 году Институт начал осуществление исследовател</w:t>
      </w:r>
      <w:r>
        <w:t>ь</w:t>
      </w:r>
      <w:r>
        <w:t>ской программы под названием "Гендерный фактор и работа". Кроме борьбы против сегрегации по пр</w:t>
      </w:r>
      <w:r>
        <w:t>и</w:t>
      </w:r>
      <w:r>
        <w:t>знаку пола на рынке труда и повышения степени равноправия между мужчинами и женщинами, в рамках этой программы в течение шести-восьми лет будут осуществляться различные проекты, напра</w:t>
      </w:r>
      <w:r>
        <w:t>в</w:t>
      </w:r>
      <w:r>
        <w:t>ленные на уменьшение связанных с гендерным фа</w:t>
      </w:r>
      <w:r>
        <w:t>к</w:t>
      </w:r>
      <w:r>
        <w:t>тором рисков для здор</w:t>
      </w:r>
      <w:r>
        <w:t>о</w:t>
      </w:r>
      <w:r>
        <w:t>вья.</w:t>
      </w:r>
    </w:p>
    <w:p w:rsidR="00000000" w:rsidRDefault="00000000">
      <w:pPr>
        <w:spacing w:after="120"/>
        <w:jc w:val="both"/>
      </w:pPr>
      <w:r>
        <w:tab/>
        <w:t>С целью увеличения объема гендерных иссл</w:t>
      </w:r>
      <w:r>
        <w:t>е</w:t>
      </w:r>
      <w:r>
        <w:t>дований в Совете по исследованию проблем труда равенство мужчин и женщин было определено в к</w:t>
      </w:r>
      <w:r>
        <w:t>а</w:t>
      </w:r>
      <w:r>
        <w:t>честве первостепенного направления исследований, которой занимается группа внешних оценок во гл</w:t>
      </w:r>
      <w:r>
        <w:t>а</w:t>
      </w:r>
      <w:r>
        <w:t>ве с генеральным директором Совета. Группа также должна предоставлять консультации по вопросам равенства мужчин и женщин и может выступать с инициативами о встречах с Советом. В настоящее время Совет оказывает финансовую поддержку примерно 50 исследовательским проектам и разр</w:t>
      </w:r>
      <w:r>
        <w:t>а</w:t>
      </w:r>
      <w:r>
        <w:t>боткам, причем многие из них по проблемам упра</w:t>
      </w:r>
      <w:r>
        <w:t>в</w:t>
      </w:r>
      <w:r>
        <w:t>ления и руководства с упором на гендерные пр</w:t>
      </w:r>
      <w:r>
        <w:t>о</w:t>
      </w:r>
      <w:r>
        <w:t>блемы. Один из этих проектов связан с исследов</w:t>
      </w:r>
      <w:r>
        <w:t>а</w:t>
      </w:r>
      <w:r>
        <w:t>нием по вопросам равенства мужчин и женщин, р</w:t>
      </w:r>
      <w:r>
        <w:t>а</w:t>
      </w:r>
      <w:r>
        <w:t>боты и технологий в университете Линкёпинг, кот</w:t>
      </w:r>
      <w:r>
        <w:t>о</w:t>
      </w:r>
      <w:r>
        <w:t>рый намерен изучить последствия перемен на ры</w:t>
      </w:r>
      <w:r>
        <w:t>н</w:t>
      </w:r>
      <w:r>
        <w:t>ке труда для мужчин и женщин.</w:t>
      </w:r>
    </w:p>
    <w:p w:rsidR="00000000" w:rsidRDefault="00000000">
      <w:pPr>
        <w:spacing w:after="120"/>
        <w:jc w:val="both"/>
      </w:pPr>
      <w:r>
        <w:tab/>
        <w:t>Делегация по вопросам труда представила в июне 1999 года свой заключительный доклад по проблемам труда в конце тысячелетия (Swedish National Official Reports 1999:69). В задачу Делег</w:t>
      </w:r>
      <w:r>
        <w:t>а</w:t>
      </w:r>
      <w:r>
        <w:t>ции входило выявить важные тенденции в сфере труда и проанализировать проблемные области. В докладе среди прочего высказывается предложение разработать систему социального обеспечения о</w:t>
      </w:r>
      <w:r>
        <w:t>б</w:t>
      </w:r>
      <w:r>
        <w:t>щества с целью достижения стабильной трудовой деятельности, расширить свободу слова на работе, создать систему профессиональной подготовки р</w:t>
      </w:r>
      <w:r>
        <w:t>у</w:t>
      </w:r>
      <w:r>
        <w:t>ководителей и управляющих и ввести систему и</w:t>
      </w:r>
      <w:r>
        <w:t>н</w:t>
      </w:r>
      <w:r>
        <w:t>дивидуальной служебной аттестации, чтобы дать работникам возможность развивать свои профе</w:t>
      </w:r>
      <w:r>
        <w:t>с</w:t>
      </w:r>
      <w:r>
        <w:t>сиональные навыки.</w:t>
      </w:r>
    </w:p>
    <w:p w:rsidR="00000000" w:rsidRDefault="00000000">
      <w:pPr>
        <w:jc w:val="both"/>
      </w:pPr>
      <w:r>
        <w:tab/>
        <w:t>Правительство назначило рабочую группу при правительственных учреждениях для проведения анализа роста случаев связанных с работой стре</w:t>
      </w:r>
      <w:r>
        <w:t>с</w:t>
      </w:r>
      <w:r>
        <w:t>сов и заболеваний. В основу этих усилий положен доклад вышеупомянутой Делегации по вопросам труда. Рабочая группа завершит работу к концу 2000 года.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11.2</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11.2(a)</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11.2(b)</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spacing w:after="120"/>
        <w:jc w:val="both"/>
      </w:pPr>
      <w:r>
        <w:tab/>
        <w:t>См. предыдущие доклады Швеции. В том, что касается пособий для родителей по уходу за ребе</w:t>
      </w:r>
      <w:r>
        <w:t>н</w:t>
      </w:r>
      <w:r>
        <w:t>ком, см. статью 4.2 настоящего доклада.</w:t>
      </w:r>
    </w:p>
    <w:p w:rsidR="00000000" w:rsidRDefault="00000000">
      <w:pPr>
        <w:jc w:val="both"/>
      </w:pPr>
      <w:r>
        <w:tab/>
        <w:t>С целью приведения шведского законодател</w:t>
      </w:r>
      <w:r>
        <w:t>ь</w:t>
      </w:r>
      <w:r>
        <w:t>ства в соответствие с директивой Совета 92/85/EEC (см. также статью 11.2(d)) в Закон Швеции об о</w:t>
      </w:r>
      <w:r>
        <w:t>т</w:t>
      </w:r>
      <w:r>
        <w:t>пусках для родителей была внесена поправка, кот</w:t>
      </w:r>
      <w:r>
        <w:t>о</w:t>
      </w:r>
      <w:r>
        <w:t>рая вступила в силу в июле 2000 года. Работающая женщина имеет право на полный непрерывный о</w:t>
      </w:r>
      <w:r>
        <w:t>т</w:t>
      </w:r>
      <w:r>
        <w:t>пуск в связи с рождением ребенка по меньшей мере за семь недель до предполагаемого срока родов и семь недель после рождения ребенка. Две из этих семи недель являются обязательными до или после родов. Работающая женщина также имеет право на отпуск, если она кормит ребенка грудью.</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11.2(c)</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spacing w:after="120"/>
        <w:jc w:val="both"/>
      </w:pPr>
      <w:r>
        <w:tab/>
        <w:t>См. предыдущие доклады Швеции. В том что касается вопроса о помощи родителям в совмещ</w:t>
      </w:r>
      <w:r>
        <w:t>е</w:t>
      </w:r>
      <w:r>
        <w:t>нии семейных обязанностей с трудовой деятельн</w:t>
      </w:r>
      <w:r>
        <w:t>о</w:t>
      </w:r>
      <w:r>
        <w:t>стью, см. также статью 4.2 настоящего доклада.</w:t>
      </w:r>
    </w:p>
    <w:p w:rsidR="00000000" w:rsidRDefault="00000000">
      <w:pPr>
        <w:spacing w:after="120"/>
        <w:jc w:val="both"/>
      </w:pPr>
      <w:r>
        <w:tab/>
        <w:t>В апреле 1999 года правительство Швеции н</w:t>
      </w:r>
      <w:r>
        <w:t>а</w:t>
      </w:r>
      <w:r>
        <w:t>значило рабочую группу для разработки предлож</w:t>
      </w:r>
      <w:r>
        <w:t>е</w:t>
      </w:r>
      <w:r>
        <w:t>ний о создании государственных дошкольных у</w:t>
      </w:r>
      <w:r>
        <w:t>ч</w:t>
      </w:r>
      <w:r>
        <w:t>реждений и организации дошкольных занятий для детей лиц, ищущих работу, и установления макс</w:t>
      </w:r>
      <w:r>
        <w:t>и</w:t>
      </w:r>
      <w:r>
        <w:t>мального размера оплаты услуг по уходу за детьми. Дети безработных родителей потеряли право на о</w:t>
      </w:r>
      <w:r>
        <w:t>п</w:t>
      </w:r>
      <w:r>
        <w:t>лату таких услуг в результате сокращения финанс</w:t>
      </w:r>
      <w:r>
        <w:t>и</w:t>
      </w:r>
      <w:r>
        <w:t>рования в середине 90</w:t>
      </w:r>
      <w:r>
        <w:noBreakHyphen/>
        <w:t>х годов. В своем официал</w:t>
      </w:r>
      <w:r>
        <w:t>ь</w:t>
      </w:r>
      <w:r>
        <w:t>ном докладе, представленном правительству в се</w:t>
      </w:r>
      <w:r>
        <w:t>н</w:t>
      </w:r>
      <w:r>
        <w:t>тябре 1999 года, рабочая группа заявила, что во</w:t>
      </w:r>
      <w:r>
        <w:t>с</w:t>
      </w:r>
      <w:r>
        <w:t>становление права на услуги по уходу для детей безработных родителей в дополнение к педагогич</w:t>
      </w:r>
      <w:r>
        <w:t>е</w:t>
      </w:r>
      <w:r>
        <w:t>ской поддержке и стимулированию детей поможет их родителям более интенсивно искать работу и т</w:t>
      </w:r>
      <w:r>
        <w:t>а</w:t>
      </w:r>
      <w:r>
        <w:t>ким образом повысит вероятность получения ими рабочего места. В том, что касается максимального размера оплаты услуг по уходу за детьми, рабочая группа полагала, что введение такой ставки оплаты будет способствовать обеспечению равенства полов между мужчинами и женщинами, поскольку уменьшаться побочные последствия, вызываемые нынешней стоимостью ухода за детьми, которая з</w:t>
      </w:r>
      <w:r>
        <w:t>а</w:t>
      </w:r>
      <w:r>
        <w:t>висит от доходов и временных выплат. Такие п</w:t>
      </w:r>
      <w:r>
        <w:t>о</w:t>
      </w:r>
      <w:r>
        <w:t>бочные последствия, как известно, особенно нег</w:t>
      </w:r>
      <w:r>
        <w:t>а</w:t>
      </w:r>
      <w:r>
        <w:t>тивно сказываются на женщинах, рабочих с низк</w:t>
      </w:r>
      <w:r>
        <w:t>и</w:t>
      </w:r>
      <w:r>
        <w:t>ми доходами и семьях с одним родителем и таким образом мешают достижению равенства между мужчинами и женщинами. На основе этого доклада весной 2000 года правительство представило зак</w:t>
      </w:r>
      <w:r>
        <w:t>о</w:t>
      </w:r>
      <w:r>
        <w:t>нопроект в парламент. По законопроекту пройдут слушания и он будет поставлен на голосование в ноябре 2000 года.</w:t>
      </w:r>
    </w:p>
    <w:p w:rsidR="00000000" w:rsidRDefault="00000000">
      <w:pPr>
        <w:spacing w:after="120"/>
        <w:jc w:val="both"/>
      </w:pPr>
      <w:r>
        <w:tab/>
        <w:t>Поскольку правительство уделяет первооч</w:t>
      </w:r>
      <w:r>
        <w:t>е</w:t>
      </w:r>
      <w:r>
        <w:t>редное внимание оказанию помощи родителям в с</w:t>
      </w:r>
      <w:r>
        <w:t>о</w:t>
      </w:r>
      <w:r>
        <w:t>вмещении ими семейных обязанностей с трудовой деятельностью, оно внесет поправки в Закон об о</w:t>
      </w:r>
      <w:r>
        <w:t>т</w:t>
      </w:r>
      <w:r>
        <w:t>пусках для родителей. Целью поправок является укрепить позиции работника в отношении распр</w:t>
      </w:r>
      <w:r>
        <w:t>е</w:t>
      </w:r>
      <w:r>
        <w:t>деления отпуска и предоставить работнику больше самостоятельности в использовании своего рабоч</w:t>
      </w:r>
      <w:r>
        <w:t>е</w:t>
      </w:r>
      <w:r>
        <w:t>го времени. Поправки также придадут этой системе больше гибкости. Предполагается предложить всего две поправки:</w:t>
      </w:r>
    </w:p>
    <w:p w:rsidR="00000000" w:rsidRDefault="00000000">
      <w:pPr>
        <w:spacing w:after="120"/>
        <w:ind w:left="475" w:hanging="475"/>
        <w:jc w:val="both"/>
      </w:pPr>
      <w:r>
        <w:t>–</w:t>
      </w:r>
      <w:r>
        <w:tab/>
        <w:t xml:space="preserve">первая поправка определяет, </w:t>
      </w:r>
      <w:r>
        <w:rPr>
          <w:i/>
        </w:rPr>
        <w:t>кто может пр</w:t>
      </w:r>
      <w:r>
        <w:rPr>
          <w:i/>
        </w:rPr>
        <w:t>и</w:t>
      </w:r>
      <w:r>
        <w:rPr>
          <w:i/>
        </w:rPr>
        <w:t xml:space="preserve">нимать решение </w:t>
      </w:r>
      <w:r>
        <w:t>о распределении отпуска. В настоящее время решение о распределении о</w:t>
      </w:r>
      <w:r>
        <w:t>т</w:t>
      </w:r>
      <w:r>
        <w:t>пуска принимает работодатель. С целью до</w:t>
      </w:r>
      <w:r>
        <w:t>с</w:t>
      </w:r>
      <w:r>
        <w:t>тижения лучшей сбалансированности интер</w:t>
      </w:r>
      <w:r>
        <w:t>е</w:t>
      </w:r>
      <w:r>
        <w:t>сов работодателя и работника, правительство предложит, чтобы работник имел больше во</w:t>
      </w:r>
      <w:r>
        <w:t>з</w:t>
      </w:r>
      <w:r>
        <w:t>можностей для принятия решения о распред</w:t>
      </w:r>
      <w:r>
        <w:t>е</w:t>
      </w:r>
      <w:r>
        <w:t>лении отпуска за счет продолжительности обычного рабочего времени;</w:t>
      </w:r>
    </w:p>
    <w:p w:rsidR="00000000" w:rsidRDefault="00000000">
      <w:pPr>
        <w:spacing w:after="120"/>
        <w:ind w:left="475" w:hanging="475"/>
        <w:jc w:val="both"/>
      </w:pPr>
      <w:r>
        <w:t>–</w:t>
      </w:r>
      <w:r>
        <w:tab/>
        <w:t xml:space="preserve">вторая поправка касается положения о том, что </w:t>
      </w:r>
      <w:r>
        <w:rPr>
          <w:i/>
        </w:rPr>
        <w:t>этот отпуск, как правило, должен распр</w:t>
      </w:r>
      <w:r>
        <w:rPr>
          <w:i/>
        </w:rPr>
        <w:t>о</w:t>
      </w:r>
      <w:r>
        <w:rPr>
          <w:i/>
        </w:rPr>
        <w:t>страняться на всю неделю</w:t>
      </w:r>
      <w:r>
        <w:t>. С целью достиж</w:t>
      </w:r>
      <w:r>
        <w:t>е</w:t>
      </w:r>
      <w:r>
        <w:t>ния большей гибкости правительство предл</w:t>
      </w:r>
      <w:r>
        <w:t>о</w:t>
      </w:r>
      <w:r>
        <w:t>жит исключить это положение. Оно будет з</w:t>
      </w:r>
      <w:r>
        <w:t>а</w:t>
      </w:r>
      <w:r>
        <w:t>менено положением о том, что отпуск за счет сокращения продолжительности обычного р</w:t>
      </w:r>
      <w:r>
        <w:t>а</w:t>
      </w:r>
      <w:r>
        <w:t>бочего времени может распространяться на всю неделю или затрагивать один или н</w:t>
      </w:r>
      <w:r>
        <w:t>е</w:t>
      </w:r>
      <w:r>
        <w:t>сколько конкретных дней.</w:t>
      </w:r>
    </w:p>
    <w:p w:rsidR="00000000" w:rsidRDefault="00000000">
      <w:pPr>
        <w:jc w:val="both"/>
      </w:pPr>
      <w:r>
        <w:tab/>
        <w:t>Предлагаемые поправки вступят в силу 1 июля 2001 года. Правительственный законопроект будет представлен парламенту в конце ноября 2000 года, а весной 2001 года будет обсужден и поставлен на г</w:t>
      </w:r>
      <w:r>
        <w:t>о</w:t>
      </w:r>
      <w:r>
        <w:t>л</w:t>
      </w:r>
      <w:r>
        <w:t>о</w:t>
      </w:r>
      <w:r>
        <w:t>сование.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11.2(d)</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spacing w:after="120"/>
        <w:jc w:val="both"/>
      </w:pPr>
      <w:r>
        <w:tab/>
        <w:t>См. подпункт (f) статьи 11.1 второго доклада Швеции.</w:t>
      </w:r>
    </w:p>
    <w:p w:rsidR="00000000" w:rsidRDefault="00000000">
      <w:pPr>
        <w:jc w:val="both"/>
      </w:pPr>
      <w:r>
        <w:tab/>
        <w:t>В 1994 году Национальный совет по вопросам техники безопасности и охраны здоровья издал п</w:t>
      </w:r>
      <w:r>
        <w:t>о</w:t>
      </w:r>
      <w:r>
        <w:t>становление о приведении норм шведского закон</w:t>
      </w:r>
      <w:r>
        <w:t>о</w:t>
      </w:r>
      <w:r>
        <w:t>дательства в соответствие с директивой Совета 92/85/EEC (упомянутой в статье 11.2(b) выше). В директиве речь идет о введении мер по повышению безопасности и охране здоровья беременных рабо</w:t>
      </w:r>
      <w:r>
        <w:t>т</w:t>
      </w:r>
      <w:r>
        <w:t>ниц и работниц, недавно родивших или кормящих детей грудью. Постановление обязывает работод</w:t>
      </w:r>
      <w:r>
        <w:t>а</w:t>
      </w:r>
      <w:r>
        <w:t>теля проводить оценку рисков, связанных с усл</w:t>
      </w:r>
      <w:r>
        <w:t>о</w:t>
      </w:r>
      <w:r>
        <w:t>виями труда, при наличии определенных факторов окружающей среды, таких как шум, предельно д</w:t>
      </w:r>
      <w:r>
        <w:t>о</w:t>
      </w:r>
      <w:r>
        <w:t>пустимые температуры, наличие вредных биолог</w:t>
      </w:r>
      <w:r>
        <w:t>и</w:t>
      </w:r>
      <w:r>
        <w:t>ческих веществ и тяжелых металлов. Если в резул</w:t>
      </w:r>
      <w:r>
        <w:t>ь</w:t>
      </w:r>
      <w:r>
        <w:t>тате оценки выявится, что воздействие вышеупом</w:t>
      </w:r>
      <w:r>
        <w:t>я</w:t>
      </w:r>
      <w:r>
        <w:t>нутых факторов может быть опасным для здоровья женщины или может негативно сказаться на теч</w:t>
      </w:r>
      <w:r>
        <w:t>е</w:t>
      </w:r>
      <w:r>
        <w:t>нии беременности или кормлении ребенка грудью, то условия труда должны быть изменены с целью устранения такого риска. Если же это невозможно, то следует перевести работника на другое место р</w:t>
      </w:r>
      <w:r>
        <w:t>а</w:t>
      </w:r>
      <w:r>
        <w:t>боты или по крайней мере предоставить отпуск нужной продолжительности.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11.3</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spacing w:after="120"/>
        <w:jc w:val="both"/>
      </w:pPr>
      <w:r>
        <w:tab/>
        <w:t>См. подпункт (f) статьи 11.1 второго доклада Швеции и эту статью в четвертом докладе Швеции.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12</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12.1</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12.2</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spacing w:after="120"/>
        <w:jc w:val="both"/>
      </w:pPr>
      <w:r>
        <w:tab/>
        <w:t>См. эту статью во втором докладе Швеции и четвертый доклад Швеции.</w:t>
      </w:r>
    </w:p>
    <w:p w:rsidR="00000000" w:rsidRDefault="00000000">
      <w:pPr>
        <w:spacing w:after="120"/>
        <w:jc w:val="both"/>
      </w:pPr>
      <w:r>
        <w:tab/>
        <w:t>Ряд обследований, проведенных в последние годы, такие как Национальный доклад Швеции о здравоохранении 1996:13, доклад о здравоохран</w:t>
      </w:r>
      <w:r>
        <w:t>е</w:t>
      </w:r>
      <w:r>
        <w:t>нии 1997 года и доклады Национальной комиссии здравоохранения (HSU 2000), свидетельствуют о наличии различий в состоянии здоровья и польз</w:t>
      </w:r>
      <w:r>
        <w:t>о</w:t>
      </w:r>
      <w:r>
        <w:t>вании услугами здравоохранения между мужчинами и женщинами. До сих пор существует разница в средней продолжительности жизни. Во всех возра</w:t>
      </w:r>
      <w:r>
        <w:t>с</w:t>
      </w:r>
      <w:r>
        <w:t>тных группах показатель смертности из-за болезней у мужчин выше, чем у женщин. В то же время му</w:t>
      </w:r>
      <w:r>
        <w:t>ж</w:t>
      </w:r>
      <w:r>
        <w:t>чины считают себя более здоровыми. Женщины пользуются системой здравоохранения более акти</w:t>
      </w:r>
      <w:r>
        <w:t>в</w:t>
      </w:r>
      <w:r>
        <w:t>но, чем мужчины, а также потребляют больше л</w:t>
      </w:r>
      <w:r>
        <w:t>е</w:t>
      </w:r>
      <w:r>
        <w:t>карств. С другой стороны, исследования показыв</w:t>
      </w:r>
      <w:r>
        <w:t>а</w:t>
      </w:r>
      <w:r>
        <w:t>ют, что в некоторых отношениях мужчины польз</w:t>
      </w:r>
      <w:r>
        <w:t>у</w:t>
      </w:r>
      <w:r>
        <w:t>ются большей благосклонностью. Им выписывают более дорогие лекарства, чем женщинам, и они имеют доступ к более дорогостоящим услугам по восстановлению здоровья. Кроме того, мужчины явно доминируют в испытаниях лекарств на здор</w:t>
      </w:r>
      <w:r>
        <w:t>о</w:t>
      </w:r>
      <w:r>
        <w:t>вых людях. В значительной мере именно по мужч</w:t>
      </w:r>
      <w:r>
        <w:t>и</w:t>
      </w:r>
      <w:r>
        <w:t>нам определяется норма здравоохранения Швеции.</w:t>
      </w:r>
    </w:p>
    <w:p w:rsidR="00000000" w:rsidRDefault="00000000">
      <w:pPr>
        <w:spacing w:after="120"/>
        <w:jc w:val="both"/>
      </w:pPr>
      <w:r>
        <w:tab/>
        <w:t>Правительство учредило Национальный ком</w:t>
      </w:r>
      <w:r>
        <w:t>и</w:t>
      </w:r>
      <w:r>
        <w:t>тет здравоохранения, поручив ему разработать предложение о национальных целях системы здр</w:t>
      </w:r>
      <w:r>
        <w:t>а</w:t>
      </w:r>
      <w:r>
        <w:t>воохранения. Заключительный доклад будет пре</w:t>
      </w:r>
      <w:r>
        <w:t>д</w:t>
      </w:r>
      <w:r>
        <w:t>ставлен в конце 2000 года, и в нем Комитет намерен изложить национальные цели и стратегии системы здравоохран</w:t>
      </w:r>
      <w:r>
        <w:t>е</w:t>
      </w:r>
      <w:r>
        <w:t>ния Швеции.</w:t>
      </w:r>
    </w:p>
    <w:p w:rsidR="00000000" w:rsidRDefault="00000000">
      <w:pPr>
        <w:jc w:val="both"/>
      </w:pPr>
      <w:r>
        <w:tab/>
        <w:t>Приоритетным для правительства Швеции в этой сфере является репродуктивное здоровье и права как в двустороннем контексте, так и с учетом решений всемирных конференций в Каире и Пек</w:t>
      </w:r>
      <w:r>
        <w:t>и</w:t>
      </w:r>
      <w:r>
        <w:t>не. В 1998 году в Швеции прошла широкая диску</w:t>
      </w:r>
      <w:r>
        <w:t>с</w:t>
      </w:r>
      <w:r>
        <w:t>сия о методах включения гендерной тематики в анализ и оперативную деятельность служб здрав</w:t>
      </w:r>
      <w:r>
        <w:t>о</w:t>
      </w:r>
      <w:r>
        <w:t>охранения. Швеция выделила дополнительные средства для содействия более активному участию Всемирной организации здравоохранения (ВОЗ) в этой области. Осенью 1998 года средства были в</w:t>
      </w:r>
      <w:r>
        <w:t>ы</w:t>
      </w:r>
      <w:r>
        <w:t>делены Фонду ООН по народонаселению (ЮНФПА) для проведения исследований через М</w:t>
      </w:r>
      <w:r>
        <w:t>е</w:t>
      </w:r>
      <w:r>
        <w:t>ждународную группу действий по исследованиям в области репродуктивных прав с целью выявления различий во взглядах мужчин и женщин на репр</w:t>
      </w:r>
      <w:r>
        <w:t>о</w:t>
      </w:r>
      <w:r>
        <w:t>дуктивные вопросы, такие как право иметь или не иметь детей, секс вне брака, связанное с сексом н</w:t>
      </w:r>
      <w:r>
        <w:t>а</w:t>
      </w:r>
      <w:r>
        <w:t>силие, аборты и т.д.</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13</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13 (a)</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13 (b)</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jc w:val="both"/>
      </w:pPr>
      <w:r>
        <w:tab/>
        <w:t>См. второй доклад Швеции.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suppressAutoHyphens/>
        <w:ind w:left="475" w:hanging="475"/>
        <w:rPr>
          <w:b/>
        </w:rPr>
      </w:pPr>
      <w:r>
        <w:rPr>
          <w:b/>
        </w:rPr>
        <w:tab/>
        <w:t>Распределение экономической власти между мужчинами и женщинами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jc w:val="both"/>
      </w:pPr>
      <w:r>
        <w:tab/>
        <w:t>Комиссия по распределению экономической власти и финансовых ресурсов между мужчинами и женщинами (см. четвертый доклад Швеции) в 1998 году представил правительству свой заключител</w:t>
      </w:r>
      <w:r>
        <w:t>ь</w:t>
      </w:r>
      <w:r>
        <w:t>ный доклад</w:t>
      </w:r>
      <w:r>
        <w:rPr>
          <w:i/>
        </w:rPr>
        <w:t xml:space="preserve"> Ty makten är din…</w:t>
      </w:r>
      <w:r>
        <w:t xml:space="preserve"> (Так как власть пр</w:t>
      </w:r>
      <w:r>
        <w:t>и</w:t>
      </w:r>
      <w:r>
        <w:t>надлежит вам...). Этому докладу предшествовали 13 исследований по различным гендерным вопросам и экономической власти. Работа Комиссии расширила знания о распределении экономической власти м</w:t>
      </w:r>
      <w:r>
        <w:t>е</w:t>
      </w:r>
      <w:r>
        <w:t>жду мужчинами и женщинами в Швеции. Заключ</w:t>
      </w:r>
      <w:r>
        <w:t>и</w:t>
      </w:r>
      <w:r>
        <w:t>тельный доклад Комитета был направлен в большое число различных организаций и правительственных учреждений с целью узнать их мнения, которые б</w:t>
      </w:r>
      <w:r>
        <w:t>ы</w:t>
      </w:r>
      <w:r>
        <w:t>ли собраны в отдельном докладе. Министерство труда опубликовало краткое резюме выводов К</w:t>
      </w:r>
      <w:r>
        <w:t>о</w:t>
      </w:r>
      <w:r>
        <w:t>миссии на шведском и английском языках. Кроме того, губернаторам ленов было выделено 1,5 млн. шведских крон для финансирования конференций по вопросам экономики, власти и гендерной тем</w:t>
      </w:r>
      <w:r>
        <w:t>а</w:t>
      </w:r>
      <w:r>
        <w:t>тике. И наконец, исследователи, привлеченные к работе Комиссии, участвовали в конференциях и семинарах в Швеции и за рубежом, а несколько колледжей провели телесеминары.</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suppressAutoHyphens/>
        <w:ind w:left="475" w:hanging="475"/>
        <w:rPr>
          <w:b/>
        </w:rPr>
      </w:pPr>
      <w:r>
        <w:rPr>
          <w:b/>
        </w:rPr>
        <w:tab/>
        <w:t>Меры, связанные с женщинами и экономикой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spacing w:after="120"/>
        <w:jc w:val="both"/>
      </w:pPr>
      <w:r>
        <w:tab/>
        <w:t>В последние годы правительство Швеции осуществило ряд мер, связанных с женщинами и экономикой. Некоторые из них рассматриваются в докладе Комиссии по распределению экономич</w:t>
      </w:r>
      <w:r>
        <w:t>е</w:t>
      </w:r>
      <w:r>
        <w:t>ской власти и финансовых ресурсов между мужч</w:t>
      </w:r>
      <w:r>
        <w:t>и</w:t>
      </w:r>
      <w:r>
        <w:t>нами и женщинами (упоминалась выше). В ноябре 1997 года по инициативе правительства было пр</w:t>
      </w:r>
      <w:r>
        <w:t>о</w:t>
      </w:r>
      <w:r>
        <w:t>ведено предварительное исследование относител</w:t>
      </w:r>
      <w:r>
        <w:t>ь</w:t>
      </w:r>
      <w:r>
        <w:t>но маркировки компаний/организаций, товаров и услуг с указанием соблюдения принципа равенства полов. Целью исследования является анализ во</w:t>
      </w:r>
      <w:r>
        <w:t>з</w:t>
      </w:r>
      <w:r>
        <w:t>можности введения в Швеции системы добровол</w:t>
      </w:r>
      <w:r>
        <w:t>ь</w:t>
      </w:r>
      <w:r>
        <w:t>ной маркировки с указанием соблюдения принципа равенства полов, что даст потребителям больше власти и стимулирует компании и организации к повышению степени равенства полов. Исследов</w:t>
      </w:r>
      <w:r>
        <w:t>а</w:t>
      </w:r>
      <w:r>
        <w:t>ние, включающее модель системы маркировки с указанием соблюдения принципа равенства полов, было представлено правительству в августе 1998 года. Был назначен комитет с целью дальнейшего изучения возможности внедрения такой системы маркировки, который представит доклад о результ</w:t>
      </w:r>
      <w:r>
        <w:t>а</w:t>
      </w:r>
      <w:r>
        <w:t>тах своей работы к лету 2001 года.</w:t>
      </w:r>
    </w:p>
    <w:p w:rsidR="00000000" w:rsidRDefault="00000000">
      <w:pPr>
        <w:spacing w:after="120"/>
        <w:jc w:val="both"/>
      </w:pPr>
      <w:r>
        <w:tab/>
        <w:t>В июле 1998 года правительство назначило комиссию по проведению анализа отдельных частей Закона о равных возможностях. Поручения коми</w:t>
      </w:r>
      <w:r>
        <w:t>с</w:t>
      </w:r>
      <w:r>
        <w:t>сии включают в основном предложения о поправках к законам, разработанные Комиссией по распред</w:t>
      </w:r>
      <w:r>
        <w:t>е</w:t>
      </w:r>
      <w:r>
        <w:t>лению экономической власти и финансовых ресу</w:t>
      </w:r>
      <w:r>
        <w:t>р</w:t>
      </w:r>
      <w:r>
        <w:t>сов между мужчинами и женщинами (см. дополн</w:t>
      </w:r>
      <w:r>
        <w:t>и</w:t>
      </w:r>
      <w:r>
        <w:t>тельную информацию в подпункте b статьи 2).</w:t>
      </w:r>
    </w:p>
    <w:p w:rsidR="00000000" w:rsidRDefault="00000000">
      <w:pPr>
        <w:spacing w:after="120"/>
        <w:jc w:val="both"/>
      </w:pPr>
      <w:r>
        <w:tab/>
        <w:t>В феврале 1999 года правительство решило создать комитет для составления отчета об итогах работы в области социального обеспечения в 90</w:t>
      </w:r>
      <w:r>
        <w:noBreakHyphen/>
        <w:t>е годы. Комитет рассмотрит области, включенные в заключительный доклад Комиссии по распредел</w:t>
      </w:r>
      <w:r>
        <w:t>е</w:t>
      </w:r>
      <w:r>
        <w:t>нию экономической власти и финансовых ресурсов между мужчинами и женщинами. Заключительный доклад будет представлен в октябре 2001 года.</w:t>
      </w:r>
    </w:p>
    <w:p w:rsidR="00000000" w:rsidRDefault="00000000">
      <w:pPr>
        <w:jc w:val="both"/>
      </w:pPr>
      <w:r>
        <w:tab/>
        <w:t>В том, что касается распределения экономич</w:t>
      </w:r>
      <w:r>
        <w:t>е</w:t>
      </w:r>
      <w:r>
        <w:t>ских благ между мужчинами и женщинами, посл</w:t>
      </w:r>
      <w:r>
        <w:t>е</w:t>
      </w:r>
      <w:r>
        <w:t>дующие усилия будут сосредоточены на включении вопросов равенства полов во все этапы бюджетного процесса. Соответственно, 1 января 2001 года в правительственных ведомствах начнется осущест</w:t>
      </w:r>
      <w:r>
        <w:t>в</w:t>
      </w:r>
      <w:r>
        <w:t>ление соответствующего проекта. В этот проект б</w:t>
      </w:r>
      <w:r>
        <w:t>у</w:t>
      </w:r>
      <w:r>
        <w:t>дут вовлечены представители министерства фина</w:t>
      </w:r>
      <w:r>
        <w:t>н</w:t>
      </w:r>
      <w:r>
        <w:t>сов, министерства образования и науки, министе</w:t>
      </w:r>
      <w:r>
        <w:t>р</w:t>
      </w:r>
      <w:r>
        <w:t>ства промышленности, занятости и связи.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13 (c)</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spacing w:after="120"/>
        <w:jc w:val="both"/>
      </w:pPr>
      <w:r>
        <w:tab/>
        <w:t>См. предыдущие доклады Швеции.</w:t>
      </w:r>
    </w:p>
    <w:p w:rsidR="00000000" w:rsidRDefault="00000000">
      <w:pPr>
        <w:jc w:val="both"/>
      </w:pPr>
      <w:r>
        <w:tab/>
        <w:t>Правительство поручило Статистическому бюро Швеции провести исследование об использ</w:t>
      </w:r>
      <w:r>
        <w:t>о</w:t>
      </w:r>
      <w:r>
        <w:t>вании мужчинами и женщинами своего времени. Подобное исследование уже проводилось однажды в 1990 году. Исследование, которое должно быть з</w:t>
      </w:r>
      <w:r>
        <w:t>а</w:t>
      </w:r>
      <w:r>
        <w:t>вершено в 2001 году, направлено на расширение знаний о соотношении между оплачиваемой и н</w:t>
      </w:r>
      <w:r>
        <w:t>е</w:t>
      </w:r>
      <w:r>
        <w:t>оплачиваемой работой.</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jc w:val="both"/>
        <w:rPr>
          <w:b/>
        </w:rPr>
      </w:pPr>
      <w:r>
        <w:rPr>
          <w:b/>
        </w:rPr>
        <w:tab/>
        <w:t>Представленность женщин в спорте</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spacing w:after="120"/>
        <w:jc w:val="both"/>
      </w:pPr>
      <w:r>
        <w:tab/>
        <w:t>Доля женщин в руководящих советах спец</w:t>
      </w:r>
      <w:r>
        <w:t>и</w:t>
      </w:r>
      <w:r>
        <w:t>альных спортивных федераций Швеции возросла с 24 процентов в 1994/95 финансовом году до 27 пр</w:t>
      </w:r>
      <w:r>
        <w:t>о</w:t>
      </w:r>
      <w:r>
        <w:t>центов в 1998/99 финансовом году. Показатели для окружных спортивных федераций составляют 35 и 38 процентов, соответственно, отражая рост в 3 процента за пять лет.</w:t>
      </w:r>
    </w:p>
    <w:p w:rsidR="00000000" w:rsidRDefault="00000000">
      <w:pPr>
        <w:jc w:val="both"/>
      </w:pPr>
      <w:r>
        <w:tab/>
        <w:t>Доля женщин в номинационных комитетах специальных спортивных федераций Швеции во</w:t>
      </w:r>
      <w:r>
        <w:t>з</w:t>
      </w:r>
      <w:r>
        <w:t>росла с 32 процентов в 1994/95 финансовом году до 35 процентов в 1998/99 финансовом году. Кроме т</w:t>
      </w:r>
      <w:r>
        <w:t>о</w:t>
      </w:r>
      <w:r>
        <w:t>го на руководящих постах в спортивных организ</w:t>
      </w:r>
      <w:r>
        <w:t>а</w:t>
      </w:r>
      <w:r>
        <w:t>циях (таких как генеральные секретари и т.д.) доля женщин возросла с 26 процентов в 1994/95 фина</w:t>
      </w:r>
      <w:r>
        <w:t>н</w:t>
      </w:r>
      <w:r>
        <w:t>совом году до 32 процентов в 1998/99 финансовом году.</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jc w:val="both"/>
        <w:rPr>
          <w:b/>
        </w:rPr>
      </w:pPr>
      <w:r>
        <w:rPr>
          <w:b/>
        </w:rPr>
        <w:tab/>
        <w:t>Комитет по вопросам свободного времени</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jc w:val="both"/>
      </w:pPr>
      <w:r>
        <w:tab/>
        <w:t>Комитет по вопросам свободного времени, у</w:t>
      </w:r>
      <w:r>
        <w:t>ч</w:t>
      </w:r>
      <w:r>
        <w:t>режденный правительством в 1995 году, представил свой заключительный доклад в 1996 году. В нем о</w:t>
      </w:r>
      <w:r>
        <w:t>т</w:t>
      </w:r>
      <w:r>
        <w:t>мечается, что муниципалитеты выделяют большую часть государственных средств на организацию о</w:t>
      </w:r>
      <w:r>
        <w:t>т</w:t>
      </w:r>
      <w:r>
        <w:t>дыха. В 1995 году 10 млрд. шведских крон было выделено на мероприятия по организации отдыха, среди которых явно доминировал спорт. Примерно 70 процентов, или 7 млрд. шведских крон, были в</w:t>
      </w:r>
      <w:r>
        <w:t>ы</w:t>
      </w:r>
      <w:r>
        <w:t>делены для субсидирования работы спортивных с</w:t>
      </w:r>
      <w:r>
        <w:t>о</w:t>
      </w:r>
      <w:r>
        <w:t>оружений. Доступ к этим сооружениям распределен неравномерно между юношами и девушками. Еще одна комиссия — Комиссия по спорту//была создана для решения вопроса о доступе юношей и девушек на оплачиваемые государством спортивные мер</w:t>
      </w:r>
      <w:r>
        <w:t>о</w:t>
      </w:r>
      <w:r>
        <w:t>приятия. Она предложила создать совет по вопр</w:t>
      </w:r>
      <w:r>
        <w:t>о</w:t>
      </w:r>
      <w:r>
        <w:t>сам свободного времени, поручив ему рассмотреть вопрос о распределении финансируемых государс</w:t>
      </w:r>
      <w:r>
        <w:t>т</w:t>
      </w:r>
      <w:r>
        <w:t>вом спортивных мероприятий между юношами и девушками. В июне 2000 года правительство пор</w:t>
      </w:r>
      <w:r>
        <w:t>у</w:t>
      </w:r>
      <w:r>
        <w:t>чило Конфедерации спорта Швеции вместе с Асс</w:t>
      </w:r>
      <w:r>
        <w:t>о</w:t>
      </w:r>
      <w:r>
        <w:t>циацией местных органов власти Швеции и прав</w:t>
      </w:r>
      <w:r>
        <w:t>и</w:t>
      </w:r>
      <w:r>
        <w:t>тельственной канцелярией осуществить проект по данному вопросу. Проект рассчитан на три года.</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14</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14.1</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14.2</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spacing w:after="120"/>
        <w:jc w:val="both"/>
      </w:pPr>
      <w:r>
        <w:tab/>
        <w:t>Приводимые ниже комментарии касаются ст</w:t>
      </w:r>
      <w:r>
        <w:t>а</w:t>
      </w:r>
      <w:r>
        <w:t>тьи 14 в целом.</w:t>
      </w:r>
    </w:p>
    <w:p w:rsidR="00000000" w:rsidRDefault="00000000">
      <w:pPr>
        <w:spacing w:after="120"/>
        <w:jc w:val="both"/>
      </w:pPr>
      <w:r>
        <w:tab/>
        <w:t>После вступления Швеции в Европейский с</w:t>
      </w:r>
      <w:r>
        <w:t>о</w:t>
      </w:r>
      <w:r>
        <w:t>юз в 1995 году советы ленов, в дополнение к прав</w:t>
      </w:r>
      <w:r>
        <w:t>и</w:t>
      </w:r>
      <w:r>
        <w:t>тельственным фондам, сейчас получают в свое ра</w:t>
      </w:r>
      <w:r>
        <w:t>с</w:t>
      </w:r>
      <w:r>
        <w:t>поряжение значительные средства, выделяемые из Европейских структурных фондов. В 1990</w:t>
      </w:r>
      <w:r>
        <w:noBreakHyphen/>
        <w:t>1997 г</w:t>
      </w:r>
      <w:r>
        <w:t>о</w:t>
      </w:r>
      <w:r>
        <w:t>дах Национальный совет по промышленному и те</w:t>
      </w:r>
      <w:r>
        <w:t>х</w:t>
      </w:r>
      <w:r>
        <w:t>ническому развитию (НУТЕК) провел обзор реги</w:t>
      </w:r>
      <w:r>
        <w:t>о</w:t>
      </w:r>
      <w:r>
        <w:t>нальных проектов ленов и выяснил, что в 5 проце</w:t>
      </w:r>
      <w:r>
        <w:t>н</w:t>
      </w:r>
      <w:r>
        <w:t>тах всех проектов учитывались вопросы равенства полов. В 1998 году соответствующий показатель с</w:t>
      </w:r>
      <w:r>
        <w:t>о</w:t>
      </w:r>
      <w:r>
        <w:t>ставил 6 процентов. На проекты по обеспечению равенства полов выделялось 2 процента средств Е</w:t>
      </w:r>
      <w:r>
        <w:t>в</w:t>
      </w:r>
      <w:r>
        <w:t>ропейских структурных фо</w:t>
      </w:r>
      <w:r>
        <w:t>н</w:t>
      </w:r>
      <w:r>
        <w:t>дов.</w:t>
      </w:r>
    </w:p>
    <w:p w:rsidR="00000000" w:rsidRDefault="00000000">
      <w:pPr>
        <w:spacing w:after="120"/>
        <w:jc w:val="both"/>
      </w:pPr>
      <w:r>
        <w:tab/>
        <w:t>Финансовая поддержка для начинающих пре</w:t>
      </w:r>
      <w:r>
        <w:t>д</w:t>
      </w:r>
      <w:r>
        <w:t>принимателей на региональном уровне, о которой говорится в такой же статье четвертого доклада, я</w:t>
      </w:r>
      <w:r>
        <w:t>в</w:t>
      </w:r>
      <w:r>
        <w:t>ляется важным средством для продвижения пре</w:t>
      </w:r>
      <w:r>
        <w:t>д</w:t>
      </w:r>
      <w:r>
        <w:t>приятий в политически приоритетные регионы. Для того чтобы предприятие получило такие ссуды, 40 процентов рабочих мест, создаваемых в результате появления нового предприятия, должно резервир</w:t>
      </w:r>
      <w:r>
        <w:t>о</w:t>
      </w:r>
      <w:r>
        <w:t>ваться для представителей того или иного пола. О</w:t>
      </w:r>
      <w:r>
        <w:t>д</w:t>
      </w:r>
      <w:r>
        <w:t>нако в прошлые годы приходилось делать исключ</w:t>
      </w:r>
      <w:r>
        <w:t>е</w:t>
      </w:r>
      <w:r>
        <w:t>ния из правил о квотах в пользу мужчин. Тем не менее существует консенсус относительно позити</w:t>
      </w:r>
      <w:r>
        <w:t>в</w:t>
      </w:r>
      <w:r>
        <w:t>ного воздействия правил о квотах на ликвидацию сегрегации на рынке труда по признаку пола, п</w:t>
      </w:r>
      <w:r>
        <w:t>о</w:t>
      </w:r>
      <w:r>
        <w:t>скольку эти правила заставляют предпринимателей нанимать работников из рядов недопредставленного пола.</w:t>
      </w:r>
    </w:p>
    <w:p w:rsidR="00000000" w:rsidRDefault="00000000">
      <w:pPr>
        <w:jc w:val="both"/>
      </w:pPr>
      <w:r>
        <w:tab/>
        <w:t>Региональные центры ресурсов для женщин, а также проект Национального центра ресурсов для женщин (упомянутый в статье 11.1(c) настоящего доклада) продолжают активную деятельность. В 1998 году в общей сложности 76 млн. шведских крон было выделено для стимулирования предпр</w:t>
      </w:r>
      <w:r>
        <w:t>и</w:t>
      </w:r>
      <w:r>
        <w:t>нимательской деятельности женщин на регионал</w:t>
      </w:r>
      <w:r>
        <w:t>ь</w:t>
      </w:r>
      <w:r>
        <w:t>ном и местном уровнях, что представляет собой прирост средств на 33 процента по сравнению с предыдущим годом. С 2000 года проект Национал</w:t>
      </w:r>
      <w:r>
        <w:t>ь</w:t>
      </w:r>
      <w:r>
        <w:t>ного центра ресурсов для женщин стал частью р</w:t>
      </w:r>
      <w:r>
        <w:t>е</w:t>
      </w:r>
      <w:r>
        <w:t>гулярной деятельности НУТЕК.</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300" w:lineRule="exact"/>
        <w:jc w:val="both"/>
        <w:rPr>
          <w:b/>
          <w:sz w:val="28"/>
        </w:rPr>
      </w:pPr>
      <w:r>
        <w:rPr>
          <w:b/>
          <w:sz w:val="28"/>
        </w:rPr>
        <w:t>Часть IV</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15</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15.1</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15.2</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15.3</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15.4</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spacing w:after="120"/>
        <w:jc w:val="both"/>
      </w:pPr>
      <w:r>
        <w:tab/>
        <w:t>См. предыдущие доклады Швеции.</w:t>
      </w:r>
    </w:p>
    <w:p w:rsidR="00000000" w:rsidRDefault="00000000">
      <w:pPr>
        <w:keepNext/>
        <w:tabs>
          <w:tab w:val="left" w:pos="475"/>
          <w:tab w:val="left" w:pos="965"/>
          <w:tab w:val="left" w:pos="1440"/>
          <w:tab w:val="left" w:pos="1915"/>
          <w:tab w:val="left" w:pos="2405"/>
          <w:tab w:val="left" w:pos="2880"/>
          <w:tab w:val="left" w:pos="3355"/>
          <w:tab w:val="left" w:pos="3845"/>
        </w:tabs>
        <w:spacing w:line="120" w:lineRule="exact"/>
        <w:jc w:val="both"/>
        <w:rPr>
          <w:b/>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16</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16.1</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16 (a)</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16 (b)</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16 (c)</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spacing w:after="120"/>
        <w:jc w:val="both"/>
      </w:pPr>
      <w:r>
        <w:tab/>
        <w:t>См. предыдущие доклады Швеции.</w:t>
      </w:r>
    </w:p>
    <w:p w:rsidR="00000000" w:rsidRDefault="00000000">
      <w:pPr>
        <w:spacing w:after="120"/>
        <w:jc w:val="both"/>
      </w:pPr>
      <w:r>
        <w:tab/>
        <w:t>Количество разводов слегка возросло со вр</w:t>
      </w:r>
      <w:r>
        <w:t>е</w:t>
      </w:r>
      <w:r>
        <w:t>мени подготовки четвертого доклада. В 1998 году было зарегистрировано 3,57 новых брака и 2,34 развода на 1000 человек населения и 13,0 разводов на каждые 1000 браков. Аналогичные показатели в 1994 году составляли 3,90, 2,53 и 13,3, соответс</w:t>
      </w:r>
      <w:r>
        <w:t>т</w:t>
      </w:r>
      <w:r>
        <w:t>венно.</w:t>
      </w:r>
    </w:p>
    <w:p w:rsidR="00000000" w:rsidRDefault="00000000">
      <w:pPr>
        <w:spacing w:after="120"/>
        <w:jc w:val="both"/>
      </w:pPr>
      <w:r>
        <w:tab/>
        <w:t>Количество разводов достигает пика для пар, которые состояли в браке 5</w:t>
      </w:r>
      <w:r>
        <w:noBreakHyphen/>
        <w:t>9 лет (пик в 1993 году был отмечен для 0</w:t>
      </w:r>
      <w:r>
        <w:noBreakHyphen/>
        <w:t>4 лет). После 9 лет брака кол</w:t>
      </w:r>
      <w:r>
        <w:t>и</w:t>
      </w:r>
      <w:r>
        <w:t>чество разводов падает. Из 21009 разводов, офор</w:t>
      </w:r>
      <w:r>
        <w:t>м</w:t>
      </w:r>
      <w:r>
        <w:t>ленных в 1997 году, соотношение между количес</w:t>
      </w:r>
      <w:r>
        <w:t>т</w:t>
      </w:r>
      <w:r>
        <w:t>вом браков и их продолжительностью было сл</w:t>
      </w:r>
      <w:r>
        <w:t>е</w:t>
      </w:r>
      <w:r>
        <w:t>дующим: 23 процента (0</w:t>
      </w:r>
      <w:r>
        <w:noBreakHyphen/>
        <w:t>4 года), 31 процент (5</w:t>
      </w:r>
      <w:r>
        <w:noBreakHyphen/>
        <w:t>9 лет), 26 процентов (10</w:t>
      </w:r>
      <w:r>
        <w:noBreakHyphen/>
        <w:t>19 лет) и 20 процентов (20 лет и более).</w:t>
      </w:r>
    </w:p>
    <w:p w:rsidR="00000000" w:rsidRDefault="00000000">
      <w:pPr>
        <w:keepNext/>
        <w:tabs>
          <w:tab w:val="left" w:pos="475"/>
          <w:tab w:val="left" w:pos="965"/>
          <w:tab w:val="left" w:pos="1440"/>
          <w:tab w:val="left" w:pos="1915"/>
          <w:tab w:val="left" w:pos="2405"/>
          <w:tab w:val="left" w:pos="2880"/>
          <w:tab w:val="left" w:pos="3355"/>
          <w:tab w:val="left" w:pos="3845"/>
        </w:tabs>
        <w:spacing w:line="120" w:lineRule="exact"/>
        <w:jc w:val="both"/>
        <w:rPr>
          <w:b/>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16 (d)</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16 (e)</w:t>
      </w:r>
    </w:p>
    <w:p w:rsidR="00000000" w:rsidRDefault="00000000">
      <w:pPr>
        <w:pStyle w:val="DualTxt"/>
        <w:keepNe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spacing w:after="120"/>
        <w:jc w:val="both"/>
      </w:pPr>
      <w:r>
        <w:tab/>
        <w:t>См. второй доклад Швеции</w:t>
      </w:r>
    </w:p>
    <w:p w:rsidR="00000000" w:rsidRDefault="00000000">
      <w:pPr>
        <w:spacing w:after="120"/>
        <w:jc w:val="both"/>
      </w:pPr>
      <w:r>
        <w:tab/>
        <w:t>В 1998 году 75 процентов всех родившихся в Швеции детей жили с д</w:t>
      </w:r>
      <w:r>
        <w:rPr>
          <w:spacing w:val="-20"/>
        </w:rPr>
        <w:t>в</w:t>
      </w:r>
      <w:r>
        <w:t xml:space="preserve">умя </w:t>
      </w:r>
      <w:r>
        <w:rPr>
          <w:spacing w:val="-20"/>
        </w:rPr>
        <w:t>ро</w:t>
      </w:r>
      <w:r>
        <w:t>дителями. В 19</w:t>
      </w:r>
      <w:r>
        <w:rPr>
          <w:spacing w:val="-20"/>
        </w:rPr>
        <w:t>9</w:t>
      </w:r>
      <w:r>
        <w:t>0 г</w:t>
      </w:r>
      <w:r>
        <w:rPr>
          <w:spacing w:val="-20"/>
        </w:rPr>
        <w:t>о</w:t>
      </w:r>
      <w:r>
        <w:t>ду со</w:t>
      </w:r>
      <w:r>
        <w:rPr>
          <w:spacing w:val="-20"/>
        </w:rPr>
        <w:t>о</w:t>
      </w:r>
      <w:r>
        <w:t xml:space="preserve">тветствующий </w:t>
      </w:r>
      <w:r>
        <w:rPr>
          <w:spacing w:val="-20"/>
        </w:rPr>
        <w:t>по</w:t>
      </w:r>
      <w:r>
        <w:t>казатель составил 79 пр</w:t>
      </w:r>
      <w:r>
        <w:t>о</w:t>
      </w:r>
      <w:r>
        <w:t>центов.</w:t>
      </w:r>
    </w:p>
    <w:p w:rsidR="00000000" w:rsidRDefault="00000000">
      <w:pPr>
        <w:jc w:val="both"/>
      </w:pPr>
      <w:r>
        <w:tab/>
        <w:t>Кроме того, примерно 17 процентов шведских детей жили с одним из своих родителей (2 процента жили с отцами), а 7 процентов жили с одним из р</w:t>
      </w:r>
      <w:r>
        <w:t>о</w:t>
      </w:r>
      <w:r>
        <w:t>дителей и еще одним взрослым. Соответствующие пок</w:t>
      </w:r>
      <w:r>
        <w:t>а</w:t>
      </w:r>
      <w:r>
        <w:t>затели в 1990 году были 15,2 и 7 процентов.</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16 (f)</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jc w:val="both"/>
      </w:pPr>
      <w:r>
        <w:tab/>
        <w:t>См. второй и третий доклады Швеции.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16 (g)</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jc w:val="both"/>
      </w:pPr>
      <w:r>
        <w:tab/>
        <w:t>См. второй доклад Швеции.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16 (h)</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jc w:val="both"/>
      </w:pPr>
      <w:r>
        <w:tab/>
        <w:t>См. второй и третий доклады Швеции.</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keepNext/>
        <w:tabs>
          <w:tab w:val="left" w:pos="475"/>
          <w:tab w:val="left" w:pos="965"/>
          <w:tab w:val="left" w:pos="1440"/>
          <w:tab w:val="left" w:pos="1915"/>
          <w:tab w:val="left" w:pos="2405"/>
          <w:tab w:val="left" w:pos="2880"/>
          <w:tab w:val="left" w:pos="3355"/>
          <w:tab w:val="left" w:pos="3845"/>
        </w:tabs>
        <w:spacing w:line="270" w:lineRule="exact"/>
        <w:jc w:val="both"/>
        <w:rPr>
          <w:b/>
          <w:sz w:val="24"/>
        </w:rPr>
      </w:pPr>
      <w:r>
        <w:rPr>
          <w:b/>
          <w:sz w:val="24"/>
        </w:rPr>
        <w:tab/>
        <w:t>Статья 16.2</w:t>
      </w:r>
    </w:p>
    <w:p w:rsidR="00000000" w:rsidRDefault="00000000">
      <w:pPr>
        <w:pStyle w:val="DualTxt"/>
        <w:tabs>
          <w:tab w:val="clear" w:pos="480"/>
          <w:tab w:val="clear" w:pos="960"/>
          <w:tab w:val="left" w:pos="475"/>
          <w:tab w:val="left" w:pos="965"/>
          <w:tab w:val="left" w:pos="1440"/>
          <w:tab w:val="left" w:pos="1915"/>
          <w:tab w:val="left" w:pos="2405"/>
          <w:tab w:val="left" w:pos="2880"/>
          <w:tab w:val="left" w:pos="3355"/>
          <w:tab w:val="left" w:pos="3845"/>
        </w:tabs>
        <w:spacing w:after="0" w:line="120" w:lineRule="exact"/>
        <w:rPr>
          <w:sz w:val="10"/>
        </w:rPr>
      </w:pPr>
    </w:p>
    <w:p w:rsidR="00000000" w:rsidRDefault="00000000">
      <w:pPr>
        <w:jc w:val="both"/>
      </w:pPr>
      <w:r>
        <w:tab/>
        <w:t>См. второй доклад Швеции.</w:t>
      </w:r>
    </w:p>
    <w:p w:rsidR="00000000" w:rsidRDefault="00000000">
      <w:pPr>
        <w:spacing w:after="120"/>
        <w:jc w:val="both"/>
      </w:pPr>
    </w:p>
    <w:p w:rsidR="00000000" w:rsidRDefault="00000000">
      <w:pPr>
        <w:spacing w:after="120"/>
        <w:jc w:val="center"/>
        <w:rPr>
          <w:spacing w:val="-3"/>
        </w:rPr>
      </w:pPr>
      <w:r>
        <w:t>-----</w:t>
      </w:r>
    </w:p>
    <w:p w:rsidR="00000000" w:rsidRDefault="00000000">
      <w:pPr>
        <w:tabs>
          <w:tab w:val="left" w:pos="475"/>
          <w:tab w:val="left" w:pos="965"/>
          <w:tab w:val="left" w:pos="1440"/>
          <w:tab w:val="left" w:pos="1915"/>
          <w:tab w:val="left" w:pos="2405"/>
          <w:tab w:val="left" w:pos="2880"/>
          <w:tab w:val="left" w:pos="3355"/>
        </w:tabs>
        <w:jc w:val="both"/>
        <w:rPr>
          <w:spacing w:val="-3"/>
        </w:rPr>
        <w:sectPr w:rsidR="00000000">
          <w:footnotePr>
            <w:numFmt w:val="chicago"/>
          </w:footnotePr>
          <w:endnotePr>
            <w:numFmt w:val="decimal"/>
          </w:endnotePr>
          <w:type w:val="continuous"/>
          <w:pgSz w:w="12240" w:h="15840" w:code="1"/>
          <w:pgMar w:top="1742" w:right="1195" w:bottom="1898" w:left="1195" w:header="576" w:footer="1030" w:gutter="0"/>
          <w:cols w:num="2" w:space="240"/>
          <w:noEndnote/>
        </w:sectPr>
      </w:pPr>
    </w:p>
    <w:p w:rsidR="00000000" w:rsidRDefault="00000000">
      <w:pPr>
        <w:pStyle w:val="SingleTxt"/>
        <w:tabs>
          <w:tab w:val="left" w:pos="475"/>
          <w:tab w:val="left" w:pos="965"/>
          <w:tab w:val="left" w:pos="1440"/>
          <w:tab w:val="left" w:pos="1915"/>
          <w:tab w:val="left" w:pos="2405"/>
          <w:tab w:val="left" w:pos="2880"/>
          <w:tab w:val="left" w:pos="3355"/>
        </w:tabs>
        <w:spacing w:after="0" w:line="120" w:lineRule="exact"/>
        <w:ind w:left="0"/>
        <w:rPr>
          <w:sz w:val="10"/>
        </w:rPr>
      </w:pPr>
      <w:r>
        <w:br w:type="page"/>
      </w:r>
    </w:p>
    <w:sectPr w:rsidR="00000000">
      <w:footnotePr>
        <w:numFmt w:val="chicago"/>
      </w:footnotePr>
      <w:endnotePr>
        <w:numFmt w:val="decimal"/>
      </w:endnotePr>
      <w:type w:val="continuous"/>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NO&gt;&gt;N0080207R&lt;&lt;ODS JOB NO&gt;&gt;</w:t>
      </w:r>
    </w:p>
    <w:p w:rsidR="00000000" w:rsidRDefault="00000000">
      <w:pPr>
        <w:pStyle w:val="CommentText"/>
      </w:pPr>
      <w:r>
        <w:t>&lt;&lt;ODS DOC SYMBOL1&gt;&gt;CEDAW/C/SWE/5&lt;&lt;ODS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spacing w:line="240" w:lineRule="exact"/>
          </w:pPr>
          <w:r>
            <w:fldChar w:fldCharType="begin"/>
          </w:r>
          <w:r>
            <w:instrText xml:space="preserve"> PAGE  \* MERGEFORMAT </w:instrText>
          </w:r>
          <w:r>
            <w:fldChar w:fldCharType="separate"/>
          </w:r>
          <w:r>
            <w:t>38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spacing w:line="240" w:lineRule="exact"/>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line="240" w:lineRule="exact"/>
    </w:pPr>
  </w:p>
  <w:p w:rsidR="00000000" w:rsidRDefault="00000000">
    <w:pPr>
      <w:pStyle w:val="Footer"/>
      <w:spacing w:line="240" w:lineRule="exact"/>
      <w:rPr>
        <w:b w:val="0"/>
        <w:sz w:val="20"/>
      </w:rPr>
    </w:pPr>
    <w:r>
      <w:rPr>
        <w:b w:val="0"/>
        <w:sz w:val="20"/>
      </w:rPr>
      <w:t>00-80207 (R)</w:t>
    </w:r>
  </w:p>
  <w:p w:rsidR="00000000" w:rsidRDefault="00000000">
    <w:pPr>
      <w:pStyle w:val="Footer"/>
      <w:spacing w:before="60" w:line="200" w:lineRule="exact"/>
      <w:rPr>
        <w:rFonts w:ascii="Code 3of9 4.6" w:hAnsi="Code 3of9 4.6"/>
        <w:b w:val="0"/>
        <w:sz w:val="20"/>
      </w:rPr>
    </w:pPr>
    <w:r>
      <w:rPr>
        <w:rFonts w:ascii="Code 3of9 4.6" w:hAnsi="Code 3of9 4.6"/>
        <w:b w:val="0"/>
        <w:sz w:val="20"/>
      </w:rPr>
      <w:t>*0080207*</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4"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CEDAW/C/SWE/5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3"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CEDAW/C/SWE/5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3154"/>
      <w:gridCol w:w="245"/>
      <w:gridCol w:w="1828"/>
      <w:gridCol w:w="245"/>
      <w:gridCol w:w="3140"/>
    </w:tblGrid>
    <w:tr w:rsidR="00000000">
      <w:tblPrEx>
        <w:tblCellMar>
          <w:top w:w="0" w:type="dxa"/>
          <w:left w:w="0" w:type="dxa"/>
          <w:bottom w:w="0" w:type="dxa"/>
          <w:right w:w="0" w:type="dxa"/>
        </w:tblCellMar>
      </w:tblPrEx>
      <w:trPr>
        <w:cantSplit/>
        <w:trHeight w:hRule="exact" w:val="864"/>
      </w:trPr>
      <w:tc>
        <w:tcPr>
          <w:tcW w:w="4421" w:type="dxa"/>
          <w:gridSpan w:val="2"/>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Организация Объединенных Наций</w:t>
          </w:r>
        </w:p>
      </w:tc>
      <w:tc>
        <w:tcPr>
          <w:tcW w:w="245" w:type="dxa"/>
          <w:tcBorders>
            <w:top w:val="nil"/>
            <w:left w:val="nil"/>
            <w:bottom w:val="nil"/>
            <w:right w:val="nil"/>
          </w:tcBorders>
          <w:vAlign w:val="bottom"/>
        </w:tcPr>
        <w:p w:rsidR="00000000" w:rsidRDefault="00000000">
          <w:pPr>
            <w:pStyle w:val="Header"/>
            <w:spacing w:after="120"/>
          </w:pPr>
        </w:p>
      </w:tc>
      <w:tc>
        <w:tcPr>
          <w:tcW w:w="5213" w:type="dxa"/>
          <w:gridSpan w:val="3"/>
          <w:tcBorders>
            <w:top w:val="nil"/>
            <w:left w:val="nil"/>
            <w:bottom w:val="nil"/>
            <w:right w:val="nil"/>
          </w:tcBorders>
          <w:vAlign w:val="bottom"/>
        </w:tcPr>
        <w:p w:rsidR="00000000" w:rsidRDefault="00000000">
          <w:pPr>
            <w:pStyle w:val="Header"/>
            <w:spacing w:after="80"/>
            <w:jc w:val="right"/>
            <w:rPr>
              <w:position w:val="-4"/>
              <w:sz w:val="20"/>
            </w:rPr>
          </w:pPr>
          <w:r>
            <w:rPr>
              <w:position w:val="-4"/>
              <w:sz w:val="40"/>
            </w:rPr>
            <w:t>CEDAW</w:t>
          </w:r>
          <w:r>
            <w:rPr>
              <w:position w:val="-4"/>
              <w:sz w:val="20"/>
            </w:rPr>
            <w:t>/C/SWE/5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Конвенция о ликвидации всех форм дискриминации в отношении женщин</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pPr>
            <w:rPr>
              <w:lang w:val="en-US"/>
            </w:rPr>
          </w:pPr>
          <w:r>
            <w:rPr>
              <w:lang w:val="en-US"/>
            </w:rPr>
            <w:t xml:space="preserve">18 December </w:t>
          </w:r>
          <w:r>
            <w:t>200</w:t>
          </w:r>
          <w:r>
            <w:rPr>
              <w:lang w:val="en-US"/>
            </w:rPr>
            <w:t>0</w:t>
          </w:r>
        </w:p>
        <w:p w:rsidR="00000000" w:rsidRDefault="00000000">
          <w:r>
            <w:t>Russian</w:t>
          </w:r>
        </w:p>
        <w:p w:rsidR="00000000" w:rsidRDefault="00000000">
          <w:pPr>
            <w:rPr>
              <w:lang w:val="en-US"/>
            </w:rPr>
          </w:pPr>
          <w:r>
            <w:t xml:space="preserve">Original: </w:t>
          </w:r>
          <w:r>
            <w:rPr>
              <w:lang w:val="en-US"/>
            </w:rPr>
            <w:t>English</w:t>
          </w:r>
        </w:p>
      </w:tc>
    </w:tr>
  </w:tbl>
  <w:p w:rsidR="00000000" w:rsidRDefault="00000000">
    <w:pPr>
      <w:pStyle w:val="Header"/>
      <w:spacing w:line="20" w:lineRule="exact"/>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59CADF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5372B834"/>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A3CEA354"/>
    <w:lvl w:ilvl="0">
      <w:start w:val="1"/>
      <w:numFmt w:val="decimal"/>
      <w:pStyle w:val="ListNumber3"/>
      <w:lvlText w:val="%1."/>
      <w:lvlJc w:val="left"/>
      <w:pPr>
        <w:tabs>
          <w:tab w:val="num" w:pos="926"/>
        </w:tabs>
        <w:ind w:left="926" w:hanging="360"/>
      </w:pPr>
    </w:lvl>
  </w:abstractNum>
  <w:abstractNum w:abstractNumId="3">
    <w:nsid w:val="FFFFFF7F"/>
    <w:multiLevelType w:val="singleLevel"/>
    <w:tmpl w:val="93C2E390"/>
    <w:lvl w:ilvl="0">
      <w:start w:val="1"/>
      <w:numFmt w:val="decimal"/>
      <w:pStyle w:val="ListNumber2"/>
      <w:lvlText w:val="%1."/>
      <w:lvlJc w:val="left"/>
      <w:pPr>
        <w:tabs>
          <w:tab w:val="num" w:pos="643"/>
        </w:tabs>
        <w:ind w:left="643" w:hanging="360"/>
      </w:pPr>
    </w:lvl>
  </w:abstractNum>
  <w:abstractNum w:abstractNumId="4">
    <w:nsid w:val="FFFFFF88"/>
    <w:multiLevelType w:val="singleLevel"/>
    <w:tmpl w:val="A450318C"/>
    <w:lvl w:ilvl="0">
      <w:start w:val="1"/>
      <w:numFmt w:val="decimal"/>
      <w:pStyle w:val="ListNumber"/>
      <w:lvlText w:val="%1."/>
      <w:lvlJc w:val="left"/>
      <w:pPr>
        <w:tabs>
          <w:tab w:val="num" w:pos="360"/>
        </w:tabs>
        <w:ind w:left="360" w:hanging="360"/>
      </w:pPr>
    </w:lvl>
  </w:abstractNum>
  <w:abstractNum w:abstractNumId="5">
    <w:nsid w:val="FFFFFF89"/>
    <w:multiLevelType w:val="singleLevel"/>
    <w:tmpl w:val="E1C870EA"/>
    <w:lvl w:ilvl="0">
      <w:start w:val="1"/>
      <w:numFmt w:val="bullet"/>
      <w:pStyle w:val="ListBullet"/>
      <w:lvlText w:val=""/>
      <w:lvlJc w:val="left"/>
      <w:pPr>
        <w:tabs>
          <w:tab w:val="num" w:pos="360"/>
        </w:tabs>
        <w:ind w:left="360" w:hanging="360"/>
      </w:pPr>
      <w:rPr>
        <w:rFonts w:ascii="Symbol" w:hAnsi="Symbol" w:hint="default"/>
      </w:rPr>
    </w:lvl>
  </w:abstractNum>
  <w:abstractNum w:abstractNumId="6">
    <w:nsid w:val="FFFFFFFE"/>
    <w:multiLevelType w:val="singleLevel"/>
    <w:tmpl w:val="FFFFFFFF"/>
    <w:lvl w:ilvl="0">
      <w:numFmt w:val="decimal"/>
      <w:lvlText w:val="*"/>
      <w:lvlJc w:val="left"/>
    </w:lvl>
  </w:abstractNum>
  <w:abstractNum w:abstractNumId="7">
    <w:nsid w:val="00490C05"/>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8">
    <w:nsid w:val="026B66DE"/>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9">
    <w:nsid w:val="054A0A53"/>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10">
    <w:nsid w:val="08B37711"/>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11">
    <w:nsid w:val="0B6541CA"/>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12">
    <w:nsid w:val="0E3B31F0"/>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13">
    <w:nsid w:val="11505F58"/>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14">
    <w:nsid w:val="1265581E"/>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15">
    <w:nsid w:val="14192D1A"/>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16">
    <w:nsid w:val="14BA4B30"/>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17">
    <w:nsid w:val="19C66E8C"/>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18">
    <w:nsid w:val="1AF84B68"/>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19">
    <w:nsid w:val="1B7335A9"/>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20">
    <w:nsid w:val="1D0325FE"/>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21">
    <w:nsid w:val="1DFD31BD"/>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22">
    <w:nsid w:val="21F02081"/>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23">
    <w:nsid w:val="234369A3"/>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24">
    <w:nsid w:val="25A7208C"/>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25">
    <w:nsid w:val="2AC46E45"/>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26">
    <w:nsid w:val="2B577262"/>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27">
    <w:nsid w:val="2BA87690"/>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28">
    <w:nsid w:val="2DCC1CFE"/>
    <w:multiLevelType w:val="singleLevel"/>
    <w:tmpl w:val="DAC2DE86"/>
    <w:lvl w:ilvl="0">
      <w:start w:val="3"/>
      <w:numFmt w:val="decimal"/>
      <w:lvlText w:val="%1. "/>
      <w:legacy w:legacy="1" w:legacySpace="0" w:legacyIndent="283"/>
      <w:lvlJc w:val="left"/>
      <w:pPr>
        <w:ind w:left="283" w:hanging="283"/>
      </w:pPr>
      <w:rPr>
        <w:rFonts w:ascii="Times New Roman" w:hAnsi="Times New Roman" w:hint="default"/>
        <w:b w:val="0"/>
        <w:i w:val="0"/>
        <w:sz w:val="28"/>
        <w:u w:val="none"/>
      </w:rPr>
    </w:lvl>
  </w:abstractNum>
  <w:abstractNum w:abstractNumId="29">
    <w:nsid w:val="2F2F5B35"/>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30">
    <w:nsid w:val="339F104B"/>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31">
    <w:nsid w:val="34DC129E"/>
    <w:multiLevelType w:val="singleLevel"/>
    <w:tmpl w:val="03EE3166"/>
    <w:lvl w:ilvl="0">
      <w:start w:val="1"/>
      <w:numFmt w:val="decimal"/>
      <w:pStyle w:val="ListContinue2"/>
      <w:lvlText w:val="%1."/>
      <w:lvlJc w:val="right"/>
      <w:pPr>
        <w:tabs>
          <w:tab w:val="num" w:pos="792"/>
        </w:tabs>
        <w:ind w:left="792" w:hanging="317"/>
      </w:pPr>
      <w:rPr>
        <w:rFonts w:hint="default"/>
      </w:rPr>
    </w:lvl>
  </w:abstractNum>
  <w:abstractNum w:abstractNumId="32">
    <w:nsid w:val="357E62D1"/>
    <w:multiLevelType w:val="singleLevel"/>
    <w:tmpl w:val="0809000F"/>
    <w:lvl w:ilvl="0">
      <w:start w:val="1"/>
      <w:numFmt w:val="decimal"/>
      <w:lvlText w:val="%1."/>
      <w:lvlJc w:val="left"/>
      <w:pPr>
        <w:tabs>
          <w:tab w:val="num" w:pos="360"/>
        </w:tabs>
        <w:ind w:left="360" w:hanging="360"/>
      </w:pPr>
    </w:lvl>
  </w:abstractNum>
  <w:abstractNum w:abstractNumId="33">
    <w:nsid w:val="364B12B3"/>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34">
    <w:nsid w:val="37420FCB"/>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35">
    <w:nsid w:val="377C511C"/>
    <w:multiLevelType w:val="singleLevel"/>
    <w:tmpl w:val="F138A5AE"/>
    <w:lvl w:ilvl="0">
      <w:start w:val="1"/>
      <w:numFmt w:val="decimal"/>
      <w:lvlText w:val="3.%1 "/>
      <w:legacy w:legacy="1" w:legacySpace="0" w:legacyIndent="283"/>
      <w:lvlJc w:val="left"/>
      <w:pPr>
        <w:ind w:left="283" w:hanging="283"/>
      </w:pPr>
      <w:rPr>
        <w:rFonts w:ascii="Times New Roman" w:hAnsi="Times New Roman" w:hint="default"/>
        <w:b w:val="0"/>
        <w:i w:val="0"/>
        <w:sz w:val="28"/>
        <w:u w:val="none"/>
      </w:rPr>
    </w:lvl>
  </w:abstractNum>
  <w:abstractNum w:abstractNumId="36">
    <w:nsid w:val="3A7C7553"/>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37">
    <w:nsid w:val="3D692D49"/>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38">
    <w:nsid w:val="3E2A138F"/>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39">
    <w:nsid w:val="3EE7637D"/>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40">
    <w:nsid w:val="3F015043"/>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41">
    <w:nsid w:val="3F752822"/>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42">
    <w:nsid w:val="3F892012"/>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43">
    <w:nsid w:val="3FE20233"/>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44">
    <w:nsid w:val="427419B0"/>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45">
    <w:nsid w:val="441E7FF0"/>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46">
    <w:nsid w:val="4459580A"/>
    <w:multiLevelType w:val="singleLevel"/>
    <w:tmpl w:val="0809000F"/>
    <w:lvl w:ilvl="0">
      <w:start w:val="1"/>
      <w:numFmt w:val="decimal"/>
      <w:lvlText w:val="%1."/>
      <w:lvlJc w:val="left"/>
      <w:pPr>
        <w:tabs>
          <w:tab w:val="num" w:pos="360"/>
        </w:tabs>
        <w:ind w:left="360" w:hanging="360"/>
      </w:pPr>
    </w:lvl>
  </w:abstractNum>
  <w:abstractNum w:abstractNumId="47">
    <w:nsid w:val="44FE1658"/>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48">
    <w:nsid w:val="477C2F49"/>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49">
    <w:nsid w:val="47EB33D5"/>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50">
    <w:nsid w:val="491F7254"/>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51">
    <w:nsid w:val="494A5A81"/>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52">
    <w:nsid w:val="4B5C3BEC"/>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53">
    <w:nsid w:val="4C080F22"/>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54">
    <w:nsid w:val="4D614A40"/>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55">
    <w:nsid w:val="503B2729"/>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56">
    <w:nsid w:val="50C55EF9"/>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57">
    <w:nsid w:val="510C03B7"/>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58">
    <w:nsid w:val="567F05BF"/>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59">
    <w:nsid w:val="59375D99"/>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60">
    <w:nsid w:val="5C44563E"/>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61">
    <w:nsid w:val="5EF06764"/>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62">
    <w:nsid w:val="61204E14"/>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63">
    <w:nsid w:val="6120532C"/>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64">
    <w:nsid w:val="64777C98"/>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65">
    <w:nsid w:val="6BC23DCF"/>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66">
    <w:nsid w:val="6CCA55F8"/>
    <w:multiLevelType w:val="multilevel"/>
    <w:tmpl w:val="EC0AF14C"/>
    <w:name w:val="TOC2"/>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67">
    <w:nsid w:val="6E0A565F"/>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68">
    <w:nsid w:val="72766002"/>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69">
    <w:nsid w:val="750C1B86"/>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70">
    <w:nsid w:val="76422240"/>
    <w:multiLevelType w:val="singleLevel"/>
    <w:tmpl w:val="09602B14"/>
    <w:lvl w:ilvl="0">
      <w:start w:val="1"/>
      <w:numFmt w:val="bullet"/>
      <w:lvlText w:val=""/>
      <w:lvlJc w:val="left"/>
      <w:pPr>
        <w:tabs>
          <w:tab w:val="num" w:pos="720"/>
        </w:tabs>
        <w:ind w:left="720" w:hanging="720"/>
      </w:pPr>
      <w:rPr>
        <w:rFonts w:ascii="Symbol" w:hAnsi="Symbol" w:hint="default"/>
      </w:rPr>
    </w:lvl>
  </w:abstractNum>
  <w:abstractNum w:abstractNumId="71">
    <w:nsid w:val="7CA339F9"/>
    <w:multiLevelType w:val="singleLevel"/>
    <w:tmpl w:val="FFFFFFFF"/>
    <w:lvl w:ilvl="0">
      <w:start w:val="1"/>
      <w:numFmt w:val="bullet"/>
      <w:lvlText w:val=""/>
      <w:legacy w:legacy="1" w:legacySpace="0" w:legacyIndent="720"/>
      <w:lvlJc w:val="left"/>
      <w:pPr>
        <w:ind w:left="720" w:hanging="720"/>
      </w:pPr>
      <w:rPr>
        <w:rFonts w:ascii="Symbol" w:hAnsi="Symbol" w:hint="default"/>
      </w:rPr>
    </w:lvl>
  </w:abstractNum>
  <w:abstractNum w:abstractNumId="72">
    <w:nsid w:val="7D60183E"/>
    <w:multiLevelType w:val="multilevel"/>
    <w:tmpl w:val="EC0AF14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8"/>
      <w:lvlJc w:val="left"/>
      <w:pPr>
        <w:tabs>
          <w:tab w:val="num" w:pos="3888"/>
        </w:tabs>
        <w:ind w:left="3888" w:firstLine="0"/>
      </w:pPr>
    </w:lvl>
    <w:lvl w:ilvl="8">
      <w:start w:val="1"/>
      <w:numFmt w:val="none"/>
      <w:suff w:val="nothing"/>
      <w:lvlText w:val="%9"/>
      <w:lvlJc w:val="left"/>
      <w:pPr>
        <w:tabs>
          <w:tab w:val="num" w:pos="3888"/>
        </w:tabs>
        <w:ind w:left="3888" w:firstLine="0"/>
      </w:pPr>
    </w:lvl>
  </w:abstractNum>
  <w:abstractNum w:abstractNumId="73">
    <w:nsid w:val="7D9D4036"/>
    <w:multiLevelType w:val="singleLevel"/>
    <w:tmpl w:val="09602B14"/>
    <w:lvl w:ilvl="0">
      <w:start w:val="1"/>
      <w:numFmt w:val="bullet"/>
      <w:lvlText w:val=""/>
      <w:lvlJc w:val="left"/>
      <w:pPr>
        <w:tabs>
          <w:tab w:val="num" w:pos="720"/>
        </w:tabs>
        <w:ind w:left="720" w:hanging="720"/>
      </w:pPr>
      <w:rPr>
        <w:rFonts w:ascii="Symbol" w:hAnsi="Symbol" w:hint="default"/>
      </w:rPr>
    </w:lvl>
  </w:abstractNum>
  <w:num w:numId="1">
    <w:abstractNumId w:val="31"/>
  </w:num>
  <w:num w:numId="2">
    <w:abstractNumId w:val="4"/>
  </w:num>
  <w:num w:numId="3">
    <w:abstractNumId w:val="4"/>
  </w:num>
  <w:num w:numId="4">
    <w:abstractNumId w:val="3"/>
  </w:num>
  <w:num w:numId="5">
    <w:abstractNumId w:val="3"/>
  </w:num>
  <w:num w:numId="6">
    <w:abstractNumId w:val="2"/>
  </w:num>
  <w:num w:numId="7">
    <w:abstractNumId w:val="2"/>
  </w:num>
  <w:num w:numId="8">
    <w:abstractNumId w:val="1"/>
  </w:num>
  <w:num w:numId="9">
    <w:abstractNumId w:val="1"/>
  </w:num>
  <w:num w:numId="10">
    <w:abstractNumId w:val="0"/>
  </w:num>
  <w:num w:numId="11">
    <w:abstractNumId w:val="0"/>
  </w:num>
  <w:num w:numId="12">
    <w:abstractNumId w:val="72"/>
  </w:num>
  <w:num w:numId="13">
    <w:abstractNumId w:val="46"/>
  </w:num>
  <w:num w:numId="14">
    <w:abstractNumId w:val="32"/>
  </w:num>
  <w:num w:numId="15">
    <w:abstractNumId w:val="66"/>
  </w:num>
  <w:num w:numId="16">
    <w:abstractNumId w:val="5"/>
  </w:num>
  <w:num w:numId="17">
    <w:abstractNumId w:val="28"/>
  </w:num>
  <w:num w:numId="18">
    <w:abstractNumId w:val="35"/>
  </w:num>
  <w:num w:numId="19">
    <w:abstractNumId w:val="6"/>
    <w:lvlOverride w:ilvl="0">
      <w:lvl w:ilvl="0">
        <w:start w:val="1"/>
        <w:numFmt w:val="bullet"/>
        <w:lvlText w:val=""/>
        <w:legacy w:legacy="1" w:legacySpace="0" w:legacyIndent="720"/>
        <w:lvlJc w:val="left"/>
        <w:pPr>
          <w:ind w:left="720" w:hanging="720"/>
        </w:pPr>
        <w:rPr>
          <w:rFonts w:ascii="Symbol" w:hAnsi="Symbol" w:hint="default"/>
        </w:rPr>
      </w:lvl>
    </w:lvlOverride>
  </w:num>
  <w:num w:numId="20">
    <w:abstractNumId w:val="43"/>
  </w:num>
  <w:num w:numId="21">
    <w:abstractNumId w:val="14"/>
  </w:num>
  <w:num w:numId="22">
    <w:abstractNumId w:val="30"/>
  </w:num>
  <w:num w:numId="23">
    <w:abstractNumId w:val="54"/>
  </w:num>
  <w:num w:numId="24">
    <w:abstractNumId w:val="38"/>
  </w:num>
  <w:num w:numId="25">
    <w:abstractNumId w:val="8"/>
  </w:num>
  <w:num w:numId="26">
    <w:abstractNumId w:val="16"/>
  </w:num>
  <w:num w:numId="27">
    <w:abstractNumId w:val="40"/>
  </w:num>
  <w:num w:numId="28">
    <w:abstractNumId w:val="56"/>
  </w:num>
  <w:num w:numId="29">
    <w:abstractNumId w:val="44"/>
  </w:num>
  <w:num w:numId="30">
    <w:abstractNumId w:val="20"/>
  </w:num>
  <w:num w:numId="31">
    <w:abstractNumId w:val="52"/>
  </w:num>
  <w:num w:numId="32">
    <w:abstractNumId w:val="17"/>
  </w:num>
  <w:num w:numId="33">
    <w:abstractNumId w:val="45"/>
  </w:num>
  <w:num w:numId="34">
    <w:abstractNumId w:val="60"/>
  </w:num>
  <w:num w:numId="35">
    <w:abstractNumId w:val="49"/>
  </w:num>
  <w:num w:numId="36">
    <w:abstractNumId w:val="23"/>
  </w:num>
  <w:num w:numId="37">
    <w:abstractNumId w:val="68"/>
  </w:num>
  <w:num w:numId="38">
    <w:abstractNumId w:val="7"/>
  </w:num>
  <w:num w:numId="39">
    <w:abstractNumId w:val="36"/>
  </w:num>
  <w:num w:numId="40">
    <w:abstractNumId w:val="51"/>
  </w:num>
  <w:num w:numId="41">
    <w:abstractNumId w:val="62"/>
  </w:num>
  <w:num w:numId="42">
    <w:abstractNumId w:val="25"/>
  </w:num>
  <w:num w:numId="43">
    <w:abstractNumId w:val="11"/>
  </w:num>
  <w:num w:numId="44">
    <w:abstractNumId w:val="29"/>
  </w:num>
  <w:num w:numId="45">
    <w:abstractNumId w:val="39"/>
  </w:num>
  <w:num w:numId="46">
    <w:abstractNumId w:val="67"/>
  </w:num>
  <w:num w:numId="47">
    <w:abstractNumId w:val="48"/>
  </w:num>
  <w:num w:numId="48">
    <w:abstractNumId w:val="55"/>
  </w:num>
  <w:num w:numId="49">
    <w:abstractNumId w:val="65"/>
  </w:num>
  <w:num w:numId="50">
    <w:abstractNumId w:val="50"/>
  </w:num>
  <w:num w:numId="51">
    <w:abstractNumId w:val="63"/>
  </w:num>
  <w:num w:numId="52">
    <w:abstractNumId w:val="73"/>
  </w:num>
  <w:num w:numId="53">
    <w:abstractNumId w:val="22"/>
  </w:num>
  <w:num w:numId="54">
    <w:abstractNumId w:val="24"/>
  </w:num>
  <w:num w:numId="55">
    <w:abstractNumId w:val="53"/>
  </w:num>
  <w:num w:numId="56">
    <w:abstractNumId w:val="26"/>
  </w:num>
  <w:num w:numId="57">
    <w:abstractNumId w:val="61"/>
  </w:num>
  <w:num w:numId="58">
    <w:abstractNumId w:val="41"/>
  </w:num>
  <w:num w:numId="59">
    <w:abstractNumId w:val="57"/>
  </w:num>
  <w:num w:numId="60">
    <w:abstractNumId w:val="33"/>
  </w:num>
  <w:num w:numId="61">
    <w:abstractNumId w:val="15"/>
  </w:num>
  <w:num w:numId="62">
    <w:abstractNumId w:val="70"/>
  </w:num>
  <w:num w:numId="63">
    <w:abstractNumId w:val="34"/>
  </w:num>
  <w:num w:numId="64">
    <w:abstractNumId w:val="13"/>
  </w:num>
  <w:num w:numId="65">
    <w:abstractNumId w:val="9"/>
  </w:num>
  <w:num w:numId="66">
    <w:abstractNumId w:val="37"/>
  </w:num>
  <w:num w:numId="67">
    <w:abstractNumId w:val="69"/>
  </w:num>
  <w:num w:numId="68">
    <w:abstractNumId w:val="21"/>
  </w:num>
  <w:num w:numId="69">
    <w:abstractNumId w:val="64"/>
  </w:num>
  <w:num w:numId="70">
    <w:abstractNumId w:val="18"/>
  </w:num>
  <w:num w:numId="71">
    <w:abstractNumId w:val="19"/>
  </w:num>
  <w:num w:numId="72">
    <w:abstractNumId w:val="47"/>
  </w:num>
  <w:num w:numId="73">
    <w:abstractNumId w:val="59"/>
  </w:num>
  <w:num w:numId="74">
    <w:abstractNumId w:val="71"/>
  </w:num>
  <w:num w:numId="75">
    <w:abstractNumId w:val="42"/>
  </w:num>
  <w:num w:numId="76">
    <w:abstractNumId w:val="12"/>
  </w:num>
  <w:num w:numId="77">
    <w:abstractNumId w:val="10"/>
  </w:num>
  <w:num w:numId="78">
    <w:abstractNumId w:val="27"/>
  </w:num>
  <w:num w:numId="7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ru-RU" w:vendorID="1" w:dllVersion="512" w:checkStyle="1"/>
  <w:activeWritingStyle w:appName="MSWord" w:lang="en-US" w:vendorID="8" w:dllVersion="513" w:checkStyle="1"/>
  <w:activeWritingStyle w:appName="MSWord" w:lang="en-GB" w:vendorID="8" w:dllVersion="513" w:checkStyle="1"/>
  <w:doNotTrackMoves/>
  <w:defaultTabStop w:val="475"/>
  <w:autoHyphenation/>
  <w:hyphenationZone w:val="216"/>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numFmt w:val="chicago"/>
    <w:footnote w:id="-1"/>
    <w:footnote w:id="0"/>
  </w:footnotePr>
  <w:endnotePr>
    <w:numFmt w:val="decimal"/>
    <w:endnote w:id="-1"/>
    <w:endnote w:id="0"/>
  </w:endnotePr>
  <w:compat>
    <w:noColumnBalance/>
    <w:printColBlack/>
    <w:showBreaksInFrames/>
    <w:suppressBottomSpacing/>
    <w:suppressTopSpacing/>
    <w:suppressTopSpacingWP/>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5/05/2000 13:29:34"/>
    <w:docVar w:name="DocCategory" w:val="Doc"/>
    <w:docVar w:name="DocType" w:val="Final"/>
    <w:docVar w:name="JobNo" w:val="0080207R"/>
    <w:docVar w:name="OandT" w:val="Griaznova"/>
    <w:docVar w:name="Symbol1" w:val="CEDAW/C/SWE/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ru-RU"/>
    </w:rPr>
  </w:style>
  <w:style w:type="paragraph" w:styleId="Heading1">
    <w:name w:val="heading 1"/>
    <w:basedOn w:val="Normal"/>
    <w:next w:val="Normal"/>
    <w:qFormat/>
    <w:pPr>
      <w:keepNext/>
      <w:spacing w:line="240" w:lineRule="auto"/>
      <w:jc w:val="center"/>
      <w:outlineLvl w:val="0"/>
    </w:pPr>
    <w:rPr>
      <w:spacing w:val="0"/>
      <w:w w:val="100"/>
      <w:kern w:val="0"/>
      <w:sz w:val="28"/>
    </w:rPr>
  </w:style>
  <w:style w:type="paragraph" w:styleId="Heading2">
    <w:name w:val="heading 2"/>
    <w:basedOn w:val="Normal"/>
    <w:next w:val="Normal"/>
    <w:qFormat/>
    <w:pPr>
      <w:keepNext/>
      <w:spacing w:line="240" w:lineRule="auto"/>
      <w:jc w:val="center"/>
      <w:outlineLvl w:val="1"/>
    </w:pPr>
    <w:rPr>
      <w:b/>
      <w:spacing w:val="0"/>
      <w:w w:val="100"/>
      <w:kern w:val="0"/>
      <w:sz w:val="28"/>
    </w:rPr>
  </w:style>
  <w:style w:type="paragraph" w:styleId="Heading3">
    <w:name w:val="heading 3"/>
    <w:basedOn w:val="Normal"/>
    <w:next w:val="Normal"/>
    <w:qFormat/>
    <w:pPr>
      <w:keepNext/>
      <w:spacing w:line="480" w:lineRule="auto"/>
      <w:jc w:val="center"/>
      <w:outlineLvl w:val="2"/>
    </w:pPr>
    <w:rPr>
      <w:b/>
      <w:spacing w:val="0"/>
      <w:w w:val="100"/>
      <w:kern w:val="0"/>
      <w:sz w:val="28"/>
      <w:lang w:val="en-US"/>
    </w:rPr>
  </w:style>
  <w:style w:type="paragraph" w:styleId="Heading4">
    <w:name w:val="heading 4"/>
    <w:basedOn w:val="Normal"/>
    <w:next w:val="Normal"/>
    <w:qFormat/>
    <w:pPr>
      <w:keepNext/>
      <w:spacing w:line="480" w:lineRule="auto"/>
      <w:jc w:val="both"/>
      <w:outlineLvl w:val="3"/>
    </w:pPr>
    <w:rPr>
      <w:b/>
      <w:spacing w:val="0"/>
      <w:w w:val="100"/>
      <w:kern w:val="0"/>
      <w:sz w:val="28"/>
    </w:rPr>
  </w:style>
  <w:style w:type="paragraph" w:styleId="Heading5">
    <w:name w:val="heading 5"/>
    <w:basedOn w:val="Normal"/>
    <w:next w:val="Normal"/>
    <w:qFormat/>
    <w:pPr>
      <w:keepNext/>
      <w:spacing w:line="360" w:lineRule="auto"/>
      <w:outlineLvl w:val="4"/>
    </w:pPr>
    <w:rPr>
      <w:b/>
      <w:spacing w:val="0"/>
      <w:w w:val="100"/>
      <w:kern w:val="0"/>
      <w:sz w:val="28"/>
    </w:rPr>
  </w:style>
  <w:style w:type="paragraph" w:styleId="Heading6">
    <w:name w:val="heading 6"/>
    <w:basedOn w:val="Normal"/>
    <w:next w:val="Normal"/>
    <w:qFormat/>
    <w:pPr>
      <w:keepNext/>
      <w:tabs>
        <w:tab w:val="left" w:pos="475"/>
        <w:tab w:val="left" w:pos="965"/>
        <w:tab w:val="left" w:pos="1440"/>
        <w:tab w:val="left" w:pos="1915"/>
        <w:tab w:val="left" w:pos="2405"/>
        <w:tab w:val="left" w:pos="2880"/>
        <w:tab w:val="left" w:pos="3355"/>
      </w:tabs>
      <w:spacing w:line="270" w:lineRule="exact"/>
      <w:jc w:val="both"/>
      <w:outlineLvl w:val="5"/>
    </w:pPr>
    <w:rPr>
      <w:b/>
      <w:sz w:val="24"/>
    </w:rPr>
  </w:style>
  <w:style w:type="paragraph" w:styleId="Heading7">
    <w:name w:val="heading 7"/>
    <w:basedOn w:val="Normal"/>
    <w:next w:val="Normal"/>
    <w:qFormat/>
    <w:pPr>
      <w:keepNext/>
      <w:tabs>
        <w:tab w:val="left" w:pos="475"/>
        <w:tab w:val="left" w:pos="965"/>
        <w:tab w:val="left" w:pos="1440"/>
        <w:tab w:val="left" w:pos="1915"/>
        <w:tab w:val="left" w:pos="2405"/>
        <w:tab w:val="left" w:pos="2880"/>
        <w:tab w:val="left" w:pos="3355"/>
      </w:tabs>
      <w:jc w:val="both"/>
      <w:outlineLvl w:val="6"/>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
    <w:name w:val="_ H __M"/>
    <w:basedOn w:val="Normal"/>
    <w:next w:val="Normal"/>
    <w:pPr>
      <w:keepNext/>
      <w:keepLines/>
      <w:suppressAutoHyphens/>
      <w:spacing w:line="360" w:lineRule="exact"/>
      <w:outlineLvl w:val="0"/>
    </w:pPr>
    <w:rPr>
      <w:b/>
      <w:spacing w:val="-3"/>
      <w:w w:val="99"/>
      <w:sz w:val="34"/>
    </w:rPr>
  </w:style>
  <w:style w:type="paragraph" w:customStyle="1" w:styleId="H1">
    <w:name w:val="_ H_1"/>
    <w:basedOn w:val="Normal"/>
    <w:next w:val="Normal"/>
    <w:pPr>
      <w:suppressAutoHyphens/>
      <w:spacing w:line="270" w:lineRule="exact"/>
      <w:outlineLvl w:val="0"/>
    </w:pPr>
    <w:rPr>
      <w:b/>
      <w:sz w:val="24"/>
    </w:rPr>
  </w:style>
  <w:style w:type="paragraph" w:customStyle="1" w:styleId="HCh">
    <w:name w:val="_ H _Ch"/>
    <w:basedOn w:val="H1"/>
    <w:next w:val="DualTxt"/>
    <w:pPr>
      <w:keepNext/>
      <w:keepLines/>
      <w:spacing w:line="300" w:lineRule="exact"/>
    </w:pPr>
    <w:rPr>
      <w:spacing w:val="-2"/>
      <w:sz w:val="28"/>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 w:val="left" w:pos="7013"/>
        <w:tab w:val="left" w:pos="7488"/>
        <w:tab w:val="left" w:pos="7978"/>
        <w:tab w:val="left" w:pos="8453"/>
      </w:tabs>
      <w:spacing w:after="120"/>
      <w:ind w:left="1267" w:right="1267"/>
      <w:jc w:val="both"/>
    </w:pPr>
  </w:style>
  <w:style w:type="paragraph" w:customStyle="1" w:styleId="H23">
    <w:name w:val="_ H_2/3"/>
    <w:basedOn w:val="H1"/>
    <w:next w:val="Normal"/>
    <w:pPr>
      <w:keepNext/>
      <w:keepLines/>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styleId="ListContinue2">
    <w:name w:val="List Continue 2"/>
    <w:basedOn w:val="Normal"/>
    <w:next w:val="Normal"/>
    <w:semiHidden/>
    <w:pPr>
      <w:numPr>
        <w:numId w:val="1"/>
      </w:numPr>
      <w:spacing w:after="120"/>
    </w:pPr>
  </w:style>
  <w:style w:type="paragraph" w:styleId="ListNumber">
    <w:name w:val="List Number"/>
    <w:basedOn w:val="H1"/>
    <w:next w:val="Normal"/>
    <w:semiHidden/>
    <w:pPr>
      <w:numPr>
        <w:numId w:val="3"/>
      </w:numPr>
      <w:tabs>
        <w:tab w:val="clear" w:pos="360"/>
        <w:tab w:val="num" w:pos="792"/>
      </w:tabs>
      <w:ind w:left="792" w:hanging="317"/>
    </w:pPr>
  </w:style>
  <w:style w:type="paragraph" w:styleId="ListNumber2">
    <w:name w:val="List Number 2"/>
    <w:basedOn w:val="H23"/>
    <w:next w:val="Normal"/>
    <w:semiHidden/>
    <w:pPr>
      <w:numPr>
        <w:numId w:val="5"/>
      </w:numPr>
      <w:tabs>
        <w:tab w:val="clear" w:pos="643"/>
        <w:tab w:val="num" w:pos="792"/>
      </w:tabs>
      <w:ind w:left="792" w:hanging="317"/>
    </w:pPr>
  </w:style>
  <w:style w:type="paragraph" w:styleId="ListNumber3">
    <w:name w:val="List Number 3"/>
    <w:basedOn w:val="H23"/>
    <w:next w:val="Normal"/>
    <w:semiHidden/>
    <w:pPr>
      <w:numPr>
        <w:numId w:val="7"/>
      </w:numPr>
      <w:tabs>
        <w:tab w:val="clear" w:pos="926"/>
        <w:tab w:val="num" w:pos="792"/>
      </w:tabs>
      <w:ind w:left="792" w:hanging="317"/>
    </w:pPr>
  </w:style>
  <w:style w:type="paragraph" w:styleId="ListNumber4">
    <w:name w:val="List Number 4"/>
    <w:basedOn w:val="H4"/>
    <w:next w:val="Normal"/>
    <w:semiHidden/>
    <w:pPr>
      <w:numPr>
        <w:numId w:val="9"/>
      </w:numPr>
      <w:tabs>
        <w:tab w:val="clear" w:pos="1209"/>
        <w:tab w:val="num" w:pos="792"/>
      </w:tabs>
      <w:ind w:left="792" w:hanging="317"/>
    </w:pPr>
  </w:style>
  <w:style w:type="paragraph" w:styleId="ListNumber5">
    <w:name w:val="List Number 5"/>
    <w:basedOn w:val="Normal"/>
    <w:next w:val="Normal"/>
    <w:semiHidden/>
    <w:pPr>
      <w:numPr>
        <w:numId w:val="11"/>
      </w:numPr>
      <w:tabs>
        <w:tab w:val="clear" w:pos="1492"/>
        <w:tab w:val="num" w:pos="792"/>
      </w:tabs>
      <w:ind w:left="792" w:hanging="317"/>
    </w:p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ListBullet">
    <w:name w:val="List Bullet"/>
    <w:basedOn w:val="Normal"/>
    <w:autoRedefine/>
    <w:semiHidden/>
    <w:pPr>
      <w:numPr>
        <w:numId w:val="16"/>
      </w:numPr>
      <w:spacing w:line="480" w:lineRule="auto"/>
      <w:jc w:val="both"/>
    </w:pPr>
    <w:rPr>
      <w:spacing w:val="0"/>
      <w:w w:val="100"/>
      <w:kern w:val="0"/>
      <w:sz w:val="28"/>
      <w:lang w:val="en-US"/>
    </w:rPr>
  </w:style>
  <w:style w:type="paragraph" w:styleId="DocumentMap">
    <w:name w:val="Document Map"/>
    <w:basedOn w:val="Normal"/>
    <w:semiHidden/>
    <w:pPr>
      <w:shd w:val="clear" w:color="auto" w:fill="000080"/>
    </w:pPr>
    <w:rPr>
      <w:rFonts w:ascii="Tahoma" w:hAnsi="Tahoma"/>
    </w:rPr>
  </w:style>
  <w:style w:type="paragraph" w:styleId="BodyText">
    <w:name w:val="Body Text"/>
    <w:basedOn w:val="Normal"/>
    <w:semiHidden/>
    <w:pPr>
      <w:keepNext/>
      <w:spacing w:line="360" w:lineRule="auto"/>
    </w:pPr>
    <w:rPr>
      <w:b/>
      <w:spacing w:val="0"/>
      <w:w w:val="100"/>
      <w:kern w:val="0"/>
      <w:sz w:val="28"/>
    </w:rPr>
  </w:style>
  <w:style w:type="paragraph" w:styleId="BodyText2">
    <w:name w:val="Body Text 2"/>
    <w:basedOn w:val="Normal"/>
    <w:semiHidden/>
    <w:pPr>
      <w:spacing w:line="240" w:lineRule="auto"/>
      <w:ind w:firstLine="720"/>
    </w:pPr>
    <w:rPr>
      <w:spacing w:val="0"/>
      <w:w w:val="100"/>
      <w:kern w:val="0"/>
      <w:sz w:val="28"/>
    </w:rPr>
  </w:style>
  <w:style w:type="paragraph" w:styleId="BodyTextIndent2">
    <w:name w:val="Body Text Indent 2"/>
    <w:basedOn w:val="Normal"/>
    <w:semiHidden/>
    <w:pPr>
      <w:spacing w:line="240" w:lineRule="auto"/>
      <w:ind w:firstLine="720"/>
    </w:pPr>
    <w:rPr>
      <w:b/>
      <w:i/>
      <w:spacing w:val="0"/>
      <w:w w:val="100"/>
      <w:kern w:val="0"/>
      <w:sz w:val="28"/>
    </w:rPr>
  </w:style>
  <w:style w:type="paragraph" w:styleId="BodyTextIndent3">
    <w:name w:val="Body Text Indent 3"/>
    <w:basedOn w:val="Normal"/>
    <w:semiHidden/>
    <w:pPr>
      <w:spacing w:line="240" w:lineRule="auto"/>
      <w:ind w:firstLine="720"/>
      <w:jc w:val="center"/>
    </w:pPr>
    <w:rPr>
      <w:b/>
      <w:spacing w:val="0"/>
      <w:w w:val="100"/>
      <w:kern w:val="0"/>
      <w:sz w:val="28"/>
    </w:rPr>
  </w:style>
  <w:style w:type="paragraph" w:styleId="BodyText3">
    <w:name w:val="Body Text 3"/>
    <w:basedOn w:val="Normal"/>
    <w:semiHidden/>
    <w:pPr>
      <w:spacing w:line="480" w:lineRule="auto"/>
    </w:pPr>
    <w:rPr>
      <w:b/>
      <w:i/>
      <w:spacing w:val="0"/>
      <w:w w:val="100"/>
      <w:kern w:val="0"/>
      <w:sz w:val="28"/>
    </w:rPr>
  </w:style>
  <w:style w:type="paragraph" w:styleId="BodyTextIndent">
    <w:name w:val="Body Text Indent"/>
    <w:basedOn w:val="Normal"/>
    <w:semiHidden/>
    <w:pPr>
      <w:tabs>
        <w:tab w:val="left" w:pos="475"/>
        <w:tab w:val="left" w:pos="965"/>
        <w:tab w:val="left" w:pos="1440"/>
        <w:tab w:val="left" w:pos="1915"/>
        <w:tab w:val="left" w:pos="2405"/>
        <w:tab w:val="left" w:pos="2880"/>
        <w:tab w:val="left" w:pos="3355"/>
      </w:tabs>
      <w:spacing w:after="120"/>
      <w:ind w:left="1015" w:hanging="540"/>
      <w:jc w:val="both"/>
    </w:pPr>
    <w:rPr>
      <w:b/>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17710</Words>
  <Characters>116890</Characters>
  <Application>Microsoft Office Word</Application>
  <DocSecurity>4</DocSecurity>
  <Lines>3770</Lines>
  <Paragraphs>570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139913</CharactersWithSpaces>
  <SharedDoc>false</SharedDoc>
  <HLinks>
    <vt:vector size="6" baseType="variant">
      <vt:variant>
        <vt:i4>4522087</vt:i4>
      </vt:variant>
      <vt:variant>
        <vt:i4>276868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7</cp:revision>
  <cp:lastPrinted>2001-03-24T14:10:00Z</cp:lastPrinted>
  <dcterms:created xsi:type="dcterms:W3CDTF">2001-03-24T14:12:00Z</dcterms:created>
  <dcterms:modified xsi:type="dcterms:W3CDTF">2001-03-24T14:24:00Z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0080207R</vt:lpwstr>
  </property>
  <property fmtid="{D5CDD505-2E9C-101B-9397-08002B2CF9AE}" pid="5" name="Symbol1">
    <vt:lpwstr>CEDAW/C/SWE/5</vt:lpwstr>
  </property>
  <property fmtid="{D5CDD505-2E9C-101B-9397-08002B2CF9AE}" pid="6" name="Comment">
    <vt:lpwstr/>
  </property>
  <property fmtid="{D5CDD505-2E9C-101B-9397-08002B2CF9AE}" pid="7" name="DraftPages">
    <vt:lpwstr> 38</vt:lpwstr>
  </property>
  <property fmtid="{D5CDD505-2E9C-101B-9397-08002B2CF9AE}" pid="8" name="Operator">
    <vt:lpwstr>Паничкина</vt:lpwstr>
  </property>
</Properties>
</file>