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DB7BA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B7BA3" w:rsidP="00DB7BA3">
            <w:pPr>
              <w:jc w:val="right"/>
            </w:pPr>
            <w:r w:rsidRPr="00DB7BA3">
              <w:rPr>
                <w:sz w:val="40"/>
              </w:rPr>
              <w:t>E</w:t>
            </w:r>
            <w:r>
              <w:t>/C.12/2011/SR.29</w:t>
            </w:r>
          </w:p>
        </w:tc>
      </w:tr>
      <w:tr w:rsidR="002D5AAC" w:rsidTr="00DB7BA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4B19F2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B7BA3" w:rsidRDefault="00DB7BA3" w:rsidP="003538EB">
            <w:pPr>
              <w:spacing w:before="240"/>
            </w:pPr>
            <w:r>
              <w:t>Distr. general</w:t>
            </w:r>
          </w:p>
          <w:p w:rsidR="00DB7BA3" w:rsidRDefault="00F54EF4" w:rsidP="00DB7BA3">
            <w:pPr>
              <w:spacing w:line="240" w:lineRule="exact"/>
            </w:pPr>
            <w:r>
              <w:t>17</w:t>
            </w:r>
            <w:r w:rsidR="00DB7BA3">
              <w:t xml:space="preserve"> de </w:t>
            </w:r>
            <w:r>
              <w:t>enero</w:t>
            </w:r>
            <w:r w:rsidR="00DB7BA3">
              <w:t xml:space="preserve"> de 2012</w:t>
            </w:r>
          </w:p>
          <w:p w:rsidR="00DB7BA3" w:rsidRDefault="00DB7BA3" w:rsidP="00DB7BA3">
            <w:pPr>
              <w:spacing w:line="240" w:lineRule="exact"/>
            </w:pPr>
            <w:r>
              <w:t>Español</w:t>
            </w:r>
          </w:p>
          <w:p w:rsidR="002D5AAC" w:rsidRDefault="00DB7BA3" w:rsidP="00DB7BA3">
            <w:pPr>
              <w:spacing w:line="240" w:lineRule="exact"/>
            </w:pPr>
            <w:r>
              <w:t>Original: inglés</w:t>
            </w:r>
          </w:p>
        </w:tc>
      </w:tr>
    </w:tbl>
    <w:p w:rsidR="00DB7BA3" w:rsidRPr="00ED43B3" w:rsidRDefault="00DB7BA3" w:rsidP="00DB7BA3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 w:rsidRPr="00ED43B3">
        <w:rPr>
          <w:b/>
          <w:sz w:val="24"/>
          <w:szCs w:val="24"/>
        </w:rPr>
        <w:t>omité de Derechos Económicos, Sociales y Culturales</w:t>
      </w:r>
    </w:p>
    <w:p w:rsidR="00DB7BA3" w:rsidRPr="00ED43B3" w:rsidRDefault="00DB7BA3" w:rsidP="00DB7BA3">
      <w:pPr>
        <w:spacing w:after="120"/>
        <w:rPr>
          <w:b/>
        </w:rPr>
      </w:pPr>
      <w:r w:rsidRPr="00ED43B3">
        <w:rPr>
          <w:b/>
        </w:rPr>
        <w:t>4</w:t>
      </w:r>
      <w:r>
        <w:rPr>
          <w:b/>
        </w:rPr>
        <w:t>6</w:t>
      </w:r>
      <w:r w:rsidRPr="00ED43B3">
        <w:rPr>
          <w:b/>
        </w:rPr>
        <w:t>º período de sesiones</w:t>
      </w:r>
    </w:p>
    <w:p w:rsidR="00DB7BA3" w:rsidRPr="00FC4FDD" w:rsidRDefault="00DB7BA3" w:rsidP="00DB7BA3">
      <w:r w:rsidRPr="00ED43B3">
        <w:rPr>
          <w:b/>
        </w:rPr>
        <w:t xml:space="preserve">Acta resumida </w:t>
      </w:r>
      <w:r>
        <w:rPr>
          <w:b/>
        </w:rPr>
        <w:t>(parcial)</w:t>
      </w:r>
      <w:r w:rsidR="00FC4FDD" w:rsidRPr="00FC4FDD">
        <w:rPr>
          <w:rStyle w:val="FootnoteReference"/>
          <w:sz w:val="20"/>
          <w:vertAlign w:val="baseline"/>
        </w:rPr>
        <w:footnoteReference w:customMarkFollows="1" w:id="1"/>
        <w:t>*</w:t>
      </w:r>
      <w:r>
        <w:rPr>
          <w:b/>
        </w:rPr>
        <w:t xml:space="preserve"> de la 29ª</w:t>
      </w:r>
      <w:r w:rsidRPr="00ED43B3">
        <w:rPr>
          <w:b/>
        </w:rPr>
        <w:t xml:space="preserve"> sesión</w:t>
      </w:r>
      <w:r w:rsidR="00FC4FDD" w:rsidRPr="00FC4FDD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DB7BA3" w:rsidRPr="00ED43B3" w:rsidRDefault="00DB7BA3" w:rsidP="00DB7BA3">
      <w:r w:rsidRPr="00ED43B3">
        <w:t xml:space="preserve">Celebrada en el Palais Wilson, Ginebra, el </w:t>
      </w:r>
      <w:r>
        <w:t>viernes</w:t>
      </w:r>
      <w:r w:rsidRPr="00ED43B3">
        <w:t xml:space="preserve"> </w:t>
      </w:r>
      <w:r>
        <w:t>20</w:t>
      </w:r>
      <w:r w:rsidRPr="00ED43B3">
        <w:t xml:space="preserve"> de mayo de 2010, a las 10.00 horas</w:t>
      </w:r>
    </w:p>
    <w:p w:rsidR="00DB7BA3" w:rsidRPr="00ED43B3" w:rsidRDefault="00DB7BA3" w:rsidP="00DB7BA3">
      <w:pPr>
        <w:tabs>
          <w:tab w:val="right" w:pos="992"/>
          <w:tab w:val="left" w:pos="1134"/>
          <w:tab w:val="right" w:leader="dot" w:pos="8505"/>
        </w:tabs>
        <w:spacing w:before="120"/>
      </w:pPr>
      <w:r>
        <w:rPr>
          <w:i/>
        </w:rPr>
        <w:tab/>
      </w:r>
      <w:r w:rsidRPr="00ED43B3">
        <w:rPr>
          <w:i/>
        </w:rPr>
        <w:t>Presidente</w:t>
      </w:r>
      <w:r w:rsidRPr="00195B40">
        <w:rPr>
          <w:i/>
        </w:rPr>
        <w:t>:</w:t>
      </w:r>
      <w:r w:rsidRPr="00195B40">
        <w:rPr>
          <w:i/>
        </w:rPr>
        <w:tab/>
      </w:r>
      <w:r w:rsidRPr="00ED43B3">
        <w:t xml:space="preserve">Sr. </w:t>
      </w:r>
      <w:r>
        <w:t>Pillay</w:t>
      </w:r>
    </w:p>
    <w:p w:rsidR="00DB7BA3" w:rsidRPr="00ED43B3" w:rsidRDefault="00DB7BA3" w:rsidP="00DB7BA3">
      <w:pPr>
        <w:pStyle w:val="HChG"/>
      </w:pPr>
      <w:r w:rsidRPr="00ED43B3">
        <w:rPr>
          <w:b w:val="0"/>
        </w:rPr>
        <w:t>Sumario</w:t>
      </w:r>
    </w:p>
    <w:p w:rsidR="00DB7BA3" w:rsidRDefault="00DB7BA3" w:rsidP="00DB7BA3">
      <w:pPr>
        <w:pStyle w:val="SingleTxtG"/>
        <w:jc w:val="left"/>
      </w:pPr>
      <w:r>
        <w:t>Examen de los informes</w:t>
      </w:r>
    </w:p>
    <w:p w:rsidR="00DB7BA3" w:rsidRPr="002F39A4" w:rsidRDefault="00DB7BA3" w:rsidP="00F54EF4">
      <w:pPr>
        <w:pStyle w:val="SingleTxtG"/>
        <w:ind w:left="1700" w:hanging="538"/>
        <w:jc w:val="left"/>
        <w:rPr>
          <w:i/>
        </w:rPr>
      </w:pPr>
      <w:r>
        <w:t>a)</w:t>
      </w:r>
      <w:r>
        <w:tab/>
        <w:t xml:space="preserve">Informes presentados por los Estados partes de conformidad con los </w:t>
      </w:r>
      <w:r>
        <w:tab/>
        <w:t>artículos 16</w:t>
      </w:r>
      <w:r w:rsidR="00F54EF4">
        <w:br/>
      </w:r>
      <w:r>
        <w:t xml:space="preserve">y 17 del Pacto </w:t>
      </w:r>
      <w:r>
        <w:rPr>
          <w:i/>
        </w:rPr>
        <w:t>(continuación)</w:t>
      </w:r>
    </w:p>
    <w:p w:rsidR="00DB7BA3" w:rsidRPr="002F39A4" w:rsidRDefault="00DB7BA3" w:rsidP="00DB7BA3">
      <w:pPr>
        <w:pStyle w:val="SingleTxtG"/>
        <w:jc w:val="left"/>
        <w:rPr>
          <w:i/>
        </w:rPr>
      </w:pPr>
      <w:r>
        <w:t xml:space="preserve">Cuestiones sustantivas que se plantean en la aplicación del Pacto Internacional de Derechos Económicos, Sociales y Culturales </w:t>
      </w:r>
      <w:r>
        <w:rPr>
          <w:i/>
        </w:rPr>
        <w:t>(continuación)</w:t>
      </w:r>
    </w:p>
    <w:p w:rsidR="00DB7BA3" w:rsidRPr="00ED43B3" w:rsidRDefault="00DB7BA3" w:rsidP="00DB7BA3">
      <w:pPr>
        <w:pStyle w:val="SingleTxtG"/>
        <w:jc w:val="left"/>
      </w:pPr>
      <w:r>
        <w:t>Clausura del período de sesiones</w:t>
      </w:r>
    </w:p>
    <w:p w:rsidR="00DB7BA3" w:rsidRPr="00ED43B3" w:rsidRDefault="00DB7BA3" w:rsidP="00DB7BA3">
      <w:pPr>
        <w:pStyle w:val="SingleTxtG"/>
        <w:rPr>
          <w:i/>
        </w:rPr>
      </w:pPr>
      <w:r>
        <w:br w:type="page"/>
      </w:r>
      <w:r w:rsidR="00DC6EE5">
        <w:rPr>
          <w:i/>
        </w:rPr>
        <w:t>El debate abarcado por el acta da comienzo</w:t>
      </w:r>
      <w:r w:rsidRPr="00ED43B3">
        <w:rPr>
          <w:i/>
        </w:rPr>
        <w:t xml:space="preserve"> a las 1</w:t>
      </w:r>
      <w:r w:rsidR="00DC6EE5">
        <w:rPr>
          <w:i/>
        </w:rPr>
        <w:t>2</w:t>
      </w:r>
      <w:r w:rsidRPr="00ED43B3">
        <w:rPr>
          <w:i/>
        </w:rPr>
        <w:t>.</w:t>
      </w:r>
      <w:r w:rsidR="00DC6EE5">
        <w:rPr>
          <w:i/>
        </w:rPr>
        <w:t>5</w:t>
      </w:r>
      <w:r w:rsidRPr="00ED43B3">
        <w:rPr>
          <w:i/>
        </w:rPr>
        <w:t>5 horas.</w:t>
      </w:r>
    </w:p>
    <w:p w:rsidR="00DB7BA3" w:rsidRDefault="00DB7BA3" w:rsidP="00DB7BA3">
      <w:pPr>
        <w:pStyle w:val="H23G"/>
      </w:pPr>
      <w:r>
        <w:tab/>
      </w:r>
      <w:r>
        <w:tab/>
      </w:r>
      <w:r w:rsidR="00DC6EE5">
        <w:t>Examen de los informes</w:t>
      </w:r>
    </w:p>
    <w:p w:rsidR="00DC6EE5" w:rsidRPr="00DC6EE5" w:rsidRDefault="004F3DF6" w:rsidP="00A0162B">
      <w:pPr>
        <w:pStyle w:val="H23G"/>
        <w:ind w:hanging="567"/>
      </w:pPr>
      <w:r>
        <w:tab/>
      </w:r>
      <w:r>
        <w:tab/>
      </w:r>
      <w:r w:rsidRPr="004F3DF6">
        <w:t>a)</w:t>
      </w:r>
      <w:r>
        <w:tab/>
      </w:r>
      <w:r w:rsidRPr="004F3DF6">
        <w:t xml:space="preserve">Informes presentados por los Estados Partes de conformidad </w:t>
      </w:r>
      <w:r>
        <w:br/>
      </w:r>
      <w:r>
        <w:tab/>
      </w:r>
      <w:r w:rsidRPr="004F3DF6">
        <w:t xml:space="preserve">con los artículos 16 y 17 del Pacto </w:t>
      </w:r>
      <w:r w:rsidRPr="004F3DF6">
        <w:rPr>
          <w:b w:val="0"/>
          <w:i/>
        </w:rPr>
        <w:t>(continuación)</w:t>
      </w:r>
      <w:r w:rsidRPr="004F3DF6">
        <w:rPr>
          <w:b w:val="0"/>
        </w:rPr>
        <w:t xml:space="preserve"> (E/C.12/D</w:t>
      </w:r>
      <w:r w:rsidR="00A0162B">
        <w:rPr>
          <w:b w:val="0"/>
        </w:rPr>
        <w:t xml:space="preserve">EU/CO/5; </w:t>
      </w:r>
      <w:r w:rsidR="00A0162B">
        <w:rPr>
          <w:b w:val="0"/>
        </w:rPr>
        <w:tab/>
        <w:t>E/C.12/MDA/CO/2, E/C.</w:t>
      </w:r>
      <w:r w:rsidRPr="004F3DF6">
        <w:rPr>
          <w:b w:val="0"/>
        </w:rPr>
        <w:t>12/RUS/CO/5;</w:t>
      </w:r>
      <w:r w:rsidR="00A0162B">
        <w:rPr>
          <w:b w:val="0"/>
        </w:rPr>
        <w:t xml:space="preserve"> </w:t>
      </w:r>
      <w:r w:rsidRPr="004F3DF6">
        <w:rPr>
          <w:b w:val="0"/>
        </w:rPr>
        <w:t>E/C.12/TUR/CO/1; E/C.12/YEM/CO/2)</w:t>
      </w:r>
    </w:p>
    <w:p w:rsidR="004F3DF6" w:rsidRPr="004F3DF6" w:rsidRDefault="004F3DF6" w:rsidP="004F3DF6">
      <w:pPr>
        <w:pStyle w:val="SingleTxtG"/>
      </w:pPr>
      <w:r w:rsidRPr="004F3DF6">
        <w:t>1.</w:t>
      </w:r>
      <w:r>
        <w:tab/>
      </w:r>
      <w:r w:rsidRPr="00A0162B">
        <w:rPr>
          <w:b/>
        </w:rPr>
        <w:t>El</w:t>
      </w:r>
      <w:r w:rsidRPr="004F3DF6">
        <w:t xml:space="preserve"> </w:t>
      </w:r>
      <w:r w:rsidRPr="004F3DF6">
        <w:rPr>
          <w:b/>
        </w:rPr>
        <w:t>Presidente</w:t>
      </w:r>
      <w:r w:rsidRPr="004F3DF6">
        <w:t xml:space="preserve"> </w:t>
      </w:r>
      <w:r>
        <w:t>entiende</w:t>
      </w:r>
      <w:r w:rsidRPr="004F3DF6">
        <w:t xml:space="preserve"> que el Comité desea aprobar las observaciones finales sobre los informes de Alemania, la República de Moldova, la Federación de Rusia, Turquía y el Yemen</w:t>
      </w:r>
      <w:r>
        <w:t>,</w:t>
      </w:r>
      <w:r w:rsidRPr="004F3DF6">
        <w:t xml:space="preserve"> que ha examinado en el actual período de sesiones.</w:t>
      </w:r>
    </w:p>
    <w:p w:rsidR="004F3DF6" w:rsidRPr="004F3DF6" w:rsidRDefault="004F3DF6" w:rsidP="004F3DF6">
      <w:pPr>
        <w:pStyle w:val="SingleTxtG"/>
        <w:rPr>
          <w:i/>
        </w:rPr>
      </w:pPr>
      <w:r w:rsidRPr="00A0162B">
        <w:t>2.</w:t>
      </w:r>
      <w:r w:rsidRPr="004F3DF6">
        <w:rPr>
          <w:i/>
        </w:rPr>
        <w:tab/>
        <w:t>Así queda acordado.</w:t>
      </w:r>
    </w:p>
    <w:p w:rsidR="004F3DF6" w:rsidRPr="004F3DF6" w:rsidRDefault="004F3DF6" w:rsidP="004F3DF6">
      <w:pPr>
        <w:pStyle w:val="SingleTxtG"/>
      </w:pPr>
      <w:r w:rsidRPr="004F3DF6">
        <w:t>3.</w:t>
      </w:r>
      <w:r>
        <w:tab/>
      </w:r>
      <w:r w:rsidRPr="00A0162B">
        <w:rPr>
          <w:b/>
        </w:rPr>
        <w:t xml:space="preserve">El </w:t>
      </w:r>
      <w:r w:rsidRPr="004F3DF6">
        <w:rPr>
          <w:b/>
        </w:rPr>
        <w:t>Presidente</w:t>
      </w:r>
      <w:r w:rsidRPr="004F3DF6">
        <w:t xml:space="preserve"> dice que las observaciones finales que se acaban de aprobar se comunicarán a los Estados partes interesados y serán p</w:t>
      </w:r>
      <w:r>
        <w:t>u</w:t>
      </w:r>
      <w:r w:rsidRPr="004F3DF6">
        <w:t>blica</w:t>
      </w:r>
      <w:r>
        <w:t>da</w:t>
      </w:r>
      <w:r w:rsidRPr="004F3DF6">
        <w:t>s.</w:t>
      </w:r>
    </w:p>
    <w:p w:rsidR="004F3DF6" w:rsidRPr="004F3DF6" w:rsidRDefault="004F3DF6" w:rsidP="004F3DF6">
      <w:pPr>
        <w:pStyle w:val="H23G"/>
      </w:pPr>
      <w:r>
        <w:tab/>
      </w:r>
      <w:r>
        <w:tab/>
      </w:r>
      <w:r w:rsidRPr="004F3DF6">
        <w:t xml:space="preserve">Cuestiones sustantivas que se plantean en la aplicación del Pacto Internacional </w:t>
      </w:r>
      <w:r>
        <w:br/>
      </w:r>
      <w:r w:rsidRPr="004F3DF6">
        <w:t xml:space="preserve">de Derechos Económicos, Sociales y Culturales </w:t>
      </w:r>
      <w:r w:rsidRPr="004F3DF6">
        <w:rPr>
          <w:b w:val="0"/>
          <w:i/>
        </w:rPr>
        <w:t>(continuación)</w:t>
      </w:r>
    </w:p>
    <w:p w:rsidR="004F3DF6" w:rsidRPr="004F3DF6" w:rsidRDefault="004F3DF6" w:rsidP="004F3DF6">
      <w:pPr>
        <w:pStyle w:val="SingleTxtG"/>
      </w:pPr>
      <w:r w:rsidRPr="004F3DF6">
        <w:t>4.</w:t>
      </w:r>
      <w:r w:rsidR="00E307B0">
        <w:tab/>
      </w:r>
      <w:r w:rsidRPr="00A0162B">
        <w:rPr>
          <w:b/>
        </w:rPr>
        <w:t>El</w:t>
      </w:r>
      <w:r w:rsidRPr="004F3DF6">
        <w:t xml:space="preserve"> </w:t>
      </w:r>
      <w:r w:rsidRPr="004F3DF6">
        <w:rPr>
          <w:b/>
        </w:rPr>
        <w:t>Presidente</w:t>
      </w:r>
      <w:r w:rsidRPr="004F3DF6">
        <w:t xml:space="preserve"> señala a la atención </w:t>
      </w:r>
      <w:r w:rsidR="00E307B0">
        <w:t xml:space="preserve">de los presentes </w:t>
      </w:r>
      <w:r w:rsidRPr="004F3DF6">
        <w:t xml:space="preserve">las cuestiones sustantivas </w:t>
      </w:r>
      <w:r w:rsidR="00E307B0">
        <w:t>examinadas</w:t>
      </w:r>
      <w:r w:rsidRPr="004F3DF6">
        <w:t xml:space="preserve"> por el Comité en el actual período de sesiones. El Comité ha examinado y aprobado una declaración sobre la importancia y relevancia del derecho al desarrollo</w:t>
      </w:r>
      <w:r w:rsidR="00E307B0">
        <w:t>,</w:t>
      </w:r>
      <w:r w:rsidRPr="004F3DF6">
        <w:t xml:space="preserve"> con motivo del vigésimo quinto aniversario de la </w:t>
      </w:r>
      <w:bookmarkStart w:id="0" w:name="hit7"/>
      <w:bookmarkEnd w:id="0"/>
      <w:r w:rsidRPr="00E307B0">
        <w:rPr>
          <w:bCs/>
          <w:lang w:val="es-ES_tradnl"/>
        </w:rPr>
        <w:t xml:space="preserve">Declaración </w:t>
      </w:r>
      <w:bookmarkStart w:id="1" w:name="hit8"/>
      <w:bookmarkEnd w:id="1"/>
      <w:r w:rsidRPr="00E307B0">
        <w:rPr>
          <w:bCs/>
          <w:lang w:val="es-ES_tradnl"/>
        </w:rPr>
        <w:t xml:space="preserve">sobre </w:t>
      </w:r>
      <w:bookmarkStart w:id="2" w:name="hit9"/>
      <w:bookmarkEnd w:id="2"/>
      <w:r w:rsidRPr="00E307B0">
        <w:rPr>
          <w:bCs/>
          <w:lang w:val="es-ES_tradnl"/>
        </w:rPr>
        <w:t xml:space="preserve">el </w:t>
      </w:r>
      <w:bookmarkStart w:id="3" w:name="hit10"/>
      <w:bookmarkEnd w:id="3"/>
      <w:r w:rsidRPr="00E307B0">
        <w:rPr>
          <w:bCs/>
          <w:lang w:val="es-ES_tradnl"/>
        </w:rPr>
        <w:t xml:space="preserve">derecho </w:t>
      </w:r>
      <w:bookmarkStart w:id="4" w:name="hit11"/>
      <w:bookmarkEnd w:id="4"/>
      <w:r w:rsidRPr="00E307B0">
        <w:rPr>
          <w:bCs/>
          <w:lang w:val="es-ES_tradnl"/>
        </w:rPr>
        <w:t xml:space="preserve">al </w:t>
      </w:r>
      <w:bookmarkStart w:id="5" w:name="hit12"/>
      <w:bookmarkEnd w:id="5"/>
      <w:r w:rsidRPr="00E307B0">
        <w:rPr>
          <w:bCs/>
          <w:lang w:val="es-ES_tradnl"/>
        </w:rPr>
        <w:t>desarrollo</w:t>
      </w:r>
      <w:r w:rsidR="00E307B0" w:rsidRPr="00E307B0">
        <w:rPr>
          <w:bCs/>
          <w:lang w:val="es-ES_tradnl"/>
        </w:rPr>
        <w:t>,</w:t>
      </w:r>
      <w:r w:rsidRPr="00E307B0">
        <w:rPr>
          <w:bCs/>
          <w:lang w:val="es-ES_tradnl"/>
        </w:rPr>
        <w:t xml:space="preserve"> </w:t>
      </w:r>
      <w:r w:rsidRPr="004F3DF6">
        <w:t>y una declaración sobre las obligaciones de los Estados partes en lo que respecta al sector empresarial y los derechos económicos, sociales y culturales.</w:t>
      </w:r>
    </w:p>
    <w:p w:rsidR="004F3DF6" w:rsidRPr="004F3DF6" w:rsidRDefault="00E307B0" w:rsidP="004F3DF6">
      <w:pPr>
        <w:pStyle w:val="H23G"/>
      </w:pPr>
      <w:r>
        <w:tab/>
      </w:r>
      <w:r>
        <w:tab/>
      </w:r>
      <w:r w:rsidR="004F3DF6" w:rsidRPr="004F3DF6">
        <w:t>Clausura del período de sesiones</w:t>
      </w:r>
    </w:p>
    <w:p w:rsidR="004F3DF6" w:rsidRPr="004F3DF6" w:rsidRDefault="004F3DF6" w:rsidP="004F3DF6">
      <w:pPr>
        <w:pStyle w:val="SingleTxtG"/>
      </w:pPr>
      <w:r w:rsidRPr="004F3DF6">
        <w:t>5.</w:t>
      </w:r>
      <w:r w:rsidR="00E307B0">
        <w:tab/>
      </w:r>
      <w:r w:rsidRPr="004F3DF6">
        <w:t xml:space="preserve">Tras el habitual </w:t>
      </w:r>
      <w:bookmarkStart w:id="6" w:name="hit1"/>
      <w:bookmarkEnd w:id="6"/>
      <w:r w:rsidRPr="004F3DF6">
        <w:t xml:space="preserve">intercambio </w:t>
      </w:r>
      <w:bookmarkStart w:id="7" w:name="hit2"/>
      <w:bookmarkEnd w:id="7"/>
      <w:r w:rsidRPr="004F3DF6">
        <w:t xml:space="preserve">de </w:t>
      </w:r>
      <w:bookmarkStart w:id="8" w:name="hit_last"/>
      <w:bookmarkEnd w:id="8"/>
      <w:r w:rsidRPr="004F3DF6">
        <w:t xml:space="preserve">cortesías, </w:t>
      </w:r>
      <w:r w:rsidRPr="00A0162B">
        <w:rPr>
          <w:b/>
        </w:rPr>
        <w:t xml:space="preserve">el </w:t>
      </w:r>
      <w:r w:rsidRPr="004F3DF6">
        <w:rPr>
          <w:b/>
        </w:rPr>
        <w:t xml:space="preserve">Presidente </w:t>
      </w:r>
      <w:r w:rsidRPr="004F3DF6">
        <w:t xml:space="preserve">declara clausurado el 46º período de sesiones del Comité de Derechos Económicos, Sociales y Culturales. </w:t>
      </w:r>
    </w:p>
    <w:p w:rsidR="004F3DF6" w:rsidRPr="00E307B0" w:rsidRDefault="004F3DF6" w:rsidP="00E307B0">
      <w:pPr>
        <w:pStyle w:val="SingleTxtG"/>
        <w:rPr>
          <w:i/>
        </w:rPr>
      </w:pPr>
      <w:r w:rsidRPr="00E307B0">
        <w:rPr>
          <w:i/>
        </w:rPr>
        <w:t>Se levanta la sesión a las 13.00 horas</w:t>
      </w:r>
      <w:r w:rsidR="00E74D25">
        <w:rPr>
          <w:i/>
        </w:rPr>
        <w:t>.</w:t>
      </w:r>
    </w:p>
    <w:p w:rsidR="004F3DF6" w:rsidRPr="001075E9" w:rsidRDefault="004F3DF6" w:rsidP="001075E9"/>
    <w:sectPr w:rsidR="004F3DF6" w:rsidRPr="001075E9" w:rsidSect="00DB7BA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687" w:rsidRDefault="00A22687">
      <w:r>
        <w:separator/>
      </w:r>
    </w:p>
  </w:endnote>
  <w:endnote w:type="continuationSeparator" w:id="0">
    <w:p w:rsidR="00A22687" w:rsidRDefault="00A22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BA3" w:rsidRPr="00DB7BA3" w:rsidRDefault="00DB7BA3" w:rsidP="00DB7BA3">
    <w:pPr>
      <w:pStyle w:val="Footer"/>
      <w:tabs>
        <w:tab w:val="right" w:pos="9638"/>
      </w:tabs>
    </w:pPr>
    <w:r w:rsidRPr="00DB7BA3">
      <w:rPr>
        <w:b/>
        <w:sz w:val="18"/>
      </w:rPr>
      <w:fldChar w:fldCharType="begin"/>
    </w:r>
    <w:r w:rsidRPr="00DB7BA3">
      <w:rPr>
        <w:b/>
        <w:sz w:val="18"/>
      </w:rPr>
      <w:instrText xml:space="preserve"> PAGE  \* MERGEFORMAT </w:instrText>
    </w:r>
    <w:r w:rsidRPr="00DB7BA3">
      <w:rPr>
        <w:b/>
        <w:sz w:val="18"/>
      </w:rPr>
      <w:fldChar w:fldCharType="separate"/>
    </w:r>
    <w:r w:rsidR="00A624E1">
      <w:rPr>
        <w:b/>
        <w:noProof/>
        <w:sz w:val="18"/>
      </w:rPr>
      <w:t>2</w:t>
    </w:r>
    <w:r w:rsidRPr="00DB7BA3">
      <w:rPr>
        <w:b/>
        <w:sz w:val="18"/>
      </w:rPr>
      <w:fldChar w:fldCharType="end"/>
    </w:r>
    <w:r>
      <w:rPr>
        <w:b/>
        <w:sz w:val="18"/>
      </w:rPr>
      <w:tab/>
    </w:r>
    <w:r>
      <w:t>GE.11-43129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BA3" w:rsidRPr="00DB7BA3" w:rsidRDefault="00DB7BA3" w:rsidP="00DB7BA3">
    <w:pPr>
      <w:pStyle w:val="Footer"/>
      <w:tabs>
        <w:tab w:val="right" w:pos="9638"/>
      </w:tabs>
      <w:rPr>
        <w:b/>
        <w:sz w:val="18"/>
      </w:rPr>
    </w:pPr>
    <w:r>
      <w:t>GE.11-43129</w:t>
    </w:r>
    <w:r>
      <w:tab/>
    </w:r>
    <w:r w:rsidRPr="00DB7BA3">
      <w:rPr>
        <w:b/>
        <w:sz w:val="18"/>
      </w:rPr>
      <w:fldChar w:fldCharType="begin"/>
    </w:r>
    <w:r w:rsidRPr="00DB7BA3">
      <w:rPr>
        <w:b/>
        <w:sz w:val="18"/>
      </w:rPr>
      <w:instrText xml:space="preserve"> PAGE  \* MERGEFORMAT </w:instrText>
    </w:r>
    <w:r w:rsidRPr="00DB7BA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DB7BA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332" w:rsidRDefault="006B6332" w:rsidP="006B6332">
    <w:pPr>
      <w:pBdr>
        <w:bottom w:val="single" w:sz="4" w:space="1" w:color="auto"/>
      </w:pBdr>
    </w:pPr>
  </w:p>
  <w:p w:rsidR="006B6332" w:rsidRDefault="006B6332" w:rsidP="006B6332">
    <w:pPr>
      <w:pStyle w:val="FootnoteText"/>
      <w:spacing w:after="120"/>
      <w:rPr>
        <w:lang w:val="es-ES_tradnl"/>
      </w:rPr>
    </w:pPr>
    <w:r>
      <w:tab/>
    </w:r>
    <w:r>
      <w:tab/>
    </w:r>
    <w:r>
      <w:rPr>
        <w:lang w:val="es-ES_tradnl"/>
      </w:rPr>
      <w:t>La presente acta podrá ser objeto de correcciones.</w:t>
    </w:r>
  </w:p>
  <w:p w:rsidR="006B6332" w:rsidRDefault="006B6332" w:rsidP="006B6332">
    <w:pPr>
      <w:pStyle w:val="FootnoteText"/>
      <w:spacing w:after="120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  <w:t xml:space="preserve">Las correcciones deberán redactarse en uno de los idiomas de trabajo. Deberán presentarse en forma de memorando, incorporarse en un ejemplar del acta y enviarse, </w:t>
    </w:r>
    <w:r>
      <w:rPr>
        <w:bCs/>
        <w:i/>
        <w:lang w:val="es-ES_tradnl"/>
      </w:rPr>
      <w:t>dentro del plazo de una semana a partir de la fecha del presente documento</w:t>
    </w:r>
    <w:r>
      <w:rPr>
        <w:lang w:val="es-ES_tradnl"/>
      </w:rPr>
      <w:t>, a la Dependencia de Edición, oficina E.4108, Palacio de las Naciones, Ginebra.</w:t>
    </w:r>
  </w:p>
  <w:p w:rsidR="006B6332" w:rsidRDefault="006B6332" w:rsidP="006B6332">
    <w:pPr>
      <w:pStyle w:val="FootnoteText"/>
      <w:spacing w:after="600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  <w:t>Las correcciones que se introduzcan en las actas de las sesiones públicas del Comité se reunirán en un documento único que se publicará poco después del período de sesiones.</w:t>
    </w:r>
  </w:p>
  <w:p w:rsidR="00F87EC8" w:rsidRPr="00DB7BA3" w:rsidRDefault="00DB7BA3">
    <w:pPr>
      <w:pStyle w:val="Footer"/>
      <w:rPr>
        <w:sz w:val="20"/>
      </w:rPr>
    </w:pPr>
    <w:r>
      <w:rPr>
        <w:sz w:val="20"/>
      </w:rPr>
      <w:t>GE.</w:t>
    </w:r>
    <w:r w:rsidR="00F87EC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11-43129  (S)</w:t>
    </w:r>
    <w:r w:rsidR="00A0162B">
      <w:rPr>
        <w:sz w:val="20"/>
      </w:rPr>
      <w:t xml:space="preserve">  241111    17</w:t>
    </w:r>
    <w:r w:rsidR="006B6332">
      <w:rPr>
        <w:sz w:val="20"/>
      </w:rPr>
      <w:t>0112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687" w:rsidRPr="001075E9" w:rsidRDefault="00A2268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22687" w:rsidRDefault="00A22687">
      <w:r>
        <w:continuationSeparator/>
      </w:r>
    </w:p>
  </w:footnote>
  <w:footnote w:id="1">
    <w:p w:rsidR="00FC4FDD" w:rsidRPr="00FC4FDD" w:rsidRDefault="00FC4FDD">
      <w:pPr>
        <w:pStyle w:val="FootnoteText"/>
        <w:rPr>
          <w:sz w:val="20"/>
        </w:rPr>
      </w:pPr>
      <w:r>
        <w:tab/>
      </w:r>
      <w:r w:rsidRPr="00FC4FDD">
        <w:rPr>
          <w:rStyle w:val="FootnoteReference"/>
          <w:sz w:val="20"/>
          <w:vertAlign w:val="baseline"/>
        </w:rPr>
        <w:t>*</w:t>
      </w:r>
      <w:r w:rsidRPr="00FC4FDD">
        <w:tab/>
      </w:r>
      <w:r>
        <w:t>No se levantó acta resumida del resto de la sesión.</w:t>
      </w:r>
    </w:p>
  </w:footnote>
  <w:footnote w:id="2">
    <w:p w:rsidR="00FC4FDD" w:rsidRPr="00FC4FDD" w:rsidRDefault="00FC4FDD">
      <w:pPr>
        <w:pStyle w:val="FootnoteText"/>
        <w:rPr>
          <w:sz w:val="20"/>
        </w:rPr>
      </w:pPr>
      <w:r>
        <w:tab/>
      </w:r>
      <w:r w:rsidRPr="00FC4FDD">
        <w:rPr>
          <w:rStyle w:val="FootnoteReference"/>
          <w:sz w:val="20"/>
          <w:vertAlign w:val="baseline"/>
        </w:rPr>
        <w:t>**</w:t>
      </w:r>
      <w:r w:rsidRPr="00FC4FDD">
        <w:tab/>
      </w:r>
      <w:r>
        <w:t>No se levantaron actas resumidas de las sesiones 18ª a 28ª.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BA3" w:rsidRPr="00DB7BA3" w:rsidRDefault="00DB7BA3">
    <w:pPr>
      <w:pStyle w:val="Header"/>
    </w:pPr>
    <w:r>
      <w:t>E/C.12/2011/SR.29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BA3" w:rsidRPr="00DB7BA3" w:rsidRDefault="00DB7BA3" w:rsidP="00DB7BA3">
    <w:pPr>
      <w:pStyle w:val="Header"/>
      <w:jc w:val="right"/>
    </w:pPr>
    <w:r>
      <w:t>E/C.12/2011/SR.29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EC8"/>
    <w:rsid w:val="00060246"/>
    <w:rsid w:val="0008650D"/>
    <w:rsid w:val="000B57E7"/>
    <w:rsid w:val="000F09DF"/>
    <w:rsid w:val="000F61B2"/>
    <w:rsid w:val="001075E9"/>
    <w:rsid w:val="00180183"/>
    <w:rsid w:val="00195B40"/>
    <w:rsid w:val="00196389"/>
    <w:rsid w:val="001C7A89"/>
    <w:rsid w:val="002A2EFC"/>
    <w:rsid w:val="002D16F0"/>
    <w:rsid w:val="002D5AAC"/>
    <w:rsid w:val="00301299"/>
    <w:rsid w:val="00313431"/>
    <w:rsid w:val="00322004"/>
    <w:rsid w:val="003402C2"/>
    <w:rsid w:val="003538EB"/>
    <w:rsid w:val="00381C24"/>
    <w:rsid w:val="003958D0"/>
    <w:rsid w:val="003D064D"/>
    <w:rsid w:val="0041031F"/>
    <w:rsid w:val="00454E07"/>
    <w:rsid w:val="004B19F2"/>
    <w:rsid w:val="004F3DF6"/>
    <w:rsid w:val="0050108D"/>
    <w:rsid w:val="005016AF"/>
    <w:rsid w:val="005076AF"/>
    <w:rsid w:val="0052159C"/>
    <w:rsid w:val="00572E19"/>
    <w:rsid w:val="005F0B42"/>
    <w:rsid w:val="0064421C"/>
    <w:rsid w:val="006B6332"/>
    <w:rsid w:val="006F35EE"/>
    <w:rsid w:val="00710CF8"/>
    <w:rsid w:val="00716C6F"/>
    <w:rsid w:val="007464CC"/>
    <w:rsid w:val="007D6339"/>
    <w:rsid w:val="00802199"/>
    <w:rsid w:val="00830923"/>
    <w:rsid w:val="00834B71"/>
    <w:rsid w:val="0086445C"/>
    <w:rsid w:val="008A08D7"/>
    <w:rsid w:val="00906890"/>
    <w:rsid w:val="00951972"/>
    <w:rsid w:val="009E78C4"/>
    <w:rsid w:val="00A00CB2"/>
    <w:rsid w:val="00A0162B"/>
    <w:rsid w:val="00A22687"/>
    <w:rsid w:val="00A500CE"/>
    <w:rsid w:val="00A624E1"/>
    <w:rsid w:val="00A917B3"/>
    <w:rsid w:val="00AB4B51"/>
    <w:rsid w:val="00AB4EB2"/>
    <w:rsid w:val="00B10CC7"/>
    <w:rsid w:val="00B50595"/>
    <w:rsid w:val="00B61BB2"/>
    <w:rsid w:val="00B62458"/>
    <w:rsid w:val="00B6350A"/>
    <w:rsid w:val="00BC161C"/>
    <w:rsid w:val="00BD33EE"/>
    <w:rsid w:val="00C27C55"/>
    <w:rsid w:val="00C377E3"/>
    <w:rsid w:val="00C60F0C"/>
    <w:rsid w:val="00C65C93"/>
    <w:rsid w:val="00C805C9"/>
    <w:rsid w:val="00CA1679"/>
    <w:rsid w:val="00CE34F5"/>
    <w:rsid w:val="00D1710C"/>
    <w:rsid w:val="00D738F9"/>
    <w:rsid w:val="00D90138"/>
    <w:rsid w:val="00D97076"/>
    <w:rsid w:val="00DB7BA3"/>
    <w:rsid w:val="00DC6EE5"/>
    <w:rsid w:val="00E307B0"/>
    <w:rsid w:val="00E3587C"/>
    <w:rsid w:val="00E73F76"/>
    <w:rsid w:val="00E74D25"/>
    <w:rsid w:val="00EE5A5D"/>
    <w:rsid w:val="00EF1360"/>
    <w:rsid w:val="00EF3220"/>
    <w:rsid w:val="00F33585"/>
    <w:rsid w:val="00F54EF4"/>
    <w:rsid w:val="00F87EC8"/>
    <w:rsid w:val="00FB6CD8"/>
    <w:rsid w:val="00FC4FD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semiHidden/>
    <w:rsid w:val="00313431"/>
    <w:rPr>
      <w:i/>
      <w:iCs/>
    </w:rPr>
  </w:style>
  <w:style w:type="character" w:styleId="HTMLCode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semiHidden/>
    <w:rsid w:val="00313431"/>
    <w:rPr>
      <w:color w:val="0000FF"/>
      <w:u w:val="single"/>
    </w:rPr>
  </w:style>
  <w:style w:type="character" w:styleId="FollowedHyperlink">
    <w:name w:val="FollowedHyperlink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2</Pages>
  <Words>346</Words>
  <Characters>1909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E/C.12/2011/SR.29</vt:lpstr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E/C.12/2011/SR.29</dc:title>
  <dc:subject>11-43129 FINAL</dc:subject>
  <dc:creator>Luz Zapata</dc:creator>
  <cp:keywords/>
  <dc:description/>
  <cp:lastModifiedBy>Pool</cp:lastModifiedBy>
  <cp:revision>2</cp:revision>
  <cp:lastPrinted>2012-01-17T07:22:00Z</cp:lastPrinted>
  <dcterms:created xsi:type="dcterms:W3CDTF">2012-01-17T09:05:00Z</dcterms:created>
  <dcterms:modified xsi:type="dcterms:W3CDTF">2012-01-17T09:05:00Z</dcterms:modified>
</cp:coreProperties>
</file>