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3318BE" w14:paraId="5FA13524" w14:textId="77777777" w:rsidTr="004C4D99">
        <w:trPr>
          <w:trHeight w:hRule="exact" w:val="851"/>
        </w:trPr>
        <w:tc>
          <w:tcPr>
            <w:tcW w:w="1276" w:type="dxa"/>
            <w:tcBorders>
              <w:bottom w:val="single" w:sz="4" w:space="0" w:color="auto"/>
            </w:tcBorders>
          </w:tcPr>
          <w:p w14:paraId="68967452" w14:textId="77777777" w:rsidR="00392B1D" w:rsidRPr="00DB58B5" w:rsidRDefault="00392B1D" w:rsidP="004C4D99">
            <w:bookmarkStart w:id="0" w:name="_GoBack"/>
            <w:bookmarkEnd w:id="0"/>
          </w:p>
        </w:tc>
        <w:tc>
          <w:tcPr>
            <w:tcW w:w="2268" w:type="dxa"/>
            <w:tcBorders>
              <w:bottom w:val="single" w:sz="4" w:space="0" w:color="auto"/>
            </w:tcBorders>
            <w:vAlign w:val="bottom"/>
          </w:tcPr>
          <w:p w14:paraId="6EF9673F" w14:textId="77777777" w:rsidR="00392B1D" w:rsidRPr="003318BE" w:rsidRDefault="00392B1D" w:rsidP="004C4D99">
            <w:pPr>
              <w:spacing w:after="80" w:line="300" w:lineRule="exact"/>
              <w:rPr>
                <w:sz w:val="28"/>
              </w:rPr>
            </w:pPr>
            <w:r w:rsidRPr="003318BE">
              <w:rPr>
                <w:sz w:val="28"/>
              </w:rPr>
              <w:t>Nations Unies</w:t>
            </w:r>
          </w:p>
        </w:tc>
        <w:tc>
          <w:tcPr>
            <w:tcW w:w="6095" w:type="dxa"/>
            <w:gridSpan w:val="2"/>
            <w:tcBorders>
              <w:bottom w:val="single" w:sz="4" w:space="0" w:color="auto"/>
            </w:tcBorders>
            <w:vAlign w:val="bottom"/>
          </w:tcPr>
          <w:p w14:paraId="70FAC695" w14:textId="165DF254" w:rsidR="00392B1D" w:rsidRPr="003318BE" w:rsidRDefault="00074BE9" w:rsidP="00EE73CF">
            <w:pPr>
              <w:jc w:val="right"/>
            </w:pPr>
            <w:r w:rsidRPr="00E22347">
              <w:rPr>
                <w:sz w:val="40"/>
              </w:rPr>
              <w:t>CED</w:t>
            </w:r>
            <w:r w:rsidR="00EC5036" w:rsidRPr="00E22347">
              <w:t>/C/CHE/Q/</w:t>
            </w:r>
            <w:r w:rsidRPr="003318BE">
              <w:t>1</w:t>
            </w:r>
          </w:p>
        </w:tc>
      </w:tr>
      <w:tr w:rsidR="00392B1D" w:rsidRPr="003318BE" w14:paraId="469CE0D2" w14:textId="77777777" w:rsidTr="004C4D99">
        <w:trPr>
          <w:trHeight w:hRule="exact" w:val="2835"/>
        </w:trPr>
        <w:tc>
          <w:tcPr>
            <w:tcW w:w="1276" w:type="dxa"/>
            <w:tcBorders>
              <w:top w:val="single" w:sz="4" w:space="0" w:color="auto"/>
              <w:bottom w:val="single" w:sz="12" w:space="0" w:color="auto"/>
            </w:tcBorders>
          </w:tcPr>
          <w:p w14:paraId="46809F63" w14:textId="77777777" w:rsidR="00392B1D" w:rsidRPr="003318BE" w:rsidRDefault="00392B1D" w:rsidP="004C4D99">
            <w:pPr>
              <w:spacing w:before="120"/>
              <w:jc w:val="center"/>
            </w:pPr>
            <w:r w:rsidRPr="003318BE">
              <w:rPr>
                <w:noProof/>
                <w:lang w:val="en-GB" w:eastAsia="en-GB"/>
              </w:rPr>
              <w:drawing>
                <wp:inline distT="0" distB="0" distL="0" distR="0" wp14:anchorId="16E79491" wp14:editId="4D3B3F1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6F75BA" w14:textId="77777777" w:rsidR="00392B1D" w:rsidRPr="003318BE" w:rsidRDefault="00392B1D" w:rsidP="004C4D99">
            <w:pPr>
              <w:spacing w:before="120" w:line="380" w:lineRule="exact"/>
              <w:rPr>
                <w:b/>
                <w:sz w:val="40"/>
                <w:szCs w:val="40"/>
              </w:rPr>
            </w:pPr>
            <w:r w:rsidRPr="003318BE">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02043578" w14:textId="2D264A06" w:rsidR="00392B1D" w:rsidRPr="003318BE" w:rsidRDefault="00074BE9" w:rsidP="00074BE9">
            <w:pPr>
              <w:spacing w:before="240" w:line="240" w:lineRule="exact"/>
            </w:pPr>
            <w:proofErr w:type="spellStart"/>
            <w:r w:rsidRPr="003318BE">
              <w:t>Distr</w:t>
            </w:r>
            <w:proofErr w:type="spellEnd"/>
            <w:r w:rsidRPr="003318BE">
              <w:t xml:space="preserve">. </w:t>
            </w:r>
            <w:r w:rsidR="00CC7569" w:rsidRPr="003318BE">
              <w:t xml:space="preserve">générale </w:t>
            </w:r>
          </w:p>
          <w:p w14:paraId="7683E859" w14:textId="31FD75A6" w:rsidR="00074BE9" w:rsidRPr="003318BE" w:rsidRDefault="00DE0262" w:rsidP="00DE0262">
            <w:pPr>
              <w:spacing w:line="240" w:lineRule="exact"/>
            </w:pPr>
            <w:r>
              <w:t>30</w:t>
            </w:r>
            <w:r w:rsidR="00CC7569" w:rsidRPr="003318BE">
              <w:t xml:space="preserve"> octobre </w:t>
            </w:r>
            <w:r w:rsidR="00074BE9" w:rsidRPr="003318BE">
              <w:t>2019</w:t>
            </w:r>
          </w:p>
          <w:p w14:paraId="3D75A189" w14:textId="77777777" w:rsidR="00074BE9" w:rsidRPr="003318BE" w:rsidRDefault="00074BE9" w:rsidP="00074BE9">
            <w:pPr>
              <w:spacing w:line="240" w:lineRule="exact"/>
            </w:pPr>
          </w:p>
          <w:p w14:paraId="64C2D145" w14:textId="77777777" w:rsidR="00074BE9" w:rsidRPr="003318BE" w:rsidRDefault="00074BE9" w:rsidP="00074BE9">
            <w:pPr>
              <w:spacing w:line="240" w:lineRule="exact"/>
            </w:pPr>
            <w:r w:rsidRPr="003318BE">
              <w:t>Original : français</w:t>
            </w:r>
          </w:p>
          <w:p w14:paraId="20E32F5E" w14:textId="77777777" w:rsidR="00074BE9" w:rsidRPr="003318BE" w:rsidRDefault="00074BE9" w:rsidP="00074BE9">
            <w:pPr>
              <w:spacing w:line="240" w:lineRule="exact"/>
            </w:pPr>
            <w:r w:rsidRPr="003318BE">
              <w:t xml:space="preserve">Anglais, espagnol et français </w:t>
            </w:r>
            <w:r w:rsidRPr="003318BE">
              <w:rPr>
                <w:lang w:val="fr-FR"/>
              </w:rPr>
              <w:t>seulement</w:t>
            </w:r>
          </w:p>
        </w:tc>
      </w:tr>
    </w:tbl>
    <w:p w14:paraId="0B69B08F" w14:textId="77777777" w:rsidR="00392B1D" w:rsidRPr="003318BE" w:rsidRDefault="00392B1D" w:rsidP="00392B1D">
      <w:pPr>
        <w:spacing w:before="120"/>
        <w:rPr>
          <w:b/>
          <w:sz w:val="24"/>
          <w:szCs w:val="24"/>
        </w:rPr>
      </w:pPr>
      <w:r w:rsidRPr="003318BE">
        <w:rPr>
          <w:b/>
          <w:sz w:val="24"/>
          <w:szCs w:val="24"/>
        </w:rPr>
        <w:t>Comité des disparitions forcées</w:t>
      </w:r>
    </w:p>
    <w:p w14:paraId="10109C86" w14:textId="77777777" w:rsidR="00074BE9" w:rsidRPr="003318BE" w:rsidRDefault="00074BE9" w:rsidP="003E30FA">
      <w:pPr>
        <w:pStyle w:val="HChG"/>
        <w:rPr>
          <w:rFonts w:eastAsiaTheme="minorHAnsi"/>
          <w:lang w:val="fr-FR"/>
        </w:rPr>
      </w:pPr>
      <w:r w:rsidRPr="003318BE">
        <w:rPr>
          <w:rFonts w:eastAsiaTheme="minorHAnsi"/>
          <w:lang w:val="fr-FR"/>
        </w:rPr>
        <w:tab/>
      </w:r>
      <w:r w:rsidRPr="003318BE">
        <w:rPr>
          <w:rFonts w:eastAsiaTheme="minorHAnsi"/>
          <w:lang w:val="fr-FR"/>
        </w:rPr>
        <w:tab/>
        <w:t>Liste de points concernant le rapport soumis par la Suisse en application du paragraphe 1 de l’article 29 de la Convention</w:t>
      </w:r>
      <w:r w:rsidR="00EE73CF" w:rsidRPr="00C53E2F">
        <w:rPr>
          <w:rStyle w:val="Appelnotedebasdep"/>
          <w:rFonts w:eastAsiaTheme="minorHAnsi"/>
          <w:b w:val="0"/>
          <w:bCs/>
          <w:sz w:val="20"/>
          <w:vertAlign w:val="baseline"/>
        </w:rPr>
        <w:footnoteReference w:customMarkFollows="1" w:id="2"/>
        <w:t>*</w:t>
      </w:r>
    </w:p>
    <w:p w14:paraId="18CAC9BB" w14:textId="6AEDCA68" w:rsidR="00074BE9" w:rsidRPr="008F399E" w:rsidRDefault="00074BE9" w:rsidP="009A3D2A">
      <w:pPr>
        <w:pStyle w:val="HChG"/>
        <w:rPr>
          <w:rFonts w:eastAsiaTheme="minorHAnsi"/>
        </w:rPr>
      </w:pPr>
      <w:r w:rsidRPr="003318BE">
        <w:rPr>
          <w:rFonts w:eastAsiaTheme="minorHAnsi"/>
          <w:b w:val="0"/>
          <w:lang w:val="fr-FR"/>
        </w:rPr>
        <w:tab/>
      </w:r>
      <w:r w:rsidRPr="008F399E">
        <w:rPr>
          <w:rFonts w:eastAsiaTheme="minorHAnsi"/>
        </w:rPr>
        <w:t>I.</w:t>
      </w:r>
      <w:r w:rsidRPr="008F399E">
        <w:rPr>
          <w:rFonts w:eastAsiaTheme="minorHAnsi"/>
        </w:rPr>
        <w:tab/>
      </w:r>
      <w:r w:rsidRPr="003318BE">
        <w:rPr>
          <w:rFonts w:eastAsiaTheme="minorHAnsi"/>
          <w:lang w:val="fr-FR"/>
        </w:rPr>
        <w:t>Renseignements d’ordre général</w:t>
      </w:r>
    </w:p>
    <w:p w14:paraId="36A9C96D" w14:textId="5F03A989" w:rsidR="00074BE9" w:rsidRPr="003318BE" w:rsidRDefault="00C53E2F" w:rsidP="00C53E2F">
      <w:pPr>
        <w:pStyle w:val="SingleTxtG"/>
        <w:rPr>
          <w:rFonts w:eastAsiaTheme="minorHAnsi"/>
          <w:lang w:val="fr-FR"/>
        </w:rPr>
      </w:pPr>
      <w:r w:rsidRPr="003318BE">
        <w:rPr>
          <w:rFonts w:eastAsiaTheme="minorHAnsi"/>
          <w:lang w:val="fr-FR"/>
        </w:rPr>
        <w:t>1.</w:t>
      </w:r>
      <w:r w:rsidRPr="003318BE">
        <w:rPr>
          <w:rFonts w:eastAsiaTheme="minorHAnsi"/>
          <w:lang w:val="fr-FR"/>
        </w:rPr>
        <w:tab/>
      </w:r>
      <w:r w:rsidR="00074BE9" w:rsidRPr="003318BE">
        <w:rPr>
          <w:rFonts w:eastAsiaTheme="minorHAnsi"/>
          <w:lang w:val="fr-FR"/>
        </w:rPr>
        <w:t xml:space="preserve">Donner des informations sur les progrès réalisés en vue de l’établissement d’une institution nationale de défense des droits de l’homme indépendante qui </w:t>
      </w:r>
      <w:r w:rsidR="00074BE9" w:rsidRPr="003318BE">
        <w:rPr>
          <w:rFonts w:eastAsiaTheme="minorHAnsi"/>
        </w:rPr>
        <w:t>soit</w:t>
      </w:r>
      <w:r w:rsidR="00074BE9" w:rsidRPr="003318BE">
        <w:rPr>
          <w:rFonts w:eastAsiaTheme="minorHAnsi"/>
          <w:lang w:val="fr-FR"/>
        </w:rPr>
        <w:t xml:space="preserve"> conforme aux Principes concernant le statut des institutions nationales pour la promotion et la protection des droits de l’homme (Principes de Paris). </w:t>
      </w:r>
    </w:p>
    <w:p w14:paraId="2AA120CF" w14:textId="6A3ADF4B" w:rsidR="00074BE9" w:rsidRPr="00E22347" w:rsidRDefault="00074BE9" w:rsidP="00F86D88">
      <w:pPr>
        <w:pStyle w:val="HChG"/>
        <w:rPr>
          <w:rFonts w:eastAsiaTheme="minorHAnsi"/>
          <w:lang w:val="fr-FR"/>
        </w:rPr>
      </w:pPr>
      <w:r w:rsidRPr="003318BE">
        <w:rPr>
          <w:rFonts w:eastAsiaTheme="minorHAnsi"/>
          <w:lang w:val="fr-FR"/>
        </w:rPr>
        <w:tab/>
        <w:t>II.</w:t>
      </w:r>
      <w:r w:rsidRPr="003318BE">
        <w:rPr>
          <w:rFonts w:eastAsiaTheme="minorHAnsi"/>
          <w:lang w:val="fr-FR"/>
        </w:rPr>
        <w:tab/>
        <w:t xml:space="preserve">Définition et </w:t>
      </w:r>
      <w:r w:rsidR="00F86D88" w:rsidRPr="003318BE">
        <w:rPr>
          <w:rFonts w:eastAsiaTheme="minorHAnsi"/>
          <w:lang w:val="fr-FR"/>
        </w:rPr>
        <w:t>incrimination</w:t>
      </w:r>
      <w:r w:rsidRPr="003318BE">
        <w:rPr>
          <w:rFonts w:eastAsiaTheme="minorHAnsi"/>
          <w:lang w:val="fr-FR"/>
        </w:rPr>
        <w:t xml:space="preserve"> de la disparition forcée </w:t>
      </w:r>
      <w:r w:rsidRPr="003318BE">
        <w:rPr>
          <w:rFonts w:eastAsiaTheme="minorHAnsi"/>
          <w:lang w:val="fr-FR"/>
        </w:rPr>
        <w:br/>
        <w:t>(art. 1</w:t>
      </w:r>
      <w:r w:rsidRPr="003318BE">
        <w:rPr>
          <w:rFonts w:eastAsiaTheme="minorHAnsi"/>
          <w:vertAlign w:val="superscript"/>
          <w:lang w:val="fr-FR"/>
        </w:rPr>
        <w:t>er</w:t>
      </w:r>
      <w:r w:rsidRPr="003318BE">
        <w:rPr>
          <w:rFonts w:eastAsiaTheme="minorHAnsi"/>
          <w:lang w:val="fr-FR"/>
        </w:rPr>
        <w:t xml:space="preserve"> à 7)</w:t>
      </w:r>
    </w:p>
    <w:p w14:paraId="0274603F" w14:textId="0956B8FE" w:rsidR="00074BE9" w:rsidRPr="003318BE" w:rsidRDefault="00C53E2F" w:rsidP="00C53E2F">
      <w:pPr>
        <w:pStyle w:val="SingleTxtG"/>
        <w:rPr>
          <w:rFonts w:eastAsiaTheme="minorHAnsi"/>
          <w:lang w:val="fr-FR"/>
        </w:rPr>
      </w:pPr>
      <w:r w:rsidRPr="003318BE">
        <w:rPr>
          <w:rFonts w:eastAsiaTheme="minorHAnsi"/>
          <w:lang w:val="fr-FR"/>
        </w:rPr>
        <w:t>2.</w:t>
      </w:r>
      <w:r w:rsidRPr="003318BE">
        <w:rPr>
          <w:rFonts w:eastAsiaTheme="minorHAnsi"/>
          <w:lang w:val="fr-FR"/>
        </w:rPr>
        <w:tab/>
      </w:r>
      <w:r w:rsidR="00074BE9" w:rsidRPr="003318BE">
        <w:rPr>
          <w:rFonts w:eastAsiaTheme="minorHAnsi"/>
          <w:lang w:val="fr-FR"/>
        </w:rPr>
        <w:t>Concernant le paragraphe 30 du rapport de l’État partie</w:t>
      </w:r>
      <w:r w:rsidR="003318BE" w:rsidRPr="003318BE">
        <w:rPr>
          <w:rFonts w:eastAsiaTheme="minorHAnsi"/>
          <w:lang w:val="fr-FR"/>
        </w:rPr>
        <w:t xml:space="preserve"> (CED/C/CHE/1)</w:t>
      </w:r>
      <w:r w:rsidR="00074BE9" w:rsidRPr="00E22347">
        <w:rPr>
          <w:rFonts w:eastAsiaTheme="minorHAnsi"/>
          <w:lang w:val="fr-FR"/>
        </w:rPr>
        <w:t>, préciser si l’expression «</w:t>
      </w:r>
      <w:r w:rsidR="00D92458" w:rsidRPr="00E22347">
        <w:rPr>
          <w:rFonts w:eastAsiaTheme="minorHAnsi"/>
          <w:lang w:val="fr-FR"/>
        </w:rPr>
        <w:t> </w:t>
      </w:r>
      <w:r w:rsidR="00074BE9" w:rsidRPr="00E22347">
        <w:rPr>
          <w:rFonts w:eastAsiaTheme="minorHAnsi"/>
          <w:lang w:val="fr-FR"/>
        </w:rPr>
        <w:t>dans l</w:t>
      </w:r>
      <w:r w:rsidR="000820D0">
        <w:rPr>
          <w:rFonts w:eastAsiaTheme="minorHAnsi"/>
          <w:lang w:val="fr-FR"/>
        </w:rPr>
        <w:t>’</w:t>
      </w:r>
      <w:r w:rsidR="00074BE9" w:rsidRPr="00E22347">
        <w:rPr>
          <w:rFonts w:eastAsiaTheme="minorHAnsi"/>
          <w:lang w:val="fr-FR"/>
        </w:rPr>
        <w:t>intention de soustraire une personne à la protection de la loi</w:t>
      </w:r>
      <w:r w:rsidR="00D92458" w:rsidRPr="003318BE">
        <w:rPr>
          <w:rFonts w:eastAsiaTheme="minorHAnsi"/>
          <w:lang w:val="fr-FR"/>
        </w:rPr>
        <w:t> </w:t>
      </w:r>
      <w:r w:rsidR="00074BE9" w:rsidRPr="003318BE">
        <w:rPr>
          <w:rFonts w:eastAsiaTheme="minorHAnsi"/>
          <w:lang w:val="fr-FR"/>
        </w:rPr>
        <w:t>», employée dans la définition de la disparition forcée énoncée aux articles 185</w:t>
      </w:r>
      <w:r w:rsidR="00520B96" w:rsidRPr="003318BE">
        <w:rPr>
          <w:rFonts w:eastAsiaTheme="minorHAnsi"/>
          <w:lang w:val="fr-FR"/>
        </w:rPr>
        <w:t> </w:t>
      </w:r>
      <w:r w:rsidR="00074BE9" w:rsidRPr="00C53E2F">
        <w:rPr>
          <w:rFonts w:eastAsiaTheme="minorHAnsi"/>
          <w:i/>
          <w:iCs/>
          <w:lang w:val="fr-FR"/>
        </w:rPr>
        <w:t>bis</w:t>
      </w:r>
      <w:r w:rsidR="00074BE9" w:rsidRPr="003318BE">
        <w:rPr>
          <w:rFonts w:eastAsiaTheme="minorHAnsi"/>
          <w:lang w:val="fr-FR"/>
        </w:rPr>
        <w:t xml:space="preserve"> du Code pénal et 151</w:t>
      </w:r>
      <w:r w:rsidR="00520B96" w:rsidRPr="003318BE">
        <w:rPr>
          <w:rFonts w:eastAsiaTheme="minorHAnsi"/>
          <w:lang w:val="fr-FR"/>
        </w:rPr>
        <w:t> </w:t>
      </w:r>
      <w:r w:rsidR="00074BE9" w:rsidRPr="003318BE">
        <w:rPr>
          <w:rFonts w:eastAsiaTheme="minorHAnsi"/>
          <w:lang w:val="fr-FR"/>
        </w:rPr>
        <w:t>d du Code pénal militaire, doit être comprise au sens d’élément intentionnel (</w:t>
      </w:r>
      <w:r w:rsidR="00074BE9" w:rsidRPr="00C53E2F">
        <w:rPr>
          <w:rFonts w:eastAsiaTheme="minorHAnsi"/>
          <w:i/>
          <w:iCs/>
          <w:lang w:val="fr-FR"/>
        </w:rPr>
        <w:t>animus</w:t>
      </w:r>
      <w:r w:rsidR="00074BE9" w:rsidRPr="003318BE">
        <w:rPr>
          <w:rFonts w:eastAsiaTheme="minorHAnsi"/>
          <w:lang w:val="fr-FR"/>
        </w:rPr>
        <w:t>) requis en vue de l’incrimination du comportement délictueux ou si, au contraire, elle doit être entendue au sens d’une conséquence de celui-ci</w:t>
      </w:r>
      <w:r w:rsidR="00074BE9" w:rsidRPr="003318BE">
        <w:rPr>
          <w:lang w:val="fr-FR"/>
        </w:rPr>
        <w:t xml:space="preserve"> </w:t>
      </w:r>
      <w:r w:rsidR="00074BE9" w:rsidRPr="003318BE">
        <w:rPr>
          <w:rFonts w:eastAsiaTheme="minorHAnsi"/>
          <w:lang w:val="fr-FR"/>
        </w:rPr>
        <w:t>(art.</w:t>
      </w:r>
      <w:r w:rsidR="00B431D0">
        <w:rPr>
          <w:rFonts w:eastAsiaTheme="minorHAnsi"/>
          <w:lang w:val="fr-FR"/>
        </w:rPr>
        <w:t> </w:t>
      </w:r>
      <w:r w:rsidR="00074BE9" w:rsidRPr="003318BE">
        <w:rPr>
          <w:rFonts w:eastAsiaTheme="minorHAnsi"/>
          <w:lang w:val="fr-FR"/>
        </w:rPr>
        <w:t>2 et 4).</w:t>
      </w:r>
    </w:p>
    <w:p w14:paraId="459D0975" w14:textId="03BD1EE4" w:rsidR="00074BE9" w:rsidRPr="003318BE" w:rsidRDefault="00C53E2F" w:rsidP="00C53E2F">
      <w:pPr>
        <w:pStyle w:val="SingleTxtG"/>
        <w:rPr>
          <w:rFonts w:eastAsiaTheme="minorHAnsi"/>
          <w:lang w:val="fr-FR"/>
        </w:rPr>
      </w:pPr>
      <w:r w:rsidRPr="003318BE">
        <w:rPr>
          <w:rFonts w:eastAsiaTheme="minorHAnsi"/>
          <w:lang w:val="fr-FR"/>
        </w:rPr>
        <w:t>3.</w:t>
      </w:r>
      <w:r w:rsidRPr="003318BE">
        <w:rPr>
          <w:rFonts w:eastAsiaTheme="minorHAnsi"/>
          <w:lang w:val="fr-FR"/>
        </w:rPr>
        <w:tab/>
      </w:r>
      <w:r w:rsidR="00074BE9" w:rsidRPr="003318BE">
        <w:rPr>
          <w:rFonts w:eastAsiaTheme="minorHAnsi"/>
          <w:lang w:val="fr-FR"/>
        </w:rPr>
        <w:t>Concernant les informations fournies au paragraphe 44 du rapport de l’État partie, indiquer si le droit interne contient des dispositions spécifiques relatives à la responsabilité des supérieurs hiérarchiques qui s’appliqueraient aux cas de disparition forcée ne constitu</w:t>
      </w:r>
      <w:r w:rsidR="00520B96" w:rsidRPr="003318BE">
        <w:rPr>
          <w:rFonts w:eastAsiaTheme="minorHAnsi"/>
          <w:lang w:val="fr-FR"/>
        </w:rPr>
        <w:t>a</w:t>
      </w:r>
      <w:r w:rsidR="00074BE9" w:rsidRPr="003318BE">
        <w:rPr>
          <w:rFonts w:eastAsiaTheme="minorHAnsi"/>
          <w:lang w:val="fr-FR"/>
        </w:rPr>
        <w:t>nt pas des crimes contre l</w:t>
      </w:r>
      <w:r w:rsidR="000820D0">
        <w:rPr>
          <w:rFonts w:eastAsiaTheme="minorHAnsi"/>
          <w:lang w:val="fr-FR"/>
        </w:rPr>
        <w:t>’</w:t>
      </w:r>
      <w:r w:rsidR="00074BE9" w:rsidRPr="003318BE">
        <w:rPr>
          <w:rFonts w:eastAsiaTheme="minorHAnsi"/>
          <w:lang w:val="fr-FR"/>
        </w:rPr>
        <w:t xml:space="preserve">humanité. Compte tenu de l’article 20 du Code pénal militaire et de </w:t>
      </w:r>
      <w:r w:rsidR="006557E6" w:rsidRPr="003318BE">
        <w:rPr>
          <w:rFonts w:eastAsiaTheme="minorHAnsi"/>
          <w:lang w:val="fr-FR"/>
        </w:rPr>
        <w:t xml:space="preserve">l’alinéa 2 de </w:t>
      </w:r>
      <w:r w:rsidR="00074BE9" w:rsidRPr="003318BE">
        <w:rPr>
          <w:rFonts w:eastAsiaTheme="minorHAnsi"/>
          <w:lang w:val="fr-FR"/>
        </w:rPr>
        <w:t>l’article 80 du Règlement de service de l’armée</w:t>
      </w:r>
      <w:r w:rsidR="00B0349C">
        <w:rPr>
          <w:rFonts w:eastAsiaTheme="minorHAnsi"/>
          <w:lang w:val="fr-FR"/>
        </w:rPr>
        <w:t>,</w:t>
      </w:r>
      <w:r w:rsidR="00074BE9" w:rsidRPr="003318BE">
        <w:rPr>
          <w:rFonts w:eastAsiaTheme="minorHAnsi"/>
          <w:lang w:val="fr-FR"/>
        </w:rPr>
        <w:t xml:space="preserve"> relatifs aux autorités militaires, indiquer également si le droit interne contient des dispositions similaires garantissant : a)</w:t>
      </w:r>
      <w:r w:rsidR="000820D0">
        <w:rPr>
          <w:rFonts w:eastAsiaTheme="minorHAnsi"/>
          <w:lang w:val="fr-FR"/>
        </w:rPr>
        <w:t> </w:t>
      </w:r>
      <w:r w:rsidR="00074BE9" w:rsidRPr="003318BE">
        <w:rPr>
          <w:rFonts w:eastAsiaTheme="minorHAnsi"/>
          <w:lang w:val="fr-FR"/>
        </w:rPr>
        <w:t xml:space="preserve">qu’aucun ordre ou instruction émanant </w:t>
      </w:r>
      <w:r w:rsidR="006557E6" w:rsidRPr="003318BE">
        <w:rPr>
          <w:rFonts w:eastAsiaTheme="minorHAnsi"/>
          <w:lang w:val="fr-FR"/>
        </w:rPr>
        <w:t>d’</w:t>
      </w:r>
      <w:r w:rsidR="00074BE9" w:rsidRPr="003318BE">
        <w:rPr>
          <w:rFonts w:eastAsiaTheme="minorHAnsi"/>
          <w:lang w:val="fr-FR"/>
        </w:rPr>
        <w:t>autres autorités publiques ne peut être invoqué pour justifier un crime de disparition forcée</w:t>
      </w:r>
      <w:r w:rsidR="006557E6" w:rsidRPr="003318BE">
        <w:rPr>
          <w:rFonts w:eastAsiaTheme="minorHAnsi"/>
          <w:lang w:val="fr-FR"/>
        </w:rPr>
        <w:t> </w:t>
      </w:r>
      <w:r w:rsidR="00074BE9" w:rsidRPr="003318BE">
        <w:rPr>
          <w:rFonts w:eastAsiaTheme="minorHAnsi"/>
          <w:lang w:val="fr-FR"/>
        </w:rPr>
        <w:t xml:space="preserve">; et b) que l’ordre de commettre une disparition forcée </w:t>
      </w:r>
      <w:r w:rsidR="006557E6" w:rsidRPr="003318BE">
        <w:rPr>
          <w:rFonts w:eastAsiaTheme="minorHAnsi"/>
          <w:lang w:val="fr-FR"/>
        </w:rPr>
        <w:t>émanant</w:t>
      </w:r>
      <w:r w:rsidR="00074BE9" w:rsidRPr="003318BE">
        <w:rPr>
          <w:rFonts w:eastAsiaTheme="minorHAnsi"/>
          <w:lang w:val="fr-FR"/>
        </w:rPr>
        <w:t xml:space="preserve"> </w:t>
      </w:r>
      <w:r w:rsidR="006557E6" w:rsidRPr="003318BE">
        <w:rPr>
          <w:rFonts w:eastAsiaTheme="minorHAnsi"/>
          <w:lang w:val="fr-FR"/>
        </w:rPr>
        <w:t>d’</w:t>
      </w:r>
      <w:r w:rsidR="00074BE9" w:rsidRPr="003318BE">
        <w:rPr>
          <w:rFonts w:eastAsiaTheme="minorHAnsi"/>
          <w:lang w:val="fr-FR"/>
        </w:rPr>
        <w:t>autres autorités publiques est criminalisé (art. 6).</w:t>
      </w:r>
    </w:p>
    <w:p w14:paraId="3480ACAB" w14:textId="2AF7E947" w:rsidR="00074BE9" w:rsidRPr="003318BE" w:rsidRDefault="00C53E2F" w:rsidP="00C53E2F">
      <w:pPr>
        <w:pStyle w:val="SingleTxtG"/>
        <w:rPr>
          <w:rFonts w:eastAsiaTheme="minorHAnsi"/>
          <w:lang w:val="fr-FR"/>
        </w:rPr>
      </w:pPr>
      <w:r w:rsidRPr="003318BE">
        <w:rPr>
          <w:rFonts w:eastAsiaTheme="minorHAnsi"/>
          <w:lang w:val="fr-FR"/>
        </w:rPr>
        <w:t>4.</w:t>
      </w:r>
      <w:r w:rsidRPr="003318BE">
        <w:rPr>
          <w:rFonts w:eastAsiaTheme="minorHAnsi"/>
          <w:lang w:val="fr-FR"/>
        </w:rPr>
        <w:tab/>
      </w:r>
      <w:r w:rsidR="00074BE9" w:rsidRPr="003318BE">
        <w:rPr>
          <w:rFonts w:eastAsiaTheme="minorHAnsi"/>
          <w:lang w:val="fr-FR"/>
        </w:rPr>
        <w:t>Expliquer dans quel</w:t>
      </w:r>
      <w:r w:rsidR="009A3D2A" w:rsidRPr="003318BE">
        <w:rPr>
          <w:rFonts w:eastAsiaTheme="minorHAnsi"/>
          <w:lang w:val="fr-FR"/>
        </w:rPr>
        <w:t>s</w:t>
      </w:r>
      <w:r w:rsidR="00074BE9" w:rsidRPr="003318BE">
        <w:rPr>
          <w:rFonts w:eastAsiaTheme="minorHAnsi"/>
          <w:lang w:val="fr-FR"/>
        </w:rPr>
        <w:t xml:space="preserve"> cas la commission d’une disparition forcée pourrait être punie d’une peine</w:t>
      </w:r>
      <w:r w:rsidR="00074BE9" w:rsidRPr="003318BE">
        <w:rPr>
          <w:rFonts w:eastAsiaTheme="minorHAnsi"/>
          <w:color w:val="000000"/>
          <w:sz w:val="24"/>
          <w:szCs w:val="24"/>
          <w:lang w:val="fr-FR"/>
        </w:rPr>
        <w:t xml:space="preserve"> </w:t>
      </w:r>
      <w:r w:rsidR="00074BE9" w:rsidRPr="003318BE">
        <w:rPr>
          <w:rFonts w:eastAsiaTheme="minorHAnsi"/>
          <w:lang w:val="fr-FR"/>
        </w:rPr>
        <w:t>privative de liberté d’un an. S’agissant du paragraphe 49</w:t>
      </w:r>
      <w:r w:rsidR="00074BE9" w:rsidRPr="003318BE">
        <w:rPr>
          <w:lang w:val="fr-FR"/>
        </w:rPr>
        <w:t xml:space="preserve"> </w:t>
      </w:r>
      <w:r w:rsidR="00074BE9" w:rsidRPr="003318BE">
        <w:rPr>
          <w:rFonts w:eastAsiaTheme="minorHAnsi"/>
          <w:lang w:val="fr-FR"/>
        </w:rPr>
        <w:t>du rapport de l’État partie, préciser si le droit interne prévoit les circonstances atténuantes et aggravantes spécifiques énumérées au paragraphe 2 de l’article 7 de la Convention (art. 7).</w:t>
      </w:r>
    </w:p>
    <w:p w14:paraId="476CDA76" w14:textId="77777777" w:rsidR="00074BE9" w:rsidRPr="003318BE" w:rsidRDefault="00074BE9" w:rsidP="0052576D">
      <w:pPr>
        <w:pStyle w:val="HChG"/>
        <w:rPr>
          <w:rFonts w:eastAsiaTheme="minorHAnsi"/>
          <w:lang w:val="fr-FR"/>
        </w:rPr>
      </w:pPr>
      <w:r w:rsidRPr="003318BE">
        <w:rPr>
          <w:rFonts w:eastAsiaTheme="minorHAnsi"/>
          <w:lang w:val="fr-FR"/>
        </w:rPr>
        <w:lastRenderedPageBreak/>
        <w:tab/>
        <w:t>III.</w:t>
      </w:r>
      <w:r w:rsidRPr="003318BE">
        <w:rPr>
          <w:rFonts w:eastAsiaTheme="minorHAnsi"/>
          <w:lang w:val="fr-FR"/>
        </w:rPr>
        <w:tab/>
        <w:t xml:space="preserve">Procédure judiciaire et coopération en matière pénale </w:t>
      </w:r>
      <w:r w:rsidRPr="003318BE">
        <w:rPr>
          <w:rFonts w:eastAsiaTheme="minorHAnsi"/>
          <w:lang w:val="fr-FR"/>
        </w:rPr>
        <w:br/>
        <w:t>(art. 8 à 15)</w:t>
      </w:r>
    </w:p>
    <w:p w14:paraId="3605BF81" w14:textId="2463FD44" w:rsidR="00074BE9" w:rsidRPr="003318BE" w:rsidRDefault="00C53E2F" w:rsidP="0052576D">
      <w:pPr>
        <w:pStyle w:val="SingleTxtG"/>
        <w:keepNext/>
        <w:keepLines/>
        <w:rPr>
          <w:rFonts w:eastAsiaTheme="minorHAnsi"/>
          <w:lang w:val="fr-FR"/>
        </w:rPr>
      </w:pPr>
      <w:r w:rsidRPr="003318BE">
        <w:rPr>
          <w:rFonts w:eastAsiaTheme="minorHAnsi"/>
          <w:lang w:val="fr-FR"/>
        </w:rPr>
        <w:t>5.</w:t>
      </w:r>
      <w:r w:rsidRPr="003318BE">
        <w:rPr>
          <w:rFonts w:eastAsiaTheme="minorHAnsi"/>
          <w:lang w:val="fr-FR"/>
        </w:rPr>
        <w:tab/>
      </w:r>
      <w:r w:rsidR="00074BE9" w:rsidRPr="003318BE">
        <w:rPr>
          <w:rFonts w:eastAsiaTheme="minorHAnsi"/>
          <w:lang w:val="fr-FR"/>
        </w:rPr>
        <w:t>Indiquer si des mesures ont été prises pour faire en sorte que les cas de disparition forcée restent expressément en dehors du champ de compétence de la juridiction militaire</w:t>
      </w:r>
      <w:r w:rsidR="006557E6" w:rsidRPr="003318BE">
        <w:rPr>
          <w:rFonts w:eastAsiaTheme="minorHAnsi"/>
          <w:lang w:val="fr-FR"/>
        </w:rPr>
        <w:t>,</w:t>
      </w:r>
      <w:r w:rsidR="00074BE9" w:rsidRPr="003318BE">
        <w:rPr>
          <w:rFonts w:eastAsiaTheme="minorHAnsi"/>
          <w:lang w:val="fr-FR"/>
        </w:rPr>
        <w:t xml:space="preserve"> et</w:t>
      </w:r>
      <w:r w:rsidR="000820D0">
        <w:rPr>
          <w:rFonts w:eastAsiaTheme="minorHAnsi"/>
          <w:lang w:val="fr-FR"/>
        </w:rPr>
        <w:t> </w:t>
      </w:r>
      <w:r w:rsidR="006557E6" w:rsidRPr="003318BE">
        <w:rPr>
          <w:rFonts w:eastAsiaTheme="minorHAnsi"/>
          <w:lang w:val="fr-FR"/>
        </w:rPr>
        <w:t xml:space="preserve">qu’ils </w:t>
      </w:r>
      <w:r w:rsidR="00074BE9" w:rsidRPr="003318BE">
        <w:rPr>
          <w:rFonts w:eastAsiaTheme="minorHAnsi"/>
          <w:lang w:val="fr-FR"/>
        </w:rPr>
        <w:t>ne puissent faire l’objet d’enquête</w:t>
      </w:r>
      <w:r w:rsidR="006557E6" w:rsidRPr="003318BE">
        <w:rPr>
          <w:rFonts w:eastAsiaTheme="minorHAnsi"/>
          <w:lang w:val="fr-FR"/>
        </w:rPr>
        <w:t>s</w:t>
      </w:r>
      <w:r w:rsidR="00074BE9" w:rsidRPr="003318BE">
        <w:rPr>
          <w:rFonts w:eastAsiaTheme="minorHAnsi"/>
          <w:lang w:val="fr-FR"/>
        </w:rPr>
        <w:t xml:space="preserve"> et être jugés que par les autorités civiles compétentes (art. 11). </w:t>
      </w:r>
    </w:p>
    <w:p w14:paraId="15907B27" w14:textId="4B30A62E" w:rsidR="00074BE9" w:rsidRPr="003318BE" w:rsidRDefault="00C53E2F" w:rsidP="00C53E2F">
      <w:pPr>
        <w:pStyle w:val="SingleTxtG"/>
        <w:rPr>
          <w:rFonts w:eastAsiaTheme="minorHAnsi"/>
          <w:lang w:val="fr-FR"/>
        </w:rPr>
      </w:pPr>
      <w:r w:rsidRPr="003318BE">
        <w:rPr>
          <w:rFonts w:eastAsiaTheme="minorHAnsi"/>
          <w:lang w:val="fr-FR"/>
        </w:rPr>
        <w:t>6.</w:t>
      </w:r>
      <w:r w:rsidRPr="003318BE">
        <w:rPr>
          <w:rFonts w:eastAsiaTheme="minorHAnsi"/>
          <w:lang w:val="fr-FR"/>
        </w:rPr>
        <w:tab/>
      </w:r>
      <w:r w:rsidR="006557E6" w:rsidRPr="003318BE">
        <w:rPr>
          <w:rFonts w:eastAsiaTheme="minorHAnsi"/>
          <w:lang w:val="fr-FR"/>
        </w:rPr>
        <w:t>É</w:t>
      </w:r>
      <w:r w:rsidR="00074BE9" w:rsidRPr="003318BE">
        <w:rPr>
          <w:rFonts w:eastAsiaTheme="minorHAnsi"/>
          <w:lang w:val="fr-FR"/>
        </w:rPr>
        <w:t xml:space="preserve">tant donné que </w:t>
      </w:r>
      <w:r w:rsidR="00BC744E" w:rsidRPr="003318BE">
        <w:rPr>
          <w:rFonts w:eastAsiaTheme="minorHAnsi"/>
          <w:lang w:val="fr-FR"/>
        </w:rPr>
        <w:t>l’ordonnance n</w:t>
      </w:r>
      <w:r w:rsidR="00BC744E" w:rsidRPr="00C53E2F">
        <w:rPr>
          <w:rFonts w:eastAsiaTheme="minorHAnsi"/>
          <w:vertAlign w:val="superscript"/>
          <w:lang w:val="fr-FR"/>
        </w:rPr>
        <w:t>o</w:t>
      </w:r>
      <w:r w:rsidR="00BC744E" w:rsidRPr="003318BE">
        <w:rPr>
          <w:rFonts w:eastAsiaTheme="minorHAnsi"/>
          <w:lang w:val="fr-FR"/>
        </w:rPr>
        <w:t> 150.21 du 2 novembre 2016 concernant</w:t>
      </w:r>
      <w:r w:rsidR="006557E6" w:rsidRPr="003318BE">
        <w:rPr>
          <w:rFonts w:eastAsiaTheme="minorHAnsi"/>
          <w:lang w:val="fr-FR"/>
        </w:rPr>
        <w:t xml:space="preserve"> la </w:t>
      </w:r>
      <w:r w:rsidR="00BC744E" w:rsidRPr="003318BE">
        <w:rPr>
          <w:rFonts w:eastAsiaTheme="minorHAnsi"/>
          <w:lang w:val="fr-FR"/>
        </w:rPr>
        <w:t xml:space="preserve">loi fédérale relative à la </w:t>
      </w:r>
      <w:r w:rsidR="006557E6" w:rsidRPr="00E22347">
        <w:rPr>
          <w:rFonts w:eastAsiaTheme="minorHAnsi"/>
          <w:lang w:val="fr-FR"/>
        </w:rPr>
        <w:t>Convention internationale pour la protection de toutes les personnes contre les disparitions forcées</w:t>
      </w:r>
      <w:r w:rsidR="00074BE9" w:rsidRPr="003318BE">
        <w:rPr>
          <w:rFonts w:eastAsiaTheme="minorHAnsi"/>
          <w:lang w:val="fr-FR"/>
        </w:rPr>
        <w:t xml:space="preserve"> désigne l’Office fédéral de la police comme service fédéral de coordination et que, dans un certain nombre de cantons, le responsable de la coordination est désigné au sein de la police ou de l’administration pénitentiaire, expliquer comment est garantie en toutes circonstances l’exigence d’une enquête approfondie et impartiale. Expliquer également comment les conditions définies par l’ordonnance relative au délai de réponse à une demande d’information (</w:t>
      </w:r>
      <w:r w:rsidR="00BC744E" w:rsidRPr="003318BE">
        <w:rPr>
          <w:rFonts w:eastAsiaTheme="minorHAnsi"/>
          <w:lang w:val="fr-FR"/>
        </w:rPr>
        <w:t>six</w:t>
      </w:r>
      <w:r w:rsidR="00074BE9" w:rsidRPr="003318BE">
        <w:rPr>
          <w:rFonts w:eastAsiaTheme="minorHAnsi"/>
          <w:lang w:val="fr-FR"/>
        </w:rPr>
        <w:t xml:space="preserve"> jours) </w:t>
      </w:r>
      <w:r w:rsidR="00801A4A" w:rsidRPr="003318BE">
        <w:rPr>
          <w:rFonts w:eastAsiaTheme="minorHAnsi"/>
          <w:lang w:val="fr-FR"/>
        </w:rPr>
        <w:t>sont</w:t>
      </w:r>
      <w:r w:rsidR="00074BE9" w:rsidRPr="003318BE">
        <w:rPr>
          <w:rFonts w:eastAsiaTheme="minorHAnsi"/>
          <w:lang w:val="fr-FR"/>
        </w:rPr>
        <w:t xml:space="preserve"> compatible</w:t>
      </w:r>
      <w:r w:rsidR="00801A4A" w:rsidRPr="003318BE">
        <w:rPr>
          <w:rFonts w:eastAsiaTheme="minorHAnsi"/>
          <w:lang w:val="fr-FR"/>
        </w:rPr>
        <w:t>s</w:t>
      </w:r>
      <w:r w:rsidR="00074BE9" w:rsidRPr="003318BE">
        <w:rPr>
          <w:rFonts w:eastAsiaTheme="minorHAnsi"/>
          <w:lang w:val="fr-FR"/>
        </w:rPr>
        <w:t xml:space="preserve"> avec l’exigence d’un examen rapide de l’allégation (art. 12 et 24).</w:t>
      </w:r>
    </w:p>
    <w:p w14:paraId="62D13EFD" w14:textId="743C5FB5" w:rsidR="00074BE9" w:rsidRPr="003318BE" w:rsidRDefault="00C53E2F" w:rsidP="00C53E2F">
      <w:pPr>
        <w:pStyle w:val="SingleTxtG"/>
        <w:rPr>
          <w:rFonts w:eastAsiaTheme="minorHAnsi"/>
          <w:lang w:val="fr-FR"/>
        </w:rPr>
      </w:pPr>
      <w:r w:rsidRPr="003318BE">
        <w:rPr>
          <w:rFonts w:eastAsiaTheme="minorHAnsi"/>
          <w:lang w:val="fr-FR"/>
        </w:rPr>
        <w:t>7.</w:t>
      </w:r>
      <w:r w:rsidRPr="003318BE">
        <w:rPr>
          <w:rFonts w:eastAsiaTheme="minorHAnsi"/>
          <w:lang w:val="fr-FR"/>
        </w:rPr>
        <w:tab/>
      </w:r>
      <w:r w:rsidR="00074BE9" w:rsidRPr="003318BE">
        <w:rPr>
          <w:rFonts w:eastAsiaTheme="minorHAnsi"/>
          <w:lang w:val="fr-FR"/>
        </w:rPr>
        <w:t xml:space="preserve">Indiquer si la pratique du canton de Thurgovie de confier l’affaire à un procureur extraordinaire issu d’un autre canton en cas d’implication d’une collaboratrice ou d’un collaborateur du </w:t>
      </w:r>
      <w:r w:rsidR="00BC744E" w:rsidRPr="003318BE">
        <w:rPr>
          <w:rFonts w:eastAsiaTheme="minorHAnsi"/>
          <w:lang w:val="fr-FR"/>
        </w:rPr>
        <w:t>m</w:t>
      </w:r>
      <w:r w:rsidR="00074BE9" w:rsidRPr="003318BE">
        <w:rPr>
          <w:rFonts w:eastAsiaTheme="minorHAnsi"/>
          <w:lang w:val="fr-FR"/>
        </w:rPr>
        <w:t>inistère public ou de la police cantonale dans une procédure (voir paragraphe 65 du rapport de l’État partie) existe aussi dans d’autres cantons et au niveau fédéral</w:t>
      </w:r>
      <w:r w:rsidR="00BC744E" w:rsidRPr="003318BE">
        <w:rPr>
          <w:rFonts w:eastAsiaTheme="minorHAnsi"/>
          <w:lang w:val="fr-FR"/>
        </w:rPr>
        <w:t>,</w:t>
      </w:r>
      <w:r w:rsidR="00074BE9" w:rsidRPr="003318BE">
        <w:rPr>
          <w:rFonts w:eastAsiaTheme="minorHAnsi"/>
          <w:lang w:val="fr-FR"/>
        </w:rPr>
        <w:t xml:space="preserve"> et/ou </w:t>
      </w:r>
      <w:r w:rsidR="00DE0262">
        <w:rPr>
          <w:rFonts w:eastAsiaTheme="minorHAnsi"/>
          <w:lang w:val="fr-FR"/>
        </w:rPr>
        <w:t>s’il existe aux niveaux cantonal et fédéral</w:t>
      </w:r>
      <w:r w:rsidR="00074BE9" w:rsidRPr="003318BE">
        <w:rPr>
          <w:rFonts w:eastAsiaTheme="minorHAnsi"/>
          <w:lang w:val="fr-FR"/>
        </w:rPr>
        <w:t xml:space="preserve"> des mécanismes procéduraux garantissant que les forces de l’ordre ou de sécurité ne participent pas </w:t>
      </w:r>
      <w:r w:rsidR="00EE73CF" w:rsidRPr="003318BE">
        <w:rPr>
          <w:rFonts w:eastAsiaTheme="minorHAnsi"/>
          <w:lang w:val="fr-FR"/>
        </w:rPr>
        <w:t xml:space="preserve">à </w:t>
      </w:r>
      <w:r w:rsidR="00074BE9" w:rsidRPr="00E22347">
        <w:rPr>
          <w:rFonts w:eastAsiaTheme="minorHAnsi"/>
          <w:lang w:val="fr-FR"/>
        </w:rPr>
        <w:t>une enquête se rapportant à une disparition forcée</w:t>
      </w:r>
      <w:r w:rsidR="00BC744E" w:rsidRPr="003318BE">
        <w:rPr>
          <w:rFonts w:eastAsiaTheme="minorHAnsi"/>
          <w:lang w:val="fr-FR"/>
        </w:rPr>
        <w:t>,</w:t>
      </w:r>
      <w:r w:rsidR="00074BE9" w:rsidRPr="003318BE">
        <w:rPr>
          <w:rFonts w:eastAsiaTheme="minorHAnsi"/>
          <w:lang w:val="fr-FR"/>
        </w:rPr>
        <w:t xml:space="preserve"> lorsqu’un ou plusieurs de leurs agents sont soupçonnés d’avoir été impliqués dans la commission de l’infraction en question (art. 12).</w:t>
      </w:r>
    </w:p>
    <w:p w14:paraId="106A561E" w14:textId="37F2AF50" w:rsidR="00074BE9" w:rsidRPr="003318BE" w:rsidRDefault="00C53E2F" w:rsidP="00C53E2F">
      <w:pPr>
        <w:pStyle w:val="SingleTxtG"/>
        <w:rPr>
          <w:rFonts w:eastAsiaTheme="minorHAnsi"/>
          <w:lang w:val="fr-FR"/>
        </w:rPr>
      </w:pPr>
      <w:r w:rsidRPr="003318BE">
        <w:rPr>
          <w:rFonts w:eastAsiaTheme="minorHAnsi"/>
          <w:lang w:val="fr-FR"/>
        </w:rPr>
        <w:t>8.</w:t>
      </w:r>
      <w:r w:rsidRPr="003318BE">
        <w:rPr>
          <w:rFonts w:eastAsiaTheme="minorHAnsi"/>
          <w:lang w:val="fr-FR"/>
        </w:rPr>
        <w:tab/>
      </w:r>
      <w:r w:rsidR="00074BE9" w:rsidRPr="003318BE">
        <w:rPr>
          <w:rFonts w:eastAsiaTheme="minorHAnsi"/>
          <w:lang w:val="fr-FR"/>
        </w:rPr>
        <w:t>Indiquer si et</w:t>
      </w:r>
      <w:r w:rsidR="001B19CE" w:rsidRPr="003318BE">
        <w:rPr>
          <w:rFonts w:eastAsiaTheme="minorHAnsi"/>
          <w:lang w:val="fr-FR"/>
        </w:rPr>
        <w:t>, le cas échéant,</w:t>
      </w:r>
      <w:r w:rsidR="00074BE9" w:rsidRPr="003318BE">
        <w:rPr>
          <w:rFonts w:eastAsiaTheme="minorHAnsi"/>
          <w:lang w:val="fr-FR"/>
        </w:rPr>
        <w:t xml:space="preserve"> dans quelle mesure les services et/ou les personnes désignés dans le cadre du réseau mis en place par la loi </w:t>
      </w:r>
      <w:r w:rsidR="001B19CE" w:rsidRPr="003318BE">
        <w:rPr>
          <w:rFonts w:eastAsiaTheme="minorHAnsi"/>
          <w:lang w:val="fr-FR"/>
        </w:rPr>
        <w:t>fédérale n</w:t>
      </w:r>
      <w:r w:rsidR="001B19CE" w:rsidRPr="00C53E2F">
        <w:rPr>
          <w:rFonts w:eastAsiaTheme="minorHAnsi"/>
          <w:vertAlign w:val="superscript"/>
          <w:lang w:val="fr-FR"/>
        </w:rPr>
        <w:t>o</w:t>
      </w:r>
      <w:r w:rsidR="001B19CE" w:rsidRPr="003318BE">
        <w:rPr>
          <w:rFonts w:eastAsiaTheme="minorHAnsi"/>
          <w:lang w:val="fr-FR"/>
        </w:rPr>
        <w:t xml:space="preserve"> 150.2 </w:t>
      </w:r>
      <w:r w:rsidR="00074BE9" w:rsidRPr="003318BE">
        <w:rPr>
          <w:rFonts w:eastAsiaTheme="minorHAnsi"/>
          <w:lang w:val="fr-FR"/>
        </w:rPr>
        <w:t xml:space="preserve">du 18 décembre 2015 </w:t>
      </w:r>
      <w:r w:rsidR="001B19CE" w:rsidRPr="003318BE">
        <w:rPr>
          <w:rFonts w:eastAsiaTheme="minorHAnsi"/>
          <w:lang w:val="fr-FR"/>
        </w:rPr>
        <w:t xml:space="preserve">relative à la Convention internationale pour la protection de toutes les personnes contre les disparitions forcées </w:t>
      </w:r>
      <w:r w:rsidR="00074BE9" w:rsidRPr="003318BE">
        <w:rPr>
          <w:rFonts w:eastAsiaTheme="minorHAnsi"/>
          <w:lang w:val="fr-FR"/>
        </w:rPr>
        <w:t>ont la possibilité d’avoir accès à tout lieu de détention et à tout autre lieu où il y a des motifs raisonnables de croire que la personne disparue est présente. Indiquer également si les recherches menées au sein du réseau sont limitées aux lieux officiels de privation de liberté (art. 12).</w:t>
      </w:r>
    </w:p>
    <w:p w14:paraId="5A766715" w14:textId="362B5899" w:rsidR="00074BE9" w:rsidRPr="003318BE" w:rsidRDefault="00C53E2F" w:rsidP="00C53E2F">
      <w:pPr>
        <w:pStyle w:val="SingleTxtG"/>
        <w:rPr>
          <w:rFonts w:eastAsiaTheme="minorHAnsi"/>
          <w:lang w:val="fr-FR"/>
        </w:rPr>
      </w:pPr>
      <w:r w:rsidRPr="003318BE">
        <w:rPr>
          <w:rFonts w:eastAsiaTheme="minorHAnsi"/>
          <w:lang w:val="fr-FR"/>
        </w:rPr>
        <w:t>9.</w:t>
      </w:r>
      <w:r w:rsidRPr="003318BE">
        <w:rPr>
          <w:rFonts w:eastAsiaTheme="minorHAnsi"/>
          <w:lang w:val="fr-FR"/>
        </w:rPr>
        <w:tab/>
      </w:r>
      <w:r w:rsidR="00074BE9" w:rsidRPr="003318BE">
        <w:rPr>
          <w:rFonts w:eastAsiaTheme="minorHAnsi"/>
          <w:lang w:val="fr-FR"/>
        </w:rPr>
        <w:t>Concernant l’information donnée au paragraphe 50 du rapport de l’État partie</w:t>
      </w:r>
      <w:r w:rsidR="00020A5F" w:rsidRPr="003318BE">
        <w:rPr>
          <w:rFonts w:eastAsiaTheme="minorHAnsi"/>
          <w:lang w:val="fr-FR"/>
        </w:rPr>
        <w:t>,</w:t>
      </w:r>
      <w:r w:rsidR="00074BE9" w:rsidRPr="003318BE">
        <w:rPr>
          <w:rFonts w:eastAsiaTheme="minorHAnsi"/>
          <w:lang w:val="fr-FR"/>
        </w:rPr>
        <w:t xml:space="preserve"> selon laquelle les r</w:t>
      </w:r>
      <w:r w:rsidR="001B19CE" w:rsidRPr="003318BE">
        <w:rPr>
          <w:rFonts w:eastAsiaTheme="minorHAnsi"/>
          <w:lang w:val="fr-FR"/>
        </w:rPr>
        <w:t>é</w:t>
      </w:r>
      <w:r w:rsidR="00074BE9" w:rsidRPr="003318BE">
        <w:rPr>
          <w:rFonts w:eastAsiaTheme="minorHAnsi"/>
          <w:lang w:val="fr-FR"/>
        </w:rPr>
        <w:t>glementations cantonales prévoient la mise à pied à titre conservatoire des employés valablement soupçonnés d’avoir commis un délit ou un crime, préciser si</w:t>
      </w:r>
      <w:r w:rsidR="001B19CE" w:rsidRPr="003318BE">
        <w:rPr>
          <w:rFonts w:eastAsiaTheme="minorHAnsi"/>
          <w:lang w:val="fr-FR"/>
        </w:rPr>
        <w:t> </w:t>
      </w:r>
      <w:r w:rsidR="00074BE9" w:rsidRPr="003318BE">
        <w:rPr>
          <w:rFonts w:eastAsiaTheme="minorHAnsi"/>
          <w:lang w:val="fr-FR"/>
        </w:rPr>
        <w:t>: a) des r</w:t>
      </w:r>
      <w:r w:rsidR="001B19CE" w:rsidRPr="003318BE">
        <w:rPr>
          <w:rFonts w:eastAsiaTheme="minorHAnsi"/>
          <w:lang w:val="fr-FR"/>
        </w:rPr>
        <w:t>é</w:t>
      </w:r>
      <w:r w:rsidR="00074BE9" w:rsidRPr="003318BE">
        <w:rPr>
          <w:rFonts w:eastAsiaTheme="minorHAnsi"/>
          <w:lang w:val="fr-FR"/>
        </w:rPr>
        <w:t>glementations similaires existent également au niveau fédéral</w:t>
      </w:r>
      <w:r w:rsidR="001B19CE" w:rsidRPr="003318BE">
        <w:rPr>
          <w:rFonts w:eastAsiaTheme="minorHAnsi"/>
          <w:lang w:val="fr-FR"/>
        </w:rPr>
        <w:t> </w:t>
      </w:r>
      <w:r w:rsidR="00074BE9" w:rsidRPr="003318BE">
        <w:rPr>
          <w:rFonts w:eastAsiaTheme="minorHAnsi"/>
          <w:lang w:val="fr-FR"/>
        </w:rPr>
        <w:t>; b) lesdites r</w:t>
      </w:r>
      <w:r w:rsidR="001B19CE" w:rsidRPr="003318BE">
        <w:rPr>
          <w:rFonts w:eastAsiaTheme="minorHAnsi"/>
          <w:lang w:val="fr-FR"/>
        </w:rPr>
        <w:t>é</w:t>
      </w:r>
      <w:r w:rsidR="00074BE9" w:rsidRPr="003318BE">
        <w:rPr>
          <w:rFonts w:eastAsiaTheme="minorHAnsi"/>
          <w:lang w:val="fr-FR"/>
        </w:rPr>
        <w:t>glementations sont applicables à tous les agents de l’État, qu’ils soient civils ou militaires</w:t>
      </w:r>
      <w:r w:rsidR="001B19CE" w:rsidRPr="003318BE">
        <w:rPr>
          <w:rFonts w:eastAsiaTheme="minorHAnsi"/>
          <w:lang w:val="fr-FR"/>
        </w:rPr>
        <w:t> </w:t>
      </w:r>
      <w:r w:rsidR="00074BE9" w:rsidRPr="003318BE">
        <w:rPr>
          <w:rFonts w:eastAsiaTheme="minorHAnsi"/>
          <w:lang w:val="fr-FR"/>
        </w:rPr>
        <w:t xml:space="preserve">; </w:t>
      </w:r>
      <w:r w:rsidR="001B19CE" w:rsidRPr="003318BE">
        <w:rPr>
          <w:rFonts w:eastAsiaTheme="minorHAnsi"/>
          <w:lang w:val="fr-FR"/>
        </w:rPr>
        <w:t xml:space="preserve">et </w:t>
      </w:r>
      <w:r w:rsidR="00074BE9" w:rsidRPr="003318BE">
        <w:rPr>
          <w:rFonts w:eastAsiaTheme="minorHAnsi"/>
          <w:lang w:val="fr-FR"/>
        </w:rPr>
        <w:t>c) la mise à pied à titre conservatoire s’applique dès le début de l’enquête et pendant toute sa durée (art.</w:t>
      </w:r>
      <w:r w:rsidR="000820D0">
        <w:rPr>
          <w:rFonts w:eastAsiaTheme="minorHAnsi"/>
          <w:lang w:val="fr-FR"/>
        </w:rPr>
        <w:t> </w:t>
      </w:r>
      <w:r w:rsidR="00074BE9" w:rsidRPr="003318BE">
        <w:rPr>
          <w:rFonts w:eastAsiaTheme="minorHAnsi"/>
          <w:lang w:val="fr-FR"/>
        </w:rPr>
        <w:t xml:space="preserve">12). </w:t>
      </w:r>
    </w:p>
    <w:p w14:paraId="0B5D7496" w14:textId="06C106B7" w:rsidR="00074BE9" w:rsidRPr="003318BE" w:rsidRDefault="00C53E2F" w:rsidP="00C53E2F">
      <w:pPr>
        <w:pStyle w:val="SingleTxtG"/>
        <w:rPr>
          <w:rFonts w:eastAsiaTheme="minorHAnsi"/>
          <w:lang w:val="fr-FR"/>
        </w:rPr>
      </w:pPr>
      <w:r w:rsidRPr="003318BE">
        <w:rPr>
          <w:rFonts w:eastAsiaTheme="minorHAnsi"/>
          <w:lang w:val="fr-FR"/>
        </w:rPr>
        <w:t>10.</w:t>
      </w:r>
      <w:r w:rsidRPr="003318BE">
        <w:rPr>
          <w:rFonts w:eastAsiaTheme="minorHAnsi"/>
          <w:lang w:val="fr-FR"/>
        </w:rPr>
        <w:tab/>
      </w:r>
      <w:r w:rsidR="00074BE9" w:rsidRPr="003318BE">
        <w:rPr>
          <w:rFonts w:eastAsiaTheme="minorHAnsi"/>
          <w:lang w:val="fr-FR"/>
        </w:rPr>
        <w:t xml:space="preserve">En ce qui concerne la loi fédérale </w:t>
      </w:r>
      <w:r w:rsidR="001B19CE" w:rsidRPr="003318BE">
        <w:rPr>
          <w:rFonts w:eastAsiaTheme="minorHAnsi"/>
          <w:lang w:val="fr-FR"/>
        </w:rPr>
        <w:t>n</w:t>
      </w:r>
      <w:r w:rsidR="001B19CE" w:rsidRPr="00C53E2F">
        <w:rPr>
          <w:rFonts w:eastAsiaTheme="minorHAnsi"/>
          <w:vertAlign w:val="superscript"/>
          <w:lang w:val="fr-FR"/>
        </w:rPr>
        <w:t>o</w:t>
      </w:r>
      <w:r w:rsidR="001B19CE" w:rsidRPr="003318BE">
        <w:rPr>
          <w:rFonts w:eastAsiaTheme="minorHAnsi"/>
          <w:lang w:val="fr-FR"/>
        </w:rPr>
        <w:t xml:space="preserve"> 312.2 du 23 décembre 2011 </w:t>
      </w:r>
      <w:r w:rsidR="00074BE9" w:rsidRPr="003318BE">
        <w:rPr>
          <w:rFonts w:eastAsiaTheme="minorHAnsi"/>
          <w:lang w:val="fr-FR"/>
        </w:rPr>
        <w:t xml:space="preserve">sur la protection </w:t>
      </w:r>
      <w:proofErr w:type="spellStart"/>
      <w:r w:rsidR="00A95D56" w:rsidRPr="003318BE">
        <w:rPr>
          <w:rFonts w:eastAsiaTheme="minorHAnsi"/>
          <w:lang w:val="fr-FR"/>
        </w:rPr>
        <w:t>extraprocédurale</w:t>
      </w:r>
      <w:proofErr w:type="spellEnd"/>
      <w:r w:rsidR="00074BE9" w:rsidRPr="003318BE">
        <w:rPr>
          <w:rFonts w:eastAsiaTheme="minorHAnsi"/>
          <w:lang w:val="fr-FR"/>
        </w:rPr>
        <w:t xml:space="preserve"> des témoins évoquée au paragraphe 72 du rapport de l’État partie : a)</w:t>
      </w:r>
      <w:r w:rsidR="000820D0">
        <w:rPr>
          <w:rFonts w:eastAsiaTheme="minorHAnsi"/>
          <w:lang w:val="fr-FR"/>
        </w:rPr>
        <w:t> </w:t>
      </w:r>
      <w:r w:rsidR="00074BE9" w:rsidRPr="003318BE">
        <w:rPr>
          <w:rFonts w:eastAsiaTheme="minorHAnsi"/>
          <w:lang w:val="fr-FR"/>
        </w:rPr>
        <w:t>indiquer si la loi s’appliquerait à toutes les personnes visées au paragraphe 1 de l’article</w:t>
      </w:r>
      <w:r w:rsidR="000820D0">
        <w:rPr>
          <w:rFonts w:eastAsiaTheme="minorHAnsi"/>
          <w:lang w:val="fr-FR"/>
        </w:rPr>
        <w:t> </w:t>
      </w:r>
      <w:r w:rsidR="00074BE9" w:rsidRPr="003318BE">
        <w:rPr>
          <w:rFonts w:eastAsiaTheme="minorHAnsi"/>
          <w:lang w:val="fr-FR"/>
        </w:rPr>
        <w:t xml:space="preserve">12 de la Convention ; b) décrire le type des mesures de protection qui peuvent être accordées et leurs procédures d’application, en indiquant si les personnes devant bénéficier d’une protection sont consultées sur les mesures à prendre ; et c) indiquer s’il existe des mécanismes pour garantir que les forces de l’ordre ou de sécurité dont les membres sont soupçonnés d’avoir </w:t>
      </w:r>
      <w:r w:rsidR="00914D42" w:rsidRPr="003318BE">
        <w:rPr>
          <w:rFonts w:eastAsiaTheme="minorHAnsi"/>
          <w:lang w:val="fr-FR"/>
        </w:rPr>
        <w:t>été</w:t>
      </w:r>
      <w:r w:rsidR="00074BE9" w:rsidRPr="003318BE">
        <w:rPr>
          <w:rFonts w:eastAsiaTheme="minorHAnsi"/>
          <w:lang w:val="fr-FR"/>
        </w:rPr>
        <w:t xml:space="preserve"> impliqués dans une disparition forcée ne participent pas à la mise en œuvre des mesures de protection (art. 12).</w:t>
      </w:r>
    </w:p>
    <w:p w14:paraId="1B4E5DCF" w14:textId="77777777" w:rsidR="00074BE9" w:rsidRPr="003318BE" w:rsidRDefault="00074BE9" w:rsidP="00074BE9">
      <w:pPr>
        <w:keepNext/>
        <w:keepLines/>
        <w:tabs>
          <w:tab w:val="right" w:pos="851"/>
        </w:tabs>
        <w:spacing w:before="360" w:after="240" w:line="300" w:lineRule="exact"/>
        <w:ind w:left="1134" w:right="1134" w:hanging="1134"/>
        <w:rPr>
          <w:rFonts w:eastAsiaTheme="minorHAnsi"/>
          <w:b/>
          <w:sz w:val="28"/>
          <w:lang w:val="fr-FR"/>
        </w:rPr>
      </w:pPr>
      <w:r w:rsidRPr="003318BE">
        <w:rPr>
          <w:rFonts w:eastAsiaTheme="minorHAnsi"/>
          <w:b/>
          <w:sz w:val="28"/>
          <w:lang w:val="fr-FR"/>
        </w:rPr>
        <w:tab/>
        <w:t>IV.</w:t>
      </w:r>
      <w:r w:rsidRPr="003318BE">
        <w:rPr>
          <w:rFonts w:eastAsiaTheme="minorHAnsi"/>
          <w:b/>
          <w:sz w:val="28"/>
          <w:lang w:val="fr-FR"/>
        </w:rPr>
        <w:tab/>
        <w:t>Mesures de prévention des disparitions forcées (art. 16 à 23)</w:t>
      </w:r>
    </w:p>
    <w:p w14:paraId="28719455" w14:textId="5549AEBA" w:rsidR="00074BE9" w:rsidRPr="003318BE" w:rsidRDefault="00C53E2F" w:rsidP="00C53E2F">
      <w:pPr>
        <w:pStyle w:val="SingleTxtG"/>
        <w:rPr>
          <w:rFonts w:eastAsiaTheme="minorHAnsi"/>
          <w:lang w:val="fr-FR"/>
        </w:rPr>
      </w:pPr>
      <w:r w:rsidRPr="003318BE">
        <w:rPr>
          <w:rFonts w:eastAsiaTheme="minorHAnsi"/>
          <w:lang w:val="fr-FR"/>
        </w:rPr>
        <w:t>11.</w:t>
      </w:r>
      <w:r w:rsidRPr="003318BE">
        <w:rPr>
          <w:rFonts w:eastAsiaTheme="minorHAnsi"/>
          <w:lang w:val="fr-FR"/>
        </w:rPr>
        <w:tab/>
      </w:r>
      <w:r w:rsidR="00074BE9" w:rsidRPr="003318BE">
        <w:rPr>
          <w:rFonts w:eastAsiaTheme="minorHAnsi"/>
          <w:lang w:val="fr-FR"/>
        </w:rPr>
        <w:t>Fournir des informations supplémentaires sur les mesures prises pour garantir, dans la pratique, le respect absolu du principe de non-refoulement consacré au paragraphe 1 de l’article 16 de la Convention. Indiquer également</w:t>
      </w:r>
      <w:r w:rsidR="0005751A" w:rsidRPr="003318BE">
        <w:rPr>
          <w:rFonts w:eastAsiaTheme="minorHAnsi"/>
          <w:lang w:val="fr-FR"/>
        </w:rPr>
        <w:t> </w:t>
      </w:r>
      <w:r w:rsidR="00074BE9" w:rsidRPr="003318BE">
        <w:rPr>
          <w:rFonts w:eastAsiaTheme="minorHAnsi"/>
          <w:lang w:val="fr-FR"/>
        </w:rPr>
        <w:t xml:space="preserve">: a) </w:t>
      </w:r>
      <w:r w:rsidR="0005751A" w:rsidRPr="003318BE">
        <w:rPr>
          <w:rFonts w:eastAsiaTheme="minorHAnsi"/>
          <w:lang w:val="fr-FR"/>
        </w:rPr>
        <w:t>l</w:t>
      </w:r>
      <w:r w:rsidR="00074BE9" w:rsidRPr="003318BE">
        <w:rPr>
          <w:rFonts w:eastAsiaTheme="minorHAnsi"/>
          <w:lang w:val="fr-FR"/>
        </w:rPr>
        <w:t>es mesures envisagées pour que les données concernant les migrants, en particulier les mineurs, soient dûment enregistré</w:t>
      </w:r>
      <w:r w:rsidR="0005751A" w:rsidRPr="003318BE">
        <w:rPr>
          <w:rFonts w:eastAsiaTheme="minorHAnsi"/>
          <w:lang w:val="fr-FR"/>
        </w:rPr>
        <w:t>e</w:t>
      </w:r>
      <w:r w:rsidR="00074BE9" w:rsidRPr="003318BE">
        <w:rPr>
          <w:rFonts w:eastAsiaTheme="minorHAnsi"/>
          <w:lang w:val="fr-FR"/>
        </w:rPr>
        <w:t>s et conservé</w:t>
      </w:r>
      <w:r w:rsidR="0005751A" w:rsidRPr="003318BE">
        <w:rPr>
          <w:rFonts w:eastAsiaTheme="minorHAnsi"/>
          <w:lang w:val="fr-FR"/>
        </w:rPr>
        <w:t>e</w:t>
      </w:r>
      <w:r w:rsidR="00074BE9" w:rsidRPr="003318BE">
        <w:rPr>
          <w:rFonts w:eastAsiaTheme="minorHAnsi"/>
          <w:lang w:val="fr-FR"/>
        </w:rPr>
        <w:t>s</w:t>
      </w:r>
      <w:r w:rsidR="0005751A" w:rsidRPr="003318BE">
        <w:rPr>
          <w:rFonts w:eastAsiaTheme="minorHAnsi"/>
          <w:lang w:val="fr-FR"/>
        </w:rPr>
        <w:t> </w:t>
      </w:r>
      <w:r w:rsidR="00074BE9" w:rsidRPr="003318BE">
        <w:rPr>
          <w:rFonts w:eastAsiaTheme="minorHAnsi"/>
          <w:lang w:val="fr-FR"/>
        </w:rPr>
        <w:t xml:space="preserve">; b) si une évaluation individuelle </w:t>
      </w:r>
      <w:r w:rsidR="009E78D5" w:rsidRPr="003318BE">
        <w:rPr>
          <w:rFonts w:eastAsiaTheme="minorHAnsi"/>
          <w:lang w:val="fr-FR"/>
        </w:rPr>
        <w:t xml:space="preserve">et </w:t>
      </w:r>
      <w:r w:rsidR="00074BE9" w:rsidRPr="003318BE">
        <w:rPr>
          <w:rFonts w:eastAsiaTheme="minorHAnsi"/>
          <w:lang w:val="fr-FR"/>
        </w:rPr>
        <w:t xml:space="preserve">exhaustive </w:t>
      </w:r>
      <w:r w:rsidR="009E78D5" w:rsidRPr="003318BE">
        <w:rPr>
          <w:rFonts w:eastAsiaTheme="minorHAnsi"/>
          <w:lang w:val="fr-FR"/>
        </w:rPr>
        <w:t>du</w:t>
      </w:r>
      <w:r w:rsidR="00074BE9" w:rsidRPr="003318BE">
        <w:rPr>
          <w:rFonts w:eastAsiaTheme="minorHAnsi"/>
          <w:lang w:val="fr-FR"/>
        </w:rPr>
        <w:t xml:space="preserve"> risque qu’une personne soit victime d’une disparition forcée</w:t>
      </w:r>
      <w:r w:rsidR="009E78D5" w:rsidRPr="003318BE">
        <w:rPr>
          <w:rFonts w:eastAsiaTheme="minorHAnsi"/>
          <w:lang w:val="fr-FR"/>
        </w:rPr>
        <w:t>,</w:t>
      </w:r>
      <w:r w:rsidR="00074BE9" w:rsidRPr="003318BE">
        <w:rPr>
          <w:rFonts w:eastAsiaTheme="minorHAnsi"/>
          <w:lang w:val="fr-FR"/>
        </w:rPr>
        <w:t xml:space="preserve"> </w:t>
      </w:r>
      <w:r w:rsidR="009E78D5" w:rsidRPr="003318BE">
        <w:rPr>
          <w:rFonts w:eastAsiaTheme="minorHAnsi"/>
          <w:lang w:val="fr-FR"/>
        </w:rPr>
        <w:t>dans le cas où</w:t>
      </w:r>
      <w:r w:rsidR="00074BE9" w:rsidRPr="003318BE">
        <w:rPr>
          <w:rFonts w:eastAsiaTheme="minorHAnsi"/>
          <w:lang w:val="fr-FR"/>
        </w:rPr>
        <w:t xml:space="preserve"> elle </w:t>
      </w:r>
      <w:r w:rsidR="009E78D5" w:rsidRPr="003318BE">
        <w:rPr>
          <w:rFonts w:eastAsiaTheme="minorHAnsi"/>
          <w:lang w:val="fr-FR"/>
        </w:rPr>
        <w:t>serait</w:t>
      </w:r>
      <w:r w:rsidR="00074BE9" w:rsidRPr="003318BE">
        <w:rPr>
          <w:rFonts w:eastAsiaTheme="minorHAnsi"/>
          <w:lang w:val="fr-FR"/>
        </w:rPr>
        <w:t xml:space="preserve"> renvoyée dans son pays d’origine</w:t>
      </w:r>
      <w:r w:rsidR="009E78D5" w:rsidRPr="003318BE">
        <w:rPr>
          <w:rFonts w:eastAsiaTheme="minorHAnsi"/>
          <w:lang w:val="fr-FR"/>
        </w:rPr>
        <w:t>,</w:t>
      </w:r>
      <w:r w:rsidR="00074BE9" w:rsidRPr="003318BE">
        <w:rPr>
          <w:rFonts w:eastAsiaTheme="minorHAnsi"/>
          <w:lang w:val="fr-FR"/>
        </w:rPr>
        <w:t xml:space="preserve"> est effectuée lorsque l’entrée </w:t>
      </w:r>
      <w:r w:rsidR="009E78D5" w:rsidRPr="003318BE">
        <w:rPr>
          <w:rFonts w:eastAsiaTheme="minorHAnsi"/>
          <w:lang w:val="fr-FR"/>
        </w:rPr>
        <w:t xml:space="preserve">lui </w:t>
      </w:r>
      <w:r w:rsidR="00074BE9" w:rsidRPr="003318BE">
        <w:rPr>
          <w:rFonts w:eastAsiaTheme="minorHAnsi"/>
          <w:lang w:val="fr-FR"/>
        </w:rPr>
        <w:t>est refusée à l’aéroport ou aux frontières</w:t>
      </w:r>
      <w:r w:rsidR="009E78D5" w:rsidRPr="003318BE">
        <w:rPr>
          <w:rFonts w:eastAsiaTheme="minorHAnsi"/>
          <w:lang w:val="fr-FR"/>
        </w:rPr>
        <w:t> </w:t>
      </w:r>
      <w:r w:rsidR="00074BE9" w:rsidRPr="003318BE">
        <w:rPr>
          <w:rFonts w:eastAsiaTheme="minorHAnsi"/>
          <w:lang w:val="fr-FR"/>
        </w:rPr>
        <w:t xml:space="preserve">; et c) si, avant </w:t>
      </w:r>
      <w:r w:rsidR="009E78D5" w:rsidRPr="003318BE">
        <w:rPr>
          <w:rFonts w:eastAsiaTheme="minorHAnsi"/>
          <w:lang w:val="fr-FR"/>
        </w:rPr>
        <w:t xml:space="preserve">de </w:t>
      </w:r>
      <w:r w:rsidR="00074BE9" w:rsidRPr="003318BE">
        <w:rPr>
          <w:rFonts w:eastAsiaTheme="minorHAnsi"/>
          <w:lang w:val="fr-FR"/>
        </w:rPr>
        <w:t xml:space="preserve">procéder à l’expulsion, </w:t>
      </w:r>
      <w:r w:rsidR="009E78D5" w:rsidRPr="003318BE">
        <w:rPr>
          <w:rFonts w:eastAsiaTheme="minorHAnsi"/>
          <w:lang w:val="fr-FR"/>
        </w:rPr>
        <w:t xml:space="preserve">au </w:t>
      </w:r>
      <w:r w:rsidR="00074BE9" w:rsidRPr="003318BE">
        <w:rPr>
          <w:rFonts w:eastAsiaTheme="minorHAnsi"/>
          <w:lang w:val="fr-FR"/>
        </w:rPr>
        <w:t xml:space="preserve">refoulement ou </w:t>
      </w:r>
      <w:r w:rsidR="009E78D5" w:rsidRPr="003318BE">
        <w:rPr>
          <w:rFonts w:eastAsiaTheme="minorHAnsi"/>
          <w:lang w:val="fr-FR"/>
        </w:rPr>
        <w:t>à l’</w:t>
      </w:r>
      <w:r w:rsidR="00074BE9" w:rsidRPr="003318BE">
        <w:rPr>
          <w:rFonts w:eastAsiaTheme="minorHAnsi"/>
          <w:lang w:val="fr-FR"/>
        </w:rPr>
        <w:t xml:space="preserve">extradition d’une personne </w:t>
      </w:r>
      <w:r w:rsidR="009E78D5" w:rsidRPr="003318BE">
        <w:rPr>
          <w:rFonts w:eastAsiaTheme="minorHAnsi"/>
          <w:lang w:val="fr-FR"/>
        </w:rPr>
        <w:t>vers</w:t>
      </w:r>
      <w:r w:rsidR="00074BE9" w:rsidRPr="003318BE">
        <w:rPr>
          <w:rFonts w:eastAsiaTheme="minorHAnsi"/>
          <w:lang w:val="fr-FR"/>
        </w:rPr>
        <w:t xml:space="preserve"> un pays considéré comme « sûr », une évaluation individuelle </w:t>
      </w:r>
      <w:r w:rsidR="009E78D5" w:rsidRPr="003318BE">
        <w:rPr>
          <w:rFonts w:eastAsiaTheme="minorHAnsi"/>
          <w:lang w:val="fr-FR"/>
        </w:rPr>
        <w:t xml:space="preserve">et </w:t>
      </w:r>
      <w:r w:rsidR="00074BE9" w:rsidRPr="003318BE">
        <w:rPr>
          <w:rFonts w:eastAsiaTheme="minorHAnsi"/>
          <w:lang w:val="fr-FR"/>
        </w:rPr>
        <w:t>exhaustive est effectuée quant au risque que la personne concernée soit victime d’une disparition forcée</w:t>
      </w:r>
      <w:r w:rsidR="009E78D5" w:rsidRPr="003318BE">
        <w:rPr>
          <w:rFonts w:eastAsiaTheme="minorHAnsi"/>
          <w:lang w:val="fr-FR"/>
        </w:rPr>
        <w:t>,</w:t>
      </w:r>
      <w:r w:rsidR="00074BE9" w:rsidRPr="003318BE">
        <w:rPr>
          <w:rFonts w:eastAsiaTheme="minorHAnsi"/>
          <w:lang w:val="fr-FR"/>
        </w:rPr>
        <w:t xml:space="preserve"> et/ou s’il est tenu compte de la possibilité que, après avoir été transféré</w:t>
      </w:r>
      <w:r w:rsidR="009E78D5" w:rsidRPr="003318BE">
        <w:rPr>
          <w:rFonts w:eastAsiaTheme="minorHAnsi"/>
          <w:lang w:val="fr-FR"/>
        </w:rPr>
        <w:t>e</w:t>
      </w:r>
      <w:r w:rsidR="00074BE9" w:rsidRPr="003318BE">
        <w:rPr>
          <w:rFonts w:eastAsiaTheme="minorHAnsi"/>
          <w:lang w:val="fr-FR"/>
        </w:rPr>
        <w:t xml:space="preserve"> vers un État considéré comme « sûr », la personne puisse ensuite être transféré</w:t>
      </w:r>
      <w:r w:rsidR="009E78D5" w:rsidRPr="003318BE">
        <w:rPr>
          <w:rFonts w:eastAsiaTheme="minorHAnsi"/>
          <w:lang w:val="fr-FR"/>
        </w:rPr>
        <w:t>e</w:t>
      </w:r>
      <w:r w:rsidR="00074BE9" w:rsidRPr="003318BE">
        <w:rPr>
          <w:rFonts w:eastAsiaTheme="minorHAnsi"/>
          <w:lang w:val="fr-FR"/>
        </w:rPr>
        <w:t xml:space="preserve"> vers un autre État où elle pourrait être exposée à un risque de disparition forcée (art. 16).</w:t>
      </w:r>
    </w:p>
    <w:p w14:paraId="28545B52" w14:textId="2551FC52" w:rsidR="00074BE9" w:rsidRPr="003318BE" w:rsidRDefault="00C53E2F" w:rsidP="00C53E2F">
      <w:pPr>
        <w:pStyle w:val="SingleTxtG"/>
        <w:rPr>
          <w:rFonts w:eastAsiaTheme="minorHAnsi"/>
          <w:lang w:val="fr-FR"/>
        </w:rPr>
      </w:pPr>
      <w:r w:rsidRPr="003318BE">
        <w:rPr>
          <w:rFonts w:eastAsiaTheme="minorHAnsi"/>
          <w:lang w:val="fr-FR"/>
        </w:rPr>
        <w:t>12.</w:t>
      </w:r>
      <w:r w:rsidRPr="003318BE">
        <w:rPr>
          <w:rFonts w:eastAsiaTheme="minorHAnsi"/>
          <w:lang w:val="fr-FR"/>
        </w:rPr>
        <w:tab/>
      </w:r>
      <w:r w:rsidR="00074BE9" w:rsidRPr="003318BE">
        <w:rPr>
          <w:rFonts w:eastAsiaTheme="minorHAnsi"/>
          <w:lang w:val="fr-FR"/>
        </w:rPr>
        <w:t xml:space="preserve">Concernant le paragraphe 83 du rapport de l’État partie, indiquer si la Suisse a déjà exigé des garanties à un État requérant une extradition car il existait des raisons de croire que la personne risquait d’être victime d’une disparition forcée. </w:t>
      </w:r>
      <w:r w:rsidR="009E78D5" w:rsidRPr="003318BE">
        <w:rPr>
          <w:rFonts w:eastAsiaTheme="minorHAnsi"/>
          <w:lang w:val="fr-FR"/>
        </w:rPr>
        <w:t>En ce qui a trait</w:t>
      </w:r>
      <w:r w:rsidR="00074BE9" w:rsidRPr="003318BE">
        <w:rPr>
          <w:rFonts w:eastAsiaTheme="minorHAnsi"/>
          <w:lang w:val="fr-FR"/>
        </w:rPr>
        <w:t xml:space="preserve"> au paragraphe</w:t>
      </w:r>
      <w:r w:rsidR="000820D0">
        <w:rPr>
          <w:rFonts w:eastAsiaTheme="minorHAnsi"/>
          <w:lang w:val="fr-FR"/>
        </w:rPr>
        <w:t> </w:t>
      </w:r>
      <w:r w:rsidR="00074BE9" w:rsidRPr="003318BE">
        <w:rPr>
          <w:rFonts w:eastAsiaTheme="minorHAnsi"/>
          <w:lang w:val="fr-FR"/>
        </w:rPr>
        <w:t>87 du rapport de l’État partie</w:t>
      </w:r>
      <w:r w:rsidR="009E78D5" w:rsidRPr="003318BE">
        <w:rPr>
          <w:rFonts w:eastAsiaTheme="minorHAnsi"/>
          <w:lang w:val="fr-FR"/>
        </w:rPr>
        <w:t>,</w:t>
      </w:r>
      <w:r w:rsidR="00074BE9" w:rsidRPr="003318BE">
        <w:rPr>
          <w:rFonts w:eastAsiaTheme="minorHAnsi"/>
          <w:lang w:val="fr-FR"/>
        </w:rPr>
        <w:t xml:space="preserve"> relatif aux procédures de recours en matière d’extradition, préciser si les recours contre les décisions d’expulsion ont également un effet suspensif (art.</w:t>
      </w:r>
      <w:r w:rsidR="000820D0">
        <w:rPr>
          <w:rFonts w:eastAsiaTheme="minorHAnsi"/>
          <w:lang w:val="fr-FR"/>
        </w:rPr>
        <w:t> </w:t>
      </w:r>
      <w:r w:rsidR="00074BE9" w:rsidRPr="003318BE">
        <w:rPr>
          <w:rFonts w:eastAsiaTheme="minorHAnsi"/>
          <w:lang w:val="fr-FR"/>
        </w:rPr>
        <w:t xml:space="preserve">16). </w:t>
      </w:r>
    </w:p>
    <w:p w14:paraId="4740157B" w14:textId="04ED7945" w:rsidR="00074BE9" w:rsidRPr="003318BE" w:rsidRDefault="00C53E2F" w:rsidP="00C53E2F">
      <w:pPr>
        <w:pStyle w:val="SingleTxtG"/>
        <w:rPr>
          <w:rFonts w:eastAsiaTheme="minorHAnsi"/>
          <w:lang w:val="fr-FR"/>
        </w:rPr>
      </w:pPr>
      <w:r w:rsidRPr="003318BE">
        <w:rPr>
          <w:rFonts w:eastAsiaTheme="minorHAnsi"/>
          <w:lang w:val="fr-FR"/>
        </w:rPr>
        <w:t>13.</w:t>
      </w:r>
      <w:r w:rsidRPr="003318BE">
        <w:rPr>
          <w:rFonts w:eastAsiaTheme="minorHAnsi"/>
          <w:lang w:val="fr-FR"/>
        </w:rPr>
        <w:tab/>
      </w:r>
      <w:r w:rsidR="00074BE9" w:rsidRPr="003318BE">
        <w:rPr>
          <w:rFonts w:eastAsiaTheme="minorHAnsi"/>
          <w:lang w:val="fr-FR"/>
        </w:rPr>
        <w:t>Indiquer si la Commission nationale de prévention de la torture dispose de ressources humaines, financières et techniques suffisantes pour s’acquitter de ses fonctions efficacement et en toute indépendance. Donner également des renseignements concernant les garanties mises en place pour permettre à la Commission d’accéder immédiatement et sans restrictions à tous les lieux de privation de liberté</w:t>
      </w:r>
      <w:r w:rsidR="009E78D5" w:rsidRPr="003318BE">
        <w:rPr>
          <w:rFonts w:eastAsiaTheme="minorHAnsi"/>
          <w:lang w:val="fr-FR"/>
        </w:rPr>
        <w:t>,</w:t>
      </w:r>
      <w:r w:rsidR="00074BE9" w:rsidRPr="003318BE">
        <w:rPr>
          <w:rFonts w:eastAsiaTheme="minorHAnsi"/>
          <w:lang w:val="fr-FR"/>
        </w:rPr>
        <w:t xml:space="preserve"> et préciser si la Commission a la possibilité d’effectuer des inspections inopinées (art. 17). </w:t>
      </w:r>
    </w:p>
    <w:p w14:paraId="0084EE79" w14:textId="4436C9EE" w:rsidR="00074BE9" w:rsidRPr="003318BE" w:rsidRDefault="00C53E2F" w:rsidP="00C53E2F">
      <w:pPr>
        <w:pStyle w:val="SingleTxtG"/>
        <w:rPr>
          <w:rFonts w:eastAsiaTheme="minorHAnsi"/>
          <w:lang w:val="fr-FR"/>
        </w:rPr>
      </w:pPr>
      <w:r w:rsidRPr="003318BE">
        <w:rPr>
          <w:rFonts w:eastAsiaTheme="minorHAnsi"/>
          <w:lang w:val="fr-FR"/>
        </w:rPr>
        <w:t>14.</w:t>
      </w:r>
      <w:r w:rsidRPr="003318BE">
        <w:rPr>
          <w:rFonts w:eastAsiaTheme="minorHAnsi"/>
          <w:lang w:val="fr-FR"/>
        </w:rPr>
        <w:tab/>
      </w:r>
      <w:r w:rsidR="00074BE9" w:rsidRPr="003318BE">
        <w:rPr>
          <w:rFonts w:eastAsiaTheme="minorHAnsi"/>
          <w:lang w:val="fr-FR"/>
        </w:rPr>
        <w:t xml:space="preserve">Indiquer les mesures prises pour garantir dans la pratique que, dès le début de toute privation de liberté, y compris </w:t>
      </w:r>
      <w:r w:rsidR="009E78D5" w:rsidRPr="003318BE">
        <w:rPr>
          <w:rFonts w:eastAsiaTheme="minorHAnsi"/>
          <w:lang w:val="fr-FR"/>
        </w:rPr>
        <w:t xml:space="preserve">lors de </w:t>
      </w:r>
      <w:r w:rsidR="00074BE9" w:rsidRPr="003318BE">
        <w:rPr>
          <w:rFonts w:eastAsiaTheme="minorHAnsi"/>
          <w:lang w:val="fr-FR"/>
        </w:rPr>
        <w:t>l’appréhension, toutes les personnes privées de liberté ont accès à un avocat et peuvent informer leur famille ou toute autre personne de leur choix, y compris leurs autorités consulaires dans le cas de ressortissants étrangers. À cet égard, indiquer si des plaintes ou des allégations faisant état du non</w:t>
      </w:r>
      <w:r w:rsidR="00074BE9" w:rsidRPr="003318BE">
        <w:rPr>
          <w:rFonts w:eastAsiaTheme="minorHAnsi"/>
          <w:lang w:val="fr-FR"/>
        </w:rPr>
        <w:noBreakHyphen/>
        <w:t xml:space="preserve">respect de ces droits ont été formulées et, dans l’affirmative, fournir des renseignements sur les procédures engagées et l’issue de celles-ci, y compris sur toute sanction qui aurait pu être imposée. Indiquer si, en dehors du régime du placement à des fins d’assistance, le droit suisse reconnaît à toute personne ayant un intérêt légitime le droit, en toutes circonstances, d’introduire un recours devant un tribunal afin que celui-ci statue à bref délai sur la légalité de la privation de liberté (art. 17). </w:t>
      </w:r>
    </w:p>
    <w:p w14:paraId="06BD42D2" w14:textId="2669CEFF" w:rsidR="00074BE9" w:rsidRPr="003318BE" w:rsidRDefault="00C53E2F" w:rsidP="00C53E2F">
      <w:pPr>
        <w:pStyle w:val="SingleTxtG"/>
        <w:rPr>
          <w:rFonts w:eastAsiaTheme="minorHAnsi"/>
          <w:lang w:val="fr-FR"/>
        </w:rPr>
      </w:pPr>
      <w:r w:rsidRPr="003318BE">
        <w:rPr>
          <w:rFonts w:eastAsiaTheme="minorHAnsi"/>
          <w:lang w:val="fr-FR"/>
        </w:rPr>
        <w:t>15.</w:t>
      </w:r>
      <w:r w:rsidRPr="003318BE">
        <w:rPr>
          <w:rFonts w:eastAsiaTheme="minorHAnsi"/>
          <w:lang w:val="fr-FR"/>
        </w:rPr>
        <w:tab/>
      </w:r>
      <w:r w:rsidR="00074BE9" w:rsidRPr="003318BE">
        <w:rPr>
          <w:rFonts w:eastAsiaTheme="minorHAnsi"/>
          <w:lang w:val="fr-FR"/>
        </w:rPr>
        <w:t>En ce qui concerne l’article 214 du Code de procédure pénale, préciser dans quels cas le « but de l’instruction » interdirait de communiquer l’information sur la privation de la liberté aux proches de la personne concernée</w:t>
      </w:r>
      <w:r w:rsidR="000F736A" w:rsidRPr="003318BE">
        <w:rPr>
          <w:rFonts w:eastAsiaTheme="minorHAnsi"/>
          <w:lang w:val="fr-FR"/>
        </w:rPr>
        <w:t>,</w:t>
      </w:r>
      <w:r w:rsidR="00074BE9" w:rsidRPr="003318BE">
        <w:rPr>
          <w:rFonts w:eastAsiaTheme="minorHAnsi"/>
          <w:lang w:val="fr-FR"/>
        </w:rPr>
        <w:t xml:space="preserve"> et pendant combien de temps les autorités peuvent retarder la communication de ladite information aux proches. Expliquer de quelle manière il est garanti qu’en cas de refus de communication d’information, la personne se trouve effectivement sous la protection de la loi (</w:t>
      </w:r>
      <w:r w:rsidR="00EE73CF" w:rsidRPr="003318BE">
        <w:rPr>
          <w:rFonts w:eastAsiaTheme="minorHAnsi"/>
          <w:lang w:val="fr-FR"/>
        </w:rPr>
        <w:t xml:space="preserve">art. </w:t>
      </w:r>
      <w:r w:rsidR="00074BE9" w:rsidRPr="003318BE">
        <w:rPr>
          <w:rFonts w:eastAsiaTheme="minorHAnsi"/>
          <w:lang w:val="fr-FR"/>
        </w:rPr>
        <w:t>17</w:t>
      </w:r>
      <w:r w:rsidR="00EE73CF" w:rsidRPr="003318BE">
        <w:rPr>
          <w:rFonts w:eastAsiaTheme="minorHAnsi"/>
          <w:lang w:val="fr-FR"/>
        </w:rPr>
        <w:t xml:space="preserve"> à </w:t>
      </w:r>
      <w:r w:rsidR="00074BE9" w:rsidRPr="003318BE">
        <w:rPr>
          <w:rFonts w:eastAsiaTheme="minorHAnsi"/>
          <w:lang w:val="fr-FR"/>
        </w:rPr>
        <w:t>20).</w:t>
      </w:r>
    </w:p>
    <w:p w14:paraId="25B921DF" w14:textId="3332295E" w:rsidR="00074BE9" w:rsidRPr="003318BE" w:rsidRDefault="00C53E2F" w:rsidP="00C53E2F">
      <w:pPr>
        <w:pStyle w:val="SingleTxtG"/>
        <w:rPr>
          <w:rFonts w:eastAsiaTheme="minorHAnsi"/>
          <w:lang w:val="fr-FR"/>
        </w:rPr>
      </w:pPr>
      <w:r w:rsidRPr="003318BE">
        <w:rPr>
          <w:rFonts w:eastAsiaTheme="minorHAnsi"/>
          <w:lang w:val="fr-FR"/>
        </w:rPr>
        <w:t>16.</w:t>
      </w:r>
      <w:r w:rsidRPr="003318BE">
        <w:rPr>
          <w:rFonts w:eastAsiaTheme="minorHAnsi"/>
          <w:lang w:val="fr-FR"/>
        </w:rPr>
        <w:tab/>
      </w:r>
      <w:r w:rsidR="00074BE9" w:rsidRPr="003318BE">
        <w:rPr>
          <w:rFonts w:eastAsiaTheme="minorHAnsi"/>
          <w:lang w:val="fr-FR"/>
        </w:rPr>
        <w:t xml:space="preserve">S’agissant du paragraphe 136 du rapport de l’État partie, préciser si tout le personnel militaire ou civil chargé de l’application des lois, le personnel médical, les agents de la fonction publique et les autres personnes qui peuvent intervenir dans la garde ou le traitement de toute personne privée de liberté, y compris les juges, les procureurs et </w:t>
      </w:r>
      <w:r w:rsidR="00EE73CF" w:rsidRPr="003318BE">
        <w:rPr>
          <w:rFonts w:eastAsiaTheme="minorHAnsi"/>
          <w:lang w:val="fr-FR"/>
        </w:rPr>
        <w:t>l</w:t>
      </w:r>
      <w:r w:rsidR="00074BE9" w:rsidRPr="003318BE">
        <w:rPr>
          <w:rFonts w:eastAsiaTheme="minorHAnsi"/>
          <w:lang w:val="fr-FR"/>
        </w:rPr>
        <w:t>es autres agents de la fonction publique qui interviennent dans l’administration de la justice, tant au niveau fédéral qu’au niveau cantonal, reçoivent une formation spécifique et régulière sur la Convention dans les termes énoncés au paragraphe 1 de l’article 23 de la Convention (art.</w:t>
      </w:r>
      <w:r w:rsidR="000820D0">
        <w:rPr>
          <w:rFonts w:eastAsiaTheme="minorHAnsi"/>
          <w:lang w:val="fr-FR"/>
        </w:rPr>
        <w:t> </w:t>
      </w:r>
      <w:r w:rsidR="00074BE9" w:rsidRPr="003318BE">
        <w:rPr>
          <w:rFonts w:eastAsiaTheme="minorHAnsi"/>
          <w:lang w:val="fr-FR"/>
        </w:rPr>
        <w:t>23).</w:t>
      </w:r>
    </w:p>
    <w:p w14:paraId="4A55341A" w14:textId="77777777" w:rsidR="00074BE9" w:rsidRPr="003318BE" w:rsidRDefault="00074BE9" w:rsidP="003E30FA">
      <w:pPr>
        <w:pStyle w:val="HChG"/>
        <w:rPr>
          <w:rFonts w:eastAsiaTheme="minorHAnsi"/>
          <w:lang w:val="fr-FR"/>
        </w:rPr>
      </w:pPr>
      <w:r w:rsidRPr="003318BE">
        <w:rPr>
          <w:rFonts w:eastAsiaTheme="minorHAnsi"/>
          <w:lang w:val="fr-FR"/>
        </w:rPr>
        <w:tab/>
        <w:t>V.</w:t>
      </w:r>
      <w:r w:rsidRPr="003318BE">
        <w:rPr>
          <w:rFonts w:eastAsiaTheme="minorHAnsi"/>
          <w:lang w:val="fr-FR"/>
        </w:rPr>
        <w:tab/>
        <w:t>Mesures de réparation et mesures de protection des enfants contre la disparition forcée (art. 24 et 25)</w:t>
      </w:r>
    </w:p>
    <w:p w14:paraId="41BCA199" w14:textId="77C3F245" w:rsidR="00074BE9" w:rsidRPr="003318BE" w:rsidRDefault="00C53E2F" w:rsidP="00C53E2F">
      <w:pPr>
        <w:pStyle w:val="SingleTxtG"/>
        <w:rPr>
          <w:rFonts w:eastAsiaTheme="minorHAnsi"/>
          <w:lang w:val="fr-FR"/>
        </w:rPr>
      </w:pPr>
      <w:r w:rsidRPr="003318BE">
        <w:rPr>
          <w:rFonts w:eastAsiaTheme="minorHAnsi"/>
          <w:lang w:val="fr-FR"/>
        </w:rPr>
        <w:t>17.</w:t>
      </w:r>
      <w:r w:rsidRPr="003318BE">
        <w:rPr>
          <w:rFonts w:eastAsiaTheme="minorHAnsi"/>
          <w:lang w:val="fr-FR"/>
        </w:rPr>
        <w:tab/>
      </w:r>
      <w:r w:rsidR="00074BE9" w:rsidRPr="003318BE">
        <w:rPr>
          <w:rFonts w:eastAsiaTheme="minorHAnsi"/>
          <w:lang w:val="fr-FR"/>
        </w:rPr>
        <w:t>Concernant le paragraphe 141 du rapport de l’État partie</w:t>
      </w:r>
      <w:r w:rsidR="000F736A" w:rsidRPr="003318BE">
        <w:rPr>
          <w:rFonts w:eastAsiaTheme="minorHAnsi"/>
          <w:lang w:val="fr-FR"/>
        </w:rPr>
        <w:t> </w:t>
      </w:r>
      <w:r w:rsidR="00074BE9" w:rsidRPr="003318BE">
        <w:rPr>
          <w:rFonts w:eastAsiaTheme="minorHAnsi"/>
          <w:lang w:val="fr-FR"/>
        </w:rPr>
        <w:t>: a) préciser s’il est nécessaire que les victimes engagent une procédure pénale pour obtenir une indemnisation et/ou réparation conformément aux paragraphes 4 et 5 de l’article 24 de la Convention en cas de disparition forcée ; et b) décrire les conditions d’accès aux prestations prévues par la loi fédérale</w:t>
      </w:r>
      <w:r w:rsidR="000F736A" w:rsidRPr="003318BE">
        <w:rPr>
          <w:rFonts w:eastAsiaTheme="minorHAnsi"/>
          <w:lang w:val="fr-FR"/>
        </w:rPr>
        <w:t xml:space="preserve"> n</w:t>
      </w:r>
      <w:r w:rsidR="000F736A" w:rsidRPr="00C53E2F">
        <w:rPr>
          <w:rFonts w:eastAsiaTheme="minorHAnsi"/>
          <w:vertAlign w:val="superscript"/>
          <w:lang w:val="fr-FR"/>
        </w:rPr>
        <w:t>o</w:t>
      </w:r>
      <w:r w:rsidR="000F736A" w:rsidRPr="003318BE">
        <w:rPr>
          <w:rFonts w:eastAsiaTheme="minorHAnsi"/>
          <w:lang w:val="fr-FR"/>
        </w:rPr>
        <w:t> 312.5 du 23 mars 2007</w:t>
      </w:r>
      <w:r w:rsidR="00074BE9" w:rsidRPr="003318BE">
        <w:rPr>
          <w:rFonts w:eastAsiaTheme="minorHAnsi"/>
          <w:lang w:val="fr-FR"/>
        </w:rPr>
        <w:t xml:space="preserve"> sur l’aide aux victimes d’infractions</w:t>
      </w:r>
      <w:r w:rsidR="00074BE9" w:rsidRPr="00E22347">
        <w:rPr>
          <w:rFonts w:eastAsiaTheme="minorHAnsi"/>
          <w:lang w:val="fr-FR"/>
        </w:rPr>
        <w:t xml:space="preserve"> lorsque ces prestations ne pouvaient pas être obtenues par un biais différent (art. 24).</w:t>
      </w:r>
    </w:p>
    <w:p w14:paraId="7C904C23" w14:textId="69799131" w:rsidR="00074BE9" w:rsidRPr="003318BE" w:rsidRDefault="00C53E2F" w:rsidP="0052576D">
      <w:pPr>
        <w:pStyle w:val="SingleTxtG"/>
        <w:keepNext/>
        <w:rPr>
          <w:rFonts w:eastAsiaTheme="minorHAnsi"/>
          <w:lang w:val="fr-FR"/>
        </w:rPr>
      </w:pPr>
      <w:r w:rsidRPr="003318BE">
        <w:rPr>
          <w:rFonts w:eastAsiaTheme="minorHAnsi"/>
          <w:lang w:val="fr-FR"/>
        </w:rPr>
        <w:t>18.</w:t>
      </w:r>
      <w:r w:rsidRPr="003318BE">
        <w:rPr>
          <w:rFonts w:eastAsiaTheme="minorHAnsi"/>
          <w:lang w:val="fr-FR"/>
        </w:rPr>
        <w:tab/>
      </w:r>
      <w:r w:rsidR="00074BE9" w:rsidRPr="003318BE">
        <w:rPr>
          <w:rFonts w:eastAsiaTheme="minorHAnsi"/>
          <w:lang w:val="fr-FR"/>
        </w:rPr>
        <w:t>Concernant le paragraphe 144 du rapport de l’État partie</w:t>
      </w:r>
      <w:r w:rsidR="000F736A" w:rsidRPr="003318BE">
        <w:rPr>
          <w:rFonts w:eastAsiaTheme="minorHAnsi"/>
          <w:lang w:val="fr-FR"/>
        </w:rPr>
        <w:t> </w:t>
      </w:r>
      <w:r w:rsidR="00074BE9" w:rsidRPr="003318BE">
        <w:rPr>
          <w:rFonts w:eastAsiaTheme="minorHAnsi"/>
          <w:lang w:val="fr-FR"/>
        </w:rPr>
        <w:t>:</w:t>
      </w:r>
    </w:p>
    <w:p w14:paraId="46C5C796" w14:textId="32365577" w:rsidR="00074BE9" w:rsidRPr="003318BE" w:rsidRDefault="00C53E2F" w:rsidP="00C53E2F">
      <w:pPr>
        <w:kinsoku/>
        <w:overflowPunct/>
        <w:autoSpaceDE/>
        <w:autoSpaceDN/>
        <w:adjustRightInd/>
        <w:snapToGrid/>
        <w:spacing w:after="120"/>
        <w:ind w:left="1134" w:right="1134" w:firstLine="567"/>
        <w:jc w:val="both"/>
        <w:rPr>
          <w:rFonts w:eastAsiaTheme="minorHAnsi"/>
          <w:lang w:val="fr-FR"/>
        </w:rPr>
      </w:pPr>
      <w:r w:rsidRPr="003318BE">
        <w:rPr>
          <w:rFonts w:eastAsiaTheme="minorHAnsi"/>
          <w:lang w:val="fr-FR"/>
        </w:rPr>
        <w:t>a)</w:t>
      </w:r>
      <w:r w:rsidRPr="003318BE">
        <w:rPr>
          <w:rFonts w:eastAsiaTheme="minorHAnsi"/>
          <w:lang w:val="fr-FR"/>
        </w:rPr>
        <w:tab/>
      </w:r>
      <w:r w:rsidR="00074BE9" w:rsidRPr="003318BE">
        <w:rPr>
          <w:rFonts w:eastAsiaTheme="minorHAnsi"/>
          <w:lang w:val="fr-FR"/>
        </w:rPr>
        <w:t>Préciser s’il est nécessaire de prouver que le décès d’une personne disparu</w:t>
      </w:r>
      <w:r w:rsidR="00EE73CF" w:rsidRPr="003318BE">
        <w:rPr>
          <w:rFonts w:eastAsiaTheme="minorHAnsi"/>
          <w:lang w:val="fr-FR"/>
        </w:rPr>
        <w:t>e</w:t>
      </w:r>
      <w:r w:rsidR="00074BE9" w:rsidRPr="003318BE">
        <w:rPr>
          <w:rFonts w:eastAsiaTheme="minorHAnsi"/>
          <w:lang w:val="fr-FR"/>
        </w:rPr>
        <w:t xml:space="preserve"> paraît très probable pour qu’une déclaration d’absence soit prononcée</w:t>
      </w:r>
      <w:r w:rsidR="000F736A" w:rsidRPr="003318BE">
        <w:rPr>
          <w:rFonts w:eastAsiaTheme="minorHAnsi"/>
          <w:lang w:val="fr-FR"/>
        </w:rPr>
        <w:t> </w:t>
      </w:r>
      <w:r w:rsidR="00074BE9" w:rsidRPr="003318BE">
        <w:rPr>
          <w:rFonts w:eastAsiaTheme="minorHAnsi"/>
          <w:lang w:val="fr-FR"/>
        </w:rPr>
        <w:t>;</w:t>
      </w:r>
    </w:p>
    <w:p w14:paraId="2C869C7C" w14:textId="0A5D23E2" w:rsidR="00074BE9" w:rsidRPr="003318BE" w:rsidRDefault="00C53E2F" w:rsidP="00C53E2F">
      <w:pPr>
        <w:kinsoku/>
        <w:overflowPunct/>
        <w:autoSpaceDE/>
        <w:autoSpaceDN/>
        <w:adjustRightInd/>
        <w:snapToGrid/>
        <w:spacing w:after="120"/>
        <w:ind w:left="1134" w:right="1134" w:firstLine="567"/>
        <w:jc w:val="both"/>
        <w:rPr>
          <w:rFonts w:eastAsiaTheme="minorHAnsi"/>
          <w:lang w:val="fr-FR"/>
        </w:rPr>
      </w:pPr>
      <w:r w:rsidRPr="003318BE">
        <w:rPr>
          <w:rFonts w:eastAsiaTheme="minorHAnsi"/>
          <w:lang w:val="fr-FR"/>
        </w:rPr>
        <w:t>b)</w:t>
      </w:r>
      <w:r w:rsidRPr="003318BE">
        <w:rPr>
          <w:rFonts w:eastAsiaTheme="minorHAnsi"/>
          <w:lang w:val="fr-FR"/>
        </w:rPr>
        <w:tab/>
      </w:r>
      <w:r w:rsidR="00074BE9" w:rsidRPr="003318BE">
        <w:rPr>
          <w:rFonts w:eastAsiaTheme="minorHAnsi"/>
          <w:lang w:val="fr-FR"/>
        </w:rPr>
        <w:t>Indique</w:t>
      </w:r>
      <w:r w:rsidR="000F736A" w:rsidRPr="003318BE">
        <w:rPr>
          <w:rFonts w:eastAsiaTheme="minorHAnsi"/>
          <w:lang w:val="fr-FR"/>
        </w:rPr>
        <w:t>r</w:t>
      </w:r>
      <w:r w:rsidR="00074BE9" w:rsidRPr="003318BE">
        <w:rPr>
          <w:rFonts w:eastAsiaTheme="minorHAnsi"/>
          <w:lang w:val="fr-FR"/>
        </w:rPr>
        <w:t xml:space="preserve"> s’il est nécessaire, pour qu’une déclaration d’absence soit prononcée, que l’on ignore le lieu où se trouve la personne disparue pendant un ou cinq ans, selon les circonstances, ou si ces périodes peuvent être plus courtes</w:t>
      </w:r>
      <w:r w:rsidR="000F736A" w:rsidRPr="003318BE">
        <w:rPr>
          <w:rFonts w:eastAsiaTheme="minorHAnsi"/>
          <w:lang w:val="fr-FR"/>
        </w:rPr>
        <w:t> </w:t>
      </w:r>
      <w:r w:rsidR="00074BE9" w:rsidRPr="003318BE">
        <w:rPr>
          <w:rFonts w:eastAsiaTheme="minorHAnsi"/>
          <w:lang w:val="fr-FR"/>
        </w:rPr>
        <w:t>;</w:t>
      </w:r>
    </w:p>
    <w:p w14:paraId="432E1677" w14:textId="7B411204" w:rsidR="00074BE9" w:rsidRPr="003318BE" w:rsidRDefault="00C53E2F" w:rsidP="00C53E2F">
      <w:pPr>
        <w:kinsoku/>
        <w:overflowPunct/>
        <w:autoSpaceDE/>
        <w:autoSpaceDN/>
        <w:adjustRightInd/>
        <w:snapToGrid/>
        <w:spacing w:after="120"/>
        <w:ind w:left="1134" w:right="1134" w:firstLine="567"/>
        <w:jc w:val="both"/>
        <w:rPr>
          <w:rFonts w:eastAsiaTheme="minorHAnsi"/>
          <w:lang w:val="fr-FR"/>
        </w:rPr>
      </w:pPr>
      <w:r w:rsidRPr="003318BE">
        <w:rPr>
          <w:rFonts w:eastAsiaTheme="minorHAnsi"/>
          <w:lang w:val="fr-FR"/>
        </w:rPr>
        <w:t>c)</w:t>
      </w:r>
      <w:r w:rsidRPr="003318BE">
        <w:rPr>
          <w:rFonts w:eastAsiaTheme="minorHAnsi"/>
          <w:lang w:val="fr-FR"/>
        </w:rPr>
        <w:tab/>
      </w:r>
      <w:r w:rsidR="00074BE9" w:rsidRPr="003318BE">
        <w:rPr>
          <w:rFonts w:eastAsiaTheme="minorHAnsi"/>
          <w:lang w:val="fr-FR"/>
        </w:rPr>
        <w:t>Fournir des informations sur la situation légale des personnes disparues dont le sort n’est pas élucidé et de leur</w:t>
      </w:r>
      <w:r w:rsidR="00206312" w:rsidRPr="003318BE">
        <w:rPr>
          <w:rFonts w:eastAsiaTheme="minorHAnsi"/>
          <w:lang w:val="fr-FR"/>
        </w:rPr>
        <w:t>s</w:t>
      </w:r>
      <w:r w:rsidR="00074BE9" w:rsidRPr="003318BE">
        <w:rPr>
          <w:rFonts w:eastAsiaTheme="minorHAnsi"/>
          <w:lang w:val="fr-FR"/>
        </w:rPr>
        <w:t xml:space="preserve"> proches, notamment dans des domaines tels que la protection sociale, les questions financières, le droit de la famille et les droits de propriété, au cours de la période précédant l’adoption d’une déclaration d’absence</w:t>
      </w:r>
      <w:r w:rsidR="00206312" w:rsidRPr="003318BE">
        <w:rPr>
          <w:rFonts w:eastAsiaTheme="minorHAnsi"/>
          <w:lang w:val="fr-FR"/>
        </w:rPr>
        <w:t> </w:t>
      </w:r>
      <w:r w:rsidR="00074BE9" w:rsidRPr="003318BE">
        <w:rPr>
          <w:rFonts w:eastAsiaTheme="minorHAnsi"/>
          <w:lang w:val="fr-FR"/>
        </w:rPr>
        <w:t>;</w:t>
      </w:r>
    </w:p>
    <w:p w14:paraId="5A20AFC4" w14:textId="5340E293" w:rsidR="00074BE9" w:rsidRPr="003318BE" w:rsidRDefault="00C53E2F" w:rsidP="00C53E2F">
      <w:pPr>
        <w:kinsoku/>
        <w:overflowPunct/>
        <w:autoSpaceDE/>
        <w:autoSpaceDN/>
        <w:adjustRightInd/>
        <w:snapToGrid/>
        <w:spacing w:after="120"/>
        <w:ind w:left="1134" w:right="1134" w:firstLine="567"/>
        <w:jc w:val="both"/>
        <w:rPr>
          <w:rFonts w:eastAsiaTheme="minorHAnsi"/>
          <w:lang w:val="fr-FR"/>
        </w:rPr>
      </w:pPr>
      <w:r w:rsidRPr="003318BE">
        <w:rPr>
          <w:rFonts w:eastAsiaTheme="minorHAnsi"/>
          <w:lang w:val="fr-FR"/>
        </w:rPr>
        <w:t>d)</w:t>
      </w:r>
      <w:r w:rsidRPr="003318BE">
        <w:rPr>
          <w:rFonts w:eastAsiaTheme="minorHAnsi"/>
          <w:lang w:val="fr-FR"/>
        </w:rPr>
        <w:tab/>
      </w:r>
      <w:r w:rsidR="00074BE9" w:rsidRPr="003318BE">
        <w:rPr>
          <w:rFonts w:eastAsiaTheme="minorHAnsi"/>
          <w:lang w:val="fr-FR"/>
        </w:rPr>
        <w:t>Indiquer si la déclaration d’absence peut avoir une incidence sur l’obligation qui incombe à l’État partie de poursuivre l’enquête pour disparition forcée jusqu’à l’élucidation du sort de la personne disparue (art. 24).</w:t>
      </w:r>
    </w:p>
    <w:p w14:paraId="3303D88E" w14:textId="6E126887" w:rsidR="00074BE9" w:rsidRPr="003318BE" w:rsidRDefault="00C53E2F" w:rsidP="00C53E2F">
      <w:pPr>
        <w:pStyle w:val="SingleTxtG"/>
        <w:rPr>
          <w:rFonts w:eastAsiaTheme="minorHAnsi"/>
          <w:lang w:val="fr-FR"/>
        </w:rPr>
      </w:pPr>
      <w:r w:rsidRPr="003318BE">
        <w:rPr>
          <w:rFonts w:eastAsiaTheme="minorHAnsi"/>
          <w:lang w:val="fr-FR"/>
        </w:rPr>
        <w:t>19.</w:t>
      </w:r>
      <w:r w:rsidRPr="003318BE">
        <w:rPr>
          <w:rFonts w:eastAsiaTheme="minorHAnsi"/>
          <w:lang w:val="fr-FR"/>
        </w:rPr>
        <w:tab/>
      </w:r>
      <w:r w:rsidR="00074BE9" w:rsidRPr="003318BE">
        <w:rPr>
          <w:rFonts w:eastAsiaTheme="minorHAnsi"/>
          <w:lang w:val="fr-FR"/>
        </w:rPr>
        <w:t xml:space="preserve">Indiquer si l’État partie envisage d’incriminer de manière </w:t>
      </w:r>
      <w:r w:rsidR="00EE73CF" w:rsidRPr="003318BE">
        <w:rPr>
          <w:rFonts w:eastAsiaTheme="minorHAnsi"/>
          <w:lang w:val="fr-FR"/>
        </w:rPr>
        <w:t xml:space="preserve">autonome </w:t>
      </w:r>
      <w:r w:rsidR="00074BE9" w:rsidRPr="003318BE">
        <w:rPr>
          <w:rFonts w:eastAsiaTheme="minorHAnsi"/>
          <w:lang w:val="fr-FR"/>
        </w:rPr>
        <w:t xml:space="preserve">le comportement décrit au paragraphe 1 a) de l’article 25 de la Convention (art. 25). </w:t>
      </w:r>
    </w:p>
    <w:p w14:paraId="35979E12" w14:textId="227E9B24" w:rsidR="00074BE9" w:rsidRPr="00E22347" w:rsidRDefault="00C53E2F" w:rsidP="00C53E2F">
      <w:pPr>
        <w:pStyle w:val="SingleTxtG"/>
        <w:rPr>
          <w:rFonts w:eastAsiaTheme="minorHAnsi"/>
          <w:lang w:val="fr-FR"/>
        </w:rPr>
      </w:pPr>
      <w:r w:rsidRPr="00E22347">
        <w:rPr>
          <w:rFonts w:eastAsiaTheme="minorHAnsi"/>
          <w:lang w:val="fr-FR"/>
        </w:rPr>
        <w:t>20.</w:t>
      </w:r>
      <w:r w:rsidRPr="00E22347">
        <w:rPr>
          <w:rFonts w:eastAsiaTheme="minorHAnsi"/>
          <w:lang w:val="fr-FR"/>
        </w:rPr>
        <w:tab/>
      </w:r>
      <w:r w:rsidR="00074BE9" w:rsidRPr="003318BE">
        <w:rPr>
          <w:rFonts w:eastAsiaTheme="minorHAnsi"/>
          <w:lang w:val="fr-FR"/>
        </w:rPr>
        <w:t>S’agissant du paragraphe 149 du rapport de l’État partie, fournir des informations sur les procédures que doivent suivre les enfants adoptés pour exercer leur droit d’obtenir des informations sur l’identité de leurs parents biologiques</w:t>
      </w:r>
      <w:r w:rsidR="00206312" w:rsidRPr="003318BE">
        <w:rPr>
          <w:rFonts w:eastAsiaTheme="minorHAnsi"/>
          <w:lang w:val="fr-FR"/>
        </w:rPr>
        <w:t>,</w:t>
      </w:r>
      <w:r w:rsidR="00074BE9" w:rsidRPr="003318BE">
        <w:rPr>
          <w:rFonts w:eastAsiaTheme="minorHAnsi"/>
          <w:lang w:val="fr-FR"/>
        </w:rPr>
        <w:t xml:space="preserve"> et indiquer s’il existe des </w:t>
      </w:r>
      <w:r w:rsidR="00EE73CF" w:rsidRPr="003318BE">
        <w:rPr>
          <w:rFonts w:eastAsiaTheme="minorHAnsi"/>
          <w:lang w:val="fr-FR"/>
        </w:rPr>
        <w:t xml:space="preserve">conditions </w:t>
      </w:r>
      <w:r w:rsidR="00074BE9" w:rsidRPr="003318BE">
        <w:rPr>
          <w:rFonts w:eastAsiaTheme="minorHAnsi"/>
          <w:lang w:val="fr-FR"/>
        </w:rPr>
        <w:t xml:space="preserve">pour que ces enfants puissent obtenir lesdites informations. Fournir également des informations sur les mesures prises pour </w:t>
      </w:r>
      <w:r w:rsidR="00EE73CF" w:rsidRPr="003318BE">
        <w:rPr>
          <w:rFonts w:eastAsiaTheme="minorHAnsi"/>
          <w:lang w:val="fr-FR"/>
        </w:rPr>
        <w:t xml:space="preserve">garantir que les enfants laissés dans </w:t>
      </w:r>
      <w:r w:rsidR="00074BE9" w:rsidRPr="003318BE">
        <w:rPr>
          <w:rFonts w:eastAsiaTheme="minorHAnsi"/>
          <w:lang w:val="fr-FR"/>
        </w:rPr>
        <w:t xml:space="preserve">des boîtes à bébé </w:t>
      </w:r>
      <w:r w:rsidR="00EE73CF" w:rsidRPr="003318BE">
        <w:rPr>
          <w:rFonts w:eastAsiaTheme="minorHAnsi"/>
          <w:lang w:val="fr-FR"/>
        </w:rPr>
        <w:t>ne soient pas victimes de soustraction en violation de l’article 25 de la Convention</w:t>
      </w:r>
      <w:r w:rsidR="00074BE9" w:rsidRPr="00E22347">
        <w:rPr>
          <w:rFonts w:eastAsiaTheme="minorHAnsi"/>
          <w:lang w:val="fr-FR"/>
        </w:rPr>
        <w:t xml:space="preserve"> (art.</w:t>
      </w:r>
      <w:r w:rsidR="000820D0">
        <w:rPr>
          <w:rFonts w:eastAsiaTheme="minorHAnsi"/>
          <w:lang w:val="fr-FR"/>
        </w:rPr>
        <w:t> </w:t>
      </w:r>
      <w:r w:rsidR="00074BE9" w:rsidRPr="00E22347">
        <w:rPr>
          <w:rFonts w:eastAsiaTheme="minorHAnsi"/>
          <w:lang w:val="fr-FR"/>
        </w:rPr>
        <w:t>25).</w:t>
      </w:r>
    </w:p>
    <w:p w14:paraId="1497F441" w14:textId="1D856BA0" w:rsidR="00074BE9" w:rsidRPr="003318BE" w:rsidRDefault="00C53E2F" w:rsidP="00C53E2F">
      <w:pPr>
        <w:pStyle w:val="SingleTxtG"/>
        <w:rPr>
          <w:rFonts w:eastAsiaTheme="minorHAnsi"/>
          <w:lang w:val="fr-FR"/>
        </w:rPr>
      </w:pPr>
      <w:r w:rsidRPr="003318BE">
        <w:rPr>
          <w:rFonts w:eastAsiaTheme="minorHAnsi"/>
          <w:lang w:val="fr-FR"/>
        </w:rPr>
        <w:t>21.</w:t>
      </w:r>
      <w:r w:rsidRPr="003318BE">
        <w:rPr>
          <w:rFonts w:eastAsiaTheme="minorHAnsi"/>
          <w:lang w:val="fr-FR"/>
        </w:rPr>
        <w:tab/>
      </w:r>
      <w:r w:rsidR="00074BE9" w:rsidRPr="003318BE">
        <w:rPr>
          <w:rFonts w:eastAsiaTheme="minorHAnsi"/>
          <w:lang w:val="fr-FR"/>
        </w:rPr>
        <w:t>Concernant le paragraphe 151 du rapport de l’État partie</w:t>
      </w:r>
      <w:r w:rsidR="00074BE9" w:rsidRPr="00E22347">
        <w:rPr>
          <w:rFonts w:eastAsiaTheme="minorHAnsi"/>
          <w:lang w:val="fr-FR"/>
        </w:rPr>
        <w:t xml:space="preserve">, fournir des informations sur les progrès réalisés </w:t>
      </w:r>
      <w:r w:rsidR="005D214E" w:rsidRPr="00E22347">
        <w:rPr>
          <w:rFonts w:eastAsiaTheme="minorHAnsi"/>
          <w:lang w:val="fr-FR"/>
        </w:rPr>
        <w:t>dans l’évaluation de</w:t>
      </w:r>
      <w:r w:rsidR="00074BE9" w:rsidRPr="00E22347">
        <w:rPr>
          <w:rFonts w:eastAsiaTheme="minorHAnsi"/>
          <w:lang w:val="fr-FR"/>
        </w:rPr>
        <w:t xml:space="preserve"> la procédure d’adoption international</w:t>
      </w:r>
      <w:r w:rsidR="00206312" w:rsidRPr="00E22347">
        <w:rPr>
          <w:rFonts w:eastAsiaTheme="minorHAnsi"/>
          <w:lang w:val="fr-FR"/>
        </w:rPr>
        <w:t>e</w:t>
      </w:r>
      <w:r w:rsidR="00074BE9" w:rsidRPr="00E22347">
        <w:rPr>
          <w:rFonts w:eastAsiaTheme="minorHAnsi"/>
          <w:lang w:val="fr-FR"/>
        </w:rPr>
        <w:t xml:space="preserve"> lancée</w:t>
      </w:r>
      <w:r w:rsidR="00074BE9" w:rsidRPr="003318BE">
        <w:rPr>
          <w:rFonts w:eastAsiaTheme="minorHAnsi"/>
          <w:lang w:val="fr-FR"/>
        </w:rPr>
        <w:t xml:space="preserve"> par le postulat 17.4181</w:t>
      </w:r>
      <w:r w:rsidR="00206312" w:rsidRPr="003318BE">
        <w:rPr>
          <w:rFonts w:eastAsiaTheme="minorHAnsi"/>
          <w:lang w:val="fr-FR"/>
        </w:rPr>
        <w:t xml:space="preserve"> («</w:t>
      </w:r>
      <w:r w:rsidR="00206312" w:rsidRPr="00E22347">
        <w:rPr>
          <w:rFonts w:eastAsiaTheme="minorHAnsi"/>
          <w:lang w:val="fr-FR"/>
        </w:rPr>
        <w:t> Faire la lumière sur les adoptions illégales en Suisse dans les années 1980 d’enfants venant du Sri Lanka</w:t>
      </w:r>
      <w:r w:rsidR="00206312" w:rsidRPr="003318BE">
        <w:rPr>
          <w:rFonts w:eastAsiaTheme="minorHAnsi"/>
          <w:lang w:val="fr-FR"/>
        </w:rPr>
        <w:t> »)</w:t>
      </w:r>
      <w:r w:rsidR="00074BE9" w:rsidRPr="003318BE">
        <w:rPr>
          <w:rFonts w:eastAsiaTheme="minorHAnsi"/>
          <w:lang w:val="fr-FR"/>
        </w:rPr>
        <w:t xml:space="preserve">. </w:t>
      </w:r>
      <w:r w:rsidR="00206312" w:rsidRPr="003318BE">
        <w:rPr>
          <w:rFonts w:eastAsiaTheme="minorHAnsi"/>
          <w:lang w:val="fr-FR"/>
        </w:rPr>
        <w:t>Indiquer</w:t>
      </w:r>
      <w:r w:rsidR="00074BE9" w:rsidRPr="003318BE">
        <w:rPr>
          <w:rFonts w:eastAsiaTheme="minorHAnsi"/>
          <w:lang w:val="fr-FR"/>
        </w:rPr>
        <w:t xml:space="preserve"> également les mesures prises pour garantir, dans la pratique, que les enfants adoptés sur le plan international n’ont pas été victimes de soustraction au sens du paragraphe 1 a) de l’article 25 de la Convention (art. 25).</w:t>
      </w:r>
    </w:p>
    <w:p w14:paraId="2F52CF4D" w14:textId="38B7E752" w:rsidR="00446FE5" w:rsidRPr="00F83CF8" w:rsidRDefault="00E22347" w:rsidP="00F83CF8">
      <w:pPr>
        <w:spacing w:before="240"/>
        <w:ind w:left="1134" w:right="1134"/>
        <w:jc w:val="center"/>
        <w:rPr>
          <w:rFonts w:eastAsiaTheme="minorHAnsi"/>
          <w:u w:val="single"/>
        </w:rPr>
      </w:pPr>
      <w:r>
        <w:rPr>
          <w:rFonts w:eastAsiaTheme="minorHAnsi"/>
          <w:u w:val="single"/>
        </w:rPr>
        <w:tab/>
      </w:r>
      <w:r w:rsidR="00074BE9" w:rsidRPr="00074BE9">
        <w:rPr>
          <w:rFonts w:eastAsiaTheme="minorHAnsi"/>
          <w:u w:val="single"/>
        </w:rPr>
        <w:tab/>
      </w:r>
      <w:r w:rsidR="00074BE9" w:rsidRPr="00074BE9">
        <w:rPr>
          <w:rFonts w:eastAsiaTheme="minorHAnsi"/>
          <w:u w:val="single"/>
        </w:rPr>
        <w:tab/>
      </w:r>
      <w:r w:rsidR="00074BE9" w:rsidRPr="00074BE9">
        <w:rPr>
          <w:rFonts w:eastAsiaTheme="minorHAnsi"/>
          <w:u w:val="single"/>
        </w:rPr>
        <w:tab/>
      </w:r>
    </w:p>
    <w:sectPr w:rsidR="00446FE5" w:rsidRPr="00F83CF8" w:rsidSect="00785487">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6A210" w14:textId="77777777" w:rsidR="004D7AE3" w:rsidRDefault="004D7AE3" w:rsidP="00F95C08">
      <w:pPr>
        <w:spacing w:line="240" w:lineRule="auto"/>
      </w:pPr>
    </w:p>
  </w:endnote>
  <w:endnote w:type="continuationSeparator" w:id="0">
    <w:p w14:paraId="7C01F29F" w14:textId="77777777" w:rsidR="004D7AE3" w:rsidRPr="00AC3823" w:rsidRDefault="004D7AE3" w:rsidP="00AC3823">
      <w:pPr>
        <w:pStyle w:val="Pieddepage"/>
      </w:pPr>
    </w:p>
  </w:endnote>
  <w:endnote w:type="continuationNotice" w:id="1">
    <w:p w14:paraId="4B576FFE" w14:textId="77777777" w:rsidR="004D7AE3" w:rsidRDefault="004D7A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6129E2" w14:textId="24F3F217" w:rsidR="00074BE9" w:rsidRPr="00074BE9" w:rsidRDefault="00074BE9" w:rsidP="00074BE9">
    <w:pPr>
      <w:pStyle w:val="Pieddepage"/>
      <w:tabs>
        <w:tab w:val="right" w:pos="9638"/>
      </w:tabs>
      <w:rPr>
        <w:sz w:val="18"/>
      </w:rPr>
    </w:pPr>
    <w:r w:rsidRPr="00074BE9">
      <w:rPr>
        <w:b/>
        <w:sz w:val="18"/>
      </w:rPr>
      <w:fldChar w:fldCharType="begin"/>
    </w:r>
    <w:r w:rsidRPr="00074BE9">
      <w:rPr>
        <w:b/>
        <w:sz w:val="18"/>
      </w:rPr>
      <w:instrText xml:space="preserve"> PAGE  \* MERGEFORMAT </w:instrText>
    </w:r>
    <w:r w:rsidRPr="00074BE9">
      <w:rPr>
        <w:b/>
        <w:sz w:val="18"/>
      </w:rPr>
      <w:fldChar w:fldCharType="separate"/>
    </w:r>
    <w:r w:rsidR="00AF3C3A">
      <w:rPr>
        <w:b/>
        <w:noProof/>
        <w:sz w:val="18"/>
      </w:rPr>
      <w:t>2</w:t>
    </w:r>
    <w:r w:rsidRPr="00074BE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1838C3" w14:textId="0641706D" w:rsidR="00074BE9" w:rsidRPr="00074BE9" w:rsidRDefault="00074BE9" w:rsidP="00074BE9">
    <w:pPr>
      <w:pStyle w:val="Pieddepage"/>
      <w:tabs>
        <w:tab w:val="right" w:pos="9638"/>
      </w:tabs>
      <w:rPr>
        <w:b/>
        <w:sz w:val="18"/>
      </w:rPr>
    </w:pPr>
    <w:r>
      <w:tab/>
    </w:r>
    <w:r w:rsidRPr="00074BE9">
      <w:rPr>
        <w:b/>
        <w:sz w:val="18"/>
      </w:rPr>
      <w:fldChar w:fldCharType="begin"/>
    </w:r>
    <w:r w:rsidRPr="00074BE9">
      <w:rPr>
        <w:b/>
        <w:sz w:val="18"/>
      </w:rPr>
      <w:instrText xml:space="preserve"> PAGE  \* MERGEFORMAT </w:instrText>
    </w:r>
    <w:r w:rsidRPr="00074BE9">
      <w:rPr>
        <w:b/>
        <w:sz w:val="18"/>
      </w:rPr>
      <w:fldChar w:fldCharType="separate"/>
    </w:r>
    <w:r w:rsidR="00AF3C3A">
      <w:rPr>
        <w:b/>
        <w:noProof/>
        <w:sz w:val="18"/>
      </w:rPr>
      <w:t>3</w:t>
    </w:r>
    <w:r w:rsidRPr="00074B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D32AFC" w14:textId="395620B9" w:rsidR="008F399E" w:rsidRPr="008F399E" w:rsidRDefault="002E7484">
    <w:pPr>
      <w:pStyle w:val="Pieddepage"/>
      <w:rPr>
        <w:sz w:val="20"/>
      </w:rPr>
    </w:pPr>
    <w:r>
      <w:rPr>
        <w:noProof/>
        <w:lang w:eastAsia="fr-CH"/>
      </w:rPr>
      <w:drawing>
        <wp:anchor distT="0" distB="0" distL="114300" distR="114300" simplePos="0" relativeHeight="251659264" behindDoc="0" locked="0" layoutInCell="1" allowOverlap="0" wp14:anchorId="27C651CD" wp14:editId="0A22BBE4">
          <wp:simplePos x="0" y="0"/>
          <wp:positionH relativeFrom="margin">
            <wp:posOffset>4260723</wp:posOffset>
          </wp:positionH>
          <wp:positionV relativeFrom="margin">
            <wp:posOffset>9151112</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60288" behindDoc="0" locked="0" layoutInCell="1" allowOverlap="1" wp14:anchorId="74A34C71" wp14:editId="0E7CE675">
          <wp:simplePos x="0" y="0"/>
          <wp:positionH relativeFrom="column">
            <wp:posOffset>5523611</wp:posOffset>
          </wp:positionH>
          <wp:positionV relativeFrom="paragraph">
            <wp:posOffset>-6096</wp:posOffset>
          </wp:positionV>
          <wp:extent cx="561975" cy="561975"/>
          <wp:effectExtent l="0" t="0" r="9525" b="9525"/>
          <wp:wrapNone/>
          <wp:docPr id="2" name="Image 1" descr="https://undocs.org/m2/QRCode.ashx?DS=CED/C/CHE/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HE/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F399E" w:rsidRPr="008F399E">
      <w:rPr>
        <w:sz w:val="20"/>
      </w:rPr>
      <w:t>GE.19-18795  (F)</w:t>
    </w:r>
    <w:r w:rsidRPr="002E7484">
      <w:rPr>
        <w:noProof/>
        <w:lang w:eastAsia="fr-CH"/>
      </w:rPr>
      <w:t xml:space="preserve"> </w:t>
    </w:r>
    <w:r>
      <w:rPr>
        <w:noProof/>
        <w:lang w:eastAsia="fr-CH"/>
      </w:rPr>
      <w:br/>
    </w:r>
    <w:r w:rsidRPr="002E7484">
      <w:rPr>
        <w:rFonts w:ascii="C39T30Lfz" w:hAnsi="C39T30Lfz"/>
        <w:sz w:val="56"/>
      </w:rPr>
      <w:t></w:t>
    </w:r>
    <w:r w:rsidRPr="002E7484">
      <w:rPr>
        <w:rFonts w:ascii="C39T30Lfz" w:hAnsi="C39T30Lfz"/>
        <w:sz w:val="56"/>
      </w:rPr>
      <w:t></w:t>
    </w:r>
    <w:r w:rsidRPr="002E7484">
      <w:rPr>
        <w:rFonts w:ascii="C39T30Lfz" w:hAnsi="C39T30Lfz"/>
        <w:sz w:val="56"/>
      </w:rPr>
      <w:t></w:t>
    </w:r>
    <w:r w:rsidRPr="002E7484">
      <w:rPr>
        <w:rFonts w:ascii="C39T30Lfz" w:hAnsi="C39T30Lfz"/>
        <w:sz w:val="56"/>
      </w:rPr>
      <w:t></w:t>
    </w:r>
    <w:r w:rsidRPr="002E7484">
      <w:rPr>
        <w:rFonts w:ascii="C39T30Lfz" w:hAnsi="C39T30Lfz"/>
        <w:sz w:val="56"/>
      </w:rPr>
      <w:t></w:t>
    </w:r>
    <w:r w:rsidRPr="002E7484">
      <w:rPr>
        <w:rFonts w:ascii="C39T30Lfz" w:hAnsi="C39T30Lfz"/>
        <w:sz w:val="56"/>
      </w:rPr>
      <w:t></w:t>
    </w:r>
    <w:r w:rsidRPr="002E7484">
      <w:rPr>
        <w:rFonts w:ascii="C39T30Lfz" w:hAnsi="C39T30Lfz"/>
        <w:sz w:val="56"/>
      </w:rPr>
      <w:t></w:t>
    </w:r>
    <w:r w:rsidRPr="002E7484">
      <w:rPr>
        <w:rFonts w:ascii="C39T30Lfz" w:hAnsi="C39T30Lfz"/>
        <w:sz w:val="56"/>
      </w:rPr>
      <w:t></w:t>
    </w:r>
    <w:r w:rsidRPr="002E7484">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A584E0" w14:textId="77777777" w:rsidR="004D7AE3" w:rsidRPr="00AC3823" w:rsidRDefault="004D7AE3" w:rsidP="00AC3823">
      <w:pPr>
        <w:pStyle w:val="Pieddepage"/>
        <w:tabs>
          <w:tab w:val="right" w:pos="2155"/>
        </w:tabs>
        <w:spacing w:after="80" w:line="240" w:lineRule="atLeast"/>
        <w:ind w:left="680"/>
        <w:rPr>
          <w:u w:val="single"/>
        </w:rPr>
      </w:pPr>
      <w:r>
        <w:rPr>
          <w:u w:val="single"/>
        </w:rPr>
        <w:tab/>
      </w:r>
    </w:p>
  </w:footnote>
  <w:footnote w:type="continuationSeparator" w:id="0">
    <w:p w14:paraId="2E25EAB5" w14:textId="77777777" w:rsidR="004D7AE3" w:rsidRPr="00AC3823" w:rsidRDefault="004D7AE3" w:rsidP="00AC3823">
      <w:pPr>
        <w:pStyle w:val="Pieddepage"/>
        <w:tabs>
          <w:tab w:val="right" w:pos="2155"/>
        </w:tabs>
        <w:spacing w:after="80" w:line="240" w:lineRule="atLeast"/>
        <w:ind w:left="680"/>
        <w:rPr>
          <w:u w:val="single"/>
        </w:rPr>
      </w:pPr>
      <w:r>
        <w:rPr>
          <w:u w:val="single"/>
        </w:rPr>
        <w:tab/>
      </w:r>
    </w:p>
  </w:footnote>
  <w:footnote w:type="continuationNotice" w:id="1">
    <w:p w14:paraId="36F7C9F6" w14:textId="77777777" w:rsidR="004D7AE3" w:rsidRPr="00AC3823" w:rsidRDefault="004D7AE3">
      <w:pPr>
        <w:spacing w:line="240" w:lineRule="auto"/>
        <w:rPr>
          <w:sz w:val="2"/>
          <w:szCs w:val="2"/>
        </w:rPr>
      </w:pPr>
    </w:p>
  </w:footnote>
  <w:footnote w:id="2">
    <w:p w14:paraId="13D407E1" w14:textId="7D8D70E2" w:rsidR="00EE73CF" w:rsidRPr="00E22347" w:rsidRDefault="00EE73CF" w:rsidP="00D92458">
      <w:pPr>
        <w:pStyle w:val="Notedebasdepage"/>
        <w:rPr>
          <w:lang w:val="fr-FR"/>
        </w:rPr>
      </w:pPr>
      <w:r>
        <w:rPr>
          <w:rStyle w:val="Appelnotedebasdep"/>
        </w:rPr>
        <w:tab/>
      </w:r>
      <w:r w:rsidRPr="00C53E2F">
        <w:rPr>
          <w:rStyle w:val="Appelnotedebasdep"/>
          <w:sz w:val="20"/>
          <w:vertAlign w:val="baseline"/>
        </w:rPr>
        <w:t>*</w:t>
      </w:r>
      <w:r w:rsidRPr="003318BE">
        <w:rPr>
          <w:rStyle w:val="Appelnotedebasdep"/>
          <w:sz w:val="20"/>
          <w:vertAlign w:val="baseline"/>
        </w:rPr>
        <w:tab/>
      </w:r>
      <w:r w:rsidRPr="00E22347">
        <w:t>Adoptée par le comité à sa dix-septième session (30 septembre</w:t>
      </w:r>
      <w:r w:rsidR="00D92458" w:rsidRPr="00E22347">
        <w:t>-</w:t>
      </w:r>
      <w:r w:rsidRPr="00E22347">
        <w:t>11 octobre 2019)</w:t>
      </w:r>
      <w:r w:rsidR="00D92458" w:rsidRPr="00DB00F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C42559" w14:textId="37027B85" w:rsidR="00074BE9" w:rsidRPr="00074BE9" w:rsidRDefault="00AF3C3A">
    <w:pPr>
      <w:pStyle w:val="En-tte"/>
    </w:pPr>
    <w:fldSimple w:instr=" TITLE  \* MERGEFORMAT ">
      <w:r w:rsidR="00785487">
        <w:t>CED/C/CHE/Q/1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2344E" w14:textId="1FA37D3D" w:rsidR="00074BE9" w:rsidRPr="00074BE9" w:rsidRDefault="00AF3C3A" w:rsidP="00074BE9">
    <w:pPr>
      <w:pStyle w:val="En-tte"/>
      <w:jc w:val="right"/>
    </w:pPr>
    <w:fldSimple w:instr=" TITLE  \* MERGEFORMAT ">
      <w:r w:rsidR="00785487">
        <w:t>CED/C/CHE/Q/1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8A535B"/>
    <w:multiLevelType w:val="hybridMultilevel"/>
    <w:tmpl w:val="24E862DA"/>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30C14F5"/>
    <w:multiLevelType w:val="hybridMultilevel"/>
    <w:tmpl w:val="5B5C68E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A5C3FFC"/>
    <w:multiLevelType w:val="hybridMultilevel"/>
    <w:tmpl w:val="B7AA79E4"/>
    <w:lvl w:ilvl="0" w:tplc="08090017">
      <w:start w:val="1"/>
      <w:numFmt w:val="lowerLetter"/>
      <w:lvlText w:val="%1)"/>
      <w:lvlJc w:val="left"/>
      <w:pPr>
        <w:ind w:left="3294" w:hanging="360"/>
      </w:pPr>
    </w:lvl>
    <w:lvl w:ilvl="1" w:tplc="08090019" w:tentative="1">
      <w:start w:val="1"/>
      <w:numFmt w:val="lowerLetter"/>
      <w:lvlText w:val="%2."/>
      <w:lvlJc w:val="left"/>
      <w:pPr>
        <w:ind w:left="4014" w:hanging="360"/>
      </w:pPr>
    </w:lvl>
    <w:lvl w:ilvl="2" w:tplc="0809001B" w:tentative="1">
      <w:start w:val="1"/>
      <w:numFmt w:val="lowerRoman"/>
      <w:lvlText w:val="%3."/>
      <w:lvlJc w:val="right"/>
      <w:pPr>
        <w:ind w:left="4734" w:hanging="180"/>
      </w:pPr>
    </w:lvl>
    <w:lvl w:ilvl="3" w:tplc="0809000F" w:tentative="1">
      <w:start w:val="1"/>
      <w:numFmt w:val="decimal"/>
      <w:lvlText w:val="%4."/>
      <w:lvlJc w:val="left"/>
      <w:pPr>
        <w:ind w:left="5454" w:hanging="360"/>
      </w:pPr>
    </w:lvl>
    <w:lvl w:ilvl="4" w:tplc="08090019" w:tentative="1">
      <w:start w:val="1"/>
      <w:numFmt w:val="lowerLetter"/>
      <w:lvlText w:val="%5."/>
      <w:lvlJc w:val="left"/>
      <w:pPr>
        <w:ind w:left="6174" w:hanging="360"/>
      </w:pPr>
    </w:lvl>
    <w:lvl w:ilvl="5" w:tplc="0809001B" w:tentative="1">
      <w:start w:val="1"/>
      <w:numFmt w:val="lowerRoman"/>
      <w:lvlText w:val="%6."/>
      <w:lvlJc w:val="right"/>
      <w:pPr>
        <w:ind w:left="6894" w:hanging="180"/>
      </w:pPr>
    </w:lvl>
    <w:lvl w:ilvl="6" w:tplc="0809000F" w:tentative="1">
      <w:start w:val="1"/>
      <w:numFmt w:val="decimal"/>
      <w:lvlText w:val="%7."/>
      <w:lvlJc w:val="left"/>
      <w:pPr>
        <w:ind w:left="7614" w:hanging="360"/>
      </w:pPr>
    </w:lvl>
    <w:lvl w:ilvl="7" w:tplc="08090019" w:tentative="1">
      <w:start w:val="1"/>
      <w:numFmt w:val="lowerLetter"/>
      <w:lvlText w:val="%8."/>
      <w:lvlJc w:val="left"/>
      <w:pPr>
        <w:ind w:left="8334" w:hanging="360"/>
      </w:pPr>
    </w:lvl>
    <w:lvl w:ilvl="8" w:tplc="0809001B" w:tentative="1">
      <w:start w:val="1"/>
      <w:numFmt w:val="lowerRoman"/>
      <w:lvlText w:val="%9."/>
      <w:lvlJc w:val="right"/>
      <w:pPr>
        <w:ind w:left="9054" w:hanging="180"/>
      </w:pPr>
    </w:lvl>
  </w:abstractNum>
  <w:abstractNum w:abstractNumId="1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5"/>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BE9"/>
    <w:rsid w:val="00003969"/>
    <w:rsid w:val="0001003B"/>
    <w:rsid w:val="00017F94"/>
    <w:rsid w:val="00020A5F"/>
    <w:rsid w:val="00023842"/>
    <w:rsid w:val="000334F9"/>
    <w:rsid w:val="00050148"/>
    <w:rsid w:val="0005751A"/>
    <w:rsid w:val="00074BE9"/>
    <w:rsid w:val="0007796D"/>
    <w:rsid w:val="000820D0"/>
    <w:rsid w:val="000A615A"/>
    <w:rsid w:val="000B7790"/>
    <w:rsid w:val="000F736A"/>
    <w:rsid w:val="00110E11"/>
    <w:rsid w:val="00111F2F"/>
    <w:rsid w:val="00133EDE"/>
    <w:rsid w:val="0014365E"/>
    <w:rsid w:val="00155DC3"/>
    <w:rsid w:val="00176178"/>
    <w:rsid w:val="00184A3C"/>
    <w:rsid w:val="001B19CE"/>
    <w:rsid w:val="001F525A"/>
    <w:rsid w:val="00206312"/>
    <w:rsid w:val="00223272"/>
    <w:rsid w:val="0024779E"/>
    <w:rsid w:val="002B1EF1"/>
    <w:rsid w:val="002E1FAB"/>
    <w:rsid w:val="002E7484"/>
    <w:rsid w:val="003318BE"/>
    <w:rsid w:val="00383CE0"/>
    <w:rsid w:val="00392B1D"/>
    <w:rsid w:val="003A3387"/>
    <w:rsid w:val="003E30FA"/>
    <w:rsid w:val="003F74C4"/>
    <w:rsid w:val="00443BDB"/>
    <w:rsid w:val="00446FE5"/>
    <w:rsid w:val="00452396"/>
    <w:rsid w:val="004C4D99"/>
    <w:rsid w:val="004D7AE3"/>
    <w:rsid w:val="00520B96"/>
    <w:rsid w:val="0052576D"/>
    <w:rsid w:val="00535F0C"/>
    <w:rsid w:val="005505B7"/>
    <w:rsid w:val="00573BE5"/>
    <w:rsid w:val="00586ED3"/>
    <w:rsid w:val="00596AA9"/>
    <w:rsid w:val="005D214E"/>
    <w:rsid w:val="005D75A5"/>
    <w:rsid w:val="006370AA"/>
    <w:rsid w:val="006557E6"/>
    <w:rsid w:val="0069457B"/>
    <w:rsid w:val="006A57E9"/>
    <w:rsid w:val="006A72FB"/>
    <w:rsid w:val="006E71C5"/>
    <w:rsid w:val="0071601D"/>
    <w:rsid w:val="0077586E"/>
    <w:rsid w:val="007839FE"/>
    <w:rsid w:val="00784BF4"/>
    <w:rsid w:val="00785487"/>
    <w:rsid w:val="007A62E6"/>
    <w:rsid w:val="007E49AE"/>
    <w:rsid w:val="00801A4A"/>
    <w:rsid w:val="0080684C"/>
    <w:rsid w:val="00866EE3"/>
    <w:rsid w:val="00871C75"/>
    <w:rsid w:val="008776DC"/>
    <w:rsid w:val="008C288E"/>
    <w:rsid w:val="008F399E"/>
    <w:rsid w:val="00914D42"/>
    <w:rsid w:val="009435DB"/>
    <w:rsid w:val="009705C8"/>
    <w:rsid w:val="009A3D2A"/>
    <w:rsid w:val="009B6F8B"/>
    <w:rsid w:val="009E78D5"/>
    <w:rsid w:val="00A111A4"/>
    <w:rsid w:val="00A16EBF"/>
    <w:rsid w:val="00A30353"/>
    <w:rsid w:val="00A432D3"/>
    <w:rsid w:val="00A95D56"/>
    <w:rsid w:val="00AB541A"/>
    <w:rsid w:val="00AC3823"/>
    <w:rsid w:val="00AD1B6F"/>
    <w:rsid w:val="00AE323C"/>
    <w:rsid w:val="00AE6A46"/>
    <w:rsid w:val="00AF3C3A"/>
    <w:rsid w:val="00B00181"/>
    <w:rsid w:val="00B0349C"/>
    <w:rsid w:val="00B1714A"/>
    <w:rsid w:val="00B431D0"/>
    <w:rsid w:val="00B53DDD"/>
    <w:rsid w:val="00B765F7"/>
    <w:rsid w:val="00B9212A"/>
    <w:rsid w:val="00BA0CA9"/>
    <w:rsid w:val="00BA109D"/>
    <w:rsid w:val="00BC744E"/>
    <w:rsid w:val="00C02897"/>
    <w:rsid w:val="00C304FB"/>
    <w:rsid w:val="00C53E2F"/>
    <w:rsid w:val="00C540E3"/>
    <w:rsid w:val="00C94488"/>
    <w:rsid w:val="00CC7569"/>
    <w:rsid w:val="00CE2527"/>
    <w:rsid w:val="00CF2BDE"/>
    <w:rsid w:val="00CF578A"/>
    <w:rsid w:val="00D3439C"/>
    <w:rsid w:val="00D92458"/>
    <w:rsid w:val="00DA47A3"/>
    <w:rsid w:val="00DB00FB"/>
    <w:rsid w:val="00DB1831"/>
    <w:rsid w:val="00DD3BFD"/>
    <w:rsid w:val="00DE0262"/>
    <w:rsid w:val="00DE7AE1"/>
    <w:rsid w:val="00DF6678"/>
    <w:rsid w:val="00E22347"/>
    <w:rsid w:val="00EC5036"/>
    <w:rsid w:val="00EE73CF"/>
    <w:rsid w:val="00F660DF"/>
    <w:rsid w:val="00F7138E"/>
    <w:rsid w:val="00F76079"/>
    <w:rsid w:val="00F83CF8"/>
    <w:rsid w:val="00F86D88"/>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73551D2"/>
  <w15:docId w15:val="{E421D59E-A87D-4C5D-BC0B-6DD4D315E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5DC3"/>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semiHidden/>
    <w:rsid w:val="00CE2527"/>
    <w:rPr>
      <w:color w:val="0000FF"/>
      <w:u w:val="none"/>
    </w:rPr>
  </w:style>
  <w:style w:type="character" w:styleId="Lienhypertextesuivivisit">
    <w:name w:val="FollowedHyperlink"/>
    <w:basedOn w:val="Policepardfaut"/>
    <w:semiHidden/>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styleId="Marquedecommentaire">
    <w:name w:val="annotation reference"/>
    <w:basedOn w:val="Policepardfaut"/>
    <w:uiPriority w:val="99"/>
    <w:semiHidden/>
    <w:unhideWhenUsed/>
    <w:rsid w:val="00F86D88"/>
    <w:rPr>
      <w:sz w:val="16"/>
      <w:szCs w:val="16"/>
    </w:rPr>
  </w:style>
  <w:style w:type="paragraph" w:styleId="Commentaire">
    <w:name w:val="annotation text"/>
    <w:basedOn w:val="Normal"/>
    <w:link w:val="CommentaireCar"/>
    <w:uiPriority w:val="99"/>
    <w:semiHidden/>
    <w:unhideWhenUsed/>
    <w:rsid w:val="00F86D88"/>
    <w:pPr>
      <w:spacing w:line="240" w:lineRule="auto"/>
    </w:pPr>
  </w:style>
  <w:style w:type="character" w:customStyle="1" w:styleId="CommentaireCar">
    <w:name w:val="Commentaire Car"/>
    <w:basedOn w:val="Policepardfaut"/>
    <w:link w:val="Commentaire"/>
    <w:uiPriority w:val="99"/>
    <w:semiHidden/>
    <w:rsid w:val="00F86D88"/>
    <w:rPr>
      <w:rFonts w:ascii="Times New Roman"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F86D88"/>
    <w:rPr>
      <w:b/>
      <w:bCs/>
    </w:rPr>
  </w:style>
  <w:style w:type="character" w:customStyle="1" w:styleId="ObjetducommentaireCar">
    <w:name w:val="Objet du commentaire Car"/>
    <w:basedOn w:val="CommentaireCar"/>
    <w:link w:val="Objetducommentaire"/>
    <w:uiPriority w:val="99"/>
    <w:semiHidden/>
    <w:rsid w:val="00F86D88"/>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D\CE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CED_F.dotm</Template>
  <TotalTime>0</TotalTime>
  <Pages>4</Pages>
  <Words>2068</Words>
  <Characters>11374</Characters>
  <Application>Microsoft Office Word</Application>
  <DocSecurity>0</DocSecurity>
  <Lines>94</Lines>
  <Paragraphs>26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CED/C/CHE/Q/1</vt:lpstr>
      <vt:lpstr>CED/C/CHE/Q/1</vt:lpstr>
    </vt:vector>
  </TitlesOfParts>
  <Company>DCM</Company>
  <LinksUpToDate>false</LinksUpToDate>
  <CharactersWithSpaces>13416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CED/C/CHE/Q/1</dc:title>
  <dc:subject>QR codes</dc:subject>
  <dc:creator>Nath V.</dc:creator>
  <cp:keywords/>
  <dc:description/>
  <cp:lastModifiedBy>Nathalie Vittoz</cp:lastModifiedBy>
  <cp:revision>2</cp:revision>
  <cp:lastPrinted>2014-05-14T10:59:00Z</cp:lastPrinted>
  <dcterms:created xsi:type="dcterms:W3CDTF">2019-10-31T06:08:00Z</dcterms:created>
  <dcterms:modified xsi:type="dcterms:W3CDTF">2019-10-31T06:08:00Z</dcterms:modified>
</cp:coreProperties>
</file>