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1891EF3F" w14:textId="77777777" w:rsidTr="00281242">
        <w:trPr>
          <w:trHeight w:hRule="exact" w:val="851"/>
        </w:trPr>
        <w:tc>
          <w:tcPr>
            <w:tcW w:w="1274" w:type="dxa"/>
            <w:tcBorders>
              <w:bottom w:val="single" w:sz="4" w:space="0" w:color="auto"/>
            </w:tcBorders>
            <w:shd w:val="clear" w:color="auto" w:fill="auto"/>
          </w:tcPr>
          <w:p w14:paraId="5720AFC7" w14:textId="77777777" w:rsidR="006B3E27" w:rsidRPr="00BE5849" w:rsidRDefault="006B3E27" w:rsidP="006329D5">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1C044428"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6AB7645B" w14:textId="75C6EE14" w:rsidR="006B3E27" w:rsidRPr="008B243F" w:rsidRDefault="008B243F" w:rsidP="008B243F">
            <w:pPr>
              <w:bidi w:val="0"/>
              <w:rPr>
                <w:szCs w:val="20"/>
                <w:lang w:eastAsia="zh-TW"/>
              </w:rPr>
            </w:pPr>
            <w:r w:rsidRPr="003A3156">
              <w:rPr>
                <w:sz w:val="40"/>
                <w:szCs w:val="20"/>
                <w:lang w:eastAsia="zh-TW"/>
              </w:rPr>
              <w:t>A</w:t>
            </w:r>
            <w:r w:rsidRPr="003A3156">
              <w:rPr>
                <w:szCs w:val="20"/>
                <w:lang w:eastAsia="zh-TW"/>
              </w:rPr>
              <w:t>/HRC/</w:t>
            </w:r>
            <w:r w:rsidRPr="006C409A">
              <w:rPr>
                <w:szCs w:val="20"/>
                <w:lang w:eastAsia="zh-TW"/>
              </w:rPr>
              <w:t>50</w:t>
            </w:r>
            <w:r w:rsidRPr="003A3156">
              <w:rPr>
                <w:szCs w:val="20"/>
                <w:lang w:eastAsia="zh-TW"/>
              </w:rPr>
              <w:t>/L.</w:t>
            </w:r>
            <w:r w:rsidRPr="006C409A">
              <w:rPr>
                <w:szCs w:val="20"/>
                <w:lang w:eastAsia="zh-TW"/>
              </w:rPr>
              <w:t>19</w:t>
            </w:r>
          </w:p>
        </w:tc>
      </w:tr>
      <w:tr w:rsidR="006B3E27" w:rsidRPr="00AC03B4" w14:paraId="76A11CE9" w14:textId="77777777" w:rsidTr="00281242">
        <w:trPr>
          <w:trHeight w:hRule="exact" w:val="2835"/>
        </w:trPr>
        <w:tc>
          <w:tcPr>
            <w:tcW w:w="1274" w:type="dxa"/>
            <w:tcBorders>
              <w:top w:val="single" w:sz="4" w:space="0" w:color="auto"/>
              <w:bottom w:val="single" w:sz="12" w:space="0" w:color="auto"/>
            </w:tcBorders>
            <w:shd w:val="clear" w:color="auto" w:fill="auto"/>
          </w:tcPr>
          <w:p w14:paraId="319404DA"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662CBC00" wp14:editId="5D352B15">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168AE52E" w14:textId="77777777" w:rsidR="006B3E27" w:rsidRPr="006C409A" w:rsidRDefault="001773DB" w:rsidP="002F3D3A">
            <w:pPr>
              <w:spacing w:before="120" w:after="40" w:line="640" w:lineRule="exact"/>
              <w:ind w:left="57"/>
              <w:rPr>
                <w:b/>
                <w:bCs/>
                <w:sz w:val="50"/>
                <w:szCs w:val="50"/>
              </w:rPr>
            </w:pPr>
            <w:r w:rsidRPr="006C409A">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4010539C" w14:textId="35DEE293" w:rsidR="006B3E27" w:rsidRDefault="008B243F" w:rsidP="00BE5849">
            <w:pPr>
              <w:bidi w:val="0"/>
              <w:spacing w:before="240"/>
              <w:rPr>
                <w:szCs w:val="20"/>
              </w:rPr>
            </w:pPr>
            <w:r>
              <w:rPr>
                <w:szCs w:val="20"/>
              </w:rPr>
              <w:t>Dist</w:t>
            </w:r>
            <w:r w:rsidR="003A3156" w:rsidRPr="003A3156">
              <w:rPr>
                <w:color w:val="000000"/>
                <w:szCs w:val="20"/>
              </w:rPr>
              <w:t>r.:</w:t>
            </w:r>
            <w:r>
              <w:rPr>
                <w:szCs w:val="20"/>
              </w:rPr>
              <w:t xml:space="preserve"> Limited</w:t>
            </w:r>
          </w:p>
          <w:p w14:paraId="1D4A8A76" w14:textId="3B4AA57B" w:rsidR="008B243F" w:rsidRDefault="006C409A" w:rsidP="008B243F">
            <w:pPr>
              <w:bidi w:val="0"/>
              <w:spacing w:line="240" w:lineRule="exact"/>
              <w:jc w:val="left"/>
              <w:rPr>
                <w:szCs w:val="20"/>
              </w:rPr>
            </w:pPr>
            <w:r>
              <w:rPr>
                <w:szCs w:val="20"/>
              </w:rPr>
              <w:t>30</w:t>
            </w:r>
            <w:r w:rsidR="00F4527A">
              <w:rPr>
                <w:szCs w:val="20"/>
              </w:rPr>
              <w:t xml:space="preserve"> June </w:t>
            </w:r>
            <w:r w:rsidR="008B243F" w:rsidRPr="006C409A">
              <w:rPr>
                <w:szCs w:val="20"/>
              </w:rPr>
              <w:t>2022</w:t>
            </w:r>
          </w:p>
          <w:p w14:paraId="7FD27298" w14:textId="77777777" w:rsidR="008B243F" w:rsidRDefault="008B243F" w:rsidP="008B243F">
            <w:pPr>
              <w:bidi w:val="0"/>
              <w:spacing w:line="240" w:lineRule="exact"/>
              <w:jc w:val="left"/>
              <w:rPr>
                <w:szCs w:val="20"/>
              </w:rPr>
            </w:pPr>
            <w:r>
              <w:rPr>
                <w:szCs w:val="20"/>
              </w:rPr>
              <w:t>Arabic</w:t>
            </w:r>
          </w:p>
          <w:p w14:paraId="6986E236" w14:textId="1E82F4FE" w:rsidR="008B243F" w:rsidRPr="008B243F" w:rsidRDefault="008B243F" w:rsidP="008B243F">
            <w:pPr>
              <w:bidi w:val="0"/>
              <w:spacing w:line="240" w:lineRule="exact"/>
              <w:jc w:val="left"/>
              <w:rPr>
                <w:szCs w:val="20"/>
              </w:rPr>
            </w:pPr>
            <w:r>
              <w:rPr>
                <w:szCs w:val="20"/>
              </w:rPr>
              <w:t>Origina</w:t>
            </w:r>
            <w:r w:rsidR="003A3156" w:rsidRPr="003A3156">
              <w:rPr>
                <w:color w:val="000000"/>
                <w:szCs w:val="20"/>
              </w:rPr>
              <w:t xml:space="preserve">l: </w:t>
            </w:r>
            <w:r>
              <w:rPr>
                <w:szCs w:val="20"/>
              </w:rPr>
              <w:t>English</w:t>
            </w:r>
          </w:p>
        </w:tc>
      </w:tr>
    </w:tbl>
    <w:bookmarkEnd w:id="0"/>
    <w:p w14:paraId="1DDF1B0C" w14:textId="77777777" w:rsidR="00FF1E99" w:rsidRPr="006C409A" w:rsidRDefault="00F572D8" w:rsidP="00F4527A">
      <w:pPr>
        <w:pStyle w:val="SingleTxtGA"/>
        <w:spacing w:before="120" w:after="0"/>
        <w:ind w:left="0" w:right="4253"/>
        <w:jc w:val="left"/>
        <w:rPr>
          <w:rFonts w:eastAsiaTheme="minorEastAsia"/>
          <w:b/>
          <w:bCs/>
          <w:lang w:eastAsia="zh-TW"/>
        </w:rPr>
      </w:pPr>
      <w:r w:rsidRPr="006C409A">
        <w:rPr>
          <w:rFonts w:eastAsiaTheme="minorEastAsia" w:hint="cs"/>
          <w:b/>
          <w:bCs/>
          <w:sz w:val="26"/>
          <w:szCs w:val="26"/>
          <w:rtl/>
          <w:lang w:eastAsia="zh-TW"/>
        </w:rPr>
        <w:t>مجلس حقوق الإنسان</w:t>
      </w:r>
    </w:p>
    <w:p w14:paraId="363BAA56" w14:textId="77777777" w:rsidR="00F4527A" w:rsidRPr="006C2718" w:rsidRDefault="00F4527A" w:rsidP="00F4527A">
      <w:pPr>
        <w:spacing w:line="360" w:lineRule="exact"/>
        <w:textDirection w:val="tbRlV"/>
        <w:rPr>
          <w:rFonts w:eastAsiaTheme="minorEastAsia"/>
          <w:b/>
          <w:sz w:val="22"/>
          <w:lang w:eastAsia="zh-TW" w:bidi="en-GB"/>
        </w:rPr>
      </w:pPr>
      <w:r w:rsidRPr="006C409A">
        <w:rPr>
          <w:rFonts w:eastAsiaTheme="minorEastAsia"/>
          <w:b/>
          <w:bCs/>
          <w:sz w:val="22"/>
          <w:rtl/>
        </w:rPr>
        <w:t>الدورة الخمسون</w:t>
      </w:r>
    </w:p>
    <w:p w14:paraId="2A0266A8" w14:textId="77777777" w:rsidR="00F4527A" w:rsidRPr="00F4527A" w:rsidRDefault="00F4527A" w:rsidP="00F4527A">
      <w:pPr>
        <w:spacing w:line="360" w:lineRule="exact"/>
        <w:textDirection w:val="tbRlV"/>
        <w:rPr>
          <w:rFonts w:eastAsiaTheme="minorEastAsia"/>
          <w:sz w:val="22"/>
          <w:lang w:val="ar-SA" w:eastAsia="zh-TW" w:bidi="en-GB"/>
        </w:rPr>
      </w:pPr>
      <w:r w:rsidRPr="006C409A">
        <w:rPr>
          <w:rFonts w:eastAsiaTheme="minorEastAsia"/>
          <w:sz w:val="22"/>
          <w:rtl/>
        </w:rPr>
        <w:t>13</w:t>
      </w:r>
      <w:r w:rsidRPr="00F4527A">
        <w:rPr>
          <w:rFonts w:eastAsiaTheme="minorEastAsia"/>
          <w:sz w:val="22"/>
          <w:rtl/>
        </w:rPr>
        <w:t xml:space="preserve"> حزيران/يونيه – </w:t>
      </w:r>
      <w:r w:rsidRPr="006C409A">
        <w:rPr>
          <w:rFonts w:eastAsiaTheme="minorEastAsia"/>
          <w:sz w:val="22"/>
          <w:rtl/>
        </w:rPr>
        <w:t>8</w:t>
      </w:r>
      <w:r w:rsidRPr="00F4527A">
        <w:rPr>
          <w:rFonts w:eastAsiaTheme="minorEastAsia"/>
          <w:sz w:val="22"/>
          <w:rtl/>
        </w:rPr>
        <w:t xml:space="preserve"> تموز/يوليه </w:t>
      </w:r>
      <w:r w:rsidRPr="006C409A">
        <w:rPr>
          <w:rFonts w:eastAsiaTheme="minorEastAsia"/>
          <w:sz w:val="22"/>
          <w:rtl/>
        </w:rPr>
        <w:t>2022</w:t>
      </w:r>
    </w:p>
    <w:p w14:paraId="39290476" w14:textId="77777777" w:rsidR="00F4527A" w:rsidRPr="00F4527A" w:rsidRDefault="00F4527A" w:rsidP="00F4527A">
      <w:pPr>
        <w:spacing w:line="360" w:lineRule="exact"/>
        <w:textDirection w:val="tbRlV"/>
        <w:rPr>
          <w:rFonts w:eastAsiaTheme="minorEastAsia"/>
          <w:sz w:val="22"/>
          <w:lang w:eastAsia="zh-TW" w:bidi="en-GB"/>
        </w:rPr>
      </w:pPr>
      <w:r w:rsidRPr="00F4527A">
        <w:rPr>
          <w:rFonts w:eastAsiaTheme="minorEastAsia"/>
          <w:sz w:val="22"/>
          <w:rtl/>
        </w:rPr>
        <w:t xml:space="preserve">البند </w:t>
      </w:r>
      <w:r w:rsidRPr="006C409A">
        <w:rPr>
          <w:rFonts w:eastAsiaTheme="minorEastAsia"/>
          <w:sz w:val="22"/>
          <w:rtl/>
        </w:rPr>
        <w:t>2</w:t>
      </w:r>
      <w:r w:rsidRPr="00F4527A">
        <w:rPr>
          <w:rFonts w:eastAsiaTheme="minorEastAsia"/>
          <w:sz w:val="22"/>
          <w:rtl/>
        </w:rPr>
        <w:t xml:space="preserve"> من جدول الأعمال</w:t>
      </w:r>
    </w:p>
    <w:p w14:paraId="759CFD01" w14:textId="77777777" w:rsidR="00F4527A" w:rsidRPr="006C409A" w:rsidRDefault="00F4527A" w:rsidP="00F4527A">
      <w:pPr>
        <w:spacing w:line="360" w:lineRule="exact"/>
        <w:textDirection w:val="tbRlV"/>
        <w:rPr>
          <w:rFonts w:eastAsiaTheme="minorEastAsia" w:hint="cs"/>
          <w:b/>
          <w:bCs/>
          <w:sz w:val="22"/>
          <w:rtl/>
        </w:rPr>
      </w:pPr>
      <w:r w:rsidRPr="006C409A">
        <w:rPr>
          <w:rFonts w:eastAsiaTheme="minorEastAsia"/>
          <w:b/>
          <w:bCs/>
          <w:sz w:val="22"/>
          <w:rtl/>
        </w:rPr>
        <w:t>التقرير السنوي لمفوضة الأمم المتحدة السامية لحقوق الإنسان</w:t>
      </w:r>
    </w:p>
    <w:p w14:paraId="22A2FCE9" w14:textId="77777777" w:rsidR="00F4527A" w:rsidRPr="006C409A" w:rsidRDefault="00F4527A" w:rsidP="00F4527A">
      <w:pPr>
        <w:spacing w:after="120" w:line="360" w:lineRule="exact"/>
        <w:textDirection w:val="tbRlV"/>
        <w:rPr>
          <w:rFonts w:eastAsiaTheme="minorEastAsia"/>
          <w:b/>
          <w:bCs/>
          <w:sz w:val="22"/>
          <w:rtl/>
        </w:rPr>
      </w:pPr>
      <w:r w:rsidRPr="006C409A">
        <w:rPr>
          <w:rFonts w:eastAsiaTheme="minorEastAsia"/>
          <w:b/>
          <w:bCs/>
          <w:sz w:val="22"/>
          <w:rtl/>
        </w:rPr>
        <w:t xml:space="preserve">وتقارير المفوضية السامية والأمين العام </w:t>
      </w:r>
    </w:p>
    <w:p w14:paraId="1A1193B1" w14:textId="1607D48A" w:rsidR="00F4527A" w:rsidRPr="006C2718" w:rsidRDefault="00F4527A" w:rsidP="00F4527A">
      <w:pPr>
        <w:pStyle w:val="H23GA"/>
        <w:rPr>
          <w:szCs w:val="20"/>
          <w:lang w:val="en-US" w:eastAsia="zh-TW" w:bidi="en-GB"/>
        </w:rPr>
      </w:pPr>
      <w:r w:rsidRPr="006C409A">
        <w:rPr>
          <w:rtl/>
        </w:rPr>
        <w:tab/>
      </w:r>
      <w:r w:rsidRPr="006C409A">
        <w:rPr>
          <w:rtl/>
        </w:rPr>
        <w:tab/>
        <w:t>إسبانيا</w:t>
      </w:r>
      <w:r w:rsidR="006C2718" w:rsidRPr="006C2718">
        <w:rPr>
          <w:rStyle w:val="FootnoteReference"/>
          <w:szCs w:val="22"/>
          <w:vertAlign w:val="baseline"/>
          <w:rtl/>
        </w:rPr>
        <w:footnoteReference w:customMarkFollows="1" w:id="1"/>
        <w:t>*</w:t>
      </w:r>
      <w:r w:rsidRPr="006C409A">
        <w:rPr>
          <w:rtl/>
        </w:rPr>
        <w:t>، أستراليا*، إستونيا*، إسرائيل*، ألبانيا*، ألمانيا، أوكرانيا، أيرلندا*، آيسلندا*، إيطاليا*، البرتغال*، بلجيكا*، بلغاريا*، بولندا، تشيكيا، الجبل الأسود، الدانمرك*، رومانيا*، سلوفاكيا*، سلوفينيا*، السويد*، سويسرا*، فرنسا، فنلندا، قبرص*، كرواتيا*، كوستاريكا*، لاتفيا*، لكسمبرغ، ليتوانيا، ليختنشتاين*، مالطة*، المملكة المتحدة لبريطانيا العظمى وأيرلندا الشمالية، موناكو*، النرويج*، النمسا*، هنغاريا*، هولندا، الولايات المتحدة الأمريكية، اليونان*: مشروع قرار</w:t>
      </w:r>
    </w:p>
    <w:p w14:paraId="2F5BA2BA" w14:textId="0C68FA26" w:rsidR="00F4527A" w:rsidRPr="006C2718" w:rsidRDefault="008843FC" w:rsidP="008843FC">
      <w:pPr>
        <w:pStyle w:val="H1GA"/>
        <w:tabs>
          <w:tab w:val="right" w:pos="1716"/>
        </w:tabs>
      </w:pPr>
      <w:r w:rsidRPr="006C2718">
        <w:rPr>
          <w:rtl/>
        </w:rPr>
        <w:tab/>
      </w:r>
      <w:r w:rsidRPr="006C2718">
        <w:rPr>
          <w:rtl/>
        </w:rPr>
        <w:tab/>
      </w:r>
      <w:r w:rsidR="00F4527A" w:rsidRPr="006C2718">
        <w:rPr>
          <w:rtl/>
        </w:rPr>
        <w:t>50</w:t>
      </w:r>
      <w:r w:rsidR="003A3156" w:rsidRPr="006C2718">
        <w:rPr>
          <w:rFonts w:hint="cs"/>
          <w:rtl/>
        </w:rPr>
        <w:t>/..</w:t>
      </w:r>
      <w:r w:rsidR="00F4527A" w:rsidRPr="006C2718">
        <w:rPr>
          <w:rFonts w:hint="cs"/>
          <w:rtl/>
        </w:rPr>
        <w:t>.</w:t>
      </w:r>
      <w:r w:rsidR="00F4527A" w:rsidRPr="006C2718">
        <w:rPr>
          <w:rtl/>
        </w:rPr>
        <w:tab/>
        <w:t>حالة حقوق الإنسان في إريتريا</w:t>
      </w:r>
    </w:p>
    <w:p w14:paraId="697E809A" w14:textId="4BCEF00C" w:rsidR="00F4527A" w:rsidRPr="006C409A" w:rsidRDefault="00F4527A" w:rsidP="00F4527A">
      <w:pPr>
        <w:pStyle w:val="SingleTxtGA"/>
        <w:rPr>
          <w:i/>
          <w:iCs/>
          <w:szCs w:val="20"/>
          <w:lang w:val="en-US" w:eastAsia="zh-TW" w:bidi="en-GB"/>
        </w:rPr>
      </w:pPr>
      <w:r>
        <w:rPr>
          <w:rtl/>
        </w:rPr>
        <w:tab/>
      </w:r>
      <w:r w:rsidRPr="006C409A">
        <w:rPr>
          <w:i/>
          <w:iCs/>
          <w:rtl/>
        </w:rPr>
        <w:t>إن مجلس حقوق الإنسان،</w:t>
      </w:r>
    </w:p>
    <w:p w14:paraId="35187547" w14:textId="7E978EDA" w:rsidR="00F4527A" w:rsidRPr="00C52BA3" w:rsidRDefault="00F4527A" w:rsidP="00F4527A">
      <w:pPr>
        <w:pStyle w:val="SingleTxtGA"/>
        <w:rPr>
          <w:rFonts w:eastAsiaTheme="minorEastAsia"/>
          <w:lang w:val="en-US" w:eastAsia="zh-TW" w:bidi="en-GB"/>
        </w:rPr>
      </w:pPr>
      <w:r>
        <w:rPr>
          <w:rFonts w:eastAsiaTheme="minorEastAsia"/>
          <w:rtl/>
        </w:rPr>
        <w:tab/>
      </w:r>
      <w:r w:rsidRPr="006C409A">
        <w:rPr>
          <w:rFonts w:eastAsiaTheme="minorEastAsia"/>
          <w:i/>
          <w:iCs/>
          <w:rtl/>
        </w:rPr>
        <w:t>إذ يسترشد</w:t>
      </w:r>
      <w:r w:rsidRPr="00F4527A">
        <w:rPr>
          <w:rFonts w:eastAsiaTheme="minorEastAsia"/>
          <w:rtl/>
        </w:rPr>
        <w:t xml:space="preserve"> بميثاق الأمم المتحدة، والإعلان العالمي لحقوق الإنسان، وبالعهدين الدوليين الخاصين بحقوق الإنسان، وغير ذلك من صكوك حقوق الإنسان الدولية ذات الصلة،</w:t>
      </w:r>
    </w:p>
    <w:p w14:paraId="0657FCC3" w14:textId="668C8793" w:rsidR="00F4527A" w:rsidRPr="00F4527A" w:rsidRDefault="00F4527A" w:rsidP="00F4527A">
      <w:pPr>
        <w:pStyle w:val="SingleTxtGA"/>
        <w:rPr>
          <w:rFonts w:eastAsiaTheme="minorEastAsia"/>
          <w:lang w:val="en-US" w:eastAsia="zh-TW"/>
        </w:rPr>
      </w:pPr>
      <w:r>
        <w:rPr>
          <w:rFonts w:eastAsiaTheme="minorEastAsia"/>
          <w:rtl/>
        </w:rPr>
        <w:tab/>
      </w:r>
      <w:r w:rsidRPr="006C409A">
        <w:rPr>
          <w:rFonts w:eastAsiaTheme="minorEastAsia"/>
          <w:i/>
          <w:iCs/>
          <w:rtl/>
        </w:rPr>
        <w:t>وإذ يشير</w:t>
      </w:r>
      <w:r w:rsidRPr="00F4527A">
        <w:rPr>
          <w:rFonts w:eastAsiaTheme="minorEastAsia"/>
          <w:rtl/>
        </w:rPr>
        <w:t xml:space="preserve"> إلى قرار الجمعية العامة </w:t>
      </w:r>
      <w:r w:rsidRPr="006C409A">
        <w:rPr>
          <w:rFonts w:eastAsiaTheme="minorEastAsia"/>
          <w:rtl/>
        </w:rPr>
        <w:t>60</w:t>
      </w:r>
      <w:r w:rsidRPr="00F4527A">
        <w:rPr>
          <w:rFonts w:eastAsiaTheme="minorEastAsia"/>
          <w:rtl/>
        </w:rPr>
        <w:t>/</w:t>
      </w:r>
      <w:r w:rsidRPr="006C409A">
        <w:rPr>
          <w:rFonts w:eastAsiaTheme="minorEastAsia"/>
          <w:rtl/>
        </w:rPr>
        <w:t>251</w:t>
      </w:r>
      <w:r w:rsidRPr="00F4527A">
        <w:rPr>
          <w:rFonts w:eastAsiaTheme="minorEastAsia"/>
          <w:rtl/>
        </w:rPr>
        <w:t xml:space="preserve"> المؤرخ </w:t>
      </w:r>
      <w:r w:rsidRPr="006C409A">
        <w:rPr>
          <w:rFonts w:eastAsiaTheme="minorEastAsia"/>
          <w:rtl/>
        </w:rPr>
        <w:t>15</w:t>
      </w:r>
      <w:r w:rsidRPr="00F4527A">
        <w:rPr>
          <w:rFonts w:eastAsiaTheme="minorEastAsia"/>
          <w:rtl/>
        </w:rPr>
        <w:t xml:space="preserve"> آذار/مارس </w:t>
      </w:r>
      <w:r w:rsidRPr="006C409A">
        <w:rPr>
          <w:rFonts w:eastAsiaTheme="minorEastAsia"/>
          <w:rtl/>
        </w:rPr>
        <w:t>2006</w:t>
      </w:r>
      <w:r w:rsidRPr="00F4527A">
        <w:rPr>
          <w:rFonts w:eastAsiaTheme="minorEastAsia"/>
          <w:rtl/>
        </w:rPr>
        <w:t xml:space="preserve">، وقراري مجلس حقوق الإنسان </w:t>
      </w:r>
      <w:r w:rsidRPr="006C409A">
        <w:rPr>
          <w:rFonts w:eastAsiaTheme="minorEastAsia"/>
          <w:rtl/>
        </w:rPr>
        <w:t>5</w:t>
      </w:r>
      <w:r w:rsidRPr="00F4527A">
        <w:rPr>
          <w:rFonts w:eastAsiaTheme="minorEastAsia"/>
          <w:rtl/>
        </w:rPr>
        <w:t>/</w:t>
      </w:r>
      <w:r w:rsidRPr="006C409A">
        <w:rPr>
          <w:rFonts w:eastAsiaTheme="minorEastAsia"/>
          <w:rtl/>
        </w:rPr>
        <w:t>1</w:t>
      </w:r>
      <w:r w:rsidRPr="00F4527A">
        <w:rPr>
          <w:rFonts w:eastAsiaTheme="minorEastAsia"/>
          <w:rtl/>
        </w:rPr>
        <w:t xml:space="preserve"> و</w:t>
      </w:r>
      <w:r w:rsidRPr="006C409A">
        <w:rPr>
          <w:rFonts w:eastAsiaTheme="minorEastAsia"/>
          <w:rtl/>
        </w:rPr>
        <w:t>5</w:t>
      </w:r>
      <w:r w:rsidRPr="00F4527A">
        <w:rPr>
          <w:rFonts w:eastAsiaTheme="minorEastAsia"/>
          <w:rtl/>
        </w:rPr>
        <w:t>/</w:t>
      </w:r>
      <w:r w:rsidRPr="006C409A">
        <w:rPr>
          <w:rFonts w:eastAsiaTheme="minorEastAsia"/>
          <w:rtl/>
        </w:rPr>
        <w:t>2</w:t>
      </w:r>
      <w:r w:rsidRPr="00F4527A">
        <w:rPr>
          <w:rFonts w:eastAsiaTheme="minorEastAsia"/>
          <w:rtl/>
        </w:rPr>
        <w:t xml:space="preserve">، المؤرخين معاً </w:t>
      </w:r>
      <w:r w:rsidRPr="006C409A">
        <w:rPr>
          <w:rFonts w:eastAsiaTheme="minorEastAsia"/>
          <w:rtl/>
        </w:rPr>
        <w:t>18</w:t>
      </w:r>
      <w:r w:rsidRPr="00F4527A">
        <w:rPr>
          <w:rFonts w:eastAsiaTheme="minorEastAsia"/>
          <w:rtl/>
        </w:rPr>
        <w:t xml:space="preserve"> حزيران/يونيه </w:t>
      </w:r>
      <w:r w:rsidRPr="006C409A">
        <w:rPr>
          <w:rFonts w:eastAsiaTheme="minorEastAsia"/>
          <w:rtl/>
        </w:rPr>
        <w:t>2007</w:t>
      </w:r>
      <w:r w:rsidRPr="00F4527A">
        <w:rPr>
          <w:rFonts w:eastAsiaTheme="minorEastAsia"/>
          <w:rtl/>
        </w:rPr>
        <w:t xml:space="preserve">، والقرار </w:t>
      </w:r>
      <w:r w:rsidRPr="006C409A">
        <w:rPr>
          <w:rFonts w:eastAsiaTheme="minorEastAsia"/>
          <w:rtl/>
        </w:rPr>
        <w:t>91</w:t>
      </w:r>
      <w:r w:rsidRPr="00F4527A">
        <w:rPr>
          <w:rFonts w:eastAsiaTheme="minorEastAsia"/>
          <w:rtl/>
        </w:rPr>
        <w:t xml:space="preserve"> للجنة الأفريقية لحقوق الإنسان والشعوب ومقرراتها </w:t>
      </w:r>
      <w:r w:rsidRPr="006C409A">
        <w:rPr>
          <w:rFonts w:eastAsiaTheme="minorEastAsia"/>
          <w:rtl/>
        </w:rPr>
        <w:t>250</w:t>
      </w:r>
      <w:r w:rsidRPr="00F4527A">
        <w:rPr>
          <w:rFonts w:eastAsiaTheme="minorEastAsia"/>
          <w:rtl/>
        </w:rPr>
        <w:t>/</w:t>
      </w:r>
      <w:r w:rsidRPr="006C409A">
        <w:rPr>
          <w:rFonts w:eastAsiaTheme="minorEastAsia"/>
          <w:rtl/>
        </w:rPr>
        <w:t>2002</w:t>
      </w:r>
      <w:r w:rsidRPr="00F4527A">
        <w:rPr>
          <w:rFonts w:eastAsiaTheme="minorEastAsia"/>
          <w:rtl/>
        </w:rPr>
        <w:t xml:space="preserve"> و</w:t>
      </w:r>
      <w:r w:rsidRPr="006C409A">
        <w:rPr>
          <w:rFonts w:eastAsiaTheme="minorEastAsia"/>
          <w:rtl/>
        </w:rPr>
        <w:t>275</w:t>
      </w:r>
      <w:r w:rsidRPr="00F4527A">
        <w:rPr>
          <w:rFonts w:eastAsiaTheme="minorEastAsia"/>
          <w:rtl/>
        </w:rPr>
        <w:t>/</w:t>
      </w:r>
      <w:r w:rsidRPr="006C409A">
        <w:rPr>
          <w:rFonts w:eastAsiaTheme="minorEastAsia"/>
          <w:rtl/>
        </w:rPr>
        <w:t>2003</w:t>
      </w:r>
      <w:r w:rsidRPr="00F4527A">
        <w:rPr>
          <w:rFonts w:eastAsiaTheme="minorEastAsia"/>
          <w:rtl/>
        </w:rPr>
        <w:t xml:space="preserve"> و</w:t>
      </w:r>
      <w:r w:rsidRPr="006C409A">
        <w:rPr>
          <w:rFonts w:eastAsiaTheme="minorEastAsia"/>
          <w:rtl/>
        </w:rPr>
        <w:t>428</w:t>
      </w:r>
      <w:r w:rsidRPr="00F4527A">
        <w:rPr>
          <w:rFonts w:eastAsiaTheme="minorEastAsia"/>
          <w:rtl/>
        </w:rPr>
        <w:t>/</w:t>
      </w:r>
      <w:r w:rsidRPr="006C409A">
        <w:rPr>
          <w:rFonts w:eastAsiaTheme="minorEastAsia"/>
          <w:rtl/>
        </w:rPr>
        <w:t>12</w:t>
      </w:r>
      <w:r w:rsidRPr="00F4527A">
        <w:rPr>
          <w:rFonts w:eastAsiaTheme="minorEastAsia"/>
          <w:rtl/>
        </w:rPr>
        <w:t>، وجميع قرارات المجلس السابقة المتعلقة بحالة حقوق الإنسان في إريتريا</w:t>
      </w:r>
      <w:r>
        <w:rPr>
          <w:rFonts w:eastAsiaTheme="minorEastAsia" w:hint="cs"/>
          <w:rtl/>
          <w:lang w:val="en-US" w:eastAsia="zh-TW"/>
        </w:rPr>
        <w:t>،</w:t>
      </w:r>
    </w:p>
    <w:p w14:paraId="788881C1" w14:textId="73D94B86" w:rsidR="00F4527A" w:rsidRPr="006C2718" w:rsidRDefault="00F4527A" w:rsidP="00F4527A">
      <w:pPr>
        <w:pStyle w:val="SingleTxtGA"/>
        <w:rPr>
          <w:rFonts w:eastAsiaTheme="minorEastAsia" w:hint="cs"/>
          <w:lang w:val="en-US" w:eastAsia="zh-TW" w:bidi="en-GB"/>
        </w:rPr>
      </w:pPr>
      <w:r w:rsidRPr="006C409A">
        <w:rPr>
          <w:rFonts w:eastAsiaTheme="minorEastAsia"/>
          <w:i/>
          <w:iCs/>
          <w:rtl/>
        </w:rPr>
        <w:tab/>
        <w:t>وإذ يلاحظ</w:t>
      </w:r>
      <w:r w:rsidRPr="00F4527A">
        <w:rPr>
          <w:rFonts w:eastAsiaTheme="minorEastAsia"/>
          <w:rtl/>
        </w:rPr>
        <w:t xml:space="preserve"> التطورات الإقليمية والآثار المترتبة عنها، بما في ذلك آثارها على حقوق الإنسان في</w:t>
      </w:r>
      <w:r w:rsidR="008843FC">
        <w:rPr>
          <w:rFonts w:eastAsiaTheme="minorEastAsia" w:hint="cs"/>
          <w:rtl/>
        </w:rPr>
        <w:t> </w:t>
      </w:r>
      <w:r w:rsidRPr="00F4527A">
        <w:rPr>
          <w:rFonts w:eastAsiaTheme="minorEastAsia"/>
          <w:rtl/>
        </w:rPr>
        <w:t>إريتريا،</w:t>
      </w:r>
    </w:p>
    <w:p w14:paraId="6A1390B1" w14:textId="720C37A4" w:rsidR="003A3156" w:rsidRPr="003A3156" w:rsidRDefault="00F4527A" w:rsidP="00F4527A">
      <w:pPr>
        <w:pStyle w:val="SingleTxtGA"/>
        <w:rPr>
          <w:rFonts w:eastAsiaTheme="minorEastAsia"/>
          <w:color w:val="000000"/>
          <w:lang w:val="ar-SA" w:eastAsia="zh-TW" w:bidi="en-GB"/>
        </w:rPr>
      </w:pPr>
      <w:r>
        <w:rPr>
          <w:rFonts w:eastAsiaTheme="minorEastAsia"/>
          <w:rtl/>
        </w:rPr>
        <w:tab/>
      </w:r>
      <w:r w:rsidRPr="006C409A">
        <w:rPr>
          <w:rFonts w:eastAsiaTheme="minorEastAsia"/>
          <w:i/>
          <w:iCs/>
          <w:rtl/>
        </w:rPr>
        <w:t>وإذ يعرب عن بالغ قلقه</w:t>
      </w:r>
      <w:r w:rsidRPr="00F4527A">
        <w:rPr>
          <w:rFonts w:eastAsiaTheme="minorEastAsia"/>
          <w:rtl/>
        </w:rPr>
        <w:t xml:space="preserve"> إزاء الانتهاكات والتجاوزات المستمرة لحقوق الإنسان، وفقاً لما</w:t>
      </w:r>
      <w:r w:rsidR="008843FC">
        <w:rPr>
          <w:rFonts w:eastAsiaTheme="minorEastAsia" w:hint="cs"/>
          <w:rtl/>
        </w:rPr>
        <w:t> </w:t>
      </w:r>
      <w:r w:rsidRPr="00F4527A">
        <w:rPr>
          <w:rFonts w:eastAsiaTheme="minorEastAsia"/>
          <w:rtl/>
        </w:rPr>
        <w:t>ذكره المقرر الخاص المعني بحالة حقوق الإنسان في إريتريا في تقريره</w:t>
      </w:r>
      <w:r w:rsidR="003A3156" w:rsidRPr="006C2718">
        <w:rPr>
          <w:rStyle w:val="FootnoteReference"/>
          <w:szCs w:val="22"/>
          <w:rtl/>
        </w:rPr>
        <w:t>(</w:t>
      </w:r>
      <w:r w:rsidR="003A3156" w:rsidRPr="006C2718">
        <w:rPr>
          <w:rStyle w:val="FootnoteReference"/>
          <w:szCs w:val="22"/>
          <w:rtl/>
          <w:lang w:val="en-US"/>
        </w:rPr>
        <w:footnoteReference w:id="2"/>
      </w:r>
      <w:r w:rsidR="003A3156" w:rsidRPr="006C2718">
        <w:rPr>
          <w:rFonts w:hint="cs"/>
          <w:vertAlign w:val="superscript"/>
          <w:rtl/>
        </w:rPr>
        <w:t>)</w:t>
      </w:r>
      <w:r w:rsidR="003A3156" w:rsidRPr="003A3156">
        <w:rPr>
          <w:rFonts w:eastAsiaTheme="minorEastAsia" w:hint="cs"/>
          <w:color w:val="000000"/>
          <w:rtl/>
        </w:rPr>
        <w:t>،</w:t>
      </w:r>
    </w:p>
    <w:p w14:paraId="59E5EFB2" w14:textId="356DB3D9" w:rsidR="00F4527A" w:rsidRPr="00F4527A" w:rsidRDefault="00F4527A" w:rsidP="00F4527A">
      <w:pPr>
        <w:pStyle w:val="SingleTxtGA"/>
        <w:rPr>
          <w:rFonts w:eastAsiaTheme="minorEastAsia"/>
          <w:lang w:val="en-US" w:eastAsia="zh-TW" w:bidi="en-GB"/>
        </w:rPr>
      </w:pPr>
      <w:r w:rsidRPr="006C409A">
        <w:rPr>
          <w:rFonts w:eastAsiaTheme="minorEastAsia"/>
          <w:rtl/>
        </w:rPr>
        <w:lastRenderedPageBreak/>
        <w:tab/>
        <w:t>1</w:t>
      </w:r>
      <w:r w:rsidRPr="00F4527A">
        <w:rPr>
          <w:rFonts w:eastAsiaTheme="minorEastAsia"/>
          <w:rtl/>
        </w:rPr>
        <w:t>-</w:t>
      </w:r>
      <w:r w:rsidRPr="00F4527A">
        <w:rPr>
          <w:rFonts w:eastAsiaTheme="minorEastAsia"/>
          <w:rtl/>
        </w:rPr>
        <w:tab/>
      </w:r>
      <w:r w:rsidRPr="006C409A">
        <w:rPr>
          <w:rFonts w:eastAsiaTheme="minorEastAsia"/>
          <w:i/>
          <w:iCs/>
          <w:rtl/>
        </w:rPr>
        <w:t>يرحب</w:t>
      </w:r>
      <w:r w:rsidRPr="00F4527A">
        <w:rPr>
          <w:rFonts w:eastAsiaTheme="minorEastAsia"/>
          <w:rtl/>
        </w:rPr>
        <w:t xml:space="preserve"> بتقرير المقرر الخاص المعني بحالة حقوق الإنسان في إريتريا وبالاستنتاجات التي تضمّنها</w:t>
      </w:r>
      <w:r w:rsidR="003A3156">
        <w:rPr>
          <w:rFonts w:eastAsiaTheme="minorEastAsia" w:hint="cs"/>
          <w:rtl/>
        </w:rPr>
        <w:t>؛</w:t>
      </w:r>
    </w:p>
    <w:p w14:paraId="652956BB" w14:textId="21E96F88" w:rsidR="00F4527A" w:rsidRPr="00F4527A" w:rsidRDefault="00F4527A" w:rsidP="00F4527A">
      <w:pPr>
        <w:pStyle w:val="SingleTxtGA"/>
        <w:rPr>
          <w:rFonts w:eastAsiaTheme="minorEastAsia"/>
          <w:lang w:val="ar-SA" w:eastAsia="zh-TW" w:bidi="en-GB"/>
        </w:rPr>
      </w:pPr>
      <w:r w:rsidRPr="006C409A">
        <w:rPr>
          <w:rFonts w:eastAsiaTheme="minorEastAsia"/>
          <w:rtl/>
        </w:rPr>
        <w:tab/>
        <w:t>2</w:t>
      </w:r>
      <w:r w:rsidRPr="00F4527A">
        <w:rPr>
          <w:rFonts w:eastAsiaTheme="minorEastAsia"/>
          <w:rtl/>
        </w:rPr>
        <w:t>-</w:t>
      </w:r>
      <w:r w:rsidRPr="00F4527A">
        <w:rPr>
          <w:rFonts w:eastAsiaTheme="minorEastAsia"/>
          <w:rtl/>
        </w:rPr>
        <w:tab/>
      </w:r>
      <w:r w:rsidRPr="006C409A">
        <w:rPr>
          <w:rFonts w:eastAsiaTheme="minorEastAsia"/>
          <w:i/>
          <w:iCs/>
          <w:rtl/>
        </w:rPr>
        <w:t>يقرر</w:t>
      </w:r>
      <w:r w:rsidRPr="00F4527A">
        <w:rPr>
          <w:rFonts w:eastAsiaTheme="minorEastAsia"/>
          <w:rtl/>
        </w:rPr>
        <w:t xml:space="preserve"> تمديد ولاية المقرر الخاص المعني بحالة حقوق الإنسان في إريتريا سنةً أخرى؛</w:t>
      </w:r>
    </w:p>
    <w:p w14:paraId="7DF12051" w14:textId="1368863B" w:rsidR="00F4527A" w:rsidRPr="00F4527A" w:rsidRDefault="00F4527A" w:rsidP="00F4527A">
      <w:pPr>
        <w:pStyle w:val="SingleTxtGA"/>
        <w:rPr>
          <w:rFonts w:eastAsiaTheme="minorEastAsia"/>
          <w:lang w:val="ar-SA" w:eastAsia="zh-TW" w:bidi="en-GB"/>
        </w:rPr>
      </w:pPr>
      <w:r w:rsidRPr="006C409A">
        <w:rPr>
          <w:rFonts w:eastAsiaTheme="minorEastAsia"/>
          <w:rtl/>
        </w:rPr>
        <w:tab/>
        <w:t>3</w:t>
      </w:r>
      <w:r w:rsidRPr="00F4527A">
        <w:rPr>
          <w:rFonts w:eastAsiaTheme="minorEastAsia"/>
          <w:rtl/>
        </w:rPr>
        <w:t>-</w:t>
      </w:r>
      <w:r w:rsidRPr="00F4527A">
        <w:rPr>
          <w:rFonts w:eastAsiaTheme="minorEastAsia"/>
          <w:rtl/>
        </w:rPr>
        <w:tab/>
      </w:r>
      <w:r w:rsidRPr="006C409A">
        <w:rPr>
          <w:rFonts w:eastAsiaTheme="minorEastAsia"/>
          <w:i/>
          <w:iCs/>
          <w:rtl/>
        </w:rPr>
        <w:t xml:space="preserve">يطلب </w:t>
      </w:r>
      <w:r w:rsidRPr="00F4527A">
        <w:rPr>
          <w:rFonts w:eastAsiaTheme="minorEastAsia"/>
          <w:rtl/>
        </w:rPr>
        <w:t>إلى المقرر الخاص تقديم تقرير خطي إلى مجلس حقوق الإنسان في دورته الثالثة والخمسين وإلى الجمعية العامة في دورتها السابعة والسبعين؛</w:t>
      </w:r>
    </w:p>
    <w:p w14:paraId="2671C235" w14:textId="2BF24666" w:rsidR="00F4527A" w:rsidRPr="00F4527A" w:rsidRDefault="00F4527A" w:rsidP="00F4527A">
      <w:pPr>
        <w:pStyle w:val="SingleTxtGA"/>
        <w:rPr>
          <w:rFonts w:eastAsiaTheme="minorEastAsia"/>
          <w:lang w:val="ar-SA" w:eastAsia="zh-TW" w:bidi="en-GB"/>
        </w:rPr>
      </w:pPr>
      <w:r w:rsidRPr="006C409A">
        <w:rPr>
          <w:rFonts w:eastAsiaTheme="minorEastAsia"/>
          <w:rtl/>
        </w:rPr>
        <w:tab/>
        <w:t>4</w:t>
      </w:r>
      <w:r w:rsidRPr="00F4527A">
        <w:rPr>
          <w:rFonts w:eastAsiaTheme="minorEastAsia"/>
          <w:rtl/>
        </w:rPr>
        <w:t>-</w:t>
      </w:r>
      <w:r w:rsidRPr="00F4527A">
        <w:rPr>
          <w:rFonts w:eastAsiaTheme="minorEastAsia"/>
          <w:rtl/>
        </w:rPr>
        <w:tab/>
      </w:r>
      <w:r w:rsidRPr="006C409A">
        <w:rPr>
          <w:rFonts w:eastAsiaTheme="minorEastAsia"/>
          <w:i/>
          <w:iCs/>
          <w:rtl/>
        </w:rPr>
        <w:t>يقرر</w:t>
      </w:r>
      <w:r w:rsidRPr="00F4527A">
        <w:rPr>
          <w:rFonts w:eastAsiaTheme="minorEastAsia"/>
          <w:rtl/>
        </w:rPr>
        <w:t xml:space="preserve"> أن يجري في دورته الثانية والخمسين جلسة تحاور معزز بشأن حالة حقوق الإنسان في إريتريا، بمشاركة جهات من بينها المقرر الخاص ومفوضية الأمم المتحدة السامية لحقوق الإنسان والمجتمع المدني وغيرها من الجهات صاحبة المصلحة المعنية؛</w:t>
      </w:r>
    </w:p>
    <w:p w14:paraId="0CAB7848" w14:textId="4E828EC9" w:rsidR="003A3156" w:rsidRPr="006C409A" w:rsidRDefault="00F4527A" w:rsidP="00F4527A">
      <w:pPr>
        <w:pStyle w:val="SingleTxtGA"/>
        <w:rPr>
          <w:rFonts w:eastAsiaTheme="minorEastAsia"/>
          <w:bCs/>
          <w:color w:val="000000"/>
          <w:lang w:val="ar-SA" w:eastAsia="zh-TW" w:bidi="en-GB"/>
        </w:rPr>
      </w:pPr>
      <w:r w:rsidRPr="006C409A">
        <w:rPr>
          <w:rFonts w:eastAsiaTheme="minorEastAsia"/>
          <w:rtl/>
        </w:rPr>
        <w:tab/>
        <w:t>5</w:t>
      </w:r>
      <w:r w:rsidRPr="00F4527A">
        <w:rPr>
          <w:rFonts w:eastAsiaTheme="minorEastAsia"/>
          <w:rtl/>
        </w:rPr>
        <w:t>-</w:t>
      </w:r>
      <w:r w:rsidRPr="00F4527A">
        <w:rPr>
          <w:rFonts w:eastAsiaTheme="minorEastAsia"/>
          <w:rtl/>
        </w:rPr>
        <w:tab/>
      </w:r>
      <w:r w:rsidRPr="006C409A">
        <w:rPr>
          <w:rFonts w:eastAsiaTheme="minorEastAsia"/>
          <w:i/>
          <w:iCs/>
          <w:rtl/>
        </w:rPr>
        <w:t>يطلب</w:t>
      </w:r>
      <w:r w:rsidRPr="00F4527A">
        <w:rPr>
          <w:rFonts w:eastAsiaTheme="minorEastAsia"/>
          <w:rtl/>
        </w:rPr>
        <w:t xml:space="preserve"> إلى حكومة إريتريا أن تتعاون تعاوناً كاملاً مع المقرر الخاص، بطرق منها السماح له بالدخول إلى البلد والالتزام بإحراز تقدم بشأن التوصيات المدرجة في تقاريره وبشأن المعايير المؤشرات المتصلة بها التي اقتُرحت في عام </w:t>
      </w:r>
      <w:r w:rsidRPr="006C409A">
        <w:rPr>
          <w:rFonts w:eastAsiaTheme="minorEastAsia"/>
          <w:rtl/>
        </w:rPr>
        <w:t>2019</w:t>
      </w:r>
      <w:r w:rsidRPr="00F4527A">
        <w:rPr>
          <w:rFonts w:eastAsiaTheme="minorEastAsia"/>
          <w:rtl/>
        </w:rPr>
        <w:t>، أي</w:t>
      </w:r>
      <w:r w:rsidR="003A3156" w:rsidRPr="006C2718">
        <w:rPr>
          <w:rStyle w:val="FootnoteReference"/>
          <w:szCs w:val="22"/>
          <w:rtl/>
        </w:rPr>
        <w:t>(</w:t>
      </w:r>
      <w:r w:rsidR="003A3156" w:rsidRPr="006C2718">
        <w:rPr>
          <w:rStyle w:val="FootnoteReference"/>
          <w:szCs w:val="22"/>
          <w:rtl/>
          <w:lang w:val="en-US"/>
        </w:rPr>
        <w:footnoteReference w:id="3"/>
      </w:r>
      <w:r w:rsidR="003A3156" w:rsidRPr="006C2718">
        <w:rPr>
          <w:rFonts w:hint="cs"/>
          <w:vertAlign w:val="superscript"/>
          <w:rtl/>
        </w:rPr>
        <w:t>)</w:t>
      </w:r>
      <w:r w:rsidR="003A3156" w:rsidRPr="003A3156">
        <w:rPr>
          <w:rFonts w:eastAsiaTheme="minorEastAsia" w:hint="cs"/>
          <w:color w:val="000000"/>
          <w:rtl/>
        </w:rPr>
        <w:t>:</w:t>
      </w:r>
    </w:p>
    <w:p w14:paraId="6D7A275C" w14:textId="2932163C" w:rsidR="00F4527A" w:rsidRPr="00F4527A" w:rsidRDefault="00F4527A" w:rsidP="00F4527A">
      <w:pPr>
        <w:pStyle w:val="SingleTxtGA"/>
        <w:rPr>
          <w:rFonts w:eastAsiaTheme="minorEastAsia"/>
          <w:lang w:val="ar-SA" w:eastAsia="zh-TW" w:bidi="en-GB"/>
        </w:rPr>
      </w:pPr>
      <w:r>
        <w:rPr>
          <w:rFonts w:eastAsiaTheme="minorEastAsia"/>
          <w:rtl/>
        </w:rPr>
        <w:tab/>
      </w:r>
      <w:r w:rsidRPr="00F4527A">
        <w:rPr>
          <w:rFonts w:eastAsiaTheme="minorEastAsia"/>
          <w:rtl/>
        </w:rPr>
        <w:t>(أ)</w:t>
      </w:r>
      <w:r w:rsidRPr="00F4527A">
        <w:rPr>
          <w:rFonts w:eastAsiaTheme="minorEastAsia"/>
          <w:rtl/>
        </w:rPr>
        <w:tab/>
        <w:t>تحسين مجال تعزيز سيادة القانون وتوطيد مؤسسات القضاء المحلي وإنفاذ القانون؛</w:t>
      </w:r>
    </w:p>
    <w:p w14:paraId="0244E20C" w14:textId="40E455AE" w:rsidR="00F4527A" w:rsidRPr="00F4527A" w:rsidRDefault="00F4527A" w:rsidP="00F4527A">
      <w:pPr>
        <w:pStyle w:val="SingleTxtGA"/>
        <w:rPr>
          <w:rFonts w:eastAsiaTheme="minorEastAsia"/>
          <w:lang w:val="ar-SA" w:eastAsia="zh-TW" w:bidi="en-GB"/>
        </w:rPr>
      </w:pPr>
      <w:r>
        <w:rPr>
          <w:rFonts w:eastAsiaTheme="minorEastAsia"/>
          <w:rtl/>
        </w:rPr>
        <w:tab/>
      </w:r>
      <w:r w:rsidRPr="00F4527A">
        <w:rPr>
          <w:rFonts w:eastAsiaTheme="minorEastAsia"/>
          <w:rtl/>
        </w:rPr>
        <w:t>(ب)</w:t>
      </w:r>
      <w:r w:rsidRPr="00F4527A">
        <w:rPr>
          <w:rFonts w:eastAsiaTheme="minorEastAsia"/>
          <w:rtl/>
        </w:rPr>
        <w:tab/>
        <w:t>التزام واضح بإدخال إصلاحات على نظام الخدمة الوطنية/العسكرية؛</w:t>
      </w:r>
    </w:p>
    <w:p w14:paraId="27A08FF2" w14:textId="12B7BA92" w:rsidR="00F4527A" w:rsidRPr="00F4527A" w:rsidRDefault="00F4527A" w:rsidP="00F4527A">
      <w:pPr>
        <w:pStyle w:val="SingleTxtGA"/>
        <w:rPr>
          <w:rFonts w:eastAsiaTheme="minorEastAsia"/>
          <w:lang w:val="ar-SA" w:eastAsia="zh-TW" w:bidi="en-GB"/>
        </w:rPr>
      </w:pPr>
      <w:r>
        <w:rPr>
          <w:rFonts w:eastAsiaTheme="minorEastAsia"/>
          <w:rtl/>
        </w:rPr>
        <w:tab/>
      </w:r>
      <w:r w:rsidRPr="00F4527A">
        <w:rPr>
          <w:rFonts w:eastAsiaTheme="minorEastAsia"/>
          <w:rtl/>
        </w:rPr>
        <w:t>(ج)</w:t>
      </w:r>
      <w:r w:rsidRPr="00F4527A">
        <w:rPr>
          <w:rFonts w:eastAsiaTheme="minorEastAsia"/>
          <w:rtl/>
        </w:rPr>
        <w:tab/>
        <w:t>تكثيف الجهود الرامية إلى احترام وحماية وإعمال الحق في حرية الدين أو المعتقد، والتجمع السلمي، وتكوين الجمعيات، والرأي والتعبير، بما في ذلك لفائدة الصحفيين، وتكثيف الجهود الرامية إلى القضاء على التمييز الديني والإثني؛</w:t>
      </w:r>
    </w:p>
    <w:p w14:paraId="55BF097D" w14:textId="2D7D3C05" w:rsidR="00F4527A" w:rsidRPr="00F4527A" w:rsidRDefault="00F4527A" w:rsidP="00F4527A">
      <w:pPr>
        <w:pStyle w:val="SingleTxtGA"/>
        <w:rPr>
          <w:rFonts w:eastAsiaTheme="minorEastAsia"/>
          <w:lang w:val="ar-SA" w:eastAsia="zh-TW" w:bidi="en-GB"/>
        </w:rPr>
      </w:pPr>
      <w:r>
        <w:rPr>
          <w:rFonts w:eastAsiaTheme="minorEastAsia"/>
          <w:rtl/>
        </w:rPr>
        <w:tab/>
      </w:r>
      <w:r w:rsidRPr="00F4527A">
        <w:rPr>
          <w:rFonts w:eastAsiaTheme="minorEastAsia"/>
          <w:rtl/>
        </w:rPr>
        <w:t>(د)</w:t>
      </w:r>
      <w:r w:rsidRPr="00F4527A">
        <w:rPr>
          <w:rFonts w:eastAsiaTheme="minorEastAsia"/>
          <w:rtl/>
        </w:rPr>
        <w:tab/>
        <w:t>التزام واضح بالتصدي لجميع أشكال العنف الجنسي والجنساني وبتعزيز حقوق المرأة والفتاة والمساواة بين الجنسين؛</w:t>
      </w:r>
    </w:p>
    <w:p w14:paraId="1CDBD156" w14:textId="38746282" w:rsidR="00F4527A" w:rsidRPr="00F4527A" w:rsidRDefault="00F4527A" w:rsidP="00F4527A">
      <w:pPr>
        <w:pStyle w:val="SingleTxtGA"/>
        <w:rPr>
          <w:rFonts w:eastAsiaTheme="minorEastAsia"/>
          <w:lang w:val="ar-SA" w:eastAsia="zh-TW" w:bidi="en-GB"/>
        </w:rPr>
      </w:pPr>
      <w:r>
        <w:rPr>
          <w:rFonts w:eastAsiaTheme="minorEastAsia"/>
          <w:rtl/>
        </w:rPr>
        <w:tab/>
      </w:r>
      <w:r w:rsidRPr="00F4527A">
        <w:rPr>
          <w:rFonts w:eastAsiaTheme="minorEastAsia"/>
          <w:rtl/>
        </w:rPr>
        <w:t>(هـ)</w:t>
      </w:r>
      <w:r w:rsidRPr="00F4527A">
        <w:rPr>
          <w:rFonts w:eastAsiaTheme="minorEastAsia"/>
          <w:rtl/>
        </w:rPr>
        <w:tab/>
        <w:t>تعزيز التعاون مع هيئات الأمم المتحدة المتخصصة في مجال حقوق الإنسان والوكالات الدولية واللجنة الأفريقية لحقوق الإنسان والشعوب؛</w:t>
      </w:r>
    </w:p>
    <w:p w14:paraId="37FA8A50" w14:textId="7E94EDD1" w:rsidR="00F4527A" w:rsidRPr="00F4527A" w:rsidRDefault="00562DC3" w:rsidP="00F4527A">
      <w:pPr>
        <w:pStyle w:val="SingleTxtGA"/>
        <w:rPr>
          <w:rFonts w:eastAsiaTheme="minorEastAsia"/>
          <w:lang w:val="ar-SA" w:eastAsia="zh-TW" w:bidi="en-GB"/>
        </w:rPr>
      </w:pPr>
      <w:r w:rsidRPr="006C409A">
        <w:rPr>
          <w:rFonts w:eastAsiaTheme="minorEastAsia"/>
          <w:rtl/>
        </w:rPr>
        <w:tab/>
      </w:r>
      <w:r w:rsidR="00F4527A" w:rsidRPr="006C409A">
        <w:rPr>
          <w:rFonts w:eastAsiaTheme="minorEastAsia"/>
          <w:rtl/>
        </w:rPr>
        <w:t>6</w:t>
      </w:r>
      <w:r w:rsidR="00F4527A" w:rsidRPr="00F4527A">
        <w:rPr>
          <w:rFonts w:eastAsiaTheme="minorEastAsia"/>
          <w:rtl/>
        </w:rPr>
        <w:t>-</w:t>
      </w:r>
      <w:r w:rsidR="00F4527A" w:rsidRPr="00F4527A">
        <w:rPr>
          <w:rFonts w:eastAsiaTheme="minorEastAsia"/>
          <w:rtl/>
        </w:rPr>
        <w:tab/>
      </w:r>
      <w:r w:rsidR="00F4527A" w:rsidRPr="006C409A">
        <w:rPr>
          <w:rFonts w:eastAsiaTheme="minorEastAsia"/>
          <w:i/>
          <w:iCs/>
          <w:rtl/>
        </w:rPr>
        <w:t xml:space="preserve">يشجّع </w:t>
      </w:r>
      <w:r w:rsidR="00F4527A" w:rsidRPr="00F4527A">
        <w:rPr>
          <w:rFonts w:eastAsiaTheme="minorEastAsia"/>
          <w:rtl/>
        </w:rPr>
        <w:t>حكومة إريتريا على تنفيذ التوصيات التي قبلتها الدولة في سياق الجولة الثالثة للاستعراض الدوري الشامل؛</w:t>
      </w:r>
    </w:p>
    <w:p w14:paraId="2198F023" w14:textId="3EDE8F5B" w:rsidR="00F4527A" w:rsidRPr="00F4527A" w:rsidRDefault="00F4527A" w:rsidP="00F4527A">
      <w:pPr>
        <w:pStyle w:val="SingleTxtGA"/>
        <w:rPr>
          <w:rFonts w:eastAsiaTheme="minorEastAsia"/>
          <w:lang w:val="ar-SA" w:eastAsia="zh-TW" w:bidi="en-GB"/>
        </w:rPr>
      </w:pPr>
      <w:r w:rsidRPr="006C409A">
        <w:rPr>
          <w:rFonts w:eastAsiaTheme="minorEastAsia"/>
          <w:rtl/>
        </w:rPr>
        <w:tab/>
        <w:t>7</w:t>
      </w:r>
      <w:r w:rsidRPr="00F4527A">
        <w:rPr>
          <w:rFonts w:eastAsiaTheme="minorEastAsia"/>
          <w:rtl/>
        </w:rPr>
        <w:t>-</w:t>
      </w:r>
      <w:r w:rsidRPr="00F4527A">
        <w:rPr>
          <w:rFonts w:eastAsiaTheme="minorEastAsia"/>
          <w:rtl/>
        </w:rPr>
        <w:tab/>
      </w:r>
      <w:r w:rsidRPr="006C409A">
        <w:rPr>
          <w:rFonts w:eastAsiaTheme="minorEastAsia"/>
          <w:i/>
          <w:iCs/>
          <w:rtl/>
        </w:rPr>
        <w:t>يطلب</w:t>
      </w:r>
      <w:r w:rsidRPr="00F4527A">
        <w:rPr>
          <w:rFonts w:eastAsiaTheme="minorEastAsia"/>
          <w:rtl/>
        </w:rPr>
        <w:t xml:space="preserve"> إلى الأمين العام أن يزود المقرر الخاص بجميع المعلومات والموارد اللازمة للاضطلاع بولايته؛</w:t>
      </w:r>
    </w:p>
    <w:p w14:paraId="38DB72B0" w14:textId="0419031D" w:rsidR="00F572D8" w:rsidRPr="006C2718" w:rsidRDefault="00F4527A" w:rsidP="00F4527A">
      <w:pPr>
        <w:pStyle w:val="SingleTxtGA"/>
        <w:rPr>
          <w:rFonts w:eastAsiaTheme="minorEastAsia"/>
          <w:lang w:val="en-US" w:eastAsia="zh-TW" w:bidi="en-GB"/>
        </w:rPr>
      </w:pPr>
      <w:r w:rsidRPr="006C409A">
        <w:rPr>
          <w:rFonts w:eastAsiaTheme="minorEastAsia"/>
          <w:rtl/>
        </w:rPr>
        <w:tab/>
        <w:t>8</w:t>
      </w:r>
      <w:r w:rsidRPr="00F4527A">
        <w:rPr>
          <w:rFonts w:eastAsiaTheme="minorEastAsia"/>
          <w:rtl/>
        </w:rPr>
        <w:t>-</w:t>
      </w:r>
      <w:r w:rsidRPr="00F4527A">
        <w:rPr>
          <w:rFonts w:eastAsiaTheme="minorEastAsia"/>
          <w:rtl/>
        </w:rPr>
        <w:tab/>
      </w:r>
      <w:r w:rsidRPr="006C409A">
        <w:rPr>
          <w:rFonts w:eastAsiaTheme="minorEastAsia"/>
          <w:i/>
          <w:iCs/>
          <w:rtl/>
        </w:rPr>
        <w:t>يقرر</w:t>
      </w:r>
      <w:r w:rsidRPr="00F4527A">
        <w:rPr>
          <w:rFonts w:eastAsiaTheme="minorEastAsia"/>
          <w:rtl/>
        </w:rPr>
        <w:t xml:space="preserve"> أن يُبقي المسألة قيد نظره.</w:t>
      </w:r>
    </w:p>
    <w:p w14:paraId="7A863B6D" w14:textId="0AA2C374" w:rsidR="00F4527A" w:rsidRPr="006C2718" w:rsidRDefault="00F4527A" w:rsidP="00F4527A">
      <w:pPr>
        <w:pStyle w:val="SingleTxtGA"/>
        <w:jc w:val="center"/>
        <w:rPr>
          <w:u w:val="single"/>
          <w:lang w:val="en-US" w:eastAsia="zh-TW" w:bidi="en-GB"/>
        </w:rPr>
      </w:pPr>
      <w:r>
        <w:rPr>
          <w:u w:val="single"/>
          <w:rtl/>
          <w:lang w:eastAsia="zh-TW"/>
        </w:rPr>
        <w:tab/>
      </w:r>
      <w:r>
        <w:rPr>
          <w:u w:val="single"/>
          <w:rtl/>
          <w:lang w:eastAsia="zh-TW"/>
        </w:rPr>
        <w:tab/>
      </w:r>
      <w:r>
        <w:rPr>
          <w:u w:val="single"/>
          <w:rtl/>
          <w:lang w:eastAsia="zh-TW"/>
        </w:rPr>
        <w:tab/>
      </w:r>
    </w:p>
    <w:sectPr w:rsidR="00F4527A" w:rsidRPr="006C2718" w:rsidSect="008B243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22C80" w14:textId="77777777" w:rsidR="005E6BDB" w:rsidRPr="002901D9" w:rsidRDefault="005E6BDB" w:rsidP="00AD3834">
      <w:pPr>
        <w:spacing w:after="60" w:line="240" w:lineRule="auto"/>
        <w:ind w:left="57"/>
        <w:rPr>
          <w:i/>
          <w:iCs/>
        </w:rPr>
      </w:pPr>
      <w:r>
        <w:rPr>
          <w:rFonts w:hint="cs"/>
          <w:i/>
          <w:iCs/>
          <w:rtl/>
        </w:rPr>
        <w:t>الحواشي</w:t>
      </w:r>
    </w:p>
  </w:endnote>
  <w:endnote w:type="continuationSeparator" w:id="0">
    <w:p w14:paraId="46C2E9A9" w14:textId="77777777" w:rsidR="005E6BDB" w:rsidRDefault="005E6BD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2B2F2" w14:textId="18859C74" w:rsidR="006329D5" w:rsidRPr="006329D5" w:rsidRDefault="006329D5" w:rsidP="006329D5">
    <w:pPr>
      <w:pStyle w:val="Footer"/>
      <w:tabs>
        <w:tab w:val="right" w:pos="9638"/>
      </w:tabs>
      <w:rPr>
        <w:b/>
        <w:sz w:val="18"/>
        <w:lang w:val="en-US"/>
      </w:rPr>
    </w:pPr>
    <w:r>
      <w:rPr>
        <w:lang w:val="en-US"/>
      </w:rPr>
      <w:t>GE.22-10264</w:t>
    </w:r>
    <w:r>
      <w:rPr>
        <w:lang w:val="en-US"/>
      </w:rPr>
      <w:tab/>
    </w:r>
    <w:r w:rsidRPr="006329D5">
      <w:rPr>
        <w:b/>
        <w:sz w:val="18"/>
        <w:lang w:val="en-US"/>
      </w:rPr>
      <w:fldChar w:fldCharType="begin"/>
    </w:r>
    <w:r w:rsidRPr="006329D5">
      <w:rPr>
        <w:b/>
        <w:sz w:val="18"/>
        <w:lang w:val="en-US"/>
      </w:rPr>
      <w:instrText xml:space="preserve"> PAGE  \* MERGEFORMAT </w:instrText>
    </w:r>
    <w:r w:rsidRPr="006329D5">
      <w:rPr>
        <w:b/>
        <w:sz w:val="18"/>
        <w:lang w:val="en-US"/>
      </w:rPr>
      <w:fldChar w:fldCharType="separate"/>
    </w:r>
    <w:r w:rsidRPr="006329D5">
      <w:rPr>
        <w:b/>
        <w:noProof/>
        <w:sz w:val="18"/>
        <w:lang w:val="en-US"/>
      </w:rPr>
      <w:t>2</w:t>
    </w:r>
    <w:r w:rsidRPr="006329D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05FEF" w14:textId="4A29B5E4" w:rsidR="006959B0" w:rsidRPr="006329D5" w:rsidRDefault="006329D5" w:rsidP="006329D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GE.22-10264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CDF11" w14:textId="7682B31F" w:rsidR="00FD4BC9" w:rsidRPr="006329D5" w:rsidRDefault="006329D5" w:rsidP="006329D5">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FC624BF" wp14:editId="787B500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22-10264 (A)</w:t>
    </w:r>
    <w:r>
      <w:rPr>
        <w:noProof/>
        <w:sz w:val="20"/>
        <w:lang w:val="en-US"/>
      </w:rPr>
      <w:drawing>
        <wp:anchor distT="0" distB="0" distL="114300" distR="114300" simplePos="0" relativeHeight="251659264" behindDoc="0" locked="0" layoutInCell="1" allowOverlap="1" wp14:anchorId="54A39A30" wp14:editId="5EC771D6">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2B1B9" w14:textId="77777777" w:rsidR="005E6BDB" w:rsidRPr="00A350CC" w:rsidRDefault="005E6BDB"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58D9DEFE" w14:textId="77777777" w:rsidR="005E6BDB" w:rsidRDefault="005E6BDB" w:rsidP="00656392">
      <w:pPr>
        <w:spacing w:line="240" w:lineRule="auto"/>
      </w:pPr>
      <w:r>
        <w:continuationSeparator/>
      </w:r>
    </w:p>
  </w:footnote>
  <w:footnote w:id="1">
    <w:p w14:paraId="5945BCF5" w14:textId="68C98533" w:rsidR="006C2718" w:rsidRPr="006C2718" w:rsidRDefault="006C2718" w:rsidP="006C2718">
      <w:pPr>
        <w:pStyle w:val="FootnoteText1"/>
        <w:rPr>
          <w:rFonts w:hint="cs"/>
          <w:rtl/>
        </w:rPr>
      </w:pPr>
      <w:r w:rsidRPr="006C2718">
        <w:rPr>
          <w:rtl/>
        </w:rPr>
        <w:t>*</w:t>
      </w:r>
      <w:r w:rsidRPr="006C2718">
        <w:rPr>
          <w:rtl/>
        </w:rPr>
        <w:tab/>
      </w:r>
      <w:r w:rsidRPr="006C2718">
        <w:rPr>
          <w:rtl/>
        </w:rPr>
        <w:t>دولة غير عضو في مجلس حقوق الإنسان.</w:t>
      </w:r>
    </w:p>
  </w:footnote>
  <w:footnote w:id="2">
    <w:p w14:paraId="59BF92D3" w14:textId="77777777" w:rsidR="003A3156" w:rsidRPr="006C2718" w:rsidRDefault="003A3156" w:rsidP="006C2718">
      <w:pPr>
        <w:pStyle w:val="FootnoteText1"/>
        <w:textDirection w:val="tbRlV"/>
      </w:pPr>
      <w:r w:rsidRPr="006C2718">
        <w:rPr>
          <w:rtl/>
        </w:rPr>
        <w:t>(</w:t>
      </w:r>
      <w:r w:rsidRPr="006C2718">
        <w:rPr>
          <w:rtl/>
        </w:rPr>
        <w:footnoteRef/>
      </w:r>
      <w:r w:rsidRPr="006C2718">
        <w:rPr>
          <w:rtl/>
        </w:rPr>
        <w:t>)</w:t>
      </w:r>
      <w:r w:rsidRPr="006C2718">
        <w:tab/>
      </w:r>
      <w:hyperlink r:id="rId1" w:history="1">
        <w:r w:rsidRPr="006C2718">
          <w:rPr>
            <w:rStyle w:val="Hyperlink"/>
            <w:lang w:val="en-AU"/>
          </w:rPr>
          <w:t>A/HRC/50/20</w:t>
        </w:r>
      </w:hyperlink>
      <w:r w:rsidRPr="006C2718">
        <w:rPr>
          <w:rtl/>
        </w:rPr>
        <w:t xml:space="preserve">. </w:t>
      </w:r>
    </w:p>
  </w:footnote>
  <w:footnote w:id="3">
    <w:p w14:paraId="01AC8FE9" w14:textId="07A9C30C" w:rsidR="003A3156" w:rsidRPr="006C2718" w:rsidRDefault="003A3156" w:rsidP="006C2718">
      <w:pPr>
        <w:pStyle w:val="FootnoteText1"/>
        <w:textDirection w:val="tbRlV"/>
        <w:rPr>
          <w:rFonts w:hint="cs"/>
          <w:rtl/>
        </w:rPr>
      </w:pPr>
      <w:r w:rsidRPr="006C2718">
        <w:rPr>
          <w:rFonts w:hint="cs"/>
          <w:rtl/>
        </w:rPr>
        <w:t>(</w:t>
      </w:r>
      <w:r w:rsidRPr="006C2718">
        <w:rPr>
          <w:rtl/>
        </w:rPr>
        <w:footnoteRef/>
      </w:r>
      <w:r w:rsidRPr="006C2718">
        <w:rPr>
          <w:rFonts w:hint="cs"/>
          <w:rtl/>
        </w:rPr>
        <w:t>)</w:t>
      </w:r>
      <w:r w:rsidRPr="006C2718">
        <w:rPr>
          <w:rtl/>
        </w:rPr>
        <w:tab/>
        <w:t xml:space="preserve">انظر </w:t>
      </w:r>
      <w:hyperlink r:id="rId2" w:history="1">
        <w:r w:rsidRPr="006C2718">
          <w:rPr>
            <w:rStyle w:val="Hyperlink"/>
            <w:lang w:val="en-AU"/>
          </w:rPr>
          <w:t>A/HRC/41/53</w:t>
        </w:r>
      </w:hyperlink>
      <w:r w:rsidRPr="006C2718">
        <w:rPr>
          <w:rtl/>
        </w:rPr>
        <w:t xml:space="preserve">، الفقرات </w:t>
      </w:r>
      <w:r w:rsidR="007A5353">
        <w:rPr>
          <w:rFonts w:hint="cs"/>
          <w:rtl/>
        </w:rPr>
        <w:t xml:space="preserve">من </w:t>
      </w:r>
      <w:r w:rsidRPr="006C2718">
        <w:rPr>
          <w:rtl/>
        </w:rPr>
        <w:t>78</w:t>
      </w:r>
      <w:r w:rsidR="007A5353">
        <w:rPr>
          <w:rFonts w:hint="cs"/>
          <w:rtl/>
        </w:rPr>
        <w:t xml:space="preserve"> إلى </w:t>
      </w:r>
      <w:r w:rsidRPr="006C2718">
        <w:rPr>
          <w:rtl/>
        </w:rPr>
        <w:t xml:space="preserve">82.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FE15A" w14:textId="6CCDE2D4" w:rsidR="006329D5" w:rsidRPr="006329D5" w:rsidRDefault="006329D5" w:rsidP="006329D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A/HRC/50/L.19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DB491" w14:textId="1D4E9D68" w:rsidR="006329D5" w:rsidRPr="006329D5" w:rsidRDefault="006329D5" w:rsidP="006329D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A/HRC/50/L.19</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E8CB5"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evenAndOddHeaders/>
  <w:characterSpacingControl w:val="doNotCompress"/>
  <w:hdrShapeDefaults>
    <o:shapedefaults v:ext="edit" spidmax="4097"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BDB"/>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A3156"/>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2DC3"/>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E6BDB"/>
    <w:rsid w:val="005F0FA4"/>
    <w:rsid w:val="005F30EE"/>
    <w:rsid w:val="005F68BD"/>
    <w:rsid w:val="005F72A4"/>
    <w:rsid w:val="0060169C"/>
    <w:rsid w:val="0060473A"/>
    <w:rsid w:val="006069D0"/>
    <w:rsid w:val="00606EDF"/>
    <w:rsid w:val="00610719"/>
    <w:rsid w:val="00615955"/>
    <w:rsid w:val="006329D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2718"/>
    <w:rsid w:val="006C3C80"/>
    <w:rsid w:val="006C409A"/>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5353"/>
    <w:rsid w:val="007A70BB"/>
    <w:rsid w:val="007B7FC1"/>
    <w:rsid w:val="007C28DD"/>
    <w:rsid w:val="007D143A"/>
    <w:rsid w:val="007E5404"/>
    <w:rsid w:val="00811AD2"/>
    <w:rsid w:val="0083136D"/>
    <w:rsid w:val="00847298"/>
    <w:rsid w:val="0084797F"/>
    <w:rsid w:val="00852A9A"/>
    <w:rsid w:val="00867971"/>
    <w:rsid w:val="00871544"/>
    <w:rsid w:val="00880CC3"/>
    <w:rsid w:val="008843FC"/>
    <w:rsid w:val="008930DB"/>
    <w:rsid w:val="00895D16"/>
    <w:rsid w:val="008A4DD3"/>
    <w:rsid w:val="008B243F"/>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2BA3"/>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3948"/>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527A"/>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fillcolor="white">
      <v:fill color="white"/>
    </o:shapedefaults>
    <o:shapelayout v:ext="edit">
      <o:idmap v:ext="edit" data="1"/>
    </o:shapelayout>
  </w:shapeDefaults>
  <w:decimalSymbol w:val="."/>
  <w:listSeparator w:val=";"/>
  <w14:docId w14:val="3965D78B"/>
  <w15:docId w15:val="{F9B2E317-CD3D-4AC9-97A4-BC25D3C9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5E3ECA"/>
    <w:rPr>
      <w:rFonts w:ascii="Times New Roman" w:hAnsi="Times New Roman" w:cs="Simplified Arabic"/>
      <w:sz w:val="18"/>
      <w:lang w:eastAsia="en-US"/>
    </w:rPr>
  </w:style>
  <w:style w:type="character" w:styleId="FootnoteReference">
    <w:name w:val="footnote reference"/>
    <w:aliases w:val="ب,4_G,4_GA"/>
    <w:link w:val="Char2"/>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A/HRC/41/53" TargetMode="External"/><Relationship Id="rId1" Type="http://schemas.openxmlformats.org/officeDocument/2006/relationships/hyperlink" Target="https://undocs.org/ar/A/HRC/5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442</Words>
  <Characters>2709</Characters>
  <Application>Microsoft Office Word</Application>
  <DocSecurity>0</DocSecurity>
  <Lines>301</Lines>
  <Paragraphs>242</Paragraphs>
  <ScaleCrop>false</ScaleCrop>
  <HeadingPairs>
    <vt:vector size="2" baseType="variant">
      <vt:variant>
        <vt:lpstr>Title</vt:lpstr>
      </vt:variant>
      <vt:variant>
        <vt:i4>1</vt:i4>
      </vt:variant>
    </vt:vector>
  </HeadingPairs>
  <TitlesOfParts>
    <vt:vector size="1" baseType="lpstr">
      <vt:lpstr>A/HRC/50/L.19</vt:lpstr>
    </vt:vector>
  </TitlesOfParts>
  <Company>DCM</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A/HRC/50/L.19</dc:title>
  <dc:subject>GE.2210264(A)</dc:subject>
  <dc:creator>Muntaha BUHNAM - RFA</dc:creator>
  <cp:keywords>GE.2239432(A)</cp:keywords>
  <dc:description>Distr.: Limited
20 June 2022
Arabic
Original: English</dc:description>
  <cp:lastModifiedBy>Jamal Alkahlout</cp:lastModifiedBy>
  <cp:revision>2</cp:revision>
  <dcterms:created xsi:type="dcterms:W3CDTF">2022-07-01T09:22:00Z</dcterms:created>
  <dcterms:modified xsi:type="dcterms:W3CDTF">2022-07-01T09:22:00Z</dcterms:modified>
  <cp:category>Final</cp:category>
</cp:coreProperties>
</file>