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679"/>
        <w:gridCol w:w="3686"/>
      </w:tblGrid>
      <w:tr w:rsidR="006B3E27" w:rsidRPr="005445EF" w14:paraId="45E73E85" w14:textId="77777777" w:rsidTr="00912700">
        <w:trPr>
          <w:trHeight w:hRule="exact" w:val="851"/>
        </w:trPr>
        <w:tc>
          <w:tcPr>
            <w:tcW w:w="1274" w:type="dxa"/>
            <w:tcBorders>
              <w:bottom w:val="single" w:sz="4" w:space="0" w:color="auto"/>
            </w:tcBorders>
          </w:tcPr>
          <w:p w14:paraId="2A4BCF4A" w14:textId="77777777" w:rsidR="006B3E27" w:rsidRPr="005445EF" w:rsidRDefault="006B3E27" w:rsidP="00D6012F">
            <w:pPr>
              <w:kinsoku w:val="0"/>
              <w:overflowPunct w:val="0"/>
              <w:autoSpaceDE w:val="0"/>
              <w:autoSpaceDN w:val="0"/>
              <w:adjustRightInd w:val="0"/>
              <w:snapToGrid w:val="0"/>
              <w:spacing w:after="80" w:line="480" w:lineRule="exact"/>
              <w:jc w:val="left"/>
              <w:rPr>
                <w:rFonts w:hint="cs"/>
                <w:szCs w:val="40"/>
                <w:rtl/>
              </w:rPr>
            </w:pPr>
          </w:p>
        </w:tc>
        <w:tc>
          <w:tcPr>
            <w:tcW w:w="4679" w:type="dxa"/>
            <w:tcBorders>
              <w:bottom w:val="single" w:sz="4" w:space="0" w:color="auto"/>
            </w:tcBorders>
            <w:vAlign w:val="bottom"/>
          </w:tcPr>
          <w:p w14:paraId="395C054D" w14:textId="77777777" w:rsidR="006B3E27" w:rsidRPr="005445EF" w:rsidRDefault="006B3E27" w:rsidP="00F83E84">
            <w:pPr>
              <w:spacing w:after="80" w:line="480" w:lineRule="exact"/>
              <w:ind w:left="57"/>
              <w:jc w:val="left"/>
              <w:rPr>
                <w:sz w:val="30"/>
                <w:szCs w:val="30"/>
                <w:rtl/>
              </w:rPr>
            </w:pPr>
            <w:r w:rsidRPr="005445EF">
              <w:rPr>
                <w:rFonts w:hint="cs"/>
                <w:sz w:val="30"/>
                <w:szCs w:val="30"/>
                <w:rtl/>
              </w:rPr>
              <w:t>الأمم المتحدة</w:t>
            </w:r>
          </w:p>
        </w:tc>
        <w:tc>
          <w:tcPr>
            <w:tcW w:w="3686" w:type="dxa"/>
            <w:tcBorders>
              <w:bottom w:val="single" w:sz="4" w:space="0" w:color="auto"/>
            </w:tcBorders>
            <w:vAlign w:val="bottom"/>
          </w:tcPr>
          <w:p w14:paraId="1A443663" w14:textId="0F158D5D" w:rsidR="006B3E27" w:rsidRPr="00FC78E6" w:rsidRDefault="00FC78E6" w:rsidP="00FC78E6">
            <w:pPr>
              <w:bidi w:val="0"/>
              <w:jc w:val="left"/>
            </w:pPr>
            <w:r w:rsidRPr="00182C77">
              <w:rPr>
                <w:sz w:val="40"/>
              </w:rPr>
              <w:t>CERD</w:t>
            </w:r>
            <w:r w:rsidRPr="00182C77">
              <w:t>/C/SVK/CO/</w:t>
            </w:r>
            <w:r w:rsidRPr="002C5709">
              <w:t>13</w:t>
            </w:r>
          </w:p>
        </w:tc>
      </w:tr>
      <w:tr w:rsidR="006B3E27" w:rsidRPr="005445EF" w14:paraId="6B0D169A" w14:textId="77777777" w:rsidTr="00912700">
        <w:trPr>
          <w:trHeight w:hRule="exact" w:val="2835"/>
        </w:trPr>
        <w:tc>
          <w:tcPr>
            <w:tcW w:w="1274" w:type="dxa"/>
            <w:tcBorders>
              <w:top w:val="single" w:sz="4" w:space="0" w:color="auto"/>
              <w:bottom w:val="single" w:sz="12" w:space="0" w:color="auto"/>
            </w:tcBorders>
          </w:tcPr>
          <w:p w14:paraId="535643E4" w14:textId="77777777" w:rsidR="006B3E27" w:rsidRPr="005445EF" w:rsidRDefault="0059622A" w:rsidP="00912700">
            <w:pPr>
              <w:jc w:val="center"/>
              <w:rPr>
                <w:rtl/>
              </w:rPr>
            </w:pPr>
            <w:r w:rsidRPr="005445EF">
              <w:rPr>
                <w:noProof/>
              </w:rPr>
              <w:drawing>
                <wp:inline distT="0" distB="0" distL="0" distR="0" wp14:anchorId="6E1DE200" wp14:editId="0B7414D0">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79" w:type="dxa"/>
            <w:tcBorders>
              <w:top w:val="single" w:sz="4" w:space="0" w:color="auto"/>
              <w:bottom w:val="single" w:sz="12" w:space="0" w:color="auto"/>
            </w:tcBorders>
          </w:tcPr>
          <w:p w14:paraId="2F7757EC" w14:textId="77777777" w:rsidR="006B3E27" w:rsidRPr="002C5709" w:rsidRDefault="001E1CAD" w:rsidP="00F83E84">
            <w:pPr>
              <w:spacing w:before="120" w:after="40" w:line="640" w:lineRule="exact"/>
              <w:ind w:left="57"/>
              <w:jc w:val="left"/>
              <w:rPr>
                <w:b/>
                <w:bCs/>
                <w:sz w:val="46"/>
                <w:szCs w:val="46"/>
                <w:rtl/>
              </w:rPr>
            </w:pPr>
            <w:r w:rsidRPr="002C5709">
              <w:rPr>
                <w:rFonts w:hint="cs"/>
                <w:b/>
                <w:bCs/>
                <w:sz w:val="46"/>
                <w:szCs w:val="46"/>
                <w:rtl/>
              </w:rPr>
              <w:t>ا</w:t>
            </w:r>
            <w:r w:rsidR="00523BAE" w:rsidRPr="002C5709">
              <w:rPr>
                <w:rFonts w:hint="cs"/>
                <w:b/>
                <w:bCs/>
                <w:sz w:val="46"/>
                <w:szCs w:val="46"/>
                <w:rtl/>
              </w:rPr>
              <w:t>لا</w:t>
            </w:r>
            <w:r w:rsidR="004A14A6" w:rsidRPr="002C5709">
              <w:rPr>
                <w:rFonts w:hint="cs"/>
                <w:b/>
                <w:bCs/>
                <w:sz w:val="46"/>
                <w:szCs w:val="46"/>
                <w:rtl/>
              </w:rPr>
              <w:t>تفاقي</w:t>
            </w:r>
            <w:r w:rsidR="00523BAE" w:rsidRPr="002C5709">
              <w:rPr>
                <w:rFonts w:hint="cs"/>
                <w:b/>
                <w:bCs/>
                <w:sz w:val="46"/>
                <w:szCs w:val="46"/>
                <w:rtl/>
              </w:rPr>
              <w:t>ـ</w:t>
            </w:r>
            <w:r w:rsidR="004A14A6" w:rsidRPr="002C5709">
              <w:rPr>
                <w:rFonts w:hint="cs"/>
                <w:b/>
                <w:bCs/>
                <w:sz w:val="46"/>
                <w:szCs w:val="46"/>
                <w:rtl/>
              </w:rPr>
              <w:t xml:space="preserve">ة </w:t>
            </w:r>
            <w:r w:rsidR="00523BAE" w:rsidRPr="002C5709">
              <w:rPr>
                <w:rFonts w:hint="cs"/>
                <w:b/>
                <w:bCs/>
                <w:sz w:val="46"/>
                <w:szCs w:val="46"/>
                <w:rtl/>
              </w:rPr>
              <w:t>الدوليـة ل</w:t>
            </w:r>
            <w:r w:rsidR="004A14A6" w:rsidRPr="002C5709">
              <w:rPr>
                <w:rFonts w:hint="cs"/>
                <w:b/>
                <w:bCs/>
                <w:sz w:val="46"/>
                <w:szCs w:val="46"/>
                <w:rtl/>
              </w:rPr>
              <w:t>لقض</w:t>
            </w:r>
            <w:r w:rsidR="00523BAE" w:rsidRPr="002C5709">
              <w:rPr>
                <w:rFonts w:hint="cs"/>
                <w:b/>
                <w:bCs/>
                <w:sz w:val="46"/>
                <w:szCs w:val="46"/>
                <w:rtl/>
              </w:rPr>
              <w:t>ــ</w:t>
            </w:r>
            <w:r w:rsidR="004A14A6" w:rsidRPr="002C5709">
              <w:rPr>
                <w:rFonts w:hint="cs"/>
                <w:b/>
                <w:bCs/>
                <w:sz w:val="46"/>
                <w:szCs w:val="46"/>
                <w:rtl/>
              </w:rPr>
              <w:t>اء عل</w:t>
            </w:r>
            <w:r w:rsidR="00523BAE" w:rsidRPr="002C5709">
              <w:rPr>
                <w:rFonts w:hint="cs"/>
                <w:b/>
                <w:bCs/>
                <w:sz w:val="46"/>
                <w:szCs w:val="46"/>
                <w:rtl/>
              </w:rPr>
              <w:t>ـ</w:t>
            </w:r>
            <w:r w:rsidR="004A14A6" w:rsidRPr="002C5709">
              <w:rPr>
                <w:rFonts w:hint="cs"/>
                <w:b/>
                <w:bCs/>
                <w:sz w:val="46"/>
                <w:szCs w:val="46"/>
                <w:rtl/>
              </w:rPr>
              <w:t xml:space="preserve">ى جميع أشكال التمييز </w:t>
            </w:r>
            <w:r w:rsidR="00523BAE" w:rsidRPr="002C5709">
              <w:rPr>
                <w:rFonts w:hint="cs"/>
                <w:b/>
                <w:bCs/>
                <w:sz w:val="46"/>
                <w:szCs w:val="46"/>
                <w:rtl/>
              </w:rPr>
              <w:t>العنصري</w:t>
            </w:r>
          </w:p>
        </w:tc>
        <w:tc>
          <w:tcPr>
            <w:tcW w:w="3686" w:type="dxa"/>
            <w:tcBorders>
              <w:top w:val="single" w:sz="4" w:space="0" w:color="auto"/>
              <w:bottom w:val="single" w:sz="12" w:space="0" w:color="auto"/>
            </w:tcBorders>
          </w:tcPr>
          <w:p w14:paraId="0EB87A42" w14:textId="19D49D4E" w:rsidR="006B3E27" w:rsidRDefault="00FC78E6" w:rsidP="002E002F">
            <w:pPr>
              <w:bidi w:val="0"/>
              <w:spacing w:before="240"/>
              <w:jc w:val="left"/>
            </w:pPr>
            <w:r>
              <w:t>Dist</w:t>
            </w:r>
            <w:r w:rsidR="00182C77" w:rsidRPr="00182C77">
              <w:t>r.:</w:t>
            </w:r>
            <w:r>
              <w:t xml:space="preserve"> General</w:t>
            </w:r>
          </w:p>
          <w:p w14:paraId="12AB2F00" w14:textId="6E8051EB" w:rsidR="00FC78E6" w:rsidRDefault="00E86B08" w:rsidP="00FC78E6">
            <w:pPr>
              <w:bidi w:val="0"/>
              <w:spacing w:line="240" w:lineRule="exact"/>
              <w:jc w:val="left"/>
            </w:pPr>
            <w:r w:rsidRPr="002C5709">
              <w:t>16</w:t>
            </w:r>
            <w:r>
              <w:t xml:space="preserve"> September </w:t>
            </w:r>
            <w:r w:rsidR="00FC78E6" w:rsidRPr="002C5709">
              <w:t>2022</w:t>
            </w:r>
          </w:p>
          <w:p w14:paraId="2BB399DC" w14:textId="77777777" w:rsidR="00FC78E6" w:rsidRDefault="00FC78E6" w:rsidP="00FC78E6">
            <w:pPr>
              <w:bidi w:val="0"/>
              <w:spacing w:line="240" w:lineRule="exact"/>
              <w:jc w:val="left"/>
            </w:pPr>
            <w:r>
              <w:t>Arabic</w:t>
            </w:r>
          </w:p>
          <w:p w14:paraId="1074C743" w14:textId="6489FEAB" w:rsidR="00FC78E6" w:rsidRPr="00FC78E6" w:rsidRDefault="00FC78E6" w:rsidP="00FC78E6">
            <w:pPr>
              <w:bidi w:val="0"/>
              <w:spacing w:line="240" w:lineRule="exact"/>
              <w:jc w:val="left"/>
            </w:pPr>
            <w:r>
              <w:t>Origina</w:t>
            </w:r>
            <w:r w:rsidR="00182C77" w:rsidRPr="00182C77">
              <w:t xml:space="preserve">l: </w:t>
            </w:r>
            <w:r>
              <w:t>English</w:t>
            </w:r>
          </w:p>
        </w:tc>
      </w:tr>
    </w:tbl>
    <w:p w14:paraId="10F371E8" w14:textId="0A84BBEF" w:rsidR="00E86B08" w:rsidRPr="002C5709" w:rsidRDefault="00E86B08" w:rsidP="00E86B08">
      <w:pPr>
        <w:pStyle w:val="SingleTxtGA"/>
        <w:spacing w:before="120" w:after="0"/>
        <w:ind w:left="0" w:right="283"/>
        <w:jc w:val="left"/>
        <w:rPr>
          <w:b/>
          <w:bCs/>
          <w:sz w:val="26"/>
          <w:szCs w:val="26"/>
          <w:lang w:val="en-US" w:eastAsia="zh-TW" w:bidi="en-GB"/>
        </w:rPr>
      </w:pPr>
      <w:r w:rsidRPr="002C5709">
        <w:rPr>
          <w:b/>
          <w:bCs/>
          <w:sz w:val="26"/>
          <w:szCs w:val="26"/>
          <w:rtl/>
        </w:rPr>
        <w:t>لجنة القضاء على التمييز العنصري</w:t>
      </w:r>
    </w:p>
    <w:p w14:paraId="66659EAE" w14:textId="2F463CD7" w:rsidR="00E86B08" w:rsidRPr="002C5709" w:rsidRDefault="00E86B08" w:rsidP="001435D5">
      <w:pPr>
        <w:pStyle w:val="HChGA"/>
        <w:rPr>
          <w:sz w:val="40"/>
          <w:szCs w:val="40"/>
          <w:lang w:val="en-US" w:eastAsia="zh-TW" w:bidi="en-GB"/>
        </w:rPr>
      </w:pPr>
      <w:r w:rsidRPr="002C5709">
        <w:rPr>
          <w:rtl/>
        </w:rPr>
        <w:tab/>
      </w:r>
      <w:r w:rsidRPr="002C5709">
        <w:rPr>
          <w:rtl/>
        </w:rPr>
        <w:tab/>
        <w:t>الملاحظات الختامية بشأن التقرير الدوري الثالث عشر لسلوفاكيا</w:t>
      </w:r>
      <w:r w:rsidRPr="00F04C3D">
        <w:rPr>
          <w:rStyle w:val="FootnoteReference"/>
          <w:b w:val="0"/>
          <w:bCs w:val="0"/>
          <w:sz w:val="30"/>
          <w:vertAlign w:val="baseline"/>
          <w:rtl/>
          <w:lang w:val="en-US" w:eastAsia="zh-TW"/>
        </w:rPr>
        <w:footnoteReference w:customMarkFollows="1" w:id="1"/>
        <w:t>*</w:t>
      </w:r>
    </w:p>
    <w:p w14:paraId="3BEB8023" w14:textId="58A067A9" w:rsidR="00182C77" w:rsidRPr="00182C77" w:rsidRDefault="00E86B08" w:rsidP="00E86B08">
      <w:pPr>
        <w:pStyle w:val="SingleTxtGA"/>
        <w:rPr>
          <w:rFonts w:eastAsiaTheme="minorEastAsia"/>
          <w:rtl/>
          <w:lang w:val="en-US" w:eastAsia="zh-TW"/>
        </w:rPr>
      </w:pPr>
      <w:r w:rsidRPr="002C5709">
        <w:rPr>
          <w:rFonts w:eastAsiaTheme="minorEastAsia"/>
          <w:rtl/>
        </w:rPr>
        <w:t>1</w:t>
      </w:r>
      <w:r w:rsidRPr="00E86B08">
        <w:rPr>
          <w:rFonts w:eastAsiaTheme="minorEastAsia"/>
          <w:rtl/>
        </w:rPr>
        <w:t>-</w:t>
      </w:r>
      <w:r w:rsidRPr="00E86B08">
        <w:rPr>
          <w:rFonts w:eastAsiaTheme="minorEastAsia"/>
          <w:rtl/>
        </w:rPr>
        <w:tab/>
        <w:t xml:space="preserve">نظرت اللّجنة في التقرير الدوري الثالث عشر </w:t>
      </w:r>
      <w:proofErr w:type="gramStart"/>
      <w:r w:rsidRPr="00E86B08">
        <w:rPr>
          <w:rFonts w:eastAsiaTheme="minorEastAsia"/>
          <w:rtl/>
        </w:rPr>
        <w:t>لسلوفاكيا</w:t>
      </w:r>
      <w:r w:rsidR="00182C77" w:rsidRPr="00F07329">
        <w:rPr>
          <w:rFonts w:eastAsiaTheme="minorEastAsia"/>
          <w:vertAlign w:val="superscript"/>
          <w:rtl/>
        </w:rPr>
        <w:t>(</w:t>
      </w:r>
      <w:proofErr w:type="gramEnd"/>
      <w:r w:rsidR="00182C77" w:rsidRPr="002C5709">
        <w:rPr>
          <w:rFonts w:eastAsiaTheme="minorEastAsia"/>
          <w:vertAlign w:val="superscript"/>
          <w:lang w:val="en-US"/>
        </w:rPr>
        <w:footnoteReference w:id="2"/>
      </w:r>
      <w:r w:rsidRPr="00F07329">
        <w:rPr>
          <w:rFonts w:eastAsiaTheme="minorEastAsia"/>
          <w:vertAlign w:val="superscript"/>
          <w:rtl/>
        </w:rPr>
        <w:t>)</w:t>
      </w:r>
      <w:r w:rsidR="00741A58">
        <w:rPr>
          <w:rFonts w:eastAsiaTheme="minorEastAsia" w:hint="cs"/>
          <w:rtl/>
        </w:rPr>
        <w:t xml:space="preserve"> </w:t>
      </w:r>
      <w:r w:rsidRPr="00E86B08">
        <w:rPr>
          <w:rFonts w:eastAsiaTheme="minorEastAsia"/>
          <w:rtl/>
        </w:rPr>
        <w:t>في جلستيها</w:t>
      </w:r>
      <w:r w:rsidR="00182C77" w:rsidRPr="00F07329">
        <w:rPr>
          <w:rFonts w:eastAsiaTheme="minorEastAsia"/>
          <w:vertAlign w:val="superscript"/>
          <w:rtl/>
        </w:rPr>
        <w:t>(</w:t>
      </w:r>
      <w:r w:rsidR="00182C77" w:rsidRPr="002C5709">
        <w:rPr>
          <w:rFonts w:eastAsiaTheme="minorEastAsia"/>
          <w:vertAlign w:val="superscript"/>
          <w:lang w:val="en-US"/>
        </w:rPr>
        <w:footnoteReference w:id="3"/>
      </w:r>
      <w:r w:rsidRPr="00F07329">
        <w:rPr>
          <w:rFonts w:eastAsiaTheme="minorEastAsia"/>
          <w:vertAlign w:val="superscript"/>
          <w:rtl/>
        </w:rPr>
        <w:t>)</w:t>
      </w:r>
      <w:r w:rsidRPr="00E86B08">
        <w:rPr>
          <w:rFonts w:eastAsiaTheme="minorEastAsia"/>
          <w:rtl/>
        </w:rPr>
        <w:t xml:space="preserve"> </w:t>
      </w:r>
      <w:r w:rsidRPr="002C5709">
        <w:rPr>
          <w:rFonts w:eastAsiaTheme="minorEastAsia"/>
          <w:rtl/>
        </w:rPr>
        <w:t>2905</w:t>
      </w:r>
      <w:r w:rsidRPr="00E86B08">
        <w:rPr>
          <w:rFonts w:eastAsiaTheme="minorEastAsia"/>
          <w:rtl/>
        </w:rPr>
        <w:t xml:space="preserve"> و</w:t>
      </w:r>
      <w:r w:rsidRPr="002C5709">
        <w:rPr>
          <w:rFonts w:eastAsiaTheme="minorEastAsia"/>
          <w:rtl/>
        </w:rPr>
        <w:t>2906</w:t>
      </w:r>
      <w:r w:rsidRPr="00E86B08">
        <w:rPr>
          <w:rFonts w:eastAsiaTheme="minorEastAsia"/>
          <w:rtl/>
        </w:rPr>
        <w:t xml:space="preserve">، المعقودتين يومي </w:t>
      </w:r>
      <w:r w:rsidRPr="002C5709">
        <w:rPr>
          <w:rFonts w:eastAsiaTheme="minorEastAsia"/>
          <w:rtl/>
        </w:rPr>
        <w:t>16</w:t>
      </w:r>
      <w:r w:rsidRPr="00E86B08">
        <w:rPr>
          <w:rFonts w:eastAsiaTheme="minorEastAsia"/>
          <w:rtl/>
        </w:rPr>
        <w:t xml:space="preserve"> و</w:t>
      </w:r>
      <w:r w:rsidRPr="002C5709">
        <w:rPr>
          <w:rFonts w:eastAsiaTheme="minorEastAsia"/>
          <w:rtl/>
        </w:rPr>
        <w:t>17</w:t>
      </w:r>
      <w:r w:rsidRPr="00E86B08">
        <w:rPr>
          <w:rFonts w:eastAsiaTheme="minorEastAsia"/>
          <w:rtl/>
        </w:rPr>
        <w:t xml:space="preserve"> آب/أغسطس </w:t>
      </w:r>
      <w:r w:rsidRPr="002C5709">
        <w:rPr>
          <w:rFonts w:eastAsiaTheme="minorEastAsia"/>
          <w:rtl/>
        </w:rPr>
        <w:t>202</w:t>
      </w:r>
      <w:r w:rsidR="00182C77" w:rsidRPr="002C5709">
        <w:rPr>
          <w:rFonts w:eastAsiaTheme="minorEastAsia"/>
          <w:rtl/>
        </w:rPr>
        <w:t>2</w:t>
      </w:r>
      <w:r w:rsidR="00182C77" w:rsidRPr="00182C77">
        <w:rPr>
          <w:rFonts w:eastAsiaTheme="minorEastAsia"/>
          <w:rtl/>
        </w:rPr>
        <w:t xml:space="preserve">. </w:t>
      </w:r>
      <w:r w:rsidRPr="00E86B08">
        <w:rPr>
          <w:rFonts w:eastAsiaTheme="minorEastAsia"/>
          <w:rtl/>
        </w:rPr>
        <w:t xml:space="preserve">واعتمدت هذه الملاحظات الختامية في جلستها </w:t>
      </w:r>
      <w:r w:rsidRPr="002C5709">
        <w:rPr>
          <w:rFonts w:eastAsiaTheme="minorEastAsia"/>
          <w:rtl/>
        </w:rPr>
        <w:t>2920</w:t>
      </w:r>
      <w:r w:rsidRPr="00E86B08">
        <w:rPr>
          <w:rFonts w:eastAsiaTheme="minorEastAsia"/>
          <w:rtl/>
        </w:rPr>
        <w:t xml:space="preserve">، المعقودة في </w:t>
      </w:r>
      <w:r w:rsidRPr="002C5709">
        <w:rPr>
          <w:rFonts w:eastAsiaTheme="minorEastAsia"/>
          <w:rtl/>
        </w:rPr>
        <w:t>26</w:t>
      </w:r>
      <w:r w:rsidRPr="00E86B08">
        <w:rPr>
          <w:rFonts w:eastAsiaTheme="minorEastAsia"/>
          <w:rtl/>
        </w:rPr>
        <w:t xml:space="preserve"> آب/أغسطس </w:t>
      </w:r>
      <w:r w:rsidRPr="002C5709">
        <w:rPr>
          <w:rFonts w:eastAsiaTheme="minorEastAsia"/>
          <w:rtl/>
        </w:rPr>
        <w:t>202</w:t>
      </w:r>
      <w:r w:rsidR="00182C77" w:rsidRPr="002C5709">
        <w:rPr>
          <w:rFonts w:eastAsiaTheme="minorEastAsia"/>
          <w:rtl/>
        </w:rPr>
        <w:t>2</w:t>
      </w:r>
      <w:r w:rsidR="00182C77" w:rsidRPr="00182C77">
        <w:rPr>
          <w:rFonts w:eastAsiaTheme="minorEastAsia"/>
          <w:rtl/>
        </w:rPr>
        <w:t>.</w:t>
      </w:r>
    </w:p>
    <w:p w14:paraId="1076215E" w14:textId="549F9E3F" w:rsidR="00E86B08" w:rsidRPr="002C5709" w:rsidRDefault="00E86B08" w:rsidP="00E86B08">
      <w:pPr>
        <w:pStyle w:val="H1GA"/>
        <w:rPr>
          <w:lang w:val="en-US" w:eastAsia="zh-TW" w:bidi="en-GB"/>
        </w:rPr>
      </w:pPr>
      <w:r w:rsidRPr="002C5709">
        <w:rPr>
          <w:rtl/>
        </w:rPr>
        <w:tab/>
        <w:t>ألف-</w:t>
      </w:r>
      <w:r w:rsidRPr="002C5709">
        <w:rPr>
          <w:rtl/>
        </w:rPr>
        <w:tab/>
        <w:t>مقدمة</w:t>
      </w:r>
    </w:p>
    <w:p w14:paraId="1EEAC98C" w14:textId="1CB59983" w:rsidR="00E86B08" w:rsidRPr="00741A58" w:rsidRDefault="00E86B08" w:rsidP="00E86B08">
      <w:pPr>
        <w:pStyle w:val="SingleTxtGA"/>
        <w:rPr>
          <w:rFonts w:eastAsiaTheme="minorEastAsia" w:hint="cs"/>
          <w:lang w:val="en-US" w:eastAsia="zh-TW" w:bidi="en-GB"/>
        </w:rPr>
      </w:pPr>
      <w:r w:rsidRPr="002C5709">
        <w:rPr>
          <w:rFonts w:eastAsiaTheme="minorEastAsia"/>
          <w:rtl/>
        </w:rPr>
        <w:t>2</w:t>
      </w:r>
      <w:r w:rsidRPr="00E86B08">
        <w:rPr>
          <w:rFonts w:eastAsiaTheme="minorEastAsia"/>
          <w:rtl/>
        </w:rPr>
        <w:t>-</w:t>
      </w:r>
      <w:r w:rsidRPr="00E86B08">
        <w:rPr>
          <w:rFonts w:eastAsiaTheme="minorEastAsia"/>
          <w:rtl/>
        </w:rPr>
        <w:tab/>
        <w:t>ترحب اللجنة بتقديم الدولة الطرف تقريرها الدوري الثالث عشر. كما ترحب بالحوار البناء الذي أجرته مع وفد الدولة الطرف، وتشكره على المعلومات التي قدمها أثناء النظر في التقرير، وعلى المعلومات الكتابية الإضافية التي قدمها بعد الحوار.</w:t>
      </w:r>
    </w:p>
    <w:p w14:paraId="3042D4C1" w14:textId="42D55A32" w:rsidR="00E86B08" w:rsidRPr="002C5709" w:rsidRDefault="00E86B08" w:rsidP="00E86B08">
      <w:pPr>
        <w:pStyle w:val="H1GA"/>
        <w:rPr>
          <w:lang w:val="ar-SA" w:eastAsia="zh-TW" w:bidi="en-GB"/>
        </w:rPr>
      </w:pPr>
      <w:r w:rsidRPr="002C5709">
        <w:rPr>
          <w:rtl/>
        </w:rPr>
        <w:tab/>
        <w:t>باء-</w:t>
      </w:r>
      <w:r w:rsidRPr="002C5709">
        <w:rPr>
          <w:rtl/>
        </w:rPr>
        <w:tab/>
        <w:t>الجوانب الإيجابية</w:t>
      </w:r>
    </w:p>
    <w:p w14:paraId="0EE8C23D" w14:textId="76BA81BF" w:rsidR="00E86B08" w:rsidRPr="00E86B08" w:rsidRDefault="00E86B08" w:rsidP="00E86B08">
      <w:pPr>
        <w:pStyle w:val="SingleTxtGA"/>
        <w:rPr>
          <w:rFonts w:eastAsiaTheme="minorEastAsia"/>
          <w:lang w:val="ar-SA" w:eastAsia="zh-TW" w:bidi="en-GB"/>
        </w:rPr>
      </w:pPr>
      <w:r w:rsidRPr="002C5709">
        <w:rPr>
          <w:rFonts w:eastAsiaTheme="minorEastAsia"/>
          <w:rtl/>
        </w:rPr>
        <w:t>3</w:t>
      </w:r>
      <w:r w:rsidRPr="00E86B08">
        <w:rPr>
          <w:rFonts w:eastAsiaTheme="minorEastAsia"/>
          <w:rtl/>
        </w:rPr>
        <w:t>-</w:t>
      </w:r>
      <w:r w:rsidRPr="00E86B08">
        <w:rPr>
          <w:rFonts w:eastAsiaTheme="minorEastAsia"/>
          <w:rtl/>
        </w:rPr>
        <w:tab/>
        <w:t xml:space="preserve">ترحّب اللجنة بالتدابير التشريعية </w:t>
      </w:r>
      <w:proofErr w:type="spellStart"/>
      <w:r w:rsidRPr="00E86B08">
        <w:rPr>
          <w:rFonts w:eastAsiaTheme="minorEastAsia"/>
          <w:rtl/>
        </w:rPr>
        <w:t>والسياساتية</w:t>
      </w:r>
      <w:proofErr w:type="spellEnd"/>
      <w:r w:rsidRPr="00E86B08">
        <w:rPr>
          <w:rFonts w:eastAsiaTheme="minorEastAsia"/>
          <w:rtl/>
        </w:rPr>
        <w:t xml:space="preserve"> التالية التي اتخذتها الدولة الطرف:</w:t>
      </w:r>
    </w:p>
    <w:p w14:paraId="127054A3" w14:textId="3A1A4BFF" w:rsidR="00E86B08" w:rsidRPr="00E86B08"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(أ)</w:t>
      </w:r>
      <w:r w:rsidRPr="00E86B08">
        <w:rPr>
          <w:rFonts w:eastAsiaTheme="minorEastAsia"/>
          <w:rtl/>
        </w:rPr>
        <w:tab/>
        <w:t>تعديل القانون رقم</w:t>
      </w:r>
      <w:r>
        <w:rPr>
          <w:rFonts w:eastAsiaTheme="minorEastAsia"/>
          <w:rtl/>
        </w:rPr>
        <w:t xml:space="preserve"> </w:t>
      </w:r>
      <w:r w:rsidRPr="002C5709">
        <w:rPr>
          <w:rFonts w:eastAsiaTheme="minorEastAsia"/>
          <w:bCs/>
          <w:lang w:val="en-US"/>
        </w:rPr>
        <w:t>223/2019</w:t>
      </w:r>
      <w:r w:rsidRPr="002C5709">
        <w:rPr>
          <w:rFonts w:eastAsiaTheme="minorEastAsia"/>
          <w:bCs/>
          <w:rtl/>
          <w:lang w:val="en-US"/>
        </w:rPr>
        <w:t xml:space="preserve"> </w:t>
      </w:r>
      <w:r w:rsidRPr="00E86B08">
        <w:rPr>
          <w:rFonts w:eastAsiaTheme="minorEastAsia"/>
          <w:lang w:val="en-US"/>
        </w:rPr>
        <w:t>Col</w:t>
      </w:r>
      <w:r w:rsidR="00182C77" w:rsidRPr="00182C77">
        <w:rPr>
          <w:rFonts w:eastAsiaTheme="minorEastAsia"/>
          <w:lang w:val="en-US"/>
        </w:rPr>
        <w:t>l</w:t>
      </w:r>
      <w:r w:rsidR="00182C77" w:rsidRPr="00182C77">
        <w:rPr>
          <w:rFonts w:eastAsiaTheme="minorEastAsia"/>
          <w:rtl/>
          <w:lang w:val="en-US"/>
        </w:rPr>
        <w:t xml:space="preserve">. </w:t>
      </w:r>
      <w:r w:rsidRPr="00E86B08">
        <w:rPr>
          <w:rFonts w:eastAsiaTheme="minorEastAsia"/>
          <w:rtl/>
        </w:rPr>
        <w:t>بشأن تعداد السكان والمساكن والبيوت في عام</w:t>
      </w:r>
      <w:r>
        <w:rPr>
          <w:rFonts w:eastAsiaTheme="minorEastAsia" w:hint="cs"/>
          <w:rtl/>
        </w:rPr>
        <w:t> </w:t>
      </w:r>
      <w:r w:rsidRPr="002C5709">
        <w:rPr>
          <w:rFonts w:eastAsiaTheme="minorEastAsia"/>
          <w:rtl/>
        </w:rPr>
        <w:t>2021</w:t>
      </w:r>
      <w:r w:rsidRPr="00E86B08">
        <w:rPr>
          <w:rFonts w:eastAsiaTheme="minorEastAsia"/>
          <w:rtl/>
        </w:rPr>
        <w:t>،</w:t>
      </w:r>
      <w:r>
        <w:rPr>
          <w:rFonts w:eastAsiaTheme="minorEastAsia"/>
          <w:rtl/>
        </w:rPr>
        <w:t xml:space="preserve"> </w:t>
      </w:r>
      <w:r w:rsidRPr="00E86B08">
        <w:rPr>
          <w:rFonts w:eastAsiaTheme="minorEastAsia"/>
          <w:rtl/>
        </w:rPr>
        <w:t>بإدراج بنود تتعلق مثل</w:t>
      </w:r>
      <w:r w:rsidR="00324028">
        <w:rPr>
          <w:rFonts w:eastAsiaTheme="minorEastAsia"/>
          <w:rtl/>
        </w:rPr>
        <w:t xml:space="preserve">اً </w:t>
      </w:r>
      <w:r w:rsidRPr="00E86B08">
        <w:rPr>
          <w:rFonts w:eastAsiaTheme="minorEastAsia"/>
          <w:rtl/>
        </w:rPr>
        <w:t>باللغة الأم والجنسية والعرق،</w:t>
      </w:r>
      <w:r>
        <w:rPr>
          <w:rFonts w:eastAsiaTheme="minorEastAsia"/>
          <w:rtl/>
        </w:rPr>
        <w:t xml:space="preserve"> </w:t>
      </w:r>
      <w:r w:rsidRPr="00E86B08">
        <w:rPr>
          <w:rFonts w:eastAsiaTheme="minorEastAsia"/>
          <w:rtl/>
        </w:rPr>
        <w:t>وهو ما من شأنه أن يتيح إحصاءات موثوقة عن تكوين السكان، ولا سيما الأقليات؛</w:t>
      </w:r>
    </w:p>
    <w:p w14:paraId="7A6BA6B6" w14:textId="67032488" w:rsidR="00E86B08" w:rsidRPr="00E86B08"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(ب)</w:t>
      </w:r>
      <w:r w:rsidRPr="00E86B08">
        <w:rPr>
          <w:rFonts w:eastAsiaTheme="minorEastAsia"/>
          <w:rtl/>
        </w:rPr>
        <w:tab/>
        <w:t xml:space="preserve">تعديل قانون المدارس، الذي أُدرجت فيه جملة أمور منها تنظيم أنشطة إجبارية لمرحلة ما قبل المدرسة لجميع الأطفال من سن </w:t>
      </w:r>
      <w:r w:rsidRPr="002C5709">
        <w:rPr>
          <w:rFonts w:eastAsiaTheme="minorEastAsia"/>
          <w:rtl/>
        </w:rPr>
        <w:t>5</w:t>
      </w:r>
      <w:r w:rsidRPr="00E86B08">
        <w:rPr>
          <w:rFonts w:eastAsiaTheme="minorEastAsia"/>
          <w:rtl/>
        </w:rPr>
        <w:t xml:space="preserve"> سنوات، في عام </w:t>
      </w:r>
      <w:r w:rsidRPr="002C5709">
        <w:rPr>
          <w:rFonts w:eastAsiaTheme="minorEastAsia"/>
          <w:rtl/>
        </w:rPr>
        <w:t>2021</w:t>
      </w:r>
      <w:r w:rsidRPr="00E86B08">
        <w:rPr>
          <w:rFonts w:eastAsiaTheme="minorEastAsia"/>
          <w:rtl/>
        </w:rPr>
        <w:t>؛</w:t>
      </w:r>
    </w:p>
    <w:p w14:paraId="0EE7887C" w14:textId="68A4816C" w:rsidR="00E86B08" w:rsidRPr="00741A58" w:rsidRDefault="00E86B08" w:rsidP="00E86B08">
      <w:pPr>
        <w:pStyle w:val="SingleTxtGA"/>
        <w:rPr>
          <w:rFonts w:eastAsiaTheme="minorEastAsia"/>
          <w:lang w:val="en-US" w:eastAsia="zh-TW" w:bidi="en-GB"/>
        </w:rPr>
      </w:pPr>
      <w:r>
        <w:rPr>
          <w:rFonts w:eastAsiaTheme="minorEastAsia"/>
          <w:rtl/>
        </w:rPr>
        <w:tab/>
      </w:r>
      <w:r w:rsidRPr="00E86B08">
        <w:rPr>
          <w:rFonts w:eastAsiaTheme="minorEastAsia"/>
          <w:rtl/>
        </w:rPr>
        <w:t>(ج)</w:t>
      </w:r>
      <w:r w:rsidRPr="00E86B08">
        <w:rPr>
          <w:rFonts w:eastAsiaTheme="minorEastAsia"/>
          <w:rtl/>
        </w:rPr>
        <w:tab/>
      </w:r>
      <w:r w:rsidRPr="003C5C4C">
        <w:rPr>
          <w:rFonts w:eastAsiaTheme="minorEastAsia"/>
          <w:spacing w:val="-4"/>
          <w:rtl/>
        </w:rPr>
        <w:t xml:space="preserve">اعتماد استراتيجية المساواة والإدماج ومشاركة الروما بحلول عام </w:t>
      </w:r>
      <w:r w:rsidRPr="002C5709">
        <w:rPr>
          <w:rFonts w:eastAsiaTheme="minorEastAsia"/>
          <w:spacing w:val="-4"/>
          <w:rtl/>
        </w:rPr>
        <w:t>2030</w:t>
      </w:r>
      <w:r w:rsidRPr="003C5C4C">
        <w:rPr>
          <w:rFonts w:eastAsiaTheme="minorEastAsia"/>
          <w:spacing w:val="-4"/>
          <w:rtl/>
        </w:rPr>
        <w:t>، في عام</w:t>
      </w:r>
      <w:r w:rsidRPr="003C5C4C">
        <w:rPr>
          <w:rFonts w:eastAsiaTheme="minorEastAsia" w:hint="cs"/>
          <w:spacing w:val="-4"/>
          <w:rtl/>
        </w:rPr>
        <w:t> </w:t>
      </w:r>
      <w:r w:rsidRPr="002C5709">
        <w:rPr>
          <w:rFonts w:eastAsiaTheme="minorEastAsia"/>
          <w:spacing w:val="-4"/>
          <w:rtl/>
        </w:rPr>
        <w:t>2021</w:t>
      </w:r>
      <w:r w:rsidRPr="003C5C4C">
        <w:rPr>
          <w:rFonts w:eastAsiaTheme="minorEastAsia"/>
          <w:spacing w:val="-4"/>
          <w:rtl/>
        </w:rPr>
        <w:t>،</w:t>
      </w:r>
      <w:r w:rsidRPr="00E86B08">
        <w:rPr>
          <w:rFonts w:eastAsiaTheme="minorEastAsia"/>
          <w:rtl/>
        </w:rPr>
        <w:t xml:space="preserve"> مشفوعة بخطط عمل وطنية.</w:t>
      </w:r>
    </w:p>
    <w:p w14:paraId="636BB3F8" w14:textId="4703464C" w:rsidR="00E86B08" w:rsidRPr="002C5709" w:rsidRDefault="00E86B08" w:rsidP="00E86B08">
      <w:pPr>
        <w:pStyle w:val="H1GA"/>
        <w:rPr>
          <w:rFonts w:hint="cs"/>
          <w:lang w:val="en-US" w:eastAsia="zh-TW" w:bidi="en-GB"/>
        </w:rPr>
      </w:pPr>
      <w:r w:rsidRPr="002C5709">
        <w:rPr>
          <w:rtl/>
        </w:rPr>
        <w:lastRenderedPageBreak/>
        <w:tab/>
        <w:t>جيم-</w:t>
      </w:r>
      <w:r w:rsidRPr="002C5709">
        <w:rPr>
          <w:rtl/>
        </w:rPr>
        <w:tab/>
        <w:t>دواعي القلق والتوصيات</w:t>
      </w:r>
    </w:p>
    <w:p w14:paraId="35E41067" w14:textId="5EF06298" w:rsidR="00E86B08" w:rsidRPr="002C5709" w:rsidRDefault="00E86B08" w:rsidP="00E86B08">
      <w:pPr>
        <w:pStyle w:val="H23GA"/>
        <w:rPr>
          <w:rFonts w:hint="cs"/>
          <w:lang w:val="en-US" w:eastAsia="zh-TW" w:bidi="en-GB"/>
        </w:rPr>
      </w:pPr>
      <w:r w:rsidRPr="002C5709">
        <w:rPr>
          <w:rtl/>
        </w:rPr>
        <w:tab/>
      </w:r>
      <w:r w:rsidRPr="002C5709">
        <w:rPr>
          <w:rtl/>
        </w:rPr>
        <w:tab/>
        <w:t>تنفيذ قانون مناهضة التمييز</w:t>
      </w:r>
    </w:p>
    <w:p w14:paraId="09561B0F" w14:textId="79392E97" w:rsidR="00E86B08" w:rsidRPr="00E86B08" w:rsidRDefault="00E86B08" w:rsidP="00E86B08">
      <w:pPr>
        <w:pStyle w:val="SingleTxtGA"/>
        <w:rPr>
          <w:rFonts w:eastAsiaTheme="minorEastAsia"/>
          <w:lang w:val="ar-SA" w:eastAsia="zh-TW" w:bidi="en-GB"/>
        </w:rPr>
      </w:pPr>
      <w:r w:rsidRPr="002C5709">
        <w:rPr>
          <w:rFonts w:eastAsiaTheme="minorEastAsia"/>
          <w:rtl/>
        </w:rPr>
        <w:t>4</w:t>
      </w:r>
      <w:r w:rsidRPr="00E86B08">
        <w:rPr>
          <w:rFonts w:eastAsiaTheme="minorEastAsia"/>
          <w:rtl/>
        </w:rPr>
        <w:t>-</w:t>
      </w:r>
      <w:r w:rsidRPr="00E86B08">
        <w:rPr>
          <w:rFonts w:eastAsiaTheme="minorEastAsia"/>
          <w:rtl/>
        </w:rPr>
        <w:tab/>
        <w:t xml:space="preserve">يساور اللجنة القلق أيضاً بسبب قصور الوعي في أوساط السكان عموماً بشأن التشريعات المتعلقة بالمساواة في المعاملة وسبل الانتصاف المتاحة (المادتان </w:t>
      </w:r>
      <w:r w:rsidRPr="002C5709">
        <w:rPr>
          <w:rFonts w:eastAsiaTheme="minorEastAsia"/>
          <w:rtl/>
        </w:rPr>
        <w:t>2</w:t>
      </w:r>
      <w:r w:rsidRPr="00E86B08">
        <w:rPr>
          <w:rFonts w:eastAsiaTheme="minorEastAsia"/>
          <w:rtl/>
        </w:rPr>
        <w:t xml:space="preserve"> و</w:t>
      </w:r>
      <w:r w:rsidR="00182C77" w:rsidRPr="002C5709">
        <w:rPr>
          <w:rFonts w:eastAsiaTheme="minorEastAsia"/>
          <w:rtl/>
        </w:rPr>
        <w:t>6</w:t>
      </w:r>
      <w:r w:rsidR="00182C77" w:rsidRPr="00182C77">
        <w:rPr>
          <w:rFonts w:eastAsiaTheme="minorEastAsia"/>
          <w:rtl/>
        </w:rPr>
        <w:t xml:space="preserve">). </w:t>
      </w:r>
    </w:p>
    <w:p w14:paraId="4758C78B" w14:textId="77777777" w:rsidR="00E86B08" w:rsidRPr="002C5709" w:rsidRDefault="00E86B08" w:rsidP="00E86B08">
      <w:pPr>
        <w:pStyle w:val="SingleTxtGA"/>
        <w:rPr>
          <w:rFonts w:eastAsiaTheme="minorEastAsia"/>
          <w:b/>
          <w:bCs/>
          <w:lang w:val="ar-SA" w:eastAsia="zh-TW" w:bidi="en-GB"/>
        </w:rPr>
      </w:pPr>
      <w:r w:rsidRPr="002C5709">
        <w:rPr>
          <w:rFonts w:eastAsiaTheme="minorEastAsia"/>
          <w:b/>
          <w:rtl/>
        </w:rPr>
        <w:t>5-</w:t>
      </w:r>
      <w:r w:rsidRPr="002C5709">
        <w:rPr>
          <w:rFonts w:eastAsiaTheme="minorEastAsia"/>
          <w:b/>
          <w:rtl/>
        </w:rPr>
        <w:tab/>
      </w:r>
      <w:r w:rsidRPr="002C5709">
        <w:rPr>
          <w:rFonts w:eastAsiaTheme="minorEastAsia"/>
          <w:b/>
          <w:bCs/>
          <w:rtl/>
        </w:rPr>
        <w:t>توصي اللجنة الدولة الطرف بتنظيم حملات توعية، تستهدف الأفراد والجماعات الأكثر عرضة للتمييز العنصري، بشأن أحكام الاتفاقية والإطار القانوني الذي يوفر الحماية من التمييز العنصري.</w:t>
      </w:r>
    </w:p>
    <w:p w14:paraId="6D77BD0E" w14:textId="5059D544" w:rsidR="00182C77" w:rsidRPr="00182C77" w:rsidRDefault="00E86B08" w:rsidP="00E86B08">
      <w:pPr>
        <w:pStyle w:val="SingleTxtGA"/>
        <w:rPr>
          <w:rFonts w:eastAsiaTheme="minorEastAsia"/>
          <w:lang w:val="en-US" w:eastAsia="zh-TW" w:bidi="en-GB"/>
        </w:rPr>
      </w:pPr>
      <w:r w:rsidRPr="002C5709">
        <w:rPr>
          <w:rFonts w:eastAsiaTheme="minorEastAsia"/>
          <w:rtl/>
        </w:rPr>
        <w:t>6</w:t>
      </w:r>
      <w:r w:rsidRPr="00E86B08">
        <w:rPr>
          <w:rFonts w:eastAsiaTheme="minorEastAsia"/>
          <w:rtl/>
        </w:rPr>
        <w:t>-</w:t>
      </w:r>
      <w:r w:rsidRPr="00E86B08">
        <w:rPr>
          <w:rFonts w:eastAsiaTheme="minorEastAsia"/>
          <w:rtl/>
        </w:rPr>
        <w:tab/>
        <w:t>ورغم الجهود التي تبذلها الدولة الطرف والبيانات المقدمة، فإن اللجنة تشعر بالقلق إزاء انتشار التمييز العنصري، ولا سيما ضد الروما والمنحدرين من أصل أفريقي، فضل</w:t>
      </w:r>
      <w:r w:rsidR="00324028">
        <w:rPr>
          <w:rFonts w:eastAsiaTheme="minorEastAsia"/>
          <w:rtl/>
        </w:rPr>
        <w:t xml:space="preserve">اً </w:t>
      </w:r>
      <w:r w:rsidRPr="00E86B08">
        <w:rPr>
          <w:rFonts w:eastAsiaTheme="minorEastAsia"/>
          <w:rtl/>
        </w:rPr>
        <w:t>عن المسار الطويل جد</w:t>
      </w:r>
      <w:r w:rsidR="00324028">
        <w:rPr>
          <w:rFonts w:eastAsiaTheme="minorEastAsia"/>
          <w:rtl/>
        </w:rPr>
        <w:t xml:space="preserve">اً </w:t>
      </w:r>
      <w:r w:rsidRPr="00E86B08">
        <w:rPr>
          <w:rFonts w:eastAsiaTheme="minorEastAsia"/>
          <w:rtl/>
        </w:rPr>
        <w:t>الذي تأخذه إجراءات المحاكم لدى البت في قضايا متعلقة بالتمييز العنصري، مما يؤثر سلب</w:t>
      </w:r>
      <w:r w:rsidR="00324028">
        <w:rPr>
          <w:rFonts w:eastAsiaTheme="minorEastAsia"/>
          <w:rtl/>
        </w:rPr>
        <w:t xml:space="preserve">اً </w:t>
      </w:r>
      <w:r w:rsidRPr="00E86B08">
        <w:rPr>
          <w:rFonts w:eastAsiaTheme="minorEastAsia"/>
          <w:rtl/>
        </w:rPr>
        <w:t xml:space="preserve">على فاعلية لجوء الضحايا إلى القضاء (المادتان </w:t>
      </w:r>
      <w:r w:rsidRPr="002C5709">
        <w:rPr>
          <w:rFonts w:eastAsiaTheme="minorEastAsia"/>
          <w:rtl/>
        </w:rPr>
        <w:t>2</w:t>
      </w:r>
      <w:r w:rsidRPr="00E86B08">
        <w:rPr>
          <w:rFonts w:eastAsiaTheme="minorEastAsia"/>
          <w:rtl/>
        </w:rPr>
        <w:t xml:space="preserve"> و</w:t>
      </w:r>
      <w:r w:rsidR="00182C77" w:rsidRPr="002C5709">
        <w:rPr>
          <w:rFonts w:eastAsiaTheme="minorEastAsia"/>
          <w:rtl/>
        </w:rPr>
        <w:t>6</w:t>
      </w:r>
      <w:r w:rsidR="00182C77" w:rsidRPr="00182C77">
        <w:rPr>
          <w:rFonts w:eastAsiaTheme="minorEastAsia"/>
          <w:rtl/>
        </w:rPr>
        <w:t>).</w:t>
      </w:r>
    </w:p>
    <w:p w14:paraId="0124CEC2" w14:textId="5D5F193D" w:rsidR="00E86B08" w:rsidRPr="002C5709" w:rsidRDefault="00E86B08" w:rsidP="00E86B08">
      <w:pPr>
        <w:pStyle w:val="SingleTxtGA"/>
        <w:rPr>
          <w:rFonts w:eastAsiaTheme="minorEastAsia"/>
          <w:b/>
          <w:bCs/>
          <w:lang w:val="ar-SA" w:eastAsia="zh-TW" w:bidi="en-GB"/>
        </w:rPr>
      </w:pPr>
      <w:r w:rsidRPr="002C5709">
        <w:rPr>
          <w:rFonts w:eastAsiaTheme="minorEastAsia"/>
          <w:b/>
          <w:rtl/>
        </w:rPr>
        <w:t>7-</w:t>
      </w:r>
      <w:r w:rsidRPr="002C5709">
        <w:rPr>
          <w:rFonts w:eastAsiaTheme="minorEastAsia"/>
          <w:bCs/>
          <w:rtl/>
        </w:rPr>
        <w:tab/>
      </w:r>
      <w:r w:rsidRPr="002C5709">
        <w:rPr>
          <w:rFonts w:eastAsiaTheme="minorEastAsia"/>
          <w:b/>
          <w:bCs/>
          <w:rtl/>
        </w:rPr>
        <w:t xml:space="preserve">في هذا الصدد، تكرر اللجنة تأكيد </w:t>
      </w:r>
      <w:proofErr w:type="gramStart"/>
      <w:r w:rsidRPr="002C5709">
        <w:rPr>
          <w:rFonts w:eastAsiaTheme="minorEastAsia"/>
          <w:b/>
          <w:bCs/>
          <w:rtl/>
        </w:rPr>
        <w:t>توصياتها</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4"/>
      </w:r>
      <w:r w:rsidRPr="002C5709">
        <w:rPr>
          <w:rFonts w:eastAsiaTheme="minorEastAsia"/>
          <w:b/>
          <w:vertAlign w:val="superscript"/>
          <w:rtl/>
        </w:rPr>
        <w:t>)</w:t>
      </w:r>
      <w:r w:rsidRPr="002C5709">
        <w:rPr>
          <w:rFonts w:eastAsiaTheme="minorEastAsia"/>
          <w:b/>
          <w:bCs/>
          <w:rtl/>
        </w:rPr>
        <w:t xml:space="preserve"> بتنفيذ الدولة الطرف ما يلي: </w:t>
      </w:r>
    </w:p>
    <w:p w14:paraId="7C1CAC6F" w14:textId="225F37F9" w:rsidR="00E86B08" w:rsidRPr="002C5709" w:rsidRDefault="00E86B08" w:rsidP="00E86B08">
      <w:pPr>
        <w:pStyle w:val="SingleTxtGA"/>
        <w:rPr>
          <w:rFonts w:eastAsiaTheme="minorEastAsia"/>
          <w:b/>
          <w:bCs/>
          <w:lang w:val="ar-SA" w:eastAsia="zh-TW" w:bidi="en-GB"/>
        </w:rPr>
      </w:pPr>
      <w:r w:rsidRPr="002C5709">
        <w:rPr>
          <w:rFonts w:eastAsiaTheme="minorEastAsia"/>
          <w:b/>
          <w:rtl/>
        </w:rPr>
        <w:tab/>
        <w:t>(أ)</w:t>
      </w:r>
      <w:r w:rsidRPr="002C5709">
        <w:rPr>
          <w:rFonts w:eastAsiaTheme="minorEastAsia"/>
          <w:bCs/>
          <w:rtl/>
        </w:rPr>
        <w:tab/>
      </w:r>
      <w:r w:rsidRPr="002C5709">
        <w:rPr>
          <w:rFonts w:eastAsiaTheme="minorEastAsia"/>
          <w:b/>
          <w:bCs/>
          <w:rtl/>
        </w:rPr>
        <w:t>تكثيف جهودها من أجل إنفاذ قانون مناهضة التمييز تنفيذ</w:t>
      </w:r>
      <w:r w:rsidR="00324028" w:rsidRPr="002C5709">
        <w:rPr>
          <w:rFonts w:eastAsiaTheme="minorEastAsia"/>
          <w:b/>
          <w:bCs/>
          <w:rtl/>
        </w:rPr>
        <w:t xml:space="preserve">اً </w:t>
      </w:r>
      <w:r w:rsidRPr="002C5709">
        <w:rPr>
          <w:rFonts w:eastAsiaTheme="minorEastAsia"/>
          <w:b/>
          <w:bCs/>
          <w:rtl/>
        </w:rPr>
        <w:t>كامل</w:t>
      </w:r>
      <w:r w:rsidR="00324028" w:rsidRPr="002C5709">
        <w:rPr>
          <w:rFonts w:eastAsiaTheme="minorEastAsia"/>
          <w:b/>
          <w:bCs/>
          <w:rtl/>
        </w:rPr>
        <w:t xml:space="preserve">اً، </w:t>
      </w:r>
      <w:r w:rsidRPr="002C5709">
        <w:rPr>
          <w:rFonts w:eastAsiaTheme="minorEastAsia"/>
          <w:b/>
          <w:bCs/>
          <w:rtl/>
        </w:rPr>
        <w:t>وكفالة التحقيق الفعال في جميع الشكاوى المتعلقة بالتمييز العنصري؛</w:t>
      </w:r>
      <w:r w:rsidRPr="002C5709">
        <w:rPr>
          <w:rFonts w:eastAsiaTheme="minorEastAsia"/>
          <w:bCs/>
          <w:rtl/>
        </w:rPr>
        <w:t xml:space="preserve"> </w:t>
      </w:r>
    </w:p>
    <w:p w14:paraId="731014DC" w14:textId="004E159C" w:rsidR="00E86B08" w:rsidRPr="002C5709" w:rsidRDefault="00E86B08" w:rsidP="00E86B08">
      <w:pPr>
        <w:pStyle w:val="SingleTxtGA"/>
        <w:rPr>
          <w:rFonts w:eastAsiaTheme="minorEastAsia"/>
          <w:b/>
          <w:bCs/>
          <w:lang w:val="ar-SA" w:eastAsia="zh-TW" w:bidi="en-GB"/>
        </w:rPr>
      </w:pPr>
      <w:r w:rsidRPr="002C5709">
        <w:rPr>
          <w:rFonts w:eastAsiaTheme="minorEastAsia"/>
          <w:b/>
          <w:rtl/>
        </w:rPr>
        <w:tab/>
        <w:t>(ب)</w:t>
      </w:r>
      <w:r w:rsidRPr="002C5709">
        <w:rPr>
          <w:rFonts w:eastAsiaTheme="minorEastAsia"/>
          <w:b/>
          <w:rtl/>
        </w:rPr>
        <w:tab/>
      </w:r>
      <w:r w:rsidRPr="002C5709">
        <w:rPr>
          <w:rFonts w:eastAsiaTheme="minorEastAsia"/>
          <w:b/>
          <w:bCs/>
          <w:rtl/>
        </w:rPr>
        <w:t>اعتماد تدابير مناسبة وفعالة لمعالجة مشكلة الإجراءات القضائية المطولة التي يعاني منها ضحايا التمييز العنصري واتخاذ جميع الخطوات اللازمة لضمان استفادة جميع ضحايا التمييز العنصري من سبل انتصاف قانونية وتعويضات على نحو فعال؛</w:t>
      </w:r>
      <w:r w:rsidRPr="002C5709">
        <w:rPr>
          <w:rFonts w:eastAsiaTheme="minorEastAsia"/>
          <w:bCs/>
          <w:rtl/>
        </w:rPr>
        <w:t xml:space="preserve"> </w:t>
      </w:r>
    </w:p>
    <w:p w14:paraId="4AFD2EF0" w14:textId="4E9FB991" w:rsidR="00E86B08" w:rsidRPr="002C5709" w:rsidRDefault="00E86B08" w:rsidP="00E86B08">
      <w:pPr>
        <w:pStyle w:val="SingleTxtGA"/>
        <w:rPr>
          <w:rFonts w:eastAsiaTheme="minorEastAsia"/>
          <w:b/>
          <w:bCs/>
          <w:lang w:val="ar-SA" w:eastAsia="zh-TW" w:bidi="en-GB"/>
        </w:rPr>
      </w:pPr>
      <w:r w:rsidRPr="002C5709">
        <w:rPr>
          <w:rFonts w:eastAsiaTheme="minorEastAsia"/>
          <w:b/>
          <w:rtl/>
        </w:rPr>
        <w:tab/>
        <w:t>(ج)</w:t>
      </w:r>
      <w:r w:rsidRPr="002C5709">
        <w:rPr>
          <w:rFonts w:eastAsiaTheme="minorEastAsia"/>
          <w:bCs/>
          <w:rtl/>
        </w:rPr>
        <w:tab/>
      </w:r>
      <w:r w:rsidRPr="002C5709">
        <w:rPr>
          <w:rFonts w:eastAsiaTheme="minorEastAsia"/>
          <w:b/>
          <w:bCs/>
          <w:rtl/>
        </w:rPr>
        <w:t>توفير التدريب المنتظم للموظفين العموميين والقضاة وقضاة الصلح وموظفي إنفاذ القانون لكفالة تنفيذ أحكام الاتفاقية والقوانين المتعلقة بالتمييز العنصري تنفيذاً فعالاً، والتأكد، في سياق أدائهم لواجباتهم المهنية، من احترام حقوق الإنسان كافة والدفاع عنها، إضافة إلى اتخاذ الخطوات اللازمة للقضاء على كل ما من شأنه أن يغذي التمييز العنصري من أفعال وممارسات.</w:t>
      </w:r>
    </w:p>
    <w:p w14:paraId="6DFE8021" w14:textId="77777777" w:rsidR="00E86B08" w:rsidRPr="002C5709" w:rsidRDefault="00E86B08" w:rsidP="00E86B08">
      <w:pPr>
        <w:pStyle w:val="H23GA"/>
        <w:rPr>
          <w:lang w:val="ar-SA" w:eastAsia="zh-TW" w:bidi="en-GB"/>
        </w:rPr>
      </w:pPr>
      <w:r w:rsidRPr="002C5709">
        <w:rPr>
          <w:rtl/>
        </w:rPr>
        <w:tab/>
      </w:r>
      <w:r w:rsidRPr="002C5709">
        <w:rPr>
          <w:rtl/>
        </w:rPr>
        <w:tab/>
        <w:t>المركز الوطني السلوفاكي لحقوق الإنسان</w:t>
      </w:r>
    </w:p>
    <w:p w14:paraId="7DB21E06" w14:textId="05D5567B" w:rsidR="00182C77" w:rsidRPr="00182C77" w:rsidRDefault="00E86B08" w:rsidP="00E86B08">
      <w:pPr>
        <w:pStyle w:val="SingleTxtGA"/>
        <w:rPr>
          <w:rFonts w:eastAsiaTheme="minorEastAsia"/>
          <w:lang w:val="en-US" w:eastAsia="zh-TW" w:bidi="en-GB"/>
        </w:rPr>
      </w:pPr>
      <w:r w:rsidRPr="002C5709">
        <w:rPr>
          <w:rFonts w:eastAsiaTheme="minorEastAsia"/>
          <w:rtl/>
        </w:rPr>
        <w:t>8</w:t>
      </w:r>
      <w:r w:rsidRPr="00E86B08">
        <w:rPr>
          <w:rFonts w:eastAsiaTheme="minorEastAsia"/>
          <w:rtl/>
        </w:rPr>
        <w:t>-</w:t>
      </w:r>
      <w:r w:rsidRPr="00E86B08">
        <w:rPr>
          <w:rFonts w:eastAsiaTheme="minorEastAsia"/>
          <w:rtl/>
        </w:rPr>
        <w:tab/>
        <w:t xml:space="preserve">لا تزال اللجنة تشعر بالقلق إزاء عدم امتثال المركز الوطني السلوفاكي لحقوق الإنسان امتثالاً </w:t>
      </w:r>
      <w:r w:rsidRPr="004B65E7">
        <w:rPr>
          <w:rFonts w:eastAsiaTheme="minorEastAsia"/>
          <w:spacing w:val="-2"/>
          <w:rtl/>
        </w:rPr>
        <w:t>كاملاً للمبادئ المتعلقة بمركز المؤسسات الوطنية لتعزيز وحماية حقوق الإنسان (مبادئ باريس</w:t>
      </w:r>
      <w:r w:rsidR="00182C77" w:rsidRPr="004B65E7">
        <w:rPr>
          <w:rFonts w:eastAsiaTheme="minorEastAsia"/>
          <w:spacing w:val="-2"/>
          <w:rtl/>
        </w:rPr>
        <w:t xml:space="preserve">)، </w:t>
      </w:r>
      <w:r w:rsidRPr="004B65E7">
        <w:rPr>
          <w:rFonts w:eastAsiaTheme="minorEastAsia"/>
          <w:spacing w:val="-2"/>
          <w:rtl/>
        </w:rPr>
        <w:t>بالإضافة</w:t>
      </w:r>
      <w:r w:rsidRPr="00E86B08">
        <w:rPr>
          <w:rFonts w:eastAsiaTheme="minorEastAsia"/>
          <w:rtl/>
        </w:rPr>
        <w:t xml:space="preserve"> إلى استمرار اعتماده في المركز باء من جانب اللجنة الفرعية المعنية بالاعتماد التابعة للتحالف العالمي للمؤسسات الوطنية لحقوق الإنسان (المادة </w:t>
      </w:r>
      <w:r w:rsidR="00182C77" w:rsidRPr="002C5709">
        <w:rPr>
          <w:rFonts w:eastAsiaTheme="minorEastAsia"/>
          <w:rtl/>
        </w:rPr>
        <w:t>2</w:t>
      </w:r>
      <w:r w:rsidR="00182C77" w:rsidRPr="00182C77">
        <w:rPr>
          <w:rFonts w:eastAsiaTheme="minorEastAsia"/>
          <w:rtl/>
        </w:rPr>
        <w:t>).</w:t>
      </w:r>
    </w:p>
    <w:p w14:paraId="5C47AE94" w14:textId="6CF61968" w:rsidR="00E86B08" w:rsidRPr="002C5709" w:rsidRDefault="00E86B08" w:rsidP="00E86B08">
      <w:pPr>
        <w:pStyle w:val="SingleTxtGA"/>
        <w:rPr>
          <w:rFonts w:eastAsiaTheme="minorEastAsia"/>
          <w:b/>
          <w:bCs/>
          <w:lang w:val="ar-SA" w:eastAsia="zh-TW" w:bidi="en-GB"/>
        </w:rPr>
      </w:pPr>
      <w:r w:rsidRPr="002C5709">
        <w:rPr>
          <w:rFonts w:eastAsiaTheme="minorEastAsia"/>
          <w:b/>
          <w:rtl/>
        </w:rPr>
        <w:t>9-</w:t>
      </w:r>
      <w:r w:rsidRPr="002C5709">
        <w:rPr>
          <w:rFonts w:eastAsiaTheme="minorEastAsia"/>
          <w:bCs/>
          <w:rtl/>
        </w:rPr>
        <w:tab/>
      </w:r>
      <w:r w:rsidRPr="002C5709">
        <w:rPr>
          <w:rFonts w:eastAsiaTheme="minorEastAsia"/>
          <w:b/>
          <w:bCs/>
          <w:rtl/>
        </w:rPr>
        <w:t xml:space="preserve">تكرر اللجنة تأكيد توصيتها </w:t>
      </w:r>
      <w:proofErr w:type="gramStart"/>
      <w:r w:rsidRPr="002C5709">
        <w:rPr>
          <w:rFonts w:eastAsiaTheme="minorEastAsia"/>
          <w:b/>
          <w:bCs/>
          <w:rtl/>
        </w:rPr>
        <w:t>السابقة</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5"/>
      </w:r>
      <w:r w:rsidRPr="002C5709">
        <w:rPr>
          <w:rFonts w:eastAsiaTheme="minorEastAsia"/>
          <w:b/>
          <w:vertAlign w:val="superscript"/>
          <w:rtl/>
        </w:rPr>
        <w:t>)</w:t>
      </w:r>
      <w:r w:rsidR="003C5C4C" w:rsidRPr="002C5709">
        <w:rPr>
          <w:rFonts w:eastAsiaTheme="minorEastAsia"/>
          <w:b/>
          <w:bCs/>
          <w:rtl/>
        </w:rPr>
        <w:t xml:space="preserve"> </w:t>
      </w:r>
      <w:r w:rsidRPr="002C5709">
        <w:rPr>
          <w:rFonts w:eastAsiaTheme="minorEastAsia"/>
          <w:b/>
          <w:bCs/>
          <w:rtl/>
        </w:rPr>
        <w:t>بأن تكثف الدولة الطرف جهودها لمناقشة واعتماد التعديلات التشريعية ذات الصلة لضمان امتثال المركز الوطني السلوفاكي لحقوق الإنسان امتثال</w:t>
      </w:r>
      <w:r w:rsidR="00324028" w:rsidRPr="002C5709">
        <w:rPr>
          <w:rFonts w:eastAsiaTheme="minorEastAsia"/>
          <w:b/>
          <w:bCs/>
          <w:rtl/>
        </w:rPr>
        <w:t xml:space="preserve">اً </w:t>
      </w:r>
      <w:r w:rsidRPr="002C5709">
        <w:rPr>
          <w:rFonts w:eastAsiaTheme="minorEastAsia"/>
          <w:b/>
          <w:bCs/>
          <w:rtl/>
        </w:rPr>
        <w:t>تام</w:t>
      </w:r>
      <w:r w:rsidR="00324028" w:rsidRPr="002C5709">
        <w:rPr>
          <w:rFonts w:eastAsiaTheme="minorEastAsia"/>
          <w:b/>
          <w:bCs/>
          <w:rtl/>
        </w:rPr>
        <w:t xml:space="preserve">اً </w:t>
      </w:r>
      <w:r w:rsidRPr="002C5709">
        <w:rPr>
          <w:rFonts w:eastAsiaTheme="minorEastAsia"/>
          <w:b/>
          <w:bCs/>
          <w:rtl/>
        </w:rPr>
        <w:t>لمبادئ باريس.</w:t>
      </w:r>
      <w:r w:rsidRPr="002C5709">
        <w:rPr>
          <w:rFonts w:eastAsiaTheme="minorEastAsia"/>
          <w:bCs/>
          <w:rtl/>
        </w:rPr>
        <w:t xml:space="preserve"> </w:t>
      </w:r>
    </w:p>
    <w:p w14:paraId="450143D3" w14:textId="526E5F8D" w:rsidR="00E86B08" w:rsidRPr="00E86B08" w:rsidRDefault="00E86B08" w:rsidP="00E86B08">
      <w:pPr>
        <w:pStyle w:val="SingleTxtGA"/>
        <w:rPr>
          <w:rFonts w:eastAsiaTheme="minorEastAsia"/>
          <w:lang w:val="ar-SA" w:eastAsia="zh-TW" w:bidi="en-GB"/>
        </w:rPr>
      </w:pPr>
      <w:r w:rsidRPr="002C5709">
        <w:rPr>
          <w:rFonts w:eastAsiaTheme="minorEastAsia"/>
          <w:rtl/>
        </w:rPr>
        <w:t>10</w:t>
      </w:r>
      <w:r w:rsidRPr="00E86B08">
        <w:rPr>
          <w:rFonts w:eastAsiaTheme="minorEastAsia"/>
          <w:rtl/>
        </w:rPr>
        <w:t>-</w:t>
      </w:r>
      <w:r w:rsidRPr="00E86B08">
        <w:rPr>
          <w:rFonts w:eastAsiaTheme="minorEastAsia"/>
          <w:rtl/>
        </w:rPr>
        <w:tab/>
      </w:r>
      <w:r w:rsidRPr="003C5C4C">
        <w:rPr>
          <w:rFonts w:eastAsiaTheme="minorEastAsia"/>
          <w:spacing w:val="-2"/>
          <w:rtl/>
        </w:rPr>
        <w:t xml:space="preserve">وتقرّ اللجنة بما تحقق من زيادات في الميزانية السنوية لثلاث سنوات متتالية، في </w:t>
      </w:r>
      <w:r w:rsidRPr="002C5709">
        <w:rPr>
          <w:rFonts w:eastAsiaTheme="minorEastAsia"/>
          <w:spacing w:val="-2"/>
          <w:rtl/>
        </w:rPr>
        <w:t>2020</w:t>
      </w:r>
      <w:r w:rsidRPr="003C5C4C">
        <w:rPr>
          <w:rFonts w:eastAsiaTheme="minorEastAsia"/>
          <w:spacing w:val="-2"/>
          <w:rtl/>
        </w:rPr>
        <w:t xml:space="preserve"> و</w:t>
      </w:r>
      <w:r w:rsidRPr="002C5709">
        <w:rPr>
          <w:rFonts w:eastAsiaTheme="minorEastAsia"/>
          <w:spacing w:val="-2"/>
          <w:rtl/>
        </w:rPr>
        <w:t>2021</w:t>
      </w:r>
      <w:r w:rsidRPr="00E86B08">
        <w:rPr>
          <w:rFonts w:eastAsiaTheme="minorEastAsia"/>
          <w:rtl/>
        </w:rPr>
        <w:t xml:space="preserve"> و</w:t>
      </w:r>
      <w:r w:rsidRPr="002C5709">
        <w:rPr>
          <w:rFonts w:eastAsiaTheme="minorEastAsia"/>
          <w:rtl/>
        </w:rPr>
        <w:t>2022</w:t>
      </w:r>
      <w:r w:rsidRPr="00E86B08">
        <w:rPr>
          <w:rFonts w:eastAsiaTheme="minorEastAsia"/>
          <w:rtl/>
        </w:rPr>
        <w:t xml:space="preserve">، إلا أنها لا تزال تشعر بالقلق إزاء انخفاض عدد القضايا التي رفعها المركز الوطني السلوفاكي لحقوق الإنسان بموجب قانون مناهضة التمييز (المادة </w:t>
      </w:r>
      <w:r w:rsidR="00182C77" w:rsidRPr="002C5709">
        <w:rPr>
          <w:rFonts w:eastAsiaTheme="minorEastAsia"/>
          <w:rtl/>
        </w:rPr>
        <w:t>2</w:t>
      </w:r>
      <w:r w:rsidR="00182C77" w:rsidRPr="00182C77">
        <w:rPr>
          <w:rFonts w:eastAsiaTheme="minorEastAsia"/>
          <w:rtl/>
        </w:rPr>
        <w:t xml:space="preserve">). </w:t>
      </w:r>
    </w:p>
    <w:p w14:paraId="5C93CA3F" w14:textId="468DDCAE"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lastRenderedPageBreak/>
        <w:t>11-</w:t>
      </w:r>
      <w:r w:rsidRPr="002C5709">
        <w:rPr>
          <w:rFonts w:eastAsiaTheme="minorEastAsia"/>
          <w:bCs/>
          <w:rtl/>
        </w:rPr>
        <w:tab/>
      </w:r>
      <w:r w:rsidRPr="002C5709">
        <w:rPr>
          <w:rFonts w:eastAsiaTheme="minorEastAsia"/>
          <w:b/>
          <w:bCs/>
          <w:rtl/>
        </w:rPr>
        <w:t xml:space="preserve">تكرر اللجنة تأكيد توصيتها </w:t>
      </w:r>
      <w:proofErr w:type="gramStart"/>
      <w:r w:rsidRPr="002C5709">
        <w:rPr>
          <w:rFonts w:eastAsiaTheme="minorEastAsia"/>
          <w:b/>
          <w:bCs/>
          <w:rtl/>
        </w:rPr>
        <w:t>السابقة</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6"/>
      </w:r>
      <w:r w:rsidRPr="002C5709">
        <w:rPr>
          <w:rFonts w:eastAsiaTheme="minorEastAsia"/>
          <w:b/>
          <w:vertAlign w:val="superscript"/>
          <w:rtl/>
        </w:rPr>
        <w:t>)</w:t>
      </w:r>
      <w:r w:rsidRPr="002C5709">
        <w:rPr>
          <w:rFonts w:eastAsiaTheme="minorEastAsia"/>
          <w:b/>
          <w:bCs/>
          <w:rtl/>
        </w:rPr>
        <w:t> بأن تزود الدولة الطرف المركز الوطني السلوفاكي لحقوق الإنسان بموارد وضمانات مؤسسية كافية لتمكينه من الوفاء بولايته بفعالية واستقلالية، بوصفه مؤسسة وطنية لحقوق الإنسان وهيئة معنية بالمساواة على حد سواء.</w:t>
      </w:r>
      <w:r w:rsidRPr="002C5709">
        <w:rPr>
          <w:rFonts w:eastAsiaTheme="minorEastAsia"/>
          <w:bCs/>
          <w:rtl/>
        </w:rPr>
        <w:t xml:space="preserve"> </w:t>
      </w:r>
      <w:r w:rsidRPr="002C5709">
        <w:rPr>
          <w:rFonts w:eastAsiaTheme="minorEastAsia"/>
          <w:b/>
          <w:bCs/>
          <w:rtl/>
        </w:rPr>
        <w:t>وتحيل اللجنة الدولة الطرف إلى توصيتها العامة رقم 17(199</w:t>
      </w:r>
      <w:r w:rsidR="00182C77" w:rsidRPr="002C5709">
        <w:rPr>
          <w:rFonts w:eastAsiaTheme="minorEastAsia"/>
          <w:b/>
          <w:bCs/>
          <w:rtl/>
        </w:rPr>
        <w:t xml:space="preserve">3) </w:t>
      </w:r>
      <w:r w:rsidRPr="002C5709">
        <w:rPr>
          <w:rFonts w:eastAsiaTheme="minorEastAsia"/>
          <w:b/>
          <w:bCs/>
          <w:rtl/>
        </w:rPr>
        <w:t>بشأن إنشاء مؤسسات وطنية لتيسير تنفيذ أحكام الاتفاقية</w:t>
      </w:r>
      <w:r w:rsidRPr="002C5709">
        <w:rPr>
          <w:rFonts w:eastAsiaTheme="minorEastAsia"/>
          <w:b/>
          <w:bCs/>
          <w:rtl/>
          <w:lang w:val="fr-CH"/>
        </w:rPr>
        <w:t>.</w:t>
      </w:r>
      <w:r w:rsidRPr="002C5709">
        <w:rPr>
          <w:rFonts w:eastAsiaTheme="minorEastAsia"/>
          <w:bCs/>
          <w:rtl/>
        </w:rPr>
        <w:t xml:space="preserve"> </w:t>
      </w:r>
    </w:p>
    <w:p w14:paraId="2CC2AF80" w14:textId="77777777" w:rsidR="00E86B08" w:rsidRPr="002C5709" w:rsidRDefault="00E86B08" w:rsidP="00E86B08">
      <w:pPr>
        <w:pStyle w:val="H23GA"/>
        <w:rPr>
          <w:lang w:val="ar-SA" w:eastAsia="zh-TW" w:bidi="en-GB"/>
        </w:rPr>
      </w:pPr>
      <w:r w:rsidRPr="002C5709">
        <w:rPr>
          <w:rtl/>
        </w:rPr>
        <w:tab/>
      </w:r>
      <w:r w:rsidRPr="002C5709">
        <w:rPr>
          <w:rtl/>
        </w:rPr>
        <w:tab/>
        <w:t>تدابير خاصة</w:t>
      </w:r>
    </w:p>
    <w:p w14:paraId="43D38875" w14:textId="06A4BE6A" w:rsidR="00E86B08" w:rsidRPr="00E86B08" w:rsidRDefault="00E86B08" w:rsidP="004B65E7">
      <w:pPr>
        <w:pStyle w:val="SingleTxtGA"/>
        <w:spacing w:line="346" w:lineRule="exact"/>
        <w:rPr>
          <w:rFonts w:eastAsiaTheme="minorEastAsia"/>
          <w:lang w:val="ar-SA" w:eastAsia="zh-TW" w:bidi="en-GB"/>
        </w:rPr>
      </w:pPr>
      <w:r w:rsidRPr="002C5709">
        <w:rPr>
          <w:rFonts w:eastAsiaTheme="minorEastAsia"/>
          <w:rtl/>
        </w:rPr>
        <w:t>12</w:t>
      </w:r>
      <w:r w:rsidRPr="00E86B08">
        <w:rPr>
          <w:rFonts w:eastAsiaTheme="minorEastAsia"/>
          <w:rtl/>
        </w:rPr>
        <w:t>-</w:t>
      </w:r>
      <w:r w:rsidRPr="00E86B08">
        <w:rPr>
          <w:rFonts w:eastAsiaTheme="minorEastAsia"/>
          <w:rtl/>
        </w:rPr>
        <w:tab/>
        <w:t xml:space="preserve">تلاحظ اللجنة الجهود التي تبذلها الدولة الطرف لتحسين سبل عيش الروما، إلا أنها تشعر بالقلق إزاء استمرار التمييز الهيكلي ضد الروما، الذي يعوق بشكل غير متناسب تمتع هذه الطائفة بالحقوق المحمية بموجب الاتفاقية في جميع مجالات الحياة (المادتان </w:t>
      </w:r>
      <w:r w:rsidRPr="002C5709">
        <w:rPr>
          <w:rFonts w:eastAsiaTheme="minorEastAsia"/>
          <w:rtl/>
        </w:rPr>
        <w:t>1</w:t>
      </w:r>
      <w:r w:rsidRPr="00E86B08">
        <w:rPr>
          <w:rFonts w:eastAsiaTheme="minorEastAsia"/>
          <w:rtl/>
        </w:rPr>
        <w:t xml:space="preserve"> و</w:t>
      </w:r>
      <w:r w:rsidR="00182C77" w:rsidRPr="002C5709">
        <w:rPr>
          <w:rFonts w:eastAsiaTheme="minorEastAsia"/>
          <w:rtl/>
        </w:rPr>
        <w:t>2</w:t>
      </w:r>
      <w:r w:rsidR="00182C77" w:rsidRPr="00182C77">
        <w:rPr>
          <w:rFonts w:eastAsiaTheme="minorEastAsia"/>
          <w:rtl/>
        </w:rPr>
        <w:t xml:space="preserve">). </w:t>
      </w:r>
    </w:p>
    <w:p w14:paraId="2526CADF" w14:textId="7AC18258" w:rsidR="00E86B08" w:rsidRPr="002C5709" w:rsidRDefault="00E86B08" w:rsidP="004B65E7">
      <w:pPr>
        <w:pStyle w:val="SingleTxtGA"/>
        <w:spacing w:line="346" w:lineRule="exact"/>
        <w:rPr>
          <w:rFonts w:eastAsiaTheme="minorEastAsia"/>
          <w:b/>
          <w:bCs/>
          <w:lang w:val="en-US" w:eastAsia="zh-TW" w:bidi="en-GB"/>
        </w:rPr>
      </w:pPr>
      <w:r w:rsidRPr="002C5709">
        <w:rPr>
          <w:rFonts w:eastAsiaTheme="minorEastAsia"/>
          <w:b/>
          <w:rtl/>
        </w:rPr>
        <w:t>13-</w:t>
      </w:r>
      <w:r w:rsidRPr="002C5709">
        <w:rPr>
          <w:rFonts w:eastAsiaTheme="minorEastAsia"/>
          <w:bCs/>
          <w:rtl/>
        </w:rPr>
        <w:tab/>
      </w:r>
      <w:r w:rsidRPr="002C5709">
        <w:rPr>
          <w:rFonts w:eastAsiaTheme="minorEastAsia"/>
          <w:bCs/>
          <w:spacing w:val="-4"/>
          <w:rtl/>
        </w:rPr>
        <w:t>تشير اللجنة إلى توصيتيها العامتين رقم 27(200</w:t>
      </w:r>
      <w:r w:rsidR="00182C77" w:rsidRPr="002C5709">
        <w:rPr>
          <w:rFonts w:eastAsiaTheme="minorEastAsia"/>
          <w:bCs/>
          <w:spacing w:val="-4"/>
          <w:rtl/>
        </w:rPr>
        <w:t xml:space="preserve">0) </w:t>
      </w:r>
      <w:r w:rsidRPr="002C5709">
        <w:rPr>
          <w:rFonts w:eastAsiaTheme="minorEastAsia"/>
          <w:bCs/>
          <w:spacing w:val="-4"/>
          <w:rtl/>
        </w:rPr>
        <w:t>بشأن التمييز ضد الغجر ورقم</w:t>
      </w:r>
      <w:r w:rsidR="00507D23" w:rsidRPr="002C5709">
        <w:rPr>
          <w:rFonts w:eastAsiaTheme="minorEastAsia" w:hint="cs"/>
          <w:bCs/>
          <w:spacing w:val="-4"/>
          <w:rtl/>
        </w:rPr>
        <w:t> </w:t>
      </w:r>
      <w:r w:rsidRPr="002C5709">
        <w:rPr>
          <w:rFonts w:eastAsiaTheme="minorEastAsia"/>
          <w:bCs/>
          <w:spacing w:val="-4"/>
          <w:rtl/>
        </w:rPr>
        <w:t>32(200</w:t>
      </w:r>
      <w:r w:rsidR="00182C77" w:rsidRPr="002C5709">
        <w:rPr>
          <w:rFonts w:eastAsiaTheme="minorEastAsia"/>
          <w:bCs/>
          <w:spacing w:val="-4"/>
          <w:rtl/>
        </w:rPr>
        <w:t>9)</w:t>
      </w:r>
      <w:r w:rsidR="00182C77" w:rsidRPr="002C5709">
        <w:rPr>
          <w:rFonts w:eastAsiaTheme="minorEastAsia"/>
          <w:bCs/>
          <w:rtl/>
        </w:rPr>
        <w:t xml:space="preserve"> </w:t>
      </w:r>
      <w:r w:rsidRPr="002C5709">
        <w:rPr>
          <w:rFonts w:eastAsiaTheme="minorEastAsia"/>
          <w:bCs/>
          <w:rtl/>
        </w:rPr>
        <w:t>بشأن معنى ونطاق التدابير الخاصة الواردة في الاتفاقية، فضل</w:t>
      </w:r>
      <w:r w:rsidR="00324028" w:rsidRPr="002C5709">
        <w:rPr>
          <w:rFonts w:eastAsiaTheme="minorEastAsia"/>
          <w:bCs/>
          <w:rtl/>
        </w:rPr>
        <w:t xml:space="preserve">اً </w:t>
      </w:r>
      <w:r w:rsidRPr="002C5709">
        <w:rPr>
          <w:rFonts w:eastAsiaTheme="minorEastAsia"/>
          <w:bCs/>
          <w:rtl/>
        </w:rPr>
        <w:t xml:space="preserve">عن توصيتها </w:t>
      </w:r>
      <w:proofErr w:type="gramStart"/>
      <w:r w:rsidRPr="002C5709">
        <w:rPr>
          <w:rFonts w:eastAsiaTheme="minorEastAsia"/>
          <w:bCs/>
          <w:rtl/>
        </w:rPr>
        <w:t>السابقة</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7"/>
      </w:r>
      <w:r w:rsidR="00182C77" w:rsidRPr="002C5709">
        <w:rPr>
          <w:rFonts w:eastAsiaTheme="minorEastAsia"/>
          <w:b/>
          <w:vertAlign w:val="superscript"/>
          <w:rtl/>
        </w:rPr>
        <w:t>)</w:t>
      </w:r>
      <w:r w:rsidR="00182C77" w:rsidRPr="002C5709">
        <w:rPr>
          <w:rFonts w:eastAsiaTheme="minorEastAsia"/>
          <w:bCs/>
          <w:rtl/>
        </w:rPr>
        <w:t xml:space="preserve">، </w:t>
      </w:r>
      <w:r w:rsidRPr="002C5709">
        <w:rPr>
          <w:rFonts w:eastAsiaTheme="minorEastAsia"/>
          <w:bCs/>
          <w:rtl/>
        </w:rPr>
        <w:t>وتوصي الدولة الطرف بما يلي:</w:t>
      </w:r>
    </w:p>
    <w:p w14:paraId="5C4182BC" w14:textId="609EDCD9"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(أ)</w:t>
      </w:r>
      <w:r w:rsidRPr="002C5709">
        <w:rPr>
          <w:rFonts w:eastAsiaTheme="minorEastAsia"/>
          <w:b/>
          <w:rtl/>
        </w:rPr>
        <w:tab/>
      </w:r>
      <w:r w:rsidRPr="002C5709">
        <w:rPr>
          <w:rFonts w:eastAsiaTheme="minorEastAsia"/>
          <w:b/>
          <w:bCs/>
          <w:rtl/>
        </w:rPr>
        <w:t>التنفيذ الفعال لقانون مناهضة التمييز، ولا سيما اعتماد تدابير خاصة للقضاء على التمييز الهيكلي الذي يمسّ الروما وإزالة جميع العقبات التي تحول دون تمتع هذه الطائفة بالحقوق الاقتصادية والاجتماعية والثقافية؛</w:t>
      </w:r>
    </w:p>
    <w:p w14:paraId="58414933" w14:textId="498B4BA5"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(ب)</w:t>
      </w:r>
      <w:r w:rsidRPr="002C5709">
        <w:rPr>
          <w:rFonts w:eastAsiaTheme="minorEastAsia"/>
          <w:b/>
          <w:rtl/>
        </w:rPr>
        <w:tab/>
      </w:r>
      <w:r w:rsidRPr="002C5709">
        <w:rPr>
          <w:rFonts w:eastAsiaTheme="minorEastAsia"/>
          <w:b/>
          <w:bCs/>
          <w:rtl/>
        </w:rPr>
        <w:t>تكثيف جهودها لضمان التعاون الوثيق وتعزيز التشاور مع جماعات الروما ومنظمات المجتمع المدني العاملة في قضايا الروما؛</w:t>
      </w:r>
    </w:p>
    <w:p w14:paraId="5BA220BD" w14:textId="7FE1D879"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(ج)</w:t>
      </w:r>
      <w:r w:rsidRPr="002C5709">
        <w:rPr>
          <w:rFonts w:eastAsiaTheme="minorEastAsia"/>
          <w:bCs/>
          <w:rtl/>
        </w:rPr>
        <w:tab/>
      </w:r>
      <w:r w:rsidRPr="002C5709">
        <w:rPr>
          <w:rFonts w:eastAsiaTheme="minorEastAsia"/>
          <w:b/>
          <w:bCs/>
          <w:rtl/>
        </w:rPr>
        <w:t>ضمان استفادة البلديات، ولا سيما البلديات التي تضم جماعات الروما المهمشة، استفادة كاملة من التمويل المقدم، بما في ذلك التمويل الذي يمنحه الاتحاد الأوروبي، لتحسين الوضع الاجتماعي والاقتصادي للأقليات؛</w:t>
      </w:r>
    </w:p>
    <w:p w14:paraId="75CECC1F" w14:textId="6F585C04"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(د)</w:t>
      </w:r>
      <w:r w:rsidRPr="002C5709">
        <w:rPr>
          <w:rFonts w:eastAsiaTheme="minorEastAsia"/>
          <w:bCs/>
          <w:rtl/>
        </w:rPr>
        <w:tab/>
      </w:r>
      <w:r w:rsidRPr="002C5709">
        <w:rPr>
          <w:rFonts w:eastAsiaTheme="minorEastAsia"/>
          <w:b/>
          <w:bCs/>
          <w:rtl/>
        </w:rPr>
        <w:t>اتخاذ تدابير مناسبة لمعالجة المستوى المنخفض بصورة غير متناسبة لمشاركة الأقليات الإثنية، ولا سيما الروما، في سوق العمل؛</w:t>
      </w:r>
    </w:p>
    <w:p w14:paraId="1979BCD2" w14:textId="5EE023BE"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bCs/>
          <w:rtl/>
        </w:rPr>
        <w:tab/>
      </w:r>
      <w:r w:rsidRPr="002C5709">
        <w:rPr>
          <w:rFonts w:eastAsiaTheme="minorEastAsia"/>
          <w:b/>
          <w:rtl/>
        </w:rPr>
        <w:t>(هـ)</w:t>
      </w:r>
      <w:r w:rsidRPr="002C5709">
        <w:rPr>
          <w:rFonts w:eastAsiaTheme="minorEastAsia"/>
          <w:bCs/>
          <w:rtl/>
        </w:rPr>
        <w:tab/>
      </w:r>
      <w:r w:rsidRPr="002C5709">
        <w:rPr>
          <w:rFonts w:eastAsiaTheme="minorEastAsia"/>
          <w:b/>
          <w:bCs/>
          <w:rtl/>
        </w:rPr>
        <w:t>اتخاذ تدابير مناسبة للتصدي على وجه التحديد لمعدل الفقر غير المتناسب الذي يمس طوائف الروما.</w:t>
      </w:r>
    </w:p>
    <w:p w14:paraId="6E4D8BFE" w14:textId="77777777" w:rsidR="00E86B08" w:rsidRPr="002C5709" w:rsidRDefault="00E86B08" w:rsidP="00E86B08">
      <w:pPr>
        <w:pStyle w:val="H23GA"/>
        <w:rPr>
          <w:lang w:val="ar-SA" w:eastAsia="zh-TW" w:bidi="en-GB"/>
        </w:rPr>
      </w:pPr>
      <w:r w:rsidRPr="002C5709">
        <w:rPr>
          <w:rtl/>
        </w:rPr>
        <w:tab/>
      </w:r>
      <w:r w:rsidRPr="002C5709">
        <w:rPr>
          <w:rtl/>
        </w:rPr>
        <w:tab/>
        <w:t xml:space="preserve">خطاب الكراهية العنصري والجرائم المرتكبة بدافع الكراهية </w:t>
      </w:r>
    </w:p>
    <w:p w14:paraId="032DD149" w14:textId="135AEED7" w:rsidR="00182C77" w:rsidRPr="00182C77" w:rsidRDefault="00E86B08" w:rsidP="004B65E7">
      <w:pPr>
        <w:pStyle w:val="SingleTxtGA"/>
        <w:spacing w:line="346" w:lineRule="exact"/>
        <w:rPr>
          <w:rFonts w:eastAsiaTheme="minorEastAsia"/>
          <w:lang w:val="ar-SA" w:eastAsia="zh-TW" w:bidi="en-GB"/>
        </w:rPr>
      </w:pPr>
      <w:r w:rsidRPr="002C5709">
        <w:rPr>
          <w:rFonts w:eastAsiaTheme="minorEastAsia"/>
          <w:rtl/>
        </w:rPr>
        <w:t>14</w:t>
      </w:r>
      <w:r w:rsidRPr="00E86B08">
        <w:rPr>
          <w:rFonts w:eastAsiaTheme="minorEastAsia"/>
          <w:rtl/>
        </w:rPr>
        <w:t>-</w:t>
      </w:r>
      <w:r w:rsidRPr="00E86B08">
        <w:rPr>
          <w:rFonts w:eastAsiaTheme="minorEastAsia"/>
          <w:rtl/>
        </w:rPr>
        <w:tab/>
        <w:t>يساور اللجنة القلق إزاء التقارير الواردة بشأن تعرض الأقليات الإثنية لاعتداءات لفظية وجسدية، فضل</w:t>
      </w:r>
      <w:r w:rsidR="00324028">
        <w:rPr>
          <w:rFonts w:eastAsiaTheme="minorEastAsia"/>
          <w:rtl/>
        </w:rPr>
        <w:t xml:space="preserve">اً </w:t>
      </w:r>
      <w:r w:rsidRPr="00E86B08">
        <w:rPr>
          <w:rFonts w:eastAsiaTheme="minorEastAsia"/>
          <w:rtl/>
        </w:rPr>
        <w:t>عن خطاب الكراهية العنصري الذي يتفشى</w:t>
      </w:r>
      <w:r>
        <w:rPr>
          <w:rFonts w:eastAsiaTheme="minorEastAsia"/>
          <w:rtl/>
        </w:rPr>
        <w:t xml:space="preserve"> </w:t>
      </w:r>
      <w:r w:rsidRPr="00E86B08">
        <w:rPr>
          <w:rFonts w:eastAsiaTheme="minorEastAsia"/>
          <w:rtl/>
        </w:rPr>
        <w:t xml:space="preserve">في شبكة الإنترنت. ولا تزال اللجنة تشعر بالقلق إزاء استمرار أنشطة منظمات متطرفة تحرض على التمييز العنصري في الدولة الطرف (المادة </w:t>
      </w:r>
      <w:r w:rsidR="00182C77" w:rsidRPr="002C5709">
        <w:rPr>
          <w:rFonts w:eastAsiaTheme="minorEastAsia"/>
          <w:rtl/>
        </w:rPr>
        <w:t>4</w:t>
      </w:r>
      <w:r w:rsidR="00182C77" w:rsidRPr="00182C77">
        <w:rPr>
          <w:rFonts w:eastAsiaTheme="minorEastAsia"/>
          <w:rtl/>
        </w:rPr>
        <w:t>).</w:t>
      </w:r>
    </w:p>
    <w:p w14:paraId="1F92F83F" w14:textId="1118D846"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15-</w:t>
      </w:r>
      <w:r w:rsidRPr="002C5709">
        <w:rPr>
          <w:rFonts w:eastAsiaTheme="minorEastAsia"/>
          <w:bCs/>
          <w:rtl/>
        </w:rPr>
        <w:tab/>
        <w:t>تشير اللجنة، في ضوء توصياتها العامة رقم 7(198</w:t>
      </w:r>
      <w:r w:rsidR="00182C77" w:rsidRPr="002C5709">
        <w:rPr>
          <w:rFonts w:eastAsiaTheme="minorEastAsia"/>
          <w:bCs/>
          <w:rtl/>
        </w:rPr>
        <w:t xml:space="preserve">5) </w:t>
      </w:r>
      <w:r w:rsidRPr="002C5709">
        <w:rPr>
          <w:rFonts w:eastAsiaTheme="minorEastAsia"/>
          <w:bCs/>
          <w:rtl/>
        </w:rPr>
        <w:t xml:space="preserve">بشأن تنفيذ أحكام المادة 4 من </w:t>
      </w:r>
      <w:r w:rsidRPr="002C5709">
        <w:rPr>
          <w:rFonts w:eastAsiaTheme="minorEastAsia"/>
          <w:bCs/>
          <w:spacing w:val="-4"/>
          <w:rtl/>
        </w:rPr>
        <w:t>الاتفاقية، ورقم 15(199</w:t>
      </w:r>
      <w:r w:rsidR="00182C77" w:rsidRPr="002C5709">
        <w:rPr>
          <w:rFonts w:eastAsiaTheme="minorEastAsia"/>
          <w:bCs/>
          <w:spacing w:val="-4"/>
          <w:rtl/>
        </w:rPr>
        <w:t xml:space="preserve">3) </w:t>
      </w:r>
      <w:r w:rsidRPr="002C5709">
        <w:rPr>
          <w:rFonts w:eastAsiaTheme="minorEastAsia"/>
          <w:bCs/>
          <w:spacing w:val="-4"/>
          <w:rtl/>
        </w:rPr>
        <w:t>بشأن المادة 4 من الاتفاقية، ورقم 35(201</w:t>
      </w:r>
      <w:r w:rsidR="00182C77" w:rsidRPr="002C5709">
        <w:rPr>
          <w:rFonts w:eastAsiaTheme="minorEastAsia"/>
          <w:bCs/>
          <w:spacing w:val="-4"/>
          <w:rtl/>
        </w:rPr>
        <w:t xml:space="preserve">3) </w:t>
      </w:r>
      <w:r w:rsidRPr="002C5709">
        <w:rPr>
          <w:rFonts w:eastAsiaTheme="minorEastAsia"/>
          <w:bCs/>
          <w:spacing w:val="-4"/>
          <w:rtl/>
        </w:rPr>
        <w:t>بشأن مكافحة خطاب الكراهية</w:t>
      </w:r>
      <w:r w:rsidRPr="002C5709">
        <w:rPr>
          <w:rFonts w:eastAsiaTheme="minorEastAsia"/>
          <w:bCs/>
          <w:rtl/>
        </w:rPr>
        <w:t xml:space="preserve"> العنصري، إلى توصياتها </w:t>
      </w:r>
      <w:proofErr w:type="gramStart"/>
      <w:r w:rsidRPr="002C5709">
        <w:rPr>
          <w:rFonts w:eastAsiaTheme="minorEastAsia"/>
          <w:bCs/>
          <w:rtl/>
        </w:rPr>
        <w:t>السابقة</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8"/>
      </w:r>
      <w:r w:rsidR="00182C77" w:rsidRPr="002C5709">
        <w:rPr>
          <w:rFonts w:eastAsiaTheme="minorEastAsia"/>
          <w:b/>
          <w:vertAlign w:val="superscript"/>
          <w:rtl/>
        </w:rPr>
        <w:t>)</w:t>
      </w:r>
      <w:r w:rsidR="00182C77" w:rsidRPr="002C5709">
        <w:rPr>
          <w:rFonts w:eastAsiaTheme="minorEastAsia"/>
          <w:bCs/>
          <w:rtl/>
        </w:rPr>
        <w:t xml:space="preserve">، </w:t>
      </w:r>
      <w:r w:rsidRPr="002C5709">
        <w:rPr>
          <w:rFonts w:eastAsiaTheme="minorEastAsia"/>
          <w:bCs/>
          <w:rtl/>
        </w:rPr>
        <w:t xml:space="preserve">وتحث الدولة الطرف على تنفيذ ما يلي: </w:t>
      </w:r>
    </w:p>
    <w:p w14:paraId="644A492C" w14:textId="34CC9FCE"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(أ)</w:t>
      </w:r>
      <w:r w:rsidRPr="002C5709">
        <w:rPr>
          <w:rFonts w:eastAsiaTheme="minorEastAsia"/>
          <w:bCs/>
          <w:rtl/>
        </w:rPr>
        <w:tab/>
      </w:r>
      <w:r w:rsidRPr="002C5709">
        <w:rPr>
          <w:rFonts w:eastAsiaTheme="minorEastAsia"/>
          <w:b/>
          <w:bCs/>
          <w:rtl/>
        </w:rPr>
        <w:t>اتخاذ إجراءات ضد المنظمات والأنشطة التي تحرض على التمييز العنصري وتعززه، مع ضمان مقاضاة المشاركين في تلك المنظمات والأنشطة والممولين لها؛</w:t>
      </w:r>
      <w:r w:rsidRPr="002C5709">
        <w:rPr>
          <w:rFonts w:eastAsiaTheme="minorEastAsia"/>
          <w:bCs/>
          <w:rtl/>
        </w:rPr>
        <w:t xml:space="preserve"> </w:t>
      </w:r>
    </w:p>
    <w:p w14:paraId="10E61758" w14:textId="0A01735C"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lastRenderedPageBreak/>
        <w:tab/>
        <w:t>(ب)</w:t>
      </w:r>
      <w:r w:rsidRPr="002C5709">
        <w:rPr>
          <w:rFonts w:eastAsiaTheme="minorEastAsia"/>
          <w:bCs/>
          <w:rtl/>
        </w:rPr>
        <w:tab/>
      </w:r>
      <w:r w:rsidRPr="002C5709">
        <w:rPr>
          <w:rFonts w:eastAsiaTheme="minorEastAsia"/>
          <w:b/>
          <w:bCs/>
          <w:rtl/>
        </w:rPr>
        <w:t>ضمان التحقيق في جميع الجرائم ذات الدوافع العنصرية، بما في ذلك الجرائم الإلكترونية، وكذلك الاعتداءات اللفظية والجسدية وملاحقة الجناة قضائي</w:t>
      </w:r>
      <w:r w:rsidR="00324028" w:rsidRPr="002C5709">
        <w:rPr>
          <w:rFonts w:eastAsiaTheme="minorEastAsia"/>
          <w:b/>
          <w:bCs/>
          <w:rtl/>
        </w:rPr>
        <w:t xml:space="preserve">اً </w:t>
      </w:r>
      <w:r w:rsidRPr="002C5709">
        <w:rPr>
          <w:rFonts w:eastAsiaTheme="minorEastAsia"/>
          <w:b/>
          <w:bCs/>
          <w:rtl/>
        </w:rPr>
        <w:t>ومعاقبتهم؛</w:t>
      </w:r>
      <w:r w:rsidRPr="002C5709">
        <w:rPr>
          <w:rFonts w:eastAsiaTheme="minorEastAsia"/>
          <w:bCs/>
          <w:rtl/>
        </w:rPr>
        <w:t xml:space="preserve"> </w:t>
      </w:r>
    </w:p>
    <w:p w14:paraId="661A5632" w14:textId="291B7575"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Cs/>
          <w:rtl/>
        </w:rPr>
        <w:tab/>
      </w:r>
      <w:r w:rsidRPr="002C5709">
        <w:rPr>
          <w:rFonts w:eastAsiaTheme="minorEastAsia"/>
          <w:b/>
          <w:rtl/>
        </w:rPr>
        <w:t>(ج)</w:t>
      </w:r>
      <w:r w:rsidRPr="002C5709">
        <w:rPr>
          <w:rFonts w:eastAsiaTheme="minorEastAsia"/>
          <w:bCs/>
          <w:rtl/>
        </w:rPr>
        <w:tab/>
      </w:r>
      <w:r w:rsidRPr="002C5709">
        <w:rPr>
          <w:rFonts w:eastAsiaTheme="minorEastAsia"/>
          <w:b/>
          <w:bCs/>
          <w:rtl/>
        </w:rPr>
        <w:t>كفالة اعتماد سبل بديلة للإبلاغ عن جرائم الكراهية، بالتعاون مع المجتمعات المحلية المستهدفة، لمعالجة انعدام الثقة في السلطات ولا سيما بين جماعات الروما.</w:t>
      </w:r>
      <w:r w:rsidRPr="002C5709">
        <w:rPr>
          <w:rFonts w:eastAsiaTheme="minorEastAsia"/>
          <w:bCs/>
          <w:rtl/>
        </w:rPr>
        <w:t xml:space="preserve"> </w:t>
      </w:r>
    </w:p>
    <w:p w14:paraId="32F4C604" w14:textId="46BC47E4" w:rsidR="00182C77" w:rsidRPr="00182C77" w:rsidRDefault="00E86B08" w:rsidP="004B65E7">
      <w:pPr>
        <w:pStyle w:val="SingleTxtGA"/>
        <w:spacing w:line="346" w:lineRule="exact"/>
        <w:rPr>
          <w:rFonts w:eastAsiaTheme="minorEastAsia"/>
          <w:lang w:val="ar-SA" w:eastAsia="zh-TW" w:bidi="en-GB"/>
        </w:rPr>
      </w:pPr>
      <w:r w:rsidRPr="002C5709">
        <w:rPr>
          <w:rFonts w:eastAsiaTheme="minorEastAsia"/>
          <w:rtl/>
        </w:rPr>
        <w:t>16</w:t>
      </w:r>
      <w:r w:rsidRPr="00E86B08">
        <w:rPr>
          <w:rFonts w:eastAsiaTheme="minorEastAsia"/>
          <w:rtl/>
        </w:rPr>
        <w:t>-</w:t>
      </w:r>
      <w:r w:rsidRPr="00E86B08">
        <w:rPr>
          <w:rFonts w:eastAsiaTheme="minorEastAsia"/>
          <w:rtl/>
        </w:rPr>
        <w:tab/>
        <w:t xml:space="preserve">يساور اللجنة القلق إزاء تولي الوكالة الوطنية لمكافحة الجريمة التابعة لرئاسة قوات الشرطة مهام التحقيق في خطاب الكراهية وجرائم الكراهية. وهو ما من شأنه أن يعرّض الجهود الرامية إلى مكافحة جرائم الكراهية والتمييز ضد الأقليات للتهميش (المادة </w:t>
      </w:r>
      <w:r w:rsidR="00182C77" w:rsidRPr="002C5709">
        <w:rPr>
          <w:rFonts w:eastAsiaTheme="minorEastAsia"/>
          <w:rtl/>
        </w:rPr>
        <w:t>4</w:t>
      </w:r>
      <w:r w:rsidR="00182C77" w:rsidRPr="00182C77">
        <w:rPr>
          <w:rFonts w:eastAsiaTheme="minorEastAsia"/>
          <w:rtl/>
        </w:rPr>
        <w:t>).</w:t>
      </w:r>
    </w:p>
    <w:p w14:paraId="3EC8DDB9" w14:textId="1ABF718F"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17-</w:t>
      </w:r>
      <w:r w:rsidRPr="002C5709">
        <w:rPr>
          <w:rFonts w:eastAsiaTheme="minorEastAsia"/>
          <w:bCs/>
          <w:rtl/>
        </w:rPr>
        <w:tab/>
      </w:r>
      <w:r w:rsidRPr="002C5709">
        <w:rPr>
          <w:rFonts w:eastAsiaTheme="minorEastAsia"/>
          <w:b/>
          <w:bCs/>
          <w:rtl/>
        </w:rPr>
        <w:t>توصي اللجنة الدولة الطرف بكفالة أن يسمح هيكل الحوكمة بإيلاء الاهتمام الكافي للتحقيق في جرائم الكراهية وخطاب الكراهية، فضل</w:t>
      </w:r>
      <w:r w:rsidR="00324028" w:rsidRPr="002C5709">
        <w:rPr>
          <w:rFonts w:eastAsiaTheme="minorEastAsia"/>
          <w:b/>
          <w:bCs/>
          <w:rtl/>
        </w:rPr>
        <w:t xml:space="preserve">اً </w:t>
      </w:r>
      <w:r w:rsidRPr="002C5709">
        <w:rPr>
          <w:rFonts w:eastAsiaTheme="minorEastAsia"/>
          <w:b/>
          <w:bCs/>
          <w:rtl/>
        </w:rPr>
        <w:t>عن ضمان تخصيص موارد بشرية ومالية وتشغيلية كافية لتحقيق ذلك.</w:t>
      </w:r>
    </w:p>
    <w:p w14:paraId="3AEED41B" w14:textId="77777777" w:rsidR="00E86B08" w:rsidRPr="002C5709" w:rsidRDefault="00E86B08" w:rsidP="00E86B08">
      <w:pPr>
        <w:pStyle w:val="H23GA"/>
        <w:rPr>
          <w:lang w:val="ar-SA" w:eastAsia="zh-TW" w:bidi="en-GB"/>
        </w:rPr>
      </w:pPr>
      <w:r w:rsidRPr="002C5709">
        <w:rPr>
          <w:rtl/>
        </w:rPr>
        <w:tab/>
      </w:r>
      <w:r w:rsidRPr="002C5709">
        <w:rPr>
          <w:rtl/>
        </w:rPr>
        <w:tab/>
        <w:t xml:space="preserve">خطاب الكراهية العنصري </w:t>
      </w:r>
    </w:p>
    <w:p w14:paraId="774BD7BD" w14:textId="30CDC810" w:rsidR="00E86B08" w:rsidRPr="00E86B08" w:rsidRDefault="00E86B08" w:rsidP="004B65E7">
      <w:pPr>
        <w:pStyle w:val="SingleTxtGA"/>
        <w:spacing w:line="346" w:lineRule="exact"/>
        <w:rPr>
          <w:rFonts w:eastAsiaTheme="minorEastAsia"/>
          <w:lang w:val="ar-SA" w:eastAsia="zh-TW" w:bidi="en-GB"/>
        </w:rPr>
      </w:pPr>
      <w:r w:rsidRPr="002C5709">
        <w:rPr>
          <w:rFonts w:eastAsiaTheme="minorEastAsia"/>
          <w:rtl/>
        </w:rPr>
        <w:t>18</w:t>
      </w:r>
      <w:r w:rsidRPr="00E86B08">
        <w:rPr>
          <w:rFonts w:eastAsiaTheme="minorEastAsia"/>
          <w:rtl/>
        </w:rPr>
        <w:t>-</w:t>
      </w:r>
      <w:r w:rsidRPr="00E86B08">
        <w:rPr>
          <w:rFonts w:eastAsiaTheme="minorEastAsia"/>
          <w:rtl/>
        </w:rPr>
        <w:tab/>
        <w:t>لا تزال اللجنة تشعر بقلق بالغ إزاء استمرار خطاب الكراهية في وسائط الإعلام</w:t>
      </w:r>
      <w:r>
        <w:rPr>
          <w:rFonts w:eastAsiaTheme="minorEastAsia"/>
          <w:rtl/>
        </w:rPr>
        <w:t xml:space="preserve"> </w:t>
      </w:r>
      <w:r w:rsidRPr="00E86B08">
        <w:rPr>
          <w:rFonts w:eastAsiaTheme="minorEastAsia"/>
          <w:rtl/>
        </w:rPr>
        <w:t xml:space="preserve">وفي شبكة الإنترنت وإزاء شيوع خطاب سياسي عنصري بين السياسيين ضد الأقليات الإثنية، ولا سيما الروما، وغير المواطنين (المادتان </w:t>
      </w:r>
      <w:r w:rsidRPr="002C5709">
        <w:rPr>
          <w:rFonts w:eastAsiaTheme="minorEastAsia"/>
          <w:rtl/>
        </w:rPr>
        <w:t>2</w:t>
      </w:r>
      <w:r w:rsidRPr="00E86B08">
        <w:rPr>
          <w:rFonts w:eastAsiaTheme="minorEastAsia"/>
          <w:rtl/>
        </w:rPr>
        <w:t xml:space="preserve"> و</w:t>
      </w:r>
      <w:r w:rsidR="00182C77" w:rsidRPr="002C5709">
        <w:rPr>
          <w:rFonts w:eastAsiaTheme="minorEastAsia"/>
          <w:rtl/>
        </w:rPr>
        <w:t>4</w:t>
      </w:r>
      <w:r w:rsidR="00182C77" w:rsidRPr="00182C77">
        <w:rPr>
          <w:rFonts w:eastAsiaTheme="minorEastAsia"/>
          <w:rtl/>
        </w:rPr>
        <w:t xml:space="preserve">). </w:t>
      </w:r>
    </w:p>
    <w:p w14:paraId="33A055E3" w14:textId="4639D448"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19-</w:t>
      </w:r>
      <w:r w:rsidRPr="002C5709">
        <w:rPr>
          <w:rFonts w:eastAsiaTheme="minorEastAsia"/>
          <w:bCs/>
          <w:rtl/>
        </w:rPr>
        <w:tab/>
      </w:r>
      <w:r w:rsidRPr="002C5709">
        <w:rPr>
          <w:rFonts w:eastAsiaTheme="minorEastAsia"/>
          <w:b/>
          <w:bCs/>
          <w:rtl/>
        </w:rPr>
        <w:t>تشير اللجنة إلى تعليقها العام رقم 35(201</w:t>
      </w:r>
      <w:r w:rsidR="00182C77" w:rsidRPr="002C5709">
        <w:rPr>
          <w:rFonts w:eastAsiaTheme="minorEastAsia"/>
          <w:b/>
          <w:bCs/>
          <w:rtl/>
        </w:rPr>
        <w:t xml:space="preserve">3) </w:t>
      </w:r>
      <w:r w:rsidRPr="002C5709">
        <w:rPr>
          <w:rFonts w:eastAsiaTheme="minorEastAsia"/>
          <w:b/>
          <w:bCs/>
          <w:rtl/>
        </w:rPr>
        <w:t>بشأن مكافحة خطاب التحريض على الكراهية العنصرية، وتوصي الدولة الطرف بما يلي:</w:t>
      </w:r>
    </w:p>
    <w:p w14:paraId="290BB26B" w14:textId="4ACCDEBA"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(أ)</w:t>
      </w:r>
      <w:r w:rsidRPr="002C5709">
        <w:rPr>
          <w:rFonts w:eastAsiaTheme="minorEastAsia"/>
          <w:bCs/>
          <w:rtl/>
        </w:rPr>
        <w:tab/>
      </w:r>
      <w:r w:rsidRPr="002C5709">
        <w:rPr>
          <w:rFonts w:eastAsiaTheme="minorEastAsia"/>
          <w:b/>
          <w:bCs/>
          <w:rtl/>
        </w:rPr>
        <w:t>ضمان توافق التشريعات المتعلقة بوسائط الإعلام مع أحكام الاتفاقية وغيرها من</w:t>
      </w:r>
      <w:r w:rsidR="004B65E7" w:rsidRPr="002C5709">
        <w:rPr>
          <w:rFonts w:eastAsiaTheme="minorEastAsia" w:hint="cs"/>
          <w:b/>
          <w:bCs/>
          <w:rtl/>
        </w:rPr>
        <w:t> </w:t>
      </w:r>
      <w:r w:rsidRPr="002C5709">
        <w:rPr>
          <w:rFonts w:eastAsiaTheme="minorEastAsia"/>
          <w:b/>
          <w:bCs/>
          <w:rtl/>
        </w:rPr>
        <w:t>معايير القانون الدولي لحقوق الإنسان، من أجل منع أي مظاهر للعنصرية في وسائط الإعلام، ولا</w:t>
      </w:r>
      <w:r w:rsidR="00324028" w:rsidRPr="002C5709">
        <w:rPr>
          <w:rFonts w:eastAsiaTheme="minorEastAsia" w:hint="cs"/>
          <w:b/>
          <w:bCs/>
          <w:rtl/>
        </w:rPr>
        <w:t> </w:t>
      </w:r>
      <w:r w:rsidRPr="002C5709">
        <w:rPr>
          <w:rFonts w:eastAsiaTheme="minorEastAsia"/>
          <w:b/>
          <w:bCs/>
          <w:rtl/>
        </w:rPr>
        <w:t>سيما في شبكة الإنترنت، والمعاقبة عليها وردعها؛</w:t>
      </w:r>
    </w:p>
    <w:p w14:paraId="40C87B41" w14:textId="4CF60BC8" w:rsidR="00E86B08" w:rsidRPr="002C5709" w:rsidRDefault="00E86B08" w:rsidP="004B65E7">
      <w:pPr>
        <w:pStyle w:val="SingleTxtGA"/>
        <w:spacing w:line="346" w:lineRule="exact"/>
        <w:rPr>
          <w:rFonts w:eastAsiaTheme="minorEastAsia"/>
          <w:b/>
          <w:bCs/>
          <w:lang w:val="ar-SA" w:eastAsia="zh-TW" w:bidi="en-GB"/>
        </w:rPr>
      </w:pPr>
      <w:r w:rsidRPr="002C5709">
        <w:rPr>
          <w:rFonts w:eastAsiaTheme="minorEastAsia"/>
          <w:b/>
          <w:rtl/>
        </w:rPr>
        <w:tab/>
        <w:t>(ب)</w:t>
      </w:r>
      <w:r w:rsidRPr="002C5709">
        <w:rPr>
          <w:rFonts w:eastAsiaTheme="minorEastAsia"/>
          <w:bCs/>
          <w:rtl/>
        </w:rPr>
        <w:tab/>
      </w:r>
      <w:r w:rsidRPr="002C5709">
        <w:rPr>
          <w:rFonts w:eastAsiaTheme="minorEastAsia"/>
          <w:b/>
          <w:bCs/>
          <w:rtl/>
        </w:rPr>
        <w:t>ضمان التحقيق في جميع حوادث خطاب الكراهية وملاحقة مرتكبيها ومعاقبتهم، بغض النظر عن مركزهم الرسمي، وتوفير بيانات عن عدد حالات خطاب الكراهية المبلغ عنها، وعدد الملاحقات القضائية والإدانات، وعدد القضايا التي استفاد فيها الضحايا من تعويضات؛</w:t>
      </w:r>
    </w:p>
    <w:p w14:paraId="662D31EC" w14:textId="4F68EF26" w:rsidR="00E86B08" w:rsidRPr="002C5709" w:rsidRDefault="00E86B08" w:rsidP="004B65E7">
      <w:pPr>
        <w:pStyle w:val="SingleTxtGA"/>
        <w:spacing w:line="346" w:lineRule="exact"/>
        <w:rPr>
          <w:rFonts w:eastAsiaTheme="minorEastAsia"/>
          <w:b/>
          <w:lang w:val="en-US" w:eastAsia="zh-TW" w:bidi="en-GB"/>
        </w:rPr>
      </w:pPr>
      <w:r w:rsidRPr="002C5709">
        <w:rPr>
          <w:rFonts w:eastAsiaTheme="minorEastAsia"/>
          <w:b/>
          <w:rtl/>
        </w:rPr>
        <w:tab/>
        <w:t>(ج)</w:t>
      </w:r>
      <w:r w:rsidRPr="002C5709">
        <w:rPr>
          <w:rFonts w:eastAsiaTheme="minorEastAsia"/>
          <w:bCs/>
          <w:rtl/>
        </w:rPr>
        <w:tab/>
      </w:r>
      <w:r w:rsidRPr="002C5709">
        <w:rPr>
          <w:rFonts w:eastAsiaTheme="minorEastAsia"/>
          <w:b/>
          <w:bCs/>
          <w:rtl/>
        </w:rPr>
        <w:t>تنظيم حملات توعية موجهة إلى عامة الجمهور بشأن احترام التنوع والقضاء على التمييز العنصري</w:t>
      </w:r>
      <w:r w:rsidR="00507D23" w:rsidRPr="002C5709">
        <w:rPr>
          <w:rFonts w:eastAsiaTheme="minorEastAsia" w:hint="cs"/>
          <w:b/>
          <w:bCs/>
          <w:rtl/>
        </w:rPr>
        <w:t>.</w:t>
      </w:r>
    </w:p>
    <w:p w14:paraId="6EE1053F" w14:textId="77777777" w:rsidR="00E86B08" w:rsidRPr="002C5709" w:rsidRDefault="00E86B08" w:rsidP="00E86B08">
      <w:pPr>
        <w:pStyle w:val="H23GA"/>
        <w:rPr>
          <w:lang w:val="ar-SA" w:eastAsia="zh-TW" w:bidi="en-GB"/>
        </w:rPr>
      </w:pPr>
      <w:r w:rsidRPr="002C5709">
        <w:rPr>
          <w:rtl/>
        </w:rPr>
        <w:tab/>
      </w:r>
      <w:r w:rsidRPr="002C5709">
        <w:rPr>
          <w:rtl/>
        </w:rPr>
        <w:tab/>
        <w:t>الإفراط في استخدام القوة والتصنيف العرقي</w:t>
      </w:r>
    </w:p>
    <w:p w14:paraId="73A606A4" w14:textId="2F5943EC" w:rsidR="00182C77" w:rsidRPr="00182C77" w:rsidRDefault="00E86B08" w:rsidP="004B65E7">
      <w:pPr>
        <w:pStyle w:val="SingleTxtGA"/>
        <w:spacing w:line="346" w:lineRule="exact"/>
        <w:rPr>
          <w:rFonts w:eastAsiaTheme="minorEastAsia"/>
          <w:lang w:val="ar-SA" w:eastAsia="zh-TW" w:bidi="en-GB"/>
        </w:rPr>
      </w:pPr>
      <w:r w:rsidRPr="002C5709">
        <w:rPr>
          <w:rFonts w:eastAsiaTheme="minorEastAsia"/>
          <w:rtl/>
        </w:rPr>
        <w:t>20</w:t>
      </w:r>
      <w:r w:rsidRPr="00E86B08">
        <w:rPr>
          <w:rFonts w:eastAsiaTheme="minorEastAsia"/>
          <w:rtl/>
        </w:rPr>
        <w:t>-</w:t>
      </w:r>
      <w:r w:rsidRPr="00E86B08">
        <w:rPr>
          <w:rFonts w:eastAsiaTheme="minorEastAsia"/>
          <w:rtl/>
        </w:rPr>
        <w:tab/>
        <w:t>تحيط اللجنة علم</w:t>
      </w:r>
      <w:r w:rsidR="00324028">
        <w:rPr>
          <w:rFonts w:eastAsiaTheme="minorEastAsia"/>
          <w:rtl/>
        </w:rPr>
        <w:t xml:space="preserve">اً </w:t>
      </w:r>
      <w:r w:rsidRPr="00E86B08">
        <w:rPr>
          <w:rFonts w:eastAsiaTheme="minorEastAsia"/>
          <w:rtl/>
        </w:rPr>
        <w:t>بالتدابير التي اتخذتها الدولة الطرف لإذكاء الوعي بالتمييز العنصري بين أجهزتها المعنية بإنفاذ القوانين، إلا أنها تشعر بالقلق إزاء التقارير الواردة بشأن التصنيف العنصري واستخدام الشرطة للقوة المفرطة بدوافع عنصرية، ولا سيما ضد الروما. وعلاوة على ذلك، تأسف اللجنة لعدم وجود معلومات عن التدابير المتخذة لمعالجة مسألة التصنيف العنصري الذي ينتهجه</w:t>
      </w:r>
      <w:r>
        <w:rPr>
          <w:rFonts w:eastAsiaTheme="minorEastAsia"/>
          <w:rtl/>
        </w:rPr>
        <w:t xml:space="preserve"> </w:t>
      </w:r>
      <w:r w:rsidRPr="00E86B08">
        <w:rPr>
          <w:rFonts w:eastAsiaTheme="minorEastAsia"/>
          <w:rtl/>
        </w:rPr>
        <w:t>موظفو إنفاذ</w:t>
      </w:r>
      <w:r>
        <w:rPr>
          <w:rFonts w:eastAsiaTheme="minorEastAsia"/>
          <w:rtl/>
        </w:rPr>
        <w:t xml:space="preserve"> </w:t>
      </w:r>
      <w:r w:rsidRPr="00E86B08">
        <w:rPr>
          <w:rFonts w:eastAsiaTheme="minorEastAsia"/>
          <w:rtl/>
        </w:rPr>
        <w:t xml:space="preserve">القانون. ويساور اللجنة القلق إزاء عدم تمتع مكتب دائرة التفتيش باستقلالية كافية للتحقيق في الشكاوى المتعلقة باستخدام الشرطة للقوة المفرطة والتمييز العنصري (المادة </w:t>
      </w:r>
      <w:r w:rsidR="00182C77" w:rsidRPr="002C5709">
        <w:rPr>
          <w:rFonts w:eastAsiaTheme="minorEastAsia"/>
          <w:rtl/>
        </w:rPr>
        <w:t>4</w:t>
      </w:r>
      <w:r w:rsidR="00182C77" w:rsidRPr="00182C77">
        <w:rPr>
          <w:rFonts w:eastAsiaTheme="minorEastAsia"/>
          <w:rtl/>
        </w:rPr>
        <w:t>).</w:t>
      </w:r>
    </w:p>
    <w:p w14:paraId="2E086462" w14:textId="194CDF5A" w:rsidR="00E86B08" w:rsidRPr="00E86B08" w:rsidRDefault="00E86B08" w:rsidP="004B65E7">
      <w:pPr>
        <w:pStyle w:val="SingleTxtGA"/>
        <w:spacing w:line="346" w:lineRule="exact"/>
        <w:rPr>
          <w:rFonts w:eastAsiaTheme="minorEastAsia"/>
          <w:lang w:val="ar-SA" w:eastAsia="zh-TW" w:bidi="en-GB"/>
        </w:rPr>
      </w:pPr>
      <w:r w:rsidRPr="002C5709">
        <w:rPr>
          <w:rFonts w:eastAsiaTheme="minorEastAsia"/>
          <w:rtl/>
        </w:rPr>
        <w:t>21</w:t>
      </w:r>
      <w:r w:rsidRPr="00E86B08">
        <w:rPr>
          <w:rFonts w:eastAsiaTheme="minorEastAsia"/>
          <w:rtl/>
        </w:rPr>
        <w:t>-</w:t>
      </w:r>
      <w:r w:rsidRPr="00E86B08">
        <w:rPr>
          <w:rFonts w:eastAsiaTheme="minorEastAsia"/>
          <w:rtl/>
        </w:rPr>
        <w:tab/>
      </w:r>
      <w:r w:rsidRPr="002C5709">
        <w:rPr>
          <w:rFonts w:eastAsiaTheme="minorEastAsia"/>
          <w:b/>
          <w:bCs/>
          <w:rtl/>
        </w:rPr>
        <w:t>توصي اللجنة الدولة الطرف بإنشاء آلية رصد مستقلة تمام</w:t>
      </w:r>
      <w:r w:rsidR="00324028" w:rsidRPr="002C5709">
        <w:rPr>
          <w:rFonts w:eastAsiaTheme="minorEastAsia"/>
          <w:b/>
          <w:bCs/>
          <w:rtl/>
        </w:rPr>
        <w:t xml:space="preserve">اً </w:t>
      </w:r>
      <w:r w:rsidRPr="002C5709">
        <w:rPr>
          <w:rFonts w:eastAsiaTheme="minorEastAsia"/>
          <w:b/>
          <w:bCs/>
          <w:rtl/>
        </w:rPr>
        <w:t>ومزودة بموارد كافية، تتولى مسؤولية التحقيق في الشكاوى المتعلقة باستخدام الشرطة للقوة المفرطة والتمييز العنصري، وأن تتمتع هذه الآلية بالاستقلالية التنظيمية عن وزارة الداخلية. وعلاوة على ذلك، توصي اللجنة الدولة الطرف بوضع وتنفيذ تدابير شاملة لمعالجة مسألة التصنيف العنصري وفق</w:t>
      </w:r>
      <w:r w:rsidR="00324028" w:rsidRPr="002C5709">
        <w:rPr>
          <w:rFonts w:eastAsiaTheme="minorEastAsia"/>
          <w:b/>
          <w:bCs/>
          <w:rtl/>
        </w:rPr>
        <w:t xml:space="preserve">اً </w:t>
      </w:r>
      <w:r w:rsidRPr="002C5709">
        <w:rPr>
          <w:rFonts w:eastAsiaTheme="minorEastAsia"/>
          <w:b/>
          <w:bCs/>
          <w:rtl/>
        </w:rPr>
        <w:t>لتوصيتها العامة رقم 36(202</w:t>
      </w:r>
      <w:r w:rsidR="00182C77" w:rsidRPr="002C5709">
        <w:rPr>
          <w:rFonts w:eastAsiaTheme="minorEastAsia"/>
          <w:b/>
          <w:bCs/>
          <w:rtl/>
        </w:rPr>
        <w:t xml:space="preserve">0) </w:t>
      </w:r>
      <w:r w:rsidRPr="002C5709">
        <w:rPr>
          <w:rFonts w:eastAsiaTheme="minorEastAsia"/>
          <w:b/>
          <w:bCs/>
          <w:rtl/>
        </w:rPr>
        <w:t>بشأن منع ومكافحة اعتماد موظفي إنفاذ القانون ممارسةَ التصنيف العرقي.</w:t>
      </w:r>
    </w:p>
    <w:p w14:paraId="12FFDC2B" w14:textId="77777777" w:rsidR="00E86B08" w:rsidRPr="002C5709" w:rsidRDefault="00E86B08" w:rsidP="00E86B08">
      <w:pPr>
        <w:pStyle w:val="H23GA"/>
        <w:rPr>
          <w:lang w:val="ar-SA" w:eastAsia="zh-TW" w:bidi="en-GB"/>
        </w:rPr>
      </w:pPr>
      <w:r w:rsidRPr="002C5709">
        <w:rPr>
          <w:rtl/>
        </w:rPr>
        <w:lastRenderedPageBreak/>
        <w:tab/>
      </w:r>
      <w:r w:rsidRPr="002C5709">
        <w:rPr>
          <w:rtl/>
        </w:rPr>
        <w:tab/>
        <w:t xml:space="preserve">المشاركة السياسية للأقليات العرقية </w:t>
      </w:r>
    </w:p>
    <w:p w14:paraId="7CAE2BEB" w14:textId="5863F1BF" w:rsidR="00E86B08" w:rsidRPr="00E86B08" w:rsidRDefault="00E86B08" w:rsidP="00E86B08">
      <w:pPr>
        <w:pStyle w:val="SingleTxtGA"/>
        <w:rPr>
          <w:rFonts w:eastAsiaTheme="minorEastAsia"/>
          <w:lang w:val="ar-SA" w:eastAsia="zh-TW" w:bidi="en-GB"/>
        </w:rPr>
      </w:pPr>
      <w:r w:rsidRPr="002C5709">
        <w:rPr>
          <w:rFonts w:eastAsiaTheme="minorEastAsia"/>
          <w:rtl/>
        </w:rPr>
        <w:t>22</w:t>
      </w:r>
      <w:r w:rsidRPr="00E86B08">
        <w:rPr>
          <w:rFonts w:eastAsiaTheme="minorEastAsia"/>
          <w:rtl/>
        </w:rPr>
        <w:t>-</w:t>
      </w:r>
      <w:r w:rsidRPr="00E86B08">
        <w:rPr>
          <w:rFonts w:eastAsiaTheme="minorEastAsia"/>
          <w:rtl/>
        </w:rPr>
        <w:tab/>
        <w:t>تلاحظ اللجنة تزايد عدد الأشخاص المنتمين إلى أقليات إثنية المشاركين في الحياة السياسية منذ التقرير الدوري السابق، إلا أنها تشعر بالقلق إزاء المستوى المنخفض بصورة غير</w:t>
      </w:r>
      <w:r>
        <w:rPr>
          <w:rFonts w:eastAsiaTheme="minorEastAsia"/>
          <w:rtl/>
        </w:rPr>
        <w:t xml:space="preserve"> </w:t>
      </w:r>
      <w:r w:rsidRPr="00E86B08">
        <w:rPr>
          <w:rFonts w:eastAsiaTheme="minorEastAsia"/>
          <w:rtl/>
        </w:rPr>
        <w:t>متناسبة</w:t>
      </w:r>
      <w:r>
        <w:rPr>
          <w:rFonts w:eastAsiaTheme="minorEastAsia"/>
          <w:rtl/>
        </w:rPr>
        <w:t xml:space="preserve"> </w:t>
      </w:r>
      <w:r w:rsidRPr="00E86B08">
        <w:rPr>
          <w:rFonts w:eastAsiaTheme="minorEastAsia"/>
          <w:rtl/>
        </w:rPr>
        <w:t>لمشاركة الأقليات الإثنية في الحياة السياسية ولا سيما الروما، على الصعد الوطني والإقليمي والبلدي، فضل</w:t>
      </w:r>
      <w:r w:rsidR="00324028">
        <w:rPr>
          <w:rFonts w:eastAsiaTheme="minorEastAsia"/>
          <w:rtl/>
        </w:rPr>
        <w:t xml:space="preserve">اً </w:t>
      </w:r>
      <w:r w:rsidRPr="00E86B08">
        <w:rPr>
          <w:rFonts w:eastAsiaTheme="minorEastAsia"/>
          <w:rtl/>
        </w:rPr>
        <w:t xml:space="preserve">عن نقص المعلومات عن التدابير المتخذة لصحيح ذلك المسار (المادتان </w:t>
      </w:r>
      <w:r w:rsidRPr="002C5709">
        <w:rPr>
          <w:rFonts w:eastAsiaTheme="minorEastAsia"/>
          <w:rtl/>
        </w:rPr>
        <w:t>2</w:t>
      </w:r>
      <w:r w:rsidRPr="00E86B08">
        <w:rPr>
          <w:rFonts w:eastAsiaTheme="minorEastAsia"/>
          <w:rtl/>
        </w:rPr>
        <w:t xml:space="preserve"> و</w:t>
      </w:r>
      <w:r w:rsidR="00182C77" w:rsidRPr="002C5709">
        <w:rPr>
          <w:rFonts w:eastAsiaTheme="minorEastAsia"/>
          <w:rtl/>
        </w:rPr>
        <w:t>5</w:t>
      </w:r>
      <w:r w:rsidR="00182C77" w:rsidRPr="00182C77">
        <w:rPr>
          <w:rFonts w:eastAsiaTheme="minorEastAsia"/>
          <w:rtl/>
        </w:rPr>
        <w:t xml:space="preserve">). </w:t>
      </w:r>
    </w:p>
    <w:p w14:paraId="40D7CF75" w14:textId="1A76A531" w:rsidR="00E86B08" w:rsidRPr="002C5709" w:rsidRDefault="00E86B08" w:rsidP="00E86B08">
      <w:pPr>
        <w:pStyle w:val="SingleTxtGA"/>
        <w:rPr>
          <w:rFonts w:eastAsiaTheme="minorEastAsia"/>
          <w:b/>
          <w:bCs/>
          <w:lang w:val="ar-SA" w:eastAsia="zh-TW" w:bidi="en-GB"/>
        </w:rPr>
      </w:pPr>
      <w:r w:rsidRPr="002C5709">
        <w:rPr>
          <w:rFonts w:eastAsiaTheme="minorEastAsia"/>
          <w:b/>
          <w:rtl/>
        </w:rPr>
        <w:t>23-</w:t>
      </w:r>
      <w:r w:rsidRPr="002C5709">
        <w:rPr>
          <w:rFonts w:eastAsiaTheme="minorEastAsia"/>
          <w:b/>
          <w:rtl/>
        </w:rPr>
        <w:tab/>
      </w:r>
      <w:r w:rsidRPr="002C5709">
        <w:rPr>
          <w:rFonts w:eastAsiaTheme="minorEastAsia"/>
          <w:b/>
          <w:bCs/>
          <w:rtl/>
        </w:rPr>
        <w:t xml:space="preserve">تكرر اللجنة تأكيد </w:t>
      </w:r>
      <w:proofErr w:type="gramStart"/>
      <w:r w:rsidRPr="002C5709">
        <w:rPr>
          <w:rFonts w:eastAsiaTheme="minorEastAsia"/>
          <w:b/>
          <w:bCs/>
          <w:rtl/>
        </w:rPr>
        <w:t>توصيتها</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9"/>
      </w:r>
      <w:r w:rsidRPr="002C5709">
        <w:rPr>
          <w:rFonts w:eastAsiaTheme="minorEastAsia"/>
          <w:b/>
          <w:vertAlign w:val="superscript"/>
          <w:rtl/>
        </w:rPr>
        <w:t>)</w:t>
      </w:r>
      <w:r w:rsidRPr="002C5709">
        <w:rPr>
          <w:rFonts w:eastAsiaTheme="minorEastAsia"/>
          <w:b/>
          <w:bCs/>
          <w:rtl/>
        </w:rPr>
        <w:t> بأن تعتمد الدولة الطرف تدابير فعالة لضمان مشاركة الأشخاص المنتمين إلى أقليات إثنية، لا سيما الروما، مشاركة تامة في الشؤون العامة، سواء في مراكز صنع القرار أو المؤسسات التمثيلية.</w:t>
      </w:r>
      <w:r w:rsidRPr="002C5709">
        <w:rPr>
          <w:rFonts w:eastAsiaTheme="minorEastAsia"/>
          <w:bCs/>
          <w:rtl/>
        </w:rPr>
        <w:t xml:space="preserve"> </w:t>
      </w:r>
      <w:r w:rsidRPr="002C5709">
        <w:rPr>
          <w:rFonts w:eastAsiaTheme="minorEastAsia"/>
          <w:b/>
          <w:bCs/>
          <w:rtl/>
        </w:rPr>
        <w:t>وتحث الدولة الطرف على تكثيف جهودها لضمان تكافؤ فرص مشاركة الأقليات الإثنية في الحياة السياسية على جميع مستويات الحكومة: الوطنية والإقليمية والمحلية.</w:t>
      </w:r>
      <w:r w:rsidRPr="002C5709">
        <w:rPr>
          <w:rFonts w:eastAsiaTheme="minorEastAsia"/>
          <w:bCs/>
          <w:rtl/>
        </w:rPr>
        <w:t xml:space="preserve"> </w:t>
      </w:r>
      <w:r w:rsidRPr="002C5709">
        <w:rPr>
          <w:rFonts w:eastAsiaTheme="minorEastAsia"/>
          <w:b/>
          <w:bCs/>
          <w:rtl/>
        </w:rPr>
        <w:t>وتطلب اللجنة إلى الدولة الطرف أن تقدم في تقريرها الدوري المقبل إحصاءات محدّثة عن تمثيل الأقليات في مراكز صنع القرار وفي المؤسسات التمثيلية.</w:t>
      </w:r>
      <w:r w:rsidRPr="002C5709">
        <w:rPr>
          <w:rFonts w:eastAsiaTheme="minorEastAsia"/>
          <w:bCs/>
          <w:rtl/>
        </w:rPr>
        <w:t xml:space="preserve"> </w:t>
      </w:r>
    </w:p>
    <w:p w14:paraId="323E835C" w14:textId="77777777" w:rsidR="00E86B08" w:rsidRPr="002C5709" w:rsidRDefault="00E86B08" w:rsidP="00E86B08">
      <w:pPr>
        <w:pStyle w:val="H23GA"/>
        <w:rPr>
          <w:lang w:val="ar-SA" w:eastAsia="zh-TW" w:bidi="en-GB"/>
        </w:rPr>
      </w:pPr>
      <w:r w:rsidRPr="002C5709">
        <w:rPr>
          <w:rtl/>
        </w:rPr>
        <w:tab/>
      </w:r>
      <w:r w:rsidRPr="002C5709">
        <w:rPr>
          <w:rtl/>
        </w:rPr>
        <w:tab/>
        <w:t>اللاجئون وملتمسو اللجوء.</w:t>
      </w:r>
    </w:p>
    <w:p w14:paraId="234241AE" w14:textId="50EFADE3" w:rsidR="00E86B08" w:rsidRPr="00E86B08" w:rsidRDefault="00E86B08" w:rsidP="00E86B08">
      <w:pPr>
        <w:pStyle w:val="SingleTxtGA"/>
        <w:rPr>
          <w:rFonts w:eastAsiaTheme="minorEastAsia"/>
          <w:lang w:val="ar-SA" w:eastAsia="zh-TW" w:bidi="en-GB"/>
        </w:rPr>
      </w:pPr>
      <w:r w:rsidRPr="002C5709">
        <w:rPr>
          <w:rFonts w:eastAsiaTheme="minorEastAsia"/>
          <w:rtl/>
        </w:rPr>
        <w:t>24</w:t>
      </w:r>
      <w:r w:rsidRPr="00E86B08">
        <w:rPr>
          <w:rFonts w:eastAsiaTheme="minorEastAsia"/>
          <w:rtl/>
        </w:rPr>
        <w:t>-</w:t>
      </w:r>
      <w:r w:rsidRPr="00E86B08">
        <w:rPr>
          <w:rFonts w:eastAsiaTheme="minorEastAsia"/>
          <w:rtl/>
        </w:rPr>
        <w:tab/>
        <w:t>يساور اللجنة القلق إزاء التقارير الواردة بشأن حملات تضليل تهدف إلى تأجيج السخط العام ضد اللاجئين، مما قد يؤدي إلى</w:t>
      </w:r>
      <w:r>
        <w:rPr>
          <w:rFonts w:eastAsiaTheme="minorEastAsia"/>
          <w:rtl/>
        </w:rPr>
        <w:t xml:space="preserve"> </w:t>
      </w:r>
      <w:r w:rsidRPr="00E86B08">
        <w:rPr>
          <w:rFonts w:eastAsiaTheme="minorEastAsia"/>
          <w:rtl/>
        </w:rPr>
        <w:t xml:space="preserve">تعرضهم للتمييز العنصري، بما في ذلك العنف العنصري (المادة </w:t>
      </w:r>
      <w:r w:rsidR="00182C77" w:rsidRPr="002C5709">
        <w:rPr>
          <w:rFonts w:eastAsiaTheme="minorEastAsia"/>
          <w:rtl/>
        </w:rPr>
        <w:t>5</w:t>
      </w:r>
      <w:r w:rsidR="00182C77" w:rsidRPr="00182C77">
        <w:rPr>
          <w:rFonts w:eastAsiaTheme="minorEastAsia"/>
          <w:rtl/>
        </w:rPr>
        <w:t xml:space="preserve">). </w:t>
      </w:r>
    </w:p>
    <w:p w14:paraId="3FDE8135" w14:textId="21507BEC" w:rsidR="00E86B08" w:rsidRPr="002C5709" w:rsidRDefault="00E86B08" w:rsidP="00E86B08">
      <w:pPr>
        <w:pStyle w:val="SingleTxtGA"/>
        <w:rPr>
          <w:rFonts w:eastAsiaTheme="minorEastAsia"/>
          <w:b/>
          <w:lang w:val="ar-SA" w:eastAsia="zh-TW" w:bidi="en-GB"/>
        </w:rPr>
      </w:pPr>
      <w:r w:rsidRPr="002C5709">
        <w:rPr>
          <w:rFonts w:eastAsiaTheme="minorEastAsia"/>
          <w:b/>
          <w:rtl/>
        </w:rPr>
        <w:t>25-</w:t>
      </w:r>
      <w:r w:rsidRPr="002C5709">
        <w:rPr>
          <w:rFonts w:eastAsiaTheme="minorEastAsia"/>
          <w:bCs/>
          <w:rtl/>
        </w:rPr>
        <w:tab/>
      </w:r>
      <w:r w:rsidRPr="002C5709">
        <w:rPr>
          <w:rFonts w:eastAsiaTheme="minorEastAsia"/>
          <w:b/>
          <w:bCs/>
          <w:rtl/>
        </w:rPr>
        <w:t>توصي اللجنة الدولة الطرف باتخاذ تدابير عاجلة لحماية اللاجئين من أي شكل من أشكال الوصم أو أي عمل من أعمال التمييز العنصري، بما في ذلك العنف العنصري، بالتشاور الكامل مع</w:t>
      </w:r>
      <w:r w:rsidR="00324028" w:rsidRPr="002C5709">
        <w:rPr>
          <w:rFonts w:eastAsiaTheme="minorEastAsia" w:hint="cs"/>
          <w:b/>
          <w:bCs/>
          <w:rtl/>
        </w:rPr>
        <w:t> </w:t>
      </w:r>
      <w:r w:rsidRPr="002C5709">
        <w:rPr>
          <w:rFonts w:eastAsiaTheme="minorEastAsia"/>
          <w:b/>
          <w:bCs/>
          <w:rtl/>
        </w:rPr>
        <w:t>المنظمات التي تمثل اللاجئين والمنظمات غير الحكومية والوكالات الدولية المعنية وغيرها من أصحاب المصلحة.</w:t>
      </w:r>
    </w:p>
    <w:p w14:paraId="560FB5A7" w14:textId="77777777" w:rsidR="00E86B08" w:rsidRPr="002C5709" w:rsidRDefault="00E86B08" w:rsidP="00E86B08">
      <w:pPr>
        <w:pStyle w:val="H23GA"/>
        <w:rPr>
          <w:lang w:val="ar-SA" w:eastAsia="zh-TW" w:bidi="en-GB"/>
        </w:rPr>
      </w:pPr>
      <w:r w:rsidRPr="002C5709">
        <w:rPr>
          <w:rtl/>
        </w:rPr>
        <w:tab/>
      </w:r>
      <w:r w:rsidRPr="002C5709">
        <w:rPr>
          <w:rtl/>
        </w:rPr>
        <w:tab/>
        <w:t>الحق في السكن</w:t>
      </w:r>
    </w:p>
    <w:p w14:paraId="33B8BAFC" w14:textId="7A0D1B60" w:rsidR="00E86B08" w:rsidRPr="00E86B08" w:rsidRDefault="00E86B08" w:rsidP="00E86B08">
      <w:pPr>
        <w:pStyle w:val="SingleTxtGA"/>
        <w:rPr>
          <w:rFonts w:eastAsiaTheme="minorEastAsia"/>
          <w:lang w:val="ar-SA" w:eastAsia="zh-TW" w:bidi="en-GB"/>
        </w:rPr>
      </w:pPr>
      <w:r w:rsidRPr="002C5709">
        <w:rPr>
          <w:rFonts w:eastAsiaTheme="minorEastAsia"/>
          <w:rtl/>
        </w:rPr>
        <w:t>26</w:t>
      </w:r>
      <w:r w:rsidRPr="00E86B08">
        <w:rPr>
          <w:rFonts w:eastAsiaTheme="minorEastAsia"/>
          <w:rtl/>
        </w:rPr>
        <w:t>-</w:t>
      </w:r>
      <w:r w:rsidRPr="00E86B08">
        <w:rPr>
          <w:rFonts w:eastAsiaTheme="minorEastAsia"/>
          <w:rtl/>
        </w:rPr>
        <w:tab/>
        <w:t>تلاحظ اللجنة أن الدولة الطرف اتخذت تدابير لتحسين إسكان جماعات الروما، بما في ذلك خطة العمل التي ركزت على الإسكان باعتباره مجال</w:t>
      </w:r>
      <w:r w:rsidR="00324028">
        <w:rPr>
          <w:rFonts w:eastAsiaTheme="minorEastAsia"/>
          <w:rtl/>
        </w:rPr>
        <w:t xml:space="preserve">اً </w:t>
      </w:r>
      <w:r w:rsidRPr="00E86B08">
        <w:rPr>
          <w:rFonts w:eastAsiaTheme="minorEastAsia"/>
          <w:rtl/>
        </w:rPr>
        <w:t xml:space="preserve">ذا أولوية في استراتيجية المساواة والإدماج ومشاركة الروما بحلول عام </w:t>
      </w:r>
      <w:r w:rsidRPr="002C5709">
        <w:rPr>
          <w:rFonts w:eastAsiaTheme="minorEastAsia"/>
          <w:rtl/>
        </w:rPr>
        <w:t>203</w:t>
      </w:r>
      <w:r w:rsidR="00182C77" w:rsidRPr="002C5709">
        <w:rPr>
          <w:rFonts w:eastAsiaTheme="minorEastAsia"/>
          <w:rtl/>
        </w:rPr>
        <w:t>0</w:t>
      </w:r>
      <w:r w:rsidR="00182C77" w:rsidRPr="00182C77">
        <w:rPr>
          <w:rFonts w:eastAsiaTheme="minorEastAsia"/>
          <w:rtl/>
        </w:rPr>
        <w:t xml:space="preserve">. </w:t>
      </w:r>
      <w:r w:rsidRPr="00E86B08">
        <w:rPr>
          <w:rFonts w:eastAsiaTheme="minorEastAsia"/>
          <w:rtl/>
        </w:rPr>
        <w:t>ومع ذلك، يساور اللجنة قلق إزاء ما يلي</w:t>
      </w:r>
      <w:r w:rsidRPr="00E86B08">
        <w:rPr>
          <w:rFonts w:eastAsiaTheme="minorEastAsia"/>
        </w:rPr>
        <w:t>:</w:t>
      </w:r>
      <w:r w:rsidRPr="00E86B08">
        <w:rPr>
          <w:rFonts w:eastAsiaTheme="minorEastAsia"/>
          <w:rtl/>
        </w:rPr>
        <w:t xml:space="preserve"> </w:t>
      </w:r>
    </w:p>
    <w:p w14:paraId="50EA1DED" w14:textId="39255F52" w:rsidR="00E86B08" w:rsidRPr="00E86B08"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(أ)</w:t>
      </w:r>
      <w:r w:rsidRPr="00E86B08">
        <w:rPr>
          <w:rFonts w:eastAsiaTheme="minorEastAsia"/>
          <w:rtl/>
        </w:rPr>
        <w:tab/>
        <w:t xml:space="preserve">استمرار عيش جماعات الروما في مستوطنات تفتقر إلى المرافق الأساسية مثل المرافق الصحية ومياه الشرب والكهرباء وشبكات المجاري وخدمات التخلص من النفايات؛ </w:t>
      </w:r>
    </w:p>
    <w:p w14:paraId="408AF8C5" w14:textId="5ABEA049" w:rsidR="00E86B08" w:rsidRPr="00E86B08"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(ب)</w:t>
      </w:r>
      <w:r w:rsidRPr="00E86B08">
        <w:rPr>
          <w:rFonts w:eastAsiaTheme="minorEastAsia"/>
          <w:rtl/>
        </w:rPr>
        <w:tab/>
        <w:t>استمرار الفصل</w:t>
      </w:r>
      <w:r>
        <w:rPr>
          <w:rFonts w:eastAsiaTheme="minorEastAsia"/>
          <w:rtl/>
        </w:rPr>
        <w:t xml:space="preserve"> </w:t>
      </w:r>
      <w:r w:rsidRPr="00E86B08">
        <w:rPr>
          <w:rFonts w:eastAsiaTheme="minorEastAsia"/>
          <w:rtl/>
        </w:rPr>
        <w:t xml:space="preserve">في السكن الذي تتعرض له جماعات الروما؛ </w:t>
      </w:r>
    </w:p>
    <w:p w14:paraId="2E767815" w14:textId="1C810E50" w:rsidR="00E86B08" w:rsidRPr="00E86B08"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(ج)</w:t>
      </w:r>
      <w:r w:rsidRPr="00E86B08">
        <w:rPr>
          <w:rFonts w:eastAsiaTheme="minorEastAsia"/>
          <w:rtl/>
        </w:rPr>
        <w:tab/>
        <w:t>تعرض الروما للتمييز لدى البحث عن سكن في سوق الإيجار الخاص؛</w:t>
      </w:r>
    </w:p>
    <w:p w14:paraId="66E63D31" w14:textId="7D7F5AC1" w:rsidR="00182C77" w:rsidRPr="00182C77" w:rsidRDefault="00E86B08" w:rsidP="00E86B08">
      <w:pPr>
        <w:pStyle w:val="SingleTxtGA"/>
        <w:rPr>
          <w:rFonts w:eastAsiaTheme="minorEastAsia"/>
          <w:lang w:val="ar-SA" w:eastAsia="zh-TW" w:bidi="en-GB"/>
        </w:rPr>
      </w:pPr>
      <w:r w:rsidRPr="002C5709">
        <w:rPr>
          <w:rFonts w:eastAsiaTheme="minorEastAsia"/>
          <w:b/>
          <w:bCs/>
          <w:rtl/>
        </w:rPr>
        <w:tab/>
      </w:r>
      <w:r w:rsidRPr="004B65E7">
        <w:rPr>
          <w:rFonts w:eastAsiaTheme="minorEastAsia"/>
          <w:rtl/>
        </w:rPr>
        <w:t>(</w:t>
      </w:r>
      <w:r w:rsidRPr="00E86B08">
        <w:rPr>
          <w:rFonts w:eastAsiaTheme="minorEastAsia"/>
          <w:rtl/>
        </w:rPr>
        <w:t>د)</w:t>
      </w:r>
      <w:r w:rsidRPr="00E86B08">
        <w:rPr>
          <w:rFonts w:eastAsiaTheme="minorEastAsia"/>
          <w:rtl/>
        </w:rPr>
        <w:tab/>
        <w:t xml:space="preserve">استمرار تعرض الروما لخطر الإخلاء القسري، في كثير من الحالات، لأسباب منها الافتقار إلى ضمان الحيازة (المادة </w:t>
      </w:r>
      <w:r w:rsidRPr="002C5709">
        <w:rPr>
          <w:rFonts w:eastAsiaTheme="minorEastAsia"/>
          <w:rtl/>
        </w:rPr>
        <w:t>5</w:t>
      </w:r>
      <w:r w:rsidR="00182C77" w:rsidRPr="00182C77">
        <w:rPr>
          <w:rFonts w:eastAsiaTheme="minorEastAsia"/>
          <w:rtl/>
        </w:rPr>
        <w:t>)؛</w:t>
      </w:r>
    </w:p>
    <w:p w14:paraId="4611CE8C" w14:textId="29C65FD0" w:rsidR="00E86B08" w:rsidRPr="00E86B08" w:rsidRDefault="00E86B08" w:rsidP="00E86B08">
      <w:pPr>
        <w:pStyle w:val="SingleTxtGA"/>
        <w:rPr>
          <w:rFonts w:eastAsiaTheme="minorEastAsia"/>
          <w:lang w:val="ar-SA" w:eastAsia="zh-TW" w:bidi="en-GB"/>
        </w:rPr>
      </w:pPr>
      <w:r w:rsidRPr="004B65E7">
        <w:rPr>
          <w:rFonts w:eastAsiaTheme="minorEastAsia"/>
          <w:rtl/>
        </w:rPr>
        <w:tab/>
        <w:t>(</w:t>
      </w:r>
      <w:r w:rsidRPr="00E86B08">
        <w:rPr>
          <w:rFonts w:eastAsiaTheme="minorEastAsia"/>
          <w:rtl/>
        </w:rPr>
        <w:t>هـ)</w:t>
      </w:r>
      <w:r w:rsidRPr="00E86B08">
        <w:rPr>
          <w:rFonts w:eastAsiaTheme="minorEastAsia"/>
          <w:rtl/>
        </w:rPr>
        <w:tab/>
        <w:t>تمركز عدد كبير وغير متناسب من مستوطنات جماعات الروما في مناطق ملوثة؛</w:t>
      </w:r>
    </w:p>
    <w:p w14:paraId="5DA2ECEB" w14:textId="7C693803" w:rsidR="00182C77" w:rsidRPr="00182C77" w:rsidRDefault="00E86B08" w:rsidP="00E86B08">
      <w:pPr>
        <w:pStyle w:val="SingleTxtGA"/>
        <w:rPr>
          <w:rFonts w:eastAsiaTheme="minorEastAsia"/>
          <w:lang w:val="ar-SA" w:eastAsia="zh-TW" w:bidi="en-GB"/>
        </w:rPr>
      </w:pPr>
      <w:r>
        <w:rPr>
          <w:rFonts w:eastAsiaTheme="minorEastAsia"/>
          <w:rtl/>
        </w:rPr>
        <w:tab/>
      </w:r>
      <w:r w:rsidRPr="00E86B08">
        <w:rPr>
          <w:rFonts w:eastAsiaTheme="minorEastAsia"/>
          <w:rtl/>
        </w:rPr>
        <w:t>(و)</w:t>
      </w:r>
      <w:r w:rsidRPr="00E86B08">
        <w:rPr>
          <w:rFonts w:eastAsiaTheme="minorEastAsia"/>
          <w:rtl/>
        </w:rPr>
        <w:tab/>
        <w:t xml:space="preserve">اكتظاظ عدد كبير وغير متناسب من مساكن الأسر المعيشية </w:t>
      </w:r>
      <w:proofErr w:type="spellStart"/>
      <w:r w:rsidRPr="00E86B08">
        <w:rPr>
          <w:rFonts w:eastAsiaTheme="minorEastAsia"/>
          <w:rtl/>
        </w:rPr>
        <w:t>للروما</w:t>
      </w:r>
      <w:proofErr w:type="spellEnd"/>
      <w:r w:rsidRPr="00E86B08">
        <w:rPr>
          <w:rFonts w:eastAsiaTheme="minorEastAsia"/>
          <w:rtl/>
        </w:rPr>
        <w:t xml:space="preserve"> (المادة </w:t>
      </w:r>
      <w:r w:rsidR="00182C77" w:rsidRPr="002C5709">
        <w:rPr>
          <w:rFonts w:eastAsiaTheme="minorEastAsia"/>
          <w:rtl/>
        </w:rPr>
        <w:t>5</w:t>
      </w:r>
      <w:r w:rsidR="00182C77" w:rsidRPr="00182C77">
        <w:rPr>
          <w:rFonts w:eastAsiaTheme="minorEastAsia"/>
          <w:rtl/>
        </w:rPr>
        <w:t>).</w:t>
      </w:r>
    </w:p>
    <w:p w14:paraId="3709B0A4" w14:textId="77777777" w:rsidR="004B65E7" w:rsidRPr="002C5709" w:rsidRDefault="004B65E7">
      <w:pPr>
        <w:bidi w:val="0"/>
        <w:spacing w:after="200" w:line="276" w:lineRule="auto"/>
        <w:jc w:val="left"/>
        <w:rPr>
          <w:rFonts w:eastAsiaTheme="minorEastAsia"/>
          <w:b/>
          <w:sz w:val="22"/>
          <w:rtl/>
          <w:lang w:val="en-GB"/>
        </w:rPr>
      </w:pPr>
      <w:r w:rsidRPr="002C5709">
        <w:rPr>
          <w:rFonts w:eastAsiaTheme="minorEastAsia"/>
          <w:b/>
        </w:rPr>
        <w:br w:type="page"/>
      </w:r>
    </w:p>
    <w:p w14:paraId="55BE34ED" w14:textId="66005D57" w:rsidR="00E86B08" w:rsidRPr="002C5709" w:rsidRDefault="00E86B08" w:rsidP="00E86B08">
      <w:pPr>
        <w:pStyle w:val="SingleTxtGA"/>
        <w:rPr>
          <w:rFonts w:eastAsiaTheme="minorEastAsia"/>
          <w:b/>
          <w:bCs/>
          <w:lang w:val="ar-SA" w:eastAsia="zh-TW" w:bidi="en-GB"/>
        </w:rPr>
      </w:pPr>
      <w:r w:rsidRPr="002C5709">
        <w:rPr>
          <w:rFonts w:eastAsiaTheme="minorEastAsia"/>
          <w:b/>
          <w:rtl/>
        </w:rPr>
        <w:lastRenderedPageBreak/>
        <w:t>27-</w:t>
      </w:r>
      <w:r w:rsidRPr="002C5709">
        <w:rPr>
          <w:rFonts w:eastAsiaTheme="minorEastAsia"/>
          <w:bCs/>
          <w:rtl/>
        </w:rPr>
        <w:tab/>
      </w:r>
      <w:r w:rsidRPr="002C5709">
        <w:rPr>
          <w:rFonts w:eastAsiaTheme="minorEastAsia"/>
          <w:b/>
          <w:bCs/>
          <w:rtl/>
        </w:rPr>
        <w:t xml:space="preserve">تحث اللجنة، تماشياً مع توصياتها </w:t>
      </w:r>
      <w:proofErr w:type="gramStart"/>
      <w:r w:rsidRPr="002C5709">
        <w:rPr>
          <w:rFonts w:eastAsiaTheme="minorEastAsia"/>
          <w:b/>
          <w:bCs/>
          <w:rtl/>
        </w:rPr>
        <w:t>السابقة</w:t>
      </w:r>
      <w:r w:rsidR="00182C77" w:rsidRPr="002C5709">
        <w:rPr>
          <w:rFonts w:eastAsiaTheme="minorEastAsia"/>
          <w:b/>
          <w:vertAlign w:val="superscript"/>
          <w:rtl/>
        </w:rPr>
        <w:t>(</w:t>
      </w:r>
      <w:proofErr w:type="gramEnd"/>
      <w:r w:rsidR="00182C77" w:rsidRPr="002C5709">
        <w:rPr>
          <w:rFonts w:eastAsiaTheme="minorEastAsia"/>
          <w:bCs/>
          <w:vertAlign w:val="superscript"/>
          <w:lang w:val="en-US"/>
        </w:rPr>
        <w:footnoteReference w:id="10"/>
      </w:r>
      <w:r w:rsidR="00182C77" w:rsidRPr="002C5709">
        <w:rPr>
          <w:rFonts w:eastAsiaTheme="minorEastAsia"/>
          <w:b/>
          <w:vertAlign w:val="superscript"/>
          <w:rtl/>
        </w:rPr>
        <w:t>)</w:t>
      </w:r>
      <w:r w:rsidR="00182C77" w:rsidRPr="002C5709">
        <w:rPr>
          <w:rFonts w:eastAsiaTheme="minorEastAsia"/>
          <w:b/>
          <w:bCs/>
          <w:rtl/>
        </w:rPr>
        <w:t xml:space="preserve">، </w:t>
      </w:r>
      <w:r w:rsidRPr="002C5709">
        <w:rPr>
          <w:rFonts w:eastAsiaTheme="minorEastAsia"/>
          <w:b/>
          <w:bCs/>
          <w:rtl/>
        </w:rPr>
        <w:t>الدولة الطرف على ما يلي:</w:t>
      </w:r>
    </w:p>
    <w:p w14:paraId="7D013A71" w14:textId="2A1664A3" w:rsidR="00E86B08" w:rsidRPr="002C5709" w:rsidRDefault="00E86B08" w:rsidP="00E86B08">
      <w:pPr>
        <w:pStyle w:val="SingleTxtGA"/>
        <w:rPr>
          <w:rFonts w:eastAsiaTheme="minorEastAsia"/>
          <w:b/>
          <w:bCs/>
          <w:lang w:val="en-US" w:eastAsia="zh-TW" w:bidi="en-GB"/>
        </w:rPr>
      </w:pPr>
      <w:r w:rsidRPr="002C5709">
        <w:rPr>
          <w:rFonts w:eastAsiaTheme="minorEastAsia"/>
          <w:b/>
          <w:rtl/>
        </w:rPr>
        <w:tab/>
        <w:t>(أ)</w:t>
      </w:r>
      <w:r w:rsidRPr="002C5709">
        <w:rPr>
          <w:rFonts w:eastAsiaTheme="minorEastAsia"/>
          <w:bCs/>
          <w:rtl/>
        </w:rPr>
        <w:tab/>
      </w:r>
      <w:r w:rsidRPr="002C5709">
        <w:rPr>
          <w:rFonts w:eastAsiaTheme="minorEastAsia"/>
          <w:b/>
          <w:bCs/>
          <w:rtl/>
        </w:rPr>
        <w:t>اعتماد تدابير مناسبة وفعالة من أجل تيسير الحصول على سكن لائق وتحسين</w:t>
      </w:r>
      <w:r w:rsidR="00324028" w:rsidRPr="002C5709">
        <w:rPr>
          <w:rFonts w:eastAsiaTheme="minorEastAsia" w:hint="cs"/>
          <w:b/>
          <w:bCs/>
          <w:rtl/>
        </w:rPr>
        <w:t> </w:t>
      </w:r>
      <w:r w:rsidRPr="002C5709">
        <w:rPr>
          <w:rFonts w:eastAsiaTheme="minorEastAsia"/>
          <w:b/>
          <w:bCs/>
          <w:rtl/>
        </w:rPr>
        <w:t xml:space="preserve">الظروف المعيشية </w:t>
      </w:r>
      <w:proofErr w:type="spellStart"/>
      <w:r w:rsidRPr="002C5709">
        <w:rPr>
          <w:rFonts w:eastAsiaTheme="minorEastAsia"/>
          <w:b/>
          <w:bCs/>
          <w:rtl/>
        </w:rPr>
        <w:t>للروما</w:t>
      </w:r>
      <w:proofErr w:type="spellEnd"/>
      <w:r w:rsidRPr="002C5709">
        <w:rPr>
          <w:rFonts w:eastAsiaTheme="minorEastAsia"/>
          <w:b/>
          <w:bCs/>
          <w:rtl/>
        </w:rPr>
        <w:t>، وذلك بإشراك المجتمعات المحلية المتضررة والأفراد المعنيين في مشاورات فعلية؛</w:t>
      </w:r>
      <w:r w:rsidRPr="002C5709">
        <w:rPr>
          <w:rFonts w:eastAsiaTheme="minorEastAsia"/>
          <w:bCs/>
          <w:rtl/>
        </w:rPr>
        <w:t xml:space="preserve"> </w:t>
      </w:r>
    </w:p>
    <w:p w14:paraId="332BF2CB" w14:textId="5EDDF7D3" w:rsidR="00E86B08" w:rsidRPr="002C5709" w:rsidRDefault="00E86B08" w:rsidP="00E86B08">
      <w:pPr>
        <w:pStyle w:val="SingleTxtGA"/>
        <w:rPr>
          <w:rFonts w:eastAsiaTheme="minorEastAsia"/>
          <w:b/>
          <w:bCs/>
          <w:lang w:val="ar-SA" w:eastAsia="zh-TW" w:bidi="en-GB"/>
        </w:rPr>
      </w:pPr>
      <w:r w:rsidRPr="002C5709">
        <w:rPr>
          <w:rFonts w:eastAsiaTheme="minorEastAsia"/>
          <w:b/>
          <w:rtl/>
        </w:rPr>
        <w:tab/>
        <w:t>(ب)</w:t>
      </w:r>
      <w:r w:rsidRPr="002C5709">
        <w:rPr>
          <w:rFonts w:eastAsiaTheme="minorEastAsia"/>
          <w:bCs/>
          <w:rtl/>
        </w:rPr>
        <w:tab/>
      </w:r>
      <w:r w:rsidRPr="002C5709">
        <w:rPr>
          <w:rFonts w:eastAsiaTheme="minorEastAsia"/>
          <w:b/>
          <w:bCs/>
          <w:rtl/>
        </w:rPr>
        <w:t xml:space="preserve">اعتماد تدابير هادفة ترمي إلى القضاء على الفصل في السكن الذي يتعرض له الروما، بما يشمل مساءلة السلطات المحلية التي تشجع أو تعتمد سياسات الفصل، وتعزيز التدابير الرامية إلى منع المعاملة التمييزية </w:t>
      </w:r>
      <w:proofErr w:type="spellStart"/>
      <w:r w:rsidRPr="002C5709">
        <w:rPr>
          <w:rFonts w:eastAsiaTheme="minorEastAsia"/>
          <w:b/>
          <w:bCs/>
          <w:rtl/>
        </w:rPr>
        <w:t>للروما</w:t>
      </w:r>
      <w:proofErr w:type="spellEnd"/>
      <w:r w:rsidRPr="002C5709">
        <w:rPr>
          <w:rFonts w:eastAsiaTheme="minorEastAsia"/>
          <w:b/>
          <w:bCs/>
          <w:rtl/>
        </w:rPr>
        <w:t xml:space="preserve"> في سوق الإسكان؛</w:t>
      </w:r>
      <w:r w:rsidRPr="002C5709">
        <w:rPr>
          <w:rFonts w:eastAsiaTheme="minorEastAsia"/>
          <w:bCs/>
          <w:rtl/>
        </w:rPr>
        <w:t xml:space="preserve"> </w:t>
      </w:r>
    </w:p>
    <w:p w14:paraId="380E2565" w14:textId="1646B41E" w:rsidR="00E86B08" w:rsidRPr="002C5709" w:rsidRDefault="00E86B08" w:rsidP="00E86B08">
      <w:pPr>
        <w:pStyle w:val="SingleTxtGA"/>
        <w:rPr>
          <w:rFonts w:eastAsiaTheme="minorEastAsia"/>
          <w:b/>
          <w:bCs/>
          <w:lang w:val="ar-SA" w:eastAsia="zh-TW" w:bidi="en-GB"/>
        </w:rPr>
      </w:pPr>
      <w:r w:rsidRPr="002C5709">
        <w:rPr>
          <w:rFonts w:eastAsiaTheme="minorEastAsia"/>
          <w:b/>
          <w:rtl/>
        </w:rPr>
        <w:tab/>
        <w:t>(ج)</w:t>
      </w:r>
      <w:r w:rsidRPr="002C5709">
        <w:rPr>
          <w:rFonts w:eastAsiaTheme="minorEastAsia"/>
          <w:bCs/>
          <w:rtl/>
        </w:rPr>
        <w:tab/>
      </w:r>
      <w:r w:rsidRPr="002C5709">
        <w:rPr>
          <w:rFonts w:eastAsiaTheme="minorEastAsia"/>
          <w:b/>
          <w:bCs/>
          <w:rtl/>
        </w:rPr>
        <w:t>تكثيف جهودها لتمكين جماعات الروما من ضمان الحيازة، بما في ذلك تقنين المستوطنات غير الرسمية من أجل منع عمليات الإخلاء القسري، وضمان تزويد الأسر والأفراد المتضررين بسكن لائق بديل وتعويض عندما لا يجدوا بدّا من الإخلاء.</w:t>
      </w:r>
      <w:r w:rsidRPr="002C5709">
        <w:rPr>
          <w:rFonts w:eastAsiaTheme="minorEastAsia"/>
          <w:bCs/>
          <w:rtl/>
        </w:rPr>
        <w:t xml:space="preserve"> </w:t>
      </w:r>
    </w:p>
    <w:p w14:paraId="11BD70C1" w14:textId="77777777" w:rsidR="00E86B08" w:rsidRPr="002C5709" w:rsidRDefault="00E86B08" w:rsidP="00E86B08">
      <w:pPr>
        <w:pStyle w:val="H23GA"/>
        <w:rPr>
          <w:lang w:val="ar-SA" w:eastAsia="zh-TW" w:bidi="en-GB"/>
        </w:rPr>
      </w:pPr>
      <w:r w:rsidRPr="002C5709">
        <w:rPr>
          <w:rtl/>
        </w:rPr>
        <w:tab/>
      </w:r>
      <w:r w:rsidRPr="002C5709">
        <w:rPr>
          <w:rtl/>
        </w:rPr>
        <w:tab/>
        <w:t>الحق في الصحة</w:t>
      </w:r>
    </w:p>
    <w:p w14:paraId="5AC30364" w14:textId="38CCA0BB" w:rsidR="00182C77" w:rsidRPr="00182C77" w:rsidRDefault="00E86B08" w:rsidP="00E86B08">
      <w:pPr>
        <w:pStyle w:val="SingleTxtGA"/>
        <w:rPr>
          <w:rFonts w:eastAsiaTheme="minorEastAsia"/>
          <w:lang w:val="ar-SA" w:eastAsia="zh-TW" w:bidi="en-GB"/>
        </w:rPr>
      </w:pPr>
      <w:r w:rsidRPr="002C5709">
        <w:rPr>
          <w:rFonts w:eastAsiaTheme="minorEastAsia"/>
          <w:rtl/>
        </w:rPr>
        <w:t>28</w:t>
      </w:r>
      <w:r w:rsidRPr="00E86B08">
        <w:rPr>
          <w:rFonts w:eastAsiaTheme="minorEastAsia"/>
          <w:rtl/>
        </w:rPr>
        <w:t>-</w:t>
      </w:r>
      <w:r w:rsidRPr="00E86B08">
        <w:rPr>
          <w:rFonts w:eastAsiaTheme="minorEastAsia"/>
          <w:rtl/>
        </w:rPr>
        <w:tab/>
        <w:t>يساور اللجنة القلق إزاء تلقيح عدد منخفض وغير متناسب من الروما ضد مرض فيروس كورونا (كوفيد-</w:t>
      </w:r>
      <w:r w:rsidRPr="002C5709">
        <w:rPr>
          <w:rFonts w:eastAsiaTheme="minorEastAsia"/>
          <w:rtl/>
        </w:rPr>
        <w:t>1</w:t>
      </w:r>
      <w:r w:rsidR="00182C77" w:rsidRPr="002C5709">
        <w:rPr>
          <w:rFonts w:eastAsiaTheme="minorEastAsia"/>
          <w:rtl/>
        </w:rPr>
        <w:t>9</w:t>
      </w:r>
      <w:r w:rsidR="00182C77" w:rsidRPr="00182C77">
        <w:rPr>
          <w:rFonts w:eastAsiaTheme="minorEastAsia"/>
          <w:rtl/>
        </w:rPr>
        <w:t xml:space="preserve">). </w:t>
      </w:r>
      <w:r w:rsidRPr="00E86B08">
        <w:rPr>
          <w:rFonts w:eastAsiaTheme="minorEastAsia"/>
          <w:rtl/>
        </w:rPr>
        <w:t>ويساور اللجنة القلق أيض</w:t>
      </w:r>
      <w:r w:rsidR="00324028">
        <w:rPr>
          <w:rFonts w:eastAsiaTheme="minorEastAsia"/>
          <w:rtl/>
        </w:rPr>
        <w:t xml:space="preserve">اً </w:t>
      </w:r>
      <w:r w:rsidRPr="00E86B08">
        <w:rPr>
          <w:rFonts w:eastAsiaTheme="minorEastAsia"/>
          <w:rtl/>
        </w:rPr>
        <w:t>إزاء التقارير الواردة بشأن فرض حجر صحي كامل على المنطقة بسبب ظهور حالات الإصابة بكوفيد-</w:t>
      </w:r>
      <w:r w:rsidRPr="002C5709">
        <w:rPr>
          <w:rFonts w:eastAsiaTheme="minorEastAsia"/>
          <w:rtl/>
        </w:rPr>
        <w:t>19</w:t>
      </w:r>
      <w:r w:rsidRPr="00E86B08">
        <w:rPr>
          <w:rFonts w:eastAsiaTheme="minorEastAsia"/>
          <w:rtl/>
        </w:rPr>
        <w:t xml:space="preserve"> في مستوطنات الروما، وهو ما يتناقض مع النهج العام </w:t>
      </w:r>
      <w:r w:rsidRPr="0061085A">
        <w:rPr>
          <w:rFonts w:eastAsiaTheme="minorEastAsia"/>
          <w:spacing w:val="-2"/>
          <w:rtl/>
        </w:rPr>
        <w:t>الداعي إلى عزل الحالات الإيجابية، أضف إلى ذلك أن الحجر الصحي فُرض دون ضمان مدّ المستوطنات</w:t>
      </w:r>
      <w:r w:rsidRPr="00E86B08">
        <w:rPr>
          <w:rFonts w:eastAsiaTheme="minorEastAsia"/>
          <w:rtl/>
        </w:rPr>
        <w:t xml:space="preserve"> بما يكفي من الأغذية والأدوية. ويساور اللجنة القلق أيض</w:t>
      </w:r>
      <w:r w:rsidR="00324028">
        <w:rPr>
          <w:rFonts w:eastAsiaTheme="minorEastAsia"/>
          <w:rtl/>
        </w:rPr>
        <w:t xml:space="preserve">اً </w:t>
      </w:r>
      <w:r w:rsidRPr="00E86B08">
        <w:rPr>
          <w:rFonts w:eastAsiaTheme="minorEastAsia"/>
          <w:rtl/>
        </w:rPr>
        <w:t>إزاء استمرار التمييز ضد نساء الروما في نظام الرعاية الصحية،</w:t>
      </w:r>
      <w:r>
        <w:rPr>
          <w:rFonts w:eastAsiaTheme="minorEastAsia"/>
          <w:rtl/>
        </w:rPr>
        <w:t xml:space="preserve"> </w:t>
      </w:r>
      <w:r w:rsidRPr="00E86B08">
        <w:rPr>
          <w:rFonts w:eastAsiaTheme="minorEastAsia"/>
          <w:rtl/>
        </w:rPr>
        <w:t>بما يشمل</w:t>
      </w:r>
      <w:r>
        <w:rPr>
          <w:rFonts w:eastAsiaTheme="minorEastAsia"/>
          <w:rtl/>
        </w:rPr>
        <w:t xml:space="preserve"> </w:t>
      </w:r>
      <w:r w:rsidRPr="00E86B08">
        <w:rPr>
          <w:rFonts w:eastAsiaTheme="minorEastAsia"/>
          <w:rtl/>
        </w:rPr>
        <w:t xml:space="preserve">تعرضهن للفصل، ولا سيما في أجنحة الولادة (المادة </w:t>
      </w:r>
      <w:r w:rsidR="00182C77" w:rsidRPr="002C5709">
        <w:rPr>
          <w:rFonts w:eastAsiaTheme="minorEastAsia"/>
          <w:rtl/>
        </w:rPr>
        <w:t>5</w:t>
      </w:r>
      <w:r w:rsidR="00182C77" w:rsidRPr="00182C77">
        <w:rPr>
          <w:rFonts w:eastAsiaTheme="minorEastAsia"/>
          <w:rtl/>
        </w:rPr>
        <w:t>).</w:t>
      </w:r>
    </w:p>
    <w:p w14:paraId="03B8BDF5" w14:textId="5C29003C" w:rsidR="00E86B08" w:rsidRPr="002C5709" w:rsidRDefault="00E86B08" w:rsidP="00E86B08">
      <w:pPr>
        <w:pStyle w:val="SingleTxtGA"/>
        <w:rPr>
          <w:rFonts w:eastAsiaTheme="minorEastAsia"/>
          <w:b/>
          <w:bCs/>
          <w:lang w:val="ar-SA" w:eastAsia="zh-TW" w:bidi="en-GB"/>
        </w:rPr>
      </w:pPr>
      <w:r w:rsidRPr="002C5709">
        <w:rPr>
          <w:rFonts w:eastAsiaTheme="minorEastAsia"/>
          <w:b/>
          <w:rtl/>
        </w:rPr>
        <w:t>29-</w:t>
      </w:r>
      <w:r w:rsidRPr="002C5709">
        <w:rPr>
          <w:rFonts w:eastAsiaTheme="minorEastAsia"/>
          <w:bCs/>
          <w:rtl/>
        </w:rPr>
        <w:tab/>
        <w:t xml:space="preserve">تكرر اللجنة تأكيد </w:t>
      </w:r>
      <w:proofErr w:type="gramStart"/>
      <w:r w:rsidRPr="002C5709">
        <w:rPr>
          <w:rFonts w:eastAsiaTheme="minorEastAsia"/>
          <w:bCs/>
          <w:rtl/>
        </w:rPr>
        <w:t>توصيتها</w:t>
      </w:r>
      <w:r w:rsidR="00182C77" w:rsidRPr="002C5709">
        <w:rPr>
          <w:rFonts w:eastAsiaTheme="minorEastAsia"/>
          <w:b/>
          <w:vertAlign w:val="superscript"/>
          <w:rtl/>
        </w:rPr>
        <w:t>(</w:t>
      </w:r>
      <w:proofErr w:type="gramEnd"/>
      <w:r w:rsidR="00182C77" w:rsidRPr="002C5709">
        <w:rPr>
          <w:rFonts w:eastAsiaTheme="minorEastAsia"/>
          <w:b/>
          <w:vertAlign w:val="superscript"/>
          <w:lang w:val="en-US"/>
        </w:rPr>
        <w:footnoteReference w:id="11"/>
      </w:r>
      <w:r w:rsidRPr="002C5709">
        <w:rPr>
          <w:rFonts w:eastAsiaTheme="minorEastAsia"/>
          <w:b/>
          <w:vertAlign w:val="superscript"/>
          <w:rtl/>
        </w:rPr>
        <w:t>)</w:t>
      </w:r>
      <w:r w:rsidRPr="002C5709">
        <w:rPr>
          <w:rFonts w:eastAsiaTheme="minorEastAsia"/>
          <w:bCs/>
          <w:rtl/>
        </w:rPr>
        <w:t xml:space="preserve"> بأن تعتمد الدولة الطرف جميع التدابير اللازمة لمنع ومناهضة جميع أشكال التمييز والفصل ضد الروما في نظام الرعاية الصحية، بما في ذلك إجراء تحقيق فعال في جميع أعمال المعاملة التمييزية ضد الروما، ولا سيما ضد النساء والفتيات، في نظام الرعاية الصحية ومقاضاة المسؤولين عنها ومعاقبتهم. </w:t>
      </w:r>
      <w:r w:rsidRPr="002C5709">
        <w:rPr>
          <w:rFonts w:eastAsiaTheme="minorEastAsia"/>
          <w:b/>
          <w:bCs/>
          <w:rtl/>
        </w:rPr>
        <w:t>وفي هذا الصدد، توصي اللجنة الدولة الطرف بضرورة توسيع نطاق تدابيرها للتخفيف من الآثار الصحية لكوفيد-19 على طائفة الروما.</w:t>
      </w:r>
      <w:r w:rsidRPr="002C5709">
        <w:rPr>
          <w:rFonts w:eastAsiaTheme="minorEastAsia"/>
          <w:bCs/>
          <w:rtl/>
        </w:rPr>
        <w:t xml:space="preserve"> </w:t>
      </w:r>
    </w:p>
    <w:p w14:paraId="615C17F9" w14:textId="77777777" w:rsidR="00E86B08" w:rsidRPr="002C5709" w:rsidRDefault="00E86B08" w:rsidP="00E86B08">
      <w:pPr>
        <w:pStyle w:val="H23GA"/>
        <w:rPr>
          <w:lang w:val="ar-SA" w:eastAsia="zh-TW" w:bidi="en-GB"/>
        </w:rPr>
      </w:pPr>
      <w:r w:rsidRPr="002C5709">
        <w:rPr>
          <w:rtl/>
        </w:rPr>
        <w:tab/>
      </w:r>
      <w:r w:rsidRPr="002C5709">
        <w:rPr>
          <w:rtl/>
        </w:rPr>
        <w:tab/>
        <w:t>التعقيم القسري</w:t>
      </w:r>
    </w:p>
    <w:p w14:paraId="18C8C597" w14:textId="4B68A3B2" w:rsidR="00182C77" w:rsidRPr="00182C77" w:rsidRDefault="00E86B08" w:rsidP="004B65E7">
      <w:pPr>
        <w:pStyle w:val="SingleTxtGA"/>
        <w:spacing w:line="350" w:lineRule="exact"/>
        <w:rPr>
          <w:rFonts w:eastAsiaTheme="minorEastAsia"/>
          <w:lang w:val="ar-SA" w:eastAsia="zh-TW" w:bidi="en-GB"/>
        </w:rPr>
      </w:pPr>
      <w:r w:rsidRPr="002C5709">
        <w:rPr>
          <w:rFonts w:eastAsiaTheme="minorEastAsia"/>
          <w:rtl/>
        </w:rPr>
        <w:t>30</w:t>
      </w:r>
      <w:r w:rsidRPr="00E86B08">
        <w:rPr>
          <w:rFonts w:eastAsiaTheme="minorEastAsia"/>
          <w:rtl/>
        </w:rPr>
        <w:t>-</w:t>
      </w:r>
      <w:r w:rsidRPr="00E86B08">
        <w:rPr>
          <w:rFonts w:eastAsiaTheme="minorEastAsia"/>
          <w:rtl/>
        </w:rPr>
        <w:tab/>
        <w:t>رغم المعلومات التي قدّمتها الدولة الطرف بشأن التدابير المعتمدة لتقديم تعويضات لضحايا التعقيم القسري، يساور اللجنة القلق إزاء</w:t>
      </w:r>
      <w:r>
        <w:rPr>
          <w:rFonts w:eastAsiaTheme="minorEastAsia"/>
          <w:rtl/>
        </w:rPr>
        <w:t xml:space="preserve"> </w:t>
      </w:r>
      <w:r w:rsidRPr="00E86B08">
        <w:rPr>
          <w:rFonts w:eastAsiaTheme="minorEastAsia"/>
          <w:rtl/>
        </w:rPr>
        <w:t>صعوبة وصول نساء الروما إلى العدالة</w:t>
      </w:r>
      <w:r>
        <w:rPr>
          <w:rFonts w:eastAsiaTheme="minorEastAsia"/>
          <w:rtl/>
        </w:rPr>
        <w:t xml:space="preserve"> </w:t>
      </w:r>
      <w:r w:rsidRPr="00E86B08">
        <w:rPr>
          <w:rFonts w:eastAsiaTheme="minorEastAsia"/>
          <w:rtl/>
        </w:rPr>
        <w:t xml:space="preserve">والتعويض وجبر الضرر (المادتان </w:t>
      </w:r>
      <w:r w:rsidRPr="002C5709">
        <w:rPr>
          <w:rFonts w:eastAsiaTheme="minorEastAsia"/>
          <w:rtl/>
        </w:rPr>
        <w:t>5</w:t>
      </w:r>
      <w:r w:rsidRPr="00E86B08">
        <w:rPr>
          <w:rFonts w:eastAsiaTheme="minorEastAsia"/>
          <w:rtl/>
        </w:rPr>
        <w:t xml:space="preserve"> و</w:t>
      </w:r>
      <w:r w:rsidR="00182C77" w:rsidRPr="002C5709">
        <w:rPr>
          <w:rFonts w:eastAsiaTheme="minorEastAsia"/>
          <w:rtl/>
        </w:rPr>
        <w:t>6</w:t>
      </w:r>
      <w:r w:rsidR="00182C77" w:rsidRPr="00182C77">
        <w:rPr>
          <w:rFonts w:eastAsiaTheme="minorEastAsia"/>
          <w:rtl/>
        </w:rPr>
        <w:t>).</w:t>
      </w:r>
    </w:p>
    <w:p w14:paraId="09C778E4" w14:textId="1609738B" w:rsidR="00E86B08" w:rsidRPr="00E86B08" w:rsidRDefault="00E86B08" w:rsidP="004B65E7">
      <w:pPr>
        <w:pStyle w:val="SingleTxtGA"/>
        <w:spacing w:line="350" w:lineRule="exact"/>
        <w:rPr>
          <w:rFonts w:eastAsiaTheme="minorEastAsia"/>
          <w:lang w:val="ar-SA" w:eastAsia="zh-TW" w:bidi="en-GB"/>
        </w:rPr>
      </w:pPr>
      <w:r w:rsidRPr="002C5709">
        <w:rPr>
          <w:rFonts w:eastAsiaTheme="minorEastAsia"/>
          <w:rtl/>
        </w:rPr>
        <w:t>31</w:t>
      </w:r>
      <w:r w:rsidRPr="00E86B08">
        <w:rPr>
          <w:rFonts w:eastAsiaTheme="minorEastAsia"/>
          <w:rtl/>
        </w:rPr>
        <w:t>-</w:t>
      </w:r>
      <w:r w:rsidRPr="00E86B08">
        <w:rPr>
          <w:rFonts w:eastAsiaTheme="minorEastAsia"/>
          <w:rtl/>
        </w:rPr>
        <w:tab/>
      </w:r>
      <w:r w:rsidRPr="002C5709">
        <w:rPr>
          <w:rFonts w:eastAsiaTheme="minorEastAsia"/>
          <w:b/>
          <w:bCs/>
          <w:rtl/>
        </w:rPr>
        <w:t xml:space="preserve">تكرر اللجنة تأكيد </w:t>
      </w:r>
      <w:proofErr w:type="gramStart"/>
      <w:r w:rsidRPr="002C5709">
        <w:rPr>
          <w:rFonts w:eastAsiaTheme="minorEastAsia"/>
          <w:b/>
          <w:bCs/>
          <w:rtl/>
        </w:rPr>
        <w:t>توصيتها</w:t>
      </w:r>
      <w:r w:rsidR="00182C77" w:rsidRPr="00F07329">
        <w:rPr>
          <w:rFonts w:eastAsiaTheme="minorEastAsia"/>
          <w:vertAlign w:val="superscript"/>
          <w:rtl/>
        </w:rPr>
        <w:t>(</w:t>
      </w:r>
      <w:proofErr w:type="gramEnd"/>
      <w:r w:rsidR="00182C77" w:rsidRPr="002C5709">
        <w:rPr>
          <w:rFonts w:eastAsiaTheme="minorEastAsia"/>
          <w:vertAlign w:val="superscript"/>
          <w:lang w:val="en-US"/>
        </w:rPr>
        <w:footnoteReference w:id="12"/>
      </w:r>
      <w:r w:rsidRPr="00F07329">
        <w:rPr>
          <w:rFonts w:eastAsiaTheme="minorEastAsia"/>
          <w:vertAlign w:val="superscript"/>
          <w:rtl/>
        </w:rPr>
        <w:t>)</w:t>
      </w:r>
      <w:r w:rsidRPr="002C5709">
        <w:rPr>
          <w:rFonts w:eastAsiaTheme="minorEastAsia"/>
          <w:b/>
          <w:bCs/>
          <w:rtl/>
        </w:rPr>
        <w:t> بأن تكفل الدولة الطرف حصول نساء الروما اللاتي وقعن ضحايا التعقيم دون موافقتهن المستنيرة على سبل انتصاف فعالة وتعويض كاف، وتقديم الجناة إلى العدالة.</w:t>
      </w:r>
      <w:r w:rsidRPr="00E86B08">
        <w:rPr>
          <w:rFonts w:eastAsiaTheme="minorEastAsia"/>
          <w:rtl/>
        </w:rPr>
        <w:t xml:space="preserve"> </w:t>
      </w:r>
      <w:r w:rsidRPr="002C5709">
        <w:rPr>
          <w:rFonts w:eastAsiaTheme="minorEastAsia"/>
          <w:b/>
          <w:bCs/>
          <w:rtl/>
        </w:rPr>
        <w:t>وفي هذا الصدد، توصي اللجنة بوضع التدابير المتخذة لمعالجة مسألة التعقيم القسري بالتشاور مع أفراد جماعة الروما وبمشاركتهم.</w:t>
      </w:r>
      <w:r w:rsidRPr="00E86B08">
        <w:rPr>
          <w:rFonts w:eastAsiaTheme="minorEastAsia"/>
          <w:rtl/>
        </w:rPr>
        <w:t xml:space="preserve"> </w:t>
      </w:r>
      <w:r w:rsidRPr="002C5709">
        <w:rPr>
          <w:rFonts w:eastAsiaTheme="minorEastAsia"/>
          <w:b/>
          <w:bCs/>
          <w:rtl/>
        </w:rPr>
        <w:t>وتوصي اللجنة أيض</w:t>
      </w:r>
      <w:r w:rsidR="00324028" w:rsidRPr="002C5709">
        <w:rPr>
          <w:rFonts w:eastAsiaTheme="minorEastAsia"/>
          <w:b/>
          <w:bCs/>
          <w:rtl/>
        </w:rPr>
        <w:t xml:space="preserve">اً </w:t>
      </w:r>
      <w:r w:rsidRPr="002C5709">
        <w:rPr>
          <w:rFonts w:eastAsiaTheme="minorEastAsia"/>
          <w:b/>
          <w:bCs/>
          <w:rtl/>
        </w:rPr>
        <w:t>بأن تكفل الدولة الطرف إنفاذ</w:t>
      </w:r>
      <w:r w:rsidR="00507D23" w:rsidRPr="002C5709">
        <w:rPr>
          <w:rFonts w:eastAsiaTheme="minorEastAsia" w:hint="cs"/>
          <w:b/>
          <w:bCs/>
          <w:rtl/>
        </w:rPr>
        <w:t> </w:t>
      </w:r>
      <w:r w:rsidRPr="002C5709">
        <w:rPr>
          <w:rFonts w:eastAsiaTheme="minorEastAsia"/>
          <w:b/>
          <w:bCs/>
          <w:rtl/>
        </w:rPr>
        <w:t>التشريعات واللوائح المتعلقة بالموافقة المستنيرة في حالات التعقيم على نحو فعال، مع توفير ضمانات كافية.</w:t>
      </w:r>
    </w:p>
    <w:p w14:paraId="4475812B" w14:textId="77777777" w:rsidR="00E86B08" w:rsidRPr="002C5709" w:rsidRDefault="00E86B08" w:rsidP="00E86B08">
      <w:pPr>
        <w:pStyle w:val="H23GA"/>
        <w:rPr>
          <w:lang w:val="en-US" w:eastAsia="zh-TW" w:bidi="en-GB"/>
        </w:rPr>
      </w:pPr>
      <w:r w:rsidRPr="002C5709">
        <w:rPr>
          <w:rtl/>
        </w:rPr>
        <w:lastRenderedPageBreak/>
        <w:tab/>
      </w:r>
      <w:r w:rsidRPr="002C5709">
        <w:rPr>
          <w:rtl/>
        </w:rPr>
        <w:tab/>
        <w:t>الحق في التعليم</w:t>
      </w:r>
    </w:p>
    <w:p w14:paraId="0758A201" w14:textId="042849C1" w:rsidR="00182C77" w:rsidRPr="00E82400" w:rsidRDefault="00E86B08" w:rsidP="00E86B08">
      <w:pPr>
        <w:pStyle w:val="SingleTxtGA"/>
        <w:rPr>
          <w:rFonts w:eastAsiaTheme="minorEastAsia"/>
          <w:spacing w:val="-4"/>
          <w:lang w:val="ar-SA" w:eastAsia="zh-TW" w:bidi="en-GB"/>
        </w:rPr>
      </w:pPr>
      <w:r w:rsidRPr="002C5709">
        <w:rPr>
          <w:rFonts w:eastAsiaTheme="minorEastAsia"/>
          <w:rtl/>
        </w:rPr>
        <w:t>32</w:t>
      </w:r>
      <w:r w:rsidRPr="00E86B08">
        <w:rPr>
          <w:rFonts w:eastAsiaTheme="minorEastAsia"/>
          <w:rtl/>
        </w:rPr>
        <w:t>-</w:t>
      </w:r>
      <w:r w:rsidRPr="00E86B08">
        <w:rPr>
          <w:rFonts w:eastAsiaTheme="minorEastAsia"/>
          <w:rtl/>
        </w:rPr>
        <w:tab/>
        <w:t xml:space="preserve">رغم اتخاذ الدولة الطرف تدابير لتحسين الإدماج في النظام التعليمي، إلا أن اللجنة لا تزال تشعر بالقلق إزاء استمرار التمييز والفصل على نطاق واسع ومنهجي مما يؤثر على أطفال الروما في النظام التعليمي. ويساور اللجنة القلق إزاء الأثر السلبي غير المتناسب الذي مسّ تعليم أطفال الروما </w:t>
      </w:r>
      <w:r w:rsidRPr="00E82400">
        <w:rPr>
          <w:rFonts w:eastAsiaTheme="minorEastAsia"/>
          <w:spacing w:val="-4"/>
          <w:rtl/>
        </w:rPr>
        <w:t>خلال جائحة كوفيد-</w:t>
      </w:r>
      <w:r w:rsidRPr="002C5709">
        <w:rPr>
          <w:rFonts w:eastAsiaTheme="minorEastAsia"/>
          <w:spacing w:val="-4"/>
          <w:rtl/>
        </w:rPr>
        <w:t>19</w:t>
      </w:r>
      <w:r w:rsidRPr="00E82400">
        <w:rPr>
          <w:rFonts w:eastAsiaTheme="minorEastAsia"/>
          <w:spacing w:val="-4"/>
          <w:rtl/>
        </w:rPr>
        <w:t xml:space="preserve"> نتيجة إغلاق المدارس وتنفيذ خطط التعلم عن بعد، وهو ما حرم عدد</w:t>
      </w:r>
      <w:r w:rsidR="00324028" w:rsidRPr="00E82400">
        <w:rPr>
          <w:rFonts w:eastAsiaTheme="minorEastAsia"/>
          <w:spacing w:val="-4"/>
          <w:rtl/>
        </w:rPr>
        <w:t xml:space="preserve">اً </w:t>
      </w:r>
      <w:r w:rsidRPr="00E82400">
        <w:rPr>
          <w:rFonts w:eastAsiaTheme="minorEastAsia"/>
          <w:spacing w:val="-4"/>
          <w:rtl/>
        </w:rPr>
        <w:t>كبير</w:t>
      </w:r>
      <w:r w:rsidR="00324028" w:rsidRPr="00E82400">
        <w:rPr>
          <w:rFonts w:eastAsiaTheme="minorEastAsia"/>
          <w:spacing w:val="-4"/>
          <w:rtl/>
        </w:rPr>
        <w:t xml:space="preserve">اً </w:t>
      </w:r>
      <w:r w:rsidRPr="00E82400">
        <w:rPr>
          <w:rFonts w:eastAsiaTheme="minorEastAsia"/>
          <w:spacing w:val="-4"/>
          <w:rtl/>
        </w:rPr>
        <w:t>من أطفال الروما من حضور الدروس بسبب الافتقار إلى الربط بشبكة الإنترنت في جماعاتهم المحلية (المواد</w:t>
      </w:r>
      <w:r w:rsidR="00E82400" w:rsidRPr="00F07329">
        <w:rPr>
          <w:rFonts w:eastAsiaTheme="minorEastAsia" w:hint="cs"/>
          <w:spacing w:val="-4"/>
          <w:rtl/>
        </w:rPr>
        <w:t xml:space="preserve"> </w:t>
      </w:r>
      <w:r w:rsidRPr="002C5709">
        <w:rPr>
          <w:rFonts w:eastAsiaTheme="minorEastAsia"/>
          <w:spacing w:val="-4"/>
          <w:rtl/>
        </w:rPr>
        <w:t>2</w:t>
      </w:r>
      <w:r w:rsidRPr="00E82400">
        <w:rPr>
          <w:rFonts w:eastAsiaTheme="minorEastAsia"/>
          <w:spacing w:val="-4"/>
          <w:rtl/>
        </w:rPr>
        <w:t xml:space="preserve"> و</w:t>
      </w:r>
      <w:r w:rsidRPr="002C5709">
        <w:rPr>
          <w:rFonts w:eastAsiaTheme="minorEastAsia"/>
          <w:spacing w:val="-4"/>
          <w:rtl/>
        </w:rPr>
        <w:t>3</w:t>
      </w:r>
      <w:r w:rsidRPr="00E82400">
        <w:rPr>
          <w:rFonts w:eastAsiaTheme="minorEastAsia"/>
          <w:spacing w:val="-4"/>
          <w:rtl/>
        </w:rPr>
        <w:t xml:space="preserve"> و</w:t>
      </w:r>
      <w:r w:rsidR="00182C77" w:rsidRPr="002C5709">
        <w:rPr>
          <w:rFonts w:eastAsiaTheme="minorEastAsia"/>
          <w:spacing w:val="-4"/>
          <w:rtl/>
        </w:rPr>
        <w:t>5</w:t>
      </w:r>
      <w:r w:rsidR="00182C77" w:rsidRPr="00E82400">
        <w:rPr>
          <w:rFonts w:eastAsiaTheme="minorEastAsia"/>
          <w:spacing w:val="-4"/>
          <w:rtl/>
        </w:rPr>
        <w:t>).</w:t>
      </w:r>
    </w:p>
    <w:p w14:paraId="0E7A0044" w14:textId="75E89C49" w:rsidR="00E86B08" w:rsidRPr="002C5709" w:rsidRDefault="00E86B08" w:rsidP="00E86B08">
      <w:pPr>
        <w:pStyle w:val="SingleTxtGA"/>
        <w:rPr>
          <w:rFonts w:eastAsiaTheme="minorEastAsia"/>
          <w:b/>
          <w:lang w:val="ar-SA" w:eastAsia="zh-TW" w:bidi="en-GB"/>
        </w:rPr>
      </w:pPr>
      <w:r w:rsidRPr="002C5709">
        <w:rPr>
          <w:rFonts w:eastAsiaTheme="minorEastAsia"/>
          <w:b/>
          <w:rtl/>
        </w:rPr>
        <w:t>33-</w:t>
      </w:r>
      <w:r w:rsidRPr="002C5709">
        <w:rPr>
          <w:rFonts w:eastAsiaTheme="minorEastAsia"/>
          <w:bCs/>
          <w:rtl/>
        </w:rPr>
        <w:tab/>
      </w:r>
      <w:r w:rsidRPr="002C5709">
        <w:rPr>
          <w:rFonts w:eastAsiaTheme="minorEastAsia"/>
          <w:b/>
          <w:bCs/>
          <w:rtl/>
        </w:rPr>
        <w:t xml:space="preserve">في هذا الصدد، تكرر اللجنة تأكيد </w:t>
      </w:r>
      <w:proofErr w:type="gramStart"/>
      <w:r w:rsidRPr="002C5709">
        <w:rPr>
          <w:rFonts w:eastAsiaTheme="minorEastAsia"/>
          <w:b/>
          <w:bCs/>
          <w:rtl/>
        </w:rPr>
        <w:t>توصياتها</w:t>
      </w:r>
      <w:r w:rsidR="001435D5" w:rsidRPr="002C5709">
        <w:rPr>
          <w:rFonts w:eastAsiaTheme="minorEastAsia"/>
          <w:b/>
          <w:vertAlign w:val="superscript"/>
          <w:rtl/>
        </w:rPr>
        <w:t>(</w:t>
      </w:r>
      <w:proofErr w:type="gramEnd"/>
      <w:r w:rsidR="001435D5" w:rsidRPr="002C5709">
        <w:rPr>
          <w:rFonts w:eastAsiaTheme="minorEastAsia"/>
          <w:bCs/>
          <w:vertAlign w:val="superscript"/>
          <w:lang w:val="en-US"/>
        </w:rPr>
        <w:footnoteReference w:id="13"/>
      </w:r>
      <w:r w:rsidR="001435D5" w:rsidRPr="002C5709">
        <w:rPr>
          <w:rFonts w:eastAsiaTheme="minorEastAsia"/>
          <w:b/>
          <w:vertAlign w:val="superscript"/>
          <w:rtl/>
        </w:rPr>
        <w:t>)</w:t>
      </w:r>
      <w:r w:rsidRPr="002C5709">
        <w:rPr>
          <w:rFonts w:eastAsiaTheme="minorEastAsia"/>
          <w:b/>
          <w:bCs/>
          <w:rtl/>
        </w:rPr>
        <w:t xml:space="preserve"> وتوصي الدولة الطرف بما يلي</w:t>
      </w:r>
      <w:r w:rsidR="00507D23" w:rsidRPr="002C5709">
        <w:rPr>
          <w:rFonts w:eastAsiaTheme="minorEastAsia" w:hint="cs"/>
          <w:b/>
          <w:rtl/>
        </w:rPr>
        <w:t>:</w:t>
      </w:r>
    </w:p>
    <w:p w14:paraId="7968E8AC" w14:textId="67387BE1" w:rsidR="00E86B08" w:rsidRPr="002C5709" w:rsidRDefault="00E86B08" w:rsidP="00E86B08">
      <w:pPr>
        <w:pStyle w:val="SingleTxtGA"/>
        <w:rPr>
          <w:rFonts w:eastAsiaTheme="minorEastAsia"/>
          <w:b/>
          <w:bCs/>
          <w:lang w:val="ar-SA" w:eastAsia="zh-TW" w:bidi="en-GB"/>
        </w:rPr>
      </w:pPr>
      <w:r w:rsidRPr="002C5709">
        <w:rPr>
          <w:rFonts w:eastAsiaTheme="minorEastAsia"/>
          <w:b/>
          <w:rtl/>
        </w:rPr>
        <w:tab/>
        <w:t>(أ)</w:t>
      </w:r>
      <w:r w:rsidRPr="002C5709">
        <w:rPr>
          <w:rFonts w:eastAsiaTheme="minorEastAsia"/>
          <w:b/>
          <w:rtl/>
        </w:rPr>
        <w:tab/>
      </w:r>
      <w:r w:rsidRPr="002C5709">
        <w:rPr>
          <w:rFonts w:eastAsiaTheme="minorEastAsia"/>
          <w:b/>
          <w:bCs/>
          <w:rtl/>
        </w:rPr>
        <w:t>اتخاذ جميع التدابير اللازمة لمعالجة الأسباب الجذرية للتمييز والفصل اللذين يتعرض لهما أطفال الروما في النظام التعليمي، واضعة في الحسبان أن ظروف الفصل العنصري لا</w:t>
      </w:r>
      <w:r w:rsidR="00324028" w:rsidRPr="002C5709">
        <w:rPr>
          <w:rFonts w:eastAsiaTheme="minorEastAsia" w:hint="cs"/>
          <w:b/>
          <w:bCs/>
          <w:rtl/>
        </w:rPr>
        <w:t> </w:t>
      </w:r>
      <w:r w:rsidRPr="002C5709">
        <w:rPr>
          <w:rFonts w:eastAsiaTheme="minorEastAsia"/>
          <w:b/>
          <w:bCs/>
          <w:rtl/>
        </w:rPr>
        <w:t>تؤسسها بالضرورة سياسات حكومية، بل قد تنشأ أيضاً عرضيّا دون قصد نتيجة تصرفات أشخاص عاديين تؤدي في نهاية المطاف إلى إقصاء اجتماعي؛</w:t>
      </w:r>
      <w:r w:rsidRPr="002C5709">
        <w:rPr>
          <w:rFonts w:eastAsiaTheme="minorEastAsia"/>
          <w:bCs/>
          <w:rtl/>
        </w:rPr>
        <w:t xml:space="preserve"> </w:t>
      </w:r>
    </w:p>
    <w:p w14:paraId="48B3029F" w14:textId="7B08B441" w:rsidR="00E86B08" w:rsidRPr="002C5709" w:rsidRDefault="00E86B08" w:rsidP="00E86B08">
      <w:pPr>
        <w:pStyle w:val="SingleTxtGA"/>
        <w:rPr>
          <w:rFonts w:eastAsiaTheme="minorEastAsia"/>
          <w:b/>
          <w:bCs/>
          <w:lang w:val="ar-SA" w:eastAsia="zh-TW" w:bidi="en-GB"/>
        </w:rPr>
      </w:pPr>
      <w:r w:rsidRPr="002C5709">
        <w:rPr>
          <w:rFonts w:eastAsiaTheme="minorEastAsia"/>
          <w:b/>
          <w:rtl/>
        </w:rPr>
        <w:tab/>
        <w:t>(ب)</w:t>
      </w:r>
      <w:r w:rsidRPr="002C5709">
        <w:rPr>
          <w:rFonts w:eastAsiaTheme="minorEastAsia"/>
          <w:b/>
          <w:rtl/>
        </w:rPr>
        <w:tab/>
      </w:r>
      <w:r w:rsidRPr="002C5709">
        <w:rPr>
          <w:rFonts w:eastAsiaTheme="minorEastAsia"/>
          <w:b/>
          <w:bCs/>
          <w:rtl/>
        </w:rPr>
        <w:t xml:space="preserve">الإنفاذ الفعال لقانون المدارس وقانون مناهضة التمييز من أجل الحد من النسبة </w:t>
      </w:r>
      <w:r w:rsidRPr="002C5709">
        <w:rPr>
          <w:rFonts w:ascii="Times New Roman Bold" w:eastAsiaTheme="minorEastAsia" w:hAnsi="Times New Roman Bold"/>
          <w:b/>
          <w:bCs/>
          <w:spacing w:val="-4"/>
          <w:rtl/>
        </w:rPr>
        <w:t>المفرطة لالتحاق أطفال الروما بالفصول المتخصصة ومدارس الأغراض الخاصة، واتخاذ الخطوات المناسبة</w:t>
      </w:r>
      <w:r w:rsidRPr="002C5709">
        <w:rPr>
          <w:rFonts w:eastAsiaTheme="minorEastAsia"/>
          <w:b/>
          <w:bCs/>
          <w:rtl/>
        </w:rPr>
        <w:t xml:space="preserve"> لإدماجهم في التعليم العام؛</w:t>
      </w:r>
      <w:r w:rsidRPr="002C5709">
        <w:rPr>
          <w:rFonts w:eastAsiaTheme="minorEastAsia"/>
          <w:bCs/>
          <w:rtl/>
        </w:rPr>
        <w:t xml:space="preserve"> </w:t>
      </w:r>
    </w:p>
    <w:p w14:paraId="16787C95" w14:textId="6B7B543E" w:rsidR="00E86B08" w:rsidRPr="002C5709" w:rsidRDefault="00E86B08" w:rsidP="00E86B08">
      <w:pPr>
        <w:pStyle w:val="SingleTxtGA"/>
        <w:rPr>
          <w:rFonts w:eastAsiaTheme="minorEastAsia"/>
          <w:b/>
          <w:bCs/>
          <w:lang w:val="ar-SA" w:eastAsia="zh-TW" w:bidi="en-GB"/>
        </w:rPr>
      </w:pPr>
      <w:r w:rsidRPr="002C5709">
        <w:rPr>
          <w:rFonts w:eastAsiaTheme="minorEastAsia"/>
          <w:b/>
          <w:rtl/>
        </w:rPr>
        <w:tab/>
        <w:t>(ج)</w:t>
      </w:r>
      <w:r w:rsidRPr="002C5709">
        <w:rPr>
          <w:rFonts w:eastAsiaTheme="minorEastAsia"/>
          <w:bCs/>
          <w:rtl/>
        </w:rPr>
        <w:tab/>
      </w:r>
      <w:r w:rsidRPr="002C5709">
        <w:rPr>
          <w:rFonts w:eastAsiaTheme="minorEastAsia"/>
          <w:b/>
          <w:bCs/>
          <w:rtl/>
        </w:rPr>
        <w:t>تكثيف جهودها لكفالة تمتع أطفال الروما بفرص متساوية في الحصول على تعليم جيد بهدف منع تعرضهم للفصل مستقبل</w:t>
      </w:r>
      <w:r w:rsidR="00324028" w:rsidRPr="002C5709">
        <w:rPr>
          <w:rFonts w:eastAsiaTheme="minorEastAsia"/>
          <w:b/>
          <w:bCs/>
          <w:rtl/>
        </w:rPr>
        <w:t xml:space="preserve">اً </w:t>
      </w:r>
      <w:r w:rsidRPr="002C5709">
        <w:rPr>
          <w:rFonts w:eastAsiaTheme="minorEastAsia"/>
          <w:b/>
          <w:bCs/>
          <w:rtl/>
        </w:rPr>
        <w:t>في النظام التعليمي.</w:t>
      </w:r>
    </w:p>
    <w:p w14:paraId="27502C68" w14:textId="77777777" w:rsidR="00E86B08" w:rsidRPr="002C5709" w:rsidRDefault="00E86B08" w:rsidP="00E86B08">
      <w:pPr>
        <w:pStyle w:val="H23GA"/>
        <w:rPr>
          <w:lang w:val="ar-SA" w:eastAsia="zh-TW" w:bidi="en-GB"/>
        </w:rPr>
      </w:pPr>
      <w:r w:rsidRPr="002C5709">
        <w:rPr>
          <w:rtl/>
        </w:rPr>
        <w:tab/>
      </w:r>
      <w:r w:rsidRPr="002C5709">
        <w:rPr>
          <w:rtl/>
        </w:rPr>
        <w:tab/>
        <w:t>مشاركة المجتمع المدني</w:t>
      </w:r>
    </w:p>
    <w:p w14:paraId="49C4682C" w14:textId="4B3C6DE9" w:rsidR="00E86B08" w:rsidRPr="002C5709" w:rsidRDefault="00E86B08" w:rsidP="00E86B08">
      <w:pPr>
        <w:pStyle w:val="SingleTxtGA"/>
        <w:rPr>
          <w:rFonts w:eastAsiaTheme="minorEastAsia"/>
          <w:b/>
          <w:bCs/>
          <w:lang w:val="en-US" w:eastAsia="zh-TW" w:bidi="en-GB"/>
        </w:rPr>
      </w:pPr>
      <w:r w:rsidRPr="002C5709">
        <w:rPr>
          <w:rFonts w:eastAsiaTheme="minorEastAsia"/>
          <w:b/>
          <w:rtl/>
        </w:rPr>
        <w:t>34-</w:t>
      </w:r>
      <w:r w:rsidRPr="002C5709">
        <w:rPr>
          <w:rFonts w:eastAsiaTheme="minorEastAsia"/>
          <w:bCs/>
          <w:rtl/>
        </w:rPr>
        <w:tab/>
      </w:r>
      <w:r w:rsidRPr="002C5709">
        <w:rPr>
          <w:rFonts w:eastAsiaTheme="minorEastAsia"/>
          <w:b/>
          <w:bCs/>
          <w:rtl/>
        </w:rPr>
        <w:t>تأسف اللجنة لضعف مشاركة منظمات غير حكومية في عملية إعداد تقرير الدولة الطرف</w:t>
      </w:r>
      <w:r w:rsidR="00324028" w:rsidRPr="002C5709">
        <w:rPr>
          <w:rFonts w:eastAsiaTheme="minorEastAsia" w:hint="eastAsia"/>
          <w:b/>
          <w:bCs/>
          <w:rtl/>
        </w:rPr>
        <w:t> </w:t>
      </w:r>
      <w:r w:rsidRPr="002C5709">
        <w:rPr>
          <w:rFonts w:eastAsiaTheme="minorEastAsia"/>
          <w:b/>
          <w:bCs/>
          <w:rtl/>
        </w:rPr>
        <w:t>واستعراضه.</w:t>
      </w:r>
    </w:p>
    <w:p w14:paraId="0EDD4A63" w14:textId="77777777" w:rsidR="00E86B08" w:rsidRPr="00E86B08" w:rsidRDefault="00E86B08" w:rsidP="00E86B08">
      <w:pPr>
        <w:pStyle w:val="SingleTxtGA"/>
        <w:rPr>
          <w:rFonts w:eastAsiaTheme="minorEastAsia"/>
          <w:lang w:val="ar-SA" w:eastAsia="zh-TW" w:bidi="en-GB"/>
        </w:rPr>
      </w:pPr>
      <w:r w:rsidRPr="002C5709">
        <w:rPr>
          <w:rFonts w:eastAsiaTheme="minorEastAsia"/>
          <w:rtl/>
        </w:rPr>
        <w:t>35</w:t>
      </w:r>
      <w:r w:rsidRPr="00E86B08">
        <w:rPr>
          <w:rFonts w:eastAsiaTheme="minorEastAsia"/>
          <w:rtl/>
        </w:rPr>
        <w:t>-</w:t>
      </w:r>
      <w:r w:rsidRPr="00E86B08">
        <w:rPr>
          <w:rFonts w:eastAsiaTheme="minorEastAsia"/>
          <w:rtl/>
        </w:rPr>
        <w:tab/>
      </w:r>
      <w:r w:rsidRPr="002C5709">
        <w:rPr>
          <w:rFonts w:eastAsiaTheme="minorEastAsia"/>
          <w:b/>
          <w:bCs/>
          <w:rtl/>
        </w:rPr>
        <w:t>وتوصي اللجنة بأن تكثف الدولة الطرف جهودها بهدف إشراك المنظمات غير الحكومية والمجتمع المدني في العمليات المتعلقة بصياغة تقريرها الدوري المقبل واستعراضه.</w:t>
      </w:r>
    </w:p>
    <w:p w14:paraId="5A7B68BE" w14:textId="2CD4B6E8" w:rsidR="00E86B08" w:rsidRPr="002C5709" w:rsidRDefault="00E86B08" w:rsidP="00E86B08">
      <w:pPr>
        <w:pStyle w:val="H1GA"/>
        <w:rPr>
          <w:lang w:val="ar-SA" w:eastAsia="zh-TW" w:bidi="en-GB"/>
        </w:rPr>
      </w:pPr>
      <w:r w:rsidRPr="002C5709">
        <w:rPr>
          <w:rtl/>
        </w:rPr>
        <w:tab/>
        <w:t>دال-</w:t>
      </w:r>
      <w:r w:rsidRPr="002C5709">
        <w:rPr>
          <w:rtl/>
        </w:rPr>
        <w:tab/>
        <w:t>توصيات أخرى</w:t>
      </w:r>
    </w:p>
    <w:p w14:paraId="4B6E2461" w14:textId="77777777" w:rsidR="00E86B08" w:rsidRPr="002C5709" w:rsidRDefault="00E86B08" w:rsidP="00E86B08">
      <w:pPr>
        <w:pStyle w:val="H23GA"/>
        <w:rPr>
          <w:lang w:val="ar-SA" w:eastAsia="zh-TW" w:bidi="en-GB"/>
        </w:rPr>
      </w:pPr>
      <w:r w:rsidRPr="002C5709">
        <w:rPr>
          <w:rtl/>
        </w:rPr>
        <w:tab/>
      </w:r>
      <w:r w:rsidRPr="002C5709">
        <w:rPr>
          <w:rtl/>
        </w:rPr>
        <w:tab/>
        <w:t xml:space="preserve">التصديق على المعاهدات الأخرى </w:t>
      </w:r>
    </w:p>
    <w:p w14:paraId="5B767188" w14:textId="6F0323D2" w:rsidR="00E86B08" w:rsidRPr="002C5709" w:rsidRDefault="00E86B08" w:rsidP="00E86B08">
      <w:pPr>
        <w:pStyle w:val="SingleTxtGA"/>
        <w:rPr>
          <w:rFonts w:eastAsiaTheme="minorEastAsia"/>
          <w:b/>
          <w:bCs/>
          <w:spacing w:val="4"/>
          <w:lang w:val="en-US" w:eastAsia="zh-TW" w:bidi="en-GB"/>
        </w:rPr>
      </w:pPr>
      <w:r w:rsidRPr="002C5709">
        <w:rPr>
          <w:rFonts w:eastAsiaTheme="minorEastAsia"/>
          <w:b/>
          <w:rtl/>
        </w:rPr>
        <w:t>36-</w:t>
      </w:r>
      <w:r w:rsidRPr="002C5709">
        <w:rPr>
          <w:rFonts w:eastAsiaTheme="minorEastAsia"/>
          <w:bCs/>
          <w:rtl/>
        </w:rPr>
        <w:tab/>
      </w:r>
      <w:r w:rsidRPr="002C5709">
        <w:rPr>
          <w:rFonts w:eastAsiaTheme="minorEastAsia"/>
          <w:b/>
          <w:bCs/>
          <w:spacing w:val="4"/>
          <w:rtl/>
        </w:rPr>
        <w:t>إن اللجنة إذ تضع في اعتبارها عدم قابلية جميع حقوق الإنسان للتجزئة، تشجع الدولةَ الطرف على النظر في التصديق على المعاهدات الدولية لحقوق الإنسان التي لم تصدق عليها بعد، ولا</w:t>
      </w:r>
      <w:r w:rsidR="00324028" w:rsidRPr="002C5709">
        <w:rPr>
          <w:rFonts w:eastAsiaTheme="minorEastAsia" w:hint="cs"/>
          <w:b/>
          <w:bCs/>
          <w:spacing w:val="4"/>
          <w:rtl/>
        </w:rPr>
        <w:t> </w:t>
      </w:r>
      <w:r w:rsidRPr="002C5709">
        <w:rPr>
          <w:rFonts w:eastAsiaTheme="minorEastAsia"/>
          <w:b/>
          <w:bCs/>
          <w:spacing w:val="4"/>
          <w:rtl/>
        </w:rPr>
        <w:t>سيما المعاهدات التي تتضمن أحكام</w:t>
      </w:r>
      <w:r w:rsidR="00324028" w:rsidRPr="002C5709">
        <w:rPr>
          <w:rFonts w:eastAsiaTheme="minorEastAsia"/>
          <w:b/>
          <w:bCs/>
          <w:spacing w:val="4"/>
          <w:rtl/>
        </w:rPr>
        <w:t xml:space="preserve">اً </w:t>
      </w:r>
      <w:r w:rsidRPr="002C5709">
        <w:rPr>
          <w:rFonts w:eastAsiaTheme="minorEastAsia"/>
          <w:b/>
          <w:bCs/>
          <w:spacing w:val="4"/>
          <w:rtl/>
        </w:rPr>
        <w:t xml:space="preserve">ذات صلة مباشرة بالجماعات التي قد تتعرض للتمييز العنصري، بما في ذلك الاتفاقية الدولية لحماية حقوق جميع العمال المهاجرين وأفراد أسرهم، واتفاقية </w:t>
      </w:r>
      <w:r w:rsidRPr="002C5709">
        <w:rPr>
          <w:rFonts w:ascii="Times New Roman Bold" w:eastAsiaTheme="minorEastAsia" w:hAnsi="Times New Roman Bold"/>
          <w:b/>
          <w:bCs/>
          <w:spacing w:val="4"/>
          <w:rtl/>
        </w:rPr>
        <w:t>العمال المهاجرين (المنقحة</w:t>
      </w:r>
      <w:r w:rsidR="00182C77" w:rsidRPr="002C5709">
        <w:rPr>
          <w:rFonts w:ascii="Times New Roman Bold" w:eastAsiaTheme="minorEastAsia" w:hAnsi="Times New Roman Bold"/>
          <w:b/>
          <w:bCs/>
          <w:spacing w:val="4"/>
          <w:rtl/>
        </w:rPr>
        <w:t xml:space="preserve">)، </w:t>
      </w:r>
      <w:r w:rsidRPr="002C5709">
        <w:rPr>
          <w:rFonts w:ascii="Times New Roman Bold" w:eastAsiaTheme="minorEastAsia" w:hAnsi="Times New Roman Bold"/>
          <w:b/>
          <w:bCs/>
          <w:spacing w:val="4"/>
          <w:rtl/>
        </w:rPr>
        <w:t>1949 (رقم 97</w:t>
      </w:r>
      <w:r w:rsidR="00182C77" w:rsidRPr="002C5709">
        <w:rPr>
          <w:rFonts w:ascii="Times New Roman Bold" w:eastAsiaTheme="minorEastAsia" w:hAnsi="Times New Roman Bold"/>
          <w:b/>
          <w:bCs/>
          <w:spacing w:val="4"/>
          <w:rtl/>
        </w:rPr>
        <w:t xml:space="preserve">)، </w:t>
      </w:r>
      <w:r w:rsidRPr="002C5709">
        <w:rPr>
          <w:rFonts w:ascii="Times New Roman Bold" w:eastAsiaTheme="minorEastAsia" w:hAnsi="Times New Roman Bold"/>
          <w:b/>
          <w:bCs/>
          <w:spacing w:val="4"/>
          <w:rtl/>
        </w:rPr>
        <w:t>واتفاقية العمل اللائق للعمال المنزليين، 2011 (رقم 189</w:t>
      </w:r>
      <w:r w:rsidR="00182C77" w:rsidRPr="002C5709">
        <w:rPr>
          <w:rFonts w:ascii="Times New Roman Bold" w:eastAsiaTheme="minorEastAsia" w:hAnsi="Times New Roman Bold"/>
          <w:b/>
          <w:bCs/>
          <w:spacing w:val="4"/>
          <w:rtl/>
        </w:rPr>
        <w:t xml:space="preserve">)، </w:t>
      </w:r>
      <w:r w:rsidRPr="002C5709">
        <w:rPr>
          <w:rFonts w:ascii="Times New Roman Bold" w:eastAsiaTheme="minorEastAsia" w:hAnsi="Times New Roman Bold"/>
          <w:b/>
          <w:bCs/>
          <w:spacing w:val="4"/>
          <w:rtl/>
        </w:rPr>
        <w:t>وكلاهما</w:t>
      </w:r>
      <w:r w:rsidRPr="002C5709">
        <w:rPr>
          <w:rFonts w:eastAsiaTheme="minorEastAsia"/>
          <w:b/>
          <w:bCs/>
          <w:spacing w:val="4"/>
          <w:rtl/>
        </w:rPr>
        <w:t xml:space="preserve"> لمنظمة العمل الدولية.</w:t>
      </w:r>
      <w:r w:rsidRPr="002C5709">
        <w:rPr>
          <w:rFonts w:eastAsiaTheme="minorEastAsia"/>
          <w:bCs/>
          <w:spacing w:val="4"/>
          <w:rtl/>
        </w:rPr>
        <w:t xml:space="preserve"> </w:t>
      </w:r>
      <w:r w:rsidRPr="002C5709">
        <w:rPr>
          <w:rFonts w:eastAsiaTheme="minorEastAsia"/>
          <w:b/>
          <w:bCs/>
          <w:spacing w:val="4"/>
          <w:rtl/>
        </w:rPr>
        <w:t xml:space="preserve">وتشجع اللجنة الدولة الطرف أيضاً على التصديق على اتفاقية مناهضة التعذيب وغيره من ضروب </w:t>
      </w:r>
      <w:proofErr w:type="gramStart"/>
      <w:r w:rsidRPr="002C5709">
        <w:rPr>
          <w:rFonts w:eastAsiaTheme="minorEastAsia"/>
          <w:b/>
          <w:bCs/>
          <w:spacing w:val="4"/>
          <w:rtl/>
        </w:rPr>
        <w:t>المعاملة</w:t>
      </w:r>
      <w:proofErr w:type="gramEnd"/>
      <w:r w:rsidRPr="002C5709">
        <w:rPr>
          <w:rFonts w:eastAsiaTheme="minorEastAsia"/>
          <w:b/>
          <w:bCs/>
          <w:spacing w:val="4"/>
          <w:rtl/>
        </w:rPr>
        <w:t xml:space="preserve"> أو العقوبة القاسية أو</w:t>
      </w:r>
      <w:r w:rsidR="005362BE" w:rsidRPr="002C5709">
        <w:rPr>
          <w:rFonts w:eastAsiaTheme="minorEastAsia"/>
          <w:b/>
          <w:bCs/>
          <w:spacing w:val="4"/>
          <w:rtl/>
        </w:rPr>
        <w:t> </w:t>
      </w:r>
      <w:r w:rsidRPr="002C5709">
        <w:rPr>
          <w:rFonts w:eastAsiaTheme="minorEastAsia"/>
          <w:b/>
          <w:bCs/>
          <w:spacing w:val="4"/>
          <w:rtl/>
        </w:rPr>
        <w:t>اللاإنسانية أو المهينة</w:t>
      </w:r>
      <w:r w:rsidR="00507D23" w:rsidRPr="002C5709">
        <w:rPr>
          <w:rFonts w:eastAsiaTheme="minorEastAsia" w:hint="cs"/>
          <w:b/>
          <w:bCs/>
          <w:spacing w:val="4"/>
          <w:rtl/>
        </w:rPr>
        <w:t>.</w:t>
      </w:r>
    </w:p>
    <w:p w14:paraId="69EE5581" w14:textId="77777777" w:rsidR="00E86B08" w:rsidRPr="002C5709" w:rsidRDefault="00E86B08" w:rsidP="00E86B08">
      <w:pPr>
        <w:pStyle w:val="H23GA"/>
        <w:rPr>
          <w:lang w:val="ar-SA" w:eastAsia="zh-TW" w:bidi="en-GB"/>
        </w:rPr>
      </w:pPr>
      <w:r w:rsidRPr="002C5709">
        <w:rPr>
          <w:rtl/>
        </w:rPr>
        <w:lastRenderedPageBreak/>
        <w:tab/>
      </w:r>
      <w:r w:rsidRPr="002C5709">
        <w:rPr>
          <w:rtl/>
        </w:rPr>
        <w:tab/>
        <w:t>متابعة تنفيذ إعلان وبرنامج عمل ديربان</w:t>
      </w:r>
    </w:p>
    <w:p w14:paraId="775333AA" w14:textId="1E95A64A" w:rsidR="00E86B08" w:rsidRPr="00E86B08" w:rsidRDefault="00E86B08" w:rsidP="00E86B08">
      <w:pPr>
        <w:pStyle w:val="SingleTxtGA"/>
        <w:rPr>
          <w:rFonts w:eastAsiaTheme="minorEastAsia"/>
          <w:lang w:val="ar-SA" w:eastAsia="zh-TW" w:bidi="en-GB"/>
        </w:rPr>
      </w:pPr>
      <w:r w:rsidRPr="002C5709">
        <w:rPr>
          <w:rFonts w:eastAsiaTheme="minorEastAsia"/>
          <w:b/>
          <w:rtl/>
        </w:rPr>
        <w:t>37-</w:t>
      </w:r>
      <w:r w:rsidRPr="002C5709">
        <w:rPr>
          <w:rFonts w:eastAsiaTheme="minorEastAsia"/>
          <w:bCs/>
          <w:rtl/>
        </w:rPr>
        <w:tab/>
      </w:r>
      <w:r w:rsidRPr="002C5709">
        <w:rPr>
          <w:rFonts w:eastAsiaTheme="minorEastAsia"/>
          <w:b/>
          <w:bCs/>
          <w:rtl/>
        </w:rPr>
        <w:t>توصي اللجنة، في ضوء توصيتها العامة رقم 33(200</w:t>
      </w:r>
      <w:r w:rsidR="00182C77" w:rsidRPr="002C5709">
        <w:rPr>
          <w:rFonts w:eastAsiaTheme="minorEastAsia"/>
          <w:b/>
          <w:bCs/>
          <w:rtl/>
        </w:rPr>
        <w:t xml:space="preserve">9) </w:t>
      </w:r>
      <w:r w:rsidRPr="002C5709">
        <w:rPr>
          <w:rFonts w:eastAsiaTheme="minorEastAsia"/>
          <w:b/>
          <w:bCs/>
          <w:rtl/>
        </w:rPr>
        <w:t>بشأن متابعة مؤتمر استعراض نتائج ديربان، بأن تنفّذ الدولة الطرف، عند تطبيق أحكام الاتفاقية في نظامها القانوني الداخلي، إعلان وبرنامج عمل ديربان اللذين اعتمدهما المؤتمر العالمي لمكافحة العنصرية والتمييز العنصري وكره الأجانب وما يتصل بذلك من تعصب في أيلول/سبتمبر 2001، مع مراعاة الوثيقة الختامية لمؤتمر استعراض نتائج ديربان المعقود في جنيف في نيسان/أبريل 200</w:t>
      </w:r>
      <w:r w:rsidR="00182C77" w:rsidRPr="002C5709">
        <w:rPr>
          <w:rFonts w:eastAsiaTheme="minorEastAsia"/>
          <w:b/>
          <w:bCs/>
          <w:rtl/>
        </w:rPr>
        <w:t xml:space="preserve">9. </w:t>
      </w:r>
      <w:r w:rsidRPr="002C5709">
        <w:rPr>
          <w:rFonts w:eastAsiaTheme="minorEastAsia"/>
          <w:b/>
          <w:bCs/>
          <w:rtl/>
        </w:rPr>
        <w:t>وتطلب اللجنة إلى الدولة الطرف أن تدرج في تقريرها الدوري المقبل معلومات محددة عن خطط العمل والتدابير الأخرى المتّخذة لتنفيذ إعلان وبرنامج عمل ديربان على الصعيد الوطني.</w:t>
      </w:r>
      <w:r w:rsidRPr="002C5709">
        <w:rPr>
          <w:rFonts w:eastAsiaTheme="minorEastAsia"/>
          <w:bCs/>
          <w:rtl/>
        </w:rPr>
        <w:t xml:space="preserve"> </w:t>
      </w:r>
    </w:p>
    <w:p w14:paraId="4DF1FFFC" w14:textId="7ACF86E8" w:rsidR="00E86B08" w:rsidRPr="002C5709" w:rsidRDefault="00E86B08" w:rsidP="00E86B08">
      <w:pPr>
        <w:pStyle w:val="H23GA"/>
        <w:rPr>
          <w:lang w:val="ar-SA" w:eastAsia="zh-TW" w:bidi="en-GB"/>
        </w:rPr>
      </w:pPr>
      <w:r w:rsidRPr="002C5709">
        <w:rPr>
          <w:rtl/>
        </w:rPr>
        <w:tab/>
      </w:r>
      <w:r w:rsidRPr="002C5709">
        <w:rPr>
          <w:rtl/>
        </w:rPr>
        <w:tab/>
        <w:t xml:space="preserve">العقد الدولي للمنحدرين من أصل أفريقي </w:t>
      </w:r>
    </w:p>
    <w:p w14:paraId="57F650DE" w14:textId="623F0AAB" w:rsidR="00E86B08" w:rsidRPr="002C5709" w:rsidRDefault="00E86B08" w:rsidP="00E86B08">
      <w:pPr>
        <w:pStyle w:val="SingleTxtGA"/>
        <w:rPr>
          <w:rFonts w:eastAsiaTheme="minorEastAsia"/>
          <w:b/>
          <w:bCs/>
          <w:lang w:val="ar-SA" w:eastAsia="zh-TW" w:bidi="en-GB"/>
        </w:rPr>
      </w:pPr>
      <w:r w:rsidRPr="002C5709">
        <w:rPr>
          <w:rFonts w:eastAsiaTheme="minorEastAsia"/>
          <w:b/>
          <w:rtl/>
        </w:rPr>
        <w:t>38-</w:t>
      </w:r>
      <w:r w:rsidRPr="002C5709">
        <w:rPr>
          <w:rFonts w:eastAsiaTheme="minorEastAsia"/>
          <w:bCs/>
          <w:rtl/>
        </w:rPr>
        <w:tab/>
      </w:r>
      <w:r w:rsidRPr="002C5709">
        <w:rPr>
          <w:rFonts w:eastAsiaTheme="minorEastAsia"/>
          <w:b/>
          <w:bCs/>
          <w:rtl/>
        </w:rPr>
        <w:t>في ضوء قرار الجمعية العامة 68/237 الذي أعلنت فيه الجمعية الفترة 2015-2024 عقداً دولياً للمنحدرين من أصل أفريقي، وقرار الجمعية 69/16 بشأن برنامج الأنشطة لتنفيذ العقد، توصي اللجنة الدولة الطرف بأن تعدّ وتنفّذ برنامج تدابير وسياسات مناسباً.</w:t>
      </w:r>
      <w:r w:rsidRPr="002C5709">
        <w:rPr>
          <w:rFonts w:eastAsiaTheme="minorEastAsia"/>
          <w:bCs/>
          <w:rtl/>
        </w:rPr>
        <w:t xml:space="preserve"> </w:t>
      </w:r>
      <w:r w:rsidRPr="002C5709">
        <w:rPr>
          <w:rFonts w:eastAsiaTheme="minorEastAsia"/>
          <w:b/>
          <w:bCs/>
          <w:rtl/>
        </w:rPr>
        <w:t>وتطلب اللجنة إلى الدولة الطرف أن تدرج في تقريرها المقبل معلومات دقيقة عن التدابير الملموسة المعتمدة في ذلك الإطار، مع مراعاة توصيتها العامة رقم 34(201</w:t>
      </w:r>
      <w:r w:rsidR="00182C77" w:rsidRPr="002C5709">
        <w:rPr>
          <w:rFonts w:eastAsiaTheme="minorEastAsia"/>
          <w:b/>
          <w:bCs/>
          <w:rtl/>
        </w:rPr>
        <w:t xml:space="preserve">1) </w:t>
      </w:r>
      <w:r w:rsidRPr="002C5709">
        <w:rPr>
          <w:rFonts w:eastAsiaTheme="minorEastAsia"/>
          <w:b/>
          <w:bCs/>
          <w:rtl/>
        </w:rPr>
        <w:t>بشأن التمييز العنصري ضد السكان المنحدرين من أصل أفريقي.</w:t>
      </w:r>
      <w:r w:rsidRPr="002C5709">
        <w:rPr>
          <w:rFonts w:eastAsiaTheme="minorEastAsia"/>
          <w:bCs/>
          <w:rtl/>
        </w:rPr>
        <w:t xml:space="preserve"> </w:t>
      </w:r>
    </w:p>
    <w:p w14:paraId="1F894B30" w14:textId="77777777" w:rsidR="00E86B08" w:rsidRPr="002C5709" w:rsidRDefault="00E86B08" w:rsidP="00E86B08">
      <w:pPr>
        <w:pStyle w:val="H23GA"/>
        <w:rPr>
          <w:lang w:val="ar-SA" w:eastAsia="zh-TW" w:bidi="en-GB"/>
        </w:rPr>
      </w:pPr>
      <w:r w:rsidRPr="002C5709">
        <w:rPr>
          <w:rtl/>
        </w:rPr>
        <w:tab/>
      </w:r>
      <w:r w:rsidRPr="002C5709">
        <w:rPr>
          <w:rtl/>
        </w:rPr>
        <w:tab/>
        <w:t>نشر المعلومات</w:t>
      </w:r>
    </w:p>
    <w:p w14:paraId="7116318C" w14:textId="77777777" w:rsidR="00E86B08" w:rsidRPr="002C5709" w:rsidRDefault="00E86B08" w:rsidP="00E86B08">
      <w:pPr>
        <w:pStyle w:val="SingleTxtGA"/>
        <w:rPr>
          <w:rFonts w:eastAsiaTheme="minorEastAsia"/>
          <w:b/>
          <w:bCs/>
          <w:lang w:val="ar-SA" w:eastAsia="zh-TW" w:bidi="en-GB"/>
        </w:rPr>
      </w:pPr>
      <w:r w:rsidRPr="002C5709">
        <w:rPr>
          <w:rFonts w:eastAsiaTheme="minorEastAsia"/>
          <w:b/>
          <w:rtl/>
        </w:rPr>
        <w:t>39-</w:t>
      </w:r>
      <w:r w:rsidRPr="002C5709">
        <w:rPr>
          <w:rFonts w:eastAsiaTheme="minorEastAsia"/>
          <w:bCs/>
          <w:rtl/>
        </w:rPr>
        <w:tab/>
      </w:r>
      <w:r w:rsidRPr="002C5709">
        <w:rPr>
          <w:rFonts w:eastAsiaTheme="minorEastAsia"/>
          <w:b/>
          <w:bCs/>
          <w:rtl/>
        </w:rPr>
        <w:t>توصي اللجنة الدولة الطرف بإتاحة تقاريرها لعامة الجمهور وتيسير الاطلاع عليها وقت تقديمها، وبأن تتيح على نحو مماثل الملاحظات الختامية الصادرة عن اللجنة فيما يتعلق بتلك التقارير لجميع الهيئات الحكومية المكلّفة بتنفيذ الاتفاقية، بما فيها البلديات، وبنشر الملاحظات اللجنة الختامية المتعلقة بتلك التقارير في الموقع الشبكي لوزارة الخارجية باللغات الرسمية وغيرها من اللغات الشائع استخدامها في البلد، حسب الاقتضاء.</w:t>
      </w:r>
    </w:p>
    <w:p w14:paraId="7B77C224" w14:textId="77777777" w:rsidR="00E86B08" w:rsidRPr="002C5709" w:rsidRDefault="00E86B08" w:rsidP="00E86B08">
      <w:pPr>
        <w:pStyle w:val="H23GA"/>
        <w:rPr>
          <w:lang w:val="ar-SA" w:eastAsia="zh-TW" w:bidi="en-GB"/>
        </w:rPr>
      </w:pPr>
      <w:r w:rsidRPr="002C5709">
        <w:rPr>
          <w:rtl/>
        </w:rPr>
        <w:tab/>
      </w:r>
      <w:r w:rsidRPr="002C5709">
        <w:rPr>
          <w:rtl/>
        </w:rPr>
        <w:tab/>
        <w:t>الوثيقة الأساسية الموحدة</w:t>
      </w:r>
    </w:p>
    <w:p w14:paraId="3C5FC9B4" w14:textId="5C1867F1" w:rsidR="00E86B08" w:rsidRPr="002C5709" w:rsidRDefault="00E86B08" w:rsidP="00E86B08">
      <w:pPr>
        <w:pStyle w:val="SingleTxtGA"/>
        <w:rPr>
          <w:rFonts w:eastAsiaTheme="minorEastAsia"/>
          <w:b/>
          <w:bCs/>
          <w:lang w:val="ar-SA" w:eastAsia="zh-TW" w:bidi="en-GB"/>
        </w:rPr>
      </w:pPr>
      <w:r w:rsidRPr="002C5709">
        <w:rPr>
          <w:rFonts w:eastAsiaTheme="minorEastAsia"/>
          <w:rtl/>
        </w:rPr>
        <w:t>40</w:t>
      </w:r>
      <w:r w:rsidRPr="002C5709">
        <w:rPr>
          <w:rFonts w:eastAsiaTheme="minorEastAsia"/>
          <w:b/>
          <w:rtl/>
        </w:rPr>
        <w:t>-</w:t>
      </w:r>
      <w:r w:rsidRPr="002C5709">
        <w:rPr>
          <w:rFonts w:eastAsiaTheme="minorEastAsia"/>
          <w:bCs/>
          <w:rtl/>
        </w:rPr>
        <w:tab/>
      </w:r>
      <w:r w:rsidRPr="002C5709">
        <w:rPr>
          <w:rFonts w:eastAsiaTheme="minorEastAsia"/>
          <w:b/>
          <w:bCs/>
          <w:rtl/>
        </w:rPr>
        <w:t>تشجع اللجنة الدولة الطرف على تحديث وثيقتها الأساسية الموحدة، التي يرجع تاريخها إلى</w:t>
      </w:r>
      <w:r w:rsidR="00507D23" w:rsidRPr="002C5709">
        <w:rPr>
          <w:rFonts w:eastAsiaTheme="minorEastAsia" w:hint="cs"/>
          <w:b/>
          <w:bCs/>
          <w:rtl/>
        </w:rPr>
        <w:t> </w:t>
      </w:r>
      <w:r w:rsidRPr="002C5709">
        <w:rPr>
          <w:rFonts w:eastAsiaTheme="minorEastAsia"/>
          <w:b/>
          <w:bCs/>
          <w:rtl/>
        </w:rPr>
        <w:t>22 تموز/يوليه 2020، وفقاً للمبادئ التوجيهية المنسقة لتقديم التقارير بموجب المعاهدات الدولية لحقوق الإنسان، بما في ذلك المبادئ التوجيهية لتقديم وثيقة أساسية موحدة، بصيغتها المعتمدة في</w:t>
      </w:r>
      <w:r w:rsidR="00507D23" w:rsidRPr="002C5709">
        <w:rPr>
          <w:rFonts w:eastAsiaTheme="minorEastAsia" w:hint="cs"/>
          <w:b/>
          <w:bCs/>
          <w:rtl/>
        </w:rPr>
        <w:t> </w:t>
      </w:r>
      <w:r w:rsidRPr="002C5709">
        <w:rPr>
          <w:rFonts w:eastAsiaTheme="minorEastAsia"/>
          <w:b/>
          <w:bCs/>
          <w:rtl/>
        </w:rPr>
        <w:t>الاجتماع المشترك بين اللجان للهيئات المنشأة بموجب معاهدات حقوق الإنسان المعقود في</w:t>
      </w:r>
      <w:r w:rsidR="00507D23" w:rsidRPr="002C5709">
        <w:rPr>
          <w:rFonts w:eastAsiaTheme="minorEastAsia" w:hint="cs"/>
          <w:b/>
          <w:bCs/>
          <w:rtl/>
        </w:rPr>
        <w:t> </w:t>
      </w:r>
      <w:r w:rsidRPr="002C5709">
        <w:rPr>
          <w:rFonts w:eastAsiaTheme="minorEastAsia"/>
          <w:b/>
          <w:bCs/>
          <w:rtl/>
        </w:rPr>
        <w:t>حزيران/</w:t>
      </w:r>
      <w:proofErr w:type="gramStart"/>
      <w:r w:rsidRPr="002C5709">
        <w:rPr>
          <w:rFonts w:eastAsiaTheme="minorEastAsia"/>
          <w:b/>
          <w:bCs/>
          <w:rtl/>
        </w:rPr>
        <w:t>يونيه</w:t>
      </w:r>
      <w:proofErr w:type="gramEnd"/>
      <w:r w:rsidRPr="002C5709">
        <w:rPr>
          <w:rFonts w:eastAsiaTheme="minorEastAsia"/>
          <w:b/>
          <w:bCs/>
          <w:rtl/>
        </w:rPr>
        <w:t xml:space="preserve"> 2006</w:t>
      </w:r>
      <w:r w:rsidR="00182C77" w:rsidRPr="002C5709">
        <w:rPr>
          <w:rStyle w:val="FootnoteReference"/>
          <w:rFonts w:eastAsiaTheme="minorEastAsia"/>
          <w:b/>
          <w:sz w:val="22"/>
          <w:rtl/>
        </w:rPr>
        <w:t>(</w:t>
      </w:r>
      <w:r w:rsidR="00182C77" w:rsidRPr="002C5709">
        <w:rPr>
          <w:rStyle w:val="FootnoteReference"/>
          <w:rFonts w:eastAsiaTheme="minorEastAsia"/>
          <w:bCs/>
          <w:sz w:val="22"/>
          <w:lang w:val="en-US"/>
        </w:rPr>
        <w:footnoteReference w:id="14"/>
      </w:r>
      <w:r w:rsidR="00182C77" w:rsidRPr="002C5709">
        <w:rPr>
          <w:rStyle w:val="FootnoteReference"/>
          <w:rFonts w:eastAsiaTheme="minorEastAsia"/>
          <w:b/>
          <w:sz w:val="22"/>
          <w:rtl/>
        </w:rPr>
        <w:t>)</w:t>
      </w:r>
      <w:r w:rsidR="00182C77" w:rsidRPr="002C5709">
        <w:rPr>
          <w:rFonts w:eastAsiaTheme="minorEastAsia"/>
          <w:b/>
          <w:bCs/>
          <w:rtl/>
        </w:rPr>
        <w:t>.</w:t>
      </w:r>
      <w:r w:rsidR="00182C77" w:rsidRPr="002C5709">
        <w:rPr>
          <w:rFonts w:eastAsiaTheme="minorEastAsia"/>
          <w:bCs/>
          <w:rtl/>
        </w:rPr>
        <w:t xml:space="preserve"> </w:t>
      </w:r>
      <w:r w:rsidRPr="002C5709">
        <w:rPr>
          <w:rFonts w:eastAsiaTheme="minorEastAsia"/>
          <w:b/>
          <w:bCs/>
          <w:rtl/>
        </w:rPr>
        <w:t>وتحث اللجنة الدولة الطرف، في ضوء قرار الجمعية العامة 68/268، على التقيد بالحد الأقصـــى لعدد الكلمات في هـذه الوثائق، وهو 400 42 كلمة.</w:t>
      </w:r>
    </w:p>
    <w:p w14:paraId="41C9C426" w14:textId="3A200D9B" w:rsidR="00E86B08" w:rsidRPr="002C5709" w:rsidRDefault="00E86B08" w:rsidP="00E86B08">
      <w:pPr>
        <w:pStyle w:val="H23GA"/>
        <w:rPr>
          <w:lang w:val="ar-SA" w:eastAsia="zh-TW" w:bidi="en-GB"/>
        </w:rPr>
      </w:pPr>
      <w:r w:rsidRPr="002C5709">
        <w:rPr>
          <w:rtl/>
        </w:rPr>
        <w:tab/>
      </w:r>
      <w:r w:rsidRPr="002C5709">
        <w:rPr>
          <w:rtl/>
        </w:rPr>
        <w:tab/>
        <w:t>متابعة هذه الملاحظات الختامية</w:t>
      </w:r>
    </w:p>
    <w:p w14:paraId="7476C3C3" w14:textId="6CAF48E7" w:rsidR="00E86B08" w:rsidRPr="002C5709" w:rsidRDefault="00E86B08" w:rsidP="00E86B08">
      <w:pPr>
        <w:pStyle w:val="SingleTxtGA"/>
        <w:rPr>
          <w:rFonts w:eastAsiaTheme="minorEastAsia"/>
          <w:b/>
          <w:bCs/>
          <w:lang w:val="ar-SA" w:eastAsia="zh-TW" w:bidi="en-GB"/>
        </w:rPr>
      </w:pPr>
      <w:r w:rsidRPr="002C5709">
        <w:rPr>
          <w:rFonts w:eastAsiaTheme="minorEastAsia"/>
          <w:b/>
          <w:rtl/>
        </w:rPr>
        <w:t>41-</w:t>
      </w:r>
      <w:r w:rsidRPr="002C5709">
        <w:rPr>
          <w:rFonts w:eastAsiaTheme="minorEastAsia"/>
          <w:bCs/>
          <w:rtl/>
        </w:rPr>
        <w:tab/>
      </w:r>
      <w:r w:rsidRPr="002C5709">
        <w:rPr>
          <w:rFonts w:eastAsiaTheme="minorEastAsia"/>
          <w:b/>
          <w:bCs/>
          <w:rtl/>
        </w:rPr>
        <w:t>تطلب اللجنة إلى الدولة الطرف، وفقاً للفقرة (</w:t>
      </w:r>
      <w:r w:rsidR="00182C77" w:rsidRPr="002C5709">
        <w:rPr>
          <w:rFonts w:eastAsiaTheme="minorEastAsia"/>
          <w:b/>
          <w:bCs/>
          <w:rtl/>
        </w:rPr>
        <w:t xml:space="preserve">1) </w:t>
      </w:r>
      <w:r w:rsidRPr="002C5709">
        <w:rPr>
          <w:rFonts w:eastAsiaTheme="minorEastAsia"/>
          <w:b/>
          <w:bCs/>
          <w:rtl/>
        </w:rPr>
        <w:t>من المادة 9 من الاتفاقية والمادة 65 من نظامها الداخلي، أن تقدّم، في غضون سنة واحدة من اعتماد هذه الملاحظات الختامية، معلومات عن</w:t>
      </w:r>
      <w:r w:rsidR="00507D23" w:rsidRPr="002C5709">
        <w:rPr>
          <w:rFonts w:eastAsiaTheme="minorEastAsia" w:hint="cs"/>
          <w:b/>
          <w:bCs/>
          <w:rtl/>
        </w:rPr>
        <w:t> </w:t>
      </w:r>
      <w:r w:rsidRPr="002C5709">
        <w:rPr>
          <w:rFonts w:eastAsiaTheme="minorEastAsia"/>
          <w:b/>
          <w:bCs/>
          <w:rtl/>
        </w:rPr>
        <w:t>تنفيذها التوصيات الواردة في الفقرتين 9 (المركز الوطني السلوفاكي لحقوق الإنسان) و31 (التعقيم القسري) أعلاه.</w:t>
      </w:r>
    </w:p>
    <w:p w14:paraId="0B410781" w14:textId="466BE257" w:rsidR="00E86B08" w:rsidRPr="002C5709" w:rsidRDefault="00E86B08" w:rsidP="00E86B08">
      <w:pPr>
        <w:pStyle w:val="H23GA"/>
        <w:rPr>
          <w:lang w:val="ar-SA" w:eastAsia="zh-TW" w:bidi="en-GB"/>
        </w:rPr>
      </w:pPr>
      <w:r w:rsidRPr="002C5709">
        <w:rPr>
          <w:rtl/>
        </w:rPr>
        <w:lastRenderedPageBreak/>
        <w:tab/>
      </w:r>
      <w:r w:rsidRPr="002C5709">
        <w:rPr>
          <w:rtl/>
        </w:rPr>
        <w:tab/>
        <w:t>الفقرات ذات الأهمية الخاصة</w:t>
      </w:r>
    </w:p>
    <w:p w14:paraId="58C9967C" w14:textId="33D6FB33" w:rsidR="00E86B08" w:rsidRPr="002C5709" w:rsidRDefault="00E86B08" w:rsidP="00E86B08">
      <w:pPr>
        <w:pStyle w:val="SingleTxtGA"/>
        <w:rPr>
          <w:rFonts w:eastAsiaTheme="minorEastAsia"/>
          <w:b/>
          <w:bCs/>
          <w:lang w:val="ar-SA" w:eastAsia="zh-TW" w:bidi="en-GB"/>
        </w:rPr>
      </w:pPr>
      <w:r w:rsidRPr="002C5709">
        <w:rPr>
          <w:rFonts w:eastAsiaTheme="minorEastAsia"/>
          <w:b/>
          <w:rtl/>
        </w:rPr>
        <w:t>42-</w:t>
      </w:r>
      <w:r w:rsidRPr="002C5709">
        <w:rPr>
          <w:rFonts w:eastAsiaTheme="minorEastAsia"/>
          <w:bCs/>
          <w:rtl/>
        </w:rPr>
        <w:tab/>
      </w:r>
      <w:r w:rsidRPr="002C5709">
        <w:rPr>
          <w:rFonts w:eastAsiaTheme="minorEastAsia"/>
          <w:b/>
          <w:bCs/>
          <w:rtl/>
        </w:rPr>
        <w:t>تودّ اللجنة أن توجّه انتباه الدولة الطرف إلى الأهمية الخاصة للتوصيات الواردة في الفقرات 7 (تنفيذ قانون مناهضة التمييز) و13 (التدابير الخاصة) و33 (الحق في التعليم) أعلاه، وتطلب إلى الدولة الطرف أن تقدّم في تقريرها الدوري المقبل معلومات مفصّلة عن التدابير الملموسة المتّخذة لتنفيذ تلك التوصيات.</w:t>
      </w:r>
    </w:p>
    <w:p w14:paraId="489EFCD8" w14:textId="55C20BAF" w:rsidR="00E86B08" w:rsidRPr="002C5709" w:rsidRDefault="00E86B08" w:rsidP="00E86B08">
      <w:pPr>
        <w:pStyle w:val="H23GA"/>
        <w:rPr>
          <w:lang w:val="ar-SA" w:eastAsia="zh-TW" w:bidi="en-GB"/>
        </w:rPr>
      </w:pPr>
      <w:r w:rsidRPr="002C5709">
        <w:rPr>
          <w:rtl/>
        </w:rPr>
        <w:tab/>
      </w:r>
      <w:r w:rsidRPr="002C5709">
        <w:rPr>
          <w:rtl/>
        </w:rPr>
        <w:tab/>
        <w:t>إعداد التقرير الدوري المقبل</w:t>
      </w:r>
    </w:p>
    <w:p w14:paraId="1656D698" w14:textId="20E83DF4" w:rsidR="00E86B08" w:rsidRPr="002C5709" w:rsidRDefault="00E86B08" w:rsidP="00E86B08">
      <w:pPr>
        <w:pStyle w:val="SingleTxtGA"/>
        <w:rPr>
          <w:rFonts w:eastAsiaTheme="minorEastAsia"/>
          <w:b/>
          <w:bCs/>
          <w:lang w:val="en-US" w:eastAsia="zh-TW" w:bidi="en-GB"/>
        </w:rPr>
      </w:pPr>
      <w:r w:rsidRPr="002C5709">
        <w:rPr>
          <w:rFonts w:eastAsiaTheme="minorEastAsia"/>
          <w:bCs/>
          <w:rtl/>
        </w:rPr>
        <w:t>43-</w:t>
      </w:r>
      <w:r w:rsidRPr="002C5709">
        <w:rPr>
          <w:rFonts w:eastAsiaTheme="minorEastAsia"/>
          <w:bCs/>
          <w:rtl/>
        </w:rPr>
        <w:tab/>
      </w:r>
      <w:r w:rsidRPr="002C5709">
        <w:rPr>
          <w:rFonts w:eastAsiaTheme="minorEastAsia"/>
          <w:b/>
          <w:bCs/>
          <w:rtl/>
        </w:rPr>
        <w:t>توصي اللجنة الدولة الطرف بأن تقدم تقريرها الدوري الرابع عشر، في وثيقة واحدة، بحلول</w:t>
      </w:r>
      <w:r w:rsidR="00324028" w:rsidRPr="002C5709">
        <w:rPr>
          <w:rFonts w:eastAsiaTheme="minorEastAsia" w:hint="cs"/>
          <w:b/>
          <w:bCs/>
          <w:rtl/>
        </w:rPr>
        <w:t> </w:t>
      </w:r>
      <w:r w:rsidRPr="002C5709">
        <w:rPr>
          <w:rFonts w:eastAsiaTheme="minorEastAsia"/>
          <w:b/>
          <w:bCs/>
          <w:rtl/>
        </w:rPr>
        <w:t>28 أيار/مايو 2025، مع مراعاة المبادئ التوجيهية لتقديم التقارير التي اعتمدتها اللجنة أثناء دورتها الحادية والسبعين</w:t>
      </w:r>
      <w:r w:rsidR="00182C77" w:rsidRPr="002C5709">
        <w:rPr>
          <w:rStyle w:val="FootnoteReference"/>
          <w:rFonts w:eastAsiaTheme="minorEastAsia"/>
          <w:b/>
          <w:sz w:val="22"/>
          <w:rtl/>
        </w:rPr>
        <w:t>(</w:t>
      </w:r>
      <w:r w:rsidR="00182C77" w:rsidRPr="002C5709">
        <w:rPr>
          <w:rStyle w:val="FootnoteReference"/>
          <w:rFonts w:eastAsiaTheme="minorEastAsia"/>
          <w:bCs/>
          <w:sz w:val="22"/>
          <w:lang w:val="en-US"/>
        </w:rPr>
        <w:footnoteReference w:id="15"/>
      </w:r>
      <w:r w:rsidRPr="002C5709">
        <w:rPr>
          <w:rStyle w:val="FootnoteReference"/>
          <w:rFonts w:eastAsiaTheme="minorEastAsia"/>
          <w:b/>
          <w:sz w:val="22"/>
          <w:rtl/>
        </w:rPr>
        <w:t>)</w:t>
      </w:r>
      <w:r w:rsidRPr="002C5709">
        <w:rPr>
          <w:rFonts w:eastAsiaTheme="minorEastAsia"/>
          <w:b/>
          <w:bCs/>
          <w:rtl/>
        </w:rPr>
        <w:t> ومعالجة جميع النقاط المثارة في هذه الملاحظات الختامية.</w:t>
      </w:r>
      <w:r w:rsidRPr="002C5709">
        <w:rPr>
          <w:rFonts w:eastAsiaTheme="minorEastAsia"/>
          <w:bCs/>
          <w:rtl/>
        </w:rPr>
        <w:t xml:space="preserve"> </w:t>
      </w:r>
      <w:r w:rsidRPr="002C5709">
        <w:rPr>
          <w:rFonts w:eastAsiaTheme="minorEastAsia"/>
          <w:b/>
          <w:bCs/>
          <w:rtl/>
        </w:rPr>
        <w:t>وتحث اللجنة الدولة الطرف، في ضوء قرار الجمعية العامة 68/268، على التقيد بالحد الأقصـــى لعدد الكلمات في التقارير الدورية، وهو 200 21 كلم</w:t>
      </w:r>
      <w:r w:rsidR="00D62EA4" w:rsidRPr="002C5709">
        <w:rPr>
          <w:rFonts w:eastAsiaTheme="minorEastAsia" w:hint="cs"/>
          <w:b/>
          <w:bCs/>
          <w:rtl/>
        </w:rPr>
        <w:t>ة</w:t>
      </w:r>
      <w:r w:rsidRPr="002C5709">
        <w:rPr>
          <w:rFonts w:eastAsiaTheme="minorEastAsia"/>
          <w:b/>
          <w:bCs/>
          <w:rtl/>
        </w:rPr>
        <w:t>.</w:t>
      </w:r>
    </w:p>
    <w:p w14:paraId="5EF6423D" w14:textId="0A7E108D" w:rsidR="00B54045" w:rsidRPr="00E86B08" w:rsidRDefault="00E86B08" w:rsidP="00E86B08">
      <w:pPr>
        <w:pStyle w:val="SingleTxtGA"/>
        <w:jc w:val="center"/>
        <w:rPr>
          <w:u w:val="single"/>
          <w:rtl/>
        </w:rPr>
      </w:pPr>
      <w:r>
        <w:rPr>
          <w:u w:val="single"/>
          <w:rtl/>
        </w:rPr>
        <w:tab/>
      </w:r>
      <w:r>
        <w:rPr>
          <w:u w:val="single"/>
          <w:rtl/>
        </w:rPr>
        <w:tab/>
      </w:r>
      <w:r>
        <w:rPr>
          <w:u w:val="single"/>
          <w:rtl/>
        </w:rPr>
        <w:tab/>
      </w:r>
    </w:p>
    <w:sectPr w:rsidR="00B54045" w:rsidRPr="00E86B08" w:rsidSect="00FC78E6">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D94108" w14:textId="77777777" w:rsidR="00E93D97" w:rsidRPr="002901D9" w:rsidRDefault="00E93D97" w:rsidP="007E37DC">
      <w:pPr>
        <w:spacing w:after="60" w:line="240" w:lineRule="auto"/>
        <w:ind w:left="57"/>
        <w:rPr>
          <w:i/>
          <w:iCs/>
        </w:rPr>
      </w:pPr>
      <w:r>
        <w:rPr>
          <w:rFonts w:hint="cs"/>
          <w:i/>
          <w:iCs/>
          <w:rtl/>
        </w:rPr>
        <w:t>الحواشي</w:t>
      </w:r>
    </w:p>
  </w:endnote>
  <w:endnote w:type="continuationSeparator" w:id="0">
    <w:p w14:paraId="787A2C19" w14:textId="77777777" w:rsidR="00E93D97" w:rsidRDefault="00E93D97"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1DFD2" w14:textId="347572B6" w:rsidR="00D6012F" w:rsidRPr="00D6012F" w:rsidRDefault="00D6012F" w:rsidP="00D6012F">
    <w:pPr>
      <w:pStyle w:val="Footer"/>
      <w:tabs>
        <w:tab w:val="right" w:pos="9638"/>
      </w:tabs>
      <w:rPr>
        <w:b/>
        <w:sz w:val="18"/>
        <w:lang w:val="en-US"/>
      </w:rPr>
    </w:pPr>
    <w:r>
      <w:rPr>
        <w:lang w:val="en-US"/>
      </w:rPr>
      <w:t>GE.22-14650</w:t>
    </w:r>
    <w:r>
      <w:rPr>
        <w:lang w:val="en-US"/>
      </w:rPr>
      <w:tab/>
    </w:r>
    <w:r w:rsidRPr="00D6012F">
      <w:rPr>
        <w:b/>
        <w:sz w:val="18"/>
        <w:lang w:val="en-US"/>
      </w:rPr>
      <w:fldChar w:fldCharType="begin"/>
    </w:r>
    <w:r w:rsidRPr="00D6012F">
      <w:rPr>
        <w:b/>
        <w:sz w:val="18"/>
        <w:lang w:val="en-US"/>
      </w:rPr>
      <w:instrText xml:space="preserve"> PAGE  \* MERGEFORMAT </w:instrText>
    </w:r>
    <w:r w:rsidRPr="00D6012F">
      <w:rPr>
        <w:b/>
        <w:sz w:val="18"/>
        <w:lang w:val="en-US"/>
      </w:rPr>
      <w:fldChar w:fldCharType="separate"/>
    </w:r>
    <w:r w:rsidRPr="00D6012F">
      <w:rPr>
        <w:b/>
        <w:noProof/>
        <w:sz w:val="18"/>
        <w:lang w:val="en-US"/>
      </w:rPr>
      <w:t>2</w:t>
    </w:r>
    <w:r w:rsidRPr="00D6012F">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EE419" w14:textId="0A1C2706" w:rsidR="006959B0" w:rsidRPr="00D6012F" w:rsidRDefault="00D6012F" w:rsidP="00D6012F">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GE.22-14650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26967" w14:textId="606CF0BA" w:rsidR="00156D54" w:rsidRPr="00D6012F" w:rsidRDefault="00D6012F" w:rsidP="00D6012F">
    <w:pPr>
      <w:pStyle w:val="Footer"/>
      <w:spacing w:before="600"/>
      <w:ind w:left="567"/>
      <w:jc w:val="right"/>
      <w:rPr>
        <w:sz w:val="20"/>
        <w:lang w:val="en-US"/>
      </w:rPr>
    </w:pPr>
    <w:r>
      <w:rPr>
        <w:sz w:val="20"/>
        <w:lang w:val="en-US"/>
      </w:rPr>
      <w:t>GE.</w:t>
    </w:r>
    <w:r w:rsidR="000A3229">
      <w:rPr>
        <w:noProof/>
      </w:rPr>
      <w:drawing>
        <wp:anchor distT="0" distB="0" distL="114300" distR="114300" simplePos="0" relativeHeight="251658240" behindDoc="1" locked="1" layoutInCell="0" allowOverlap="1" wp14:anchorId="1A56C34B" wp14:editId="4E0716C8">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22-14650 (A)</w:t>
    </w:r>
    <w:r>
      <w:rPr>
        <w:noProof/>
        <w:sz w:val="20"/>
        <w:lang w:val="en-US"/>
      </w:rPr>
      <w:drawing>
        <wp:anchor distT="0" distB="0" distL="114300" distR="114300" simplePos="0" relativeHeight="251659264" behindDoc="0" locked="0" layoutInCell="1" allowOverlap="1" wp14:anchorId="793A59E8" wp14:editId="736D2DD3">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F17F2" w14:textId="77777777" w:rsidR="00E93D97" w:rsidRPr="00F46702" w:rsidRDefault="00E93D97" w:rsidP="00F4670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4D963A0E" w14:textId="77777777" w:rsidR="00E93D97" w:rsidRDefault="00E93D97" w:rsidP="00656392">
      <w:pPr>
        <w:spacing w:line="240" w:lineRule="auto"/>
      </w:pPr>
      <w:r>
        <w:continuationSeparator/>
      </w:r>
    </w:p>
  </w:footnote>
  <w:footnote w:id="1">
    <w:p w14:paraId="593E9612" w14:textId="4D423EE2" w:rsidR="00E86B08" w:rsidRPr="00182C77" w:rsidRDefault="00E86B08" w:rsidP="00E86B08">
      <w:pPr>
        <w:pStyle w:val="FootnoteText1"/>
        <w:rPr>
          <w:rFonts w:eastAsiaTheme="minorEastAsia"/>
          <w:rtl/>
        </w:rPr>
      </w:pPr>
      <w:r w:rsidRPr="00507D23">
        <w:rPr>
          <w:rFonts w:eastAsiaTheme="minorEastAsia"/>
          <w:sz w:val="22"/>
          <w:szCs w:val="22"/>
          <w:rtl/>
        </w:rPr>
        <w:t>*</w:t>
      </w:r>
      <w:r w:rsidRPr="00507D23">
        <w:rPr>
          <w:rFonts w:eastAsiaTheme="minorEastAsia"/>
          <w:sz w:val="22"/>
          <w:szCs w:val="22"/>
          <w:rtl/>
        </w:rPr>
        <w:tab/>
      </w:r>
      <w:r w:rsidRPr="00182C77">
        <w:rPr>
          <w:rFonts w:eastAsiaTheme="minorEastAsia"/>
          <w:rtl/>
        </w:rPr>
        <w:t xml:space="preserve">اعتمدته اللجنة في دورتها </w:t>
      </w:r>
      <w:r w:rsidRPr="002C5709">
        <w:rPr>
          <w:rFonts w:eastAsiaTheme="minorEastAsia"/>
          <w:rtl/>
        </w:rPr>
        <w:t>107</w:t>
      </w:r>
      <w:r w:rsidRPr="00182C77">
        <w:rPr>
          <w:rFonts w:eastAsiaTheme="minorEastAsia"/>
          <w:rtl/>
        </w:rPr>
        <w:t xml:space="preserve"> (</w:t>
      </w:r>
      <w:r w:rsidRPr="002C5709">
        <w:rPr>
          <w:rFonts w:eastAsiaTheme="minorEastAsia"/>
          <w:rtl/>
        </w:rPr>
        <w:t>8</w:t>
      </w:r>
      <w:r w:rsidRPr="00182C77">
        <w:rPr>
          <w:rFonts w:eastAsiaTheme="minorEastAsia"/>
          <w:rtl/>
        </w:rPr>
        <w:t>-</w:t>
      </w:r>
      <w:r w:rsidRPr="002C5709">
        <w:rPr>
          <w:rFonts w:eastAsiaTheme="minorEastAsia"/>
          <w:rtl/>
        </w:rPr>
        <w:t>30</w:t>
      </w:r>
      <w:r w:rsidRPr="00182C77">
        <w:rPr>
          <w:rFonts w:eastAsiaTheme="minorEastAsia"/>
          <w:rtl/>
        </w:rPr>
        <w:t xml:space="preserve"> آب/أغسطس </w:t>
      </w:r>
      <w:r w:rsidRPr="002C5709">
        <w:rPr>
          <w:rFonts w:eastAsiaTheme="minorEastAsia"/>
          <w:rtl/>
        </w:rPr>
        <w:t>2022</w:t>
      </w:r>
      <w:r w:rsidR="00182C77" w:rsidRPr="00182C77">
        <w:rPr>
          <w:rFonts w:eastAsiaTheme="minorEastAsia"/>
          <w:rtl/>
        </w:rPr>
        <w:t xml:space="preserve">). </w:t>
      </w:r>
    </w:p>
  </w:footnote>
  <w:footnote w:id="2">
    <w:p w14:paraId="72FBDE4A" w14:textId="77777777" w:rsidR="00182C77" w:rsidRPr="00182C77" w:rsidRDefault="00182C77" w:rsidP="00182C77">
      <w:pPr>
        <w:pStyle w:val="FootnoteText1"/>
        <w:textDirection w:val="tbRlV"/>
        <w:rPr>
          <w:rFonts w:eastAsiaTheme="minorEastAsia"/>
          <w:lang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r>
      <w:hyperlink r:id="rId1" w:history="1">
        <w:r w:rsidRPr="00182C77">
          <w:rPr>
            <w:rStyle w:val="Hyperlink"/>
            <w:rFonts w:eastAsiaTheme="minorEastAsia"/>
          </w:rPr>
          <w:t>CERD/C/SVK/</w:t>
        </w:r>
        <w:r w:rsidRPr="002C5709">
          <w:rPr>
            <w:rStyle w:val="Hyperlink"/>
            <w:rFonts w:eastAsiaTheme="minorEastAsia"/>
          </w:rPr>
          <w:t>13</w:t>
        </w:r>
      </w:hyperlink>
      <w:r w:rsidRPr="00182C77">
        <w:rPr>
          <w:rFonts w:eastAsiaTheme="minorEastAsia"/>
          <w:rtl/>
        </w:rPr>
        <w:t xml:space="preserve">. </w:t>
      </w:r>
    </w:p>
  </w:footnote>
  <w:footnote w:id="3">
    <w:p w14:paraId="324A7359" w14:textId="77777777" w:rsidR="00182C77" w:rsidRPr="00182C77" w:rsidRDefault="00182C77" w:rsidP="00182C77">
      <w:pPr>
        <w:pStyle w:val="FootnoteText1"/>
        <w:textDirection w:val="tbRlV"/>
        <w:rPr>
          <w:rFonts w:eastAsiaTheme="minorEastAsia"/>
          <w:szCs w:val="20"/>
          <w:lang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انظر </w:t>
      </w:r>
      <w:hyperlink r:id="rId2" w:history="1">
        <w:r w:rsidRPr="00182C77">
          <w:rPr>
            <w:rStyle w:val="Hyperlink"/>
            <w:rFonts w:eastAsiaTheme="minorEastAsia"/>
          </w:rPr>
          <w:t>CERD/C/SR.</w:t>
        </w:r>
        <w:r w:rsidRPr="002C5709">
          <w:rPr>
            <w:rStyle w:val="Hyperlink"/>
            <w:rFonts w:eastAsiaTheme="minorEastAsia"/>
          </w:rPr>
          <w:t>2905</w:t>
        </w:r>
      </w:hyperlink>
      <w:r w:rsidRPr="00182C77">
        <w:rPr>
          <w:rFonts w:eastAsiaTheme="minorEastAsia"/>
          <w:rtl/>
        </w:rPr>
        <w:t xml:space="preserve"> و</w:t>
      </w:r>
      <w:hyperlink r:id="rId3" w:history="1">
        <w:r w:rsidRPr="00182C77">
          <w:rPr>
            <w:rStyle w:val="Hyperlink"/>
            <w:rFonts w:eastAsiaTheme="minorEastAsia"/>
          </w:rPr>
          <w:t>CERD/C/SR.</w:t>
        </w:r>
        <w:r w:rsidRPr="002C5709">
          <w:rPr>
            <w:rStyle w:val="Hyperlink"/>
            <w:rFonts w:eastAsiaTheme="minorEastAsia"/>
          </w:rPr>
          <w:t>2906</w:t>
        </w:r>
      </w:hyperlink>
      <w:r w:rsidRPr="00182C77">
        <w:rPr>
          <w:rFonts w:eastAsiaTheme="minorEastAsia"/>
          <w:rtl/>
        </w:rPr>
        <w:t xml:space="preserve">. </w:t>
      </w:r>
    </w:p>
  </w:footnote>
  <w:footnote w:id="4">
    <w:p w14:paraId="24581327" w14:textId="77777777" w:rsidR="00182C77" w:rsidRPr="00182C77" w:rsidRDefault="00182C77" w:rsidP="00182C77">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r>
      <w:hyperlink r:id="rId4" w:history="1">
        <w:r w:rsidRPr="00182C77">
          <w:rPr>
            <w:rStyle w:val="Hyperlink"/>
            <w:rFonts w:eastAsiaTheme="minorEastAsia"/>
          </w:rPr>
          <w:t>CERD/C/SVK/CO/</w:t>
        </w:r>
        <w:r w:rsidRPr="002C5709">
          <w:rPr>
            <w:rStyle w:val="Hyperlink"/>
            <w:rFonts w:eastAsiaTheme="minorEastAsia"/>
          </w:rPr>
          <w:t>11</w:t>
        </w:r>
        <w:r w:rsidRPr="00182C77">
          <w:rPr>
            <w:rStyle w:val="Hyperlink"/>
            <w:rFonts w:eastAsiaTheme="minorEastAsia"/>
          </w:rPr>
          <w:t>-</w:t>
        </w:r>
        <w:r w:rsidRPr="002C5709">
          <w:rPr>
            <w:rStyle w:val="Hyperlink"/>
            <w:rFonts w:eastAsiaTheme="minorEastAsia"/>
          </w:rPr>
          <w:t>12</w:t>
        </w:r>
      </w:hyperlink>
      <w:r w:rsidRPr="00182C77">
        <w:rPr>
          <w:rFonts w:eastAsiaTheme="minorEastAsia"/>
          <w:rtl/>
        </w:rPr>
        <w:t xml:space="preserve">، الفقرة </w:t>
      </w:r>
      <w:r w:rsidRPr="002C5709">
        <w:rPr>
          <w:rFonts w:eastAsiaTheme="minorEastAsia"/>
          <w:rtl/>
        </w:rPr>
        <w:t>10</w:t>
      </w:r>
      <w:r w:rsidRPr="00182C77">
        <w:rPr>
          <w:rFonts w:eastAsiaTheme="minorEastAsia"/>
          <w:rtl/>
        </w:rPr>
        <w:t xml:space="preserve">. انظر، قضية </w:t>
      </w:r>
      <w:r w:rsidRPr="002C5709">
        <w:rPr>
          <w:rFonts w:eastAsiaTheme="minorEastAsia"/>
          <w:i/>
          <w:iCs/>
          <w:rtl/>
        </w:rPr>
        <w:t>ف. س. ضد سلوفاكيا</w:t>
      </w:r>
      <w:r w:rsidRPr="00182C77">
        <w:rPr>
          <w:rFonts w:eastAsiaTheme="minorEastAsia"/>
          <w:rtl/>
        </w:rPr>
        <w:t xml:space="preserve"> (</w:t>
      </w:r>
      <w:hyperlink r:id="rId5" w:history="1">
        <w:r w:rsidRPr="00182C77">
          <w:rPr>
            <w:rStyle w:val="Hyperlink"/>
            <w:rFonts w:eastAsiaTheme="minorEastAsia"/>
          </w:rPr>
          <w:t>CERD/C/</w:t>
        </w:r>
        <w:r w:rsidRPr="002C5709">
          <w:rPr>
            <w:rStyle w:val="Hyperlink"/>
            <w:rFonts w:eastAsiaTheme="minorEastAsia"/>
          </w:rPr>
          <w:t>88</w:t>
        </w:r>
        <w:r w:rsidRPr="00182C77">
          <w:rPr>
            <w:rStyle w:val="Hyperlink"/>
            <w:rFonts w:eastAsiaTheme="minorEastAsia"/>
          </w:rPr>
          <w:t>/D/</w:t>
        </w:r>
        <w:r w:rsidRPr="002C5709">
          <w:rPr>
            <w:rStyle w:val="Hyperlink"/>
            <w:rFonts w:eastAsiaTheme="minorEastAsia"/>
          </w:rPr>
          <w:t>56</w:t>
        </w:r>
        <w:r w:rsidRPr="00182C77">
          <w:rPr>
            <w:rStyle w:val="Hyperlink"/>
            <w:rFonts w:eastAsiaTheme="minorEastAsia"/>
          </w:rPr>
          <w:t>/</w:t>
        </w:r>
        <w:r w:rsidRPr="002C5709">
          <w:rPr>
            <w:rStyle w:val="Hyperlink"/>
            <w:rFonts w:eastAsiaTheme="minorEastAsia"/>
          </w:rPr>
          <w:t>2014</w:t>
        </w:r>
      </w:hyperlink>
      <w:r w:rsidRPr="00182C77">
        <w:rPr>
          <w:rFonts w:eastAsiaTheme="minorEastAsia"/>
          <w:rtl/>
        </w:rPr>
        <w:t xml:space="preserve">). </w:t>
      </w:r>
    </w:p>
  </w:footnote>
  <w:footnote w:id="5">
    <w:p w14:paraId="3654D5E0" w14:textId="77777777" w:rsidR="00182C77" w:rsidRPr="00324028" w:rsidRDefault="00182C77" w:rsidP="00182C77">
      <w:pPr>
        <w:pStyle w:val="FootnoteText1"/>
        <w:textDirection w:val="tbRlV"/>
        <w:rPr>
          <w:rFonts w:eastAsiaTheme="minorEastAsia"/>
          <w:lang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r>
      <w:hyperlink r:id="rId6" w:history="1">
        <w:r w:rsidRPr="00182C77">
          <w:rPr>
            <w:rStyle w:val="Hyperlink"/>
            <w:rFonts w:eastAsiaTheme="minorEastAsia"/>
          </w:rPr>
          <w:t>CERD/C/SVK/CO/</w:t>
        </w:r>
        <w:r w:rsidRPr="002C5709">
          <w:rPr>
            <w:rStyle w:val="Hyperlink"/>
            <w:rFonts w:eastAsiaTheme="minorEastAsia"/>
          </w:rPr>
          <w:t>11</w:t>
        </w:r>
        <w:r w:rsidRPr="00182C77">
          <w:rPr>
            <w:rStyle w:val="Hyperlink"/>
            <w:rFonts w:eastAsiaTheme="minorEastAsia"/>
          </w:rPr>
          <w:t>-</w:t>
        </w:r>
        <w:r w:rsidRPr="002C5709">
          <w:rPr>
            <w:rStyle w:val="Hyperlink"/>
            <w:rFonts w:eastAsiaTheme="minorEastAsia"/>
          </w:rPr>
          <w:t>12</w:t>
        </w:r>
      </w:hyperlink>
      <w:r w:rsidRPr="00182C77">
        <w:rPr>
          <w:rFonts w:eastAsiaTheme="minorEastAsia"/>
          <w:rtl/>
        </w:rPr>
        <w:t xml:space="preserve">، الفقرة </w:t>
      </w:r>
      <w:r w:rsidRPr="002C5709">
        <w:rPr>
          <w:rFonts w:eastAsiaTheme="minorEastAsia"/>
          <w:rtl/>
        </w:rPr>
        <w:t>8</w:t>
      </w:r>
      <w:r w:rsidRPr="00182C77">
        <w:rPr>
          <w:rFonts w:eastAsiaTheme="minorEastAsia"/>
          <w:rtl/>
        </w:rPr>
        <w:t xml:space="preserve">. </w:t>
      </w:r>
    </w:p>
  </w:footnote>
  <w:footnote w:id="6">
    <w:p w14:paraId="4B57D767" w14:textId="2632ACE5" w:rsidR="00182C77" w:rsidRPr="00182C77" w:rsidRDefault="00182C77" w:rsidP="00E86B08">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المرجع نفسه</w:t>
      </w:r>
      <w:r w:rsidR="00CC2F24">
        <w:rPr>
          <w:rFonts w:eastAsiaTheme="minorEastAsia" w:hint="cs"/>
          <w:rtl/>
        </w:rPr>
        <w:t>.</w:t>
      </w:r>
    </w:p>
  </w:footnote>
  <w:footnote w:id="7">
    <w:p w14:paraId="4C47222A" w14:textId="77777777" w:rsidR="00182C77" w:rsidRPr="00182C77" w:rsidRDefault="00182C77" w:rsidP="00E86B08">
      <w:pPr>
        <w:pStyle w:val="FootnoteText1"/>
        <w:textDirection w:val="tbRlV"/>
        <w:rPr>
          <w:rFonts w:eastAsiaTheme="minorEastAsia"/>
          <w:szCs w:val="20"/>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18</w:t>
      </w:r>
      <w:r w:rsidRPr="00182C77">
        <w:rPr>
          <w:rFonts w:eastAsiaTheme="minorEastAsia"/>
          <w:rtl/>
        </w:rPr>
        <w:t xml:space="preserve">. </w:t>
      </w:r>
    </w:p>
  </w:footnote>
  <w:footnote w:id="8">
    <w:p w14:paraId="012DBFD6" w14:textId="77777777" w:rsidR="00182C77" w:rsidRPr="00182C77" w:rsidRDefault="00182C77" w:rsidP="00E86B08">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12</w:t>
      </w:r>
      <w:r w:rsidRPr="00182C77">
        <w:rPr>
          <w:rFonts w:eastAsiaTheme="minorEastAsia"/>
          <w:rtl/>
        </w:rPr>
        <w:t xml:space="preserve">. </w:t>
      </w:r>
    </w:p>
  </w:footnote>
  <w:footnote w:id="9">
    <w:p w14:paraId="54AC0A5D" w14:textId="77777777" w:rsidR="00182C77" w:rsidRPr="00182C77" w:rsidRDefault="00182C77" w:rsidP="00E86B08">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20</w:t>
      </w:r>
      <w:r w:rsidRPr="00182C77">
        <w:rPr>
          <w:rFonts w:eastAsiaTheme="minorEastAsia"/>
          <w:rtl/>
        </w:rPr>
        <w:t xml:space="preserve">. </w:t>
      </w:r>
    </w:p>
  </w:footnote>
  <w:footnote w:id="10">
    <w:p w14:paraId="00E8C5C7" w14:textId="77777777" w:rsidR="00182C77" w:rsidRPr="00182C77" w:rsidRDefault="00182C77" w:rsidP="00E86B08">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22</w:t>
      </w:r>
      <w:r w:rsidRPr="00182C77">
        <w:rPr>
          <w:rFonts w:eastAsiaTheme="minorEastAsia"/>
          <w:rtl/>
        </w:rPr>
        <w:t xml:space="preserve">. </w:t>
      </w:r>
    </w:p>
  </w:footnote>
  <w:footnote w:id="11">
    <w:p w14:paraId="2BFAE0EE" w14:textId="77777777" w:rsidR="00182C77" w:rsidRPr="00182C77" w:rsidRDefault="00182C77" w:rsidP="00E86B08">
      <w:pPr>
        <w:pStyle w:val="FootnoteText1"/>
        <w:textDirection w:val="tbRlV"/>
        <w:rPr>
          <w:rFonts w:eastAsiaTheme="minorEastAsia"/>
          <w:szCs w:val="20"/>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24</w:t>
      </w:r>
      <w:r w:rsidRPr="00182C77">
        <w:rPr>
          <w:rFonts w:eastAsiaTheme="minorEastAsia"/>
          <w:rtl/>
        </w:rPr>
        <w:t xml:space="preserve">. </w:t>
      </w:r>
    </w:p>
  </w:footnote>
  <w:footnote w:id="12">
    <w:p w14:paraId="2626ED3E" w14:textId="77777777" w:rsidR="00182C77" w:rsidRPr="00182C77" w:rsidRDefault="00182C77" w:rsidP="00E86B08">
      <w:pPr>
        <w:pStyle w:val="FootnoteText1"/>
        <w:textDirection w:val="tbRlV"/>
        <w:rPr>
          <w:rFonts w:eastAsiaTheme="minorEastAsia"/>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24</w:t>
      </w:r>
      <w:r w:rsidRPr="00182C77">
        <w:rPr>
          <w:rFonts w:eastAsiaTheme="minorEastAsia"/>
          <w:rtl/>
        </w:rPr>
        <w:t xml:space="preserve">(هـ). </w:t>
      </w:r>
    </w:p>
  </w:footnote>
  <w:footnote w:id="13">
    <w:p w14:paraId="77C09C45" w14:textId="77777777" w:rsidR="001435D5" w:rsidRPr="00182C77" w:rsidRDefault="001435D5" w:rsidP="001435D5">
      <w:pPr>
        <w:pStyle w:val="FootnoteText1"/>
        <w:textDirection w:val="tbRlV"/>
        <w:rPr>
          <w:rFonts w:eastAsiaTheme="minorEastAsia"/>
          <w:szCs w:val="20"/>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t xml:space="preserve">المرجع نفسه، الفقرة </w:t>
      </w:r>
      <w:r w:rsidRPr="002C5709">
        <w:rPr>
          <w:rFonts w:eastAsiaTheme="minorEastAsia"/>
          <w:rtl/>
        </w:rPr>
        <w:t>26</w:t>
      </w:r>
      <w:r w:rsidRPr="00182C77">
        <w:rPr>
          <w:rFonts w:eastAsiaTheme="minorEastAsia"/>
          <w:rtl/>
        </w:rPr>
        <w:t xml:space="preserve">. </w:t>
      </w:r>
    </w:p>
  </w:footnote>
  <w:footnote w:id="14">
    <w:p w14:paraId="4779896F" w14:textId="77777777" w:rsidR="00182C77" w:rsidRPr="00182C77" w:rsidRDefault="00182C77" w:rsidP="00182C77">
      <w:pPr>
        <w:pStyle w:val="FootnoteText1"/>
        <w:textDirection w:val="tbRlV"/>
        <w:rPr>
          <w:rFonts w:eastAsiaTheme="minorEastAsia"/>
          <w:szCs w:val="20"/>
          <w:lang w:val="ar-SA" w:eastAsia="zh-TW" w:bidi="en-GB"/>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r>
      <w:hyperlink r:id="rId7" w:history="1">
        <w:r w:rsidRPr="00182C77">
          <w:rPr>
            <w:rStyle w:val="Hyperlink"/>
            <w:rFonts w:eastAsiaTheme="minorEastAsia"/>
          </w:rPr>
          <w:t>HRI/GEN/</w:t>
        </w:r>
        <w:r w:rsidRPr="002C5709">
          <w:rPr>
            <w:rStyle w:val="Hyperlink"/>
            <w:rFonts w:eastAsiaTheme="minorEastAsia"/>
          </w:rPr>
          <w:t>2</w:t>
        </w:r>
        <w:r w:rsidRPr="00182C77">
          <w:rPr>
            <w:rStyle w:val="Hyperlink"/>
            <w:rFonts w:eastAsiaTheme="minorEastAsia"/>
          </w:rPr>
          <w:t>/Rev.</w:t>
        </w:r>
        <w:r w:rsidRPr="002C5709">
          <w:rPr>
            <w:rStyle w:val="Hyperlink"/>
            <w:rFonts w:eastAsiaTheme="minorEastAsia"/>
          </w:rPr>
          <w:t>6</w:t>
        </w:r>
      </w:hyperlink>
      <w:r w:rsidRPr="00182C77">
        <w:rPr>
          <w:rFonts w:eastAsiaTheme="minorEastAsia"/>
          <w:rtl/>
        </w:rPr>
        <w:t xml:space="preserve">، الفصل الأول. </w:t>
      </w:r>
    </w:p>
  </w:footnote>
  <w:footnote w:id="15">
    <w:p w14:paraId="2CFB34E6" w14:textId="77777777" w:rsidR="00182C77" w:rsidRPr="00182C77" w:rsidRDefault="00182C77" w:rsidP="00182C77">
      <w:pPr>
        <w:pStyle w:val="FootnoteText1"/>
        <w:textDirection w:val="tbRlV"/>
        <w:rPr>
          <w:rFonts w:eastAsiaTheme="minorEastAsia"/>
          <w:rtl/>
          <w:lang w:eastAsia="zh-TW"/>
        </w:rPr>
      </w:pPr>
      <w:r w:rsidRPr="00182C77">
        <w:rPr>
          <w:rFonts w:eastAsiaTheme="minorEastAsia"/>
          <w:rtl/>
        </w:rPr>
        <w:t>(</w:t>
      </w:r>
      <w:r w:rsidRPr="002C5709">
        <w:rPr>
          <w:rStyle w:val="FootnoteReference"/>
          <w:rFonts w:eastAsiaTheme="minorEastAsia"/>
          <w:vertAlign w:val="baseline"/>
        </w:rPr>
        <w:footnoteRef/>
      </w:r>
      <w:r w:rsidRPr="00F07329">
        <w:rPr>
          <w:rStyle w:val="FootnoteReference"/>
          <w:rFonts w:eastAsiaTheme="minorEastAsia"/>
          <w:vertAlign w:val="baseline"/>
          <w:rtl/>
        </w:rPr>
        <w:t>)</w:t>
      </w:r>
      <w:r w:rsidRPr="00182C77">
        <w:rPr>
          <w:rFonts w:eastAsiaTheme="minorEastAsia"/>
          <w:rtl/>
        </w:rPr>
        <w:tab/>
      </w:r>
      <w:hyperlink r:id="rId8" w:history="1">
        <w:r w:rsidRPr="00182C77">
          <w:rPr>
            <w:rStyle w:val="Hyperlink"/>
            <w:rFonts w:eastAsiaTheme="minorEastAsia"/>
          </w:rPr>
          <w:t>CERD/C/</w:t>
        </w:r>
        <w:r w:rsidRPr="002C5709">
          <w:rPr>
            <w:rStyle w:val="Hyperlink"/>
            <w:rFonts w:eastAsiaTheme="minorEastAsia"/>
          </w:rPr>
          <w:t>2007</w:t>
        </w:r>
        <w:r w:rsidRPr="00182C77">
          <w:rPr>
            <w:rStyle w:val="Hyperlink"/>
            <w:rFonts w:eastAsiaTheme="minorEastAsia"/>
          </w:rPr>
          <w:t>/</w:t>
        </w:r>
        <w:r w:rsidRPr="002C5709">
          <w:rPr>
            <w:rStyle w:val="Hyperlink"/>
            <w:rFonts w:eastAsiaTheme="minorEastAsia"/>
          </w:rPr>
          <w:t>1</w:t>
        </w:r>
      </w:hyperlink>
      <w:r w:rsidRPr="00182C77">
        <w:rPr>
          <w:rFonts w:eastAsiaTheme="minorEastAsia"/>
          <w:rtl/>
          <w:lang w:eastAsia="zh-TW"/>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3CDFAC" w14:textId="535D5190" w:rsidR="00D6012F" w:rsidRPr="00D6012F" w:rsidRDefault="00D6012F" w:rsidP="00D6012F">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CERD/C/SVK/CO/13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68525" w14:textId="05252E0E" w:rsidR="00D6012F" w:rsidRPr="00D6012F" w:rsidRDefault="00D6012F" w:rsidP="00D6012F">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CERD/C/SVK/CO/13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55333957">
    <w:abstractNumId w:val="15"/>
  </w:num>
  <w:num w:numId="2" w16cid:durableId="475878166">
    <w:abstractNumId w:val="12"/>
  </w:num>
  <w:num w:numId="3" w16cid:durableId="471743">
    <w:abstractNumId w:val="2"/>
  </w:num>
  <w:num w:numId="4" w16cid:durableId="2136025931">
    <w:abstractNumId w:val="11"/>
  </w:num>
  <w:num w:numId="5" w16cid:durableId="494615389">
    <w:abstractNumId w:val="8"/>
  </w:num>
  <w:num w:numId="6" w16cid:durableId="1500924043">
    <w:abstractNumId w:val="5"/>
  </w:num>
  <w:num w:numId="7" w16cid:durableId="1650554099">
    <w:abstractNumId w:val="17"/>
  </w:num>
  <w:num w:numId="8" w16cid:durableId="451483618">
    <w:abstractNumId w:val="2"/>
  </w:num>
  <w:num w:numId="9" w16cid:durableId="333189375">
    <w:abstractNumId w:val="11"/>
  </w:num>
  <w:num w:numId="10" w16cid:durableId="161237271">
    <w:abstractNumId w:val="5"/>
  </w:num>
  <w:num w:numId="11" w16cid:durableId="777602761">
    <w:abstractNumId w:val="17"/>
  </w:num>
  <w:num w:numId="12" w16cid:durableId="61028500">
    <w:abstractNumId w:val="4"/>
  </w:num>
  <w:num w:numId="13" w16cid:durableId="444544964">
    <w:abstractNumId w:val="3"/>
  </w:num>
  <w:num w:numId="14" w16cid:durableId="111287749">
    <w:abstractNumId w:val="16"/>
  </w:num>
  <w:num w:numId="15" w16cid:durableId="1314718555">
    <w:abstractNumId w:val="13"/>
  </w:num>
  <w:num w:numId="16" w16cid:durableId="757285651">
    <w:abstractNumId w:val="1"/>
  </w:num>
  <w:num w:numId="17" w16cid:durableId="922757720">
    <w:abstractNumId w:val="14"/>
  </w:num>
  <w:num w:numId="18" w16cid:durableId="214972665">
    <w:abstractNumId w:val="0"/>
  </w:num>
  <w:num w:numId="19" w16cid:durableId="1355306536">
    <w:abstractNumId w:val="9"/>
  </w:num>
  <w:num w:numId="20" w16cid:durableId="1617636776">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20824088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334088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554777183">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828399057">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1953003548">
    <w:abstractNumId w:val="7"/>
  </w:num>
  <w:num w:numId="26" w16cid:durableId="1523663707">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138124498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3D97"/>
    <w:rsid w:val="000076D5"/>
    <w:rsid w:val="00043663"/>
    <w:rsid w:val="000505CF"/>
    <w:rsid w:val="00061207"/>
    <w:rsid w:val="00090D4F"/>
    <w:rsid w:val="000A3229"/>
    <w:rsid w:val="000C7267"/>
    <w:rsid w:val="000D5F55"/>
    <w:rsid w:val="000D701C"/>
    <w:rsid w:val="000E2A71"/>
    <w:rsid w:val="00127690"/>
    <w:rsid w:val="001435D5"/>
    <w:rsid w:val="00156D54"/>
    <w:rsid w:val="00160263"/>
    <w:rsid w:val="00181F96"/>
    <w:rsid w:val="00182C77"/>
    <w:rsid w:val="00186F74"/>
    <w:rsid w:val="001A1371"/>
    <w:rsid w:val="001B346A"/>
    <w:rsid w:val="001C1485"/>
    <w:rsid w:val="001C4A35"/>
    <w:rsid w:val="001E1CAD"/>
    <w:rsid w:val="001E290D"/>
    <w:rsid w:val="002144FA"/>
    <w:rsid w:val="0023469A"/>
    <w:rsid w:val="00243C8A"/>
    <w:rsid w:val="0026057C"/>
    <w:rsid w:val="00263543"/>
    <w:rsid w:val="00267A0E"/>
    <w:rsid w:val="00276D72"/>
    <w:rsid w:val="002901D9"/>
    <w:rsid w:val="002976C2"/>
    <w:rsid w:val="002A00AC"/>
    <w:rsid w:val="002C5709"/>
    <w:rsid w:val="002D2D42"/>
    <w:rsid w:val="002E002F"/>
    <w:rsid w:val="003110CF"/>
    <w:rsid w:val="00324028"/>
    <w:rsid w:val="003260FF"/>
    <w:rsid w:val="00326A5E"/>
    <w:rsid w:val="00343D95"/>
    <w:rsid w:val="00374341"/>
    <w:rsid w:val="0039392F"/>
    <w:rsid w:val="003A0060"/>
    <w:rsid w:val="003B1799"/>
    <w:rsid w:val="003C5C4C"/>
    <w:rsid w:val="003C67DF"/>
    <w:rsid w:val="003D1062"/>
    <w:rsid w:val="003E0437"/>
    <w:rsid w:val="004024CE"/>
    <w:rsid w:val="00415714"/>
    <w:rsid w:val="00420D7B"/>
    <w:rsid w:val="00450B21"/>
    <w:rsid w:val="00453B63"/>
    <w:rsid w:val="00455780"/>
    <w:rsid w:val="004714DA"/>
    <w:rsid w:val="004A14A6"/>
    <w:rsid w:val="004B0A1C"/>
    <w:rsid w:val="004B1A56"/>
    <w:rsid w:val="004B65E7"/>
    <w:rsid w:val="004D298E"/>
    <w:rsid w:val="00507D23"/>
    <w:rsid w:val="00523BAE"/>
    <w:rsid w:val="005362BE"/>
    <w:rsid w:val="005445EF"/>
    <w:rsid w:val="0054472E"/>
    <w:rsid w:val="005662A9"/>
    <w:rsid w:val="005827D4"/>
    <w:rsid w:val="0059622A"/>
    <w:rsid w:val="005A09E8"/>
    <w:rsid w:val="005C5878"/>
    <w:rsid w:val="005C7CEA"/>
    <w:rsid w:val="005D3C0B"/>
    <w:rsid w:val="005E3E78"/>
    <w:rsid w:val="005E5217"/>
    <w:rsid w:val="005F0FA4"/>
    <w:rsid w:val="005F30EE"/>
    <w:rsid w:val="0060473A"/>
    <w:rsid w:val="0061085A"/>
    <w:rsid w:val="00656392"/>
    <w:rsid w:val="0068781D"/>
    <w:rsid w:val="006959B0"/>
    <w:rsid w:val="006B3E27"/>
    <w:rsid w:val="006B6507"/>
    <w:rsid w:val="006C104C"/>
    <w:rsid w:val="00733704"/>
    <w:rsid w:val="00735C55"/>
    <w:rsid w:val="00741A58"/>
    <w:rsid w:val="0078071A"/>
    <w:rsid w:val="00797F2F"/>
    <w:rsid w:val="007E37DC"/>
    <w:rsid w:val="007E5F40"/>
    <w:rsid w:val="00813296"/>
    <w:rsid w:val="00827AC7"/>
    <w:rsid w:val="008315F0"/>
    <w:rsid w:val="008357B8"/>
    <w:rsid w:val="00852A9A"/>
    <w:rsid w:val="008B0BF2"/>
    <w:rsid w:val="008F49E1"/>
    <w:rsid w:val="00903458"/>
    <w:rsid w:val="0090370F"/>
    <w:rsid w:val="00912700"/>
    <w:rsid w:val="009269D2"/>
    <w:rsid w:val="00942135"/>
    <w:rsid w:val="009521B0"/>
    <w:rsid w:val="00983BB0"/>
    <w:rsid w:val="00994130"/>
    <w:rsid w:val="009A7E9F"/>
    <w:rsid w:val="009E5018"/>
    <w:rsid w:val="00A12B37"/>
    <w:rsid w:val="00A570BE"/>
    <w:rsid w:val="00A6367F"/>
    <w:rsid w:val="00AB6758"/>
    <w:rsid w:val="00AC17CB"/>
    <w:rsid w:val="00AD677C"/>
    <w:rsid w:val="00B13763"/>
    <w:rsid w:val="00B14382"/>
    <w:rsid w:val="00B176FF"/>
    <w:rsid w:val="00B44E12"/>
    <w:rsid w:val="00B455EE"/>
    <w:rsid w:val="00B477A4"/>
    <w:rsid w:val="00B52BCC"/>
    <w:rsid w:val="00B54045"/>
    <w:rsid w:val="00BA2567"/>
    <w:rsid w:val="00C438D7"/>
    <w:rsid w:val="00C47A45"/>
    <w:rsid w:val="00C81B50"/>
    <w:rsid w:val="00CB28F9"/>
    <w:rsid w:val="00CC2F24"/>
    <w:rsid w:val="00CD1801"/>
    <w:rsid w:val="00CF2B82"/>
    <w:rsid w:val="00D10EF1"/>
    <w:rsid w:val="00D36601"/>
    <w:rsid w:val="00D42810"/>
    <w:rsid w:val="00D6012F"/>
    <w:rsid w:val="00D62EA4"/>
    <w:rsid w:val="00D81286"/>
    <w:rsid w:val="00D914A7"/>
    <w:rsid w:val="00D952E6"/>
    <w:rsid w:val="00DB79BF"/>
    <w:rsid w:val="00DD0800"/>
    <w:rsid w:val="00DD13C3"/>
    <w:rsid w:val="00DD596E"/>
    <w:rsid w:val="00DD621E"/>
    <w:rsid w:val="00DF0575"/>
    <w:rsid w:val="00E70E04"/>
    <w:rsid w:val="00E76499"/>
    <w:rsid w:val="00E82400"/>
    <w:rsid w:val="00E86B08"/>
    <w:rsid w:val="00E93D97"/>
    <w:rsid w:val="00EC05A7"/>
    <w:rsid w:val="00EC4B6B"/>
    <w:rsid w:val="00EF1EE5"/>
    <w:rsid w:val="00F04C3D"/>
    <w:rsid w:val="00F07329"/>
    <w:rsid w:val="00F33749"/>
    <w:rsid w:val="00F4361D"/>
    <w:rsid w:val="00F46702"/>
    <w:rsid w:val="00F763B4"/>
    <w:rsid w:val="00F83E84"/>
    <w:rsid w:val="00F900C3"/>
    <w:rsid w:val="00FA7FFE"/>
    <w:rsid w:val="00FC78E6"/>
    <w:rsid w:val="00FD2424"/>
    <w:rsid w:val="00FF2AB2"/>
    <w:rsid w:val="00FF2B13"/>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F0FE1D8"/>
  <w15:docId w15:val="{12249BD6-AB18-4D47-8A09-EB7F562BD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17CB"/>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AC17CB"/>
    <w:pPr>
      <w:bidi w:val="0"/>
      <w:outlineLvl w:val="0"/>
    </w:pPr>
  </w:style>
  <w:style w:type="paragraph" w:styleId="Heading2">
    <w:name w:val="heading 2"/>
    <w:basedOn w:val="Normal"/>
    <w:next w:val="Normal"/>
    <w:link w:val="Heading2Char"/>
    <w:uiPriority w:val="9"/>
    <w:unhideWhenUsed/>
    <w:rsid w:val="00AC17CB"/>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AC17CB"/>
    <w:pPr>
      <w:keepNext/>
      <w:keepLines/>
      <w:spacing w:before="200"/>
      <w:outlineLvl w:val="2"/>
    </w:pPr>
    <w:rPr>
      <w:b/>
      <w:bCs/>
      <w:color w:val="4F81BD"/>
    </w:rPr>
  </w:style>
  <w:style w:type="paragraph" w:styleId="Heading4">
    <w:name w:val="heading 4"/>
    <w:basedOn w:val="Normal"/>
    <w:next w:val="Normal"/>
    <w:link w:val="Heading4Char"/>
    <w:uiPriority w:val="9"/>
    <w:unhideWhenUsed/>
    <w:rsid w:val="00AC17CB"/>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AC17CB"/>
    <w:pPr>
      <w:keepNext/>
      <w:keepLines/>
      <w:spacing w:before="200"/>
      <w:outlineLvl w:val="4"/>
    </w:pPr>
    <w:rPr>
      <w:color w:val="243F60"/>
    </w:rPr>
  </w:style>
  <w:style w:type="paragraph" w:styleId="Heading6">
    <w:name w:val="heading 6"/>
    <w:basedOn w:val="Normal"/>
    <w:next w:val="Normal"/>
    <w:link w:val="Heading6Char"/>
    <w:uiPriority w:val="9"/>
    <w:unhideWhenUsed/>
    <w:rsid w:val="00AC17CB"/>
    <w:pPr>
      <w:keepNext/>
      <w:keepLines/>
      <w:spacing w:before="200"/>
      <w:outlineLvl w:val="5"/>
    </w:pPr>
    <w:rPr>
      <w:i/>
      <w:iCs/>
      <w:color w:val="243F60"/>
    </w:rPr>
  </w:style>
  <w:style w:type="paragraph" w:styleId="Heading7">
    <w:name w:val="heading 7"/>
    <w:basedOn w:val="Normal"/>
    <w:next w:val="Normal"/>
    <w:link w:val="Heading7Char"/>
    <w:uiPriority w:val="9"/>
    <w:unhideWhenUsed/>
    <w:rsid w:val="00AC17CB"/>
    <w:pPr>
      <w:keepNext/>
      <w:keepLines/>
      <w:spacing w:before="200"/>
      <w:outlineLvl w:val="6"/>
    </w:pPr>
    <w:rPr>
      <w:i/>
      <w:iCs/>
      <w:color w:val="404040"/>
    </w:rPr>
  </w:style>
  <w:style w:type="paragraph" w:styleId="Heading8">
    <w:name w:val="heading 8"/>
    <w:basedOn w:val="Normal"/>
    <w:next w:val="Normal"/>
    <w:link w:val="Heading8Char"/>
    <w:uiPriority w:val="9"/>
    <w:unhideWhenUsed/>
    <w:rsid w:val="00AC17CB"/>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AC17CB"/>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AC17CB"/>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AC17CB"/>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AC17CB"/>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AC17CB"/>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AC17CB"/>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AC17CB"/>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AC17CB"/>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AC17CB"/>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AC17CB"/>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AC17CB"/>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AC17CB"/>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AC17CB"/>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AC17CB"/>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AC17CB"/>
    <w:pPr>
      <w:numPr>
        <w:numId w:val="5"/>
      </w:numPr>
      <w:bidi w:val="0"/>
    </w:pPr>
    <w:rPr>
      <w:lang w:val="en-US"/>
    </w:rPr>
  </w:style>
  <w:style w:type="paragraph" w:customStyle="1" w:styleId="Roman1GA">
    <w:name w:val="_Roman 1_GA"/>
    <w:basedOn w:val="Bullet1GA"/>
    <w:qFormat/>
    <w:rsid w:val="00AC17CB"/>
    <w:pPr>
      <w:numPr>
        <w:numId w:val="6"/>
      </w:numPr>
      <w:tabs>
        <w:tab w:val="clear" w:pos="2310"/>
        <w:tab w:val="left" w:pos="2486"/>
      </w:tabs>
      <w:ind w:left="2486" w:hanging="378"/>
    </w:pPr>
  </w:style>
  <w:style w:type="paragraph" w:customStyle="1" w:styleId="Roman2GA">
    <w:name w:val="_Roman 2_GA"/>
    <w:basedOn w:val="Bullet2GA"/>
    <w:qFormat/>
    <w:rsid w:val="00AC17CB"/>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AC17CB"/>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AC17CB"/>
    <w:rPr>
      <w:rFonts w:ascii="Times New Roman" w:eastAsia="PMingLiU" w:hAnsi="Times New Roman" w:cs="Simplified Arabic"/>
      <w:sz w:val="18"/>
      <w:szCs w:val="20"/>
      <w:lang w:val="en-GB"/>
    </w:rPr>
  </w:style>
  <w:style w:type="character" w:customStyle="1" w:styleId="EndtnoteReference">
    <w:name w:val="Endtnote Reference"/>
    <w:aliases w:val="1_GA"/>
    <w:qFormat/>
    <w:rsid w:val="00AC17CB"/>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AC17CB"/>
    <w:pPr>
      <w:suppressAutoHyphens/>
      <w:bidi w:val="0"/>
      <w:spacing w:line="240" w:lineRule="auto"/>
    </w:pPr>
    <w:rPr>
      <w:sz w:val="16"/>
      <w:lang w:val="en-GB"/>
    </w:rPr>
  </w:style>
  <w:style w:type="character" w:customStyle="1" w:styleId="FooterChar">
    <w:name w:val="Footer Char"/>
    <w:aliases w:val="3_GA Char,3_G Char"/>
    <w:link w:val="Footer"/>
    <w:rsid w:val="00AC17CB"/>
    <w:rPr>
      <w:rFonts w:ascii="Times New Roman" w:eastAsia="PMingLiU" w:hAnsi="Times New Roman" w:cs="Simplified Arabic"/>
      <w:sz w:val="16"/>
      <w:lang w:val="en-GB"/>
    </w:rPr>
  </w:style>
  <w:style w:type="paragraph" w:customStyle="1" w:styleId="FootnoteText1">
    <w:name w:val="Footnote Text1"/>
    <w:aliases w:val="5_GA"/>
    <w:basedOn w:val="Normal"/>
    <w:qFormat/>
    <w:rsid w:val="00AC17CB"/>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AC17CB"/>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AC17CB"/>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AC17CB"/>
    <w:rPr>
      <w:rFonts w:ascii="Times New Roman" w:eastAsia="PMingLiU" w:hAnsi="Times New Roman" w:cs="Simplified Arabic"/>
      <w:lang w:val="en-GB"/>
    </w:rPr>
  </w:style>
  <w:style w:type="character" w:styleId="PageNumber">
    <w:name w:val="page number"/>
    <w:aliases w:val="7_GA,7_G"/>
    <w:qFormat/>
    <w:rsid w:val="00AC17CB"/>
    <w:rPr>
      <w:rFonts w:ascii="Times New Roman Bold" w:hAnsi="Times New Roman Bold"/>
      <w:b/>
      <w:i w:val="0"/>
      <w:sz w:val="18"/>
      <w:szCs w:val="18"/>
    </w:rPr>
  </w:style>
  <w:style w:type="paragraph" w:customStyle="1" w:styleId="XXLargeGA">
    <w:name w:val="XXLarge_GA"/>
    <w:basedOn w:val="Normal"/>
    <w:next w:val="SingleTxtGA"/>
    <w:qFormat/>
    <w:rsid w:val="00AC17CB"/>
    <w:pPr>
      <w:suppressAutoHyphens/>
      <w:spacing w:line="820" w:lineRule="exact"/>
    </w:pPr>
    <w:rPr>
      <w:spacing w:val="-8"/>
      <w:w w:val="96"/>
      <w:sz w:val="57"/>
      <w:szCs w:val="86"/>
      <w:lang w:val="en-GB"/>
    </w:rPr>
  </w:style>
  <w:style w:type="character" w:customStyle="1" w:styleId="Heading2Char">
    <w:name w:val="Heading 2 Char"/>
    <w:link w:val="Heading2"/>
    <w:uiPriority w:val="9"/>
    <w:rsid w:val="00AC17CB"/>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AC17CB"/>
    <w:rPr>
      <w:rFonts w:ascii="Times New Roman" w:eastAsia="PMingLiU" w:hAnsi="Times New Roman" w:cs="Simplified Arabic"/>
      <w:b/>
      <w:bCs/>
      <w:color w:val="4F81BD"/>
      <w:sz w:val="20"/>
    </w:rPr>
  </w:style>
  <w:style w:type="character" w:customStyle="1" w:styleId="Heading4Char">
    <w:name w:val="Heading 4 Char"/>
    <w:link w:val="Heading4"/>
    <w:uiPriority w:val="9"/>
    <w:rsid w:val="00AC17CB"/>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AC17CB"/>
    <w:rPr>
      <w:rFonts w:ascii="Times New Roman" w:eastAsia="PMingLiU" w:hAnsi="Times New Roman" w:cs="Simplified Arabic"/>
      <w:color w:val="243F60"/>
      <w:sz w:val="20"/>
    </w:rPr>
  </w:style>
  <w:style w:type="character" w:customStyle="1" w:styleId="Heading6Char">
    <w:name w:val="Heading 6 Char"/>
    <w:link w:val="Heading6"/>
    <w:uiPriority w:val="9"/>
    <w:rsid w:val="00AC17CB"/>
    <w:rPr>
      <w:rFonts w:ascii="Times New Roman" w:eastAsia="PMingLiU" w:hAnsi="Times New Roman" w:cs="Simplified Arabic"/>
      <w:i/>
      <w:iCs/>
      <w:color w:val="243F60"/>
      <w:sz w:val="20"/>
    </w:rPr>
  </w:style>
  <w:style w:type="character" w:customStyle="1" w:styleId="Heading7Char">
    <w:name w:val="Heading 7 Char"/>
    <w:link w:val="Heading7"/>
    <w:uiPriority w:val="9"/>
    <w:rsid w:val="00AC17CB"/>
    <w:rPr>
      <w:rFonts w:ascii="Times New Roman" w:eastAsia="PMingLiU" w:hAnsi="Times New Roman" w:cs="Simplified Arabic"/>
      <w:i/>
      <w:iCs/>
      <w:color w:val="404040"/>
      <w:sz w:val="20"/>
    </w:rPr>
  </w:style>
  <w:style w:type="character" w:customStyle="1" w:styleId="Heading8Char">
    <w:name w:val="Heading 8 Char"/>
    <w:link w:val="Heading8"/>
    <w:uiPriority w:val="9"/>
    <w:rsid w:val="00AC17CB"/>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AC17CB"/>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AC17CB"/>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AC17CB"/>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AC17CB"/>
    <w:pPr>
      <w:numPr>
        <w:ilvl w:val="1"/>
      </w:numPr>
    </w:pPr>
    <w:rPr>
      <w:i/>
      <w:iCs/>
      <w:color w:val="4F81BD"/>
      <w:spacing w:val="15"/>
      <w:sz w:val="24"/>
      <w:szCs w:val="24"/>
    </w:rPr>
  </w:style>
  <w:style w:type="character" w:customStyle="1" w:styleId="SubtitleChar">
    <w:name w:val="Subtitle Char"/>
    <w:link w:val="Subtitle"/>
    <w:uiPriority w:val="11"/>
    <w:rsid w:val="00AC17CB"/>
    <w:rPr>
      <w:rFonts w:ascii="Times New Roman" w:eastAsia="PMingLiU" w:hAnsi="Times New Roman" w:cs="Simplified Arabic"/>
      <w:i/>
      <w:iCs/>
      <w:color w:val="4F81BD"/>
      <w:spacing w:val="15"/>
      <w:sz w:val="24"/>
      <w:szCs w:val="24"/>
    </w:rPr>
  </w:style>
  <w:style w:type="character" w:styleId="Strong">
    <w:name w:val="Strong"/>
    <w:uiPriority w:val="22"/>
    <w:rsid w:val="00AC17CB"/>
    <w:rPr>
      <w:b/>
      <w:bCs/>
    </w:rPr>
  </w:style>
  <w:style w:type="table" w:styleId="TableGrid">
    <w:name w:val="Table Grid"/>
    <w:basedOn w:val="TableNormal"/>
    <w:rsid w:val="00AC17CB"/>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AC17CB"/>
    <w:rPr>
      <w:color w:val="0000FF"/>
      <w:u w:val="none"/>
    </w:rPr>
  </w:style>
  <w:style w:type="paragraph" w:styleId="TOC1">
    <w:name w:val="toc 1"/>
    <w:basedOn w:val="Normal"/>
    <w:link w:val="TOC1Char"/>
    <w:autoRedefine/>
    <w:uiPriority w:val="39"/>
    <w:unhideWhenUsed/>
    <w:rsid w:val="00AC17CB"/>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AC17CB"/>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AC17CB"/>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AC17CB"/>
    <w:rPr>
      <w:rFonts w:eastAsia="DengXian"/>
      <w:color w:val="auto"/>
      <w:sz w:val="20"/>
      <w:szCs w:val="20"/>
      <w:u w:val="none"/>
      <w:lang w:eastAsia="zh-CN" w:bidi="ar-EG"/>
    </w:rPr>
  </w:style>
  <w:style w:type="paragraph" w:styleId="TOC4">
    <w:name w:val="toc 4"/>
    <w:basedOn w:val="Normal"/>
    <w:link w:val="TOC4Char"/>
    <w:autoRedefine/>
    <w:uiPriority w:val="39"/>
    <w:unhideWhenUsed/>
    <w:rsid w:val="00AC17CB"/>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AC17CB"/>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AC17CB"/>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AC17CB"/>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AC17CB"/>
    <w:rPr>
      <w:rFonts w:ascii="Times New Roman" w:eastAsia="PMingLiU" w:hAnsi="Times New Roman" w:cs="Simplified Arabic"/>
      <w:lang w:val="en-GB"/>
    </w:rPr>
  </w:style>
  <w:style w:type="character" w:customStyle="1" w:styleId="TOC1Char">
    <w:name w:val="TOC 1 Char"/>
    <w:basedOn w:val="DefaultParagraphFont"/>
    <w:link w:val="TOC1"/>
    <w:uiPriority w:val="39"/>
    <w:rsid w:val="00AC17CB"/>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AC17CB"/>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AC17CB"/>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AC17CB"/>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AC17CB"/>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AC17CB"/>
    <w:rPr>
      <w:rFonts w:ascii="Times New Roman" w:eastAsia="PMingLiU" w:hAnsi="Times New Roman" w:cs="Simplified Arabic"/>
      <w:sz w:val="20"/>
      <w:szCs w:val="20"/>
      <w:lang w:val="en-GB"/>
    </w:rPr>
  </w:style>
  <w:style w:type="paragraph" w:customStyle="1" w:styleId="NormalA">
    <w:name w:val="Normal_A"/>
    <w:basedOn w:val="Normal"/>
    <w:qFormat/>
    <w:rsid w:val="00AC17CB"/>
  </w:style>
  <w:style w:type="paragraph" w:customStyle="1" w:styleId="FootnoteGA">
    <w:name w:val="_Footnote_GA"/>
    <w:basedOn w:val="Normal"/>
    <w:qFormat/>
    <w:rsid w:val="00AC17CB"/>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AC17CB"/>
    <w:rPr>
      <w:sz w:val="44"/>
      <w:szCs w:val="44"/>
      <w:lang w:val="en-US" w:bidi="ar-DZ"/>
    </w:rPr>
  </w:style>
  <w:style w:type="paragraph" w:customStyle="1" w:styleId="FootnoteGA0">
    <w:name w:val="Footnote_GA"/>
    <w:basedOn w:val="Normal"/>
    <w:qFormat/>
    <w:rsid w:val="00AC17CB"/>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AC17CB"/>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AC17CB"/>
    <w:pPr>
      <w:spacing w:line="240" w:lineRule="exact"/>
    </w:pPr>
    <w:rPr>
      <w:spacing w:val="6"/>
      <w:w w:val="106"/>
      <w:sz w:val="14"/>
      <w:szCs w:val="21"/>
    </w:rPr>
  </w:style>
  <w:style w:type="paragraph" w:customStyle="1" w:styleId="Original">
    <w:name w:val="Original"/>
    <w:basedOn w:val="Normal"/>
    <w:next w:val="Normal"/>
    <w:qFormat/>
    <w:rsid w:val="00AC17CB"/>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AC17CB"/>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AC17CB"/>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FA7F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FA7F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FA7F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AC17CB"/>
    <w:rPr>
      <w:lang w:val="en-US" w:eastAsia="zh-TW"/>
    </w:rPr>
  </w:style>
  <w:style w:type="paragraph" w:customStyle="1" w:styleId="STitleMGA">
    <w:name w:val="S_Title_M_GA"/>
    <w:basedOn w:val="SMGA"/>
    <w:qFormat/>
    <w:rsid w:val="00AC17CB"/>
    <w:rPr>
      <w:lang w:eastAsia="zh-TW"/>
    </w:rPr>
  </w:style>
  <w:style w:type="paragraph" w:customStyle="1" w:styleId="STitleSGA">
    <w:name w:val="S_Title_S_GA"/>
    <w:basedOn w:val="SSGA"/>
    <w:qFormat/>
    <w:rsid w:val="00AC17CB"/>
    <w:rPr>
      <w:lang w:eastAsia="zh-TW"/>
    </w:rPr>
  </w:style>
  <w:style w:type="paragraph" w:customStyle="1" w:styleId="HChG">
    <w:name w:val="_ H _Ch_G"/>
    <w:basedOn w:val="Normal"/>
    <w:next w:val="Normal"/>
    <w:rsid w:val="00E86B08"/>
    <w:pPr>
      <w:keepNext/>
      <w:keepLines/>
      <w:tabs>
        <w:tab w:val="right" w:pos="851"/>
      </w:tabs>
      <w:suppressAutoHyphens/>
      <w:bidi w:val="0"/>
      <w:spacing w:before="360" w:after="240" w:line="300" w:lineRule="exact"/>
      <w:ind w:left="1134" w:right="1134" w:hanging="1134"/>
      <w:jc w:val="left"/>
      <w:outlineLvl w:val="1"/>
    </w:pPr>
    <w:rPr>
      <w:rFonts w:eastAsia="SimSun" w:hAnsiTheme="minorHAnsi" w:cs="Traditional Arabic" w:hint="cs"/>
      <w:b/>
      <w:sz w:val="28"/>
      <w:szCs w:val="30"/>
      <w:lang w:val="en-GB" w:eastAsia="zh-CN"/>
    </w:rPr>
  </w:style>
  <w:style w:type="paragraph" w:customStyle="1" w:styleId="H1G">
    <w:name w:val="_ H_1_G"/>
    <w:basedOn w:val="Normal"/>
    <w:next w:val="Normal"/>
    <w:rsid w:val="00E86B08"/>
    <w:pPr>
      <w:keepNext/>
      <w:keepLines/>
      <w:tabs>
        <w:tab w:val="right" w:pos="851"/>
      </w:tabs>
      <w:suppressAutoHyphens/>
      <w:bidi w:val="0"/>
      <w:spacing w:before="360" w:after="240" w:line="270" w:lineRule="exact"/>
      <w:ind w:left="1134" w:right="1134" w:hanging="1134"/>
      <w:jc w:val="left"/>
      <w:outlineLvl w:val="2"/>
    </w:pPr>
    <w:rPr>
      <w:rFonts w:eastAsia="SimSun" w:hAnsiTheme="minorHAnsi" w:cs="Traditional Arabic" w:hint="cs"/>
      <w:b/>
      <w:sz w:val="24"/>
      <w:szCs w:val="30"/>
      <w:lang w:val="en-GB" w:eastAsia="zh-CN"/>
    </w:rPr>
  </w:style>
  <w:style w:type="paragraph" w:customStyle="1" w:styleId="H23G">
    <w:name w:val="_ H_2/3_G"/>
    <w:basedOn w:val="Normal"/>
    <w:next w:val="Normal"/>
    <w:rsid w:val="00E86B08"/>
    <w:pPr>
      <w:keepNext/>
      <w:keepLines/>
      <w:tabs>
        <w:tab w:val="right" w:pos="851"/>
      </w:tabs>
      <w:suppressAutoHyphens/>
      <w:bidi w:val="0"/>
      <w:spacing w:before="240" w:after="120" w:line="240" w:lineRule="exact"/>
      <w:ind w:left="1134" w:right="1134" w:hanging="1134"/>
      <w:jc w:val="left"/>
      <w:outlineLvl w:val="3"/>
    </w:pPr>
    <w:rPr>
      <w:rFonts w:eastAsia="SimSun" w:hAnsiTheme="minorHAnsi" w:cs="Traditional Arabic" w:hint="cs"/>
      <w:b/>
      <w:szCs w:val="30"/>
      <w:lang w:val="en-GB" w:eastAsia="zh-CN"/>
    </w:rPr>
  </w:style>
  <w:style w:type="paragraph" w:customStyle="1" w:styleId="SingleTxtG">
    <w:name w:val="_ Single Txt_G"/>
    <w:basedOn w:val="Normal"/>
    <w:rsid w:val="00E86B08"/>
    <w:pPr>
      <w:tabs>
        <w:tab w:val="left" w:pos="1701"/>
        <w:tab w:val="left" w:pos="2268"/>
      </w:tabs>
      <w:suppressAutoHyphens/>
      <w:bidi w:val="0"/>
      <w:spacing w:after="120"/>
      <w:ind w:left="1134" w:right="1134"/>
      <w:jc w:val="both"/>
    </w:pPr>
    <w:rPr>
      <w:rFonts w:eastAsia="SimSun" w:hAnsiTheme="minorHAnsi" w:cs="Traditional Arabic" w:hint="cs"/>
      <w:szCs w:val="30"/>
      <w:lang w:val="en-GB" w:eastAsia="zh-CN"/>
    </w:rPr>
  </w:style>
  <w:style w:type="paragraph" w:styleId="FootnoteText">
    <w:name w:val="footnote text"/>
    <w:aliases w:val="5_G"/>
    <w:basedOn w:val="Normal"/>
    <w:link w:val="FootnoteTextChar"/>
    <w:rsid w:val="00E86B08"/>
    <w:pPr>
      <w:tabs>
        <w:tab w:val="right" w:pos="1021"/>
      </w:tabs>
      <w:suppressAutoHyphens/>
      <w:bidi w:val="0"/>
      <w:spacing w:line="220" w:lineRule="exact"/>
      <w:ind w:left="1134" w:right="1134" w:hanging="1134"/>
      <w:jc w:val="left"/>
    </w:pPr>
    <w:rPr>
      <w:rFonts w:eastAsia="SimSun" w:hAnsiTheme="minorHAnsi" w:cs="Traditional Arabic" w:hint="cs"/>
      <w:sz w:val="18"/>
      <w:szCs w:val="30"/>
      <w:lang w:val="en-GB" w:eastAsia="zh-CN"/>
    </w:rPr>
  </w:style>
  <w:style w:type="character" w:customStyle="1" w:styleId="FootnoteTextChar">
    <w:name w:val="Footnote Text Char"/>
    <w:aliases w:val="5_G Char"/>
    <w:basedOn w:val="DefaultParagraphFont"/>
    <w:link w:val="FootnoteText"/>
    <w:rsid w:val="00E86B08"/>
    <w:rPr>
      <w:rFonts w:ascii="Times New Roman" w:eastAsia="SimSun" w:cs="Traditional Arabic"/>
      <w:sz w:val="18"/>
      <w:szCs w:val="30"/>
      <w:lang w:val="en-GB" w:eastAsia="zh-CN"/>
    </w:rPr>
  </w:style>
  <w:style w:type="character" w:styleId="FootnoteReference">
    <w:name w:val="footnote reference"/>
    <w:aliases w:val="4_G"/>
    <w:qFormat/>
    <w:rsid w:val="00E86B08"/>
    <w:rPr>
      <w:rFonts w:ascii="Times New Roman" w:hAnsi="Times New Roman"/>
      <w:sz w:val="18"/>
      <w:vertAlign w:val="superscript"/>
    </w:rPr>
  </w:style>
  <w:style w:type="character" w:styleId="UnresolvedMention">
    <w:name w:val="Unresolved Mention"/>
    <w:basedOn w:val="DefaultParagraphFont"/>
    <w:uiPriority w:val="99"/>
    <w:semiHidden/>
    <w:unhideWhenUsed/>
    <w:rsid w:val="00182C7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ERD/C/2007/1" TargetMode="External"/><Relationship Id="rId3" Type="http://schemas.openxmlformats.org/officeDocument/2006/relationships/hyperlink" Target="https://undocs.org/ar/CERD/C/SR.2906" TargetMode="External"/><Relationship Id="rId7" Type="http://schemas.openxmlformats.org/officeDocument/2006/relationships/hyperlink" Target="https://undocs.org/ar/HRI/GEN/2/Rev.6" TargetMode="External"/><Relationship Id="rId2" Type="http://schemas.openxmlformats.org/officeDocument/2006/relationships/hyperlink" Target="https://undocs.org/ar/CERD/C/SR.2905" TargetMode="External"/><Relationship Id="rId1" Type="http://schemas.openxmlformats.org/officeDocument/2006/relationships/hyperlink" Target="https://undocs.org/ar/CERD/C/SVK/13" TargetMode="External"/><Relationship Id="rId6" Type="http://schemas.openxmlformats.org/officeDocument/2006/relationships/hyperlink" Target="https://undocs.org/ar/CERD/C/SVK/CO/11-12" TargetMode="External"/><Relationship Id="rId5" Type="http://schemas.openxmlformats.org/officeDocument/2006/relationships/hyperlink" Target="https://undocs.org/ar/CERD/C/88/D/56/2014" TargetMode="External"/><Relationship Id="rId4" Type="http://schemas.openxmlformats.org/officeDocument/2006/relationships/hyperlink" Target="https://undocs.org/ar/CERD/C/SVK/CO/11-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C10D20-6174-4D23-81F9-BC4A807D0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2734</Words>
  <Characters>15584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CERD/C/SVK/CO/13</vt:lpstr>
    </vt:vector>
  </TitlesOfParts>
  <Company>DCM</Company>
  <LinksUpToDate>false</LinksUpToDate>
  <CharactersWithSpaces>18282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CERD/C/SVK/CO/13</dc:title>
  <dc:subject>GE.2214650(A)</dc:subject>
  <dc:creator>Muntaha BUHNAM - MEL</dc:creator>
  <cp:keywords>GE.2249047(A)</cp:keywords>
  <dc:description>Distr.: General
16 September 2022
Arabic
Original: English</dc:description>
  <cp:lastModifiedBy>Gamal Mohamed Abdelhamid Mahmoud</cp:lastModifiedBy>
  <cp:revision>2</cp:revision>
  <dcterms:created xsi:type="dcterms:W3CDTF">2022-10-24T09:26:00Z</dcterms:created>
  <dcterms:modified xsi:type="dcterms:W3CDTF">2022-10-24T09:26:00Z</dcterms:modified>
  <cp:category>Final</cp:category>
</cp:coreProperties>
</file>