
<file path=[Content_Types].xml><?xml version="1.0" encoding="utf-8"?>
<Types xmlns="http://schemas.openxmlformats.org/package/2006/content-types">
  <Default Extension="gif" ContentType="image/gi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5" w:tblpY="285"/>
        <w:tblOverlap w:val="never"/>
        <w:bidiVisual/>
        <w:tblW w:w="9631" w:type="dxa"/>
        <w:tblBorders>
          <w:bottom w:val="single" w:sz="4" w:space="0" w:color="auto"/>
          <w:insideH w:val="single" w:sz="4" w:space="0" w:color="auto"/>
        </w:tblBorders>
        <w:tblLayout w:type="fixed"/>
        <w:tblCellMar>
          <w:left w:w="0" w:type="dxa"/>
          <w:right w:w="0" w:type="dxa"/>
        </w:tblCellMar>
        <w:tblLook w:val="01E0" w:firstRow="1" w:lastRow="1" w:firstColumn="1" w:lastColumn="1" w:noHBand="0" w:noVBand="0"/>
      </w:tblPr>
      <w:tblGrid>
        <w:gridCol w:w="1266"/>
        <w:gridCol w:w="4767"/>
        <w:gridCol w:w="3598"/>
      </w:tblGrid>
      <w:tr w:rsidR="006B3E27" w:rsidRPr="00CA35DF" w14:paraId="3D82C229" w14:textId="77777777" w:rsidTr="00B456A0">
        <w:trPr>
          <w:trHeight w:hRule="exact" w:val="810"/>
        </w:trPr>
        <w:tc>
          <w:tcPr>
            <w:tcW w:w="1266" w:type="dxa"/>
            <w:tcBorders>
              <w:top w:val="nil"/>
              <w:bottom w:val="single" w:sz="4" w:space="0" w:color="auto"/>
            </w:tcBorders>
            <w:shd w:val="clear" w:color="auto" w:fill="auto"/>
          </w:tcPr>
          <w:p w14:paraId="3F1FF345" w14:textId="77777777" w:rsidR="00712059" w:rsidRPr="00CA35DF" w:rsidRDefault="00712059" w:rsidP="00A44083">
            <w:pPr>
              <w:kinsoku w:val="0"/>
              <w:overflowPunct w:val="0"/>
              <w:autoSpaceDE w:val="0"/>
              <w:autoSpaceDN w:val="0"/>
              <w:adjustRightInd w:val="0"/>
              <w:snapToGrid w:val="0"/>
              <w:spacing w:after="80" w:line="480" w:lineRule="exact"/>
              <w:rPr>
                <w:rFonts w:hint="cs"/>
                <w:szCs w:val="40"/>
              </w:rPr>
            </w:pPr>
          </w:p>
        </w:tc>
        <w:tc>
          <w:tcPr>
            <w:tcW w:w="4767" w:type="dxa"/>
            <w:tcBorders>
              <w:top w:val="nil"/>
              <w:bottom w:val="single" w:sz="4" w:space="0" w:color="auto"/>
            </w:tcBorders>
            <w:shd w:val="clear" w:color="auto" w:fill="auto"/>
            <w:vAlign w:val="bottom"/>
          </w:tcPr>
          <w:p w14:paraId="47C47D4D" w14:textId="77777777" w:rsidR="006B3E27" w:rsidRPr="00CA35DF" w:rsidRDefault="006B3E27" w:rsidP="00E2697F">
            <w:pPr>
              <w:spacing w:after="80" w:line="480" w:lineRule="exact"/>
              <w:ind w:left="57"/>
              <w:rPr>
                <w:sz w:val="30"/>
                <w:szCs w:val="30"/>
                <w:rtl/>
              </w:rPr>
            </w:pPr>
            <w:r w:rsidRPr="00CA35DF">
              <w:rPr>
                <w:rFonts w:hint="cs"/>
                <w:sz w:val="30"/>
                <w:szCs w:val="30"/>
                <w:rtl/>
              </w:rPr>
              <w:t>الأمم المتحدة</w:t>
            </w:r>
          </w:p>
        </w:tc>
        <w:tc>
          <w:tcPr>
            <w:tcW w:w="3598" w:type="dxa"/>
            <w:tcBorders>
              <w:top w:val="nil"/>
              <w:bottom w:val="single" w:sz="4" w:space="0" w:color="auto"/>
            </w:tcBorders>
            <w:shd w:val="clear" w:color="auto" w:fill="auto"/>
            <w:vAlign w:val="bottom"/>
          </w:tcPr>
          <w:p w14:paraId="5807C7A4" w14:textId="6B42CD29" w:rsidR="006B3E27" w:rsidRPr="00B426A2" w:rsidRDefault="00B426A2" w:rsidP="00B426A2">
            <w:pPr>
              <w:bidi w:val="0"/>
              <w:rPr>
                <w:szCs w:val="20"/>
              </w:rPr>
            </w:pPr>
            <w:r w:rsidRPr="002D233E">
              <w:rPr>
                <w:sz w:val="40"/>
                <w:szCs w:val="20"/>
              </w:rPr>
              <w:t>CAT</w:t>
            </w:r>
            <w:r w:rsidRPr="002D233E">
              <w:t>/</w:t>
            </w:r>
            <w:r w:rsidRPr="002D233E">
              <w:rPr>
                <w:szCs w:val="20"/>
              </w:rPr>
              <w:t>C</w:t>
            </w:r>
            <w:r w:rsidRPr="002D233E">
              <w:t>/</w:t>
            </w:r>
            <w:r w:rsidRPr="002D233E">
              <w:rPr>
                <w:szCs w:val="20"/>
              </w:rPr>
              <w:t>ESP</w:t>
            </w:r>
            <w:r w:rsidRPr="002D233E">
              <w:t>/</w:t>
            </w:r>
            <w:r w:rsidRPr="002D233E">
              <w:rPr>
                <w:szCs w:val="20"/>
              </w:rPr>
              <w:t>CO</w:t>
            </w:r>
            <w:r w:rsidRPr="002D233E">
              <w:t>/</w:t>
            </w:r>
            <w:r w:rsidRPr="00E44063">
              <w:t>7</w:t>
            </w:r>
          </w:p>
        </w:tc>
      </w:tr>
      <w:tr w:rsidR="006B3E27" w:rsidRPr="00CA35DF" w14:paraId="18CD4907" w14:textId="77777777" w:rsidTr="00B456A0">
        <w:trPr>
          <w:trHeight w:hRule="exact" w:val="2835"/>
        </w:trPr>
        <w:tc>
          <w:tcPr>
            <w:tcW w:w="1266" w:type="dxa"/>
            <w:tcBorders>
              <w:top w:val="nil"/>
              <w:bottom w:val="single" w:sz="12" w:space="0" w:color="auto"/>
            </w:tcBorders>
            <w:shd w:val="clear" w:color="auto" w:fill="auto"/>
          </w:tcPr>
          <w:p w14:paraId="5C5F61BB" w14:textId="77777777" w:rsidR="006B3E27" w:rsidRPr="00CA35DF" w:rsidRDefault="00261289" w:rsidP="00CA35DF">
            <w:pPr>
              <w:jc w:val="center"/>
              <w:rPr>
                <w:rtl/>
              </w:rPr>
            </w:pPr>
            <w:r w:rsidRPr="00CA35DF">
              <w:rPr>
                <w:noProof/>
                <w:rtl/>
              </w:rPr>
              <w:drawing>
                <wp:inline distT="0" distB="0" distL="0" distR="0" wp14:anchorId="778E8EC5" wp14:editId="33082330">
                  <wp:extent cx="629920" cy="611505"/>
                  <wp:effectExtent l="0" t="0" r="0" b="0"/>
                  <wp:docPr id="2" name="Picture 1" descr="شعار الأمم المتحدة"/>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14:useLocalDpi xmlns:a14="http://schemas.microsoft.com/office/drawing/2010/main" val="0"/>
                              </a:ext>
                            </a:extLst>
                          </a:blip>
                          <a:srcRect l="-52" t="-1387" r="-52" b="-1387"/>
                          <a:stretch>
                            <a:fillRect/>
                          </a:stretch>
                        </pic:blipFill>
                        <pic:spPr bwMode="auto">
                          <a:xfrm>
                            <a:off x="0" y="0"/>
                            <a:ext cx="629920" cy="611505"/>
                          </a:xfrm>
                          <a:prstGeom prst="rect">
                            <a:avLst/>
                          </a:prstGeom>
                          <a:noFill/>
                        </pic:spPr>
                      </pic:pic>
                    </a:graphicData>
                  </a:graphic>
                </wp:inline>
              </w:drawing>
            </w:r>
          </w:p>
        </w:tc>
        <w:tc>
          <w:tcPr>
            <w:tcW w:w="4767" w:type="dxa"/>
            <w:tcBorders>
              <w:top w:val="nil"/>
              <w:bottom w:val="single" w:sz="12" w:space="0" w:color="auto"/>
            </w:tcBorders>
            <w:shd w:val="clear" w:color="auto" w:fill="auto"/>
          </w:tcPr>
          <w:p w14:paraId="52351DAC" w14:textId="77777777" w:rsidR="00A67AF5" w:rsidRPr="00E44063" w:rsidRDefault="00817373" w:rsidP="00E2697F">
            <w:pPr>
              <w:spacing w:before="120" w:after="40" w:line="580" w:lineRule="exact"/>
              <w:ind w:left="57"/>
              <w:jc w:val="both"/>
              <w:rPr>
                <w:b/>
                <w:bCs/>
                <w:sz w:val="42"/>
                <w:szCs w:val="42"/>
                <w:rtl/>
              </w:rPr>
            </w:pPr>
            <w:r w:rsidRPr="00E44063">
              <w:rPr>
                <w:rFonts w:hint="cs"/>
                <w:b/>
                <w:bCs/>
                <w:sz w:val="42"/>
                <w:szCs w:val="42"/>
                <w:rtl/>
              </w:rPr>
              <w:t xml:space="preserve">اتفاقية مناهضة التعذيب وغيره من ضروب </w:t>
            </w:r>
            <w:proofErr w:type="gramStart"/>
            <w:r w:rsidRPr="00E44063">
              <w:rPr>
                <w:rFonts w:hint="cs"/>
                <w:b/>
                <w:bCs/>
                <w:sz w:val="42"/>
                <w:szCs w:val="42"/>
                <w:rtl/>
              </w:rPr>
              <w:t>المعاملة</w:t>
            </w:r>
            <w:proofErr w:type="gramEnd"/>
            <w:r w:rsidRPr="00E44063">
              <w:rPr>
                <w:rFonts w:hint="cs"/>
                <w:b/>
                <w:bCs/>
                <w:sz w:val="42"/>
                <w:szCs w:val="42"/>
                <w:rtl/>
              </w:rPr>
              <w:t xml:space="preserve"> أو العقوبة القاسية أو اللاإنسانية أو المهينة</w:t>
            </w:r>
          </w:p>
        </w:tc>
        <w:tc>
          <w:tcPr>
            <w:tcW w:w="3598" w:type="dxa"/>
            <w:tcBorders>
              <w:top w:val="nil"/>
              <w:bottom w:val="single" w:sz="12" w:space="0" w:color="auto"/>
            </w:tcBorders>
            <w:shd w:val="clear" w:color="auto" w:fill="auto"/>
          </w:tcPr>
          <w:p w14:paraId="210B1DB3" w14:textId="131C2D48" w:rsidR="006B3E27" w:rsidRDefault="00B426A2" w:rsidP="00EE56C3">
            <w:pPr>
              <w:bidi w:val="0"/>
              <w:spacing w:before="240"/>
              <w:rPr>
                <w:szCs w:val="20"/>
              </w:rPr>
            </w:pPr>
            <w:r>
              <w:rPr>
                <w:szCs w:val="20"/>
              </w:rPr>
              <w:t>Dist</w:t>
            </w:r>
            <w:r w:rsidR="002D233E" w:rsidRPr="002D233E">
              <w:rPr>
                <w:szCs w:val="20"/>
              </w:rPr>
              <w:t>r.:</w:t>
            </w:r>
            <w:r>
              <w:rPr>
                <w:szCs w:val="20"/>
              </w:rPr>
              <w:t xml:space="preserve"> General</w:t>
            </w:r>
          </w:p>
          <w:p w14:paraId="208B0DA4" w14:textId="6401B7DE" w:rsidR="00B426A2" w:rsidRDefault="00F7346F" w:rsidP="00B426A2">
            <w:pPr>
              <w:bidi w:val="0"/>
              <w:spacing w:line="240" w:lineRule="exact"/>
              <w:jc w:val="left"/>
              <w:rPr>
                <w:szCs w:val="20"/>
              </w:rPr>
            </w:pPr>
            <w:r w:rsidRPr="00E44063">
              <w:rPr>
                <w:szCs w:val="20"/>
              </w:rPr>
              <w:t>24</w:t>
            </w:r>
            <w:r>
              <w:rPr>
                <w:szCs w:val="20"/>
              </w:rPr>
              <w:t xml:space="preserve"> August </w:t>
            </w:r>
            <w:r w:rsidRPr="00E44063">
              <w:rPr>
                <w:szCs w:val="20"/>
              </w:rPr>
              <w:t>2023</w:t>
            </w:r>
          </w:p>
          <w:p w14:paraId="33BA43F7" w14:textId="77777777" w:rsidR="00B426A2" w:rsidRDefault="00B426A2" w:rsidP="00B426A2">
            <w:pPr>
              <w:bidi w:val="0"/>
              <w:spacing w:line="240" w:lineRule="exact"/>
              <w:jc w:val="left"/>
              <w:rPr>
                <w:szCs w:val="20"/>
              </w:rPr>
            </w:pPr>
            <w:r>
              <w:rPr>
                <w:szCs w:val="20"/>
              </w:rPr>
              <w:t>Arabic</w:t>
            </w:r>
          </w:p>
          <w:p w14:paraId="5AC0280C" w14:textId="0034DDFC" w:rsidR="00B426A2" w:rsidRPr="00B426A2" w:rsidRDefault="00B426A2" w:rsidP="00B426A2">
            <w:pPr>
              <w:bidi w:val="0"/>
              <w:spacing w:line="240" w:lineRule="exact"/>
              <w:jc w:val="left"/>
              <w:rPr>
                <w:szCs w:val="20"/>
              </w:rPr>
            </w:pPr>
            <w:r>
              <w:rPr>
                <w:szCs w:val="20"/>
              </w:rPr>
              <w:t>Origina</w:t>
            </w:r>
            <w:r w:rsidR="002D233E" w:rsidRPr="002D233E">
              <w:rPr>
                <w:szCs w:val="20"/>
              </w:rPr>
              <w:t xml:space="preserve">l: </w:t>
            </w:r>
            <w:r w:rsidR="00323923">
              <w:rPr>
                <w:szCs w:val="20"/>
              </w:rPr>
              <w:t>Spanish</w:t>
            </w:r>
          </w:p>
        </w:tc>
      </w:tr>
    </w:tbl>
    <w:p w14:paraId="744796BA" w14:textId="2A418D1A" w:rsidR="00774CA0" w:rsidRPr="00E44063" w:rsidRDefault="00774CA0" w:rsidP="00783E6E">
      <w:pPr>
        <w:spacing w:before="120" w:line="360" w:lineRule="exact"/>
        <w:textDirection w:val="tbRlV"/>
        <w:rPr>
          <w:b/>
          <w:sz w:val="28"/>
          <w:szCs w:val="24"/>
          <w:lang w:val="ar-SA" w:eastAsia="zh-TW" w:bidi="en-GB"/>
        </w:rPr>
      </w:pPr>
      <w:r w:rsidRPr="00E44063">
        <w:rPr>
          <w:b/>
          <w:bCs/>
          <w:sz w:val="24"/>
          <w:szCs w:val="26"/>
          <w:rtl/>
        </w:rPr>
        <w:t>لجنة مناهضة التعذيب</w:t>
      </w:r>
    </w:p>
    <w:p w14:paraId="796E57A0" w14:textId="050182C9" w:rsidR="00774CA0" w:rsidRPr="00E44063" w:rsidRDefault="00774CA0" w:rsidP="004B1C82">
      <w:pPr>
        <w:pStyle w:val="HChGA"/>
      </w:pPr>
      <w:r w:rsidRPr="00E44063">
        <w:rPr>
          <w:rtl/>
        </w:rPr>
        <w:tab/>
      </w:r>
      <w:r w:rsidRPr="00E44063">
        <w:rPr>
          <w:rtl/>
        </w:rPr>
        <w:tab/>
        <w:t>الملاحظات الختامية بشأن التقرير الدوري السابع لإسبانيا</w:t>
      </w:r>
      <w:r w:rsidR="00064C44" w:rsidRPr="00E44063">
        <w:rPr>
          <w:sz w:val="28"/>
          <w:szCs w:val="28"/>
          <w:rtl/>
        </w:rPr>
        <w:footnoteReference w:customMarkFollows="1" w:id="1"/>
        <w:t>*</w:t>
      </w:r>
    </w:p>
    <w:p w14:paraId="54EFCF72" w14:textId="01FE8736" w:rsidR="002D233E" w:rsidRPr="00D97B6F" w:rsidRDefault="00774CA0" w:rsidP="00791BBE">
      <w:pPr>
        <w:pStyle w:val="SingleTxtGA"/>
        <w:rPr>
          <w:szCs w:val="20"/>
          <w:lang w:val="en-US" w:eastAsia="zh-TW" w:bidi="en-GB"/>
        </w:rPr>
      </w:pPr>
      <w:r w:rsidRPr="00E44063">
        <w:rPr>
          <w:rtl/>
        </w:rPr>
        <w:t>1</w:t>
      </w:r>
      <w:r w:rsidRPr="00D97B6F">
        <w:rPr>
          <w:rtl/>
        </w:rPr>
        <w:t>-</w:t>
      </w:r>
      <w:r w:rsidRPr="00D97B6F">
        <w:rPr>
          <w:rtl/>
        </w:rPr>
        <w:tab/>
      </w:r>
      <w:r w:rsidRPr="00D97B6F">
        <w:rPr>
          <w:spacing w:val="-2"/>
          <w:rtl/>
        </w:rPr>
        <w:t xml:space="preserve">نظرت لجنة مناهضة التعذيب في التقرير الدوري السابع </w:t>
      </w:r>
      <w:proofErr w:type="gramStart"/>
      <w:r w:rsidRPr="00D97B6F">
        <w:rPr>
          <w:spacing w:val="-2"/>
          <w:rtl/>
        </w:rPr>
        <w:t>لإسبانيا</w:t>
      </w:r>
      <w:r w:rsidR="002D233E" w:rsidRPr="00D97B6F">
        <w:rPr>
          <w:spacing w:val="-2"/>
          <w:vertAlign w:val="superscript"/>
          <w:rtl/>
        </w:rPr>
        <w:t>(</w:t>
      </w:r>
      <w:proofErr w:type="gramEnd"/>
      <w:r w:rsidR="002D233E" w:rsidRPr="00E44063">
        <w:rPr>
          <w:spacing w:val="-2"/>
          <w:vertAlign w:val="superscript"/>
          <w:lang w:val="en-AU"/>
        </w:rPr>
        <w:footnoteReference w:id="2"/>
      </w:r>
      <w:r w:rsidRPr="00D97B6F">
        <w:rPr>
          <w:spacing w:val="-2"/>
          <w:vertAlign w:val="superscript"/>
          <w:rtl/>
        </w:rPr>
        <w:t>)</w:t>
      </w:r>
      <w:r w:rsidRPr="00D97B6F">
        <w:rPr>
          <w:spacing w:val="-2"/>
          <w:rtl/>
        </w:rPr>
        <w:t xml:space="preserve"> في جلستيها </w:t>
      </w:r>
      <w:r w:rsidRPr="00E44063">
        <w:rPr>
          <w:spacing w:val="-2"/>
          <w:rtl/>
        </w:rPr>
        <w:t>2026</w:t>
      </w:r>
      <w:r w:rsidRPr="00D97B6F">
        <w:rPr>
          <w:spacing w:val="-2"/>
          <w:rtl/>
        </w:rPr>
        <w:t xml:space="preserve"> و</w:t>
      </w:r>
      <w:r w:rsidRPr="00E44063">
        <w:rPr>
          <w:spacing w:val="-2"/>
          <w:rtl/>
        </w:rPr>
        <w:t>2028</w:t>
      </w:r>
      <w:r w:rsidR="002D233E" w:rsidRPr="00D97B6F">
        <w:rPr>
          <w:spacing w:val="-2"/>
          <w:vertAlign w:val="superscript"/>
          <w:rtl/>
        </w:rPr>
        <w:t>(</w:t>
      </w:r>
      <w:r w:rsidR="002D233E" w:rsidRPr="00E44063">
        <w:rPr>
          <w:spacing w:val="-2"/>
          <w:vertAlign w:val="superscript"/>
          <w:lang w:val="en-AU"/>
        </w:rPr>
        <w:footnoteReference w:id="3"/>
      </w:r>
      <w:r w:rsidRPr="00D97B6F">
        <w:rPr>
          <w:spacing w:val="-2"/>
          <w:vertAlign w:val="superscript"/>
          <w:rtl/>
        </w:rPr>
        <w:t>)</w:t>
      </w:r>
      <w:r w:rsidRPr="00D97B6F">
        <w:rPr>
          <w:rtl/>
        </w:rPr>
        <w:t xml:space="preserve"> المعقودتين في </w:t>
      </w:r>
      <w:r w:rsidRPr="00E44063">
        <w:rPr>
          <w:rtl/>
        </w:rPr>
        <w:t>20</w:t>
      </w:r>
      <w:r w:rsidRPr="00D97B6F">
        <w:rPr>
          <w:rtl/>
        </w:rPr>
        <w:t xml:space="preserve"> و</w:t>
      </w:r>
      <w:r w:rsidRPr="00E44063">
        <w:rPr>
          <w:rtl/>
        </w:rPr>
        <w:t>21</w:t>
      </w:r>
      <w:r w:rsidRPr="00D97B6F">
        <w:rPr>
          <w:rtl/>
        </w:rPr>
        <w:t xml:space="preserve"> تموز/يوليه </w:t>
      </w:r>
      <w:r w:rsidRPr="00E44063">
        <w:rPr>
          <w:rtl/>
        </w:rPr>
        <w:t>2023</w:t>
      </w:r>
      <w:r w:rsidRPr="00D97B6F">
        <w:rPr>
          <w:rtl/>
        </w:rPr>
        <w:t xml:space="preserve">، واعتمدت هذه الملاحظات الختامية في جلستها </w:t>
      </w:r>
      <w:r w:rsidRPr="00E44063">
        <w:rPr>
          <w:rtl/>
        </w:rPr>
        <w:t>2034</w:t>
      </w:r>
      <w:r w:rsidRPr="00D97B6F">
        <w:rPr>
          <w:rtl/>
        </w:rPr>
        <w:t xml:space="preserve"> المعقودة في </w:t>
      </w:r>
      <w:r w:rsidRPr="00E44063">
        <w:rPr>
          <w:rtl/>
        </w:rPr>
        <w:t>27</w:t>
      </w:r>
      <w:r w:rsidRPr="00D97B6F">
        <w:rPr>
          <w:rtl/>
        </w:rPr>
        <w:t xml:space="preserve"> تموز/يوليه </w:t>
      </w:r>
      <w:r w:rsidRPr="00E44063">
        <w:rPr>
          <w:rtl/>
        </w:rPr>
        <w:t>202</w:t>
      </w:r>
      <w:r w:rsidR="002D233E" w:rsidRPr="00E44063">
        <w:rPr>
          <w:rtl/>
        </w:rPr>
        <w:t>3</w:t>
      </w:r>
      <w:r w:rsidR="002D233E" w:rsidRPr="00D97B6F">
        <w:rPr>
          <w:rtl/>
        </w:rPr>
        <w:t>.</w:t>
      </w:r>
    </w:p>
    <w:p w14:paraId="2AE6503F" w14:textId="0EF62DCC" w:rsidR="00774CA0" w:rsidRPr="00E44063" w:rsidRDefault="00791BBE" w:rsidP="00791BBE">
      <w:pPr>
        <w:pStyle w:val="H1GA"/>
        <w:rPr>
          <w:szCs w:val="20"/>
          <w:lang w:val="ar-SA" w:eastAsia="zh-TW" w:bidi="en-GB"/>
        </w:rPr>
      </w:pPr>
      <w:r w:rsidRPr="00E44063">
        <w:rPr>
          <w:rtl/>
        </w:rPr>
        <w:tab/>
      </w:r>
      <w:r w:rsidR="00774CA0" w:rsidRPr="00E44063">
        <w:rPr>
          <w:rtl/>
        </w:rPr>
        <w:t>ألف-</w:t>
      </w:r>
      <w:r w:rsidR="00774CA0" w:rsidRPr="00E44063">
        <w:rPr>
          <w:rtl/>
        </w:rPr>
        <w:tab/>
        <w:t>مقدمة</w:t>
      </w:r>
    </w:p>
    <w:p w14:paraId="60A1599A" w14:textId="77777777" w:rsidR="00774CA0" w:rsidRPr="00D97B6F" w:rsidRDefault="00774CA0" w:rsidP="00791BBE">
      <w:pPr>
        <w:pStyle w:val="SingleTxtGA"/>
        <w:rPr>
          <w:szCs w:val="20"/>
          <w:lang w:val="ar-SA" w:eastAsia="zh-TW" w:bidi="en-GB"/>
        </w:rPr>
      </w:pPr>
      <w:r w:rsidRPr="00E44063">
        <w:rPr>
          <w:rtl/>
        </w:rPr>
        <w:t>2</w:t>
      </w:r>
      <w:r w:rsidRPr="00D97B6F">
        <w:rPr>
          <w:rtl/>
        </w:rPr>
        <w:t>-</w:t>
      </w:r>
      <w:r w:rsidRPr="00D97B6F">
        <w:rPr>
          <w:rtl/>
        </w:rPr>
        <w:tab/>
        <w:t>تعرب اللجنة عن تقديرها للدولة الطرف لقبولها الإجراء المبسط لتقديم التقارير وتقديمها تقريرها الدوري في إطاره، لأن ذلك يسمح بإجراء حوار أكثر تركيزاً بين الدولة الطرف واللجنة.</w:t>
      </w:r>
    </w:p>
    <w:p w14:paraId="28F7452F" w14:textId="77777777" w:rsidR="00774CA0" w:rsidRPr="00D97B6F" w:rsidRDefault="00774CA0" w:rsidP="00791BBE">
      <w:pPr>
        <w:pStyle w:val="SingleTxtGA"/>
        <w:rPr>
          <w:rFonts w:eastAsia="Calibri"/>
          <w:szCs w:val="20"/>
          <w:lang w:val="ar-SA" w:eastAsia="zh-TW" w:bidi="en-GB"/>
        </w:rPr>
      </w:pPr>
      <w:r w:rsidRPr="00E44063">
        <w:rPr>
          <w:rtl/>
        </w:rPr>
        <w:t>3</w:t>
      </w:r>
      <w:r w:rsidRPr="00D97B6F">
        <w:rPr>
          <w:rtl/>
        </w:rPr>
        <w:t>-</w:t>
      </w:r>
      <w:r w:rsidRPr="00D97B6F">
        <w:rPr>
          <w:rtl/>
        </w:rPr>
        <w:tab/>
        <w:t>وتعرب اللجنة عن تقديرها للفرصة التي أُتيحت لها لإجراء حوار بنّاء مع وفد الدولة الطرف وللمعلومات المقدمة رداً على الأسئلة والشواغل التي أُثيرت أثناء النظر في التقرير.</w:t>
      </w:r>
    </w:p>
    <w:p w14:paraId="3125E68E" w14:textId="709D4344" w:rsidR="00774CA0" w:rsidRPr="00E44063" w:rsidRDefault="00791BBE" w:rsidP="00791BBE">
      <w:pPr>
        <w:pStyle w:val="H1GA"/>
        <w:rPr>
          <w:szCs w:val="20"/>
          <w:lang w:val="ar-SA" w:eastAsia="zh-TW" w:bidi="en-GB"/>
        </w:rPr>
      </w:pPr>
      <w:r w:rsidRPr="00E44063">
        <w:rPr>
          <w:rtl/>
        </w:rPr>
        <w:tab/>
      </w:r>
      <w:r w:rsidR="00774CA0" w:rsidRPr="00E44063">
        <w:rPr>
          <w:rtl/>
        </w:rPr>
        <w:t>باء-</w:t>
      </w:r>
      <w:r w:rsidR="00774CA0" w:rsidRPr="00E44063">
        <w:rPr>
          <w:rtl/>
        </w:rPr>
        <w:tab/>
        <w:t>الجوانب الإيجابية</w:t>
      </w:r>
    </w:p>
    <w:p w14:paraId="160A9E32" w14:textId="1896EA0A" w:rsidR="00774CA0" w:rsidRPr="00D97B6F" w:rsidRDefault="00774CA0" w:rsidP="00791BBE">
      <w:pPr>
        <w:pStyle w:val="SingleTxtGA"/>
        <w:rPr>
          <w:szCs w:val="20"/>
          <w:lang w:val="en-US" w:eastAsia="zh-TW" w:bidi="en-GB"/>
        </w:rPr>
      </w:pPr>
      <w:r w:rsidRPr="00E44063">
        <w:rPr>
          <w:rtl/>
        </w:rPr>
        <w:t>4</w:t>
      </w:r>
      <w:r w:rsidRPr="00D97B6F">
        <w:rPr>
          <w:rtl/>
        </w:rPr>
        <w:t>-</w:t>
      </w:r>
      <w:r w:rsidRPr="00D97B6F">
        <w:rPr>
          <w:rtl/>
        </w:rPr>
        <w:tab/>
        <w:t>ترحب اللجنة بالمبادرات التي اتخذتها الدولة الطرف لتنقيح وتعزيز تشريعاتها في المجالات ذات الصلة بالاتفاقية، وبخاصة ما يلي:</w:t>
      </w:r>
    </w:p>
    <w:p w14:paraId="30639804" w14:textId="32957D51" w:rsidR="00774CA0" w:rsidRPr="00D97B6F" w:rsidRDefault="00791BBE" w:rsidP="00791BBE">
      <w:pPr>
        <w:pStyle w:val="SingleTxtGA"/>
        <w:rPr>
          <w:spacing w:val="2"/>
          <w:szCs w:val="20"/>
          <w:lang w:val="ar-SA" w:eastAsia="zh-TW" w:bidi="en-GB"/>
        </w:rPr>
      </w:pPr>
      <w:r w:rsidRPr="00D97B6F">
        <w:rPr>
          <w:spacing w:val="2"/>
          <w:rtl/>
        </w:rPr>
        <w:tab/>
      </w:r>
      <w:r w:rsidR="00774CA0" w:rsidRPr="00D97B6F">
        <w:rPr>
          <w:spacing w:val="2"/>
          <w:rtl/>
        </w:rPr>
        <w:t>(أ)</w:t>
      </w:r>
      <w:r w:rsidR="00774CA0" w:rsidRPr="00D97B6F">
        <w:rPr>
          <w:spacing w:val="2"/>
          <w:rtl/>
        </w:rPr>
        <w:tab/>
        <w:t xml:space="preserve">سن القانون التنظيمي رقم </w:t>
      </w:r>
      <w:r w:rsidR="00534D7C" w:rsidRPr="00E44063">
        <w:rPr>
          <w:rFonts w:hint="cs"/>
          <w:spacing w:val="2"/>
          <w:rtl/>
        </w:rPr>
        <w:t>1</w:t>
      </w:r>
      <w:r w:rsidR="00534D7C" w:rsidRPr="00D97B6F">
        <w:rPr>
          <w:rFonts w:hint="cs"/>
          <w:spacing w:val="2"/>
          <w:rtl/>
        </w:rPr>
        <w:t>/</w:t>
      </w:r>
      <w:r w:rsidR="00534D7C" w:rsidRPr="00E44063">
        <w:rPr>
          <w:rFonts w:hint="cs"/>
          <w:spacing w:val="2"/>
          <w:rtl/>
        </w:rPr>
        <w:t>2023</w:t>
      </w:r>
      <w:r w:rsidR="00774CA0" w:rsidRPr="00D97B6F">
        <w:rPr>
          <w:spacing w:val="2"/>
          <w:rtl/>
        </w:rPr>
        <w:t xml:space="preserve">، المؤرخ </w:t>
      </w:r>
      <w:r w:rsidR="00774CA0" w:rsidRPr="00E44063">
        <w:rPr>
          <w:spacing w:val="2"/>
          <w:rtl/>
        </w:rPr>
        <w:t>28</w:t>
      </w:r>
      <w:r w:rsidR="00774CA0" w:rsidRPr="00D97B6F">
        <w:rPr>
          <w:spacing w:val="2"/>
          <w:rtl/>
        </w:rPr>
        <w:t xml:space="preserve"> شباط/فبراير </w:t>
      </w:r>
      <w:r w:rsidR="00774CA0" w:rsidRPr="00E44063">
        <w:rPr>
          <w:spacing w:val="2"/>
          <w:rtl/>
        </w:rPr>
        <w:t>2023</w:t>
      </w:r>
      <w:r w:rsidR="00774CA0" w:rsidRPr="00D97B6F">
        <w:rPr>
          <w:spacing w:val="2"/>
          <w:rtl/>
        </w:rPr>
        <w:t xml:space="preserve">، المعدِّل للقانون الأساسي رقم </w:t>
      </w:r>
      <w:r w:rsidR="00534D7C" w:rsidRPr="00E44063">
        <w:rPr>
          <w:rFonts w:hint="cs"/>
          <w:spacing w:val="2"/>
          <w:rtl/>
        </w:rPr>
        <w:t>2</w:t>
      </w:r>
      <w:r w:rsidR="00534D7C" w:rsidRPr="00D97B6F">
        <w:rPr>
          <w:rFonts w:hint="cs"/>
          <w:spacing w:val="2"/>
          <w:rtl/>
        </w:rPr>
        <w:t>/</w:t>
      </w:r>
      <w:r w:rsidR="00534D7C" w:rsidRPr="00E44063">
        <w:rPr>
          <w:rFonts w:hint="cs"/>
          <w:spacing w:val="2"/>
          <w:rtl/>
        </w:rPr>
        <w:t>2010</w:t>
      </w:r>
      <w:r w:rsidR="00774CA0" w:rsidRPr="00D97B6F">
        <w:rPr>
          <w:spacing w:val="2"/>
          <w:rtl/>
        </w:rPr>
        <w:t xml:space="preserve">، المؤرخ </w:t>
      </w:r>
      <w:r w:rsidR="00774CA0" w:rsidRPr="00E44063">
        <w:rPr>
          <w:spacing w:val="2"/>
          <w:rtl/>
        </w:rPr>
        <w:t>3</w:t>
      </w:r>
      <w:r w:rsidR="00774CA0" w:rsidRPr="00D97B6F">
        <w:rPr>
          <w:spacing w:val="2"/>
          <w:rtl/>
        </w:rPr>
        <w:t xml:space="preserve"> آذار/مارس </w:t>
      </w:r>
      <w:r w:rsidR="00774CA0" w:rsidRPr="00E44063">
        <w:rPr>
          <w:spacing w:val="2"/>
          <w:rtl/>
        </w:rPr>
        <w:t>2010</w:t>
      </w:r>
      <w:r w:rsidR="00774CA0" w:rsidRPr="00D97B6F">
        <w:rPr>
          <w:spacing w:val="2"/>
          <w:rtl/>
        </w:rPr>
        <w:t>، المتعلق بالصحة الجنسية والإنجابية والإجهاض العمدي؛</w:t>
      </w:r>
    </w:p>
    <w:p w14:paraId="77CB9F9A" w14:textId="4898C291" w:rsidR="00774CA0" w:rsidRPr="00D97B6F" w:rsidRDefault="00791BBE" w:rsidP="00791BBE">
      <w:pPr>
        <w:pStyle w:val="SingleTxtGA"/>
        <w:rPr>
          <w:spacing w:val="2"/>
          <w:szCs w:val="20"/>
          <w:lang w:val="ar-SA" w:eastAsia="zh-TW" w:bidi="en-GB"/>
        </w:rPr>
      </w:pPr>
      <w:r w:rsidRPr="00D97B6F">
        <w:rPr>
          <w:spacing w:val="2"/>
          <w:rtl/>
        </w:rPr>
        <w:tab/>
      </w:r>
      <w:r w:rsidR="00774CA0" w:rsidRPr="00D97B6F">
        <w:rPr>
          <w:spacing w:val="2"/>
          <w:rtl/>
        </w:rPr>
        <w:t>(ب)</w:t>
      </w:r>
      <w:r w:rsidR="00774CA0" w:rsidRPr="00D97B6F">
        <w:rPr>
          <w:spacing w:val="2"/>
          <w:rtl/>
        </w:rPr>
        <w:tab/>
        <w:t xml:space="preserve">سن القانون رقم </w:t>
      </w:r>
      <w:r w:rsidR="0005682B" w:rsidRPr="00E44063">
        <w:rPr>
          <w:rFonts w:hint="cs"/>
          <w:spacing w:val="2"/>
          <w:rtl/>
        </w:rPr>
        <w:t>20</w:t>
      </w:r>
      <w:r w:rsidR="0005682B" w:rsidRPr="00D97B6F">
        <w:rPr>
          <w:rFonts w:hint="cs"/>
          <w:spacing w:val="2"/>
          <w:rtl/>
        </w:rPr>
        <w:t>/</w:t>
      </w:r>
      <w:r w:rsidR="0005682B" w:rsidRPr="00E44063">
        <w:rPr>
          <w:rFonts w:hint="cs"/>
          <w:spacing w:val="2"/>
          <w:rtl/>
        </w:rPr>
        <w:t>2022</w:t>
      </w:r>
      <w:r w:rsidR="00774CA0" w:rsidRPr="00D97B6F">
        <w:rPr>
          <w:spacing w:val="2"/>
          <w:rtl/>
        </w:rPr>
        <w:t xml:space="preserve">، المؤرخ </w:t>
      </w:r>
      <w:r w:rsidR="00774CA0" w:rsidRPr="00E44063">
        <w:rPr>
          <w:spacing w:val="2"/>
          <w:rtl/>
        </w:rPr>
        <w:t>19</w:t>
      </w:r>
      <w:r w:rsidR="00774CA0" w:rsidRPr="00D97B6F">
        <w:rPr>
          <w:spacing w:val="2"/>
          <w:rtl/>
        </w:rPr>
        <w:t xml:space="preserve"> تشرين الأول/أكتوبر </w:t>
      </w:r>
      <w:r w:rsidR="00774CA0" w:rsidRPr="00E44063">
        <w:rPr>
          <w:spacing w:val="2"/>
          <w:rtl/>
        </w:rPr>
        <w:t>2022</w:t>
      </w:r>
      <w:r w:rsidR="00774CA0" w:rsidRPr="00D97B6F">
        <w:rPr>
          <w:spacing w:val="2"/>
          <w:rtl/>
        </w:rPr>
        <w:t>، المتعلق بالذاكرة الديمقراطية؛</w:t>
      </w:r>
    </w:p>
    <w:p w14:paraId="59B6C217" w14:textId="43AE840C" w:rsidR="00774CA0" w:rsidRPr="00D97B6F" w:rsidRDefault="00791BBE" w:rsidP="00791BBE">
      <w:pPr>
        <w:pStyle w:val="SingleTxtGA"/>
        <w:rPr>
          <w:szCs w:val="20"/>
          <w:lang w:val="ar-SA" w:eastAsia="zh-TW" w:bidi="en-GB"/>
        </w:rPr>
      </w:pPr>
      <w:r w:rsidRPr="00D97B6F">
        <w:rPr>
          <w:rtl/>
        </w:rPr>
        <w:tab/>
      </w:r>
      <w:r w:rsidR="00774CA0" w:rsidRPr="00D97B6F">
        <w:rPr>
          <w:rtl/>
        </w:rPr>
        <w:t>(ج)</w:t>
      </w:r>
      <w:r w:rsidR="00774CA0" w:rsidRPr="00D97B6F">
        <w:rPr>
          <w:rtl/>
        </w:rPr>
        <w:tab/>
        <w:t xml:space="preserve">اعتماد المرسوم التشريعي الملكي رقم </w:t>
      </w:r>
      <w:r w:rsidR="0005682B" w:rsidRPr="00E44063">
        <w:rPr>
          <w:rFonts w:hint="cs"/>
          <w:rtl/>
        </w:rPr>
        <w:t>6</w:t>
      </w:r>
      <w:r w:rsidR="0005682B" w:rsidRPr="00D97B6F">
        <w:rPr>
          <w:rFonts w:hint="cs"/>
          <w:rtl/>
        </w:rPr>
        <w:t>/</w:t>
      </w:r>
      <w:r w:rsidR="0005682B" w:rsidRPr="00E44063">
        <w:rPr>
          <w:rFonts w:hint="cs"/>
          <w:rtl/>
        </w:rPr>
        <w:t>2022</w:t>
      </w:r>
      <w:r w:rsidR="00774CA0" w:rsidRPr="00D97B6F">
        <w:rPr>
          <w:rtl/>
        </w:rPr>
        <w:t xml:space="preserve">، المؤرخ </w:t>
      </w:r>
      <w:r w:rsidR="00774CA0" w:rsidRPr="00E44063">
        <w:rPr>
          <w:rtl/>
        </w:rPr>
        <w:t>29</w:t>
      </w:r>
      <w:r w:rsidR="00774CA0" w:rsidRPr="00D97B6F">
        <w:rPr>
          <w:rtl/>
        </w:rPr>
        <w:t xml:space="preserve"> آذار/مارس </w:t>
      </w:r>
      <w:r w:rsidR="00774CA0" w:rsidRPr="00E44063">
        <w:rPr>
          <w:rtl/>
        </w:rPr>
        <w:t>2022</w:t>
      </w:r>
      <w:r w:rsidR="00774CA0" w:rsidRPr="00D97B6F">
        <w:rPr>
          <w:rtl/>
        </w:rPr>
        <w:t xml:space="preserve">، الذي ينص على اتخاذ تدابير طارئة في إطار خطة العمل الوطنية الرامية إلى مواجهة العواقب الاقتصادية </w:t>
      </w:r>
      <w:r w:rsidR="00774CA0" w:rsidRPr="00D97B6F">
        <w:rPr>
          <w:rtl/>
        </w:rPr>
        <w:lastRenderedPageBreak/>
        <w:t xml:space="preserve">والاجتماعية للحرب في أوكرانيا، والذي تنص المادة </w:t>
      </w:r>
      <w:r w:rsidR="00774CA0" w:rsidRPr="00E44063">
        <w:rPr>
          <w:rtl/>
        </w:rPr>
        <w:t>47</w:t>
      </w:r>
      <w:r w:rsidR="00774CA0" w:rsidRPr="00D97B6F">
        <w:rPr>
          <w:rtl/>
        </w:rPr>
        <w:t xml:space="preserve"> منه على اعتماد نموذج جديد للاعتراف بالأشخاص الذين يتعرضون للاتجار بالبشر أو الاستغلال الجنسي كضحايا؛</w:t>
      </w:r>
    </w:p>
    <w:p w14:paraId="5340E2F7" w14:textId="1D7F2AED" w:rsidR="00774CA0" w:rsidRPr="00D97B6F" w:rsidRDefault="00791BBE" w:rsidP="00791BBE">
      <w:pPr>
        <w:pStyle w:val="SingleTxtGA"/>
        <w:rPr>
          <w:szCs w:val="20"/>
          <w:lang w:val="ar-SA" w:eastAsia="zh-TW" w:bidi="en-GB"/>
        </w:rPr>
      </w:pPr>
      <w:r w:rsidRPr="00D97B6F">
        <w:rPr>
          <w:rtl/>
        </w:rPr>
        <w:tab/>
      </w:r>
      <w:r w:rsidR="00774CA0" w:rsidRPr="00D97B6F">
        <w:rPr>
          <w:rtl/>
        </w:rPr>
        <w:t>(د)</w:t>
      </w:r>
      <w:r w:rsidR="00774CA0" w:rsidRPr="00D97B6F">
        <w:rPr>
          <w:rtl/>
        </w:rPr>
        <w:tab/>
        <w:t xml:space="preserve">سن القانون التنظيمي رقم </w:t>
      </w:r>
      <w:r w:rsidR="0005682B" w:rsidRPr="00E44063">
        <w:rPr>
          <w:rFonts w:hint="cs"/>
          <w:rtl/>
        </w:rPr>
        <w:t>10</w:t>
      </w:r>
      <w:r w:rsidR="0005682B" w:rsidRPr="00D97B6F">
        <w:rPr>
          <w:rFonts w:hint="cs"/>
          <w:rtl/>
        </w:rPr>
        <w:t>/</w:t>
      </w:r>
      <w:r w:rsidR="0005682B" w:rsidRPr="00E44063">
        <w:rPr>
          <w:rFonts w:hint="cs"/>
          <w:rtl/>
        </w:rPr>
        <w:t>2022</w:t>
      </w:r>
      <w:r w:rsidR="00774CA0" w:rsidRPr="00D97B6F">
        <w:rPr>
          <w:rtl/>
        </w:rPr>
        <w:t xml:space="preserve">، المؤرخ </w:t>
      </w:r>
      <w:r w:rsidR="00774CA0" w:rsidRPr="00E44063">
        <w:rPr>
          <w:rtl/>
        </w:rPr>
        <w:t>6</w:t>
      </w:r>
      <w:r w:rsidR="00774CA0" w:rsidRPr="00D97B6F">
        <w:rPr>
          <w:rtl/>
        </w:rPr>
        <w:t xml:space="preserve"> أيلول/سبتمبر </w:t>
      </w:r>
      <w:r w:rsidR="00774CA0" w:rsidRPr="00E44063">
        <w:rPr>
          <w:rtl/>
        </w:rPr>
        <w:t>2022</w:t>
      </w:r>
      <w:r w:rsidR="00774CA0" w:rsidRPr="00D97B6F">
        <w:rPr>
          <w:rtl/>
        </w:rPr>
        <w:t>، المتعلق بضمان الحرية الجنسية؛</w:t>
      </w:r>
    </w:p>
    <w:p w14:paraId="7B500C2C" w14:textId="7074FE1F" w:rsidR="00774CA0" w:rsidRPr="00E44063" w:rsidRDefault="00791BBE" w:rsidP="00791BBE">
      <w:pPr>
        <w:pStyle w:val="SingleTxtGA"/>
        <w:rPr>
          <w:bCs/>
          <w:szCs w:val="20"/>
          <w:lang w:val="ar-SA" w:eastAsia="zh-TW" w:bidi="en-GB"/>
        </w:rPr>
      </w:pPr>
      <w:r w:rsidRPr="00D97B6F">
        <w:rPr>
          <w:spacing w:val="-2"/>
          <w:rtl/>
        </w:rPr>
        <w:tab/>
      </w:r>
      <w:r w:rsidR="00774CA0" w:rsidRPr="00D97B6F">
        <w:rPr>
          <w:spacing w:val="-2"/>
          <w:rtl/>
        </w:rPr>
        <w:t>(هـ)</w:t>
      </w:r>
      <w:r w:rsidR="00774CA0" w:rsidRPr="00D97B6F">
        <w:rPr>
          <w:spacing w:val="-2"/>
          <w:rtl/>
        </w:rPr>
        <w:tab/>
        <w:t xml:space="preserve">التعديلات التي أدخلت بموجب القانون التنظيمي رقم </w:t>
      </w:r>
      <w:r w:rsidR="007C2006" w:rsidRPr="00E44063">
        <w:rPr>
          <w:rFonts w:hint="cs"/>
          <w:spacing w:val="-2"/>
          <w:rtl/>
        </w:rPr>
        <w:t>10</w:t>
      </w:r>
      <w:r w:rsidR="007C2006" w:rsidRPr="00D97B6F">
        <w:rPr>
          <w:rFonts w:hint="cs"/>
          <w:spacing w:val="-2"/>
          <w:rtl/>
        </w:rPr>
        <w:t>/</w:t>
      </w:r>
      <w:r w:rsidR="007C2006" w:rsidRPr="00E44063">
        <w:rPr>
          <w:rFonts w:hint="cs"/>
          <w:spacing w:val="-2"/>
          <w:rtl/>
        </w:rPr>
        <w:t>2022</w:t>
      </w:r>
      <w:r w:rsidR="00774CA0" w:rsidRPr="00D97B6F">
        <w:rPr>
          <w:spacing w:val="-2"/>
          <w:rtl/>
        </w:rPr>
        <w:t xml:space="preserve"> على المادة </w:t>
      </w:r>
      <w:r w:rsidR="00774CA0" w:rsidRPr="00E44063">
        <w:rPr>
          <w:spacing w:val="-2"/>
          <w:rtl/>
        </w:rPr>
        <w:t>31</w:t>
      </w:r>
      <w:r w:rsidR="00774CA0" w:rsidRPr="00D97B6F">
        <w:rPr>
          <w:spacing w:val="-2"/>
          <w:rtl/>
        </w:rPr>
        <w:t xml:space="preserve"> مكرراً </w:t>
      </w:r>
      <w:r w:rsidR="00774CA0" w:rsidRPr="00D97B6F">
        <w:rPr>
          <w:rtl/>
        </w:rPr>
        <w:t xml:space="preserve">من القانون التنظيمي رقم </w:t>
      </w:r>
      <w:r w:rsidR="007C2006" w:rsidRPr="00E44063">
        <w:rPr>
          <w:rFonts w:hint="cs"/>
          <w:rtl/>
        </w:rPr>
        <w:t>4</w:t>
      </w:r>
      <w:r w:rsidR="007C2006" w:rsidRPr="00D97B6F">
        <w:rPr>
          <w:rFonts w:hint="cs"/>
          <w:rtl/>
        </w:rPr>
        <w:t>/</w:t>
      </w:r>
      <w:r w:rsidR="007C2006" w:rsidRPr="00E44063">
        <w:rPr>
          <w:rFonts w:hint="cs"/>
          <w:rtl/>
        </w:rPr>
        <w:t>2000</w:t>
      </w:r>
      <w:r w:rsidR="00774CA0" w:rsidRPr="00D97B6F">
        <w:rPr>
          <w:rtl/>
        </w:rPr>
        <w:t xml:space="preserve">، المؤرخ </w:t>
      </w:r>
      <w:r w:rsidR="00774CA0" w:rsidRPr="00E44063">
        <w:rPr>
          <w:rtl/>
        </w:rPr>
        <w:t>11</w:t>
      </w:r>
      <w:r w:rsidR="00774CA0" w:rsidRPr="00D97B6F">
        <w:rPr>
          <w:rtl/>
        </w:rPr>
        <w:t xml:space="preserve"> كانون الثاني/يناير </w:t>
      </w:r>
      <w:r w:rsidR="00774CA0" w:rsidRPr="00E44063">
        <w:rPr>
          <w:rtl/>
        </w:rPr>
        <w:t>2000</w:t>
      </w:r>
      <w:r w:rsidR="00774CA0" w:rsidRPr="00D97B6F">
        <w:rPr>
          <w:rtl/>
        </w:rPr>
        <w:t>، بشأن حقوق وحريات الأجانب في إسبانيا وإدماجهم في المجتمع فيما يتعلق بحماية الأجنبيات غير النظاميات ضحايا العنف الجنساني؛</w:t>
      </w:r>
    </w:p>
    <w:p w14:paraId="48EFEA25" w14:textId="63B0B21B" w:rsidR="00774CA0" w:rsidRPr="00D97B6F" w:rsidRDefault="00791BBE" w:rsidP="00791BBE">
      <w:pPr>
        <w:pStyle w:val="SingleTxtGA"/>
        <w:rPr>
          <w:szCs w:val="20"/>
          <w:lang w:val="ar-SA" w:eastAsia="zh-TW" w:bidi="en-GB"/>
        </w:rPr>
      </w:pPr>
      <w:r w:rsidRPr="00D97B6F">
        <w:rPr>
          <w:rtl/>
        </w:rPr>
        <w:tab/>
      </w:r>
      <w:r w:rsidR="00774CA0" w:rsidRPr="00D97B6F">
        <w:rPr>
          <w:rtl/>
        </w:rPr>
        <w:t>(و)</w:t>
      </w:r>
      <w:r w:rsidR="00774CA0" w:rsidRPr="00D97B6F">
        <w:rPr>
          <w:rtl/>
        </w:rPr>
        <w:tab/>
        <w:t xml:space="preserve">سن المرسوم الملكي رقم </w:t>
      </w:r>
      <w:r w:rsidR="0036605B" w:rsidRPr="00E44063">
        <w:rPr>
          <w:rFonts w:hint="cs"/>
          <w:rtl/>
        </w:rPr>
        <w:t>5</w:t>
      </w:r>
      <w:r w:rsidR="004B4BC0" w:rsidRPr="00E44063">
        <w:rPr>
          <w:rFonts w:hint="cs"/>
          <w:rtl/>
        </w:rPr>
        <w:t>86</w:t>
      </w:r>
      <w:r w:rsidR="004B4BC0" w:rsidRPr="00D97B6F">
        <w:rPr>
          <w:rFonts w:hint="cs"/>
          <w:rtl/>
        </w:rPr>
        <w:t>/</w:t>
      </w:r>
      <w:r w:rsidR="004B4BC0" w:rsidRPr="00E44063">
        <w:rPr>
          <w:rFonts w:hint="cs"/>
          <w:rtl/>
        </w:rPr>
        <w:t>2022</w:t>
      </w:r>
      <w:r w:rsidR="00774CA0" w:rsidRPr="00D97B6F">
        <w:rPr>
          <w:rtl/>
        </w:rPr>
        <w:t xml:space="preserve">، المؤرخ </w:t>
      </w:r>
      <w:r w:rsidR="00774CA0" w:rsidRPr="00E44063">
        <w:rPr>
          <w:rtl/>
        </w:rPr>
        <w:t>19</w:t>
      </w:r>
      <w:r w:rsidR="00774CA0" w:rsidRPr="00D97B6F">
        <w:rPr>
          <w:rtl/>
        </w:rPr>
        <w:t xml:space="preserve"> تموز/يوليه </w:t>
      </w:r>
      <w:r w:rsidR="00774CA0" w:rsidRPr="00E44063">
        <w:rPr>
          <w:rtl/>
        </w:rPr>
        <w:t>2022</w:t>
      </w:r>
      <w:r w:rsidR="00774CA0" w:rsidRPr="00D97B6F">
        <w:rPr>
          <w:rtl/>
        </w:rPr>
        <w:t xml:space="preserve">، المعدِّل لنظام المعونة القضائية والمعتمد بموجب المرسوم الملكي رقم </w:t>
      </w:r>
      <w:r w:rsidR="004B4BC0" w:rsidRPr="00E44063">
        <w:rPr>
          <w:rFonts w:hint="cs"/>
          <w:rtl/>
        </w:rPr>
        <w:t>141</w:t>
      </w:r>
      <w:r w:rsidR="004B4BC0" w:rsidRPr="00D97B6F">
        <w:rPr>
          <w:rFonts w:hint="cs"/>
          <w:rtl/>
        </w:rPr>
        <w:t>/</w:t>
      </w:r>
      <w:r w:rsidR="004B4BC0" w:rsidRPr="00E44063">
        <w:rPr>
          <w:rFonts w:hint="cs"/>
          <w:rtl/>
        </w:rPr>
        <w:t>2021</w:t>
      </w:r>
      <w:r w:rsidR="00774CA0" w:rsidRPr="00D97B6F">
        <w:rPr>
          <w:rtl/>
        </w:rPr>
        <w:t xml:space="preserve">، المؤرخ </w:t>
      </w:r>
      <w:r w:rsidR="00774CA0" w:rsidRPr="00E44063">
        <w:rPr>
          <w:rtl/>
        </w:rPr>
        <w:t>9</w:t>
      </w:r>
      <w:r w:rsidR="00774CA0" w:rsidRPr="00D97B6F">
        <w:rPr>
          <w:rtl/>
        </w:rPr>
        <w:t xml:space="preserve"> آذار/مارس </w:t>
      </w:r>
      <w:r w:rsidR="00774CA0" w:rsidRPr="00E44063">
        <w:rPr>
          <w:rtl/>
        </w:rPr>
        <w:t>2021</w:t>
      </w:r>
      <w:r w:rsidR="00774CA0" w:rsidRPr="00D97B6F">
        <w:rPr>
          <w:rtl/>
        </w:rPr>
        <w:t>؛</w:t>
      </w:r>
    </w:p>
    <w:p w14:paraId="36F67884" w14:textId="2BFB8D8D" w:rsidR="00774CA0" w:rsidRPr="00D97B6F" w:rsidRDefault="00791BBE" w:rsidP="00791BBE">
      <w:pPr>
        <w:pStyle w:val="SingleTxtGA"/>
        <w:rPr>
          <w:szCs w:val="20"/>
          <w:lang w:val="en-US" w:eastAsia="zh-TW" w:bidi="en-GB"/>
        </w:rPr>
      </w:pPr>
      <w:r w:rsidRPr="00D97B6F">
        <w:rPr>
          <w:rtl/>
        </w:rPr>
        <w:tab/>
      </w:r>
      <w:r w:rsidR="00774CA0" w:rsidRPr="00D97B6F">
        <w:rPr>
          <w:rtl/>
        </w:rPr>
        <w:t>(ز)</w:t>
      </w:r>
      <w:r w:rsidR="00774CA0" w:rsidRPr="00D97B6F">
        <w:rPr>
          <w:rtl/>
        </w:rPr>
        <w:tab/>
        <w:t xml:space="preserve">سن القانون التنظيمي رقم </w:t>
      </w:r>
      <w:r w:rsidR="004B4BC0" w:rsidRPr="00E44063">
        <w:rPr>
          <w:rFonts w:hint="cs"/>
          <w:rtl/>
        </w:rPr>
        <w:t>7</w:t>
      </w:r>
      <w:r w:rsidR="004B4BC0" w:rsidRPr="00D97B6F">
        <w:rPr>
          <w:rFonts w:hint="cs"/>
          <w:rtl/>
        </w:rPr>
        <w:t>/</w:t>
      </w:r>
      <w:r w:rsidR="004B4BC0" w:rsidRPr="00E44063">
        <w:rPr>
          <w:rFonts w:hint="cs"/>
          <w:rtl/>
        </w:rPr>
        <w:t>2021</w:t>
      </w:r>
      <w:r w:rsidR="00774CA0" w:rsidRPr="00D97B6F">
        <w:rPr>
          <w:rtl/>
        </w:rPr>
        <w:t xml:space="preserve">، المؤرخ </w:t>
      </w:r>
      <w:r w:rsidR="00774CA0" w:rsidRPr="00E44063">
        <w:rPr>
          <w:rtl/>
        </w:rPr>
        <w:t>26</w:t>
      </w:r>
      <w:r w:rsidR="00774CA0" w:rsidRPr="00D97B6F">
        <w:rPr>
          <w:rtl/>
        </w:rPr>
        <w:t xml:space="preserve"> أيار/مايو </w:t>
      </w:r>
      <w:r w:rsidR="00774CA0" w:rsidRPr="00E44063">
        <w:rPr>
          <w:rtl/>
        </w:rPr>
        <w:t>2021</w:t>
      </w:r>
      <w:r w:rsidR="00774CA0" w:rsidRPr="00D97B6F">
        <w:rPr>
          <w:rtl/>
        </w:rPr>
        <w:t>، بشأن حماية البيانات الشخصية المعالجة لأغراض منع الجرائم الجنائية والقبض على مرتكبيها والتحقيق معهم فيها ومقاضاتهم وإنفاذ الجزاءات الجنائية في حقهم؛</w:t>
      </w:r>
    </w:p>
    <w:p w14:paraId="287A2916" w14:textId="4B04E170" w:rsidR="00774CA0" w:rsidRPr="00D97B6F" w:rsidRDefault="00791BBE" w:rsidP="00791BBE">
      <w:pPr>
        <w:pStyle w:val="SingleTxtGA"/>
        <w:rPr>
          <w:szCs w:val="20"/>
          <w:lang w:val="ar-SA" w:eastAsia="zh-TW" w:bidi="en-GB"/>
        </w:rPr>
      </w:pPr>
      <w:r w:rsidRPr="00D97B6F">
        <w:rPr>
          <w:rtl/>
        </w:rPr>
        <w:tab/>
      </w:r>
      <w:r w:rsidR="00774CA0" w:rsidRPr="00D97B6F">
        <w:rPr>
          <w:rtl/>
        </w:rPr>
        <w:t>(ح)</w:t>
      </w:r>
      <w:r w:rsidR="00774CA0" w:rsidRPr="00D97B6F">
        <w:rPr>
          <w:rtl/>
        </w:rPr>
        <w:tab/>
        <w:t xml:space="preserve">سن القانون التنظيمي رقم </w:t>
      </w:r>
      <w:r w:rsidR="004B4BC0" w:rsidRPr="00E44063">
        <w:rPr>
          <w:rFonts w:hint="cs"/>
          <w:rtl/>
        </w:rPr>
        <w:t>8</w:t>
      </w:r>
      <w:r w:rsidR="004B4BC0" w:rsidRPr="00D97B6F">
        <w:rPr>
          <w:rFonts w:hint="cs"/>
          <w:rtl/>
        </w:rPr>
        <w:t>/</w:t>
      </w:r>
      <w:r w:rsidR="004B4BC0" w:rsidRPr="00E44063">
        <w:rPr>
          <w:rFonts w:hint="cs"/>
          <w:rtl/>
        </w:rPr>
        <w:t>2021</w:t>
      </w:r>
      <w:r w:rsidR="00774CA0" w:rsidRPr="00D97B6F">
        <w:rPr>
          <w:rtl/>
        </w:rPr>
        <w:t xml:space="preserve">، المؤرخ </w:t>
      </w:r>
      <w:r w:rsidR="00774CA0" w:rsidRPr="00E44063">
        <w:rPr>
          <w:rtl/>
        </w:rPr>
        <w:t>4</w:t>
      </w:r>
      <w:r w:rsidR="00774CA0" w:rsidRPr="00D97B6F">
        <w:rPr>
          <w:rtl/>
        </w:rPr>
        <w:t xml:space="preserve"> حزيران/</w:t>
      </w:r>
      <w:proofErr w:type="gramStart"/>
      <w:r w:rsidR="00774CA0" w:rsidRPr="00D97B6F">
        <w:rPr>
          <w:rtl/>
        </w:rPr>
        <w:t>يونيه</w:t>
      </w:r>
      <w:proofErr w:type="gramEnd"/>
      <w:r w:rsidR="00774CA0" w:rsidRPr="00D97B6F">
        <w:rPr>
          <w:rtl/>
        </w:rPr>
        <w:t xml:space="preserve"> </w:t>
      </w:r>
      <w:r w:rsidR="00774CA0" w:rsidRPr="00E44063">
        <w:rPr>
          <w:rtl/>
        </w:rPr>
        <w:t>2021</w:t>
      </w:r>
      <w:r w:rsidR="00774CA0" w:rsidRPr="00D97B6F">
        <w:rPr>
          <w:rtl/>
        </w:rPr>
        <w:t>، المتعلق بحماية الأطفال والمراهقين حماية متكاملة من العنف، الذي يهدف إلى مكافحة العنف ضد الأطفال في جميع المجالات ومختلف أشكال الاتجار والاستغلال؛</w:t>
      </w:r>
    </w:p>
    <w:p w14:paraId="7186EF41" w14:textId="4513D470" w:rsidR="00774CA0" w:rsidRPr="00D97B6F" w:rsidRDefault="00791BBE" w:rsidP="00791BBE">
      <w:pPr>
        <w:pStyle w:val="SingleTxtGA"/>
        <w:rPr>
          <w:szCs w:val="20"/>
          <w:lang w:val="ar-SA" w:eastAsia="zh-TW" w:bidi="en-GB"/>
        </w:rPr>
      </w:pPr>
      <w:r w:rsidRPr="00D97B6F">
        <w:rPr>
          <w:rtl/>
        </w:rPr>
        <w:tab/>
      </w:r>
      <w:r w:rsidR="00774CA0" w:rsidRPr="00D97B6F">
        <w:rPr>
          <w:rtl/>
        </w:rPr>
        <w:t>(ط)</w:t>
      </w:r>
      <w:r w:rsidR="00774CA0" w:rsidRPr="00D97B6F">
        <w:rPr>
          <w:rtl/>
        </w:rPr>
        <w:tab/>
        <w:t xml:space="preserve">المرسوم التشريعي الملكي رقم </w:t>
      </w:r>
      <w:r w:rsidR="00FC4729" w:rsidRPr="00E44063">
        <w:rPr>
          <w:rFonts w:hint="cs"/>
          <w:rtl/>
        </w:rPr>
        <w:t>9</w:t>
      </w:r>
      <w:r w:rsidR="00FC4729" w:rsidRPr="00D97B6F">
        <w:rPr>
          <w:rFonts w:hint="cs"/>
          <w:rtl/>
        </w:rPr>
        <w:t>/</w:t>
      </w:r>
      <w:r w:rsidR="00FC4729" w:rsidRPr="00E44063">
        <w:rPr>
          <w:rFonts w:hint="cs"/>
          <w:rtl/>
        </w:rPr>
        <w:t>2018</w:t>
      </w:r>
      <w:r w:rsidR="00774CA0" w:rsidRPr="00D97B6F">
        <w:rPr>
          <w:rtl/>
        </w:rPr>
        <w:t xml:space="preserve">، المؤرخ </w:t>
      </w:r>
      <w:r w:rsidR="00774CA0" w:rsidRPr="00E44063">
        <w:rPr>
          <w:rtl/>
        </w:rPr>
        <w:t>3</w:t>
      </w:r>
      <w:r w:rsidR="00774CA0" w:rsidRPr="00D97B6F">
        <w:rPr>
          <w:rtl/>
        </w:rPr>
        <w:t xml:space="preserve"> آب/أغسطس </w:t>
      </w:r>
      <w:r w:rsidR="00774CA0" w:rsidRPr="00E44063">
        <w:rPr>
          <w:rtl/>
        </w:rPr>
        <w:t>2018</w:t>
      </w:r>
      <w:r w:rsidR="00774CA0" w:rsidRPr="00D97B6F">
        <w:rPr>
          <w:rtl/>
        </w:rPr>
        <w:t>، المتعلق بالتدابير العاجلة الرامية إلى تنفيذ الميثاق الوطني لمكافحة العنف الجنساني؛</w:t>
      </w:r>
    </w:p>
    <w:p w14:paraId="60958EA4" w14:textId="51032457" w:rsidR="00774CA0" w:rsidRPr="00D97B6F" w:rsidRDefault="00223BA5" w:rsidP="00791BBE">
      <w:pPr>
        <w:pStyle w:val="SingleTxtGA"/>
        <w:rPr>
          <w:szCs w:val="20"/>
          <w:lang w:val="ar-SA" w:eastAsia="zh-TW" w:bidi="en-GB"/>
        </w:rPr>
      </w:pPr>
      <w:r w:rsidRPr="00D97B6F">
        <w:rPr>
          <w:rtl/>
        </w:rPr>
        <w:tab/>
      </w:r>
      <w:r w:rsidR="00774CA0" w:rsidRPr="00D97B6F">
        <w:rPr>
          <w:rtl/>
        </w:rPr>
        <w:t>(ي)</w:t>
      </w:r>
      <w:r w:rsidR="00774CA0" w:rsidRPr="00D97B6F">
        <w:rPr>
          <w:rtl/>
        </w:rPr>
        <w:tab/>
        <w:t xml:space="preserve">سن القانون التنظيمي رقم </w:t>
      </w:r>
      <w:r w:rsidR="00FC4729" w:rsidRPr="00E44063">
        <w:rPr>
          <w:rFonts w:hint="cs"/>
          <w:rtl/>
        </w:rPr>
        <w:t>2</w:t>
      </w:r>
      <w:r w:rsidR="00FC4729" w:rsidRPr="00D97B6F">
        <w:rPr>
          <w:rFonts w:hint="cs"/>
          <w:rtl/>
        </w:rPr>
        <w:t>/</w:t>
      </w:r>
      <w:r w:rsidR="00FC4729" w:rsidRPr="00E44063">
        <w:rPr>
          <w:rFonts w:hint="cs"/>
          <w:rtl/>
        </w:rPr>
        <w:t>2015</w:t>
      </w:r>
      <w:r w:rsidR="00774CA0" w:rsidRPr="00D97B6F">
        <w:rPr>
          <w:rtl/>
        </w:rPr>
        <w:t xml:space="preserve">، المؤرخ </w:t>
      </w:r>
      <w:r w:rsidR="00774CA0" w:rsidRPr="00E44063">
        <w:rPr>
          <w:rtl/>
        </w:rPr>
        <w:t>30</w:t>
      </w:r>
      <w:r w:rsidR="00774CA0" w:rsidRPr="00D97B6F">
        <w:rPr>
          <w:rtl/>
        </w:rPr>
        <w:t xml:space="preserve"> آذار/مارس </w:t>
      </w:r>
      <w:r w:rsidR="00774CA0" w:rsidRPr="00E44063">
        <w:rPr>
          <w:rtl/>
        </w:rPr>
        <w:t>2015</w:t>
      </w:r>
      <w:r w:rsidR="00774CA0" w:rsidRPr="00D97B6F">
        <w:rPr>
          <w:rtl/>
        </w:rPr>
        <w:t xml:space="preserve">، وكذلك القانون التنظيمي رقم </w:t>
      </w:r>
      <w:r w:rsidR="00F05A5F" w:rsidRPr="00E44063">
        <w:rPr>
          <w:rFonts w:hint="cs"/>
          <w:rtl/>
        </w:rPr>
        <w:t>1</w:t>
      </w:r>
      <w:r w:rsidR="00F05A5F" w:rsidRPr="00D97B6F">
        <w:rPr>
          <w:rFonts w:hint="cs"/>
          <w:rtl/>
        </w:rPr>
        <w:t>/</w:t>
      </w:r>
      <w:r w:rsidR="00F05A5F" w:rsidRPr="00E44063">
        <w:rPr>
          <w:rFonts w:hint="cs"/>
          <w:rtl/>
        </w:rPr>
        <w:t>2019</w:t>
      </w:r>
      <w:r w:rsidR="00774CA0" w:rsidRPr="00D97B6F">
        <w:rPr>
          <w:rtl/>
        </w:rPr>
        <w:t xml:space="preserve">، المؤرخ </w:t>
      </w:r>
      <w:r w:rsidR="00774CA0" w:rsidRPr="00E44063">
        <w:rPr>
          <w:rtl/>
        </w:rPr>
        <w:t>21</w:t>
      </w:r>
      <w:r w:rsidR="00774CA0" w:rsidRPr="00D97B6F">
        <w:rPr>
          <w:rtl/>
        </w:rPr>
        <w:t xml:space="preserve"> شباط/فبراير </w:t>
      </w:r>
      <w:r w:rsidR="00774CA0" w:rsidRPr="00E44063">
        <w:rPr>
          <w:rtl/>
        </w:rPr>
        <w:t>2019</w:t>
      </w:r>
      <w:r w:rsidR="00774CA0" w:rsidRPr="00D97B6F">
        <w:rPr>
          <w:rtl/>
        </w:rPr>
        <w:t xml:space="preserve">، المتعلقين بإصلاح القانون الجنائي بهدف تضمينه أحكام الأمر التوجيهي رقم </w:t>
      </w:r>
      <w:r w:rsidR="00233107" w:rsidRPr="00E44063">
        <w:rPr>
          <w:rFonts w:hint="cs"/>
          <w:rtl/>
        </w:rPr>
        <w:t>2017</w:t>
      </w:r>
      <w:r w:rsidR="00233107" w:rsidRPr="00D97B6F">
        <w:rPr>
          <w:rFonts w:hint="cs"/>
          <w:rtl/>
        </w:rPr>
        <w:t>/</w:t>
      </w:r>
      <w:r w:rsidR="00233107" w:rsidRPr="00E44063">
        <w:rPr>
          <w:rFonts w:hint="cs"/>
          <w:rtl/>
        </w:rPr>
        <w:t>541</w:t>
      </w:r>
      <w:r w:rsidR="00774CA0" w:rsidRPr="00D97B6F">
        <w:rPr>
          <w:rtl/>
        </w:rPr>
        <w:t xml:space="preserve">، المؤرخ </w:t>
      </w:r>
      <w:r w:rsidR="00774CA0" w:rsidRPr="00E44063">
        <w:rPr>
          <w:rtl/>
        </w:rPr>
        <w:t>15</w:t>
      </w:r>
      <w:r w:rsidR="00774CA0" w:rsidRPr="00D97B6F">
        <w:rPr>
          <w:rtl/>
        </w:rPr>
        <w:t xml:space="preserve"> آذار/مارس </w:t>
      </w:r>
      <w:r w:rsidR="00774CA0" w:rsidRPr="00E44063">
        <w:rPr>
          <w:rtl/>
        </w:rPr>
        <w:t>2017</w:t>
      </w:r>
      <w:r w:rsidR="00774CA0" w:rsidRPr="00D97B6F">
        <w:rPr>
          <w:rtl/>
        </w:rPr>
        <w:t xml:space="preserve"> والصادر عن الاتحاد الأوروبي، الذي يجرم بعض السلوكيات المرتبطة بالتطرف والإرهاب.</w:t>
      </w:r>
    </w:p>
    <w:p w14:paraId="648E177F" w14:textId="77777777" w:rsidR="00774CA0" w:rsidRPr="00D97B6F" w:rsidRDefault="00774CA0" w:rsidP="00791BBE">
      <w:pPr>
        <w:pStyle w:val="SingleTxtGA"/>
        <w:rPr>
          <w:szCs w:val="20"/>
          <w:lang w:val="ar-SA" w:eastAsia="zh-TW" w:bidi="en-GB"/>
        </w:rPr>
      </w:pPr>
      <w:r w:rsidRPr="00E44063">
        <w:rPr>
          <w:rtl/>
        </w:rPr>
        <w:t>5</w:t>
      </w:r>
      <w:r w:rsidRPr="00D97B6F">
        <w:rPr>
          <w:rtl/>
        </w:rPr>
        <w:t>-</w:t>
      </w:r>
      <w:r w:rsidRPr="00D97B6F">
        <w:rPr>
          <w:rtl/>
        </w:rPr>
        <w:tab/>
        <w:t>وتحيط اللجنة علماً مع التقدير بما اتخذته الدولة الطرف من تدابير لتعديل سياساتها وإجراءاتها بغية تعزيز حماية حقوق الإنسان وتنفيذ أحكام الاتفاقية، ولا سيما بما يلي:</w:t>
      </w:r>
    </w:p>
    <w:p w14:paraId="3A284EE2" w14:textId="4837CF5D" w:rsidR="00774CA0" w:rsidRPr="00D97B6F" w:rsidRDefault="00223BA5" w:rsidP="00223BA5">
      <w:pPr>
        <w:pStyle w:val="SingleTxtGA"/>
        <w:rPr>
          <w:szCs w:val="20"/>
          <w:lang w:val="ar-SA" w:eastAsia="zh-TW" w:bidi="en-GB"/>
        </w:rPr>
      </w:pPr>
      <w:r w:rsidRPr="00D97B6F">
        <w:rPr>
          <w:rtl/>
        </w:rPr>
        <w:tab/>
      </w:r>
      <w:r w:rsidR="00774CA0" w:rsidRPr="00D97B6F">
        <w:rPr>
          <w:rtl/>
        </w:rPr>
        <w:t>(أ)</w:t>
      </w:r>
      <w:r w:rsidR="00774CA0" w:rsidRPr="00D97B6F">
        <w:rPr>
          <w:rtl/>
        </w:rPr>
        <w:tab/>
        <w:t>إقرار الاستراتيجية الوطنية لحقوق الأطفال والمراهقين (</w:t>
      </w:r>
      <w:r w:rsidR="00233107" w:rsidRPr="00E44063">
        <w:rPr>
          <w:rFonts w:hint="cs"/>
          <w:rtl/>
        </w:rPr>
        <w:t>2023</w:t>
      </w:r>
      <w:r w:rsidR="00233107" w:rsidRPr="00D97B6F">
        <w:rPr>
          <w:rFonts w:hint="cs"/>
          <w:rtl/>
        </w:rPr>
        <w:t>-</w:t>
      </w:r>
      <w:r w:rsidR="00233107" w:rsidRPr="00E44063">
        <w:rPr>
          <w:rFonts w:hint="cs"/>
          <w:rtl/>
        </w:rPr>
        <w:t>2030</w:t>
      </w:r>
      <w:r w:rsidR="002D233E" w:rsidRPr="00D97B6F">
        <w:rPr>
          <w:rtl/>
        </w:rPr>
        <w:t xml:space="preserve">)، </w:t>
      </w:r>
      <w:r w:rsidR="00774CA0" w:rsidRPr="00D97B6F">
        <w:rPr>
          <w:rtl/>
        </w:rPr>
        <w:t>التي كُرس المكون الاستراتيجي الخامس منها للقضاء على العنف ضد الأطفال؛</w:t>
      </w:r>
    </w:p>
    <w:p w14:paraId="37671596" w14:textId="11929EBD" w:rsidR="00774CA0" w:rsidRPr="00E44063" w:rsidRDefault="00223BA5" w:rsidP="00223BA5">
      <w:pPr>
        <w:pStyle w:val="SingleTxtGA"/>
        <w:rPr>
          <w:b/>
          <w:spacing w:val="6"/>
          <w:szCs w:val="20"/>
          <w:lang w:val="en-US" w:eastAsia="zh-TW" w:bidi="en-GB"/>
        </w:rPr>
      </w:pPr>
      <w:r w:rsidRPr="00D97B6F">
        <w:rPr>
          <w:spacing w:val="6"/>
          <w:rtl/>
        </w:rPr>
        <w:tab/>
      </w:r>
      <w:r w:rsidR="00774CA0" w:rsidRPr="00D97B6F">
        <w:rPr>
          <w:spacing w:val="6"/>
          <w:rtl/>
        </w:rPr>
        <w:t>(ب)</w:t>
      </w:r>
      <w:r w:rsidR="00774CA0" w:rsidRPr="00D97B6F">
        <w:rPr>
          <w:spacing w:val="6"/>
          <w:rtl/>
        </w:rPr>
        <w:tab/>
        <w:t xml:space="preserve">اعتماد الخطة الاستراتيجية الوطنية لمكافحة الاتجار بالبشر واستغلالهم </w:t>
      </w:r>
      <w:r w:rsidR="00774CA0" w:rsidRPr="00D97B6F">
        <w:rPr>
          <w:rFonts w:ascii="Simplified Arabic"/>
          <w:spacing w:val="6"/>
          <w:szCs w:val="20"/>
          <w:rtl/>
        </w:rPr>
        <w:t>(</w:t>
      </w:r>
      <w:r w:rsidR="00233107" w:rsidRPr="00E44063">
        <w:rPr>
          <w:rFonts w:hint="cs"/>
          <w:spacing w:val="6"/>
          <w:rtl/>
        </w:rPr>
        <w:t>2021</w:t>
      </w:r>
      <w:r w:rsidR="00233107" w:rsidRPr="00D97B6F">
        <w:rPr>
          <w:rFonts w:hint="cs"/>
          <w:spacing w:val="6"/>
          <w:rtl/>
        </w:rPr>
        <w:t>-</w:t>
      </w:r>
      <w:r w:rsidR="00233107" w:rsidRPr="00E44063">
        <w:rPr>
          <w:rFonts w:hint="cs"/>
          <w:spacing w:val="6"/>
          <w:rtl/>
        </w:rPr>
        <w:t>2023</w:t>
      </w:r>
      <w:r w:rsidR="002D233E" w:rsidRPr="00D97B6F">
        <w:rPr>
          <w:rFonts w:ascii="Simplified Arabic"/>
          <w:spacing w:val="6"/>
          <w:szCs w:val="20"/>
          <w:rtl/>
        </w:rPr>
        <w:t>)</w:t>
      </w:r>
      <w:r w:rsidR="002D233E" w:rsidRPr="00D97B6F">
        <w:rPr>
          <w:spacing w:val="6"/>
          <w:rtl/>
        </w:rPr>
        <w:t xml:space="preserve">، </w:t>
      </w:r>
      <w:r w:rsidR="00774CA0" w:rsidRPr="00D97B6F">
        <w:rPr>
          <w:spacing w:val="6"/>
          <w:rtl/>
        </w:rPr>
        <w:t xml:space="preserve">المؤرخة </w:t>
      </w:r>
      <w:r w:rsidR="00774CA0" w:rsidRPr="00E44063">
        <w:rPr>
          <w:spacing w:val="6"/>
          <w:rtl/>
        </w:rPr>
        <w:t>20</w:t>
      </w:r>
      <w:r w:rsidR="00774CA0" w:rsidRPr="00D97B6F">
        <w:rPr>
          <w:spacing w:val="6"/>
          <w:rtl/>
        </w:rPr>
        <w:t xml:space="preserve"> كانون الثاني/يناير </w:t>
      </w:r>
      <w:r w:rsidR="00774CA0" w:rsidRPr="00E44063">
        <w:rPr>
          <w:spacing w:val="6"/>
          <w:rtl/>
        </w:rPr>
        <w:t>2022</w:t>
      </w:r>
      <w:r w:rsidR="00774CA0" w:rsidRPr="00D97B6F">
        <w:rPr>
          <w:spacing w:val="6"/>
          <w:rtl/>
        </w:rPr>
        <w:t xml:space="preserve">، والخطة التنفيذية لحماية حقوق الإنسان للنساء والفتيات ضحايا الاتجار والاستغلال الجنسي والنساء العاملات في البغاء </w:t>
      </w:r>
      <w:r w:rsidR="00774CA0" w:rsidRPr="00D97B6F">
        <w:rPr>
          <w:rFonts w:ascii="Simplified Arabic"/>
          <w:spacing w:val="6"/>
          <w:szCs w:val="20"/>
          <w:rtl/>
        </w:rPr>
        <w:t>(</w:t>
      </w:r>
      <w:r w:rsidR="00233107" w:rsidRPr="00E44063">
        <w:rPr>
          <w:rFonts w:hint="cs"/>
          <w:spacing w:val="6"/>
          <w:rtl/>
        </w:rPr>
        <w:t>2022</w:t>
      </w:r>
      <w:r w:rsidR="00233107" w:rsidRPr="00D97B6F">
        <w:rPr>
          <w:rFonts w:hint="cs"/>
          <w:spacing w:val="6"/>
          <w:rtl/>
        </w:rPr>
        <w:t>-</w:t>
      </w:r>
      <w:r w:rsidR="00233107" w:rsidRPr="00E44063">
        <w:rPr>
          <w:rFonts w:hint="cs"/>
          <w:spacing w:val="6"/>
          <w:rtl/>
        </w:rPr>
        <w:t>2026</w:t>
      </w:r>
      <w:r w:rsidR="002D233E" w:rsidRPr="00D97B6F">
        <w:rPr>
          <w:rFonts w:ascii="Simplified Arabic"/>
          <w:spacing w:val="6"/>
          <w:szCs w:val="20"/>
          <w:rtl/>
        </w:rPr>
        <w:t>)</w:t>
      </w:r>
      <w:r w:rsidR="002D233E" w:rsidRPr="00D97B6F">
        <w:rPr>
          <w:spacing w:val="6"/>
          <w:rtl/>
        </w:rPr>
        <w:t xml:space="preserve">، </w:t>
      </w:r>
      <w:r w:rsidR="00774CA0" w:rsidRPr="00D97B6F">
        <w:rPr>
          <w:spacing w:val="6"/>
          <w:rtl/>
        </w:rPr>
        <w:t xml:space="preserve">المعروفة باسم </w:t>
      </w:r>
      <w:r w:rsidR="00774CA0" w:rsidRPr="00E44063">
        <w:rPr>
          <w:i/>
          <w:iCs/>
          <w:spacing w:val="6"/>
          <w:rtl/>
        </w:rPr>
        <w:t>«خطة كامينو»</w:t>
      </w:r>
      <w:r w:rsidR="00774CA0" w:rsidRPr="00D97B6F">
        <w:rPr>
          <w:spacing w:val="6"/>
          <w:rtl/>
        </w:rPr>
        <w:t xml:space="preserve"> والمؤرخة </w:t>
      </w:r>
      <w:r w:rsidR="00774CA0" w:rsidRPr="00E44063">
        <w:rPr>
          <w:spacing w:val="6"/>
          <w:rtl/>
        </w:rPr>
        <w:t>20</w:t>
      </w:r>
      <w:r w:rsidR="00774CA0" w:rsidRPr="00D97B6F">
        <w:rPr>
          <w:spacing w:val="6"/>
          <w:rtl/>
        </w:rPr>
        <w:t xml:space="preserve"> أيلول/سبتمبر </w:t>
      </w:r>
      <w:r w:rsidR="00774CA0" w:rsidRPr="00E44063">
        <w:rPr>
          <w:spacing w:val="6"/>
          <w:rtl/>
        </w:rPr>
        <w:t>2022</w:t>
      </w:r>
      <w:r w:rsidR="00774CA0" w:rsidRPr="00D97B6F">
        <w:rPr>
          <w:spacing w:val="6"/>
          <w:rtl/>
        </w:rPr>
        <w:t>؛</w:t>
      </w:r>
    </w:p>
    <w:p w14:paraId="08B3DB09" w14:textId="21D78658" w:rsidR="00774CA0" w:rsidRPr="00D97B6F" w:rsidRDefault="00223BA5" w:rsidP="00223BA5">
      <w:pPr>
        <w:pStyle w:val="SingleTxtGA"/>
        <w:rPr>
          <w:szCs w:val="20"/>
          <w:lang w:val="ar-SA" w:eastAsia="zh-TW" w:bidi="en-GB"/>
        </w:rPr>
      </w:pPr>
      <w:r w:rsidRPr="00D97B6F">
        <w:rPr>
          <w:rtl/>
        </w:rPr>
        <w:tab/>
      </w:r>
      <w:r w:rsidR="00774CA0" w:rsidRPr="00D97B6F">
        <w:rPr>
          <w:rtl/>
        </w:rPr>
        <w:t>(ج)</w:t>
      </w:r>
      <w:r w:rsidR="00774CA0" w:rsidRPr="00D97B6F">
        <w:rPr>
          <w:rtl/>
        </w:rPr>
        <w:tab/>
        <w:t xml:space="preserve">اعتماد الخطة الوطنية الثانية لحقوق الإنسان </w:t>
      </w:r>
      <w:r w:rsidR="00774CA0" w:rsidRPr="00D97B6F">
        <w:rPr>
          <w:rFonts w:ascii="Simplified Arabic"/>
          <w:szCs w:val="20"/>
          <w:rtl/>
        </w:rPr>
        <w:t>(</w:t>
      </w:r>
      <w:r w:rsidR="00ED4716" w:rsidRPr="00E44063">
        <w:rPr>
          <w:rFonts w:hint="cs"/>
          <w:rtl/>
        </w:rPr>
        <w:t>2023</w:t>
      </w:r>
      <w:r w:rsidR="00ED4716" w:rsidRPr="00D97B6F">
        <w:rPr>
          <w:rFonts w:hint="cs"/>
          <w:rtl/>
        </w:rPr>
        <w:t>-</w:t>
      </w:r>
      <w:r w:rsidR="00ED4716" w:rsidRPr="00E44063">
        <w:rPr>
          <w:rFonts w:hint="cs"/>
          <w:rtl/>
        </w:rPr>
        <w:t>2027</w:t>
      </w:r>
      <w:r w:rsidR="002D233E" w:rsidRPr="00D97B6F">
        <w:rPr>
          <w:rFonts w:ascii="Simplified Arabic"/>
          <w:szCs w:val="20"/>
          <w:rtl/>
        </w:rPr>
        <w:t>)</w:t>
      </w:r>
      <w:r w:rsidR="002D233E" w:rsidRPr="00D97B6F">
        <w:rPr>
          <w:rtl/>
        </w:rPr>
        <w:t xml:space="preserve">، </w:t>
      </w:r>
      <w:r w:rsidR="00774CA0" w:rsidRPr="00D97B6F">
        <w:rPr>
          <w:rtl/>
        </w:rPr>
        <w:t xml:space="preserve">المؤرخة </w:t>
      </w:r>
      <w:r w:rsidR="00774CA0" w:rsidRPr="00E44063">
        <w:rPr>
          <w:rtl/>
        </w:rPr>
        <w:t>6</w:t>
      </w:r>
      <w:r w:rsidR="00774CA0" w:rsidRPr="00D97B6F">
        <w:rPr>
          <w:rtl/>
        </w:rPr>
        <w:t xml:space="preserve"> حزيران/</w:t>
      </w:r>
      <w:r w:rsidR="009B3592" w:rsidRPr="00D97B6F">
        <w:rPr>
          <w:rFonts w:hint="cs"/>
          <w:rtl/>
        </w:rPr>
        <w:t xml:space="preserve"> </w:t>
      </w:r>
      <w:proofErr w:type="gramStart"/>
      <w:r w:rsidR="00774CA0" w:rsidRPr="00D97B6F">
        <w:rPr>
          <w:rtl/>
        </w:rPr>
        <w:t>يونيه</w:t>
      </w:r>
      <w:proofErr w:type="gramEnd"/>
      <w:r w:rsidR="00774CA0" w:rsidRPr="00D97B6F">
        <w:rPr>
          <w:rtl/>
        </w:rPr>
        <w:t xml:space="preserve"> </w:t>
      </w:r>
      <w:r w:rsidR="00774CA0" w:rsidRPr="00E44063">
        <w:rPr>
          <w:rtl/>
        </w:rPr>
        <w:t>2023</w:t>
      </w:r>
      <w:r w:rsidR="00774CA0" w:rsidRPr="00D97B6F">
        <w:rPr>
          <w:rtl/>
        </w:rPr>
        <w:t>؛</w:t>
      </w:r>
    </w:p>
    <w:p w14:paraId="76E69CF1" w14:textId="6A56DFE0" w:rsidR="00774CA0" w:rsidRPr="00D97B6F" w:rsidRDefault="00223BA5" w:rsidP="00223BA5">
      <w:pPr>
        <w:pStyle w:val="SingleTxtGA"/>
        <w:rPr>
          <w:szCs w:val="20"/>
          <w:lang w:val="en-US" w:eastAsia="zh-TW" w:bidi="en-GB"/>
        </w:rPr>
      </w:pPr>
      <w:r w:rsidRPr="00D97B6F">
        <w:rPr>
          <w:rtl/>
        </w:rPr>
        <w:tab/>
      </w:r>
      <w:r w:rsidR="00774CA0" w:rsidRPr="00D97B6F">
        <w:rPr>
          <w:rtl/>
        </w:rPr>
        <w:t>(د)</w:t>
      </w:r>
      <w:r w:rsidR="00774CA0" w:rsidRPr="00D97B6F">
        <w:rPr>
          <w:rtl/>
        </w:rPr>
        <w:tab/>
        <w:t xml:space="preserve">اعتماد الخطة الثانية لمكافحة جرائم الكراهية </w:t>
      </w:r>
      <w:r w:rsidR="00774CA0" w:rsidRPr="00D97B6F">
        <w:rPr>
          <w:rFonts w:ascii="Simplified Arabic"/>
          <w:szCs w:val="20"/>
          <w:rtl/>
        </w:rPr>
        <w:t>(</w:t>
      </w:r>
      <w:r w:rsidR="00ED4716" w:rsidRPr="00E44063">
        <w:rPr>
          <w:rFonts w:hint="cs"/>
          <w:rtl/>
        </w:rPr>
        <w:t>2022</w:t>
      </w:r>
      <w:r w:rsidR="00ED4716" w:rsidRPr="00D97B6F">
        <w:rPr>
          <w:rFonts w:hint="cs"/>
          <w:rtl/>
        </w:rPr>
        <w:t>-</w:t>
      </w:r>
      <w:r w:rsidR="00ED4716" w:rsidRPr="00E44063">
        <w:rPr>
          <w:rFonts w:hint="cs"/>
          <w:rtl/>
        </w:rPr>
        <w:t>2024</w:t>
      </w:r>
      <w:r w:rsidR="002D233E" w:rsidRPr="00D97B6F">
        <w:rPr>
          <w:rFonts w:ascii="Simplified Arabic"/>
          <w:szCs w:val="20"/>
          <w:rtl/>
        </w:rPr>
        <w:t>)</w:t>
      </w:r>
      <w:r w:rsidR="002D233E" w:rsidRPr="00D97B6F">
        <w:rPr>
          <w:rtl/>
        </w:rPr>
        <w:t xml:space="preserve">، </w:t>
      </w:r>
      <w:r w:rsidR="00774CA0" w:rsidRPr="00D97B6F">
        <w:rPr>
          <w:rtl/>
        </w:rPr>
        <w:t xml:space="preserve">المؤرخة </w:t>
      </w:r>
      <w:r w:rsidR="00774CA0" w:rsidRPr="00E44063">
        <w:rPr>
          <w:rtl/>
        </w:rPr>
        <w:t>12</w:t>
      </w:r>
      <w:r w:rsidR="00774CA0" w:rsidRPr="00D97B6F">
        <w:rPr>
          <w:rtl/>
        </w:rPr>
        <w:t xml:space="preserve"> نيسان/</w:t>
      </w:r>
      <w:r w:rsidR="009B3592" w:rsidRPr="00D97B6F">
        <w:rPr>
          <w:rFonts w:hint="cs"/>
          <w:rtl/>
        </w:rPr>
        <w:t xml:space="preserve"> </w:t>
      </w:r>
      <w:r w:rsidR="00774CA0" w:rsidRPr="00D97B6F">
        <w:rPr>
          <w:rtl/>
        </w:rPr>
        <w:t xml:space="preserve">أبريل </w:t>
      </w:r>
      <w:r w:rsidR="00774CA0" w:rsidRPr="00E44063">
        <w:rPr>
          <w:rtl/>
        </w:rPr>
        <w:t>2022</w:t>
      </w:r>
      <w:r w:rsidR="00774CA0" w:rsidRPr="00D97B6F">
        <w:rPr>
          <w:rtl/>
        </w:rPr>
        <w:t>؛</w:t>
      </w:r>
    </w:p>
    <w:p w14:paraId="30E518B6" w14:textId="1980CA2F" w:rsidR="002D233E" w:rsidRPr="00D97B6F" w:rsidRDefault="00223BA5" w:rsidP="00223BA5">
      <w:pPr>
        <w:pStyle w:val="SingleTxtGA"/>
        <w:rPr>
          <w:szCs w:val="20"/>
          <w:lang w:val="ar-SA" w:eastAsia="zh-TW" w:bidi="en-GB"/>
        </w:rPr>
      </w:pPr>
      <w:r w:rsidRPr="00D97B6F">
        <w:rPr>
          <w:rtl/>
        </w:rPr>
        <w:tab/>
      </w:r>
      <w:r w:rsidR="00774CA0" w:rsidRPr="00D97B6F">
        <w:rPr>
          <w:rtl/>
        </w:rPr>
        <w:t>(ه)</w:t>
      </w:r>
      <w:r w:rsidR="00774CA0" w:rsidRPr="00D97B6F">
        <w:rPr>
          <w:rtl/>
        </w:rPr>
        <w:tab/>
        <w:t xml:space="preserve">اعتماد الخطة الاستراتيجية الثالثة للمساواة الفعلية بين المرأة والرجل </w:t>
      </w:r>
      <w:r w:rsidR="00774CA0" w:rsidRPr="00D97B6F">
        <w:rPr>
          <w:rFonts w:ascii="Simplified Arabic"/>
          <w:szCs w:val="20"/>
          <w:rtl/>
        </w:rPr>
        <w:t>(</w:t>
      </w:r>
      <w:r w:rsidR="00ED4716" w:rsidRPr="00E44063">
        <w:rPr>
          <w:rFonts w:hint="cs"/>
          <w:rtl/>
        </w:rPr>
        <w:t>2022</w:t>
      </w:r>
      <w:r w:rsidR="00ED4716" w:rsidRPr="00D97B6F">
        <w:rPr>
          <w:rFonts w:hint="cs"/>
          <w:rtl/>
        </w:rPr>
        <w:t>-</w:t>
      </w:r>
      <w:r w:rsidR="00ED4716" w:rsidRPr="00E44063">
        <w:rPr>
          <w:rFonts w:hint="cs"/>
          <w:rtl/>
        </w:rPr>
        <w:t>2025</w:t>
      </w:r>
      <w:r w:rsidR="002D233E" w:rsidRPr="00D97B6F">
        <w:rPr>
          <w:rFonts w:ascii="Simplified Arabic"/>
          <w:szCs w:val="20"/>
          <w:rtl/>
        </w:rPr>
        <w:t>)</w:t>
      </w:r>
      <w:r w:rsidR="002D233E" w:rsidRPr="00D97B6F">
        <w:rPr>
          <w:rtl/>
        </w:rPr>
        <w:t xml:space="preserve">، </w:t>
      </w:r>
      <w:r w:rsidR="00774CA0" w:rsidRPr="00D97B6F">
        <w:rPr>
          <w:rtl/>
        </w:rPr>
        <w:t xml:space="preserve">والاستراتيجية الوطنية لمكافحة العنف الذكوري </w:t>
      </w:r>
      <w:r w:rsidR="00774CA0" w:rsidRPr="00D97B6F">
        <w:rPr>
          <w:rFonts w:ascii="Simplified Arabic"/>
          <w:szCs w:val="20"/>
          <w:rtl/>
        </w:rPr>
        <w:t>(</w:t>
      </w:r>
      <w:r w:rsidR="002C3EB3" w:rsidRPr="00E44063">
        <w:rPr>
          <w:rFonts w:hint="cs"/>
          <w:rtl/>
        </w:rPr>
        <w:t>2022</w:t>
      </w:r>
      <w:r w:rsidR="002C3EB3" w:rsidRPr="00D97B6F">
        <w:rPr>
          <w:rFonts w:hint="cs"/>
          <w:rtl/>
        </w:rPr>
        <w:t>-</w:t>
      </w:r>
      <w:r w:rsidR="002C3EB3" w:rsidRPr="00E44063">
        <w:rPr>
          <w:rFonts w:hint="cs"/>
          <w:rtl/>
        </w:rPr>
        <w:t>2025</w:t>
      </w:r>
      <w:r w:rsidR="002D233E" w:rsidRPr="00D97B6F">
        <w:rPr>
          <w:rFonts w:ascii="Simplified Arabic"/>
          <w:szCs w:val="20"/>
          <w:rtl/>
        </w:rPr>
        <w:t>)</w:t>
      </w:r>
      <w:r w:rsidR="002D233E" w:rsidRPr="00D97B6F">
        <w:rPr>
          <w:rtl/>
        </w:rPr>
        <w:t>؛</w:t>
      </w:r>
    </w:p>
    <w:p w14:paraId="44C8773D" w14:textId="522A2035" w:rsidR="00774CA0" w:rsidRPr="00D97B6F" w:rsidRDefault="00223BA5" w:rsidP="00223BA5">
      <w:pPr>
        <w:pStyle w:val="SingleTxtGA"/>
        <w:rPr>
          <w:spacing w:val="-2"/>
          <w:szCs w:val="20"/>
          <w:lang w:val="ar-SA" w:eastAsia="zh-TW" w:bidi="en-GB"/>
        </w:rPr>
      </w:pPr>
      <w:r w:rsidRPr="00D97B6F">
        <w:rPr>
          <w:rtl/>
        </w:rPr>
        <w:lastRenderedPageBreak/>
        <w:tab/>
      </w:r>
      <w:r w:rsidR="00774CA0" w:rsidRPr="00D97B6F">
        <w:rPr>
          <w:rtl/>
        </w:rPr>
        <w:t>(و)</w:t>
      </w:r>
      <w:r w:rsidR="00774CA0" w:rsidRPr="00D97B6F">
        <w:rPr>
          <w:rtl/>
        </w:rPr>
        <w:tab/>
        <w:t xml:space="preserve">اعتماد الخطة التوجيهية لتحسين الهياكل الأساسية للشرطة </w:t>
      </w:r>
      <w:r w:rsidR="00774CA0" w:rsidRPr="00D97B6F">
        <w:rPr>
          <w:rFonts w:ascii="Simplified Arabic"/>
          <w:szCs w:val="20"/>
          <w:rtl/>
        </w:rPr>
        <w:t>(</w:t>
      </w:r>
      <w:r w:rsidR="002C3EB3" w:rsidRPr="00E44063">
        <w:rPr>
          <w:rFonts w:hint="cs"/>
          <w:rtl/>
        </w:rPr>
        <w:t>2013</w:t>
      </w:r>
      <w:r w:rsidR="002C3EB3" w:rsidRPr="00D97B6F">
        <w:rPr>
          <w:rFonts w:hint="cs"/>
          <w:rtl/>
        </w:rPr>
        <w:t>-</w:t>
      </w:r>
      <w:r w:rsidR="002C3EB3" w:rsidRPr="00E44063">
        <w:rPr>
          <w:rFonts w:hint="cs"/>
          <w:rtl/>
        </w:rPr>
        <w:t>2023</w:t>
      </w:r>
      <w:r w:rsidR="002D233E" w:rsidRPr="00D97B6F">
        <w:rPr>
          <w:rFonts w:ascii="Simplified Arabic"/>
          <w:szCs w:val="20"/>
          <w:rtl/>
        </w:rPr>
        <w:t>)</w:t>
      </w:r>
      <w:r w:rsidR="002D233E" w:rsidRPr="00D97B6F">
        <w:rPr>
          <w:rtl/>
        </w:rPr>
        <w:t xml:space="preserve">، </w:t>
      </w:r>
      <w:r w:rsidR="00774CA0" w:rsidRPr="00D97B6F">
        <w:rPr>
          <w:rtl/>
        </w:rPr>
        <w:t>التي تنص على تدابير من جملتها تركيب أنظمة مراقبة بالفيديو في الغرف غير المجهزة بها بعد وتجديد المباني، وتحديث بروتوكول التعامل مع الأشخاص المحتجزين لدى قوات الشرطة والأمن وفقاً للتوجيه رقم</w:t>
      </w:r>
      <w:r w:rsidR="002D233E" w:rsidRPr="00D97B6F">
        <w:rPr>
          <w:rFonts w:hint="cs"/>
          <w:rtl/>
        </w:rPr>
        <w:t> </w:t>
      </w:r>
      <w:r w:rsidR="002C3EB3" w:rsidRPr="00E44063">
        <w:rPr>
          <w:rFonts w:hint="cs"/>
          <w:rtl/>
        </w:rPr>
        <w:t>4</w:t>
      </w:r>
      <w:r w:rsidR="002C3EB3" w:rsidRPr="00D97B6F">
        <w:rPr>
          <w:rFonts w:hint="cs"/>
          <w:rtl/>
        </w:rPr>
        <w:t>/</w:t>
      </w:r>
      <w:r w:rsidR="002C3EB3" w:rsidRPr="00E44063">
        <w:rPr>
          <w:rFonts w:hint="cs"/>
          <w:rtl/>
        </w:rPr>
        <w:t>2018</w:t>
      </w:r>
      <w:r w:rsidR="00774CA0" w:rsidRPr="00D97B6F">
        <w:rPr>
          <w:rtl/>
        </w:rPr>
        <w:t xml:space="preserve">، الصادر عن وزير الدولة لشؤون الأمن والمؤرخ </w:t>
      </w:r>
      <w:r w:rsidR="00774CA0" w:rsidRPr="00E44063">
        <w:rPr>
          <w:rtl/>
        </w:rPr>
        <w:t>17</w:t>
      </w:r>
      <w:r w:rsidR="00774CA0" w:rsidRPr="00D97B6F">
        <w:rPr>
          <w:rtl/>
        </w:rPr>
        <w:t xml:space="preserve"> تشرين الأول/أكتوبر </w:t>
      </w:r>
      <w:r w:rsidR="00774CA0" w:rsidRPr="00E44063">
        <w:rPr>
          <w:rtl/>
        </w:rPr>
        <w:t>2018</w:t>
      </w:r>
      <w:r w:rsidR="00774CA0" w:rsidRPr="00D97B6F">
        <w:rPr>
          <w:rtl/>
        </w:rPr>
        <w:t xml:space="preserve">، الذي </w:t>
      </w:r>
      <w:r w:rsidR="00774CA0" w:rsidRPr="00D97B6F">
        <w:rPr>
          <w:spacing w:val="-2"/>
          <w:rtl/>
        </w:rPr>
        <w:t>ينص على تزويد مراكز الاحتجاز التابعة لقوات الشرطة والأمن بأنظمة للمراقبة والتسجيل الدائمين بالفيديو؛</w:t>
      </w:r>
    </w:p>
    <w:p w14:paraId="59934151" w14:textId="203FF535" w:rsidR="00774CA0" w:rsidRPr="00D97B6F" w:rsidRDefault="00223BA5" w:rsidP="00223BA5">
      <w:pPr>
        <w:pStyle w:val="SingleTxtGA"/>
        <w:rPr>
          <w:szCs w:val="20"/>
          <w:lang w:val="ar-SA" w:eastAsia="zh-TW" w:bidi="en-GB"/>
        </w:rPr>
      </w:pPr>
      <w:r w:rsidRPr="00D97B6F">
        <w:rPr>
          <w:rtl/>
        </w:rPr>
        <w:tab/>
      </w:r>
      <w:r w:rsidR="00774CA0" w:rsidRPr="00D97B6F">
        <w:rPr>
          <w:rtl/>
        </w:rPr>
        <w:t>(ز)</w:t>
      </w:r>
      <w:r w:rsidR="00774CA0" w:rsidRPr="00D97B6F">
        <w:rPr>
          <w:rtl/>
        </w:rPr>
        <w:tab/>
        <w:t xml:space="preserve">اعتماد التوجيه رقم </w:t>
      </w:r>
      <w:r w:rsidR="00D426FC" w:rsidRPr="00E44063">
        <w:rPr>
          <w:rFonts w:hint="cs"/>
          <w:rtl/>
        </w:rPr>
        <w:t>4</w:t>
      </w:r>
      <w:r w:rsidR="00D426FC" w:rsidRPr="00D97B6F">
        <w:rPr>
          <w:rFonts w:hint="cs"/>
          <w:rtl/>
        </w:rPr>
        <w:t>/</w:t>
      </w:r>
      <w:r w:rsidR="00D426FC" w:rsidRPr="00E44063">
        <w:rPr>
          <w:rFonts w:hint="cs"/>
          <w:rtl/>
        </w:rPr>
        <w:t>2022</w:t>
      </w:r>
      <w:r w:rsidR="00774CA0" w:rsidRPr="00D97B6F">
        <w:rPr>
          <w:rtl/>
        </w:rPr>
        <w:t xml:space="preserve">، المؤرخ </w:t>
      </w:r>
      <w:r w:rsidR="00774CA0" w:rsidRPr="00E44063">
        <w:rPr>
          <w:rtl/>
        </w:rPr>
        <w:t>28</w:t>
      </w:r>
      <w:r w:rsidR="00774CA0" w:rsidRPr="00D97B6F">
        <w:rPr>
          <w:rtl/>
        </w:rPr>
        <w:t xml:space="preserve"> تموز/يوليه </w:t>
      </w:r>
      <w:r w:rsidR="00774CA0" w:rsidRPr="00E44063">
        <w:rPr>
          <w:rtl/>
        </w:rPr>
        <w:t>2022</w:t>
      </w:r>
      <w:r w:rsidR="00774CA0" w:rsidRPr="00D97B6F">
        <w:rPr>
          <w:rtl/>
        </w:rPr>
        <w:t xml:space="preserve"> والصادر عن الأمانة العامة للسجون بوزارة الداخلية، الذي ينظم معالجة البيانات الشخصية المستمدة باستخدام أنظمة المراقبة بالفيديو الموجودة في مختلف السجون؛</w:t>
      </w:r>
      <w:bookmarkStart w:id="0" w:name="_Hlk141030379"/>
      <w:bookmarkEnd w:id="0"/>
    </w:p>
    <w:p w14:paraId="013D9852" w14:textId="2D9D4AE6" w:rsidR="00774CA0" w:rsidRPr="00D97B6F" w:rsidRDefault="00223BA5" w:rsidP="00223BA5">
      <w:pPr>
        <w:pStyle w:val="SingleTxtGA"/>
        <w:rPr>
          <w:szCs w:val="20"/>
          <w:lang w:val="ar-SA" w:eastAsia="zh-TW" w:bidi="en-GB"/>
        </w:rPr>
      </w:pPr>
      <w:r w:rsidRPr="00D97B6F">
        <w:rPr>
          <w:rtl/>
        </w:rPr>
        <w:tab/>
      </w:r>
      <w:r w:rsidR="00774CA0" w:rsidRPr="00D97B6F">
        <w:rPr>
          <w:rtl/>
        </w:rPr>
        <w:t>(ح)</w:t>
      </w:r>
      <w:r w:rsidR="00774CA0" w:rsidRPr="00D97B6F">
        <w:rPr>
          <w:rtl/>
        </w:rPr>
        <w:tab/>
        <w:t xml:space="preserve">اعتماد التوجيه رقم </w:t>
      </w:r>
      <w:r w:rsidR="0003691C" w:rsidRPr="00E44063">
        <w:rPr>
          <w:rFonts w:hint="cs"/>
          <w:rtl/>
        </w:rPr>
        <w:t>1</w:t>
      </w:r>
      <w:r w:rsidR="0003691C" w:rsidRPr="00D97B6F">
        <w:rPr>
          <w:rFonts w:hint="cs"/>
          <w:rtl/>
        </w:rPr>
        <w:t>/</w:t>
      </w:r>
      <w:r w:rsidR="0003691C" w:rsidRPr="00E44063">
        <w:rPr>
          <w:rFonts w:hint="cs"/>
          <w:rtl/>
        </w:rPr>
        <w:t>2022</w:t>
      </w:r>
      <w:r w:rsidR="00774CA0" w:rsidRPr="00D97B6F">
        <w:rPr>
          <w:rtl/>
        </w:rPr>
        <w:t xml:space="preserve">، المؤرخ </w:t>
      </w:r>
      <w:r w:rsidR="00774CA0" w:rsidRPr="00E44063">
        <w:rPr>
          <w:rtl/>
        </w:rPr>
        <w:t>10</w:t>
      </w:r>
      <w:r w:rsidR="00774CA0" w:rsidRPr="00D97B6F">
        <w:rPr>
          <w:rtl/>
        </w:rPr>
        <w:t xml:space="preserve"> شباط/فبراير </w:t>
      </w:r>
      <w:r w:rsidR="00774CA0" w:rsidRPr="00E44063">
        <w:rPr>
          <w:rtl/>
        </w:rPr>
        <w:t>2022</w:t>
      </w:r>
      <w:r w:rsidR="00774CA0" w:rsidRPr="00D97B6F">
        <w:rPr>
          <w:rtl/>
        </w:rPr>
        <w:t xml:space="preserve"> والصادر عن وزير الدولة لشؤون الأمن بوزارة الداخلية، الذي يقضي بإنشاء المكتب الوطني المعني بضمان حقوق الإنسان داخل باعتباره تابعاً لهيئة تفتيش شؤون الموظفين وخدمات الأمن التابعة للإدارة العامة للتنسيق والدراسات بوزارة الداخلية، وتكليفه، في جملة أمور، بضمان امتثال قوات الشرطة والأمن المعايير الوطنية والدولية في مجال مكافحة التعذيب وإساءة المعاملة؛</w:t>
      </w:r>
    </w:p>
    <w:p w14:paraId="330937BD" w14:textId="42A3BD43" w:rsidR="00774CA0" w:rsidRPr="00D97B6F" w:rsidRDefault="00223BA5" w:rsidP="00223BA5">
      <w:pPr>
        <w:pStyle w:val="SingleTxtGA"/>
        <w:rPr>
          <w:szCs w:val="20"/>
          <w:lang w:val="ar-SA" w:eastAsia="zh-TW" w:bidi="en-GB"/>
        </w:rPr>
      </w:pPr>
      <w:r w:rsidRPr="00D97B6F">
        <w:rPr>
          <w:rtl/>
        </w:rPr>
        <w:tab/>
      </w:r>
      <w:r w:rsidR="00774CA0" w:rsidRPr="00D97B6F">
        <w:rPr>
          <w:rtl/>
        </w:rPr>
        <w:t>(ط)</w:t>
      </w:r>
      <w:r w:rsidR="00774CA0" w:rsidRPr="00D97B6F">
        <w:rPr>
          <w:rtl/>
        </w:rPr>
        <w:tab/>
        <w:t xml:space="preserve">اعتماد خطة العمل الرامية إلى مكافحة الاستغلال الجنسي للأطفال والمراهقين، في أيار/مايو </w:t>
      </w:r>
      <w:r w:rsidR="00774CA0" w:rsidRPr="00E44063">
        <w:rPr>
          <w:rtl/>
        </w:rPr>
        <w:t>2022</w:t>
      </w:r>
      <w:r w:rsidR="00774CA0" w:rsidRPr="00D97B6F">
        <w:rPr>
          <w:rtl/>
        </w:rPr>
        <w:t>، في إطار نظام حماية الطفل؛</w:t>
      </w:r>
    </w:p>
    <w:p w14:paraId="03AC1F1D" w14:textId="27AD690C" w:rsidR="00774CA0" w:rsidRPr="00D97B6F" w:rsidRDefault="00223BA5" w:rsidP="00223BA5">
      <w:pPr>
        <w:pStyle w:val="SingleTxtGA"/>
        <w:rPr>
          <w:szCs w:val="20"/>
          <w:lang w:val="ar-SA" w:eastAsia="zh-TW" w:bidi="en-GB"/>
        </w:rPr>
      </w:pPr>
      <w:r w:rsidRPr="00D97B6F">
        <w:rPr>
          <w:rtl/>
        </w:rPr>
        <w:tab/>
      </w:r>
      <w:r w:rsidR="00774CA0" w:rsidRPr="00D97B6F">
        <w:rPr>
          <w:rtl/>
        </w:rPr>
        <w:t>(ي)</w:t>
      </w:r>
      <w:r w:rsidR="00774CA0" w:rsidRPr="00D97B6F">
        <w:rPr>
          <w:rtl/>
        </w:rPr>
        <w:tab/>
        <w:t xml:space="preserve">اعتماد بروتوكول البت في شكاوى إساءة المعاملة والتقارير المتعلقة بالإصابات التي يتعرض لها الأشخاص مسلوبو الحرية، في عام </w:t>
      </w:r>
      <w:r w:rsidR="00774CA0" w:rsidRPr="00E44063">
        <w:rPr>
          <w:rtl/>
        </w:rPr>
        <w:t>2021</w:t>
      </w:r>
      <w:r w:rsidR="00774CA0" w:rsidRPr="00D97B6F">
        <w:rPr>
          <w:rtl/>
        </w:rPr>
        <w:t>، الذي وضعته الأمانة العامة للسجون؛</w:t>
      </w:r>
    </w:p>
    <w:p w14:paraId="7D324528" w14:textId="09120EC5" w:rsidR="00774CA0" w:rsidRPr="00D97B6F" w:rsidRDefault="00223BA5" w:rsidP="00223BA5">
      <w:pPr>
        <w:pStyle w:val="SingleTxtGA"/>
        <w:rPr>
          <w:szCs w:val="20"/>
          <w:lang w:val="ar-SA" w:eastAsia="zh-TW" w:bidi="en-GB"/>
        </w:rPr>
      </w:pPr>
      <w:r w:rsidRPr="00D97B6F">
        <w:rPr>
          <w:rtl/>
        </w:rPr>
        <w:tab/>
      </w:r>
      <w:r w:rsidR="00774CA0" w:rsidRPr="00D97B6F">
        <w:rPr>
          <w:rtl/>
        </w:rPr>
        <w:t>(ك)</w:t>
      </w:r>
      <w:r w:rsidR="00774CA0" w:rsidRPr="00D97B6F">
        <w:rPr>
          <w:rtl/>
        </w:rPr>
        <w:tab/>
        <w:t xml:space="preserve">إقرار الخطة الثالثة للمساواة بين الجنسين في قطاع الخدمة العامة، المؤرخة </w:t>
      </w:r>
      <w:r w:rsidR="00774CA0" w:rsidRPr="00E44063">
        <w:rPr>
          <w:rtl/>
        </w:rPr>
        <w:t>29</w:t>
      </w:r>
      <w:r w:rsidR="00774CA0" w:rsidRPr="00D97B6F">
        <w:rPr>
          <w:rtl/>
        </w:rPr>
        <w:t xml:space="preserve"> كانون الأول/ديسمبر </w:t>
      </w:r>
      <w:r w:rsidR="00774CA0" w:rsidRPr="00E44063">
        <w:rPr>
          <w:rtl/>
        </w:rPr>
        <w:t>2020</w:t>
      </w:r>
      <w:r w:rsidR="00774CA0" w:rsidRPr="00D97B6F">
        <w:rPr>
          <w:rtl/>
        </w:rPr>
        <w:t xml:space="preserve">، التي يتعلق المحور </w:t>
      </w:r>
      <w:r w:rsidR="00774CA0" w:rsidRPr="00E44063">
        <w:rPr>
          <w:rtl/>
        </w:rPr>
        <w:t>5</w:t>
      </w:r>
      <w:r w:rsidR="00774CA0" w:rsidRPr="00D97B6F">
        <w:rPr>
          <w:rtl/>
        </w:rPr>
        <w:t xml:space="preserve"> منها بالعنف الجنساني، وخطة تحسين تدابير مكافحة العنف الجنساني وتحديثها ومجموعة التدابير العاجلة ذات الصلة، المؤرخة </w:t>
      </w:r>
      <w:r w:rsidR="00774CA0" w:rsidRPr="00E44063">
        <w:rPr>
          <w:rtl/>
        </w:rPr>
        <w:t>28</w:t>
      </w:r>
      <w:r w:rsidR="00774CA0" w:rsidRPr="00D97B6F">
        <w:rPr>
          <w:rtl/>
        </w:rPr>
        <w:t xml:space="preserve"> تموز/يوليه </w:t>
      </w:r>
      <w:r w:rsidR="00774CA0" w:rsidRPr="00E44063">
        <w:rPr>
          <w:rtl/>
        </w:rPr>
        <w:t>2021</w:t>
      </w:r>
      <w:r w:rsidR="00774CA0" w:rsidRPr="00D97B6F">
        <w:rPr>
          <w:rtl/>
        </w:rPr>
        <w:t>،</w:t>
      </w:r>
      <w:r w:rsidR="006C6085" w:rsidRPr="00D97B6F">
        <w:rPr>
          <w:rtl/>
        </w:rPr>
        <w:t xml:space="preserve"> </w:t>
      </w:r>
      <w:r w:rsidR="00774CA0" w:rsidRPr="00D97B6F">
        <w:rPr>
          <w:rtl/>
        </w:rPr>
        <w:t xml:space="preserve">وبروتوكول تقديم الرعاية لضحايا العنف الجنساني في الصيدليات المجتمعية، في تشرين الثاني/نوفمبر </w:t>
      </w:r>
      <w:r w:rsidR="00774CA0" w:rsidRPr="00E44063">
        <w:rPr>
          <w:rtl/>
        </w:rPr>
        <w:t>2021</w:t>
      </w:r>
      <w:r w:rsidR="00774CA0" w:rsidRPr="00D97B6F">
        <w:rPr>
          <w:rtl/>
        </w:rPr>
        <w:t>؛</w:t>
      </w:r>
    </w:p>
    <w:p w14:paraId="0C93F8C6" w14:textId="23B186EB" w:rsidR="00774CA0" w:rsidRPr="00D97B6F" w:rsidRDefault="00223BA5" w:rsidP="00223BA5">
      <w:pPr>
        <w:pStyle w:val="SingleTxtGA"/>
        <w:rPr>
          <w:szCs w:val="20"/>
          <w:lang w:val="ar-SA" w:eastAsia="zh-TW" w:bidi="en-GB"/>
        </w:rPr>
      </w:pPr>
      <w:r w:rsidRPr="00D97B6F">
        <w:rPr>
          <w:rtl/>
        </w:rPr>
        <w:tab/>
      </w:r>
      <w:r w:rsidR="00774CA0" w:rsidRPr="00D97B6F">
        <w:rPr>
          <w:rtl/>
        </w:rPr>
        <w:t>(ل)</w:t>
      </w:r>
      <w:r w:rsidR="00774CA0" w:rsidRPr="00D97B6F">
        <w:rPr>
          <w:rtl/>
        </w:rPr>
        <w:tab/>
        <w:t xml:space="preserve">توقيع اتفاق، في عام </w:t>
      </w:r>
      <w:r w:rsidR="00774CA0" w:rsidRPr="00E44063">
        <w:rPr>
          <w:rtl/>
        </w:rPr>
        <w:t>2021</w:t>
      </w:r>
      <w:r w:rsidR="00774CA0" w:rsidRPr="00D97B6F">
        <w:rPr>
          <w:rtl/>
        </w:rPr>
        <w:t>، بين وزير الدولة لشؤون الأمن واتحاد جمعيات الصحفيين في إسبانيا</w:t>
      </w:r>
      <w:r w:rsidR="006C6085" w:rsidRPr="00D97B6F">
        <w:rPr>
          <w:rtl/>
        </w:rPr>
        <w:t xml:space="preserve"> </w:t>
      </w:r>
      <w:r w:rsidR="00774CA0" w:rsidRPr="00D97B6F">
        <w:rPr>
          <w:rtl/>
        </w:rPr>
        <w:t>والرابطة الوطنية للمصورين العاملين في الصحافة والتلفزيون بشأن تحديد هوية العاملين في وسائل الإعلام خلال الأحداث التي تتطلب تدخل الشرطة؛</w:t>
      </w:r>
    </w:p>
    <w:p w14:paraId="7ACD3F83" w14:textId="31292F2D" w:rsidR="002D233E" w:rsidRPr="00D97B6F" w:rsidRDefault="00223BA5" w:rsidP="00223BA5">
      <w:pPr>
        <w:pStyle w:val="SingleTxtGA"/>
        <w:rPr>
          <w:spacing w:val="-3"/>
          <w:szCs w:val="20"/>
          <w:lang w:val="ar-SA" w:eastAsia="zh-TW" w:bidi="en-GB"/>
        </w:rPr>
      </w:pPr>
      <w:r w:rsidRPr="00D97B6F">
        <w:rPr>
          <w:spacing w:val="-3"/>
          <w:rtl/>
        </w:rPr>
        <w:tab/>
      </w:r>
      <w:r w:rsidR="00774CA0" w:rsidRPr="00D97B6F">
        <w:rPr>
          <w:spacing w:val="-3"/>
          <w:rtl/>
        </w:rPr>
        <w:t>(م)</w:t>
      </w:r>
      <w:r w:rsidR="00774CA0" w:rsidRPr="00D97B6F">
        <w:rPr>
          <w:spacing w:val="-3"/>
          <w:rtl/>
        </w:rPr>
        <w:tab/>
        <w:t xml:space="preserve">اعتماد الاستراتيجية الوطنية لمكافحة الجريمة المنظمة والجرائم الخطيرة </w:t>
      </w:r>
      <w:r w:rsidR="00774CA0" w:rsidRPr="00D97B6F">
        <w:rPr>
          <w:rFonts w:ascii="Simplified Arabic"/>
          <w:spacing w:val="-3"/>
          <w:szCs w:val="20"/>
          <w:rtl/>
        </w:rPr>
        <w:t>(</w:t>
      </w:r>
      <w:r w:rsidR="0003691C" w:rsidRPr="00E44063">
        <w:rPr>
          <w:rFonts w:hint="cs"/>
          <w:spacing w:val="-3"/>
          <w:rtl/>
        </w:rPr>
        <w:t>2019</w:t>
      </w:r>
      <w:r w:rsidR="0003691C" w:rsidRPr="00D97B6F">
        <w:rPr>
          <w:rFonts w:hint="cs"/>
          <w:spacing w:val="-3"/>
          <w:rtl/>
        </w:rPr>
        <w:t>-</w:t>
      </w:r>
      <w:r w:rsidR="0003691C" w:rsidRPr="00E44063">
        <w:rPr>
          <w:rFonts w:hint="cs"/>
          <w:spacing w:val="-3"/>
          <w:rtl/>
        </w:rPr>
        <w:t>2023</w:t>
      </w:r>
      <w:r w:rsidR="002D233E" w:rsidRPr="00D97B6F">
        <w:rPr>
          <w:rFonts w:ascii="Simplified Arabic"/>
          <w:spacing w:val="-3"/>
          <w:szCs w:val="20"/>
          <w:rtl/>
        </w:rPr>
        <w:t>)</w:t>
      </w:r>
      <w:r w:rsidR="002D233E" w:rsidRPr="00D97B6F">
        <w:rPr>
          <w:spacing w:val="-3"/>
          <w:rtl/>
        </w:rPr>
        <w:t>؛</w:t>
      </w:r>
    </w:p>
    <w:p w14:paraId="67AD3BCD" w14:textId="2F0A7CDA" w:rsidR="00774CA0" w:rsidRPr="00D97B6F" w:rsidRDefault="00223BA5" w:rsidP="00223BA5">
      <w:pPr>
        <w:pStyle w:val="SingleTxtGA"/>
        <w:rPr>
          <w:szCs w:val="20"/>
          <w:lang w:val="ar-SA" w:eastAsia="zh-TW" w:bidi="en-GB"/>
        </w:rPr>
      </w:pPr>
      <w:r w:rsidRPr="00D97B6F">
        <w:rPr>
          <w:rtl/>
        </w:rPr>
        <w:tab/>
      </w:r>
      <w:r w:rsidR="00774CA0" w:rsidRPr="00D97B6F">
        <w:rPr>
          <w:rtl/>
        </w:rPr>
        <w:t>(ن)</w:t>
      </w:r>
      <w:r w:rsidR="00774CA0" w:rsidRPr="00D97B6F">
        <w:rPr>
          <w:rtl/>
        </w:rPr>
        <w:tab/>
        <w:t xml:space="preserve">إطلاق التطبيق الذي يتيح إمكانية رقمنة السجلات الرسمية لوزارة الدولة لشؤون الأمن، في عام </w:t>
      </w:r>
      <w:r w:rsidR="00774CA0" w:rsidRPr="00E44063">
        <w:rPr>
          <w:rtl/>
        </w:rPr>
        <w:t>2019</w:t>
      </w:r>
      <w:r w:rsidR="00774CA0" w:rsidRPr="00D97B6F">
        <w:rPr>
          <w:rtl/>
        </w:rPr>
        <w:t>؛</w:t>
      </w:r>
    </w:p>
    <w:p w14:paraId="7BDC02F5" w14:textId="34FDFDF9" w:rsidR="00774CA0" w:rsidRPr="00D97B6F" w:rsidRDefault="00223BA5" w:rsidP="00223BA5">
      <w:pPr>
        <w:pStyle w:val="SingleTxtGA"/>
        <w:rPr>
          <w:szCs w:val="20"/>
          <w:lang w:val="ar-SA" w:eastAsia="zh-TW" w:bidi="en-GB"/>
        </w:rPr>
      </w:pPr>
      <w:r w:rsidRPr="00D97B6F">
        <w:rPr>
          <w:rtl/>
        </w:rPr>
        <w:tab/>
      </w:r>
      <w:r w:rsidR="00774CA0" w:rsidRPr="00D97B6F">
        <w:rPr>
          <w:rtl/>
        </w:rPr>
        <w:t>(س)</w:t>
      </w:r>
      <w:r w:rsidR="00774CA0" w:rsidRPr="00D97B6F">
        <w:rPr>
          <w:rtl/>
        </w:rPr>
        <w:tab/>
        <w:t xml:space="preserve">اعتماد التعميم رقم </w:t>
      </w:r>
      <w:r w:rsidR="0003691C" w:rsidRPr="00E44063">
        <w:rPr>
          <w:rFonts w:hint="cs"/>
          <w:rtl/>
        </w:rPr>
        <w:t>3</w:t>
      </w:r>
      <w:r w:rsidR="0003691C" w:rsidRPr="00D97B6F">
        <w:rPr>
          <w:rFonts w:hint="cs"/>
          <w:rtl/>
        </w:rPr>
        <w:t>/</w:t>
      </w:r>
      <w:r w:rsidR="0003691C" w:rsidRPr="00E44063">
        <w:rPr>
          <w:rFonts w:hint="cs"/>
          <w:rtl/>
        </w:rPr>
        <w:t>2018</w:t>
      </w:r>
      <w:r w:rsidR="00774CA0" w:rsidRPr="00D97B6F">
        <w:rPr>
          <w:rtl/>
        </w:rPr>
        <w:t xml:space="preserve">، المؤرخ </w:t>
      </w:r>
      <w:r w:rsidR="00774CA0" w:rsidRPr="00E44063">
        <w:rPr>
          <w:rtl/>
        </w:rPr>
        <w:t>1</w:t>
      </w:r>
      <w:r w:rsidR="00774CA0" w:rsidRPr="00D97B6F">
        <w:rPr>
          <w:rtl/>
        </w:rPr>
        <w:t xml:space="preserve"> حزيران/</w:t>
      </w:r>
      <w:proofErr w:type="gramStart"/>
      <w:r w:rsidR="00774CA0" w:rsidRPr="00D97B6F">
        <w:rPr>
          <w:rtl/>
        </w:rPr>
        <w:t>يونيه</w:t>
      </w:r>
      <w:proofErr w:type="gramEnd"/>
      <w:r w:rsidR="00774CA0" w:rsidRPr="00D97B6F">
        <w:rPr>
          <w:rtl/>
        </w:rPr>
        <w:t xml:space="preserve"> </w:t>
      </w:r>
      <w:r w:rsidR="00774CA0" w:rsidRPr="00E44063">
        <w:rPr>
          <w:rtl/>
        </w:rPr>
        <w:t>2018</w:t>
      </w:r>
      <w:r w:rsidR="00774CA0" w:rsidRPr="00D97B6F">
        <w:rPr>
          <w:rtl/>
        </w:rPr>
        <w:t xml:space="preserve"> والصادر عن مكتب المدعي العام للدولة، الذي يهدف إلى تحسين ضمان حق الأشخاص الموقوفين أو الجاري التحقيق معهم أو مسلوبي الحرية في الحصول على المعلومات أو في الوصول إلى الوثائق المودعة في ملفاتهم في سياق الإجراءات الجنائية؛</w:t>
      </w:r>
      <w:bookmarkStart w:id="1" w:name="_Hlk143706999"/>
      <w:bookmarkEnd w:id="1"/>
    </w:p>
    <w:p w14:paraId="426A68E4" w14:textId="2708EF1B" w:rsidR="00774CA0" w:rsidRPr="00D97B6F" w:rsidRDefault="00223BA5" w:rsidP="00223BA5">
      <w:pPr>
        <w:pStyle w:val="SingleTxtGA"/>
        <w:rPr>
          <w:szCs w:val="20"/>
          <w:lang w:val="ar-SA" w:eastAsia="zh-TW" w:bidi="en-GB"/>
        </w:rPr>
      </w:pPr>
      <w:r w:rsidRPr="00D97B6F">
        <w:rPr>
          <w:rtl/>
        </w:rPr>
        <w:tab/>
      </w:r>
      <w:r w:rsidR="00774CA0" w:rsidRPr="00D97B6F">
        <w:rPr>
          <w:rtl/>
        </w:rPr>
        <w:t>(ع)</w:t>
      </w:r>
      <w:r w:rsidR="00774CA0" w:rsidRPr="00D97B6F">
        <w:rPr>
          <w:rtl/>
        </w:rPr>
        <w:tab/>
        <w:t xml:space="preserve">إنشاء المركز الوطني للأشخاص المختفين، في عام </w:t>
      </w:r>
      <w:r w:rsidR="00774CA0" w:rsidRPr="00E44063">
        <w:rPr>
          <w:rtl/>
        </w:rPr>
        <w:t>2018</w:t>
      </w:r>
      <w:r w:rsidR="00774CA0" w:rsidRPr="00D97B6F">
        <w:rPr>
          <w:rtl/>
        </w:rPr>
        <w:t>؛</w:t>
      </w:r>
    </w:p>
    <w:p w14:paraId="0746BE49" w14:textId="551879E3" w:rsidR="00774CA0" w:rsidRPr="00D97B6F" w:rsidRDefault="00223BA5" w:rsidP="00223BA5">
      <w:pPr>
        <w:pStyle w:val="SingleTxtGA"/>
        <w:rPr>
          <w:szCs w:val="20"/>
          <w:lang w:val="ar-SA" w:eastAsia="zh-TW" w:bidi="en-GB"/>
        </w:rPr>
      </w:pPr>
      <w:r w:rsidRPr="00D97B6F">
        <w:rPr>
          <w:rtl/>
        </w:rPr>
        <w:tab/>
      </w:r>
      <w:r w:rsidR="00774CA0" w:rsidRPr="00D97B6F">
        <w:rPr>
          <w:rtl/>
        </w:rPr>
        <w:t>(ف)</w:t>
      </w:r>
      <w:r w:rsidR="00774CA0" w:rsidRPr="00D97B6F">
        <w:rPr>
          <w:rtl/>
        </w:rPr>
        <w:tab/>
        <w:t xml:space="preserve">إنشاء المكتب الوطني لمكافحة جرائم الكراهية، في عام </w:t>
      </w:r>
      <w:r w:rsidR="00774CA0" w:rsidRPr="00E44063">
        <w:rPr>
          <w:rtl/>
        </w:rPr>
        <w:t>2018</w:t>
      </w:r>
      <w:r w:rsidR="00774CA0" w:rsidRPr="00D97B6F">
        <w:rPr>
          <w:rtl/>
        </w:rPr>
        <w:t xml:space="preserve">؛ </w:t>
      </w:r>
    </w:p>
    <w:p w14:paraId="3FFEA6A0" w14:textId="137A4792" w:rsidR="00774CA0" w:rsidRPr="00D97B6F" w:rsidRDefault="00223BA5" w:rsidP="00223BA5">
      <w:pPr>
        <w:pStyle w:val="SingleTxtGA"/>
        <w:rPr>
          <w:szCs w:val="20"/>
          <w:lang w:val="ar-SA" w:eastAsia="zh-TW" w:bidi="en-GB"/>
        </w:rPr>
      </w:pPr>
      <w:r w:rsidRPr="00D97B6F">
        <w:rPr>
          <w:rtl/>
        </w:rPr>
        <w:tab/>
      </w:r>
      <w:r w:rsidR="00774CA0" w:rsidRPr="00D97B6F">
        <w:rPr>
          <w:rtl/>
        </w:rPr>
        <w:t>(ص)</w:t>
      </w:r>
      <w:r w:rsidR="00774CA0" w:rsidRPr="00D97B6F">
        <w:rPr>
          <w:rtl/>
        </w:rPr>
        <w:tab/>
        <w:t xml:space="preserve">اعتماد الميثاق الوطني لمكافحة العنف الجنساني، في عام </w:t>
      </w:r>
      <w:r w:rsidR="00774CA0" w:rsidRPr="00E44063">
        <w:rPr>
          <w:rtl/>
        </w:rPr>
        <w:t>2017</w:t>
      </w:r>
      <w:r w:rsidR="00774CA0" w:rsidRPr="00D97B6F">
        <w:rPr>
          <w:rtl/>
        </w:rPr>
        <w:t>؛</w:t>
      </w:r>
    </w:p>
    <w:p w14:paraId="274B1321" w14:textId="7F0F92A9" w:rsidR="00774CA0" w:rsidRPr="00D97B6F" w:rsidRDefault="00223BA5" w:rsidP="00223BA5">
      <w:pPr>
        <w:pStyle w:val="SingleTxtGA"/>
        <w:rPr>
          <w:color w:val="000000"/>
          <w:sz w:val="27"/>
          <w:szCs w:val="20"/>
          <w:lang w:val="ar-SA" w:eastAsia="zh-TW" w:bidi="en-GB"/>
        </w:rPr>
      </w:pPr>
      <w:r w:rsidRPr="00D97B6F">
        <w:rPr>
          <w:rtl/>
        </w:rPr>
        <w:tab/>
      </w:r>
      <w:r w:rsidR="00774CA0" w:rsidRPr="00D97B6F">
        <w:rPr>
          <w:rtl/>
        </w:rPr>
        <w:t>(ق)</w:t>
      </w:r>
      <w:r w:rsidR="00774CA0" w:rsidRPr="00D97B6F">
        <w:rPr>
          <w:rtl/>
        </w:rPr>
        <w:tab/>
        <w:t xml:space="preserve">إقرار دليل القواعد ذات الصلة بمهام الشرطة القضائية، في عام </w:t>
      </w:r>
      <w:r w:rsidR="00774CA0" w:rsidRPr="00E44063">
        <w:rPr>
          <w:rtl/>
        </w:rPr>
        <w:t>2017</w:t>
      </w:r>
      <w:r w:rsidR="00774CA0" w:rsidRPr="00D97B6F">
        <w:rPr>
          <w:rtl/>
        </w:rPr>
        <w:t>؛</w:t>
      </w:r>
    </w:p>
    <w:p w14:paraId="6304AE1A" w14:textId="3FE02737" w:rsidR="002D233E" w:rsidRPr="00D97B6F" w:rsidRDefault="00223BA5" w:rsidP="00223BA5">
      <w:pPr>
        <w:pStyle w:val="SingleTxtGA"/>
        <w:rPr>
          <w:szCs w:val="20"/>
          <w:lang w:val="en-US" w:eastAsia="zh-TW" w:bidi="en-GB"/>
        </w:rPr>
      </w:pPr>
      <w:r w:rsidRPr="00D97B6F">
        <w:rPr>
          <w:rtl/>
        </w:rPr>
        <w:lastRenderedPageBreak/>
        <w:tab/>
      </w:r>
      <w:r w:rsidR="00774CA0" w:rsidRPr="00D97B6F">
        <w:rPr>
          <w:rtl/>
        </w:rPr>
        <w:t>(ر)</w:t>
      </w:r>
      <w:r w:rsidR="00774CA0" w:rsidRPr="00D97B6F">
        <w:rPr>
          <w:rtl/>
        </w:rPr>
        <w:tab/>
        <w:t xml:space="preserve">اعتماد الخطة المتكاملة لمكافحة الاتجار بالنساء والفتيات لأغراض الاستغلال الجنسي </w:t>
      </w:r>
      <w:r w:rsidR="00774CA0" w:rsidRPr="00D97B6F">
        <w:rPr>
          <w:rFonts w:ascii="Simplified Arabic"/>
          <w:szCs w:val="20"/>
          <w:rtl/>
        </w:rPr>
        <w:t>(</w:t>
      </w:r>
      <w:r w:rsidR="0003691C" w:rsidRPr="00E44063">
        <w:rPr>
          <w:rFonts w:hint="cs"/>
          <w:rtl/>
        </w:rPr>
        <w:t>2015</w:t>
      </w:r>
      <w:r w:rsidR="0003691C" w:rsidRPr="00D97B6F">
        <w:rPr>
          <w:rFonts w:hint="cs"/>
          <w:rtl/>
        </w:rPr>
        <w:t>-</w:t>
      </w:r>
      <w:r w:rsidR="0003691C" w:rsidRPr="00E44063">
        <w:rPr>
          <w:rFonts w:hint="cs"/>
          <w:rtl/>
        </w:rPr>
        <w:t>201</w:t>
      </w:r>
      <w:r w:rsidR="002D233E" w:rsidRPr="00E44063">
        <w:rPr>
          <w:rFonts w:hint="cs"/>
          <w:rtl/>
        </w:rPr>
        <w:t>8</w:t>
      </w:r>
      <w:r w:rsidR="002D233E" w:rsidRPr="00D97B6F">
        <w:rPr>
          <w:rFonts w:ascii="Simplified Arabic"/>
          <w:szCs w:val="20"/>
          <w:rtl/>
        </w:rPr>
        <w:t>)</w:t>
      </w:r>
      <w:r w:rsidR="002D233E" w:rsidRPr="00D97B6F">
        <w:rPr>
          <w:rtl/>
        </w:rPr>
        <w:t>.</w:t>
      </w:r>
    </w:p>
    <w:p w14:paraId="07B8AC76" w14:textId="4598198D" w:rsidR="00774CA0" w:rsidRPr="00E44063" w:rsidRDefault="00223BA5" w:rsidP="00223BA5">
      <w:pPr>
        <w:pStyle w:val="H1GA"/>
        <w:rPr>
          <w:szCs w:val="20"/>
          <w:lang w:val="ar-SA" w:eastAsia="zh-TW" w:bidi="en-GB"/>
        </w:rPr>
      </w:pPr>
      <w:r w:rsidRPr="00E44063">
        <w:rPr>
          <w:rtl/>
        </w:rPr>
        <w:tab/>
      </w:r>
      <w:r w:rsidR="00774CA0" w:rsidRPr="00E44063">
        <w:rPr>
          <w:rtl/>
        </w:rPr>
        <w:t>جيم-</w:t>
      </w:r>
      <w:r w:rsidR="00774CA0" w:rsidRPr="00E44063">
        <w:rPr>
          <w:rtl/>
        </w:rPr>
        <w:tab/>
        <w:t>دواعي القلق الرئيسية والتوصيات</w:t>
      </w:r>
    </w:p>
    <w:p w14:paraId="52BCD547" w14:textId="77777777" w:rsidR="00774CA0" w:rsidRPr="00E44063" w:rsidRDefault="00774CA0" w:rsidP="00223BA5">
      <w:pPr>
        <w:pStyle w:val="H23GA"/>
        <w:rPr>
          <w:szCs w:val="20"/>
          <w:lang w:val="ar-SA" w:eastAsia="zh-TW" w:bidi="en-GB"/>
        </w:rPr>
      </w:pPr>
      <w:r w:rsidRPr="00E44063">
        <w:rPr>
          <w:rtl/>
        </w:rPr>
        <w:tab/>
      </w:r>
      <w:r w:rsidRPr="00E44063">
        <w:rPr>
          <w:rtl/>
        </w:rPr>
        <w:tab/>
        <w:t>مسائل المتابعة المعلَّقة منذ الجولة السابقة لتقديم التقارير</w:t>
      </w:r>
    </w:p>
    <w:p w14:paraId="314ED74A" w14:textId="53600542" w:rsidR="00774CA0" w:rsidRPr="00D97B6F" w:rsidRDefault="00774CA0" w:rsidP="00223BA5">
      <w:pPr>
        <w:pStyle w:val="SingleTxtGA"/>
        <w:rPr>
          <w:szCs w:val="20"/>
          <w:lang w:val="ar-SA" w:eastAsia="zh-TW" w:bidi="en-GB"/>
        </w:rPr>
      </w:pPr>
      <w:r w:rsidRPr="00E44063">
        <w:rPr>
          <w:rtl/>
        </w:rPr>
        <w:t>6</w:t>
      </w:r>
      <w:r w:rsidRPr="00D97B6F">
        <w:rPr>
          <w:rtl/>
        </w:rPr>
        <w:t>-</w:t>
      </w:r>
      <w:r w:rsidRPr="00D97B6F">
        <w:rPr>
          <w:rtl/>
        </w:rPr>
        <w:tab/>
        <w:t xml:space="preserve">طلبت اللجنة إلى الدولة الطرف، في ملاحظاتها الختامية </w:t>
      </w:r>
      <w:proofErr w:type="gramStart"/>
      <w:r w:rsidRPr="00D97B6F">
        <w:rPr>
          <w:rtl/>
        </w:rPr>
        <w:t>السابقة</w:t>
      </w:r>
      <w:r w:rsidR="002D233E" w:rsidRPr="00D97B6F">
        <w:rPr>
          <w:vertAlign w:val="superscript"/>
          <w:rtl/>
        </w:rPr>
        <w:t>(</w:t>
      </w:r>
      <w:proofErr w:type="gramEnd"/>
      <w:r w:rsidR="002D233E" w:rsidRPr="00E44063">
        <w:rPr>
          <w:vertAlign w:val="superscript"/>
          <w:lang w:val="en-AU"/>
        </w:rPr>
        <w:footnoteReference w:id="4"/>
      </w:r>
      <w:r w:rsidR="002D233E" w:rsidRPr="00D97B6F">
        <w:rPr>
          <w:rFonts w:hint="cs"/>
          <w:vertAlign w:val="superscript"/>
          <w:rtl/>
        </w:rPr>
        <w:t>)</w:t>
      </w:r>
      <w:r w:rsidR="002D233E" w:rsidRPr="00D97B6F">
        <w:rPr>
          <w:rtl/>
        </w:rPr>
        <w:t xml:space="preserve">، </w:t>
      </w:r>
      <w:r w:rsidRPr="00D97B6F">
        <w:rPr>
          <w:rtl/>
        </w:rPr>
        <w:t>أن تقدم معلومات عن تنفيذ التوصيات المتعلقة بالاحتجاز مع منع الاتصال والضمانات الأساسية، ومراكز الإقامة المؤقتة المخصصة للمهاجرين، والحبس الانفرادي، والاستخدام المفرط للقوة من جانب موظفي إنفاذ القانون</w:t>
      </w:r>
      <w:r w:rsidR="002D233E" w:rsidRPr="00D97B6F">
        <w:rPr>
          <w:vertAlign w:val="superscript"/>
          <w:rtl/>
        </w:rPr>
        <w:t>(</w:t>
      </w:r>
      <w:r w:rsidR="002D233E" w:rsidRPr="00E44063">
        <w:rPr>
          <w:vertAlign w:val="superscript"/>
          <w:lang w:val="en-AU"/>
        </w:rPr>
        <w:footnoteReference w:id="5"/>
      </w:r>
      <w:r w:rsidR="002D233E" w:rsidRPr="00D97B6F">
        <w:rPr>
          <w:rFonts w:hint="cs"/>
          <w:vertAlign w:val="superscript"/>
          <w:rtl/>
        </w:rPr>
        <w:t>)</w:t>
      </w:r>
      <w:r w:rsidR="002D233E" w:rsidRPr="00D97B6F">
        <w:rPr>
          <w:rtl/>
        </w:rPr>
        <w:t xml:space="preserve">. </w:t>
      </w:r>
      <w:r w:rsidRPr="00D97B6F">
        <w:rPr>
          <w:rtl/>
        </w:rPr>
        <w:t xml:space="preserve">وفي ضوء المعلومات المقدمة بشأن هذه المسائل في تقرير المتابعة الذي قدمته الدولة الطرف في </w:t>
      </w:r>
      <w:r w:rsidRPr="00E44063">
        <w:rPr>
          <w:rtl/>
        </w:rPr>
        <w:t>20</w:t>
      </w:r>
      <w:r w:rsidRPr="00D97B6F">
        <w:rPr>
          <w:rtl/>
        </w:rPr>
        <w:t xml:space="preserve"> أيار/</w:t>
      </w:r>
      <w:r w:rsidR="006A657C" w:rsidRPr="00D97B6F">
        <w:rPr>
          <w:rFonts w:hint="cs"/>
          <w:rtl/>
        </w:rPr>
        <w:t xml:space="preserve"> </w:t>
      </w:r>
      <w:r w:rsidRPr="00D97B6F">
        <w:rPr>
          <w:rtl/>
        </w:rPr>
        <w:t>مايو</w:t>
      </w:r>
      <w:r w:rsidR="006A657C" w:rsidRPr="00D97B6F">
        <w:rPr>
          <w:rFonts w:hint="cs"/>
          <w:rtl/>
        </w:rPr>
        <w:t> </w:t>
      </w:r>
      <w:r w:rsidRPr="00E44063">
        <w:rPr>
          <w:rtl/>
        </w:rPr>
        <w:t>2016</w:t>
      </w:r>
      <w:r w:rsidR="002D233E" w:rsidRPr="00D97B6F">
        <w:rPr>
          <w:vertAlign w:val="superscript"/>
          <w:rtl/>
        </w:rPr>
        <w:t>(</w:t>
      </w:r>
      <w:r w:rsidR="002D233E" w:rsidRPr="00E44063">
        <w:rPr>
          <w:vertAlign w:val="superscript"/>
          <w:lang w:val="en-AU"/>
        </w:rPr>
        <w:footnoteReference w:id="6"/>
      </w:r>
      <w:r w:rsidR="0037189A" w:rsidRPr="00D97B6F">
        <w:rPr>
          <w:rFonts w:hint="cs"/>
          <w:vertAlign w:val="superscript"/>
          <w:rtl/>
        </w:rPr>
        <w:t>)</w:t>
      </w:r>
      <w:r w:rsidR="0037189A" w:rsidRPr="00D97B6F">
        <w:rPr>
          <w:rFonts w:hint="cs"/>
          <w:rtl/>
        </w:rPr>
        <w:t xml:space="preserve"> </w:t>
      </w:r>
      <w:r w:rsidRPr="00D97B6F">
        <w:rPr>
          <w:rtl/>
        </w:rPr>
        <w:t xml:space="preserve">والمعلومات الواردة في التقرير الدوري السابع للدولة الطرف، ترى اللجنة أن هذه التوصيات لم تنفذ تنفيذاً كاملاً بعد. وستتناول اللجنة هذه المسائل في الفقرات </w:t>
      </w:r>
      <w:r w:rsidRPr="00E44063">
        <w:rPr>
          <w:rtl/>
        </w:rPr>
        <w:t>9</w:t>
      </w:r>
      <w:r w:rsidRPr="00D97B6F">
        <w:rPr>
          <w:rtl/>
        </w:rPr>
        <w:t xml:space="preserve"> و</w:t>
      </w:r>
      <w:r w:rsidRPr="00E44063">
        <w:rPr>
          <w:rtl/>
        </w:rPr>
        <w:t>10</w:t>
      </w:r>
      <w:r w:rsidRPr="00D97B6F">
        <w:rPr>
          <w:rtl/>
        </w:rPr>
        <w:t xml:space="preserve"> و</w:t>
      </w:r>
      <w:r w:rsidRPr="00E44063">
        <w:rPr>
          <w:rtl/>
        </w:rPr>
        <w:t>33</w:t>
      </w:r>
      <w:r w:rsidRPr="00D97B6F">
        <w:rPr>
          <w:rtl/>
        </w:rPr>
        <w:t xml:space="preserve"> و</w:t>
      </w:r>
      <w:r w:rsidRPr="00E44063">
        <w:rPr>
          <w:rtl/>
        </w:rPr>
        <w:t>34</w:t>
      </w:r>
      <w:r w:rsidRPr="00D97B6F">
        <w:rPr>
          <w:rtl/>
        </w:rPr>
        <w:t xml:space="preserve"> و</w:t>
      </w:r>
      <w:r w:rsidRPr="00E44063">
        <w:rPr>
          <w:rtl/>
        </w:rPr>
        <w:t>27</w:t>
      </w:r>
      <w:r w:rsidRPr="00D97B6F">
        <w:rPr>
          <w:rtl/>
        </w:rPr>
        <w:t xml:space="preserve"> و</w:t>
      </w:r>
      <w:r w:rsidRPr="00E44063">
        <w:rPr>
          <w:rtl/>
        </w:rPr>
        <w:t>28</w:t>
      </w:r>
      <w:r w:rsidRPr="00D97B6F">
        <w:rPr>
          <w:rtl/>
        </w:rPr>
        <w:t xml:space="preserve"> و</w:t>
      </w:r>
      <w:r w:rsidRPr="00E44063">
        <w:rPr>
          <w:rtl/>
        </w:rPr>
        <w:t>15</w:t>
      </w:r>
      <w:r w:rsidRPr="00D97B6F">
        <w:rPr>
          <w:rtl/>
        </w:rPr>
        <w:t xml:space="preserve"> و</w:t>
      </w:r>
      <w:r w:rsidRPr="00E44063">
        <w:rPr>
          <w:rtl/>
        </w:rPr>
        <w:t>16</w:t>
      </w:r>
      <w:r w:rsidRPr="00D97B6F">
        <w:rPr>
          <w:rtl/>
        </w:rPr>
        <w:t>، على التوالي، من هذه الوثيقة.</w:t>
      </w:r>
    </w:p>
    <w:p w14:paraId="38A60B33" w14:textId="77777777" w:rsidR="00774CA0" w:rsidRPr="00E44063" w:rsidRDefault="00774CA0" w:rsidP="00223BA5">
      <w:pPr>
        <w:pStyle w:val="H23GA"/>
        <w:rPr>
          <w:rFonts w:eastAsia="Calibri"/>
          <w:szCs w:val="20"/>
          <w:u w:color="000000"/>
          <w:bdr w:val="nil"/>
          <w:lang w:val="ar-SA" w:eastAsia="zh-TW" w:bidi="en-GB"/>
        </w:rPr>
      </w:pPr>
      <w:r w:rsidRPr="00E44063">
        <w:rPr>
          <w:rtl/>
        </w:rPr>
        <w:tab/>
      </w:r>
      <w:r w:rsidRPr="00E44063">
        <w:rPr>
          <w:rtl/>
        </w:rPr>
        <w:tab/>
        <w:t>تعريف التعذيب وتجريمه</w:t>
      </w:r>
    </w:p>
    <w:p w14:paraId="08489A9E" w14:textId="18A26362" w:rsidR="002D233E" w:rsidRPr="00D97B6F" w:rsidRDefault="00774CA0" w:rsidP="00223BA5">
      <w:pPr>
        <w:pStyle w:val="SingleTxtGA"/>
        <w:rPr>
          <w:szCs w:val="20"/>
          <w:lang w:val="ar-SA" w:eastAsia="zh-TW" w:bidi="en-GB"/>
        </w:rPr>
      </w:pPr>
      <w:r w:rsidRPr="00E44063">
        <w:rPr>
          <w:rtl/>
        </w:rPr>
        <w:t>7</w:t>
      </w:r>
      <w:r w:rsidRPr="00D97B6F">
        <w:rPr>
          <w:rtl/>
        </w:rPr>
        <w:t>-</w:t>
      </w:r>
      <w:r w:rsidRPr="00D97B6F">
        <w:rPr>
          <w:rtl/>
        </w:rPr>
        <w:tab/>
        <w:t xml:space="preserve">تحيط اللجنة علماً بما قدمته الدولة الطرف من معلومات عن أحكام القانون الجنائي المتعلقة بالتعذيب. وتلاحظ اللجنة أن المادة </w:t>
      </w:r>
      <w:r w:rsidRPr="00E44063">
        <w:rPr>
          <w:rtl/>
        </w:rPr>
        <w:t>174</w:t>
      </w:r>
      <w:r w:rsidRPr="00D97B6F">
        <w:rPr>
          <w:rtl/>
        </w:rPr>
        <w:t xml:space="preserve"> من القانون الجنائي لا تمتثل امتثالاً تاماً التعريف الوارد في المادة </w:t>
      </w:r>
      <w:r w:rsidRPr="00E44063">
        <w:rPr>
          <w:rtl/>
        </w:rPr>
        <w:t>1</w:t>
      </w:r>
      <w:r w:rsidRPr="00D97B6F">
        <w:rPr>
          <w:rtl/>
        </w:rPr>
        <w:t xml:space="preserve"> من الاتفاقية، لأنها لا تشمل هدف تخويف </w:t>
      </w:r>
      <w:proofErr w:type="gramStart"/>
      <w:r w:rsidRPr="00D97B6F">
        <w:rPr>
          <w:rtl/>
        </w:rPr>
        <w:t>الضحية</w:t>
      </w:r>
      <w:proofErr w:type="gramEnd"/>
      <w:r w:rsidRPr="00D97B6F">
        <w:rPr>
          <w:rtl/>
        </w:rPr>
        <w:t xml:space="preserve"> أو إكراهها أو تخويف طرف ثالث أو إكراهه، ولا تنص صراحة على أن هذا الفعل يمكن أن يرتكبه أشخاص يتصرفون بتحريض من موظفين عموميين أو بموافقتهم عليه أو بسكوتهم عنه أو من أي شخص آخر يتصرف بصفته الرسمية. وتلاحظ أيضا</w:t>
      </w:r>
      <w:r w:rsidR="006A657C" w:rsidRPr="00D97B6F">
        <w:rPr>
          <w:rFonts w:hint="cs"/>
          <w:rtl/>
        </w:rPr>
        <w:t>ً</w:t>
      </w:r>
      <w:r w:rsidRPr="00D97B6F">
        <w:rPr>
          <w:rtl/>
        </w:rPr>
        <w:t xml:space="preserve"> أنه لم يطرأ أي تغيير على العقوبة المنطبقة على جريمة التعذيب، التي يعاقَب عليها، رهنا</w:t>
      </w:r>
      <w:r w:rsidR="007B1331" w:rsidRPr="00D97B6F">
        <w:rPr>
          <w:rFonts w:hint="cs"/>
          <w:rtl/>
        </w:rPr>
        <w:t>ً</w:t>
      </w:r>
      <w:r w:rsidRPr="00D97B6F">
        <w:rPr>
          <w:rtl/>
        </w:rPr>
        <w:t xml:space="preserve"> بمدى خطورتها، </w:t>
      </w:r>
      <w:r w:rsidRPr="00D97B6F">
        <w:rPr>
          <w:spacing w:val="-2"/>
          <w:rtl/>
        </w:rPr>
        <w:t>بالسجن لمدة تتراوح بين سنة واحدة وست سنوات وبحظر مطلق على ممارسة الوظيفة العمومية. وبالإضافة</w:t>
      </w:r>
      <w:r w:rsidRPr="00D97B6F">
        <w:rPr>
          <w:rtl/>
        </w:rPr>
        <w:t xml:space="preserve"> إلى ذلك، تلاحظ اللجنة بقلق أن فترة تقادم جرائم التعذيب محددة في </w:t>
      </w:r>
      <w:r w:rsidRPr="00E44063">
        <w:rPr>
          <w:rtl/>
        </w:rPr>
        <w:t>15</w:t>
      </w:r>
      <w:r w:rsidRPr="00D97B6F">
        <w:rPr>
          <w:rtl/>
        </w:rPr>
        <w:t xml:space="preserve"> سنة، مع أن الاتفاقية تنص على عدم سريان التقادم على هذه الجرائم عندما تشكل أعمال التعذيب جرائم ضد الإنسانية (المادتان </w:t>
      </w:r>
      <w:r w:rsidRPr="00E44063">
        <w:rPr>
          <w:rtl/>
        </w:rPr>
        <w:t>1</w:t>
      </w:r>
      <w:r w:rsidRPr="00D97B6F">
        <w:rPr>
          <w:rtl/>
        </w:rPr>
        <w:t xml:space="preserve"> و</w:t>
      </w:r>
      <w:r w:rsidR="002D233E" w:rsidRPr="00E44063">
        <w:rPr>
          <w:rtl/>
        </w:rPr>
        <w:t>4</w:t>
      </w:r>
      <w:r w:rsidR="002D233E" w:rsidRPr="00D97B6F">
        <w:rPr>
          <w:rFonts w:ascii="Simplified Arabic"/>
          <w:szCs w:val="20"/>
          <w:rtl/>
        </w:rPr>
        <w:t>)</w:t>
      </w:r>
      <w:r w:rsidR="002D233E" w:rsidRPr="00D97B6F">
        <w:rPr>
          <w:rtl/>
        </w:rPr>
        <w:t>.</w:t>
      </w:r>
    </w:p>
    <w:p w14:paraId="3EF570E5" w14:textId="4C580B77" w:rsidR="00774CA0" w:rsidRPr="00E44063" w:rsidRDefault="00774CA0" w:rsidP="00223BA5">
      <w:pPr>
        <w:pStyle w:val="SingleTxtGA"/>
        <w:rPr>
          <w:b/>
          <w:bCs/>
          <w:szCs w:val="20"/>
          <w:lang w:val="en-US" w:eastAsia="zh-TW" w:bidi="en-GB"/>
        </w:rPr>
      </w:pPr>
      <w:r w:rsidRPr="00E44063">
        <w:rPr>
          <w:rtl/>
        </w:rPr>
        <w:t>8</w:t>
      </w:r>
      <w:r w:rsidRPr="00D97B6F">
        <w:rPr>
          <w:rtl/>
        </w:rPr>
        <w:t>-</w:t>
      </w:r>
      <w:r w:rsidRPr="00D97B6F">
        <w:rPr>
          <w:rtl/>
        </w:rPr>
        <w:tab/>
      </w:r>
      <w:r w:rsidRPr="00E44063">
        <w:rPr>
          <w:b/>
          <w:bCs/>
          <w:rtl/>
        </w:rPr>
        <w:t xml:space="preserve">تكرر اللجنة توصياتها </w:t>
      </w:r>
      <w:proofErr w:type="gramStart"/>
      <w:r w:rsidRPr="00E44063">
        <w:rPr>
          <w:b/>
          <w:bCs/>
          <w:rtl/>
        </w:rPr>
        <w:t>السابقة</w:t>
      </w:r>
      <w:r w:rsidR="002D233E" w:rsidRPr="00E44063">
        <w:rPr>
          <w:vertAlign w:val="superscript"/>
          <w:rtl/>
        </w:rPr>
        <w:t>(</w:t>
      </w:r>
      <w:proofErr w:type="gramEnd"/>
      <w:r w:rsidR="002D233E" w:rsidRPr="00E44063">
        <w:rPr>
          <w:vertAlign w:val="superscript"/>
          <w:lang w:val="en-AU"/>
        </w:rPr>
        <w:footnoteReference w:id="7"/>
      </w:r>
      <w:r w:rsidR="0037189A" w:rsidRPr="00E44063">
        <w:rPr>
          <w:rFonts w:hint="cs"/>
          <w:vertAlign w:val="superscript"/>
          <w:rtl/>
        </w:rPr>
        <w:t>)</w:t>
      </w:r>
      <w:r w:rsidRPr="00E44063">
        <w:rPr>
          <w:b/>
          <w:bCs/>
          <w:rtl/>
        </w:rPr>
        <w:t> وتطلب إلى الدولة الطرف تعديل قانونها الجنائي بما يكفل حظر جميع أشكال التعذيب وفقاً للتعريف الوارد في المادة 1 من الاتفاقية وتناسب العقوبات المطبقة مع خطورة الجريمة، وفقا</w:t>
      </w:r>
      <w:r w:rsidR="004B0797" w:rsidRPr="00E44063">
        <w:rPr>
          <w:rFonts w:hint="cs"/>
          <w:b/>
          <w:bCs/>
          <w:rtl/>
        </w:rPr>
        <w:t>ً</w:t>
      </w:r>
      <w:r w:rsidRPr="00E44063">
        <w:rPr>
          <w:b/>
          <w:bCs/>
          <w:rtl/>
        </w:rPr>
        <w:t xml:space="preserve"> للفقرة 2 من المادة 4 من الاتفاقية. وبالإضافة إلى ذلك، ينبغي للدولة الطرف أن تلغي تقادم جرائم التعذيب منعاً لإفلات مرتكبيها من العقاب وضماناً للتحقيق في أعمال التعذيب ومقاضاة مرتكبيها ومعاقبتهم.</w:t>
      </w:r>
    </w:p>
    <w:p w14:paraId="68F8CCCB" w14:textId="77777777" w:rsidR="00774CA0" w:rsidRPr="00E44063" w:rsidRDefault="00774CA0" w:rsidP="00223BA5">
      <w:pPr>
        <w:pStyle w:val="H23GA"/>
        <w:rPr>
          <w:szCs w:val="20"/>
          <w:lang w:val="ar-SA" w:eastAsia="zh-TW" w:bidi="en-GB"/>
        </w:rPr>
      </w:pPr>
      <w:r w:rsidRPr="00E44063">
        <w:rPr>
          <w:rtl/>
        </w:rPr>
        <w:tab/>
      </w:r>
      <w:r w:rsidRPr="00E44063">
        <w:rPr>
          <w:rtl/>
        </w:rPr>
        <w:tab/>
        <w:t>الاحتجاز مع منع الاتصال والضمانات الأساسية</w:t>
      </w:r>
    </w:p>
    <w:p w14:paraId="324A7E2C" w14:textId="1152CC2B" w:rsidR="002D233E" w:rsidRPr="00D97B6F" w:rsidRDefault="00774CA0" w:rsidP="00223BA5">
      <w:pPr>
        <w:pStyle w:val="SingleTxtGA"/>
        <w:rPr>
          <w:szCs w:val="20"/>
          <w:lang w:val="ar-SA" w:eastAsia="zh-TW" w:bidi="en-GB"/>
        </w:rPr>
      </w:pPr>
      <w:r w:rsidRPr="00E44063">
        <w:rPr>
          <w:rtl/>
        </w:rPr>
        <w:t>9</w:t>
      </w:r>
      <w:r w:rsidRPr="00D97B6F">
        <w:rPr>
          <w:rtl/>
        </w:rPr>
        <w:t>-</w:t>
      </w:r>
      <w:r w:rsidRPr="00D97B6F">
        <w:rPr>
          <w:rtl/>
        </w:rPr>
        <w:tab/>
        <w:t>تحيط اللجنة علماً بإصلاح نظام الاحتجاز مع منع الاتصال بموجب القانون التنظيمي رقم</w:t>
      </w:r>
      <w:r w:rsidR="00FF2D83" w:rsidRPr="00D97B6F">
        <w:rPr>
          <w:rFonts w:hint="cs"/>
          <w:rtl/>
        </w:rPr>
        <w:t> </w:t>
      </w:r>
      <w:r w:rsidR="007B1331" w:rsidRPr="00E44063">
        <w:rPr>
          <w:rFonts w:hint="cs"/>
          <w:rtl/>
        </w:rPr>
        <w:t>13</w:t>
      </w:r>
      <w:r w:rsidR="007B1331" w:rsidRPr="00D97B6F">
        <w:rPr>
          <w:rFonts w:hint="cs"/>
          <w:rtl/>
        </w:rPr>
        <w:t>/</w:t>
      </w:r>
      <w:r w:rsidR="007B1331" w:rsidRPr="00E44063">
        <w:rPr>
          <w:rFonts w:hint="cs"/>
          <w:rtl/>
        </w:rPr>
        <w:t>2015</w:t>
      </w:r>
      <w:r w:rsidRPr="00D97B6F">
        <w:rPr>
          <w:rtl/>
        </w:rPr>
        <w:t xml:space="preserve">، المؤرخ </w:t>
      </w:r>
      <w:r w:rsidRPr="00E44063">
        <w:rPr>
          <w:rtl/>
        </w:rPr>
        <w:t>5</w:t>
      </w:r>
      <w:r w:rsidRPr="00D97B6F">
        <w:rPr>
          <w:rtl/>
        </w:rPr>
        <w:t xml:space="preserve"> تشرين الأول/أكتوبر </w:t>
      </w:r>
      <w:r w:rsidRPr="00E44063">
        <w:rPr>
          <w:rtl/>
        </w:rPr>
        <w:t>201</w:t>
      </w:r>
      <w:r w:rsidR="002D233E" w:rsidRPr="00E44063">
        <w:rPr>
          <w:rtl/>
        </w:rPr>
        <w:t>5</w:t>
      </w:r>
      <w:r w:rsidR="002D233E" w:rsidRPr="00D97B6F">
        <w:rPr>
          <w:rFonts w:ascii="Simplified Arabic"/>
          <w:szCs w:val="20"/>
          <w:rtl/>
        </w:rPr>
        <w:t>.</w:t>
      </w:r>
      <w:r w:rsidR="002D233E" w:rsidRPr="00D97B6F">
        <w:rPr>
          <w:rtl/>
        </w:rPr>
        <w:t xml:space="preserve"> </w:t>
      </w:r>
      <w:r w:rsidRPr="00D97B6F">
        <w:rPr>
          <w:rtl/>
        </w:rPr>
        <w:t>ووفقا</w:t>
      </w:r>
      <w:r w:rsidR="007B1331" w:rsidRPr="00D97B6F">
        <w:rPr>
          <w:rFonts w:hint="cs"/>
          <w:rtl/>
        </w:rPr>
        <w:t>ً</w:t>
      </w:r>
      <w:r w:rsidRPr="00D97B6F">
        <w:rPr>
          <w:rtl/>
        </w:rPr>
        <w:t xml:space="preserve"> للمعلومات التي قدمتها الدولة الطرف، ينص قانون الإجراءات الجنائية على أنه يجوز للسلطة القضائية أن تأذن بوضع شخص محتجز رهن الاحتجاز مع منع الاحتجاز، وفقا</w:t>
      </w:r>
      <w:r w:rsidR="00FF2D83" w:rsidRPr="00D97B6F">
        <w:rPr>
          <w:rFonts w:hint="cs"/>
          <w:rtl/>
        </w:rPr>
        <w:t>ً</w:t>
      </w:r>
      <w:r w:rsidRPr="00D97B6F">
        <w:rPr>
          <w:rtl/>
        </w:rPr>
        <w:t xml:space="preserve"> للمادة </w:t>
      </w:r>
      <w:r w:rsidRPr="00E44063">
        <w:rPr>
          <w:rtl/>
        </w:rPr>
        <w:t>527</w:t>
      </w:r>
      <w:r w:rsidRPr="00D97B6F">
        <w:rPr>
          <w:rtl/>
        </w:rPr>
        <w:t xml:space="preserve"> مقروءة بالاقتران مع المادة </w:t>
      </w:r>
      <w:r w:rsidRPr="00E44063">
        <w:rPr>
          <w:rtl/>
        </w:rPr>
        <w:t>509</w:t>
      </w:r>
      <w:r w:rsidRPr="00D97B6F">
        <w:rPr>
          <w:rtl/>
        </w:rPr>
        <w:t xml:space="preserve">، في ظروف خاصة معينة، أي في </w:t>
      </w:r>
      <w:r w:rsidRPr="00D97B6F">
        <w:rPr>
          <w:rtl/>
        </w:rPr>
        <w:lastRenderedPageBreak/>
        <w:t>حالة وجود حاجة ملحة إلى تجنب عواقب وخيمة من شأنها أن تعرض حياة الشخص المحتجز أو حريته أو سلامته البدنية للخطر أو تجنب عرقلة الإجراءات الجنائية، وتقييد حق الشخص المعني في أن يمثله محام من اختياره (وفي هذه الحالة تعين المحكمة محامياً</w:t>
      </w:r>
      <w:r w:rsidR="002D233E" w:rsidRPr="00D97B6F">
        <w:rPr>
          <w:rtl/>
        </w:rPr>
        <w:t xml:space="preserve">)، </w:t>
      </w:r>
      <w:r w:rsidRPr="00D97B6F">
        <w:rPr>
          <w:rtl/>
        </w:rPr>
        <w:t xml:space="preserve">وفي أن يجتمع بمحاميه في كنف السرية وفي الاتصال بجميع أو بعض الأشخاص الذين يحق له الاتصال بهم، باستثناء السلطة القضائية ومكتب المدعي العام والطبيب الشرعي، وذلك لفترة أقصاها خمسة أيام قابلة للتمديد خمسة أيام أخرى في حالة ارتكابه جريمة متصلة بالإرهاب أو الانتماء إلى عصابة إجرامية مسلحة، فضلا عن حقه في الاطلاع على ملفه. وتحيط اللجنة علماً بعدم جواز تطبيق هذا النظام على القصر الذين تقل أعمارهم عن </w:t>
      </w:r>
      <w:r w:rsidRPr="00E44063">
        <w:rPr>
          <w:rtl/>
        </w:rPr>
        <w:t>16</w:t>
      </w:r>
      <w:r w:rsidRPr="00D97B6F">
        <w:rPr>
          <w:rtl/>
        </w:rPr>
        <w:t xml:space="preserve"> سنة، غير أنها تشعر بالقلق لأنه يجوز وضع القصر الذين تتراوح أعمارهم بين </w:t>
      </w:r>
      <w:r w:rsidRPr="00E44063">
        <w:rPr>
          <w:rtl/>
        </w:rPr>
        <w:t>16</w:t>
      </w:r>
      <w:r w:rsidRPr="00D97B6F">
        <w:rPr>
          <w:rtl/>
        </w:rPr>
        <w:t xml:space="preserve"> و</w:t>
      </w:r>
      <w:r w:rsidRPr="00E44063">
        <w:rPr>
          <w:rtl/>
        </w:rPr>
        <w:t>18</w:t>
      </w:r>
      <w:r w:rsidRPr="00D97B6F">
        <w:rPr>
          <w:rtl/>
        </w:rPr>
        <w:t xml:space="preserve"> سنة رهن الاحتجاز مع منع الاتصال (المادة </w:t>
      </w:r>
      <w:r w:rsidR="002D233E" w:rsidRPr="00E44063">
        <w:rPr>
          <w:rtl/>
        </w:rPr>
        <w:t>2</w:t>
      </w:r>
      <w:r w:rsidR="002D233E" w:rsidRPr="00D97B6F">
        <w:rPr>
          <w:rFonts w:ascii="Simplified Arabic"/>
          <w:szCs w:val="20"/>
          <w:rtl/>
        </w:rPr>
        <w:t>)</w:t>
      </w:r>
      <w:r w:rsidR="002D233E" w:rsidRPr="00D97B6F">
        <w:rPr>
          <w:rtl/>
        </w:rPr>
        <w:t>.</w:t>
      </w:r>
    </w:p>
    <w:p w14:paraId="35A2D6EE" w14:textId="7C1DFF83" w:rsidR="00774CA0" w:rsidRPr="00E44063" w:rsidRDefault="00774CA0" w:rsidP="00223BA5">
      <w:pPr>
        <w:pStyle w:val="SingleTxtGA"/>
        <w:rPr>
          <w:b/>
          <w:bCs/>
          <w:szCs w:val="20"/>
          <w:lang w:val="en-US" w:eastAsia="zh-TW" w:bidi="en-GB"/>
        </w:rPr>
      </w:pPr>
      <w:r w:rsidRPr="00E44063">
        <w:rPr>
          <w:rtl/>
        </w:rPr>
        <w:t>10</w:t>
      </w:r>
      <w:r w:rsidRPr="00D97B6F">
        <w:rPr>
          <w:rtl/>
        </w:rPr>
        <w:t>-</w:t>
      </w:r>
      <w:r w:rsidRPr="00D97B6F">
        <w:rPr>
          <w:rtl/>
        </w:rPr>
        <w:tab/>
      </w:r>
      <w:r w:rsidRPr="00E44063">
        <w:rPr>
          <w:b/>
          <w:bCs/>
          <w:rtl/>
        </w:rPr>
        <w:t xml:space="preserve">تطلب اللجنة إلى الدولة الطرف، في ضوء ملاحظاتها الختامية </w:t>
      </w:r>
      <w:proofErr w:type="gramStart"/>
      <w:r w:rsidRPr="00E44063">
        <w:rPr>
          <w:b/>
          <w:bCs/>
          <w:rtl/>
        </w:rPr>
        <w:t>السابقة</w:t>
      </w:r>
      <w:r w:rsidR="002D233E" w:rsidRPr="00E44063">
        <w:rPr>
          <w:vertAlign w:val="superscript"/>
          <w:rtl/>
        </w:rPr>
        <w:t>(</w:t>
      </w:r>
      <w:proofErr w:type="gramEnd"/>
      <w:r w:rsidR="002D233E" w:rsidRPr="00E44063">
        <w:rPr>
          <w:vertAlign w:val="superscript"/>
          <w:lang w:val="en-AU"/>
        </w:rPr>
        <w:footnoteReference w:id="8"/>
      </w:r>
      <w:r w:rsidR="002D233E" w:rsidRPr="00E44063">
        <w:rPr>
          <w:rFonts w:hint="cs"/>
          <w:vertAlign w:val="superscript"/>
          <w:rtl/>
        </w:rPr>
        <w:t>)</w:t>
      </w:r>
      <w:r w:rsidR="002D233E" w:rsidRPr="00E44063">
        <w:rPr>
          <w:b/>
          <w:bCs/>
          <w:rtl/>
        </w:rPr>
        <w:t xml:space="preserve">، </w:t>
      </w:r>
      <w:r w:rsidRPr="00E44063">
        <w:rPr>
          <w:b/>
          <w:bCs/>
          <w:rtl/>
        </w:rPr>
        <w:t>أن تنظر في إلغاء نظام الاحتجاز مع منع الاتصال وأن تكفل تمتع جميع الأشخاص المحتجزين، ولا سيما القُصر، بجميع الضمانات القانونية الأساسية منذ بداية سلبهم حريتهم، بما في ذلك الحق في الحصول على مساعدة من محام من اختيارهم في جميع مراحل الإجراءات الجنائية، والتواصل مع ممثلهم القانوني في سرية تامة وإبلاغ أحد أفراد الأسرة أو طرف ثالث على الفور باعتقالهم.</w:t>
      </w:r>
    </w:p>
    <w:p w14:paraId="431C3C3B" w14:textId="77777777" w:rsidR="00774CA0" w:rsidRPr="00E44063" w:rsidRDefault="00774CA0" w:rsidP="00223BA5">
      <w:pPr>
        <w:pStyle w:val="H23GA"/>
        <w:rPr>
          <w:szCs w:val="20"/>
          <w:lang w:val="ar-SA" w:eastAsia="zh-TW" w:bidi="en-GB"/>
        </w:rPr>
      </w:pPr>
      <w:r w:rsidRPr="00E44063">
        <w:rPr>
          <w:rtl/>
        </w:rPr>
        <w:tab/>
      </w:r>
      <w:r w:rsidRPr="00E44063">
        <w:rPr>
          <w:rtl/>
        </w:rPr>
        <w:tab/>
        <w:t>الآلية الوقائية الوطنية</w:t>
      </w:r>
    </w:p>
    <w:p w14:paraId="2310557E" w14:textId="0DDDA8BE" w:rsidR="002D233E" w:rsidRPr="00D97B6F" w:rsidRDefault="00774CA0" w:rsidP="00223BA5">
      <w:pPr>
        <w:pStyle w:val="SingleTxtGA"/>
        <w:rPr>
          <w:szCs w:val="20"/>
          <w:lang w:val="ar-SA" w:eastAsia="zh-TW" w:bidi="en-GB"/>
        </w:rPr>
      </w:pPr>
      <w:r w:rsidRPr="00E44063">
        <w:rPr>
          <w:rtl/>
        </w:rPr>
        <w:t>11</w:t>
      </w:r>
      <w:r w:rsidRPr="00D97B6F">
        <w:rPr>
          <w:rtl/>
        </w:rPr>
        <w:t>-</w:t>
      </w:r>
      <w:r w:rsidRPr="00D97B6F">
        <w:rPr>
          <w:rtl/>
        </w:rPr>
        <w:tab/>
        <w:t xml:space="preserve">ترحب اللجنة بالأنشطة التي اضطلع بها مكتب أمين المظالم، بصفته الآلية الوقائية الوطنية، خلال الفترة قيد الاستعراض بموجب البروتوكول الاختياري للاتفاقية، ولا سيما الزيارات العديدة التي أجراها لرصد أماكن سلب الحرية. غير أنها تشعر بالقلق لأن الآلية لا تملك الموارد الكافية للاضطلاع بولايتها على أكمل وجه، بما في ذلك إجراء زيارات منتظمة وزيارات متابعة للمؤسسات الاجتماعية ومراكز احتجاز الأحداث ومؤسسات العلاج النفسي (المادتان </w:t>
      </w:r>
      <w:r w:rsidRPr="00E44063">
        <w:rPr>
          <w:rtl/>
        </w:rPr>
        <w:t>2</w:t>
      </w:r>
      <w:r w:rsidRPr="00D97B6F">
        <w:rPr>
          <w:rtl/>
        </w:rPr>
        <w:t xml:space="preserve"> و</w:t>
      </w:r>
      <w:r w:rsidRPr="00E44063">
        <w:rPr>
          <w:rtl/>
        </w:rPr>
        <w:t>1</w:t>
      </w:r>
      <w:r w:rsidR="002D233E" w:rsidRPr="00E44063">
        <w:rPr>
          <w:rtl/>
        </w:rPr>
        <w:t>1</w:t>
      </w:r>
      <w:r w:rsidR="002D233E" w:rsidRPr="00D97B6F">
        <w:rPr>
          <w:rFonts w:ascii="Simplified Arabic"/>
          <w:szCs w:val="20"/>
          <w:rtl/>
        </w:rPr>
        <w:t>)</w:t>
      </w:r>
      <w:r w:rsidR="002D233E" w:rsidRPr="00D97B6F">
        <w:rPr>
          <w:rtl/>
        </w:rPr>
        <w:t>.</w:t>
      </w:r>
    </w:p>
    <w:p w14:paraId="7822F32F" w14:textId="69FF6909" w:rsidR="00774CA0" w:rsidRPr="00E44063" w:rsidRDefault="00774CA0" w:rsidP="00223BA5">
      <w:pPr>
        <w:pStyle w:val="SingleTxtGA"/>
        <w:rPr>
          <w:b/>
          <w:bCs/>
          <w:szCs w:val="20"/>
          <w:lang w:val="en-US" w:eastAsia="zh-TW" w:bidi="en-GB"/>
        </w:rPr>
      </w:pPr>
      <w:r w:rsidRPr="00E44063">
        <w:rPr>
          <w:rtl/>
        </w:rPr>
        <w:t>12</w:t>
      </w:r>
      <w:r w:rsidRPr="00D97B6F">
        <w:rPr>
          <w:rtl/>
        </w:rPr>
        <w:t>-</w:t>
      </w:r>
      <w:r w:rsidRPr="00D97B6F">
        <w:rPr>
          <w:rtl/>
        </w:rPr>
        <w:tab/>
      </w:r>
      <w:r w:rsidRPr="00E44063">
        <w:rPr>
          <w:b/>
          <w:bCs/>
          <w:rtl/>
        </w:rPr>
        <w:t>ينبغي للدولة الطرف أن تكفل تزويد مكتب أمين المظالم بما يكفي من موارد للاضطلاع بولايته الوقائية بشكل مستقل وفعال. وينبغي لها أيضا</w:t>
      </w:r>
      <w:r w:rsidR="00390CAB" w:rsidRPr="00E44063">
        <w:rPr>
          <w:rFonts w:hint="cs"/>
          <w:b/>
          <w:bCs/>
          <w:rtl/>
        </w:rPr>
        <w:t>ً</w:t>
      </w:r>
      <w:r w:rsidRPr="00E44063">
        <w:rPr>
          <w:b/>
          <w:bCs/>
          <w:rtl/>
        </w:rPr>
        <w:t xml:space="preserve"> أن تكفل متابعة التوصيات التي يقدمها مكتب أمين المظالم في أعقاب زيارات الرصد التي يجريها إلى أماكن سلب الحرية، بصفته الآلية الوقائية الوطنية، متابعة فعالة بغية تنفيذها.</w:t>
      </w:r>
    </w:p>
    <w:p w14:paraId="6FD84EAD" w14:textId="3A584CA2" w:rsidR="00774CA0" w:rsidRPr="00E44063" w:rsidRDefault="00774CA0" w:rsidP="00223BA5">
      <w:pPr>
        <w:pStyle w:val="H23GA"/>
        <w:rPr>
          <w:szCs w:val="20"/>
          <w:lang w:val="ar-SA" w:eastAsia="zh-TW" w:bidi="en-GB"/>
        </w:rPr>
      </w:pPr>
      <w:r w:rsidRPr="00E44063">
        <w:rPr>
          <w:rtl/>
        </w:rPr>
        <w:tab/>
      </w:r>
      <w:r w:rsidRPr="00E44063">
        <w:rPr>
          <w:rtl/>
        </w:rPr>
        <w:tab/>
        <w:t>التحقيق في ادعاءات التعذيب وإساءة المعاملة</w:t>
      </w:r>
    </w:p>
    <w:p w14:paraId="7DEFCE85" w14:textId="1A19732F" w:rsidR="002D233E" w:rsidRPr="00D97B6F" w:rsidRDefault="00774CA0" w:rsidP="00223BA5">
      <w:pPr>
        <w:pStyle w:val="SingleTxtGA"/>
        <w:rPr>
          <w:szCs w:val="20"/>
          <w:lang w:val="ar-SA" w:eastAsia="zh-TW" w:bidi="en-GB"/>
        </w:rPr>
      </w:pPr>
      <w:r w:rsidRPr="00E44063">
        <w:rPr>
          <w:rtl/>
        </w:rPr>
        <w:t>13</w:t>
      </w:r>
      <w:r w:rsidRPr="00D97B6F">
        <w:rPr>
          <w:rtl/>
        </w:rPr>
        <w:t>-</w:t>
      </w:r>
      <w:r w:rsidRPr="00D97B6F">
        <w:rPr>
          <w:rtl/>
        </w:rPr>
        <w:tab/>
        <w:t xml:space="preserve">وفقاً للمعلومات التي قدمتها الدولة الطرف، تلاحظ اللجنة أن المحاكم قررت رد الدعاوى أو حفظها أو إصدار أحكام بالبراءة في عدد كبير من القضايا الجنائية المرفوعة بناء على الشكاوى التي سُجلت في الفترة ما بين عامي </w:t>
      </w:r>
      <w:r w:rsidRPr="00E44063">
        <w:rPr>
          <w:rtl/>
        </w:rPr>
        <w:t>2015</w:t>
      </w:r>
      <w:r w:rsidRPr="00D97B6F">
        <w:rPr>
          <w:rtl/>
        </w:rPr>
        <w:t xml:space="preserve"> و</w:t>
      </w:r>
      <w:r w:rsidRPr="00E44063">
        <w:rPr>
          <w:rtl/>
        </w:rPr>
        <w:t>2018</w:t>
      </w:r>
      <w:r w:rsidRPr="00D97B6F">
        <w:rPr>
          <w:rtl/>
        </w:rPr>
        <w:t xml:space="preserve"> والتي تتعلق بمزاعم ارتكاب تجاوزات من جانب قوات الشرطة والأمن أثناء أدائها لواجبها أو</w:t>
      </w:r>
      <w:r w:rsidR="00FF2D83" w:rsidRPr="00D97B6F">
        <w:rPr>
          <w:rFonts w:hint="cs"/>
          <w:rtl/>
        </w:rPr>
        <w:t xml:space="preserve"> </w:t>
      </w:r>
      <w:r w:rsidRPr="00D97B6F">
        <w:rPr>
          <w:rtl/>
        </w:rPr>
        <w:t xml:space="preserve">انتهاكات لحقوق الأشخاص الذين اتخذت الشرطة تدابير في حقهم، وأنها لم تتخذ إلا عدداً قليلاً للغاية من الإجراءات التأديبية في حق </w:t>
      </w:r>
      <w:proofErr w:type="gramStart"/>
      <w:r w:rsidRPr="00D97B6F">
        <w:rPr>
          <w:rtl/>
        </w:rPr>
        <w:t>الجناة</w:t>
      </w:r>
      <w:r w:rsidR="002D233E" w:rsidRPr="00D97B6F">
        <w:rPr>
          <w:vertAlign w:val="superscript"/>
          <w:rtl/>
        </w:rPr>
        <w:t>(</w:t>
      </w:r>
      <w:proofErr w:type="gramEnd"/>
      <w:r w:rsidR="002D233E" w:rsidRPr="00E44063">
        <w:rPr>
          <w:vertAlign w:val="superscript"/>
          <w:lang w:val="en-AU"/>
        </w:rPr>
        <w:footnoteReference w:id="9"/>
      </w:r>
      <w:r w:rsidR="002D233E" w:rsidRPr="00D97B6F">
        <w:rPr>
          <w:rFonts w:hint="cs"/>
          <w:vertAlign w:val="superscript"/>
          <w:rtl/>
        </w:rPr>
        <w:t>)</w:t>
      </w:r>
      <w:r w:rsidR="002D233E" w:rsidRPr="00D97B6F">
        <w:rPr>
          <w:rtl/>
        </w:rPr>
        <w:t xml:space="preserve">. </w:t>
      </w:r>
      <w:r w:rsidRPr="00D97B6F">
        <w:rPr>
          <w:rtl/>
        </w:rPr>
        <w:t xml:space="preserve">وفي هذا السياق، يساور اللجنة القلق إزاء ما تلقته من معلومات تفيد بأن عدداً كبيراً من الادعاءات التي تتعلق بلجوء الشرطة إلى استخدام القوة استخداماً مفرطاً في حق محتجزين، من بينهم قصر، وإساءتها معاملتهم يتصل بأفعال أو أحداث وقعت أثناء اعتقال أولئك الأشخاص أو نقلهم أو احتجازهم لدى الشرطة، كما يساورها القلق إزاء المعلومات التي تشير إلى عدم فعالية التحقيقات المجراة. وتلاحظ اللجنة بقلق أنه لا توجد آلية مستقلة </w:t>
      </w:r>
      <w:r w:rsidRPr="00D97B6F">
        <w:rPr>
          <w:rtl/>
        </w:rPr>
        <w:lastRenderedPageBreak/>
        <w:t>للتحقيق في ادعاءات التعذيب وإساءة المعاملة من جانب أفراد قوات الأمن، وأن هيئات التحقيق الداخلية القائمة، ولا سيما المديريات العامة المعنية، لا تتمتع بالاستقلال الكافي لأنها تنتمي إلى الهيكل نفسه الذي ينتمي إليه مرتكبو هذه الجرائم المزعومون. وفي هذا الصدد، تحيط اللجنة علماً مع التقدير بما قدمته الدولة الطرف من معلومات عن إنشاء المكتب الوطني المعني بضمان حقوق الإنسان (انظر الفقرة</w:t>
      </w:r>
      <w:r w:rsidR="00FF2D83" w:rsidRPr="00D97B6F">
        <w:rPr>
          <w:rFonts w:hint="cs"/>
          <w:rtl/>
        </w:rPr>
        <w:t> </w:t>
      </w:r>
      <w:r w:rsidRPr="00E44063">
        <w:rPr>
          <w:rtl/>
        </w:rPr>
        <w:t>5</w:t>
      </w:r>
      <w:r w:rsidRPr="00D97B6F">
        <w:rPr>
          <w:rFonts w:ascii="Simplified Arabic"/>
          <w:szCs w:val="20"/>
          <w:rtl/>
        </w:rPr>
        <w:t>(</w:t>
      </w:r>
      <w:r w:rsidRPr="00D97B6F">
        <w:rPr>
          <w:rtl/>
        </w:rPr>
        <w:t>ح</w:t>
      </w:r>
      <w:r w:rsidRPr="00D97B6F">
        <w:rPr>
          <w:rFonts w:ascii="Simplified Arabic"/>
          <w:szCs w:val="20"/>
          <w:rtl/>
        </w:rPr>
        <w:t>)</w:t>
      </w:r>
      <w:r w:rsidR="002D233E" w:rsidRPr="00D97B6F">
        <w:rPr>
          <w:rtl/>
        </w:rPr>
        <w:t xml:space="preserve">)، </w:t>
      </w:r>
      <w:r w:rsidRPr="00D97B6F">
        <w:rPr>
          <w:rtl/>
        </w:rPr>
        <w:t xml:space="preserve">الذي يقدم تقاريره إلى وزير الدولة لشؤون الأمن، بهدف تعزيز التدابير الداخلية الرامية إلى ضمان الشفافية وتشجيع التحقيق الشامل والفعال في الحالات التي قد تنطوي على انتهاك الحقوق الأساسية في سياق تدخلات </w:t>
      </w:r>
      <w:proofErr w:type="gramStart"/>
      <w:r w:rsidRPr="00D97B6F">
        <w:rPr>
          <w:rtl/>
        </w:rPr>
        <w:t>الشرطة</w:t>
      </w:r>
      <w:r w:rsidR="002D233E" w:rsidRPr="00D97B6F">
        <w:rPr>
          <w:vertAlign w:val="superscript"/>
          <w:rtl/>
        </w:rPr>
        <w:t>(</w:t>
      </w:r>
      <w:proofErr w:type="gramEnd"/>
      <w:r w:rsidR="002D233E" w:rsidRPr="00E44063">
        <w:rPr>
          <w:vertAlign w:val="superscript"/>
          <w:lang w:val="en-AU"/>
        </w:rPr>
        <w:footnoteReference w:id="10"/>
      </w:r>
      <w:r w:rsidR="002D233E" w:rsidRPr="00D97B6F">
        <w:rPr>
          <w:rFonts w:hint="cs"/>
          <w:vertAlign w:val="superscript"/>
          <w:rtl/>
        </w:rPr>
        <w:t>)</w:t>
      </w:r>
      <w:r w:rsidR="002D233E" w:rsidRPr="00D97B6F">
        <w:rPr>
          <w:rtl/>
        </w:rPr>
        <w:t xml:space="preserve">. </w:t>
      </w:r>
      <w:r w:rsidRPr="00D97B6F">
        <w:rPr>
          <w:rtl/>
        </w:rPr>
        <w:t xml:space="preserve">وفي هذا الصدد، تعرب اللجنة عن قلقها إزاء التقارير التي تفيد بأن ولاية المكتب الوطني تقتصر على متابعة التحقيقات في ادعاءات العنف من جانب الشرطة، وتحيط علماً في الوقت ذاته بالتفسير الذي قدمته الدولة الطرف فيما يتعلق بعدم اقتصار ولاية المكتب الوطني على ذلك. وتعرب عن قلقها أيضاً إزاء التقارير التي تفيد بأن مكتب أمين المظالم يخضع لقيود معينة فيما يتعلق بالبت في شكاوى التعسف من جانب قوات الشرطة. وأخيرا، وفيما يتعلق بالمعلومات الواردة التي تفيد بعدم التحقيق في الشهادات التي أدلى بها </w:t>
      </w:r>
      <w:r w:rsidRPr="00E44063">
        <w:rPr>
          <w:rtl/>
        </w:rPr>
        <w:t>379</w:t>
      </w:r>
      <w:r w:rsidRPr="00D97B6F">
        <w:rPr>
          <w:rFonts w:ascii="Simplified Arabic"/>
          <w:szCs w:val="20"/>
          <w:rtl/>
        </w:rPr>
        <w:t xml:space="preserve"> </w:t>
      </w:r>
      <w:r w:rsidRPr="00E44063">
        <w:rPr>
          <w:rtl/>
        </w:rPr>
        <w:t>5</w:t>
      </w:r>
      <w:r w:rsidRPr="00D97B6F">
        <w:rPr>
          <w:rtl/>
        </w:rPr>
        <w:t xml:space="preserve"> شخصاً والتي يدعون فيها أنهم تعرضوا لأفعال تعذيب وسوء معاملة في الفترة ما بين عامي </w:t>
      </w:r>
      <w:r w:rsidRPr="00E44063">
        <w:rPr>
          <w:rtl/>
        </w:rPr>
        <w:t>1960</w:t>
      </w:r>
      <w:r w:rsidRPr="00D97B6F">
        <w:rPr>
          <w:rtl/>
        </w:rPr>
        <w:t xml:space="preserve"> و</w:t>
      </w:r>
      <w:r w:rsidRPr="00E44063">
        <w:rPr>
          <w:rtl/>
        </w:rPr>
        <w:t>2014</w:t>
      </w:r>
      <w:r w:rsidRPr="00D97B6F">
        <w:rPr>
          <w:rtl/>
        </w:rPr>
        <w:t xml:space="preserve"> في إقليم الباسك وفي منطقة نابارا، تحيط اللجنة علماً بردود وفد الدولة الطرف التي أكد فيها أن هذه الشهادات مودعة في سجلات السلطات الإقليمية (المواد </w:t>
      </w:r>
      <w:r w:rsidRPr="00E44063">
        <w:rPr>
          <w:rtl/>
        </w:rPr>
        <w:t>2</w:t>
      </w:r>
      <w:r w:rsidRPr="00D97B6F">
        <w:rPr>
          <w:rtl/>
        </w:rPr>
        <w:t xml:space="preserve"> و</w:t>
      </w:r>
      <w:r w:rsidR="00997A71" w:rsidRPr="00E44063">
        <w:rPr>
          <w:rFonts w:hint="cs"/>
          <w:rtl/>
        </w:rPr>
        <w:t>11</w:t>
      </w:r>
      <w:r w:rsidR="00997A71" w:rsidRPr="00D97B6F">
        <w:rPr>
          <w:rFonts w:hint="cs"/>
          <w:rtl/>
        </w:rPr>
        <w:t>-</w:t>
      </w:r>
      <w:r w:rsidR="00997A71" w:rsidRPr="00E44063">
        <w:rPr>
          <w:rFonts w:hint="cs"/>
          <w:rtl/>
        </w:rPr>
        <w:t>13</w:t>
      </w:r>
      <w:r w:rsidRPr="00D97B6F">
        <w:rPr>
          <w:rtl/>
        </w:rPr>
        <w:t xml:space="preserve"> و</w:t>
      </w:r>
      <w:r w:rsidRPr="00E44063">
        <w:rPr>
          <w:rtl/>
        </w:rPr>
        <w:t>1</w:t>
      </w:r>
      <w:r w:rsidR="002D233E" w:rsidRPr="00E44063">
        <w:rPr>
          <w:rtl/>
        </w:rPr>
        <w:t>6</w:t>
      </w:r>
      <w:r w:rsidR="002D233E" w:rsidRPr="00D97B6F">
        <w:rPr>
          <w:rFonts w:ascii="Simplified Arabic"/>
          <w:szCs w:val="20"/>
          <w:rtl/>
        </w:rPr>
        <w:t>)</w:t>
      </w:r>
      <w:r w:rsidR="002D233E" w:rsidRPr="00D97B6F">
        <w:rPr>
          <w:rtl/>
        </w:rPr>
        <w:t>.</w:t>
      </w:r>
    </w:p>
    <w:p w14:paraId="743396D0" w14:textId="73D2CC02" w:rsidR="00774CA0" w:rsidRPr="00E44063" w:rsidRDefault="00774CA0" w:rsidP="00223BA5">
      <w:pPr>
        <w:pStyle w:val="SingleTxtGA"/>
        <w:rPr>
          <w:b/>
          <w:bCs/>
          <w:szCs w:val="20"/>
          <w:lang w:val="ar-SA" w:eastAsia="zh-TW" w:bidi="en-GB"/>
        </w:rPr>
      </w:pPr>
      <w:r w:rsidRPr="00E44063">
        <w:rPr>
          <w:rtl/>
        </w:rPr>
        <w:t>14</w:t>
      </w:r>
      <w:r w:rsidRPr="00D97B6F">
        <w:rPr>
          <w:rtl/>
        </w:rPr>
        <w:t>-</w:t>
      </w:r>
      <w:r w:rsidRPr="00D97B6F">
        <w:rPr>
          <w:rtl/>
        </w:rPr>
        <w:tab/>
      </w:r>
      <w:r w:rsidRPr="00E44063">
        <w:rPr>
          <w:b/>
          <w:bCs/>
          <w:rtl/>
        </w:rPr>
        <w:t>ينبغي للدولة الطرف أن تقوم بما يلي:</w:t>
      </w:r>
    </w:p>
    <w:p w14:paraId="7A2D8F03" w14:textId="780A7833" w:rsidR="00774CA0" w:rsidRPr="00E44063" w:rsidRDefault="00223BA5" w:rsidP="00223BA5">
      <w:pPr>
        <w:pStyle w:val="SingleTxtGA"/>
        <w:rPr>
          <w:b/>
          <w:bCs/>
          <w:szCs w:val="20"/>
          <w:shd w:val="clear" w:color="auto" w:fill="FFFFFF"/>
          <w:lang w:val="ar-SA" w:eastAsia="zh-TW" w:bidi="en-GB"/>
        </w:rPr>
      </w:pPr>
      <w:r w:rsidRPr="00D97B6F">
        <w:rPr>
          <w:rtl/>
        </w:rPr>
        <w:tab/>
      </w:r>
      <w:r w:rsidR="00774CA0" w:rsidRPr="00D97B6F">
        <w:rPr>
          <w:rtl/>
        </w:rPr>
        <w:t>(أ</w:t>
      </w:r>
      <w:r w:rsidR="00774CA0" w:rsidRPr="00D97B6F">
        <w:rPr>
          <w:rFonts w:ascii="Simplified Arabic"/>
          <w:szCs w:val="20"/>
          <w:rtl/>
        </w:rPr>
        <w:t>)</w:t>
      </w:r>
      <w:r w:rsidR="00774CA0" w:rsidRPr="00E44063">
        <w:rPr>
          <w:b/>
          <w:bCs/>
          <w:rtl/>
        </w:rPr>
        <w:tab/>
        <w:t>ضمان قيام هيئة مستقلة لا تربط أعضاءها أي علاقة إدارية أو هرمية مع المشتبه فيهم بإجراء تحقيقات فورية ونزيهة في جميع شكاوى التعذيب أو غيره من ضروب المعاملة السيئة من جانب الموظفين المكلفين بإنفاذ القانون؛</w:t>
      </w:r>
    </w:p>
    <w:p w14:paraId="40D46432" w14:textId="41BFD991" w:rsidR="00774CA0" w:rsidRPr="00E44063" w:rsidRDefault="00223BA5" w:rsidP="00223BA5">
      <w:pPr>
        <w:pStyle w:val="SingleTxtGA"/>
        <w:rPr>
          <w:b/>
          <w:bCs/>
          <w:szCs w:val="20"/>
          <w:lang w:val="ar-SA" w:eastAsia="zh-TW" w:bidi="en-GB"/>
        </w:rPr>
      </w:pPr>
      <w:r w:rsidRPr="00D97B6F">
        <w:rPr>
          <w:rtl/>
        </w:rPr>
        <w:tab/>
      </w:r>
      <w:r w:rsidR="00774CA0" w:rsidRPr="00D97B6F">
        <w:rPr>
          <w:rtl/>
        </w:rPr>
        <w:t>(ب</w:t>
      </w:r>
      <w:r w:rsidR="00774CA0" w:rsidRPr="00D97B6F">
        <w:rPr>
          <w:rFonts w:ascii="Simplified Arabic"/>
          <w:szCs w:val="20"/>
          <w:rtl/>
        </w:rPr>
        <w:t>)</w:t>
      </w:r>
      <w:r w:rsidR="00774CA0" w:rsidRPr="00E44063">
        <w:rPr>
          <w:b/>
          <w:bCs/>
          <w:rtl/>
        </w:rPr>
        <w:tab/>
        <w:t>ضمان قيام السلطات المختصة فوراً بفتح تحقيق كلما كانت هناك أسباب معقولة تدعو إلى اعتقاد أن فعلاً من أفعال التعذيب أو إساءة المعاملة قد ارتُكب؛</w:t>
      </w:r>
    </w:p>
    <w:p w14:paraId="2F14A09E" w14:textId="2DA674B2" w:rsidR="00774CA0" w:rsidRPr="00E44063" w:rsidRDefault="00223BA5" w:rsidP="00223BA5">
      <w:pPr>
        <w:pStyle w:val="SingleTxtGA"/>
        <w:rPr>
          <w:b/>
          <w:bCs/>
          <w:szCs w:val="20"/>
          <w:shd w:val="clear" w:color="auto" w:fill="FFFFFF"/>
          <w:lang w:val="en-US" w:eastAsia="zh-TW" w:bidi="en-GB"/>
        </w:rPr>
      </w:pPr>
      <w:r w:rsidRPr="00D97B6F">
        <w:rPr>
          <w:rtl/>
        </w:rPr>
        <w:tab/>
      </w:r>
      <w:r w:rsidR="00774CA0" w:rsidRPr="00D97B6F">
        <w:rPr>
          <w:rtl/>
        </w:rPr>
        <w:t>(ج</w:t>
      </w:r>
      <w:r w:rsidR="00774CA0" w:rsidRPr="00D97B6F">
        <w:rPr>
          <w:rFonts w:ascii="Simplified Arabic"/>
          <w:szCs w:val="20"/>
          <w:rtl/>
        </w:rPr>
        <w:t>)</w:t>
      </w:r>
      <w:r w:rsidR="00774CA0" w:rsidRPr="00E44063">
        <w:rPr>
          <w:b/>
          <w:bCs/>
          <w:rtl/>
        </w:rPr>
        <w:tab/>
        <w:t>ضمان وقف الأشخاص الذين يزعم ارتكابهم أفعال تعذيب أو سوء المعاملة فوراً عن أداء مهامهم طوال مدة التحقيق، ولا سيما في حال احتمال إقدامهم على</w:t>
      </w:r>
      <w:r w:rsidR="006C6085" w:rsidRPr="00E44063">
        <w:rPr>
          <w:b/>
          <w:bCs/>
          <w:rtl/>
        </w:rPr>
        <w:t xml:space="preserve"> </w:t>
      </w:r>
      <w:r w:rsidR="00774CA0" w:rsidRPr="00E44063">
        <w:rPr>
          <w:b/>
          <w:bCs/>
          <w:rtl/>
        </w:rPr>
        <w:t>تكرار الجريمة أو الانتقام من الضحية المزعومة أو عرقلة التحقيق؛</w:t>
      </w:r>
    </w:p>
    <w:p w14:paraId="456287B1" w14:textId="43CBBC7E" w:rsidR="00774CA0" w:rsidRPr="00E44063" w:rsidRDefault="00223BA5" w:rsidP="00223BA5">
      <w:pPr>
        <w:pStyle w:val="SingleTxtGA"/>
        <w:rPr>
          <w:b/>
          <w:bCs/>
          <w:szCs w:val="20"/>
          <w:shd w:val="clear" w:color="auto" w:fill="FFFFFF"/>
          <w:lang w:val="ar-SA" w:eastAsia="zh-TW" w:bidi="en-GB"/>
        </w:rPr>
      </w:pPr>
      <w:r w:rsidRPr="00D97B6F">
        <w:rPr>
          <w:rtl/>
        </w:rPr>
        <w:tab/>
      </w:r>
      <w:r w:rsidR="00774CA0" w:rsidRPr="00D97B6F">
        <w:rPr>
          <w:rtl/>
        </w:rPr>
        <w:t>(د</w:t>
      </w:r>
      <w:r w:rsidR="00774CA0" w:rsidRPr="00D97B6F">
        <w:rPr>
          <w:rFonts w:ascii="Simplified Arabic"/>
          <w:szCs w:val="20"/>
          <w:rtl/>
        </w:rPr>
        <w:t>)</w:t>
      </w:r>
      <w:r w:rsidR="00774CA0" w:rsidRPr="00E44063">
        <w:rPr>
          <w:b/>
          <w:bCs/>
          <w:rtl/>
        </w:rPr>
        <w:tab/>
        <w:t>ضمان محاكمة المشتبه في ارتكابهم أفعال التعذيب وسوء المعاملة وكبار المسؤولين الذين يشتبه في أنهم أمروا بارتكاب تلك الأفعال أو تغاضوا عنها محاكمةً وفق الأصول ومعاقبتهم، في حال ثبوت إدانتهم، بع</w:t>
      </w:r>
      <w:r w:rsidR="00155260" w:rsidRPr="00E44063">
        <w:rPr>
          <w:rFonts w:hint="cs"/>
          <w:b/>
          <w:bCs/>
          <w:rtl/>
        </w:rPr>
        <w:t>ق</w:t>
      </w:r>
      <w:r w:rsidR="00774CA0" w:rsidRPr="00E44063">
        <w:rPr>
          <w:b/>
          <w:bCs/>
          <w:rtl/>
        </w:rPr>
        <w:t>وبات تتناسب وخطورة تلك الجرائم؛</w:t>
      </w:r>
    </w:p>
    <w:p w14:paraId="6FFC7747" w14:textId="5EC66186" w:rsidR="00774CA0" w:rsidRPr="00E44063" w:rsidRDefault="00223BA5" w:rsidP="00223BA5">
      <w:pPr>
        <w:pStyle w:val="SingleTxtGA"/>
        <w:rPr>
          <w:b/>
          <w:bCs/>
          <w:szCs w:val="20"/>
          <w:shd w:val="clear" w:color="auto" w:fill="FFFFFF"/>
          <w:lang w:val="en-US" w:eastAsia="zh-TW" w:bidi="en-GB"/>
        </w:rPr>
      </w:pPr>
      <w:r w:rsidRPr="00D97B6F">
        <w:rPr>
          <w:rtl/>
        </w:rPr>
        <w:tab/>
      </w:r>
      <w:r w:rsidR="00774CA0" w:rsidRPr="00D97B6F">
        <w:rPr>
          <w:rtl/>
        </w:rPr>
        <w:t>(ه)</w:t>
      </w:r>
      <w:r w:rsidR="00774CA0" w:rsidRPr="00E44063">
        <w:rPr>
          <w:b/>
          <w:bCs/>
          <w:rtl/>
        </w:rPr>
        <w:tab/>
        <w:t>تعزيز ولاية المكتب الوطني المعني بضمان حقوق الإنسان بما يمكنه من إجراء تحقيقات مستقلة في مزاعم العنف من جانب الشرطة؛</w:t>
      </w:r>
    </w:p>
    <w:p w14:paraId="4378C0CD" w14:textId="6660CA68" w:rsidR="00774CA0" w:rsidRPr="00E44063" w:rsidRDefault="00223BA5" w:rsidP="00223BA5">
      <w:pPr>
        <w:pStyle w:val="SingleTxtGA"/>
        <w:rPr>
          <w:b/>
          <w:bCs/>
          <w:szCs w:val="20"/>
          <w:shd w:val="clear" w:color="auto" w:fill="FFFFFF"/>
          <w:lang w:val="ar-SA" w:eastAsia="zh-TW" w:bidi="en-GB"/>
        </w:rPr>
      </w:pPr>
      <w:r w:rsidRPr="00D97B6F">
        <w:rPr>
          <w:rtl/>
        </w:rPr>
        <w:tab/>
      </w:r>
      <w:r w:rsidR="00774CA0" w:rsidRPr="00D97B6F">
        <w:rPr>
          <w:rtl/>
        </w:rPr>
        <w:t>(و</w:t>
      </w:r>
      <w:r w:rsidR="00774CA0" w:rsidRPr="00D97B6F">
        <w:rPr>
          <w:rFonts w:ascii="Simplified Arabic"/>
          <w:szCs w:val="20"/>
          <w:rtl/>
        </w:rPr>
        <w:t>)</w:t>
      </w:r>
      <w:r w:rsidR="00774CA0" w:rsidRPr="00E44063">
        <w:rPr>
          <w:b/>
          <w:bCs/>
          <w:rtl/>
        </w:rPr>
        <w:tab/>
        <w:t>اتخاذ التدابير اللازمة لضمان التحقيق الفعال في أفعال التعذيب وسوء المعاملة المزعومة المذكورة في الشهادات العديدة التي جمعتها سلطات إقليم الباسك ومنطقة نافارا وإبلاغ اللجنة بنتائج تلك التحقيقات؛</w:t>
      </w:r>
    </w:p>
    <w:p w14:paraId="0A89426E" w14:textId="33610561" w:rsidR="00774CA0" w:rsidRPr="00E44063" w:rsidRDefault="00223BA5" w:rsidP="00223BA5">
      <w:pPr>
        <w:pStyle w:val="SingleTxtGA"/>
        <w:rPr>
          <w:b/>
          <w:bCs/>
          <w:szCs w:val="20"/>
          <w:shd w:val="clear" w:color="auto" w:fill="FFFFFF"/>
          <w:lang w:val="ar-SA" w:eastAsia="zh-TW" w:bidi="en-GB"/>
        </w:rPr>
      </w:pPr>
      <w:r w:rsidRPr="00D97B6F">
        <w:rPr>
          <w:rtl/>
        </w:rPr>
        <w:tab/>
      </w:r>
      <w:r w:rsidR="00774CA0" w:rsidRPr="00D97B6F">
        <w:rPr>
          <w:rtl/>
        </w:rPr>
        <w:t>(ز</w:t>
      </w:r>
      <w:r w:rsidR="00774CA0" w:rsidRPr="00D97B6F">
        <w:rPr>
          <w:rFonts w:ascii="Simplified Arabic"/>
          <w:szCs w:val="20"/>
          <w:rtl/>
        </w:rPr>
        <w:t>)</w:t>
      </w:r>
      <w:r w:rsidR="00774CA0" w:rsidRPr="00E44063">
        <w:rPr>
          <w:b/>
          <w:bCs/>
          <w:rtl/>
        </w:rPr>
        <w:tab/>
        <w:t>ضمان استمرار تدريب أفراد الشرطة وقوات الأمن على الحظر المطلق للتعذيب، وعلى التعرف على حالات التعذيب وسوء المعاملة والتحقيق فيها وفقا</w:t>
      </w:r>
      <w:r w:rsidR="004D3D5F" w:rsidRPr="00E44063">
        <w:rPr>
          <w:rFonts w:hint="cs"/>
          <w:b/>
          <w:bCs/>
          <w:rtl/>
        </w:rPr>
        <w:t>ً</w:t>
      </w:r>
      <w:r w:rsidR="00774CA0" w:rsidRPr="00E44063">
        <w:rPr>
          <w:b/>
          <w:bCs/>
          <w:rtl/>
        </w:rPr>
        <w:t xml:space="preserve"> لدليل التقصي والتوثيق الفعالين للتعذيب وغيره من ضروب </w:t>
      </w:r>
      <w:proofErr w:type="gramStart"/>
      <w:r w:rsidR="00774CA0" w:rsidRPr="00E44063">
        <w:rPr>
          <w:b/>
          <w:bCs/>
          <w:rtl/>
        </w:rPr>
        <w:t>المعاملة</w:t>
      </w:r>
      <w:proofErr w:type="gramEnd"/>
      <w:r w:rsidR="00774CA0" w:rsidRPr="00E44063">
        <w:rPr>
          <w:b/>
          <w:bCs/>
          <w:rtl/>
        </w:rPr>
        <w:t xml:space="preserve"> أو العقوبة القاسية أو اللاإنسانية أو المهينة (بروتوكول اسطنبول</w:t>
      </w:r>
      <w:r w:rsidR="002D233E" w:rsidRPr="00E44063">
        <w:rPr>
          <w:b/>
          <w:bCs/>
          <w:rtl/>
        </w:rPr>
        <w:t xml:space="preserve">)، </w:t>
      </w:r>
      <w:r w:rsidR="00774CA0" w:rsidRPr="00E44063">
        <w:rPr>
          <w:b/>
          <w:bCs/>
          <w:rtl/>
        </w:rPr>
        <w:lastRenderedPageBreak/>
        <w:t>بصيغته المنقحة، وعلى أساليب الاستجواب والتحقيق غير القسرية التي تراعي</w:t>
      </w:r>
      <w:r w:rsidR="00155260" w:rsidRPr="00E44063">
        <w:rPr>
          <w:rFonts w:hint="cs"/>
          <w:b/>
          <w:bCs/>
          <w:rtl/>
        </w:rPr>
        <w:t xml:space="preserve"> </w:t>
      </w:r>
      <w:r w:rsidR="00774CA0" w:rsidRPr="00E44063">
        <w:rPr>
          <w:b/>
          <w:bCs/>
          <w:rtl/>
        </w:rPr>
        <w:t>مبادئ المقابلة الفعالة في سياق التحقيقات وجمع المعلومات (مبادئ منديز</w:t>
      </w:r>
      <w:r w:rsidR="002D233E" w:rsidRPr="00E44063">
        <w:rPr>
          <w:b/>
          <w:bCs/>
          <w:rtl/>
        </w:rPr>
        <w:t xml:space="preserve">). </w:t>
      </w:r>
      <w:r w:rsidR="00774CA0" w:rsidRPr="00E44063">
        <w:rPr>
          <w:b/>
          <w:bCs/>
          <w:rtl/>
        </w:rPr>
        <w:t>وينبغي لها أيضا</w:t>
      </w:r>
      <w:r w:rsidR="00E47E41" w:rsidRPr="00E44063">
        <w:rPr>
          <w:rFonts w:hint="cs"/>
          <w:b/>
          <w:bCs/>
          <w:rtl/>
        </w:rPr>
        <w:t>ً</w:t>
      </w:r>
      <w:r w:rsidR="00774CA0" w:rsidRPr="00E44063">
        <w:rPr>
          <w:b/>
          <w:bCs/>
          <w:rtl/>
        </w:rPr>
        <w:t xml:space="preserve"> أن تكفل استمرار تدريب جميع الموظفين الطبيين الذين يتعاملون مع الأشخاص مسلوبي الحرية على سبل التعرف على حالات التعذيب وسوء المعاملة وفقا</w:t>
      </w:r>
      <w:r w:rsidR="005A42DE" w:rsidRPr="00E44063">
        <w:rPr>
          <w:rFonts w:hint="cs"/>
          <w:b/>
          <w:bCs/>
          <w:rtl/>
        </w:rPr>
        <w:t>ً</w:t>
      </w:r>
      <w:r w:rsidR="00774CA0" w:rsidRPr="00E44063">
        <w:rPr>
          <w:b/>
          <w:bCs/>
          <w:rtl/>
        </w:rPr>
        <w:t xml:space="preserve"> لبروتوكول اسطنبول، بصيغته المنقحة، وأن تحرص على توجيه انتباه السلطات القضائية المختصة إلى حالات التعذيب وسوء المعاملة المشتبه فيها.</w:t>
      </w:r>
    </w:p>
    <w:p w14:paraId="4EC63427" w14:textId="77777777" w:rsidR="00774CA0" w:rsidRPr="00E44063" w:rsidRDefault="00774CA0" w:rsidP="00223BA5">
      <w:pPr>
        <w:pStyle w:val="H23GA"/>
        <w:rPr>
          <w:szCs w:val="20"/>
          <w:lang w:val="ar-SA" w:eastAsia="zh-TW" w:bidi="en-GB"/>
        </w:rPr>
      </w:pPr>
      <w:r w:rsidRPr="00E44063">
        <w:rPr>
          <w:rtl/>
        </w:rPr>
        <w:tab/>
      </w:r>
      <w:r w:rsidRPr="00E44063">
        <w:rPr>
          <w:rtl/>
        </w:rPr>
        <w:tab/>
        <w:t>استخدام القوة المفرطة من جانب الموظفين المكلفين بإنفاذ القانون</w:t>
      </w:r>
    </w:p>
    <w:p w14:paraId="72CC7BAB" w14:textId="307F4559" w:rsidR="002D233E" w:rsidRPr="00D97B6F" w:rsidRDefault="00774CA0" w:rsidP="00223BA5">
      <w:pPr>
        <w:pStyle w:val="SingleTxtGA"/>
        <w:rPr>
          <w:szCs w:val="20"/>
          <w:rtl/>
          <w:lang w:val="en-US" w:eastAsia="zh-TW"/>
        </w:rPr>
      </w:pPr>
      <w:r w:rsidRPr="00E44063">
        <w:rPr>
          <w:rtl/>
        </w:rPr>
        <w:t>15</w:t>
      </w:r>
      <w:r w:rsidRPr="00D97B6F">
        <w:rPr>
          <w:rtl/>
        </w:rPr>
        <w:t>-</w:t>
      </w:r>
      <w:r w:rsidRPr="00D97B6F">
        <w:rPr>
          <w:rtl/>
        </w:rPr>
        <w:tab/>
        <w:t>تحيط اللجنة علما</w:t>
      </w:r>
      <w:r w:rsidR="005A42DE" w:rsidRPr="00D97B6F">
        <w:rPr>
          <w:rFonts w:hint="cs"/>
          <w:rtl/>
        </w:rPr>
        <w:t>ً</w:t>
      </w:r>
      <w:r w:rsidRPr="00D97B6F">
        <w:rPr>
          <w:rtl/>
        </w:rPr>
        <w:t xml:space="preserve"> بما تلقته من معلومات عن الشروع مؤخراً في ملاحقة </w:t>
      </w:r>
      <w:r w:rsidRPr="00E44063">
        <w:rPr>
          <w:rtl/>
        </w:rPr>
        <w:t>45</w:t>
      </w:r>
      <w:r w:rsidRPr="00D97B6F">
        <w:rPr>
          <w:rtl/>
        </w:rPr>
        <w:t xml:space="preserve"> ضابطاً من ضباط الشرطة الوطنية جزائياً في سياق تفريق الشرطة المظاهرات التي شهدتها برشلونة في </w:t>
      </w:r>
      <w:r w:rsidRPr="00E44063">
        <w:rPr>
          <w:rtl/>
        </w:rPr>
        <w:t>1</w:t>
      </w:r>
      <w:r w:rsidRPr="00D97B6F">
        <w:rPr>
          <w:rtl/>
        </w:rPr>
        <w:t xml:space="preserve"> تشرين الأول/أكتوبر </w:t>
      </w:r>
      <w:r w:rsidRPr="00E44063">
        <w:rPr>
          <w:rtl/>
        </w:rPr>
        <w:t>2017</w:t>
      </w:r>
      <w:r w:rsidRPr="00D97B6F">
        <w:rPr>
          <w:rtl/>
        </w:rPr>
        <w:t>، غير أنها تلاحظ بقلق بطء وتيرة التحقيقات. وتحيط اللجنة علماً أيضا</w:t>
      </w:r>
      <w:r w:rsidR="00A026C3" w:rsidRPr="00D97B6F">
        <w:rPr>
          <w:rFonts w:hint="cs"/>
          <w:rtl/>
        </w:rPr>
        <w:t>ً</w:t>
      </w:r>
      <w:r w:rsidRPr="00D97B6F">
        <w:rPr>
          <w:rtl/>
        </w:rPr>
        <w:t xml:space="preserve"> بالمعلومات التي قدمها الوفد عن استخدام قوات الأمن معدات مكافحة الشغب، غير أنها لا تزال تشعر بالقلق إزاء العدد الكبير من حالات الإصابات الخطيرة التي وُجه انتباهها إليها، بما في ذلك حالات الإصابة في العين نتيجة لاستخدام المقذوفات المرنة المصنوعة من المطاط والرغوة في سياقي التعامل مع المظاهرات ومراقبة الحدود. وفي هذا الصدد، يساور اللجنة قلق بالغ إزاء قرار الدائرة الجنائية بالمحكمة العليا إغلاق ملف القضية نهائياً في قضية مأساة شط التاراخال، التي قتل فيها </w:t>
      </w:r>
      <w:r w:rsidRPr="00E44063">
        <w:rPr>
          <w:rtl/>
        </w:rPr>
        <w:t>15</w:t>
      </w:r>
      <w:r w:rsidRPr="00D97B6F">
        <w:rPr>
          <w:rtl/>
        </w:rPr>
        <w:t xml:space="preserve"> شخصا</w:t>
      </w:r>
      <w:r w:rsidR="00A026C3" w:rsidRPr="00D97B6F">
        <w:rPr>
          <w:rFonts w:hint="cs"/>
          <w:rtl/>
        </w:rPr>
        <w:t>ً</w:t>
      </w:r>
      <w:r w:rsidRPr="00D97B6F">
        <w:rPr>
          <w:rtl/>
        </w:rPr>
        <w:t xml:space="preserve"> أثناء محاولتهم بلوغ الأراضي الإسبانية سباحةً بينما استخدم ضباط الحرس المدني وسائل مكافحة الشغب </w:t>
      </w:r>
      <w:proofErr w:type="gramStart"/>
      <w:r w:rsidRPr="00D97B6F">
        <w:rPr>
          <w:rtl/>
        </w:rPr>
        <w:t>لصدهم</w:t>
      </w:r>
      <w:r w:rsidR="002D233E" w:rsidRPr="00D97B6F">
        <w:rPr>
          <w:vertAlign w:val="superscript"/>
          <w:rtl/>
        </w:rPr>
        <w:t>(</w:t>
      </w:r>
      <w:proofErr w:type="gramEnd"/>
      <w:r w:rsidR="002D233E" w:rsidRPr="00E44063">
        <w:rPr>
          <w:vertAlign w:val="superscript"/>
          <w:lang w:val="en-AU"/>
        </w:rPr>
        <w:footnoteReference w:id="11"/>
      </w:r>
      <w:r w:rsidR="002D233E" w:rsidRPr="00D97B6F">
        <w:rPr>
          <w:rFonts w:hint="cs"/>
          <w:vertAlign w:val="superscript"/>
          <w:rtl/>
        </w:rPr>
        <w:t>)</w:t>
      </w:r>
      <w:r w:rsidR="002D233E" w:rsidRPr="00D97B6F">
        <w:rPr>
          <w:rtl/>
        </w:rPr>
        <w:t xml:space="preserve">. </w:t>
      </w:r>
      <w:r w:rsidRPr="00D97B6F">
        <w:rPr>
          <w:rtl/>
        </w:rPr>
        <w:t xml:space="preserve">وبالإضافة إلى ذلك، تلاحظ اللجنة إدراج مسدسات الصعق الكهربائي ضمن المعدات النظامية لضباط الشرطة الوطنية والحرس المدني. وتأسف اللجنة لعدم نشر التعليمات التي تنظم استخدام القوة والأسلحة وغيرها من الأجهزة من جانب الموظفين المكلفين بإنفاذ القانون. ويساور اللجنة القلق إزاء السلطة التقديرية الواسعة الممنوحة لقوات الأمن بموجب القانون التنظيمي رقم </w:t>
      </w:r>
      <w:r w:rsidR="00155260" w:rsidRPr="00E44063">
        <w:rPr>
          <w:rFonts w:hint="cs"/>
          <w:rtl/>
        </w:rPr>
        <w:t>4</w:t>
      </w:r>
      <w:r w:rsidR="00155260" w:rsidRPr="00D97B6F">
        <w:rPr>
          <w:rFonts w:hint="cs"/>
          <w:rtl/>
        </w:rPr>
        <w:t>/</w:t>
      </w:r>
      <w:r w:rsidR="00155260" w:rsidRPr="00E44063">
        <w:rPr>
          <w:rFonts w:hint="cs"/>
          <w:rtl/>
        </w:rPr>
        <w:t>2015</w:t>
      </w:r>
      <w:r w:rsidRPr="00D97B6F">
        <w:rPr>
          <w:rtl/>
        </w:rPr>
        <w:t xml:space="preserve">، المؤرخ </w:t>
      </w:r>
      <w:r w:rsidRPr="00E44063">
        <w:rPr>
          <w:rtl/>
        </w:rPr>
        <w:t>30</w:t>
      </w:r>
      <w:r w:rsidRPr="00D97B6F">
        <w:rPr>
          <w:rtl/>
        </w:rPr>
        <w:t xml:space="preserve"> آذار/مارس </w:t>
      </w:r>
      <w:r w:rsidRPr="00E44063">
        <w:rPr>
          <w:rtl/>
        </w:rPr>
        <w:t>2015</w:t>
      </w:r>
      <w:r w:rsidRPr="00D97B6F">
        <w:rPr>
          <w:rtl/>
        </w:rPr>
        <w:t xml:space="preserve">، فيما يتعلق بحماية الأمن العام في بعض المجالات، مثل التحقق من الهوية والتفتيش الجسدي على الطرق العامة (المواد </w:t>
      </w:r>
      <w:r w:rsidRPr="00E44063">
        <w:rPr>
          <w:rtl/>
        </w:rPr>
        <w:t>2</w:t>
      </w:r>
      <w:r w:rsidRPr="00D97B6F">
        <w:rPr>
          <w:rtl/>
        </w:rPr>
        <w:t xml:space="preserve"> و</w:t>
      </w:r>
      <w:r w:rsidR="00155260" w:rsidRPr="00E44063">
        <w:rPr>
          <w:rFonts w:hint="cs"/>
          <w:rtl/>
        </w:rPr>
        <w:t>12</w:t>
      </w:r>
      <w:r w:rsidR="00155260" w:rsidRPr="00D97B6F">
        <w:rPr>
          <w:rFonts w:hint="cs"/>
          <w:rtl/>
        </w:rPr>
        <w:t>-</w:t>
      </w:r>
      <w:r w:rsidR="00155260" w:rsidRPr="00E44063">
        <w:rPr>
          <w:rFonts w:hint="cs"/>
          <w:rtl/>
        </w:rPr>
        <w:t>14</w:t>
      </w:r>
      <w:r w:rsidRPr="00D97B6F">
        <w:rPr>
          <w:rtl/>
        </w:rPr>
        <w:t xml:space="preserve"> و</w:t>
      </w:r>
      <w:r w:rsidRPr="00E44063">
        <w:rPr>
          <w:rtl/>
        </w:rPr>
        <w:t>1</w:t>
      </w:r>
      <w:r w:rsidR="002D233E" w:rsidRPr="00E44063">
        <w:rPr>
          <w:rtl/>
        </w:rPr>
        <w:t>6</w:t>
      </w:r>
      <w:r w:rsidR="002D233E" w:rsidRPr="00D97B6F">
        <w:rPr>
          <w:rFonts w:ascii="Simplified Arabic"/>
          <w:szCs w:val="20"/>
          <w:rtl/>
        </w:rPr>
        <w:t>)</w:t>
      </w:r>
      <w:r w:rsidR="002D233E" w:rsidRPr="00D97B6F">
        <w:rPr>
          <w:rtl/>
        </w:rPr>
        <w:t>.</w:t>
      </w:r>
      <w:r w:rsidR="003440A8" w:rsidRPr="00D97B6F">
        <w:rPr>
          <w:rFonts w:hint="cs"/>
          <w:szCs w:val="20"/>
          <w:rtl/>
          <w:lang w:val="en-US" w:eastAsia="zh-TW"/>
        </w:rPr>
        <w:t xml:space="preserve"> </w:t>
      </w:r>
    </w:p>
    <w:p w14:paraId="2FE7EC2D" w14:textId="29B1570B" w:rsidR="00774CA0" w:rsidRPr="00E44063" w:rsidRDefault="00774CA0" w:rsidP="00E8055C">
      <w:pPr>
        <w:pStyle w:val="SingleTxtGA"/>
        <w:rPr>
          <w:b/>
          <w:bCs/>
          <w:szCs w:val="20"/>
          <w:lang w:val="ar-SA" w:eastAsia="zh-TW" w:bidi="en-GB"/>
        </w:rPr>
      </w:pPr>
      <w:r w:rsidRPr="00E44063">
        <w:rPr>
          <w:rtl/>
        </w:rPr>
        <w:t>16</w:t>
      </w:r>
      <w:r w:rsidRPr="00D97B6F">
        <w:rPr>
          <w:rtl/>
        </w:rPr>
        <w:t>-</w:t>
      </w:r>
      <w:r w:rsidRPr="00D97B6F">
        <w:rPr>
          <w:rtl/>
        </w:rPr>
        <w:tab/>
      </w:r>
      <w:r w:rsidRPr="00E44063">
        <w:rPr>
          <w:b/>
          <w:bCs/>
          <w:rtl/>
        </w:rPr>
        <w:t>ينبغي للدولة الطرف أن تقوم بما يلي:</w:t>
      </w:r>
    </w:p>
    <w:p w14:paraId="6F5C57C8" w14:textId="1AA96D1D" w:rsidR="00774CA0" w:rsidRPr="00E44063" w:rsidRDefault="00E8055C" w:rsidP="00E8055C">
      <w:pPr>
        <w:pStyle w:val="SingleTxtGA"/>
        <w:rPr>
          <w:b/>
          <w:bCs/>
          <w:szCs w:val="20"/>
          <w:lang w:val="en-US" w:eastAsia="zh-TW" w:bidi="en-GB"/>
        </w:rPr>
      </w:pPr>
      <w:r w:rsidRPr="00D97B6F">
        <w:rPr>
          <w:rtl/>
        </w:rPr>
        <w:tab/>
      </w:r>
      <w:r w:rsidR="00774CA0" w:rsidRPr="00D97B6F">
        <w:rPr>
          <w:rtl/>
        </w:rPr>
        <w:t>(أ)</w:t>
      </w:r>
      <w:r w:rsidR="00774CA0" w:rsidRPr="00E44063">
        <w:rPr>
          <w:b/>
          <w:bCs/>
          <w:rtl/>
        </w:rPr>
        <w:tab/>
        <w:t>ضمان إجراء تحقيقات فورية ونزيهة في جميع مزاعم الاستخدام المفرط للقوة من جانب قوات الشرطة والأمن، وتقديم الجناة إلى العدالة، ومعاقبتهم، في حال ثبوت إدانتهم، بعقوبات تتناسب وخطورة أفعالهم، وتعويض الضحايا أو أقاربهم تعويضاً كاملاً؛</w:t>
      </w:r>
    </w:p>
    <w:p w14:paraId="44A080E7" w14:textId="2DC932AA" w:rsidR="00774CA0" w:rsidRPr="00E44063" w:rsidRDefault="00E8055C" w:rsidP="00E8055C">
      <w:pPr>
        <w:pStyle w:val="SingleTxtGA"/>
        <w:rPr>
          <w:b/>
          <w:bCs/>
          <w:szCs w:val="20"/>
          <w:lang w:val="ar-SA" w:eastAsia="zh-TW" w:bidi="en-GB"/>
        </w:rPr>
      </w:pPr>
      <w:r w:rsidRPr="00D97B6F">
        <w:rPr>
          <w:rtl/>
        </w:rPr>
        <w:tab/>
      </w:r>
      <w:r w:rsidR="00774CA0" w:rsidRPr="00D97B6F">
        <w:rPr>
          <w:rtl/>
        </w:rPr>
        <w:t>(ب)</w:t>
      </w:r>
      <w:r w:rsidR="00774CA0" w:rsidRPr="00E44063">
        <w:rPr>
          <w:b/>
          <w:bCs/>
          <w:rtl/>
        </w:rPr>
        <w:tab/>
        <w:t>تعديل التشريعات الوطنية المتعلقة باستخدام القوة والأسلحة بهدف مواءمتها مع المعايير الدولية، ولا سيما المبادئ الأساسية بشأن استخدام القوة والأسلحة النارية من جانب الموظفين المكلفين بإنفاذ القوانين والتوجيهات المتعلقة بحقوق الإنسان والصادرة عن الأمم المتحدة بشأن استخدام الأسلحة الأقل فتكاً في سياق إنفاذ القانون؛</w:t>
      </w:r>
    </w:p>
    <w:p w14:paraId="5C7DF176" w14:textId="4232B150" w:rsidR="00774CA0" w:rsidRPr="00E44063" w:rsidRDefault="00E8055C" w:rsidP="00E8055C">
      <w:pPr>
        <w:pStyle w:val="SingleTxtGA"/>
        <w:rPr>
          <w:b/>
          <w:bCs/>
          <w:szCs w:val="20"/>
          <w:lang w:val="ar-SA" w:eastAsia="zh-TW" w:bidi="en-GB"/>
        </w:rPr>
      </w:pPr>
      <w:r w:rsidRPr="00D97B6F">
        <w:rPr>
          <w:rtl/>
        </w:rPr>
        <w:tab/>
      </w:r>
      <w:r w:rsidR="00774CA0" w:rsidRPr="00D97B6F">
        <w:rPr>
          <w:rtl/>
        </w:rPr>
        <w:t>(ج)</w:t>
      </w:r>
      <w:r w:rsidR="00774CA0" w:rsidRPr="00E44063">
        <w:rPr>
          <w:b/>
          <w:bCs/>
          <w:rtl/>
        </w:rPr>
        <w:tab/>
        <w:t>تعديل ونشر المبادئ التوجيهية والبروتوكولات المعمول بها في سياقي التعامل مع المظاهرات ومراقبة الحدود؛</w:t>
      </w:r>
    </w:p>
    <w:p w14:paraId="66A52A02" w14:textId="7CE0C4C4" w:rsidR="00774CA0" w:rsidRPr="00E44063" w:rsidRDefault="00E8055C" w:rsidP="00E8055C">
      <w:pPr>
        <w:pStyle w:val="SingleTxtGA"/>
        <w:rPr>
          <w:rFonts w:ascii="Times New Roman Bold" w:hAnsi="Times New Roman Bold" w:hint="eastAsia"/>
          <w:b/>
          <w:bCs/>
          <w:spacing w:val="4"/>
          <w:szCs w:val="20"/>
          <w:lang w:val="en-US" w:eastAsia="zh-TW" w:bidi="en-GB"/>
        </w:rPr>
      </w:pPr>
      <w:r w:rsidRPr="00D97B6F">
        <w:rPr>
          <w:spacing w:val="4"/>
          <w:rtl/>
        </w:rPr>
        <w:tab/>
      </w:r>
      <w:r w:rsidR="00774CA0" w:rsidRPr="00D97B6F">
        <w:rPr>
          <w:spacing w:val="4"/>
          <w:rtl/>
        </w:rPr>
        <w:t>(د)</w:t>
      </w:r>
      <w:r w:rsidR="00774CA0" w:rsidRPr="00E44063">
        <w:rPr>
          <w:b/>
          <w:bCs/>
          <w:spacing w:val="4"/>
          <w:rtl/>
        </w:rPr>
        <w:tab/>
        <w:t xml:space="preserve">مواصلة الجهود الرامية إلى ضمان تدريب الموظفين المكلفين بإنفاذ القانون تدريباً </w:t>
      </w:r>
      <w:r w:rsidR="00774CA0" w:rsidRPr="00E44063">
        <w:rPr>
          <w:rFonts w:ascii="Times New Roman Bold" w:hAnsi="Times New Roman Bold"/>
          <w:b/>
          <w:bCs/>
          <w:spacing w:val="4"/>
          <w:rtl/>
        </w:rPr>
        <w:t>منهجياً على استخدام القوة في التعامل مع المظاهرات ومراقبة الحدود، وفقا</w:t>
      </w:r>
      <w:r w:rsidR="00A026C3" w:rsidRPr="00E44063">
        <w:rPr>
          <w:rFonts w:ascii="Times New Roman Bold" w:hAnsi="Times New Roman Bold" w:hint="cs"/>
          <w:b/>
          <w:bCs/>
          <w:spacing w:val="4"/>
          <w:rtl/>
        </w:rPr>
        <w:t>ً</w:t>
      </w:r>
      <w:r w:rsidR="00774CA0" w:rsidRPr="00E44063">
        <w:rPr>
          <w:rFonts w:ascii="Times New Roman Bold" w:hAnsi="Times New Roman Bold"/>
          <w:b/>
          <w:bCs/>
          <w:spacing w:val="4"/>
          <w:rtl/>
        </w:rPr>
        <w:t xml:space="preserve"> للمعايير الدولية لحقوق الإنسان؛</w:t>
      </w:r>
    </w:p>
    <w:p w14:paraId="69498F60" w14:textId="5CCF3D07" w:rsidR="00774CA0" w:rsidRPr="00E44063" w:rsidRDefault="00E8055C" w:rsidP="00E8055C">
      <w:pPr>
        <w:pStyle w:val="SingleTxtGA"/>
        <w:rPr>
          <w:b/>
          <w:bCs/>
          <w:szCs w:val="20"/>
          <w:lang w:val="ar-SA" w:eastAsia="zh-TW" w:bidi="en-GB"/>
        </w:rPr>
      </w:pPr>
      <w:r w:rsidRPr="00D97B6F">
        <w:rPr>
          <w:rtl/>
        </w:rPr>
        <w:lastRenderedPageBreak/>
        <w:tab/>
      </w:r>
      <w:r w:rsidR="00774CA0" w:rsidRPr="00D97B6F">
        <w:rPr>
          <w:rtl/>
        </w:rPr>
        <w:t>(هـ)</w:t>
      </w:r>
      <w:r w:rsidR="00774CA0" w:rsidRPr="00E44063">
        <w:rPr>
          <w:b/>
          <w:bCs/>
          <w:rtl/>
        </w:rPr>
        <w:tab/>
        <w:t>عدم اللجوء إلى عمليات التفتيش الجسدي إلا في حالة الضرورة القصوى، وضمان إجرائها وفقا</w:t>
      </w:r>
      <w:r w:rsidR="0073155B" w:rsidRPr="00E44063">
        <w:rPr>
          <w:rFonts w:hint="cs"/>
          <w:b/>
          <w:bCs/>
          <w:rtl/>
        </w:rPr>
        <w:t>ً</w:t>
      </w:r>
      <w:r w:rsidR="00774CA0" w:rsidRPr="00E44063">
        <w:rPr>
          <w:b/>
          <w:bCs/>
          <w:rtl/>
        </w:rPr>
        <w:t xml:space="preserve"> لمبدأ التناسب مع الهدف المنشود منها، وضمان رصد القواعد المعمول بها رصداً صارماً؛</w:t>
      </w:r>
    </w:p>
    <w:p w14:paraId="460E515B" w14:textId="4E58FB83" w:rsidR="00774CA0" w:rsidRPr="00E44063" w:rsidRDefault="00E8055C" w:rsidP="00E8055C">
      <w:pPr>
        <w:pStyle w:val="SingleTxtGA"/>
        <w:rPr>
          <w:b/>
          <w:bCs/>
          <w:szCs w:val="20"/>
          <w:lang w:val="en-US" w:eastAsia="zh-TW" w:bidi="en-GB"/>
        </w:rPr>
      </w:pPr>
      <w:r w:rsidRPr="00D97B6F">
        <w:rPr>
          <w:rtl/>
        </w:rPr>
        <w:tab/>
      </w:r>
      <w:r w:rsidR="00774CA0" w:rsidRPr="00D97B6F">
        <w:rPr>
          <w:rtl/>
        </w:rPr>
        <w:t>(و)</w:t>
      </w:r>
      <w:r w:rsidR="00774CA0" w:rsidRPr="00E44063">
        <w:rPr>
          <w:b/>
          <w:bCs/>
          <w:rtl/>
        </w:rPr>
        <w:tab/>
        <w:t>ضمان فرض حظر صارم، في الممارسة العملية، على عمليات التحقق من الهوية على أساس التصنيف العرقي.</w:t>
      </w:r>
    </w:p>
    <w:p w14:paraId="2E53F716" w14:textId="77777777" w:rsidR="00774CA0" w:rsidRPr="00E44063" w:rsidRDefault="00774CA0" w:rsidP="00E8055C">
      <w:pPr>
        <w:pStyle w:val="H23GA"/>
        <w:rPr>
          <w:szCs w:val="20"/>
          <w:lang w:val="ar-SA" w:eastAsia="zh-TW" w:bidi="en-GB"/>
        </w:rPr>
      </w:pPr>
      <w:r w:rsidRPr="00E44063">
        <w:rPr>
          <w:rtl/>
        </w:rPr>
        <w:tab/>
      </w:r>
      <w:r w:rsidRPr="00E44063">
        <w:rPr>
          <w:rtl/>
        </w:rPr>
        <w:tab/>
        <w:t>مأساة سياج مليلية الحدودي</w:t>
      </w:r>
    </w:p>
    <w:p w14:paraId="3EDC0D13" w14:textId="09D96D59" w:rsidR="002D233E" w:rsidRPr="00D97B6F" w:rsidRDefault="00774CA0" w:rsidP="00E8055C">
      <w:pPr>
        <w:pStyle w:val="SingleTxtGA"/>
        <w:rPr>
          <w:szCs w:val="20"/>
          <w:lang w:val="ar-SA" w:eastAsia="zh-TW" w:bidi="en-GB"/>
        </w:rPr>
      </w:pPr>
      <w:r w:rsidRPr="00E44063">
        <w:rPr>
          <w:rtl/>
        </w:rPr>
        <w:t>17</w:t>
      </w:r>
      <w:r w:rsidRPr="00D97B6F">
        <w:rPr>
          <w:rtl/>
        </w:rPr>
        <w:t>-</w:t>
      </w:r>
      <w:r w:rsidRPr="00D97B6F">
        <w:rPr>
          <w:rtl/>
        </w:rPr>
        <w:tab/>
        <w:t xml:space="preserve">تعرب اللجنة عن قلقها البالغ إزاء الأحداث التي وقعت في </w:t>
      </w:r>
      <w:r w:rsidRPr="00E44063">
        <w:rPr>
          <w:rtl/>
        </w:rPr>
        <w:t>24</w:t>
      </w:r>
      <w:r w:rsidRPr="00D97B6F">
        <w:rPr>
          <w:rtl/>
        </w:rPr>
        <w:t xml:space="preserve"> حزيران/</w:t>
      </w:r>
      <w:proofErr w:type="gramStart"/>
      <w:r w:rsidRPr="00D97B6F">
        <w:rPr>
          <w:rtl/>
        </w:rPr>
        <w:t>يونيه</w:t>
      </w:r>
      <w:proofErr w:type="gramEnd"/>
      <w:r w:rsidRPr="00D97B6F">
        <w:rPr>
          <w:rtl/>
        </w:rPr>
        <w:t xml:space="preserve"> </w:t>
      </w:r>
      <w:r w:rsidRPr="00E44063">
        <w:rPr>
          <w:rtl/>
        </w:rPr>
        <w:t>2022</w:t>
      </w:r>
      <w:r w:rsidRPr="00D97B6F">
        <w:rPr>
          <w:rtl/>
        </w:rPr>
        <w:t xml:space="preserve"> أثناء محاولة عبور جماعي للحدود بين إسبانيا والمغرب. ووفقا</w:t>
      </w:r>
      <w:r w:rsidR="005D1DC3" w:rsidRPr="00D97B6F">
        <w:rPr>
          <w:rFonts w:hint="cs"/>
          <w:rtl/>
        </w:rPr>
        <w:t>ً</w:t>
      </w:r>
      <w:r w:rsidRPr="00D97B6F">
        <w:rPr>
          <w:rtl/>
        </w:rPr>
        <w:t xml:space="preserve"> للمعلومات الواردة، لقي ما لا يقل عن </w:t>
      </w:r>
      <w:r w:rsidRPr="00E44063">
        <w:rPr>
          <w:rtl/>
        </w:rPr>
        <w:t>37</w:t>
      </w:r>
      <w:r w:rsidRPr="00D97B6F">
        <w:rPr>
          <w:rtl/>
        </w:rPr>
        <w:t xml:space="preserve"> شخصا</w:t>
      </w:r>
      <w:r w:rsidR="005D1DC3" w:rsidRPr="00D97B6F">
        <w:rPr>
          <w:rFonts w:hint="cs"/>
          <w:rtl/>
        </w:rPr>
        <w:t>ً</w:t>
      </w:r>
      <w:r w:rsidRPr="00D97B6F">
        <w:rPr>
          <w:rtl/>
        </w:rPr>
        <w:t xml:space="preserve"> مصرعهم، وأصيب أكثر من </w:t>
      </w:r>
      <w:r w:rsidRPr="00E44063">
        <w:rPr>
          <w:rtl/>
        </w:rPr>
        <w:t>200</w:t>
      </w:r>
      <w:r w:rsidRPr="00D97B6F">
        <w:rPr>
          <w:rtl/>
        </w:rPr>
        <w:t xml:space="preserve"> بجروح مختلفة، ولا يزال </w:t>
      </w:r>
      <w:r w:rsidRPr="00E44063">
        <w:rPr>
          <w:rtl/>
        </w:rPr>
        <w:t>77</w:t>
      </w:r>
      <w:r w:rsidRPr="00D97B6F">
        <w:rPr>
          <w:rtl/>
        </w:rPr>
        <w:t xml:space="preserve"> شخصاً في عداد المفقودين نتيجة التدافع المميت عند معبر باريو تشينو الحدودي بين الناظور ومليلية نتيجة لتدخل قوات الشرطة على جانبي الحدود. وتوجه اللجنة انتباه الدولة الطرف إلى المعلومات الواردة التي يتبين منها، في جملة أمور، أنه لم يُجر أي تحقيق فعال في هذه الأحداث. ووفقا</w:t>
      </w:r>
      <w:r w:rsidR="0073155B" w:rsidRPr="00D97B6F">
        <w:rPr>
          <w:rFonts w:hint="cs"/>
          <w:rtl/>
        </w:rPr>
        <w:t>ً</w:t>
      </w:r>
      <w:r w:rsidRPr="00D97B6F">
        <w:rPr>
          <w:rtl/>
        </w:rPr>
        <w:t xml:space="preserve"> للمعلومات المتاحة، أغلق التحقيق الذي فتحه مكتب المدعي العام لعدم وجود أدلة على الجرائم التي ارتكبها ضباط الشرطة الإسبانية، كما أُغلق التحقيق التأديبي الذي فتحه الحرس المدني لتعذر تحديد هوية ضباط الشرطة الذين يزعم أنهم ألقوا الحجارة على المهاجرين. واختتم أمين المظالم، من جانبه، تحقيقه في المأساة باستنتاج مفاده أن </w:t>
      </w:r>
      <w:r w:rsidRPr="00E44063">
        <w:rPr>
          <w:rtl/>
        </w:rPr>
        <w:t>470</w:t>
      </w:r>
      <w:r w:rsidRPr="00D97B6F">
        <w:rPr>
          <w:rtl/>
        </w:rPr>
        <w:t xml:space="preserve"> عملية من عمليات الصد أو الإعادة القسرية التي نُفذت في ذلك اليوم في أعقاب العبور الجماعي كانت غير قانونية، مع أن</w:t>
      </w:r>
      <w:r w:rsidR="006C6085" w:rsidRPr="00D97B6F">
        <w:rPr>
          <w:rtl/>
        </w:rPr>
        <w:t xml:space="preserve"> </w:t>
      </w:r>
      <w:r w:rsidRPr="00D97B6F">
        <w:rPr>
          <w:rtl/>
        </w:rPr>
        <w:t xml:space="preserve">الحرس المدني يؤكد أنه لم تُنفذ في ذلك اليوم سوى </w:t>
      </w:r>
      <w:r w:rsidRPr="00E44063">
        <w:rPr>
          <w:rtl/>
        </w:rPr>
        <w:t>101</w:t>
      </w:r>
      <w:r w:rsidRPr="00D97B6F">
        <w:rPr>
          <w:rtl/>
        </w:rPr>
        <w:t xml:space="preserve"> عملية صد على الحدود، وهي عمليات نفذت كلها وفقاً للتشريعات المعمول بها (المواد </w:t>
      </w:r>
      <w:r w:rsidRPr="00E44063">
        <w:rPr>
          <w:rtl/>
        </w:rPr>
        <w:t>2</w:t>
      </w:r>
      <w:r w:rsidRPr="00D97B6F">
        <w:rPr>
          <w:rtl/>
        </w:rPr>
        <w:t xml:space="preserve"> و</w:t>
      </w:r>
      <w:r w:rsidR="000508CE" w:rsidRPr="00E44063">
        <w:rPr>
          <w:rFonts w:hint="cs"/>
          <w:rtl/>
        </w:rPr>
        <w:t>12</w:t>
      </w:r>
      <w:r w:rsidR="000508CE" w:rsidRPr="00D97B6F">
        <w:rPr>
          <w:rFonts w:hint="cs"/>
          <w:rtl/>
        </w:rPr>
        <w:t>-</w:t>
      </w:r>
      <w:r w:rsidR="000508CE" w:rsidRPr="00E44063">
        <w:rPr>
          <w:rFonts w:hint="cs"/>
          <w:rtl/>
        </w:rPr>
        <w:t>14</w:t>
      </w:r>
      <w:r w:rsidRPr="00D97B6F">
        <w:rPr>
          <w:rtl/>
        </w:rPr>
        <w:t xml:space="preserve"> و</w:t>
      </w:r>
      <w:r w:rsidRPr="00E44063">
        <w:rPr>
          <w:rtl/>
        </w:rPr>
        <w:t>1</w:t>
      </w:r>
      <w:r w:rsidR="002D233E" w:rsidRPr="00E44063">
        <w:rPr>
          <w:rtl/>
        </w:rPr>
        <w:t>6</w:t>
      </w:r>
      <w:r w:rsidR="002D233E" w:rsidRPr="00D97B6F">
        <w:rPr>
          <w:rFonts w:ascii="Simplified Arabic"/>
          <w:szCs w:val="20"/>
          <w:rtl/>
        </w:rPr>
        <w:t>)</w:t>
      </w:r>
      <w:r w:rsidR="002D233E" w:rsidRPr="00D97B6F">
        <w:rPr>
          <w:rtl/>
        </w:rPr>
        <w:t>.</w:t>
      </w:r>
    </w:p>
    <w:p w14:paraId="7A68CD37" w14:textId="1AEE5F9B" w:rsidR="00774CA0" w:rsidRPr="00E44063" w:rsidRDefault="00774CA0" w:rsidP="00E8055C">
      <w:pPr>
        <w:pStyle w:val="SingleTxtGA"/>
        <w:rPr>
          <w:b/>
          <w:bCs/>
          <w:szCs w:val="20"/>
          <w:lang w:val="ar-SA" w:eastAsia="zh-TW" w:bidi="en-GB"/>
        </w:rPr>
      </w:pPr>
      <w:r w:rsidRPr="00E44063">
        <w:rPr>
          <w:rtl/>
        </w:rPr>
        <w:t>18</w:t>
      </w:r>
      <w:r w:rsidRPr="00D97B6F">
        <w:rPr>
          <w:rtl/>
        </w:rPr>
        <w:t>-</w:t>
      </w:r>
      <w:r w:rsidRPr="00D97B6F">
        <w:rPr>
          <w:rtl/>
        </w:rPr>
        <w:tab/>
      </w:r>
      <w:r w:rsidRPr="00E44063">
        <w:rPr>
          <w:b/>
          <w:bCs/>
          <w:rtl/>
        </w:rPr>
        <w:t>تحث اللجنة الدولة الطرف على إجراء تحقيق فوري ونزيه في المسؤولية المحتملة لأفراد قوات الأمن في حصيلة الأحداث التي وقعت في 24 حزيران/</w:t>
      </w:r>
      <w:proofErr w:type="gramStart"/>
      <w:r w:rsidRPr="00E44063">
        <w:rPr>
          <w:b/>
          <w:bCs/>
          <w:rtl/>
        </w:rPr>
        <w:t>يونيه</w:t>
      </w:r>
      <w:proofErr w:type="gramEnd"/>
      <w:r w:rsidRPr="00E44063">
        <w:rPr>
          <w:b/>
          <w:bCs/>
          <w:rtl/>
        </w:rPr>
        <w:t xml:space="preserve"> 2022 عند السياج الحدودي الفاصل بين مليلية والمغرب، وعلى اتخاذ جميع التدابير اللازمة لمنع تكرارها.</w:t>
      </w:r>
    </w:p>
    <w:p w14:paraId="2195A0C8" w14:textId="77777777" w:rsidR="00774CA0" w:rsidRPr="00E44063" w:rsidRDefault="00774CA0" w:rsidP="00E8055C">
      <w:pPr>
        <w:pStyle w:val="H23GA"/>
        <w:rPr>
          <w:szCs w:val="20"/>
          <w:lang w:val="ar-SA" w:eastAsia="zh-TW" w:bidi="en-GB"/>
        </w:rPr>
      </w:pPr>
      <w:r w:rsidRPr="00E44063">
        <w:rPr>
          <w:rtl/>
        </w:rPr>
        <w:tab/>
      </w:r>
      <w:r w:rsidRPr="00E44063">
        <w:rPr>
          <w:rtl/>
        </w:rPr>
        <w:tab/>
        <w:t>ظروف الاحتجاز</w:t>
      </w:r>
    </w:p>
    <w:p w14:paraId="75A6C6C5" w14:textId="710FC741" w:rsidR="002D233E" w:rsidRPr="00D97B6F" w:rsidRDefault="00774CA0" w:rsidP="00E8055C">
      <w:pPr>
        <w:pStyle w:val="SingleTxtGA"/>
        <w:rPr>
          <w:rFonts w:eastAsia="Calibri"/>
          <w:szCs w:val="20"/>
          <w:lang w:val="ar-SA" w:eastAsia="zh-TW" w:bidi="en-GB"/>
        </w:rPr>
      </w:pPr>
      <w:r w:rsidRPr="00E44063">
        <w:rPr>
          <w:rtl/>
        </w:rPr>
        <w:t>19</w:t>
      </w:r>
      <w:r w:rsidRPr="00D97B6F">
        <w:rPr>
          <w:rtl/>
        </w:rPr>
        <w:t>-</w:t>
      </w:r>
      <w:r w:rsidRPr="00D97B6F">
        <w:rPr>
          <w:rtl/>
        </w:rPr>
        <w:tab/>
        <w:t xml:space="preserve">تلاحظ اللجنة أن عدد السجناء المحكوم عليهم انخفض بنسبة </w:t>
      </w:r>
      <w:r w:rsidRPr="00E44063">
        <w:rPr>
          <w:rtl/>
        </w:rPr>
        <w:t>12</w:t>
      </w:r>
      <w:r w:rsidRPr="00D97B6F">
        <w:rPr>
          <w:rtl/>
        </w:rPr>
        <w:t>,</w:t>
      </w:r>
      <w:r w:rsidRPr="00E44063">
        <w:rPr>
          <w:rtl/>
        </w:rPr>
        <w:t>9</w:t>
      </w:r>
      <w:r w:rsidRPr="00D97B6F">
        <w:rPr>
          <w:rtl/>
        </w:rPr>
        <w:t xml:space="preserve"> في </w:t>
      </w:r>
      <w:proofErr w:type="gramStart"/>
      <w:r w:rsidRPr="00D97B6F">
        <w:rPr>
          <w:rtl/>
        </w:rPr>
        <w:t>المائة</w:t>
      </w:r>
      <w:proofErr w:type="gramEnd"/>
      <w:r w:rsidRPr="00D97B6F">
        <w:rPr>
          <w:rtl/>
        </w:rPr>
        <w:t xml:space="preserve"> مقارنة بعام</w:t>
      </w:r>
      <w:r w:rsidR="000508CE" w:rsidRPr="00D97B6F">
        <w:rPr>
          <w:rFonts w:hint="cs"/>
          <w:rtl/>
        </w:rPr>
        <w:t> </w:t>
      </w:r>
      <w:r w:rsidRPr="00E44063">
        <w:rPr>
          <w:rtl/>
        </w:rPr>
        <w:t>2015</w:t>
      </w:r>
      <w:r w:rsidRPr="00D97B6F">
        <w:rPr>
          <w:rtl/>
        </w:rPr>
        <w:t>، وفقاً للبيانات الرسمية التي قدمها وفد الدولة الطرف. ومع أنها تأسف لعدم توافر ما يكفي من المعلومات المحدثة عن السياسات العامة في مجال السجون، فإنها ترحب بالمعلومات المقدمة عن برامج إعادة التأهيل الواسعة النطاق وبرامج منع التطرف العنيف في السجون ومعالجته، فضلا</w:t>
      </w:r>
      <w:r w:rsidR="00D02802" w:rsidRPr="00D97B6F">
        <w:rPr>
          <w:rFonts w:hint="cs"/>
          <w:rtl/>
        </w:rPr>
        <w:t>ً</w:t>
      </w:r>
      <w:r w:rsidRPr="00D97B6F">
        <w:rPr>
          <w:rtl/>
        </w:rPr>
        <w:t xml:space="preserve"> عن المعلومات المتعلقة بنظام إصدار الأحكام وبدائل السجن. وفيما يتعلق باللجوء إلى تقييد حركة السجناء لأسباب أمنية في السجون ("تقييد الحركة الجماعي"</w:t>
      </w:r>
      <w:r w:rsidR="002D233E" w:rsidRPr="00D97B6F">
        <w:rPr>
          <w:rtl/>
        </w:rPr>
        <w:t xml:space="preserve">)، </w:t>
      </w:r>
      <w:r w:rsidRPr="00D97B6F">
        <w:rPr>
          <w:rtl/>
        </w:rPr>
        <w:t>لا تزال اللجنة تشعر بالقلق إزاء التقارير التي تفيد بأن الأشخاص الذين يخضعون لتدابير تقييد الحركة هذه يُعَالجون قسراً وأن هذه التدابير تطبق على السجناء ذوي الإعاقة الذهنية أو النفسية</w:t>
      </w:r>
      <w:r w:rsidR="00D02802" w:rsidRPr="00D97B6F">
        <w:rPr>
          <w:rFonts w:hint="cs"/>
          <w:rtl/>
        </w:rPr>
        <w:t xml:space="preserve"> </w:t>
      </w:r>
      <w:r w:rsidRPr="00D97B6F">
        <w:rPr>
          <w:rtl/>
        </w:rPr>
        <w:t>-</w:t>
      </w:r>
      <w:r w:rsidR="00D02802" w:rsidRPr="00D97B6F">
        <w:rPr>
          <w:rFonts w:hint="cs"/>
          <w:rtl/>
        </w:rPr>
        <w:t xml:space="preserve"> </w:t>
      </w:r>
      <w:r w:rsidRPr="00D97B6F">
        <w:rPr>
          <w:rtl/>
        </w:rPr>
        <w:t xml:space="preserve">الاجتماعية أو الميول الانتحارية أو الذين يميلون إلى إيذاء أنفسهم. وتحيط اللجنة علماً بما قدمه وفد الدولة الطرف من توضيحات تتناقض مع ما تلقته اللجنة من معلومات تفيد بأن سلطات السجون في سجون كاتالونيا تتخذ تدابير لمنع بعض المحتجزين، بسبب خطورتهم المزعومة، من التواصل مع الأشخاص الآخرين الموجودين في السجن، بمن فيهم موظفو السجن (المواد </w:t>
      </w:r>
      <w:r w:rsidRPr="00E44063">
        <w:rPr>
          <w:rtl/>
        </w:rPr>
        <w:t>2</w:t>
      </w:r>
      <w:r w:rsidRPr="00D97B6F">
        <w:rPr>
          <w:rtl/>
        </w:rPr>
        <w:t xml:space="preserve"> و</w:t>
      </w:r>
      <w:r w:rsidRPr="00E44063">
        <w:rPr>
          <w:rtl/>
        </w:rPr>
        <w:t>11</w:t>
      </w:r>
      <w:r w:rsidRPr="00D97B6F">
        <w:rPr>
          <w:rtl/>
        </w:rPr>
        <w:t xml:space="preserve"> و</w:t>
      </w:r>
      <w:r w:rsidRPr="00E44063">
        <w:rPr>
          <w:rtl/>
        </w:rPr>
        <w:t>1</w:t>
      </w:r>
      <w:r w:rsidR="002D233E" w:rsidRPr="00E44063">
        <w:rPr>
          <w:rtl/>
        </w:rPr>
        <w:t>6</w:t>
      </w:r>
      <w:r w:rsidR="002D233E" w:rsidRPr="00D97B6F">
        <w:rPr>
          <w:rFonts w:ascii="Simplified Arabic"/>
          <w:szCs w:val="20"/>
          <w:rtl/>
        </w:rPr>
        <w:t>)</w:t>
      </w:r>
      <w:r w:rsidR="002D233E" w:rsidRPr="00D97B6F">
        <w:rPr>
          <w:rtl/>
        </w:rPr>
        <w:t>.</w:t>
      </w:r>
    </w:p>
    <w:p w14:paraId="6FD0D9C3" w14:textId="424EB959" w:rsidR="002D233E" w:rsidRPr="00E44063" w:rsidRDefault="00774CA0" w:rsidP="00E8055C">
      <w:pPr>
        <w:pStyle w:val="SingleTxtGA"/>
        <w:rPr>
          <w:b/>
          <w:bCs/>
          <w:szCs w:val="20"/>
          <w:lang w:val="en-US" w:eastAsia="zh-TW" w:bidi="en-GB"/>
        </w:rPr>
      </w:pPr>
      <w:r w:rsidRPr="00E44063">
        <w:rPr>
          <w:rtl/>
        </w:rPr>
        <w:t>20</w:t>
      </w:r>
      <w:r w:rsidRPr="00D97B6F">
        <w:rPr>
          <w:rtl/>
        </w:rPr>
        <w:t>-</w:t>
      </w:r>
      <w:r w:rsidRPr="00E44063">
        <w:rPr>
          <w:b/>
          <w:bCs/>
          <w:rtl/>
        </w:rPr>
        <w:tab/>
        <w:t>تحث اللجنة الدولة الطرف على مواصلة تطبيق التدابير غير الاحتجازية. وفي هذا الصدد، توجه اللجنة انتباه الدولة الطرف إلى قواعد الأمم المتحدة الدنيا النموذجية للتدابير غير الاحتجازية (قواعد طوكيو) وقواعد الأمم المتحدة لمعاملة السجينات والتدابير غير الاحتجازية للمجرمات (قواعد بانكوك</w:t>
      </w:r>
      <w:r w:rsidR="002D233E" w:rsidRPr="00E44063">
        <w:rPr>
          <w:b/>
          <w:bCs/>
          <w:rtl/>
        </w:rPr>
        <w:t xml:space="preserve">). </w:t>
      </w:r>
      <w:r w:rsidRPr="00E44063">
        <w:rPr>
          <w:b/>
          <w:bCs/>
          <w:rtl/>
        </w:rPr>
        <w:t xml:space="preserve">والدولة الطرف مدعوة أيضاً إلى تعزيز برامج إعادة التأهيل، بما فيها البرامج المخصصة </w:t>
      </w:r>
      <w:r w:rsidRPr="00E44063">
        <w:rPr>
          <w:b/>
          <w:bCs/>
          <w:rtl/>
        </w:rPr>
        <w:lastRenderedPageBreak/>
        <w:t xml:space="preserve">للأشخاص ذوي الإعاقة، ومواصلة جهودها الرامية إلى تنفيذ التدابير المناسبة القائمة على مبادئ الأمن الفعال في السجون. وعلاوة على ذلك، تحث اللجنة الدولة الطرف على مراجعة لوائحها التي تجيز تقييد حركة السجناء لأسباب تتعلق بالسلامة بغية إلغاء هذه الممارسة، على نحو ما أوصت به اللجنة الأوروبية لمنع التعذيب والمعاملة أو العقوبة اللاإنسانية أو </w:t>
      </w:r>
      <w:proofErr w:type="gramStart"/>
      <w:r w:rsidRPr="00E44063">
        <w:rPr>
          <w:b/>
          <w:bCs/>
          <w:rtl/>
        </w:rPr>
        <w:t>المهينة</w:t>
      </w:r>
      <w:r w:rsidR="002D233E" w:rsidRPr="00E44063">
        <w:rPr>
          <w:b/>
          <w:bCs/>
          <w:vertAlign w:val="superscript"/>
          <w:rtl/>
        </w:rPr>
        <w:t>(</w:t>
      </w:r>
      <w:proofErr w:type="gramEnd"/>
      <w:r w:rsidR="002D233E" w:rsidRPr="00E44063">
        <w:rPr>
          <w:b/>
          <w:bCs/>
          <w:vertAlign w:val="superscript"/>
          <w:lang w:val="en-AU"/>
        </w:rPr>
        <w:footnoteReference w:id="12"/>
      </w:r>
      <w:r w:rsidR="002D233E" w:rsidRPr="00E44063">
        <w:rPr>
          <w:rFonts w:hint="cs"/>
          <w:b/>
          <w:bCs/>
          <w:vertAlign w:val="superscript"/>
          <w:rtl/>
        </w:rPr>
        <w:t>)</w:t>
      </w:r>
      <w:r w:rsidR="002D233E" w:rsidRPr="00E44063">
        <w:rPr>
          <w:b/>
          <w:bCs/>
          <w:rtl/>
        </w:rPr>
        <w:t>.</w:t>
      </w:r>
    </w:p>
    <w:p w14:paraId="4AD1DAE4" w14:textId="3A3F044D" w:rsidR="00774CA0" w:rsidRPr="00E44063" w:rsidRDefault="00774CA0" w:rsidP="00E8055C">
      <w:pPr>
        <w:pStyle w:val="H23GA"/>
        <w:rPr>
          <w:szCs w:val="20"/>
          <w:lang w:val="ar-SA" w:eastAsia="zh-TW" w:bidi="en-GB"/>
        </w:rPr>
      </w:pPr>
      <w:r w:rsidRPr="00E44063">
        <w:rPr>
          <w:rtl/>
        </w:rPr>
        <w:tab/>
      </w:r>
      <w:r w:rsidRPr="00E44063">
        <w:rPr>
          <w:rtl/>
        </w:rPr>
        <w:tab/>
        <w:t>النساء المحتجزات</w:t>
      </w:r>
    </w:p>
    <w:p w14:paraId="6EF80625" w14:textId="055C0586" w:rsidR="002D233E" w:rsidRPr="00D97B6F" w:rsidRDefault="00774CA0" w:rsidP="00E8055C">
      <w:pPr>
        <w:pStyle w:val="SingleTxtGA"/>
        <w:rPr>
          <w:szCs w:val="20"/>
          <w:lang w:val="ar-SA" w:eastAsia="zh-TW" w:bidi="en-GB"/>
        </w:rPr>
      </w:pPr>
      <w:r w:rsidRPr="00E44063">
        <w:rPr>
          <w:rtl/>
        </w:rPr>
        <w:t>21</w:t>
      </w:r>
      <w:r w:rsidRPr="00D97B6F">
        <w:rPr>
          <w:rtl/>
        </w:rPr>
        <w:t>-</w:t>
      </w:r>
      <w:r w:rsidRPr="00D97B6F">
        <w:rPr>
          <w:rtl/>
        </w:rPr>
        <w:tab/>
        <w:t>تحيط اللجنة علما</w:t>
      </w:r>
      <w:r w:rsidR="00D02802" w:rsidRPr="00D97B6F">
        <w:rPr>
          <w:rFonts w:hint="cs"/>
          <w:rtl/>
        </w:rPr>
        <w:t>ً</w:t>
      </w:r>
      <w:r w:rsidRPr="00D97B6F">
        <w:rPr>
          <w:rtl/>
        </w:rPr>
        <w:t xml:space="preserve"> بما قدمه الوفد من توضيحات للقواعد التي تحكم نظام سلب الحرية في سجون النساء، غير أنها لا تزال تشعر بالقلق إزاء التقارير التي تفيد بأن إدارة السجون لا تولي الاعتبار الكافي للاحتياجات الخاصة للنساء المودعات في جميع السجون، ولا سيما احتياجات السجينات المودعات في عنابر النساء في السجون المختلطة. ومن بين المسائل التي وُجه انتباه اللجنة إليها، عدم كفاية فرص الحصول على خدمات الصحة الجنسية والإنجابية وعدم تقديم دعم كاف لضحايا العنف الجنساني (المادتان </w:t>
      </w:r>
      <w:r w:rsidRPr="00E44063">
        <w:rPr>
          <w:rtl/>
        </w:rPr>
        <w:t>11</w:t>
      </w:r>
      <w:r w:rsidRPr="00D97B6F">
        <w:rPr>
          <w:rtl/>
        </w:rPr>
        <w:t xml:space="preserve"> و</w:t>
      </w:r>
      <w:r w:rsidRPr="00E44063">
        <w:rPr>
          <w:rtl/>
        </w:rPr>
        <w:t>1</w:t>
      </w:r>
      <w:r w:rsidR="002D233E" w:rsidRPr="00E44063">
        <w:rPr>
          <w:rtl/>
        </w:rPr>
        <w:t>6</w:t>
      </w:r>
      <w:r w:rsidR="002D233E" w:rsidRPr="00D97B6F">
        <w:rPr>
          <w:rFonts w:ascii="Simplified Arabic"/>
          <w:szCs w:val="20"/>
          <w:rtl/>
        </w:rPr>
        <w:t>)</w:t>
      </w:r>
      <w:r w:rsidR="002D233E" w:rsidRPr="00D97B6F">
        <w:rPr>
          <w:rtl/>
        </w:rPr>
        <w:t>.</w:t>
      </w:r>
    </w:p>
    <w:p w14:paraId="48FEEA7E" w14:textId="0E24F1FB" w:rsidR="00774CA0" w:rsidRPr="00E44063" w:rsidRDefault="00774CA0" w:rsidP="00E8055C">
      <w:pPr>
        <w:pStyle w:val="SingleTxtGA"/>
        <w:rPr>
          <w:b/>
          <w:bCs/>
          <w:szCs w:val="20"/>
          <w:lang w:val="en-US" w:eastAsia="zh-TW" w:bidi="en-GB"/>
        </w:rPr>
      </w:pPr>
      <w:r w:rsidRPr="00E44063">
        <w:rPr>
          <w:rtl/>
        </w:rPr>
        <w:t>22</w:t>
      </w:r>
      <w:r w:rsidRPr="00D97B6F">
        <w:rPr>
          <w:rtl/>
        </w:rPr>
        <w:t>-</w:t>
      </w:r>
      <w:r w:rsidRPr="00D97B6F">
        <w:rPr>
          <w:rtl/>
        </w:rPr>
        <w:tab/>
      </w:r>
      <w:r w:rsidRPr="00E44063">
        <w:rPr>
          <w:b/>
          <w:bCs/>
          <w:rtl/>
        </w:rPr>
        <w:t>ينبغي للدولة الطرف أن تكفل تلبية الاحتياجات الخاصة للنساء مسلوبات الحرية، وفقا</w:t>
      </w:r>
      <w:r w:rsidR="0047024A" w:rsidRPr="00E44063">
        <w:rPr>
          <w:rFonts w:hint="cs"/>
          <w:b/>
          <w:bCs/>
          <w:rtl/>
        </w:rPr>
        <w:t>ً</w:t>
      </w:r>
      <w:r w:rsidRPr="00E44063">
        <w:rPr>
          <w:b/>
          <w:bCs/>
          <w:rtl/>
        </w:rPr>
        <w:t xml:space="preserve"> لقواعد الأمم المتحدة النموذجية الدنيا لمعاملة السجناء (قواعد نيلسون مانديلا) وقواعد بانكوك.</w:t>
      </w:r>
    </w:p>
    <w:p w14:paraId="7676ADBA" w14:textId="77777777" w:rsidR="00774CA0" w:rsidRPr="00E44063" w:rsidRDefault="00774CA0" w:rsidP="00E8055C">
      <w:pPr>
        <w:pStyle w:val="H23GA"/>
        <w:rPr>
          <w:szCs w:val="20"/>
          <w:lang w:val="ar-SA" w:eastAsia="zh-TW" w:bidi="en-GB"/>
        </w:rPr>
      </w:pPr>
      <w:r w:rsidRPr="00E44063">
        <w:rPr>
          <w:rtl/>
        </w:rPr>
        <w:tab/>
      </w:r>
      <w:r w:rsidRPr="00E44063">
        <w:rPr>
          <w:rtl/>
        </w:rPr>
        <w:tab/>
        <w:t>الرعاية الصحية في السجون</w:t>
      </w:r>
    </w:p>
    <w:p w14:paraId="6F0CB410" w14:textId="27188418" w:rsidR="002D233E" w:rsidRPr="00D97B6F" w:rsidRDefault="00774CA0" w:rsidP="00E8055C">
      <w:pPr>
        <w:pStyle w:val="SingleTxtGA"/>
        <w:rPr>
          <w:szCs w:val="20"/>
          <w:lang w:val="ar-SA" w:eastAsia="zh-TW" w:bidi="en-GB"/>
        </w:rPr>
      </w:pPr>
      <w:r w:rsidRPr="00E44063">
        <w:rPr>
          <w:rtl/>
        </w:rPr>
        <w:t>23</w:t>
      </w:r>
      <w:r w:rsidRPr="00D97B6F">
        <w:rPr>
          <w:rtl/>
        </w:rPr>
        <w:t>-</w:t>
      </w:r>
      <w:r w:rsidRPr="00D97B6F">
        <w:rPr>
          <w:rtl/>
        </w:rPr>
        <w:tab/>
        <w:t>تشكر اللجنة وفد الدولة الطرف على ما قدمه من توضيحات فيما يتعلق بتوفير الرعاية الصحية في السجون ومن معلومات عن نقل المسؤولية عن الرعاية الصحية في السجون إلى مناطق الحكم الذاتي في كاتالونيا ونابارا وإقليم الباسك. ويساور اللجنة القلق إزاء عدم كفاية عدد أطباء السجون، بمن فيهم الأطباء النفسانيون والأخصائيون النفسيون السريريون، وكذلك إزاء الصعوبات التي تواجه وزارة الداخلية في ملء الوظائف الشاغرة. وتشمل أوجه القصور الرئيسية الأخرى عدم وجود أطباء مناوبين، والتأخير في توفير الرعاية الصحية لنزلاء السجون، بما في ذلك الرعاية الطبية المتخصصة، وقلة برامج علاج الإدمان. وتشعر اللجنة بقلق بالغ إزاء حالة السجناء ذوي الإعاقة النفسية</w:t>
      </w:r>
      <w:r w:rsidR="0047024A" w:rsidRPr="00D97B6F">
        <w:rPr>
          <w:rFonts w:hint="cs"/>
          <w:rtl/>
        </w:rPr>
        <w:t xml:space="preserve"> </w:t>
      </w:r>
      <w:r w:rsidRPr="00D97B6F">
        <w:rPr>
          <w:rtl/>
        </w:rPr>
        <w:t>-</w:t>
      </w:r>
      <w:r w:rsidR="0047024A" w:rsidRPr="00D97B6F">
        <w:rPr>
          <w:rFonts w:hint="cs"/>
          <w:rtl/>
        </w:rPr>
        <w:t xml:space="preserve"> </w:t>
      </w:r>
      <w:r w:rsidRPr="00D97B6F">
        <w:rPr>
          <w:rtl/>
        </w:rPr>
        <w:t xml:space="preserve">الاجتماعية الذين لا يتلقون رعاية طبية متخصصة ومناسبة (المواد </w:t>
      </w:r>
      <w:r w:rsidRPr="00E44063">
        <w:rPr>
          <w:rtl/>
        </w:rPr>
        <w:t>2</w:t>
      </w:r>
      <w:r w:rsidRPr="00D97B6F">
        <w:rPr>
          <w:rtl/>
        </w:rPr>
        <w:t xml:space="preserve"> و</w:t>
      </w:r>
      <w:r w:rsidRPr="00E44063">
        <w:rPr>
          <w:rtl/>
        </w:rPr>
        <w:t>11</w:t>
      </w:r>
      <w:r w:rsidRPr="00D97B6F">
        <w:rPr>
          <w:rtl/>
        </w:rPr>
        <w:t xml:space="preserve"> و</w:t>
      </w:r>
      <w:r w:rsidRPr="00E44063">
        <w:rPr>
          <w:rtl/>
        </w:rPr>
        <w:t>1</w:t>
      </w:r>
      <w:r w:rsidR="002D233E" w:rsidRPr="00E44063">
        <w:rPr>
          <w:rtl/>
        </w:rPr>
        <w:t>6</w:t>
      </w:r>
      <w:r w:rsidR="002D233E" w:rsidRPr="00D97B6F">
        <w:rPr>
          <w:rFonts w:ascii="Simplified Arabic"/>
          <w:szCs w:val="20"/>
          <w:rtl/>
        </w:rPr>
        <w:t>)</w:t>
      </w:r>
      <w:r w:rsidR="002D233E" w:rsidRPr="00D97B6F">
        <w:rPr>
          <w:rtl/>
        </w:rPr>
        <w:t>.</w:t>
      </w:r>
    </w:p>
    <w:p w14:paraId="39DFA579" w14:textId="5564BB7A" w:rsidR="00774CA0" w:rsidRPr="00E44063" w:rsidRDefault="00774CA0" w:rsidP="00E8055C">
      <w:pPr>
        <w:pStyle w:val="SingleTxtGA"/>
        <w:rPr>
          <w:b/>
          <w:bCs/>
          <w:szCs w:val="20"/>
          <w:lang w:val="en-US" w:eastAsia="zh-TW" w:bidi="en-GB"/>
        </w:rPr>
      </w:pPr>
      <w:r w:rsidRPr="00E44063">
        <w:rPr>
          <w:rtl/>
        </w:rPr>
        <w:t>24</w:t>
      </w:r>
      <w:r w:rsidRPr="00D97B6F">
        <w:rPr>
          <w:rtl/>
        </w:rPr>
        <w:t>-</w:t>
      </w:r>
      <w:r w:rsidRPr="00D97B6F">
        <w:rPr>
          <w:rtl/>
        </w:rPr>
        <w:tab/>
      </w:r>
      <w:r w:rsidRPr="00E44063">
        <w:rPr>
          <w:b/>
          <w:bCs/>
          <w:rtl/>
        </w:rPr>
        <w:t>ينبغي للدولة الطرف أن تتخذ التدابير اللازمة لتحسين توفير الرعاية الصحية في السجون، ولا سيما الرعاية الطبية المتخصصة، وذلك بضمان وجود عدد كاف من الموظفين الطبيين والصحيين بما يكفل توفير الرعاية المناسبة لنزلاء السجون في الوقت المناسب.</w:t>
      </w:r>
    </w:p>
    <w:p w14:paraId="53DBEC6C" w14:textId="77777777" w:rsidR="00774CA0" w:rsidRPr="00E44063" w:rsidRDefault="00774CA0" w:rsidP="00E8055C">
      <w:pPr>
        <w:pStyle w:val="H23GA"/>
        <w:rPr>
          <w:szCs w:val="20"/>
          <w:lang w:val="en-US" w:eastAsia="zh-TW" w:bidi="en-GB"/>
        </w:rPr>
      </w:pPr>
      <w:r w:rsidRPr="00E44063">
        <w:rPr>
          <w:rtl/>
        </w:rPr>
        <w:tab/>
      </w:r>
      <w:r w:rsidRPr="00E44063">
        <w:rPr>
          <w:rtl/>
        </w:rPr>
        <w:tab/>
        <w:t>الوفاة أثناء الاحتجاز</w:t>
      </w:r>
    </w:p>
    <w:p w14:paraId="0D8EA795" w14:textId="250C780B" w:rsidR="002D233E" w:rsidRPr="00D97B6F" w:rsidRDefault="00774CA0" w:rsidP="00E8055C">
      <w:pPr>
        <w:pStyle w:val="SingleTxtGA"/>
        <w:rPr>
          <w:szCs w:val="20"/>
          <w:lang w:val="ar-SA" w:eastAsia="zh-TW" w:bidi="en-GB"/>
        </w:rPr>
      </w:pPr>
      <w:r w:rsidRPr="00E44063">
        <w:rPr>
          <w:rtl/>
        </w:rPr>
        <w:t>25</w:t>
      </w:r>
      <w:r w:rsidRPr="00D97B6F">
        <w:rPr>
          <w:rtl/>
        </w:rPr>
        <w:t>-</w:t>
      </w:r>
      <w:r w:rsidRPr="00D97B6F">
        <w:rPr>
          <w:rtl/>
        </w:rPr>
        <w:tab/>
        <w:t>توجه اللجنة انتباه الدولة الطرف إلى المعلومات الواردة التي تشير إلى ارتفاع عدد الوفيات، بما في ذلك حالات الانتحار وغيرها من حالات الوفاة المفاجئة، في السجون الإسبانية. ووفقا</w:t>
      </w:r>
      <w:r w:rsidR="0047024A" w:rsidRPr="00D97B6F">
        <w:rPr>
          <w:rFonts w:hint="cs"/>
          <w:rtl/>
        </w:rPr>
        <w:t>ً</w:t>
      </w:r>
      <w:r w:rsidRPr="00D97B6F">
        <w:rPr>
          <w:rtl/>
        </w:rPr>
        <w:t xml:space="preserve"> للمعلومات التي قدمتها الدولة الطرف، توجد برامج لرعاية الأشخاص مسلوبي الحرية الذين يعانون من الإدمان، فضلا</w:t>
      </w:r>
      <w:r w:rsidR="0047024A" w:rsidRPr="00D97B6F">
        <w:rPr>
          <w:rFonts w:hint="cs"/>
          <w:rtl/>
        </w:rPr>
        <w:t>ً</w:t>
      </w:r>
      <w:r w:rsidRPr="00D97B6F">
        <w:rPr>
          <w:rtl/>
        </w:rPr>
        <w:t xml:space="preserve"> عن برامج لمنع الانتحار. غير أن اللجنة تأسف لأن الدولة الطرف لم تقدم بيانات إحصائية شاملة ومفصلة ومصنفة عن حالات وفاة الأشخاص مسلوبي الحرية خلال الفترة قيد الاستعراض، بما في ذلك عن أماكن احتجازهم وأسباب وفاتهم ونتائج التحقيقات التي أجريت (المواد </w:t>
      </w:r>
      <w:r w:rsidRPr="00E44063">
        <w:rPr>
          <w:rtl/>
        </w:rPr>
        <w:t>2</w:t>
      </w:r>
      <w:r w:rsidRPr="00D97B6F">
        <w:rPr>
          <w:rtl/>
        </w:rPr>
        <w:t xml:space="preserve"> و</w:t>
      </w:r>
      <w:r w:rsidRPr="00E44063">
        <w:rPr>
          <w:rtl/>
        </w:rPr>
        <w:t>11</w:t>
      </w:r>
      <w:r w:rsidRPr="00D97B6F">
        <w:rPr>
          <w:rtl/>
        </w:rPr>
        <w:t xml:space="preserve"> و</w:t>
      </w:r>
      <w:r w:rsidRPr="00E44063">
        <w:rPr>
          <w:rtl/>
        </w:rPr>
        <w:t>1</w:t>
      </w:r>
      <w:r w:rsidR="002D233E" w:rsidRPr="00E44063">
        <w:rPr>
          <w:rtl/>
        </w:rPr>
        <w:t>6</w:t>
      </w:r>
      <w:r w:rsidR="002D233E" w:rsidRPr="00D97B6F">
        <w:rPr>
          <w:rFonts w:ascii="Simplified Arabic"/>
          <w:szCs w:val="20"/>
          <w:rtl/>
        </w:rPr>
        <w:t>)</w:t>
      </w:r>
      <w:r w:rsidR="002D233E" w:rsidRPr="00D97B6F">
        <w:rPr>
          <w:rtl/>
        </w:rPr>
        <w:t>.</w:t>
      </w:r>
    </w:p>
    <w:p w14:paraId="0C280399" w14:textId="34BFB0CF" w:rsidR="00774CA0" w:rsidRPr="00E44063" w:rsidRDefault="00774CA0" w:rsidP="00E8055C">
      <w:pPr>
        <w:pStyle w:val="SingleTxtGA"/>
        <w:rPr>
          <w:b/>
          <w:bCs/>
          <w:szCs w:val="20"/>
          <w:lang w:val="ar-SA" w:eastAsia="zh-TW" w:bidi="en-GB"/>
        </w:rPr>
      </w:pPr>
      <w:r w:rsidRPr="00E44063">
        <w:rPr>
          <w:rtl/>
        </w:rPr>
        <w:t>26</w:t>
      </w:r>
      <w:r w:rsidRPr="00D97B6F">
        <w:rPr>
          <w:rtl/>
        </w:rPr>
        <w:t>-</w:t>
      </w:r>
      <w:r w:rsidRPr="00D97B6F">
        <w:rPr>
          <w:rtl/>
        </w:rPr>
        <w:tab/>
      </w:r>
      <w:r w:rsidRPr="00E44063">
        <w:rPr>
          <w:b/>
          <w:bCs/>
          <w:rtl/>
        </w:rPr>
        <w:t>ينبغي للدولة الطرف أن تقوم بما يلي:</w:t>
      </w:r>
    </w:p>
    <w:p w14:paraId="761EAA91" w14:textId="05A4B3F2" w:rsidR="00774CA0" w:rsidRPr="00E44063" w:rsidRDefault="00B04FFD" w:rsidP="00E8055C">
      <w:pPr>
        <w:pStyle w:val="SingleTxtGA"/>
        <w:rPr>
          <w:b/>
          <w:bCs/>
          <w:szCs w:val="20"/>
          <w:shd w:val="clear" w:color="auto" w:fill="FFFFFF"/>
          <w:lang w:val="en-US" w:eastAsia="zh-TW" w:bidi="en-GB"/>
        </w:rPr>
      </w:pPr>
      <w:r w:rsidRPr="00D97B6F">
        <w:rPr>
          <w:rtl/>
        </w:rPr>
        <w:lastRenderedPageBreak/>
        <w:tab/>
      </w:r>
      <w:r w:rsidR="00774CA0" w:rsidRPr="00D97B6F">
        <w:rPr>
          <w:rtl/>
        </w:rPr>
        <w:t>(أ</w:t>
      </w:r>
      <w:r w:rsidR="00774CA0" w:rsidRPr="00D97B6F">
        <w:rPr>
          <w:rFonts w:ascii="Simplified Arabic"/>
          <w:szCs w:val="20"/>
          <w:rtl/>
        </w:rPr>
        <w:t>)</w:t>
      </w:r>
      <w:r w:rsidR="00774CA0" w:rsidRPr="00E44063">
        <w:rPr>
          <w:b/>
          <w:bCs/>
          <w:rtl/>
        </w:rPr>
        <w:tab/>
        <w:t>ضمان قيام هيئة مستقلة بإجراء تحقيقات فورية ونزيهة في جميع حالات الوفاة أثناء الاحتجاز، مع إيلاء الاعتبار الواجب لبروتوكول مينيسوتا المتعلق بالتحقيق في حالات الوفاة التي يُحتمل أن تكون غير مشروعة؛</w:t>
      </w:r>
    </w:p>
    <w:p w14:paraId="11828067" w14:textId="6D9EF187" w:rsidR="00774CA0" w:rsidRPr="00E44063" w:rsidRDefault="00B04FFD" w:rsidP="00B04FFD">
      <w:pPr>
        <w:pStyle w:val="SingleTxtGA"/>
        <w:rPr>
          <w:b/>
          <w:bCs/>
          <w:szCs w:val="20"/>
          <w:shd w:val="clear" w:color="auto" w:fill="FFFFFF"/>
          <w:lang w:val="ar-SA" w:eastAsia="zh-TW" w:bidi="en-GB"/>
        </w:rPr>
      </w:pPr>
      <w:r w:rsidRPr="00D97B6F">
        <w:rPr>
          <w:rtl/>
        </w:rPr>
        <w:tab/>
      </w:r>
      <w:r w:rsidR="00774CA0" w:rsidRPr="00D97B6F">
        <w:rPr>
          <w:rtl/>
        </w:rPr>
        <w:t>(ب</w:t>
      </w:r>
      <w:r w:rsidR="00774CA0" w:rsidRPr="00D97B6F">
        <w:rPr>
          <w:rFonts w:ascii="Simplified Arabic"/>
          <w:szCs w:val="20"/>
          <w:rtl/>
        </w:rPr>
        <w:t>)</w:t>
      </w:r>
      <w:r w:rsidR="00774CA0" w:rsidRPr="00E44063">
        <w:rPr>
          <w:b/>
          <w:bCs/>
          <w:rtl/>
        </w:rPr>
        <w:tab/>
        <w:t>التحقيق في أي مسؤولية محتملة لضباط الشرطة وموظفي السجون عن حالات الوفاة أثناء الاحتجاز، ومعاقبة الجناة على النحو الواجب، في حال ثبوت مسؤوليتهم عن حالات الوفاة تلك، وتعويض أقارب الضحايا تعويضاً منصفاً وكافياً؛</w:t>
      </w:r>
    </w:p>
    <w:p w14:paraId="5684AF7B" w14:textId="194B022B" w:rsidR="00774CA0" w:rsidRPr="00E44063" w:rsidRDefault="00B04FFD" w:rsidP="00B04FFD">
      <w:pPr>
        <w:pStyle w:val="SingleTxtGA"/>
        <w:rPr>
          <w:b/>
          <w:bCs/>
          <w:szCs w:val="20"/>
          <w:shd w:val="clear" w:color="auto" w:fill="FFFFFF"/>
          <w:lang w:val="ar-SA" w:eastAsia="zh-TW" w:bidi="en-GB"/>
        </w:rPr>
      </w:pPr>
      <w:r w:rsidRPr="00D97B6F">
        <w:rPr>
          <w:rtl/>
        </w:rPr>
        <w:tab/>
      </w:r>
      <w:r w:rsidR="00774CA0" w:rsidRPr="00D97B6F">
        <w:rPr>
          <w:rtl/>
        </w:rPr>
        <w:t>(ج</w:t>
      </w:r>
      <w:r w:rsidR="00774CA0" w:rsidRPr="00D97B6F">
        <w:rPr>
          <w:rFonts w:ascii="Simplified Arabic"/>
          <w:szCs w:val="20"/>
          <w:rtl/>
        </w:rPr>
        <w:t>)</w:t>
      </w:r>
      <w:r w:rsidR="00774CA0" w:rsidRPr="00E44063">
        <w:rPr>
          <w:b/>
          <w:bCs/>
          <w:rtl/>
        </w:rPr>
        <w:tab/>
        <w:t>استعراض مدى فعالية استراتيجيات وبرامج منع الانتحار وإيذاء النفس وتدريب موظفي السجون تدريباً كافياً في هذا الصدد؛</w:t>
      </w:r>
    </w:p>
    <w:p w14:paraId="3B4CE723" w14:textId="176859D5" w:rsidR="00774CA0" w:rsidRPr="00E44063" w:rsidRDefault="00B04FFD" w:rsidP="00B04FFD">
      <w:pPr>
        <w:pStyle w:val="SingleTxtGA"/>
        <w:rPr>
          <w:b/>
          <w:bCs/>
          <w:szCs w:val="20"/>
          <w:shd w:val="clear" w:color="auto" w:fill="FFFFFF"/>
          <w:lang w:val="ar-SA" w:eastAsia="zh-TW" w:bidi="en-GB"/>
        </w:rPr>
      </w:pPr>
      <w:r w:rsidRPr="00D97B6F">
        <w:rPr>
          <w:rtl/>
        </w:rPr>
        <w:tab/>
      </w:r>
      <w:r w:rsidR="00774CA0" w:rsidRPr="00D97B6F">
        <w:rPr>
          <w:rtl/>
        </w:rPr>
        <w:t>(د</w:t>
      </w:r>
      <w:r w:rsidR="00774CA0" w:rsidRPr="00D97B6F">
        <w:rPr>
          <w:rFonts w:ascii="Simplified Arabic"/>
          <w:szCs w:val="20"/>
          <w:rtl/>
        </w:rPr>
        <w:t>)</w:t>
      </w:r>
      <w:r w:rsidR="00774CA0" w:rsidRPr="00E44063">
        <w:rPr>
          <w:b/>
          <w:bCs/>
          <w:rtl/>
        </w:rPr>
        <w:tab/>
        <w:t>جمع ونشر بيانات إحصائية مفصلة عن حالات الوفاة أثناء الاحتجاز ونتائج التحقيقات المجراة فيها.</w:t>
      </w:r>
    </w:p>
    <w:p w14:paraId="104C014F" w14:textId="77777777" w:rsidR="00774CA0" w:rsidRPr="00E44063" w:rsidRDefault="00774CA0" w:rsidP="00B04FFD">
      <w:pPr>
        <w:pStyle w:val="H23GA"/>
        <w:rPr>
          <w:szCs w:val="20"/>
          <w:lang w:val="ar-SA" w:eastAsia="zh-TW" w:bidi="en-GB"/>
        </w:rPr>
      </w:pPr>
      <w:r w:rsidRPr="00E44063">
        <w:rPr>
          <w:rtl/>
        </w:rPr>
        <w:tab/>
      </w:r>
      <w:r w:rsidRPr="00E44063">
        <w:rPr>
          <w:rtl/>
        </w:rPr>
        <w:tab/>
        <w:t>الحبس الانفرادي</w:t>
      </w:r>
    </w:p>
    <w:p w14:paraId="583E65AD" w14:textId="7544B2B1" w:rsidR="002D233E" w:rsidRPr="00D97B6F" w:rsidRDefault="00774CA0" w:rsidP="00B04FFD">
      <w:pPr>
        <w:pStyle w:val="SingleTxtGA"/>
        <w:rPr>
          <w:szCs w:val="20"/>
          <w:lang w:val="ar-SA" w:eastAsia="zh-TW" w:bidi="en-GB"/>
        </w:rPr>
      </w:pPr>
      <w:r w:rsidRPr="00E44063">
        <w:rPr>
          <w:rtl/>
        </w:rPr>
        <w:t>27</w:t>
      </w:r>
      <w:r w:rsidRPr="00D97B6F">
        <w:rPr>
          <w:rtl/>
        </w:rPr>
        <w:t>-</w:t>
      </w:r>
      <w:r w:rsidRPr="00D97B6F">
        <w:rPr>
          <w:rtl/>
        </w:rPr>
        <w:tab/>
        <w:t xml:space="preserve">تشير اللجنة إلى ملاحظاتها الختامية </w:t>
      </w:r>
      <w:proofErr w:type="gramStart"/>
      <w:r w:rsidRPr="00D97B6F">
        <w:rPr>
          <w:rtl/>
        </w:rPr>
        <w:t>السابقة</w:t>
      </w:r>
      <w:r w:rsidR="002D233E" w:rsidRPr="00D97B6F">
        <w:rPr>
          <w:vertAlign w:val="superscript"/>
          <w:rtl/>
        </w:rPr>
        <w:t>(</w:t>
      </w:r>
      <w:proofErr w:type="gramEnd"/>
      <w:r w:rsidR="002D233E" w:rsidRPr="00E44063">
        <w:rPr>
          <w:vertAlign w:val="superscript"/>
          <w:lang w:val="en-AU"/>
        </w:rPr>
        <w:footnoteReference w:id="13"/>
      </w:r>
      <w:r w:rsidRPr="00D97B6F">
        <w:rPr>
          <w:vertAlign w:val="superscript"/>
          <w:rtl/>
        </w:rPr>
        <w:t>)</w:t>
      </w:r>
      <w:r w:rsidRPr="00D97B6F">
        <w:rPr>
          <w:rtl/>
        </w:rPr>
        <w:t> وتعرب عن استمرار شعورها بالقلق إزاء القواعد التي تحكم الحبس الانفرادي كعقوبة تأديبية نظراً إلى أن مدة الحبس الانفرادي مدته قد تصل إلى اثنين وأربعين يوما كحد أقصى في حالة العقوبات التراكمية، على الرغم من أن تلك القواعد تنص على ألا تزيد مدة الحبس الانفرادي على أربعة عشر يوماً متتالياً. ووفقا</w:t>
      </w:r>
      <w:r w:rsidR="0073155B" w:rsidRPr="00D97B6F">
        <w:rPr>
          <w:rFonts w:hint="cs"/>
          <w:rtl/>
        </w:rPr>
        <w:t>ً</w:t>
      </w:r>
      <w:r w:rsidRPr="00D97B6F">
        <w:rPr>
          <w:rtl/>
        </w:rPr>
        <w:t xml:space="preserve"> لأحكام الفقرة </w:t>
      </w:r>
      <w:r w:rsidRPr="00E44063">
        <w:rPr>
          <w:rtl/>
        </w:rPr>
        <w:t>2</w:t>
      </w:r>
      <w:r w:rsidRPr="00D97B6F">
        <w:rPr>
          <w:rFonts w:ascii="Simplified Arabic"/>
          <w:szCs w:val="20"/>
          <w:rtl/>
        </w:rPr>
        <w:t>(</w:t>
      </w:r>
      <w:r w:rsidRPr="00D97B6F">
        <w:rPr>
          <w:rtl/>
        </w:rPr>
        <w:t>د</w:t>
      </w:r>
      <w:r w:rsidRPr="00D97B6F">
        <w:rPr>
          <w:rFonts w:ascii="Simplified Arabic"/>
          <w:szCs w:val="20"/>
          <w:rtl/>
        </w:rPr>
        <w:t>)</w:t>
      </w:r>
      <w:r w:rsidRPr="00D97B6F">
        <w:rPr>
          <w:rtl/>
        </w:rPr>
        <w:t xml:space="preserve"> من المادة </w:t>
      </w:r>
      <w:r w:rsidRPr="00E44063">
        <w:rPr>
          <w:rtl/>
        </w:rPr>
        <w:t>76</w:t>
      </w:r>
      <w:r w:rsidRPr="00D97B6F">
        <w:rPr>
          <w:rtl/>
        </w:rPr>
        <w:t xml:space="preserve"> من القانون التنظيمي العام للسجون والمعلومات المقدمة من الدولة الطرف، يتطلب تنفيذ أي عقوبة تأديبية تتجاوز مدة الحبس الانفرادي فيها الحد العادي البالغ أربعة عشر يوماً إذنا صريحاً من القاضي المشرف على حالة السجون ولا يجوز تنفيذها دفعة واحدة. ومع ذلك، يساور اللجنة القلق إزاء المعلومات الواردة التي تفيد بأن الفترات الفاصلة بين كل فترتي حبس انفرادي تقتصر عملياً على يوم واحد أو بضعة أيام، وأن سلطات السجون تتحايل أحيانا على اللوائح المعمول بها بزيادة عدد ساعات النزهة اليومية. ويساور اللجنة القلق أيضاً إزاء وضع المحتجزين ذوي الإعاقة الذهنية أو النفسية - الاجتماعية في الحبس الانفرادي. وأخيرا، تأسف اللجنة لعدم تلقيها بيانات إحصائية كاملة عن تنفيذ هذا الإجراء التأديبي خلال الفترة قيد الاستعراض (المواد </w:t>
      </w:r>
      <w:r w:rsidRPr="00E44063">
        <w:rPr>
          <w:rtl/>
        </w:rPr>
        <w:t>2</w:t>
      </w:r>
      <w:r w:rsidRPr="00D97B6F">
        <w:rPr>
          <w:rtl/>
        </w:rPr>
        <w:t xml:space="preserve"> و</w:t>
      </w:r>
      <w:r w:rsidRPr="00E44063">
        <w:rPr>
          <w:rtl/>
        </w:rPr>
        <w:t>11</w:t>
      </w:r>
      <w:r w:rsidRPr="00D97B6F">
        <w:rPr>
          <w:rtl/>
        </w:rPr>
        <w:t xml:space="preserve"> و</w:t>
      </w:r>
      <w:r w:rsidRPr="00E44063">
        <w:rPr>
          <w:rtl/>
        </w:rPr>
        <w:t>1</w:t>
      </w:r>
      <w:r w:rsidR="002D233E" w:rsidRPr="00E44063">
        <w:rPr>
          <w:rtl/>
        </w:rPr>
        <w:t>6</w:t>
      </w:r>
      <w:r w:rsidR="002D233E" w:rsidRPr="00D97B6F">
        <w:rPr>
          <w:rFonts w:ascii="Simplified Arabic"/>
          <w:szCs w:val="20"/>
          <w:rtl/>
        </w:rPr>
        <w:t>)</w:t>
      </w:r>
      <w:r w:rsidR="002D233E" w:rsidRPr="00D97B6F">
        <w:rPr>
          <w:rtl/>
        </w:rPr>
        <w:t>.</w:t>
      </w:r>
    </w:p>
    <w:p w14:paraId="40D4C4A5" w14:textId="48F31BE8" w:rsidR="00774CA0" w:rsidRPr="00E44063" w:rsidRDefault="00774CA0" w:rsidP="00B04FFD">
      <w:pPr>
        <w:pStyle w:val="SingleTxtGA"/>
        <w:rPr>
          <w:b/>
          <w:bCs/>
          <w:szCs w:val="20"/>
          <w:lang w:val="ar-SA" w:eastAsia="zh-TW" w:bidi="en-GB"/>
        </w:rPr>
      </w:pPr>
      <w:r w:rsidRPr="00E44063">
        <w:rPr>
          <w:rtl/>
        </w:rPr>
        <w:t>28</w:t>
      </w:r>
      <w:r w:rsidRPr="00D97B6F">
        <w:rPr>
          <w:rtl/>
        </w:rPr>
        <w:t>-</w:t>
      </w:r>
      <w:r w:rsidRPr="00D97B6F">
        <w:rPr>
          <w:rtl/>
        </w:rPr>
        <w:tab/>
      </w:r>
      <w:r w:rsidRPr="00E44063">
        <w:rPr>
          <w:b/>
          <w:bCs/>
          <w:rtl/>
        </w:rPr>
        <w:t>ينبغي للدولة الطرف أن تحرص على عدم اللجوء إلى الحبس الانفرادي إلا كملاذ أخير وفي حالات استثنائية ولأقصر فترة ممكنة (لا تتجاوز 15 يوماً</w:t>
      </w:r>
      <w:r w:rsidR="002D233E" w:rsidRPr="00E44063">
        <w:rPr>
          <w:b/>
          <w:bCs/>
          <w:rtl/>
        </w:rPr>
        <w:t xml:space="preserve">)، </w:t>
      </w:r>
      <w:r w:rsidRPr="00E44063">
        <w:rPr>
          <w:b/>
          <w:bCs/>
          <w:rtl/>
        </w:rPr>
        <w:t>وأن تضمن خضوعه لمراجعة مستقلة، وعدم فرضه إلا بإذن من السلطة المختصة، وفقاً للقواعد من 43 إلى 46 من قواعد نيلسون مانديلا. ووفقاً لما تنص عليه الفقرة 2 من القاعدة 45، يُحظَر فرض الحبس الانفرادي على السجناء ذوي الإعاقة العقلية أو البدنية إذا كان من شأن هذه التدابير أن تؤدي إلى تفاقم حالتهم.</w:t>
      </w:r>
    </w:p>
    <w:p w14:paraId="3D88D74B" w14:textId="77777777" w:rsidR="00774CA0" w:rsidRPr="00E44063" w:rsidRDefault="00774CA0" w:rsidP="00B04FFD">
      <w:pPr>
        <w:pStyle w:val="H23GA"/>
        <w:rPr>
          <w:szCs w:val="20"/>
          <w:lang w:val="ar-SA" w:eastAsia="zh-TW" w:bidi="en-GB"/>
        </w:rPr>
      </w:pPr>
      <w:r w:rsidRPr="00E44063">
        <w:rPr>
          <w:rtl/>
        </w:rPr>
        <w:tab/>
      </w:r>
      <w:r w:rsidRPr="00E44063">
        <w:rPr>
          <w:rtl/>
        </w:rPr>
        <w:tab/>
        <w:t>الأحداث مسلوبو الحرية</w:t>
      </w:r>
    </w:p>
    <w:p w14:paraId="579AE9DD" w14:textId="003AB6E5" w:rsidR="002D233E" w:rsidRPr="00D97B6F" w:rsidRDefault="00774CA0" w:rsidP="00B04FFD">
      <w:pPr>
        <w:pStyle w:val="SingleTxtGA"/>
        <w:rPr>
          <w:szCs w:val="20"/>
          <w:lang w:val="ar-SA" w:eastAsia="zh-TW" w:bidi="en-GB"/>
        </w:rPr>
      </w:pPr>
      <w:r w:rsidRPr="00E44063">
        <w:rPr>
          <w:rtl/>
        </w:rPr>
        <w:t>29</w:t>
      </w:r>
      <w:r w:rsidRPr="00D97B6F">
        <w:rPr>
          <w:rtl/>
        </w:rPr>
        <w:t>-</w:t>
      </w:r>
      <w:r w:rsidRPr="00D97B6F">
        <w:rPr>
          <w:rtl/>
        </w:rPr>
        <w:tab/>
        <w:t xml:space="preserve">يساور اللجنة القلق إزاء فرض عقوبات تأديبية صارمة على المحتجزين الأحداث في حالات سوء السلوك البالغة الخطورة. وفي هذا الصدد، يساور اللجنة القلق لأن المادة </w:t>
      </w:r>
      <w:r w:rsidRPr="00E44063">
        <w:rPr>
          <w:rtl/>
        </w:rPr>
        <w:t>60</w:t>
      </w:r>
      <w:r w:rsidRPr="00D97B6F">
        <w:rPr>
          <w:rtl/>
        </w:rPr>
        <w:t xml:space="preserve"> من القانون التنظيمي رقم </w:t>
      </w:r>
      <w:r w:rsidR="00C27743" w:rsidRPr="00E44063">
        <w:rPr>
          <w:rFonts w:hint="cs"/>
          <w:rtl/>
        </w:rPr>
        <w:t>5</w:t>
      </w:r>
      <w:r w:rsidR="00C27743" w:rsidRPr="00D97B6F">
        <w:rPr>
          <w:rFonts w:hint="cs"/>
          <w:rtl/>
        </w:rPr>
        <w:t>/</w:t>
      </w:r>
      <w:r w:rsidR="00C27743" w:rsidRPr="00E44063">
        <w:rPr>
          <w:rFonts w:hint="cs"/>
          <w:rtl/>
        </w:rPr>
        <w:t>2000</w:t>
      </w:r>
      <w:r w:rsidRPr="00D97B6F">
        <w:rPr>
          <w:rtl/>
        </w:rPr>
        <w:t xml:space="preserve">، المؤرخ </w:t>
      </w:r>
      <w:r w:rsidRPr="00E44063">
        <w:rPr>
          <w:rtl/>
        </w:rPr>
        <w:t>12</w:t>
      </w:r>
      <w:r w:rsidRPr="00D97B6F">
        <w:rPr>
          <w:rtl/>
        </w:rPr>
        <w:t xml:space="preserve"> كانون الثاني/يناير </w:t>
      </w:r>
      <w:r w:rsidRPr="00E44063">
        <w:rPr>
          <w:rtl/>
        </w:rPr>
        <w:t>2000</w:t>
      </w:r>
      <w:r w:rsidRPr="00D97B6F">
        <w:rPr>
          <w:rtl/>
        </w:rPr>
        <w:t xml:space="preserve">، الذي ينظم المسؤولية الجنائية للقصر، والمادة </w:t>
      </w:r>
      <w:r w:rsidRPr="00E44063">
        <w:rPr>
          <w:rtl/>
        </w:rPr>
        <w:t>65</w:t>
      </w:r>
      <w:r w:rsidRPr="00D97B6F">
        <w:rPr>
          <w:rtl/>
        </w:rPr>
        <w:t xml:space="preserve"> من المرسوم الملكي رقم </w:t>
      </w:r>
      <w:r w:rsidR="00C27743" w:rsidRPr="00E44063">
        <w:rPr>
          <w:rFonts w:hint="cs"/>
          <w:rtl/>
        </w:rPr>
        <w:t>1774</w:t>
      </w:r>
      <w:r w:rsidR="00C27743" w:rsidRPr="00D97B6F">
        <w:rPr>
          <w:rFonts w:hint="cs"/>
          <w:rtl/>
        </w:rPr>
        <w:t>/</w:t>
      </w:r>
      <w:r w:rsidR="005531C8" w:rsidRPr="00E44063">
        <w:rPr>
          <w:rFonts w:hint="cs"/>
          <w:rtl/>
        </w:rPr>
        <w:t>2004</w:t>
      </w:r>
      <w:r w:rsidRPr="00D97B6F">
        <w:rPr>
          <w:rtl/>
        </w:rPr>
        <w:t xml:space="preserve">، المؤرخ </w:t>
      </w:r>
      <w:r w:rsidRPr="00E44063">
        <w:rPr>
          <w:rtl/>
        </w:rPr>
        <w:t>30</w:t>
      </w:r>
      <w:r w:rsidRPr="00D97B6F">
        <w:rPr>
          <w:rtl/>
        </w:rPr>
        <w:t xml:space="preserve"> تموز/يوليه </w:t>
      </w:r>
      <w:r w:rsidRPr="00E44063">
        <w:rPr>
          <w:rtl/>
        </w:rPr>
        <w:t>2004</w:t>
      </w:r>
      <w:r w:rsidRPr="00D97B6F">
        <w:rPr>
          <w:rtl/>
        </w:rPr>
        <w:t xml:space="preserve">، تجيزان جملة من العقوبات التأديبية، من بينها وضع القاصر في الحبس الانفرادي بحكم الواقع في غرفته لمدة تصل إلى سبعة أيام، </w:t>
      </w:r>
      <w:r w:rsidRPr="00D97B6F">
        <w:rPr>
          <w:rtl/>
        </w:rPr>
        <w:lastRenderedPageBreak/>
        <w:t xml:space="preserve">كما تجيزان فصله عن بقية المجموعة لمدة تصل إلى خمس عطلات من عطلات نهاية الأسبوع أو منعه من المشاركة في الأنشطة الترفيهية لمدة تصل إلى شهرين (المواد </w:t>
      </w:r>
      <w:r w:rsidRPr="00E44063">
        <w:rPr>
          <w:rtl/>
        </w:rPr>
        <w:t>2</w:t>
      </w:r>
      <w:r w:rsidRPr="00D97B6F">
        <w:rPr>
          <w:rtl/>
        </w:rPr>
        <w:t xml:space="preserve"> و</w:t>
      </w:r>
      <w:r w:rsidRPr="00E44063">
        <w:rPr>
          <w:rtl/>
        </w:rPr>
        <w:t>11</w:t>
      </w:r>
      <w:r w:rsidRPr="00D97B6F">
        <w:rPr>
          <w:rtl/>
        </w:rPr>
        <w:t xml:space="preserve"> و</w:t>
      </w:r>
      <w:r w:rsidRPr="00E44063">
        <w:rPr>
          <w:rtl/>
        </w:rPr>
        <w:t>1</w:t>
      </w:r>
      <w:r w:rsidR="002D233E" w:rsidRPr="00E44063">
        <w:rPr>
          <w:rtl/>
        </w:rPr>
        <w:t>6</w:t>
      </w:r>
      <w:r w:rsidR="002D233E" w:rsidRPr="00D97B6F">
        <w:rPr>
          <w:rFonts w:ascii="Simplified Arabic"/>
          <w:szCs w:val="20"/>
          <w:rtl/>
        </w:rPr>
        <w:t>)</w:t>
      </w:r>
      <w:r w:rsidR="002D233E" w:rsidRPr="00D97B6F">
        <w:rPr>
          <w:rtl/>
        </w:rPr>
        <w:t>.</w:t>
      </w:r>
    </w:p>
    <w:p w14:paraId="629AFA02" w14:textId="2E9A1329" w:rsidR="002D233E" w:rsidRPr="00E44063" w:rsidRDefault="00774CA0" w:rsidP="00B04FFD">
      <w:pPr>
        <w:pStyle w:val="SingleTxtGA"/>
        <w:rPr>
          <w:b/>
          <w:bCs/>
          <w:szCs w:val="20"/>
          <w:lang w:val="ar-SA" w:eastAsia="zh-TW" w:bidi="en-GB"/>
        </w:rPr>
      </w:pPr>
      <w:r w:rsidRPr="00E44063">
        <w:rPr>
          <w:rtl/>
        </w:rPr>
        <w:t>30</w:t>
      </w:r>
      <w:r w:rsidRPr="00D97B6F">
        <w:rPr>
          <w:rtl/>
        </w:rPr>
        <w:t>-</w:t>
      </w:r>
      <w:r w:rsidRPr="00D97B6F">
        <w:rPr>
          <w:rtl/>
        </w:rPr>
        <w:tab/>
      </w:r>
      <w:r w:rsidRPr="00E44063">
        <w:rPr>
          <w:b/>
          <w:bCs/>
          <w:rtl/>
        </w:rPr>
        <w:t>ينبغي للدولة الطرف أن تحترم حظر فرض الإجراءات التأديبية التي تصل إلى حد المعاملة القاسية أو اللاإنسانية أو المهينة، بما في ذلك الحبس الانفرادي، على الأحداث مسلوبي الحرية (انظر القاعدة 67 من قواعد الأمم المتحدة بشأن حماية الأحداث المجردين من حريتهم</w:t>
      </w:r>
      <w:r w:rsidR="002D233E" w:rsidRPr="00E44063">
        <w:rPr>
          <w:b/>
          <w:bCs/>
          <w:rtl/>
        </w:rPr>
        <w:t>).</w:t>
      </w:r>
    </w:p>
    <w:p w14:paraId="1A7A3C7B" w14:textId="6E761257" w:rsidR="00774CA0" w:rsidRPr="00E44063" w:rsidRDefault="00774CA0" w:rsidP="00B04FFD">
      <w:pPr>
        <w:pStyle w:val="H23GA"/>
        <w:rPr>
          <w:rFonts w:eastAsia="Calibri"/>
          <w:szCs w:val="20"/>
          <w:lang w:val="ar-SA" w:eastAsia="zh-TW" w:bidi="en-GB"/>
        </w:rPr>
      </w:pPr>
      <w:r w:rsidRPr="00E44063">
        <w:rPr>
          <w:rtl/>
        </w:rPr>
        <w:tab/>
      </w:r>
      <w:r w:rsidRPr="00E44063">
        <w:rPr>
          <w:rtl/>
        </w:rPr>
        <w:tab/>
        <w:t>عدم الإعادة القسرية</w:t>
      </w:r>
      <w:bookmarkStart w:id="2" w:name="_Hlk119934144"/>
    </w:p>
    <w:p w14:paraId="05C909F0" w14:textId="67881574" w:rsidR="002D233E" w:rsidRPr="00D97B6F" w:rsidRDefault="00774CA0" w:rsidP="00B04FFD">
      <w:pPr>
        <w:pStyle w:val="SingleTxtGA"/>
        <w:rPr>
          <w:szCs w:val="20"/>
          <w:lang w:val="ar-SA" w:eastAsia="zh-TW" w:bidi="en-GB"/>
        </w:rPr>
      </w:pPr>
      <w:r w:rsidRPr="00E44063">
        <w:rPr>
          <w:rtl/>
        </w:rPr>
        <w:t>31</w:t>
      </w:r>
      <w:r w:rsidRPr="00D97B6F">
        <w:rPr>
          <w:rtl/>
        </w:rPr>
        <w:t>-</w:t>
      </w:r>
      <w:r w:rsidRPr="00D97B6F">
        <w:rPr>
          <w:rtl/>
        </w:rPr>
        <w:tab/>
        <w:t>ترحب اللجنة بما اتخذته الدولة الطرف من تدابير لمواجهة تدفق المهاجرين وملتمسي اللجوء إلى أراضيها في السنوات الأخيرة. غير أن القلق يساورها إزاء التقارير التي تفيد بأن الدولة الطرف تواصل عمليات الصد أو الإعادة القسرية، وهي ممارسة سبق أن أعربت اللجنة عن قلقها بشأنها في عام</w:t>
      </w:r>
      <w:r w:rsidR="00A04E16" w:rsidRPr="00D97B6F">
        <w:rPr>
          <w:rFonts w:hint="cs"/>
          <w:rtl/>
        </w:rPr>
        <w:t> </w:t>
      </w:r>
      <w:r w:rsidRPr="00E44063">
        <w:rPr>
          <w:rtl/>
        </w:rPr>
        <w:t>2015</w:t>
      </w:r>
      <w:r w:rsidR="002D233E" w:rsidRPr="00D97B6F">
        <w:rPr>
          <w:vertAlign w:val="superscript"/>
          <w:rtl/>
        </w:rPr>
        <w:t>(</w:t>
      </w:r>
      <w:r w:rsidR="002D233E" w:rsidRPr="00E44063">
        <w:rPr>
          <w:vertAlign w:val="superscript"/>
          <w:lang w:val="en-AU"/>
        </w:rPr>
        <w:footnoteReference w:id="14"/>
      </w:r>
      <w:r w:rsidR="002D233E" w:rsidRPr="00D97B6F">
        <w:rPr>
          <w:rFonts w:hint="cs"/>
          <w:vertAlign w:val="superscript"/>
          <w:rtl/>
        </w:rPr>
        <w:t>)</w:t>
      </w:r>
      <w:r w:rsidR="002D233E" w:rsidRPr="00D97B6F">
        <w:rPr>
          <w:rtl/>
        </w:rPr>
        <w:t xml:space="preserve">. </w:t>
      </w:r>
      <w:r w:rsidRPr="00D97B6F">
        <w:rPr>
          <w:rtl/>
        </w:rPr>
        <w:t>وتحيط اللجنة علما</w:t>
      </w:r>
      <w:r w:rsidR="009F3961" w:rsidRPr="00D97B6F">
        <w:rPr>
          <w:rFonts w:hint="cs"/>
          <w:rtl/>
        </w:rPr>
        <w:t>ً</w:t>
      </w:r>
      <w:r w:rsidRPr="00D97B6F">
        <w:rPr>
          <w:rtl/>
        </w:rPr>
        <w:t xml:space="preserve"> بما قدمه وفد الدولة الطرف من توضيحات بشأن التعديلات التي أدخلت على قانون الأجانب بموجب القانون التنظيمي رقم </w:t>
      </w:r>
      <w:r w:rsidR="0087385F" w:rsidRPr="00E44063">
        <w:rPr>
          <w:rFonts w:hint="cs"/>
          <w:rtl/>
        </w:rPr>
        <w:t>4</w:t>
      </w:r>
      <w:r w:rsidR="0087385F" w:rsidRPr="00D97B6F">
        <w:rPr>
          <w:rFonts w:hint="cs"/>
          <w:rtl/>
        </w:rPr>
        <w:t>/</w:t>
      </w:r>
      <w:r w:rsidR="0087385F" w:rsidRPr="00E44063">
        <w:rPr>
          <w:rFonts w:hint="cs"/>
          <w:rtl/>
        </w:rPr>
        <w:t>2015</w:t>
      </w:r>
      <w:r w:rsidRPr="00D97B6F">
        <w:rPr>
          <w:rtl/>
        </w:rPr>
        <w:t xml:space="preserve">، المؤرخ </w:t>
      </w:r>
      <w:r w:rsidRPr="00E44063">
        <w:rPr>
          <w:rtl/>
        </w:rPr>
        <w:t>30</w:t>
      </w:r>
      <w:r w:rsidRPr="00D97B6F">
        <w:rPr>
          <w:rtl/>
        </w:rPr>
        <w:t xml:space="preserve"> آذار/مارس </w:t>
      </w:r>
      <w:r w:rsidRPr="00E44063">
        <w:rPr>
          <w:rtl/>
        </w:rPr>
        <w:t>2015</w:t>
      </w:r>
      <w:r w:rsidRPr="00D97B6F">
        <w:rPr>
          <w:rtl/>
        </w:rPr>
        <w:t xml:space="preserve"> والمتعلق بحماية الأمن العام، وذلك بهدف إضفاء صبغة قانونية على هذه </w:t>
      </w:r>
      <w:proofErr w:type="gramStart"/>
      <w:r w:rsidRPr="00D97B6F">
        <w:rPr>
          <w:rtl/>
        </w:rPr>
        <w:t>الممارسة</w:t>
      </w:r>
      <w:r w:rsidR="002D233E" w:rsidRPr="00D97B6F">
        <w:rPr>
          <w:vertAlign w:val="superscript"/>
          <w:rtl/>
        </w:rPr>
        <w:t>(</w:t>
      </w:r>
      <w:proofErr w:type="gramEnd"/>
      <w:r w:rsidR="002D233E" w:rsidRPr="00E44063">
        <w:rPr>
          <w:vertAlign w:val="superscript"/>
          <w:lang w:val="en-AU"/>
        </w:rPr>
        <w:footnoteReference w:id="15"/>
      </w:r>
      <w:r w:rsidR="002D233E" w:rsidRPr="00D97B6F">
        <w:rPr>
          <w:rFonts w:hint="cs"/>
          <w:vertAlign w:val="superscript"/>
          <w:rtl/>
        </w:rPr>
        <w:t>)</w:t>
      </w:r>
      <w:r w:rsidR="002D233E" w:rsidRPr="00D97B6F">
        <w:rPr>
          <w:rtl/>
        </w:rPr>
        <w:t xml:space="preserve">، </w:t>
      </w:r>
      <w:r w:rsidRPr="00D97B6F">
        <w:rPr>
          <w:rtl/>
        </w:rPr>
        <w:t>كما ترحب بالتزام الدولة الطرف بتنفيذ هذه الممارسة وفقا</w:t>
      </w:r>
      <w:r w:rsidR="0073155B" w:rsidRPr="00D97B6F">
        <w:rPr>
          <w:rFonts w:hint="cs"/>
          <w:rtl/>
        </w:rPr>
        <w:t>ً</w:t>
      </w:r>
      <w:r w:rsidRPr="00D97B6F">
        <w:rPr>
          <w:rtl/>
        </w:rPr>
        <w:t xml:space="preserve"> للمعايير الدولية لحقوق الإنسان،</w:t>
      </w:r>
      <w:r w:rsidR="006C6085" w:rsidRPr="00D97B6F">
        <w:rPr>
          <w:rtl/>
        </w:rPr>
        <w:t xml:space="preserve"> </w:t>
      </w:r>
      <w:r w:rsidRPr="00D97B6F">
        <w:rPr>
          <w:rtl/>
        </w:rPr>
        <w:t xml:space="preserve">غير أنها تلاحظ في الوقت نفسه عدم وجود أي لوائح تنص على ضمانات تكفل رصد تنفيذ تلك الممارسة. وبالإضافة إلى ذلك، لم تقدم الدولة الطرف أي معلومات عن عدد الأشخاص الذين أعيدوا إلى الحدود خلال الفترة قيد الاستعراض (المواد </w:t>
      </w:r>
      <w:r w:rsidRPr="00E44063">
        <w:rPr>
          <w:rtl/>
        </w:rPr>
        <w:t>2</w:t>
      </w:r>
      <w:r w:rsidRPr="00D97B6F">
        <w:rPr>
          <w:rtl/>
        </w:rPr>
        <w:t xml:space="preserve"> و</w:t>
      </w:r>
      <w:r w:rsidRPr="00E44063">
        <w:rPr>
          <w:rtl/>
        </w:rPr>
        <w:t>3</w:t>
      </w:r>
      <w:r w:rsidRPr="00D97B6F">
        <w:rPr>
          <w:rtl/>
        </w:rPr>
        <w:t xml:space="preserve"> و</w:t>
      </w:r>
      <w:r w:rsidRPr="00E44063">
        <w:rPr>
          <w:rtl/>
        </w:rPr>
        <w:t>12</w:t>
      </w:r>
      <w:r w:rsidRPr="00D97B6F">
        <w:rPr>
          <w:rtl/>
        </w:rPr>
        <w:t xml:space="preserve"> و</w:t>
      </w:r>
      <w:r w:rsidRPr="00E44063">
        <w:rPr>
          <w:rtl/>
        </w:rPr>
        <w:t>13</w:t>
      </w:r>
      <w:r w:rsidRPr="00D97B6F">
        <w:rPr>
          <w:rtl/>
        </w:rPr>
        <w:t xml:space="preserve"> و</w:t>
      </w:r>
      <w:r w:rsidRPr="00E44063">
        <w:rPr>
          <w:rtl/>
        </w:rPr>
        <w:t>1</w:t>
      </w:r>
      <w:r w:rsidR="002D233E" w:rsidRPr="00E44063">
        <w:rPr>
          <w:rtl/>
        </w:rPr>
        <w:t>6</w:t>
      </w:r>
      <w:r w:rsidR="002D233E" w:rsidRPr="00D97B6F">
        <w:rPr>
          <w:rFonts w:ascii="Simplified Arabic"/>
          <w:szCs w:val="20"/>
          <w:rtl/>
        </w:rPr>
        <w:t>)</w:t>
      </w:r>
      <w:r w:rsidR="002D233E" w:rsidRPr="00D97B6F">
        <w:rPr>
          <w:rtl/>
        </w:rPr>
        <w:t>.</w:t>
      </w:r>
    </w:p>
    <w:p w14:paraId="6453E2CB" w14:textId="0C8EE7E0" w:rsidR="00774CA0" w:rsidRPr="00E44063" w:rsidRDefault="00774CA0" w:rsidP="00B04FFD">
      <w:pPr>
        <w:pStyle w:val="SingleTxtGA"/>
        <w:rPr>
          <w:b/>
          <w:bCs/>
          <w:szCs w:val="20"/>
          <w:lang w:val="ar-SA" w:eastAsia="zh-TW" w:bidi="en-GB"/>
        </w:rPr>
      </w:pPr>
      <w:r w:rsidRPr="00E44063">
        <w:rPr>
          <w:rtl/>
        </w:rPr>
        <w:t>32</w:t>
      </w:r>
      <w:r w:rsidRPr="00D97B6F">
        <w:rPr>
          <w:rtl/>
        </w:rPr>
        <w:t>-</w:t>
      </w:r>
      <w:r w:rsidRPr="00D97B6F">
        <w:rPr>
          <w:rtl/>
        </w:rPr>
        <w:tab/>
      </w:r>
      <w:r w:rsidRPr="00E44063">
        <w:rPr>
          <w:b/>
          <w:bCs/>
          <w:rtl/>
        </w:rPr>
        <w:t>ينبغي للدولة الطرف أن تقوم بما يلي:</w:t>
      </w:r>
    </w:p>
    <w:p w14:paraId="01306AC1" w14:textId="762C736D" w:rsidR="00774CA0" w:rsidRPr="00E44063" w:rsidRDefault="00B04FFD" w:rsidP="00B04FFD">
      <w:pPr>
        <w:pStyle w:val="SingleTxtGA"/>
        <w:rPr>
          <w:b/>
          <w:bCs/>
          <w:spacing w:val="4"/>
          <w:szCs w:val="20"/>
          <w:lang w:val="ar-SA" w:eastAsia="zh-TW" w:bidi="en-GB"/>
        </w:rPr>
      </w:pPr>
      <w:r w:rsidRPr="00D97B6F">
        <w:rPr>
          <w:spacing w:val="4"/>
          <w:rtl/>
        </w:rPr>
        <w:tab/>
      </w:r>
      <w:r w:rsidR="00774CA0" w:rsidRPr="00D97B6F">
        <w:rPr>
          <w:spacing w:val="4"/>
          <w:rtl/>
        </w:rPr>
        <w:t>(أ</w:t>
      </w:r>
      <w:r w:rsidR="00774CA0" w:rsidRPr="00D97B6F">
        <w:rPr>
          <w:rFonts w:ascii="Simplified Arabic"/>
          <w:spacing w:val="4"/>
          <w:szCs w:val="20"/>
          <w:rtl/>
        </w:rPr>
        <w:t>)</w:t>
      </w:r>
      <w:r w:rsidR="00774CA0" w:rsidRPr="00E44063">
        <w:rPr>
          <w:b/>
          <w:bCs/>
          <w:spacing w:val="4"/>
          <w:rtl/>
        </w:rPr>
        <w:tab/>
        <w:t>الحرص، قانوناً وممارسة، على عدم طرد أيّ شخص أو إعادته أو تسليمه إلى دولة أخرى عندما تكون هناك أسباب جدية تدعو إلى اعتقاد أنه سيكون عرضة لخطر التعذيب أو سوء المعاملة؛</w:t>
      </w:r>
      <w:bookmarkEnd w:id="2"/>
    </w:p>
    <w:p w14:paraId="397C1BE5" w14:textId="0E47DE6B" w:rsidR="00774CA0" w:rsidRPr="00E44063" w:rsidRDefault="00B04FFD" w:rsidP="00B04FFD">
      <w:pPr>
        <w:pStyle w:val="SingleTxtGA"/>
        <w:rPr>
          <w:b/>
          <w:bCs/>
          <w:szCs w:val="20"/>
          <w:lang w:val="en-US" w:eastAsia="zh-TW" w:bidi="en-GB"/>
        </w:rPr>
      </w:pPr>
      <w:r w:rsidRPr="00D97B6F">
        <w:rPr>
          <w:rtl/>
        </w:rPr>
        <w:tab/>
      </w:r>
      <w:r w:rsidR="00774CA0" w:rsidRPr="00D97B6F">
        <w:rPr>
          <w:rtl/>
        </w:rPr>
        <w:t>(ب</w:t>
      </w:r>
      <w:r w:rsidR="00774CA0" w:rsidRPr="00D97B6F">
        <w:rPr>
          <w:rFonts w:ascii="Simplified Arabic"/>
          <w:szCs w:val="20"/>
          <w:rtl/>
        </w:rPr>
        <w:t>)</w:t>
      </w:r>
      <w:r w:rsidR="00774CA0" w:rsidRPr="00E44063">
        <w:rPr>
          <w:b/>
          <w:bCs/>
          <w:rtl/>
        </w:rPr>
        <w:tab/>
        <w:t>ضمان استفادة جميع طالبي اللجوء وغيرهم من المحتاجين إلى الحماية الدولية الذين يحاولون الوصول إلى أراضيها أو وصولوا إلى أراضيها بالفعل، بصرف النظر عن طريقة وصولهم إليها، من إجراءات منصفة وفعالة لإقرار صفة اللاجئ، وعدم إعادتهم قسراً؛</w:t>
      </w:r>
    </w:p>
    <w:p w14:paraId="6946F95B" w14:textId="6C839068" w:rsidR="00774CA0" w:rsidRPr="00E44063" w:rsidRDefault="00B04FFD" w:rsidP="00B04FFD">
      <w:pPr>
        <w:pStyle w:val="SingleTxtGA"/>
        <w:rPr>
          <w:b/>
          <w:bCs/>
          <w:szCs w:val="20"/>
          <w:lang w:val="ar-SA" w:eastAsia="zh-TW" w:bidi="en-GB"/>
        </w:rPr>
      </w:pPr>
      <w:r w:rsidRPr="00D97B6F">
        <w:rPr>
          <w:rtl/>
        </w:rPr>
        <w:tab/>
      </w:r>
      <w:r w:rsidR="00774CA0" w:rsidRPr="00D97B6F">
        <w:rPr>
          <w:rtl/>
        </w:rPr>
        <w:t>(ج</w:t>
      </w:r>
      <w:r w:rsidR="00774CA0" w:rsidRPr="00D97B6F">
        <w:rPr>
          <w:rFonts w:ascii="Simplified Arabic"/>
          <w:szCs w:val="20"/>
          <w:rtl/>
        </w:rPr>
        <w:t>)</w:t>
      </w:r>
      <w:r w:rsidR="00774CA0" w:rsidRPr="00D97B6F">
        <w:rPr>
          <w:rtl/>
        </w:rPr>
        <w:tab/>
      </w:r>
      <w:r w:rsidR="00774CA0" w:rsidRPr="00E44063">
        <w:rPr>
          <w:b/>
          <w:bCs/>
          <w:rtl/>
        </w:rPr>
        <w:t>النظر في تعديل تشريعاتها وممارساتها المتعلقة بالإعادة القسرية إلى الحدود لضمان وصول جميع الأشخاص الخاضعين لولايتها القضائية والمحتاجين إلى الحماية الدولية إلى إجراءات لجوء منصفة؛</w:t>
      </w:r>
    </w:p>
    <w:p w14:paraId="62D90334" w14:textId="57DA4B32" w:rsidR="00774CA0" w:rsidRPr="00E44063" w:rsidRDefault="00B04FFD" w:rsidP="00B04FFD">
      <w:pPr>
        <w:pStyle w:val="SingleTxtGA"/>
        <w:rPr>
          <w:b/>
          <w:bCs/>
          <w:szCs w:val="20"/>
          <w:lang w:val="en-US" w:eastAsia="zh-TW" w:bidi="en-GB"/>
        </w:rPr>
      </w:pPr>
      <w:r w:rsidRPr="00D97B6F">
        <w:rPr>
          <w:rtl/>
        </w:rPr>
        <w:tab/>
      </w:r>
      <w:r w:rsidR="00774CA0" w:rsidRPr="00D97B6F">
        <w:rPr>
          <w:rtl/>
        </w:rPr>
        <w:t>(د</w:t>
      </w:r>
      <w:r w:rsidR="00774CA0" w:rsidRPr="00D97B6F">
        <w:rPr>
          <w:rFonts w:ascii="Simplified Arabic"/>
          <w:szCs w:val="20"/>
          <w:rtl/>
        </w:rPr>
        <w:t>)</w:t>
      </w:r>
      <w:r w:rsidR="00774CA0" w:rsidRPr="00E44063">
        <w:rPr>
          <w:b/>
          <w:bCs/>
          <w:rtl/>
        </w:rPr>
        <w:tab/>
        <w:t>جمع بيانات إحصائية شاملة ومصنفة عن عمليات الإعادة القسرية إلى الحدود ونشرها في تقريرها الدوري المقبل.</w:t>
      </w:r>
    </w:p>
    <w:p w14:paraId="3A5CD85A" w14:textId="77777777" w:rsidR="00774CA0" w:rsidRPr="00E44063" w:rsidRDefault="00774CA0" w:rsidP="00B04FFD">
      <w:pPr>
        <w:pStyle w:val="H23GA"/>
        <w:rPr>
          <w:rFonts w:eastAsia="Calibri"/>
          <w:szCs w:val="20"/>
          <w:lang w:val="ar-SA" w:eastAsia="zh-TW" w:bidi="en-GB"/>
        </w:rPr>
      </w:pPr>
      <w:r w:rsidRPr="00E44063">
        <w:rPr>
          <w:rtl/>
        </w:rPr>
        <w:tab/>
      </w:r>
      <w:r w:rsidRPr="00E44063">
        <w:rPr>
          <w:rtl/>
        </w:rPr>
        <w:tab/>
        <w:t>مراكز الإقامة المؤقتة المخصصة للمهاجرين ومراكز احتجاز الأجانب</w:t>
      </w:r>
    </w:p>
    <w:p w14:paraId="4C9C7CEE" w14:textId="4CE6EE4B" w:rsidR="002D233E" w:rsidRPr="00D97B6F" w:rsidRDefault="00774CA0" w:rsidP="00B04FFD">
      <w:pPr>
        <w:pStyle w:val="SingleTxtGA"/>
        <w:rPr>
          <w:szCs w:val="20"/>
          <w:lang w:val="ar-SA" w:eastAsia="zh-TW" w:bidi="en-GB"/>
        </w:rPr>
      </w:pPr>
      <w:r w:rsidRPr="00E44063">
        <w:rPr>
          <w:rtl/>
        </w:rPr>
        <w:t>33</w:t>
      </w:r>
      <w:r w:rsidRPr="00D97B6F">
        <w:rPr>
          <w:rtl/>
        </w:rPr>
        <w:t>-</w:t>
      </w:r>
      <w:r w:rsidRPr="00D97B6F">
        <w:rPr>
          <w:rtl/>
        </w:rPr>
        <w:tab/>
        <w:t>تحيط اللجنة علما</w:t>
      </w:r>
      <w:r w:rsidR="009F3961" w:rsidRPr="00D97B6F">
        <w:rPr>
          <w:rFonts w:hint="cs"/>
          <w:rtl/>
        </w:rPr>
        <w:t>ً</w:t>
      </w:r>
      <w:r w:rsidRPr="00D97B6F">
        <w:rPr>
          <w:rtl/>
        </w:rPr>
        <w:t xml:space="preserve"> بما قدمه وفد الدولة الطرف من معلومات عن مراكز الإقامة المؤقتة المخصصة للمهاجرين في سبتة ومليلية، ولا سيما البيانات المتعلقة بزيادة الأماكن المتاحة في تلك المراكز، وانخفاض معدلات شَغلها، وما يقدم فيها من مساعدة وخدمات، فضلا عن التخطيط لبناء </w:t>
      </w:r>
      <w:r w:rsidRPr="00E44063">
        <w:rPr>
          <w:rtl/>
        </w:rPr>
        <w:t>17</w:t>
      </w:r>
      <w:r w:rsidRPr="00D97B6F">
        <w:rPr>
          <w:rtl/>
        </w:rPr>
        <w:t xml:space="preserve"> مرفقاً جديداً من هذا القبيل. ومع ذلك، يساور اللجنة القلق إزاء التقارير التي تفيد بأن الخدمات الصحية </w:t>
      </w:r>
      <w:r w:rsidRPr="00D97B6F">
        <w:rPr>
          <w:rtl/>
        </w:rPr>
        <w:lastRenderedPageBreak/>
        <w:t>غير كافية وغير مناسبة لإيواء الأسر والأشخاص الذين يعيشون أوضاعاً هشة. وبالإضافة إلى ذلك، تحيط</w:t>
      </w:r>
      <w:r w:rsidR="006C6085" w:rsidRPr="00D97B6F">
        <w:rPr>
          <w:rtl/>
        </w:rPr>
        <w:t xml:space="preserve"> </w:t>
      </w:r>
      <w:r w:rsidRPr="00D97B6F">
        <w:rPr>
          <w:rtl/>
        </w:rPr>
        <w:t xml:space="preserve">اللجنة علماً باعتماد الخطة الرامية إلى تحسين الهياكل الأساسية في مراكز احتجاز الأجانب والحد من اكتظاظها، في عام </w:t>
      </w:r>
      <w:r w:rsidRPr="00E44063">
        <w:rPr>
          <w:rtl/>
        </w:rPr>
        <w:t>2019</w:t>
      </w:r>
      <w:r w:rsidRPr="00D97B6F">
        <w:rPr>
          <w:rtl/>
        </w:rPr>
        <w:t>، غير أنها لا تزال تشعر بالقلق إزاء التقارير التي تفيد بأن السلطات تلجأ إلى الاحتجاز في هذه المراكز بشكل مفرط من خلال تطبيق تدابير أمنية تنص على احتجاز الأشخاص (لمدة تصل إلى أربعين يوماً في المتوسط</w:t>
      </w:r>
      <w:r w:rsidR="002D233E" w:rsidRPr="00D97B6F">
        <w:rPr>
          <w:rtl/>
        </w:rPr>
        <w:t xml:space="preserve">)، </w:t>
      </w:r>
      <w:r w:rsidRPr="00D97B6F">
        <w:rPr>
          <w:rtl/>
        </w:rPr>
        <w:t>بمن فيهم الأشخاص الذين يعانون من مشاكل صحية خطيرة والنساء الحوامل، قبل الشروع في طردهم. وتفيد التقارير بوقوع حالات اعتداء وإساءة معاملة في هذه المراكز، وهي حالات لم تُجر أي تحقيقات فيها، فضلا</w:t>
      </w:r>
      <w:r w:rsidR="000C1E9D" w:rsidRPr="00D97B6F">
        <w:rPr>
          <w:rFonts w:hint="cs"/>
          <w:rtl/>
        </w:rPr>
        <w:t>ً</w:t>
      </w:r>
      <w:r w:rsidRPr="00D97B6F">
        <w:rPr>
          <w:rtl/>
        </w:rPr>
        <w:t xml:space="preserve"> عن افتقار هذه المراكز إلى خدمات الرعاية الصحية الكافية. وأخيرا، لا تزال اللجنة تشعر بالقلق إزاء التقارير التي تفيد بالإفراط في استخدام الاختبارات التي تنتهك حرمة الجسد لتحديد سن الأشخاص الذين يدعون أن أعمارهم تقل عن </w:t>
      </w:r>
      <w:r w:rsidRPr="00E44063">
        <w:rPr>
          <w:rtl/>
        </w:rPr>
        <w:t>18</w:t>
      </w:r>
      <w:r w:rsidRPr="00D97B6F">
        <w:rPr>
          <w:rtl/>
        </w:rPr>
        <w:t xml:space="preserve"> سنة (المواد </w:t>
      </w:r>
      <w:r w:rsidRPr="00E44063">
        <w:rPr>
          <w:rtl/>
        </w:rPr>
        <w:t>11</w:t>
      </w:r>
      <w:r w:rsidRPr="00D97B6F">
        <w:rPr>
          <w:rtl/>
        </w:rPr>
        <w:t>-</w:t>
      </w:r>
      <w:r w:rsidRPr="00E44063">
        <w:rPr>
          <w:rtl/>
        </w:rPr>
        <w:t>13</w:t>
      </w:r>
      <w:r w:rsidRPr="00D97B6F">
        <w:rPr>
          <w:rtl/>
        </w:rPr>
        <w:t xml:space="preserve"> والمادة </w:t>
      </w:r>
      <w:r w:rsidRPr="00E44063">
        <w:rPr>
          <w:rtl/>
        </w:rPr>
        <w:t>1</w:t>
      </w:r>
      <w:r w:rsidR="002D233E" w:rsidRPr="00E44063">
        <w:rPr>
          <w:rtl/>
        </w:rPr>
        <w:t>6</w:t>
      </w:r>
      <w:r w:rsidR="002D233E" w:rsidRPr="00D97B6F">
        <w:rPr>
          <w:rFonts w:ascii="Simplified Arabic"/>
          <w:szCs w:val="20"/>
          <w:rtl/>
        </w:rPr>
        <w:t>)</w:t>
      </w:r>
      <w:r w:rsidR="002D233E" w:rsidRPr="00D97B6F">
        <w:rPr>
          <w:rtl/>
        </w:rPr>
        <w:t>.</w:t>
      </w:r>
    </w:p>
    <w:p w14:paraId="63D403EE" w14:textId="2A719EFD" w:rsidR="00774CA0" w:rsidRPr="00E44063" w:rsidRDefault="00774CA0" w:rsidP="00B04FFD">
      <w:pPr>
        <w:pStyle w:val="SingleTxtGA"/>
        <w:rPr>
          <w:rFonts w:eastAsia="Calibri"/>
          <w:b/>
          <w:bCs/>
          <w:szCs w:val="20"/>
          <w:lang w:val="ar-SA" w:eastAsia="zh-TW" w:bidi="en-GB"/>
        </w:rPr>
      </w:pPr>
      <w:r w:rsidRPr="00E44063">
        <w:rPr>
          <w:rtl/>
        </w:rPr>
        <w:t>34</w:t>
      </w:r>
      <w:r w:rsidRPr="00D97B6F">
        <w:rPr>
          <w:rtl/>
        </w:rPr>
        <w:t>-</w:t>
      </w:r>
      <w:r w:rsidRPr="00D97B6F">
        <w:rPr>
          <w:rtl/>
        </w:rPr>
        <w:tab/>
      </w:r>
      <w:r w:rsidRPr="00E44063">
        <w:rPr>
          <w:b/>
          <w:bCs/>
          <w:rtl/>
        </w:rPr>
        <w:t>ينبغي للدولة الطرف أن تقوم بما يلي:</w:t>
      </w:r>
    </w:p>
    <w:p w14:paraId="57A7ABB5" w14:textId="0FE4CEB2" w:rsidR="00774CA0" w:rsidRPr="00E44063" w:rsidRDefault="00B04FFD" w:rsidP="00B04FFD">
      <w:pPr>
        <w:pStyle w:val="SingleTxtGA"/>
        <w:rPr>
          <w:rFonts w:eastAsia="Calibri"/>
          <w:b/>
          <w:bCs/>
          <w:spacing w:val="2"/>
          <w:szCs w:val="20"/>
          <w:lang w:val="ar-SA" w:eastAsia="zh-TW" w:bidi="en-GB"/>
        </w:rPr>
      </w:pPr>
      <w:r w:rsidRPr="00D97B6F">
        <w:rPr>
          <w:spacing w:val="2"/>
          <w:rtl/>
        </w:rPr>
        <w:tab/>
      </w:r>
      <w:r w:rsidR="00774CA0" w:rsidRPr="00D97B6F">
        <w:rPr>
          <w:spacing w:val="2"/>
          <w:rtl/>
        </w:rPr>
        <w:t>(أ)</w:t>
      </w:r>
      <w:r w:rsidR="00774CA0" w:rsidRPr="00E44063">
        <w:rPr>
          <w:b/>
          <w:bCs/>
          <w:spacing w:val="2"/>
          <w:rtl/>
        </w:rPr>
        <w:tab/>
        <w:t>الامتناع عن احتجاز المهاجرين غير النظاميين وطالبي اللجوء لفترات طويلة، وعدم اللجوء إلى احتجازهم إلا كملاذ أخير ولأقصر فترة زمنية ممكنة، والاستمرار في تطبيق التدابير غير الاحتجازية؛</w:t>
      </w:r>
    </w:p>
    <w:p w14:paraId="56732E52" w14:textId="5E055B00" w:rsidR="00774CA0" w:rsidRPr="00E44063" w:rsidRDefault="00B04FFD" w:rsidP="00B04FFD">
      <w:pPr>
        <w:pStyle w:val="SingleTxtGA"/>
        <w:rPr>
          <w:rFonts w:eastAsia="Calibri"/>
          <w:b/>
          <w:bCs/>
          <w:szCs w:val="20"/>
          <w:lang w:val="ar-SA" w:eastAsia="zh-TW" w:bidi="en-GB"/>
        </w:rPr>
      </w:pPr>
      <w:r w:rsidRPr="00D97B6F">
        <w:rPr>
          <w:rtl/>
        </w:rPr>
        <w:tab/>
      </w:r>
      <w:r w:rsidR="00774CA0" w:rsidRPr="00D97B6F">
        <w:rPr>
          <w:rtl/>
        </w:rPr>
        <w:t>(ب</w:t>
      </w:r>
      <w:r w:rsidR="00774CA0" w:rsidRPr="00D97B6F">
        <w:rPr>
          <w:rFonts w:ascii="Simplified Arabic"/>
          <w:szCs w:val="20"/>
          <w:rtl/>
        </w:rPr>
        <w:t>)</w:t>
      </w:r>
      <w:r w:rsidR="00774CA0" w:rsidRPr="00E44063">
        <w:rPr>
          <w:b/>
          <w:bCs/>
          <w:rtl/>
        </w:rPr>
        <w:tab/>
        <w:t>ضمان عدم احتجاز القصر غير المصحوبين والأسر التي لديها أطفال قُصر لا</w:t>
      </w:r>
      <w:r w:rsidR="00D97B6F" w:rsidRPr="00E44063">
        <w:rPr>
          <w:rFonts w:hint="cs"/>
          <w:b/>
          <w:bCs/>
          <w:rtl/>
        </w:rPr>
        <w:t> </w:t>
      </w:r>
      <w:r w:rsidR="00774CA0" w:rsidRPr="00E44063">
        <w:rPr>
          <w:b/>
          <w:bCs/>
          <w:rtl/>
        </w:rPr>
        <w:t>لشيء إلا بسبب وضعهم كمهاجرين غير نظاميين، والامتناع عن إجراء اختبارات السن التي تنتهك حرمة الجسد وضمان عدم إجراء هذه الاختبارات إلا كملاذ أخير ومن جانب أخصائيين متعددي التخصصات ومراعاتها لمصالح الطفل الفضلى؛</w:t>
      </w:r>
    </w:p>
    <w:p w14:paraId="1BC4EB63" w14:textId="1E22B528" w:rsidR="00774CA0" w:rsidRPr="00E44063" w:rsidRDefault="00B04FFD" w:rsidP="00B04FFD">
      <w:pPr>
        <w:pStyle w:val="SingleTxtGA"/>
        <w:rPr>
          <w:rFonts w:eastAsia="Calibri"/>
          <w:b/>
          <w:bCs/>
          <w:szCs w:val="20"/>
          <w:lang w:val="en-US" w:eastAsia="zh-TW" w:bidi="en-GB"/>
        </w:rPr>
      </w:pPr>
      <w:r w:rsidRPr="00D97B6F">
        <w:rPr>
          <w:rtl/>
        </w:rPr>
        <w:tab/>
      </w:r>
      <w:r w:rsidR="00774CA0" w:rsidRPr="00D97B6F">
        <w:rPr>
          <w:rtl/>
        </w:rPr>
        <w:t>(ج</w:t>
      </w:r>
      <w:r w:rsidR="00774CA0" w:rsidRPr="00D97B6F">
        <w:rPr>
          <w:rFonts w:ascii="Simplified Arabic"/>
          <w:szCs w:val="20"/>
          <w:rtl/>
        </w:rPr>
        <w:t>)</w:t>
      </w:r>
      <w:r w:rsidR="00774CA0" w:rsidRPr="00E44063">
        <w:rPr>
          <w:b/>
          <w:bCs/>
          <w:rtl/>
        </w:rPr>
        <w:tab/>
        <w:t>ضمان ظروف عيش ملائمة في جميع مراكز احتجاز المهاجرين ومراكز الإقامة المؤقتة المخصصة للمهاجرين في سبتة ومليلية، وضمان حصولهم على الرعاية الصحية الجيدة؛</w:t>
      </w:r>
    </w:p>
    <w:p w14:paraId="6C870882" w14:textId="16B7A431" w:rsidR="00774CA0" w:rsidRPr="00E44063" w:rsidRDefault="00B04FFD" w:rsidP="00B04FFD">
      <w:pPr>
        <w:pStyle w:val="SingleTxtGA"/>
        <w:rPr>
          <w:rFonts w:eastAsia="Calibri"/>
          <w:b/>
          <w:bCs/>
          <w:spacing w:val="-2"/>
          <w:szCs w:val="20"/>
          <w:lang w:val="en-US" w:eastAsia="zh-TW" w:bidi="en-GB"/>
        </w:rPr>
      </w:pPr>
      <w:r w:rsidRPr="00D97B6F">
        <w:rPr>
          <w:spacing w:val="-2"/>
          <w:rtl/>
        </w:rPr>
        <w:tab/>
      </w:r>
      <w:r w:rsidR="00774CA0" w:rsidRPr="00D97B6F">
        <w:rPr>
          <w:spacing w:val="-2"/>
          <w:rtl/>
        </w:rPr>
        <w:t>(د</w:t>
      </w:r>
      <w:r w:rsidR="00774CA0" w:rsidRPr="00D97B6F">
        <w:rPr>
          <w:rFonts w:ascii="Simplified Arabic"/>
          <w:spacing w:val="-2"/>
          <w:szCs w:val="20"/>
          <w:rtl/>
        </w:rPr>
        <w:t>)</w:t>
      </w:r>
      <w:r w:rsidR="00774CA0" w:rsidRPr="00E44063">
        <w:rPr>
          <w:b/>
          <w:bCs/>
          <w:spacing w:val="-2"/>
          <w:rtl/>
        </w:rPr>
        <w:tab/>
        <w:t>ضمان وصول الأشخاص المحتجزين في هذه المراكز إلى آليات فعالة لتقديم الشكاوى؛</w:t>
      </w:r>
    </w:p>
    <w:p w14:paraId="135E5160" w14:textId="6FE3F194" w:rsidR="00774CA0" w:rsidRPr="00E44063" w:rsidRDefault="00B04FFD" w:rsidP="00B04FFD">
      <w:pPr>
        <w:pStyle w:val="SingleTxtGA"/>
        <w:rPr>
          <w:rFonts w:eastAsia="Calibri"/>
          <w:b/>
          <w:bCs/>
          <w:spacing w:val="-2"/>
          <w:szCs w:val="20"/>
          <w:lang w:val="ar-SA" w:eastAsia="zh-TW" w:bidi="en-GB"/>
        </w:rPr>
      </w:pPr>
      <w:r w:rsidRPr="00D97B6F">
        <w:rPr>
          <w:spacing w:val="-2"/>
          <w:rtl/>
        </w:rPr>
        <w:tab/>
      </w:r>
      <w:r w:rsidR="00774CA0" w:rsidRPr="00D97B6F">
        <w:rPr>
          <w:rtl/>
        </w:rPr>
        <w:t>(هـ)</w:t>
      </w:r>
      <w:r w:rsidR="00774CA0" w:rsidRPr="00E44063">
        <w:rPr>
          <w:b/>
          <w:bCs/>
          <w:rtl/>
        </w:rPr>
        <w:tab/>
        <w:t>التحقيق في الانتهاكات المحتملة وأعمال العنف التي يزعم أنها ارتُكبت في حق</w:t>
      </w:r>
      <w:r w:rsidR="00774CA0" w:rsidRPr="00E44063">
        <w:rPr>
          <w:b/>
          <w:bCs/>
          <w:spacing w:val="-2"/>
          <w:rtl/>
        </w:rPr>
        <w:t xml:space="preserve"> الأشخاص المحتجزين في كل من مراكز احتجاز المهاجرين ومراكز الإقامة المؤقتة المخصصة للمهاجرين؛</w:t>
      </w:r>
    </w:p>
    <w:p w14:paraId="246483F4" w14:textId="6D3A47DE" w:rsidR="00774CA0" w:rsidRPr="00E44063" w:rsidRDefault="00B04FFD" w:rsidP="00B04FFD">
      <w:pPr>
        <w:pStyle w:val="SingleTxtGA"/>
        <w:rPr>
          <w:rFonts w:eastAsia="Calibri"/>
          <w:b/>
          <w:bCs/>
          <w:szCs w:val="20"/>
          <w:lang w:val="ar-SA" w:eastAsia="zh-TW" w:bidi="en-GB"/>
        </w:rPr>
      </w:pPr>
      <w:r w:rsidRPr="00D97B6F">
        <w:rPr>
          <w:rtl/>
        </w:rPr>
        <w:tab/>
      </w:r>
      <w:r w:rsidR="00774CA0" w:rsidRPr="00D97B6F">
        <w:rPr>
          <w:rtl/>
        </w:rPr>
        <w:t>(و</w:t>
      </w:r>
      <w:r w:rsidR="00774CA0" w:rsidRPr="00D97B6F">
        <w:rPr>
          <w:rFonts w:ascii="Simplified Arabic"/>
          <w:szCs w:val="20"/>
          <w:rtl/>
        </w:rPr>
        <w:t>)</w:t>
      </w:r>
      <w:r w:rsidR="00774CA0" w:rsidRPr="00E44063">
        <w:rPr>
          <w:b/>
          <w:bCs/>
          <w:rtl/>
        </w:rPr>
        <w:tab/>
        <w:t>ضمان إبلاغ الأشخاص المحتجزين في مراكز احتجاز المهاجرين ومراكز الإقامة المؤقتة للمهاجرين بحقوقهم، بما فيها الحق في طلب اللجوء.</w:t>
      </w:r>
    </w:p>
    <w:p w14:paraId="3F26E455" w14:textId="77777777" w:rsidR="00774CA0" w:rsidRPr="00E44063" w:rsidRDefault="00774CA0" w:rsidP="00B04FFD">
      <w:pPr>
        <w:pStyle w:val="H23GA"/>
        <w:rPr>
          <w:szCs w:val="20"/>
          <w:shd w:val="clear" w:color="auto" w:fill="FFFFFF"/>
          <w:lang w:val="ar-SA" w:eastAsia="zh-TW" w:bidi="en-GB"/>
        </w:rPr>
      </w:pPr>
      <w:r w:rsidRPr="00E44063">
        <w:rPr>
          <w:rtl/>
        </w:rPr>
        <w:tab/>
      </w:r>
      <w:r w:rsidRPr="00E44063">
        <w:rPr>
          <w:rtl/>
        </w:rPr>
        <w:tab/>
        <w:t>انتهاكات حقوق الإنسان التي ارتُكبت في الماضي، ولا سيما أفعال التعذيب والاختفاء القسري</w:t>
      </w:r>
    </w:p>
    <w:p w14:paraId="51B245E8" w14:textId="6AABE55F" w:rsidR="002D233E" w:rsidRPr="00D97B6F" w:rsidRDefault="00774CA0" w:rsidP="0037189A">
      <w:pPr>
        <w:pStyle w:val="SingleTxtGA"/>
        <w:rPr>
          <w:rFonts w:cstheme="minorHAnsi"/>
          <w:szCs w:val="20"/>
          <w:lang w:val="ar-SA" w:eastAsia="zh-TW" w:bidi="en-GB"/>
        </w:rPr>
      </w:pPr>
      <w:r w:rsidRPr="00E44063">
        <w:rPr>
          <w:rtl/>
        </w:rPr>
        <w:t>35</w:t>
      </w:r>
      <w:r w:rsidRPr="00D97B6F">
        <w:rPr>
          <w:rtl/>
        </w:rPr>
        <w:t>-</w:t>
      </w:r>
      <w:r w:rsidRPr="00D97B6F">
        <w:rPr>
          <w:rtl/>
        </w:rPr>
        <w:tab/>
        <w:t xml:space="preserve">ترحب اللجنة بسن قانون الذاكرة الديمقراطية لعام </w:t>
      </w:r>
      <w:r w:rsidRPr="00E44063">
        <w:rPr>
          <w:rtl/>
        </w:rPr>
        <w:t>2022</w:t>
      </w:r>
      <w:r w:rsidRPr="00D97B6F">
        <w:rPr>
          <w:rtl/>
        </w:rPr>
        <w:t xml:space="preserve">، وتمخضه عن اعتماد سياسات عامة جديدة تهدف إلى إعمال حق ضحايا الحرب الأهلية وعهد الديكتاتورية في معرفة الحقيقة وفي العدالة وفي جبر ما لحق بهم من ضرر وفي ضمانات عدم التكرار، كما ترحب بالتقدم الذي يمثله هذا القانون مقارنة بقانون الذاكرة التاريخية لعام </w:t>
      </w:r>
      <w:r w:rsidRPr="00E44063">
        <w:rPr>
          <w:rtl/>
        </w:rPr>
        <w:t>2007</w:t>
      </w:r>
      <w:r w:rsidRPr="00D97B6F">
        <w:rPr>
          <w:rtl/>
        </w:rPr>
        <w:t xml:space="preserve"> نظراً إلى أنه ينص صراحة على أن الإدارة العامة للدولة مسؤولة عن البحث عن الأشخاص الذين اختفوا إبان تلك الحقبة. ومع ذلك، تأسف اللجنة لعدم تذليل قانون الذاكرة الديمقراطية العقبات التي قد تعوق التحقيق في الانتهاكات الجسيمة لحقوق الإنسان، مثل أفعال التعذيب والاختفاء القسري، التي ارتكبت في الماضي في إسبانيا، وذلك في ضوء عدم إلغاء قانون العفو العام </w:t>
      </w:r>
      <w:r w:rsidRPr="00D97B6F">
        <w:rPr>
          <w:rtl/>
        </w:rPr>
        <w:lastRenderedPageBreak/>
        <w:t>لسنة</w:t>
      </w:r>
      <w:r w:rsidR="000C1E9D" w:rsidRPr="00D97B6F">
        <w:rPr>
          <w:rFonts w:hint="cs"/>
          <w:rtl/>
        </w:rPr>
        <w:t> </w:t>
      </w:r>
      <w:r w:rsidRPr="00E44063">
        <w:rPr>
          <w:rtl/>
        </w:rPr>
        <w:t>1977</w:t>
      </w:r>
      <w:r w:rsidR="002D233E" w:rsidRPr="00D97B6F">
        <w:rPr>
          <w:vertAlign w:val="superscript"/>
          <w:rtl/>
        </w:rPr>
        <w:t>(</w:t>
      </w:r>
      <w:r w:rsidR="002D233E" w:rsidRPr="00E44063">
        <w:rPr>
          <w:vertAlign w:val="superscript"/>
          <w:lang w:val="en-AU"/>
        </w:rPr>
        <w:footnoteReference w:id="16"/>
      </w:r>
      <w:r w:rsidR="002D233E" w:rsidRPr="00D97B6F">
        <w:rPr>
          <w:rFonts w:hint="cs"/>
          <w:vertAlign w:val="superscript"/>
          <w:rtl/>
        </w:rPr>
        <w:t>)</w:t>
      </w:r>
      <w:r w:rsidR="002D233E" w:rsidRPr="00D97B6F">
        <w:rPr>
          <w:rtl/>
        </w:rPr>
        <w:t xml:space="preserve">. </w:t>
      </w:r>
      <w:r w:rsidRPr="00D97B6F">
        <w:rPr>
          <w:rtl/>
        </w:rPr>
        <w:t>ووفقا</w:t>
      </w:r>
      <w:r w:rsidR="0073155B" w:rsidRPr="00D97B6F">
        <w:rPr>
          <w:rFonts w:hint="cs"/>
          <w:rtl/>
        </w:rPr>
        <w:t>ً</w:t>
      </w:r>
      <w:r w:rsidRPr="00D97B6F">
        <w:rPr>
          <w:rtl/>
        </w:rPr>
        <w:t xml:space="preserve"> للتوضيحات التي قدمها وفد الدولة الطرف، ينص قانون الذاكرة الديمقراطية على إجراءات تهدف إلى ضمان وصول ضحايا انتهاكات حقوق الإنسان التي وقعت في الماضي إلى الحقيقة من خلال تكليف هيئة متخصصة تابعة لمكتب المدعي العام بإجراء تحقيقات رسمية في تلك الانتهاكات، وإنشاء إجراء قضائي جديد لإثبات وقائع معينة، ومنح الأشخاص المعنيين صفة الضحايا (القانون رقم</w:t>
      </w:r>
      <w:r w:rsidR="000C1E9D" w:rsidRPr="00D97B6F">
        <w:rPr>
          <w:rFonts w:hint="cs"/>
          <w:rtl/>
        </w:rPr>
        <w:t> </w:t>
      </w:r>
      <w:r w:rsidR="000C1E9D" w:rsidRPr="00E44063">
        <w:rPr>
          <w:rFonts w:hint="cs"/>
          <w:rtl/>
        </w:rPr>
        <w:t>4</w:t>
      </w:r>
      <w:r w:rsidR="000C1E9D" w:rsidRPr="00D97B6F">
        <w:rPr>
          <w:rFonts w:hint="cs"/>
          <w:rtl/>
        </w:rPr>
        <w:t>/</w:t>
      </w:r>
      <w:r w:rsidR="000C1E9D" w:rsidRPr="00E44063">
        <w:rPr>
          <w:rFonts w:hint="cs"/>
          <w:rtl/>
        </w:rPr>
        <w:t>2015</w:t>
      </w:r>
      <w:r w:rsidRPr="00D97B6F">
        <w:rPr>
          <w:rtl/>
        </w:rPr>
        <w:t xml:space="preserve"> المؤرخ </w:t>
      </w:r>
      <w:r w:rsidRPr="00E44063">
        <w:rPr>
          <w:rtl/>
        </w:rPr>
        <w:t>27</w:t>
      </w:r>
      <w:r w:rsidRPr="00D97B6F">
        <w:rPr>
          <w:rtl/>
        </w:rPr>
        <w:t xml:space="preserve"> نيسان/أبريل </w:t>
      </w:r>
      <w:r w:rsidRPr="00E44063">
        <w:rPr>
          <w:rtl/>
        </w:rPr>
        <w:t>201</w:t>
      </w:r>
      <w:r w:rsidR="002D233E" w:rsidRPr="00E44063">
        <w:rPr>
          <w:rtl/>
        </w:rPr>
        <w:t>5</w:t>
      </w:r>
      <w:r w:rsidR="002D233E" w:rsidRPr="00D97B6F">
        <w:rPr>
          <w:rFonts w:ascii="Simplified Arabic"/>
          <w:szCs w:val="20"/>
          <w:rtl/>
        </w:rPr>
        <w:t>)</w:t>
      </w:r>
      <w:r w:rsidR="002D233E" w:rsidRPr="00D97B6F">
        <w:rPr>
          <w:rtl/>
        </w:rPr>
        <w:t xml:space="preserve"> </w:t>
      </w:r>
      <w:r w:rsidRPr="00D97B6F">
        <w:rPr>
          <w:rFonts w:ascii="Simplified Arabic"/>
          <w:szCs w:val="20"/>
          <w:rtl/>
        </w:rPr>
        <w:t>(</w:t>
      </w:r>
      <w:r w:rsidRPr="00D97B6F">
        <w:rPr>
          <w:rtl/>
        </w:rPr>
        <w:t xml:space="preserve">المواد من </w:t>
      </w:r>
      <w:r w:rsidRPr="00E44063">
        <w:rPr>
          <w:rtl/>
        </w:rPr>
        <w:t>12</w:t>
      </w:r>
      <w:r w:rsidRPr="00D97B6F">
        <w:rPr>
          <w:rtl/>
        </w:rPr>
        <w:t xml:space="preserve"> إلى</w:t>
      </w:r>
      <w:r w:rsidRPr="00E44063">
        <w:rPr>
          <w:rtl/>
        </w:rPr>
        <w:t>1</w:t>
      </w:r>
      <w:r w:rsidR="002D233E" w:rsidRPr="00E44063">
        <w:rPr>
          <w:rtl/>
        </w:rPr>
        <w:t>6</w:t>
      </w:r>
      <w:r w:rsidR="002D233E" w:rsidRPr="00D97B6F">
        <w:rPr>
          <w:rFonts w:ascii="Simplified Arabic"/>
          <w:szCs w:val="20"/>
          <w:rtl/>
        </w:rPr>
        <w:t>)</w:t>
      </w:r>
      <w:r w:rsidR="002D233E" w:rsidRPr="00D97B6F">
        <w:rPr>
          <w:rtl/>
        </w:rPr>
        <w:t>.</w:t>
      </w:r>
    </w:p>
    <w:p w14:paraId="15905963" w14:textId="38D20CD7" w:rsidR="002D233E" w:rsidRPr="00E44063" w:rsidRDefault="00774CA0" w:rsidP="00B04FFD">
      <w:pPr>
        <w:pStyle w:val="SingleTxtGA"/>
        <w:rPr>
          <w:b/>
          <w:bCs/>
          <w:szCs w:val="20"/>
          <w:lang w:val="ar-SA" w:eastAsia="zh-TW" w:bidi="en-GB"/>
        </w:rPr>
      </w:pPr>
      <w:r w:rsidRPr="00E44063">
        <w:rPr>
          <w:rtl/>
        </w:rPr>
        <w:t>36</w:t>
      </w:r>
      <w:r w:rsidRPr="00D97B6F">
        <w:rPr>
          <w:rtl/>
        </w:rPr>
        <w:t>-</w:t>
      </w:r>
      <w:r w:rsidRPr="00E44063">
        <w:rPr>
          <w:b/>
          <w:bCs/>
          <w:rtl/>
        </w:rPr>
        <w:tab/>
        <w:t xml:space="preserve">تكرر اللجنة توصيتها الواردة في ملاحظاتها الختامية </w:t>
      </w:r>
      <w:proofErr w:type="gramStart"/>
      <w:r w:rsidRPr="00E44063">
        <w:rPr>
          <w:b/>
          <w:bCs/>
          <w:rtl/>
        </w:rPr>
        <w:t>السابقة</w:t>
      </w:r>
      <w:r w:rsidR="002D233E" w:rsidRPr="00E44063">
        <w:rPr>
          <w:vertAlign w:val="superscript"/>
          <w:rtl/>
        </w:rPr>
        <w:t>(</w:t>
      </w:r>
      <w:proofErr w:type="gramEnd"/>
      <w:r w:rsidR="002D233E" w:rsidRPr="00E44063">
        <w:rPr>
          <w:vertAlign w:val="superscript"/>
          <w:lang w:val="en-AU"/>
        </w:rPr>
        <w:footnoteReference w:id="17"/>
      </w:r>
      <w:r w:rsidRPr="00E44063">
        <w:rPr>
          <w:vertAlign w:val="superscript"/>
          <w:rtl/>
        </w:rPr>
        <w:t>)</w:t>
      </w:r>
      <w:r w:rsidRPr="00E44063">
        <w:rPr>
          <w:b/>
          <w:bCs/>
          <w:rtl/>
        </w:rPr>
        <w:t> وتدعو الدولة الطرف إلى اعتماد جميع التدابير التشريعية وغيرها من التدابير اللازمة لضمان حظر خضوع جرائم التعذيب والاختفاء القسري للعفو أو التقادم واحترام هذا الحظر احتراماً صارماً في الممارسة العملية. وفي هذا الصدد، تدعو اللجنة الدولة الطرف إلى النظر في إلغاء قانون العفو العام لسنة 197</w:t>
      </w:r>
      <w:r w:rsidR="002D233E" w:rsidRPr="00E44063">
        <w:rPr>
          <w:b/>
          <w:bCs/>
          <w:rtl/>
        </w:rPr>
        <w:t>7.</w:t>
      </w:r>
    </w:p>
    <w:p w14:paraId="04837C21" w14:textId="5DC1DDD7" w:rsidR="00774CA0" w:rsidRPr="00E44063" w:rsidRDefault="00774CA0" w:rsidP="00B04FFD">
      <w:pPr>
        <w:pStyle w:val="H23GA"/>
        <w:rPr>
          <w:szCs w:val="20"/>
          <w:lang w:val="ar-SA" w:eastAsia="zh-TW" w:bidi="en-GB"/>
        </w:rPr>
      </w:pPr>
      <w:r w:rsidRPr="00E44063">
        <w:rPr>
          <w:rtl/>
        </w:rPr>
        <w:tab/>
      </w:r>
      <w:r w:rsidRPr="00E44063">
        <w:rPr>
          <w:rtl/>
        </w:rPr>
        <w:tab/>
        <w:t>جبر الضرر</w:t>
      </w:r>
    </w:p>
    <w:p w14:paraId="147122E0" w14:textId="3792B821" w:rsidR="002D233E" w:rsidRPr="00E44063" w:rsidRDefault="00774CA0" w:rsidP="00B04FFD">
      <w:pPr>
        <w:pStyle w:val="SingleTxtGA"/>
        <w:rPr>
          <w:rFonts w:eastAsia="Arial"/>
          <w:b/>
          <w:szCs w:val="20"/>
          <w:lang w:val="ar-SA" w:eastAsia="zh-TW" w:bidi="en-GB"/>
        </w:rPr>
      </w:pPr>
      <w:r w:rsidRPr="00E44063">
        <w:rPr>
          <w:rtl/>
        </w:rPr>
        <w:t>37</w:t>
      </w:r>
      <w:r w:rsidRPr="00D97B6F">
        <w:rPr>
          <w:rtl/>
        </w:rPr>
        <w:t>-</w:t>
      </w:r>
      <w:r w:rsidRPr="00D97B6F">
        <w:rPr>
          <w:rtl/>
        </w:rPr>
        <w:tab/>
        <w:t xml:space="preserve">تأسف اللجنة لأن الدولة الطرف لم توافها بمعلومات شاملة عن الموارد والميزانية المخصصتين لتنفيذ القانون رقم </w:t>
      </w:r>
      <w:r w:rsidR="000C1E9D" w:rsidRPr="00E44063">
        <w:rPr>
          <w:rFonts w:hint="cs"/>
          <w:rtl/>
        </w:rPr>
        <w:t>4</w:t>
      </w:r>
      <w:r w:rsidR="000C1E9D" w:rsidRPr="00D97B6F">
        <w:rPr>
          <w:rFonts w:hint="cs"/>
          <w:rtl/>
        </w:rPr>
        <w:t>/</w:t>
      </w:r>
      <w:r w:rsidR="000C1E9D" w:rsidRPr="00E44063">
        <w:rPr>
          <w:rFonts w:hint="cs"/>
          <w:rtl/>
        </w:rPr>
        <w:t>2015</w:t>
      </w:r>
      <w:r w:rsidRPr="00D97B6F">
        <w:rPr>
          <w:rtl/>
        </w:rPr>
        <w:t xml:space="preserve"> المؤرخ </w:t>
      </w:r>
      <w:r w:rsidRPr="00E44063">
        <w:rPr>
          <w:rtl/>
        </w:rPr>
        <w:t>27</w:t>
      </w:r>
      <w:r w:rsidRPr="00D97B6F">
        <w:rPr>
          <w:rtl/>
        </w:rPr>
        <w:t xml:space="preserve"> نيسان/أبريل </w:t>
      </w:r>
      <w:r w:rsidRPr="00E44063">
        <w:rPr>
          <w:rtl/>
        </w:rPr>
        <w:t>2015</w:t>
      </w:r>
      <w:r w:rsidRPr="00D97B6F">
        <w:rPr>
          <w:rtl/>
        </w:rPr>
        <w:t xml:space="preserve"> والمتعلق بمنح الأشخاص الذين يتعرضون للتعذيب أو سوء المعاملة صفة الضحايا، ولأنها لم تقدم بيانات إحصائية محدثة عن عدد ضحايا جرائم التعذيب أو سوء المعاملة الذين حصلوا على تعويض بموجب هذا القانون. ومع ذلك، تعرب اللجنة عن تقديرها للدولة الطرف لما قدمته من معلومات عن مكاتب دعم الضحايا التي تتعامل مع جميع أنواع الجرائم، ولما قدمته من توضيحات بشأن برامج إعادة التأهيل. غير أنها تعرب عن قلقها إزاء الحكم الذي صدر في </w:t>
      </w:r>
      <w:r w:rsidRPr="00E44063">
        <w:rPr>
          <w:rtl/>
        </w:rPr>
        <w:t>13</w:t>
      </w:r>
      <w:r w:rsidRPr="00D97B6F">
        <w:rPr>
          <w:rtl/>
        </w:rPr>
        <w:t xml:space="preserve"> أيار/مايو </w:t>
      </w:r>
      <w:r w:rsidRPr="00E44063">
        <w:rPr>
          <w:rtl/>
        </w:rPr>
        <w:t>2023</w:t>
      </w:r>
      <w:r w:rsidR="002D233E" w:rsidRPr="00D97B6F">
        <w:rPr>
          <w:vertAlign w:val="superscript"/>
          <w:rtl/>
        </w:rPr>
        <w:t>(</w:t>
      </w:r>
      <w:r w:rsidR="002D233E" w:rsidRPr="00E44063">
        <w:rPr>
          <w:vertAlign w:val="superscript"/>
          <w:lang w:val="en-AU"/>
        </w:rPr>
        <w:footnoteReference w:id="18"/>
      </w:r>
      <w:r w:rsidR="002D233E" w:rsidRPr="00D97B6F">
        <w:rPr>
          <w:vertAlign w:val="superscript"/>
          <w:rtl/>
        </w:rPr>
        <w:t>)</w:t>
      </w:r>
      <w:r w:rsidR="002D233E" w:rsidRPr="00D97B6F">
        <w:rPr>
          <w:rtl/>
        </w:rPr>
        <w:t xml:space="preserve">، </w:t>
      </w:r>
      <w:r w:rsidRPr="00D97B6F">
        <w:rPr>
          <w:rtl/>
        </w:rPr>
        <w:t xml:space="preserve">والذي ألغت بموجبه المحكمة العليا دفع تعويض قدره </w:t>
      </w:r>
      <w:r w:rsidR="00E3216D" w:rsidRPr="00E44063">
        <w:rPr>
          <w:rFonts w:hint="cs"/>
          <w:rtl/>
        </w:rPr>
        <w:t>000</w:t>
      </w:r>
      <w:r w:rsidR="00E3216D" w:rsidRPr="00D97B6F">
        <w:rPr>
          <w:rFonts w:hint="cs"/>
          <w:rtl/>
        </w:rPr>
        <w:t xml:space="preserve"> </w:t>
      </w:r>
      <w:r w:rsidR="00E3216D" w:rsidRPr="00E44063">
        <w:rPr>
          <w:rFonts w:hint="cs"/>
          <w:rtl/>
        </w:rPr>
        <w:t>3</w:t>
      </w:r>
      <w:r w:rsidRPr="00D97B6F">
        <w:rPr>
          <w:rtl/>
        </w:rPr>
        <w:t xml:space="preserve"> يورو لضحية تعرضت للضرب أثناء عملية نفذتها الشرطة، وهي قضية كانت موضوع بلاغ فردي قدم إلى اللجنة (المادة </w:t>
      </w:r>
      <w:proofErr w:type="gramStart"/>
      <w:r w:rsidRPr="00E44063">
        <w:rPr>
          <w:rtl/>
        </w:rPr>
        <w:t>14</w:t>
      </w:r>
      <w:r w:rsidRPr="00D97B6F">
        <w:rPr>
          <w:rFonts w:ascii="Simplified Arabic"/>
          <w:szCs w:val="20"/>
          <w:rtl/>
        </w:rPr>
        <w:t>)</w:t>
      </w:r>
      <w:r w:rsidR="002D233E" w:rsidRPr="00D97B6F">
        <w:rPr>
          <w:vertAlign w:val="superscript"/>
          <w:rtl/>
        </w:rPr>
        <w:t>(</w:t>
      </w:r>
      <w:proofErr w:type="gramEnd"/>
      <w:r w:rsidR="002D233E" w:rsidRPr="00E44063">
        <w:rPr>
          <w:vertAlign w:val="superscript"/>
          <w:lang w:val="en-AU"/>
        </w:rPr>
        <w:footnoteReference w:id="19"/>
      </w:r>
      <w:r w:rsidR="002D233E" w:rsidRPr="00D97B6F">
        <w:rPr>
          <w:vertAlign w:val="superscript"/>
          <w:rtl/>
        </w:rPr>
        <w:t>)</w:t>
      </w:r>
      <w:r w:rsidR="002D233E" w:rsidRPr="00D97B6F">
        <w:rPr>
          <w:rtl/>
        </w:rPr>
        <w:t>.</w:t>
      </w:r>
    </w:p>
    <w:p w14:paraId="32C4FD45" w14:textId="5353B7CD" w:rsidR="00774CA0" w:rsidRPr="00E44063" w:rsidRDefault="00774CA0" w:rsidP="00B04FFD">
      <w:pPr>
        <w:pStyle w:val="SingleTxtGA"/>
        <w:rPr>
          <w:rFonts w:eastAsia="Arial"/>
          <w:b/>
          <w:bCs/>
          <w:szCs w:val="20"/>
          <w:lang w:val="ar-SA" w:eastAsia="zh-TW" w:bidi="en-GB"/>
        </w:rPr>
      </w:pPr>
      <w:r w:rsidRPr="00E44063">
        <w:rPr>
          <w:rtl/>
        </w:rPr>
        <w:t>38</w:t>
      </w:r>
      <w:r w:rsidRPr="00D97B6F">
        <w:rPr>
          <w:rtl/>
        </w:rPr>
        <w:t>-</w:t>
      </w:r>
      <w:r w:rsidRPr="00D97B6F">
        <w:rPr>
          <w:rtl/>
        </w:rPr>
        <w:tab/>
      </w:r>
      <w:r w:rsidRPr="00E44063">
        <w:rPr>
          <w:b/>
          <w:bCs/>
          <w:rtl/>
        </w:rPr>
        <w:t>ينبغي للدولة الطرف أن تقوم بما يلي:</w:t>
      </w:r>
    </w:p>
    <w:p w14:paraId="4A35212C" w14:textId="323196D2" w:rsidR="00774CA0" w:rsidRPr="00E44063" w:rsidRDefault="00B04FFD" w:rsidP="00B04FFD">
      <w:pPr>
        <w:pStyle w:val="SingleTxtGA"/>
        <w:rPr>
          <w:rFonts w:cstheme="minorHAnsi"/>
          <w:b/>
          <w:bCs/>
          <w:szCs w:val="20"/>
          <w:lang w:val="ar-SA" w:eastAsia="zh-TW" w:bidi="en-GB"/>
        </w:rPr>
      </w:pPr>
      <w:r w:rsidRPr="00D97B6F">
        <w:rPr>
          <w:rtl/>
        </w:rPr>
        <w:tab/>
      </w:r>
      <w:r w:rsidR="00774CA0" w:rsidRPr="00D97B6F">
        <w:rPr>
          <w:rtl/>
        </w:rPr>
        <w:t>(أ</w:t>
      </w:r>
      <w:r w:rsidR="00774CA0" w:rsidRPr="00D97B6F">
        <w:rPr>
          <w:rFonts w:ascii="Simplified Arabic"/>
          <w:szCs w:val="20"/>
          <w:rtl/>
        </w:rPr>
        <w:t>)</w:t>
      </w:r>
      <w:r w:rsidR="00774CA0" w:rsidRPr="00E44063">
        <w:rPr>
          <w:b/>
          <w:bCs/>
          <w:rtl/>
        </w:rPr>
        <w:tab/>
        <w:t>ضمان تزويد الآليات المنشأة بموجب قانون منح الأشخاص الذين يتعرضون للتعذيب وسوء المعاملة صفة الضحايا بالموارد اللازمة لكي تؤدي عملها بفعالية؛</w:t>
      </w:r>
    </w:p>
    <w:p w14:paraId="73467E68" w14:textId="5E245083" w:rsidR="00774CA0" w:rsidRPr="00E44063" w:rsidRDefault="00B04FFD" w:rsidP="00B04FFD">
      <w:pPr>
        <w:pStyle w:val="SingleTxtGA"/>
        <w:rPr>
          <w:rFonts w:eastAsia="Arial"/>
          <w:b/>
          <w:bCs/>
          <w:szCs w:val="20"/>
          <w:lang w:val="ar-SA" w:eastAsia="zh-TW" w:bidi="en-GB"/>
        </w:rPr>
      </w:pPr>
      <w:r w:rsidRPr="00D97B6F">
        <w:rPr>
          <w:rtl/>
        </w:rPr>
        <w:tab/>
      </w:r>
      <w:r w:rsidR="00774CA0" w:rsidRPr="00D97B6F">
        <w:rPr>
          <w:rtl/>
        </w:rPr>
        <w:t>(ب</w:t>
      </w:r>
      <w:r w:rsidR="00774CA0" w:rsidRPr="00D97B6F">
        <w:rPr>
          <w:rFonts w:ascii="Simplified Arabic"/>
          <w:szCs w:val="20"/>
          <w:rtl/>
        </w:rPr>
        <w:t>)</w:t>
      </w:r>
      <w:r w:rsidR="00774CA0" w:rsidRPr="00E44063">
        <w:rPr>
          <w:b/>
          <w:bCs/>
          <w:rtl/>
        </w:rPr>
        <w:tab/>
        <w:t>جمع ونشر معلومات عن تدابير الجبر والتعويض، بما في ذلك تدابير إعادة التأهيل، التي أمرت بها المحاكم أو غيرها من هيئات الدولة وقُدمت فعلاً إلى ضحايا التعذيب أو سوء المعاملة، وعن أشكال هذا الجبر ونتائجه؛</w:t>
      </w:r>
    </w:p>
    <w:p w14:paraId="726C4B6C" w14:textId="48FE60D5" w:rsidR="00774CA0" w:rsidRPr="00E44063" w:rsidRDefault="00B04FFD" w:rsidP="00B04FFD">
      <w:pPr>
        <w:pStyle w:val="SingleTxtGA"/>
        <w:rPr>
          <w:b/>
          <w:bCs/>
          <w:szCs w:val="20"/>
          <w:lang w:val="en-US" w:eastAsia="zh-TW" w:bidi="en-GB"/>
        </w:rPr>
      </w:pPr>
      <w:r w:rsidRPr="00D97B6F">
        <w:rPr>
          <w:rtl/>
        </w:rPr>
        <w:tab/>
      </w:r>
      <w:r w:rsidR="00774CA0" w:rsidRPr="00D97B6F">
        <w:rPr>
          <w:rtl/>
        </w:rPr>
        <w:t>(ج</w:t>
      </w:r>
      <w:r w:rsidR="00774CA0" w:rsidRPr="00D97B6F">
        <w:rPr>
          <w:rFonts w:ascii="Simplified Arabic"/>
          <w:szCs w:val="20"/>
          <w:rtl/>
        </w:rPr>
        <w:t>)</w:t>
      </w:r>
      <w:r w:rsidR="00774CA0" w:rsidRPr="00E44063">
        <w:rPr>
          <w:b/>
          <w:bCs/>
          <w:rtl/>
        </w:rPr>
        <w:tab/>
        <w:t>النظر في تنفيذ القرارات التي اعتمدتها هيئات الأمم المتحدة المنشأة بموجب معاهدات حقوق الإنسان بشأن البلاغات الفردية المقدمة إليها من أجل تمكين الضحايا من الحصول على جبر لما أصابهم من ضرر.</w:t>
      </w:r>
    </w:p>
    <w:p w14:paraId="3F9660F3" w14:textId="77777777" w:rsidR="00774CA0" w:rsidRPr="00E44063" w:rsidRDefault="00774CA0" w:rsidP="00B04FFD">
      <w:pPr>
        <w:pStyle w:val="H23GA"/>
        <w:rPr>
          <w:szCs w:val="20"/>
          <w:lang w:val="ar-SA" w:eastAsia="zh-TW" w:bidi="en-GB"/>
        </w:rPr>
      </w:pPr>
      <w:r w:rsidRPr="00E44063">
        <w:rPr>
          <w:rtl/>
        </w:rPr>
        <w:tab/>
      </w:r>
      <w:r w:rsidRPr="00E44063">
        <w:rPr>
          <w:rtl/>
        </w:rPr>
        <w:tab/>
        <w:t>الولاية القضائية العالمية</w:t>
      </w:r>
    </w:p>
    <w:p w14:paraId="194E9EF9" w14:textId="6199D207" w:rsidR="002D233E" w:rsidRPr="00D97B6F" w:rsidRDefault="00774CA0" w:rsidP="00B04FFD">
      <w:pPr>
        <w:pStyle w:val="SingleTxtGA"/>
        <w:rPr>
          <w:szCs w:val="20"/>
          <w:lang w:val="ar-SA" w:eastAsia="zh-TW" w:bidi="en-GB"/>
        </w:rPr>
      </w:pPr>
      <w:r w:rsidRPr="00E44063">
        <w:rPr>
          <w:rtl/>
        </w:rPr>
        <w:t>39</w:t>
      </w:r>
      <w:r w:rsidRPr="00D97B6F">
        <w:rPr>
          <w:rtl/>
        </w:rPr>
        <w:t>-</w:t>
      </w:r>
      <w:r w:rsidRPr="00D97B6F">
        <w:rPr>
          <w:rtl/>
        </w:rPr>
        <w:tab/>
        <w:t>تأسف اللجنة للقيود المفروضة على ما يسمى بالعدالة الشاملة بموجب القانون التنظيمي رقم</w:t>
      </w:r>
      <w:r w:rsidR="00E3216D" w:rsidRPr="00D97B6F">
        <w:rPr>
          <w:rFonts w:hint="cs"/>
          <w:rtl/>
        </w:rPr>
        <w:t> </w:t>
      </w:r>
      <w:r w:rsidR="00E3216D" w:rsidRPr="00E44063">
        <w:rPr>
          <w:rFonts w:hint="cs"/>
          <w:rtl/>
        </w:rPr>
        <w:t>1</w:t>
      </w:r>
      <w:r w:rsidR="00E3216D" w:rsidRPr="00D97B6F">
        <w:rPr>
          <w:rFonts w:hint="cs"/>
          <w:rtl/>
        </w:rPr>
        <w:t>/</w:t>
      </w:r>
      <w:r w:rsidR="00E3216D" w:rsidRPr="00E44063">
        <w:rPr>
          <w:rFonts w:hint="cs"/>
          <w:rtl/>
        </w:rPr>
        <w:t>2014</w:t>
      </w:r>
      <w:r w:rsidRPr="00D97B6F">
        <w:rPr>
          <w:rtl/>
        </w:rPr>
        <w:t xml:space="preserve">، المؤرخ </w:t>
      </w:r>
      <w:r w:rsidRPr="00E44063">
        <w:rPr>
          <w:rtl/>
        </w:rPr>
        <w:t>13</w:t>
      </w:r>
      <w:r w:rsidRPr="00D97B6F">
        <w:rPr>
          <w:rtl/>
        </w:rPr>
        <w:t xml:space="preserve"> آذار/مارس </w:t>
      </w:r>
      <w:r w:rsidRPr="00E44063">
        <w:rPr>
          <w:rtl/>
        </w:rPr>
        <w:t>2014</w:t>
      </w:r>
      <w:r w:rsidRPr="00D97B6F">
        <w:rPr>
          <w:rtl/>
        </w:rPr>
        <w:t xml:space="preserve">، المعدِّل للقانون التنظيمي رقم </w:t>
      </w:r>
      <w:r w:rsidR="00BF7D6F" w:rsidRPr="00E44063">
        <w:rPr>
          <w:rFonts w:hint="cs"/>
          <w:rtl/>
        </w:rPr>
        <w:t>6</w:t>
      </w:r>
      <w:r w:rsidR="00BF7D6F" w:rsidRPr="00D97B6F">
        <w:rPr>
          <w:rFonts w:hint="cs"/>
          <w:rtl/>
        </w:rPr>
        <w:t>/</w:t>
      </w:r>
      <w:r w:rsidR="00BF7D6F" w:rsidRPr="00E44063">
        <w:rPr>
          <w:rFonts w:hint="cs"/>
          <w:rtl/>
        </w:rPr>
        <w:t>1985</w:t>
      </w:r>
      <w:r w:rsidRPr="00D97B6F">
        <w:rPr>
          <w:rtl/>
        </w:rPr>
        <w:t xml:space="preserve">، المؤرخ </w:t>
      </w:r>
      <w:r w:rsidRPr="00E44063">
        <w:rPr>
          <w:rtl/>
        </w:rPr>
        <w:t>1</w:t>
      </w:r>
      <w:r w:rsidRPr="00D97B6F">
        <w:rPr>
          <w:rtl/>
        </w:rPr>
        <w:t xml:space="preserve"> تموز/</w:t>
      </w:r>
      <w:r w:rsidR="00E3216D" w:rsidRPr="00D97B6F">
        <w:rPr>
          <w:rFonts w:hint="cs"/>
          <w:rtl/>
        </w:rPr>
        <w:t xml:space="preserve"> </w:t>
      </w:r>
      <w:r w:rsidRPr="00D97B6F">
        <w:rPr>
          <w:rtl/>
        </w:rPr>
        <w:lastRenderedPageBreak/>
        <w:t xml:space="preserve">يوليه </w:t>
      </w:r>
      <w:r w:rsidRPr="00E44063">
        <w:rPr>
          <w:rtl/>
        </w:rPr>
        <w:t>1985</w:t>
      </w:r>
      <w:r w:rsidRPr="00D97B6F">
        <w:rPr>
          <w:rtl/>
        </w:rPr>
        <w:t xml:space="preserve">، المتعلق بالسلطة القضائية. وتقيد الصياغة الجديدة للفقرة </w:t>
      </w:r>
      <w:r w:rsidRPr="00E44063">
        <w:rPr>
          <w:rtl/>
        </w:rPr>
        <w:t>4</w:t>
      </w:r>
      <w:r w:rsidRPr="00D97B6F">
        <w:rPr>
          <w:rtl/>
        </w:rPr>
        <w:t xml:space="preserve"> من المادة </w:t>
      </w:r>
      <w:r w:rsidRPr="00E44063">
        <w:rPr>
          <w:rtl/>
        </w:rPr>
        <w:t>23</w:t>
      </w:r>
      <w:r w:rsidRPr="00D97B6F">
        <w:rPr>
          <w:rtl/>
        </w:rPr>
        <w:t xml:space="preserve"> من القانون التنظيمي رقم </w:t>
      </w:r>
      <w:r w:rsidR="00E3216D" w:rsidRPr="00E44063">
        <w:rPr>
          <w:rFonts w:hint="cs"/>
          <w:rtl/>
        </w:rPr>
        <w:t>6</w:t>
      </w:r>
      <w:r w:rsidR="00E3216D" w:rsidRPr="00D97B6F">
        <w:rPr>
          <w:rFonts w:hint="cs"/>
          <w:rtl/>
        </w:rPr>
        <w:t>/</w:t>
      </w:r>
      <w:r w:rsidR="00E3216D" w:rsidRPr="00E44063">
        <w:rPr>
          <w:rFonts w:hint="cs"/>
          <w:rtl/>
        </w:rPr>
        <w:t>1985</w:t>
      </w:r>
      <w:r w:rsidRPr="00D97B6F">
        <w:rPr>
          <w:rtl/>
        </w:rPr>
        <w:t xml:space="preserve"> نطاق مبدأ الولاية القضائية العالمية في إسبانيا وتطبيقه، ولا سيما في قضايا التعذيب والاختفاء القسري، لأنها تنص على أنه لا يجوز ممارسة الولاية القضائية للدولة في هذه الجرائم ما لم يكن المدعي أو المدعى عليه في هذه القضايا إسباني الجنسية. فالتعديلات التي أدخلت على أحكام هذه الفقرة لا تتيح إمكانية التحقيق في جرائم التعذيب والاختفاء القسري المرتكبة في بلدان أخرى ومقاضاة مرتكبيها وإدانتهم نهاية المطاف إذا كان الجاني والضحية موجودين في إقليم الدولة الطرف وكان كل منهما أجنبي الجنسية (المواد </w:t>
      </w:r>
      <w:r w:rsidRPr="00E44063">
        <w:rPr>
          <w:rtl/>
        </w:rPr>
        <w:t>5</w:t>
      </w:r>
      <w:r w:rsidRPr="00D97B6F">
        <w:rPr>
          <w:rtl/>
        </w:rPr>
        <w:t xml:space="preserve"> و</w:t>
      </w:r>
      <w:r w:rsidRPr="00E44063">
        <w:rPr>
          <w:rtl/>
        </w:rPr>
        <w:t>8</w:t>
      </w:r>
      <w:r w:rsidRPr="00D97B6F">
        <w:rPr>
          <w:rtl/>
        </w:rPr>
        <w:t xml:space="preserve"> و</w:t>
      </w:r>
      <w:r w:rsidR="002D233E" w:rsidRPr="00E44063">
        <w:rPr>
          <w:rtl/>
        </w:rPr>
        <w:t>9</w:t>
      </w:r>
      <w:r w:rsidR="002D233E" w:rsidRPr="00D97B6F">
        <w:rPr>
          <w:rFonts w:ascii="Simplified Arabic"/>
          <w:szCs w:val="20"/>
          <w:rtl/>
        </w:rPr>
        <w:t>)</w:t>
      </w:r>
      <w:r w:rsidR="002D233E" w:rsidRPr="00D97B6F">
        <w:rPr>
          <w:rtl/>
        </w:rPr>
        <w:t>.</w:t>
      </w:r>
    </w:p>
    <w:p w14:paraId="5E8A5E5C" w14:textId="78356AAE" w:rsidR="00774CA0" w:rsidRPr="00E44063" w:rsidRDefault="00774CA0" w:rsidP="00B04FFD">
      <w:pPr>
        <w:pStyle w:val="SingleTxtGA"/>
        <w:rPr>
          <w:b/>
          <w:bCs/>
          <w:szCs w:val="20"/>
          <w:lang w:val="ar-SA" w:eastAsia="zh-TW" w:bidi="en-GB"/>
        </w:rPr>
      </w:pPr>
      <w:r w:rsidRPr="00E44063">
        <w:rPr>
          <w:rtl/>
        </w:rPr>
        <w:t>40</w:t>
      </w:r>
      <w:r w:rsidRPr="00D97B6F">
        <w:rPr>
          <w:rtl/>
        </w:rPr>
        <w:t>-</w:t>
      </w:r>
      <w:r w:rsidRPr="00E44063">
        <w:rPr>
          <w:b/>
          <w:bCs/>
          <w:rtl/>
        </w:rPr>
        <w:tab/>
        <w:t>تحث اللجنة الدولة الطرف على مراجعة تشريعاتها من أجل إقامة ولايتها القضائية في الحالات التي يكون فيها المتهم بارتكاب أفعال التعذيب موجوداً في إقليمها ولم تتم الموافقة على تسليمه إلى دولة أخرى لها ولاية قضائية على الجريمة نفسها.</w:t>
      </w:r>
    </w:p>
    <w:p w14:paraId="7D52E92D" w14:textId="77777777" w:rsidR="00774CA0" w:rsidRPr="00E44063" w:rsidRDefault="00774CA0" w:rsidP="00B04FFD">
      <w:pPr>
        <w:pStyle w:val="H23GA"/>
        <w:rPr>
          <w:rFonts w:eastAsia="Calibri"/>
          <w:szCs w:val="20"/>
          <w:u w:color="000000"/>
          <w:bdr w:val="nil"/>
          <w:lang w:val="ar-SA" w:eastAsia="zh-TW" w:bidi="en-GB"/>
        </w:rPr>
      </w:pPr>
      <w:r w:rsidRPr="00E44063">
        <w:rPr>
          <w:rtl/>
        </w:rPr>
        <w:tab/>
      </w:r>
      <w:r w:rsidRPr="00E44063">
        <w:rPr>
          <w:rtl/>
        </w:rPr>
        <w:tab/>
        <w:t>العنف الجنساني</w:t>
      </w:r>
    </w:p>
    <w:p w14:paraId="4706FF6C" w14:textId="79DC38A8" w:rsidR="002D233E" w:rsidRPr="00E44063" w:rsidRDefault="00774CA0" w:rsidP="00B04FFD">
      <w:pPr>
        <w:pStyle w:val="SingleTxtGA"/>
        <w:rPr>
          <w:rFonts w:eastAsia="Calibri"/>
          <w:bCs/>
          <w:spacing w:val="2"/>
          <w:szCs w:val="20"/>
          <w:lang w:val="ar-SA" w:eastAsia="zh-TW" w:bidi="en-GB"/>
        </w:rPr>
      </w:pPr>
      <w:r w:rsidRPr="00E44063">
        <w:rPr>
          <w:spacing w:val="2"/>
          <w:rtl/>
        </w:rPr>
        <w:t>41</w:t>
      </w:r>
      <w:r w:rsidRPr="001F7583">
        <w:rPr>
          <w:spacing w:val="2"/>
          <w:rtl/>
        </w:rPr>
        <w:t>-</w:t>
      </w:r>
      <w:r w:rsidRPr="001F7583">
        <w:rPr>
          <w:spacing w:val="2"/>
          <w:rtl/>
        </w:rPr>
        <w:tab/>
        <w:t>ترحب اللجنة بالتدابير التي اتخذتها الدولة الطرف لمكافحة العنف الجنساني. غير أنها تلاحظ بقلق أن عدد حالات العنف الجنساني ضد النساء والطفلات لا يزال مرتفعاً، وتحيط علما</w:t>
      </w:r>
      <w:r w:rsidR="009F3961" w:rsidRPr="001F7583">
        <w:rPr>
          <w:rFonts w:hint="cs"/>
          <w:spacing w:val="2"/>
          <w:rtl/>
        </w:rPr>
        <w:t>ً</w:t>
      </w:r>
      <w:r w:rsidRPr="001F7583">
        <w:rPr>
          <w:spacing w:val="2"/>
          <w:rtl/>
        </w:rPr>
        <w:t xml:space="preserve"> بالملاحظات التي أبدتها الهيئات الأخرى المنشأة بموجب معاهدات، ولا سيما اللجنة المعنية بالقضاء على التمييز ضد المرأة، التي خلصت مؤخرا</w:t>
      </w:r>
      <w:r w:rsidR="009F3961" w:rsidRPr="001F7583">
        <w:rPr>
          <w:rFonts w:hint="cs"/>
          <w:spacing w:val="2"/>
          <w:rtl/>
        </w:rPr>
        <w:t>ً</w:t>
      </w:r>
      <w:r w:rsidRPr="001F7583">
        <w:rPr>
          <w:spacing w:val="2"/>
          <w:rtl/>
        </w:rPr>
        <w:t xml:space="preserve"> إلى أن مرتكبي العنف الجنساني لا يحاكمون محاكمة فعالة بما فيه </w:t>
      </w:r>
      <w:proofErr w:type="gramStart"/>
      <w:r w:rsidRPr="001F7583">
        <w:rPr>
          <w:spacing w:val="2"/>
          <w:rtl/>
        </w:rPr>
        <w:t>الكفاية</w:t>
      </w:r>
      <w:r w:rsidR="002D233E" w:rsidRPr="001F7583">
        <w:rPr>
          <w:spacing w:val="2"/>
          <w:vertAlign w:val="superscript"/>
          <w:rtl/>
        </w:rPr>
        <w:t>(</w:t>
      </w:r>
      <w:proofErr w:type="gramEnd"/>
      <w:r w:rsidR="002D233E" w:rsidRPr="00E44063">
        <w:rPr>
          <w:spacing w:val="2"/>
          <w:vertAlign w:val="superscript"/>
          <w:lang w:val="en-AU"/>
        </w:rPr>
        <w:footnoteReference w:id="20"/>
      </w:r>
      <w:r w:rsidR="002D233E" w:rsidRPr="001F7583">
        <w:rPr>
          <w:rFonts w:hint="cs"/>
          <w:spacing w:val="2"/>
          <w:vertAlign w:val="superscript"/>
          <w:rtl/>
        </w:rPr>
        <w:t>)</w:t>
      </w:r>
      <w:r w:rsidR="002D233E" w:rsidRPr="001F7583">
        <w:rPr>
          <w:spacing w:val="2"/>
          <w:rtl/>
        </w:rPr>
        <w:t xml:space="preserve">. </w:t>
      </w:r>
      <w:r w:rsidRPr="001F7583">
        <w:rPr>
          <w:spacing w:val="2"/>
          <w:rtl/>
        </w:rPr>
        <w:t xml:space="preserve">وتحيط اللجنة علماً بالتقدم المحرز بموجب القانون التنظيمي رقم </w:t>
      </w:r>
      <w:r w:rsidR="00C57598" w:rsidRPr="00E44063">
        <w:rPr>
          <w:rFonts w:hint="cs"/>
          <w:spacing w:val="2"/>
          <w:rtl/>
        </w:rPr>
        <w:t>10</w:t>
      </w:r>
      <w:r w:rsidR="00C57598" w:rsidRPr="001F7583">
        <w:rPr>
          <w:rFonts w:hint="cs"/>
          <w:spacing w:val="2"/>
          <w:rtl/>
        </w:rPr>
        <w:t>/</w:t>
      </w:r>
      <w:r w:rsidR="00C57598" w:rsidRPr="00E44063">
        <w:rPr>
          <w:rFonts w:hint="cs"/>
          <w:spacing w:val="2"/>
          <w:rtl/>
        </w:rPr>
        <w:t>2022</w:t>
      </w:r>
      <w:r w:rsidRPr="001F7583">
        <w:rPr>
          <w:spacing w:val="2"/>
          <w:rtl/>
        </w:rPr>
        <w:t xml:space="preserve">، المؤرخ </w:t>
      </w:r>
      <w:r w:rsidRPr="00E44063">
        <w:rPr>
          <w:spacing w:val="2"/>
          <w:rtl/>
        </w:rPr>
        <w:t>6</w:t>
      </w:r>
      <w:r w:rsidRPr="001F7583">
        <w:rPr>
          <w:spacing w:val="2"/>
          <w:rtl/>
        </w:rPr>
        <w:t xml:space="preserve"> أيلول/سبتمبر </w:t>
      </w:r>
      <w:r w:rsidRPr="00E44063">
        <w:rPr>
          <w:spacing w:val="2"/>
          <w:rtl/>
        </w:rPr>
        <w:t>2022</w:t>
      </w:r>
      <w:r w:rsidRPr="001F7583">
        <w:rPr>
          <w:spacing w:val="2"/>
          <w:rtl/>
        </w:rPr>
        <w:t>، المتعلق بضمان الحرية الجنسية، وتشكر وفد الدولة الطرف على ما قدمه من توضيحات بشأن مزاعم استفادة مرتكبي جرائم جنسية من تدابير لتخفيف الأحكام الصادرة في حقهم قبل إصلاح هذا القانون في</w:t>
      </w:r>
      <w:r w:rsidR="00C57598" w:rsidRPr="001F7583">
        <w:rPr>
          <w:rFonts w:hint="cs"/>
          <w:spacing w:val="2"/>
          <w:rtl/>
        </w:rPr>
        <w:t> </w:t>
      </w:r>
      <w:r w:rsidRPr="00E44063">
        <w:rPr>
          <w:spacing w:val="2"/>
          <w:rtl/>
        </w:rPr>
        <w:t>20</w:t>
      </w:r>
      <w:r w:rsidRPr="001F7583">
        <w:rPr>
          <w:spacing w:val="2"/>
          <w:rtl/>
        </w:rPr>
        <w:t xml:space="preserve"> نيسان/أبريل </w:t>
      </w:r>
      <w:r w:rsidRPr="00E44063">
        <w:rPr>
          <w:spacing w:val="2"/>
          <w:rtl/>
        </w:rPr>
        <w:t>2023</w:t>
      </w:r>
      <w:r w:rsidRPr="001F7583">
        <w:rPr>
          <w:rFonts w:ascii="Simplified Arabic"/>
          <w:spacing w:val="2"/>
          <w:szCs w:val="20"/>
          <w:rtl/>
        </w:rPr>
        <w:t xml:space="preserve"> (</w:t>
      </w:r>
      <w:r w:rsidRPr="001F7583">
        <w:rPr>
          <w:spacing w:val="2"/>
          <w:rtl/>
        </w:rPr>
        <w:t xml:space="preserve">المادتان </w:t>
      </w:r>
      <w:r w:rsidRPr="00E44063">
        <w:rPr>
          <w:spacing w:val="2"/>
          <w:rtl/>
        </w:rPr>
        <w:t>2</w:t>
      </w:r>
      <w:r w:rsidRPr="001F7583">
        <w:rPr>
          <w:spacing w:val="2"/>
          <w:rtl/>
        </w:rPr>
        <w:t xml:space="preserve"> و</w:t>
      </w:r>
      <w:r w:rsidRPr="00E44063">
        <w:rPr>
          <w:spacing w:val="2"/>
          <w:rtl/>
        </w:rPr>
        <w:t>1</w:t>
      </w:r>
      <w:r w:rsidR="002D233E" w:rsidRPr="00E44063">
        <w:rPr>
          <w:spacing w:val="2"/>
          <w:rtl/>
        </w:rPr>
        <w:t>6</w:t>
      </w:r>
      <w:r w:rsidR="002D233E" w:rsidRPr="001F7583">
        <w:rPr>
          <w:rFonts w:ascii="Simplified Arabic"/>
          <w:spacing w:val="2"/>
          <w:szCs w:val="20"/>
          <w:rtl/>
        </w:rPr>
        <w:t>)</w:t>
      </w:r>
      <w:r w:rsidR="002D233E" w:rsidRPr="001F7583">
        <w:rPr>
          <w:spacing w:val="2"/>
          <w:rtl/>
        </w:rPr>
        <w:t>.</w:t>
      </w:r>
    </w:p>
    <w:p w14:paraId="53943EE7" w14:textId="066D62E7" w:rsidR="00774CA0" w:rsidRPr="00E44063" w:rsidRDefault="00774CA0" w:rsidP="00B04FFD">
      <w:pPr>
        <w:pStyle w:val="SingleTxtGA"/>
        <w:rPr>
          <w:b/>
          <w:bCs/>
          <w:szCs w:val="20"/>
          <w:lang w:val="ar-SA" w:eastAsia="zh-TW" w:bidi="en-GB"/>
        </w:rPr>
      </w:pPr>
      <w:r w:rsidRPr="00E44063">
        <w:rPr>
          <w:rtl/>
        </w:rPr>
        <w:t>42</w:t>
      </w:r>
      <w:r w:rsidRPr="00D97B6F">
        <w:rPr>
          <w:rtl/>
        </w:rPr>
        <w:t>-</w:t>
      </w:r>
      <w:r w:rsidRPr="00E44063">
        <w:rPr>
          <w:b/>
          <w:bCs/>
          <w:rtl/>
        </w:rPr>
        <w:tab/>
        <w:t>ينبغي للدولة الطرف أن تكفل التحقيق الشامل في جميع حالات العنف الجنساني، وبخاصة ما ينطوي منها على فعل أو تقصير من جانب سلطات الدولة أو كيان آخر من كياناتها يستتبع المسؤولية الدولية للدولة الطرف بموجب الاتفاقية، كما ينبغي لها أن تكفل محاكمة الجناة المزعومين ومعاقبتهم بعقوبات مناسبة، في حال ثبوت إدانتهم، وجبر ما لحق بالضحايا من ضرر، بما يشمل تعويضهم تعويضاً كافياً. وينبغي لها أيضا</w:t>
      </w:r>
      <w:r w:rsidR="00390CAB" w:rsidRPr="00E44063">
        <w:rPr>
          <w:rFonts w:hint="cs"/>
          <w:b/>
          <w:bCs/>
          <w:rtl/>
        </w:rPr>
        <w:t>ً</w:t>
      </w:r>
      <w:r w:rsidRPr="00E44063">
        <w:rPr>
          <w:b/>
          <w:bCs/>
          <w:rtl/>
        </w:rPr>
        <w:t xml:space="preserve"> أن تكفل تدريب جميع موظفي سلك القضاء والموظفين المكلفين بإنفاذ القانون تدريباً مستمراً على قمع العنف الجنساني، ومواصلة حملات التوعية العامة بجميع أشكال العنف ضد المرأة. وتشجع اللجنة الدولة الطرف على مواصلة اتخاذ التدابير اللازمة لمعالجة ما يمكن أن يكون قد نجم عن المرسوم التنظيمي رقم </w:t>
      </w:r>
      <w:r w:rsidR="00C57598" w:rsidRPr="00E44063">
        <w:rPr>
          <w:rFonts w:hint="cs"/>
          <w:b/>
          <w:bCs/>
          <w:rtl/>
        </w:rPr>
        <w:t>10/2022</w:t>
      </w:r>
      <w:r w:rsidRPr="00E44063">
        <w:rPr>
          <w:b/>
          <w:bCs/>
          <w:rtl/>
        </w:rPr>
        <w:t xml:space="preserve"> من آثار سلبية فيما يخص مراجعة الأحكام المفروضة وتخفيفها، وتخصيص موارد كافية لضمان إنفاذ القانون إنفاذاً سليماً.</w:t>
      </w:r>
    </w:p>
    <w:p w14:paraId="793DF85C" w14:textId="77777777" w:rsidR="00774CA0" w:rsidRPr="00E44063" w:rsidRDefault="00774CA0" w:rsidP="00B04FFD">
      <w:pPr>
        <w:pStyle w:val="H23GA"/>
        <w:rPr>
          <w:szCs w:val="20"/>
          <w:lang w:val="ar-SA" w:eastAsia="zh-TW" w:bidi="en-GB"/>
        </w:rPr>
      </w:pPr>
      <w:r w:rsidRPr="00E44063">
        <w:rPr>
          <w:rtl/>
        </w:rPr>
        <w:tab/>
      </w:r>
      <w:r w:rsidRPr="00E44063">
        <w:rPr>
          <w:rtl/>
        </w:rPr>
        <w:tab/>
        <w:t>الاتجار بالأشخاص لأغراض الاستغلال الجنسي والعمل القسري</w:t>
      </w:r>
    </w:p>
    <w:p w14:paraId="1D1292F4" w14:textId="29667B31" w:rsidR="002D233E" w:rsidRPr="00D97B6F" w:rsidRDefault="00774CA0" w:rsidP="00B04FFD">
      <w:pPr>
        <w:pStyle w:val="SingleTxtGA"/>
        <w:rPr>
          <w:szCs w:val="20"/>
          <w:lang w:val="en-US" w:eastAsia="zh-TW" w:bidi="en-GB"/>
        </w:rPr>
      </w:pPr>
      <w:r w:rsidRPr="00E44063">
        <w:rPr>
          <w:rtl/>
        </w:rPr>
        <w:t>43</w:t>
      </w:r>
      <w:r w:rsidRPr="00D97B6F">
        <w:rPr>
          <w:rtl/>
        </w:rPr>
        <w:t>-</w:t>
      </w:r>
      <w:r w:rsidRPr="00D97B6F">
        <w:rPr>
          <w:rtl/>
        </w:rPr>
        <w:tab/>
        <w:t xml:space="preserve">تحيط اللجنة علماً مع التقدير بالتدابير التي اتخذتها الدولة الطرف لمنع الاتجار بالأشخاص ومكافحته. غير أنها تكرر الشواغل التي أعربت عنها اللجنة المعنية بالقضاء على التمييز ضد </w:t>
      </w:r>
      <w:proofErr w:type="gramStart"/>
      <w:r w:rsidRPr="00D97B6F">
        <w:rPr>
          <w:rtl/>
        </w:rPr>
        <w:t>المرأة</w:t>
      </w:r>
      <w:r w:rsidR="002D233E" w:rsidRPr="00D97B6F">
        <w:rPr>
          <w:vertAlign w:val="superscript"/>
          <w:rtl/>
        </w:rPr>
        <w:t>(</w:t>
      </w:r>
      <w:proofErr w:type="gramEnd"/>
      <w:r w:rsidR="002D233E" w:rsidRPr="00E44063">
        <w:rPr>
          <w:vertAlign w:val="superscript"/>
          <w:lang w:val="en-AU"/>
        </w:rPr>
        <w:footnoteReference w:id="21"/>
      </w:r>
      <w:r w:rsidRPr="00D97B6F">
        <w:rPr>
          <w:vertAlign w:val="superscript"/>
          <w:rtl/>
        </w:rPr>
        <w:t>)</w:t>
      </w:r>
      <w:r w:rsidRPr="00D97B6F">
        <w:rPr>
          <w:rtl/>
        </w:rPr>
        <w:t xml:space="preserve"> فيما يخص عدم وجود تشريع شامل بشأن الاتجار بالأشخاص في الدولة الطرف. وتحيط اللجنة </w:t>
      </w:r>
      <w:r w:rsidRPr="00D97B6F">
        <w:rPr>
          <w:rtl/>
        </w:rPr>
        <w:lastRenderedPageBreak/>
        <w:t>علما</w:t>
      </w:r>
      <w:r w:rsidR="00BB0973" w:rsidRPr="00D97B6F">
        <w:rPr>
          <w:rFonts w:hint="cs"/>
          <w:rtl/>
        </w:rPr>
        <w:t>ً</w:t>
      </w:r>
      <w:r w:rsidRPr="00D97B6F">
        <w:rPr>
          <w:rtl/>
        </w:rPr>
        <w:t xml:space="preserve"> بما قدمه وفد الدولة الطرف من معلومات عن وضع مشروع قانون تنظيمي أولي</w:t>
      </w:r>
      <w:r w:rsidR="006C6085" w:rsidRPr="00D97B6F">
        <w:rPr>
          <w:rtl/>
        </w:rPr>
        <w:t xml:space="preserve"> </w:t>
      </w:r>
      <w:r w:rsidRPr="00D97B6F">
        <w:rPr>
          <w:rtl/>
        </w:rPr>
        <w:t xml:space="preserve">لمكافحة الاتجار بالبشر واستغلالهم (المادة </w:t>
      </w:r>
      <w:r w:rsidRPr="00E44063">
        <w:rPr>
          <w:rtl/>
        </w:rPr>
        <w:t>1</w:t>
      </w:r>
      <w:r w:rsidR="002D233E" w:rsidRPr="00E44063">
        <w:rPr>
          <w:rtl/>
        </w:rPr>
        <w:t>6</w:t>
      </w:r>
      <w:r w:rsidR="002D233E" w:rsidRPr="00D97B6F">
        <w:rPr>
          <w:rFonts w:ascii="Simplified Arabic"/>
          <w:szCs w:val="20"/>
          <w:rtl/>
        </w:rPr>
        <w:t>)</w:t>
      </w:r>
      <w:r w:rsidR="002D233E" w:rsidRPr="00D97B6F">
        <w:rPr>
          <w:rtl/>
        </w:rPr>
        <w:t>.</w:t>
      </w:r>
    </w:p>
    <w:p w14:paraId="65C93C37" w14:textId="6C9C668A" w:rsidR="00774CA0" w:rsidRPr="00E44063" w:rsidRDefault="00774CA0" w:rsidP="00B04FFD">
      <w:pPr>
        <w:pStyle w:val="SingleTxtGA"/>
        <w:rPr>
          <w:b/>
          <w:bCs/>
          <w:szCs w:val="20"/>
          <w:lang w:val="en-US" w:eastAsia="zh-TW" w:bidi="en-GB"/>
        </w:rPr>
      </w:pPr>
      <w:r w:rsidRPr="00E44063">
        <w:rPr>
          <w:rtl/>
        </w:rPr>
        <w:t>44</w:t>
      </w:r>
      <w:r w:rsidRPr="00D97B6F">
        <w:rPr>
          <w:rtl/>
        </w:rPr>
        <w:t>-</w:t>
      </w:r>
      <w:r w:rsidRPr="00D97B6F">
        <w:rPr>
          <w:rtl/>
        </w:rPr>
        <w:tab/>
      </w:r>
      <w:r w:rsidRPr="00E44063">
        <w:rPr>
          <w:b/>
          <w:bCs/>
          <w:rtl/>
        </w:rPr>
        <w:t>تحث اللجنة الدولة الطرف على مواصلة جهودها الرامية إلى مكافحة الاتجار بالأشخاص.</w:t>
      </w:r>
    </w:p>
    <w:p w14:paraId="7417F187" w14:textId="77777777" w:rsidR="00774CA0" w:rsidRPr="00E44063" w:rsidRDefault="00774CA0" w:rsidP="00B04FFD">
      <w:pPr>
        <w:pStyle w:val="H23GA"/>
        <w:rPr>
          <w:rFonts w:cstheme="minorHAnsi"/>
          <w:sz w:val="18"/>
          <w:szCs w:val="20"/>
          <w:lang w:val="ar-SA" w:eastAsia="zh-TW" w:bidi="en-GB"/>
        </w:rPr>
      </w:pPr>
      <w:r w:rsidRPr="00E44063">
        <w:rPr>
          <w:rtl/>
        </w:rPr>
        <w:tab/>
      </w:r>
      <w:r w:rsidRPr="00E44063">
        <w:rPr>
          <w:rtl/>
        </w:rPr>
        <w:tab/>
        <w:t>استخدام التدابير القسرية في سياق العلاج النفسي</w:t>
      </w:r>
    </w:p>
    <w:p w14:paraId="0091BB88" w14:textId="25F5350F" w:rsidR="002D233E" w:rsidRPr="00D97B6F" w:rsidRDefault="00774CA0" w:rsidP="00B04FFD">
      <w:pPr>
        <w:pStyle w:val="SingleTxtGA"/>
        <w:rPr>
          <w:szCs w:val="20"/>
          <w:lang w:val="ar-SA" w:eastAsia="zh-TW" w:bidi="en-GB"/>
        </w:rPr>
      </w:pPr>
      <w:r w:rsidRPr="00E44063">
        <w:rPr>
          <w:rtl/>
        </w:rPr>
        <w:t>45</w:t>
      </w:r>
      <w:r w:rsidRPr="00D97B6F">
        <w:rPr>
          <w:rtl/>
        </w:rPr>
        <w:t>-</w:t>
      </w:r>
      <w:r w:rsidRPr="00D97B6F">
        <w:rPr>
          <w:rtl/>
        </w:rPr>
        <w:tab/>
        <w:t>تأسف اللجنة لأن الدولة الطرف لم توافها بمعلومات إضافية عن الادعاءات الواردة بشأن استخدام وسائل التقييد المادية والميكانيكية والكيميائية في علاج الأشخاص ذوي الإعاقة الذهنية أو النفسية - الاجتماعية من دون موافقتهم المستنيرة، وبشأن عدم وجود آلية مستقلة لرصد مؤسسات العلاج النفسي،</w:t>
      </w:r>
      <w:r w:rsidR="006C6085" w:rsidRPr="00D97B6F">
        <w:rPr>
          <w:rtl/>
        </w:rPr>
        <w:t xml:space="preserve"> </w:t>
      </w:r>
      <w:r w:rsidRPr="00D97B6F">
        <w:rPr>
          <w:rtl/>
        </w:rPr>
        <w:t xml:space="preserve">وذلك في ضوء الملاحظات التي أبدتها اللجنة المعنية بحقوق الأشخاص ذوي الإعاقة في عام </w:t>
      </w:r>
      <w:r w:rsidRPr="00E44063">
        <w:rPr>
          <w:rtl/>
        </w:rPr>
        <w:t>2019</w:t>
      </w:r>
      <w:r w:rsidR="002D233E" w:rsidRPr="00D97B6F">
        <w:rPr>
          <w:vertAlign w:val="superscript"/>
          <w:rtl/>
        </w:rPr>
        <w:t>(</w:t>
      </w:r>
      <w:r w:rsidR="002D233E" w:rsidRPr="00E44063">
        <w:rPr>
          <w:vertAlign w:val="superscript"/>
          <w:lang w:val="en-AU"/>
        </w:rPr>
        <w:footnoteReference w:id="22"/>
      </w:r>
      <w:r w:rsidR="00594005" w:rsidRPr="00D97B6F">
        <w:rPr>
          <w:rFonts w:hint="cs"/>
          <w:vertAlign w:val="superscript"/>
          <w:rtl/>
        </w:rPr>
        <w:t>)</w:t>
      </w:r>
      <w:r w:rsidR="00594005" w:rsidRPr="00D97B6F">
        <w:rPr>
          <w:rFonts w:ascii="Simplified Arabic" w:hint="cs"/>
          <w:szCs w:val="20"/>
          <w:rtl/>
        </w:rPr>
        <w:t xml:space="preserve"> </w:t>
      </w:r>
      <w:r w:rsidRPr="00D97B6F">
        <w:rPr>
          <w:rFonts w:ascii="Simplified Arabic"/>
          <w:szCs w:val="20"/>
          <w:rtl/>
        </w:rPr>
        <w:t>(</w:t>
      </w:r>
      <w:r w:rsidRPr="00D97B6F">
        <w:rPr>
          <w:rtl/>
        </w:rPr>
        <w:t xml:space="preserve">المادتان </w:t>
      </w:r>
      <w:r w:rsidRPr="00E44063">
        <w:rPr>
          <w:rtl/>
        </w:rPr>
        <w:t>11</w:t>
      </w:r>
      <w:r w:rsidRPr="00D97B6F">
        <w:rPr>
          <w:rtl/>
        </w:rPr>
        <w:t xml:space="preserve"> و</w:t>
      </w:r>
      <w:r w:rsidRPr="00E44063">
        <w:rPr>
          <w:rtl/>
        </w:rPr>
        <w:t>1</w:t>
      </w:r>
      <w:r w:rsidR="002D233E" w:rsidRPr="00E44063">
        <w:rPr>
          <w:rtl/>
        </w:rPr>
        <w:t>6</w:t>
      </w:r>
      <w:r w:rsidR="002D233E" w:rsidRPr="00D97B6F">
        <w:rPr>
          <w:rFonts w:ascii="Simplified Arabic"/>
          <w:szCs w:val="20"/>
          <w:rtl/>
        </w:rPr>
        <w:t>)</w:t>
      </w:r>
      <w:r w:rsidR="002D233E" w:rsidRPr="00D97B6F">
        <w:rPr>
          <w:rtl/>
        </w:rPr>
        <w:t>.</w:t>
      </w:r>
    </w:p>
    <w:p w14:paraId="07CC28D4" w14:textId="71D40CCC" w:rsidR="00774CA0" w:rsidRPr="00E44063" w:rsidRDefault="00774CA0" w:rsidP="00B04FFD">
      <w:pPr>
        <w:pStyle w:val="SingleTxtGA"/>
        <w:rPr>
          <w:b/>
          <w:bCs/>
          <w:szCs w:val="20"/>
          <w:lang w:val="ar-SA" w:eastAsia="zh-TW" w:bidi="en-GB"/>
        </w:rPr>
      </w:pPr>
      <w:r w:rsidRPr="00E44063">
        <w:rPr>
          <w:rtl/>
        </w:rPr>
        <w:t>46</w:t>
      </w:r>
      <w:r w:rsidRPr="00D97B6F">
        <w:rPr>
          <w:rtl/>
        </w:rPr>
        <w:t>-</w:t>
      </w:r>
      <w:r w:rsidRPr="00E44063">
        <w:rPr>
          <w:b/>
          <w:bCs/>
          <w:rtl/>
        </w:rPr>
        <w:tab/>
        <w:t>ينبغي للدولة الطرف أن تكفل عدم لجوء مؤسسات العلاج النفسي إلى التدابير القسرية إلا في حالات استثنائية ومن دون انتهاك معايير حقوق الإنسان، والحصول بصورة منهجية على موافقة الأشخاص ذوي الإعاقة الحرة والمستنيرة في جميع الإجراءات، ورصد مؤسسات العلاج النفسي رصداً مستقلاً. وتدعو اللجنة الدولة الطرف إلى اتخاذ ما يلزم من تدابير لتعزيز أشكال العلاج البديلة، مثل خدمات إعادة التأهيل في المؤسسات المفتوحة وبرامج العلاج في العيادات الخارجية.</w:t>
      </w:r>
    </w:p>
    <w:p w14:paraId="3E46F3AE" w14:textId="77777777" w:rsidR="00774CA0" w:rsidRPr="00E44063" w:rsidRDefault="00774CA0" w:rsidP="00B04FFD">
      <w:pPr>
        <w:pStyle w:val="H23GA"/>
        <w:rPr>
          <w:szCs w:val="20"/>
          <w:lang w:val="ar-SA" w:eastAsia="zh-TW" w:bidi="en-GB"/>
        </w:rPr>
      </w:pPr>
      <w:r w:rsidRPr="00E44063">
        <w:rPr>
          <w:rtl/>
        </w:rPr>
        <w:tab/>
      </w:r>
      <w:r w:rsidRPr="00E44063">
        <w:rPr>
          <w:rtl/>
        </w:rPr>
        <w:tab/>
        <w:t>إجراءات المتابعة</w:t>
      </w:r>
    </w:p>
    <w:p w14:paraId="42FF298F" w14:textId="28CE33C1" w:rsidR="00774CA0" w:rsidRPr="00E44063" w:rsidRDefault="00774CA0" w:rsidP="00774CA0">
      <w:pPr>
        <w:pStyle w:val="SingleTxtGA"/>
        <w:rPr>
          <w:b/>
          <w:bCs/>
          <w:szCs w:val="20"/>
          <w:lang w:val="ar-SA" w:eastAsia="zh-TW" w:bidi="en-GB"/>
        </w:rPr>
      </w:pPr>
      <w:r w:rsidRPr="00E44063">
        <w:rPr>
          <w:rtl/>
        </w:rPr>
        <w:t>47</w:t>
      </w:r>
      <w:r w:rsidRPr="00D97B6F">
        <w:rPr>
          <w:rtl/>
        </w:rPr>
        <w:t>-</w:t>
      </w:r>
      <w:r w:rsidRPr="00E44063">
        <w:rPr>
          <w:b/>
          <w:bCs/>
          <w:rtl/>
        </w:rPr>
        <w:tab/>
        <w:t>تطلب اللجنة إلى الدولة الطرف أن تقدم، في موعد أقصاه 28 تموز/يوليه 2024، معلومات عن تنفيذها لتوصيات اللجنة بشأن الاستخدام المفرط للقوة من جانب موظفي إنفاذ القانون، والمأساة التي وقعت عند سياج مليلية الحدودي، والحبس الانفرادي، وعدم الإعادة القسرية (انظر الفقرات 16</w:t>
      </w:r>
      <w:r w:rsidRPr="00E44063">
        <w:rPr>
          <w:rFonts w:ascii="Simplified Arabic"/>
          <w:b/>
          <w:bCs/>
          <w:szCs w:val="20"/>
          <w:rtl/>
        </w:rPr>
        <w:t>(</w:t>
      </w:r>
      <w:r w:rsidRPr="00E44063">
        <w:rPr>
          <w:b/>
          <w:bCs/>
          <w:rtl/>
        </w:rPr>
        <w:t>ج</w:t>
      </w:r>
      <w:r w:rsidRPr="00E44063">
        <w:rPr>
          <w:rFonts w:ascii="Simplified Arabic"/>
          <w:b/>
          <w:bCs/>
          <w:szCs w:val="20"/>
          <w:rtl/>
        </w:rPr>
        <w:t>)</w:t>
      </w:r>
      <w:r w:rsidRPr="00E44063">
        <w:rPr>
          <w:b/>
          <w:bCs/>
          <w:rtl/>
        </w:rPr>
        <w:t xml:space="preserve"> و18 و28 و32</w:t>
      </w:r>
      <w:r w:rsidRPr="00E44063">
        <w:rPr>
          <w:rFonts w:ascii="Simplified Arabic"/>
          <w:b/>
          <w:bCs/>
          <w:szCs w:val="20"/>
          <w:rtl/>
        </w:rPr>
        <w:t>(</w:t>
      </w:r>
      <w:r w:rsidRPr="00E44063">
        <w:rPr>
          <w:b/>
          <w:bCs/>
          <w:rtl/>
        </w:rPr>
        <w:t>ب</w:t>
      </w:r>
      <w:r w:rsidRPr="00E44063">
        <w:rPr>
          <w:rFonts w:ascii="Simplified Arabic"/>
          <w:b/>
          <w:bCs/>
          <w:szCs w:val="20"/>
          <w:rtl/>
        </w:rPr>
        <w:t>)</w:t>
      </w:r>
      <w:r w:rsidRPr="00E44063">
        <w:rPr>
          <w:b/>
          <w:bCs/>
          <w:rtl/>
        </w:rPr>
        <w:t xml:space="preserve"> من هذه الوثيقة</w:t>
      </w:r>
      <w:r w:rsidR="002D233E" w:rsidRPr="00E44063">
        <w:rPr>
          <w:b/>
          <w:bCs/>
          <w:rtl/>
        </w:rPr>
        <w:t xml:space="preserve">). </w:t>
      </w:r>
      <w:r w:rsidRPr="00E44063">
        <w:rPr>
          <w:b/>
          <w:bCs/>
          <w:rtl/>
        </w:rPr>
        <w:t>وفي هذا السياق، تدعو اللجنة الدولة الطرف إلى إبلاغها بما تعتزم اتخاذه من تدابير لتنفيذ بعض أو كل التوصيات المتبقية الواردة في هذه الملاحظات الختامية، خلال الفترة المشمولة بالتقرير المقبل.</w:t>
      </w:r>
    </w:p>
    <w:p w14:paraId="51EA3A80" w14:textId="77777777" w:rsidR="00774CA0" w:rsidRPr="00E44063" w:rsidRDefault="00774CA0" w:rsidP="00774CA0">
      <w:pPr>
        <w:pStyle w:val="H23GA"/>
        <w:rPr>
          <w:szCs w:val="20"/>
          <w:lang w:val="ar-SA" w:eastAsia="zh-TW" w:bidi="en-GB"/>
        </w:rPr>
      </w:pPr>
      <w:r w:rsidRPr="00E44063">
        <w:rPr>
          <w:rtl/>
        </w:rPr>
        <w:tab/>
      </w:r>
      <w:r w:rsidRPr="00E44063">
        <w:rPr>
          <w:rtl/>
        </w:rPr>
        <w:tab/>
        <w:t>التوصيات الأخرى</w:t>
      </w:r>
    </w:p>
    <w:p w14:paraId="21D31B64" w14:textId="77777777" w:rsidR="00774CA0" w:rsidRPr="00E44063" w:rsidRDefault="00774CA0" w:rsidP="00774CA0">
      <w:pPr>
        <w:pStyle w:val="SingleTxtGA"/>
        <w:rPr>
          <w:b/>
          <w:bCs/>
          <w:szCs w:val="20"/>
          <w:lang w:val="en-US" w:eastAsia="zh-TW" w:bidi="en-GB"/>
        </w:rPr>
      </w:pPr>
      <w:r w:rsidRPr="00E44063">
        <w:rPr>
          <w:rtl/>
        </w:rPr>
        <w:t>48</w:t>
      </w:r>
      <w:r w:rsidRPr="00D97B6F">
        <w:rPr>
          <w:rtl/>
        </w:rPr>
        <w:t>-</w:t>
      </w:r>
      <w:r w:rsidRPr="00E44063">
        <w:rPr>
          <w:b/>
          <w:bCs/>
          <w:rtl/>
        </w:rPr>
        <w:tab/>
        <w:t>تدعو اللجنة الدولة الطرف إلى النظر في التصديق على الاتفاقية الدولية لحماية حقوق جميع العمال المهاجرين وأفراد أسرهم، التي لم تنضم الدولة الطرف إليها بعد.</w:t>
      </w:r>
    </w:p>
    <w:p w14:paraId="3ACE8B78" w14:textId="77777777" w:rsidR="00774CA0" w:rsidRPr="00E44063" w:rsidRDefault="00774CA0" w:rsidP="00774CA0">
      <w:pPr>
        <w:pStyle w:val="SingleTxtGA"/>
        <w:rPr>
          <w:b/>
          <w:bCs/>
          <w:szCs w:val="20"/>
          <w:lang w:val="ar-SA" w:eastAsia="zh-TW" w:bidi="en-GB"/>
        </w:rPr>
      </w:pPr>
      <w:r w:rsidRPr="00E44063">
        <w:rPr>
          <w:rtl/>
        </w:rPr>
        <w:t>49</w:t>
      </w:r>
      <w:r w:rsidRPr="00D97B6F">
        <w:rPr>
          <w:rtl/>
        </w:rPr>
        <w:t>-</w:t>
      </w:r>
      <w:r w:rsidRPr="00D97B6F">
        <w:rPr>
          <w:rtl/>
        </w:rPr>
        <w:tab/>
      </w:r>
      <w:r w:rsidRPr="00E44063">
        <w:rPr>
          <w:b/>
          <w:bCs/>
          <w:rtl/>
        </w:rPr>
        <w:t>وتدعو اللجنة الدولة الطرف إلى أن تنشر على نطاق واسع التقرير المقدم إلى اللجنة وهذه الملاحظات الختامية، باللغات المناسبة، وذلك عن طريق المواقع الشبكية الرسمية ووسائل الإعلام والمنظمات غير الحكومية، وأن تُبلغ اللجنة بما اضطلعت من أنشطة في هذا الصدد.</w:t>
      </w:r>
      <w:bookmarkStart w:id="3" w:name="_Hlk90374576"/>
      <w:bookmarkEnd w:id="3"/>
    </w:p>
    <w:p w14:paraId="20C940A7" w14:textId="025F1125" w:rsidR="00774CA0" w:rsidRPr="00E44063" w:rsidRDefault="00774CA0" w:rsidP="00774CA0">
      <w:pPr>
        <w:pStyle w:val="SingleTxtGA"/>
        <w:rPr>
          <w:b/>
          <w:bCs/>
          <w:szCs w:val="20"/>
          <w:lang w:val="en-US" w:eastAsia="zh-TW" w:bidi="en-GB"/>
        </w:rPr>
      </w:pPr>
      <w:r w:rsidRPr="00E44063">
        <w:rPr>
          <w:rtl/>
        </w:rPr>
        <w:t>50</w:t>
      </w:r>
      <w:r w:rsidRPr="00D97B6F">
        <w:rPr>
          <w:rtl/>
        </w:rPr>
        <w:t>-</w:t>
      </w:r>
      <w:r w:rsidRPr="00D97B6F">
        <w:rPr>
          <w:rtl/>
        </w:rPr>
        <w:tab/>
      </w:r>
      <w:r w:rsidRPr="00E44063">
        <w:rPr>
          <w:b/>
          <w:bCs/>
          <w:rtl/>
        </w:rPr>
        <w:t>وتطلب اللجنة إلى الدولة الطرف أن تقدّم تقريرها الدوري المقبل، الذي سيكون تقريرها الثامن، في موعد أقصاه 28 تموز/يوليه 202</w:t>
      </w:r>
      <w:r w:rsidR="002D233E" w:rsidRPr="00E44063">
        <w:rPr>
          <w:b/>
          <w:bCs/>
          <w:rtl/>
        </w:rPr>
        <w:t>7</w:t>
      </w:r>
      <w:r w:rsidR="002D233E" w:rsidRPr="00E44063">
        <w:rPr>
          <w:rFonts w:ascii="Simplified Arabic"/>
          <w:b/>
          <w:bCs/>
          <w:szCs w:val="20"/>
          <w:rtl/>
        </w:rPr>
        <w:t>.</w:t>
      </w:r>
      <w:r w:rsidR="002D233E" w:rsidRPr="00E44063">
        <w:rPr>
          <w:b/>
          <w:bCs/>
          <w:rtl/>
        </w:rPr>
        <w:t xml:space="preserve"> </w:t>
      </w:r>
      <w:r w:rsidRPr="00E44063">
        <w:rPr>
          <w:b/>
          <w:bCs/>
          <w:rtl/>
        </w:rPr>
        <w:t>ولهذا الغرض، وبما أن الدولة الطرف وافقت على تقديم تقاريرها إلى اللجنة عملاً بالإجراء المبسط لتقديم التقارير، فإن اللجنة ستحيل إليها، في الوقت المناسب، قائمة مسائل قبل تقديم تقريرها. وستشكل ردود الدولة الطرف على قائمة المسائل هذه تقريرها الدوري الثامن بموجب المادة 19 من الاتفاقية.</w:t>
      </w:r>
    </w:p>
    <w:p w14:paraId="63C21A23" w14:textId="00FFE5B5" w:rsidR="00774CA0" w:rsidRPr="00D97B6F" w:rsidRDefault="00774CA0" w:rsidP="00774CA0">
      <w:pPr>
        <w:pStyle w:val="SingleTxtG"/>
        <w:spacing w:before="240" w:after="0"/>
        <w:jc w:val="center"/>
        <w:rPr>
          <w:u w:val="single"/>
          <w:lang w:val="en-US"/>
        </w:rPr>
      </w:pPr>
      <w:r w:rsidRPr="00D97B6F">
        <w:rPr>
          <w:u w:val="single"/>
        </w:rPr>
        <w:tab/>
      </w:r>
      <w:r w:rsidRPr="00D97B6F">
        <w:rPr>
          <w:u w:val="single"/>
        </w:rPr>
        <w:tab/>
      </w:r>
      <w:r w:rsidRPr="00D97B6F">
        <w:rPr>
          <w:u w:val="single"/>
        </w:rPr>
        <w:tab/>
      </w:r>
      <w:r w:rsidRPr="00D97B6F">
        <w:rPr>
          <w:u w:val="single"/>
        </w:rPr>
        <w:tab/>
      </w:r>
    </w:p>
    <w:sectPr w:rsidR="00774CA0" w:rsidRPr="00D97B6F" w:rsidSect="00B426A2">
      <w:headerReference w:type="even" r:id="rId9"/>
      <w:headerReference w:type="default" r:id="rId10"/>
      <w:footerReference w:type="even" r:id="rId11"/>
      <w:footerReference w:type="default" r:id="rId12"/>
      <w:footerReference w:type="first" r:id="rId13"/>
      <w:endnotePr>
        <w:numFmt w:val="decimal"/>
      </w:endnotePr>
      <w:pgSz w:w="11907" w:h="16840" w:code="9"/>
      <w:pgMar w:top="1361" w:right="1134" w:bottom="1134" w:left="1134" w:header="851" w:footer="567" w:gutter="0"/>
      <w:cols w:space="720"/>
      <w:titlePg/>
      <w:bidi/>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01F5E4DD" w14:textId="77777777" w:rsidR="0090638F" w:rsidRPr="002901D9" w:rsidRDefault="0090638F" w:rsidP="00874514">
      <w:pPr>
        <w:spacing w:after="60" w:line="240" w:lineRule="auto"/>
        <w:ind w:left="57"/>
        <w:rPr>
          <w:i/>
          <w:iCs/>
        </w:rPr>
      </w:pPr>
      <w:r>
        <w:rPr>
          <w:rFonts w:hint="cs"/>
          <w:i/>
          <w:iCs/>
          <w:rtl/>
        </w:rPr>
        <w:t>الحواشي</w:t>
      </w:r>
    </w:p>
  </w:endnote>
  <w:endnote w:type="continuationSeparator" w:id="0">
    <w:p w14:paraId="76E87F22" w14:textId="77777777" w:rsidR="0090638F" w:rsidRDefault="0090638F" w:rsidP="00656392">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Simplified Arabic">
    <w:panose1 w:val="02020603050405020304"/>
    <w:charset w:val="00"/>
    <w:family w:val="roman"/>
    <w:pitch w:val="variable"/>
    <w:sig w:usb0="00002003" w:usb1="80000000" w:usb2="00000008" w:usb3="00000000" w:csb0="00000041" w:csb1="00000000"/>
  </w:font>
  <w:font w:name="Traditional Arabic">
    <w:panose1 w:val="02020603050405020304"/>
    <w:charset w:val="00"/>
    <w:family w:val="roman"/>
    <w:pitch w:val="variable"/>
    <w:sig w:usb0="00002003" w:usb1="80000000" w:usb2="00000008" w:usb3="00000000" w:csb0="00000041" w:csb1="00000000"/>
  </w:font>
  <w:font w:name="Calibri">
    <w:panose1 w:val="020F05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Times New Roman Bold">
    <w:altName w:val="Times New Roman"/>
    <w:panose1 w:val="02020803070505020304"/>
    <w:charset w:val="00"/>
    <w:family w:val="roman"/>
    <w:notTrueType/>
    <w:pitch w:val="default"/>
  </w:font>
  <w:font w:name="MS Mincho">
    <w:altName w:val="ＭＳ 明朝"/>
    <w:panose1 w:val="02020609040205080304"/>
    <w:charset w:val="80"/>
    <w:family w:val="modern"/>
    <w:pitch w:val="fixed"/>
    <w:sig w:usb0="E00002FF" w:usb1="6AC7FDFB" w:usb2="08000012" w:usb3="00000000" w:csb0="0002009F" w:csb1="00000000"/>
  </w:font>
  <w:font w:name="DengXian">
    <w:altName w:val="等线"/>
    <w:panose1 w:val="02010600030101010101"/>
    <w:charset w:val="86"/>
    <w:family w:val="auto"/>
    <w:pitch w:val="variable"/>
    <w:sig w:usb0="A00002BF" w:usb1="38CF7CFA" w:usb2="00000016" w:usb3="00000000" w:csb0="0004000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10C5AD4" w14:textId="5E0438E3" w:rsidR="00A44083" w:rsidRPr="00A44083" w:rsidRDefault="00A44083" w:rsidP="00A44083">
    <w:pPr>
      <w:pStyle w:val="Footer"/>
      <w:tabs>
        <w:tab w:val="right" w:pos="9638"/>
      </w:tabs>
      <w:rPr>
        <w:b/>
        <w:sz w:val="18"/>
        <w:lang w:val="en-US"/>
      </w:rPr>
    </w:pPr>
    <w:r>
      <w:rPr>
        <w:lang w:val="en-US"/>
      </w:rPr>
      <w:t>GE.23-14842</w:t>
    </w:r>
    <w:r>
      <w:rPr>
        <w:lang w:val="en-US"/>
      </w:rPr>
      <w:tab/>
    </w:r>
    <w:r w:rsidRPr="00A44083">
      <w:rPr>
        <w:b/>
        <w:sz w:val="18"/>
        <w:lang w:val="en-US"/>
      </w:rPr>
      <w:fldChar w:fldCharType="begin"/>
    </w:r>
    <w:r w:rsidRPr="00A44083">
      <w:rPr>
        <w:b/>
        <w:sz w:val="18"/>
        <w:lang w:val="en-US"/>
      </w:rPr>
      <w:instrText xml:space="preserve"> PAGE  \* MERGEFORMAT </w:instrText>
    </w:r>
    <w:r w:rsidRPr="00A44083">
      <w:rPr>
        <w:b/>
        <w:sz w:val="18"/>
        <w:lang w:val="en-US"/>
      </w:rPr>
      <w:fldChar w:fldCharType="separate"/>
    </w:r>
    <w:r w:rsidRPr="00A44083">
      <w:rPr>
        <w:b/>
        <w:noProof/>
        <w:sz w:val="18"/>
        <w:lang w:val="en-US"/>
      </w:rPr>
      <w:t>2</w:t>
    </w:r>
    <w:r w:rsidRPr="00A44083">
      <w:rPr>
        <w:b/>
        <w:sz w:val="18"/>
        <w:lang w:val="en-US"/>
      </w:rPr>
      <w:fldChar w:fldCharType="end"/>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408307" w14:textId="47D4CA22" w:rsidR="006959B0" w:rsidRPr="00A44083" w:rsidRDefault="00A44083" w:rsidP="00A44083">
    <w:pPr>
      <w:pStyle w:val="Footer"/>
      <w:tabs>
        <w:tab w:val="right" w:pos="9638"/>
      </w:tabs>
      <w:rPr>
        <w:lang w:val="en-US"/>
      </w:rPr>
    </w:pPr>
    <w:r>
      <w:rPr>
        <w:b/>
        <w:sz w:val="18"/>
        <w:lang w:val="en-US"/>
      </w:rPr>
      <w:fldChar w:fldCharType="begin"/>
    </w:r>
    <w:r>
      <w:rPr>
        <w:b/>
        <w:sz w:val="18"/>
        <w:lang w:val="en-US"/>
      </w:rPr>
      <w:instrText xml:space="preserve"> PAGE  \* MERGEFORMAT </w:instrText>
    </w:r>
    <w:r>
      <w:rPr>
        <w:b/>
        <w:sz w:val="18"/>
        <w:lang w:val="en-US"/>
      </w:rPr>
      <w:fldChar w:fldCharType="separate"/>
    </w:r>
    <w:r>
      <w:rPr>
        <w:b/>
        <w:noProof/>
        <w:sz w:val="18"/>
        <w:lang w:val="en-US"/>
      </w:rPr>
      <w:t>3</w:t>
    </w:r>
    <w:r>
      <w:rPr>
        <w:b/>
        <w:sz w:val="18"/>
        <w:lang w:val="en-US"/>
      </w:rPr>
      <w:fldChar w:fldCharType="end"/>
    </w:r>
    <w:r>
      <w:rPr>
        <w:b/>
        <w:sz w:val="18"/>
        <w:lang w:val="en-US"/>
      </w:rPr>
      <w:tab/>
    </w:r>
    <w:r>
      <w:rPr>
        <w:lang w:val="en-US"/>
      </w:rPr>
      <w:t>GE.23-14842</w:t>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9F47B67" w14:textId="27C566BF" w:rsidR="00261289" w:rsidRPr="00A44083" w:rsidRDefault="00A44083" w:rsidP="00A44083">
    <w:pPr>
      <w:pStyle w:val="Footer"/>
      <w:spacing w:before="600"/>
      <w:ind w:left="567"/>
      <w:jc w:val="right"/>
      <w:rPr>
        <w:sz w:val="20"/>
        <w:lang w:val="en-US"/>
      </w:rPr>
    </w:pPr>
    <w:r>
      <w:rPr>
        <w:sz w:val="20"/>
        <w:lang w:val="en-US"/>
      </w:rPr>
      <w:t>GE.</w:t>
    </w:r>
    <w:r w:rsidR="00F62057">
      <w:rPr>
        <w:noProof/>
      </w:rPr>
      <w:drawing>
        <wp:anchor distT="0" distB="0" distL="114300" distR="114300" simplePos="0" relativeHeight="251658240" behindDoc="1" locked="1" layoutInCell="0" allowOverlap="1" wp14:anchorId="6C3F5196" wp14:editId="63A96E0E">
          <wp:simplePos x="0" y="0"/>
          <wp:positionH relativeFrom="margin">
            <wp:posOffset>719455</wp:posOffset>
          </wp:positionH>
          <wp:positionV relativeFrom="margin">
            <wp:posOffset>9144000</wp:posOffset>
          </wp:positionV>
          <wp:extent cx="1162685" cy="325120"/>
          <wp:effectExtent l="0" t="0" r="0" b="0"/>
          <wp:wrapTight wrapText="bothSides">
            <wp:wrapPolygon edited="0">
              <wp:start x="0" y="0"/>
              <wp:lineTo x="0" y="20250"/>
              <wp:lineTo x="21234" y="20250"/>
              <wp:lineTo x="21234" y="0"/>
              <wp:lineTo x="0" y="0"/>
            </wp:wrapPolygon>
          </wp:wrapTight>
          <wp:docPr id="1" name="Picture 1" descr="يُرجى إعادة التدوير"/>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الرجاء_إعادة_التدوير"/>
                  <pic:cNvPicPr>
                    <a:picLocks noChangeAspect="1" noChangeArrowheads="1"/>
                  </pic:cNvPicPr>
                </pic:nvPicPr>
                <pic:blipFill>
                  <a:blip r:embed="rId1">
                    <a:extLst>
                      <a:ext uri="{28A0092B-C50C-407E-A947-70E740481C1C}">
                        <a14:useLocalDpi xmlns:a14="http://schemas.microsoft.com/office/drawing/2010/main" val="0"/>
                      </a:ext>
                    </a:extLst>
                  </a:blip>
                  <a:srcRect t="4395" b="4395"/>
                  <a:stretch>
                    <a:fillRect/>
                  </a:stretch>
                </pic:blipFill>
                <pic:spPr bwMode="auto">
                  <a:xfrm>
                    <a:off x="0" y="0"/>
                    <a:ext cx="1162685" cy="325120"/>
                  </a:xfrm>
                  <a:prstGeom prst="rect">
                    <a:avLst/>
                  </a:prstGeom>
                  <a:noFill/>
                </pic:spPr>
              </pic:pic>
            </a:graphicData>
          </a:graphic>
          <wp14:sizeRelH relativeFrom="page">
            <wp14:pctWidth>0</wp14:pctWidth>
          </wp14:sizeRelH>
          <wp14:sizeRelV relativeFrom="page">
            <wp14:pctHeight>0</wp14:pctHeight>
          </wp14:sizeRelV>
        </wp:anchor>
      </w:drawing>
    </w:r>
    <w:r>
      <w:rPr>
        <w:sz w:val="20"/>
        <w:lang w:val="en-US"/>
      </w:rPr>
      <w:t>23-14842 (A)</w:t>
    </w:r>
    <w:r>
      <w:rPr>
        <w:noProof/>
        <w:sz w:val="20"/>
        <w:lang w:val="en-US"/>
      </w:rPr>
      <w:drawing>
        <wp:anchor distT="0" distB="0" distL="114300" distR="114300" simplePos="0" relativeHeight="251659264" behindDoc="0" locked="0" layoutInCell="1" allowOverlap="1" wp14:anchorId="150EE969" wp14:editId="0E116BCD">
          <wp:simplePos x="0" y="0"/>
          <wp:positionH relativeFrom="margin">
            <wp:posOffset>0</wp:posOffset>
          </wp:positionH>
          <wp:positionV relativeFrom="margin">
            <wp:posOffset>8891905</wp:posOffset>
          </wp:positionV>
          <wp:extent cx="561975" cy="561975"/>
          <wp:effectExtent l="0" t="0" r="9525" b="9525"/>
          <wp:wrapNone/>
          <wp:docPr id="3" name="Picture 1" descr="امسح الرمز لتصفح الوثيقة أو تحميلها"/>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1" descr="امسح الرمز لتصفح الوثيقة أو تحميلها"/>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A3AB995" w14:textId="77777777" w:rsidR="0090638F" w:rsidRPr="004956DC" w:rsidRDefault="0090638F" w:rsidP="000F71D2">
      <w:pPr>
        <w:pStyle w:val="Footer"/>
        <w:bidi/>
        <w:spacing w:after="80" w:line="200" w:lineRule="exact"/>
        <w:ind w:left="680"/>
      </w:pPr>
      <w:r>
        <w:rPr>
          <w:rtl/>
        </w:rPr>
        <w:t>__________</w:t>
      </w:r>
    </w:p>
  </w:footnote>
  <w:footnote w:type="continuationSeparator" w:id="0">
    <w:p w14:paraId="6D76864D" w14:textId="77777777" w:rsidR="0090638F" w:rsidRDefault="0090638F" w:rsidP="00656392">
      <w:pPr>
        <w:spacing w:line="240" w:lineRule="auto"/>
      </w:pPr>
      <w:r>
        <w:continuationSeparator/>
      </w:r>
    </w:p>
  </w:footnote>
  <w:footnote w:id="1">
    <w:p w14:paraId="42DCEF43" w14:textId="17179849" w:rsidR="00064C44" w:rsidRPr="00690D3D" w:rsidRDefault="00064C44" w:rsidP="00064C44">
      <w:pPr>
        <w:pStyle w:val="FootnoteText1"/>
        <w:rPr>
          <w:rtl/>
        </w:rPr>
      </w:pPr>
      <w:r w:rsidRPr="00690D3D">
        <w:rPr>
          <w:rtl/>
        </w:rPr>
        <w:t>*</w:t>
      </w:r>
      <w:r w:rsidRPr="00690D3D">
        <w:rPr>
          <w:rtl/>
        </w:rPr>
        <w:tab/>
        <w:t>اعتمدتها اللجنة في دورتها السابعة والسبعين (</w:t>
      </w:r>
      <w:r w:rsidR="00395B26" w:rsidRPr="00E44063">
        <w:rPr>
          <w:rFonts w:hint="cs"/>
          <w:rtl/>
        </w:rPr>
        <w:t>10</w:t>
      </w:r>
      <w:r w:rsidR="00395B26">
        <w:rPr>
          <w:rFonts w:hint="cs"/>
          <w:rtl/>
        </w:rPr>
        <w:t>-</w:t>
      </w:r>
      <w:r w:rsidR="00395B26" w:rsidRPr="00E44063">
        <w:rPr>
          <w:rFonts w:hint="cs"/>
          <w:rtl/>
        </w:rPr>
        <w:t>28</w:t>
      </w:r>
      <w:r w:rsidRPr="00690D3D">
        <w:rPr>
          <w:rtl/>
        </w:rPr>
        <w:t xml:space="preserve"> تموز/يوليه </w:t>
      </w:r>
      <w:r w:rsidRPr="00E44063">
        <w:rPr>
          <w:rtl/>
        </w:rPr>
        <w:t>2023</w:t>
      </w:r>
      <w:r w:rsidR="002D233E" w:rsidRPr="002D233E">
        <w:rPr>
          <w:rtl/>
        </w:rPr>
        <w:t xml:space="preserve">). </w:t>
      </w:r>
    </w:p>
  </w:footnote>
  <w:footnote w:id="2">
    <w:p w14:paraId="04A6FB7E" w14:textId="77777777"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r>
      <w:hyperlink r:id="rId1" w:history="1">
        <w:r w:rsidRPr="002D233E">
          <w:rPr>
            <w:rStyle w:val="Hyperlink"/>
          </w:rPr>
          <w:t>CAT/C/ESP/</w:t>
        </w:r>
        <w:r w:rsidRPr="00E44063">
          <w:rPr>
            <w:rStyle w:val="Hyperlink"/>
          </w:rPr>
          <w:t>7</w:t>
        </w:r>
      </w:hyperlink>
      <w:r w:rsidRPr="002D233E">
        <w:rPr>
          <w:szCs w:val="18"/>
          <w:rtl/>
        </w:rPr>
        <w:t xml:space="preserve">. </w:t>
      </w:r>
    </w:p>
  </w:footnote>
  <w:footnote w:id="3">
    <w:p w14:paraId="1C95D259" w14:textId="77777777"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t xml:space="preserve">انظر </w:t>
      </w:r>
      <w:hyperlink r:id="rId2" w:history="1">
        <w:r w:rsidRPr="002D233E">
          <w:rPr>
            <w:rStyle w:val="Hyperlink"/>
          </w:rPr>
          <w:t>CAT/C/SR.</w:t>
        </w:r>
        <w:r w:rsidRPr="00E44063">
          <w:rPr>
            <w:rStyle w:val="Hyperlink"/>
          </w:rPr>
          <w:t>2026</w:t>
        </w:r>
      </w:hyperlink>
      <w:r w:rsidRPr="00690D3D">
        <w:rPr>
          <w:szCs w:val="18"/>
          <w:rtl/>
        </w:rPr>
        <w:t xml:space="preserve"> و</w:t>
      </w:r>
      <w:hyperlink r:id="rId3" w:history="1">
        <w:r w:rsidRPr="002D233E">
          <w:rPr>
            <w:rStyle w:val="Hyperlink"/>
          </w:rPr>
          <w:t>CAT/C/SR.</w:t>
        </w:r>
        <w:r w:rsidRPr="00E44063">
          <w:rPr>
            <w:rStyle w:val="Hyperlink"/>
          </w:rPr>
          <w:t>2028</w:t>
        </w:r>
      </w:hyperlink>
      <w:r w:rsidRPr="002D233E">
        <w:rPr>
          <w:szCs w:val="18"/>
          <w:rtl/>
        </w:rPr>
        <w:t xml:space="preserve">. </w:t>
      </w:r>
    </w:p>
  </w:footnote>
  <w:footnote w:id="4">
    <w:p w14:paraId="7CDE9B7E" w14:textId="77777777"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r>
      <w:hyperlink r:id="rId4" w:history="1">
        <w:r w:rsidRPr="002D233E">
          <w:rPr>
            <w:rStyle w:val="Hyperlink"/>
          </w:rPr>
          <w:t>CAT/C/ESP/CO/</w:t>
        </w:r>
        <w:r w:rsidRPr="00E44063">
          <w:rPr>
            <w:rStyle w:val="Hyperlink"/>
          </w:rPr>
          <w:t>6</w:t>
        </w:r>
      </w:hyperlink>
      <w:r w:rsidRPr="00690D3D">
        <w:rPr>
          <w:szCs w:val="18"/>
          <w:rtl/>
        </w:rPr>
        <w:t xml:space="preserve">، الفقرة </w:t>
      </w:r>
      <w:r w:rsidRPr="00E44063">
        <w:rPr>
          <w:szCs w:val="18"/>
          <w:rtl/>
        </w:rPr>
        <w:t>24</w:t>
      </w:r>
      <w:r w:rsidRPr="002D233E">
        <w:rPr>
          <w:szCs w:val="18"/>
          <w:rtl/>
        </w:rPr>
        <w:t xml:space="preserve">. </w:t>
      </w:r>
    </w:p>
  </w:footnote>
  <w:footnote w:id="5">
    <w:p w14:paraId="7214EE7A" w14:textId="77777777" w:rsidR="002D233E" w:rsidRPr="00690D3D" w:rsidRDefault="002D233E" w:rsidP="00594005">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t xml:space="preserve">المرجع نفسه، الفقرات </w:t>
      </w:r>
      <w:r w:rsidRPr="00E44063">
        <w:rPr>
          <w:szCs w:val="18"/>
          <w:rtl/>
        </w:rPr>
        <w:t>10</w:t>
      </w:r>
      <w:r w:rsidRPr="00690D3D">
        <w:rPr>
          <w:szCs w:val="18"/>
          <w:rtl/>
        </w:rPr>
        <w:t xml:space="preserve"> و</w:t>
      </w:r>
      <w:r w:rsidRPr="00E44063">
        <w:rPr>
          <w:szCs w:val="18"/>
          <w:rtl/>
        </w:rPr>
        <w:t>16</w:t>
      </w:r>
      <w:r w:rsidRPr="00690D3D">
        <w:rPr>
          <w:szCs w:val="18"/>
          <w:rtl/>
        </w:rPr>
        <w:t xml:space="preserve"> و</w:t>
      </w:r>
      <w:r w:rsidRPr="00E44063">
        <w:rPr>
          <w:szCs w:val="18"/>
          <w:rtl/>
        </w:rPr>
        <w:t>17</w:t>
      </w:r>
      <w:r w:rsidRPr="00690D3D">
        <w:rPr>
          <w:szCs w:val="18"/>
          <w:rtl/>
        </w:rPr>
        <w:t xml:space="preserve"> و</w:t>
      </w:r>
      <w:r w:rsidRPr="00E44063">
        <w:rPr>
          <w:szCs w:val="18"/>
          <w:rtl/>
        </w:rPr>
        <w:t>18</w:t>
      </w:r>
      <w:r w:rsidRPr="002D233E">
        <w:rPr>
          <w:szCs w:val="18"/>
          <w:rtl/>
        </w:rPr>
        <w:t xml:space="preserve">. </w:t>
      </w:r>
    </w:p>
  </w:footnote>
  <w:footnote w:id="6">
    <w:p w14:paraId="25B6938A" w14:textId="77777777"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rFonts w:hint="cs"/>
          <w:szCs w:val="18"/>
          <w:rtl/>
        </w:rPr>
        <w:t>)</w:t>
      </w:r>
      <w:r w:rsidRPr="00690D3D">
        <w:rPr>
          <w:szCs w:val="18"/>
          <w:rtl/>
        </w:rPr>
        <w:tab/>
      </w:r>
      <w:hyperlink r:id="rId5" w:history="1">
        <w:r w:rsidRPr="002D233E">
          <w:rPr>
            <w:rStyle w:val="Hyperlink"/>
          </w:rPr>
          <w:t>CAT/C/ESP/CO/</w:t>
        </w:r>
        <w:r w:rsidRPr="00E44063">
          <w:rPr>
            <w:rStyle w:val="Hyperlink"/>
          </w:rPr>
          <w:t>6</w:t>
        </w:r>
        <w:r w:rsidRPr="002D233E">
          <w:rPr>
            <w:rStyle w:val="Hyperlink"/>
          </w:rPr>
          <w:t>/Add.</w:t>
        </w:r>
        <w:r w:rsidRPr="00E44063">
          <w:rPr>
            <w:rStyle w:val="Hyperlink"/>
          </w:rPr>
          <w:t>1</w:t>
        </w:r>
      </w:hyperlink>
      <w:r w:rsidRPr="002D233E">
        <w:rPr>
          <w:szCs w:val="18"/>
          <w:rtl/>
        </w:rPr>
        <w:t xml:space="preserve">. </w:t>
      </w:r>
    </w:p>
  </w:footnote>
  <w:footnote w:id="7">
    <w:p w14:paraId="25A441E9" w14:textId="77777777"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r>
      <w:hyperlink r:id="rId6" w:history="1">
        <w:r w:rsidRPr="002D233E">
          <w:rPr>
            <w:rStyle w:val="Hyperlink"/>
          </w:rPr>
          <w:t>CAT/C/ESP/CO/</w:t>
        </w:r>
        <w:r w:rsidRPr="00E44063">
          <w:rPr>
            <w:rStyle w:val="Hyperlink"/>
          </w:rPr>
          <w:t>6</w:t>
        </w:r>
      </w:hyperlink>
      <w:r w:rsidRPr="00690D3D">
        <w:rPr>
          <w:szCs w:val="18"/>
          <w:rtl/>
        </w:rPr>
        <w:t xml:space="preserve">، الفقرة </w:t>
      </w:r>
      <w:r w:rsidRPr="00E44063">
        <w:rPr>
          <w:szCs w:val="18"/>
          <w:rtl/>
        </w:rPr>
        <w:t>9</w:t>
      </w:r>
      <w:r w:rsidRPr="002D233E">
        <w:rPr>
          <w:szCs w:val="18"/>
          <w:rtl/>
        </w:rPr>
        <w:t xml:space="preserve">. </w:t>
      </w:r>
    </w:p>
  </w:footnote>
  <w:footnote w:id="8">
    <w:p w14:paraId="25E02E9E" w14:textId="77777777" w:rsidR="002D233E" w:rsidRPr="00690D3D" w:rsidRDefault="002D233E" w:rsidP="00594005">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t xml:space="preserve">المرجع نفسه، الفقرة </w:t>
      </w:r>
      <w:r w:rsidRPr="00E44063">
        <w:rPr>
          <w:szCs w:val="18"/>
          <w:rtl/>
        </w:rPr>
        <w:t>10</w:t>
      </w:r>
      <w:r w:rsidRPr="002D233E">
        <w:rPr>
          <w:szCs w:val="18"/>
          <w:rtl/>
        </w:rPr>
        <w:t xml:space="preserve">. </w:t>
      </w:r>
    </w:p>
  </w:footnote>
  <w:footnote w:id="9">
    <w:p w14:paraId="4751962D" w14:textId="77777777"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r>
      <w:hyperlink r:id="rId7" w:history="1">
        <w:r w:rsidRPr="002D233E">
          <w:rPr>
            <w:rStyle w:val="Hyperlink"/>
          </w:rPr>
          <w:t>CAT/C/ESP/</w:t>
        </w:r>
        <w:r w:rsidRPr="00E44063">
          <w:rPr>
            <w:rStyle w:val="Hyperlink"/>
          </w:rPr>
          <w:t>7</w:t>
        </w:r>
      </w:hyperlink>
      <w:r w:rsidRPr="00690D3D">
        <w:rPr>
          <w:szCs w:val="18"/>
          <w:rtl/>
        </w:rPr>
        <w:t xml:space="preserve">، الفقرة </w:t>
      </w:r>
      <w:r w:rsidRPr="00E44063">
        <w:rPr>
          <w:szCs w:val="18"/>
          <w:rtl/>
        </w:rPr>
        <w:t>177</w:t>
      </w:r>
      <w:r w:rsidRPr="00690D3D">
        <w:rPr>
          <w:szCs w:val="18"/>
          <w:rtl/>
        </w:rPr>
        <w:t xml:space="preserve">، والمرفق </w:t>
      </w:r>
      <w:r w:rsidRPr="00E44063">
        <w:rPr>
          <w:szCs w:val="18"/>
          <w:rtl/>
        </w:rPr>
        <w:t>7</w:t>
      </w:r>
      <w:r w:rsidRPr="00690D3D">
        <w:rPr>
          <w:szCs w:val="18"/>
          <w:rtl/>
        </w:rPr>
        <w:t>، يمكن الاطلاع عليهما في الموقع الشبكي للجنة</w:t>
      </w:r>
      <w:r>
        <w:rPr>
          <w:szCs w:val="18"/>
          <w:rtl/>
        </w:rPr>
        <w:t xml:space="preserve">. </w:t>
      </w:r>
    </w:p>
  </w:footnote>
  <w:footnote w:id="10">
    <w:p w14:paraId="5D64900A" w14:textId="77777777"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t xml:space="preserve">المرفق </w:t>
      </w:r>
      <w:r w:rsidRPr="00E44063">
        <w:rPr>
          <w:szCs w:val="18"/>
          <w:rtl/>
        </w:rPr>
        <w:t>10</w:t>
      </w:r>
      <w:r w:rsidRPr="00690D3D">
        <w:rPr>
          <w:szCs w:val="18"/>
          <w:rtl/>
        </w:rPr>
        <w:t xml:space="preserve"> للتقرير الوارد في الوثيقة </w:t>
      </w:r>
      <w:hyperlink r:id="rId8" w:history="1">
        <w:r w:rsidRPr="002D233E">
          <w:rPr>
            <w:rStyle w:val="Hyperlink"/>
          </w:rPr>
          <w:t>CAT/C/ESP/</w:t>
        </w:r>
        <w:r w:rsidRPr="00E44063">
          <w:rPr>
            <w:rStyle w:val="Hyperlink"/>
          </w:rPr>
          <w:t>7</w:t>
        </w:r>
      </w:hyperlink>
      <w:r w:rsidRPr="00690D3D">
        <w:rPr>
          <w:szCs w:val="18"/>
          <w:rtl/>
        </w:rPr>
        <w:t>، يمكن الاطلاع عليه في الموقع الشبكي للجنة</w:t>
      </w:r>
      <w:r>
        <w:rPr>
          <w:szCs w:val="18"/>
          <w:rtl/>
        </w:rPr>
        <w:t xml:space="preserve">. </w:t>
      </w:r>
    </w:p>
  </w:footnote>
  <w:footnote w:id="11">
    <w:p w14:paraId="77190D93" w14:textId="68B44AE1"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r>
      <w:hyperlink r:id="rId9" w:history="1">
        <w:r w:rsidRPr="002D233E">
          <w:rPr>
            <w:rStyle w:val="Hyperlink"/>
          </w:rPr>
          <w:t>CAT/C/ESP/CO/</w:t>
        </w:r>
        <w:r w:rsidRPr="00E44063">
          <w:rPr>
            <w:rStyle w:val="Hyperlink"/>
          </w:rPr>
          <w:t>6</w:t>
        </w:r>
      </w:hyperlink>
      <w:r w:rsidRPr="00690D3D">
        <w:rPr>
          <w:szCs w:val="18"/>
          <w:rtl/>
        </w:rPr>
        <w:t xml:space="preserve">، الفقرة </w:t>
      </w:r>
      <w:r w:rsidRPr="00E44063">
        <w:rPr>
          <w:szCs w:val="18"/>
          <w:rtl/>
        </w:rPr>
        <w:t>18</w:t>
      </w:r>
      <w:r w:rsidRPr="002D233E">
        <w:rPr>
          <w:szCs w:val="18"/>
          <w:rtl/>
        </w:rPr>
        <w:t>.</w:t>
      </w:r>
    </w:p>
  </w:footnote>
  <w:footnote w:id="12">
    <w:p w14:paraId="6129561C" w14:textId="77777777" w:rsidR="002D233E" w:rsidRPr="00690D3D" w:rsidRDefault="002D233E" w:rsidP="00594005">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r>
      <w:r w:rsidRPr="00690D3D">
        <w:rPr>
          <w:szCs w:val="18"/>
        </w:rPr>
        <w:t>CPT/</w:t>
      </w:r>
      <w:proofErr w:type="gramStart"/>
      <w:r w:rsidRPr="00690D3D">
        <w:rPr>
          <w:szCs w:val="18"/>
        </w:rPr>
        <w:t>Inf(</w:t>
      </w:r>
      <w:proofErr w:type="gramEnd"/>
      <w:r w:rsidRPr="00E44063">
        <w:rPr>
          <w:szCs w:val="18"/>
        </w:rPr>
        <w:t>2021</w:t>
      </w:r>
      <w:r w:rsidRPr="00690D3D">
        <w:rPr>
          <w:szCs w:val="18"/>
        </w:rPr>
        <w:t>)</w:t>
      </w:r>
      <w:r w:rsidRPr="00E44063">
        <w:rPr>
          <w:szCs w:val="18"/>
        </w:rPr>
        <w:t>27</w:t>
      </w:r>
      <w:r w:rsidRPr="00690D3D">
        <w:rPr>
          <w:szCs w:val="18"/>
          <w:rtl/>
        </w:rPr>
        <w:t xml:space="preserve">، الفقرة </w:t>
      </w:r>
      <w:r w:rsidRPr="00E44063">
        <w:rPr>
          <w:szCs w:val="18"/>
          <w:rtl/>
        </w:rPr>
        <w:t>85</w:t>
      </w:r>
      <w:r w:rsidRPr="002D233E">
        <w:rPr>
          <w:szCs w:val="18"/>
          <w:rtl/>
        </w:rPr>
        <w:t xml:space="preserve">. </w:t>
      </w:r>
    </w:p>
  </w:footnote>
  <w:footnote w:id="13">
    <w:p w14:paraId="3CD20291" w14:textId="77777777"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r>
      <w:hyperlink r:id="rId10" w:history="1">
        <w:r w:rsidRPr="002D233E">
          <w:rPr>
            <w:rStyle w:val="Hyperlink"/>
          </w:rPr>
          <w:t>CAT/C/ESP/CO/</w:t>
        </w:r>
        <w:r w:rsidRPr="00E44063">
          <w:rPr>
            <w:rStyle w:val="Hyperlink"/>
          </w:rPr>
          <w:t>6</w:t>
        </w:r>
      </w:hyperlink>
      <w:r w:rsidRPr="00690D3D">
        <w:rPr>
          <w:szCs w:val="18"/>
          <w:rtl/>
        </w:rPr>
        <w:t xml:space="preserve">، الفقرة </w:t>
      </w:r>
      <w:r w:rsidRPr="00E44063">
        <w:rPr>
          <w:szCs w:val="18"/>
          <w:rtl/>
        </w:rPr>
        <w:t>17</w:t>
      </w:r>
      <w:r w:rsidRPr="002D233E">
        <w:rPr>
          <w:szCs w:val="18"/>
          <w:rtl/>
        </w:rPr>
        <w:t xml:space="preserve">. </w:t>
      </w:r>
    </w:p>
  </w:footnote>
  <w:footnote w:id="14">
    <w:p w14:paraId="75D693C7" w14:textId="77777777" w:rsidR="002D233E" w:rsidRPr="00690D3D" w:rsidRDefault="002D233E" w:rsidP="00594005">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t xml:space="preserve">المرجع نفسه، الفقرة </w:t>
      </w:r>
      <w:r w:rsidRPr="00E44063">
        <w:rPr>
          <w:szCs w:val="18"/>
          <w:rtl/>
        </w:rPr>
        <w:t>13</w:t>
      </w:r>
      <w:r w:rsidRPr="002D233E">
        <w:rPr>
          <w:szCs w:val="18"/>
          <w:rtl/>
        </w:rPr>
        <w:t xml:space="preserve">. </w:t>
      </w:r>
    </w:p>
  </w:footnote>
  <w:footnote w:id="15">
    <w:p w14:paraId="7FD69B55" w14:textId="77777777"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r>
      <w:hyperlink r:id="rId11" w:history="1">
        <w:r w:rsidRPr="002D233E">
          <w:rPr>
            <w:rStyle w:val="Hyperlink"/>
          </w:rPr>
          <w:t>CED/C/ESP/OAI/</w:t>
        </w:r>
        <w:r w:rsidRPr="00E44063">
          <w:rPr>
            <w:rStyle w:val="Hyperlink"/>
          </w:rPr>
          <w:t>1</w:t>
        </w:r>
      </w:hyperlink>
      <w:r w:rsidRPr="00690D3D">
        <w:rPr>
          <w:szCs w:val="18"/>
          <w:rtl/>
        </w:rPr>
        <w:t xml:space="preserve">، الفقرتان </w:t>
      </w:r>
      <w:r w:rsidRPr="00E44063">
        <w:rPr>
          <w:szCs w:val="18"/>
          <w:rtl/>
        </w:rPr>
        <w:t>30</w:t>
      </w:r>
      <w:r w:rsidRPr="00690D3D">
        <w:rPr>
          <w:szCs w:val="18"/>
          <w:rtl/>
        </w:rPr>
        <w:t xml:space="preserve"> و</w:t>
      </w:r>
      <w:r w:rsidRPr="00E44063">
        <w:rPr>
          <w:szCs w:val="18"/>
          <w:rtl/>
        </w:rPr>
        <w:t>31</w:t>
      </w:r>
      <w:r w:rsidRPr="002D233E">
        <w:rPr>
          <w:szCs w:val="18"/>
          <w:rtl/>
        </w:rPr>
        <w:t xml:space="preserve">. </w:t>
      </w:r>
    </w:p>
  </w:footnote>
  <w:footnote w:id="16">
    <w:p w14:paraId="3693FF62" w14:textId="77777777"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t xml:space="preserve">المرجع نفسه، الفقرات من </w:t>
      </w:r>
      <w:r w:rsidRPr="00E44063">
        <w:rPr>
          <w:szCs w:val="18"/>
          <w:rtl/>
        </w:rPr>
        <w:t>17</w:t>
      </w:r>
      <w:r w:rsidRPr="00690D3D">
        <w:rPr>
          <w:szCs w:val="18"/>
          <w:rtl/>
        </w:rPr>
        <w:t xml:space="preserve"> إلى </w:t>
      </w:r>
      <w:r w:rsidRPr="00E44063">
        <w:rPr>
          <w:szCs w:val="18"/>
          <w:rtl/>
        </w:rPr>
        <w:t>19</w:t>
      </w:r>
      <w:r w:rsidRPr="00690D3D">
        <w:rPr>
          <w:szCs w:val="18"/>
          <w:rtl/>
        </w:rPr>
        <w:t xml:space="preserve">؛ </w:t>
      </w:r>
      <w:hyperlink r:id="rId12" w:history="1">
        <w:r w:rsidRPr="002D233E">
          <w:rPr>
            <w:rStyle w:val="Hyperlink"/>
          </w:rPr>
          <w:t>A/HRC/</w:t>
        </w:r>
        <w:r w:rsidRPr="00E44063">
          <w:rPr>
            <w:rStyle w:val="Hyperlink"/>
          </w:rPr>
          <w:t>48</w:t>
        </w:r>
        <w:r w:rsidRPr="002D233E">
          <w:rPr>
            <w:rStyle w:val="Hyperlink"/>
          </w:rPr>
          <w:t>/</w:t>
        </w:r>
        <w:r w:rsidRPr="00E44063">
          <w:rPr>
            <w:rStyle w:val="Hyperlink"/>
          </w:rPr>
          <w:t>60</w:t>
        </w:r>
      </w:hyperlink>
      <w:r w:rsidRPr="00690D3D">
        <w:rPr>
          <w:szCs w:val="18"/>
          <w:rtl/>
        </w:rPr>
        <w:t xml:space="preserve">، الفقرة </w:t>
      </w:r>
      <w:r w:rsidRPr="00E44063">
        <w:rPr>
          <w:szCs w:val="18"/>
          <w:rtl/>
        </w:rPr>
        <w:t>28</w:t>
      </w:r>
      <w:r w:rsidRPr="002D233E">
        <w:rPr>
          <w:szCs w:val="18"/>
          <w:rtl/>
        </w:rPr>
        <w:t xml:space="preserve">. </w:t>
      </w:r>
    </w:p>
  </w:footnote>
  <w:footnote w:id="17">
    <w:p w14:paraId="6D437237" w14:textId="77777777"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r>
      <w:hyperlink r:id="rId13" w:history="1">
        <w:r w:rsidRPr="002D233E">
          <w:rPr>
            <w:rStyle w:val="Hyperlink"/>
          </w:rPr>
          <w:t>CAT/C/ESP/CO/</w:t>
        </w:r>
        <w:r w:rsidRPr="00E44063">
          <w:rPr>
            <w:rStyle w:val="Hyperlink"/>
          </w:rPr>
          <w:t>6</w:t>
        </w:r>
      </w:hyperlink>
      <w:r w:rsidRPr="00690D3D">
        <w:rPr>
          <w:szCs w:val="18"/>
          <w:rtl/>
        </w:rPr>
        <w:t xml:space="preserve">، الفقرة </w:t>
      </w:r>
      <w:r w:rsidRPr="00E44063">
        <w:rPr>
          <w:szCs w:val="18"/>
          <w:rtl/>
        </w:rPr>
        <w:t>15</w:t>
      </w:r>
      <w:r w:rsidRPr="002D233E">
        <w:rPr>
          <w:szCs w:val="18"/>
          <w:rtl/>
        </w:rPr>
        <w:t xml:space="preserve">. </w:t>
      </w:r>
    </w:p>
  </w:footnote>
  <w:footnote w:id="18">
    <w:p w14:paraId="5949A3C8" w14:textId="31A83924" w:rsidR="002D233E" w:rsidRPr="00690D3D" w:rsidRDefault="002D233E" w:rsidP="00594005">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t xml:space="preserve">البلاغ رقم </w:t>
      </w:r>
      <w:r w:rsidRPr="00E44063">
        <w:rPr>
          <w:szCs w:val="18"/>
          <w:rtl/>
        </w:rPr>
        <w:t>2842</w:t>
      </w:r>
      <w:r w:rsidR="001F7583">
        <w:rPr>
          <w:rFonts w:hint="cs"/>
          <w:szCs w:val="18"/>
          <w:rtl/>
        </w:rPr>
        <w:t>/</w:t>
      </w:r>
      <w:r w:rsidR="001F7583" w:rsidRPr="00E44063">
        <w:rPr>
          <w:szCs w:val="18"/>
          <w:rtl/>
        </w:rPr>
        <w:t>2023</w:t>
      </w:r>
      <w:r w:rsidR="001F7583">
        <w:rPr>
          <w:rFonts w:hint="cs"/>
          <w:szCs w:val="18"/>
          <w:rtl/>
        </w:rPr>
        <w:t>.</w:t>
      </w:r>
      <w:r w:rsidRPr="00690D3D">
        <w:rPr>
          <w:szCs w:val="18"/>
          <w:rtl/>
        </w:rPr>
        <w:t xml:space="preserve"> </w:t>
      </w:r>
    </w:p>
  </w:footnote>
  <w:footnote w:id="19">
    <w:p w14:paraId="12AE9AD7" w14:textId="77777777"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r>
      <w:r w:rsidRPr="00E44063">
        <w:rPr>
          <w:i/>
          <w:iCs/>
          <w:szCs w:val="18"/>
          <w:rtl/>
        </w:rPr>
        <w:t>إ. ل. خ. ضد إسبانيا</w:t>
      </w:r>
      <w:r w:rsidRPr="00690D3D">
        <w:rPr>
          <w:szCs w:val="18"/>
          <w:rtl/>
        </w:rPr>
        <w:t xml:space="preserve"> (</w:t>
      </w:r>
      <w:hyperlink r:id="rId14" w:history="1">
        <w:r w:rsidRPr="002D233E">
          <w:rPr>
            <w:rStyle w:val="Hyperlink"/>
          </w:rPr>
          <w:t>CAT/C/</w:t>
        </w:r>
        <w:r w:rsidRPr="00E44063">
          <w:rPr>
            <w:rStyle w:val="Hyperlink"/>
          </w:rPr>
          <w:t>68</w:t>
        </w:r>
        <w:r w:rsidRPr="002D233E">
          <w:rPr>
            <w:rStyle w:val="Hyperlink"/>
          </w:rPr>
          <w:t>/D/</w:t>
        </w:r>
        <w:r w:rsidRPr="00E44063">
          <w:rPr>
            <w:rStyle w:val="Hyperlink"/>
          </w:rPr>
          <w:t>818</w:t>
        </w:r>
        <w:r w:rsidRPr="002D233E">
          <w:rPr>
            <w:rStyle w:val="Hyperlink"/>
          </w:rPr>
          <w:t>/</w:t>
        </w:r>
        <w:r w:rsidRPr="00E44063">
          <w:rPr>
            <w:rStyle w:val="Hyperlink"/>
          </w:rPr>
          <w:t>2017</w:t>
        </w:r>
      </w:hyperlink>
      <w:r w:rsidRPr="002D233E">
        <w:rPr>
          <w:szCs w:val="18"/>
          <w:rtl/>
        </w:rPr>
        <w:t xml:space="preserve">) </w:t>
      </w:r>
    </w:p>
  </w:footnote>
  <w:footnote w:id="20">
    <w:p w14:paraId="7578FB05" w14:textId="2D9613C2"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r>
      <w:hyperlink r:id="rId15" w:history="1">
        <w:r w:rsidRPr="002D233E">
          <w:rPr>
            <w:rStyle w:val="Hyperlink"/>
          </w:rPr>
          <w:t>CEDAW/C/ESP/CO/</w:t>
        </w:r>
        <w:r w:rsidRPr="00E44063">
          <w:rPr>
            <w:rStyle w:val="Hyperlink"/>
          </w:rPr>
          <w:t>9</w:t>
        </w:r>
      </w:hyperlink>
      <w:r w:rsidRPr="00690D3D">
        <w:rPr>
          <w:szCs w:val="18"/>
          <w:rtl/>
        </w:rPr>
        <w:t xml:space="preserve">، الفقرتان </w:t>
      </w:r>
      <w:r w:rsidRPr="00E44063">
        <w:rPr>
          <w:szCs w:val="18"/>
          <w:rtl/>
        </w:rPr>
        <w:t>24</w:t>
      </w:r>
      <w:r w:rsidRPr="00690D3D">
        <w:rPr>
          <w:szCs w:val="18"/>
          <w:rtl/>
        </w:rPr>
        <w:t xml:space="preserve"> و</w:t>
      </w:r>
      <w:r w:rsidRPr="00E44063">
        <w:rPr>
          <w:szCs w:val="18"/>
          <w:rtl/>
        </w:rPr>
        <w:t>25</w:t>
      </w:r>
      <w:r w:rsidRPr="002D233E">
        <w:rPr>
          <w:szCs w:val="18"/>
          <w:rtl/>
        </w:rPr>
        <w:t xml:space="preserve">. </w:t>
      </w:r>
      <w:r w:rsidRPr="00690D3D">
        <w:rPr>
          <w:szCs w:val="18"/>
          <w:rtl/>
        </w:rPr>
        <w:t>انظر أيضاً مفوّضية الأمم المتحدة السامية لحقوق الإنسان</w:t>
      </w:r>
      <w:proofErr w:type="gramStart"/>
      <w:r w:rsidR="001F7583">
        <w:rPr>
          <w:rFonts w:hint="cs"/>
          <w:szCs w:val="18"/>
          <w:rtl/>
        </w:rPr>
        <w:t>، ”</w:t>
      </w:r>
      <w:r w:rsidRPr="00690D3D">
        <w:rPr>
          <w:szCs w:val="18"/>
        </w:rPr>
        <w:t>Españ</w:t>
      </w:r>
      <w:r w:rsidRPr="002D233E">
        <w:rPr>
          <w:szCs w:val="18"/>
        </w:rPr>
        <w:t>a</w:t>
      </w:r>
      <w:proofErr w:type="gramEnd"/>
      <w:r w:rsidRPr="002D233E">
        <w:rPr>
          <w:szCs w:val="18"/>
        </w:rPr>
        <w:t xml:space="preserve">: </w:t>
      </w:r>
      <w:r w:rsidRPr="00690D3D">
        <w:rPr>
          <w:szCs w:val="18"/>
        </w:rPr>
        <w:t>Relatora de la ONU pide más protección para las víctimas de violencia sexual</w:t>
      </w:r>
      <w:r w:rsidR="001F7583">
        <w:rPr>
          <w:rFonts w:hint="cs"/>
          <w:szCs w:val="18"/>
          <w:rtl/>
        </w:rPr>
        <w:t>“</w:t>
      </w:r>
      <w:r w:rsidRPr="00690D3D">
        <w:rPr>
          <w:szCs w:val="18"/>
          <w:rtl/>
        </w:rPr>
        <w:t xml:space="preserve"> (إسبانيا: المقررة الخاصة للأمم المتحدة تطالب بحماية ضحايا العنف الجنسي حماية أفضل</w:t>
      </w:r>
      <w:r w:rsidRPr="002D233E">
        <w:rPr>
          <w:szCs w:val="18"/>
          <w:rtl/>
        </w:rPr>
        <w:t xml:space="preserve">)، </w:t>
      </w:r>
      <w:r w:rsidRPr="00690D3D">
        <w:rPr>
          <w:szCs w:val="18"/>
          <w:rtl/>
        </w:rPr>
        <w:t xml:space="preserve">بيان صحفي مؤرخ </w:t>
      </w:r>
      <w:r w:rsidRPr="00E44063">
        <w:rPr>
          <w:szCs w:val="18"/>
          <w:rtl/>
        </w:rPr>
        <w:t>6</w:t>
      </w:r>
      <w:r w:rsidRPr="00690D3D">
        <w:rPr>
          <w:szCs w:val="18"/>
          <w:rtl/>
        </w:rPr>
        <w:t xml:space="preserve"> حزيران/يونيه </w:t>
      </w:r>
      <w:r w:rsidRPr="00E44063">
        <w:rPr>
          <w:szCs w:val="18"/>
          <w:rtl/>
        </w:rPr>
        <w:t>2023</w:t>
      </w:r>
      <w:r w:rsidRPr="002D233E">
        <w:rPr>
          <w:szCs w:val="18"/>
          <w:rtl/>
        </w:rPr>
        <w:t xml:space="preserve">. </w:t>
      </w:r>
    </w:p>
  </w:footnote>
  <w:footnote w:id="21">
    <w:p w14:paraId="720BBEFF" w14:textId="77777777"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r>
      <w:hyperlink r:id="rId16" w:history="1">
        <w:r w:rsidRPr="002D233E">
          <w:rPr>
            <w:rStyle w:val="Hyperlink"/>
          </w:rPr>
          <w:t>CEDAW/C/ESP/CO/</w:t>
        </w:r>
        <w:r w:rsidRPr="00E44063">
          <w:rPr>
            <w:rStyle w:val="Hyperlink"/>
          </w:rPr>
          <w:t>9</w:t>
        </w:r>
      </w:hyperlink>
      <w:r w:rsidRPr="00690D3D">
        <w:rPr>
          <w:szCs w:val="18"/>
          <w:rtl/>
        </w:rPr>
        <w:t xml:space="preserve">، الفقرة </w:t>
      </w:r>
      <w:r w:rsidRPr="00E44063">
        <w:rPr>
          <w:szCs w:val="18"/>
          <w:rtl/>
        </w:rPr>
        <w:t>26</w:t>
      </w:r>
      <w:r w:rsidRPr="002D233E">
        <w:rPr>
          <w:szCs w:val="18"/>
          <w:rtl/>
        </w:rPr>
        <w:t xml:space="preserve">. </w:t>
      </w:r>
    </w:p>
  </w:footnote>
  <w:footnote w:id="22">
    <w:p w14:paraId="4B0158CA" w14:textId="77777777" w:rsidR="002D233E" w:rsidRPr="00690D3D" w:rsidRDefault="002D233E" w:rsidP="002D233E">
      <w:pPr>
        <w:pStyle w:val="FootnoteText"/>
        <w:tabs>
          <w:tab w:val="clear" w:pos="1021"/>
        </w:tabs>
        <w:bidi/>
        <w:spacing w:after="60" w:line="280" w:lineRule="exact"/>
        <w:ind w:left="1247" w:right="1247" w:hanging="567"/>
        <w:jc w:val="lowKashida"/>
        <w:textDirection w:val="tbRlV"/>
        <w:rPr>
          <w:szCs w:val="18"/>
        </w:rPr>
      </w:pPr>
      <w:r w:rsidRPr="00690D3D">
        <w:rPr>
          <w:szCs w:val="18"/>
          <w:rtl/>
        </w:rPr>
        <w:t>(</w:t>
      </w:r>
      <w:r w:rsidRPr="00E44063">
        <w:rPr>
          <w:szCs w:val="18"/>
          <w:lang w:val="en-AU"/>
        </w:rPr>
        <w:footnoteRef/>
      </w:r>
      <w:r w:rsidRPr="00690D3D">
        <w:rPr>
          <w:szCs w:val="18"/>
          <w:rtl/>
        </w:rPr>
        <w:t>)</w:t>
      </w:r>
      <w:r w:rsidRPr="00690D3D">
        <w:rPr>
          <w:szCs w:val="18"/>
          <w:rtl/>
        </w:rPr>
        <w:tab/>
      </w:r>
      <w:hyperlink r:id="rId17" w:history="1">
        <w:r w:rsidRPr="002D233E">
          <w:rPr>
            <w:rStyle w:val="Hyperlink"/>
          </w:rPr>
          <w:t>CRPD/C/ESP/CO/</w:t>
        </w:r>
        <w:r w:rsidRPr="00E44063">
          <w:rPr>
            <w:rStyle w:val="Hyperlink"/>
          </w:rPr>
          <w:t>2</w:t>
        </w:r>
        <w:r w:rsidRPr="002D233E">
          <w:rPr>
            <w:rStyle w:val="Hyperlink"/>
          </w:rPr>
          <w:t>-</w:t>
        </w:r>
        <w:r w:rsidRPr="00E44063">
          <w:rPr>
            <w:rStyle w:val="Hyperlink"/>
          </w:rPr>
          <w:t>3</w:t>
        </w:r>
      </w:hyperlink>
      <w:r w:rsidRPr="00690D3D">
        <w:rPr>
          <w:szCs w:val="18"/>
          <w:rtl/>
        </w:rPr>
        <w:t xml:space="preserve">، الفقرتان </w:t>
      </w:r>
      <w:r w:rsidRPr="00E44063">
        <w:rPr>
          <w:szCs w:val="18"/>
          <w:rtl/>
        </w:rPr>
        <w:t>29</w:t>
      </w:r>
      <w:r w:rsidRPr="00690D3D">
        <w:rPr>
          <w:szCs w:val="18"/>
          <w:rtl/>
        </w:rPr>
        <w:t xml:space="preserve"> و</w:t>
      </w:r>
      <w:r w:rsidRPr="00E44063">
        <w:rPr>
          <w:szCs w:val="18"/>
          <w:rtl/>
        </w:rPr>
        <w:t>30</w:t>
      </w:r>
      <w:r w:rsidRPr="002D233E">
        <w:rPr>
          <w:szCs w:val="18"/>
          <w:rtl/>
        </w:rPr>
        <w:t xml:space="preserv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7239439" w14:textId="0EF65772" w:rsidR="00A44083" w:rsidRPr="00A44083" w:rsidRDefault="00A44083" w:rsidP="00A44083">
    <w:pPr>
      <w:pStyle w:val="Header"/>
      <w:spacing w:line="240" w:lineRule="auto"/>
      <w:jc w:val="left"/>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B407E">
      <w:t>CAT/C/ESP/CO/7</w:t>
    </w:r>
    <w:r>
      <w:rPr>
        <w:rtl/>
      </w:rPr>
      <w:fldChar w:fldCharType="end"/>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07E648C" w14:textId="65564A85" w:rsidR="00A44083" w:rsidRPr="00A44083" w:rsidRDefault="00A44083" w:rsidP="00A44083">
    <w:pPr>
      <w:pStyle w:val="Header"/>
      <w:bidi w:val="0"/>
      <w:spacing w:line="240" w:lineRule="auto"/>
    </w:pPr>
    <w:r>
      <w:rPr>
        <w:rtl/>
      </w:rPr>
      <w:fldChar w:fldCharType="begin"/>
    </w:r>
    <w:r>
      <w:rPr>
        <w:rtl/>
      </w:rPr>
      <w:instrText xml:space="preserve"> </w:instrText>
    </w:r>
    <w:r>
      <w:instrText>TITLE</w:instrText>
    </w:r>
    <w:r>
      <w:rPr>
        <w:rtl/>
      </w:rPr>
      <w:instrText xml:space="preserve">  \* </w:instrText>
    </w:r>
    <w:r>
      <w:instrText>MERGEFORMAT</w:instrText>
    </w:r>
    <w:r>
      <w:rPr>
        <w:rtl/>
      </w:rPr>
      <w:instrText xml:space="preserve"> </w:instrText>
    </w:r>
    <w:r>
      <w:rPr>
        <w:rtl/>
      </w:rPr>
      <w:fldChar w:fldCharType="separate"/>
    </w:r>
    <w:r w:rsidR="00EB407E">
      <w:t>CAT/C/ESP/CO/7</w:t>
    </w:r>
    <w:r>
      <w:rPr>
        <w:rtl/>
      </w:rPr>
      <w:fldChar w:fldCharType="end"/>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 w15:restartNumberingAfterBreak="0">
    <w:nsid w:val="03F2036B"/>
    <w:multiLevelType w:val="hybridMultilevel"/>
    <w:tmpl w:val="B22E0BFA"/>
    <w:lvl w:ilvl="0" w:tplc="9008FA9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1440"/>
        </w:tabs>
        <w:ind w:left="1440" w:hanging="360"/>
      </w:pPr>
      <w:rPr>
        <w:rFonts w:ascii="Courier New" w:hAnsi="Courier New" w:cs="Courier New" w:hint="default"/>
      </w:rPr>
    </w:lvl>
    <w:lvl w:ilvl="2" w:tplc="040C0005" w:tentative="1">
      <w:start w:val="1"/>
      <w:numFmt w:val="bullet"/>
      <w:lvlText w:val=""/>
      <w:lvlJc w:val="left"/>
      <w:pPr>
        <w:tabs>
          <w:tab w:val="num" w:pos="2160"/>
        </w:tabs>
        <w:ind w:left="2160" w:hanging="360"/>
      </w:pPr>
      <w:rPr>
        <w:rFonts w:ascii="Wingdings" w:hAnsi="Wingdings" w:hint="default"/>
      </w:rPr>
    </w:lvl>
    <w:lvl w:ilvl="3" w:tplc="040C0001" w:tentative="1">
      <w:start w:val="1"/>
      <w:numFmt w:val="bullet"/>
      <w:lvlText w:val=""/>
      <w:lvlJc w:val="left"/>
      <w:pPr>
        <w:tabs>
          <w:tab w:val="num" w:pos="2880"/>
        </w:tabs>
        <w:ind w:left="2880" w:hanging="360"/>
      </w:pPr>
      <w:rPr>
        <w:rFonts w:ascii="Symbol" w:hAnsi="Symbol" w:hint="default"/>
      </w:rPr>
    </w:lvl>
    <w:lvl w:ilvl="4" w:tplc="040C0003" w:tentative="1">
      <w:start w:val="1"/>
      <w:numFmt w:val="bullet"/>
      <w:lvlText w:val="o"/>
      <w:lvlJc w:val="left"/>
      <w:pPr>
        <w:tabs>
          <w:tab w:val="num" w:pos="3600"/>
        </w:tabs>
        <w:ind w:left="3600" w:hanging="360"/>
      </w:pPr>
      <w:rPr>
        <w:rFonts w:ascii="Courier New" w:hAnsi="Courier New" w:cs="Courier New" w:hint="default"/>
      </w:rPr>
    </w:lvl>
    <w:lvl w:ilvl="5" w:tplc="040C0005" w:tentative="1">
      <w:start w:val="1"/>
      <w:numFmt w:val="bullet"/>
      <w:lvlText w:val=""/>
      <w:lvlJc w:val="left"/>
      <w:pPr>
        <w:tabs>
          <w:tab w:val="num" w:pos="4320"/>
        </w:tabs>
        <w:ind w:left="4320" w:hanging="360"/>
      </w:pPr>
      <w:rPr>
        <w:rFonts w:ascii="Wingdings" w:hAnsi="Wingdings" w:hint="default"/>
      </w:rPr>
    </w:lvl>
    <w:lvl w:ilvl="6" w:tplc="040C0001" w:tentative="1">
      <w:start w:val="1"/>
      <w:numFmt w:val="bullet"/>
      <w:lvlText w:val=""/>
      <w:lvlJc w:val="left"/>
      <w:pPr>
        <w:tabs>
          <w:tab w:val="num" w:pos="5040"/>
        </w:tabs>
        <w:ind w:left="5040" w:hanging="360"/>
      </w:pPr>
      <w:rPr>
        <w:rFonts w:ascii="Symbol" w:hAnsi="Symbol" w:hint="default"/>
      </w:rPr>
    </w:lvl>
    <w:lvl w:ilvl="7" w:tplc="040C0003" w:tentative="1">
      <w:start w:val="1"/>
      <w:numFmt w:val="bullet"/>
      <w:lvlText w:val="o"/>
      <w:lvlJc w:val="left"/>
      <w:pPr>
        <w:tabs>
          <w:tab w:val="num" w:pos="5760"/>
        </w:tabs>
        <w:ind w:left="5760" w:hanging="360"/>
      </w:pPr>
      <w:rPr>
        <w:rFonts w:ascii="Courier New" w:hAnsi="Courier New" w:cs="Courier New" w:hint="default"/>
      </w:rPr>
    </w:lvl>
    <w:lvl w:ilvl="8" w:tplc="040C0005" w:tentative="1">
      <w:start w:val="1"/>
      <w:numFmt w:val="bullet"/>
      <w:lvlText w:val=""/>
      <w:lvlJc w:val="left"/>
      <w:pPr>
        <w:tabs>
          <w:tab w:val="num" w:pos="6480"/>
        </w:tabs>
        <w:ind w:left="6480" w:hanging="360"/>
      </w:pPr>
      <w:rPr>
        <w:rFonts w:ascii="Wingdings" w:hAnsi="Wingdings" w:hint="default"/>
      </w:rPr>
    </w:lvl>
  </w:abstractNum>
  <w:abstractNum w:abstractNumId="2" w15:restartNumberingAfterBreak="0">
    <w:nsid w:val="0B851AF4"/>
    <w:multiLevelType w:val="hybridMultilevel"/>
    <w:tmpl w:val="462EC7C6"/>
    <w:lvl w:ilvl="0" w:tplc="7A2C7C9E">
      <w:start w:val="1"/>
      <w:numFmt w:val="bullet"/>
      <w:pStyle w:val="Bullet1GA"/>
      <w:lvlText w:val=""/>
      <w:lvlJc w:val="left"/>
      <w:pPr>
        <w:tabs>
          <w:tab w:val="num" w:pos="2495"/>
        </w:tabs>
        <w:ind w:left="2495" w:hanging="545"/>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 w15:restartNumberingAfterBreak="0">
    <w:nsid w:val="0C107804"/>
    <w:multiLevelType w:val="hybridMultilevel"/>
    <w:tmpl w:val="EAAE9AA0"/>
    <w:lvl w:ilvl="0" w:tplc="D602C7FE">
      <w:start w:val="1"/>
      <w:numFmt w:val="bullet"/>
      <w:pStyle w:val="Bullet1"/>
      <w:lvlText w:val=""/>
      <w:lvlJc w:val="left"/>
      <w:pPr>
        <w:ind w:left="1976"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1A515502"/>
    <w:multiLevelType w:val="hybridMultilevel"/>
    <w:tmpl w:val="B66A8766"/>
    <w:lvl w:ilvl="0" w:tplc="A1667854">
      <w:start w:val="1"/>
      <w:numFmt w:val="arabicAlpha"/>
      <w:lvlText w:val="(%1)"/>
      <w:lvlJc w:val="left"/>
      <w:pPr>
        <w:ind w:left="2612" w:hanging="682"/>
      </w:pPr>
      <w:rPr>
        <w:rFonts w:hint="default"/>
      </w:rPr>
    </w:lvl>
    <w:lvl w:ilvl="1" w:tplc="04090019" w:tentative="1">
      <w:start w:val="1"/>
      <w:numFmt w:val="lowerLetter"/>
      <w:lvlText w:val="%2."/>
      <w:lvlJc w:val="left"/>
      <w:pPr>
        <w:ind w:left="3010" w:hanging="360"/>
      </w:pPr>
    </w:lvl>
    <w:lvl w:ilvl="2" w:tplc="0409001B" w:tentative="1">
      <w:start w:val="1"/>
      <w:numFmt w:val="lowerRoman"/>
      <w:lvlText w:val="%3."/>
      <w:lvlJc w:val="right"/>
      <w:pPr>
        <w:ind w:left="3730" w:hanging="180"/>
      </w:pPr>
    </w:lvl>
    <w:lvl w:ilvl="3" w:tplc="0409000F" w:tentative="1">
      <w:start w:val="1"/>
      <w:numFmt w:val="decimal"/>
      <w:lvlText w:val="%4."/>
      <w:lvlJc w:val="left"/>
      <w:pPr>
        <w:ind w:left="4450" w:hanging="360"/>
      </w:pPr>
    </w:lvl>
    <w:lvl w:ilvl="4" w:tplc="04090019" w:tentative="1">
      <w:start w:val="1"/>
      <w:numFmt w:val="lowerLetter"/>
      <w:lvlText w:val="%5."/>
      <w:lvlJc w:val="left"/>
      <w:pPr>
        <w:ind w:left="5170" w:hanging="360"/>
      </w:pPr>
    </w:lvl>
    <w:lvl w:ilvl="5" w:tplc="0409001B" w:tentative="1">
      <w:start w:val="1"/>
      <w:numFmt w:val="lowerRoman"/>
      <w:lvlText w:val="%6."/>
      <w:lvlJc w:val="right"/>
      <w:pPr>
        <w:ind w:left="5890" w:hanging="180"/>
      </w:pPr>
    </w:lvl>
    <w:lvl w:ilvl="6" w:tplc="0409000F" w:tentative="1">
      <w:start w:val="1"/>
      <w:numFmt w:val="decimal"/>
      <w:lvlText w:val="%7."/>
      <w:lvlJc w:val="left"/>
      <w:pPr>
        <w:ind w:left="6610" w:hanging="360"/>
      </w:pPr>
    </w:lvl>
    <w:lvl w:ilvl="7" w:tplc="04090019" w:tentative="1">
      <w:start w:val="1"/>
      <w:numFmt w:val="lowerLetter"/>
      <w:lvlText w:val="%8."/>
      <w:lvlJc w:val="left"/>
      <w:pPr>
        <w:ind w:left="7330" w:hanging="360"/>
      </w:pPr>
    </w:lvl>
    <w:lvl w:ilvl="8" w:tplc="0409001B" w:tentative="1">
      <w:start w:val="1"/>
      <w:numFmt w:val="lowerRoman"/>
      <w:lvlText w:val="%9."/>
      <w:lvlJc w:val="right"/>
      <w:pPr>
        <w:ind w:left="8050" w:hanging="180"/>
      </w:pPr>
    </w:lvl>
  </w:abstractNum>
  <w:abstractNum w:abstractNumId="5" w15:restartNumberingAfterBreak="0">
    <w:nsid w:val="25F272F0"/>
    <w:multiLevelType w:val="hybridMultilevel"/>
    <w:tmpl w:val="639E4496"/>
    <w:lvl w:ilvl="0" w:tplc="9AA29D80">
      <w:start w:val="1"/>
      <w:numFmt w:val="decimal"/>
      <w:pStyle w:val="Roman1GA"/>
      <w:lvlText w:val="'%1'"/>
      <w:lvlJc w:val="right"/>
      <w:pPr>
        <w:tabs>
          <w:tab w:val="num" w:pos="2310"/>
        </w:tabs>
        <w:ind w:left="2310" w:hanging="360"/>
      </w:p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6" w15:restartNumberingAfterBreak="0">
    <w:nsid w:val="2E7D2AC6"/>
    <w:multiLevelType w:val="hybridMultilevel"/>
    <w:tmpl w:val="3D12582C"/>
    <w:lvl w:ilvl="0" w:tplc="CB588E8E">
      <w:start w:val="1"/>
      <w:numFmt w:val="bullet"/>
      <w:lvlText w:val="o"/>
      <w:lvlJc w:val="left"/>
      <w:pPr>
        <w:ind w:left="720" w:hanging="360"/>
      </w:pPr>
      <w:rPr>
        <w:rFonts w:ascii="Courier New" w:hAnsi="Courier New" w:cs="Courier New" w:hint="default"/>
        <w:spacing w:val="-20"/>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15:restartNumberingAfterBreak="0">
    <w:nsid w:val="2EB4774D"/>
    <w:multiLevelType w:val="hybridMultilevel"/>
    <w:tmpl w:val="06BA8590"/>
    <w:lvl w:ilvl="0" w:tplc="0809000F">
      <w:start w:val="1"/>
      <w:numFmt w:val="decimal"/>
      <w:lvlText w:val="%1."/>
      <w:lvlJc w:val="left"/>
      <w:pPr>
        <w:ind w:left="720" w:hanging="360"/>
      </w:pPr>
      <w:rPr>
        <w:rFonts w:hint="default"/>
      </w:rPr>
    </w:lvl>
    <w:lvl w:ilvl="1" w:tplc="100C0019" w:tentative="1">
      <w:start w:val="1"/>
      <w:numFmt w:val="lowerLetter"/>
      <w:lvlText w:val="%2."/>
      <w:lvlJc w:val="left"/>
      <w:pPr>
        <w:ind w:left="1440" w:hanging="360"/>
      </w:pPr>
    </w:lvl>
    <w:lvl w:ilvl="2" w:tplc="100C001B" w:tentative="1">
      <w:start w:val="1"/>
      <w:numFmt w:val="lowerRoman"/>
      <w:lvlText w:val="%3."/>
      <w:lvlJc w:val="right"/>
      <w:pPr>
        <w:ind w:left="2160" w:hanging="180"/>
      </w:pPr>
    </w:lvl>
    <w:lvl w:ilvl="3" w:tplc="100C000F" w:tentative="1">
      <w:start w:val="1"/>
      <w:numFmt w:val="decimal"/>
      <w:lvlText w:val="%4."/>
      <w:lvlJc w:val="left"/>
      <w:pPr>
        <w:ind w:left="2880" w:hanging="360"/>
      </w:pPr>
    </w:lvl>
    <w:lvl w:ilvl="4" w:tplc="100C0019" w:tentative="1">
      <w:start w:val="1"/>
      <w:numFmt w:val="lowerLetter"/>
      <w:lvlText w:val="%5."/>
      <w:lvlJc w:val="left"/>
      <w:pPr>
        <w:ind w:left="3600" w:hanging="360"/>
      </w:pPr>
    </w:lvl>
    <w:lvl w:ilvl="5" w:tplc="100C001B" w:tentative="1">
      <w:start w:val="1"/>
      <w:numFmt w:val="lowerRoman"/>
      <w:lvlText w:val="%6."/>
      <w:lvlJc w:val="right"/>
      <w:pPr>
        <w:ind w:left="4320" w:hanging="180"/>
      </w:pPr>
    </w:lvl>
    <w:lvl w:ilvl="6" w:tplc="100C000F" w:tentative="1">
      <w:start w:val="1"/>
      <w:numFmt w:val="decimal"/>
      <w:lvlText w:val="%7."/>
      <w:lvlJc w:val="left"/>
      <w:pPr>
        <w:ind w:left="5040" w:hanging="360"/>
      </w:pPr>
    </w:lvl>
    <w:lvl w:ilvl="7" w:tplc="100C0019" w:tentative="1">
      <w:start w:val="1"/>
      <w:numFmt w:val="lowerLetter"/>
      <w:lvlText w:val="%8."/>
      <w:lvlJc w:val="left"/>
      <w:pPr>
        <w:ind w:left="5760" w:hanging="360"/>
      </w:pPr>
    </w:lvl>
    <w:lvl w:ilvl="8" w:tplc="100C001B" w:tentative="1">
      <w:start w:val="1"/>
      <w:numFmt w:val="lowerRoman"/>
      <w:lvlText w:val="%9."/>
      <w:lvlJc w:val="right"/>
      <w:pPr>
        <w:ind w:left="6480" w:hanging="180"/>
      </w:pPr>
    </w:lvl>
  </w:abstractNum>
  <w:abstractNum w:abstractNumId="8" w15:restartNumberingAfterBreak="0">
    <w:nsid w:val="32A75D52"/>
    <w:multiLevelType w:val="hybridMultilevel"/>
    <w:tmpl w:val="B622CBCC"/>
    <w:lvl w:ilvl="0" w:tplc="EF10EA04">
      <w:start w:val="1"/>
      <w:numFmt w:val="decimal"/>
      <w:pStyle w:val="ParaNoGA"/>
      <w:lvlText w:val="%1-"/>
      <w:lvlJc w:val="left"/>
      <w:pPr>
        <w:tabs>
          <w:tab w:val="num" w:pos="1361"/>
        </w:tabs>
        <w:ind w:left="1247" w:firstLine="0"/>
      </w:pPr>
      <w:rPr>
        <w:rFonts w:cs="Simplified Arabic"/>
        <w:sz w:val="22"/>
        <w:szCs w:val="22"/>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9" w15:restartNumberingAfterBreak="0">
    <w:nsid w:val="3ACF4EB2"/>
    <w:multiLevelType w:val="hybridMultilevel"/>
    <w:tmpl w:val="BE9AB9A6"/>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10" w15:restartNumberingAfterBreak="0">
    <w:nsid w:val="3ADF34DA"/>
    <w:multiLevelType w:val="hybridMultilevel"/>
    <w:tmpl w:val="21FC2716"/>
    <w:lvl w:ilvl="0" w:tplc="6E5892B2">
      <w:start w:val="1"/>
      <w:numFmt w:val="decimal"/>
      <w:lvlText w:val="%1."/>
      <w:lvlJc w:val="left"/>
      <w:pPr>
        <w:ind w:left="720" w:hanging="360"/>
      </w:pPr>
      <w:rPr>
        <w:rFonts w:cs="Times New Roman"/>
      </w:rPr>
    </w:lvl>
    <w:lvl w:ilvl="1" w:tplc="04090019">
      <w:start w:val="1"/>
      <w:numFmt w:val="lowerLetter"/>
      <w:lvlText w:val="%2."/>
      <w:lvlJc w:val="left"/>
      <w:pPr>
        <w:ind w:left="1440" w:hanging="360"/>
      </w:pPr>
    </w:lvl>
    <w:lvl w:ilvl="2" w:tplc="0409001B">
      <w:start w:val="1"/>
      <w:numFmt w:val="lowerRoman"/>
      <w:lvlText w:val="%3."/>
      <w:lvlJc w:val="right"/>
      <w:pPr>
        <w:ind w:left="2160" w:hanging="180"/>
      </w:pPr>
    </w:lvl>
    <w:lvl w:ilvl="3" w:tplc="0409000F">
      <w:start w:val="1"/>
      <w:numFmt w:val="decimal"/>
      <w:lvlText w:val="%4."/>
      <w:lvlJc w:val="left"/>
      <w:pPr>
        <w:ind w:left="2880" w:hanging="360"/>
      </w:pPr>
    </w:lvl>
    <w:lvl w:ilvl="4" w:tplc="04090019">
      <w:start w:val="1"/>
      <w:numFmt w:val="lowerLetter"/>
      <w:lvlText w:val="%5."/>
      <w:lvlJc w:val="left"/>
      <w:pPr>
        <w:ind w:left="3600" w:hanging="360"/>
      </w:pPr>
    </w:lvl>
    <w:lvl w:ilvl="5" w:tplc="0409001B">
      <w:start w:val="1"/>
      <w:numFmt w:val="lowerRoman"/>
      <w:lvlText w:val="%6."/>
      <w:lvlJc w:val="right"/>
      <w:pPr>
        <w:ind w:left="4320" w:hanging="180"/>
      </w:pPr>
    </w:lvl>
    <w:lvl w:ilvl="6" w:tplc="0409000F">
      <w:start w:val="1"/>
      <w:numFmt w:val="decimal"/>
      <w:lvlText w:val="%7."/>
      <w:lvlJc w:val="left"/>
      <w:pPr>
        <w:ind w:left="5040" w:hanging="360"/>
      </w:pPr>
    </w:lvl>
    <w:lvl w:ilvl="7" w:tplc="04090019">
      <w:start w:val="1"/>
      <w:numFmt w:val="lowerLetter"/>
      <w:lvlText w:val="%8."/>
      <w:lvlJc w:val="left"/>
      <w:pPr>
        <w:ind w:left="5760" w:hanging="360"/>
      </w:pPr>
    </w:lvl>
    <w:lvl w:ilvl="8" w:tplc="0409001B">
      <w:start w:val="1"/>
      <w:numFmt w:val="lowerRoman"/>
      <w:lvlText w:val="%9."/>
      <w:lvlJc w:val="right"/>
      <w:pPr>
        <w:ind w:left="6480" w:hanging="180"/>
      </w:pPr>
    </w:lvl>
  </w:abstractNum>
  <w:abstractNum w:abstractNumId="11" w15:restartNumberingAfterBreak="0">
    <w:nsid w:val="454B2370"/>
    <w:multiLevelType w:val="hybridMultilevel"/>
    <w:tmpl w:val="7720856A"/>
    <w:lvl w:ilvl="0" w:tplc="D090D7F2">
      <w:start w:val="1"/>
      <w:numFmt w:val="bullet"/>
      <w:pStyle w:val="Bullet2GA"/>
      <w:lvlText w:val=""/>
      <w:lvlJc w:val="left"/>
      <w:pPr>
        <w:tabs>
          <w:tab w:val="num" w:pos="3215"/>
        </w:tabs>
        <w:ind w:left="3215" w:hanging="36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12" w15:restartNumberingAfterBreak="0">
    <w:nsid w:val="48F8044A"/>
    <w:multiLevelType w:val="hybridMultilevel"/>
    <w:tmpl w:val="973C8384"/>
    <w:lvl w:ilvl="0" w:tplc="F1944034">
      <w:start w:val="1"/>
      <w:numFmt w:val="decimal"/>
      <w:lvlText w:val="(%1)"/>
      <w:lvlJc w:val="right"/>
      <w:pPr>
        <w:ind w:left="720" w:hanging="360"/>
      </w:pPr>
      <w:rPr>
        <w:rFonts w:ascii="Traditional Arabic" w:hAnsi="Traditional Arabic" w:cs="Traditional Arabic"/>
        <w:sz w:val="26"/>
        <w:szCs w:val="26"/>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5DFB3625"/>
    <w:multiLevelType w:val="hybridMultilevel"/>
    <w:tmpl w:val="C4BCDC5E"/>
    <w:lvl w:ilvl="0" w:tplc="702CE228">
      <w:start w:val="1"/>
      <w:numFmt w:val="bullet"/>
      <w:pStyle w:val="Bullet3"/>
      <w:lvlText w:val=""/>
      <w:lvlJc w:val="left"/>
      <w:pPr>
        <w:ind w:left="3283" w:hanging="360"/>
      </w:pPr>
      <w:rPr>
        <w:rFonts w:ascii="Symbol" w:hAnsi="Symbol" w:cs="Symbol" w:hint="default"/>
        <w:sz w:val="14"/>
      </w:rPr>
    </w:lvl>
    <w:lvl w:ilvl="1" w:tplc="04090003" w:tentative="1">
      <w:start w:val="1"/>
      <w:numFmt w:val="bullet"/>
      <w:lvlText w:val="o"/>
      <w:lvlJc w:val="left"/>
      <w:pPr>
        <w:ind w:left="4003" w:hanging="360"/>
      </w:pPr>
      <w:rPr>
        <w:rFonts w:ascii="Courier New" w:hAnsi="Courier New" w:cs="Courier New" w:hint="default"/>
      </w:rPr>
    </w:lvl>
    <w:lvl w:ilvl="2" w:tplc="04090005" w:tentative="1">
      <w:start w:val="1"/>
      <w:numFmt w:val="bullet"/>
      <w:lvlText w:val=""/>
      <w:lvlJc w:val="left"/>
      <w:pPr>
        <w:ind w:left="4723" w:hanging="360"/>
      </w:pPr>
      <w:rPr>
        <w:rFonts w:ascii="Wingdings" w:hAnsi="Wingdings" w:hint="default"/>
      </w:rPr>
    </w:lvl>
    <w:lvl w:ilvl="3" w:tplc="04090001" w:tentative="1">
      <w:start w:val="1"/>
      <w:numFmt w:val="bullet"/>
      <w:lvlText w:val=""/>
      <w:lvlJc w:val="left"/>
      <w:pPr>
        <w:ind w:left="5443" w:hanging="360"/>
      </w:pPr>
      <w:rPr>
        <w:rFonts w:ascii="Symbol" w:hAnsi="Symbol" w:hint="default"/>
      </w:rPr>
    </w:lvl>
    <w:lvl w:ilvl="4" w:tplc="04090003" w:tentative="1">
      <w:start w:val="1"/>
      <w:numFmt w:val="bullet"/>
      <w:lvlText w:val="o"/>
      <w:lvlJc w:val="left"/>
      <w:pPr>
        <w:ind w:left="6163" w:hanging="360"/>
      </w:pPr>
      <w:rPr>
        <w:rFonts w:ascii="Courier New" w:hAnsi="Courier New" w:cs="Courier New" w:hint="default"/>
      </w:rPr>
    </w:lvl>
    <w:lvl w:ilvl="5" w:tplc="04090005" w:tentative="1">
      <w:start w:val="1"/>
      <w:numFmt w:val="bullet"/>
      <w:lvlText w:val=""/>
      <w:lvlJc w:val="left"/>
      <w:pPr>
        <w:ind w:left="6883" w:hanging="360"/>
      </w:pPr>
      <w:rPr>
        <w:rFonts w:ascii="Wingdings" w:hAnsi="Wingdings" w:hint="default"/>
      </w:rPr>
    </w:lvl>
    <w:lvl w:ilvl="6" w:tplc="04090001" w:tentative="1">
      <w:start w:val="1"/>
      <w:numFmt w:val="bullet"/>
      <w:lvlText w:val=""/>
      <w:lvlJc w:val="left"/>
      <w:pPr>
        <w:ind w:left="7603" w:hanging="360"/>
      </w:pPr>
      <w:rPr>
        <w:rFonts w:ascii="Symbol" w:hAnsi="Symbol" w:hint="default"/>
      </w:rPr>
    </w:lvl>
    <w:lvl w:ilvl="7" w:tplc="04090003" w:tentative="1">
      <w:start w:val="1"/>
      <w:numFmt w:val="bullet"/>
      <w:lvlText w:val="o"/>
      <w:lvlJc w:val="left"/>
      <w:pPr>
        <w:ind w:left="8323" w:hanging="360"/>
      </w:pPr>
      <w:rPr>
        <w:rFonts w:ascii="Courier New" w:hAnsi="Courier New" w:cs="Courier New" w:hint="default"/>
      </w:rPr>
    </w:lvl>
    <w:lvl w:ilvl="8" w:tplc="04090005" w:tentative="1">
      <w:start w:val="1"/>
      <w:numFmt w:val="bullet"/>
      <w:lvlText w:val=""/>
      <w:lvlJc w:val="left"/>
      <w:pPr>
        <w:ind w:left="9043" w:hanging="360"/>
      </w:pPr>
      <w:rPr>
        <w:rFonts w:ascii="Wingdings" w:hAnsi="Wingdings" w:hint="default"/>
      </w:rPr>
    </w:lvl>
  </w:abstractNum>
  <w:abstractNum w:abstractNumId="14" w15:restartNumberingAfterBreak="0">
    <w:nsid w:val="68AD07B2"/>
    <w:multiLevelType w:val="hybridMultilevel"/>
    <w:tmpl w:val="6EDEC56E"/>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15" w15:restartNumberingAfterBreak="0">
    <w:nsid w:val="6FCD5A59"/>
    <w:multiLevelType w:val="hybridMultilevel"/>
    <w:tmpl w:val="5D8E7F50"/>
    <w:lvl w:ilvl="0" w:tplc="F1944034">
      <w:start w:val="1"/>
      <w:numFmt w:val="decimal"/>
      <w:lvlRestart w:val="0"/>
      <w:lvlText w:val="(%1)"/>
      <w:lvlJc w:val="right"/>
      <w:pPr>
        <w:tabs>
          <w:tab w:val="num" w:pos="1292"/>
        </w:tabs>
        <w:ind w:left="1292" w:hanging="227"/>
      </w:pPr>
      <w:rPr>
        <w:rFonts w:ascii="Traditional Arabic" w:hAnsi="Traditional Arabic" w:cs="Traditional Arabic"/>
        <w:sz w:val="26"/>
        <w:szCs w:val="26"/>
      </w:rPr>
    </w:lvl>
    <w:lvl w:ilvl="1" w:tplc="04090019" w:tentative="1">
      <w:start w:val="1"/>
      <w:numFmt w:val="lowerLetter"/>
      <w:lvlText w:val="%2."/>
      <w:lvlJc w:val="left"/>
      <w:pPr>
        <w:ind w:left="1485" w:hanging="360"/>
      </w:pPr>
    </w:lvl>
    <w:lvl w:ilvl="2" w:tplc="0409001B" w:tentative="1">
      <w:start w:val="1"/>
      <w:numFmt w:val="lowerRoman"/>
      <w:lvlText w:val="%3."/>
      <w:lvlJc w:val="right"/>
      <w:pPr>
        <w:ind w:left="2205" w:hanging="180"/>
      </w:pPr>
    </w:lvl>
    <w:lvl w:ilvl="3" w:tplc="0409000F" w:tentative="1">
      <w:start w:val="1"/>
      <w:numFmt w:val="decimal"/>
      <w:lvlText w:val="%4."/>
      <w:lvlJc w:val="left"/>
      <w:pPr>
        <w:ind w:left="2925" w:hanging="360"/>
      </w:pPr>
    </w:lvl>
    <w:lvl w:ilvl="4" w:tplc="04090019" w:tentative="1">
      <w:start w:val="1"/>
      <w:numFmt w:val="lowerLetter"/>
      <w:lvlText w:val="%5."/>
      <w:lvlJc w:val="left"/>
      <w:pPr>
        <w:ind w:left="3645" w:hanging="360"/>
      </w:pPr>
    </w:lvl>
    <w:lvl w:ilvl="5" w:tplc="0409001B" w:tentative="1">
      <w:start w:val="1"/>
      <w:numFmt w:val="lowerRoman"/>
      <w:lvlText w:val="%6."/>
      <w:lvlJc w:val="right"/>
      <w:pPr>
        <w:ind w:left="4365" w:hanging="180"/>
      </w:pPr>
    </w:lvl>
    <w:lvl w:ilvl="6" w:tplc="0409000F" w:tentative="1">
      <w:start w:val="1"/>
      <w:numFmt w:val="decimal"/>
      <w:lvlText w:val="%7."/>
      <w:lvlJc w:val="left"/>
      <w:pPr>
        <w:ind w:left="5085" w:hanging="360"/>
      </w:pPr>
    </w:lvl>
    <w:lvl w:ilvl="7" w:tplc="04090019" w:tentative="1">
      <w:start w:val="1"/>
      <w:numFmt w:val="lowerLetter"/>
      <w:lvlText w:val="%8."/>
      <w:lvlJc w:val="left"/>
      <w:pPr>
        <w:ind w:left="5805" w:hanging="360"/>
      </w:pPr>
    </w:lvl>
    <w:lvl w:ilvl="8" w:tplc="0409001B" w:tentative="1">
      <w:start w:val="1"/>
      <w:numFmt w:val="lowerRoman"/>
      <w:lvlText w:val="%9."/>
      <w:lvlJc w:val="right"/>
      <w:pPr>
        <w:ind w:left="6525" w:hanging="180"/>
      </w:pPr>
    </w:lvl>
  </w:abstractNum>
  <w:abstractNum w:abstractNumId="16" w15:restartNumberingAfterBreak="0">
    <w:nsid w:val="702101EC"/>
    <w:multiLevelType w:val="hybridMultilevel"/>
    <w:tmpl w:val="D64CD08C"/>
    <w:lvl w:ilvl="0" w:tplc="CE7E406C">
      <w:start w:val="1"/>
      <w:numFmt w:val="bullet"/>
      <w:pStyle w:val="Bullet2"/>
      <w:lvlText w:val=""/>
      <w:lvlJc w:val="left"/>
      <w:pPr>
        <w:ind w:left="720" w:hanging="360"/>
      </w:pPr>
      <w:rPr>
        <w:rFonts w:ascii="Symbol" w:hAnsi="Symbol" w:cs="Symbol" w:hint="default"/>
        <w:sz w:val="14"/>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7" w15:restartNumberingAfterBreak="0">
    <w:nsid w:val="7AE32A09"/>
    <w:multiLevelType w:val="hybridMultilevel"/>
    <w:tmpl w:val="B8DC87A6"/>
    <w:lvl w:ilvl="0" w:tplc="72A485D8">
      <w:start w:val="1"/>
      <w:numFmt w:val="decimal"/>
      <w:pStyle w:val="Roman2GA"/>
      <w:lvlText w:val="'%1'"/>
      <w:lvlJc w:val="right"/>
      <w:pPr>
        <w:tabs>
          <w:tab w:val="num" w:pos="2877"/>
        </w:tabs>
        <w:ind w:left="2877" w:hanging="360"/>
      </w:p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16cid:durableId="510484504">
    <w:abstractNumId w:val="15"/>
  </w:num>
  <w:num w:numId="2" w16cid:durableId="640499609">
    <w:abstractNumId w:val="12"/>
  </w:num>
  <w:num w:numId="3" w16cid:durableId="1841042497">
    <w:abstractNumId w:val="2"/>
  </w:num>
  <w:num w:numId="4" w16cid:durableId="1868524714">
    <w:abstractNumId w:val="11"/>
  </w:num>
  <w:num w:numId="5" w16cid:durableId="1775512600">
    <w:abstractNumId w:val="8"/>
  </w:num>
  <w:num w:numId="6" w16cid:durableId="1617903215">
    <w:abstractNumId w:val="5"/>
  </w:num>
  <w:num w:numId="7" w16cid:durableId="2022005155">
    <w:abstractNumId w:val="17"/>
  </w:num>
  <w:num w:numId="8" w16cid:durableId="1519654764">
    <w:abstractNumId w:val="2"/>
  </w:num>
  <w:num w:numId="9" w16cid:durableId="1930233999">
    <w:abstractNumId w:val="11"/>
  </w:num>
  <w:num w:numId="10" w16cid:durableId="2119257792">
    <w:abstractNumId w:val="5"/>
  </w:num>
  <w:num w:numId="11" w16cid:durableId="2074619556">
    <w:abstractNumId w:val="17"/>
  </w:num>
  <w:num w:numId="12" w16cid:durableId="1199975836">
    <w:abstractNumId w:val="2"/>
  </w:num>
  <w:num w:numId="13" w16cid:durableId="583224333">
    <w:abstractNumId w:val="11"/>
  </w:num>
  <w:num w:numId="14" w16cid:durableId="1119640772">
    <w:abstractNumId w:val="8"/>
  </w:num>
  <w:num w:numId="15" w16cid:durableId="1618443979">
    <w:abstractNumId w:val="5"/>
  </w:num>
  <w:num w:numId="16" w16cid:durableId="456529045">
    <w:abstractNumId w:val="17"/>
  </w:num>
  <w:num w:numId="17" w16cid:durableId="260645273">
    <w:abstractNumId w:val="4"/>
  </w:num>
  <w:num w:numId="18" w16cid:durableId="1930842489">
    <w:abstractNumId w:val="3"/>
  </w:num>
  <w:num w:numId="19" w16cid:durableId="1880435093">
    <w:abstractNumId w:val="16"/>
  </w:num>
  <w:num w:numId="20" w16cid:durableId="1838880655">
    <w:abstractNumId w:val="13"/>
  </w:num>
  <w:num w:numId="21" w16cid:durableId="1254051518">
    <w:abstractNumId w:val="1"/>
  </w:num>
  <w:num w:numId="22" w16cid:durableId="2010478460">
    <w:abstractNumId w:val="14"/>
  </w:num>
  <w:num w:numId="23" w16cid:durableId="103157246">
    <w:abstractNumId w:val="0"/>
  </w:num>
  <w:num w:numId="24" w16cid:durableId="1745183160">
    <w:abstractNumId w:val="9"/>
  </w:num>
  <w:num w:numId="25" w16cid:durableId="622031717">
    <w:abstractNumId w:val="14"/>
    <w:lvlOverride w:ilvl="0">
      <w:lvl w:ilvl="0" w:tplc="A61AB22A">
        <w:start w:val="1"/>
        <w:numFmt w:val="bullet"/>
        <w:lvlText w:val="•"/>
        <w:lvlJc w:val="left"/>
        <w:pPr>
          <w:tabs>
            <w:tab w:val="num" w:pos="1701"/>
          </w:tabs>
          <w:ind w:left="1701" w:hanging="170"/>
        </w:pPr>
        <w:rPr>
          <w:rFonts w:ascii="Times New Roman" w:hAnsi="Times New Roman" w:cs="Times New Roman" w:hint="default"/>
          <w:sz w:val="16"/>
          <w:szCs w:val="16"/>
        </w:rPr>
      </w:lvl>
    </w:lvlOverride>
  </w:num>
  <w:num w:numId="26" w16cid:durableId="877744032">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564484495">
    <w:abstractNumId w:val="0"/>
    <w:lvlOverride w:ilvl="0">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Override>
    <w:lvlOverride w:ilvl="1">
      <w:lvl w:ilvl="1" w:tplc="04090019" w:tentative="1">
        <w:start w:val="1"/>
        <w:numFmt w:val="lowerLetter"/>
        <w:lvlText w:val="%2."/>
        <w:lvlJc w:val="left"/>
        <w:pPr>
          <w:ind w:left="1440" w:hanging="360"/>
        </w:pPr>
      </w:lvl>
    </w:lvlOverride>
    <w:lvlOverride w:ilvl="2">
      <w:lvl w:ilvl="2" w:tplc="0409001B" w:tentative="1">
        <w:start w:val="1"/>
        <w:numFmt w:val="lowerRoman"/>
        <w:lvlText w:val="%3."/>
        <w:lvlJc w:val="right"/>
        <w:pPr>
          <w:ind w:left="2160" w:hanging="180"/>
        </w:pPr>
      </w:lvl>
    </w:lvlOverride>
    <w:lvlOverride w:ilvl="3">
      <w:lvl w:ilvl="3" w:tplc="0409000F" w:tentative="1">
        <w:start w:val="1"/>
        <w:numFmt w:val="decimal"/>
        <w:lvlText w:val="%4."/>
        <w:lvlJc w:val="left"/>
        <w:pPr>
          <w:ind w:left="2880" w:hanging="360"/>
        </w:pPr>
      </w:lvl>
    </w:lvlOverride>
    <w:lvlOverride w:ilvl="4">
      <w:lvl w:ilvl="4" w:tplc="04090019" w:tentative="1">
        <w:start w:val="1"/>
        <w:numFmt w:val="lowerLetter"/>
        <w:lvlText w:val="%5."/>
        <w:lvlJc w:val="left"/>
        <w:pPr>
          <w:ind w:left="3600" w:hanging="360"/>
        </w:pPr>
      </w:lvl>
    </w:lvlOverride>
    <w:lvlOverride w:ilvl="5">
      <w:lvl w:ilvl="5" w:tplc="0409001B" w:tentative="1">
        <w:start w:val="1"/>
        <w:numFmt w:val="lowerRoman"/>
        <w:lvlText w:val="%6."/>
        <w:lvlJc w:val="right"/>
        <w:pPr>
          <w:ind w:left="4320" w:hanging="180"/>
        </w:pPr>
      </w:lvl>
    </w:lvlOverride>
    <w:lvlOverride w:ilvl="6">
      <w:lvl w:ilvl="6" w:tplc="0409000F" w:tentative="1">
        <w:start w:val="1"/>
        <w:numFmt w:val="decimal"/>
        <w:lvlText w:val="%7."/>
        <w:lvlJc w:val="left"/>
        <w:pPr>
          <w:ind w:left="5040" w:hanging="360"/>
        </w:pPr>
      </w:lvl>
    </w:lvlOverride>
    <w:lvlOverride w:ilvl="7">
      <w:lvl w:ilvl="7" w:tplc="04090019" w:tentative="1">
        <w:start w:val="1"/>
        <w:numFmt w:val="lowerLetter"/>
        <w:lvlText w:val="%8."/>
        <w:lvlJc w:val="left"/>
        <w:pPr>
          <w:ind w:left="5760" w:hanging="360"/>
        </w:pPr>
      </w:lvl>
    </w:lvlOverride>
    <w:lvlOverride w:ilvl="8">
      <w:lvl w:ilvl="8" w:tplc="0409001B" w:tentative="1">
        <w:start w:val="1"/>
        <w:numFmt w:val="lowerRoman"/>
        <w:lvlText w:val="%9."/>
        <w:lvlJc w:val="right"/>
        <w:pPr>
          <w:ind w:left="6480" w:hanging="180"/>
        </w:pPr>
      </w:lvl>
    </w:lvlOverride>
  </w:num>
  <w:num w:numId="28" w16cid:durableId="1687515537">
    <w:abstractNumId w:val="0"/>
    <w:lvlOverride w:ilvl="0">
      <w:startOverride w:val="153"/>
      <w:lvl w:ilvl="0" w:tplc="2FB47626">
        <w:start w:val="153"/>
        <w:numFmt w:val="decimal"/>
        <w:pStyle w:val="ParaNoG"/>
        <w:lvlText w:val="%1-"/>
        <w:lvlJc w:val="left"/>
        <w:pPr>
          <w:tabs>
            <w:tab w:val="num" w:pos="0"/>
          </w:tabs>
          <w:ind w:left="1134" w:firstLine="0"/>
        </w:pPr>
        <w:rPr>
          <w:rFonts w:ascii="Times New Roman" w:hAnsi="Times New Roman" w:hint="default"/>
          <w:b w:val="0"/>
          <w:i w:val="0"/>
          <w:sz w:val="20"/>
        </w:rPr>
      </w:lvl>
    </w:lvlOverride>
  </w:num>
  <w:num w:numId="29" w16cid:durableId="1226990153">
    <w:abstractNumId w:val="0"/>
    <w:lvlOverride w:ilvl="0">
      <w:startOverride w:val="151"/>
      <w:lvl w:ilvl="0" w:tplc="2FB47626">
        <w:start w:val="151"/>
        <w:numFmt w:val="decimal"/>
        <w:pStyle w:val="ParaNoG"/>
        <w:lvlText w:val="%1-"/>
        <w:lvlJc w:val="left"/>
        <w:pPr>
          <w:tabs>
            <w:tab w:val="num" w:pos="0"/>
          </w:tabs>
          <w:ind w:left="1134" w:firstLine="0"/>
        </w:pPr>
        <w:rPr>
          <w:rFonts w:ascii="Times New Roman" w:hAnsi="Times New Roman" w:hint="default"/>
          <w:b w:val="0"/>
          <w:i w:val="0"/>
          <w:sz w:val="20"/>
        </w:rPr>
      </w:lvl>
    </w:lvlOverride>
  </w:num>
  <w:num w:numId="30" w16cid:durableId="1900357773">
    <w:abstractNumId w:val="7"/>
  </w:num>
  <w:num w:numId="31" w16cid:durableId="261493394">
    <w:abstractNumId w:val="6"/>
    <w:lvlOverride w:ilvl="0">
      <w:lvl w:ilvl="0" w:tplc="CB588E8E">
        <w:start w:val="1"/>
        <w:numFmt w:val="bullet"/>
        <w:lvlText w:val="o"/>
        <w:lvlJc w:val="left"/>
        <w:pPr>
          <w:ind w:left="720" w:hanging="360"/>
        </w:pPr>
        <w:rPr>
          <w:rFonts w:ascii="Courier New" w:hAnsi="Courier New" w:cs="Courier New" w:hint="default"/>
          <w:spacing w:val="-20"/>
        </w:rPr>
      </w:lvl>
    </w:lvlOverride>
  </w:num>
  <w:num w:numId="32" w16cid:durableId="471796418">
    <w:abstractNumId w:val="6"/>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80"/>
  <w:proofState w:spelling="clean" w:grammar="clean"/>
  <w:defaultTabStop w:val="567"/>
  <w:hyphenationZone w:val="425"/>
  <w:evenAndOddHeaders/>
  <w:characterSpacingControl w:val="doNotCompress"/>
  <w:hdrShapeDefaults>
    <o:shapedefaults v:ext="edit" spidmax="2050"/>
  </w:hdrShapeDefaults>
  <w:footnotePr>
    <w:footnote w:id="-1"/>
    <w:footnote w:id="0"/>
  </w:footnotePr>
  <w:endnotePr>
    <w:numFmt w:val="decimal"/>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638F"/>
    <w:rsid w:val="000076D5"/>
    <w:rsid w:val="00017467"/>
    <w:rsid w:val="0003691C"/>
    <w:rsid w:val="00043663"/>
    <w:rsid w:val="000456F3"/>
    <w:rsid w:val="000505CF"/>
    <w:rsid w:val="000508CE"/>
    <w:rsid w:val="00050F2F"/>
    <w:rsid w:val="0005682B"/>
    <w:rsid w:val="00064C44"/>
    <w:rsid w:val="000A2113"/>
    <w:rsid w:val="000B64A7"/>
    <w:rsid w:val="000C1E9D"/>
    <w:rsid w:val="000D701C"/>
    <w:rsid w:val="000E11D4"/>
    <w:rsid w:val="000E2A71"/>
    <w:rsid w:val="000F71D2"/>
    <w:rsid w:val="00121F60"/>
    <w:rsid w:val="00155260"/>
    <w:rsid w:val="00160263"/>
    <w:rsid w:val="00166BD2"/>
    <w:rsid w:val="00167825"/>
    <w:rsid w:val="00170EB3"/>
    <w:rsid w:val="00181F96"/>
    <w:rsid w:val="001A1371"/>
    <w:rsid w:val="001B2966"/>
    <w:rsid w:val="001B346A"/>
    <w:rsid w:val="001D6F7B"/>
    <w:rsid w:val="001E1CAD"/>
    <w:rsid w:val="001E290D"/>
    <w:rsid w:val="001F7583"/>
    <w:rsid w:val="00210DD4"/>
    <w:rsid w:val="002144FA"/>
    <w:rsid w:val="00223BA5"/>
    <w:rsid w:val="00233107"/>
    <w:rsid w:val="0023469A"/>
    <w:rsid w:val="00243C8A"/>
    <w:rsid w:val="00261289"/>
    <w:rsid w:val="00264A05"/>
    <w:rsid w:val="00266034"/>
    <w:rsid w:val="0026755E"/>
    <w:rsid w:val="00267A0E"/>
    <w:rsid w:val="002901D9"/>
    <w:rsid w:val="002976C2"/>
    <w:rsid w:val="002C3EB3"/>
    <w:rsid w:val="002D233E"/>
    <w:rsid w:val="002E758A"/>
    <w:rsid w:val="003118D9"/>
    <w:rsid w:val="0032056B"/>
    <w:rsid w:val="00323923"/>
    <w:rsid w:val="00323EC8"/>
    <w:rsid w:val="003260FF"/>
    <w:rsid w:val="00343D95"/>
    <w:rsid w:val="003440A8"/>
    <w:rsid w:val="00362E33"/>
    <w:rsid w:val="0036605B"/>
    <w:rsid w:val="0037189A"/>
    <w:rsid w:val="00374341"/>
    <w:rsid w:val="00384DA7"/>
    <w:rsid w:val="00390CAB"/>
    <w:rsid w:val="00395B26"/>
    <w:rsid w:val="003C7FCE"/>
    <w:rsid w:val="003D1062"/>
    <w:rsid w:val="003E0A26"/>
    <w:rsid w:val="00420D7B"/>
    <w:rsid w:val="00425FE2"/>
    <w:rsid w:val="00450B21"/>
    <w:rsid w:val="00453B63"/>
    <w:rsid w:val="00455780"/>
    <w:rsid w:val="00462F28"/>
    <w:rsid w:val="0047024A"/>
    <w:rsid w:val="00472BE8"/>
    <w:rsid w:val="004811D5"/>
    <w:rsid w:val="004956DC"/>
    <w:rsid w:val="004B0797"/>
    <w:rsid w:val="004B0A1C"/>
    <w:rsid w:val="004B1C82"/>
    <w:rsid w:val="004B4BC0"/>
    <w:rsid w:val="004D2177"/>
    <w:rsid w:val="004D298E"/>
    <w:rsid w:val="004D3D5F"/>
    <w:rsid w:val="00531DEA"/>
    <w:rsid w:val="00534D7C"/>
    <w:rsid w:val="00537BFC"/>
    <w:rsid w:val="00544020"/>
    <w:rsid w:val="0054472E"/>
    <w:rsid w:val="005531C8"/>
    <w:rsid w:val="005662A9"/>
    <w:rsid w:val="00575E9A"/>
    <w:rsid w:val="005827D4"/>
    <w:rsid w:val="00594005"/>
    <w:rsid w:val="0059622A"/>
    <w:rsid w:val="005A3015"/>
    <w:rsid w:val="005A42DE"/>
    <w:rsid w:val="005C5878"/>
    <w:rsid w:val="005C7CEA"/>
    <w:rsid w:val="005D1DC3"/>
    <w:rsid w:val="005D3C0B"/>
    <w:rsid w:val="005E23DF"/>
    <w:rsid w:val="005E5217"/>
    <w:rsid w:val="005E7F38"/>
    <w:rsid w:val="005F0FA4"/>
    <w:rsid w:val="005F30EE"/>
    <w:rsid w:val="0060473A"/>
    <w:rsid w:val="00656392"/>
    <w:rsid w:val="006646E9"/>
    <w:rsid w:val="0068781D"/>
    <w:rsid w:val="00690D3D"/>
    <w:rsid w:val="006959B0"/>
    <w:rsid w:val="006A657C"/>
    <w:rsid w:val="006B2A7F"/>
    <w:rsid w:val="006B3E27"/>
    <w:rsid w:val="006B6507"/>
    <w:rsid w:val="006C104C"/>
    <w:rsid w:val="006C6085"/>
    <w:rsid w:val="006D05CB"/>
    <w:rsid w:val="00706DFD"/>
    <w:rsid w:val="00712059"/>
    <w:rsid w:val="0073155B"/>
    <w:rsid w:val="00733704"/>
    <w:rsid w:val="00761849"/>
    <w:rsid w:val="00774CA0"/>
    <w:rsid w:val="0078071A"/>
    <w:rsid w:val="00783E6E"/>
    <w:rsid w:val="00791BBE"/>
    <w:rsid w:val="007A3847"/>
    <w:rsid w:val="007B1331"/>
    <w:rsid w:val="007C2006"/>
    <w:rsid w:val="007D56C1"/>
    <w:rsid w:val="00817373"/>
    <w:rsid w:val="00852A9A"/>
    <w:rsid w:val="00860491"/>
    <w:rsid w:val="0087385F"/>
    <w:rsid w:val="00874514"/>
    <w:rsid w:val="00877143"/>
    <w:rsid w:val="00893A8A"/>
    <w:rsid w:val="00897AA1"/>
    <w:rsid w:val="008C0B37"/>
    <w:rsid w:val="008C6DF5"/>
    <w:rsid w:val="008F49E1"/>
    <w:rsid w:val="0090370F"/>
    <w:rsid w:val="0090638F"/>
    <w:rsid w:val="00906A57"/>
    <w:rsid w:val="009269D2"/>
    <w:rsid w:val="00942135"/>
    <w:rsid w:val="009521B0"/>
    <w:rsid w:val="00972676"/>
    <w:rsid w:val="00981C12"/>
    <w:rsid w:val="009948B2"/>
    <w:rsid w:val="00997A71"/>
    <w:rsid w:val="009A7E9F"/>
    <w:rsid w:val="009B3592"/>
    <w:rsid w:val="009E412F"/>
    <w:rsid w:val="009E4397"/>
    <w:rsid w:val="009E5018"/>
    <w:rsid w:val="009F09F5"/>
    <w:rsid w:val="009F3961"/>
    <w:rsid w:val="00A026C3"/>
    <w:rsid w:val="00A04E16"/>
    <w:rsid w:val="00A12B37"/>
    <w:rsid w:val="00A27973"/>
    <w:rsid w:val="00A34EA8"/>
    <w:rsid w:val="00A44083"/>
    <w:rsid w:val="00A44D86"/>
    <w:rsid w:val="00A67AF5"/>
    <w:rsid w:val="00A92CFC"/>
    <w:rsid w:val="00A94CA3"/>
    <w:rsid w:val="00AB2C0B"/>
    <w:rsid w:val="00AB6758"/>
    <w:rsid w:val="00B04FFD"/>
    <w:rsid w:val="00B07715"/>
    <w:rsid w:val="00B13763"/>
    <w:rsid w:val="00B16902"/>
    <w:rsid w:val="00B426A2"/>
    <w:rsid w:val="00B456A0"/>
    <w:rsid w:val="00B477A4"/>
    <w:rsid w:val="00B54045"/>
    <w:rsid w:val="00B82677"/>
    <w:rsid w:val="00BA39D4"/>
    <w:rsid w:val="00BB0973"/>
    <w:rsid w:val="00BD0805"/>
    <w:rsid w:val="00BF7D6F"/>
    <w:rsid w:val="00C27743"/>
    <w:rsid w:val="00C438D7"/>
    <w:rsid w:val="00C57598"/>
    <w:rsid w:val="00C62476"/>
    <w:rsid w:val="00C80DC0"/>
    <w:rsid w:val="00C81B50"/>
    <w:rsid w:val="00C87F1F"/>
    <w:rsid w:val="00C96AFF"/>
    <w:rsid w:val="00CA2103"/>
    <w:rsid w:val="00CA35DF"/>
    <w:rsid w:val="00CD1801"/>
    <w:rsid w:val="00CF25FC"/>
    <w:rsid w:val="00D02802"/>
    <w:rsid w:val="00D10EF1"/>
    <w:rsid w:val="00D426FC"/>
    <w:rsid w:val="00D42810"/>
    <w:rsid w:val="00D914A7"/>
    <w:rsid w:val="00D97B6F"/>
    <w:rsid w:val="00DB712F"/>
    <w:rsid w:val="00DC1D29"/>
    <w:rsid w:val="00DD13C3"/>
    <w:rsid w:val="00DD596E"/>
    <w:rsid w:val="00DD621E"/>
    <w:rsid w:val="00DF0575"/>
    <w:rsid w:val="00E2697F"/>
    <w:rsid w:val="00E3216D"/>
    <w:rsid w:val="00E44063"/>
    <w:rsid w:val="00E47E41"/>
    <w:rsid w:val="00E54C9B"/>
    <w:rsid w:val="00E64B72"/>
    <w:rsid w:val="00E70E04"/>
    <w:rsid w:val="00E76499"/>
    <w:rsid w:val="00E8055C"/>
    <w:rsid w:val="00E97523"/>
    <w:rsid w:val="00EB407E"/>
    <w:rsid w:val="00EB68E0"/>
    <w:rsid w:val="00EC05A7"/>
    <w:rsid w:val="00EC4B6B"/>
    <w:rsid w:val="00ED4716"/>
    <w:rsid w:val="00EE56C3"/>
    <w:rsid w:val="00EF1EE5"/>
    <w:rsid w:val="00F05A5F"/>
    <w:rsid w:val="00F1695F"/>
    <w:rsid w:val="00F271E3"/>
    <w:rsid w:val="00F41438"/>
    <w:rsid w:val="00F62057"/>
    <w:rsid w:val="00F7346F"/>
    <w:rsid w:val="00F763B4"/>
    <w:rsid w:val="00F81AF1"/>
    <w:rsid w:val="00F900C3"/>
    <w:rsid w:val="00FC4729"/>
    <w:rsid w:val="00FF2AB2"/>
    <w:rsid w:val="00FF2D83"/>
    <w:rsid w:val="00FF324E"/>
    <w:rsid w:val="00FF6ECD"/>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2050"/>
    <o:shapelayout v:ext="edit">
      <o:idmap v:ext="edit" data="2"/>
    </o:shapelayout>
  </w:shapeDefaults>
  <w:decimalSymbol w:val="."/>
  <w:listSeparator w:val=","/>
  <w14:docId w14:val="13D20909"/>
  <w15:docId w15:val="{DB6CE527-A046-4887-9157-597326F47E7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Times New Roman" w:hAnsi="Calibri" w:cs="Arial"/>
        <w:lang w:val="en-US" w:eastAsia="zh-TW" w:bidi="ar-SA"/>
      </w:rPr>
    </w:rPrDefault>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9" w:unhideWhenUsed="1"/>
    <w:lsdException w:name="heading 3" w:semiHidden="1" w:uiPriority="9" w:unhideWhenUsed="1"/>
    <w:lsdException w:name="heading 4" w:semiHidden="1" w:uiPriority="9" w:unhideWhenUsed="1"/>
    <w:lsdException w:name="heading 5" w:semiHidden="1" w:uiPriority="9" w:unhideWhenUsed="1"/>
    <w:lsdException w:name="heading 6" w:semiHidden="1" w:uiPriority="9" w:unhideWhenUsed="1"/>
    <w:lsdException w:name="heading 7" w:semiHidden="1" w:uiPriority="9" w:unhideWhenUsed="1"/>
    <w:lsdException w:name="heading 8" w:semiHidden="1" w:uiPriority="9" w:unhideWhenUsed="1"/>
    <w:lsdException w:name="heading 9" w:semiHidden="1" w:uiPriority="9"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qFormat="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iPriority="0" w:unhideWhenUsed="1" w:qFormat="1"/>
    <w:lsdException w:name="page number" w:semiHidden="1" w:uiPriority="0" w:unhideWhenUsed="1" w:qFormat="1"/>
    <w:lsdException w:name="endnote reference" w:semiHidden="1" w:uiPriority="0" w:unhideWhenUsed="1" w:qFormat="1"/>
    <w:lsdException w:name="endnote text" w:semiHidden="1" w:unhideWhenUsed="1" w:qFormat="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lsdException w:name="Emphasis" w:uiPriority="20"/>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B712F"/>
    <w:pPr>
      <w:bidi/>
      <w:spacing w:line="240" w:lineRule="atLeast"/>
      <w:jc w:val="lowKashida"/>
    </w:pPr>
    <w:rPr>
      <w:rFonts w:ascii="Times New Roman" w:eastAsia="PMingLiU" w:hAnsi="Times New Roman" w:cs="Simplified Arabic"/>
      <w:szCs w:val="22"/>
      <w:lang w:eastAsia="en-US"/>
    </w:rPr>
  </w:style>
  <w:style w:type="paragraph" w:styleId="Heading1">
    <w:name w:val="heading 1"/>
    <w:aliases w:val="Table_GA,Table_G"/>
    <w:basedOn w:val="SingleTxtGA"/>
    <w:next w:val="Normal"/>
    <w:link w:val="Heading1Char"/>
    <w:qFormat/>
    <w:rsid w:val="00DB712F"/>
    <w:pPr>
      <w:bidi w:val="0"/>
      <w:outlineLvl w:val="0"/>
    </w:pPr>
  </w:style>
  <w:style w:type="paragraph" w:styleId="Heading2">
    <w:name w:val="heading 2"/>
    <w:basedOn w:val="Normal"/>
    <w:next w:val="Normal"/>
    <w:link w:val="Heading2Char"/>
    <w:uiPriority w:val="9"/>
    <w:unhideWhenUsed/>
    <w:rsid w:val="00DB712F"/>
    <w:pPr>
      <w:keepNext/>
      <w:keepLines/>
      <w:spacing w:before="200"/>
      <w:outlineLvl w:val="1"/>
    </w:pPr>
    <w:rPr>
      <w:b/>
      <w:bCs/>
      <w:color w:val="4F81BD"/>
      <w:sz w:val="26"/>
      <w:szCs w:val="26"/>
    </w:rPr>
  </w:style>
  <w:style w:type="paragraph" w:styleId="Heading3">
    <w:name w:val="heading 3"/>
    <w:basedOn w:val="Normal"/>
    <w:next w:val="Normal"/>
    <w:link w:val="Heading3Char"/>
    <w:uiPriority w:val="9"/>
    <w:unhideWhenUsed/>
    <w:rsid w:val="00DB712F"/>
    <w:pPr>
      <w:keepNext/>
      <w:keepLines/>
      <w:spacing w:before="200"/>
      <w:outlineLvl w:val="2"/>
    </w:pPr>
    <w:rPr>
      <w:b/>
      <w:bCs/>
      <w:color w:val="4F81BD"/>
    </w:rPr>
  </w:style>
  <w:style w:type="paragraph" w:styleId="Heading4">
    <w:name w:val="heading 4"/>
    <w:basedOn w:val="Normal"/>
    <w:next w:val="Normal"/>
    <w:link w:val="Heading4Char"/>
    <w:uiPriority w:val="9"/>
    <w:unhideWhenUsed/>
    <w:rsid w:val="00DB712F"/>
    <w:pPr>
      <w:keepNext/>
      <w:keepLines/>
      <w:spacing w:before="200"/>
      <w:outlineLvl w:val="3"/>
    </w:pPr>
    <w:rPr>
      <w:b/>
      <w:bCs/>
      <w:i/>
      <w:iCs/>
      <w:color w:val="4F81BD"/>
    </w:rPr>
  </w:style>
  <w:style w:type="paragraph" w:styleId="Heading5">
    <w:name w:val="heading 5"/>
    <w:basedOn w:val="Normal"/>
    <w:next w:val="Normal"/>
    <w:link w:val="Heading5Char"/>
    <w:uiPriority w:val="9"/>
    <w:unhideWhenUsed/>
    <w:rsid w:val="00DB712F"/>
    <w:pPr>
      <w:keepNext/>
      <w:keepLines/>
      <w:spacing w:before="200"/>
      <w:outlineLvl w:val="4"/>
    </w:pPr>
    <w:rPr>
      <w:color w:val="243F60"/>
    </w:rPr>
  </w:style>
  <w:style w:type="paragraph" w:styleId="Heading6">
    <w:name w:val="heading 6"/>
    <w:basedOn w:val="Normal"/>
    <w:next w:val="Normal"/>
    <w:link w:val="Heading6Char"/>
    <w:uiPriority w:val="9"/>
    <w:unhideWhenUsed/>
    <w:rsid w:val="00DB712F"/>
    <w:pPr>
      <w:keepNext/>
      <w:keepLines/>
      <w:spacing w:before="200"/>
      <w:outlineLvl w:val="5"/>
    </w:pPr>
    <w:rPr>
      <w:i/>
      <w:iCs/>
      <w:color w:val="243F60"/>
    </w:rPr>
  </w:style>
  <w:style w:type="paragraph" w:styleId="Heading7">
    <w:name w:val="heading 7"/>
    <w:basedOn w:val="Normal"/>
    <w:next w:val="Normal"/>
    <w:link w:val="Heading7Char"/>
    <w:uiPriority w:val="9"/>
    <w:unhideWhenUsed/>
    <w:rsid w:val="00DB712F"/>
    <w:pPr>
      <w:keepNext/>
      <w:keepLines/>
      <w:spacing w:before="200"/>
      <w:outlineLvl w:val="6"/>
    </w:pPr>
    <w:rPr>
      <w:i/>
      <w:iCs/>
      <w:color w:val="404040"/>
    </w:rPr>
  </w:style>
  <w:style w:type="paragraph" w:styleId="Heading8">
    <w:name w:val="heading 8"/>
    <w:basedOn w:val="Normal"/>
    <w:next w:val="Normal"/>
    <w:link w:val="Heading8Char"/>
    <w:uiPriority w:val="9"/>
    <w:unhideWhenUsed/>
    <w:rsid w:val="00DB712F"/>
    <w:pPr>
      <w:keepNext/>
      <w:keepLines/>
      <w:spacing w:before="200"/>
      <w:outlineLvl w:val="7"/>
    </w:pPr>
    <w:rPr>
      <w:color w:val="404040"/>
      <w:szCs w:val="20"/>
    </w:rPr>
  </w:style>
  <w:style w:type="paragraph" w:styleId="Heading9">
    <w:name w:val="heading 9"/>
    <w:basedOn w:val="Normal"/>
    <w:next w:val="Normal"/>
    <w:link w:val="Heading9Char"/>
    <w:uiPriority w:val="9"/>
    <w:unhideWhenUsed/>
    <w:rsid w:val="00DB712F"/>
    <w:pPr>
      <w:keepNext/>
      <w:keepLines/>
      <w:spacing w:before="200"/>
      <w:outlineLvl w:val="8"/>
    </w:pPr>
    <w:rPr>
      <w:i/>
      <w:iCs/>
      <w:color w:val="40404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FootnoteText">
    <w:name w:val="footnote text"/>
    <w:aliases w:val="5_G,Footnote Quote,Footnote Quote1,Footnote Quote2,Footnote Quote3,Footnote Quote4,Footnote Quote5,Footnote Quote6,Footnote Quote7,Footnote Quote8,Footnote Quote9,Footnote Quote10,Footnote Quote11,Footnote Quote12,Footnote Quote13,Footnote"/>
    <w:basedOn w:val="Normal"/>
    <w:link w:val="FootnoteTextChar"/>
    <w:unhideWhenUsed/>
    <w:qFormat/>
    <w:rsid w:val="00DB712F"/>
    <w:pPr>
      <w:tabs>
        <w:tab w:val="right" w:pos="1021"/>
      </w:tabs>
      <w:suppressAutoHyphens/>
      <w:bidi w:val="0"/>
      <w:spacing w:line="220" w:lineRule="exact"/>
      <w:ind w:left="1134" w:right="1134" w:hanging="1134"/>
      <w:jc w:val="both"/>
    </w:pPr>
    <w:rPr>
      <w:sz w:val="18"/>
      <w:szCs w:val="20"/>
    </w:rPr>
  </w:style>
  <w:style w:type="character" w:customStyle="1" w:styleId="FootnoteTextChar">
    <w:name w:val="Footnote Text Char"/>
    <w:aliases w:val="5_G Char,Footnote Quote Char,Footnote Quote1 Char,Footnote Quote2 Char,Footnote Quote3 Char,Footnote Quote4 Char,Footnote Quote5 Char,Footnote Quote6 Char,Footnote Quote7 Char,Footnote Quote8 Char,Footnote Quote9 Char,Footnote Char"/>
    <w:link w:val="FootnoteText"/>
    <w:qFormat/>
    <w:rsid w:val="00DB712F"/>
    <w:rPr>
      <w:rFonts w:ascii="Times New Roman" w:eastAsia="PMingLiU" w:hAnsi="Times New Roman" w:cs="Simplified Arabic"/>
      <w:sz w:val="18"/>
      <w:lang w:eastAsia="en-US"/>
    </w:rPr>
  </w:style>
  <w:style w:type="character" w:styleId="FootnoteReference">
    <w:name w:val="footnote reference"/>
    <w:aliases w:val="4_GA,4_G,ftref,footnote ref,16 Point,Superscript 6 Point,Fußnotenzeichen DISS,fr,BVI fnr,(NECG) Footnote Reference,Char Char Char Char Car Char,ب,Footnote Refernece,Footnote symbol,Fußnotenzeichen_Raxen,Texto de nota al pie"/>
    <w:link w:val="BVIfnrChar"/>
    <w:uiPriority w:val="99"/>
    <w:qFormat/>
    <w:rsid w:val="00DB712F"/>
    <w:rPr>
      <w:szCs w:val="18"/>
      <w:vertAlign w:val="superscript"/>
    </w:rPr>
  </w:style>
  <w:style w:type="paragraph" w:customStyle="1" w:styleId="HMGA">
    <w:name w:val="_ H __M_GA"/>
    <w:basedOn w:val="Normal"/>
    <w:next w:val="SingleTxtGA"/>
    <w:qFormat/>
    <w:rsid w:val="00DB712F"/>
    <w:pPr>
      <w:keepNext/>
      <w:keepLines/>
      <w:tabs>
        <w:tab w:val="right" w:pos="1021"/>
      </w:tabs>
      <w:suppressAutoHyphens/>
      <w:spacing w:before="360" w:after="240" w:line="480" w:lineRule="exact"/>
      <w:ind w:left="1247" w:right="1247" w:hanging="1247"/>
      <w:outlineLvl w:val="0"/>
    </w:pPr>
    <w:rPr>
      <w:b/>
      <w:bCs/>
      <w:sz w:val="36"/>
      <w:szCs w:val="36"/>
      <w:lang w:val="en-GB"/>
    </w:rPr>
  </w:style>
  <w:style w:type="paragraph" w:customStyle="1" w:styleId="HChGA">
    <w:name w:val="_ H _Ch_GA"/>
    <w:basedOn w:val="Normal"/>
    <w:next w:val="SingleTxtGA"/>
    <w:qFormat/>
    <w:rsid w:val="00DB712F"/>
    <w:pPr>
      <w:keepNext/>
      <w:keepLines/>
      <w:tabs>
        <w:tab w:val="right" w:pos="1021"/>
      </w:tabs>
      <w:suppressAutoHyphens/>
      <w:spacing w:before="360" w:after="240" w:line="440" w:lineRule="exact"/>
      <w:ind w:left="1247" w:right="1247" w:hanging="1247"/>
      <w:outlineLvl w:val="1"/>
    </w:pPr>
    <w:rPr>
      <w:b/>
      <w:bCs/>
      <w:sz w:val="30"/>
      <w:szCs w:val="30"/>
      <w:lang w:val="en-GB"/>
    </w:rPr>
  </w:style>
  <w:style w:type="paragraph" w:customStyle="1" w:styleId="H1GA">
    <w:name w:val="_ H_1_GA"/>
    <w:basedOn w:val="Normal"/>
    <w:next w:val="SingleTxtGA"/>
    <w:qFormat/>
    <w:rsid w:val="00DB712F"/>
    <w:pPr>
      <w:keepNext/>
      <w:keepLines/>
      <w:tabs>
        <w:tab w:val="right" w:pos="1021"/>
      </w:tabs>
      <w:suppressAutoHyphens/>
      <w:spacing w:before="240" w:after="240" w:line="400" w:lineRule="exact"/>
      <w:ind w:left="1247" w:right="1247" w:hanging="1247"/>
      <w:outlineLvl w:val="2"/>
    </w:pPr>
    <w:rPr>
      <w:b/>
      <w:bCs/>
      <w:sz w:val="26"/>
      <w:szCs w:val="26"/>
      <w:lang w:val="en-GB"/>
    </w:rPr>
  </w:style>
  <w:style w:type="paragraph" w:customStyle="1" w:styleId="H23GA">
    <w:name w:val="_ H_2/3_GA"/>
    <w:basedOn w:val="Normal"/>
    <w:next w:val="SingleTxtGA"/>
    <w:qFormat/>
    <w:rsid w:val="00DB712F"/>
    <w:pPr>
      <w:keepNext/>
      <w:keepLines/>
      <w:tabs>
        <w:tab w:val="right" w:pos="1021"/>
      </w:tabs>
      <w:suppressAutoHyphens/>
      <w:spacing w:before="240" w:after="120" w:line="380" w:lineRule="exact"/>
      <w:ind w:left="1247" w:right="1247" w:hanging="1247"/>
      <w:outlineLvl w:val="3"/>
    </w:pPr>
    <w:rPr>
      <w:b/>
      <w:bCs/>
      <w:sz w:val="22"/>
      <w:lang w:val="en-GB" w:eastAsia="ar-SA"/>
    </w:rPr>
  </w:style>
  <w:style w:type="paragraph" w:customStyle="1" w:styleId="H4GA">
    <w:name w:val="_ H_4_GA"/>
    <w:basedOn w:val="Normal"/>
    <w:next w:val="SingleTxtGA"/>
    <w:qFormat/>
    <w:rsid w:val="00DB712F"/>
    <w:pPr>
      <w:keepNext/>
      <w:keepLines/>
      <w:tabs>
        <w:tab w:val="right" w:pos="1021"/>
      </w:tabs>
      <w:suppressAutoHyphens/>
      <w:spacing w:before="240" w:after="120" w:line="380" w:lineRule="exact"/>
      <w:ind w:left="1247" w:right="1247" w:hanging="1247"/>
      <w:outlineLvl w:val="4"/>
    </w:pPr>
    <w:rPr>
      <w:i/>
      <w:iCs/>
      <w:sz w:val="22"/>
      <w:lang w:val="en-GB"/>
    </w:rPr>
  </w:style>
  <w:style w:type="paragraph" w:customStyle="1" w:styleId="H56GA">
    <w:name w:val="_ H_5/6_GA"/>
    <w:basedOn w:val="Normal"/>
    <w:next w:val="SingleTxtGA"/>
    <w:qFormat/>
    <w:rsid w:val="00DB712F"/>
    <w:pPr>
      <w:keepNext/>
      <w:keepLines/>
      <w:tabs>
        <w:tab w:val="right" w:pos="1021"/>
      </w:tabs>
      <w:suppressAutoHyphens/>
      <w:spacing w:before="240" w:after="120" w:line="380" w:lineRule="exact"/>
      <w:ind w:left="1247" w:right="1247" w:hanging="1247"/>
      <w:outlineLvl w:val="5"/>
    </w:pPr>
    <w:rPr>
      <w:sz w:val="22"/>
      <w:lang w:val="en-GB"/>
    </w:rPr>
  </w:style>
  <w:style w:type="paragraph" w:customStyle="1" w:styleId="SingleTxtGA">
    <w:name w:val="_ Single Txt_GA"/>
    <w:basedOn w:val="Normal"/>
    <w:link w:val="SingleTxtGAChar"/>
    <w:qFormat/>
    <w:rsid w:val="00DB712F"/>
    <w:pPr>
      <w:tabs>
        <w:tab w:val="left" w:pos="1928"/>
        <w:tab w:val="left" w:pos="2608"/>
        <w:tab w:val="left" w:pos="3289"/>
        <w:tab w:val="left" w:pos="3969"/>
        <w:tab w:val="left" w:pos="4649"/>
        <w:tab w:val="left" w:pos="5330"/>
      </w:tabs>
      <w:suppressAutoHyphens/>
      <w:spacing w:after="120" w:line="360" w:lineRule="exact"/>
      <w:ind w:left="1247" w:right="1247"/>
    </w:pPr>
    <w:rPr>
      <w:sz w:val="22"/>
      <w:lang w:val="en-GB"/>
    </w:rPr>
  </w:style>
  <w:style w:type="paragraph" w:customStyle="1" w:styleId="SLGA">
    <w:name w:val="__S_L_GA"/>
    <w:basedOn w:val="Normal"/>
    <w:next w:val="SingleTxtGA"/>
    <w:qFormat/>
    <w:rsid w:val="00DB712F"/>
    <w:pPr>
      <w:keepNext/>
      <w:keepLines/>
      <w:suppressAutoHyphens/>
      <w:spacing w:before="240" w:after="240" w:line="800" w:lineRule="exact"/>
      <w:ind w:left="1247" w:right="1247"/>
    </w:pPr>
    <w:rPr>
      <w:b/>
      <w:bCs/>
      <w:sz w:val="56"/>
      <w:szCs w:val="56"/>
      <w:lang w:val="en-GB"/>
    </w:rPr>
  </w:style>
  <w:style w:type="paragraph" w:customStyle="1" w:styleId="SMGA">
    <w:name w:val="__S_M_GA"/>
    <w:basedOn w:val="Normal"/>
    <w:next w:val="SingleTxtGA"/>
    <w:qFormat/>
    <w:rsid w:val="00DB712F"/>
    <w:pPr>
      <w:keepNext/>
      <w:keepLines/>
      <w:suppressAutoHyphens/>
      <w:spacing w:before="240" w:after="240" w:line="560" w:lineRule="exact"/>
      <w:ind w:left="1247" w:right="1247"/>
    </w:pPr>
    <w:rPr>
      <w:b/>
      <w:bCs/>
      <w:sz w:val="40"/>
      <w:szCs w:val="40"/>
      <w:lang w:val="en-GB"/>
    </w:rPr>
  </w:style>
  <w:style w:type="paragraph" w:customStyle="1" w:styleId="SSGA">
    <w:name w:val="__S_S_GA"/>
    <w:basedOn w:val="Normal"/>
    <w:next w:val="SingleTxtGA"/>
    <w:qFormat/>
    <w:rsid w:val="00DB712F"/>
    <w:pPr>
      <w:keepNext/>
      <w:keepLines/>
      <w:suppressAutoHyphens/>
      <w:spacing w:before="240" w:after="240" w:line="440" w:lineRule="exact"/>
      <w:ind w:left="1134" w:right="1134"/>
    </w:pPr>
    <w:rPr>
      <w:b/>
      <w:bCs/>
      <w:sz w:val="34"/>
      <w:szCs w:val="34"/>
      <w:lang w:val="en-GB"/>
    </w:rPr>
  </w:style>
  <w:style w:type="paragraph" w:customStyle="1" w:styleId="XLargeGA">
    <w:name w:val="__XLarge_GA"/>
    <w:basedOn w:val="Normal"/>
    <w:next w:val="SingleTxtGA"/>
    <w:qFormat/>
    <w:rsid w:val="00DB712F"/>
    <w:pPr>
      <w:keepNext/>
      <w:keepLines/>
      <w:tabs>
        <w:tab w:val="right" w:leader="dot" w:pos="360"/>
      </w:tabs>
      <w:suppressAutoHyphens/>
      <w:spacing w:before="240" w:after="240" w:line="580" w:lineRule="exact"/>
      <w:ind w:left="1247" w:right="1247"/>
    </w:pPr>
    <w:rPr>
      <w:b/>
      <w:bCs/>
      <w:sz w:val="40"/>
      <w:szCs w:val="40"/>
      <w:lang w:val="en-GB"/>
    </w:rPr>
  </w:style>
  <w:style w:type="paragraph" w:customStyle="1" w:styleId="Bullet1GA">
    <w:name w:val="_Bullet 1_GA"/>
    <w:basedOn w:val="NormalA"/>
    <w:qFormat/>
    <w:rsid w:val="00DB712F"/>
    <w:pPr>
      <w:numPr>
        <w:numId w:val="3"/>
      </w:numPr>
      <w:suppressAutoHyphens/>
      <w:spacing w:after="120" w:line="360" w:lineRule="exact"/>
      <w:ind w:right="1247"/>
    </w:pPr>
    <w:rPr>
      <w:sz w:val="22"/>
      <w:lang w:eastAsia="zh-TW"/>
    </w:rPr>
  </w:style>
  <w:style w:type="paragraph" w:customStyle="1" w:styleId="Bullet2GA">
    <w:name w:val="_Bullet 2_GA"/>
    <w:basedOn w:val="Normal"/>
    <w:qFormat/>
    <w:rsid w:val="00DB712F"/>
    <w:pPr>
      <w:numPr>
        <w:numId w:val="4"/>
      </w:numPr>
      <w:tabs>
        <w:tab w:val="clear" w:pos="3215"/>
        <w:tab w:val="left" w:pos="3062"/>
      </w:tabs>
      <w:suppressAutoHyphens/>
      <w:spacing w:after="120" w:line="360" w:lineRule="exact"/>
      <w:ind w:left="3062" w:right="1247" w:hanging="590"/>
    </w:pPr>
    <w:rPr>
      <w:sz w:val="22"/>
      <w:lang w:eastAsia="zh-TW"/>
    </w:rPr>
  </w:style>
  <w:style w:type="paragraph" w:customStyle="1" w:styleId="ParaNoGA">
    <w:name w:val="_ParaNo._GA"/>
    <w:basedOn w:val="SingleTxtGA"/>
    <w:qFormat/>
    <w:rsid w:val="00DB712F"/>
    <w:pPr>
      <w:numPr>
        <w:numId w:val="5"/>
      </w:numPr>
      <w:bidi w:val="0"/>
    </w:pPr>
    <w:rPr>
      <w:lang w:val="en-US"/>
    </w:rPr>
  </w:style>
  <w:style w:type="paragraph" w:customStyle="1" w:styleId="Roman1GA">
    <w:name w:val="_Roman 1_GA"/>
    <w:basedOn w:val="Bullet1GA"/>
    <w:qFormat/>
    <w:rsid w:val="00DB712F"/>
    <w:pPr>
      <w:numPr>
        <w:numId w:val="6"/>
      </w:numPr>
      <w:tabs>
        <w:tab w:val="clear" w:pos="2310"/>
        <w:tab w:val="left" w:pos="2486"/>
      </w:tabs>
      <w:ind w:left="2486" w:hanging="378"/>
    </w:pPr>
  </w:style>
  <w:style w:type="paragraph" w:customStyle="1" w:styleId="Roman2GA">
    <w:name w:val="_Roman 2_GA"/>
    <w:basedOn w:val="Bullet2GA"/>
    <w:qFormat/>
    <w:rsid w:val="00DB712F"/>
    <w:pPr>
      <w:numPr>
        <w:numId w:val="7"/>
      </w:numPr>
      <w:tabs>
        <w:tab w:val="clear" w:pos="2877"/>
        <w:tab w:val="clear" w:pos="3062"/>
        <w:tab w:val="left" w:pos="3060"/>
      </w:tabs>
      <w:ind w:left="3060" w:hanging="392"/>
    </w:pPr>
  </w:style>
  <w:style w:type="paragraph" w:styleId="EndnoteText">
    <w:name w:val="endnote text"/>
    <w:aliases w:val="2_ GA,2_G"/>
    <w:basedOn w:val="Normal"/>
    <w:link w:val="EndnoteTextChar"/>
    <w:uiPriority w:val="99"/>
    <w:qFormat/>
    <w:rsid w:val="00DB712F"/>
    <w:pPr>
      <w:widowControl w:val="0"/>
      <w:tabs>
        <w:tab w:val="right" w:pos="1020"/>
      </w:tabs>
      <w:suppressAutoHyphens/>
      <w:bidi w:val="0"/>
      <w:spacing w:line="220" w:lineRule="exact"/>
      <w:ind w:left="1134" w:right="1134" w:hanging="1134"/>
      <w:jc w:val="left"/>
    </w:pPr>
    <w:rPr>
      <w:sz w:val="18"/>
      <w:szCs w:val="20"/>
      <w:lang w:val="en-GB"/>
    </w:rPr>
  </w:style>
  <w:style w:type="character" w:customStyle="1" w:styleId="EndnoteTextChar">
    <w:name w:val="Endnote Text Char"/>
    <w:aliases w:val="2_ GA Char,2_G Char"/>
    <w:link w:val="EndnoteText"/>
    <w:uiPriority w:val="99"/>
    <w:rsid w:val="00DB712F"/>
    <w:rPr>
      <w:rFonts w:ascii="Times New Roman" w:eastAsia="PMingLiU" w:hAnsi="Times New Roman" w:cs="Simplified Arabic"/>
      <w:sz w:val="18"/>
      <w:lang w:val="en-GB" w:eastAsia="en-US"/>
    </w:rPr>
  </w:style>
  <w:style w:type="character" w:customStyle="1" w:styleId="EndtnoteReference">
    <w:name w:val="Endtnote Reference"/>
    <w:aliases w:val="1_GA"/>
    <w:qFormat/>
    <w:rsid w:val="00DB712F"/>
    <w:rPr>
      <w:rFonts w:ascii="Times New Roman Bold" w:hAnsi="Times New Roman Bold" w:cs="Traditional Arabic"/>
      <w:b/>
      <w:i w:val="0"/>
      <w:kern w:val="0"/>
      <w:sz w:val="18"/>
      <w:szCs w:val="18"/>
      <w:vertAlign w:val="superscript"/>
    </w:rPr>
  </w:style>
  <w:style w:type="paragraph" w:styleId="Footer">
    <w:name w:val="footer"/>
    <w:aliases w:val="3_GA,3_G"/>
    <w:basedOn w:val="Normal"/>
    <w:link w:val="FooterChar"/>
    <w:qFormat/>
    <w:rsid w:val="00DB712F"/>
    <w:pPr>
      <w:suppressAutoHyphens/>
      <w:bidi w:val="0"/>
      <w:spacing w:line="240" w:lineRule="auto"/>
    </w:pPr>
    <w:rPr>
      <w:sz w:val="16"/>
      <w:lang w:val="en-GB"/>
    </w:rPr>
  </w:style>
  <w:style w:type="character" w:customStyle="1" w:styleId="FooterChar">
    <w:name w:val="Footer Char"/>
    <w:aliases w:val="3_GA Char,3_G Char"/>
    <w:link w:val="Footer"/>
    <w:rsid w:val="00DB712F"/>
    <w:rPr>
      <w:rFonts w:ascii="Times New Roman" w:eastAsia="PMingLiU" w:hAnsi="Times New Roman" w:cs="Simplified Arabic"/>
      <w:sz w:val="16"/>
      <w:szCs w:val="22"/>
      <w:lang w:val="en-GB" w:eastAsia="en-US"/>
    </w:rPr>
  </w:style>
  <w:style w:type="paragraph" w:customStyle="1" w:styleId="FootnoteText1">
    <w:name w:val="Footnote Text1"/>
    <w:aliases w:val="5_GA"/>
    <w:basedOn w:val="Normal"/>
    <w:qFormat/>
    <w:rsid w:val="00DB712F"/>
    <w:pPr>
      <w:spacing w:after="60" w:line="280" w:lineRule="exact"/>
      <w:ind w:left="1247" w:right="1247" w:hanging="567"/>
    </w:pPr>
    <w:rPr>
      <w:sz w:val="18"/>
      <w:szCs w:val="18"/>
    </w:rPr>
  </w:style>
  <w:style w:type="paragraph" w:styleId="Header">
    <w:name w:val="header"/>
    <w:aliases w:val="6_GA,6_G"/>
    <w:basedOn w:val="Normal"/>
    <w:link w:val="HeaderChar"/>
    <w:uiPriority w:val="99"/>
    <w:qFormat/>
    <w:rsid w:val="00DB712F"/>
    <w:pPr>
      <w:pBdr>
        <w:bottom w:val="single" w:sz="4" w:space="4" w:color="auto"/>
      </w:pBdr>
      <w:suppressAutoHyphens/>
    </w:pPr>
    <w:rPr>
      <w:b/>
      <w:bCs/>
      <w:sz w:val="18"/>
      <w:szCs w:val="18"/>
    </w:rPr>
  </w:style>
  <w:style w:type="character" w:customStyle="1" w:styleId="HeaderChar">
    <w:name w:val="Header Char"/>
    <w:aliases w:val="6_GA Char,6_G Char"/>
    <w:link w:val="Header"/>
    <w:uiPriority w:val="99"/>
    <w:rsid w:val="00DB712F"/>
    <w:rPr>
      <w:rFonts w:ascii="Times New Roman" w:eastAsia="PMingLiU" w:hAnsi="Times New Roman" w:cs="Simplified Arabic"/>
      <w:b/>
      <w:bCs/>
      <w:sz w:val="18"/>
      <w:szCs w:val="18"/>
      <w:lang w:eastAsia="en-US"/>
    </w:rPr>
  </w:style>
  <w:style w:type="character" w:customStyle="1" w:styleId="Heading1Char">
    <w:name w:val="Heading 1 Char"/>
    <w:aliases w:val="Table_GA Char,Table_G Char"/>
    <w:link w:val="Heading1"/>
    <w:rsid w:val="00DB712F"/>
    <w:rPr>
      <w:rFonts w:ascii="Times New Roman" w:eastAsia="PMingLiU" w:hAnsi="Times New Roman" w:cs="Simplified Arabic"/>
      <w:sz w:val="22"/>
      <w:szCs w:val="22"/>
      <w:lang w:val="en-GB" w:eastAsia="en-US"/>
    </w:rPr>
  </w:style>
  <w:style w:type="character" w:styleId="PageNumber">
    <w:name w:val="page number"/>
    <w:aliases w:val="7_GA,7_G"/>
    <w:qFormat/>
    <w:rsid w:val="00DB712F"/>
    <w:rPr>
      <w:rFonts w:ascii="Times New Roman Bold" w:hAnsi="Times New Roman Bold"/>
      <w:b/>
      <w:i w:val="0"/>
      <w:sz w:val="18"/>
      <w:szCs w:val="18"/>
    </w:rPr>
  </w:style>
  <w:style w:type="paragraph" w:customStyle="1" w:styleId="XXLargeGA">
    <w:name w:val="XXLarge_GA"/>
    <w:basedOn w:val="Normal"/>
    <w:next w:val="SingleTxtGA"/>
    <w:qFormat/>
    <w:rsid w:val="00DB712F"/>
    <w:pPr>
      <w:suppressAutoHyphens/>
      <w:spacing w:line="820" w:lineRule="exact"/>
    </w:pPr>
    <w:rPr>
      <w:spacing w:val="-8"/>
      <w:w w:val="96"/>
      <w:sz w:val="57"/>
      <w:szCs w:val="86"/>
      <w:lang w:val="en-GB"/>
    </w:rPr>
  </w:style>
  <w:style w:type="character" w:customStyle="1" w:styleId="Heading2Char">
    <w:name w:val="Heading 2 Char"/>
    <w:link w:val="Heading2"/>
    <w:uiPriority w:val="9"/>
    <w:rsid w:val="00DB712F"/>
    <w:rPr>
      <w:rFonts w:ascii="Times New Roman" w:eastAsia="PMingLiU" w:hAnsi="Times New Roman" w:cs="Simplified Arabic"/>
      <w:b/>
      <w:bCs/>
      <w:color w:val="4F81BD"/>
      <w:sz w:val="26"/>
      <w:szCs w:val="26"/>
      <w:lang w:eastAsia="en-US"/>
    </w:rPr>
  </w:style>
  <w:style w:type="character" w:styleId="BookTitle">
    <w:name w:val="Book Title"/>
    <w:uiPriority w:val="33"/>
    <w:rsid w:val="00DB712F"/>
    <w:rPr>
      <w:b/>
      <w:bCs/>
      <w:smallCaps/>
      <w:spacing w:val="5"/>
    </w:rPr>
  </w:style>
  <w:style w:type="character" w:customStyle="1" w:styleId="Heading3Char">
    <w:name w:val="Heading 3 Char"/>
    <w:link w:val="Heading3"/>
    <w:uiPriority w:val="9"/>
    <w:rsid w:val="00DB712F"/>
    <w:rPr>
      <w:rFonts w:ascii="Times New Roman" w:eastAsia="PMingLiU" w:hAnsi="Times New Roman" w:cs="Simplified Arabic"/>
      <w:b/>
      <w:bCs/>
      <w:color w:val="4F81BD"/>
      <w:szCs w:val="22"/>
      <w:lang w:eastAsia="en-US"/>
    </w:rPr>
  </w:style>
  <w:style w:type="character" w:customStyle="1" w:styleId="Heading4Char">
    <w:name w:val="Heading 4 Char"/>
    <w:link w:val="Heading4"/>
    <w:uiPriority w:val="9"/>
    <w:rsid w:val="00DB712F"/>
    <w:rPr>
      <w:rFonts w:ascii="Times New Roman" w:eastAsia="PMingLiU" w:hAnsi="Times New Roman" w:cs="Simplified Arabic"/>
      <w:b/>
      <w:bCs/>
      <w:i/>
      <w:iCs/>
      <w:color w:val="4F81BD"/>
      <w:szCs w:val="22"/>
      <w:lang w:eastAsia="en-US"/>
    </w:rPr>
  </w:style>
  <w:style w:type="character" w:customStyle="1" w:styleId="Heading5Char">
    <w:name w:val="Heading 5 Char"/>
    <w:link w:val="Heading5"/>
    <w:uiPriority w:val="9"/>
    <w:rsid w:val="00DB712F"/>
    <w:rPr>
      <w:rFonts w:ascii="Times New Roman" w:eastAsia="PMingLiU" w:hAnsi="Times New Roman" w:cs="Simplified Arabic"/>
      <w:color w:val="243F60"/>
      <w:szCs w:val="22"/>
      <w:lang w:eastAsia="en-US"/>
    </w:rPr>
  </w:style>
  <w:style w:type="character" w:customStyle="1" w:styleId="Heading6Char">
    <w:name w:val="Heading 6 Char"/>
    <w:link w:val="Heading6"/>
    <w:uiPriority w:val="9"/>
    <w:rsid w:val="00DB712F"/>
    <w:rPr>
      <w:rFonts w:ascii="Times New Roman" w:eastAsia="PMingLiU" w:hAnsi="Times New Roman" w:cs="Simplified Arabic"/>
      <w:i/>
      <w:iCs/>
      <w:color w:val="243F60"/>
      <w:szCs w:val="22"/>
      <w:lang w:eastAsia="en-US"/>
    </w:rPr>
  </w:style>
  <w:style w:type="character" w:customStyle="1" w:styleId="Heading7Char">
    <w:name w:val="Heading 7 Char"/>
    <w:link w:val="Heading7"/>
    <w:uiPriority w:val="9"/>
    <w:rsid w:val="00DB712F"/>
    <w:rPr>
      <w:rFonts w:ascii="Times New Roman" w:eastAsia="PMingLiU" w:hAnsi="Times New Roman" w:cs="Simplified Arabic"/>
      <w:i/>
      <w:iCs/>
      <w:color w:val="404040"/>
      <w:szCs w:val="22"/>
      <w:lang w:eastAsia="en-US"/>
    </w:rPr>
  </w:style>
  <w:style w:type="character" w:customStyle="1" w:styleId="Heading8Char">
    <w:name w:val="Heading 8 Char"/>
    <w:link w:val="Heading8"/>
    <w:uiPriority w:val="9"/>
    <w:rsid w:val="00DB712F"/>
    <w:rPr>
      <w:rFonts w:ascii="Times New Roman" w:eastAsia="PMingLiU" w:hAnsi="Times New Roman" w:cs="Simplified Arabic"/>
      <w:color w:val="404040"/>
      <w:lang w:eastAsia="en-US"/>
    </w:rPr>
  </w:style>
  <w:style w:type="character" w:customStyle="1" w:styleId="Heading9Char">
    <w:name w:val="Heading 9 Char"/>
    <w:link w:val="Heading9"/>
    <w:uiPriority w:val="9"/>
    <w:rsid w:val="00DB712F"/>
    <w:rPr>
      <w:rFonts w:ascii="Times New Roman" w:eastAsia="PMingLiU" w:hAnsi="Times New Roman" w:cs="Simplified Arabic"/>
      <w:i/>
      <w:iCs/>
      <w:color w:val="404040"/>
      <w:lang w:eastAsia="en-US"/>
    </w:rPr>
  </w:style>
  <w:style w:type="paragraph" w:styleId="Title">
    <w:name w:val="Title"/>
    <w:basedOn w:val="Normal"/>
    <w:next w:val="Normal"/>
    <w:link w:val="TitleChar"/>
    <w:uiPriority w:val="10"/>
    <w:rsid w:val="00DB712F"/>
    <w:pPr>
      <w:pBdr>
        <w:bottom w:val="single" w:sz="8" w:space="4" w:color="4F81BD"/>
      </w:pBdr>
      <w:spacing w:after="300" w:line="240" w:lineRule="auto"/>
      <w:contextualSpacing/>
    </w:pPr>
    <w:rPr>
      <w:color w:val="17365D"/>
      <w:spacing w:val="5"/>
      <w:kern w:val="28"/>
      <w:sz w:val="52"/>
      <w:szCs w:val="52"/>
    </w:rPr>
  </w:style>
  <w:style w:type="character" w:customStyle="1" w:styleId="TitleChar">
    <w:name w:val="Title Char"/>
    <w:link w:val="Title"/>
    <w:uiPriority w:val="10"/>
    <w:rsid w:val="00DB712F"/>
    <w:rPr>
      <w:rFonts w:ascii="Times New Roman" w:eastAsia="PMingLiU" w:hAnsi="Times New Roman" w:cs="Simplified Arabic"/>
      <w:color w:val="17365D"/>
      <w:spacing w:val="5"/>
      <w:kern w:val="28"/>
      <w:sz w:val="52"/>
      <w:szCs w:val="52"/>
      <w:lang w:eastAsia="en-US"/>
    </w:rPr>
  </w:style>
  <w:style w:type="paragraph" w:styleId="Subtitle">
    <w:name w:val="Subtitle"/>
    <w:basedOn w:val="Normal"/>
    <w:next w:val="Normal"/>
    <w:link w:val="SubtitleChar"/>
    <w:uiPriority w:val="11"/>
    <w:rsid w:val="00DB712F"/>
    <w:pPr>
      <w:numPr>
        <w:ilvl w:val="1"/>
      </w:numPr>
    </w:pPr>
    <w:rPr>
      <w:i/>
      <w:iCs/>
      <w:color w:val="4F81BD"/>
      <w:spacing w:val="15"/>
      <w:sz w:val="24"/>
      <w:szCs w:val="24"/>
    </w:rPr>
  </w:style>
  <w:style w:type="character" w:customStyle="1" w:styleId="SubtitleChar">
    <w:name w:val="Subtitle Char"/>
    <w:link w:val="Subtitle"/>
    <w:uiPriority w:val="11"/>
    <w:rsid w:val="00DB712F"/>
    <w:rPr>
      <w:rFonts w:ascii="Times New Roman" w:eastAsia="PMingLiU" w:hAnsi="Times New Roman" w:cs="Simplified Arabic"/>
      <w:i/>
      <w:iCs/>
      <w:color w:val="4F81BD"/>
      <w:spacing w:val="15"/>
      <w:sz w:val="24"/>
      <w:szCs w:val="24"/>
      <w:lang w:eastAsia="en-US"/>
    </w:rPr>
  </w:style>
  <w:style w:type="character" w:styleId="SubtleEmphasis">
    <w:name w:val="Subtle Emphasis"/>
    <w:uiPriority w:val="19"/>
    <w:rsid w:val="00DB712F"/>
    <w:rPr>
      <w:i/>
      <w:iCs/>
      <w:color w:val="808080"/>
    </w:rPr>
  </w:style>
  <w:style w:type="table" w:styleId="ColorfulGrid-Accent6">
    <w:name w:val="Colorful Grid Accent 6"/>
    <w:basedOn w:val="TableNormal"/>
    <w:uiPriority w:val="73"/>
    <w:rsid w:val="00DB712F"/>
    <w:rPr>
      <w:rFonts w:eastAsia="PMingLiU"/>
      <w:color w:val="000000"/>
      <w:lang w:eastAsia="zh-CN"/>
    </w:rPr>
    <w:tblPr>
      <w:tblStyleRowBandSize w:val="1"/>
      <w:tblStyleColBandSize w:val="1"/>
      <w:tblBorders>
        <w:insideH w:val="single" w:sz="4" w:space="0" w:color="FFFFFF"/>
      </w:tblBorders>
    </w:tblPr>
    <w:tcPr>
      <w:shd w:val="clear" w:color="auto" w:fill="FDE9D9"/>
    </w:tcPr>
    <w:tblStylePr w:type="firstRow">
      <w:rPr>
        <w:b/>
        <w:bCs/>
      </w:rPr>
      <w:tblPr/>
      <w:tcPr>
        <w:shd w:val="clear" w:color="auto" w:fill="FBD4B4"/>
      </w:tcPr>
    </w:tblStylePr>
    <w:tblStylePr w:type="lastRow">
      <w:rPr>
        <w:b/>
        <w:bCs/>
        <w:color w:val="000000"/>
      </w:rPr>
      <w:tblPr/>
      <w:tcPr>
        <w:shd w:val="clear" w:color="auto" w:fill="FBD4B4"/>
      </w:tcPr>
    </w:tblStylePr>
    <w:tblStylePr w:type="firstCol">
      <w:rPr>
        <w:color w:val="FFFFFF"/>
      </w:rPr>
      <w:tblPr/>
      <w:tcPr>
        <w:shd w:val="clear" w:color="auto" w:fill="E36C0A"/>
      </w:tcPr>
    </w:tblStylePr>
    <w:tblStylePr w:type="lastCol">
      <w:rPr>
        <w:color w:val="FFFFFF"/>
      </w:rPr>
      <w:tblPr/>
      <w:tcPr>
        <w:shd w:val="clear" w:color="auto" w:fill="E36C0A"/>
      </w:tcPr>
    </w:tblStylePr>
    <w:tblStylePr w:type="band1Vert">
      <w:tblPr/>
      <w:tcPr>
        <w:shd w:val="clear" w:color="auto" w:fill="FBCAA2"/>
      </w:tcPr>
    </w:tblStylePr>
    <w:tblStylePr w:type="band1Horz">
      <w:tblPr/>
      <w:tcPr>
        <w:shd w:val="clear" w:color="auto" w:fill="FBCAA2"/>
      </w:tcPr>
    </w:tblStylePr>
  </w:style>
  <w:style w:type="character" w:styleId="Emphasis">
    <w:name w:val="Emphasis"/>
    <w:uiPriority w:val="20"/>
    <w:rsid w:val="00DB712F"/>
    <w:rPr>
      <w:i/>
      <w:iCs/>
    </w:rPr>
  </w:style>
  <w:style w:type="character" w:styleId="IntenseEmphasis">
    <w:name w:val="Intense Emphasis"/>
    <w:uiPriority w:val="21"/>
    <w:rsid w:val="00DB712F"/>
    <w:rPr>
      <w:b/>
      <w:bCs/>
      <w:i/>
      <w:iCs/>
      <w:color w:val="4F81BD"/>
    </w:rPr>
  </w:style>
  <w:style w:type="character" w:styleId="Strong">
    <w:name w:val="Strong"/>
    <w:uiPriority w:val="22"/>
    <w:rsid w:val="00DB712F"/>
    <w:rPr>
      <w:b/>
      <w:bCs/>
    </w:rPr>
  </w:style>
  <w:style w:type="paragraph" w:styleId="Quote">
    <w:name w:val="Quote"/>
    <w:basedOn w:val="Normal"/>
    <w:next w:val="Normal"/>
    <w:link w:val="QuoteChar"/>
    <w:uiPriority w:val="29"/>
    <w:rsid w:val="00DB712F"/>
    <w:rPr>
      <w:i/>
      <w:iCs/>
      <w:color w:val="000000"/>
    </w:rPr>
  </w:style>
  <w:style w:type="character" w:customStyle="1" w:styleId="QuoteChar">
    <w:name w:val="Quote Char"/>
    <w:link w:val="Quote"/>
    <w:uiPriority w:val="29"/>
    <w:rsid w:val="00DB712F"/>
    <w:rPr>
      <w:rFonts w:ascii="Times New Roman" w:eastAsia="PMingLiU" w:hAnsi="Times New Roman" w:cs="Simplified Arabic"/>
      <w:i/>
      <w:iCs/>
      <w:color w:val="000000"/>
      <w:szCs w:val="22"/>
      <w:lang w:eastAsia="en-US"/>
    </w:rPr>
  </w:style>
  <w:style w:type="paragraph" w:styleId="IntenseQuote">
    <w:name w:val="Intense Quote"/>
    <w:basedOn w:val="Normal"/>
    <w:next w:val="Normal"/>
    <w:link w:val="IntenseQuoteChar"/>
    <w:uiPriority w:val="30"/>
    <w:rsid w:val="00DB712F"/>
    <w:pPr>
      <w:pBdr>
        <w:bottom w:val="single" w:sz="4" w:space="4" w:color="4F81BD"/>
      </w:pBdr>
      <w:spacing w:before="200" w:after="280"/>
      <w:ind w:left="936" w:right="936"/>
    </w:pPr>
    <w:rPr>
      <w:b/>
      <w:bCs/>
      <w:i/>
      <w:iCs/>
      <w:color w:val="4F81BD"/>
    </w:rPr>
  </w:style>
  <w:style w:type="character" w:customStyle="1" w:styleId="IntenseQuoteChar">
    <w:name w:val="Intense Quote Char"/>
    <w:link w:val="IntenseQuote"/>
    <w:uiPriority w:val="30"/>
    <w:rsid w:val="00DB712F"/>
    <w:rPr>
      <w:rFonts w:ascii="Times New Roman" w:eastAsia="PMingLiU" w:hAnsi="Times New Roman" w:cs="Simplified Arabic"/>
      <w:b/>
      <w:bCs/>
      <w:i/>
      <w:iCs/>
      <w:color w:val="4F81BD"/>
      <w:szCs w:val="22"/>
      <w:lang w:eastAsia="en-US"/>
    </w:rPr>
  </w:style>
  <w:style w:type="character" w:styleId="SubtleReference">
    <w:name w:val="Subtle Reference"/>
    <w:uiPriority w:val="31"/>
    <w:rsid w:val="00DB712F"/>
    <w:rPr>
      <w:smallCaps/>
      <w:color w:val="C0504D"/>
      <w:u w:val="single"/>
    </w:rPr>
  </w:style>
  <w:style w:type="character" w:styleId="IntenseReference">
    <w:name w:val="Intense Reference"/>
    <w:uiPriority w:val="32"/>
    <w:rsid w:val="00DB712F"/>
    <w:rPr>
      <w:b/>
      <w:bCs/>
      <w:smallCaps/>
      <w:color w:val="C0504D"/>
      <w:spacing w:val="5"/>
      <w:u w:val="single"/>
    </w:rPr>
  </w:style>
  <w:style w:type="paragraph" w:styleId="ListParagraph">
    <w:name w:val="List Paragraph"/>
    <w:basedOn w:val="Normal"/>
    <w:uiPriority w:val="34"/>
    <w:rsid w:val="00DB712F"/>
    <w:pPr>
      <w:ind w:left="720"/>
      <w:contextualSpacing/>
    </w:pPr>
  </w:style>
  <w:style w:type="table" w:styleId="MediumShading1-Accent4">
    <w:name w:val="Medium Shading 1 Accent 4"/>
    <w:basedOn w:val="TableNormal"/>
    <w:uiPriority w:val="63"/>
    <w:rsid w:val="00DB712F"/>
    <w:rPr>
      <w:rFonts w:eastAsia="PMingLiU"/>
      <w:lang w:eastAsia="zh-CN"/>
    </w:rPr>
    <w:tblPr>
      <w:tblStyleRowBandSize w:val="1"/>
      <w:tblStyleColBandSize w:val="1"/>
      <w:tblBorders>
        <w:top w:val="single" w:sz="8" w:space="0" w:color="9F8AB9"/>
        <w:left w:val="single" w:sz="8" w:space="0" w:color="9F8AB9"/>
        <w:bottom w:val="single" w:sz="8" w:space="0" w:color="9F8AB9"/>
        <w:right w:val="single" w:sz="8" w:space="0" w:color="9F8AB9"/>
        <w:insideH w:val="single" w:sz="8" w:space="0" w:color="9F8AB9"/>
      </w:tblBorders>
    </w:tblPr>
    <w:tblStylePr w:type="firstRow">
      <w:pPr>
        <w:spacing w:before="0" w:after="0" w:line="240" w:lineRule="auto"/>
      </w:pPr>
      <w:rPr>
        <w:b/>
        <w:bCs/>
        <w:color w:val="FFFFFF"/>
      </w:rPr>
      <w:tblPr/>
      <w:tcPr>
        <w:tcBorders>
          <w:top w:val="single" w:sz="8" w:space="0" w:color="9F8AB9"/>
          <w:left w:val="single" w:sz="8" w:space="0" w:color="9F8AB9"/>
          <w:bottom w:val="single" w:sz="8" w:space="0" w:color="9F8AB9"/>
          <w:right w:val="single" w:sz="8" w:space="0" w:color="9F8AB9"/>
          <w:insideH w:val="nil"/>
          <w:insideV w:val="nil"/>
        </w:tcBorders>
        <w:shd w:val="clear" w:color="auto" w:fill="8064A2"/>
      </w:tcPr>
    </w:tblStylePr>
    <w:tblStylePr w:type="lastRow">
      <w:pPr>
        <w:spacing w:before="0" w:after="0" w:line="240" w:lineRule="auto"/>
      </w:pPr>
      <w:rPr>
        <w:b/>
        <w:bCs/>
      </w:rPr>
      <w:tblPr/>
      <w:tcPr>
        <w:tcBorders>
          <w:top w:val="double" w:sz="6" w:space="0" w:color="9F8AB9"/>
          <w:left w:val="single" w:sz="8" w:space="0" w:color="9F8AB9"/>
          <w:bottom w:val="single" w:sz="8" w:space="0" w:color="9F8AB9"/>
          <w:right w:val="single" w:sz="8" w:space="0" w:color="9F8AB9"/>
          <w:insideH w:val="nil"/>
          <w:insideV w:val="nil"/>
        </w:tcBorders>
      </w:tcPr>
    </w:tblStylePr>
    <w:tblStylePr w:type="firstCol">
      <w:rPr>
        <w:b/>
        <w:bCs/>
      </w:rPr>
    </w:tblStylePr>
    <w:tblStylePr w:type="lastCol">
      <w:rPr>
        <w:b/>
        <w:bCs/>
      </w:rPr>
    </w:tblStylePr>
    <w:tblStylePr w:type="band1Vert">
      <w:tblPr/>
      <w:tcPr>
        <w:shd w:val="clear" w:color="auto" w:fill="DFD8E8"/>
      </w:tcPr>
    </w:tblStylePr>
    <w:tblStylePr w:type="band1Horz">
      <w:tblPr/>
      <w:tcPr>
        <w:tcBorders>
          <w:insideH w:val="nil"/>
          <w:insideV w:val="nil"/>
        </w:tcBorders>
        <w:shd w:val="clear" w:color="auto" w:fill="DFD8E8"/>
      </w:tcPr>
    </w:tblStylePr>
    <w:tblStylePr w:type="band2Horz">
      <w:tblPr/>
      <w:tcPr>
        <w:tcBorders>
          <w:insideH w:val="nil"/>
          <w:insideV w:val="nil"/>
        </w:tcBorders>
      </w:tcPr>
    </w:tblStylePr>
  </w:style>
  <w:style w:type="character" w:styleId="EndnoteReference">
    <w:name w:val="endnote reference"/>
    <w:aliases w:val="1_G"/>
    <w:unhideWhenUsed/>
    <w:qFormat/>
    <w:rsid w:val="00DB712F"/>
    <w:rPr>
      <w:rFonts w:eastAsia="MS Mincho"/>
      <w:sz w:val="18"/>
      <w:vertAlign w:val="superscript"/>
    </w:rPr>
  </w:style>
  <w:style w:type="table" w:styleId="TableGrid">
    <w:name w:val="Table Grid"/>
    <w:basedOn w:val="TableNormal"/>
    <w:rsid w:val="00DB712F"/>
    <w:pPr>
      <w:bidi/>
      <w:jc w:val="lowKashida"/>
    </w:pPr>
    <w:rPr>
      <w:rFonts w:ascii="Times New Roman" w:eastAsia="PMingLiU" w:hAnsi="Times New Roman" w:cs="Times New Roman"/>
      <w:lang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link w:val="BalloonTextChar"/>
    <w:uiPriority w:val="99"/>
    <w:semiHidden/>
    <w:unhideWhenUsed/>
    <w:rsid w:val="00DB712F"/>
    <w:pPr>
      <w:spacing w:line="240" w:lineRule="auto"/>
    </w:pPr>
    <w:rPr>
      <w:sz w:val="16"/>
      <w:szCs w:val="16"/>
    </w:rPr>
  </w:style>
  <w:style w:type="character" w:customStyle="1" w:styleId="BalloonTextChar">
    <w:name w:val="Balloon Text Char"/>
    <w:link w:val="BalloonText"/>
    <w:uiPriority w:val="99"/>
    <w:semiHidden/>
    <w:rsid w:val="00DB712F"/>
    <w:rPr>
      <w:rFonts w:ascii="Times New Roman" w:eastAsia="PMingLiU" w:hAnsi="Times New Roman" w:cs="Simplified Arabic"/>
      <w:sz w:val="16"/>
      <w:szCs w:val="16"/>
      <w:lang w:eastAsia="en-US"/>
    </w:rPr>
  </w:style>
  <w:style w:type="character" w:styleId="Hyperlink">
    <w:name w:val="Hyperlink"/>
    <w:uiPriority w:val="99"/>
    <w:unhideWhenUsed/>
    <w:rsid w:val="00DB712F"/>
    <w:rPr>
      <w:color w:val="0000FF"/>
      <w:u w:val="none"/>
    </w:rPr>
  </w:style>
  <w:style w:type="paragraph" w:styleId="TOC1">
    <w:name w:val="toc 1"/>
    <w:basedOn w:val="Normal"/>
    <w:link w:val="TOC1Char"/>
    <w:autoRedefine/>
    <w:uiPriority w:val="39"/>
    <w:unhideWhenUsed/>
    <w:rsid w:val="00DB712F"/>
    <w:pPr>
      <w:tabs>
        <w:tab w:val="right" w:pos="1021"/>
        <w:tab w:val="left" w:pos="1077"/>
        <w:tab w:val="left" w:pos="1525"/>
        <w:tab w:val="left" w:leader="dot" w:pos="7467"/>
        <w:tab w:val="left" w:pos="7972"/>
        <w:tab w:val="right" w:pos="9639"/>
      </w:tabs>
      <w:suppressAutoHyphens/>
      <w:spacing w:before="120" w:line="340" w:lineRule="exact"/>
      <w:ind w:left="1525" w:right="2211" w:hanging="1525"/>
    </w:pPr>
    <w:rPr>
      <w:noProof/>
      <w:szCs w:val="20"/>
      <w:lang w:val="fr-CH" w:eastAsia="zh-TW" w:bidi="ar-EG"/>
    </w:rPr>
  </w:style>
  <w:style w:type="paragraph" w:styleId="TOC2">
    <w:name w:val="toc 2"/>
    <w:basedOn w:val="Normal"/>
    <w:link w:val="TOC2Char"/>
    <w:autoRedefine/>
    <w:uiPriority w:val="39"/>
    <w:unhideWhenUsed/>
    <w:rsid w:val="00DB712F"/>
    <w:pPr>
      <w:tabs>
        <w:tab w:val="left" w:pos="1843"/>
        <w:tab w:val="left" w:pos="2206"/>
        <w:tab w:val="left" w:leader="dot" w:pos="7467"/>
        <w:tab w:val="left" w:pos="7972"/>
        <w:tab w:val="right" w:pos="9639"/>
      </w:tabs>
      <w:suppressAutoHyphens/>
      <w:spacing w:line="340" w:lineRule="exact"/>
      <w:ind w:left="2205" w:right="2206" w:hanging="680"/>
    </w:pPr>
    <w:rPr>
      <w:noProof/>
      <w:szCs w:val="20"/>
      <w:lang w:val="fr-CH"/>
    </w:rPr>
  </w:style>
  <w:style w:type="paragraph" w:styleId="TOC3">
    <w:name w:val="toc 3"/>
    <w:basedOn w:val="TOC2"/>
    <w:next w:val="Normal"/>
    <w:link w:val="TOC3Char"/>
    <w:autoRedefine/>
    <w:uiPriority w:val="39"/>
    <w:unhideWhenUsed/>
    <w:rsid w:val="00DB712F"/>
    <w:pPr>
      <w:tabs>
        <w:tab w:val="clear" w:pos="1843"/>
        <w:tab w:val="clear" w:pos="2206"/>
        <w:tab w:val="left" w:pos="2325"/>
      </w:tabs>
      <w:suppressAutoHyphens w:val="0"/>
      <w:ind w:left="2886"/>
    </w:pPr>
    <w:rPr>
      <w:lang w:bidi="ar-EG"/>
    </w:rPr>
  </w:style>
  <w:style w:type="character" w:customStyle="1" w:styleId="PagesNumbers">
    <w:name w:val="Pages Numbers"/>
    <w:uiPriority w:val="1"/>
    <w:qFormat/>
    <w:rsid w:val="00DB712F"/>
    <w:rPr>
      <w:rFonts w:eastAsia="DengXian"/>
      <w:color w:val="auto"/>
      <w:sz w:val="20"/>
      <w:szCs w:val="20"/>
      <w:u w:val="none"/>
      <w:lang w:eastAsia="zh-CN" w:bidi="ar-EG"/>
    </w:rPr>
  </w:style>
  <w:style w:type="paragraph" w:styleId="TOC4">
    <w:name w:val="toc 4"/>
    <w:basedOn w:val="Normal"/>
    <w:link w:val="TOC4Char"/>
    <w:autoRedefine/>
    <w:uiPriority w:val="39"/>
    <w:unhideWhenUsed/>
    <w:rsid w:val="00DB712F"/>
    <w:pPr>
      <w:tabs>
        <w:tab w:val="right" w:pos="1021"/>
        <w:tab w:val="left" w:pos="1077"/>
        <w:tab w:val="left" w:pos="1525"/>
        <w:tab w:val="left" w:leader="dot" w:pos="9065"/>
        <w:tab w:val="right" w:pos="9639"/>
      </w:tabs>
      <w:suppressAutoHyphens/>
      <w:spacing w:before="120" w:line="340" w:lineRule="exact"/>
      <w:ind w:left="1525" w:right="567" w:hanging="1525"/>
    </w:pPr>
    <w:rPr>
      <w:noProof/>
      <w:szCs w:val="20"/>
      <w:lang w:val="en-GB"/>
    </w:rPr>
  </w:style>
  <w:style w:type="paragraph" w:styleId="TOC5">
    <w:name w:val="toc 5"/>
    <w:basedOn w:val="Normal"/>
    <w:link w:val="TOC5Char"/>
    <w:autoRedefine/>
    <w:uiPriority w:val="39"/>
    <w:unhideWhenUsed/>
    <w:rsid w:val="00DB712F"/>
    <w:pPr>
      <w:tabs>
        <w:tab w:val="left" w:pos="1843"/>
        <w:tab w:val="left" w:pos="2206"/>
        <w:tab w:val="left" w:leader="dot" w:pos="9065"/>
        <w:tab w:val="right" w:pos="9639"/>
      </w:tabs>
      <w:suppressAutoHyphens/>
      <w:spacing w:line="340" w:lineRule="exact"/>
      <w:ind w:left="2205" w:right="567" w:hanging="680"/>
    </w:pPr>
    <w:rPr>
      <w:noProof/>
      <w:szCs w:val="20"/>
      <w:lang w:val="en-GB"/>
    </w:rPr>
  </w:style>
  <w:style w:type="paragraph" w:styleId="TOC6">
    <w:name w:val="toc 6"/>
    <w:basedOn w:val="Normal"/>
    <w:link w:val="TOC6Char"/>
    <w:autoRedefine/>
    <w:uiPriority w:val="39"/>
    <w:unhideWhenUsed/>
    <w:rsid w:val="00DB712F"/>
    <w:pPr>
      <w:tabs>
        <w:tab w:val="left" w:pos="2325"/>
        <w:tab w:val="left" w:leader="dot" w:pos="9065"/>
        <w:tab w:val="right" w:pos="9639"/>
      </w:tabs>
      <w:suppressAutoHyphens/>
      <w:spacing w:line="340" w:lineRule="exact"/>
      <w:ind w:left="2886" w:right="567" w:hanging="680"/>
    </w:pPr>
    <w:rPr>
      <w:szCs w:val="20"/>
      <w:lang w:val="en-GB"/>
    </w:rPr>
  </w:style>
  <w:style w:type="paragraph" w:customStyle="1" w:styleId="a">
    <w:name w:val="المحتويات_بلا_فقرات"/>
    <w:rsid w:val="00DB712F"/>
    <w:pPr>
      <w:tabs>
        <w:tab w:val="left" w:pos="1928"/>
        <w:tab w:val="left" w:pos="2608"/>
        <w:tab w:val="left" w:pos="3289"/>
        <w:tab w:val="left" w:pos="3969"/>
        <w:tab w:val="left" w:pos="4649"/>
        <w:tab w:val="left" w:pos="5330"/>
      </w:tabs>
      <w:bidi/>
      <w:spacing w:after="120" w:line="360" w:lineRule="exact"/>
      <w:ind w:left="1247" w:right="1247"/>
      <w:jc w:val="lowKashida"/>
    </w:pPr>
    <w:rPr>
      <w:rFonts w:ascii="Times New Roman" w:eastAsia="PMingLiU" w:hAnsi="Times New Roman" w:cs="Simplified Arabic"/>
      <w:szCs w:val="28"/>
      <w:lang w:eastAsia="en-US"/>
    </w:rPr>
  </w:style>
  <w:style w:type="table" w:customStyle="1" w:styleId="TABLEA">
    <w:name w:val="TABLE_A"/>
    <w:basedOn w:val="TableNormal"/>
    <w:uiPriority w:val="99"/>
    <w:rsid w:val="00DB712F"/>
    <w:pPr>
      <w:bidi/>
      <w:spacing w:before="80" w:after="80" w:line="320" w:lineRule="exact"/>
      <w:ind w:left="113" w:right="113"/>
      <w:jc w:val="lowKashida"/>
    </w:pPr>
    <w:rPr>
      <w:rFonts w:ascii="Times New Roman" w:eastAsiaTheme="minorEastAsia" w:hAnsi="Times New Roman" w:cs="Traditional Arabic"/>
      <w:sz w:val="18"/>
      <w:szCs w:val="28"/>
      <w:lang w:eastAsia="zh-CN"/>
    </w:rPr>
    <w:tblPr>
      <w:jc w:val="right"/>
    </w:tblPr>
    <w:trPr>
      <w:jc w:val="right"/>
    </w:trPr>
    <w:tcPr>
      <w:tcMar>
        <w:left w:w="0" w:type="dxa"/>
        <w:right w:w="0" w:type="dxa"/>
      </w:tcMar>
    </w:tcPr>
    <w:tblStylePr w:type="firstRow">
      <w:tblPr/>
      <w:tcPr>
        <w:tcBorders>
          <w:top w:val="single" w:sz="4" w:space="0" w:color="auto"/>
          <w:left w:val="nil"/>
          <w:bottom w:val="single" w:sz="12" w:space="0" w:color="auto"/>
          <w:right w:val="nil"/>
          <w:insideH w:val="nil"/>
          <w:insideV w:val="nil"/>
          <w:tl2br w:val="nil"/>
          <w:tr2bl w:val="nil"/>
        </w:tcBorders>
      </w:tcPr>
    </w:tblStylePr>
    <w:tblStylePr w:type="lastRow">
      <w:pPr>
        <w:wordWrap/>
        <w:spacing w:beforeLines="0" w:before="80" w:beforeAutospacing="0" w:afterLines="0" w:after="80" w:afterAutospacing="0" w:line="320" w:lineRule="exact"/>
        <w:ind w:leftChars="0" w:left="113" w:rightChars="0" w:right="113" w:firstLineChars="0" w:firstLine="0"/>
        <w:jc w:val="lowKashida"/>
      </w:pPr>
      <w:tblPr/>
      <w:tcPr>
        <w:tcBorders>
          <w:top w:val="nil"/>
          <w:left w:val="nil"/>
          <w:bottom w:val="single" w:sz="12" w:space="0" w:color="auto"/>
          <w:right w:val="nil"/>
          <w:insideH w:val="nil"/>
          <w:insideV w:val="nil"/>
          <w:tl2br w:val="nil"/>
          <w:tr2bl w:val="nil"/>
        </w:tcBorders>
      </w:tcPr>
    </w:tblStylePr>
  </w:style>
  <w:style w:type="character" w:customStyle="1" w:styleId="SingleTxtGAChar">
    <w:name w:val="_ Single Txt_GA Char"/>
    <w:basedOn w:val="DefaultParagraphFont"/>
    <w:link w:val="SingleTxtGA"/>
    <w:locked/>
    <w:rsid w:val="00DB712F"/>
    <w:rPr>
      <w:rFonts w:ascii="Times New Roman" w:eastAsia="PMingLiU" w:hAnsi="Times New Roman" w:cs="Simplified Arabic"/>
      <w:sz w:val="22"/>
      <w:szCs w:val="22"/>
      <w:lang w:val="en-GB" w:eastAsia="en-US"/>
    </w:rPr>
  </w:style>
  <w:style w:type="character" w:styleId="UnresolvedMention">
    <w:name w:val="Unresolved Mention"/>
    <w:basedOn w:val="DefaultParagraphFont"/>
    <w:uiPriority w:val="99"/>
    <w:semiHidden/>
    <w:unhideWhenUsed/>
    <w:rsid w:val="00DB712F"/>
    <w:rPr>
      <w:color w:val="605E5C"/>
      <w:shd w:val="clear" w:color="auto" w:fill="E1DFDD"/>
    </w:rPr>
  </w:style>
  <w:style w:type="character" w:customStyle="1" w:styleId="TOC1Char">
    <w:name w:val="TOC 1 Char"/>
    <w:basedOn w:val="DefaultParagraphFont"/>
    <w:link w:val="TOC1"/>
    <w:uiPriority w:val="39"/>
    <w:rsid w:val="00DB712F"/>
    <w:rPr>
      <w:rFonts w:ascii="Times New Roman" w:eastAsia="PMingLiU" w:hAnsi="Times New Roman" w:cs="Simplified Arabic"/>
      <w:noProof/>
      <w:lang w:val="fr-CH" w:bidi="ar-EG"/>
    </w:rPr>
  </w:style>
  <w:style w:type="character" w:customStyle="1" w:styleId="TOC2Char">
    <w:name w:val="TOC 2 Char"/>
    <w:basedOn w:val="DefaultParagraphFont"/>
    <w:link w:val="TOC2"/>
    <w:uiPriority w:val="39"/>
    <w:rsid w:val="00DB712F"/>
    <w:rPr>
      <w:rFonts w:ascii="Times New Roman" w:eastAsia="PMingLiU" w:hAnsi="Times New Roman" w:cs="Simplified Arabic"/>
      <w:noProof/>
      <w:lang w:val="fr-CH" w:eastAsia="en-US"/>
    </w:rPr>
  </w:style>
  <w:style w:type="character" w:customStyle="1" w:styleId="TOC3Char">
    <w:name w:val="TOC 3 Char"/>
    <w:basedOn w:val="TOC2Char"/>
    <w:link w:val="TOC3"/>
    <w:uiPriority w:val="39"/>
    <w:rsid w:val="00DB712F"/>
    <w:rPr>
      <w:rFonts w:ascii="Times New Roman" w:eastAsia="PMingLiU" w:hAnsi="Times New Roman" w:cs="Simplified Arabic"/>
      <w:noProof/>
      <w:lang w:val="fr-CH" w:eastAsia="en-US" w:bidi="ar-EG"/>
    </w:rPr>
  </w:style>
  <w:style w:type="character" w:customStyle="1" w:styleId="TOC4Char">
    <w:name w:val="TOC 4 Char"/>
    <w:basedOn w:val="DefaultParagraphFont"/>
    <w:link w:val="TOC4"/>
    <w:uiPriority w:val="39"/>
    <w:rsid w:val="00DB712F"/>
    <w:rPr>
      <w:rFonts w:ascii="Times New Roman" w:eastAsia="PMingLiU" w:hAnsi="Times New Roman" w:cs="Simplified Arabic"/>
      <w:noProof/>
      <w:lang w:val="en-GB" w:eastAsia="en-US"/>
    </w:rPr>
  </w:style>
  <w:style w:type="character" w:customStyle="1" w:styleId="TOC5Char">
    <w:name w:val="TOC 5 Char"/>
    <w:basedOn w:val="DefaultParagraphFont"/>
    <w:link w:val="TOC5"/>
    <w:uiPriority w:val="39"/>
    <w:rsid w:val="00DB712F"/>
    <w:rPr>
      <w:rFonts w:ascii="Times New Roman" w:eastAsia="PMingLiU" w:hAnsi="Times New Roman" w:cs="Simplified Arabic"/>
      <w:noProof/>
      <w:lang w:val="en-GB" w:eastAsia="en-US"/>
    </w:rPr>
  </w:style>
  <w:style w:type="character" w:customStyle="1" w:styleId="TOC6Char">
    <w:name w:val="TOC 6 Char"/>
    <w:basedOn w:val="DefaultParagraphFont"/>
    <w:link w:val="TOC6"/>
    <w:uiPriority w:val="39"/>
    <w:rsid w:val="00DB712F"/>
    <w:rPr>
      <w:rFonts w:ascii="Times New Roman" w:eastAsia="PMingLiU" w:hAnsi="Times New Roman" w:cs="Simplified Arabic"/>
      <w:lang w:val="en-GB" w:eastAsia="en-US"/>
    </w:rPr>
  </w:style>
  <w:style w:type="paragraph" w:customStyle="1" w:styleId="SessionDate">
    <w:name w:val="Session_Date"/>
    <w:basedOn w:val="Normal"/>
    <w:qFormat/>
    <w:rsid w:val="00DB712F"/>
    <w:pPr>
      <w:spacing w:before="240" w:after="240" w:line="460" w:lineRule="exact"/>
      <w:ind w:left="1247"/>
    </w:pPr>
    <w:rPr>
      <w:b/>
      <w:bCs/>
      <w:sz w:val="32"/>
      <w:szCs w:val="44"/>
    </w:rPr>
  </w:style>
  <w:style w:type="paragraph" w:customStyle="1" w:styleId="SessionNumber">
    <w:name w:val="Session_Number"/>
    <w:basedOn w:val="Normal"/>
    <w:qFormat/>
    <w:rsid w:val="00DB712F"/>
    <w:pPr>
      <w:spacing w:line="480" w:lineRule="exact"/>
      <w:ind w:left="1247"/>
    </w:pPr>
    <w:rPr>
      <w:b/>
      <w:bCs/>
      <w:sz w:val="28"/>
      <w:szCs w:val="38"/>
    </w:rPr>
  </w:style>
  <w:style w:type="paragraph" w:customStyle="1" w:styleId="CityandYear">
    <w:name w:val="City and Year"/>
    <w:basedOn w:val="SingleTxtGA"/>
    <w:qFormat/>
    <w:rsid w:val="00DB712F"/>
    <w:pPr>
      <w:spacing w:line="480" w:lineRule="exact"/>
    </w:pPr>
    <w:rPr>
      <w:b/>
      <w:bCs/>
      <w:sz w:val="30"/>
      <w:szCs w:val="38"/>
      <w:lang w:eastAsia="ar-SA"/>
    </w:rPr>
  </w:style>
  <w:style w:type="paragraph" w:customStyle="1" w:styleId="NormalA">
    <w:name w:val="Normal_A"/>
    <w:basedOn w:val="Normal"/>
    <w:qFormat/>
    <w:rsid w:val="00DB712F"/>
  </w:style>
  <w:style w:type="paragraph" w:customStyle="1" w:styleId="H1G">
    <w:name w:val="_ H_1_G"/>
    <w:basedOn w:val="Normal"/>
    <w:next w:val="Normal"/>
    <w:link w:val="H1GChar"/>
    <w:qFormat/>
    <w:rsid w:val="00DB712F"/>
    <w:pPr>
      <w:keepNext/>
      <w:keepLines/>
      <w:tabs>
        <w:tab w:val="right" w:pos="851"/>
      </w:tabs>
      <w:suppressAutoHyphens/>
      <w:bidi w:val="0"/>
      <w:spacing w:before="360" w:after="240" w:line="270" w:lineRule="exact"/>
      <w:ind w:left="1134" w:right="1134" w:hanging="1134"/>
      <w:jc w:val="left"/>
    </w:pPr>
    <w:rPr>
      <w:b/>
      <w:sz w:val="24"/>
      <w:szCs w:val="20"/>
      <w:lang w:val="en-GB"/>
    </w:rPr>
  </w:style>
  <w:style w:type="paragraph" w:customStyle="1" w:styleId="SingleTxtG">
    <w:name w:val="_ Single Txt_G"/>
    <w:basedOn w:val="Normal"/>
    <w:link w:val="SingleTxtGChar"/>
    <w:qFormat/>
    <w:rsid w:val="00DB712F"/>
    <w:pPr>
      <w:suppressAutoHyphens/>
      <w:bidi w:val="0"/>
      <w:spacing w:after="120"/>
      <w:ind w:left="1134" w:right="1134"/>
      <w:jc w:val="both"/>
    </w:pPr>
    <w:rPr>
      <w:szCs w:val="20"/>
      <w:lang w:val="en-GB"/>
    </w:rPr>
  </w:style>
  <w:style w:type="paragraph" w:customStyle="1" w:styleId="HChG">
    <w:name w:val="_ H _Ch_G"/>
    <w:basedOn w:val="Normal"/>
    <w:next w:val="Normal"/>
    <w:link w:val="HChGChar"/>
    <w:qFormat/>
    <w:rsid w:val="00DB712F"/>
    <w:pPr>
      <w:keepNext/>
      <w:keepLines/>
      <w:tabs>
        <w:tab w:val="right" w:pos="851"/>
      </w:tabs>
      <w:suppressAutoHyphens/>
      <w:bidi w:val="0"/>
      <w:spacing w:before="360" w:after="240" w:line="300" w:lineRule="exact"/>
      <w:ind w:left="1134" w:right="1134" w:hanging="1134"/>
      <w:jc w:val="left"/>
    </w:pPr>
    <w:rPr>
      <w:b/>
      <w:sz w:val="28"/>
      <w:szCs w:val="20"/>
      <w:lang w:val="en-GB"/>
    </w:rPr>
  </w:style>
  <w:style w:type="paragraph" w:customStyle="1" w:styleId="H23G">
    <w:name w:val="_ H_2/3_G"/>
    <w:basedOn w:val="Normal"/>
    <w:next w:val="Normal"/>
    <w:link w:val="H23GChar"/>
    <w:qFormat/>
    <w:rsid w:val="00DB712F"/>
    <w:pPr>
      <w:keepNext/>
      <w:keepLines/>
      <w:tabs>
        <w:tab w:val="right" w:pos="851"/>
      </w:tabs>
      <w:suppressAutoHyphens/>
      <w:bidi w:val="0"/>
      <w:spacing w:before="240" w:after="120" w:line="240" w:lineRule="exact"/>
      <w:ind w:left="1134" w:right="1134" w:hanging="1134"/>
      <w:jc w:val="left"/>
    </w:pPr>
    <w:rPr>
      <w:b/>
      <w:szCs w:val="20"/>
      <w:lang w:val="en-GB"/>
    </w:rPr>
  </w:style>
  <w:style w:type="paragraph" w:customStyle="1" w:styleId="H4G">
    <w:name w:val="_ H_4_G"/>
    <w:basedOn w:val="Normal"/>
    <w:next w:val="Normal"/>
    <w:qFormat/>
    <w:rsid w:val="00DB712F"/>
    <w:pPr>
      <w:keepNext/>
      <w:keepLines/>
      <w:tabs>
        <w:tab w:val="right" w:pos="851"/>
      </w:tabs>
      <w:suppressAutoHyphens/>
      <w:bidi w:val="0"/>
      <w:spacing w:before="240" w:after="120" w:line="240" w:lineRule="exact"/>
      <w:ind w:left="1134" w:right="1134" w:hanging="1134"/>
      <w:jc w:val="left"/>
    </w:pPr>
    <w:rPr>
      <w:i/>
      <w:szCs w:val="20"/>
      <w:lang w:val="en-GB"/>
    </w:rPr>
  </w:style>
  <w:style w:type="paragraph" w:customStyle="1" w:styleId="FootnoteGA">
    <w:name w:val="_Footnote_GA"/>
    <w:basedOn w:val="Normal"/>
    <w:qFormat/>
    <w:rsid w:val="00DB712F"/>
    <w:pPr>
      <w:suppressAutoHyphens/>
      <w:spacing w:after="60" w:line="280" w:lineRule="exact"/>
      <w:ind w:left="1247" w:right="1247" w:hanging="567"/>
    </w:pPr>
    <w:rPr>
      <w:sz w:val="18"/>
      <w:szCs w:val="18"/>
      <w:lang w:val="es-ES_tradnl" w:eastAsia="zh-TW"/>
    </w:rPr>
  </w:style>
  <w:style w:type="paragraph" w:customStyle="1" w:styleId="ReportCHGA">
    <w:name w:val="Report_CH_GA"/>
    <w:basedOn w:val="HChGA"/>
    <w:qFormat/>
    <w:rsid w:val="00DB712F"/>
    <w:rPr>
      <w:sz w:val="44"/>
      <w:szCs w:val="44"/>
      <w:lang w:val="en-US" w:bidi="ar-DZ"/>
    </w:rPr>
  </w:style>
  <w:style w:type="paragraph" w:customStyle="1" w:styleId="FootnoteGA0">
    <w:name w:val="Footnote_GA"/>
    <w:basedOn w:val="Normal"/>
    <w:qFormat/>
    <w:rsid w:val="00DB712F"/>
    <w:pPr>
      <w:spacing w:after="60" w:line="280" w:lineRule="exact"/>
      <w:ind w:left="1247" w:right="1247" w:hanging="567"/>
    </w:pPr>
    <w:rPr>
      <w:sz w:val="18"/>
      <w:szCs w:val="18"/>
      <w:lang w:val="es-ES_tradnl" w:eastAsia="zh-TW"/>
    </w:rPr>
  </w:style>
  <w:style w:type="paragraph" w:customStyle="1" w:styleId="H1">
    <w:name w:val="_ H_1"/>
    <w:basedOn w:val="Normal"/>
    <w:next w:val="SingleTxt"/>
    <w:qFormat/>
    <w:rsid w:val="00DB712F"/>
    <w:pPr>
      <w:keepNext/>
      <w:keepLines/>
      <w:spacing w:after="120" w:line="400" w:lineRule="exact"/>
      <w:outlineLvl w:val="0"/>
    </w:pPr>
    <w:rPr>
      <w:b/>
      <w:bCs/>
      <w:kern w:val="14"/>
      <w:sz w:val="24"/>
      <w:szCs w:val="32"/>
    </w:rPr>
  </w:style>
  <w:style w:type="paragraph" w:customStyle="1" w:styleId="HCh">
    <w:name w:val="_ H _Ch"/>
    <w:basedOn w:val="H1"/>
    <w:next w:val="SingleTxt"/>
    <w:qFormat/>
    <w:rsid w:val="00DB712F"/>
    <w:pPr>
      <w:spacing w:line="440" w:lineRule="exact"/>
    </w:pPr>
    <w:rPr>
      <w:spacing w:val="-2"/>
      <w:sz w:val="28"/>
      <w:szCs w:val="36"/>
    </w:rPr>
  </w:style>
  <w:style w:type="character" w:styleId="CommentReference">
    <w:name w:val="annotation reference"/>
    <w:uiPriority w:val="99"/>
    <w:semiHidden/>
    <w:rsid w:val="00DB712F"/>
    <w:rPr>
      <w:sz w:val="6"/>
      <w:szCs w:val="9"/>
    </w:rPr>
  </w:style>
  <w:style w:type="paragraph" w:customStyle="1" w:styleId="HM">
    <w:name w:val="_ H __M"/>
    <w:basedOn w:val="HCh"/>
    <w:next w:val="Normal"/>
    <w:qFormat/>
    <w:rsid w:val="00DB712F"/>
    <w:pPr>
      <w:suppressAutoHyphens/>
      <w:spacing w:line="520" w:lineRule="exact"/>
    </w:pPr>
    <w:rPr>
      <w:spacing w:val="-3"/>
      <w:sz w:val="34"/>
      <w:szCs w:val="48"/>
    </w:rPr>
  </w:style>
  <w:style w:type="paragraph" w:customStyle="1" w:styleId="SingleTxt">
    <w:name w:val="__Single Txt"/>
    <w:basedOn w:val="Normal"/>
    <w:qFormat/>
    <w:rsid w:val="00DB712F"/>
    <w:pPr>
      <w:tabs>
        <w:tab w:val="left" w:pos="1930"/>
        <w:tab w:val="left" w:pos="2592"/>
        <w:tab w:val="left" w:pos="3254"/>
        <w:tab w:val="left" w:pos="3917"/>
        <w:tab w:val="left" w:pos="4579"/>
        <w:tab w:val="left" w:pos="5242"/>
        <w:tab w:val="left" w:pos="5904"/>
        <w:tab w:val="left" w:pos="6566"/>
      </w:tabs>
      <w:spacing w:after="120" w:line="360" w:lineRule="exact"/>
      <w:ind w:left="1264" w:right="1264"/>
    </w:pPr>
    <w:rPr>
      <w:kern w:val="14"/>
      <w:szCs w:val="28"/>
    </w:rPr>
  </w:style>
  <w:style w:type="paragraph" w:customStyle="1" w:styleId="H23">
    <w:name w:val="_ H_2/3"/>
    <w:basedOn w:val="H1"/>
    <w:next w:val="Normal"/>
    <w:qFormat/>
    <w:rsid w:val="00DB712F"/>
    <w:pPr>
      <w:suppressAutoHyphens/>
      <w:spacing w:line="360" w:lineRule="exact"/>
      <w:outlineLvl w:val="1"/>
    </w:pPr>
    <w:rPr>
      <w:spacing w:val="2"/>
      <w:sz w:val="20"/>
      <w:szCs w:val="28"/>
    </w:rPr>
  </w:style>
  <w:style w:type="paragraph" w:customStyle="1" w:styleId="H4">
    <w:name w:val="_ H_4"/>
    <w:basedOn w:val="Normal"/>
    <w:next w:val="Normal"/>
    <w:qFormat/>
    <w:rsid w:val="00DB712F"/>
    <w:pPr>
      <w:keepNext/>
      <w:keepLines/>
      <w:spacing w:after="120" w:line="360" w:lineRule="exact"/>
      <w:outlineLvl w:val="3"/>
    </w:pPr>
    <w:rPr>
      <w:i/>
      <w:iCs/>
      <w:kern w:val="14"/>
      <w:szCs w:val="28"/>
    </w:rPr>
  </w:style>
  <w:style w:type="paragraph" w:customStyle="1" w:styleId="H56">
    <w:name w:val="_ H_5/6"/>
    <w:basedOn w:val="Normal"/>
    <w:next w:val="Normal"/>
    <w:qFormat/>
    <w:rsid w:val="00DB712F"/>
    <w:pPr>
      <w:keepNext/>
      <w:keepLines/>
      <w:spacing w:after="120" w:line="360" w:lineRule="exact"/>
      <w:outlineLvl w:val="4"/>
    </w:pPr>
    <w:rPr>
      <w:kern w:val="14"/>
      <w:szCs w:val="28"/>
    </w:rPr>
  </w:style>
  <w:style w:type="paragraph" w:customStyle="1" w:styleId="DualTxt">
    <w:name w:val="__Dual Txt"/>
    <w:basedOn w:val="Normal"/>
    <w:qFormat/>
    <w:rsid w:val="00DB712F"/>
    <w:pPr>
      <w:tabs>
        <w:tab w:val="left" w:pos="662"/>
        <w:tab w:val="left" w:pos="1325"/>
        <w:tab w:val="left" w:pos="1987"/>
        <w:tab w:val="left" w:pos="2650"/>
        <w:tab w:val="left" w:pos="3312"/>
        <w:tab w:val="left" w:pos="3974"/>
        <w:tab w:val="left" w:pos="4637"/>
      </w:tabs>
      <w:spacing w:after="120" w:line="360" w:lineRule="exact"/>
    </w:pPr>
    <w:rPr>
      <w:kern w:val="14"/>
      <w:szCs w:val="28"/>
    </w:rPr>
  </w:style>
  <w:style w:type="paragraph" w:customStyle="1" w:styleId="JDualTxt">
    <w:name w:val="J__Dual Txt"/>
    <w:basedOn w:val="Normal"/>
    <w:qFormat/>
    <w:rsid w:val="00DB712F"/>
    <w:pPr>
      <w:keepNext/>
      <w:tabs>
        <w:tab w:val="left" w:pos="475"/>
        <w:tab w:val="left" w:pos="950"/>
        <w:tab w:val="left" w:pos="1426"/>
        <w:tab w:val="left" w:pos="1901"/>
        <w:tab w:val="center" w:pos="2563"/>
        <w:tab w:val="right" w:pos="5040"/>
      </w:tabs>
      <w:spacing w:after="80" w:line="300" w:lineRule="exact"/>
    </w:pPr>
    <w:rPr>
      <w:kern w:val="14"/>
      <w:sz w:val="17"/>
      <w:szCs w:val="26"/>
    </w:rPr>
  </w:style>
  <w:style w:type="paragraph" w:customStyle="1" w:styleId="JSingleTxt">
    <w:name w:val="J__Single Txt"/>
    <w:basedOn w:val="Normal"/>
    <w:qFormat/>
    <w:rsid w:val="00DB712F"/>
    <w:pPr>
      <w:keepNext/>
      <w:tabs>
        <w:tab w:val="left" w:pos="1843"/>
        <w:tab w:val="left" w:pos="2419"/>
        <w:tab w:val="left" w:pos="2995"/>
        <w:tab w:val="left" w:pos="3571"/>
        <w:tab w:val="left" w:pos="4147"/>
        <w:tab w:val="left" w:pos="4723"/>
        <w:tab w:val="center" w:pos="5486"/>
        <w:tab w:val="right" w:pos="9547"/>
      </w:tabs>
      <w:spacing w:after="80" w:line="300" w:lineRule="exact"/>
    </w:pPr>
    <w:rPr>
      <w:kern w:val="14"/>
      <w:sz w:val="17"/>
      <w:szCs w:val="26"/>
    </w:rPr>
  </w:style>
  <w:style w:type="paragraph" w:customStyle="1" w:styleId="JCH">
    <w:name w:val="J_C_H"/>
    <w:basedOn w:val="JSingleTxt"/>
    <w:qFormat/>
    <w:rsid w:val="00DB712F"/>
    <w:pPr>
      <w:spacing w:after="120" w:line="440" w:lineRule="exact"/>
      <w:jc w:val="center"/>
    </w:pPr>
    <w:rPr>
      <w:b/>
      <w:bCs/>
      <w:sz w:val="25"/>
      <w:szCs w:val="38"/>
    </w:rPr>
  </w:style>
  <w:style w:type="paragraph" w:customStyle="1" w:styleId="JH1">
    <w:name w:val="J_H_1"/>
    <w:basedOn w:val="JCH"/>
    <w:qFormat/>
    <w:rsid w:val="00DB712F"/>
    <w:pPr>
      <w:spacing w:line="420" w:lineRule="exact"/>
    </w:pPr>
    <w:rPr>
      <w:sz w:val="23"/>
      <w:szCs w:val="34"/>
    </w:rPr>
  </w:style>
  <w:style w:type="paragraph" w:customStyle="1" w:styleId="JH2">
    <w:name w:val="J_H_2"/>
    <w:basedOn w:val="JH1"/>
    <w:qFormat/>
    <w:rsid w:val="00DB712F"/>
    <w:pPr>
      <w:spacing w:line="400" w:lineRule="exact"/>
    </w:pPr>
    <w:rPr>
      <w:sz w:val="20"/>
      <w:szCs w:val="30"/>
    </w:rPr>
  </w:style>
  <w:style w:type="paragraph" w:customStyle="1" w:styleId="JSmall">
    <w:name w:val="J_Small"/>
    <w:basedOn w:val="JSingleTxt"/>
    <w:next w:val="JSingleTxt"/>
    <w:qFormat/>
    <w:rsid w:val="00DB712F"/>
    <w:pPr>
      <w:tabs>
        <w:tab w:val="clear" w:pos="1843"/>
        <w:tab w:val="clear" w:pos="2419"/>
        <w:tab w:val="clear" w:pos="2995"/>
        <w:tab w:val="clear" w:pos="3571"/>
        <w:tab w:val="clear" w:pos="4147"/>
        <w:tab w:val="clear" w:pos="4723"/>
        <w:tab w:val="clear" w:pos="5486"/>
        <w:tab w:val="clear" w:pos="9547"/>
      </w:tabs>
      <w:spacing w:after="120"/>
      <w:ind w:left="2563" w:right="1582"/>
    </w:pPr>
    <w:rPr>
      <w:szCs w:val="24"/>
    </w:rPr>
  </w:style>
  <w:style w:type="paragraph" w:customStyle="1" w:styleId="Small">
    <w:name w:val="Small"/>
    <w:basedOn w:val="Normal"/>
    <w:next w:val="Normal"/>
    <w:qFormat/>
    <w:rsid w:val="00DB712F"/>
    <w:pPr>
      <w:tabs>
        <w:tab w:val="right" w:leader="dot" w:pos="360"/>
      </w:tabs>
      <w:spacing w:line="310" w:lineRule="exact"/>
      <w:jc w:val="right"/>
    </w:pPr>
    <w:rPr>
      <w:spacing w:val="5"/>
      <w:w w:val="104"/>
      <w:kern w:val="14"/>
      <w:sz w:val="17"/>
      <w:szCs w:val="25"/>
    </w:rPr>
  </w:style>
  <w:style w:type="character" w:styleId="LineNumber">
    <w:name w:val="line number"/>
    <w:qFormat/>
    <w:rsid w:val="00DB712F"/>
    <w:rPr>
      <w:sz w:val="14"/>
      <w:szCs w:val="16"/>
    </w:rPr>
  </w:style>
  <w:style w:type="paragraph" w:customStyle="1" w:styleId="SmallX">
    <w:name w:val="SmallX"/>
    <w:basedOn w:val="Small"/>
    <w:next w:val="Normal"/>
    <w:qFormat/>
    <w:rsid w:val="00DB712F"/>
    <w:pPr>
      <w:spacing w:line="240" w:lineRule="exact"/>
    </w:pPr>
    <w:rPr>
      <w:spacing w:val="6"/>
      <w:w w:val="106"/>
      <w:sz w:val="14"/>
      <w:szCs w:val="21"/>
    </w:rPr>
  </w:style>
  <w:style w:type="paragraph" w:customStyle="1" w:styleId="XLarge">
    <w:name w:val="XLarge"/>
    <w:basedOn w:val="HM"/>
    <w:qFormat/>
    <w:rsid w:val="00DB712F"/>
    <w:pPr>
      <w:tabs>
        <w:tab w:val="right" w:leader="dot" w:pos="360"/>
      </w:tabs>
      <w:spacing w:line="580" w:lineRule="exact"/>
      <w:jc w:val="right"/>
    </w:pPr>
    <w:rPr>
      <w:spacing w:val="-4"/>
      <w:w w:val="98"/>
      <w:sz w:val="40"/>
      <w:szCs w:val="60"/>
    </w:rPr>
  </w:style>
  <w:style w:type="paragraph" w:customStyle="1" w:styleId="XXLarge">
    <w:name w:val="XXLarge"/>
    <w:basedOn w:val="XLarge"/>
    <w:next w:val="Normal"/>
    <w:qFormat/>
    <w:rsid w:val="00DB712F"/>
    <w:pPr>
      <w:spacing w:line="820" w:lineRule="exact"/>
    </w:pPr>
    <w:rPr>
      <w:spacing w:val="-8"/>
      <w:w w:val="96"/>
      <w:sz w:val="57"/>
      <w:szCs w:val="86"/>
    </w:rPr>
  </w:style>
  <w:style w:type="paragraph" w:customStyle="1" w:styleId="Distribution">
    <w:name w:val="Distribu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Publication">
    <w:name w:val="Publication"/>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Original">
    <w:name w:val="Original"/>
    <w:basedOn w:val="Normal"/>
    <w:next w:val="Normal"/>
    <w:qFormat/>
    <w:rsid w:val="00DB712F"/>
    <w:pPr>
      <w:tabs>
        <w:tab w:val="left" w:pos="662"/>
        <w:tab w:val="left" w:pos="1267"/>
        <w:tab w:val="left" w:pos="1987"/>
        <w:tab w:val="left" w:pos="2650"/>
      </w:tabs>
      <w:spacing w:line="240" w:lineRule="exact"/>
    </w:pPr>
    <w:rPr>
      <w:kern w:val="14"/>
      <w:szCs w:val="28"/>
    </w:rPr>
  </w:style>
  <w:style w:type="paragraph" w:customStyle="1" w:styleId="ReleaseDate">
    <w:name w:val="Release Date"/>
    <w:next w:val="Footer"/>
    <w:qFormat/>
    <w:rsid w:val="00DB712F"/>
    <w:pPr>
      <w:tabs>
        <w:tab w:val="center" w:pos="4320"/>
        <w:tab w:val="right" w:pos="8640"/>
      </w:tabs>
      <w:spacing w:line="210" w:lineRule="exact"/>
      <w:jc w:val="right"/>
    </w:pPr>
    <w:rPr>
      <w:rFonts w:ascii="Times New Roman" w:eastAsia="PMingLiU" w:hAnsi="Times New Roman" w:cs="Simplified Arabic"/>
      <w:w w:val="103"/>
      <w:kern w:val="14"/>
      <w:szCs w:val="30"/>
      <w:lang w:eastAsia="en-US"/>
    </w:rPr>
  </w:style>
  <w:style w:type="paragraph" w:customStyle="1" w:styleId="Session">
    <w:name w:val="Session"/>
    <w:basedOn w:val="H23"/>
    <w:qFormat/>
    <w:rsid w:val="00DB712F"/>
    <w:pPr>
      <w:tabs>
        <w:tab w:val="left" w:pos="662"/>
        <w:tab w:val="left" w:pos="1267"/>
        <w:tab w:val="left" w:pos="1987"/>
        <w:tab w:val="left" w:pos="2650"/>
      </w:tabs>
      <w:spacing w:after="0"/>
      <w:ind w:left="662" w:hanging="662"/>
    </w:pPr>
  </w:style>
  <w:style w:type="paragraph" w:customStyle="1" w:styleId="Committee">
    <w:name w:val="Committee"/>
    <w:basedOn w:val="H1"/>
    <w:qFormat/>
    <w:rsid w:val="00DB712F"/>
    <w:pPr>
      <w:tabs>
        <w:tab w:val="left" w:pos="662"/>
        <w:tab w:val="left" w:pos="1267"/>
        <w:tab w:val="left" w:pos="1987"/>
        <w:tab w:val="left" w:pos="2650"/>
      </w:tabs>
      <w:ind w:right="1264"/>
    </w:pPr>
  </w:style>
  <w:style w:type="paragraph" w:customStyle="1" w:styleId="AgendaItemNormal">
    <w:name w:val="Agenda_Item_Normal"/>
    <w:next w:val="Normal"/>
    <w:qFormat/>
    <w:rsid w:val="00DB712F"/>
    <w:pPr>
      <w:spacing w:line="360" w:lineRule="exact"/>
      <w:jc w:val="both"/>
    </w:pPr>
    <w:rPr>
      <w:rFonts w:ascii="Times New Roman" w:eastAsia="PMingLiU" w:hAnsi="Times New Roman" w:cs="Simplified Arabic"/>
      <w:w w:val="103"/>
      <w:kern w:val="14"/>
      <w:szCs w:val="28"/>
      <w:lang w:eastAsia="en-US"/>
    </w:rPr>
  </w:style>
  <w:style w:type="paragraph" w:customStyle="1" w:styleId="Sponsors">
    <w:name w:val="Sponsors"/>
    <w:basedOn w:val="H23"/>
    <w:next w:val="Normal"/>
    <w:qFormat/>
    <w:rsid w:val="00DB712F"/>
    <w:pPr>
      <w:tabs>
        <w:tab w:val="right" w:pos="1022"/>
        <w:tab w:val="left" w:pos="1267"/>
        <w:tab w:val="left" w:pos="1930"/>
        <w:tab w:val="left" w:pos="2592"/>
        <w:tab w:val="left" w:pos="3254"/>
      </w:tabs>
      <w:ind w:left="1267" w:right="1267" w:hanging="1267"/>
    </w:pPr>
  </w:style>
  <w:style w:type="paragraph" w:customStyle="1" w:styleId="TitleHCH">
    <w:name w:val="Title_H_CH"/>
    <w:basedOn w:val="H1"/>
    <w:next w:val="SingleTxt"/>
    <w:qFormat/>
    <w:rsid w:val="00DB712F"/>
    <w:pPr>
      <w:tabs>
        <w:tab w:val="right" w:pos="1022"/>
        <w:tab w:val="left" w:pos="1267"/>
        <w:tab w:val="left" w:pos="1930"/>
        <w:tab w:val="left" w:pos="2592"/>
        <w:tab w:val="left" w:pos="3254"/>
        <w:tab w:val="left" w:pos="3917"/>
        <w:tab w:val="left" w:pos="4579"/>
        <w:tab w:val="left" w:pos="5242"/>
        <w:tab w:val="left" w:pos="5904"/>
        <w:tab w:val="left" w:pos="6566"/>
      </w:tabs>
      <w:spacing w:line="440" w:lineRule="exact"/>
      <w:ind w:left="1267" w:right="1267" w:hanging="1267"/>
    </w:pPr>
    <w:rPr>
      <w:spacing w:val="-2"/>
      <w:sz w:val="28"/>
      <w:szCs w:val="36"/>
    </w:rPr>
  </w:style>
  <w:style w:type="paragraph" w:customStyle="1" w:styleId="TitleH1">
    <w:name w:val="Title_H1"/>
    <w:basedOn w:val="Normal"/>
    <w:next w:val="Normal"/>
    <w:qFormat/>
    <w:rsid w:val="00DB712F"/>
    <w:pPr>
      <w:keepNext/>
      <w:keepLines/>
      <w:tabs>
        <w:tab w:val="right" w:pos="1022"/>
        <w:tab w:val="left" w:pos="1267"/>
        <w:tab w:val="left" w:pos="1930"/>
        <w:tab w:val="left" w:pos="2592"/>
        <w:tab w:val="left" w:pos="3254"/>
        <w:tab w:val="left" w:pos="3917"/>
        <w:tab w:val="left" w:pos="4579"/>
        <w:tab w:val="left" w:pos="5242"/>
        <w:tab w:val="left" w:pos="5904"/>
        <w:tab w:val="left" w:pos="6566"/>
      </w:tabs>
      <w:spacing w:after="120" w:line="400" w:lineRule="exact"/>
      <w:ind w:left="1267" w:right="1267" w:hanging="1267"/>
      <w:outlineLvl w:val="0"/>
    </w:pPr>
    <w:rPr>
      <w:bCs/>
      <w:kern w:val="14"/>
      <w:sz w:val="24"/>
      <w:szCs w:val="32"/>
    </w:rPr>
  </w:style>
  <w:style w:type="paragraph" w:customStyle="1" w:styleId="TitleH2">
    <w:name w:val="Title_H2"/>
    <w:basedOn w:val="H1"/>
    <w:next w:val="Normal"/>
    <w:qFormat/>
    <w:rsid w:val="00DB712F"/>
    <w:pPr>
      <w:tabs>
        <w:tab w:val="right" w:pos="1022"/>
        <w:tab w:val="left" w:pos="1267"/>
        <w:tab w:val="left" w:pos="1930"/>
        <w:tab w:val="left" w:pos="2592"/>
        <w:tab w:val="left" w:pos="3254"/>
        <w:tab w:val="left" w:pos="3917"/>
        <w:tab w:val="left" w:pos="4579"/>
        <w:tab w:val="left" w:pos="5242"/>
        <w:tab w:val="left" w:pos="5904"/>
        <w:tab w:val="left" w:pos="6566"/>
      </w:tabs>
      <w:ind w:left="1267" w:right="1267" w:hanging="1267"/>
      <w:outlineLvl w:val="1"/>
    </w:pPr>
    <w:rPr>
      <w:spacing w:val="2"/>
      <w:sz w:val="20"/>
      <w:szCs w:val="28"/>
    </w:rPr>
  </w:style>
  <w:style w:type="character" w:styleId="FollowedHyperlink">
    <w:name w:val="FollowedHyperlink"/>
    <w:uiPriority w:val="99"/>
    <w:rsid w:val="00DB712F"/>
    <w:rPr>
      <w:i w:val="0"/>
      <w:color w:val="0000FF"/>
      <w:u w:val="none"/>
    </w:rPr>
  </w:style>
  <w:style w:type="paragraph" w:customStyle="1" w:styleId="Bullet1">
    <w:name w:val="Bullet 1"/>
    <w:basedOn w:val="Normal"/>
    <w:qFormat/>
    <w:rsid w:val="00DB712F"/>
    <w:pPr>
      <w:numPr>
        <w:numId w:val="18"/>
      </w:numPr>
      <w:tabs>
        <w:tab w:val="num" w:pos="1292"/>
      </w:tabs>
      <w:spacing w:after="120" w:line="360" w:lineRule="exact"/>
      <w:ind w:left="1292" w:right="1264" w:hanging="227"/>
    </w:pPr>
    <w:rPr>
      <w:kern w:val="14"/>
      <w:szCs w:val="28"/>
    </w:rPr>
  </w:style>
  <w:style w:type="paragraph" w:customStyle="1" w:styleId="Bullet2">
    <w:name w:val="Bullet 2"/>
    <w:basedOn w:val="Normal"/>
    <w:qFormat/>
    <w:rsid w:val="00DB712F"/>
    <w:pPr>
      <w:numPr>
        <w:numId w:val="19"/>
      </w:numPr>
      <w:spacing w:after="120" w:line="360" w:lineRule="exact"/>
      <w:ind w:right="1264"/>
    </w:pPr>
    <w:rPr>
      <w:kern w:val="14"/>
      <w:szCs w:val="28"/>
    </w:rPr>
  </w:style>
  <w:style w:type="paragraph" w:customStyle="1" w:styleId="Bullet3">
    <w:name w:val="Bullet 3"/>
    <w:basedOn w:val="SingleTxt"/>
    <w:qFormat/>
    <w:rsid w:val="00DB712F"/>
    <w:pPr>
      <w:numPr>
        <w:numId w:val="20"/>
      </w:numPr>
      <w:tabs>
        <w:tab w:val="clear" w:pos="1930"/>
        <w:tab w:val="clear" w:pos="2592"/>
        <w:tab w:val="clear" w:pos="3254"/>
        <w:tab w:val="clear" w:pos="3917"/>
        <w:tab w:val="clear" w:pos="4579"/>
        <w:tab w:val="clear" w:pos="5242"/>
        <w:tab w:val="clear" w:pos="5904"/>
        <w:tab w:val="clear" w:pos="6566"/>
        <w:tab w:val="num" w:pos="2495"/>
      </w:tabs>
      <w:ind w:left="2495" w:hanging="545"/>
    </w:pPr>
  </w:style>
  <w:style w:type="paragraph" w:customStyle="1" w:styleId="AgendaTitleH2">
    <w:name w:val="Agenda_Title_H2"/>
    <w:basedOn w:val="H1"/>
    <w:next w:val="Normal"/>
    <w:qFormat/>
    <w:rsid w:val="00DB712F"/>
    <w:pPr>
      <w:ind w:right="5760"/>
      <w:outlineLvl w:val="1"/>
    </w:pPr>
    <w:rPr>
      <w:spacing w:val="2"/>
      <w:sz w:val="20"/>
      <w:szCs w:val="28"/>
    </w:rPr>
  </w:style>
  <w:style w:type="paragraph" w:customStyle="1" w:styleId="STitleM">
    <w:name w:val="S_Title_M"/>
    <w:basedOn w:val="Normal"/>
    <w:next w:val="Normal"/>
    <w:qFormat/>
    <w:rsid w:val="00DB712F"/>
    <w:pPr>
      <w:keepNext/>
      <w:keepLines/>
      <w:tabs>
        <w:tab w:val="left" w:leader="dot" w:pos="360"/>
      </w:tabs>
      <w:spacing w:line="600" w:lineRule="exact"/>
      <w:ind w:left="1267" w:right="1267"/>
      <w:outlineLvl w:val="0"/>
    </w:pPr>
    <w:rPr>
      <w:b/>
      <w:bCs/>
      <w:spacing w:val="-4"/>
      <w:w w:val="98"/>
      <w:kern w:val="14"/>
      <w:sz w:val="60"/>
      <w:szCs w:val="60"/>
    </w:rPr>
  </w:style>
  <w:style w:type="paragraph" w:customStyle="1" w:styleId="STitleS">
    <w:name w:val="S_Title_S"/>
    <w:basedOn w:val="HCh"/>
    <w:next w:val="Normal"/>
    <w:qFormat/>
    <w:rsid w:val="00DB712F"/>
    <w:pPr>
      <w:spacing w:line="600" w:lineRule="exact"/>
      <w:ind w:left="1267" w:right="1267"/>
    </w:pPr>
    <w:rPr>
      <w:w w:val="103"/>
      <w:sz w:val="60"/>
      <w:szCs w:val="60"/>
    </w:rPr>
  </w:style>
  <w:style w:type="paragraph" w:customStyle="1" w:styleId="STitleL">
    <w:name w:val="S_Title_L"/>
    <w:basedOn w:val="XLarge"/>
    <w:next w:val="Normal"/>
    <w:qFormat/>
    <w:rsid w:val="00DB712F"/>
    <w:rPr>
      <w:spacing w:val="-8"/>
      <w:w w:val="96"/>
      <w:sz w:val="57"/>
    </w:rPr>
  </w:style>
  <w:style w:type="paragraph" w:styleId="CommentText">
    <w:name w:val="annotation text"/>
    <w:basedOn w:val="Normal"/>
    <w:link w:val="CommentTextChar"/>
    <w:uiPriority w:val="99"/>
    <w:semiHidden/>
    <w:unhideWhenUsed/>
    <w:rsid w:val="00DB712F"/>
    <w:pPr>
      <w:spacing w:line="240" w:lineRule="auto"/>
    </w:pPr>
    <w:rPr>
      <w:kern w:val="14"/>
    </w:rPr>
  </w:style>
  <w:style w:type="character" w:customStyle="1" w:styleId="CommentTextChar">
    <w:name w:val="Comment Text Char"/>
    <w:basedOn w:val="DefaultParagraphFont"/>
    <w:link w:val="CommentText"/>
    <w:uiPriority w:val="99"/>
    <w:semiHidden/>
    <w:rsid w:val="00DB712F"/>
    <w:rPr>
      <w:rFonts w:ascii="Times New Roman" w:eastAsia="PMingLiU" w:hAnsi="Times New Roman" w:cs="Simplified Arabic"/>
      <w:kern w:val="14"/>
      <w:szCs w:val="22"/>
      <w:lang w:eastAsia="en-US"/>
    </w:rPr>
  </w:style>
  <w:style w:type="paragraph" w:styleId="CommentSubject">
    <w:name w:val="annotation subject"/>
    <w:basedOn w:val="CommentText"/>
    <w:next w:val="CommentText"/>
    <w:link w:val="CommentSubjectChar"/>
    <w:uiPriority w:val="99"/>
    <w:semiHidden/>
    <w:unhideWhenUsed/>
    <w:rsid w:val="00DB712F"/>
    <w:rPr>
      <w:b/>
      <w:bCs/>
    </w:rPr>
  </w:style>
  <w:style w:type="character" w:customStyle="1" w:styleId="CommentSubjectChar">
    <w:name w:val="Comment Subject Char"/>
    <w:basedOn w:val="CommentTextChar"/>
    <w:link w:val="CommentSubject"/>
    <w:uiPriority w:val="99"/>
    <w:semiHidden/>
    <w:rsid w:val="00DB712F"/>
    <w:rPr>
      <w:rFonts w:ascii="Times New Roman" w:eastAsia="PMingLiU" w:hAnsi="Times New Roman" w:cs="Simplified Arabic"/>
      <w:b/>
      <w:bCs/>
      <w:kern w:val="14"/>
      <w:szCs w:val="22"/>
      <w:lang w:eastAsia="en-US"/>
    </w:rPr>
  </w:style>
  <w:style w:type="paragraph" w:customStyle="1" w:styleId="Bullet1G">
    <w:name w:val="_Bullet 1_G"/>
    <w:basedOn w:val="Normal"/>
    <w:qFormat/>
    <w:rsid w:val="00DB712F"/>
    <w:pPr>
      <w:numPr>
        <w:numId w:val="21"/>
      </w:numPr>
      <w:bidi w:val="0"/>
      <w:spacing w:after="120"/>
      <w:ind w:right="1134"/>
      <w:jc w:val="both"/>
    </w:pPr>
    <w:rPr>
      <w:sz w:val="22"/>
    </w:rPr>
  </w:style>
  <w:style w:type="character" w:customStyle="1" w:styleId="SingleTxtGChar">
    <w:name w:val="_ Single Txt_G Char"/>
    <w:link w:val="SingleTxtG"/>
    <w:rsid w:val="00DB712F"/>
    <w:rPr>
      <w:rFonts w:ascii="Times New Roman" w:eastAsia="PMingLiU" w:hAnsi="Times New Roman" w:cs="Simplified Arabic"/>
      <w:lang w:val="en-GB" w:eastAsia="en-US"/>
    </w:rPr>
  </w:style>
  <w:style w:type="paragraph" w:customStyle="1" w:styleId="Preparedby">
    <w:name w:val="Prepared by:"/>
    <w:basedOn w:val="H23GA"/>
    <w:qFormat/>
    <w:rsid w:val="00DB712F"/>
    <w:rPr>
      <w:sz w:val="32"/>
      <w:szCs w:val="32"/>
    </w:rPr>
  </w:style>
  <w:style w:type="paragraph" w:customStyle="1" w:styleId="ParaNoG">
    <w:name w:val="_ParaNo._G"/>
    <w:basedOn w:val="SingleTxtG"/>
    <w:rsid w:val="00DB712F"/>
    <w:pPr>
      <w:numPr>
        <w:numId w:val="28"/>
      </w:numPr>
      <w:tabs>
        <w:tab w:val="left" w:pos="1134"/>
        <w:tab w:val="left" w:pos="1701"/>
        <w:tab w:val="left" w:pos="2268"/>
        <w:tab w:val="left" w:pos="2835"/>
      </w:tabs>
      <w:suppressAutoHyphens w:val="0"/>
    </w:pPr>
    <w:rPr>
      <w:rFonts w:hint="cs"/>
      <w:szCs w:val="30"/>
      <w:lang w:val="fr-FR" w:eastAsia="fr-FR"/>
    </w:rPr>
  </w:style>
  <w:style w:type="paragraph" w:customStyle="1" w:styleId="HMG">
    <w:name w:val="_ H __M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240" w:line="360" w:lineRule="exact"/>
      <w:ind w:left="1134" w:right="1134" w:hanging="1134"/>
      <w:jc w:val="left"/>
    </w:pPr>
    <w:rPr>
      <w:rFonts w:hint="cs"/>
      <w:b/>
      <w:sz w:val="34"/>
      <w:szCs w:val="30"/>
      <w:lang w:val="fr-FR" w:eastAsia="fr-FR"/>
    </w:rPr>
  </w:style>
  <w:style w:type="paragraph" w:customStyle="1" w:styleId="H56G">
    <w:name w:val="_ H_5/6_G"/>
    <w:basedOn w:val="Normal"/>
    <w:next w:val="Normal"/>
    <w:qFormat/>
    <w:rsid w:val="00DB712F"/>
    <w:pPr>
      <w:keepNext/>
      <w:keepLines/>
      <w:tabs>
        <w:tab w:val="right" w:pos="851"/>
      </w:tabs>
      <w:kinsoku w:val="0"/>
      <w:overflowPunct w:val="0"/>
      <w:autoSpaceDE w:val="0"/>
      <w:autoSpaceDN w:val="0"/>
      <w:bidi w:val="0"/>
      <w:adjustRightInd w:val="0"/>
      <w:snapToGrid w:val="0"/>
      <w:spacing w:before="240" w:after="120" w:line="240" w:lineRule="exact"/>
      <w:ind w:left="1134" w:right="1134" w:hanging="1134"/>
      <w:jc w:val="left"/>
    </w:pPr>
    <w:rPr>
      <w:rFonts w:hint="cs"/>
      <w:szCs w:val="30"/>
      <w:lang w:val="fr-FR" w:eastAsia="fr-FR"/>
    </w:rPr>
  </w:style>
  <w:style w:type="paragraph" w:customStyle="1" w:styleId="SLG">
    <w:name w:val="__S_L_G"/>
    <w:basedOn w:val="Normal"/>
    <w:next w:val="Normal"/>
    <w:rsid w:val="00DB712F"/>
    <w:pPr>
      <w:keepNext/>
      <w:keepLines/>
      <w:kinsoku w:val="0"/>
      <w:overflowPunct w:val="0"/>
      <w:autoSpaceDE w:val="0"/>
      <w:autoSpaceDN w:val="0"/>
      <w:bidi w:val="0"/>
      <w:adjustRightInd w:val="0"/>
      <w:snapToGrid w:val="0"/>
      <w:spacing w:before="240" w:after="240" w:line="580" w:lineRule="exact"/>
      <w:ind w:left="1134" w:right="1134"/>
      <w:jc w:val="left"/>
    </w:pPr>
    <w:rPr>
      <w:rFonts w:hint="cs"/>
      <w:b/>
      <w:sz w:val="56"/>
      <w:szCs w:val="30"/>
      <w:lang w:val="fr-FR" w:eastAsia="fr-FR"/>
    </w:rPr>
  </w:style>
  <w:style w:type="paragraph" w:customStyle="1" w:styleId="SMG">
    <w:name w:val="__S_M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SSG">
    <w:name w:val="__S_S_G"/>
    <w:basedOn w:val="Normal"/>
    <w:next w:val="Normal"/>
    <w:rsid w:val="00DB712F"/>
    <w:pPr>
      <w:keepNext/>
      <w:keepLines/>
      <w:kinsoku w:val="0"/>
      <w:overflowPunct w:val="0"/>
      <w:autoSpaceDE w:val="0"/>
      <w:autoSpaceDN w:val="0"/>
      <w:bidi w:val="0"/>
      <w:adjustRightInd w:val="0"/>
      <w:snapToGrid w:val="0"/>
      <w:spacing w:before="240" w:after="240" w:line="300" w:lineRule="exact"/>
      <w:ind w:left="1134" w:right="1134"/>
      <w:jc w:val="left"/>
    </w:pPr>
    <w:rPr>
      <w:rFonts w:hint="cs"/>
      <w:b/>
      <w:sz w:val="28"/>
      <w:szCs w:val="30"/>
      <w:lang w:val="fr-FR" w:eastAsia="fr-FR"/>
    </w:rPr>
  </w:style>
  <w:style w:type="paragraph" w:customStyle="1" w:styleId="XLargeG">
    <w:name w:val="__XLarge_G"/>
    <w:basedOn w:val="Normal"/>
    <w:next w:val="Normal"/>
    <w:rsid w:val="00DB712F"/>
    <w:pPr>
      <w:keepNext/>
      <w:keepLines/>
      <w:kinsoku w:val="0"/>
      <w:overflowPunct w:val="0"/>
      <w:autoSpaceDE w:val="0"/>
      <w:autoSpaceDN w:val="0"/>
      <w:bidi w:val="0"/>
      <w:adjustRightInd w:val="0"/>
      <w:snapToGrid w:val="0"/>
      <w:spacing w:before="240" w:after="240" w:line="420" w:lineRule="exact"/>
      <w:ind w:left="1134" w:right="1134"/>
      <w:jc w:val="left"/>
    </w:pPr>
    <w:rPr>
      <w:rFonts w:hint="cs"/>
      <w:b/>
      <w:sz w:val="40"/>
      <w:szCs w:val="30"/>
      <w:lang w:val="fr-FR" w:eastAsia="fr-FR"/>
    </w:rPr>
  </w:style>
  <w:style w:type="paragraph" w:customStyle="1" w:styleId="Bullet2G">
    <w:name w:val="_Bullet 2_G"/>
    <w:basedOn w:val="Normal"/>
    <w:qFormat/>
    <w:rsid w:val="00DB712F"/>
    <w:pPr>
      <w:numPr>
        <w:numId w:val="24"/>
      </w:numPr>
      <w:kinsoku w:val="0"/>
      <w:overflowPunct w:val="0"/>
      <w:autoSpaceDE w:val="0"/>
      <w:autoSpaceDN w:val="0"/>
      <w:bidi w:val="0"/>
      <w:adjustRightInd w:val="0"/>
      <w:snapToGrid w:val="0"/>
      <w:spacing w:after="120"/>
      <w:ind w:right="1134"/>
      <w:jc w:val="both"/>
    </w:pPr>
    <w:rPr>
      <w:rFonts w:hint="cs"/>
      <w:szCs w:val="30"/>
      <w:lang w:val="fr-FR" w:eastAsia="fr-FR"/>
    </w:rPr>
  </w:style>
  <w:style w:type="paragraph" w:styleId="Revision">
    <w:name w:val="Revision"/>
    <w:hidden/>
    <w:uiPriority w:val="99"/>
    <w:semiHidden/>
    <w:rsid w:val="00DB712F"/>
    <w:rPr>
      <w:rFonts w:asciiTheme="minorHAnsi" w:eastAsiaTheme="minorEastAsia" w:hAnsiTheme="minorHAnsi" w:cstheme="minorBidi"/>
      <w:sz w:val="24"/>
      <w:szCs w:val="24"/>
      <w:lang w:val="fr-FR" w:eastAsia="fr-FR"/>
    </w:rPr>
  </w:style>
  <w:style w:type="paragraph" w:customStyle="1" w:styleId="Default">
    <w:name w:val="Default"/>
    <w:semiHidden/>
    <w:rsid w:val="00DB712F"/>
    <w:pPr>
      <w:autoSpaceDE w:val="0"/>
      <w:autoSpaceDN w:val="0"/>
      <w:adjustRightInd w:val="0"/>
    </w:pPr>
    <w:rPr>
      <w:rFonts w:ascii="Times New Roman" w:eastAsia="PMingLiU" w:hAnsi="Times New Roman" w:cs="Simplified Arabic"/>
      <w:color w:val="000000"/>
      <w:sz w:val="24"/>
      <w:szCs w:val="24"/>
      <w:lang w:val="fr-FR" w:eastAsia="fr-FR"/>
    </w:rPr>
  </w:style>
  <w:style w:type="character" w:customStyle="1" w:styleId="terminologypart">
    <w:name w:val="terminologypart"/>
    <w:basedOn w:val="DefaultParagraphFont"/>
    <w:rsid w:val="00DB712F"/>
  </w:style>
  <w:style w:type="character" w:customStyle="1" w:styleId="preferred">
    <w:name w:val="preferred"/>
    <w:basedOn w:val="DefaultParagraphFont"/>
    <w:rsid w:val="00DB712F"/>
  </w:style>
  <w:style w:type="character" w:customStyle="1" w:styleId="admitted">
    <w:name w:val="admitted"/>
    <w:basedOn w:val="DefaultParagraphFont"/>
    <w:rsid w:val="00DB712F"/>
  </w:style>
  <w:style w:type="character" w:customStyle="1" w:styleId="HChGChar">
    <w:name w:val="_ H _Ch_G Char"/>
    <w:link w:val="HChG"/>
    <w:rsid w:val="00774CA0"/>
    <w:rPr>
      <w:rFonts w:ascii="Times New Roman" w:eastAsia="PMingLiU" w:hAnsi="Times New Roman" w:cs="Simplified Arabic"/>
      <w:b/>
      <w:sz w:val="28"/>
      <w:lang w:val="en-GB" w:eastAsia="en-US"/>
    </w:rPr>
  </w:style>
  <w:style w:type="character" w:customStyle="1" w:styleId="H1GChar">
    <w:name w:val="_ H_1_G Char"/>
    <w:link w:val="H1G"/>
    <w:locked/>
    <w:rsid w:val="00774CA0"/>
    <w:rPr>
      <w:rFonts w:ascii="Times New Roman" w:eastAsia="PMingLiU" w:hAnsi="Times New Roman" w:cs="Simplified Arabic"/>
      <w:b/>
      <w:sz w:val="24"/>
      <w:lang w:val="en-GB" w:eastAsia="en-US"/>
    </w:rPr>
  </w:style>
  <w:style w:type="character" w:customStyle="1" w:styleId="H23GChar">
    <w:name w:val="_ H_2/3_G Char"/>
    <w:link w:val="H23G"/>
    <w:locked/>
    <w:rsid w:val="00774CA0"/>
    <w:rPr>
      <w:rFonts w:ascii="Times New Roman" w:eastAsia="PMingLiU" w:hAnsi="Times New Roman" w:cs="Simplified Arabic"/>
      <w:b/>
      <w:lang w:val="en-GB" w:eastAsia="en-US"/>
    </w:rPr>
  </w:style>
  <w:style w:type="paragraph" w:customStyle="1" w:styleId="BVIfnrChar">
    <w:name w:val="BVI fnr Char"/>
    <w:aliases w:val="ftref Char,16 Point Char,Superscript 6 Point Char,Footnotes refss Char,Footnote Reference Number Char,nota pié di pagina Char,Times 10 Point Char, Exposant 3 Point Char,Footnote symbol Char,Footnote reference number Char"/>
    <w:basedOn w:val="Normal"/>
    <w:link w:val="FootnoteReference"/>
    <w:uiPriority w:val="99"/>
    <w:rsid w:val="00774CA0"/>
    <w:pPr>
      <w:bidi w:val="0"/>
      <w:spacing w:after="160" w:line="240" w:lineRule="exact"/>
      <w:jc w:val="left"/>
    </w:pPr>
    <w:rPr>
      <w:rFonts w:ascii="Calibri" w:eastAsia="Times New Roman" w:hAnsi="Calibri" w:cs="Arial"/>
      <w:szCs w:val="18"/>
      <w:vertAlign w:val="superscript"/>
      <w:lang w:eastAsia="zh-TW"/>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21065338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2.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header" Target="header2.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2" Type="http://schemas.openxmlformats.org/officeDocument/2006/relationships/image" Target="media/image3.gif"/><Relationship Id="rId1" Type="http://schemas.openxmlformats.org/officeDocument/2006/relationships/image" Target="media/image2.png"/></Relationships>
</file>

<file path=word/_rels/footnotes.xml.rels><?xml version="1.0" encoding="UTF-8" standalone="yes"?>
<Relationships xmlns="http://schemas.openxmlformats.org/package/2006/relationships"><Relationship Id="rId8" Type="http://schemas.openxmlformats.org/officeDocument/2006/relationships/hyperlink" Target="https://undocs.org/ar/CAT/C/ESP/7" TargetMode="External"/><Relationship Id="rId13" Type="http://schemas.openxmlformats.org/officeDocument/2006/relationships/hyperlink" Target="https://undocs.org/ar/CAT/C/ESP/CO/6" TargetMode="External"/><Relationship Id="rId3" Type="http://schemas.openxmlformats.org/officeDocument/2006/relationships/hyperlink" Target="https://undocs.org/ar/CAT/C/SR.2028" TargetMode="External"/><Relationship Id="rId7" Type="http://schemas.openxmlformats.org/officeDocument/2006/relationships/hyperlink" Target="https://undocs.org/ar/CAT/C/ESP/7" TargetMode="External"/><Relationship Id="rId12" Type="http://schemas.openxmlformats.org/officeDocument/2006/relationships/hyperlink" Target="https://undocs.org/ar/A/HRC/48/60" TargetMode="External"/><Relationship Id="rId17" Type="http://schemas.openxmlformats.org/officeDocument/2006/relationships/hyperlink" Target="https://undocs.org/ar/CRPD/C/ESP/CO/2-3" TargetMode="External"/><Relationship Id="rId2" Type="http://schemas.openxmlformats.org/officeDocument/2006/relationships/hyperlink" Target="https://undocs.org/ar/CAT/C/SR.2026" TargetMode="External"/><Relationship Id="rId16" Type="http://schemas.openxmlformats.org/officeDocument/2006/relationships/hyperlink" Target="https://undocs.org/ar/CEDAW/C/ESP/CO/9" TargetMode="External"/><Relationship Id="rId1" Type="http://schemas.openxmlformats.org/officeDocument/2006/relationships/hyperlink" Target="https://undocs.org/ar/CAT/C/ESP/7" TargetMode="External"/><Relationship Id="rId6" Type="http://schemas.openxmlformats.org/officeDocument/2006/relationships/hyperlink" Target="https://undocs.org/ar/CAT/C/ESP/CO/6" TargetMode="External"/><Relationship Id="rId11" Type="http://schemas.openxmlformats.org/officeDocument/2006/relationships/hyperlink" Target="https://undocs.org/ar/CED/C/ESP/OAI/1" TargetMode="External"/><Relationship Id="rId5" Type="http://schemas.openxmlformats.org/officeDocument/2006/relationships/hyperlink" Target="https://undocs.org/ar/CAT/C/ESP/CO/6/Add.1" TargetMode="External"/><Relationship Id="rId15" Type="http://schemas.openxmlformats.org/officeDocument/2006/relationships/hyperlink" Target="https://undocs.org/ar/CEDAW/C/ESP/CO/9" TargetMode="External"/><Relationship Id="rId10" Type="http://schemas.openxmlformats.org/officeDocument/2006/relationships/hyperlink" Target="https://undocs.org/ar/CAT/C/ESP/CO/6" TargetMode="External"/><Relationship Id="rId4" Type="http://schemas.openxmlformats.org/officeDocument/2006/relationships/hyperlink" Target="https://undocs.org/ar/CAT/C/ESP/CO/6" TargetMode="External"/><Relationship Id="rId9" Type="http://schemas.openxmlformats.org/officeDocument/2006/relationships/hyperlink" Target="https://undocs.org/ar/CAT/C/ESP/CO/6" TargetMode="External"/><Relationship Id="rId14" Type="http://schemas.openxmlformats.org/officeDocument/2006/relationships/hyperlink" Target="https://undocs.org/ar/CAT/C/68/D/818/2017"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4C734A9-C71D-4C53-9B5B-07590E8FEA2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15</Pages>
  <Words>5853</Words>
  <Characters>32195</Characters>
  <Application>Microsoft Office Word</Application>
  <DocSecurity>0</DocSecurity>
  <Lines>268</Lines>
  <Paragraphs>75</Paragraphs>
  <ScaleCrop>false</ScaleCrop>
  <HeadingPairs>
    <vt:vector size="2" baseType="variant">
      <vt:variant>
        <vt:lpstr>Title</vt:lpstr>
      </vt:variant>
      <vt:variant>
        <vt:i4>1</vt:i4>
      </vt:variant>
    </vt:vector>
  </HeadingPairs>
  <TitlesOfParts>
    <vt:vector size="1" baseType="lpstr">
      <vt:lpstr>CAT/C/ESP/CO/7</vt:lpstr>
    </vt:vector>
  </TitlesOfParts>
  <Company>DCM</Company>
  <LinksUpToDate>false</LinksUpToDate>
  <CharactersWithSpaces>37973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CAT/C/ESP/CO/7</dc:title>
  <dc:subject>GE.2314842(A)</dc:subject>
  <dc:creator>Ihab RIZ - </dc:creator>
  <cp:keywords>GE.(A)</cp:keywords>
  <dc:description>General_x000d_
_x000d_
Arabic_x000d_
English</dc:description>
  <cp:lastModifiedBy>Jamila Chedad</cp:lastModifiedBy>
  <cp:revision>3</cp:revision>
  <cp:lastPrinted>2023-11-21T11:38:00Z</cp:lastPrinted>
  <dcterms:created xsi:type="dcterms:W3CDTF">2023-11-21T11:38:00Z</dcterms:created>
  <dcterms:modified xsi:type="dcterms:W3CDTF">2023-11-21T11:38:00Z</dcterms:modified>
  <cp:category>Final</cp:category>
</cp:coreProperties>
</file>