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1BCA44" w14:textId="77777777" w:rsidR="00060D4A" w:rsidRDefault="00060D4A" w:rsidP="00060D4A">
      <w:pPr>
        <w:spacing w:line="240" w:lineRule="auto"/>
        <w:rPr>
          <w:sz w:val="2"/>
        </w:rPr>
        <w:sectPr w:rsidR="00060D4A" w:rsidSect="001A6DD6">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233D4667" w14:textId="38E5885D" w:rsidR="001A6DD6" w:rsidRPr="001A6DD6" w:rsidRDefault="001A6DD6" w:rsidP="007C7C44">
      <w:pPr>
        <w:pStyle w:val="H1"/>
        <w:ind w:left="0" w:right="4710" w:firstLine="0"/>
        <w:rPr>
          <w:lang w:val="fr-FR"/>
        </w:rPr>
      </w:pPr>
      <w:r w:rsidRPr="001A6DD6">
        <w:rPr>
          <w:lang w:val="fr-FR"/>
        </w:rPr>
        <w:t>Comité pour l’élimination de la discrimination à l’égard des femmes</w:t>
      </w:r>
    </w:p>
    <w:p w14:paraId="00C2B011" w14:textId="77777777" w:rsidR="001A6DD6" w:rsidRPr="007C7C44" w:rsidRDefault="001A6DD6" w:rsidP="007C7C44">
      <w:pPr>
        <w:pStyle w:val="SingleTxt"/>
        <w:spacing w:after="0" w:line="120" w:lineRule="exact"/>
        <w:rPr>
          <w:sz w:val="10"/>
          <w:lang w:val="fr-FR"/>
        </w:rPr>
      </w:pPr>
    </w:p>
    <w:p w14:paraId="10F4D531" w14:textId="77777777" w:rsidR="007C7C44" w:rsidRPr="007C7C44" w:rsidRDefault="007C7C44" w:rsidP="007C7C44">
      <w:pPr>
        <w:pStyle w:val="SingleTxt"/>
        <w:spacing w:after="0" w:line="120" w:lineRule="exact"/>
        <w:rPr>
          <w:sz w:val="10"/>
          <w:lang w:val="fr-FR"/>
        </w:rPr>
      </w:pPr>
    </w:p>
    <w:p w14:paraId="683E48CC" w14:textId="77777777" w:rsidR="007C7C44" w:rsidRPr="007C7C44" w:rsidRDefault="007C7C44" w:rsidP="007C7C44">
      <w:pPr>
        <w:pStyle w:val="SingleTxt"/>
        <w:spacing w:after="0" w:line="120" w:lineRule="exact"/>
        <w:rPr>
          <w:sz w:val="10"/>
          <w:lang w:val="fr-FR"/>
        </w:rPr>
      </w:pPr>
    </w:p>
    <w:p w14:paraId="1E6B84A8" w14:textId="3FBF5855" w:rsidR="007C7C44" w:rsidRPr="007C7C44" w:rsidRDefault="007C7C44" w:rsidP="007C7C44">
      <w:pPr>
        <w:framePr w:w="9792" w:h="432" w:hSpace="180" w:wrap="around" w:vAnchor="page" w:hAnchor="page" w:x="1179" w:y="1369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14:ligatures w14:val="none"/>
        </w:rPr>
      </w:pPr>
      <w:r>
        <w:rPr>
          <w:noProof/>
          <w:w w:val="100"/>
        </w:rPr>
        <mc:AlternateContent>
          <mc:Choice Requires="wps">
            <w:drawing>
              <wp:anchor distT="0" distB="0" distL="114300" distR="114300" simplePos="0" relativeHeight="251662336" behindDoc="0" locked="0" layoutInCell="1" allowOverlap="1" wp14:anchorId="73850006" wp14:editId="625A5F20">
                <wp:simplePos x="0" y="0"/>
                <wp:positionH relativeFrom="column">
                  <wp:posOffset>548640</wp:posOffset>
                </wp:positionH>
                <wp:positionV relativeFrom="paragraph">
                  <wp:posOffset>-12700</wp:posOffset>
                </wp:positionV>
                <wp:extent cx="914400" cy="0"/>
                <wp:effectExtent l="0" t="0" r="0" b="0"/>
                <wp:wrapNone/>
                <wp:docPr id="96942557"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394241"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14:ligatures w14:val="none"/>
        </w:rPr>
        <w:tab/>
        <w:t>*</w:t>
      </w:r>
      <w:r>
        <w:rPr>
          <w:spacing w:val="5"/>
          <w:w w:val="104"/>
          <w:sz w:val="17"/>
          <w14:ligatures w14:val="none"/>
        </w:rPr>
        <w:tab/>
      </w:r>
      <w:r w:rsidRPr="001A6DD6">
        <w:rPr>
          <w:spacing w:val="5"/>
          <w:w w:val="104"/>
          <w:sz w:val="17"/>
          <w:lang w:val="fr-FR"/>
          <w14:ligatures w14:val="none"/>
        </w:rPr>
        <w:t>La version originale du présent document n’a pas été revue par les services d’édition.</w:t>
      </w:r>
    </w:p>
    <w:p w14:paraId="22CC475D" w14:textId="77777777" w:rsidR="001A6DD6" w:rsidRPr="001A6DD6" w:rsidRDefault="001A6DD6" w:rsidP="007C7C44">
      <w:pPr>
        <w:pStyle w:val="TitleHCH"/>
        <w:ind w:left="1267" w:right="1260" w:hanging="1267"/>
        <w:rPr>
          <w:lang w:val="fr-FR"/>
        </w:rPr>
      </w:pPr>
      <w:r w:rsidRPr="001A6DD6">
        <w:rPr>
          <w:lang w:val="fr-FR"/>
        </w:rPr>
        <w:tab/>
      </w:r>
      <w:r w:rsidRPr="001A6DD6">
        <w:rPr>
          <w:lang w:val="fr-FR"/>
        </w:rPr>
        <w:tab/>
        <w:t>Renseignements reçus de la Türkiye au sujet de la suite donnée aux observations finales concernant son huitième rapport périodique</w:t>
      </w:r>
      <w:r w:rsidRPr="007C7C44">
        <w:rPr>
          <w:b w:val="0"/>
          <w:sz w:val="20"/>
          <w:lang w:val="fr-FR"/>
        </w:rPr>
        <w:t>*</w:t>
      </w:r>
    </w:p>
    <w:p w14:paraId="11DA6DE4" w14:textId="77777777" w:rsidR="001A6DD6" w:rsidRPr="007C7C44" w:rsidRDefault="001A6DD6" w:rsidP="007C7C44">
      <w:pPr>
        <w:pStyle w:val="SingleTxt"/>
        <w:spacing w:after="0" w:line="120" w:lineRule="exact"/>
        <w:rPr>
          <w:sz w:val="10"/>
          <w:lang w:val="fr-FR"/>
        </w:rPr>
      </w:pPr>
    </w:p>
    <w:p w14:paraId="53A8DE2E" w14:textId="77777777" w:rsidR="007C7C44" w:rsidRPr="007C7C44" w:rsidRDefault="007C7C44" w:rsidP="007C7C44">
      <w:pPr>
        <w:pStyle w:val="SingleTxt"/>
        <w:spacing w:after="0" w:line="120" w:lineRule="exact"/>
        <w:rPr>
          <w:sz w:val="10"/>
          <w:lang w:val="fr-FR"/>
        </w:rPr>
      </w:pPr>
    </w:p>
    <w:p w14:paraId="5FFAF9EE" w14:textId="1B172E18" w:rsidR="00060D4A" w:rsidRDefault="001A6DD6" w:rsidP="007C7C44">
      <w:pPr>
        <w:pStyle w:val="SingleTxt"/>
        <w:jc w:val="right"/>
        <w:rPr>
          <w:lang w:val="fr-FR"/>
        </w:rPr>
      </w:pPr>
      <w:r w:rsidRPr="001A6DD6">
        <w:rPr>
          <w:lang w:val="fr-FR"/>
        </w:rPr>
        <w:t>[Date de réception : 12</w:t>
      </w:r>
      <w:r w:rsidR="007C7C44">
        <w:rPr>
          <w:lang w:val="fr-FR"/>
        </w:rPr>
        <w:t> </w:t>
      </w:r>
      <w:r w:rsidRPr="001A6DD6">
        <w:rPr>
          <w:lang w:val="fr-FR"/>
        </w:rPr>
        <w:t>juillet 2024]</w:t>
      </w:r>
    </w:p>
    <w:p w14:paraId="7267536A" w14:textId="00F806D4" w:rsidR="001A6DD6" w:rsidRDefault="001A6DD6">
      <w:pPr>
        <w:suppressAutoHyphens w:val="0"/>
        <w:spacing w:after="160" w:line="259" w:lineRule="auto"/>
        <w:rPr>
          <w:lang w:val="fr-FR"/>
        </w:rPr>
      </w:pPr>
      <w:r>
        <w:rPr>
          <w:lang w:val="fr-FR"/>
        </w:rPr>
        <w:br w:type="page"/>
      </w:r>
    </w:p>
    <w:p w14:paraId="7300C3DC" w14:textId="77777777" w:rsidR="001A6DD6" w:rsidRPr="001A6DD6" w:rsidRDefault="001A6DD6" w:rsidP="007C7C44">
      <w:pPr>
        <w:pStyle w:val="HCh"/>
        <w:ind w:left="1267" w:right="1260" w:hanging="1267"/>
        <w:rPr>
          <w:lang w:val="fr-FR"/>
        </w:rPr>
      </w:pPr>
      <w:r w:rsidRPr="001A6DD6">
        <w:rPr>
          <w:sz w:val="20"/>
          <w:lang w:val="fr-FR"/>
        </w:rPr>
        <w:lastRenderedPageBreak/>
        <w:tab/>
      </w:r>
      <w:r w:rsidRPr="001A6DD6">
        <w:rPr>
          <w:lang w:val="fr-FR"/>
        </w:rPr>
        <w:tab/>
        <w:t>Renseignements sur la suite donnée aux observations finales</w:t>
      </w:r>
    </w:p>
    <w:p w14:paraId="7F66C109" w14:textId="77777777" w:rsidR="001A6DD6" w:rsidRPr="007C7C44" w:rsidRDefault="001A6DD6" w:rsidP="007C7C44">
      <w:pPr>
        <w:pStyle w:val="SingleTxt"/>
        <w:spacing w:after="0" w:line="120" w:lineRule="exact"/>
        <w:rPr>
          <w:sz w:val="10"/>
          <w:lang w:val="fr-FR"/>
        </w:rPr>
      </w:pPr>
    </w:p>
    <w:p w14:paraId="263BD1F5" w14:textId="77777777" w:rsidR="007C7C44" w:rsidRPr="007C7C44" w:rsidRDefault="007C7C44" w:rsidP="007C7C44">
      <w:pPr>
        <w:pStyle w:val="SingleTxt"/>
        <w:spacing w:after="0" w:line="120" w:lineRule="exact"/>
        <w:rPr>
          <w:sz w:val="10"/>
          <w:lang w:val="fr-FR"/>
        </w:rPr>
      </w:pPr>
    </w:p>
    <w:p w14:paraId="71A4E97F" w14:textId="1FEAAAF8" w:rsidR="001A6DD6" w:rsidRPr="001A6DD6" w:rsidRDefault="001A6DD6" w:rsidP="007C7C44">
      <w:pPr>
        <w:pStyle w:val="SingleTxt"/>
        <w:numPr>
          <w:ilvl w:val="0"/>
          <w:numId w:val="34"/>
        </w:numPr>
        <w:spacing w:line="240" w:lineRule="exact"/>
        <w:ind w:left="1267"/>
        <w:rPr>
          <w:lang w:val="fr-FR"/>
        </w:rPr>
      </w:pPr>
      <w:r w:rsidRPr="001A6DD6">
        <w:rPr>
          <w:lang w:val="fr-FR"/>
        </w:rPr>
        <w:t>Le présent document fait suite aux observations finales (</w:t>
      </w:r>
      <w:hyperlink r:id="rId20" w:history="1">
        <w:r w:rsidRPr="001A6DD6">
          <w:rPr>
            <w:rStyle w:val="Hyperlink"/>
            <w:lang w:val="fr-FR"/>
          </w:rPr>
          <w:t>CEDAW/C/T</w:t>
        </w:r>
        <w:r w:rsidRPr="001A6DD6">
          <w:rPr>
            <w:rStyle w:val="Hyperlink"/>
            <w:lang w:val="fr-FR"/>
          </w:rPr>
          <w:t>U</w:t>
        </w:r>
        <w:r w:rsidRPr="001A6DD6">
          <w:rPr>
            <w:rStyle w:val="Hyperlink"/>
            <w:lang w:val="fr-FR"/>
          </w:rPr>
          <w:t>R/CO/8</w:t>
        </w:r>
      </w:hyperlink>
      <w:r w:rsidRPr="001A6DD6">
        <w:rPr>
          <w:lang w:val="fr-FR"/>
        </w:rPr>
        <w:t>) concernant le huitième rapport périodique de la République de Türkiye, formulées le 4</w:t>
      </w:r>
      <w:r w:rsidR="007C7C44">
        <w:rPr>
          <w:lang w:val="fr-FR"/>
        </w:rPr>
        <w:t> </w:t>
      </w:r>
      <w:r w:rsidRPr="001A6DD6">
        <w:rPr>
          <w:lang w:val="fr-FR"/>
        </w:rPr>
        <w:t>juillet 2022 par le Comité pour l’élimination de la discrimination à l’égard des femmes. Au paragraphe</w:t>
      </w:r>
      <w:r w:rsidR="007C7C44">
        <w:rPr>
          <w:lang w:val="fr-FR"/>
        </w:rPr>
        <w:t> </w:t>
      </w:r>
      <w:r w:rsidRPr="001A6DD6">
        <w:rPr>
          <w:lang w:val="fr-FR"/>
        </w:rPr>
        <w:t xml:space="preserve">62, il est demandé à la Türkiye de communiquer par écrit des informations sur les mesures prises pour appliquer les recommandations énoncées aux </w:t>
      </w:r>
      <w:r w:rsidRPr="00ED740E">
        <w:rPr>
          <w:spacing w:val="0"/>
          <w:lang w:val="fr-FR"/>
        </w:rPr>
        <w:t>paragraphes</w:t>
      </w:r>
      <w:r w:rsidR="007C7C44" w:rsidRPr="00ED740E">
        <w:rPr>
          <w:spacing w:val="0"/>
          <w:lang w:val="fr-FR"/>
        </w:rPr>
        <w:t> </w:t>
      </w:r>
      <w:r w:rsidRPr="00ED740E">
        <w:rPr>
          <w:spacing w:val="0"/>
          <w:lang w:val="fr-FR"/>
        </w:rPr>
        <w:t>31</w:t>
      </w:r>
      <w:r w:rsidR="007C7C44" w:rsidRPr="00ED740E">
        <w:rPr>
          <w:spacing w:val="0"/>
          <w:lang w:val="fr-FR"/>
        </w:rPr>
        <w:t xml:space="preserve"> </w:t>
      </w:r>
      <w:r w:rsidRPr="00ED740E">
        <w:rPr>
          <w:spacing w:val="0"/>
          <w:lang w:val="fr-FR"/>
        </w:rPr>
        <w:t>a), 38</w:t>
      </w:r>
      <w:r w:rsidR="007C7C44" w:rsidRPr="00ED740E">
        <w:rPr>
          <w:spacing w:val="0"/>
          <w:lang w:val="fr-FR"/>
        </w:rPr>
        <w:t xml:space="preserve"> </w:t>
      </w:r>
      <w:r w:rsidRPr="00ED740E">
        <w:rPr>
          <w:spacing w:val="0"/>
          <w:lang w:val="fr-FR"/>
        </w:rPr>
        <w:t>a) et 40</w:t>
      </w:r>
      <w:r w:rsidR="007C7C44" w:rsidRPr="00ED740E">
        <w:rPr>
          <w:spacing w:val="0"/>
          <w:lang w:val="fr-FR"/>
        </w:rPr>
        <w:t xml:space="preserve"> </w:t>
      </w:r>
      <w:r w:rsidRPr="00ED740E">
        <w:rPr>
          <w:spacing w:val="0"/>
          <w:lang w:val="fr-FR"/>
        </w:rPr>
        <w:t xml:space="preserve">a) des observations finales. Les réponses du </w:t>
      </w:r>
      <w:r w:rsidR="00ED740E">
        <w:rPr>
          <w:spacing w:val="0"/>
          <w:lang w:val="fr-FR"/>
        </w:rPr>
        <w:t>G</w:t>
      </w:r>
      <w:r w:rsidRPr="00ED740E">
        <w:rPr>
          <w:spacing w:val="0"/>
          <w:lang w:val="fr-FR"/>
        </w:rPr>
        <w:t>ouvernement turc sont exposées ci-après</w:t>
      </w:r>
      <w:r w:rsidRPr="001A6DD6">
        <w:rPr>
          <w:lang w:val="fr-FR"/>
        </w:rPr>
        <w:t>.</w:t>
      </w:r>
    </w:p>
    <w:p w14:paraId="5E9EAADD" w14:textId="77777777" w:rsidR="001A6DD6" w:rsidRPr="007C7C44" w:rsidRDefault="001A6DD6" w:rsidP="007C7C44">
      <w:pPr>
        <w:pStyle w:val="SingleTxt"/>
        <w:spacing w:after="0" w:line="120" w:lineRule="exact"/>
        <w:rPr>
          <w:sz w:val="10"/>
          <w:lang w:val="fr-FR"/>
        </w:rPr>
      </w:pPr>
    </w:p>
    <w:p w14:paraId="2441AF0C" w14:textId="77777777" w:rsidR="007C7C44" w:rsidRPr="007C7C44" w:rsidRDefault="007C7C44" w:rsidP="007C7C44">
      <w:pPr>
        <w:pStyle w:val="SingleTxt"/>
        <w:spacing w:after="0" w:line="120" w:lineRule="exact"/>
        <w:rPr>
          <w:sz w:val="10"/>
          <w:lang w:val="fr-FR"/>
        </w:rPr>
      </w:pPr>
    </w:p>
    <w:p w14:paraId="163EFA89" w14:textId="1CE41D06" w:rsidR="001A6DD6" w:rsidRPr="001A6DD6" w:rsidRDefault="001A6DD6" w:rsidP="007C7C44">
      <w:pPr>
        <w:pStyle w:val="H1"/>
        <w:ind w:right="1260"/>
        <w:rPr>
          <w:lang w:val="fr-FR"/>
        </w:rPr>
      </w:pPr>
      <w:r w:rsidRPr="001A6DD6">
        <w:rPr>
          <w:lang w:val="fr-FR"/>
        </w:rPr>
        <w:tab/>
        <w:t>A.</w:t>
      </w:r>
      <w:r w:rsidRPr="001A6DD6">
        <w:rPr>
          <w:lang w:val="fr-FR"/>
        </w:rPr>
        <w:tab/>
        <w:t>Renseignements sur la suite donnée au paragraphe</w:t>
      </w:r>
      <w:r w:rsidR="007C7C44">
        <w:rPr>
          <w:lang w:val="fr-FR"/>
        </w:rPr>
        <w:t> </w:t>
      </w:r>
      <w:r w:rsidRPr="001A6DD6">
        <w:rPr>
          <w:lang w:val="fr-FR"/>
        </w:rPr>
        <w:t>31</w:t>
      </w:r>
      <w:r w:rsidR="007C7C44">
        <w:rPr>
          <w:lang w:val="fr-FR"/>
        </w:rPr>
        <w:t xml:space="preserve"> </w:t>
      </w:r>
      <w:r w:rsidRPr="001A6DD6">
        <w:rPr>
          <w:lang w:val="fr-FR"/>
        </w:rPr>
        <w:t>a) des observations finales</w:t>
      </w:r>
    </w:p>
    <w:p w14:paraId="091E1365" w14:textId="77777777" w:rsidR="001A6DD6" w:rsidRPr="007C7C44" w:rsidRDefault="001A6DD6" w:rsidP="007C7C44">
      <w:pPr>
        <w:pStyle w:val="SingleTxt"/>
        <w:spacing w:after="0" w:line="120" w:lineRule="exact"/>
        <w:rPr>
          <w:sz w:val="10"/>
          <w:lang w:val="fr-FR"/>
        </w:rPr>
      </w:pPr>
    </w:p>
    <w:p w14:paraId="3055ECF0" w14:textId="77777777" w:rsidR="007C7C44" w:rsidRPr="007C7C44" w:rsidRDefault="007C7C44" w:rsidP="007C7C44">
      <w:pPr>
        <w:pStyle w:val="SingleTxt"/>
        <w:spacing w:after="0" w:line="120" w:lineRule="exact"/>
        <w:rPr>
          <w:sz w:val="10"/>
          <w:lang w:val="fr-FR"/>
        </w:rPr>
      </w:pPr>
    </w:p>
    <w:p w14:paraId="1DC36160" w14:textId="74E68C9C" w:rsidR="001A6DD6" w:rsidRPr="001A6DD6" w:rsidRDefault="001A6DD6" w:rsidP="007C7C44">
      <w:pPr>
        <w:pStyle w:val="SingleTxt"/>
        <w:numPr>
          <w:ilvl w:val="0"/>
          <w:numId w:val="34"/>
        </w:numPr>
        <w:spacing w:line="240" w:lineRule="exact"/>
        <w:ind w:left="1267"/>
        <w:rPr>
          <w:lang w:val="fr-FR"/>
        </w:rPr>
      </w:pPr>
      <w:r w:rsidRPr="001A6DD6">
        <w:rPr>
          <w:lang w:val="fr-FR"/>
        </w:rPr>
        <w:t>L’article</w:t>
      </w:r>
      <w:r w:rsidR="007C7C44">
        <w:rPr>
          <w:lang w:val="fr-FR"/>
        </w:rPr>
        <w:t> </w:t>
      </w:r>
      <w:r w:rsidRPr="001A6DD6">
        <w:rPr>
          <w:lang w:val="fr-FR"/>
        </w:rPr>
        <w:t>29 du Code pénal turc régit la provocation injuste. En droit turc, le fait de commettre une infraction au nom de la « coutume » ou de l’« honneur » ne constitue pas une circonstance atténuante.</w:t>
      </w:r>
    </w:p>
    <w:p w14:paraId="6B7B6675" w14:textId="09D41A9A" w:rsidR="001A6DD6" w:rsidRPr="001A6DD6" w:rsidRDefault="001A6DD6" w:rsidP="007C7C44">
      <w:pPr>
        <w:pStyle w:val="SingleTxt"/>
        <w:numPr>
          <w:ilvl w:val="0"/>
          <w:numId w:val="34"/>
        </w:numPr>
        <w:spacing w:line="240" w:lineRule="exact"/>
        <w:ind w:left="1267"/>
        <w:rPr>
          <w:lang w:val="fr-FR"/>
        </w:rPr>
      </w:pPr>
      <w:r w:rsidRPr="001A6DD6">
        <w:rPr>
          <w:lang w:val="fr-FR"/>
        </w:rPr>
        <w:t>Les juges examinent les dispositions relatives à la provocation injuste selon les circonstances de l’espèce et décident si elles lui sont applicables.</w:t>
      </w:r>
      <w:r w:rsidR="00ED740E">
        <w:rPr>
          <w:lang w:val="fr-FR"/>
        </w:rPr>
        <w:t xml:space="preserve"> </w:t>
      </w:r>
    </w:p>
    <w:p w14:paraId="78167463" w14:textId="78E23273" w:rsidR="001A6DD6" w:rsidRPr="001A6DD6" w:rsidRDefault="001A6DD6" w:rsidP="007C7C44">
      <w:pPr>
        <w:pStyle w:val="SingleTxt"/>
        <w:numPr>
          <w:ilvl w:val="0"/>
          <w:numId w:val="34"/>
        </w:numPr>
        <w:spacing w:line="240" w:lineRule="exact"/>
        <w:ind w:left="1267"/>
        <w:rPr>
          <w:lang w:val="fr-FR"/>
        </w:rPr>
      </w:pPr>
      <w:r w:rsidRPr="001A6DD6">
        <w:rPr>
          <w:lang w:val="fr-FR"/>
        </w:rPr>
        <w:t>Lorsqu’une peine est atténuée sur le fondement de la provocation injuste, les motifs de l’atténuation de peine doivent être exposés dans la décision.</w:t>
      </w:r>
    </w:p>
    <w:p w14:paraId="107BEABC" w14:textId="552481A2" w:rsidR="001A6DD6" w:rsidRPr="001A6DD6" w:rsidRDefault="001A6DD6" w:rsidP="007C7C44">
      <w:pPr>
        <w:pStyle w:val="SingleTxt"/>
        <w:numPr>
          <w:ilvl w:val="0"/>
          <w:numId w:val="34"/>
        </w:numPr>
        <w:spacing w:line="240" w:lineRule="exact"/>
        <w:ind w:left="1267"/>
        <w:rPr>
          <w:lang w:val="fr-FR"/>
        </w:rPr>
      </w:pPr>
      <w:r w:rsidRPr="001A6DD6">
        <w:rPr>
          <w:lang w:val="fr-FR"/>
        </w:rPr>
        <w:t xml:space="preserve">En droit pénal turc, la provocation injuste est un facteur influant sur la culpabilité, non un facteur servant à justifier l’infraction commise. </w:t>
      </w:r>
    </w:p>
    <w:p w14:paraId="7CE8F001" w14:textId="058561AC" w:rsidR="001A6DD6" w:rsidRPr="001A6DD6" w:rsidRDefault="001A6DD6" w:rsidP="007C7C44">
      <w:pPr>
        <w:pStyle w:val="SingleTxt"/>
        <w:numPr>
          <w:ilvl w:val="0"/>
          <w:numId w:val="34"/>
        </w:numPr>
        <w:spacing w:line="240" w:lineRule="exact"/>
        <w:ind w:left="1267"/>
        <w:rPr>
          <w:lang w:val="fr-FR"/>
        </w:rPr>
      </w:pPr>
      <w:r w:rsidRPr="001A6DD6">
        <w:rPr>
          <w:lang w:val="fr-FR"/>
        </w:rPr>
        <w:t>Dans la justification juridique de l’article</w:t>
      </w:r>
      <w:r w:rsidR="007C7C44">
        <w:rPr>
          <w:lang w:val="fr-FR"/>
        </w:rPr>
        <w:t> </w:t>
      </w:r>
      <w:r w:rsidRPr="001A6DD6">
        <w:rPr>
          <w:lang w:val="fr-FR"/>
        </w:rPr>
        <w:t xml:space="preserve">29, il est indiqué que « […] l’état de colère ou de détresse grave doit être causé par un acte injuste. Cette mention dans l’article vise à empêcher que les peines ne soient indûment atténuées sur le fondement de la provocation injuste dans notre pays, en particulier dans les affaires de meurtres entre membres d’une même famille, appelés </w:t>
      </w:r>
      <w:r w:rsidR="007C7C44">
        <w:rPr>
          <w:lang w:val="fr-FR"/>
        </w:rPr>
        <w:t>“</w:t>
      </w:r>
      <w:r w:rsidRPr="001A6DD6">
        <w:rPr>
          <w:lang w:val="fr-FR"/>
        </w:rPr>
        <w:t>crimes d’honneur</w:t>
      </w:r>
      <w:r w:rsidR="007C7C44">
        <w:rPr>
          <w:lang w:val="fr-FR"/>
        </w:rPr>
        <w:t>”</w:t>
      </w:r>
      <w:r w:rsidRPr="001A6DD6">
        <w:rPr>
          <w:lang w:val="fr-FR"/>
        </w:rPr>
        <w:t xml:space="preserve"> ». Il en ressort clairement que les crimes d’honneur tombent hors du champ de la provocation injuste. </w:t>
      </w:r>
    </w:p>
    <w:p w14:paraId="0F4C6208" w14:textId="0E4CFE75" w:rsidR="001A6DD6" w:rsidRPr="001A6DD6" w:rsidRDefault="001A6DD6" w:rsidP="007C7C44">
      <w:pPr>
        <w:pStyle w:val="SingleTxt"/>
        <w:numPr>
          <w:ilvl w:val="0"/>
          <w:numId w:val="34"/>
        </w:numPr>
        <w:spacing w:line="240" w:lineRule="exact"/>
        <w:ind w:left="1267"/>
        <w:rPr>
          <w:lang w:val="fr-FR"/>
        </w:rPr>
      </w:pPr>
      <w:r w:rsidRPr="001A6DD6">
        <w:rPr>
          <w:lang w:val="fr-FR"/>
        </w:rPr>
        <w:t>En outre, en droit turc, des notions telles que la culture, les coutumes, les traditions et l’honneur ne peuvent être invoquées comme circonstances atténuantes, quelle que soit l’infraction.</w:t>
      </w:r>
    </w:p>
    <w:p w14:paraId="00599691" w14:textId="0BC029CE" w:rsidR="001A6DD6" w:rsidRPr="001A6DD6" w:rsidRDefault="001A6DD6" w:rsidP="007C7C44">
      <w:pPr>
        <w:pStyle w:val="SingleTxt"/>
        <w:numPr>
          <w:ilvl w:val="0"/>
          <w:numId w:val="34"/>
        </w:numPr>
        <w:spacing w:line="240" w:lineRule="exact"/>
        <w:ind w:left="1267"/>
        <w:rPr>
          <w:lang w:val="fr-FR"/>
        </w:rPr>
      </w:pPr>
      <w:r w:rsidRPr="001A6DD6">
        <w:rPr>
          <w:lang w:val="fr-FR"/>
        </w:rPr>
        <w:t>L’article</w:t>
      </w:r>
      <w:r w:rsidR="007C7C44">
        <w:rPr>
          <w:lang w:val="fr-FR"/>
        </w:rPr>
        <w:t> </w:t>
      </w:r>
      <w:r w:rsidRPr="001A6DD6">
        <w:rPr>
          <w:lang w:val="fr-FR"/>
        </w:rPr>
        <w:t>82 du Code pénal turc indique que les infractions commises au nom de la coutume constituent des infractions aggravées, lesquelles sont passibles d’une peine aggravée d’emprisonnement à vie, la sanction la plus lourde en droit pénal turc.</w:t>
      </w:r>
    </w:p>
    <w:p w14:paraId="07F1DAFF" w14:textId="7C71C99E" w:rsidR="001A6DD6" w:rsidRPr="001A6DD6" w:rsidRDefault="001A6DD6" w:rsidP="007C7C44">
      <w:pPr>
        <w:pStyle w:val="SingleTxt"/>
        <w:numPr>
          <w:ilvl w:val="0"/>
          <w:numId w:val="34"/>
        </w:numPr>
        <w:spacing w:line="240" w:lineRule="exact"/>
        <w:ind w:left="1267"/>
        <w:rPr>
          <w:lang w:val="fr-FR"/>
        </w:rPr>
      </w:pPr>
      <w:r w:rsidRPr="001A6DD6">
        <w:rPr>
          <w:lang w:val="fr-FR"/>
        </w:rPr>
        <w:t>L’expression « au nom de la coutume » s’entend très largement et couvre notamment les actes qualifiés de « crimes d’honneur ». En adoptant l’article</w:t>
      </w:r>
      <w:r w:rsidR="007C7C44">
        <w:rPr>
          <w:lang w:val="fr-FR"/>
        </w:rPr>
        <w:t> </w:t>
      </w:r>
      <w:r w:rsidRPr="001A6DD6">
        <w:rPr>
          <w:lang w:val="fr-FR"/>
        </w:rPr>
        <w:t>82, le législateur a voulu prévenir la commission de tels crimes.</w:t>
      </w:r>
      <w:r w:rsidR="00ED740E">
        <w:rPr>
          <w:lang w:val="fr-FR"/>
        </w:rPr>
        <w:t xml:space="preserve"> </w:t>
      </w:r>
    </w:p>
    <w:p w14:paraId="646B2374" w14:textId="58C93F78" w:rsidR="001A6DD6" w:rsidRPr="001A6DD6" w:rsidRDefault="001A6DD6" w:rsidP="007C7C44">
      <w:pPr>
        <w:pStyle w:val="SingleTxt"/>
        <w:numPr>
          <w:ilvl w:val="0"/>
          <w:numId w:val="34"/>
        </w:numPr>
        <w:spacing w:line="240" w:lineRule="exact"/>
        <w:ind w:left="1267"/>
        <w:rPr>
          <w:lang w:val="fr-FR"/>
        </w:rPr>
      </w:pPr>
      <w:r w:rsidRPr="001A6DD6">
        <w:rPr>
          <w:lang w:val="fr-FR"/>
        </w:rPr>
        <w:t>Dans plusieurs décisions, la chambre criminelle de la Cour de cassation a souligné que la « coutume » englobait également l’« honneur », précisant que, dans les affaires où l’auteur a agi en ayant quasiment le sentiment d’accomplir une mission, l’infraction est aggravée et ne peut se voir appliquer la provocation injuste (autrement dit, la peine n’est pas atténuée).</w:t>
      </w:r>
    </w:p>
    <w:p w14:paraId="7D3C17E8" w14:textId="34A1FE19" w:rsidR="001A6DD6" w:rsidRPr="001A6DD6" w:rsidRDefault="001A6DD6" w:rsidP="007C7C44">
      <w:pPr>
        <w:pStyle w:val="SingleTxt"/>
        <w:numPr>
          <w:ilvl w:val="0"/>
          <w:numId w:val="34"/>
        </w:numPr>
        <w:spacing w:line="240" w:lineRule="exact"/>
        <w:ind w:left="1267"/>
        <w:rPr>
          <w:lang w:val="fr-FR"/>
        </w:rPr>
      </w:pPr>
      <w:r w:rsidRPr="001A6DD6">
        <w:rPr>
          <w:lang w:val="fr-FR"/>
        </w:rPr>
        <w:t xml:space="preserve">Par ailleurs, différentes activités destinées à apporter des améliorations juridiques ont été menées dans le cadre du quatrième plan d’action national de lutte </w:t>
      </w:r>
      <w:r w:rsidRPr="001A6DD6">
        <w:rPr>
          <w:lang w:val="fr-FR"/>
        </w:rPr>
        <w:lastRenderedPageBreak/>
        <w:t>contre la violence à l’égard des femmes (2021-2025) et du plan d’action en faveur des droits de l’homme (2021-2023).</w:t>
      </w:r>
    </w:p>
    <w:p w14:paraId="056E1D17" w14:textId="43310BF7" w:rsidR="001A6DD6" w:rsidRPr="001A6DD6" w:rsidRDefault="001A6DD6" w:rsidP="007C7C44">
      <w:pPr>
        <w:pStyle w:val="SingleTxt"/>
        <w:numPr>
          <w:ilvl w:val="0"/>
          <w:numId w:val="34"/>
        </w:numPr>
        <w:spacing w:line="240" w:lineRule="exact"/>
        <w:ind w:left="1267"/>
        <w:rPr>
          <w:lang w:val="fr-FR"/>
        </w:rPr>
      </w:pPr>
      <w:r w:rsidRPr="001A6DD6">
        <w:rPr>
          <w:lang w:val="fr-FR"/>
        </w:rPr>
        <w:t>Pour mieux lutter contre la violence à l’égard des femmes et renforcer la dissuasion, des modifications ont été apportées aux articles</w:t>
      </w:r>
      <w:r w:rsidR="007C7C44">
        <w:rPr>
          <w:lang w:val="fr-FR"/>
        </w:rPr>
        <w:t> </w:t>
      </w:r>
      <w:r w:rsidRPr="001A6DD6">
        <w:rPr>
          <w:lang w:val="fr-FR"/>
        </w:rPr>
        <w:t>82, 86, 96 et 109 du Code pénal turc en 2021. Désormais, certaines infractions –</w:t>
      </w:r>
      <w:r w:rsidR="007C7C44">
        <w:rPr>
          <w:lang w:val="fr-FR"/>
        </w:rPr>
        <w:t xml:space="preserve"> </w:t>
      </w:r>
      <w:r w:rsidRPr="001A6DD6">
        <w:rPr>
          <w:lang w:val="fr-FR"/>
        </w:rPr>
        <w:t>homicide volontaire, blessures intentionnelles, cruauté et privation de liberté</w:t>
      </w:r>
      <w:r w:rsidR="007C7C44">
        <w:rPr>
          <w:lang w:val="fr-FR"/>
        </w:rPr>
        <w:t xml:space="preserve"> </w:t>
      </w:r>
      <w:r w:rsidRPr="001A6DD6">
        <w:rPr>
          <w:lang w:val="fr-FR"/>
        </w:rPr>
        <w:t>– constituent des infractions aggravées dès lors qu’elles sont commises à l’égard d’une conjointe divorcée.</w:t>
      </w:r>
    </w:p>
    <w:p w14:paraId="6C5EADEE" w14:textId="35E15173" w:rsidR="001A6DD6" w:rsidRPr="001A6DD6" w:rsidRDefault="001A6DD6" w:rsidP="007C7C44">
      <w:pPr>
        <w:pStyle w:val="SingleTxt"/>
        <w:numPr>
          <w:ilvl w:val="0"/>
          <w:numId w:val="34"/>
        </w:numPr>
        <w:spacing w:line="240" w:lineRule="exact"/>
        <w:ind w:left="1267"/>
        <w:rPr>
          <w:lang w:val="fr-FR"/>
        </w:rPr>
      </w:pPr>
      <w:r w:rsidRPr="001A6DD6">
        <w:rPr>
          <w:lang w:val="fr-FR"/>
        </w:rPr>
        <w:t>En 2022, la loi portant modification du Code pénal turc et d’autres textes a introduit plusieurs changements à des fins de répression de la violence à l’égard des femmes :</w:t>
      </w:r>
    </w:p>
    <w:p w14:paraId="0743749B" w14:textId="77777777" w:rsidR="001A6DD6" w:rsidRPr="001A6DD6" w:rsidRDefault="001A6DD6" w:rsidP="007C7C44">
      <w:pPr>
        <w:pStyle w:val="SingleTxt"/>
        <w:tabs>
          <w:tab w:val="right" w:pos="1685"/>
        </w:tabs>
        <w:ind w:left="1742" w:hanging="475"/>
        <w:rPr>
          <w:lang w:val="fr-FR"/>
        </w:rPr>
      </w:pPr>
      <w:r w:rsidRPr="001A6DD6">
        <w:rPr>
          <w:lang w:val="fr-FR"/>
        </w:rPr>
        <w:tab/>
        <w:t>•</w:t>
      </w:r>
      <w:r w:rsidRPr="001A6DD6">
        <w:rPr>
          <w:lang w:val="fr-FR"/>
        </w:rPr>
        <w:tab/>
        <w:t>les infractions d’homicide volontaire, de blessure intentionnelle, de menace, de torture et de cruauté « commises à l’égard d’une femme » ont été érigées en infractions aggravées et sont passibles de peines plus lourdes ;</w:t>
      </w:r>
    </w:p>
    <w:p w14:paraId="41DD1C93" w14:textId="77777777" w:rsidR="001A6DD6" w:rsidRPr="001A6DD6" w:rsidRDefault="001A6DD6" w:rsidP="007C7C44">
      <w:pPr>
        <w:pStyle w:val="SingleTxt"/>
        <w:tabs>
          <w:tab w:val="right" w:pos="1685"/>
        </w:tabs>
        <w:ind w:left="1742" w:hanging="475"/>
        <w:rPr>
          <w:lang w:val="fr-FR"/>
        </w:rPr>
      </w:pPr>
      <w:r w:rsidRPr="001A6DD6">
        <w:rPr>
          <w:lang w:val="fr-FR"/>
        </w:rPr>
        <w:tab/>
        <w:t>•</w:t>
      </w:r>
      <w:r w:rsidRPr="001A6DD6">
        <w:rPr>
          <w:lang w:val="fr-FR"/>
        </w:rPr>
        <w:tab/>
        <w:t>l’infraction de blessure intentionnelle commise à l’égard d’une femme figure désormais dans le Code de procédure pénale comme un motif d’arrestation ;</w:t>
      </w:r>
    </w:p>
    <w:p w14:paraId="5A9E0B11" w14:textId="77777777" w:rsidR="001A6DD6" w:rsidRPr="001A6DD6" w:rsidRDefault="001A6DD6" w:rsidP="007C7C44">
      <w:pPr>
        <w:pStyle w:val="SingleTxt"/>
        <w:tabs>
          <w:tab w:val="right" w:pos="1685"/>
        </w:tabs>
        <w:ind w:left="1742" w:hanging="475"/>
        <w:rPr>
          <w:lang w:val="fr-FR"/>
        </w:rPr>
      </w:pPr>
      <w:r w:rsidRPr="001A6DD6">
        <w:rPr>
          <w:lang w:val="fr-FR"/>
        </w:rPr>
        <w:tab/>
        <w:t>•</w:t>
      </w:r>
      <w:r w:rsidRPr="001A6DD6">
        <w:rPr>
          <w:lang w:val="fr-FR"/>
        </w:rPr>
        <w:tab/>
        <w:t>le champ d’application des infractions a été élargi, de même que le champ d’application du bénéfice de l’assignation gratuite d’un avocat aux femmes victimes de violence ;</w:t>
      </w:r>
    </w:p>
    <w:p w14:paraId="7C1B78F1" w14:textId="3F2C3633" w:rsidR="001A6DD6" w:rsidRPr="001A6DD6" w:rsidRDefault="001A6DD6" w:rsidP="007C7C44">
      <w:pPr>
        <w:pStyle w:val="SingleTxt"/>
        <w:tabs>
          <w:tab w:val="right" w:pos="1685"/>
        </w:tabs>
        <w:ind w:left="1742" w:hanging="475"/>
        <w:rPr>
          <w:lang w:val="fr-FR"/>
        </w:rPr>
      </w:pPr>
      <w:r w:rsidRPr="001A6DD6">
        <w:rPr>
          <w:lang w:val="fr-FR"/>
        </w:rPr>
        <w:tab/>
        <w:t>•</w:t>
      </w:r>
      <w:r w:rsidRPr="001A6DD6">
        <w:rPr>
          <w:lang w:val="fr-FR"/>
        </w:rPr>
        <w:tab/>
        <w:t>le libellé du deuxième paragraphe de l’article</w:t>
      </w:r>
      <w:r w:rsidR="007C7C44">
        <w:rPr>
          <w:lang w:val="fr-FR"/>
        </w:rPr>
        <w:t> </w:t>
      </w:r>
      <w:r w:rsidRPr="001A6DD6">
        <w:rPr>
          <w:lang w:val="fr-FR"/>
        </w:rPr>
        <w:t xml:space="preserve">62 de la loi a été modifié comme suit : </w:t>
      </w:r>
      <w:r w:rsidRPr="001A6DD6">
        <w:rPr>
          <w:i/>
          <w:lang w:val="fr-FR"/>
        </w:rPr>
        <w:t xml:space="preserve">« Peuvent être pris en considération comme motif d’atténuation de peine </w:t>
      </w:r>
      <w:r w:rsidR="003A603B">
        <w:rPr>
          <w:i/>
          <w:lang w:val="fr-FR"/>
        </w:rPr>
        <w:t>à</w:t>
      </w:r>
      <w:r w:rsidRPr="001A6DD6">
        <w:rPr>
          <w:i/>
          <w:lang w:val="fr-FR"/>
        </w:rPr>
        <w:t xml:space="preserve"> titre discrétionnaire les antécédents de l’auteur de l’infraction, ses relations sociales, une attitude témoignant de remords après la commission de l’acte et au cours du procès, ou les effets que pourrait avoir la peine sur son avenir. Toutefois, aucune attitude ni aucun comportement explicite de l’auteur visant à influencer le tribunal au cours du procès ne peut constituer un motif d’atténuation de peine à titre discrétionnaire. Les motifs de toute atténuation de peine doivent être exposés et justifiés dans la décision</w:t>
      </w:r>
      <w:r w:rsidRPr="001A6DD6">
        <w:rPr>
          <w:lang w:val="fr-FR"/>
        </w:rPr>
        <w:t>. </w:t>
      </w:r>
      <w:r w:rsidRPr="001A6DD6">
        <w:rPr>
          <w:i/>
          <w:lang w:val="fr-FR"/>
        </w:rPr>
        <w:t>»</w:t>
      </w:r>
    </w:p>
    <w:p w14:paraId="44FBB9B9" w14:textId="050B85DB" w:rsidR="001A6DD6" w:rsidRPr="001A6DD6" w:rsidRDefault="001A6DD6" w:rsidP="007C7C44">
      <w:pPr>
        <w:pStyle w:val="SingleTxt"/>
        <w:numPr>
          <w:ilvl w:val="0"/>
          <w:numId w:val="34"/>
        </w:numPr>
        <w:spacing w:line="240" w:lineRule="exact"/>
        <w:ind w:left="1267"/>
        <w:rPr>
          <w:lang w:val="fr-FR"/>
        </w:rPr>
      </w:pPr>
      <w:r w:rsidRPr="001A6DD6">
        <w:rPr>
          <w:lang w:val="fr-FR"/>
        </w:rPr>
        <w:t>Neuf ateliers d’échange d’expériences ont été organisés en</w:t>
      </w:r>
      <w:r w:rsidR="003A603B">
        <w:rPr>
          <w:lang w:val="fr-FR"/>
        </w:rPr>
        <w:t xml:space="preserve"> </w:t>
      </w:r>
      <w:r w:rsidRPr="001A6DD6">
        <w:rPr>
          <w:lang w:val="fr-FR"/>
        </w:rPr>
        <w:t>2022 et 2023 à l’intention des juges des tribunaux aux affaires familiales chargés de rendre des décisions en vertu de la loi n</w:t>
      </w:r>
      <w:r w:rsidRPr="001A6DD6">
        <w:rPr>
          <w:vertAlign w:val="superscript"/>
          <w:lang w:val="fr-FR"/>
        </w:rPr>
        <w:t>o</w:t>
      </w:r>
      <w:r w:rsidR="007C7C44">
        <w:rPr>
          <w:lang w:val="fr-FR"/>
        </w:rPr>
        <w:t> </w:t>
      </w:r>
      <w:r w:rsidRPr="001A6DD6">
        <w:rPr>
          <w:lang w:val="fr-FR"/>
        </w:rPr>
        <w:t>6284 relative à la protection de la famille et la prévention de la violence à l’égard des femmes. Des procureurs des bureaux d’enquête sur la violence domestique y ont également participé. À la suite de ces ateliers, un guide détaillé intitulé « Guide d’application de la loi n</w:t>
      </w:r>
      <w:r w:rsidRPr="001A6DD6">
        <w:rPr>
          <w:vertAlign w:val="superscript"/>
          <w:lang w:val="fr-FR"/>
        </w:rPr>
        <w:t>o</w:t>
      </w:r>
      <w:r w:rsidR="007C7C44">
        <w:rPr>
          <w:lang w:val="fr-FR"/>
        </w:rPr>
        <w:t> </w:t>
      </w:r>
      <w:r w:rsidRPr="001A6DD6">
        <w:rPr>
          <w:lang w:val="fr-FR"/>
        </w:rPr>
        <w:t xml:space="preserve">6284 » a été rédigé à l’intention des juges et des procureurs. En outre, une « Brochure sur la législation relative à la violence à l’égard des femmes » a été élaborée, laquelle constitue un document de référence sur la législation relative à la violence domestique, notamment les instruments nationaux et internationaux tels que la Convention. </w:t>
      </w:r>
    </w:p>
    <w:p w14:paraId="0810D7EF" w14:textId="1B606E97" w:rsidR="001A6DD6" w:rsidRPr="001A6DD6" w:rsidRDefault="001A6DD6" w:rsidP="007C7C44">
      <w:pPr>
        <w:pStyle w:val="SingleTxt"/>
        <w:numPr>
          <w:ilvl w:val="0"/>
          <w:numId w:val="34"/>
        </w:numPr>
        <w:spacing w:line="240" w:lineRule="exact"/>
        <w:ind w:left="1267"/>
        <w:rPr>
          <w:lang w:val="fr-FR"/>
        </w:rPr>
      </w:pPr>
      <w:r w:rsidRPr="001A6DD6">
        <w:rPr>
          <w:lang w:val="fr-FR"/>
        </w:rPr>
        <w:t>Afin de procéder à l’examen du Code pénal turc et de la législation connexe, dans le but d’améliorer la prévention de la violence à l’égard des femmes, le Ministère de la justice a mis en place en 2020 une commission scientifique au sein de sa direction générale de la législation. Cette commission permanente conduit des études, formule des recommandations et prépare des propositions législatives.</w:t>
      </w:r>
    </w:p>
    <w:p w14:paraId="0938AA9E" w14:textId="77777777" w:rsidR="001A6DD6" w:rsidRPr="007C7C44" w:rsidRDefault="001A6DD6" w:rsidP="007C7C44">
      <w:pPr>
        <w:pStyle w:val="SingleTxt"/>
        <w:spacing w:after="0" w:line="120" w:lineRule="exact"/>
        <w:rPr>
          <w:sz w:val="10"/>
          <w:lang w:val="fr-FR"/>
        </w:rPr>
      </w:pPr>
    </w:p>
    <w:p w14:paraId="795E9903" w14:textId="77777777" w:rsidR="007C7C44" w:rsidRPr="007C7C44" w:rsidRDefault="007C7C44" w:rsidP="007C7C44">
      <w:pPr>
        <w:pStyle w:val="SingleTxt"/>
        <w:spacing w:after="0" w:line="120" w:lineRule="exact"/>
        <w:rPr>
          <w:sz w:val="10"/>
          <w:lang w:val="fr-FR"/>
        </w:rPr>
      </w:pPr>
    </w:p>
    <w:p w14:paraId="47E0EED2" w14:textId="60EA4C43" w:rsidR="001A6DD6" w:rsidRPr="001A6DD6" w:rsidRDefault="001A6DD6" w:rsidP="007C7C44">
      <w:pPr>
        <w:pStyle w:val="H1"/>
        <w:ind w:right="1260"/>
        <w:rPr>
          <w:lang w:val="fr-FR"/>
        </w:rPr>
      </w:pPr>
      <w:r w:rsidRPr="001A6DD6">
        <w:rPr>
          <w:lang w:val="fr-FR"/>
        </w:rPr>
        <w:tab/>
        <w:t>B.</w:t>
      </w:r>
      <w:r w:rsidRPr="001A6DD6">
        <w:rPr>
          <w:lang w:val="fr-FR"/>
        </w:rPr>
        <w:tab/>
        <w:t>Renseignements sur la suite donnée au paragraphe</w:t>
      </w:r>
      <w:r w:rsidR="007C7C44">
        <w:rPr>
          <w:lang w:val="fr-FR"/>
        </w:rPr>
        <w:t> </w:t>
      </w:r>
      <w:r w:rsidRPr="001A6DD6">
        <w:rPr>
          <w:lang w:val="fr-FR"/>
        </w:rPr>
        <w:t>38</w:t>
      </w:r>
      <w:r w:rsidR="007C7C44">
        <w:rPr>
          <w:lang w:val="fr-FR"/>
        </w:rPr>
        <w:t xml:space="preserve"> </w:t>
      </w:r>
      <w:r w:rsidRPr="001A6DD6">
        <w:rPr>
          <w:lang w:val="fr-FR"/>
        </w:rPr>
        <w:t>a) des observations finales</w:t>
      </w:r>
    </w:p>
    <w:p w14:paraId="1B36CEB9" w14:textId="77777777" w:rsidR="001A6DD6" w:rsidRPr="007C7C44" w:rsidRDefault="001A6DD6" w:rsidP="007C7C44">
      <w:pPr>
        <w:pStyle w:val="SingleTxt"/>
        <w:spacing w:after="0" w:line="120" w:lineRule="exact"/>
        <w:rPr>
          <w:sz w:val="10"/>
          <w:lang w:val="fr-FR"/>
        </w:rPr>
      </w:pPr>
    </w:p>
    <w:p w14:paraId="1E62557B" w14:textId="77777777" w:rsidR="007C7C44" w:rsidRPr="007C7C44" w:rsidRDefault="007C7C44" w:rsidP="007C7C44">
      <w:pPr>
        <w:pStyle w:val="SingleTxt"/>
        <w:spacing w:after="0" w:line="120" w:lineRule="exact"/>
        <w:rPr>
          <w:sz w:val="10"/>
          <w:lang w:val="fr-FR"/>
        </w:rPr>
      </w:pPr>
    </w:p>
    <w:p w14:paraId="036B722B" w14:textId="2F1045FF" w:rsidR="001A6DD6" w:rsidRPr="001A6DD6" w:rsidRDefault="001A6DD6" w:rsidP="007C7C44">
      <w:pPr>
        <w:pStyle w:val="SingleTxt"/>
        <w:numPr>
          <w:ilvl w:val="0"/>
          <w:numId w:val="34"/>
        </w:numPr>
        <w:spacing w:line="240" w:lineRule="exact"/>
        <w:ind w:left="1267"/>
        <w:rPr>
          <w:lang w:val="fr-FR"/>
        </w:rPr>
      </w:pPr>
      <w:r w:rsidRPr="001A6DD6">
        <w:rPr>
          <w:lang w:val="fr-FR"/>
        </w:rPr>
        <w:t>Le douzième plan de développement de la Türkiye, en vigueur depuis novembre</w:t>
      </w:r>
      <w:r w:rsidR="007C7C44">
        <w:rPr>
          <w:lang w:val="fr-FR"/>
        </w:rPr>
        <w:t xml:space="preserve"> </w:t>
      </w:r>
      <w:r w:rsidRPr="001A6DD6">
        <w:rPr>
          <w:lang w:val="fr-FR"/>
        </w:rPr>
        <w:t>2023, donne la priorité à la participation accrue des femmes aux mécanismes de prise de décision. Ce plan définit des stratégies pour :</w:t>
      </w:r>
    </w:p>
    <w:p w14:paraId="4C077E16" w14:textId="77777777" w:rsidR="001A6DD6" w:rsidRPr="001A6DD6" w:rsidRDefault="001A6DD6" w:rsidP="007C7C44">
      <w:pPr>
        <w:pStyle w:val="SingleTxt"/>
        <w:tabs>
          <w:tab w:val="right" w:pos="1685"/>
        </w:tabs>
        <w:ind w:left="1742" w:hanging="475"/>
        <w:rPr>
          <w:lang w:val="fr-FR"/>
        </w:rPr>
      </w:pPr>
      <w:r w:rsidRPr="001A6DD6">
        <w:rPr>
          <w:lang w:val="fr-FR"/>
        </w:rPr>
        <w:tab/>
        <w:t>•</w:t>
      </w:r>
      <w:r w:rsidRPr="001A6DD6">
        <w:rPr>
          <w:lang w:val="fr-FR"/>
        </w:rPr>
        <w:tab/>
        <w:t>mettre en œuvre des quotas et des programmes de soutien : ces « mesures temporaires spéciales » visent à renforcer la représentation des femmes dans l’éducation, l’emploi et les fonctions décisionnelles ;</w:t>
      </w:r>
    </w:p>
    <w:p w14:paraId="567D011C" w14:textId="77777777" w:rsidR="001A6DD6" w:rsidRPr="001A6DD6" w:rsidRDefault="001A6DD6" w:rsidP="007C7C44">
      <w:pPr>
        <w:pStyle w:val="SingleTxt"/>
        <w:tabs>
          <w:tab w:val="right" w:pos="1685"/>
        </w:tabs>
        <w:ind w:left="1742" w:hanging="475"/>
        <w:rPr>
          <w:lang w:val="fr-FR"/>
        </w:rPr>
      </w:pPr>
      <w:r w:rsidRPr="001A6DD6">
        <w:rPr>
          <w:lang w:val="fr-FR"/>
        </w:rPr>
        <w:tab/>
        <w:t>•</w:t>
      </w:r>
      <w:r w:rsidRPr="001A6DD6">
        <w:rPr>
          <w:lang w:val="fr-FR"/>
        </w:rPr>
        <w:tab/>
        <w:t>développer le leadership féminin : le plan promeut une augmentation progressive de la participation des femmes à tous les niveaux de gouvernance, y compris dans les secteurs public et privé, et dans la vie politique.</w:t>
      </w:r>
    </w:p>
    <w:p w14:paraId="14A07753" w14:textId="75C9F7B2" w:rsidR="001A6DD6" w:rsidRPr="001A6DD6" w:rsidRDefault="001A6DD6" w:rsidP="007C7C44">
      <w:pPr>
        <w:pStyle w:val="SingleTxt"/>
        <w:numPr>
          <w:ilvl w:val="0"/>
          <w:numId w:val="34"/>
        </w:numPr>
        <w:spacing w:line="240" w:lineRule="exact"/>
        <w:ind w:left="1267"/>
        <w:rPr>
          <w:lang w:val="fr-FR"/>
        </w:rPr>
      </w:pPr>
      <w:r w:rsidRPr="001A6DD6">
        <w:rPr>
          <w:lang w:val="fr-FR"/>
        </w:rPr>
        <w:t>Le plan fixe un objectif de 5 % de femmes maires d’ici 2028 et de 25 % d’élues au parlement.</w:t>
      </w:r>
    </w:p>
    <w:p w14:paraId="6B0E710F" w14:textId="1D6FE9A3" w:rsidR="001A6DD6" w:rsidRPr="001A6DD6" w:rsidRDefault="001A6DD6" w:rsidP="007C7C44">
      <w:pPr>
        <w:pStyle w:val="SingleTxt"/>
        <w:numPr>
          <w:ilvl w:val="0"/>
          <w:numId w:val="34"/>
        </w:numPr>
        <w:spacing w:line="240" w:lineRule="exact"/>
        <w:ind w:left="1267"/>
        <w:rPr>
          <w:lang w:val="fr-FR"/>
        </w:rPr>
      </w:pPr>
      <w:r w:rsidRPr="001A6DD6">
        <w:rPr>
          <w:lang w:val="fr-FR"/>
        </w:rPr>
        <w:t>Le document stratégique pour l’autonomisation des femmes et son plan d’action (2018-2023) traitaient de la représentation des femmes dans les mécanismes de prise de décision à travers une approche multidimensionnelle. Le plan prévoyait des réformes juridiques et administratives, des initiatives pour renforcer la participation des femmes à la prise de décision et des activités de sensibilisation destinées tant aux femmes qu’au grand public. Il assignait en outre des responsabilités claires aux institutions et organisations publiques compétentes.</w:t>
      </w:r>
    </w:p>
    <w:p w14:paraId="24143859" w14:textId="6318694F" w:rsidR="001A6DD6" w:rsidRPr="001A6DD6" w:rsidRDefault="001A6DD6" w:rsidP="007C7C44">
      <w:pPr>
        <w:pStyle w:val="SingleTxt"/>
        <w:numPr>
          <w:ilvl w:val="0"/>
          <w:numId w:val="34"/>
        </w:numPr>
        <w:spacing w:line="240" w:lineRule="exact"/>
        <w:ind w:left="1267"/>
        <w:rPr>
          <w:lang w:val="fr-FR"/>
        </w:rPr>
      </w:pPr>
      <w:r w:rsidRPr="001A6DD6">
        <w:rPr>
          <w:lang w:val="fr-FR"/>
        </w:rPr>
        <w:t>Dans le nouveau document stratégique pour l’autonomisation des femmes et son plan d’action (2024-2028), la participation aux instances et mécanismes de décision fait aussi l’objet d’un chapitre spécifique. Le plan expose des stratégies qui visent à accroître la participation des femmes à ces processus, y compris au moyen du renforcement des capacités des institutions, d’activités de sensibilisation du public, d’études et de réglementations.</w:t>
      </w:r>
    </w:p>
    <w:p w14:paraId="36C27763" w14:textId="0D037C0D" w:rsidR="001A6DD6" w:rsidRPr="001A6DD6" w:rsidRDefault="001A6DD6" w:rsidP="007C7C44">
      <w:pPr>
        <w:pStyle w:val="SingleTxt"/>
        <w:numPr>
          <w:ilvl w:val="0"/>
          <w:numId w:val="34"/>
        </w:numPr>
        <w:spacing w:line="240" w:lineRule="exact"/>
        <w:ind w:left="1267"/>
        <w:rPr>
          <w:lang w:val="fr-FR"/>
        </w:rPr>
      </w:pPr>
      <w:r w:rsidRPr="001A6DD6">
        <w:rPr>
          <w:lang w:val="fr-FR"/>
        </w:rPr>
        <w:t xml:space="preserve">Le nombre de femmes parlementaires et leur taux de représentation ont augmenté au fil des années. </w:t>
      </w:r>
    </w:p>
    <w:p w14:paraId="462AB1E1" w14:textId="77777777" w:rsidR="001A6DD6" w:rsidRPr="007C7C44" w:rsidRDefault="001A6DD6" w:rsidP="007C7C44">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1A6DD6" w:rsidRPr="007C7C44" w14:paraId="3F9D3C56" w14:textId="77777777" w:rsidTr="007C7C44">
        <w:trPr>
          <w:cantSplit/>
          <w:tblHeader/>
        </w:trPr>
        <w:tc>
          <w:tcPr>
            <w:tcW w:w="2440" w:type="dxa"/>
            <w:tcBorders>
              <w:top w:val="single" w:sz="4" w:space="0" w:color="auto"/>
              <w:bottom w:val="single" w:sz="12" w:space="0" w:color="auto"/>
            </w:tcBorders>
            <w:shd w:val="clear" w:color="auto" w:fill="auto"/>
            <w:noWrap/>
            <w:vAlign w:val="bottom"/>
          </w:tcPr>
          <w:p w14:paraId="361DE2EB" w14:textId="77777777" w:rsidR="001A6DD6" w:rsidRPr="007C7C44" w:rsidRDefault="001A6DD6" w:rsidP="007C7C44">
            <w:pPr>
              <w:spacing w:before="81" w:after="81" w:line="160" w:lineRule="exact"/>
              <w:ind w:right="40"/>
              <w:rPr>
                <w:i/>
                <w:sz w:val="14"/>
              </w:rPr>
            </w:pPr>
            <w:r w:rsidRPr="007C7C44">
              <w:rPr>
                <w:i/>
                <w:sz w:val="14"/>
              </w:rPr>
              <w:t>Année</w:t>
            </w:r>
          </w:p>
        </w:tc>
        <w:tc>
          <w:tcPr>
            <w:tcW w:w="2440" w:type="dxa"/>
            <w:tcBorders>
              <w:top w:val="single" w:sz="4" w:space="0" w:color="auto"/>
              <w:bottom w:val="single" w:sz="12" w:space="0" w:color="auto"/>
            </w:tcBorders>
            <w:shd w:val="clear" w:color="auto" w:fill="auto"/>
            <w:noWrap/>
            <w:vAlign w:val="bottom"/>
          </w:tcPr>
          <w:p w14:paraId="33972DE9" w14:textId="77777777" w:rsidR="001A6DD6" w:rsidRPr="007C7C44" w:rsidRDefault="001A6DD6" w:rsidP="007C7C44">
            <w:pPr>
              <w:spacing w:before="81" w:after="81" w:line="160" w:lineRule="exact"/>
              <w:ind w:right="43"/>
              <w:jc w:val="right"/>
              <w:rPr>
                <w:i/>
                <w:sz w:val="14"/>
              </w:rPr>
            </w:pPr>
            <w:r w:rsidRPr="007C7C44">
              <w:rPr>
                <w:i/>
                <w:sz w:val="14"/>
              </w:rPr>
              <w:t>Femmes parlementaires</w:t>
            </w:r>
          </w:p>
        </w:tc>
        <w:tc>
          <w:tcPr>
            <w:tcW w:w="2440" w:type="dxa"/>
            <w:tcBorders>
              <w:top w:val="single" w:sz="4" w:space="0" w:color="auto"/>
              <w:bottom w:val="single" w:sz="12" w:space="0" w:color="auto"/>
            </w:tcBorders>
            <w:shd w:val="clear" w:color="auto" w:fill="auto"/>
            <w:noWrap/>
            <w:vAlign w:val="bottom"/>
          </w:tcPr>
          <w:p w14:paraId="49C903A2" w14:textId="77777777" w:rsidR="001A6DD6" w:rsidRPr="007C7C44" w:rsidRDefault="001A6DD6" w:rsidP="007C7C44">
            <w:pPr>
              <w:spacing w:before="81" w:after="81" w:line="160" w:lineRule="exact"/>
              <w:ind w:right="43"/>
              <w:jc w:val="right"/>
              <w:rPr>
                <w:i/>
                <w:sz w:val="14"/>
              </w:rPr>
            </w:pPr>
            <w:r w:rsidRPr="007C7C44">
              <w:rPr>
                <w:i/>
                <w:sz w:val="14"/>
              </w:rPr>
              <w:t>Représentation (%)</w:t>
            </w:r>
          </w:p>
        </w:tc>
      </w:tr>
      <w:tr w:rsidR="007C7C44" w:rsidRPr="007C7C44" w14:paraId="7BB4ED4C" w14:textId="77777777" w:rsidTr="007C7C44">
        <w:trPr>
          <w:cantSplit/>
          <w:trHeight w:hRule="exact" w:val="115"/>
          <w:tblHeader/>
        </w:trPr>
        <w:tc>
          <w:tcPr>
            <w:tcW w:w="2440" w:type="dxa"/>
            <w:tcBorders>
              <w:top w:val="single" w:sz="12" w:space="0" w:color="auto"/>
            </w:tcBorders>
            <w:shd w:val="clear" w:color="auto" w:fill="auto"/>
            <w:noWrap/>
            <w:vAlign w:val="bottom"/>
          </w:tcPr>
          <w:p w14:paraId="62BF8B8F" w14:textId="77777777" w:rsidR="007C7C44" w:rsidRPr="007C7C44" w:rsidRDefault="007C7C44" w:rsidP="007C7C44">
            <w:pPr>
              <w:spacing w:before="40" w:after="40" w:line="210" w:lineRule="exact"/>
              <w:ind w:right="40"/>
              <w:rPr>
                <w:sz w:val="17"/>
              </w:rPr>
            </w:pPr>
          </w:p>
        </w:tc>
        <w:tc>
          <w:tcPr>
            <w:tcW w:w="2440" w:type="dxa"/>
            <w:tcBorders>
              <w:top w:val="single" w:sz="12" w:space="0" w:color="auto"/>
            </w:tcBorders>
            <w:shd w:val="clear" w:color="auto" w:fill="auto"/>
            <w:noWrap/>
            <w:vAlign w:val="bottom"/>
          </w:tcPr>
          <w:p w14:paraId="6959DB77" w14:textId="77777777" w:rsidR="007C7C44" w:rsidRPr="007C7C44" w:rsidRDefault="007C7C44" w:rsidP="007C7C44">
            <w:pPr>
              <w:spacing w:before="40" w:after="40" w:line="210" w:lineRule="exact"/>
              <w:ind w:right="43"/>
              <w:jc w:val="right"/>
              <w:rPr>
                <w:sz w:val="17"/>
              </w:rPr>
            </w:pPr>
          </w:p>
        </w:tc>
        <w:tc>
          <w:tcPr>
            <w:tcW w:w="2440" w:type="dxa"/>
            <w:tcBorders>
              <w:top w:val="single" w:sz="12" w:space="0" w:color="auto"/>
            </w:tcBorders>
            <w:shd w:val="clear" w:color="auto" w:fill="auto"/>
            <w:noWrap/>
            <w:vAlign w:val="bottom"/>
          </w:tcPr>
          <w:p w14:paraId="3745615D" w14:textId="77777777" w:rsidR="007C7C44" w:rsidRPr="007C7C44" w:rsidRDefault="007C7C44" w:rsidP="007C7C44">
            <w:pPr>
              <w:spacing w:before="40" w:after="40" w:line="210" w:lineRule="exact"/>
              <w:ind w:right="43"/>
              <w:jc w:val="right"/>
              <w:rPr>
                <w:sz w:val="17"/>
              </w:rPr>
            </w:pPr>
          </w:p>
        </w:tc>
      </w:tr>
      <w:tr w:rsidR="001A6DD6" w:rsidRPr="007C7C44" w14:paraId="48F0CA35" w14:textId="77777777" w:rsidTr="007C7C44">
        <w:trPr>
          <w:cantSplit/>
        </w:trPr>
        <w:tc>
          <w:tcPr>
            <w:tcW w:w="2440" w:type="dxa"/>
            <w:shd w:val="clear" w:color="auto" w:fill="auto"/>
            <w:noWrap/>
            <w:vAlign w:val="bottom"/>
          </w:tcPr>
          <w:p w14:paraId="0AE0B412" w14:textId="77777777" w:rsidR="001A6DD6" w:rsidRPr="007C7C44" w:rsidRDefault="001A6DD6" w:rsidP="007C7C44">
            <w:pPr>
              <w:tabs>
                <w:tab w:val="left" w:pos="288"/>
                <w:tab w:val="left" w:pos="576"/>
                <w:tab w:val="left" w:pos="864"/>
                <w:tab w:val="left" w:pos="1152"/>
              </w:tabs>
              <w:spacing w:before="40" w:after="40" w:line="210" w:lineRule="exact"/>
              <w:ind w:right="40"/>
              <w:rPr>
                <w:b/>
                <w:bCs/>
                <w:sz w:val="17"/>
              </w:rPr>
            </w:pPr>
            <w:r w:rsidRPr="007C7C44">
              <w:rPr>
                <w:b/>
                <w:bCs/>
                <w:sz w:val="17"/>
              </w:rPr>
              <w:t>2002</w:t>
            </w:r>
          </w:p>
        </w:tc>
        <w:tc>
          <w:tcPr>
            <w:tcW w:w="2440" w:type="dxa"/>
            <w:shd w:val="clear" w:color="auto" w:fill="auto"/>
            <w:noWrap/>
            <w:vAlign w:val="bottom"/>
          </w:tcPr>
          <w:p w14:paraId="6968D21B" w14:textId="77777777" w:rsidR="001A6DD6" w:rsidRPr="007C7C44" w:rsidRDefault="001A6DD6" w:rsidP="007C7C44">
            <w:pPr>
              <w:tabs>
                <w:tab w:val="left" w:pos="288"/>
                <w:tab w:val="left" w:pos="576"/>
                <w:tab w:val="left" w:pos="864"/>
                <w:tab w:val="left" w:pos="1152"/>
              </w:tabs>
              <w:spacing w:before="40" w:after="40" w:line="210" w:lineRule="exact"/>
              <w:ind w:right="43"/>
              <w:jc w:val="right"/>
              <w:rPr>
                <w:sz w:val="17"/>
              </w:rPr>
            </w:pPr>
            <w:r w:rsidRPr="007C7C44">
              <w:rPr>
                <w:sz w:val="17"/>
              </w:rPr>
              <w:t>24</w:t>
            </w:r>
          </w:p>
        </w:tc>
        <w:tc>
          <w:tcPr>
            <w:tcW w:w="2440" w:type="dxa"/>
            <w:shd w:val="clear" w:color="auto" w:fill="auto"/>
            <w:noWrap/>
            <w:vAlign w:val="bottom"/>
          </w:tcPr>
          <w:p w14:paraId="75513F28" w14:textId="77777777" w:rsidR="001A6DD6" w:rsidRPr="007C7C44" w:rsidRDefault="001A6DD6" w:rsidP="007C7C44">
            <w:pPr>
              <w:tabs>
                <w:tab w:val="left" w:pos="288"/>
                <w:tab w:val="left" w:pos="576"/>
                <w:tab w:val="left" w:pos="864"/>
                <w:tab w:val="left" w:pos="1152"/>
              </w:tabs>
              <w:spacing w:before="40" w:after="40" w:line="210" w:lineRule="exact"/>
              <w:ind w:right="43"/>
              <w:jc w:val="right"/>
              <w:rPr>
                <w:sz w:val="17"/>
              </w:rPr>
            </w:pPr>
            <w:r w:rsidRPr="007C7C44">
              <w:rPr>
                <w:sz w:val="17"/>
              </w:rPr>
              <w:t>4,40</w:t>
            </w:r>
          </w:p>
        </w:tc>
      </w:tr>
      <w:tr w:rsidR="001A6DD6" w:rsidRPr="007C7C44" w14:paraId="2F536386" w14:textId="77777777" w:rsidTr="007C7C44">
        <w:trPr>
          <w:cantSplit/>
        </w:trPr>
        <w:tc>
          <w:tcPr>
            <w:tcW w:w="2440" w:type="dxa"/>
            <w:shd w:val="clear" w:color="auto" w:fill="auto"/>
            <w:noWrap/>
            <w:vAlign w:val="bottom"/>
          </w:tcPr>
          <w:p w14:paraId="588A23A7" w14:textId="77777777" w:rsidR="001A6DD6" w:rsidRPr="007C7C44" w:rsidRDefault="001A6DD6" w:rsidP="007C7C44">
            <w:pPr>
              <w:tabs>
                <w:tab w:val="left" w:pos="288"/>
                <w:tab w:val="left" w:pos="576"/>
                <w:tab w:val="left" w:pos="864"/>
                <w:tab w:val="left" w:pos="1152"/>
              </w:tabs>
              <w:spacing w:before="40" w:after="40" w:line="210" w:lineRule="exact"/>
              <w:ind w:right="40"/>
              <w:rPr>
                <w:b/>
                <w:bCs/>
                <w:sz w:val="17"/>
              </w:rPr>
            </w:pPr>
            <w:r w:rsidRPr="007C7C44">
              <w:rPr>
                <w:b/>
                <w:bCs/>
                <w:sz w:val="17"/>
              </w:rPr>
              <w:t>2018</w:t>
            </w:r>
          </w:p>
        </w:tc>
        <w:tc>
          <w:tcPr>
            <w:tcW w:w="2440" w:type="dxa"/>
            <w:shd w:val="clear" w:color="auto" w:fill="auto"/>
            <w:noWrap/>
            <w:vAlign w:val="bottom"/>
          </w:tcPr>
          <w:p w14:paraId="468693B0" w14:textId="77777777" w:rsidR="001A6DD6" w:rsidRPr="007C7C44" w:rsidRDefault="001A6DD6" w:rsidP="007C7C44">
            <w:pPr>
              <w:tabs>
                <w:tab w:val="left" w:pos="288"/>
                <w:tab w:val="left" w:pos="576"/>
                <w:tab w:val="left" w:pos="864"/>
                <w:tab w:val="left" w:pos="1152"/>
              </w:tabs>
              <w:spacing w:before="40" w:after="40" w:line="210" w:lineRule="exact"/>
              <w:ind w:right="43"/>
              <w:jc w:val="right"/>
              <w:rPr>
                <w:sz w:val="17"/>
              </w:rPr>
            </w:pPr>
            <w:r w:rsidRPr="007C7C44">
              <w:rPr>
                <w:sz w:val="17"/>
              </w:rPr>
              <w:t>104</w:t>
            </w:r>
          </w:p>
        </w:tc>
        <w:tc>
          <w:tcPr>
            <w:tcW w:w="2440" w:type="dxa"/>
            <w:shd w:val="clear" w:color="auto" w:fill="auto"/>
            <w:noWrap/>
            <w:vAlign w:val="bottom"/>
          </w:tcPr>
          <w:p w14:paraId="33DC8E7F" w14:textId="77777777" w:rsidR="001A6DD6" w:rsidRPr="007C7C44" w:rsidRDefault="001A6DD6" w:rsidP="007C7C44">
            <w:pPr>
              <w:tabs>
                <w:tab w:val="left" w:pos="288"/>
                <w:tab w:val="left" w:pos="576"/>
                <w:tab w:val="left" w:pos="864"/>
                <w:tab w:val="left" w:pos="1152"/>
              </w:tabs>
              <w:spacing w:before="40" w:after="40" w:line="210" w:lineRule="exact"/>
              <w:ind w:right="43"/>
              <w:jc w:val="right"/>
              <w:rPr>
                <w:sz w:val="17"/>
              </w:rPr>
            </w:pPr>
            <w:r w:rsidRPr="007C7C44">
              <w:rPr>
                <w:sz w:val="17"/>
              </w:rPr>
              <w:t>17,45</w:t>
            </w:r>
          </w:p>
        </w:tc>
      </w:tr>
      <w:tr w:rsidR="001A6DD6" w:rsidRPr="007C7C44" w14:paraId="33792C11" w14:textId="77777777" w:rsidTr="007C7C44">
        <w:trPr>
          <w:cantSplit/>
        </w:trPr>
        <w:tc>
          <w:tcPr>
            <w:tcW w:w="2440" w:type="dxa"/>
            <w:tcBorders>
              <w:bottom w:val="single" w:sz="12" w:space="0" w:color="auto"/>
            </w:tcBorders>
            <w:shd w:val="clear" w:color="auto" w:fill="auto"/>
            <w:noWrap/>
            <w:vAlign w:val="bottom"/>
          </w:tcPr>
          <w:p w14:paraId="2D1DC6CD" w14:textId="77777777" w:rsidR="001A6DD6" w:rsidRPr="007C7C44" w:rsidRDefault="001A6DD6" w:rsidP="007C7C44">
            <w:pPr>
              <w:tabs>
                <w:tab w:val="left" w:pos="288"/>
                <w:tab w:val="left" w:pos="576"/>
                <w:tab w:val="left" w:pos="864"/>
                <w:tab w:val="left" w:pos="1152"/>
              </w:tabs>
              <w:spacing w:before="40" w:after="40" w:line="210" w:lineRule="exact"/>
              <w:ind w:right="40"/>
              <w:rPr>
                <w:b/>
                <w:bCs/>
                <w:sz w:val="17"/>
              </w:rPr>
            </w:pPr>
            <w:r w:rsidRPr="007C7C44">
              <w:rPr>
                <w:b/>
                <w:bCs/>
                <w:sz w:val="17"/>
              </w:rPr>
              <w:t>2023</w:t>
            </w:r>
          </w:p>
        </w:tc>
        <w:tc>
          <w:tcPr>
            <w:tcW w:w="2440" w:type="dxa"/>
            <w:tcBorders>
              <w:bottom w:val="single" w:sz="12" w:space="0" w:color="auto"/>
            </w:tcBorders>
            <w:shd w:val="clear" w:color="auto" w:fill="auto"/>
            <w:noWrap/>
            <w:vAlign w:val="bottom"/>
          </w:tcPr>
          <w:p w14:paraId="6A606602" w14:textId="77777777" w:rsidR="001A6DD6" w:rsidRPr="007C7C44" w:rsidRDefault="001A6DD6" w:rsidP="007C7C44">
            <w:pPr>
              <w:tabs>
                <w:tab w:val="left" w:pos="288"/>
                <w:tab w:val="left" w:pos="576"/>
                <w:tab w:val="left" w:pos="864"/>
                <w:tab w:val="left" w:pos="1152"/>
              </w:tabs>
              <w:spacing w:before="40" w:after="40" w:line="210" w:lineRule="exact"/>
              <w:ind w:right="43"/>
              <w:jc w:val="right"/>
              <w:rPr>
                <w:sz w:val="17"/>
              </w:rPr>
            </w:pPr>
            <w:r w:rsidRPr="007C7C44">
              <w:rPr>
                <w:sz w:val="17"/>
              </w:rPr>
              <w:t>119</w:t>
            </w:r>
          </w:p>
        </w:tc>
        <w:tc>
          <w:tcPr>
            <w:tcW w:w="2440" w:type="dxa"/>
            <w:tcBorders>
              <w:bottom w:val="single" w:sz="12" w:space="0" w:color="auto"/>
            </w:tcBorders>
            <w:shd w:val="clear" w:color="auto" w:fill="auto"/>
            <w:noWrap/>
            <w:vAlign w:val="bottom"/>
          </w:tcPr>
          <w:p w14:paraId="0F365C22" w14:textId="77777777" w:rsidR="001A6DD6" w:rsidRPr="007C7C44" w:rsidRDefault="001A6DD6" w:rsidP="007C7C44">
            <w:pPr>
              <w:tabs>
                <w:tab w:val="left" w:pos="288"/>
                <w:tab w:val="left" w:pos="576"/>
                <w:tab w:val="left" w:pos="864"/>
                <w:tab w:val="left" w:pos="1152"/>
              </w:tabs>
              <w:spacing w:before="40" w:after="40" w:line="210" w:lineRule="exact"/>
              <w:ind w:right="43"/>
              <w:jc w:val="right"/>
              <w:rPr>
                <w:sz w:val="17"/>
              </w:rPr>
            </w:pPr>
            <w:r w:rsidRPr="007C7C44">
              <w:rPr>
                <w:sz w:val="17"/>
              </w:rPr>
              <w:t>19,83</w:t>
            </w:r>
          </w:p>
        </w:tc>
      </w:tr>
    </w:tbl>
    <w:p w14:paraId="54816556" w14:textId="77777777" w:rsidR="001A6DD6" w:rsidRPr="007C7C44" w:rsidRDefault="001A6DD6" w:rsidP="007C7C44">
      <w:pPr>
        <w:pStyle w:val="SingleTxt"/>
        <w:spacing w:after="0" w:line="120" w:lineRule="exact"/>
        <w:rPr>
          <w:sz w:val="10"/>
          <w:lang w:val="fr-FR"/>
        </w:rPr>
      </w:pPr>
    </w:p>
    <w:p w14:paraId="15431175" w14:textId="77777777" w:rsidR="007C7C44" w:rsidRPr="007C7C44" w:rsidRDefault="007C7C44" w:rsidP="007C7C44">
      <w:pPr>
        <w:pStyle w:val="SingleTxt"/>
        <w:spacing w:after="0" w:line="120" w:lineRule="exact"/>
        <w:rPr>
          <w:sz w:val="10"/>
          <w:lang w:val="fr-FR"/>
        </w:rPr>
      </w:pPr>
    </w:p>
    <w:p w14:paraId="668AB001" w14:textId="18AC701A" w:rsidR="001A6DD6" w:rsidRPr="001A6DD6" w:rsidRDefault="001A6DD6" w:rsidP="007C7C44">
      <w:pPr>
        <w:pStyle w:val="SingleTxt"/>
        <w:numPr>
          <w:ilvl w:val="0"/>
          <w:numId w:val="34"/>
        </w:numPr>
        <w:spacing w:line="240" w:lineRule="exact"/>
        <w:ind w:left="1267"/>
        <w:rPr>
          <w:lang w:val="fr-FR"/>
        </w:rPr>
      </w:pPr>
      <w:r w:rsidRPr="001A6DD6">
        <w:rPr>
          <w:lang w:val="fr-FR"/>
        </w:rPr>
        <w:t>Des mesures de politique générale sont en place pour promouvoir la participation des femmes et des hommes à la vie politique dans des conditions d’égalité. Ces dispositions sont énoncées dans les règlements internes et les statuts des partis politiques.</w:t>
      </w:r>
    </w:p>
    <w:p w14:paraId="718F154A" w14:textId="0446076F" w:rsidR="001A6DD6" w:rsidRPr="001A6DD6" w:rsidRDefault="001A6DD6" w:rsidP="007C7C44">
      <w:pPr>
        <w:pStyle w:val="SingleTxt"/>
        <w:numPr>
          <w:ilvl w:val="0"/>
          <w:numId w:val="34"/>
        </w:numPr>
        <w:spacing w:line="240" w:lineRule="exact"/>
        <w:ind w:left="1267"/>
        <w:rPr>
          <w:lang w:val="fr-FR"/>
        </w:rPr>
      </w:pPr>
      <w:r w:rsidRPr="001A6DD6">
        <w:rPr>
          <w:lang w:val="fr-FR"/>
        </w:rPr>
        <w:t>Certains partis politiques peuvent introduire volontairement des mesures telles que des quotas, des exemptions ou des réductions de frais de candidature pour les femmes candidates.</w:t>
      </w:r>
    </w:p>
    <w:p w14:paraId="1930AC8D" w14:textId="6017430C" w:rsidR="001A6DD6" w:rsidRPr="001A6DD6" w:rsidRDefault="001A6DD6" w:rsidP="007C7C44">
      <w:pPr>
        <w:pStyle w:val="SingleTxt"/>
        <w:numPr>
          <w:ilvl w:val="0"/>
          <w:numId w:val="34"/>
        </w:numPr>
        <w:spacing w:line="240" w:lineRule="exact"/>
        <w:ind w:left="1267"/>
        <w:rPr>
          <w:lang w:val="fr-FR"/>
        </w:rPr>
      </w:pPr>
      <w:r w:rsidRPr="001A6DD6">
        <w:rPr>
          <w:lang w:val="fr-FR"/>
        </w:rPr>
        <w:t>Le Projet pour le leadership des femmes en politique et dans les entreprises en Türkiye est mis en œuvre en partenariat avec ONU</w:t>
      </w:r>
      <w:r w:rsidR="007C7C44">
        <w:rPr>
          <w:lang w:val="fr-FR"/>
        </w:rPr>
        <w:t>-</w:t>
      </w:r>
      <w:r w:rsidRPr="001A6DD6">
        <w:rPr>
          <w:lang w:val="fr-FR"/>
        </w:rPr>
        <w:t>Femmes et le Comité pour l’égalité des chances entre femmes et hommes de la Grande Assemblée nationale de Türkiye (KEFEK). Son objectif principal est de soutenir le leadership des femmes dans les postes de décision et d’assurer l’égalité des chances pour les femmes et les hommes dans la sphère politique et dans le secteur privé. Le projet a débuté le 1</w:t>
      </w:r>
      <w:r w:rsidRPr="001A6DD6">
        <w:rPr>
          <w:vertAlign w:val="superscript"/>
          <w:lang w:val="fr-FR"/>
        </w:rPr>
        <w:t>er</w:t>
      </w:r>
      <w:r w:rsidR="007C7C44">
        <w:rPr>
          <w:lang w:val="fr-FR"/>
        </w:rPr>
        <w:t> </w:t>
      </w:r>
      <w:r w:rsidRPr="001A6DD6">
        <w:rPr>
          <w:lang w:val="fr-FR"/>
        </w:rPr>
        <w:t>mai 2021 et durera jusqu’au 31</w:t>
      </w:r>
      <w:r w:rsidR="007C7C44">
        <w:rPr>
          <w:lang w:val="fr-FR"/>
        </w:rPr>
        <w:t> </w:t>
      </w:r>
      <w:r w:rsidRPr="001A6DD6">
        <w:rPr>
          <w:lang w:val="fr-FR"/>
        </w:rPr>
        <w:t>juillet 2024. Il constitue une contribution importante aux efforts de la Türkiye pour accroître la représentation des femmes dans les fonctions décisionnelles.</w:t>
      </w:r>
    </w:p>
    <w:p w14:paraId="7B5849A7" w14:textId="1D94BC6C" w:rsidR="001A6DD6" w:rsidRPr="001A6DD6" w:rsidRDefault="001A6DD6" w:rsidP="00DB7E0A">
      <w:pPr>
        <w:pStyle w:val="SingleTxt"/>
        <w:numPr>
          <w:ilvl w:val="0"/>
          <w:numId w:val="34"/>
        </w:numPr>
        <w:spacing w:line="240" w:lineRule="exact"/>
        <w:ind w:left="1267"/>
        <w:rPr>
          <w:lang w:val="fr-FR"/>
        </w:rPr>
      </w:pPr>
      <w:r w:rsidRPr="001A6DD6">
        <w:rPr>
          <w:lang w:val="fr-FR"/>
        </w:rPr>
        <w:lastRenderedPageBreak/>
        <w:t>Les élections locales de mars</w:t>
      </w:r>
      <w:r w:rsidR="00DB7E0A">
        <w:rPr>
          <w:lang w:val="fr-FR"/>
        </w:rPr>
        <w:t xml:space="preserve"> </w:t>
      </w:r>
      <w:r w:rsidRPr="001A6DD6">
        <w:rPr>
          <w:lang w:val="fr-FR"/>
        </w:rPr>
        <w:t>2024 en Türkiye ont vu une augmentation significative des femmes élues au sein des gouvernements locaux. Le tableau ci-dessous présente les résultats non officiels :</w:t>
      </w:r>
    </w:p>
    <w:p w14:paraId="3E39DA33" w14:textId="77777777" w:rsidR="001A6DD6" w:rsidRPr="00DB7E0A" w:rsidRDefault="001A6DD6" w:rsidP="00DB7E0A">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16"/>
        <w:gridCol w:w="880"/>
        <w:gridCol w:w="881"/>
        <w:gridCol w:w="881"/>
        <w:gridCol w:w="881"/>
        <w:gridCol w:w="881"/>
      </w:tblGrid>
      <w:tr w:rsidR="00DB7E0A" w:rsidRPr="00DB7E0A" w14:paraId="594EA199" w14:textId="77777777" w:rsidTr="00DB7E0A">
        <w:trPr>
          <w:cantSplit/>
          <w:tblHeader/>
        </w:trPr>
        <w:tc>
          <w:tcPr>
            <w:tcW w:w="2916" w:type="dxa"/>
            <w:tcBorders>
              <w:top w:val="single" w:sz="4" w:space="0" w:color="auto"/>
              <w:bottom w:val="single" w:sz="12" w:space="0" w:color="auto"/>
            </w:tcBorders>
            <w:shd w:val="clear" w:color="auto" w:fill="auto"/>
            <w:noWrap/>
            <w:vAlign w:val="bottom"/>
          </w:tcPr>
          <w:p w14:paraId="3D4EAE95" w14:textId="77777777" w:rsidR="001A6DD6" w:rsidRPr="00DB7E0A" w:rsidRDefault="001A6DD6" w:rsidP="00DB7E0A">
            <w:pPr>
              <w:keepNext/>
              <w:spacing w:before="81" w:after="81" w:line="160" w:lineRule="exact"/>
              <w:ind w:right="40"/>
              <w:rPr>
                <w:i/>
                <w:sz w:val="14"/>
              </w:rPr>
            </w:pPr>
            <w:r w:rsidRPr="00DB7E0A">
              <w:rPr>
                <w:i/>
                <w:sz w:val="14"/>
              </w:rPr>
              <w:t>Fonction</w:t>
            </w:r>
          </w:p>
        </w:tc>
        <w:tc>
          <w:tcPr>
            <w:tcW w:w="880" w:type="dxa"/>
            <w:tcBorders>
              <w:top w:val="single" w:sz="4" w:space="0" w:color="auto"/>
              <w:bottom w:val="single" w:sz="12" w:space="0" w:color="auto"/>
            </w:tcBorders>
            <w:shd w:val="clear" w:color="auto" w:fill="auto"/>
            <w:noWrap/>
            <w:vAlign w:val="bottom"/>
          </w:tcPr>
          <w:p w14:paraId="0E8C63F9" w14:textId="77777777" w:rsidR="001A6DD6" w:rsidRPr="00DB7E0A" w:rsidRDefault="001A6DD6" w:rsidP="00DB7E0A">
            <w:pPr>
              <w:keepNext/>
              <w:spacing w:before="81" w:after="81" w:line="160" w:lineRule="exact"/>
              <w:ind w:right="43"/>
              <w:jc w:val="right"/>
              <w:rPr>
                <w:i/>
                <w:sz w:val="14"/>
              </w:rPr>
            </w:pPr>
            <w:r w:rsidRPr="00DB7E0A">
              <w:rPr>
                <w:i/>
                <w:sz w:val="14"/>
              </w:rPr>
              <w:t>Femmes élues</w:t>
            </w:r>
          </w:p>
        </w:tc>
        <w:tc>
          <w:tcPr>
            <w:tcW w:w="881" w:type="dxa"/>
            <w:tcBorders>
              <w:top w:val="single" w:sz="4" w:space="0" w:color="auto"/>
              <w:bottom w:val="single" w:sz="12" w:space="0" w:color="auto"/>
            </w:tcBorders>
            <w:shd w:val="clear" w:color="auto" w:fill="auto"/>
            <w:noWrap/>
            <w:vAlign w:val="bottom"/>
          </w:tcPr>
          <w:p w14:paraId="3AE3F2C4" w14:textId="7AADB1B7" w:rsidR="001A6DD6" w:rsidRPr="00DB7E0A" w:rsidRDefault="001A6DD6" w:rsidP="00DB7E0A">
            <w:pPr>
              <w:keepNext/>
              <w:spacing w:before="81" w:after="81" w:line="160" w:lineRule="exact"/>
              <w:ind w:right="43"/>
              <w:jc w:val="right"/>
              <w:rPr>
                <w:i/>
                <w:sz w:val="14"/>
              </w:rPr>
            </w:pPr>
            <w:r w:rsidRPr="00DB7E0A">
              <w:rPr>
                <w:i/>
                <w:sz w:val="14"/>
              </w:rPr>
              <w:t>Pourcentage</w:t>
            </w:r>
            <w:r w:rsidR="00DB7E0A">
              <w:rPr>
                <w:i/>
                <w:sz w:val="14"/>
              </w:rPr>
              <w:br/>
            </w:r>
            <w:r w:rsidRPr="00DB7E0A">
              <w:rPr>
                <w:i/>
                <w:sz w:val="14"/>
              </w:rPr>
              <w:t xml:space="preserve"> de femmes</w:t>
            </w:r>
          </w:p>
        </w:tc>
        <w:tc>
          <w:tcPr>
            <w:tcW w:w="881" w:type="dxa"/>
            <w:tcBorders>
              <w:top w:val="single" w:sz="4" w:space="0" w:color="auto"/>
              <w:bottom w:val="single" w:sz="12" w:space="0" w:color="auto"/>
            </w:tcBorders>
            <w:shd w:val="clear" w:color="auto" w:fill="auto"/>
            <w:noWrap/>
            <w:vAlign w:val="bottom"/>
          </w:tcPr>
          <w:p w14:paraId="55E52297" w14:textId="7F77642F" w:rsidR="001A6DD6" w:rsidRPr="00DB7E0A" w:rsidRDefault="001A6DD6" w:rsidP="00DB7E0A">
            <w:pPr>
              <w:keepNext/>
              <w:spacing w:before="81" w:after="81" w:line="160" w:lineRule="exact"/>
              <w:ind w:right="43"/>
              <w:jc w:val="right"/>
              <w:rPr>
                <w:i/>
                <w:sz w:val="14"/>
              </w:rPr>
            </w:pPr>
            <w:r w:rsidRPr="00DB7E0A">
              <w:rPr>
                <w:i/>
                <w:sz w:val="14"/>
              </w:rPr>
              <w:t>Hommes</w:t>
            </w:r>
            <w:r w:rsidR="00DB7E0A">
              <w:rPr>
                <w:i/>
                <w:sz w:val="14"/>
              </w:rPr>
              <w:br/>
            </w:r>
            <w:r w:rsidRPr="00DB7E0A">
              <w:rPr>
                <w:i/>
                <w:sz w:val="14"/>
              </w:rPr>
              <w:t xml:space="preserve"> élus</w:t>
            </w:r>
          </w:p>
        </w:tc>
        <w:tc>
          <w:tcPr>
            <w:tcW w:w="881" w:type="dxa"/>
            <w:tcBorders>
              <w:top w:val="single" w:sz="4" w:space="0" w:color="auto"/>
              <w:bottom w:val="single" w:sz="12" w:space="0" w:color="auto"/>
            </w:tcBorders>
            <w:shd w:val="clear" w:color="auto" w:fill="auto"/>
            <w:noWrap/>
            <w:vAlign w:val="bottom"/>
          </w:tcPr>
          <w:p w14:paraId="526CEF71" w14:textId="77777777" w:rsidR="001A6DD6" w:rsidRPr="00DB7E0A" w:rsidRDefault="001A6DD6" w:rsidP="00DB7E0A">
            <w:pPr>
              <w:keepNext/>
              <w:spacing w:before="81" w:after="81" w:line="160" w:lineRule="exact"/>
              <w:ind w:right="43"/>
              <w:jc w:val="right"/>
              <w:rPr>
                <w:i/>
                <w:sz w:val="14"/>
              </w:rPr>
            </w:pPr>
            <w:r w:rsidRPr="00DB7E0A">
              <w:rPr>
                <w:i/>
                <w:sz w:val="14"/>
              </w:rPr>
              <w:t>Pourcentage d’hommes</w:t>
            </w:r>
          </w:p>
        </w:tc>
        <w:tc>
          <w:tcPr>
            <w:tcW w:w="881" w:type="dxa"/>
            <w:tcBorders>
              <w:top w:val="single" w:sz="4" w:space="0" w:color="auto"/>
              <w:bottom w:val="single" w:sz="12" w:space="0" w:color="auto"/>
            </w:tcBorders>
            <w:shd w:val="clear" w:color="auto" w:fill="auto"/>
            <w:noWrap/>
            <w:vAlign w:val="bottom"/>
          </w:tcPr>
          <w:p w14:paraId="382AB42B" w14:textId="77777777" w:rsidR="001A6DD6" w:rsidRPr="00DB7E0A" w:rsidRDefault="001A6DD6" w:rsidP="00DB7E0A">
            <w:pPr>
              <w:keepNext/>
              <w:spacing w:before="81" w:after="81" w:line="160" w:lineRule="exact"/>
              <w:ind w:right="43"/>
              <w:jc w:val="right"/>
              <w:rPr>
                <w:i/>
                <w:sz w:val="14"/>
              </w:rPr>
            </w:pPr>
            <w:r w:rsidRPr="00DB7E0A">
              <w:rPr>
                <w:i/>
                <w:sz w:val="14"/>
              </w:rPr>
              <w:t>Total</w:t>
            </w:r>
          </w:p>
        </w:tc>
      </w:tr>
      <w:tr w:rsidR="00DB7E0A" w:rsidRPr="00DB7E0A" w14:paraId="5734EEF3" w14:textId="77777777" w:rsidTr="00DB7E0A">
        <w:trPr>
          <w:cantSplit/>
          <w:trHeight w:hRule="exact" w:val="115"/>
          <w:tblHeader/>
        </w:trPr>
        <w:tc>
          <w:tcPr>
            <w:tcW w:w="2916" w:type="dxa"/>
            <w:tcBorders>
              <w:top w:val="single" w:sz="12" w:space="0" w:color="auto"/>
            </w:tcBorders>
            <w:shd w:val="clear" w:color="auto" w:fill="auto"/>
            <w:noWrap/>
            <w:vAlign w:val="bottom"/>
          </w:tcPr>
          <w:p w14:paraId="6669997E" w14:textId="77777777" w:rsidR="00DB7E0A" w:rsidRPr="00DB7E0A" w:rsidRDefault="00DB7E0A" w:rsidP="00DB7E0A">
            <w:pPr>
              <w:keepNext/>
              <w:spacing w:before="40" w:after="40" w:line="210" w:lineRule="exact"/>
              <w:ind w:right="40"/>
              <w:rPr>
                <w:sz w:val="17"/>
              </w:rPr>
            </w:pPr>
          </w:p>
        </w:tc>
        <w:tc>
          <w:tcPr>
            <w:tcW w:w="880" w:type="dxa"/>
            <w:tcBorders>
              <w:top w:val="single" w:sz="12" w:space="0" w:color="auto"/>
            </w:tcBorders>
            <w:shd w:val="clear" w:color="auto" w:fill="auto"/>
            <w:noWrap/>
            <w:vAlign w:val="bottom"/>
          </w:tcPr>
          <w:p w14:paraId="7C326451" w14:textId="77777777" w:rsidR="00DB7E0A" w:rsidRPr="00DB7E0A" w:rsidRDefault="00DB7E0A" w:rsidP="00DB7E0A">
            <w:pPr>
              <w:keepNext/>
              <w:spacing w:before="40" w:after="40" w:line="210" w:lineRule="exact"/>
              <w:ind w:right="43"/>
              <w:jc w:val="right"/>
              <w:rPr>
                <w:sz w:val="17"/>
              </w:rPr>
            </w:pPr>
          </w:p>
        </w:tc>
        <w:tc>
          <w:tcPr>
            <w:tcW w:w="881" w:type="dxa"/>
            <w:tcBorders>
              <w:top w:val="single" w:sz="12" w:space="0" w:color="auto"/>
            </w:tcBorders>
            <w:shd w:val="clear" w:color="auto" w:fill="auto"/>
            <w:noWrap/>
            <w:vAlign w:val="bottom"/>
          </w:tcPr>
          <w:p w14:paraId="343F66B2" w14:textId="77777777" w:rsidR="00DB7E0A" w:rsidRPr="00DB7E0A" w:rsidRDefault="00DB7E0A" w:rsidP="00DB7E0A">
            <w:pPr>
              <w:keepNext/>
              <w:spacing w:before="40" w:after="40" w:line="210" w:lineRule="exact"/>
              <w:ind w:right="43"/>
              <w:jc w:val="right"/>
              <w:rPr>
                <w:sz w:val="17"/>
              </w:rPr>
            </w:pPr>
          </w:p>
        </w:tc>
        <w:tc>
          <w:tcPr>
            <w:tcW w:w="881" w:type="dxa"/>
            <w:tcBorders>
              <w:top w:val="single" w:sz="12" w:space="0" w:color="auto"/>
            </w:tcBorders>
            <w:shd w:val="clear" w:color="auto" w:fill="auto"/>
            <w:noWrap/>
            <w:vAlign w:val="bottom"/>
          </w:tcPr>
          <w:p w14:paraId="7F538A76" w14:textId="77777777" w:rsidR="00DB7E0A" w:rsidRPr="00DB7E0A" w:rsidRDefault="00DB7E0A" w:rsidP="00DB7E0A">
            <w:pPr>
              <w:keepNext/>
              <w:spacing w:before="40" w:after="40" w:line="210" w:lineRule="exact"/>
              <w:ind w:right="43"/>
              <w:jc w:val="right"/>
              <w:rPr>
                <w:sz w:val="17"/>
              </w:rPr>
            </w:pPr>
          </w:p>
        </w:tc>
        <w:tc>
          <w:tcPr>
            <w:tcW w:w="881" w:type="dxa"/>
            <w:tcBorders>
              <w:top w:val="single" w:sz="12" w:space="0" w:color="auto"/>
            </w:tcBorders>
            <w:shd w:val="clear" w:color="auto" w:fill="auto"/>
            <w:noWrap/>
            <w:vAlign w:val="bottom"/>
          </w:tcPr>
          <w:p w14:paraId="42F3BBDD" w14:textId="77777777" w:rsidR="00DB7E0A" w:rsidRPr="00DB7E0A" w:rsidRDefault="00DB7E0A" w:rsidP="00DB7E0A">
            <w:pPr>
              <w:keepNext/>
              <w:spacing w:before="40" w:after="40" w:line="210" w:lineRule="exact"/>
              <w:ind w:right="43"/>
              <w:jc w:val="right"/>
              <w:rPr>
                <w:sz w:val="17"/>
              </w:rPr>
            </w:pPr>
          </w:p>
        </w:tc>
        <w:tc>
          <w:tcPr>
            <w:tcW w:w="881" w:type="dxa"/>
            <w:tcBorders>
              <w:top w:val="single" w:sz="12" w:space="0" w:color="auto"/>
            </w:tcBorders>
            <w:shd w:val="clear" w:color="auto" w:fill="auto"/>
            <w:noWrap/>
            <w:vAlign w:val="bottom"/>
          </w:tcPr>
          <w:p w14:paraId="1B7AF5D0" w14:textId="77777777" w:rsidR="00DB7E0A" w:rsidRPr="00DB7E0A" w:rsidRDefault="00DB7E0A" w:rsidP="00DB7E0A">
            <w:pPr>
              <w:keepNext/>
              <w:spacing w:before="40" w:after="40" w:line="210" w:lineRule="exact"/>
              <w:ind w:right="43"/>
              <w:jc w:val="right"/>
              <w:rPr>
                <w:sz w:val="17"/>
              </w:rPr>
            </w:pPr>
          </w:p>
        </w:tc>
      </w:tr>
      <w:tr w:rsidR="00DB7E0A" w:rsidRPr="00DB7E0A" w14:paraId="532C90AE" w14:textId="77777777" w:rsidTr="00DB7E0A">
        <w:trPr>
          <w:cantSplit/>
        </w:trPr>
        <w:tc>
          <w:tcPr>
            <w:tcW w:w="2916" w:type="dxa"/>
            <w:shd w:val="clear" w:color="auto" w:fill="auto"/>
            <w:noWrap/>
            <w:vAlign w:val="bottom"/>
          </w:tcPr>
          <w:p w14:paraId="2B769D0A" w14:textId="77777777" w:rsidR="001A6DD6" w:rsidRPr="00DB7E0A" w:rsidRDefault="001A6DD6" w:rsidP="00DB7E0A">
            <w:pPr>
              <w:keepNext/>
              <w:tabs>
                <w:tab w:val="left" w:pos="288"/>
                <w:tab w:val="left" w:pos="576"/>
                <w:tab w:val="left" w:pos="864"/>
                <w:tab w:val="left" w:pos="1152"/>
              </w:tabs>
              <w:spacing w:before="40" w:after="40" w:line="210" w:lineRule="exact"/>
              <w:ind w:right="40"/>
              <w:rPr>
                <w:b/>
                <w:bCs/>
                <w:sz w:val="17"/>
              </w:rPr>
            </w:pPr>
            <w:r w:rsidRPr="00DB7E0A">
              <w:rPr>
                <w:b/>
                <w:bCs/>
                <w:sz w:val="17"/>
              </w:rPr>
              <w:t xml:space="preserve">Maires métropolitains </w:t>
            </w:r>
          </w:p>
        </w:tc>
        <w:tc>
          <w:tcPr>
            <w:tcW w:w="880" w:type="dxa"/>
            <w:shd w:val="clear" w:color="auto" w:fill="auto"/>
            <w:noWrap/>
            <w:vAlign w:val="bottom"/>
          </w:tcPr>
          <w:p w14:paraId="00734D59" w14:textId="77777777" w:rsidR="001A6DD6" w:rsidRPr="00DB7E0A" w:rsidRDefault="001A6DD6" w:rsidP="00DB7E0A">
            <w:pPr>
              <w:keepNext/>
              <w:tabs>
                <w:tab w:val="left" w:pos="288"/>
                <w:tab w:val="left" w:pos="576"/>
                <w:tab w:val="left" w:pos="864"/>
                <w:tab w:val="left" w:pos="1152"/>
              </w:tabs>
              <w:spacing w:before="40" w:after="40" w:line="210" w:lineRule="exact"/>
              <w:ind w:right="43"/>
              <w:jc w:val="right"/>
              <w:rPr>
                <w:sz w:val="17"/>
              </w:rPr>
            </w:pPr>
            <w:r w:rsidRPr="00DB7E0A">
              <w:rPr>
                <w:sz w:val="17"/>
              </w:rPr>
              <w:t>5</w:t>
            </w:r>
          </w:p>
        </w:tc>
        <w:tc>
          <w:tcPr>
            <w:tcW w:w="881" w:type="dxa"/>
            <w:shd w:val="clear" w:color="auto" w:fill="auto"/>
            <w:noWrap/>
            <w:vAlign w:val="bottom"/>
          </w:tcPr>
          <w:p w14:paraId="626AF219" w14:textId="77777777" w:rsidR="001A6DD6" w:rsidRPr="00DB7E0A" w:rsidRDefault="001A6DD6" w:rsidP="00DB7E0A">
            <w:pPr>
              <w:keepNext/>
              <w:tabs>
                <w:tab w:val="left" w:pos="288"/>
                <w:tab w:val="left" w:pos="576"/>
                <w:tab w:val="left" w:pos="864"/>
                <w:tab w:val="left" w:pos="1152"/>
              </w:tabs>
              <w:spacing w:before="40" w:after="40" w:line="210" w:lineRule="exact"/>
              <w:ind w:right="43"/>
              <w:jc w:val="right"/>
              <w:rPr>
                <w:sz w:val="17"/>
              </w:rPr>
            </w:pPr>
            <w:r w:rsidRPr="00DB7E0A">
              <w:rPr>
                <w:sz w:val="17"/>
              </w:rPr>
              <w:t>16,67</w:t>
            </w:r>
          </w:p>
        </w:tc>
        <w:tc>
          <w:tcPr>
            <w:tcW w:w="881" w:type="dxa"/>
            <w:shd w:val="clear" w:color="auto" w:fill="auto"/>
            <w:noWrap/>
            <w:vAlign w:val="bottom"/>
          </w:tcPr>
          <w:p w14:paraId="3BD68DB6" w14:textId="77777777" w:rsidR="001A6DD6" w:rsidRPr="00DB7E0A" w:rsidRDefault="001A6DD6" w:rsidP="00DB7E0A">
            <w:pPr>
              <w:keepNext/>
              <w:tabs>
                <w:tab w:val="left" w:pos="288"/>
                <w:tab w:val="left" w:pos="576"/>
                <w:tab w:val="left" w:pos="864"/>
                <w:tab w:val="left" w:pos="1152"/>
              </w:tabs>
              <w:spacing w:before="40" w:after="40" w:line="210" w:lineRule="exact"/>
              <w:ind w:right="43"/>
              <w:jc w:val="right"/>
              <w:rPr>
                <w:sz w:val="17"/>
              </w:rPr>
            </w:pPr>
            <w:r w:rsidRPr="00DB7E0A">
              <w:rPr>
                <w:sz w:val="17"/>
              </w:rPr>
              <w:t>25</w:t>
            </w:r>
          </w:p>
        </w:tc>
        <w:tc>
          <w:tcPr>
            <w:tcW w:w="881" w:type="dxa"/>
            <w:shd w:val="clear" w:color="auto" w:fill="auto"/>
            <w:noWrap/>
            <w:vAlign w:val="bottom"/>
          </w:tcPr>
          <w:p w14:paraId="31076240" w14:textId="77777777" w:rsidR="001A6DD6" w:rsidRPr="00DB7E0A" w:rsidRDefault="001A6DD6" w:rsidP="00DB7E0A">
            <w:pPr>
              <w:keepNext/>
              <w:tabs>
                <w:tab w:val="left" w:pos="288"/>
                <w:tab w:val="left" w:pos="576"/>
                <w:tab w:val="left" w:pos="864"/>
                <w:tab w:val="left" w:pos="1152"/>
              </w:tabs>
              <w:spacing w:before="40" w:after="40" w:line="210" w:lineRule="exact"/>
              <w:ind w:right="43"/>
              <w:jc w:val="right"/>
              <w:rPr>
                <w:sz w:val="17"/>
              </w:rPr>
            </w:pPr>
            <w:r w:rsidRPr="00DB7E0A">
              <w:rPr>
                <w:sz w:val="17"/>
              </w:rPr>
              <w:t>83,33</w:t>
            </w:r>
          </w:p>
        </w:tc>
        <w:tc>
          <w:tcPr>
            <w:tcW w:w="881" w:type="dxa"/>
            <w:shd w:val="clear" w:color="auto" w:fill="auto"/>
            <w:noWrap/>
            <w:vAlign w:val="bottom"/>
          </w:tcPr>
          <w:p w14:paraId="0350F0A5" w14:textId="77777777" w:rsidR="001A6DD6" w:rsidRPr="00DB7E0A" w:rsidRDefault="001A6DD6" w:rsidP="00DB7E0A">
            <w:pPr>
              <w:keepNext/>
              <w:tabs>
                <w:tab w:val="left" w:pos="288"/>
                <w:tab w:val="left" w:pos="576"/>
                <w:tab w:val="left" w:pos="864"/>
                <w:tab w:val="left" w:pos="1152"/>
              </w:tabs>
              <w:spacing w:before="40" w:after="40" w:line="210" w:lineRule="exact"/>
              <w:ind w:right="43"/>
              <w:jc w:val="right"/>
              <w:rPr>
                <w:sz w:val="17"/>
              </w:rPr>
            </w:pPr>
            <w:r w:rsidRPr="00DB7E0A">
              <w:rPr>
                <w:sz w:val="17"/>
              </w:rPr>
              <w:t>30</w:t>
            </w:r>
          </w:p>
        </w:tc>
      </w:tr>
      <w:tr w:rsidR="00DB7E0A" w:rsidRPr="00DB7E0A" w14:paraId="51283245" w14:textId="77777777" w:rsidTr="00DB7E0A">
        <w:trPr>
          <w:cantSplit/>
        </w:trPr>
        <w:tc>
          <w:tcPr>
            <w:tcW w:w="2916" w:type="dxa"/>
            <w:shd w:val="clear" w:color="auto" w:fill="auto"/>
            <w:noWrap/>
            <w:vAlign w:val="bottom"/>
          </w:tcPr>
          <w:p w14:paraId="6FB73987" w14:textId="77777777" w:rsidR="001A6DD6" w:rsidRPr="00DB7E0A" w:rsidRDefault="001A6DD6" w:rsidP="00DB7E0A">
            <w:pPr>
              <w:keepNext/>
              <w:tabs>
                <w:tab w:val="left" w:pos="288"/>
                <w:tab w:val="left" w:pos="576"/>
                <w:tab w:val="left" w:pos="864"/>
                <w:tab w:val="left" w:pos="1152"/>
              </w:tabs>
              <w:spacing w:before="40" w:after="40" w:line="210" w:lineRule="exact"/>
              <w:ind w:right="40"/>
              <w:rPr>
                <w:b/>
                <w:bCs/>
                <w:sz w:val="17"/>
              </w:rPr>
            </w:pPr>
            <w:r w:rsidRPr="00DB7E0A">
              <w:rPr>
                <w:b/>
                <w:bCs/>
                <w:sz w:val="17"/>
              </w:rPr>
              <w:t>Maires</w:t>
            </w:r>
          </w:p>
        </w:tc>
        <w:tc>
          <w:tcPr>
            <w:tcW w:w="880" w:type="dxa"/>
            <w:shd w:val="clear" w:color="auto" w:fill="auto"/>
            <w:noWrap/>
            <w:vAlign w:val="bottom"/>
          </w:tcPr>
          <w:p w14:paraId="6326EA79" w14:textId="77777777" w:rsidR="001A6DD6" w:rsidRPr="00DB7E0A" w:rsidRDefault="001A6DD6" w:rsidP="00DB7E0A">
            <w:pPr>
              <w:keepNext/>
              <w:tabs>
                <w:tab w:val="left" w:pos="288"/>
                <w:tab w:val="left" w:pos="576"/>
                <w:tab w:val="left" w:pos="864"/>
                <w:tab w:val="left" w:pos="1152"/>
              </w:tabs>
              <w:spacing w:before="40" w:after="40" w:line="210" w:lineRule="exact"/>
              <w:ind w:right="43"/>
              <w:jc w:val="right"/>
              <w:rPr>
                <w:sz w:val="17"/>
              </w:rPr>
            </w:pPr>
            <w:r w:rsidRPr="00DB7E0A">
              <w:rPr>
                <w:sz w:val="17"/>
              </w:rPr>
              <w:t>73</w:t>
            </w:r>
          </w:p>
        </w:tc>
        <w:tc>
          <w:tcPr>
            <w:tcW w:w="881" w:type="dxa"/>
            <w:shd w:val="clear" w:color="auto" w:fill="auto"/>
            <w:noWrap/>
            <w:vAlign w:val="bottom"/>
          </w:tcPr>
          <w:p w14:paraId="66FE1CAA" w14:textId="77777777" w:rsidR="001A6DD6" w:rsidRPr="00DB7E0A" w:rsidRDefault="001A6DD6" w:rsidP="00DB7E0A">
            <w:pPr>
              <w:keepNext/>
              <w:tabs>
                <w:tab w:val="left" w:pos="288"/>
                <w:tab w:val="left" w:pos="576"/>
                <w:tab w:val="left" w:pos="864"/>
                <w:tab w:val="left" w:pos="1152"/>
              </w:tabs>
              <w:spacing w:before="40" w:after="40" w:line="210" w:lineRule="exact"/>
              <w:ind w:right="43"/>
              <w:jc w:val="right"/>
              <w:rPr>
                <w:sz w:val="17"/>
              </w:rPr>
            </w:pPr>
            <w:r w:rsidRPr="00DB7E0A">
              <w:rPr>
                <w:sz w:val="17"/>
              </w:rPr>
              <w:t>5,38</w:t>
            </w:r>
          </w:p>
        </w:tc>
        <w:tc>
          <w:tcPr>
            <w:tcW w:w="881" w:type="dxa"/>
            <w:shd w:val="clear" w:color="auto" w:fill="auto"/>
            <w:noWrap/>
            <w:vAlign w:val="bottom"/>
          </w:tcPr>
          <w:p w14:paraId="3D9E9780" w14:textId="0C4D420C" w:rsidR="001A6DD6" w:rsidRPr="00DB7E0A" w:rsidRDefault="001A6DD6" w:rsidP="00DB7E0A">
            <w:pPr>
              <w:keepNext/>
              <w:tabs>
                <w:tab w:val="left" w:pos="288"/>
                <w:tab w:val="left" w:pos="576"/>
                <w:tab w:val="left" w:pos="864"/>
                <w:tab w:val="left" w:pos="1152"/>
              </w:tabs>
              <w:spacing w:before="40" w:after="40" w:line="210" w:lineRule="exact"/>
              <w:ind w:right="43"/>
              <w:jc w:val="right"/>
              <w:rPr>
                <w:sz w:val="17"/>
              </w:rPr>
            </w:pPr>
            <w:r w:rsidRPr="00DB7E0A">
              <w:rPr>
                <w:sz w:val="17"/>
              </w:rPr>
              <w:t>1</w:t>
            </w:r>
            <w:r w:rsidR="007C7C44" w:rsidRPr="00DB7E0A">
              <w:rPr>
                <w:sz w:val="17"/>
              </w:rPr>
              <w:t> </w:t>
            </w:r>
            <w:r w:rsidRPr="00DB7E0A">
              <w:rPr>
                <w:sz w:val="17"/>
              </w:rPr>
              <w:t>283</w:t>
            </w:r>
          </w:p>
        </w:tc>
        <w:tc>
          <w:tcPr>
            <w:tcW w:w="881" w:type="dxa"/>
            <w:shd w:val="clear" w:color="auto" w:fill="auto"/>
            <w:noWrap/>
            <w:vAlign w:val="bottom"/>
          </w:tcPr>
          <w:p w14:paraId="0826D901" w14:textId="77777777" w:rsidR="001A6DD6" w:rsidRPr="00DB7E0A" w:rsidRDefault="001A6DD6" w:rsidP="00DB7E0A">
            <w:pPr>
              <w:keepNext/>
              <w:tabs>
                <w:tab w:val="left" w:pos="288"/>
                <w:tab w:val="left" w:pos="576"/>
                <w:tab w:val="left" w:pos="864"/>
                <w:tab w:val="left" w:pos="1152"/>
              </w:tabs>
              <w:spacing w:before="40" w:after="40" w:line="210" w:lineRule="exact"/>
              <w:ind w:right="43"/>
              <w:jc w:val="right"/>
              <w:rPr>
                <w:sz w:val="17"/>
              </w:rPr>
            </w:pPr>
            <w:r w:rsidRPr="00DB7E0A">
              <w:rPr>
                <w:sz w:val="17"/>
              </w:rPr>
              <w:t>94,62</w:t>
            </w:r>
          </w:p>
        </w:tc>
        <w:tc>
          <w:tcPr>
            <w:tcW w:w="881" w:type="dxa"/>
            <w:shd w:val="clear" w:color="auto" w:fill="auto"/>
            <w:noWrap/>
            <w:vAlign w:val="bottom"/>
          </w:tcPr>
          <w:p w14:paraId="555FA420" w14:textId="09E3F36E" w:rsidR="001A6DD6" w:rsidRPr="00DB7E0A" w:rsidRDefault="001A6DD6" w:rsidP="00DB7E0A">
            <w:pPr>
              <w:keepNext/>
              <w:tabs>
                <w:tab w:val="left" w:pos="288"/>
                <w:tab w:val="left" w:pos="576"/>
                <w:tab w:val="left" w:pos="864"/>
                <w:tab w:val="left" w:pos="1152"/>
              </w:tabs>
              <w:spacing w:before="40" w:after="40" w:line="210" w:lineRule="exact"/>
              <w:ind w:right="43"/>
              <w:jc w:val="right"/>
              <w:rPr>
                <w:sz w:val="17"/>
              </w:rPr>
            </w:pPr>
            <w:r w:rsidRPr="00DB7E0A">
              <w:rPr>
                <w:sz w:val="17"/>
              </w:rPr>
              <w:t>1</w:t>
            </w:r>
            <w:r w:rsidR="007C7C44" w:rsidRPr="00DB7E0A">
              <w:rPr>
                <w:sz w:val="17"/>
              </w:rPr>
              <w:t> </w:t>
            </w:r>
            <w:r w:rsidRPr="00DB7E0A">
              <w:rPr>
                <w:sz w:val="17"/>
              </w:rPr>
              <w:t>356</w:t>
            </w:r>
          </w:p>
        </w:tc>
      </w:tr>
      <w:tr w:rsidR="00DB7E0A" w:rsidRPr="00DB7E0A" w14:paraId="1097C48E" w14:textId="77777777" w:rsidTr="00DB7E0A">
        <w:trPr>
          <w:cantSplit/>
        </w:trPr>
        <w:tc>
          <w:tcPr>
            <w:tcW w:w="2916" w:type="dxa"/>
            <w:shd w:val="clear" w:color="auto" w:fill="auto"/>
            <w:noWrap/>
            <w:vAlign w:val="bottom"/>
          </w:tcPr>
          <w:p w14:paraId="0E1D6852" w14:textId="77777777" w:rsidR="001A6DD6" w:rsidRPr="00DB7E0A" w:rsidRDefault="001A6DD6" w:rsidP="00DB7E0A">
            <w:pPr>
              <w:keepNext/>
              <w:tabs>
                <w:tab w:val="left" w:pos="288"/>
                <w:tab w:val="left" w:pos="576"/>
                <w:tab w:val="left" w:pos="864"/>
                <w:tab w:val="left" w:pos="1152"/>
              </w:tabs>
              <w:spacing w:before="40" w:after="40" w:line="210" w:lineRule="exact"/>
              <w:ind w:right="40"/>
              <w:rPr>
                <w:b/>
                <w:bCs/>
                <w:sz w:val="17"/>
              </w:rPr>
            </w:pPr>
            <w:r w:rsidRPr="00DB7E0A">
              <w:rPr>
                <w:b/>
                <w:bCs/>
                <w:sz w:val="17"/>
              </w:rPr>
              <w:t>Membres de conseil municipal</w:t>
            </w:r>
          </w:p>
        </w:tc>
        <w:tc>
          <w:tcPr>
            <w:tcW w:w="880" w:type="dxa"/>
            <w:shd w:val="clear" w:color="auto" w:fill="auto"/>
            <w:noWrap/>
            <w:vAlign w:val="bottom"/>
          </w:tcPr>
          <w:p w14:paraId="1937D0CE" w14:textId="269966C6" w:rsidR="001A6DD6" w:rsidRPr="00DB7E0A" w:rsidRDefault="001A6DD6" w:rsidP="00DB7E0A">
            <w:pPr>
              <w:keepNext/>
              <w:tabs>
                <w:tab w:val="left" w:pos="288"/>
                <w:tab w:val="left" w:pos="576"/>
                <w:tab w:val="left" w:pos="864"/>
                <w:tab w:val="left" w:pos="1152"/>
              </w:tabs>
              <w:spacing w:before="40" w:after="40" w:line="210" w:lineRule="exact"/>
              <w:ind w:right="43"/>
              <w:jc w:val="right"/>
              <w:rPr>
                <w:sz w:val="17"/>
              </w:rPr>
            </w:pPr>
            <w:r w:rsidRPr="00DB7E0A">
              <w:rPr>
                <w:sz w:val="17"/>
              </w:rPr>
              <w:t>2</w:t>
            </w:r>
            <w:r w:rsidR="007C7C44" w:rsidRPr="00DB7E0A">
              <w:rPr>
                <w:sz w:val="17"/>
              </w:rPr>
              <w:t> </w:t>
            </w:r>
            <w:r w:rsidRPr="00DB7E0A">
              <w:rPr>
                <w:sz w:val="17"/>
              </w:rPr>
              <w:t>567</w:t>
            </w:r>
          </w:p>
        </w:tc>
        <w:tc>
          <w:tcPr>
            <w:tcW w:w="881" w:type="dxa"/>
            <w:shd w:val="clear" w:color="auto" w:fill="auto"/>
            <w:noWrap/>
            <w:vAlign w:val="bottom"/>
          </w:tcPr>
          <w:p w14:paraId="0D523F76" w14:textId="77777777" w:rsidR="001A6DD6" w:rsidRPr="00DB7E0A" w:rsidRDefault="001A6DD6" w:rsidP="00DB7E0A">
            <w:pPr>
              <w:keepNext/>
              <w:tabs>
                <w:tab w:val="left" w:pos="288"/>
                <w:tab w:val="left" w:pos="576"/>
                <w:tab w:val="left" w:pos="864"/>
                <w:tab w:val="left" w:pos="1152"/>
              </w:tabs>
              <w:spacing w:before="40" w:after="40" w:line="210" w:lineRule="exact"/>
              <w:ind w:right="43"/>
              <w:jc w:val="right"/>
              <w:rPr>
                <w:sz w:val="17"/>
              </w:rPr>
            </w:pPr>
            <w:r w:rsidRPr="00DB7E0A">
              <w:rPr>
                <w:sz w:val="17"/>
              </w:rPr>
              <w:t>12,25</w:t>
            </w:r>
          </w:p>
        </w:tc>
        <w:tc>
          <w:tcPr>
            <w:tcW w:w="881" w:type="dxa"/>
            <w:shd w:val="clear" w:color="auto" w:fill="auto"/>
            <w:noWrap/>
            <w:vAlign w:val="bottom"/>
          </w:tcPr>
          <w:p w14:paraId="2759566E" w14:textId="6E87A75D" w:rsidR="001A6DD6" w:rsidRPr="00DB7E0A" w:rsidRDefault="001A6DD6" w:rsidP="00DB7E0A">
            <w:pPr>
              <w:keepNext/>
              <w:tabs>
                <w:tab w:val="left" w:pos="288"/>
                <w:tab w:val="left" w:pos="576"/>
                <w:tab w:val="left" w:pos="864"/>
                <w:tab w:val="left" w:pos="1152"/>
              </w:tabs>
              <w:spacing w:before="40" w:after="40" w:line="210" w:lineRule="exact"/>
              <w:ind w:right="43"/>
              <w:jc w:val="right"/>
              <w:rPr>
                <w:sz w:val="17"/>
              </w:rPr>
            </w:pPr>
            <w:r w:rsidRPr="00DB7E0A">
              <w:rPr>
                <w:sz w:val="17"/>
              </w:rPr>
              <w:t>18</w:t>
            </w:r>
            <w:r w:rsidR="007C7C44" w:rsidRPr="00DB7E0A">
              <w:rPr>
                <w:sz w:val="17"/>
              </w:rPr>
              <w:t> </w:t>
            </w:r>
            <w:r w:rsidRPr="00DB7E0A">
              <w:rPr>
                <w:sz w:val="17"/>
              </w:rPr>
              <w:t>385</w:t>
            </w:r>
          </w:p>
        </w:tc>
        <w:tc>
          <w:tcPr>
            <w:tcW w:w="881" w:type="dxa"/>
            <w:shd w:val="clear" w:color="auto" w:fill="auto"/>
            <w:noWrap/>
            <w:vAlign w:val="bottom"/>
          </w:tcPr>
          <w:p w14:paraId="29557528" w14:textId="77777777" w:rsidR="001A6DD6" w:rsidRPr="00DB7E0A" w:rsidRDefault="001A6DD6" w:rsidP="00DB7E0A">
            <w:pPr>
              <w:keepNext/>
              <w:tabs>
                <w:tab w:val="left" w:pos="288"/>
                <w:tab w:val="left" w:pos="576"/>
                <w:tab w:val="left" w:pos="864"/>
                <w:tab w:val="left" w:pos="1152"/>
              </w:tabs>
              <w:spacing w:before="40" w:after="40" w:line="210" w:lineRule="exact"/>
              <w:ind w:right="43"/>
              <w:jc w:val="right"/>
              <w:rPr>
                <w:sz w:val="17"/>
              </w:rPr>
            </w:pPr>
            <w:r w:rsidRPr="00DB7E0A">
              <w:rPr>
                <w:sz w:val="17"/>
              </w:rPr>
              <w:t>87,75</w:t>
            </w:r>
          </w:p>
        </w:tc>
        <w:tc>
          <w:tcPr>
            <w:tcW w:w="881" w:type="dxa"/>
            <w:shd w:val="clear" w:color="auto" w:fill="auto"/>
            <w:noWrap/>
            <w:vAlign w:val="bottom"/>
          </w:tcPr>
          <w:p w14:paraId="4E7C460A" w14:textId="765D660A" w:rsidR="001A6DD6" w:rsidRPr="00DB7E0A" w:rsidRDefault="001A6DD6" w:rsidP="00DB7E0A">
            <w:pPr>
              <w:keepNext/>
              <w:tabs>
                <w:tab w:val="left" w:pos="288"/>
                <w:tab w:val="left" w:pos="576"/>
                <w:tab w:val="left" w:pos="864"/>
                <w:tab w:val="left" w:pos="1152"/>
              </w:tabs>
              <w:spacing w:before="40" w:after="40" w:line="210" w:lineRule="exact"/>
              <w:ind w:right="43"/>
              <w:jc w:val="right"/>
              <w:rPr>
                <w:sz w:val="17"/>
              </w:rPr>
            </w:pPr>
            <w:r w:rsidRPr="00DB7E0A">
              <w:rPr>
                <w:sz w:val="17"/>
              </w:rPr>
              <w:t>20</w:t>
            </w:r>
            <w:r w:rsidR="007C7C44" w:rsidRPr="00DB7E0A">
              <w:rPr>
                <w:sz w:val="17"/>
              </w:rPr>
              <w:t> </w:t>
            </w:r>
            <w:r w:rsidRPr="00DB7E0A">
              <w:rPr>
                <w:sz w:val="17"/>
              </w:rPr>
              <w:t>952</w:t>
            </w:r>
          </w:p>
        </w:tc>
      </w:tr>
      <w:tr w:rsidR="00DB7E0A" w:rsidRPr="00DB7E0A" w14:paraId="3B0E897B" w14:textId="77777777" w:rsidTr="00DB7E0A">
        <w:trPr>
          <w:cantSplit/>
        </w:trPr>
        <w:tc>
          <w:tcPr>
            <w:tcW w:w="2916" w:type="dxa"/>
            <w:shd w:val="clear" w:color="auto" w:fill="auto"/>
            <w:noWrap/>
            <w:vAlign w:val="bottom"/>
          </w:tcPr>
          <w:p w14:paraId="295C23AD" w14:textId="77777777" w:rsidR="001A6DD6" w:rsidRPr="00DB7E0A" w:rsidRDefault="001A6DD6" w:rsidP="00DB7E0A">
            <w:pPr>
              <w:keepNext/>
              <w:tabs>
                <w:tab w:val="left" w:pos="288"/>
                <w:tab w:val="left" w:pos="576"/>
                <w:tab w:val="left" w:pos="864"/>
                <w:tab w:val="left" w:pos="1152"/>
              </w:tabs>
              <w:spacing w:before="40" w:after="40" w:line="210" w:lineRule="exact"/>
              <w:ind w:right="40"/>
              <w:rPr>
                <w:b/>
                <w:bCs/>
                <w:sz w:val="17"/>
              </w:rPr>
            </w:pPr>
            <w:r w:rsidRPr="00DB7E0A">
              <w:rPr>
                <w:b/>
                <w:bCs/>
                <w:sz w:val="17"/>
              </w:rPr>
              <w:t>Membres de conseil provincial</w:t>
            </w:r>
          </w:p>
        </w:tc>
        <w:tc>
          <w:tcPr>
            <w:tcW w:w="880" w:type="dxa"/>
            <w:shd w:val="clear" w:color="auto" w:fill="auto"/>
            <w:noWrap/>
            <w:vAlign w:val="bottom"/>
          </w:tcPr>
          <w:p w14:paraId="4ED15E24" w14:textId="77777777" w:rsidR="001A6DD6" w:rsidRPr="00DB7E0A" w:rsidRDefault="001A6DD6" w:rsidP="00DB7E0A">
            <w:pPr>
              <w:keepNext/>
              <w:tabs>
                <w:tab w:val="left" w:pos="288"/>
                <w:tab w:val="left" w:pos="576"/>
                <w:tab w:val="left" w:pos="864"/>
                <w:tab w:val="left" w:pos="1152"/>
              </w:tabs>
              <w:spacing w:before="40" w:after="40" w:line="210" w:lineRule="exact"/>
              <w:ind w:right="43"/>
              <w:jc w:val="right"/>
              <w:rPr>
                <w:sz w:val="17"/>
              </w:rPr>
            </w:pPr>
            <w:r w:rsidRPr="00DB7E0A">
              <w:rPr>
                <w:sz w:val="17"/>
              </w:rPr>
              <w:t>63</w:t>
            </w:r>
          </w:p>
        </w:tc>
        <w:tc>
          <w:tcPr>
            <w:tcW w:w="881" w:type="dxa"/>
            <w:shd w:val="clear" w:color="auto" w:fill="auto"/>
            <w:noWrap/>
            <w:vAlign w:val="bottom"/>
          </w:tcPr>
          <w:p w14:paraId="5115710E" w14:textId="77777777" w:rsidR="001A6DD6" w:rsidRPr="00DB7E0A" w:rsidRDefault="001A6DD6" w:rsidP="00DB7E0A">
            <w:pPr>
              <w:keepNext/>
              <w:tabs>
                <w:tab w:val="left" w:pos="288"/>
                <w:tab w:val="left" w:pos="576"/>
                <w:tab w:val="left" w:pos="864"/>
                <w:tab w:val="left" w:pos="1152"/>
              </w:tabs>
              <w:spacing w:before="40" w:after="40" w:line="210" w:lineRule="exact"/>
              <w:ind w:right="43"/>
              <w:jc w:val="right"/>
              <w:rPr>
                <w:sz w:val="17"/>
              </w:rPr>
            </w:pPr>
            <w:r w:rsidRPr="00DB7E0A">
              <w:rPr>
                <w:sz w:val="17"/>
              </w:rPr>
              <w:t>4,91</w:t>
            </w:r>
          </w:p>
        </w:tc>
        <w:tc>
          <w:tcPr>
            <w:tcW w:w="881" w:type="dxa"/>
            <w:shd w:val="clear" w:color="auto" w:fill="auto"/>
            <w:noWrap/>
            <w:vAlign w:val="bottom"/>
          </w:tcPr>
          <w:p w14:paraId="3E9F0818" w14:textId="13F6BC2E" w:rsidR="001A6DD6" w:rsidRPr="00DB7E0A" w:rsidRDefault="001A6DD6" w:rsidP="00DB7E0A">
            <w:pPr>
              <w:keepNext/>
              <w:tabs>
                <w:tab w:val="left" w:pos="288"/>
                <w:tab w:val="left" w:pos="576"/>
                <w:tab w:val="left" w:pos="864"/>
                <w:tab w:val="left" w:pos="1152"/>
              </w:tabs>
              <w:spacing w:before="40" w:after="40" w:line="210" w:lineRule="exact"/>
              <w:ind w:right="43"/>
              <w:jc w:val="right"/>
              <w:rPr>
                <w:sz w:val="17"/>
              </w:rPr>
            </w:pPr>
            <w:r w:rsidRPr="00DB7E0A">
              <w:rPr>
                <w:sz w:val="17"/>
              </w:rPr>
              <w:t>1</w:t>
            </w:r>
            <w:r w:rsidR="007C7C44" w:rsidRPr="00DB7E0A">
              <w:rPr>
                <w:sz w:val="17"/>
              </w:rPr>
              <w:t> </w:t>
            </w:r>
            <w:r w:rsidRPr="00DB7E0A">
              <w:rPr>
                <w:sz w:val="17"/>
              </w:rPr>
              <w:t>219</w:t>
            </w:r>
          </w:p>
        </w:tc>
        <w:tc>
          <w:tcPr>
            <w:tcW w:w="881" w:type="dxa"/>
            <w:shd w:val="clear" w:color="auto" w:fill="auto"/>
            <w:noWrap/>
            <w:vAlign w:val="bottom"/>
          </w:tcPr>
          <w:p w14:paraId="76064AAC" w14:textId="77777777" w:rsidR="001A6DD6" w:rsidRPr="00DB7E0A" w:rsidRDefault="001A6DD6" w:rsidP="00DB7E0A">
            <w:pPr>
              <w:keepNext/>
              <w:tabs>
                <w:tab w:val="left" w:pos="288"/>
                <w:tab w:val="left" w:pos="576"/>
                <w:tab w:val="left" w:pos="864"/>
                <w:tab w:val="left" w:pos="1152"/>
              </w:tabs>
              <w:spacing w:before="40" w:after="40" w:line="210" w:lineRule="exact"/>
              <w:ind w:right="43"/>
              <w:jc w:val="right"/>
              <w:rPr>
                <w:sz w:val="17"/>
              </w:rPr>
            </w:pPr>
            <w:r w:rsidRPr="00DB7E0A">
              <w:rPr>
                <w:sz w:val="17"/>
              </w:rPr>
              <w:t>95,09</w:t>
            </w:r>
          </w:p>
        </w:tc>
        <w:tc>
          <w:tcPr>
            <w:tcW w:w="881" w:type="dxa"/>
            <w:shd w:val="clear" w:color="auto" w:fill="auto"/>
            <w:noWrap/>
            <w:vAlign w:val="bottom"/>
          </w:tcPr>
          <w:p w14:paraId="6A6B8D09" w14:textId="7375D50A" w:rsidR="001A6DD6" w:rsidRPr="00DB7E0A" w:rsidRDefault="001A6DD6" w:rsidP="00DB7E0A">
            <w:pPr>
              <w:keepNext/>
              <w:tabs>
                <w:tab w:val="left" w:pos="288"/>
                <w:tab w:val="left" w:pos="576"/>
                <w:tab w:val="left" w:pos="864"/>
                <w:tab w:val="left" w:pos="1152"/>
              </w:tabs>
              <w:spacing w:before="40" w:after="40" w:line="210" w:lineRule="exact"/>
              <w:ind w:right="43"/>
              <w:jc w:val="right"/>
              <w:rPr>
                <w:sz w:val="17"/>
              </w:rPr>
            </w:pPr>
            <w:r w:rsidRPr="00DB7E0A">
              <w:rPr>
                <w:sz w:val="17"/>
              </w:rPr>
              <w:t>1</w:t>
            </w:r>
            <w:r w:rsidR="007C7C44" w:rsidRPr="00DB7E0A">
              <w:rPr>
                <w:sz w:val="17"/>
              </w:rPr>
              <w:t> </w:t>
            </w:r>
            <w:r w:rsidRPr="00DB7E0A">
              <w:rPr>
                <w:sz w:val="17"/>
              </w:rPr>
              <w:t>282</w:t>
            </w:r>
          </w:p>
        </w:tc>
      </w:tr>
      <w:tr w:rsidR="00DB7E0A" w:rsidRPr="00DB7E0A" w14:paraId="1F82394E" w14:textId="77777777" w:rsidTr="00DB7E0A">
        <w:trPr>
          <w:cantSplit/>
        </w:trPr>
        <w:tc>
          <w:tcPr>
            <w:tcW w:w="2916" w:type="dxa"/>
            <w:tcBorders>
              <w:bottom w:val="single" w:sz="12" w:space="0" w:color="auto"/>
            </w:tcBorders>
            <w:shd w:val="clear" w:color="auto" w:fill="auto"/>
            <w:noWrap/>
            <w:vAlign w:val="bottom"/>
          </w:tcPr>
          <w:p w14:paraId="37BD0D26" w14:textId="77777777" w:rsidR="001A6DD6" w:rsidRPr="00DB7E0A" w:rsidRDefault="001A6DD6" w:rsidP="00DB7E0A">
            <w:pPr>
              <w:keepNext/>
              <w:tabs>
                <w:tab w:val="left" w:pos="288"/>
                <w:tab w:val="left" w:pos="576"/>
                <w:tab w:val="left" w:pos="864"/>
                <w:tab w:val="left" w:pos="1152"/>
              </w:tabs>
              <w:spacing w:before="40" w:after="40" w:line="210" w:lineRule="exact"/>
              <w:ind w:right="40"/>
              <w:rPr>
                <w:b/>
                <w:bCs/>
                <w:sz w:val="17"/>
              </w:rPr>
            </w:pPr>
            <w:r w:rsidRPr="00DB7E0A">
              <w:rPr>
                <w:b/>
                <w:bCs/>
                <w:sz w:val="17"/>
              </w:rPr>
              <w:t>Responsables de quartier (mukhtar)</w:t>
            </w:r>
          </w:p>
        </w:tc>
        <w:tc>
          <w:tcPr>
            <w:tcW w:w="880" w:type="dxa"/>
            <w:tcBorders>
              <w:bottom w:val="single" w:sz="12" w:space="0" w:color="auto"/>
            </w:tcBorders>
            <w:shd w:val="clear" w:color="auto" w:fill="auto"/>
            <w:noWrap/>
            <w:vAlign w:val="bottom"/>
          </w:tcPr>
          <w:p w14:paraId="6AAE3FFF" w14:textId="22E2F39A" w:rsidR="001A6DD6" w:rsidRPr="00DB7E0A" w:rsidRDefault="001A6DD6" w:rsidP="00DB7E0A">
            <w:pPr>
              <w:keepNext/>
              <w:tabs>
                <w:tab w:val="left" w:pos="288"/>
                <w:tab w:val="left" w:pos="576"/>
                <w:tab w:val="left" w:pos="864"/>
                <w:tab w:val="left" w:pos="1152"/>
              </w:tabs>
              <w:spacing w:before="40" w:after="40" w:line="210" w:lineRule="exact"/>
              <w:ind w:right="43"/>
              <w:jc w:val="right"/>
              <w:rPr>
                <w:sz w:val="17"/>
              </w:rPr>
            </w:pPr>
            <w:r w:rsidRPr="00DB7E0A">
              <w:rPr>
                <w:sz w:val="17"/>
              </w:rPr>
              <w:t>1</w:t>
            </w:r>
            <w:r w:rsidR="007C7C44" w:rsidRPr="00DB7E0A">
              <w:rPr>
                <w:sz w:val="17"/>
              </w:rPr>
              <w:t> </w:t>
            </w:r>
            <w:r w:rsidRPr="00DB7E0A">
              <w:rPr>
                <w:sz w:val="17"/>
              </w:rPr>
              <w:t>442</w:t>
            </w:r>
          </w:p>
        </w:tc>
        <w:tc>
          <w:tcPr>
            <w:tcW w:w="881" w:type="dxa"/>
            <w:tcBorders>
              <w:bottom w:val="single" w:sz="12" w:space="0" w:color="auto"/>
            </w:tcBorders>
            <w:shd w:val="clear" w:color="auto" w:fill="auto"/>
            <w:noWrap/>
            <w:vAlign w:val="bottom"/>
          </w:tcPr>
          <w:p w14:paraId="39DA07A2" w14:textId="77777777" w:rsidR="001A6DD6" w:rsidRPr="00DB7E0A" w:rsidRDefault="001A6DD6" w:rsidP="00DB7E0A">
            <w:pPr>
              <w:keepNext/>
              <w:tabs>
                <w:tab w:val="left" w:pos="288"/>
                <w:tab w:val="left" w:pos="576"/>
                <w:tab w:val="left" w:pos="864"/>
                <w:tab w:val="left" w:pos="1152"/>
              </w:tabs>
              <w:spacing w:before="40" w:after="40" w:line="210" w:lineRule="exact"/>
              <w:ind w:right="43"/>
              <w:jc w:val="right"/>
              <w:rPr>
                <w:sz w:val="17"/>
              </w:rPr>
            </w:pPr>
            <w:r w:rsidRPr="00DB7E0A">
              <w:rPr>
                <w:sz w:val="17"/>
              </w:rPr>
              <w:t>3,12</w:t>
            </w:r>
          </w:p>
        </w:tc>
        <w:tc>
          <w:tcPr>
            <w:tcW w:w="881" w:type="dxa"/>
            <w:tcBorders>
              <w:bottom w:val="single" w:sz="12" w:space="0" w:color="auto"/>
            </w:tcBorders>
            <w:shd w:val="clear" w:color="auto" w:fill="auto"/>
            <w:noWrap/>
            <w:vAlign w:val="bottom"/>
          </w:tcPr>
          <w:p w14:paraId="7C639E33" w14:textId="05FEAE3F" w:rsidR="001A6DD6" w:rsidRPr="00DB7E0A" w:rsidRDefault="001A6DD6" w:rsidP="00DB7E0A">
            <w:pPr>
              <w:keepNext/>
              <w:tabs>
                <w:tab w:val="left" w:pos="288"/>
                <w:tab w:val="left" w:pos="576"/>
                <w:tab w:val="left" w:pos="864"/>
                <w:tab w:val="left" w:pos="1152"/>
              </w:tabs>
              <w:spacing w:before="40" w:after="40" w:line="210" w:lineRule="exact"/>
              <w:ind w:right="43"/>
              <w:jc w:val="right"/>
              <w:rPr>
                <w:sz w:val="17"/>
              </w:rPr>
            </w:pPr>
            <w:r w:rsidRPr="00DB7E0A">
              <w:rPr>
                <w:sz w:val="17"/>
              </w:rPr>
              <w:t>44</w:t>
            </w:r>
            <w:r w:rsidR="007C7C44" w:rsidRPr="00DB7E0A">
              <w:rPr>
                <w:sz w:val="17"/>
              </w:rPr>
              <w:t> </w:t>
            </w:r>
            <w:r w:rsidRPr="00DB7E0A">
              <w:rPr>
                <w:sz w:val="17"/>
              </w:rPr>
              <w:t>760</w:t>
            </w:r>
          </w:p>
        </w:tc>
        <w:tc>
          <w:tcPr>
            <w:tcW w:w="881" w:type="dxa"/>
            <w:tcBorders>
              <w:bottom w:val="single" w:sz="12" w:space="0" w:color="auto"/>
            </w:tcBorders>
            <w:shd w:val="clear" w:color="auto" w:fill="auto"/>
            <w:noWrap/>
            <w:vAlign w:val="bottom"/>
          </w:tcPr>
          <w:p w14:paraId="14B90E41" w14:textId="77777777" w:rsidR="001A6DD6" w:rsidRPr="00DB7E0A" w:rsidRDefault="001A6DD6" w:rsidP="00DB7E0A">
            <w:pPr>
              <w:keepNext/>
              <w:tabs>
                <w:tab w:val="left" w:pos="288"/>
                <w:tab w:val="left" w:pos="576"/>
                <w:tab w:val="left" w:pos="864"/>
                <w:tab w:val="left" w:pos="1152"/>
              </w:tabs>
              <w:spacing w:before="40" w:after="40" w:line="210" w:lineRule="exact"/>
              <w:ind w:right="43"/>
              <w:jc w:val="right"/>
              <w:rPr>
                <w:sz w:val="17"/>
              </w:rPr>
            </w:pPr>
            <w:r w:rsidRPr="00DB7E0A">
              <w:rPr>
                <w:sz w:val="17"/>
              </w:rPr>
              <w:t>96,88</w:t>
            </w:r>
          </w:p>
        </w:tc>
        <w:tc>
          <w:tcPr>
            <w:tcW w:w="881" w:type="dxa"/>
            <w:tcBorders>
              <w:bottom w:val="single" w:sz="12" w:space="0" w:color="auto"/>
            </w:tcBorders>
            <w:shd w:val="clear" w:color="auto" w:fill="auto"/>
            <w:noWrap/>
            <w:vAlign w:val="bottom"/>
          </w:tcPr>
          <w:p w14:paraId="1A6493AE" w14:textId="47B9C12A" w:rsidR="001A6DD6" w:rsidRPr="00DB7E0A" w:rsidRDefault="001A6DD6" w:rsidP="00DB7E0A">
            <w:pPr>
              <w:keepNext/>
              <w:tabs>
                <w:tab w:val="left" w:pos="288"/>
                <w:tab w:val="left" w:pos="576"/>
                <w:tab w:val="left" w:pos="864"/>
                <w:tab w:val="left" w:pos="1152"/>
              </w:tabs>
              <w:spacing w:before="40" w:after="40" w:line="210" w:lineRule="exact"/>
              <w:ind w:right="43"/>
              <w:jc w:val="right"/>
              <w:rPr>
                <w:sz w:val="17"/>
              </w:rPr>
            </w:pPr>
            <w:r w:rsidRPr="00DB7E0A">
              <w:rPr>
                <w:sz w:val="17"/>
              </w:rPr>
              <w:t>46</w:t>
            </w:r>
            <w:r w:rsidR="007C7C44" w:rsidRPr="00DB7E0A">
              <w:rPr>
                <w:sz w:val="17"/>
              </w:rPr>
              <w:t> </w:t>
            </w:r>
            <w:r w:rsidRPr="00DB7E0A">
              <w:rPr>
                <w:sz w:val="17"/>
              </w:rPr>
              <w:t>202</w:t>
            </w:r>
          </w:p>
        </w:tc>
      </w:tr>
    </w:tbl>
    <w:p w14:paraId="174758BD" w14:textId="77777777" w:rsidR="001A6DD6" w:rsidRPr="00DB7E0A" w:rsidRDefault="001A6DD6" w:rsidP="00DB7E0A">
      <w:pPr>
        <w:pStyle w:val="SingleTxt"/>
        <w:spacing w:after="0" w:line="120" w:lineRule="exact"/>
        <w:rPr>
          <w:sz w:val="10"/>
          <w:lang w:val="fr-FR"/>
        </w:rPr>
      </w:pPr>
    </w:p>
    <w:p w14:paraId="411172DA" w14:textId="77777777" w:rsidR="00DB7E0A" w:rsidRPr="00DB7E0A" w:rsidRDefault="00DB7E0A" w:rsidP="00DB7E0A">
      <w:pPr>
        <w:pStyle w:val="SingleTxt"/>
        <w:spacing w:after="0" w:line="120" w:lineRule="exact"/>
        <w:rPr>
          <w:sz w:val="10"/>
          <w:lang w:val="fr-FR"/>
        </w:rPr>
      </w:pPr>
    </w:p>
    <w:p w14:paraId="3B5A270A" w14:textId="5CD87313" w:rsidR="001A6DD6" w:rsidRPr="001A6DD6" w:rsidRDefault="001A6DD6" w:rsidP="00DB7E0A">
      <w:pPr>
        <w:pStyle w:val="SingleTxt"/>
        <w:numPr>
          <w:ilvl w:val="0"/>
          <w:numId w:val="34"/>
        </w:numPr>
        <w:spacing w:line="240" w:lineRule="exact"/>
        <w:ind w:left="1267"/>
        <w:rPr>
          <w:lang w:val="fr-FR"/>
        </w:rPr>
      </w:pPr>
      <w:r w:rsidRPr="001A6DD6">
        <w:rPr>
          <w:lang w:val="fr-FR"/>
        </w:rPr>
        <w:t>À ce jour, une seule femme est ministre au sein du cabinet présidentiel, soit un taux de représentation de 5,88 %. Parmi les 70</w:t>
      </w:r>
      <w:r w:rsidR="007C7C44">
        <w:rPr>
          <w:lang w:val="fr-FR"/>
        </w:rPr>
        <w:t> </w:t>
      </w:r>
      <w:r w:rsidRPr="001A6DD6">
        <w:rPr>
          <w:lang w:val="fr-FR"/>
        </w:rPr>
        <w:t xml:space="preserve">vice-ministres, </w:t>
      </w:r>
      <w:r w:rsidR="00A15137">
        <w:rPr>
          <w:lang w:val="fr-FR"/>
        </w:rPr>
        <w:t>6</w:t>
      </w:r>
      <w:r w:rsidRPr="001A6DD6">
        <w:rPr>
          <w:lang w:val="fr-FR"/>
        </w:rPr>
        <w:t xml:space="preserve"> sont des femmes, soit 8,57 % du total.</w:t>
      </w:r>
    </w:p>
    <w:p w14:paraId="0C987377" w14:textId="48B14B30" w:rsidR="001A6DD6" w:rsidRPr="001A6DD6" w:rsidRDefault="001A6DD6" w:rsidP="00DB7E0A">
      <w:pPr>
        <w:pStyle w:val="SingleTxt"/>
        <w:numPr>
          <w:ilvl w:val="0"/>
          <w:numId w:val="34"/>
        </w:numPr>
        <w:spacing w:line="240" w:lineRule="exact"/>
        <w:ind w:left="1267"/>
        <w:rPr>
          <w:lang w:val="fr-FR"/>
        </w:rPr>
      </w:pPr>
      <w:r w:rsidRPr="001A6DD6">
        <w:rPr>
          <w:lang w:val="fr-FR"/>
        </w:rPr>
        <w:t>En ce qui concerne les emplois de direction dans le secteur public (données de décembre 2023), les femmes occupent 13,76 % des postes de directeur général et 13,57 % de ceux de directeur général adjoint. Les données de mai</w:t>
      </w:r>
      <w:r w:rsidR="00A15137">
        <w:rPr>
          <w:lang w:val="fr-FR"/>
        </w:rPr>
        <w:t xml:space="preserve"> </w:t>
      </w:r>
      <w:r w:rsidRPr="001A6DD6">
        <w:rPr>
          <w:lang w:val="fr-FR"/>
        </w:rPr>
        <w:t>2024 indiquent que les femmes représentent 42,66 % de l’ensemble des employés du secteur public. Il est encourageant de constater que la tendance est positive dans différents ministères, notamment ceux de l’intérieur, des affaires étrangères et de la justice.</w:t>
      </w:r>
    </w:p>
    <w:p w14:paraId="4F9264FC" w14:textId="4738DABB" w:rsidR="001A6DD6" w:rsidRPr="001A6DD6" w:rsidRDefault="001A6DD6" w:rsidP="00DB7E0A">
      <w:pPr>
        <w:pStyle w:val="SingleTxt"/>
        <w:numPr>
          <w:ilvl w:val="0"/>
          <w:numId w:val="34"/>
        </w:numPr>
        <w:spacing w:line="240" w:lineRule="exact"/>
        <w:ind w:left="1267"/>
        <w:rPr>
          <w:lang w:val="fr-FR"/>
        </w:rPr>
      </w:pPr>
      <w:r w:rsidRPr="001A6DD6">
        <w:rPr>
          <w:lang w:val="fr-FR"/>
        </w:rPr>
        <w:t>Le nombre de femmes qui travaillent au Ministère de l’intérieur a augmenté au fil des ans :</w:t>
      </w:r>
    </w:p>
    <w:p w14:paraId="1881A9FE" w14:textId="77777777" w:rsidR="001A6DD6" w:rsidRPr="00DB7E0A" w:rsidRDefault="001A6DD6" w:rsidP="00DB7E0A">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860"/>
        <w:gridCol w:w="1230"/>
        <w:gridCol w:w="1230"/>
      </w:tblGrid>
      <w:tr w:rsidR="00DB7E0A" w:rsidRPr="00DB7E0A" w14:paraId="055576AC" w14:textId="77777777" w:rsidTr="00C3187F">
        <w:trPr>
          <w:cantSplit/>
          <w:tblHeader/>
        </w:trPr>
        <w:tc>
          <w:tcPr>
            <w:tcW w:w="4860" w:type="dxa"/>
            <w:tcBorders>
              <w:top w:val="single" w:sz="4" w:space="0" w:color="auto"/>
              <w:bottom w:val="single" w:sz="12" w:space="0" w:color="auto"/>
            </w:tcBorders>
            <w:shd w:val="clear" w:color="auto" w:fill="auto"/>
            <w:noWrap/>
            <w:vAlign w:val="bottom"/>
          </w:tcPr>
          <w:p w14:paraId="3D660D26" w14:textId="77777777" w:rsidR="001A6DD6" w:rsidRPr="00DB7E0A" w:rsidRDefault="001A6DD6" w:rsidP="00DB7E0A">
            <w:pPr>
              <w:spacing w:before="81" w:after="81" w:line="160" w:lineRule="exact"/>
              <w:ind w:right="40"/>
              <w:rPr>
                <w:i/>
                <w:sz w:val="14"/>
              </w:rPr>
            </w:pPr>
            <w:r w:rsidRPr="00DB7E0A">
              <w:rPr>
                <w:i/>
                <w:sz w:val="14"/>
              </w:rPr>
              <w:t>Département</w:t>
            </w:r>
          </w:p>
        </w:tc>
        <w:tc>
          <w:tcPr>
            <w:tcW w:w="1230" w:type="dxa"/>
            <w:tcBorders>
              <w:top w:val="single" w:sz="4" w:space="0" w:color="auto"/>
              <w:bottom w:val="single" w:sz="12" w:space="0" w:color="auto"/>
            </w:tcBorders>
            <w:shd w:val="clear" w:color="auto" w:fill="auto"/>
            <w:noWrap/>
            <w:vAlign w:val="bottom"/>
          </w:tcPr>
          <w:p w14:paraId="0F133776" w14:textId="77777777" w:rsidR="001A6DD6" w:rsidRPr="00DB7E0A" w:rsidRDefault="001A6DD6" w:rsidP="00DB7E0A">
            <w:pPr>
              <w:spacing w:before="81" w:after="81" w:line="160" w:lineRule="exact"/>
              <w:ind w:right="43"/>
              <w:jc w:val="right"/>
              <w:rPr>
                <w:i/>
                <w:sz w:val="14"/>
              </w:rPr>
            </w:pPr>
            <w:r w:rsidRPr="00DB7E0A">
              <w:rPr>
                <w:i/>
                <w:sz w:val="14"/>
              </w:rPr>
              <w:t>Personnel féminin en 2016</w:t>
            </w:r>
          </w:p>
        </w:tc>
        <w:tc>
          <w:tcPr>
            <w:tcW w:w="1230" w:type="dxa"/>
            <w:tcBorders>
              <w:top w:val="single" w:sz="4" w:space="0" w:color="auto"/>
              <w:bottom w:val="single" w:sz="12" w:space="0" w:color="auto"/>
            </w:tcBorders>
            <w:shd w:val="clear" w:color="auto" w:fill="auto"/>
            <w:noWrap/>
            <w:vAlign w:val="bottom"/>
          </w:tcPr>
          <w:p w14:paraId="6F43565F" w14:textId="6673B9B0" w:rsidR="001A6DD6" w:rsidRPr="00DB7E0A" w:rsidRDefault="001A6DD6" w:rsidP="00DB7E0A">
            <w:pPr>
              <w:spacing w:before="81" w:after="81" w:line="160" w:lineRule="exact"/>
              <w:ind w:right="43"/>
              <w:jc w:val="right"/>
              <w:rPr>
                <w:i/>
                <w:sz w:val="14"/>
              </w:rPr>
            </w:pPr>
            <w:r w:rsidRPr="00DB7E0A">
              <w:rPr>
                <w:i/>
                <w:sz w:val="14"/>
              </w:rPr>
              <w:t>Personnel féminin en 2022</w:t>
            </w:r>
            <w:r w:rsidR="00C3187F">
              <w:rPr>
                <w:i/>
                <w:sz w:val="14"/>
              </w:rPr>
              <w:t>-</w:t>
            </w:r>
            <w:r w:rsidRPr="00DB7E0A">
              <w:rPr>
                <w:i/>
                <w:sz w:val="14"/>
              </w:rPr>
              <w:t>24</w:t>
            </w:r>
          </w:p>
        </w:tc>
      </w:tr>
      <w:tr w:rsidR="00DB7E0A" w:rsidRPr="00DB7E0A" w14:paraId="0942CC09" w14:textId="77777777" w:rsidTr="00C3187F">
        <w:trPr>
          <w:cantSplit/>
          <w:trHeight w:hRule="exact" w:val="115"/>
          <w:tblHeader/>
        </w:trPr>
        <w:tc>
          <w:tcPr>
            <w:tcW w:w="4860" w:type="dxa"/>
            <w:tcBorders>
              <w:top w:val="single" w:sz="12" w:space="0" w:color="auto"/>
            </w:tcBorders>
            <w:shd w:val="clear" w:color="auto" w:fill="auto"/>
            <w:noWrap/>
            <w:vAlign w:val="bottom"/>
          </w:tcPr>
          <w:p w14:paraId="2084B609" w14:textId="77777777" w:rsidR="00DB7E0A" w:rsidRPr="00DB7E0A" w:rsidRDefault="00DB7E0A" w:rsidP="00DB7E0A">
            <w:pPr>
              <w:spacing w:before="40" w:after="40" w:line="210" w:lineRule="exact"/>
              <w:ind w:right="40"/>
              <w:rPr>
                <w:sz w:val="17"/>
              </w:rPr>
            </w:pPr>
          </w:p>
        </w:tc>
        <w:tc>
          <w:tcPr>
            <w:tcW w:w="1230" w:type="dxa"/>
            <w:tcBorders>
              <w:top w:val="single" w:sz="12" w:space="0" w:color="auto"/>
            </w:tcBorders>
            <w:shd w:val="clear" w:color="auto" w:fill="auto"/>
            <w:noWrap/>
            <w:vAlign w:val="bottom"/>
          </w:tcPr>
          <w:p w14:paraId="1E4832D7" w14:textId="77777777" w:rsidR="00DB7E0A" w:rsidRPr="00DB7E0A" w:rsidRDefault="00DB7E0A" w:rsidP="00DB7E0A">
            <w:pPr>
              <w:spacing w:before="40" w:after="40" w:line="210" w:lineRule="exact"/>
              <w:ind w:right="43"/>
              <w:jc w:val="right"/>
              <w:rPr>
                <w:sz w:val="17"/>
              </w:rPr>
            </w:pPr>
          </w:p>
        </w:tc>
        <w:tc>
          <w:tcPr>
            <w:tcW w:w="1230" w:type="dxa"/>
            <w:tcBorders>
              <w:top w:val="single" w:sz="12" w:space="0" w:color="auto"/>
            </w:tcBorders>
            <w:shd w:val="clear" w:color="auto" w:fill="auto"/>
            <w:noWrap/>
            <w:vAlign w:val="bottom"/>
          </w:tcPr>
          <w:p w14:paraId="52D32517" w14:textId="77777777" w:rsidR="00DB7E0A" w:rsidRPr="00DB7E0A" w:rsidRDefault="00DB7E0A" w:rsidP="00DB7E0A">
            <w:pPr>
              <w:spacing w:before="40" w:after="40" w:line="210" w:lineRule="exact"/>
              <w:ind w:right="43"/>
              <w:jc w:val="right"/>
              <w:rPr>
                <w:sz w:val="17"/>
              </w:rPr>
            </w:pPr>
          </w:p>
        </w:tc>
      </w:tr>
      <w:tr w:rsidR="00C3187F" w:rsidRPr="00DB7E0A" w14:paraId="5BA9B449" w14:textId="77777777" w:rsidTr="00C3187F">
        <w:trPr>
          <w:cantSplit/>
        </w:trPr>
        <w:tc>
          <w:tcPr>
            <w:tcW w:w="4860" w:type="dxa"/>
            <w:shd w:val="clear" w:color="auto" w:fill="auto"/>
            <w:noWrap/>
            <w:vAlign w:val="bottom"/>
          </w:tcPr>
          <w:p w14:paraId="340DBD3B" w14:textId="77777777" w:rsidR="001A6DD6" w:rsidRPr="00C3187F" w:rsidRDefault="001A6DD6" w:rsidP="00DB7E0A">
            <w:pPr>
              <w:tabs>
                <w:tab w:val="left" w:pos="288"/>
                <w:tab w:val="left" w:pos="576"/>
                <w:tab w:val="left" w:pos="864"/>
                <w:tab w:val="left" w:pos="1152"/>
              </w:tabs>
              <w:spacing w:before="40" w:after="40" w:line="210" w:lineRule="exact"/>
              <w:ind w:right="40"/>
              <w:rPr>
                <w:b/>
                <w:bCs/>
                <w:sz w:val="17"/>
              </w:rPr>
            </w:pPr>
            <w:r w:rsidRPr="00C3187F">
              <w:rPr>
                <w:b/>
                <w:bCs/>
                <w:sz w:val="17"/>
              </w:rPr>
              <w:t>Gouverneurs de district et candidats</w:t>
            </w:r>
          </w:p>
        </w:tc>
        <w:tc>
          <w:tcPr>
            <w:tcW w:w="1230" w:type="dxa"/>
            <w:shd w:val="clear" w:color="auto" w:fill="auto"/>
            <w:noWrap/>
            <w:vAlign w:val="bottom"/>
          </w:tcPr>
          <w:p w14:paraId="0E2155DB" w14:textId="77777777" w:rsidR="001A6DD6" w:rsidRPr="00DB7E0A" w:rsidRDefault="001A6DD6" w:rsidP="00DB7E0A">
            <w:pPr>
              <w:tabs>
                <w:tab w:val="left" w:pos="288"/>
                <w:tab w:val="left" w:pos="576"/>
                <w:tab w:val="left" w:pos="864"/>
                <w:tab w:val="left" w:pos="1152"/>
              </w:tabs>
              <w:spacing w:before="40" w:after="40" w:line="210" w:lineRule="exact"/>
              <w:ind w:right="43"/>
              <w:jc w:val="right"/>
              <w:rPr>
                <w:sz w:val="17"/>
              </w:rPr>
            </w:pPr>
            <w:r w:rsidRPr="00DB7E0A">
              <w:rPr>
                <w:sz w:val="17"/>
              </w:rPr>
              <w:t>32</w:t>
            </w:r>
          </w:p>
        </w:tc>
        <w:tc>
          <w:tcPr>
            <w:tcW w:w="1230" w:type="dxa"/>
            <w:shd w:val="clear" w:color="auto" w:fill="auto"/>
            <w:noWrap/>
            <w:vAlign w:val="bottom"/>
          </w:tcPr>
          <w:p w14:paraId="2FE768BC" w14:textId="77777777" w:rsidR="001A6DD6" w:rsidRPr="00DB7E0A" w:rsidRDefault="001A6DD6" w:rsidP="00DB7E0A">
            <w:pPr>
              <w:tabs>
                <w:tab w:val="left" w:pos="288"/>
                <w:tab w:val="left" w:pos="576"/>
                <w:tab w:val="left" w:pos="864"/>
                <w:tab w:val="left" w:pos="1152"/>
              </w:tabs>
              <w:spacing w:before="40" w:after="40" w:line="210" w:lineRule="exact"/>
              <w:ind w:right="43"/>
              <w:jc w:val="right"/>
              <w:rPr>
                <w:sz w:val="17"/>
              </w:rPr>
            </w:pPr>
            <w:r w:rsidRPr="00DB7E0A">
              <w:rPr>
                <w:sz w:val="17"/>
              </w:rPr>
              <w:t>93 (2023)</w:t>
            </w:r>
          </w:p>
        </w:tc>
      </w:tr>
      <w:tr w:rsidR="00C3187F" w:rsidRPr="00DB7E0A" w14:paraId="77036FF7" w14:textId="77777777" w:rsidTr="00C3187F">
        <w:trPr>
          <w:cantSplit/>
        </w:trPr>
        <w:tc>
          <w:tcPr>
            <w:tcW w:w="4860" w:type="dxa"/>
            <w:shd w:val="clear" w:color="auto" w:fill="auto"/>
            <w:noWrap/>
            <w:vAlign w:val="bottom"/>
          </w:tcPr>
          <w:p w14:paraId="18763302" w14:textId="77777777" w:rsidR="001A6DD6" w:rsidRPr="00C3187F" w:rsidRDefault="001A6DD6" w:rsidP="00DB7E0A">
            <w:pPr>
              <w:tabs>
                <w:tab w:val="left" w:pos="288"/>
                <w:tab w:val="left" w:pos="576"/>
                <w:tab w:val="left" w:pos="864"/>
                <w:tab w:val="left" w:pos="1152"/>
              </w:tabs>
              <w:spacing w:before="40" w:after="40" w:line="210" w:lineRule="exact"/>
              <w:ind w:right="40"/>
              <w:rPr>
                <w:b/>
                <w:bCs/>
                <w:sz w:val="17"/>
              </w:rPr>
            </w:pPr>
            <w:r w:rsidRPr="00C3187F">
              <w:rPr>
                <w:b/>
                <w:bCs/>
                <w:sz w:val="17"/>
              </w:rPr>
              <w:t>Services de sécurité</w:t>
            </w:r>
          </w:p>
        </w:tc>
        <w:tc>
          <w:tcPr>
            <w:tcW w:w="1230" w:type="dxa"/>
            <w:shd w:val="clear" w:color="auto" w:fill="auto"/>
            <w:noWrap/>
            <w:vAlign w:val="bottom"/>
          </w:tcPr>
          <w:p w14:paraId="098F8914" w14:textId="3E0071EC" w:rsidR="001A6DD6" w:rsidRPr="00DB7E0A" w:rsidRDefault="001A6DD6" w:rsidP="00DB7E0A">
            <w:pPr>
              <w:tabs>
                <w:tab w:val="left" w:pos="288"/>
                <w:tab w:val="left" w:pos="576"/>
                <w:tab w:val="left" w:pos="864"/>
                <w:tab w:val="left" w:pos="1152"/>
              </w:tabs>
              <w:spacing w:before="40" w:after="40" w:line="210" w:lineRule="exact"/>
              <w:ind w:right="43"/>
              <w:jc w:val="right"/>
              <w:rPr>
                <w:sz w:val="17"/>
              </w:rPr>
            </w:pPr>
            <w:r w:rsidRPr="00DB7E0A">
              <w:rPr>
                <w:sz w:val="17"/>
              </w:rPr>
              <w:t>15</w:t>
            </w:r>
            <w:r w:rsidR="007C7C44" w:rsidRPr="00DB7E0A">
              <w:rPr>
                <w:sz w:val="17"/>
              </w:rPr>
              <w:t> </w:t>
            </w:r>
            <w:r w:rsidRPr="00DB7E0A">
              <w:rPr>
                <w:sz w:val="17"/>
              </w:rPr>
              <w:t>038</w:t>
            </w:r>
          </w:p>
        </w:tc>
        <w:tc>
          <w:tcPr>
            <w:tcW w:w="1230" w:type="dxa"/>
            <w:shd w:val="clear" w:color="auto" w:fill="auto"/>
            <w:noWrap/>
            <w:vAlign w:val="bottom"/>
          </w:tcPr>
          <w:p w14:paraId="628A8454" w14:textId="76AD3504" w:rsidR="001A6DD6" w:rsidRPr="00DB7E0A" w:rsidRDefault="001A6DD6" w:rsidP="00DB7E0A">
            <w:pPr>
              <w:tabs>
                <w:tab w:val="left" w:pos="288"/>
                <w:tab w:val="left" w:pos="576"/>
                <w:tab w:val="left" w:pos="864"/>
                <w:tab w:val="left" w:pos="1152"/>
              </w:tabs>
              <w:spacing w:before="40" w:after="40" w:line="210" w:lineRule="exact"/>
              <w:ind w:right="43"/>
              <w:jc w:val="right"/>
              <w:rPr>
                <w:sz w:val="17"/>
              </w:rPr>
            </w:pPr>
            <w:r w:rsidRPr="00DB7E0A">
              <w:rPr>
                <w:sz w:val="17"/>
              </w:rPr>
              <w:t>31</w:t>
            </w:r>
            <w:r w:rsidR="007C7C44" w:rsidRPr="00DB7E0A">
              <w:rPr>
                <w:sz w:val="17"/>
              </w:rPr>
              <w:t> </w:t>
            </w:r>
            <w:r w:rsidRPr="00DB7E0A">
              <w:rPr>
                <w:sz w:val="17"/>
              </w:rPr>
              <w:t>238 (2024)</w:t>
            </w:r>
          </w:p>
        </w:tc>
      </w:tr>
      <w:tr w:rsidR="00C3187F" w:rsidRPr="00DB7E0A" w14:paraId="5A02AA13" w14:textId="77777777" w:rsidTr="00C3187F">
        <w:trPr>
          <w:cantSplit/>
        </w:trPr>
        <w:tc>
          <w:tcPr>
            <w:tcW w:w="4860" w:type="dxa"/>
            <w:shd w:val="clear" w:color="auto" w:fill="auto"/>
            <w:noWrap/>
            <w:vAlign w:val="bottom"/>
          </w:tcPr>
          <w:p w14:paraId="59EB54AF" w14:textId="77777777" w:rsidR="001A6DD6" w:rsidRPr="00C3187F" w:rsidRDefault="001A6DD6" w:rsidP="00DB7E0A">
            <w:pPr>
              <w:tabs>
                <w:tab w:val="left" w:pos="288"/>
                <w:tab w:val="left" w:pos="576"/>
                <w:tab w:val="left" w:pos="864"/>
                <w:tab w:val="left" w:pos="1152"/>
              </w:tabs>
              <w:spacing w:before="40" w:after="40" w:line="210" w:lineRule="exact"/>
              <w:ind w:right="40"/>
              <w:rPr>
                <w:b/>
                <w:bCs/>
                <w:sz w:val="17"/>
              </w:rPr>
            </w:pPr>
            <w:r w:rsidRPr="00C3187F">
              <w:rPr>
                <w:b/>
                <w:bCs/>
                <w:sz w:val="17"/>
              </w:rPr>
              <w:t xml:space="preserve">Services de gendarmerie </w:t>
            </w:r>
          </w:p>
        </w:tc>
        <w:tc>
          <w:tcPr>
            <w:tcW w:w="1230" w:type="dxa"/>
            <w:shd w:val="clear" w:color="auto" w:fill="auto"/>
            <w:noWrap/>
            <w:vAlign w:val="bottom"/>
          </w:tcPr>
          <w:p w14:paraId="341CA474" w14:textId="77777777" w:rsidR="001A6DD6" w:rsidRPr="00DB7E0A" w:rsidRDefault="001A6DD6" w:rsidP="00DB7E0A">
            <w:pPr>
              <w:tabs>
                <w:tab w:val="left" w:pos="288"/>
                <w:tab w:val="left" w:pos="576"/>
                <w:tab w:val="left" w:pos="864"/>
                <w:tab w:val="left" w:pos="1152"/>
              </w:tabs>
              <w:spacing w:before="40" w:after="40" w:line="210" w:lineRule="exact"/>
              <w:ind w:right="43"/>
              <w:jc w:val="right"/>
              <w:rPr>
                <w:sz w:val="17"/>
              </w:rPr>
            </w:pPr>
            <w:r w:rsidRPr="00DB7E0A">
              <w:rPr>
                <w:sz w:val="17"/>
              </w:rPr>
              <w:t>709</w:t>
            </w:r>
          </w:p>
        </w:tc>
        <w:tc>
          <w:tcPr>
            <w:tcW w:w="1230" w:type="dxa"/>
            <w:shd w:val="clear" w:color="auto" w:fill="auto"/>
            <w:noWrap/>
            <w:vAlign w:val="bottom"/>
          </w:tcPr>
          <w:p w14:paraId="49DDB8AD" w14:textId="0CF7B044" w:rsidR="001A6DD6" w:rsidRPr="00DB7E0A" w:rsidRDefault="001A6DD6" w:rsidP="00DB7E0A">
            <w:pPr>
              <w:tabs>
                <w:tab w:val="left" w:pos="288"/>
                <w:tab w:val="left" w:pos="576"/>
                <w:tab w:val="left" w:pos="864"/>
                <w:tab w:val="left" w:pos="1152"/>
              </w:tabs>
              <w:spacing w:before="40" w:after="40" w:line="210" w:lineRule="exact"/>
              <w:ind w:right="43"/>
              <w:jc w:val="right"/>
              <w:rPr>
                <w:sz w:val="17"/>
              </w:rPr>
            </w:pPr>
            <w:r w:rsidRPr="00DB7E0A">
              <w:rPr>
                <w:sz w:val="17"/>
              </w:rPr>
              <w:t>2</w:t>
            </w:r>
            <w:r w:rsidR="007C7C44" w:rsidRPr="00DB7E0A">
              <w:rPr>
                <w:sz w:val="17"/>
              </w:rPr>
              <w:t> </w:t>
            </w:r>
            <w:r w:rsidRPr="00DB7E0A">
              <w:rPr>
                <w:sz w:val="17"/>
              </w:rPr>
              <w:t>229 (2022)</w:t>
            </w:r>
          </w:p>
        </w:tc>
      </w:tr>
      <w:tr w:rsidR="00C3187F" w:rsidRPr="00DB7E0A" w14:paraId="47D08C79" w14:textId="77777777" w:rsidTr="00C3187F">
        <w:trPr>
          <w:cantSplit/>
        </w:trPr>
        <w:tc>
          <w:tcPr>
            <w:tcW w:w="4860" w:type="dxa"/>
            <w:shd w:val="clear" w:color="auto" w:fill="auto"/>
            <w:noWrap/>
            <w:vAlign w:val="bottom"/>
          </w:tcPr>
          <w:p w14:paraId="334383F4" w14:textId="3AF69782" w:rsidR="001A6DD6" w:rsidRPr="00C3187F" w:rsidRDefault="001A6DD6" w:rsidP="00DB7E0A">
            <w:pPr>
              <w:tabs>
                <w:tab w:val="left" w:pos="288"/>
                <w:tab w:val="left" w:pos="576"/>
                <w:tab w:val="left" w:pos="864"/>
                <w:tab w:val="left" w:pos="1152"/>
              </w:tabs>
              <w:spacing w:before="40" w:after="40" w:line="210" w:lineRule="exact"/>
              <w:ind w:right="40"/>
              <w:rPr>
                <w:b/>
                <w:bCs/>
                <w:sz w:val="17"/>
              </w:rPr>
            </w:pPr>
            <w:r w:rsidRPr="00C3187F">
              <w:rPr>
                <w:b/>
                <w:bCs/>
                <w:sz w:val="17"/>
              </w:rPr>
              <w:t xml:space="preserve">Services des </w:t>
            </w:r>
            <w:r w:rsidR="005E69D1" w:rsidRPr="00C3187F">
              <w:rPr>
                <w:b/>
                <w:bCs/>
                <w:sz w:val="17"/>
              </w:rPr>
              <w:t>garde-côtes</w:t>
            </w:r>
          </w:p>
        </w:tc>
        <w:tc>
          <w:tcPr>
            <w:tcW w:w="1230" w:type="dxa"/>
            <w:shd w:val="clear" w:color="auto" w:fill="auto"/>
            <w:noWrap/>
            <w:vAlign w:val="bottom"/>
          </w:tcPr>
          <w:p w14:paraId="4029F471" w14:textId="77777777" w:rsidR="001A6DD6" w:rsidRPr="00DB7E0A" w:rsidRDefault="001A6DD6" w:rsidP="00DB7E0A">
            <w:pPr>
              <w:tabs>
                <w:tab w:val="left" w:pos="288"/>
                <w:tab w:val="left" w:pos="576"/>
                <w:tab w:val="left" w:pos="864"/>
                <w:tab w:val="left" w:pos="1152"/>
              </w:tabs>
              <w:spacing w:before="40" w:after="40" w:line="210" w:lineRule="exact"/>
              <w:ind w:right="43"/>
              <w:jc w:val="right"/>
              <w:rPr>
                <w:sz w:val="17"/>
              </w:rPr>
            </w:pPr>
            <w:r w:rsidRPr="00DB7E0A">
              <w:rPr>
                <w:sz w:val="17"/>
              </w:rPr>
              <w:t>16</w:t>
            </w:r>
          </w:p>
        </w:tc>
        <w:tc>
          <w:tcPr>
            <w:tcW w:w="1230" w:type="dxa"/>
            <w:shd w:val="clear" w:color="auto" w:fill="auto"/>
            <w:noWrap/>
            <w:vAlign w:val="bottom"/>
          </w:tcPr>
          <w:p w14:paraId="249373DC" w14:textId="77777777" w:rsidR="001A6DD6" w:rsidRPr="00DB7E0A" w:rsidRDefault="001A6DD6" w:rsidP="00DB7E0A">
            <w:pPr>
              <w:tabs>
                <w:tab w:val="left" w:pos="288"/>
                <w:tab w:val="left" w:pos="576"/>
                <w:tab w:val="left" w:pos="864"/>
                <w:tab w:val="left" w:pos="1152"/>
              </w:tabs>
              <w:spacing w:before="40" w:after="40" w:line="210" w:lineRule="exact"/>
              <w:ind w:right="43"/>
              <w:jc w:val="right"/>
              <w:rPr>
                <w:sz w:val="17"/>
              </w:rPr>
            </w:pPr>
            <w:r w:rsidRPr="00DB7E0A">
              <w:rPr>
                <w:sz w:val="17"/>
              </w:rPr>
              <w:t>101 (2022)</w:t>
            </w:r>
          </w:p>
        </w:tc>
      </w:tr>
      <w:tr w:rsidR="00C3187F" w:rsidRPr="00DB7E0A" w14:paraId="31ED8262" w14:textId="77777777" w:rsidTr="00C3187F">
        <w:trPr>
          <w:cantSplit/>
        </w:trPr>
        <w:tc>
          <w:tcPr>
            <w:tcW w:w="4860" w:type="dxa"/>
            <w:shd w:val="clear" w:color="auto" w:fill="auto"/>
            <w:noWrap/>
            <w:vAlign w:val="bottom"/>
          </w:tcPr>
          <w:p w14:paraId="26A9D7B9" w14:textId="77777777" w:rsidR="001A6DD6" w:rsidRPr="00C3187F" w:rsidRDefault="001A6DD6" w:rsidP="00DB7E0A">
            <w:pPr>
              <w:tabs>
                <w:tab w:val="left" w:pos="288"/>
                <w:tab w:val="left" w:pos="576"/>
                <w:tab w:val="left" w:pos="864"/>
                <w:tab w:val="left" w:pos="1152"/>
              </w:tabs>
              <w:spacing w:before="40" w:after="40" w:line="210" w:lineRule="exact"/>
              <w:ind w:right="40"/>
              <w:rPr>
                <w:b/>
                <w:bCs/>
                <w:sz w:val="17"/>
              </w:rPr>
            </w:pPr>
            <w:r w:rsidRPr="00C3187F">
              <w:rPr>
                <w:b/>
                <w:bCs/>
                <w:sz w:val="17"/>
              </w:rPr>
              <w:t xml:space="preserve">Présidence de la gestion des migrations </w:t>
            </w:r>
          </w:p>
        </w:tc>
        <w:tc>
          <w:tcPr>
            <w:tcW w:w="1230" w:type="dxa"/>
            <w:shd w:val="clear" w:color="auto" w:fill="auto"/>
            <w:noWrap/>
            <w:vAlign w:val="bottom"/>
          </w:tcPr>
          <w:p w14:paraId="5CC59EE9" w14:textId="77777777" w:rsidR="001A6DD6" w:rsidRPr="00DB7E0A" w:rsidRDefault="001A6DD6" w:rsidP="00DB7E0A">
            <w:pPr>
              <w:tabs>
                <w:tab w:val="left" w:pos="288"/>
                <w:tab w:val="left" w:pos="576"/>
                <w:tab w:val="left" w:pos="864"/>
                <w:tab w:val="left" w:pos="1152"/>
              </w:tabs>
              <w:spacing w:before="40" w:after="40" w:line="210" w:lineRule="exact"/>
              <w:ind w:right="43"/>
              <w:jc w:val="right"/>
              <w:rPr>
                <w:sz w:val="17"/>
              </w:rPr>
            </w:pPr>
            <w:r w:rsidRPr="00DB7E0A">
              <w:rPr>
                <w:sz w:val="17"/>
              </w:rPr>
              <w:t>422</w:t>
            </w:r>
          </w:p>
        </w:tc>
        <w:tc>
          <w:tcPr>
            <w:tcW w:w="1230" w:type="dxa"/>
            <w:shd w:val="clear" w:color="auto" w:fill="auto"/>
            <w:noWrap/>
            <w:vAlign w:val="bottom"/>
          </w:tcPr>
          <w:p w14:paraId="246E2E28" w14:textId="322A4B74" w:rsidR="001A6DD6" w:rsidRPr="00DB7E0A" w:rsidRDefault="001A6DD6" w:rsidP="00DB7E0A">
            <w:pPr>
              <w:tabs>
                <w:tab w:val="left" w:pos="288"/>
                <w:tab w:val="left" w:pos="576"/>
                <w:tab w:val="left" w:pos="864"/>
                <w:tab w:val="left" w:pos="1152"/>
              </w:tabs>
              <w:spacing w:before="40" w:after="40" w:line="210" w:lineRule="exact"/>
              <w:ind w:right="43"/>
              <w:jc w:val="right"/>
              <w:rPr>
                <w:sz w:val="17"/>
              </w:rPr>
            </w:pPr>
            <w:r w:rsidRPr="00DB7E0A">
              <w:rPr>
                <w:sz w:val="17"/>
              </w:rPr>
              <w:t>3</w:t>
            </w:r>
            <w:r w:rsidR="007C7C44" w:rsidRPr="00DB7E0A">
              <w:rPr>
                <w:sz w:val="17"/>
              </w:rPr>
              <w:t> </w:t>
            </w:r>
            <w:r w:rsidRPr="00DB7E0A">
              <w:rPr>
                <w:sz w:val="17"/>
              </w:rPr>
              <w:t>266 (2024)</w:t>
            </w:r>
          </w:p>
        </w:tc>
      </w:tr>
      <w:tr w:rsidR="00DB7E0A" w:rsidRPr="00DB7E0A" w14:paraId="366A0817" w14:textId="77777777" w:rsidTr="00C3187F">
        <w:trPr>
          <w:cantSplit/>
        </w:trPr>
        <w:tc>
          <w:tcPr>
            <w:tcW w:w="4860" w:type="dxa"/>
            <w:shd w:val="clear" w:color="auto" w:fill="auto"/>
            <w:noWrap/>
            <w:vAlign w:val="bottom"/>
          </w:tcPr>
          <w:p w14:paraId="7FAFB8DF" w14:textId="77777777" w:rsidR="001A6DD6" w:rsidRPr="00C3187F" w:rsidRDefault="001A6DD6" w:rsidP="00DB7E0A">
            <w:pPr>
              <w:tabs>
                <w:tab w:val="left" w:pos="288"/>
                <w:tab w:val="left" w:pos="576"/>
                <w:tab w:val="left" w:pos="864"/>
                <w:tab w:val="left" w:pos="1152"/>
              </w:tabs>
              <w:spacing w:before="40" w:after="40" w:line="210" w:lineRule="exact"/>
              <w:ind w:right="40"/>
              <w:rPr>
                <w:b/>
                <w:bCs/>
                <w:sz w:val="17"/>
              </w:rPr>
            </w:pPr>
            <w:r w:rsidRPr="00C3187F">
              <w:rPr>
                <w:b/>
                <w:bCs/>
                <w:sz w:val="17"/>
              </w:rPr>
              <w:t xml:space="preserve">Autorité de gestion des catastrophes et des urgences (AFAD) </w:t>
            </w:r>
          </w:p>
        </w:tc>
        <w:tc>
          <w:tcPr>
            <w:tcW w:w="1230" w:type="dxa"/>
            <w:shd w:val="clear" w:color="auto" w:fill="auto"/>
            <w:noWrap/>
            <w:vAlign w:val="bottom"/>
          </w:tcPr>
          <w:p w14:paraId="135449F6" w14:textId="77777777" w:rsidR="001A6DD6" w:rsidRPr="00DB7E0A" w:rsidRDefault="001A6DD6" w:rsidP="00DB7E0A">
            <w:pPr>
              <w:tabs>
                <w:tab w:val="left" w:pos="288"/>
                <w:tab w:val="left" w:pos="576"/>
                <w:tab w:val="left" w:pos="864"/>
                <w:tab w:val="left" w:pos="1152"/>
              </w:tabs>
              <w:spacing w:before="40" w:after="40" w:line="210" w:lineRule="exact"/>
              <w:ind w:right="43"/>
              <w:jc w:val="right"/>
              <w:rPr>
                <w:sz w:val="17"/>
              </w:rPr>
            </w:pPr>
            <w:r w:rsidRPr="00DB7E0A">
              <w:rPr>
                <w:sz w:val="17"/>
              </w:rPr>
              <w:t>967</w:t>
            </w:r>
          </w:p>
        </w:tc>
        <w:tc>
          <w:tcPr>
            <w:tcW w:w="1230" w:type="dxa"/>
            <w:shd w:val="clear" w:color="auto" w:fill="auto"/>
            <w:noWrap/>
            <w:vAlign w:val="bottom"/>
          </w:tcPr>
          <w:p w14:paraId="23A61B17" w14:textId="047AF5BD" w:rsidR="001A6DD6" w:rsidRPr="00DB7E0A" w:rsidRDefault="001A6DD6" w:rsidP="00DB7E0A">
            <w:pPr>
              <w:tabs>
                <w:tab w:val="left" w:pos="288"/>
                <w:tab w:val="left" w:pos="576"/>
                <w:tab w:val="left" w:pos="864"/>
                <w:tab w:val="left" w:pos="1152"/>
              </w:tabs>
              <w:spacing w:before="40" w:after="40" w:line="210" w:lineRule="exact"/>
              <w:ind w:right="43"/>
              <w:jc w:val="right"/>
              <w:rPr>
                <w:sz w:val="17"/>
              </w:rPr>
            </w:pPr>
            <w:r w:rsidRPr="00DB7E0A">
              <w:rPr>
                <w:sz w:val="17"/>
              </w:rPr>
              <w:t>1</w:t>
            </w:r>
            <w:r w:rsidR="007C7C44" w:rsidRPr="00DB7E0A">
              <w:rPr>
                <w:sz w:val="17"/>
              </w:rPr>
              <w:t> </w:t>
            </w:r>
            <w:r w:rsidRPr="00DB7E0A">
              <w:rPr>
                <w:sz w:val="17"/>
              </w:rPr>
              <w:t>057 (2022)</w:t>
            </w:r>
          </w:p>
        </w:tc>
      </w:tr>
      <w:tr w:rsidR="00DB7E0A" w:rsidRPr="00DB7E0A" w14:paraId="52EF196C" w14:textId="77777777" w:rsidTr="00C3187F">
        <w:trPr>
          <w:cantSplit/>
        </w:trPr>
        <w:tc>
          <w:tcPr>
            <w:tcW w:w="4860" w:type="dxa"/>
            <w:tcBorders>
              <w:bottom w:val="single" w:sz="12" w:space="0" w:color="auto"/>
            </w:tcBorders>
            <w:shd w:val="clear" w:color="auto" w:fill="auto"/>
            <w:noWrap/>
            <w:vAlign w:val="bottom"/>
          </w:tcPr>
          <w:p w14:paraId="1CC51FD1" w14:textId="77777777" w:rsidR="001A6DD6" w:rsidRPr="00C3187F" w:rsidRDefault="001A6DD6" w:rsidP="00DB7E0A">
            <w:pPr>
              <w:tabs>
                <w:tab w:val="left" w:pos="288"/>
                <w:tab w:val="left" w:pos="576"/>
                <w:tab w:val="left" w:pos="864"/>
                <w:tab w:val="left" w:pos="1152"/>
              </w:tabs>
              <w:spacing w:before="40" w:after="40" w:line="210" w:lineRule="exact"/>
              <w:ind w:right="40"/>
              <w:rPr>
                <w:b/>
                <w:bCs/>
                <w:sz w:val="17"/>
              </w:rPr>
            </w:pPr>
            <w:r w:rsidRPr="00C3187F">
              <w:rPr>
                <w:b/>
                <w:bCs/>
                <w:sz w:val="17"/>
              </w:rPr>
              <w:t>Direction générale de la population et de la citoyenneté</w:t>
            </w:r>
          </w:p>
        </w:tc>
        <w:tc>
          <w:tcPr>
            <w:tcW w:w="1230" w:type="dxa"/>
            <w:tcBorders>
              <w:bottom w:val="single" w:sz="12" w:space="0" w:color="auto"/>
            </w:tcBorders>
            <w:shd w:val="clear" w:color="auto" w:fill="auto"/>
            <w:noWrap/>
            <w:vAlign w:val="bottom"/>
          </w:tcPr>
          <w:p w14:paraId="51625703" w14:textId="24D8ABF1" w:rsidR="001A6DD6" w:rsidRPr="00DB7E0A" w:rsidRDefault="001A6DD6" w:rsidP="00DB7E0A">
            <w:pPr>
              <w:tabs>
                <w:tab w:val="left" w:pos="288"/>
                <w:tab w:val="left" w:pos="576"/>
                <w:tab w:val="left" w:pos="864"/>
                <w:tab w:val="left" w:pos="1152"/>
              </w:tabs>
              <w:spacing w:before="40" w:after="40" w:line="210" w:lineRule="exact"/>
              <w:ind w:right="43"/>
              <w:jc w:val="right"/>
              <w:rPr>
                <w:sz w:val="17"/>
              </w:rPr>
            </w:pPr>
            <w:r w:rsidRPr="00DB7E0A">
              <w:rPr>
                <w:sz w:val="17"/>
              </w:rPr>
              <w:t>3</w:t>
            </w:r>
            <w:r w:rsidR="007C7C44" w:rsidRPr="00DB7E0A">
              <w:rPr>
                <w:sz w:val="17"/>
              </w:rPr>
              <w:t> </w:t>
            </w:r>
            <w:r w:rsidRPr="00DB7E0A">
              <w:rPr>
                <w:sz w:val="17"/>
              </w:rPr>
              <w:t>614</w:t>
            </w:r>
          </w:p>
        </w:tc>
        <w:tc>
          <w:tcPr>
            <w:tcW w:w="1230" w:type="dxa"/>
            <w:tcBorders>
              <w:bottom w:val="single" w:sz="12" w:space="0" w:color="auto"/>
            </w:tcBorders>
            <w:shd w:val="clear" w:color="auto" w:fill="auto"/>
            <w:noWrap/>
            <w:vAlign w:val="bottom"/>
          </w:tcPr>
          <w:p w14:paraId="44B0EFDF" w14:textId="38715D12" w:rsidR="001A6DD6" w:rsidRPr="00DB7E0A" w:rsidRDefault="001A6DD6" w:rsidP="00DB7E0A">
            <w:pPr>
              <w:tabs>
                <w:tab w:val="left" w:pos="288"/>
                <w:tab w:val="left" w:pos="576"/>
                <w:tab w:val="left" w:pos="864"/>
                <w:tab w:val="left" w:pos="1152"/>
              </w:tabs>
              <w:spacing w:before="40" w:after="40" w:line="210" w:lineRule="exact"/>
              <w:ind w:right="43"/>
              <w:jc w:val="right"/>
              <w:rPr>
                <w:sz w:val="17"/>
              </w:rPr>
            </w:pPr>
            <w:r w:rsidRPr="00DB7E0A">
              <w:rPr>
                <w:sz w:val="17"/>
              </w:rPr>
              <w:t>4</w:t>
            </w:r>
            <w:r w:rsidR="007C7C44" w:rsidRPr="00DB7E0A">
              <w:rPr>
                <w:sz w:val="17"/>
              </w:rPr>
              <w:t> </w:t>
            </w:r>
            <w:r w:rsidRPr="00DB7E0A">
              <w:rPr>
                <w:sz w:val="17"/>
              </w:rPr>
              <w:t>993 (2024)</w:t>
            </w:r>
          </w:p>
        </w:tc>
      </w:tr>
    </w:tbl>
    <w:p w14:paraId="4F533572" w14:textId="77777777" w:rsidR="001A6DD6" w:rsidRPr="00C3187F" w:rsidRDefault="001A6DD6" w:rsidP="00C3187F">
      <w:pPr>
        <w:pStyle w:val="SingleTxt"/>
        <w:spacing w:after="0" w:line="120" w:lineRule="exact"/>
        <w:rPr>
          <w:sz w:val="10"/>
          <w:lang w:val="fr-FR"/>
        </w:rPr>
      </w:pPr>
    </w:p>
    <w:p w14:paraId="3767BF62" w14:textId="77777777" w:rsidR="00C3187F" w:rsidRPr="00C3187F" w:rsidRDefault="00C3187F" w:rsidP="00C3187F">
      <w:pPr>
        <w:pStyle w:val="SingleTxt"/>
        <w:spacing w:after="0" w:line="120" w:lineRule="exact"/>
        <w:rPr>
          <w:sz w:val="10"/>
          <w:lang w:val="fr-FR"/>
        </w:rPr>
      </w:pPr>
    </w:p>
    <w:p w14:paraId="6857CBC0" w14:textId="2D0D4DEB" w:rsidR="001A6DD6" w:rsidRPr="001A6DD6" w:rsidRDefault="001A6DD6" w:rsidP="00C3187F">
      <w:pPr>
        <w:pStyle w:val="SingleTxt"/>
        <w:numPr>
          <w:ilvl w:val="0"/>
          <w:numId w:val="34"/>
        </w:numPr>
        <w:spacing w:line="240" w:lineRule="exact"/>
        <w:ind w:left="1267"/>
        <w:rPr>
          <w:lang w:val="fr-FR"/>
        </w:rPr>
      </w:pPr>
      <w:r w:rsidRPr="001A6DD6">
        <w:rPr>
          <w:lang w:val="fr-FR"/>
        </w:rPr>
        <w:t>Au Ministère des affaires étrangères, 38 % des diplomates de carrière, 16 des 32</w:t>
      </w:r>
      <w:r w:rsidR="007C7C44">
        <w:rPr>
          <w:lang w:val="fr-FR"/>
        </w:rPr>
        <w:t> </w:t>
      </w:r>
      <w:r w:rsidRPr="001A6DD6">
        <w:rPr>
          <w:lang w:val="fr-FR"/>
        </w:rPr>
        <w:t>directeurs généraux et 19 des 50</w:t>
      </w:r>
      <w:r w:rsidR="007C7C44">
        <w:rPr>
          <w:lang w:val="fr-FR"/>
        </w:rPr>
        <w:t> </w:t>
      </w:r>
      <w:r w:rsidRPr="001A6DD6">
        <w:rPr>
          <w:lang w:val="fr-FR"/>
        </w:rPr>
        <w:t xml:space="preserve">directeurs généraux adjoints sont des femmes. La proportion de femmes parmi les directeurs généraux et directeurs généraux adjoints du </w:t>
      </w:r>
      <w:r w:rsidR="00A15137">
        <w:rPr>
          <w:lang w:val="fr-FR"/>
        </w:rPr>
        <w:t>M</w:t>
      </w:r>
      <w:r w:rsidRPr="001A6DD6">
        <w:rPr>
          <w:lang w:val="fr-FR"/>
        </w:rPr>
        <w:t>inistère est passée de 29,6</w:t>
      </w:r>
      <w:r w:rsidR="00A15137">
        <w:rPr>
          <w:lang w:val="fr-FR"/>
        </w:rPr>
        <w:t> %</w:t>
      </w:r>
      <w:r w:rsidR="00C3187F">
        <w:rPr>
          <w:lang w:val="fr-FR"/>
        </w:rPr>
        <w:t xml:space="preserve"> </w:t>
      </w:r>
      <w:r w:rsidRPr="001A6DD6">
        <w:rPr>
          <w:lang w:val="fr-FR"/>
        </w:rPr>
        <w:t>à 42,7 % depuis 2020.</w:t>
      </w:r>
    </w:p>
    <w:p w14:paraId="0B3078E4" w14:textId="620BA373" w:rsidR="001A6DD6" w:rsidRPr="001A6DD6" w:rsidRDefault="001A6DD6" w:rsidP="00C3187F">
      <w:pPr>
        <w:pStyle w:val="SingleTxt"/>
        <w:numPr>
          <w:ilvl w:val="0"/>
          <w:numId w:val="34"/>
        </w:numPr>
        <w:spacing w:line="240" w:lineRule="exact"/>
        <w:ind w:left="1267"/>
        <w:rPr>
          <w:lang w:val="fr-FR"/>
        </w:rPr>
      </w:pPr>
      <w:r w:rsidRPr="001A6DD6">
        <w:rPr>
          <w:lang w:val="fr-FR"/>
        </w:rPr>
        <w:t>La proportion de femmes ambassadrices n’a cessé d’augmenter depuis 2000, passant de 4,6 % en 2000 à 27,3 % en mai</w:t>
      </w:r>
      <w:r w:rsidR="00C3187F">
        <w:rPr>
          <w:lang w:val="fr-FR"/>
        </w:rPr>
        <w:t xml:space="preserve"> </w:t>
      </w:r>
      <w:r w:rsidRPr="001A6DD6">
        <w:rPr>
          <w:lang w:val="fr-FR"/>
        </w:rPr>
        <w:t>2024 (sur 304</w:t>
      </w:r>
      <w:r w:rsidR="007C7C44">
        <w:rPr>
          <w:lang w:val="fr-FR"/>
        </w:rPr>
        <w:t> </w:t>
      </w:r>
      <w:r w:rsidRPr="001A6DD6">
        <w:rPr>
          <w:lang w:val="fr-FR"/>
        </w:rPr>
        <w:t xml:space="preserve">ambassadrices et ambassadeurs, 83 sont des femmes). En 2016, ce taux s’élevait à 17,6 %, puis il a atteint 25 % en 2020. </w:t>
      </w:r>
    </w:p>
    <w:p w14:paraId="5D9A8B22" w14:textId="798406B7" w:rsidR="001A6DD6" w:rsidRPr="001A6DD6" w:rsidRDefault="001A6DD6" w:rsidP="00C3187F">
      <w:pPr>
        <w:pStyle w:val="SingleTxt"/>
        <w:numPr>
          <w:ilvl w:val="0"/>
          <w:numId w:val="34"/>
        </w:numPr>
        <w:spacing w:line="240" w:lineRule="exact"/>
        <w:ind w:left="1267"/>
        <w:rPr>
          <w:lang w:val="fr-FR"/>
        </w:rPr>
      </w:pPr>
      <w:r w:rsidRPr="001A6DD6">
        <w:rPr>
          <w:lang w:val="fr-FR"/>
        </w:rPr>
        <w:t>Les services centraux et provinciaux du Ministère de la justice emploient 184</w:t>
      </w:r>
      <w:r w:rsidR="007C7C44">
        <w:rPr>
          <w:lang w:val="fr-FR"/>
        </w:rPr>
        <w:t> </w:t>
      </w:r>
      <w:r w:rsidRPr="001A6DD6">
        <w:rPr>
          <w:lang w:val="fr-FR"/>
        </w:rPr>
        <w:t>193</w:t>
      </w:r>
      <w:r w:rsidR="007C7C44">
        <w:rPr>
          <w:lang w:val="fr-FR"/>
        </w:rPr>
        <w:t> </w:t>
      </w:r>
      <w:r w:rsidRPr="001A6DD6">
        <w:rPr>
          <w:lang w:val="fr-FR"/>
        </w:rPr>
        <w:t>personnes (hors le département de médecine légale), dont 60</w:t>
      </w:r>
      <w:r w:rsidR="007C7C44">
        <w:rPr>
          <w:lang w:val="fr-FR"/>
        </w:rPr>
        <w:t> </w:t>
      </w:r>
      <w:r w:rsidRPr="001A6DD6">
        <w:rPr>
          <w:lang w:val="fr-FR"/>
        </w:rPr>
        <w:t>344</w:t>
      </w:r>
      <w:r w:rsidR="007C7C44">
        <w:rPr>
          <w:lang w:val="fr-FR"/>
        </w:rPr>
        <w:t> </w:t>
      </w:r>
      <w:r w:rsidRPr="001A6DD6">
        <w:rPr>
          <w:lang w:val="fr-FR"/>
        </w:rPr>
        <w:t xml:space="preserve">femmes et </w:t>
      </w:r>
      <w:r w:rsidRPr="001A6DD6">
        <w:rPr>
          <w:lang w:val="fr-FR"/>
        </w:rPr>
        <w:lastRenderedPageBreak/>
        <w:t>123</w:t>
      </w:r>
      <w:r w:rsidR="007C7C44">
        <w:rPr>
          <w:lang w:val="fr-FR"/>
        </w:rPr>
        <w:t> </w:t>
      </w:r>
      <w:r w:rsidRPr="001A6DD6">
        <w:rPr>
          <w:lang w:val="fr-FR"/>
        </w:rPr>
        <w:t>849</w:t>
      </w:r>
      <w:r w:rsidR="007C7C44">
        <w:rPr>
          <w:lang w:val="fr-FR"/>
        </w:rPr>
        <w:t> </w:t>
      </w:r>
      <w:r w:rsidRPr="001A6DD6">
        <w:rPr>
          <w:lang w:val="fr-FR"/>
        </w:rPr>
        <w:t>hommes. Les services centraux comptent 638</w:t>
      </w:r>
      <w:r w:rsidR="007C7C44">
        <w:rPr>
          <w:lang w:val="fr-FR"/>
        </w:rPr>
        <w:t> </w:t>
      </w:r>
      <w:r w:rsidRPr="001A6DD6">
        <w:rPr>
          <w:lang w:val="fr-FR"/>
        </w:rPr>
        <w:t>juges et procureurs (y compris l’Académie turque de la justice), dont 153</w:t>
      </w:r>
      <w:r w:rsidR="007C7C44">
        <w:rPr>
          <w:lang w:val="fr-FR"/>
        </w:rPr>
        <w:t> </w:t>
      </w:r>
      <w:r w:rsidRPr="001A6DD6">
        <w:rPr>
          <w:lang w:val="fr-FR"/>
        </w:rPr>
        <w:t>femmes et 485</w:t>
      </w:r>
      <w:r w:rsidR="007C7C44">
        <w:rPr>
          <w:lang w:val="fr-FR"/>
        </w:rPr>
        <w:t> </w:t>
      </w:r>
      <w:r w:rsidRPr="001A6DD6">
        <w:rPr>
          <w:lang w:val="fr-FR"/>
        </w:rPr>
        <w:t>hommes.</w:t>
      </w:r>
    </w:p>
    <w:p w14:paraId="0CD87C0F" w14:textId="45D08070" w:rsidR="001A6DD6" w:rsidRPr="001A6DD6" w:rsidRDefault="001A6DD6" w:rsidP="00C3187F">
      <w:pPr>
        <w:pStyle w:val="SingleTxt"/>
        <w:numPr>
          <w:ilvl w:val="0"/>
          <w:numId w:val="34"/>
        </w:numPr>
        <w:spacing w:line="240" w:lineRule="exact"/>
        <w:ind w:left="1267"/>
        <w:rPr>
          <w:lang w:val="fr-FR"/>
        </w:rPr>
      </w:pPr>
      <w:r w:rsidRPr="001A6DD6">
        <w:rPr>
          <w:lang w:val="fr-FR"/>
        </w:rPr>
        <w:t>Entre 2018 et 2023, les données montrent une augmentation de 22 % du nombre de femmes juges et procureurs, par rapport à une progression de 17 % de l’effectif total.</w:t>
      </w:r>
    </w:p>
    <w:p w14:paraId="681C03B8" w14:textId="797DEE14" w:rsidR="001A6DD6" w:rsidRPr="001A6DD6" w:rsidRDefault="001A6DD6" w:rsidP="00C3187F">
      <w:pPr>
        <w:pStyle w:val="SingleTxt"/>
        <w:numPr>
          <w:ilvl w:val="0"/>
          <w:numId w:val="34"/>
        </w:numPr>
        <w:spacing w:line="240" w:lineRule="exact"/>
        <w:ind w:left="1267"/>
        <w:rPr>
          <w:lang w:val="fr-FR"/>
        </w:rPr>
      </w:pPr>
      <w:r w:rsidRPr="001A6DD6">
        <w:rPr>
          <w:lang w:val="fr-FR"/>
        </w:rPr>
        <w:t>Selon les données de mai</w:t>
      </w:r>
      <w:r w:rsidR="00C3187F">
        <w:rPr>
          <w:lang w:val="fr-FR"/>
        </w:rPr>
        <w:t xml:space="preserve"> </w:t>
      </w:r>
      <w:r w:rsidRPr="001A6DD6">
        <w:rPr>
          <w:lang w:val="fr-FR"/>
        </w:rPr>
        <w:t>2024 du Conseil des juges et des procureurs (HSK), 7</w:t>
      </w:r>
      <w:r w:rsidR="007C7C44">
        <w:rPr>
          <w:lang w:val="fr-FR"/>
        </w:rPr>
        <w:t> </w:t>
      </w:r>
      <w:r w:rsidRPr="001A6DD6">
        <w:rPr>
          <w:lang w:val="fr-FR"/>
        </w:rPr>
        <w:t>583 des 16</w:t>
      </w:r>
      <w:r w:rsidR="007C7C44">
        <w:rPr>
          <w:lang w:val="fr-FR"/>
        </w:rPr>
        <w:t> </w:t>
      </w:r>
      <w:r w:rsidRPr="001A6DD6">
        <w:rPr>
          <w:lang w:val="fr-FR"/>
        </w:rPr>
        <w:t>191</w:t>
      </w:r>
      <w:r w:rsidR="007C7C44">
        <w:rPr>
          <w:lang w:val="fr-FR"/>
        </w:rPr>
        <w:t> </w:t>
      </w:r>
      <w:r w:rsidRPr="001A6DD6">
        <w:rPr>
          <w:lang w:val="fr-FR"/>
        </w:rPr>
        <w:t>juges et 1</w:t>
      </w:r>
      <w:r w:rsidR="007C7C44">
        <w:rPr>
          <w:lang w:val="fr-FR"/>
        </w:rPr>
        <w:t> </w:t>
      </w:r>
      <w:r w:rsidRPr="001A6DD6">
        <w:rPr>
          <w:lang w:val="fr-FR"/>
        </w:rPr>
        <w:t>320 des 7</w:t>
      </w:r>
      <w:r w:rsidR="007C7C44">
        <w:rPr>
          <w:lang w:val="fr-FR"/>
        </w:rPr>
        <w:t> </w:t>
      </w:r>
      <w:r w:rsidRPr="001A6DD6">
        <w:rPr>
          <w:lang w:val="fr-FR"/>
        </w:rPr>
        <w:t>596</w:t>
      </w:r>
      <w:r w:rsidR="007C7C44">
        <w:rPr>
          <w:lang w:val="fr-FR"/>
        </w:rPr>
        <w:t> </w:t>
      </w:r>
      <w:r w:rsidRPr="001A6DD6">
        <w:rPr>
          <w:lang w:val="fr-FR"/>
        </w:rPr>
        <w:t>procureurs en poste dans la magistrature judiciaire et administrative sont des femmes. En ce qui concerne le statut des femmes dans les instances judiciaires supérieures, 613 des 1</w:t>
      </w:r>
      <w:r w:rsidR="007C7C44">
        <w:rPr>
          <w:lang w:val="fr-FR"/>
        </w:rPr>
        <w:t> </w:t>
      </w:r>
      <w:r w:rsidRPr="001A6DD6">
        <w:rPr>
          <w:lang w:val="fr-FR"/>
        </w:rPr>
        <w:t>105</w:t>
      </w:r>
      <w:r w:rsidR="007C7C44">
        <w:rPr>
          <w:lang w:val="fr-FR"/>
        </w:rPr>
        <w:t> </w:t>
      </w:r>
      <w:r w:rsidRPr="001A6DD6">
        <w:rPr>
          <w:lang w:val="fr-FR"/>
        </w:rPr>
        <w:t>juges et procureurs de la Cour de cassation, 919 des 2</w:t>
      </w:r>
      <w:r w:rsidR="007C7C44">
        <w:rPr>
          <w:lang w:val="fr-FR"/>
        </w:rPr>
        <w:t> </w:t>
      </w:r>
      <w:r w:rsidRPr="001A6DD6">
        <w:rPr>
          <w:lang w:val="fr-FR"/>
        </w:rPr>
        <w:t>730</w:t>
      </w:r>
      <w:r w:rsidR="007C7C44">
        <w:rPr>
          <w:lang w:val="fr-FR"/>
        </w:rPr>
        <w:t> </w:t>
      </w:r>
      <w:r w:rsidRPr="001A6DD6">
        <w:rPr>
          <w:lang w:val="fr-FR"/>
        </w:rPr>
        <w:t>juges et procureurs des cours régionales de justice, 248 des 489</w:t>
      </w:r>
      <w:r w:rsidR="007C7C44">
        <w:rPr>
          <w:lang w:val="fr-FR"/>
        </w:rPr>
        <w:t> </w:t>
      </w:r>
      <w:r w:rsidRPr="001A6DD6">
        <w:rPr>
          <w:lang w:val="fr-FR"/>
        </w:rPr>
        <w:t>juges et procureurs du Conseil d’État, 146 des 449</w:t>
      </w:r>
      <w:r w:rsidR="007C7C44">
        <w:rPr>
          <w:lang w:val="fr-FR"/>
        </w:rPr>
        <w:t> </w:t>
      </w:r>
      <w:r w:rsidRPr="001A6DD6">
        <w:rPr>
          <w:lang w:val="fr-FR"/>
        </w:rPr>
        <w:t>juges des cours administratives régionales et 26 des 270</w:t>
      </w:r>
      <w:r w:rsidR="007C7C44">
        <w:rPr>
          <w:lang w:val="fr-FR"/>
        </w:rPr>
        <w:t> </w:t>
      </w:r>
      <w:r w:rsidRPr="001A6DD6">
        <w:rPr>
          <w:lang w:val="fr-FR"/>
        </w:rPr>
        <w:t>juges d’instruction et inspecteurs du Conseil de la magistrature sont des femmes.</w:t>
      </w:r>
    </w:p>
    <w:p w14:paraId="15C7937F" w14:textId="604C8622" w:rsidR="001A6DD6" w:rsidRPr="001A6DD6" w:rsidRDefault="001A6DD6" w:rsidP="00C3187F">
      <w:pPr>
        <w:pStyle w:val="SingleTxt"/>
        <w:numPr>
          <w:ilvl w:val="0"/>
          <w:numId w:val="34"/>
        </w:numPr>
        <w:spacing w:line="240" w:lineRule="exact"/>
        <w:ind w:left="1267"/>
        <w:rPr>
          <w:lang w:val="fr-FR"/>
        </w:rPr>
      </w:pPr>
      <w:r w:rsidRPr="001A6DD6">
        <w:rPr>
          <w:lang w:val="fr-FR"/>
        </w:rPr>
        <w:t xml:space="preserve">Au-delà des postes de direction dans les ministères, les progrès sont également évidents dans la sphère universitaire. Le taux de femmes membres du corps enseignant dans les universités est de 46,43 %. La répartition révèle une plus forte concentration de femmes à certains postes : elles représentent 51,65 % des maîtres de conférences et 53,84 % des assistants de recherche. Parmi les professeurs, 47,39 % des membres des écoles doctorales sont des femmes, et elles sont 41,21 % parmi les professeurs associés. </w:t>
      </w:r>
    </w:p>
    <w:p w14:paraId="247226F6" w14:textId="7FBADAC5" w:rsidR="001A6DD6" w:rsidRPr="001A6DD6" w:rsidRDefault="001A6DD6" w:rsidP="00C3187F">
      <w:pPr>
        <w:pStyle w:val="SingleTxt"/>
        <w:numPr>
          <w:ilvl w:val="0"/>
          <w:numId w:val="34"/>
        </w:numPr>
        <w:spacing w:line="240" w:lineRule="exact"/>
        <w:ind w:left="1267"/>
        <w:rPr>
          <w:lang w:val="fr-FR"/>
        </w:rPr>
      </w:pPr>
      <w:r w:rsidRPr="001A6DD6">
        <w:rPr>
          <w:lang w:val="fr-FR"/>
        </w:rPr>
        <w:t>Le communiqué</w:t>
      </w:r>
      <w:r w:rsidR="00C3187F">
        <w:rPr>
          <w:lang w:val="fr-FR"/>
        </w:rPr>
        <w:t xml:space="preserve"> </w:t>
      </w:r>
      <w:r w:rsidRPr="001A6DD6">
        <w:rPr>
          <w:lang w:val="fr-FR"/>
        </w:rPr>
        <w:t>II-17.1 sur la gouvernance d’entreprise du Conseil des marchés financiers énonce le principe</w:t>
      </w:r>
      <w:r w:rsidR="007C7C44">
        <w:rPr>
          <w:lang w:val="fr-FR"/>
        </w:rPr>
        <w:t> </w:t>
      </w:r>
      <w:r w:rsidRPr="001A6DD6">
        <w:rPr>
          <w:lang w:val="fr-FR"/>
        </w:rPr>
        <w:t>4.3.9, qui prévoit un concept volontaire, « appliquer ou s’expliquer ». Ce principe encourage les entreprises à se fixer un objectif minimum de 25 % de représentation des femmes au sein de leur conseil d’administration, ainsi qu’un échéancier pour la réalisation de cet objectif. Les entreprises sont également invitées à mettre en place des politiques destinées à soutenir cet objectif et à évaluer les progrès chaque année.</w:t>
      </w:r>
    </w:p>
    <w:p w14:paraId="4A4D6B35" w14:textId="625687A6" w:rsidR="001A6DD6" w:rsidRPr="001A6DD6" w:rsidRDefault="001A6DD6" w:rsidP="00C3187F">
      <w:pPr>
        <w:pStyle w:val="SingleTxt"/>
        <w:numPr>
          <w:ilvl w:val="0"/>
          <w:numId w:val="34"/>
        </w:numPr>
        <w:spacing w:line="240" w:lineRule="exact"/>
        <w:ind w:left="1267"/>
        <w:rPr>
          <w:lang w:val="fr-FR"/>
        </w:rPr>
      </w:pPr>
      <w:r w:rsidRPr="001A6DD6">
        <w:rPr>
          <w:lang w:val="fr-FR"/>
        </w:rPr>
        <w:t>Afin de renforcer la participation des femmes à la vie politique locale, de nombreuses associations et ONG s’efforcent aussi d’accroître leur taux de représentation. L’Union des municipalités de Türkiye, par exemple, s’attache à améliorer la représentation des femmes dans les gouvernements locaux en organisant des programmes de formation et de sensibilisation pour les femmes politiques locales. Elle fait également pression sur le KEFEK et l’administration centrale pour que ces instances plaident en faveur d’une plus grande représentation des femmes à l’échelon local.</w:t>
      </w:r>
    </w:p>
    <w:p w14:paraId="1716A0CE" w14:textId="580BF080" w:rsidR="001A6DD6" w:rsidRPr="001A6DD6" w:rsidRDefault="001A6DD6" w:rsidP="00C3187F">
      <w:pPr>
        <w:pStyle w:val="SingleTxt"/>
        <w:numPr>
          <w:ilvl w:val="0"/>
          <w:numId w:val="34"/>
        </w:numPr>
        <w:spacing w:line="240" w:lineRule="exact"/>
        <w:ind w:left="1267"/>
        <w:rPr>
          <w:lang w:val="fr-FR"/>
        </w:rPr>
      </w:pPr>
      <w:r w:rsidRPr="001A6DD6">
        <w:rPr>
          <w:lang w:val="fr-FR"/>
        </w:rPr>
        <w:t>En outre, les sous-commissions mises en place par le KEFEK ont formulé d’importantes recommandations qui visent à renforcer la participation des femmes dans les domaines des sciences, de la technologie, de l’ingénierie et des mathématiques (STIM), à promouvoir l’entrepreneuriat et les coopératives de femmes et à préserver l’équilibre entre vie professionnelle et familiale, ce qui a ouvert la voie à une participation accrue des femmes aux mécanismes de prise de décision.</w:t>
      </w:r>
    </w:p>
    <w:p w14:paraId="5A23BC6D" w14:textId="1FC97F7D" w:rsidR="001A6DD6" w:rsidRPr="001A6DD6" w:rsidRDefault="001A6DD6" w:rsidP="00C3187F">
      <w:pPr>
        <w:pStyle w:val="SingleTxt"/>
        <w:numPr>
          <w:ilvl w:val="0"/>
          <w:numId w:val="34"/>
        </w:numPr>
        <w:spacing w:line="240" w:lineRule="exact"/>
        <w:ind w:left="1267"/>
        <w:rPr>
          <w:lang w:val="fr-FR"/>
        </w:rPr>
      </w:pPr>
      <w:r w:rsidRPr="001A6DD6">
        <w:rPr>
          <w:lang w:val="fr-FR"/>
        </w:rPr>
        <w:t>Au cours de la 27</w:t>
      </w:r>
      <w:r w:rsidRPr="001A6DD6">
        <w:rPr>
          <w:vertAlign w:val="superscript"/>
          <w:lang w:val="fr-FR"/>
        </w:rPr>
        <w:t>e</w:t>
      </w:r>
      <w:r w:rsidR="007C7C44">
        <w:rPr>
          <w:lang w:val="fr-FR"/>
        </w:rPr>
        <w:t> </w:t>
      </w:r>
      <w:r w:rsidRPr="001A6DD6">
        <w:rPr>
          <w:lang w:val="fr-FR"/>
        </w:rPr>
        <w:t>législature (2018-2019), le KEFEK a créé une sous-commission consacrée à « l’orientation des jeunes, en particulier des filles, vers les filières STIM ». Celle-ci a recommandé des plans d’action ministériels conjoints, l’amélioration de l’infrastructure universitaire pour les programmes STIM et l’incorporation de cours de ces disciplines à l’école primaire. Durant cette 27</w:t>
      </w:r>
      <w:r w:rsidRPr="001A6DD6">
        <w:rPr>
          <w:vertAlign w:val="superscript"/>
          <w:lang w:val="fr-FR"/>
        </w:rPr>
        <w:t>e</w:t>
      </w:r>
      <w:r w:rsidR="007C7C44">
        <w:rPr>
          <w:lang w:val="fr-FR"/>
        </w:rPr>
        <w:t> </w:t>
      </w:r>
      <w:r w:rsidRPr="001A6DD6">
        <w:rPr>
          <w:lang w:val="fr-FR"/>
        </w:rPr>
        <w:t xml:space="preserve">législature (2020-2021), le KEFEK a mis en place une sous-commission axée sur « l’augmentation de l’emploi des femmes, le renforcement et le soutien de l’entrepreneuriat et des coopératives de femmes ». Elle s’est employée à favoriser l’autonomisation économique des femmes en formulant plusieurs recommandations : recenser les obstacles à la participation des femmes dans tous les secteurs, renforcer </w:t>
      </w:r>
      <w:r w:rsidRPr="001A6DD6">
        <w:rPr>
          <w:lang w:val="fr-FR"/>
        </w:rPr>
        <w:lastRenderedPageBreak/>
        <w:t>l’égalité dans les initiatives gouvernementales, accroître la représentation des femmes dans les organes élus et élaborer des politiques d’emploi ciblées en faveur des femmes défavorisées. Pendant la même période de la 27</w:t>
      </w:r>
      <w:r w:rsidRPr="001A6DD6">
        <w:rPr>
          <w:vertAlign w:val="superscript"/>
          <w:lang w:val="fr-FR"/>
        </w:rPr>
        <w:t>e</w:t>
      </w:r>
      <w:r w:rsidR="007C7C44">
        <w:rPr>
          <w:lang w:val="fr-FR"/>
        </w:rPr>
        <w:t> </w:t>
      </w:r>
      <w:r w:rsidRPr="001A6DD6">
        <w:rPr>
          <w:lang w:val="fr-FR"/>
        </w:rPr>
        <w:t>législature (2020-2021), le KEFEK a créé une sous-commission sur « l’équilibre entre la vie professionnelle et la vie familiale des femmes ». Celle-ci a proposé des mesures dans ce domaine, notamment des réformes juridiques, l’extension des services de garde d’enfants et de personnes âgées, des modalités de travail aménagées et l’alignement des horaires de travail sur ceux des écoles. Ces recommandations sont prises en compte dans les propositions législatives et les travaux des institutions compétentes.</w:t>
      </w:r>
    </w:p>
    <w:p w14:paraId="28008747" w14:textId="4A863F14" w:rsidR="001A6DD6" w:rsidRPr="001A6DD6" w:rsidRDefault="001A6DD6" w:rsidP="00C3187F">
      <w:pPr>
        <w:pStyle w:val="SingleTxt"/>
        <w:numPr>
          <w:ilvl w:val="0"/>
          <w:numId w:val="34"/>
        </w:numPr>
        <w:spacing w:line="240" w:lineRule="exact"/>
        <w:ind w:left="1267"/>
        <w:rPr>
          <w:lang w:val="fr-FR"/>
        </w:rPr>
      </w:pPr>
      <w:r w:rsidRPr="001A6DD6">
        <w:rPr>
          <w:lang w:val="fr-FR"/>
        </w:rPr>
        <w:t>Sur la base du document de 2021 sur une « Vision</w:t>
      </w:r>
      <w:r w:rsidR="007C7C44">
        <w:rPr>
          <w:lang w:val="fr-FR"/>
        </w:rPr>
        <w:t> </w:t>
      </w:r>
      <w:r w:rsidRPr="001A6DD6">
        <w:rPr>
          <w:lang w:val="fr-FR"/>
        </w:rPr>
        <w:t>2030 sans obstacles », le Plan d’action national sur les droits des personnes handicapées (publié le 2</w:t>
      </w:r>
      <w:r w:rsidR="007C7C44">
        <w:rPr>
          <w:lang w:val="fr-FR"/>
        </w:rPr>
        <w:t> </w:t>
      </w:r>
      <w:r w:rsidRPr="001A6DD6">
        <w:rPr>
          <w:lang w:val="fr-FR"/>
        </w:rPr>
        <w:t>février 2023) énonce des mesures concrètes pour réaliser les objectifs d’accessibilité entre 2023 et 2025. Le rapport d’avancement de la première année indique que l’accent a été mis sur la préparation des initiatives futures. Bien que la plupart des activités en soient au stade initial, certains objectifs clés ont déjà été atteints :</w:t>
      </w:r>
    </w:p>
    <w:p w14:paraId="375274ED" w14:textId="77777777" w:rsidR="001A6DD6" w:rsidRPr="001A6DD6" w:rsidRDefault="001A6DD6" w:rsidP="00C3187F">
      <w:pPr>
        <w:pStyle w:val="SingleTxt"/>
        <w:tabs>
          <w:tab w:val="right" w:pos="1685"/>
        </w:tabs>
        <w:ind w:left="1742" w:hanging="475"/>
        <w:rPr>
          <w:lang w:val="fr-FR"/>
        </w:rPr>
      </w:pPr>
      <w:r w:rsidRPr="001A6DD6">
        <w:rPr>
          <w:lang w:val="fr-FR"/>
        </w:rPr>
        <w:tab/>
        <w:t>•</w:t>
      </w:r>
      <w:r w:rsidRPr="001A6DD6">
        <w:rPr>
          <w:lang w:val="fr-FR"/>
        </w:rPr>
        <w:tab/>
        <w:t>Sensibilisation à l’accessibilité : des stages de formation ont été organisés pour différents groupes, en particulier dans les institutions publiques, afin de favoriser une meilleure compréhension et un plus grand engagement en faveur de l’accessibilité ;</w:t>
      </w:r>
    </w:p>
    <w:p w14:paraId="715C8289" w14:textId="77777777" w:rsidR="001A6DD6" w:rsidRPr="001A6DD6" w:rsidRDefault="001A6DD6" w:rsidP="00C3187F">
      <w:pPr>
        <w:pStyle w:val="SingleTxt"/>
        <w:tabs>
          <w:tab w:val="right" w:pos="1685"/>
        </w:tabs>
        <w:ind w:left="1742" w:hanging="475"/>
        <w:rPr>
          <w:lang w:val="fr-FR"/>
        </w:rPr>
      </w:pPr>
      <w:r w:rsidRPr="001A6DD6">
        <w:rPr>
          <w:lang w:val="fr-FR"/>
        </w:rPr>
        <w:tab/>
        <w:t>•</w:t>
      </w:r>
      <w:r w:rsidRPr="001A6DD6">
        <w:rPr>
          <w:lang w:val="fr-FR"/>
        </w:rPr>
        <w:tab/>
        <w:t>Soutien aux soins à domicile : un programme pilote a été lancé pour fournir l’assistance indispensable aux personnes handicapées qui ont besoin de soins, en particulier à leurs soignants qui sont souvent des femmes ;</w:t>
      </w:r>
    </w:p>
    <w:p w14:paraId="0508A4D4" w14:textId="77777777" w:rsidR="001A6DD6" w:rsidRPr="001A6DD6" w:rsidRDefault="001A6DD6" w:rsidP="00C3187F">
      <w:pPr>
        <w:pStyle w:val="SingleTxt"/>
        <w:tabs>
          <w:tab w:val="right" w:pos="1685"/>
        </w:tabs>
        <w:ind w:left="1742" w:hanging="475"/>
        <w:rPr>
          <w:lang w:val="fr-FR"/>
        </w:rPr>
      </w:pPr>
      <w:r w:rsidRPr="001A6DD6">
        <w:rPr>
          <w:lang w:val="fr-FR"/>
        </w:rPr>
        <w:tab/>
        <w:t>•</w:t>
      </w:r>
      <w:r w:rsidRPr="001A6DD6">
        <w:rPr>
          <w:lang w:val="fr-FR"/>
        </w:rPr>
        <w:tab/>
        <w:t>Amélioration des soins dans les structures d’accueil : de nouvelles normes de qualité des services de soins ont été fixées et une formation a été organisée pour le personnel afin de garantir une meilleure qualité de service pour les résidents.</w:t>
      </w:r>
    </w:p>
    <w:p w14:paraId="37A81196" w14:textId="073D6D65" w:rsidR="001A6DD6" w:rsidRPr="001A6DD6" w:rsidRDefault="001A6DD6" w:rsidP="00C3187F">
      <w:pPr>
        <w:pStyle w:val="SingleTxt"/>
        <w:numPr>
          <w:ilvl w:val="0"/>
          <w:numId w:val="34"/>
        </w:numPr>
        <w:spacing w:line="240" w:lineRule="exact"/>
        <w:ind w:left="1267"/>
        <w:rPr>
          <w:lang w:val="fr-FR"/>
        </w:rPr>
      </w:pPr>
      <w:r w:rsidRPr="001A6DD6">
        <w:rPr>
          <w:lang w:val="fr-FR"/>
        </w:rPr>
        <w:t xml:space="preserve">Ces premières étapes ouvrent la voie à de nouveaux progrès au cours des prochaines années de mise en œuvre du plan d’action national. </w:t>
      </w:r>
    </w:p>
    <w:p w14:paraId="45B786A7" w14:textId="39A817C1" w:rsidR="001A6DD6" w:rsidRPr="001A6DD6" w:rsidRDefault="001A6DD6" w:rsidP="00C3187F">
      <w:pPr>
        <w:pStyle w:val="SingleTxt"/>
        <w:numPr>
          <w:ilvl w:val="0"/>
          <w:numId w:val="34"/>
        </w:numPr>
        <w:spacing w:line="240" w:lineRule="exact"/>
        <w:ind w:left="1267"/>
        <w:rPr>
          <w:lang w:val="fr-FR"/>
        </w:rPr>
      </w:pPr>
      <w:r w:rsidRPr="001A6DD6">
        <w:rPr>
          <w:lang w:val="fr-FR"/>
        </w:rPr>
        <w:t>Pour garantir l’égalité d’accès et de chances pour tous, le plan donne la priorité à l’égalité entre les femmes et les hommes, l’un de ses principes fondamentaux. À ce titre, la conception et les modalités de fourniture de services feront l’objet d’une attention particulière aux besoins des femmes et des jeunes filles handicapées.</w:t>
      </w:r>
    </w:p>
    <w:p w14:paraId="2CB5825F" w14:textId="6C0D0219" w:rsidR="001A6DD6" w:rsidRPr="001A6DD6" w:rsidRDefault="001A6DD6" w:rsidP="00C3187F">
      <w:pPr>
        <w:pStyle w:val="SingleTxt"/>
        <w:numPr>
          <w:ilvl w:val="0"/>
          <w:numId w:val="34"/>
        </w:numPr>
        <w:spacing w:line="240" w:lineRule="exact"/>
        <w:ind w:left="1267"/>
        <w:rPr>
          <w:lang w:val="fr-FR"/>
        </w:rPr>
      </w:pPr>
      <w:r w:rsidRPr="001A6DD6">
        <w:rPr>
          <w:lang w:val="fr-FR"/>
        </w:rPr>
        <w:t>Dans le domaine politique de la « protection des droits et de la justice », il a été fixé comme objectif de renforcer la participation des personnes handicapées aux mécanismes de prise de décision. Pour cela, des activités ont été sélectionnées afin de mener des études destinées à renforcer les capacités des organisations non gouvernementales actives dans le domaine du handicap.</w:t>
      </w:r>
    </w:p>
    <w:p w14:paraId="4A5737D9" w14:textId="1CA18448" w:rsidR="001A6DD6" w:rsidRPr="001A6DD6" w:rsidRDefault="001A6DD6" w:rsidP="00C3187F">
      <w:pPr>
        <w:pStyle w:val="SingleTxt"/>
        <w:numPr>
          <w:ilvl w:val="0"/>
          <w:numId w:val="34"/>
        </w:numPr>
        <w:spacing w:line="240" w:lineRule="exact"/>
        <w:ind w:left="1267"/>
        <w:rPr>
          <w:lang w:val="fr-FR"/>
        </w:rPr>
      </w:pPr>
      <w:r w:rsidRPr="001A6DD6">
        <w:rPr>
          <w:lang w:val="fr-FR"/>
        </w:rPr>
        <w:t>Créé en vertu de la circulaire présidentielle n</w:t>
      </w:r>
      <w:r w:rsidRPr="001A6DD6">
        <w:rPr>
          <w:vertAlign w:val="superscript"/>
          <w:lang w:val="fr-FR"/>
        </w:rPr>
        <w:t>o</w:t>
      </w:r>
      <w:r w:rsidR="007C7C44">
        <w:rPr>
          <w:lang w:val="fr-FR"/>
        </w:rPr>
        <w:t> </w:t>
      </w:r>
      <w:r w:rsidRPr="001A6DD6">
        <w:rPr>
          <w:lang w:val="fr-FR"/>
        </w:rPr>
        <w:t>2021/23, le Conseil de suivi et d’évaluation des droits des personnes handicapées rassemble des représentants de haut niveau des agences et organisations gouvernementales concernées, ainsi que des deux ONG les plus influentes dans le domaine du handicap. Ce Conseil se réunit deux fois par an pour assurer une collaboration et une coordination étroites dans la protection et la promotion des droits des personnes handicapées. Sa dernière réunion, qui s’est tenue le 21</w:t>
      </w:r>
      <w:r w:rsidR="007C7C44">
        <w:rPr>
          <w:lang w:val="fr-FR"/>
        </w:rPr>
        <w:t> </w:t>
      </w:r>
      <w:r w:rsidRPr="001A6DD6">
        <w:rPr>
          <w:lang w:val="fr-FR"/>
        </w:rPr>
        <w:t xml:space="preserve">mai 2024 sous l’égide du Ministère de la famille et des services sociaux, a été consacrée à l’évaluation de la première année du Plan d’action national sur les droits des personnes handicapées ainsi qu’à l’accessibilité du </w:t>
      </w:r>
      <w:r w:rsidR="00437A93">
        <w:rPr>
          <w:lang w:val="fr-FR"/>
        </w:rPr>
        <w:t>W</w:t>
      </w:r>
      <w:r w:rsidRPr="001A6DD6">
        <w:rPr>
          <w:lang w:val="fr-FR"/>
        </w:rPr>
        <w:t>eb pour les institutions publiques. Des vice-ministres des ministères participants et des représentants d’ONG ont également assisté à cette session productive.</w:t>
      </w:r>
    </w:p>
    <w:p w14:paraId="0F0668A9" w14:textId="77777777" w:rsidR="001A6DD6" w:rsidRPr="00C3187F" w:rsidRDefault="001A6DD6" w:rsidP="00C3187F">
      <w:pPr>
        <w:pStyle w:val="SingleTxt"/>
        <w:spacing w:after="0" w:line="120" w:lineRule="exact"/>
        <w:rPr>
          <w:sz w:val="10"/>
          <w:lang w:val="fr-FR"/>
        </w:rPr>
      </w:pPr>
    </w:p>
    <w:p w14:paraId="5D7DD1DA" w14:textId="77777777" w:rsidR="00C3187F" w:rsidRPr="00C3187F" w:rsidRDefault="00C3187F" w:rsidP="00C3187F">
      <w:pPr>
        <w:pStyle w:val="SingleTxt"/>
        <w:spacing w:after="0" w:line="120" w:lineRule="exact"/>
        <w:rPr>
          <w:sz w:val="10"/>
          <w:lang w:val="fr-FR"/>
        </w:rPr>
      </w:pPr>
    </w:p>
    <w:p w14:paraId="3C5BAB0E" w14:textId="111AB68E" w:rsidR="001A6DD6" w:rsidRPr="001A6DD6" w:rsidRDefault="001A6DD6" w:rsidP="00C3187F">
      <w:pPr>
        <w:pStyle w:val="H1"/>
        <w:ind w:right="1260"/>
        <w:rPr>
          <w:lang w:val="fr-FR"/>
        </w:rPr>
      </w:pPr>
      <w:r w:rsidRPr="001A6DD6">
        <w:rPr>
          <w:lang w:val="fr-FR"/>
        </w:rPr>
        <w:tab/>
        <w:t>C.</w:t>
      </w:r>
      <w:r w:rsidRPr="001A6DD6">
        <w:rPr>
          <w:lang w:val="fr-FR"/>
        </w:rPr>
        <w:tab/>
        <w:t>Renseignements sur la suite donnée au paragraphe</w:t>
      </w:r>
      <w:r w:rsidR="007C7C44">
        <w:rPr>
          <w:lang w:val="fr-FR"/>
        </w:rPr>
        <w:t> </w:t>
      </w:r>
      <w:r w:rsidRPr="001A6DD6">
        <w:rPr>
          <w:lang w:val="fr-FR"/>
        </w:rPr>
        <w:t>40</w:t>
      </w:r>
      <w:r w:rsidR="00C3187F">
        <w:rPr>
          <w:lang w:val="fr-FR"/>
        </w:rPr>
        <w:t xml:space="preserve"> </w:t>
      </w:r>
      <w:r w:rsidRPr="001A6DD6">
        <w:rPr>
          <w:lang w:val="fr-FR"/>
        </w:rPr>
        <w:t>a) des observations finales</w:t>
      </w:r>
    </w:p>
    <w:p w14:paraId="23BE0484" w14:textId="77777777" w:rsidR="001A6DD6" w:rsidRPr="00C3187F" w:rsidRDefault="001A6DD6" w:rsidP="00C3187F">
      <w:pPr>
        <w:pStyle w:val="SingleTxt"/>
        <w:spacing w:after="0" w:line="120" w:lineRule="exact"/>
        <w:rPr>
          <w:sz w:val="10"/>
          <w:lang w:val="fr-FR"/>
        </w:rPr>
      </w:pPr>
    </w:p>
    <w:p w14:paraId="38714C40" w14:textId="77777777" w:rsidR="00C3187F" w:rsidRPr="00C3187F" w:rsidRDefault="00C3187F" w:rsidP="00C3187F">
      <w:pPr>
        <w:pStyle w:val="SingleTxt"/>
        <w:spacing w:after="0" w:line="120" w:lineRule="exact"/>
        <w:rPr>
          <w:sz w:val="10"/>
          <w:lang w:val="fr-FR"/>
        </w:rPr>
      </w:pPr>
    </w:p>
    <w:p w14:paraId="1EE38E88" w14:textId="75FCA782" w:rsidR="001A6DD6" w:rsidRPr="001A6DD6" w:rsidRDefault="001A6DD6" w:rsidP="00C3187F">
      <w:pPr>
        <w:pStyle w:val="SingleTxt"/>
        <w:numPr>
          <w:ilvl w:val="0"/>
          <w:numId w:val="34"/>
        </w:numPr>
        <w:spacing w:line="240" w:lineRule="exact"/>
        <w:ind w:left="1267"/>
        <w:rPr>
          <w:lang w:val="fr-FR"/>
        </w:rPr>
      </w:pPr>
      <w:r w:rsidRPr="001A6DD6">
        <w:rPr>
          <w:lang w:val="fr-FR"/>
        </w:rPr>
        <w:t>La Constitution turque garantit le droit des individus à former des associations et à mener des activités pacifiques (article</w:t>
      </w:r>
      <w:r w:rsidR="007C7C44">
        <w:rPr>
          <w:lang w:val="fr-FR"/>
        </w:rPr>
        <w:t> </w:t>
      </w:r>
      <w:r w:rsidRPr="001A6DD6">
        <w:rPr>
          <w:lang w:val="fr-FR"/>
        </w:rPr>
        <w:t>33). Les citoyens peuvent donc se réunir à des fins diverses et prendre part à la société civile. Aux termes de l’article</w:t>
      </w:r>
      <w:r w:rsidR="007C7C44">
        <w:rPr>
          <w:lang w:val="fr-FR"/>
        </w:rPr>
        <w:t> </w:t>
      </w:r>
      <w:r w:rsidRPr="001A6DD6">
        <w:rPr>
          <w:lang w:val="fr-FR"/>
        </w:rPr>
        <w:t>34, toute personne peut exercer son droit à se réunir et manifester légalement.</w:t>
      </w:r>
    </w:p>
    <w:p w14:paraId="1ADFA8F0" w14:textId="47831E16" w:rsidR="001A6DD6" w:rsidRPr="001A6DD6" w:rsidRDefault="001A6DD6" w:rsidP="00C3187F">
      <w:pPr>
        <w:pStyle w:val="SingleTxt"/>
        <w:numPr>
          <w:ilvl w:val="0"/>
          <w:numId w:val="34"/>
        </w:numPr>
        <w:spacing w:line="240" w:lineRule="exact"/>
        <w:ind w:left="1267"/>
        <w:rPr>
          <w:lang w:val="fr-FR"/>
        </w:rPr>
      </w:pPr>
      <w:r w:rsidRPr="001A6DD6">
        <w:rPr>
          <w:lang w:val="fr-FR"/>
        </w:rPr>
        <w:t xml:space="preserve">La liberté d’expression, y compris la liberté de la presse et le journalisme, est également consacrée par la Constitution. Ces droits, de même que le droit à la défense, sont essentiels au bon fonctionnement de la démocratie et garantissent l’accès aux autres droits fondamentaux. </w:t>
      </w:r>
    </w:p>
    <w:p w14:paraId="1160B524" w14:textId="15A17DFA" w:rsidR="001A6DD6" w:rsidRPr="001A6DD6" w:rsidRDefault="001A6DD6" w:rsidP="00C3187F">
      <w:pPr>
        <w:pStyle w:val="SingleTxt"/>
        <w:numPr>
          <w:ilvl w:val="0"/>
          <w:numId w:val="34"/>
        </w:numPr>
        <w:spacing w:line="240" w:lineRule="exact"/>
        <w:ind w:left="1267"/>
        <w:rPr>
          <w:lang w:val="fr-FR"/>
        </w:rPr>
      </w:pPr>
      <w:r w:rsidRPr="001A6DD6">
        <w:rPr>
          <w:lang w:val="fr-FR"/>
        </w:rPr>
        <w:t>En Türkiye, la loi n</w:t>
      </w:r>
      <w:r w:rsidRPr="001A6DD6">
        <w:rPr>
          <w:vertAlign w:val="superscript"/>
          <w:lang w:val="fr-FR"/>
        </w:rPr>
        <w:t>o</w:t>
      </w:r>
      <w:r w:rsidR="007C7C44">
        <w:rPr>
          <w:lang w:val="fr-FR"/>
        </w:rPr>
        <w:t> </w:t>
      </w:r>
      <w:r w:rsidRPr="001A6DD6">
        <w:rPr>
          <w:lang w:val="fr-FR"/>
        </w:rPr>
        <w:t>5253 sur les associations garantit la bonne gouvernance des associations en autorisant des inspections pour vérifier que leurs agissements sont conformes à leurs objectifs déclarés et que leurs états financiers sont exacts. Si ces audits ne sont réalisés qu’en cas de nécessité, il est encourageant de constater la faible prévalence des irrégularités au sein des associations de femmes. Ainsi, en 2021, seulement 0,84 % des associations contrôlées étaient dirigées par des femmes, et les chiffres étaient similaires en 2022 et 2023.</w:t>
      </w:r>
      <w:r w:rsidR="00ED740E">
        <w:rPr>
          <w:lang w:val="fr-FR"/>
        </w:rPr>
        <w:t xml:space="preserve"> </w:t>
      </w:r>
    </w:p>
    <w:p w14:paraId="4611D129" w14:textId="5C5139BE" w:rsidR="001A6DD6" w:rsidRPr="001A6DD6" w:rsidRDefault="001A6DD6" w:rsidP="00C3187F">
      <w:pPr>
        <w:pStyle w:val="SingleTxt"/>
        <w:numPr>
          <w:ilvl w:val="0"/>
          <w:numId w:val="34"/>
        </w:numPr>
        <w:spacing w:line="240" w:lineRule="exact"/>
        <w:ind w:left="1267"/>
        <w:rPr>
          <w:lang w:val="fr-FR"/>
        </w:rPr>
      </w:pPr>
      <w:r w:rsidRPr="001A6DD6">
        <w:rPr>
          <w:lang w:val="fr-FR"/>
        </w:rPr>
        <w:t>La Direction générale des relations avec la société civile du Ministère de l’intérieur a activement soutenu les initiatives qui visent à renforcer l’autonomisation des femmes. Entre 2014 et 2023, elle a financé 234</w:t>
      </w:r>
      <w:r w:rsidR="007C7C44">
        <w:rPr>
          <w:lang w:val="fr-FR"/>
        </w:rPr>
        <w:t> </w:t>
      </w:r>
      <w:r w:rsidRPr="001A6DD6">
        <w:rPr>
          <w:lang w:val="fr-FR"/>
        </w:rPr>
        <w:t>projets axés sur la lutte contre la violence à l’égard des femmes et sur les droits des femmes.</w:t>
      </w:r>
    </w:p>
    <w:p w14:paraId="3491FCBE" w14:textId="14FD7825" w:rsidR="001A6DD6" w:rsidRPr="001A6DD6" w:rsidRDefault="001A6DD6" w:rsidP="00C3187F">
      <w:pPr>
        <w:pStyle w:val="SingleTxt"/>
        <w:numPr>
          <w:ilvl w:val="0"/>
          <w:numId w:val="34"/>
        </w:numPr>
        <w:spacing w:line="240" w:lineRule="exact"/>
        <w:ind w:left="1267"/>
        <w:rPr>
          <w:lang w:val="fr-FR"/>
        </w:rPr>
      </w:pPr>
      <w:r w:rsidRPr="001A6DD6">
        <w:rPr>
          <w:lang w:val="fr-FR"/>
        </w:rPr>
        <w:t>Le Ministère de la famille et des services sociaux considère les organisations non gouvernementales engagées en faveur des femmes comme des partenaires essentiels pour faire progresser la condition féminine. Cette collaboration prend la forme d’une participation conjointe à la définition des politiques, d’un échange d’informations lors de réunions de consultation et de la prise en compte de l’expertise des ONG dans le suivi et l’évaluation des politiques mises en œuvre.</w:t>
      </w:r>
    </w:p>
    <w:p w14:paraId="5F99DF9C" w14:textId="7772B6A7" w:rsidR="001A6DD6" w:rsidRPr="001A6DD6" w:rsidRDefault="001A6DD6" w:rsidP="00C3187F">
      <w:pPr>
        <w:pStyle w:val="SingleTxt"/>
        <w:numPr>
          <w:ilvl w:val="0"/>
          <w:numId w:val="34"/>
        </w:numPr>
        <w:spacing w:line="240" w:lineRule="exact"/>
        <w:ind w:left="1267"/>
        <w:rPr>
          <w:lang w:val="fr-FR"/>
        </w:rPr>
      </w:pPr>
      <w:r w:rsidRPr="001A6DD6">
        <w:rPr>
          <w:lang w:val="fr-FR"/>
        </w:rPr>
        <w:t xml:space="preserve">Le Ministère de la famille et des services sociaux a coordonné la rédaction du « Document stratégique pour l’autonomisation des femmes et son plan d’action » (2024-2028). Ce plan inclusif intègre de précieuses contributions d’institutions publiques, de gouvernements locaux, d’universités, d’ONG et d’associations professionnelles. Compte tenu du rôle essentiel de la société civile, la « coopération avec les ONG » est un axe transversal énoncé dans le plan d’action. Grâce à cette approche collaborative, le Ministère œuvre activement avec diverses parties prenantes à l’autonomisation des femmes. </w:t>
      </w:r>
    </w:p>
    <w:p w14:paraId="2D2454AA" w14:textId="10F81E2E" w:rsidR="001A6DD6" w:rsidRPr="001A6DD6" w:rsidRDefault="001A6DD6" w:rsidP="00C3187F">
      <w:pPr>
        <w:pStyle w:val="SingleTxt"/>
        <w:numPr>
          <w:ilvl w:val="0"/>
          <w:numId w:val="34"/>
        </w:numPr>
        <w:spacing w:line="240" w:lineRule="exact"/>
        <w:ind w:left="1267"/>
        <w:rPr>
          <w:lang w:val="fr-FR"/>
        </w:rPr>
      </w:pPr>
      <w:r w:rsidRPr="001A6DD6">
        <w:rPr>
          <w:lang w:val="fr-FR"/>
        </w:rPr>
        <w:t>Le document « Vision de la société civile et son plan d’action</w:t>
      </w:r>
      <w:r w:rsidR="007C7C44">
        <w:rPr>
          <w:lang w:val="fr-FR"/>
        </w:rPr>
        <w:t> </w:t>
      </w:r>
      <w:r w:rsidRPr="001A6DD6">
        <w:rPr>
          <w:lang w:val="fr-FR"/>
        </w:rPr>
        <w:t xml:space="preserve">2022-2023 » a été élaboré et mis en œuvre dans le but de renforcer les capacités des ONG à offrir des services sociaux et d’assistance sociale, en phase avec l’action du Ministère, et de mieux coordonner les relations avec la société civile. </w:t>
      </w:r>
    </w:p>
    <w:p w14:paraId="65D0D44C" w14:textId="51FF605E" w:rsidR="001A6DD6" w:rsidRPr="001A6DD6" w:rsidRDefault="001A6DD6" w:rsidP="00C3187F">
      <w:pPr>
        <w:pStyle w:val="SingleTxt"/>
        <w:numPr>
          <w:ilvl w:val="0"/>
          <w:numId w:val="34"/>
        </w:numPr>
        <w:spacing w:line="240" w:lineRule="exact"/>
        <w:ind w:left="1267"/>
        <w:rPr>
          <w:lang w:val="fr-FR"/>
        </w:rPr>
      </w:pPr>
      <w:r w:rsidRPr="001A6DD6">
        <w:rPr>
          <w:lang w:val="fr-FR"/>
        </w:rPr>
        <w:t>Le 7</w:t>
      </w:r>
      <w:r w:rsidR="007C7C44">
        <w:rPr>
          <w:lang w:val="fr-FR"/>
        </w:rPr>
        <w:t> </w:t>
      </w:r>
      <w:r w:rsidRPr="001A6DD6">
        <w:rPr>
          <w:lang w:val="fr-FR"/>
        </w:rPr>
        <w:t>octobre 2021, le Ministère de la famille et des services sociaux a accueilli les « Rencontres de la société civile » dans le cadre des préparatifs du document « Vision de la société civile et son plan d’action ». L’événement, présidé par la Ministre, a permis de réunir des représentants de 43</w:t>
      </w:r>
      <w:r w:rsidR="007C7C44">
        <w:rPr>
          <w:lang w:val="fr-FR"/>
        </w:rPr>
        <w:t> </w:t>
      </w:r>
      <w:r w:rsidRPr="001A6DD6">
        <w:rPr>
          <w:lang w:val="fr-FR"/>
        </w:rPr>
        <w:t>organisations de la société civile.</w:t>
      </w:r>
    </w:p>
    <w:p w14:paraId="176D5FF2" w14:textId="7638B473" w:rsidR="001A6DD6" w:rsidRPr="001A6DD6" w:rsidRDefault="001A6DD6" w:rsidP="00C3187F">
      <w:pPr>
        <w:pStyle w:val="SingleTxt"/>
        <w:numPr>
          <w:ilvl w:val="0"/>
          <w:numId w:val="34"/>
        </w:numPr>
        <w:spacing w:line="240" w:lineRule="exact"/>
        <w:ind w:left="1267"/>
        <w:rPr>
          <w:lang w:val="fr-FR"/>
        </w:rPr>
      </w:pPr>
      <w:r w:rsidRPr="001A6DD6">
        <w:rPr>
          <w:lang w:val="fr-FR"/>
        </w:rPr>
        <w:t>Les « Rencontres de l’Académie : Femmes », présidées par le Ministère de la famille et des services sociaux, se sont tenues le 4</w:t>
      </w:r>
      <w:r w:rsidR="007C7C44">
        <w:rPr>
          <w:lang w:val="fr-FR"/>
        </w:rPr>
        <w:t> </w:t>
      </w:r>
      <w:r w:rsidRPr="001A6DD6">
        <w:rPr>
          <w:lang w:val="fr-FR"/>
        </w:rPr>
        <w:t>juillet 2022. Des représentants de 26</w:t>
      </w:r>
      <w:r w:rsidR="007C7C44">
        <w:rPr>
          <w:lang w:val="fr-FR"/>
        </w:rPr>
        <w:t> </w:t>
      </w:r>
      <w:r w:rsidRPr="001A6DD6">
        <w:rPr>
          <w:lang w:val="fr-FR"/>
        </w:rPr>
        <w:t>centres universitaires de recherche sur les problèmes des femmes ont participé à cet événement.</w:t>
      </w:r>
    </w:p>
    <w:p w14:paraId="5A0695D0" w14:textId="5F29857B" w:rsidR="001A6DD6" w:rsidRPr="001A6DD6" w:rsidRDefault="001A6DD6" w:rsidP="00C3187F">
      <w:pPr>
        <w:pStyle w:val="SingleTxt"/>
        <w:numPr>
          <w:ilvl w:val="0"/>
          <w:numId w:val="34"/>
        </w:numPr>
        <w:spacing w:line="240" w:lineRule="exact"/>
        <w:ind w:left="1267"/>
        <w:rPr>
          <w:lang w:val="fr-FR"/>
        </w:rPr>
      </w:pPr>
      <w:r w:rsidRPr="001A6DD6">
        <w:rPr>
          <w:lang w:val="fr-FR"/>
        </w:rPr>
        <w:lastRenderedPageBreak/>
        <w:t>Le Ministère de l’intérieur organise régulièrement des réunions avec un groupe rassemblant une diversité de parties prenantes dans le but de lutter contre la violence à l’égard des femmes. Il s’agit notamment d’experts, d’universitaires, d’organisations professionnelles, d’ONG de femmes, d’organisations internationales et de représentants des médias.</w:t>
      </w:r>
    </w:p>
    <w:p w14:paraId="49AE30AB" w14:textId="0EF540ED" w:rsidR="001A6DD6" w:rsidRPr="001A6DD6" w:rsidRDefault="001A6DD6" w:rsidP="00C3187F">
      <w:pPr>
        <w:pStyle w:val="SingleTxt"/>
        <w:numPr>
          <w:ilvl w:val="0"/>
          <w:numId w:val="34"/>
        </w:numPr>
        <w:spacing w:line="240" w:lineRule="exact"/>
        <w:ind w:left="1267"/>
        <w:rPr>
          <w:lang w:val="fr-FR"/>
        </w:rPr>
      </w:pPr>
      <w:r w:rsidRPr="001A6DD6">
        <w:rPr>
          <w:lang w:val="fr-FR"/>
        </w:rPr>
        <w:t>Afin d’accroître la sensibilisation à la lutte contre la violence à l’égard des femmes, le Ministère de la justice organise des réunions d’échanges qui rassemblent divers acteurs travaillant à l’échelon local, notamment des représentants d’institutions et d’organisations publiques, des juges et des procureurs, de l’ordre des avocats et des ONG.</w:t>
      </w:r>
    </w:p>
    <w:p w14:paraId="3A8DDD5F" w14:textId="4ADF954F" w:rsidR="001A6DD6" w:rsidRPr="001A6DD6" w:rsidRDefault="001A6DD6" w:rsidP="00C3187F">
      <w:pPr>
        <w:pStyle w:val="SingleTxt"/>
        <w:numPr>
          <w:ilvl w:val="0"/>
          <w:numId w:val="34"/>
        </w:numPr>
        <w:spacing w:line="240" w:lineRule="exact"/>
        <w:ind w:left="1267"/>
        <w:rPr>
          <w:lang w:val="fr-FR"/>
        </w:rPr>
      </w:pPr>
      <w:r w:rsidRPr="001A6DD6">
        <w:rPr>
          <w:lang w:val="fr-FR"/>
        </w:rPr>
        <w:t>Dans le but de promouvoir la sensibilisation aux droits humains, l’Institution pour les droits de l’homme et l’égalité de Türkiye (HREIT) diffuse des entretiens avec des universitaires sur sa chaîne YouTube, HREIT Academy.</w:t>
      </w:r>
    </w:p>
    <w:p w14:paraId="6F7269C3" w14:textId="51E3E1DE" w:rsidR="001A6DD6" w:rsidRPr="001A6DD6" w:rsidRDefault="001A6DD6" w:rsidP="00C3187F">
      <w:pPr>
        <w:pStyle w:val="SingleTxt"/>
        <w:numPr>
          <w:ilvl w:val="0"/>
          <w:numId w:val="34"/>
        </w:numPr>
        <w:spacing w:line="240" w:lineRule="exact"/>
        <w:ind w:left="1267"/>
        <w:rPr>
          <w:lang w:val="fr-FR"/>
        </w:rPr>
      </w:pPr>
      <w:r w:rsidRPr="001A6DD6">
        <w:rPr>
          <w:lang w:val="fr-FR"/>
        </w:rPr>
        <w:t xml:space="preserve">Cette institution organise les réunions de la Commission consultative contre les discriminations pour traiter des problèmes et des solutions dans ce domaine. Ces réunions favorisent un environnement propice aux défenseuses des droits humains, aux avocates et aux femmes journalistes, qui peuvent ainsi défendre librement les droits des femmes. </w:t>
      </w:r>
    </w:p>
    <w:p w14:paraId="13505F65" w14:textId="537E43A5" w:rsidR="001A6DD6" w:rsidRPr="001A6DD6" w:rsidRDefault="001A6DD6" w:rsidP="00C3187F">
      <w:pPr>
        <w:pStyle w:val="SingleTxt"/>
        <w:numPr>
          <w:ilvl w:val="0"/>
          <w:numId w:val="34"/>
        </w:numPr>
        <w:spacing w:line="240" w:lineRule="exact"/>
        <w:ind w:left="1267"/>
        <w:rPr>
          <w:lang w:val="fr-FR"/>
        </w:rPr>
      </w:pPr>
      <w:r w:rsidRPr="001A6DD6">
        <w:rPr>
          <w:lang w:val="fr-FR"/>
        </w:rPr>
        <w:t>L’Institution pour les droits de l’homme et l’égalité organise régulièrement des réunions régionales de consultation avec des associations de femmes et des organisations de la société civile pour discuter de différents sujets.</w:t>
      </w:r>
    </w:p>
    <w:p w14:paraId="031CCCDC" w14:textId="60BDF7F1" w:rsidR="001A6DD6" w:rsidRPr="001A6DD6" w:rsidRDefault="001A6DD6" w:rsidP="001A6DD6">
      <w:pPr>
        <w:pStyle w:val="SingleTxt"/>
        <w:spacing w:after="0" w:line="240" w:lineRule="auto"/>
        <w:rPr>
          <w:lang w:val="fr-FR"/>
        </w:rPr>
      </w:pPr>
      <w:r>
        <w:rPr>
          <w:noProof/>
          <w:w w:val="100"/>
          <w:lang w:val="fr-FR"/>
        </w:rPr>
        <mc:AlternateContent>
          <mc:Choice Requires="wps">
            <w:drawing>
              <wp:anchor distT="0" distB="0" distL="114300" distR="114300" simplePos="0" relativeHeight="251660288" behindDoc="0" locked="0" layoutInCell="1" allowOverlap="1" wp14:anchorId="72DDC0FF" wp14:editId="4124F3D4">
                <wp:simplePos x="0" y="0"/>
                <wp:positionH relativeFrom="page">
                  <wp:posOffset>3429000</wp:posOffset>
                </wp:positionH>
                <wp:positionV relativeFrom="paragraph">
                  <wp:posOffset>304800</wp:posOffset>
                </wp:positionV>
                <wp:extent cx="914400" cy="0"/>
                <wp:effectExtent l="0" t="0" r="0" b="0"/>
                <wp:wrapNone/>
                <wp:docPr id="136680743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859441"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1A6DD6" w:rsidRPr="001A6DD6" w:rsidSect="001A6DD6">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8-05T10:12:00Z" w:initials="Start">
    <w:p w14:paraId="2EEF3FA5" w14:textId="77777777" w:rsidR="00060D4A" w:rsidRPr="005E69D1" w:rsidRDefault="00060D4A">
      <w:pPr>
        <w:pStyle w:val="CommentText"/>
        <w:rPr>
          <w:lang w:val="en-US"/>
        </w:rPr>
      </w:pPr>
      <w:r>
        <w:rPr>
          <w:rStyle w:val="CommentReference"/>
        </w:rPr>
        <w:annotationRef/>
      </w:r>
      <w:r w:rsidRPr="005E69D1">
        <w:rPr>
          <w:lang w:val="en-US"/>
        </w:rPr>
        <w:t>&lt;&lt;ODS JOB NO&gt;&gt;N2421005F&lt;&lt;ODS JOB NO&gt;&gt;</w:t>
      </w:r>
    </w:p>
    <w:p w14:paraId="07D0AA67" w14:textId="77777777" w:rsidR="00060D4A" w:rsidRDefault="00060D4A">
      <w:pPr>
        <w:pStyle w:val="CommentText"/>
      </w:pPr>
      <w:r>
        <w:t>&lt;&lt;ODS DOC SYMBOL1&gt;&gt;CEDAW/C/TUR/FCO/8&lt;&lt;ODS DOC SYMBOL1&gt;&gt;</w:t>
      </w:r>
    </w:p>
    <w:p w14:paraId="353EC0EC" w14:textId="6B25D9A7" w:rsidR="00060D4A" w:rsidRDefault="00060D4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53EC0E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1C56767" w16cex:dateUtc="2024-08-05T14: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53EC0EC" w16cid:durableId="01C5676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46D0B1" w14:textId="77777777" w:rsidR="00AC4394" w:rsidRDefault="00AC4394" w:rsidP="00331D20">
      <w:r>
        <w:separator/>
      </w:r>
    </w:p>
  </w:endnote>
  <w:endnote w:type="continuationSeparator" w:id="0">
    <w:p w14:paraId="63FFD8C8" w14:textId="77777777" w:rsidR="00AC4394" w:rsidRDefault="00AC439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60D4A" w14:paraId="588621BE" w14:textId="77777777" w:rsidTr="00060D4A">
      <w:tblPrEx>
        <w:tblCellMar>
          <w:top w:w="0" w:type="dxa"/>
          <w:bottom w:w="0" w:type="dxa"/>
        </w:tblCellMar>
      </w:tblPrEx>
      <w:tc>
        <w:tcPr>
          <w:tcW w:w="4920" w:type="dxa"/>
          <w:shd w:val="clear" w:color="auto" w:fill="auto"/>
        </w:tcPr>
        <w:p w14:paraId="02296198" w14:textId="7B87E482" w:rsidR="00060D4A" w:rsidRPr="00060D4A" w:rsidRDefault="00060D4A" w:rsidP="00060D4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7539">
            <w:rPr>
              <w:b w:val="0"/>
              <w:w w:val="103"/>
              <w:sz w:val="14"/>
            </w:rPr>
            <w:t>24-13036</w:t>
          </w:r>
          <w:r>
            <w:rPr>
              <w:b w:val="0"/>
              <w:w w:val="103"/>
              <w:sz w:val="14"/>
            </w:rPr>
            <w:fldChar w:fldCharType="end"/>
          </w:r>
        </w:p>
      </w:tc>
      <w:tc>
        <w:tcPr>
          <w:tcW w:w="4920" w:type="dxa"/>
          <w:shd w:val="clear" w:color="auto" w:fill="auto"/>
        </w:tcPr>
        <w:p w14:paraId="0891B2D4" w14:textId="4CA68A6C" w:rsidR="00060D4A" w:rsidRPr="00060D4A" w:rsidRDefault="00060D4A" w:rsidP="00060D4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BF74936" w14:textId="77777777" w:rsidR="00060D4A" w:rsidRPr="00060D4A" w:rsidRDefault="00060D4A" w:rsidP="00060D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60D4A" w14:paraId="5EEBDBA8" w14:textId="77777777" w:rsidTr="00060D4A">
      <w:tblPrEx>
        <w:tblCellMar>
          <w:top w:w="0" w:type="dxa"/>
          <w:bottom w:w="0" w:type="dxa"/>
        </w:tblCellMar>
      </w:tblPrEx>
      <w:tc>
        <w:tcPr>
          <w:tcW w:w="4920" w:type="dxa"/>
          <w:shd w:val="clear" w:color="auto" w:fill="auto"/>
        </w:tcPr>
        <w:p w14:paraId="0D1E2581" w14:textId="1A6F1DDE" w:rsidR="00060D4A" w:rsidRPr="00060D4A" w:rsidRDefault="00060D4A" w:rsidP="00060D4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89172BF" w14:textId="34B38666" w:rsidR="00060D4A" w:rsidRPr="00060D4A" w:rsidRDefault="00060D4A" w:rsidP="00060D4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87539">
            <w:rPr>
              <w:b w:val="0"/>
              <w:w w:val="103"/>
              <w:sz w:val="14"/>
            </w:rPr>
            <w:t>24-13036</w:t>
          </w:r>
          <w:r>
            <w:rPr>
              <w:b w:val="0"/>
              <w:w w:val="103"/>
              <w:sz w:val="14"/>
            </w:rPr>
            <w:fldChar w:fldCharType="end"/>
          </w:r>
        </w:p>
      </w:tc>
    </w:tr>
  </w:tbl>
  <w:p w14:paraId="26A6FCC9" w14:textId="77777777" w:rsidR="00060D4A" w:rsidRPr="00060D4A" w:rsidRDefault="00060D4A" w:rsidP="00060D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F19CCE" w14:textId="1B01E4F3" w:rsidR="00060D4A" w:rsidRDefault="00060D4A">
    <w:pPr>
      <w:pStyle w:val="Footer"/>
    </w:pPr>
    <w:r>
      <w:drawing>
        <wp:anchor distT="0" distB="0" distL="114300" distR="114300" simplePos="0" relativeHeight="251658240" behindDoc="0" locked="0" layoutInCell="1" allowOverlap="1" wp14:anchorId="1CBFF19A" wp14:editId="3790489F">
          <wp:simplePos x="0" y="0"/>
          <wp:positionH relativeFrom="column">
            <wp:posOffset>5532120</wp:posOffset>
          </wp:positionH>
          <wp:positionV relativeFrom="paragraph">
            <wp:posOffset>-228600</wp:posOffset>
          </wp:positionV>
          <wp:extent cx="694690" cy="694690"/>
          <wp:effectExtent l="0" t="0" r="0" b="0"/>
          <wp:wrapNone/>
          <wp:docPr id="20736152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60D4A" w14:paraId="668B1754" w14:textId="77777777" w:rsidTr="00060D4A">
      <w:tblPrEx>
        <w:tblCellMar>
          <w:top w:w="0" w:type="dxa"/>
          <w:bottom w:w="0" w:type="dxa"/>
        </w:tblCellMar>
      </w:tblPrEx>
      <w:tc>
        <w:tcPr>
          <w:tcW w:w="3758" w:type="dxa"/>
        </w:tcPr>
        <w:p w14:paraId="57854E5D" w14:textId="05BD59B9" w:rsidR="00060D4A" w:rsidRDefault="00060D4A" w:rsidP="00060D4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87539">
            <w:rPr>
              <w:b w:val="0"/>
              <w:sz w:val="20"/>
            </w:rPr>
            <w:t>24-13036 (F)</w:t>
          </w:r>
          <w:r>
            <w:rPr>
              <w:b w:val="0"/>
              <w:sz w:val="20"/>
            </w:rPr>
            <w:fldChar w:fldCharType="end"/>
          </w:r>
          <w:r>
            <w:rPr>
              <w:b w:val="0"/>
              <w:sz w:val="20"/>
            </w:rPr>
            <w:t xml:space="preserve">    050824    0</w:t>
          </w:r>
          <w:r w:rsidR="007C7C44">
            <w:rPr>
              <w:b w:val="0"/>
              <w:sz w:val="20"/>
            </w:rPr>
            <w:t>7</w:t>
          </w:r>
          <w:r>
            <w:rPr>
              <w:b w:val="0"/>
              <w:sz w:val="20"/>
            </w:rPr>
            <w:t>0824</w:t>
          </w:r>
        </w:p>
        <w:p w14:paraId="3D3EFC14" w14:textId="2A699D54" w:rsidR="00060D4A" w:rsidRPr="00060D4A" w:rsidRDefault="00060D4A" w:rsidP="00060D4A">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087539">
            <w:rPr>
              <w:rFonts w:ascii="Barcode 3 of 9 by request" w:hAnsi="Barcode 3 of 9 by request"/>
              <w:sz w:val="24"/>
            </w:rPr>
            <w:t>*2413036*</w:t>
          </w:r>
          <w:r>
            <w:rPr>
              <w:rFonts w:ascii="Barcode 3 of 9 by request" w:hAnsi="Barcode 3 of 9 by request"/>
              <w:sz w:val="24"/>
            </w:rPr>
            <w:fldChar w:fldCharType="end"/>
          </w:r>
        </w:p>
      </w:tc>
      <w:tc>
        <w:tcPr>
          <w:tcW w:w="4920" w:type="dxa"/>
        </w:tcPr>
        <w:p w14:paraId="34597285" w14:textId="1EF4587B" w:rsidR="00060D4A" w:rsidRDefault="00060D4A" w:rsidP="00060D4A">
          <w:pPr>
            <w:pStyle w:val="Footer"/>
            <w:spacing w:line="240" w:lineRule="atLeast"/>
            <w:jc w:val="right"/>
            <w:rPr>
              <w:b w:val="0"/>
              <w:sz w:val="20"/>
            </w:rPr>
          </w:pPr>
          <w:r>
            <w:rPr>
              <w:b w:val="0"/>
              <w:sz w:val="20"/>
            </w:rPr>
            <w:drawing>
              <wp:inline distT="0" distB="0" distL="0" distR="0" wp14:anchorId="1EF32C25" wp14:editId="509EA1D3">
                <wp:extent cx="1109474" cy="231648"/>
                <wp:effectExtent l="0" t="0" r="0" b="0"/>
                <wp:docPr id="1949937829" name="Picture 2"/>
                <wp:cNvGraphicFramePr/>
                <a:graphic xmlns:a="http://schemas.openxmlformats.org/drawingml/2006/main">
                  <a:graphicData uri="http://schemas.openxmlformats.org/drawingml/2006/picture">
                    <pic:pic xmlns:pic="http://schemas.openxmlformats.org/drawingml/2006/picture">
                      <pic:nvPicPr>
                        <pic:cNvPr id="1949937829"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1474B6D" w14:textId="77777777" w:rsidR="00060D4A" w:rsidRPr="00060D4A" w:rsidRDefault="00060D4A" w:rsidP="00060D4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37181F" w14:textId="77777777" w:rsidR="00AC4394" w:rsidRDefault="00AC4394" w:rsidP="00331D20">
      <w:r>
        <w:separator/>
      </w:r>
    </w:p>
  </w:footnote>
  <w:footnote w:type="continuationSeparator" w:id="0">
    <w:p w14:paraId="42070E41" w14:textId="77777777" w:rsidR="00AC4394" w:rsidRDefault="00AC4394"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60D4A" w14:paraId="176826C0" w14:textId="77777777" w:rsidTr="00060D4A">
      <w:tblPrEx>
        <w:tblCellMar>
          <w:top w:w="0" w:type="dxa"/>
          <w:bottom w:w="0" w:type="dxa"/>
        </w:tblCellMar>
      </w:tblPrEx>
      <w:trPr>
        <w:trHeight w:hRule="exact" w:val="864"/>
      </w:trPr>
      <w:tc>
        <w:tcPr>
          <w:tcW w:w="4920" w:type="dxa"/>
          <w:shd w:val="clear" w:color="auto" w:fill="auto"/>
          <w:vAlign w:val="bottom"/>
        </w:tcPr>
        <w:p w14:paraId="11512B4A" w14:textId="6CCD4160" w:rsidR="00060D4A" w:rsidRPr="00060D4A" w:rsidRDefault="00060D4A" w:rsidP="00060D4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87539">
            <w:rPr>
              <w:b/>
              <w:color w:val="000000"/>
            </w:rPr>
            <w:t>CEDAW/C/TUR/FCO/8</w:t>
          </w:r>
          <w:r>
            <w:rPr>
              <w:b/>
              <w:color w:val="000000"/>
            </w:rPr>
            <w:fldChar w:fldCharType="end"/>
          </w:r>
        </w:p>
      </w:tc>
      <w:tc>
        <w:tcPr>
          <w:tcW w:w="4920" w:type="dxa"/>
          <w:shd w:val="clear" w:color="auto" w:fill="auto"/>
          <w:vAlign w:val="bottom"/>
        </w:tcPr>
        <w:p w14:paraId="71F6780B" w14:textId="77777777" w:rsidR="00060D4A" w:rsidRDefault="00060D4A" w:rsidP="00060D4A">
          <w:pPr>
            <w:pStyle w:val="Header"/>
          </w:pPr>
        </w:p>
      </w:tc>
    </w:tr>
  </w:tbl>
  <w:p w14:paraId="220B23B0" w14:textId="77777777" w:rsidR="00060D4A" w:rsidRPr="00060D4A" w:rsidRDefault="00060D4A" w:rsidP="00060D4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60D4A" w14:paraId="2A1229A2" w14:textId="77777777" w:rsidTr="00060D4A">
      <w:tblPrEx>
        <w:tblCellMar>
          <w:top w:w="0" w:type="dxa"/>
          <w:bottom w:w="0" w:type="dxa"/>
        </w:tblCellMar>
      </w:tblPrEx>
      <w:trPr>
        <w:trHeight w:hRule="exact" w:val="864"/>
      </w:trPr>
      <w:tc>
        <w:tcPr>
          <w:tcW w:w="4920" w:type="dxa"/>
          <w:shd w:val="clear" w:color="auto" w:fill="auto"/>
          <w:vAlign w:val="bottom"/>
        </w:tcPr>
        <w:p w14:paraId="08F2101E" w14:textId="77777777" w:rsidR="00060D4A" w:rsidRDefault="00060D4A" w:rsidP="00060D4A">
          <w:pPr>
            <w:pStyle w:val="Header"/>
          </w:pPr>
        </w:p>
      </w:tc>
      <w:tc>
        <w:tcPr>
          <w:tcW w:w="4920" w:type="dxa"/>
          <w:shd w:val="clear" w:color="auto" w:fill="auto"/>
          <w:vAlign w:val="bottom"/>
        </w:tcPr>
        <w:p w14:paraId="49610539" w14:textId="768F96FA" w:rsidR="00060D4A" w:rsidRPr="00060D4A" w:rsidRDefault="00060D4A" w:rsidP="00060D4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87539">
            <w:rPr>
              <w:b/>
              <w:color w:val="000000"/>
            </w:rPr>
            <w:t>CEDAW/C/TUR/FCO/8</w:t>
          </w:r>
          <w:r>
            <w:rPr>
              <w:b/>
              <w:color w:val="000000"/>
            </w:rPr>
            <w:fldChar w:fldCharType="end"/>
          </w:r>
        </w:p>
      </w:tc>
    </w:tr>
  </w:tbl>
  <w:p w14:paraId="116FD5A0" w14:textId="77777777" w:rsidR="00060D4A" w:rsidRPr="00060D4A" w:rsidRDefault="00060D4A" w:rsidP="00060D4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60D4A" w14:paraId="7F6A250F" w14:textId="77777777" w:rsidTr="00060D4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A545C22" w14:textId="77777777" w:rsidR="00060D4A" w:rsidRDefault="00060D4A" w:rsidP="00060D4A">
          <w:pPr>
            <w:pStyle w:val="Header"/>
            <w:spacing w:after="120"/>
          </w:pPr>
        </w:p>
      </w:tc>
      <w:tc>
        <w:tcPr>
          <w:tcW w:w="2059" w:type="dxa"/>
          <w:tcBorders>
            <w:bottom w:val="single" w:sz="4" w:space="0" w:color="auto"/>
          </w:tcBorders>
          <w:shd w:val="clear" w:color="auto" w:fill="auto"/>
          <w:vAlign w:val="bottom"/>
        </w:tcPr>
        <w:p w14:paraId="515F563F" w14:textId="51159794" w:rsidR="00060D4A" w:rsidRPr="00060D4A" w:rsidRDefault="00060D4A" w:rsidP="00060D4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17C9D2E" w14:textId="77777777" w:rsidR="00060D4A" w:rsidRDefault="00060D4A" w:rsidP="00060D4A">
          <w:pPr>
            <w:pStyle w:val="Header"/>
            <w:spacing w:after="120"/>
          </w:pPr>
        </w:p>
      </w:tc>
      <w:tc>
        <w:tcPr>
          <w:tcW w:w="6466" w:type="dxa"/>
          <w:gridSpan w:val="3"/>
          <w:tcBorders>
            <w:bottom w:val="single" w:sz="4" w:space="0" w:color="auto"/>
          </w:tcBorders>
          <w:shd w:val="clear" w:color="auto" w:fill="auto"/>
          <w:vAlign w:val="bottom"/>
        </w:tcPr>
        <w:p w14:paraId="34A6D5F0" w14:textId="6BC697F4" w:rsidR="00060D4A" w:rsidRPr="00060D4A" w:rsidRDefault="00060D4A" w:rsidP="00060D4A">
          <w:pPr>
            <w:spacing w:after="80" w:line="240" w:lineRule="auto"/>
            <w:jc w:val="right"/>
            <w:rPr>
              <w:position w:val="-4"/>
            </w:rPr>
          </w:pPr>
          <w:r>
            <w:rPr>
              <w:position w:val="-4"/>
              <w:sz w:val="40"/>
            </w:rPr>
            <w:t>CEDAW</w:t>
          </w:r>
          <w:r>
            <w:rPr>
              <w:position w:val="-4"/>
            </w:rPr>
            <w:t>/C/TUR/FCO/8</w:t>
          </w:r>
        </w:p>
      </w:tc>
    </w:tr>
    <w:tr w:rsidR="00060D4A" w:rsidRPr="00060D4A" w14:paraId="2D5C82E0" w14:textId="77777777" w:rsidTr="00060D4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61CBE97" w14:textId="328C124A" w:rsidR="00060D4A" w:rsidRPr="00060D4A" w:rsidRDefault="00060D4A" w:rsidP="00060D4A">
          <w:pPr>
            <w:pStyle w:val="Header"/>
            <w:spacing w:before="120"/>
            <w:ind w:left="-72"/>
            <w:jc w:val="center"/>
          </w:pPr>
          <w:r>
            <w:t xml:space="preserve">  </w:t>
          </w:r>
          <w:r>
            <w:drawing>
              <wp:inline distT="0" distB="0" distL="0" distR="0" wp14:anchorId="42A66452" wp14:editId="7AA789C3">
                <wp:extent cx="713232" cy="594360"/>
                <wp:effectExtent l="0" t="0" r="0" b="0"/>
                <wp:docPr id="512314275" name="Picture 1"/>
                <wp:cNvGraphicFramePr/>
                <a:graphic xmlns:a="http://schemas.openxmlformats.org/drawingml/2006/main">
                  <a:graphicData uri="http://schemas.openxmlformats.org/drawingml/2006/picture">
                    <pic:pic xmlns:pic="http://schemas.openxmlformats.org/drawingml/2006/picture">
                      <pic:nvPicPr>
                        <pic:cNvPr id="51231427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7C8705C" w14:textId="085D070A" w:rsidR="00060D4A" w:rsidRPr="00060D4A" w:rsidRDefault="00060D4A" w:rsidP="00060D4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F8B5A88" w14:textId="77777777" w:rsidR="00060D4A" w:rsidRPr="001A6DD6" w:rsidRDefault="00060D4A" w:rsidP="00060D4A">
          <w:pPr>
            <w:pStyle w:val="Header"/>
            <w:spacing w:before="109"/>
            <w:rPr>
              <w:lang w:val="fr-CA"/>
            </w:rPr>
          </w:pPr>
        </w:p>
      </w:tc>
      <w:tc>
        <w:tcPr>
          <w:tcW w:w="3110" w:type="dxa"/>
          <w:tcBorders>
            <w:top w:val="single" w:sz="4" w:space="0" w:color="auto"/>
            <w:bottom w:val="single" w:sz="12" w:space="0" w:color="auto"/>
          </w:tcBorders>
          <w:shd w:val="clear" w:color="auto" w:fill="auto"/>
        </w:tcPr>
        <w:p w14:paraId="4C0D26E7" w14:textId="77777777" w:rsidR="00060D4A" w:rsidRPr="001A6DD6" w:rsidRDefault="00060D4A" w:rsidP="00060D4A">
          <w:pPr>
            <w:pStyle w:val="Distribution"/>
            <w:rPr>
              <w:color w:val="000000"/>
              <w:lang w:val="fr-CA"/>
            </w:rPr>
          </w:pPr>
          <w:r w:rsidRPr="001A6DD6">
            <w:rPr>
              <w:color w:val="000000"/>
              <w:lang w:val="fr-CA"/>
            </w:rPr>
            <w:t>Distr. générale</w:t>
          </w:r>
        </w:p>
        <w:p w14:paraId="5B5FD520" w14:textId="77777777" w:rsidR="00060D4A" w:rsidRPr="001A6DD6" w:rsidRDefault="00060D4A" w:rsidP="00060D4A">
          <w:pPr>
            <w:pStyle w:val="Publication"/>
            <w:rPr>
              <w:color w:val="000000"/>
              <w:lang w:val="fr-CA"/>
            </w:rPr>
          </w:pPr>
          <w:r w:rsidRPr="001A6DD6">
            <w:rPr>
              <w:color w:val="000000"/>
              <w:lang w:val="fr-CA"/>
            </w:rPr>
            <w:t>16 juillet 2024</w:t>
          </w:r>
        </w:p>
        <w:p w14:paraId="4A22573B" w14:textId="77777777" w:rsidR="00060D4A" w:rsidRPr="001A6DD6" w:rsidRDefault="00060D4A" w:rsidP="00060D4A">
          <w:r w:rsidRPr="001A6DD6">
            <w:t>Français</w:t>
          </w:r>
        </w:p>
        <w:p w14:paraId="401CD678" w14:textId="3BDEDCE3" w:rsidR="00060D4A" w:rsidRPr="001A6DD6" w:rsidRDefault="00060D4A" w:rsidP="00060D4A">
          <w:pPr>
            <w:pStyle w:val="Original"/>
            <w:rPr>
              <w:color w:val="000000"/>
              <w:lang w:val="fr-CA"/>
            </w:rPr>
          </w:pPr>
          <w:r w:rsidRPr="001A6DD6">
            <w:rPr>
              <w:color w:val="000000"/>
              <w:lang w:val="fr-CA"/>
            </w:rPr>
            <w:t>Original</w:t>
          </w:r>
          <w:r w:rsidR="007C7C44">
            <w:rPr>
              <w:color w:val="000000"/>
              <w:lang w:val="fr-CA"/>
            </w:rPr>
            <w:t> </w:t>
          </w:r>
          <w:r w:rsidRPr="001A6DD6">
            <w:rPr>
              <w:color w:val="000000"/>
              <w:lang w:val="fr-CA"/>
            </w:rPr>
            <w:t>: anglais</w:t>
          </w:r>
        </w:p>
      </w:tc>
    </w:tr>
  </w:tbl>
  <w:p w14:paraId="5BC47303" w14:textId="77777777" w:rsidR="00060D4A" w:rsidRPr="001A6DD6" w:rsidRDefault="00060D4A" w:rsidP="00060D4A">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7004404"/>
    <w:multiLevelType w:val="singleLevel"/>
    <w:tmpl w:val="C4A8E474"/>
    <w:lvl w:ilvl="0">
      <w:start w:val="1"/>
      <w:numFmt w:val="decimal"/>
      <w:lvlRestart w:val="0"/>
      <w:lvlText w:val="%1."/>
      <w:lvlJc w:val="left"/>
      <w:pPr>
        <w:tabs>
          <w:tab w:val="num" w:pos="475"/>
        </w:tabs>
        <w:ind w:left="0" w:firstLine="0"/>
      </w:pPr>
      <w:rPr>
        <w:w w:val="100"/>
      </w:rPr>
    </w:lvl>
  </w:abstractNum>
  <w:abstractNum w:abstractNumId="7" w15:restartNumberingAfterBreak="0">
    <w:nsid w:val="3BA901B3"/>
    <w:multiLevelType w:val="hybridMultilevel"/>
    <w:tmpl w:val="650ACA7C"/>
    <w:lvl w:ilvl="0" w:tplc="A014B000">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3"/>
  </w:num>
  <w:num w:numId="8" w16cid:durableId="757406347">
    <w:abstractNumId w:val="5"/>
  </w:num>
  <w:num w:numId="9" w16cid:durableId="145245836">
    <w:abstractNumId w:val="12"/>
  </w:num>
  <w:num w:numId="10" w16cid:durableId="1216699067">
    <w:abstractNumId w:val="11"/>
  </w:num>
  <w:num w:numId="11" w16cid:durableId="150602558">
    <w:abstractNumId w:val="10"/>
  </w:num>
  <w:num w:numId="12" w16cid:durableId="443237224">
    <w:abstractNumId w:val="13"/>
  </w:num>
  <w:num w:numId="13" w16cid:durableId="505362770">
    <w:abstractNumId w:val="5"/>
  </w:num>
  <w:num w:numId="14" w16cid:durableId="902253710">
    <w:abstractNumId w:val="12"/>
  </w:num>
  <w:num w:numId="15" w16cid:durableId="739788438">
    <w:abstractNumId w:val="10"/>
  </w:num>
  <w:num w:numId="16" w16cid:durableId="1751390935">
    <w:abstractNumId w:val="10"/>
  </w:num>
  <w:num w:numId="17" w16cid:durableId="1820413208">
    <w:abstractNumId w:val="10"/>
  </w:num>
  <w:num w:numId="18" w16cid:durableId="704212184">
    <w:abstractNumId w:val="10"/>
  </w:num>
  <w:num w:numId="19" w16cid:durableId="1386370540">
    <w:abstractNumId w:val="10"/>
  </w:num>
  <w:num w:numId="20" w16cid:durableId="195434613">
    <w:abstractNumId w:val="10"/>
  </w:num>
  <w:num w:numId="21" w16cid:durableId="1132750204">
    <w:abstractNumId w:val="10"/>
  </w:num>
  <w:num w:numId="22" w16cid:durableId="726536346">
    <w:abstractNumId w:val="10"/>
  </w:num>
  <w:num w:numId="23" w16cid:durableId="52386949">
    <w:abstractNumId w:val="10"/>
  </w:num>
  <w:num w:numId="24" w16cid:durableId="1414357132">
    <w:abstractNumId w:val="11"/>
  </w:num>
  <w:num w:numId="25" w16cid:durableId="542520565">
    <w:abstractNumId w:val="10"/>
  </w:num>
  <w:num w:numId="26" w16cid:durableId="473720461">
    <w:abstractNumId w:val="14"/>
  </w:num>
  <w:num w:numId="27" w16cid:durableId="92671130">
    <w:abstractNumId w:val="8"/>
  </w:num>
  <w:num w:numId="28" w16cid:durableId="920604195">
    <w:abstractNumId w:val="14"/>
  </w:num>
  <w:num w:numId="29" w16cid:durableId="1601254480">
    <w:abstractNumId w:val="8"/>
  </w:num>
  <w:num w:numId="30" w16cid:durableId="1540051366">
    <w:abstractNumId w:val="14"/>
  </w:num>
  <w:num w:numId="31" w16cid:durableId="134759388">
    <w:abstractNumId w:val="8"/>
  </w:num>
  <w:num w:numId="32" w16cid:durableId="1049649776">
    <w:abstractNumId w:val="14"/>
  </w:num>
  <w:num w:numId="33" w16cid:durableId="615404675">
    <w:abstractNumId w:val="8"/>
  </w:num>
  <w:num w:numId="34" w16cid:durableId="1944877882">
    <w:abstractNumId w:val="6"/>
  </w:num>
  <w:num w:numId="35" w16cid:durableId="1000351150">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3036*"/>
    <w:docVar w:name="CreationDt" w:val="05/08/2024 10:12:28"/>
    <w:docVar w:name="DocCategory" w:val="Doc"/>
    <w:docVar w:name="DocType" w:val="Final"/>
    <w:docVar w:name="DutyStation" w:val="New York"/>
    <w:docVar w:name="FooterJN" w:val="24-13036"/>
    <w:docVar w:name="jobn" w:val="24-13036 (F)"/>
    <w:docVar w:name="jobnDT" w:val="24-13036 (F)   050824"/>
    <w:docVar w:name="jobnDTDT" w:val="24-13036 (F)   050824   050824"/>
    <w:docVar w:name="JobNo" w:val="2413036F"/>
    <w:docVar w:name="JobNo2" w:val="2421005F"/>
    <w:docVar w:name="LocalDrive" w:val="-1"/>
    <w:docVar w:name="OandT" w:val="nfa"/>
    <w:docVar w:name="sss1" w:val="CEDAW/C/TUR/FCO/8"/>
    <w:docVar w:name="sss2" w:val="-"/>
    <w:docVar w:name="Symbol1" w:val="CEDAW/C/TUR/FCO/8"/>
    <w:docVar w:name="Symbol2" w:val="-"/>
    <w:docVar w:name="Title1" w:val="_x0009__x0009_Renseignements reçus de la Türkiye au sujet de la suite donnée aux observations finales concernant son huitième rapport périodique*_x000d_"/>
  </w:docVars>
  <w:rsids>
    <w:rsidRoot w:val="00AC4394"/>
    <w:rsid w:val="00001169"/>
    <w:rsid w:val="00007ED0"/>
    <w:rsid w:val="00016268"/>
    <w:rsid w:val="000361AB"/>
    <w:rsid w:val="00060D4A"/>
    <w:rsid w:val="00080758"/>
    <w:rsid w:val="00087539"/>
    <w:rsid w:val="0009375E"/>
    <w:rsid w:val="000A0AAA"/>
    <w:rsid w:val="000C05B9"/>
    <w:rsid w:val="000D0172"/>
    <w:rsid w:val="000D472D"/>
    <w:rsid w:val="000E5083"/>
    <w:rsid w:val="000E70B5"/>
    <w:rsid w:val="00101B6D"/>
    <w:rsid w:val="001167DA"/>
    <w:rsid w:val="0013302C"/>
    <w:rsid w:val="0014675A"/>
    <w:rsid w:val="001557E8"/>
    <w:rsid w:val="00165060"/>
    <w:rsid w:val="00170680"/>
    <w:rsid w:val="001A6DD6"/>
    <w:rsid w:val="001B260F"/>
    <w:rsid w:val="001B2AB3"/>
    <w:rsid w:val="001B6747"/>
    <w:rsid w:val="001C3485"/>
    <w:rsid w:val="001E2CE8"/>
    <w:rsid w:val="001F48A6"/>
    <w:rsid w:val="00215C74"/>
    <w:rsid w:val="0023311E"/>
    <w:rsid w:val="00247400"/>
    <w:rsid w:val="002816E7"/>
    <w:rsid w:val="0029162B"/>
    <w:rsid w:val="002A182A"/>
    <w:rsid w:val="002C2E5B"/>
    <w:rsid w:val="002C4865"/>
    <w:rsid w:val="00312E44"/>
    <w:rsid w:val="003263AB"/>
    <w:rsid w:val="003306E0"/>
    <w:rsid w:val="00331D20"/>
    <w:rsid w:val="0033553E"/>
    <w:rsid w:val="003571CE"/>
    <w:rsid w:val="00361DD3"/>
    <w:rsid w:val="00365FD7"/>
    <w:rsid w:val="003867C4"/>
    <w:rsid w:val="003A603B"/>
    <w:rsid w:val="003D2EFC"/>
    <w:rsid w:val="003F5510"/>
    <w:rsid w:val="00415238"/>
    <w:rsid w:val="004245ED"/>
    <w:rsid w:val="00437A93"/>
    <w:rsid w:val="0044150B"/>
    <w:rsid w:val="00462C2C"/>
    <w:rsid w:val="0047403F"/>
    <w:rsid w:val="00475D57"/>
    <w:rsid w:val="00477A03"/>
    <w:rsid w:val="00495E7B"/>
    <w:rsid w:val="0049669D"/>
    <w:rsid w:val="004C162E"/>
    <w:rsid w:val="004C7753"/>
    <w:rsid w:val="004F5722"/>
    <w:rsid w:val="005136D2"/>
    <w:rsid w:val="0054211F"/>
    <w:rsid w:val="005610B1"/>
    <w:rsid w:val="00563282"/>
    <w:rsid w:val="00566FE9"/>
    <w:rsid w:val="0058542A"/>
    <w:rsid w:val="0059475A"/>
    <w:rsid w:val="005B2790"/>
    <w:rsid w:val="005B7F6A"/>
    <w:rsid w:val="005E5830"/>
    <w:rsid w:val="005E6095"/>
    <w:rsid w:val="005E69D1"/>
    <w:rsid w:val="005F1D1D"/>
    <w:rsid w:val="00614662"/>
    <w:rsid w:val="0063102E"/>
    <w:rsid w:val="00641373"/>
    <w:rsid w:val="00653908"/>
    <w:rsid w:val="0069274D"/>
    <w:rsid w:val="006A7FA3"/>
    <w:rsid w:val="00724B50"/>
    <w:rsid w:val="00733229"/>
    <w:rsid w:val="007353FD"/>
    <w:rsid w:val="00742C62"/>
    <w:rsid w:val="00747184"/>
    <w:rsid w:val="007513A9"/>
    <w:rsid w:val="00753797"/>
    <w:rsid w:val="00771CE5"/>
    <w:rsid w:val="007A3161"/>
    <w:rsid w:val="007C7C44"/>
    <w:rsid w:val="008138CB"/>
    <w:rsid w:val="00814A46"/>
    <w:rsid w:val="00832C33"/>
    <w:rsid w:val="00852CFB"/>
    <w:rsid w:val="00863195"/>
    <w:rsid w:val="00867F92"/>
    <w:rsid w:val="00876C3A"/>
    <w:rsid w:val="00877270"/>
    <w:rsid w:val="008B319B"/>
    <w:rsid w:val="008D408E"/>
    <w:rsid w:val="009122CE"/>
    <w:rsid w:val="00925C9F"/>
    <w:rsid w:val="00926374"/>
    <w:rsid w:val="009434A3"/>
    <w:rsid w:val="00970521"/>
    <w:rsid w:val="0099386D"/>
    <w:rsid w:val="009B44AF"/>
    <w:rsid w:val="009C25F6"/>
    <w:rsid w:val="009C49AD"/>
    <w:rsid w:val="009C5632"/>
    <w:rsid w:val="009D56BA"/>
    <w:rsid w:val="009E34DA"/>
    <w:rsid w:val="009E34DB"/>
    <w:rsid w:val="009F774C"/>
    <w:rsid w:val="00A03081"/>
    <w:rsid w:val="00A10FCF"/>
    <w:rsid w:val="00A15137"/>
    <w:rsid w:val="00A77F41"/>
    <w:rsid w:val="00A96458"/>
    <w:rsid w:val="00AA29EE"/>
    <w:rsid w:val="00AB06F7"/>
    <w:rsid w:val="00AB1C98"/>
    <w:rsid w:val="00AC067D"/>
    <w:rsid w:val="00AC4394"/>
    <w:rsid w:val="00AC54B7"/>
    <w:rsid w:val="00B03640"/>
    <w:rsid w:val="00B06285"/>
    <w:rsid w:val="00B232F2"/>
    <w:rsid w:val="00B27698"/>
    <w:rsid w:val="00B36B65"/>
    <w:rsid w:val="00B64BF3"/>
    <w:rsid w:val="00B73C8C"/>
    <w:rsid w:val="00B84A45"/>
    <w:rsid w:val="00B901FD"/>
    <w:rsid w:val="00B950C4"/>
    <w:rsid w:val="00BC0319"/>
    <w:rsid w:val="00BC2C8A"/>
    <w:rsid w:val="00BC5819"/>
    <w:rsid w:val="00BE0805"/>
    <w:rsid w:val="00BF668D"/>
    <w:rsid w:val="00C275B4"/>
    <w:rsid w:val="00C3187F"/>
    <w:rsid w:val="00C46199"/>
    <w:rsid w:val="00C4776A"/>
    <w:rsid w:val="00C9001E"/>
    <w:rsid w:val="00CA6592"/>
    <w:rsid w:val="00CC2D86"/>
    <w:rsid w:val="00D02604"/>
    <w:rsid w:val="00D11F82"/>
    <w:rsid w:val="00D23FFB"/>
    <w:rsid w:val="00D25826"/>
    <w:rsid w:val="00D25B9F"/>
    <w:rsid w:val="00D32029"/>
    <w:rsid w:val="00D409D0"/>
    <w:rsid w:val="00D44783"/>
    <w:rsid w:val="00D91A05"/>
    <w:rsid w:val="00DB0712"/>
    <w:rsid w:val="00DB3196"/>
    <w:rsid w:val="00DB7E0A"/>
    <w:rsid w:val="00DE12EE"/>
    <w:rsid w:val="00E2362A"/>
    <w:rsid w:val="00E26243"/>
    <w:rsid w:val="00E32161"/>
    <w:rsid w:val="00E41F26"/>
    <w:rsid w:val="00E548DF"/>
    <w:rsid w:val="00E63E84"/>
    <w:rsid w:val="00E8036E"/>
    <w:rsid w:val="00EA1709"/>
    <w:rsid w:val="00EC7936"/>
    <w:rsid w:val="00ED740E"/>
    <w:rsid w:val="00EF2580"/>
    <w:rsid w:val="00F15B93"/>
    <w:rsid w:val="00F91884"/>
    <w:rsid w:val="00F935A6"/>
    <w:rsid w:val="00F95E56"/>
    <w:rsid w:val="00F973F0"/>
    <w:rsid w:val="00FC38E2"/>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8990A2"/>
  <w15:chartTrackingRefBased/>
  <w15:docId w15:val="{628BE461-10D6-4FB1-ADA2-3B5B3C744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fr-CA"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6199"/>
    <w:pPr>
      <w:spacing w:line="300" w:lineRule="exact"/>
      <w:ind w:left="0" w:right="0" w:firstLine="0"/>
    </w:pPr>
    <w:rPr>
      <w:spacing w:val="-2"/>
      <w:sz w:val="28"/>
    </w:rPr>
  </w:style>
  <w:style w:type="paragraph" w:customStyle="1" w:styleId="H23">
    <w:name w:val="_ H_2/3"/>
    <w:basedOn w:val="Normal"/>
    <w:next w:val="Normal"/>
    <w:rsid w:val="00A77F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SingleTxt"/>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Title">
    <w:name w:val="Title"/>
    <w:basedOn w:val="Normal"/>
    <w:next w:val="Normal"/>
    <w:link w:val="TitleChar"/>
    <w:uiPriority w:val="10"/>
    <w:qFormat/>
    <w:rsid w:val="00AC43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4394"/>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AC439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4394"/>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AC439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C4394"/>
    <w:rPr>
      <w:rFonts w:ascii="Times New Roman" w:eastAsiaTheme="minorHAnsi" w:hAnsi="Times New Roman" w:cs="Times New Roman"/>
      <w:i/>
      <w:iCs/>
      <w:color w:val="404040" w:themeColor="text1" w:themeTint="BF"/>
      <w:spacing w:val="4"/>
      <w:w w:val="103"/>
      <w:kern w:val="14"/>
      <w:sz w:val="20"/>
      <w:szCs w:val="20"/>
      <w:lang w:val="fr-CA" w:eastAsia="en-US"/>
    </w:rPr>
  </w:style>
  <w:style w:type="paragraph" w:styleId="ListParagraph">
    <w:name w:val="List Paragraph"/>
    <w:basedOn w:val="Normal"/>
    <w:uiPriority w:val="34"/>
    <w:qFormat/>
    <w:rsid w:val="00AC4394"/>
    <w:pPr>
      <w:ind w:left="720"/>
      <w:contextualSpacing/>
    </w:pPr>
  </w:style>
  <w:style w:type="character" w:styleId="IntenseEmphasis">
    <w:name w:val="Intense Emphasis"/>
    <w:basedOn w:val="DefaultParagraphFont"/>
    <w:uiPriority w:val="21"/>
    <w:qFormat/>
    <w:rsid w:val="00AC4394"/>
    <w:rPr>
      <w:i/>
      <w:iCs/>
      <w:color w:val="0F4761" w:themeColor="accent1" w:themeShade="BF"/>
    </w:rPr>
  </w:style>
  <w:style w:type="paragraph" w:styleId="IntenseQuote">
    <w:name w:val="Intense Quote"/>
    <w:basedOn w:val="Normal"/>
    <w:next w:val="Normal"/>
    <w:link w:val="IntenseQuoteChar"/>
    <w:uiPriority w:val="30"/>
    <w:qFormat/>
    <w:rsid w:val="00AC43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4394"/>
    <w:rPr>
      <w:rFonts w:ascii="Times New Roman" w:eastAsiaTheme="minorHAnsi" w:hAnsi="Times New Roman" w:cs="Times New Roman"/>
      <w:i/>
      <w:iCs/>
      <w:color w:val="0F4761" w:themeColor="accent1" w:themeShade="BF"/>
      <w:spacing w:val="4"/>
      <w:w w:val="103"/>
      <w:kern w:val="14"/>
      <w:sz w:val="20"/>
      <w:szCs w:val="20"/>
      <w:lang w:val="fr-CA" w:eastAsia="en-US"/>
    </w:rPr>
  </w:style>
  <w:style w:type="character" w:styleId="IntenseReference">
    <w:name w:val="Intense Reference"/>
    <w:basedOn w:val="DefaultParagraphFont"/>
    <w:uiPriority w:val="32"/>
    <w:qFormat/>
    <w:rsid w:val="00AC4394"/>
    <w:rPr>
      <w:b/>
      <w:bCs/>
      <w:smallCaps/>
      <w:color w:val="0F4761" w:themeColor="accent1" w:themeShade="BF"/>
      <w:spacing w:val="5"/>
    </w:rPr>
  </w:style>
  <w:style w:type="paragraph" w:styleId="CommentText">
    <w:name w:val="annotation text"/>
    <w:basedOn w:val="Normal"/>
    <w:link w:val="CommentTextChar"/>
    <w:uiPriority w:val="99"/>
    <w:semiHidden/>
    <w:unhideWhenUsed/>
    <w:rsid w:val="00060D4A"/>
    <w:pPr>
      <w:spacing w:line="240" w:lineRule="auto"/>
    </w:pPr>
  </w:style>
  <w:style w:type="character" w:customStyle="1" w:styleId="CommentTextChar">
    <w:name w:val="Comment Text Char"/>
    <w:basedOn w:val="DefaultParagraphFont"/>
    <w:link w:val="CommentText"/>
    <w:uiPriority w:val="99"/>
    <w:semiHidden/>
    <w:rsid w:val="00060D4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60D4A"/>
    <w:rPr>
      <w:b/>
      <w:bCs/>
    </w:rPr>
  </w:style>
  <w:style w:type="character" w:customStyle="1" w:styleId="CommentSubjectChar">
    <w:name w:val="Comment Subject Char"/>
    <w:basedOn w:val="CommentTextChar"/>
    <w:link w:val="CommentSubject"/>
    <w:uiPriority w:val="99"/>
    <w:semiHidden/>
    <w:rsid w:val="00060D4A"/>
    <w:rPr>
      <w:rFonts w:ascii="Times New Roman" w:eastAsiaTheme="minorHAnsi" w:hAnsi="Times New Roman" w:cs="Times New Roman"/>
      <w:b/>
      <w:bCs/>
      <w:spacing w:val="4"/>
      <w:w w:val="103"/>
      <w:kern w:val="14"/>
      <w:sz w:val="20"/>
      <w:szCs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TUR/CO/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3.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3694</Words>
  <Characters>21062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2024-08-05T15:53:00Z</cp:lastPrinted>
  <dcterms:created xsi:type="dcterms:W3CDTF">2024-08-05T15:53:00Z</dcterms:created>
  <dcterms:modified xsi:type="dcterms:W3CDTF">2024-08-05T15:53:00Z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2413036F</vt:lpwstr>
  </property>
  <property fmtid="{D5CDD505-2E9C-101B-9397-08002B2CF9AE}" pid="3" name="ODSRefJobNo">
    <vt:lpwstr>2421005F</vt:lpwstr>
  </property>
  <property fmtid="{D5CDD505-2E9C-101B-9397-08002B2CF9AE}" pid="4" name="Symbol1">
    <vt:lpwstr>CEDAW/C/TUR/FCO/8</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16 juillet 2024</vt:lpwstr>
  </property>
  <property fmtid="{D5CDD505-2E9C-101B-9397-08002B2CF9AE}" pid="14" name="Release Date">
    <vt:lpwstr>050824</vt:lpwstr>
  </property>
  <property fmtid="{D5CDD505-2E9C-101B-9397-08002B2CF9AE}" pid="15" name="Title1">
    <vt:lpwstr>		Renseignements reçus de la Türkiye au sujet de la suite donnée aux observations finales concernant son huitième rapport périodique*_x000d_</vt:lpwstr>
  </property>
</Properties>
</file>