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43A" w:rsidRDefault="00EF643A" w:rsidP="00EF643A">
      <w:pPr>
        <w:spacing w:line="60" w:lineRule="exact"/>
        <w:rPr>
          <w:rStyle w:val="a4"/>
          <w:color w:val="auto"/>
          <w:w w:val="100"/>
          <w:sz w:val="6"/>
          <w:vertAlign w:val="baseline"/>
        </w:rPr>
        <w:sectPr w:rsidR="00EF643A" w:rsidSect="00EF643A">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E30B67" w:rsidRPr="00E30B67" w:rsidRDefault="00E30B67" w:rsidP="00E30B67">
      <w:pPr>
        <w:spacing w:line="120" w:lineRule="exact"/>
        <w:rPr>
          <w:sz w:val="10"/>
        </w:rPr>
      </w:pPr>
    </w:p>
    <w:p w:rsidR="00E30B67" w:rsidRPr="00E30B67" w:rsidRDefault="00E30B67" w:rsidP="00E30B67">
      <w:pPr>
        <w:rPr>
          <w:rFonts w:ascii="黑体" w:eastAsia="黑体"/>
          <w:b/>
          <w:sz w:val="24"/>
          <w:szCs w:val="24"/>
        </w:rPr>
      </w:pPr>
      <w:r w:rsidRPr="00E30B67">
        <w:rPr>
          <w:rFonts w:ascii="黑体" w:eastAsia="黑体"/>
          <w:sz w:val="24"/>
          <w:szCs w:val="24"/>
        </w:rPr>
        <w:t>人权事务委员会</w:t>
      </w:r>
    </w:p>
    <w:p w:rsidR="00E30B67" w:rsidRPr="00E30B67" w:rsidRDefault="00E30B67" w:rsidP="00E30B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关于法国第五次定期报告的结论性意见</w:t>
      </w:r>
      <w:r w:rsidRPr="00E30B67">
        <w:rPr>
          <w:rStyle w:val="a3"/>
          <w:rFonts w:asciiTheme="minorEastAsia" w:eastAsiaTheme="minorEastAsia" w:hAnsiTheme="minorEastAsia" w:cstheme="majorBidi"/>
          <w:sz w:val="21"/>
          <w:szCs w:val="21"/>
        </w:rPr>
        <w:footnoteReference w:customMarkFollows="1" w:id="1"/>
        <w:t>*</w:t>
      </w:r>
    </w:p>
    <w:p w:rsidR="008F00C0" w:rsidRPr="008F00C0" w:rsidRDefault="008F00C0" w:rsidP="008F00C0">
      <w:pPr>
        <w:pStyle w:val="SingleTxt"/>
        <w:spacing w:after="0" w:line="120" w:lineRule="exact"/>
        <w:rPr>
          <w:sz w:val="10"/>
        </w:rPr>
      </w:pPr>
    </w:p>
    <w:p w:rsidR="008F00C0" w:rsidRPr="008F00C0" w:rsidRDefault="008F00C0" w:rsidP="008F00C0">
      <w:pPr>
        <w:pStyle w:val="SingleTxt"/>
        <w:spacing w:after="0" w:line="120" w:lineRule="exact"/>
        <w:rPr>
          <w:sz w:val="10"/>
        </w:rPr>
      </w:pPr>
      <w:bookmarkStart w:id="1" w:name="_GoBack"/>
      <w:bookmarkEnd w:id="1"/>
    </w:p>
    <w:p w:rsidR="00E30B67" w:rsidRPr="00E30B67" w:rsidRDefault="00E30B67" w:rsidP="00E30B67">
      <w:pPr>
        <w:pStyle w:val="SingleTxt"/>
      </w:pPr>
      <w:r w:rsidRPr="00E30B67">
        <w:t>1.</w:t>
      </w:r>
      <w:r w:rsidRPr="00E30B67">
        <w:tab/>
      </w:r>
      <w:r w:rsidRPr="00E30B67">
        <w:t>人权事务委员会在</w:t>
      </w:r>
      <w:r w:rsidRPr="00E30B67">
        <w:t>2015</w:t>
      </w:r>
      <w:r w:rsidRPr="00E30B67">
        <w:t>年</w:t>
      </w:r>
      <w:r w:rsidRPr="00E30B67">
        <w:t>7</w:t>
      </w:r>
      <w:r w:rsidRPr="00E30B67">
        <w:t>月</w:t>
      </w:r>
      <w:r w:rsidRPr="00E30B67">
        <w:t>10</w:t>
      </w:r>
      <w:r w:rsidRPr="00E30B67">
        <w:t>日举行的第</w:t>
      </w:r>
      <w:r w:rsidRPr="00E30B67">
        <w:t>3181</w:t>
      </w:r>
      <w:r w:rsidRPr="00E30B67">
        <w:t>次和第</w:t>
      </w:r>
      <w:r w:rsidRPr="00E30B67">
        <w:t>3182</w:t>
      </w:r>
      <w:r w:rsidRPr="00E30B67">
        <w:t>次会议</w:t>
      </w:r>
      <w:r w:rsidRPr="00E30B67">
        <w:t>(CCPR/C/SR.3181</w:t>
      </w:r>
      <w:r w:rsidRPr="00E30B67">
        <w:t>和</w:t>
      </w:r>
      <w:r w:rsidRPr="00E30B67">
        <w:t>3182)</w:t>
      </w:r>
      <w:r w:rsidRPr="00E30B67">
        <w:t>上，审议了法国提交的第五次定期报告</w:t>
      </w:r>
      <w:r w:rsidRPr="00E30B67">
        <w:t>(CCPR/C/FRA/5)</w:t>
      </w:r>
      <w:r w:rsidRPr="00E30B67">
        <w:t>，并在</w:t>
      </w:r>
      <w:r w:rsidRPr="00E30B67">
        <w:t>2015</w:t>
      </w:r>
      <w:r w:rsidRPr="00E30B67">
        <w:t>年</w:t>
      </w:r>
      <w:r w:rsidRPr="00E30B67">
        <w:t>7</w:t>
      </w:r>
      <w:r w:rsidRPr="00E30B67">
        <w:t>月</w:t>
      </w:r>
      <w:r w:rsidRPr="00E30B67">
        <w:t>21</w:t>
      </w:r>
      <w:r w:rsidRPr="00E30B67">
        <w:t>日举行的第</w:t>
      </w:r>
      <w:r w:rsidRPr="00E30B67">
        <w:t>3193</w:t>
      </w:r>
      <w:r w:rsidRPr="00E30B67">
        <w:t>次会议</w:t>
      </w:r>
      <w:r w:rsidRPr="00E30B67">
        <w:t>(CCPR/C/SR.3193)</w:t>
      </w:r>
      <w:r w:rsidRPr="00E30B67">
        <w:t>上通过了以下结论性意见。</w:t>
      </w: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t>A.</w:t>
      </w:r>
      <w:r w:rsidRPr="00E30B67">
        <w:tab/>
        <w:t>导言</w:t>
      </w:r>
    </w:p>
    <w:p w:rsidR="00E30B67" w:rsidRPr="00E30B67" w:rsidRDefault="00E30B67" w:rsidP="00E30B67">
      <w:pPr>
        <w:pStyle w:val="SingleTxt"/>
        <w:spacing w:after="0" w:line="120" w:lineRule="exact"/>
        <w:rPr>
          <w:sz w:val="10"/>
        </w:rPr>
      </w:pPr>
    </w:p>
    <w:p w:rsidR="00E30B67" w:rsidRPr="00E30B67" w:rsidRDefault="00E30B67" w:rsidP="00E30B67">
      <w:pPr>
        <w:pStyle w:val="SingleTxt"/>
        <w:spacing w:after="0" w:line="120" w:lineRule="exact"/>
        <w:rPr>
          <w:sz w:val="10"/>
        </w:rPr>
      </w:pPr>
    </w:p>
    <w:p w:rsidR="00E30B67" w:rsidRPr="00E30B67" w:rsidRDefault="00E30B67" w:rsidP="00E30B67">
      <w:pPr>
        <w:pStyle w:val="SingleTxt"/>
      </w:pPr>
      <w:r w:rsidRPr="00E30B67">
        <w:t>2.</w:t>
      </w:r>
      <w:r w:rsidRPr="00E30B67">
        <w:tab/>
      </w:r>
      <w:r w:rsidRPr="00E30B67">
        <w:t>委员会对法国准时提交第五次定期报告及其中所载的资料表示欢迎。委员会表示，赞赏有机会与缔约国的高级别代表团开展建设性对话，探讨缔约国在报告所述期间为执行《公约》条款而采取的措施。委员会感谢缔约国经对话期间口头答复补充的对问题单</w:t>
      </w:r>
      <w:r w:rsidRPr="00E30B67">
        <w:t>(CCPR/C/FRA/Q/5)</w:t>
      </w:r>
      <w:r w:rsidRPr="00E30B67">
        <w:t>的书面答复</w:t>
      </w:r>
      <w:r w:rsidRPr="00E30B67">
        <w:t>(CCPR/C/FRA/Q/5/Add.1)</w:t>
      </w:r>
      <w:r w:rsidRPr="00E30B67">
        <w:t>，以及缔约国书面提供的补充资料。</w:t>
      </w: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E30B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t>B.</w:t>
      </w:r>
      <w:r w:rsidRPr="00E30B67">
        <w:tab/>
        <w:t>积极方面</w:t>
      </w:r>
    </w:p>
    <w:p w:rsidR="00E30B67" w:rsidRPr="00E30B67" w:rsidRDefault="00E30B67" w:rsidP="00E30B67">
      <w:pPr>
        <w:pStyle w:val="SingleTxt"/>
        <w:spacing w:after="0" w:line="120" w:lineRule="exact"/>
        <w:rPr>
          <w:sz w:val="10"/>
        </w:rPr>
      </w:pPr>
    </w:p>
    <w:p w:rsidR="00E30B67" w:rsidRPr="00E30B67" w:rsidRDefault="00E30B67" w:rsidP="00E30B67">
      <w:pPr>
        <w:pStyle w:val="SingleTxt"/>
        <w:spacing w:after="0" w:line="120" w:lineRule="exact"/>
        <w:rPr>
          <w:sz w:val="10"/>
        </w:rPr>
      </w:pPr>
    </w:p>
    <w:p w:rsidR="00E30B67" w:rsidRPr="00E30B67" w:rsidRDefault="00E30B67" w:rsidP="00E30B67">
      <w:pPr>
        <w:pStyle w:val="SingleTxt"/>
      </w:pPr>
      <w:r w:rsidRPr="00E30B67">
        <w:t>3.</w:t>
      </w:r>
      <w:r w:rsidRPr="00E30B67">
        <w:tab/>
      </w:r>
      <w:r w:rsidRPr="00E30B67">
        <w:t>委员会满意地注意到，缔约国已经采取若干步骤，保护公民权利和政治权利，并已在此方面取得进展。委员会尤其欢迎以下立法和体制措施：</w:t>
      </w:r>
    </w:p>
    <w:p w:rsidR="00E30B67" w:rsidRPr="00E30B67" w:rsidRDefault="00E30B67" w:rsidP="00E30B67">
      <w:pPr>
        <w:pStyle w:val="SingleTxt"/>
      </w:pPr>
      <w:r w:rsidRPr="00E30B67">
        <w:tab/>
        <w:t>(a)</w:t>
      </w:r>
      <w:r w:rsidRPr="00E30B67">
        <w:tab/>
        <w:t>2015</w:t>
      </w:r>
      <w:r w:rsidRPr="00E30B67">
        <w:t>年</w:t>
      </w:r>
      <w:r w:rsidRPr="00E30B67">
        <w:t>4</w:t>
      </w:r>
      <w:r w:rsidRPr="00E30B67">
        <w:t>月</w:t>
      </w:r>
      <w:r w:rsidRPr="00E30B67">
        <w:t>17</w:t>
      </w:r>
      <w:r w:rsidRPr="00E30B67">
        <w:t>日通过了</w:t>
      </w:r>
      <w:r w:rsidRPr="00E30B67">
        <w:t>2015</w:t>
      </w:r>
      <w:r w:rsidRPr="00E30B67">
        <w:t>年至</w:t>
      </w:r>
      <w:r w:rsidRPr="00E30B67">
        <w:t>2017</w:t>
      </w:r>
      <w:r w:rsidRPr="00E30B67">
        <w:t>年全国打击种族主义和反犹太主义行动计划，并于</w:t>
      </w:r>
      <w:r w:rsidRPr="00E30B67">
        <w:t>2012</w:t>
      </w:r>
      <w:r w:rsidRPr="00E30B67">
        <w:t>年成立了负责打击种族主义和反犹太主义的部际委员会；</w:t>
      </w:r>
    </w:p>
    <w:p w:rsidR="00E30B67" w:rsidRPr="00E30B67" w:rsidRDefault="00E30B67" w:rsidP="00E30B67">
      <w:pPr>
        <w:pStyle w:val="SingleTxt"/>
      </w:pPr>
      <w:r w:rsidRPr="00E30B67">
        <w:tab/>
        <w:t>(b)</w:t>
      </w:r>
      <w:r w:rsidRPr="00E30B67">
        <w:tab/>
      </w:r>
      <w:r w:rsidRPr="00E30B67">
        <w:t>通过了</w:t>
      </w:r>
      <w:r w:rsidRPr="00E30B67">
        <w:t>2014</w:t>
      </w:r>
      <w:r w:rsidRPr="00E30B67">
        <w:t>年</w:t>
      </w:r>
      <w:r w:rsidRPr="00E30B67">
        <w:t>8</w:t>
      </w:r>
      <w:r w:rsidRPr="00E30B67">
        <w:t>月</w:t>
      </w:r>
      <w:r w:rsidRPr="00E30B67">
        <w:t>4</w:t>
      </w:r>
      <w:r w:rsidRPr="00E30B67">
        <w:t>日关于真正男女平等的第</w:t>
      </w:r>
      <w:r w:rsidRPr="00E30B67">
        <w:t>2014-873</w:t>
      </w:r>
      <w:r w:rsidRPr="00E30B67">
        <w:t>号法，该法旨在消除私人、就业和公共领域的不平等；</w:t>
      </w:r>
    </w:p>
    <w:p w:rsidR="00E30B67" w:rsidRPr="00E30B67" w:rsidRDefault="00E30B67" w:rsidP="00E30B67">
      <w:pPr>
        <w:pStyle w:val="SingleTxt"/>
      </w:pPr>
      <w:r w:rsidRPr="00E30B67">
        <w:tab/>
        <w:t>(c)</w:t>
      </w:r>
      <w:r w:rsidRPr="00E30B67">
        <w:tab/>
      </w:r>
      <w:r w:rsidRPr="00E30B67">
        <w:t>通过了</w:t>
      </w:r>
      <w:r w:rsidRPr="00E30B67">
        <w:t>2014</w:t>
      </w:r>
      <w:r w:rsidRPr="00E30B67">
        <w:t>年</w:t>
      </w:r>
      <w:r w:rsidRPr="00E30B67">
        <w:t>8</w:t>
      </w:r>
      <w:r w:rsidRPr="00E30B67">
        <w:t>月</w:t>
      </w:r>
      <w:r w:rsidRPr="00E30B67">
        <w:t>15</w:t>
      </w:r>
      <w:r w:rsidRPr="00E30B67">
        <w:t>日关于量刑个别化和强化刑罚的第</w:t>
      </w:r>
      <w:r w:rsidRPr="00E30B67">
        <w:t>2014-896</w:t>
      </w:r>
      <w:r w:rsidRPr="00E30B67">
        <w:t>号法；</w:t>
      </w:r>
    </w:p>
    <w:p w:rsidR="00E30B67" w:rsidRPr="00E30B67" w:rsidRDefault="00E30B67" w:rsidP="00E30B67">
      <w:pPr>
        <w:pStyle w:val="SingleTxt"/>
      </w:pPr>
      <w:r w:rsidRPr="00E30B67">
        <w:lastRenderedPageBreak/>
        <w:tab/>
        <w:t>(d)</w:t>
      </w:r>
      <w:r w:rsidRPr="00E30B67">
        <w:tab/>
        <w:t>2014</w:t>
      </w:r>
      <w:r w:rsidRPr="00E30B67">
        <w:t>年</w:t>
      </w:r>
      <w:r w:rsidRPr="00E30B67">
        <w:t>5</w:t>
      </w:r>
      <w:r w:rsidRPr="00E30B67">
        <w:t>月</w:t>
      </w:r>
      <w:r w:rsidRPr="00E30B67">
        <w:t>14</w:t>
      </w:r>
      <w:r w:rsidRPr="00E30B67">
        <w:t>日通过了</w:t>
      </w:r>
      <w:r w:rsidRPr="00E30B67">
        <w:t>2014</w:t>
      </w:r>
      <w:r w:rsidRPr="00E30B67">
        <w:t>年至</w:t>
      </w:r>
      <w:r w:rsidRPr="00E30B67">
        <w:t>2016</w:t>
      </w:r>
      <w:r w:rsidRPr="00E30B67">
        <w:t>年全国打击贩运人口行为行动计划；</w:t>
      </w:r>
    </w:p>
    <w:p w:rsidR="00E30B67" w:rsidRPr="00E30B67" w:rsidRDefault="00E30B67" w:rsidP="00041D50">
      <w:pPr>
        <w:pStyle w:val="SingleTxt"/>
      </w:pPr>
      <w:r w:rsidRPr="00E30B67">
        <w:tab/>
        <w:t>(e)</w:t>
      </w:r>
      <w:r w:rsidRPr="00E30B67">
        <w:tab/>
      </w:r>
      <w:r w:rsidRPr="00E30B67">
        <w:t>通过了</w:t>
      </w:r>
      <w:r w:rsidRPr="00E30B67">
        <w:t>2013</w:t>
      </w:r>
      <w:r w:rsidRPr="00E30B67">
        <w:t>年</w:t>
      </w:r>
      <w:r w:rsidRPr="00E30B67">
        <w:t>5</w:t>
      </w:r>
      <w:r w:rsidRPr="00E30B67">
        <w:t>月</w:t>
      </w:r>
      <w:r w:rsidRPr="00E30B67">
        <w:t>17</w:t>
      </w:r>
      <w:r w:rsidRPr="00E30B67">
        <w:t>日关于同性婚姻的第</w:t>
      </w:r>
      <w:r w:rsidRPr="00E30B67">
        <w:t>2013-404</w:t>
      </w:r>
      <w:r w:rsidRPr="00E30B67">
        <w:t>号法。</w:t>
      </w:r>
    </w:p>
    <w:p w:rsidR="00E30B67" w:rsidRPr="00E30B67" w:rsidRDefault="00E30B67" w:rsidP="00041D50">
      <w:pPr>
        <w:pStyle w:val="SingleTxt"/>
      </w:pPr>
      <w:r w:rsidRPr="00E30B67">
        <w:t>4.</w:t>
      </w:r>
      <w:r w:rsidRPr="00E30B67">
        <w:tab/>
      </w:r>
      <w:r w:rsidRPr="00E30B67">
        <w:t>委员会对缔约国于</w:t>
      </w:r>
      <w:r w:rsidRPr="00E30B67">
        <w:t>2010</w:t>
      </w:r>
      <w:r w:rsidRPr="00E30B67">
        <w:t>年批准《残疾人权利公约》及其任择议定书表示欢迎。</w:t>
      </w:r>
    </w:p>
    <w:p w:rsidR="00041D50" w:rsidRPr="00041D50" w:rsidRDefault="00041D50" w:rsidP="00041D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t>C.</w:t>
      </w:r>
      <w:r w:rsidRPr="00E30B67">
        <w:tab/>
        <w:t>关注的主要问题和建议</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对《公约》的解释性声明和保留</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5.</w:t>
      </w:r>
      <w:r w:rsidRPr="00E30B67">
        <w:tab/>
      </w:r>
      <w:r w:rsidRPr="00E30B67">
        <w:t>委员会欢迎缔约国缩小对《公约》第十四条第</w:t>
      </w:r>
      <w:r w:rsidRPr="00E30B67">
        <w:t>5</w:t>
      </w:r>
      <w:r w:rsidRPr="00E30B67">
        <w:t>款的声明的范围，但感到遗憾的是，缔约国虽然在</w:t>
      </w:r>
      <w:r w:rsidRPr="00E30B67">
        <w:t>2008</w:t>
      </w:r>
      <w:r w:rsidRPr="00E30B67">
        <w:t>年普遍定期审议期间作出了多项承诺，但仍最终决定不撤销对第十三条的声明。委员会还感到遗憾的是，缔约国并未计划撤销其他保留和解释性声明，这些保留和声明的数量及范围对《公约》的适用性造成了实质限制。委员会尤为遗憾的是，缔约国以共和国不可分割、平等和团结的原则为由对《公约》第二十七条予以了限制性解释。</w:t>
      </w:r>
    </w:p>
    <w:p w:rsidR="00E30B67" w:rsidRPr="00041D50" w:rsidRDefault="00E30B67" w:rsidP="00041D50">
      <w:pPr>
        <w:pStyle w:val="SingleTxt"/>
        <w:rPr>
          <w:rFonts w:ascii="黑体" w:eastAsia="黑体"/>
        </w:rPr>
      </w:pPr>
      <w:r w:rsidRPr="00041D50">
        <w:rPr>
          <w:rFonts w:ascii="黑体" w:eastAsia="黑体"/>
        </w:rPr>
        <w:t>缔约国应重新考虑其解释性声明和保留，以期显著减少这些声明和保留的数量并确保《公约》得到有效适用。</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对少数群体的承认和统计数据</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6.</w:t>
      </w:r>
      <w:r w:rsidRPr="00E30B67">
        <w:tab/>
      </w:r>
      <w:r w:rsidRPr="00E30B67">
        <w:t>委员会虽然欢迎缔约国为凸显国家文化和语言多样性而采取的措施，但遗憾地指出，缔约国仍然没有承认法国境内存在少数群体。委员会注意到缔约国的立场是，按族裔或种族出身收集分列数据以及由国家拟订各种专以自我身份认同为基础的工具，皆属违宪。但是，委员会感到遗憾的是，缔约国的报告中缺少统计数据，使委员会无法了解土著人民和少数群体享有《公约》所载权利的情况</w:t>
      </w:r>
      <w:r w:rsidRPr="00E30B67">
        <w:t>(</w:t>
      </w:r>
      <w:r w:rsidRPr="00E30B67">
        <w:t>第二、第二十六和第二十七条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缔约国应重新考虑关于正式承认族裔、宗教和语言少数群体这一问题的立场。缔约国应继续考虑拟订各种工具以便评估和确保土著人民和少数群体切实享有所有人权和基本自由。缔约国还应将这种数据用于规划和评价工作。</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委员会根据《任择议定书》通过的《意见》的后续行动</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7.</w:t>
      </w:r>
      <w:r w:rsidRPr="00E30B67">
        <w:tab/>
      </w:r>
      <w:r w:rsidRPr="00E30B67">
        <w:t>委员会感到关切的是，缔约国未能履行根据《公约》及其第一《任择议定书》所承担的义务，在《公约》所载权利受到侵犯时向受害者提供有效补救，执行委员会通过的《意见》，例如在辛格诉法国</w:t>
      </w:r>
      <w:r w:rsidRPr="00E30B67">
        <w:t>(</w:t>
      </w:r>
      <w:r w:rsidRPr="00E30B67">
        <w:t>第</w:t>
      </w:r>
      <w:r w:rsidRPr="00E30B67">
        <w:t>1852/2008</w:t>
      </w:r>
      <w:r w:rsidRPr="00E30B67">
        <w:t>号来文</w:t>
      </w:r>
      <w:r w:rsidRPr="00E30B67">
        <w:t>)</w:t>
      </w:r>
      <w:r w:rsidRPr="00E30B67">
        <w:t>一案中就未执行委员会的《意见》。委员会回顾称，缔约国加入第一《任择议定书》即承认委员会有权接受并审查缔约国辖下个人的来文，并允诺一经查明侵权行为属实，就确保提供有效和可强制执行的补救</w:t>
      </w:r>
      <w:r w:rsidRPr="00E30B67">
        <w:t>(</w:t>
      </w:r>
      <w:r w:rsidRPr="00E30B67">
        <w:t>第二条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lastRenderedPageBreak/>
        <w:t>缔约国应重新考虑其对委员会根据第一《任择议定书》通过的《意见》的立场，以根据第二条第3款，确保在发生违反《公约》的情况时受害者能得到有效补救。缔约国还应将委员会的《意见》广为传播，并使人们更加了解缔约国根据《公约》所承担的义务。</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男女平等</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8.</w:t>
      </w:r>
      <w:r w:rsidRPr="00E30B67">
        <w:tab/>
      </w:r>
      <w:r w:rsidRPr="00E30B67">
        <w:t>委员会关切地注意到，男女工资始终存在较大差异，且工作领域普遍存在歧视，包括在公务员队伍中</w:t>
      </w:r>
      <w:r w:rsidRPr="00E30B67">
        <w:t xml:space="preserve"> (</w:t>
      </w:r>
      <w:r w:rsidRPr="00E30B67">
        <w:t>第三和第二十六条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缔约国应继续执行措施，确保在法律和一般政策中实现男女真正平等，特别是确保2014年8月4日法的条款不受</w:t>
      </w:r>
      <w:r w:rsidRPr="00041D50">
        <w:rPr>
          <w:rFonts w:ascii="黑体" w:eastAsia="黑体"/>
        </w:rPr>
        <w:t>“</w:t>
      </w:r>
      <w:r w:rsidRPr="00041D50">
        <w:rPr>
          <w:rFonts w:ascii="黑体" w:eastAsia="黑体"/>
        </w:rPr>
        <w:t>社会对话与就业法案</w:t>
      </w:r>
      <w:r w:rsidRPr="00041D50">
        <w:rPr>
          <w:rFonts w:ascii="黑体" w:eastAsia="黑体"/>
        </w:rPr>
        <w:t>”</w:t>
      </w:r>
      <w:r w:rsidRPr="00041D50">
        <w:rPr>
          <w:rFonts w:ascii="黑体" w:eastAsia="黑体"/>
        </w:rPr>
        <w:t>的影响。缔约国还应通过劳动监察局的工作等渠道，增加手段，确保各公司遵守工作场所平等和工资平等方面的义务。</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恐怖主义</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9.</w:t>
      </w:r>
      <w:r w:rsidRPr="00E30B67">
        <w:tab/>
      </w:r>
      <w:r w:rsidRPr="00E30B67">
        <w:t>委员会满意地注意到，缔约国于</w:t>
      </w:r>
      <w:r w:rsidRPr="00E30B67">
        <w:t>2011</w:t>
      </w:r>
      <w:r w:rsidRPr="00E30B67">
        <w:t>年</w:t>
      </w:r>
      <w:r w:rsidRPr="00E30B67">
        <w:t>4</w:t>
      </w:r>
      <w:r w:rsidRPr="00E30B67">
        <w:t>月</w:t>
      </w:r>
      <w:r w:rsidRPr="00E30B67">
        <w:t>14</w:t>
      </w:r>
      <w:r w:rsidRPr="00E30B67">
        <w:t>日通过第</w:t>
      </w:r>
      <w:r w:rsidRPr="00E30B67">
        <w:t>2011-392</w:t>
      </w:r>
      <w:r w:rsidRPr="00E30B67">
        <w:t>号法，将因恐怖主义而被警方拘留的人员也纳入了享有基本法律保障的人群，但委员会感到关切的是，若有紧迫原因，可将当事人会见律师的时间推迟</w:t>
      </w:r>
      <w:r w:rsidRPr="00E30B67">
        <w:t>72</w:t>
      </w:r>
      <w:r w:rsidRPr="00E30B67">
        <w:t>小时，且会面时间限于</w:t>
      </w:r>
      <w:r w:rsidRPr="00E30B67">
        <w:t>30</w:t>
      </w:r>
      <w:r w:rsidRPr="00E30B67">
        <w:t>分钟，从而限制了当事人得到充分法律援助的机会。委员会还感到关切的是，缔约国可将拘留的最长时间延长至</w:t>
      </w:r>
      <w:r w:rsidRPr="00E30B67">
        <w:t>96</w:t>
      </w:r>
      <w:r w:rsidRPr="00E30B67">
        <w:t>小时，对满</w:t>
      </w:r>
      <w:r w:rsidRPr="00E30B67">
        <w:t>16</w:t>
      </w:r>
      <w:r w:rsidRPr="00E30B67">
        <w:t>岁的未成年人也可如此，在特殊情况下，拘留时间甚至可延长至</w:t>
      </w:r>
      <w:r w:rsidRPr="00E30B67">
        <w:t>144</w:t>
      </w:r>
      <w:r w:rsidRPr="00E30B67">
        <w:t>小时</w:t>
      </w:r>
      <w:r w:rsidRPr="00E30B67">
        <w:t xml:space="preserve"> (</w:t>
      </w:r>
      <w:r w:rsidRPr="00E30B67">
        <w:t>第九和第十四条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根据委员会关于第九条(人身自由和安全)的第35号一般性意见(2014年)，缔约国应确保涉嫌从事恐怖主义并被警方拘留的人员可以立即会见律师且会面时间足够，并被立即带见法官。</w:t>
      </w:r>
    </w:p>
    <w:p w:rsidR="00E30B67" w:rsidRPr="00E30B67" w:rsidRDefault="00E30B67" w:rsidP="00041D50">
      <w:pPr>
        <w:pStyle w:val="SingleTxt"/>
      </w:pPr>
      <w:r w:rsidRPr="00E30B67">
        <w:t>10.</w:t>
      </w:r>
      <w:r w:rsidRPr="00E30B67">
        <w:tab/>
      </w:r>
      <w:r w:rsidRPr="00E30B67">
        <w:t>委员会感到关切的是，强化反恐规定的</w:t>
      </w:r>
      <w:r w:rsidRPr="00E30B67">
        <w:t>2014</w:t>
      </w:r>
      <w:r w:rsidRPr="00E30B67">
        <w:t>年</w:t>
      </w:r>
      <w:r w:rsidRPr="00E30B67">
        <w:t>11</w:t>
      </w:r>
      <w:r w:rsidRPr="00E30B67">
        <w:t>月</w:t>
      </w:r>
      <w:r w:rsidRPr="00E30B67">
        <w:t>13</w:t>
      </w:r>
      <w:r w:rsidRPr="00E30B67">
        <w:t>日第</w:t>
      </w:r>
      <w:r w:rsidRPr="00E30B67">
        <w:t>2014-1353</w:t>
      </w:r>
      <w:r w:rsidRPr="00E30B67">
        <w:t>号法的若干条款难以与《公约》所载的权利相容。委员会尤为关切的是：</w:t>
      </w:r>
      <w:r w:rsidRPr="00E30B67">
        <w:t xml:space="preserve">(a) </w:t>
      </w:r>
      <w:r w:rsidRPr="00E30B67">
        <w:t>在《刑法》中加入煽动和维护恐怖主义罪具有程序性影响，特别是允许立即开庭审判嫌疑人；</w:t>
      </w:r>
      <w:r w:rsidRPr="00E30B67">
        <w:t xml:space="preserve">(b) </w:t>
      </w:r>
      <w:r w:rsidRPr="00E30B67">
        <w:t>缔约国出台了出境禁令和</w:t>
      </w:r>
      <w:r w:rsidRPr="00E30B67">
        <w:t>“</w:t>
      </w:r>
      <w:r w:rsidRPr="00E30B67">
        <w:t>个人从事恐怖主义罪</w:t>
      </w:r>
      <w:r w:rsidRPr="00E30B67">
        <w:t>”</w:t>
      </w:r>
      <w:r w:rsidRPr="00E30B67">
        <w:t>，且恐怖主义罪、煽动和维护恐怖主义罪的所属行为的定义用语含糊而不精确；</w:t>
      </w:r>
      <w:r w:rsidRPr="00E30B67">
        <w:t>(c) 2015</w:t>
      </w:r>
      <w:r w:rsidRPr="00E30B67">
        <w:t>年</w:t>
      </w:r>
      <w:r w:rsidRPr="00E30B67">
        <w:t>1</w:t>
      </w:r>
      <w:r w:rsidRPr="00E30B67">
        <w:t>月巴黎袭击事件后，有诸多、各种行为</w:t>
      </w:r>
      <w:r w:rsidRPr="00E30B67">
        <w:t>(</w:t>
      </w:r>
      <w:r w:rsidRPr="00E30B67">
        <w:t>特别是未成年人的行为</w:t>
      </w:r>
      <w:r w:rsidRPr="00E30B67">
        <w:t>)</w:t>
      </w:r>
      <w:r w:rsidRPr="00E30B67">
        <w:t>已导致当事人被以煽动恐怖主义罪起诉，这些起诉往往会立即开庭宣判</w:t>
      </w:r>
      <w:r w:rsidRPr="00E30B67">
        <w:t xml:space="preserve"> (</w:t>
      </w:r>
      <w:r w:rsidRPr="00E30B67">
        <w:t>第九、第十四、第十九、第二十、第二十一和第二十二条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缔约国应确保强化反恐规定的第2014-1353号法的条款遵守无罪推定原则与合法原则，并因此应当表述清楚、准确。缔约国还应确保，若这些条款导致言论自由、信息或迁徙自由等特定人权受到限制，这种限制应符合《公约》规定，特别是符合必要性和相称性的条件。在这方面，缔约国应确保根据第2014-1353号法施行有关程序时应充分尊重《公约》第十四条所列的所有法律保障。</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Default="00041D50">
      <w:pPr>
        <w:spacing w:line="240" w:lineRule="auto"/>
        <w:jc w:val="left"/>
        <w:rPr>
          <w:rFonts w:ascii="黑体" w:eastAsia="黑体"/>
          <w:spacing w:val="2"/>
        </w:rPr>
      </w:pPr>
      <w:r>
        <w:lastRenderedPageBreak/>
        <w:br w:type="page"/>
      </w: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lastRenderedPageBreak/>
        <w:tab/>
      </w:r>
      <w:r w:rsidRPr="00E30B67">
        <w:tab/>
        <w:t>刑后预防性拘留</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11.</w:t>
      </w:r>
      <w:r w:rsidRPr="00E30B67">
        <w:tab/>
      </w:r>
      <w:r w:rsidRPr="00E30B67">
        <w:t>委员会感到关切的是，</w:t>
      </w:r>
      <w:r w:rsidRPr="00E30B67">
        <w:t>2010</w:t>
      </w:r>
      <w:r w:rsidRPr="00E30B67">
        <w:t>年</w:t>
      </w:r>
      <w:r w:rsidRPr="00E30B67">
        <w:t>3</w:t>
      </w:r>
      <w:r w:rsidRPr="00E30B67">
        <w:t>月</w:t>
      </w:r>
      <w:r w:rsidRPr="00E30B67">
        <w:t>10</w:t>
      </w:r>
      <w:r w:rsidRPr="00E30B67">
        <w:t>日关于减少累犯风险的第</w:t>
      </w:r>
      <w:r w:rsidRPr="00E30B67">
        <w:t>2010-242</w:t>
      </w:r>
      <w:r w:rsidRPr="00E30B67">
        <w:t>号法规定可出于安全考虑实行延期监察。该法明确规定，鉴于某些人员具有</w:t>
      </w:r>
      <w:r w:rsidRPr="00E30B67">
        <w:t>“</w:t>
      </w:r>
      <w:r w:rsidRPr="00E30B67">
        <w:t>危险性</w:t>
      </w:r>
      <w:r w:rsidRPr="00E30B67">
        <w:t>”</w:t>
      </w:r>
      <w:r w:rsidRPr="00E30B67">
        <w:t>，在其服满刑期后或未遵守安全监察条件</w:t>
      </w:r>
      <w:r w:rsidRPr="00E30B67">
        <w:t>(</w:t>
      </w:r>
      <w:r w:rsidRPr="00E30B67">
        <w:t>例如治疗令</w:t>
      </w:r>
      <w:r w:rsidRPr="00E30B67">
        <w:t>)</w:t>
      </w:r>
      <w:r w:rsidRPr="00E30B67">
        <w:t>的情况下，可予以刑后预防性拘留，哪怕这种拘留并不属于原先判决的内容</w:t>
      </w:r>
      <w:r w:rsidRPr="00E30B67">
        <w:t xml:space="preserve"> (</w:t>
      </w:r>
      <w:r w:rsidRPr="00E30B67">
        <w:t>第九、第十四和第十五条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缔约国应考虑到根据《公约》第九、第十四和第十五条承担的义务，重新审议将具有</w:t>
      </w:r>
      <w:r w:rsidRPr="00041D50">
        <w:rPr>
          <w:rFonts w:ascii="黑体" w:eastAsia="黑体"/>
        </w:rPr>
        <w:t>“</w:t>
      </w:r>
      <w:r w:rsidRPr="00041D50">
        <w:rPr>
          <w:rFonts w:ascii="黑体" w:eastAsia="黑体"/>
        </w:rPr>
        <w:t>危险性</w:t>
      </w:r>
      <w:r w:rsidRPr="00041D50">
        <w:rPr>
          <w:rFonts w:ascii="黑体" w:eastAsia="黑体"/>
        </w:rPr>
        <w:t>”</w:t>
      </w:r>
      <w:r w:rsidRPr="00041D50">
        <w:rPr>
          <w:rFonts w:ascii="黑体" w:eastAsia="黑体"/>
        </w:rPr>
        <w:t>的受刑事处罚人员在服满刑期后予以刑后预防性拘留的做法。</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监控活动</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12.</w:t>
      </w:r>
      <w:r w:rsidRPr="00E30B67">
        <w:tab/>
      </w:r>
      <w:r w:rsidRPr="00E30B67">
        <w:t>委员会感到关切的是，情报部门得到授权，可对法国境内和境外均实施数字监控。委员会尤为关切的是，</w:t>
      </w:r>
      <w:r w:rsidRPr="00E30B67">
        <w:t>2015</w:t>
      </w:r>
      <w:r w:rsidRPr="00E30B67">
        <w:t>年</w:t>
      </w:r>
      <w:r w:rsidRPr="00E30B67">
        <w:t>6</w:t>
      </w:r>
      <w:r w:rsidRPr="00E30B67">
        <w:t>月</w:t>
      </w:r>
      <w:r w:rsidRPr="00E30B67">
        <w:t>24</w:t>
      </w:r>
      <w:r w:rsidRPr="00E30B67">
        <w:t>日通过的情报法</w:t>
      </w:r>
      <w:r w:rsidRPr="00E30B67">
        <w:t>(</w:t>
      </w:r>
      <w:r w:rsidRPr="00E30B67">
        <w:t>已提交宪法法院</w:t>
      </w:r>
      <w:r w:rsidRPr="00E30B67">
        <w:t>)</w:t>
      </w:r>
      <w:r w:rsidRPr="00E30B67">
        <w:t>以泛泛且定义不充分的目标为由，向情报机构授予了范围广、侵入性强的过大监控权，且不用经过法官的事先授权，也没有充分和独立的监督机制</w:t>
      </w:r>
      <w:r w:rsidRPr="00E30B67">
        <w:t xml:space="preserve"> (</w:t>
      </w:r>
      <w:r w:rsidRPr="00E30B67">
        <w:t>第十七条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缔约国应采取一切必要步骤，保证其境内境外的监控活动符合其根据《公约》特别是第十七条承担的义务。具体而言，应采取措施，保证任何对个人私生活的介入均符合合法性、相称性和必要性的原则。缔约国应确保依照明确、合法的目标收集和使用通信数据，并详细说明可授权采取这种介入手段的具体情况以及可能受监控的人员的种类。缔约国还应确保对监控活动的监督制度有效且独立，特别是规定司法机关参与监控措施的授权和监督工作。</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对罗姆移民的歧视</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13.</w:t>
      </w:r>
      <w:r w:rsidRPr="00E30B67">
        <w:tab/>
      </w:r>
      <w:r w:rsidRPr="00E30B67">
        <w:t>委员会对罗姆移民面临拒绝、排斥和暴力感到关切。委员会尤为关切的是，罗姆移民在获得医疗、社会福利、教育和住房方面受到歧视，且加重这种状况的是，当局会强行将罗姆移民从定居点迁出，且往往没有重新安置解决方案和足够的后续行动</w:t>
      </w:r>
      <w:r w:rsidRPr="00E30B67">
        <w:t xml:space="preserve"> (</w:t>
      </w:r>
      <w:r w:rsidRPr="00E30B67">
        <w:t>第十二、第十七和第二十六条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缔约国应强化有关措施，确保罗姆移民在获得医疗、社会福利、教育和住房方面不受歧视。缔约国还应停止强行将罗姆人从定居点迁出，应先按照2012年8月26日的通告，保证有替代方案以及得当的长期重新安置办法。此外，缔约国应采取步骤，遏止针对罗姆人的种族主义及歧视性行为和话语的抬头。</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游居者</w:t>
      </w:r>
    </w:p>
    <w:p w:rsidR="00041D50" w:rsidRPr="00041D50" w:rsidRDefault="00041D50" w:rsidP="00041D50">
      <w:pPr>
        <w:pStyle w:val="SingleTxt"/>
        <w:spacing w:after="0" w:line="120" w:lineRule="exact"/>
        <w:rPr>
          <w:rFonts w:asciiTheme="minorEastAsia" w:eastAsiaTheme="minorEastAsia" w:hAnsiTheme="minorEastAsia" w:cstheme="majorBidi"/>
          <w:sz w:val="10"/>
          <w:szCs w:val="21"/>
        </w:rPr>
      </w:pPr>
    </w:p>
    <w:p w:rsidR="00041D50" w:rsidRPr="00041D50" w:rsidRDefault="00041D50" w:rsidP="00041D50">
      <w:pPr>
        <w:pStyle w:val="SingleTxt"/>
        <w:spacing w:after="0" w:line="120" w:lineRule="exact"/>
        <w:rPr>
          <w:rFonts w:asciiTheme="minorEastAsia" w:eastAsiaTheme="minorEastAsia" w:hAnsiTheme="minorEastAsia" w:cstheme="majorBidi"/>
          <w:sz w:val="10"/>
          <w:szCs w:val="21"/>
        </w:rPr>
      </w:pPr>
    </w:p>
    <w:p w:rsidR="00E30B67" w:rsidRPr="00E30B67" w:rsidRDefault="00E30B67" w:rsidP="00041D50">
      <w:pPr>
        <w:pStyle w:val="SingleTxt"/>
      </w:pPr>
      <w:r w:rsidRPr="00E30B67">
        <w:t>14.</w:t>
      </w:r>
      <w:r w:rsidRPr="00E30B67">
        <w:tab/>
      </w:r>
      <w:r w:rsidRPr="00E30B67">
        <w:t>委员会对国民议会通过了废除</w:t>
      </w:r>
      <w:r w:rsidRPr="00E30B67">
        <w:t>1969</w:t>
      </w:r>
      <w:r w:rsidRPr="00E30B67">
        <w:t>年法的法案表示欢迎，该法规定游居者必须持有许可证</w:t>
      </w:r>
      <w:r w:rsidRPr="00E30B67">
        <w:t>(</w:t>
      </w:r>
      <w:r w:rsidRPr="00E30B67">
        <w:t>旅行证</w:t>
      </w:r>
      <w:r w:rsidRPr="00E30B67">
        <w:t>)</w:t>
      </w:r>
      <w:r w:rsidRPr="00E30B67">
        <w:t>，委员会认为这一规定违反了《公约》第十二条</w:t>
      </w:r>
      <w:r w:rsidRPr="00E30B67">
        <w:t>(</w:t>
      </w:r>
      <w:r w:rsidRPr="00E30B67">
        <w:t>奥里诉法国，第</w:t>
      </w:r>
      <w:r w:rsidRPr="00E30B67">
        <w:t>1960/2010</w:t>
      </w:r>
      <w:r w:rsidRPr="00E30B67">
        <w:t>号来文</w:t>
      </w:r>
      <w:r w:rsidRPr="00E30B67">
        <w:t>)</w:t>
      </w:r>
      <w:r w:rsidRPr="00E30B67">
        <w:t>。但委员会仍感关切的是，向游居者提供的接待区数量不足，而游居者若非法占有土地则会被强行迁出。委员会还对游居者行使表决权及其子女行使受教育权的实际障碍感到关切</w:t>
      </w:r>
      <w:r w:rsidRPr="00E30B67">
        <w:t xml:space="preserve"> (</w:t>
      </w:r>
      <w:r w:rsidRPr="00E30B67">
        <w:t>第七、第十二、第二十五和第二十六条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lastRenderedPageBreak/>
        <w:t>缔约国应废除1969年法，并废止许可证制度、确保实现接待区法(贝松法)设定的目标，并停止强迁，直到能够提供足够数量的接待区。缔约国还应确保游居者充分且不受歧视地享有与所有法国公民相同的权利，特别是表决权和受教育权。</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执法人员过度使用武力</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041D50">
      <w:pPr>
        <w:pStyle w:val="SingleTxt"/>
      </w:pPr>
      <w:r w:rsidRPr="00E30B67">
        <w:t>15.</w:t>
      </w:r>
      <w:r w:rsidRPr="00E30B67">
        <w:tab/>
      </w:r>
      <w:r w:rsidRPr="00E30B67">
        <w:t>委员会感到关切的是，有指控称，存在虐待、过度使用武力和过度使用非致命武器的现象，尤其是在逮捕、强迁和执法行动期间。委员会还感到关切的是，种族貌相的做法仍在继续，且有指控称，在加来有警察骚扰、言语侵害移民和寻求庇护者并对他们滥用职权的现象</w:t>
      </w:r>
      <w:r w:rsidRPr="00E30B67">
        <w:t xml:space="preserve"> (</w:t>
      </w:r>
      <w:r w:rsidRPr="00E30B67">
        <w:t>第二和第七条</w:t>
      </w:r>
      <w:r w:rsidRPr="00E30B67">
        <w:t>)</w:t>
      </w:r>
      <w:r w:rsidRPr="00E30B67">
        <w:t>。</w:t>
      </w:r>
    </w:p>
    <w:p w:rsidR="00E30B67" w:rsidRPr="00041D50" w:rsidRDefault="00E30B67" w:rsidP="00041D50">
      <w:pPr>
        <w:pStyle w:val="SingleTxt"/>
        <w:rPr>
          <w:rFonts w:ascii="黑体" w:eastAsia="黑体"/>
        </w:rPr>
      </w:pPr>
      <w:r w:rsidRPr="00041D50">
        <w:rPr>
          <w:rFonts w:ascii="黑体" w:eastAsia="黑体"/>
        </w:rPr>
        <w:t>缔约国应采取有效措施，特别是在培训方面采取有效措施，防止执法人员和安全部队在无需使用更大武力或致命武力的情形下过度使用武力或非致命武器。就此，委员会提请缔约国注意联合国《执法人员使用武力和火器的基本原则》。缔约国还应确保彻底调查种族貌相、虐待和过度使用武力的指控、起诉责任人，并在判决有罪的情况处以与罪行严重程度相称的惩罚，还应确保向受害者予以充分赔偿。</w:t>
      </w: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041D50" w:rsidRPr="00041D50" w:rsidRDefault="00041D50"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041D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在中非共和国的性虐待</w:t>
      </w:r>
    </w:p>
    <w:p w:rsidR="00041D50" w:rsidRPr="00041D50" w:rsidRDefault="00041D50" w:rsidP="00041D50">
      <w:pPr>
        <w:pStyle w:val="SingleTxt"/>
        <w:spacing w:after="0" w:line="120" w:lineRule="exact"/>
        <w:rPr>
          <w:sz w:val="10"/>
        </w:rPr>
      </w:pPr>
    </w:p>
    <w:p w:rsidR="00041D50" w:rsidRPr="00041D50" w:rsidRDefault="00041D50" w:rsidP="00041D50">
      <w:pPr>
        <w:pStyle w:val="SingleTxt"/>
        <w:spacing w:after="0" w:line="120" w:lineRule="exact"/>
        <w:rPr>
          <w:sz w:val="10"/>
        </w:rPr>
      </w:pPr>
    </w:p>
    <w:p w:rsidR="00E30B67" w:rsidRPr="00E30B67" w:rsidRDefault="00E30B67" w:rsidP="00B40BBF">
      <w:pPr>
        <w:pStyle w:val="SingleTxt"/>
      </w:pPr>
      <w:r w:rsidRPr="00E30B67">
        <w:t>16.</w:t>
      </w:r>
      <w:r w:rsidRPr="00E30B67">
        <w:tab/>
      </w:r>
      <w:r w:rsidRPr="00E30B67">
        <w:t>委员会感到关切的是，有指控称，在</w:t>
      </w:r>
      <w:r w:rsidRPr="00E30B67">
        <w:t>2013</w:t>
      </w:r>
      <w:r w:rsidRPr="00E30B67">
        <w:t>年和</w:t>
      </w:r>
      <w:r w:rsidRPr="00E30B67">
        <w:t>2014</w:t>
      </w:r>
      <w:r w:rsidRPr="00E30B67">
        <w:t>年</w:t>
      </w:r>
      <w:r w:rsidRPr="00E30B67">
        <w:t>“</w:t>
      </w:r>
      <w:r w:rsidRPr="00E30B67">
        <w:t>红蝴蝶</w:t>
      </w:r>
      <w:r w:rsidRPr="00E30B67">
        <w:t>”</w:t>
      </w:r>
      <w:r w:rsidRPr="00E30B67">
        <w:t>行动期间，若干法国士兵据报告犯下了性虐待儿童的行为。委员会感到遗憾的是，关于缔约国获悉这些指控后所采取步骤的资料极少</w:t>
      </w:r>
      <w:r w:rsidRPr="00E30B67">
        <w:t xml:space="preserve"> (</w:t>
      </w:r>
      <w:r w:rsidRPr="00E30B67">
        <w:t>第二、第七和第二十四条</w:t>
      </w:r>
      <w:r w:rsidRPr="00E30B67">
        <w:t>)</w:t>
      </w:r>
      <w:r w:rsidRPr="00E30B67">
        <w:t>。</w:t>
      </w:r>
    </w:p>
    <w:p w:rsidR="00E30B67" w:rsidRPr="00B40BBF" w:rsidRDefault="00E30B67" w:rsidP="00B40BBF">
      <w:pPr>
        <w:pStyle w:val="SingleTxt"/>
        <w:rPr>
          <w:rFonts w:ascii="黑体" w:eastAsia="黑体"/>
        </w:rPr>
      </w:pPr>
      <w:r w:rsidRPr="00B40BBF">
        <w:rPr>
          <w:rFonts w:ascii="黑体" w:eastAsia="黑体"/>
        </w:rPr>
        <w:t>缔约国应确保尽快有效调查法国士兵在中非共和国对儿童犯下性虐待的指控，并将责任人绳之以法。</w:t>
      </w: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监狱过度拥挤</w:t>
      </w:r>
    </w:p>
    <w:p w:rsidR="00B40BBF" w:rsidRPr="00B40BBF" w:rsidRDefault="00B40BBF" w:rsidP="00B40BBF">
      <w:pPr>
        <w:pStyle w:val="SingleTxt"/>
        <w:spacing w:after="0" w:line="120" w:lineRule="exact"/>
        <w:rPr>
          <w:sz w:val="10"/>
        </w:rPr>
      </w:pPr>
    </w:p>
    <w:p w:rsidR="00B40BBF" w:rsidRPr="00B40BBF" w:rsidRDefault="00B40BBF" w:rsidP="00B40BBF">
      <w:pPr>
        <w:pStyle w:val="SingleTxt"/>
        <w:spacing w:after="0" w:line="120" w:lineRule="exact"/>
        <w:rPr>
          <w:sz w:val="10"/>
        </w:rPr>
      </w:pPr>
    </w:p>
    <w:p w:rsidR="00E30B67" w:rsidRPr="00E30B67" w:rsidRDefault="00E30B67" w:rsidP="00B40BBF">
      <w:pPr>
        <w:pStyle w:val="SingleTxt"/>
      </w:pPr>
      <w:r w:rsidRPr="00E30B67">
        <w:t>17.</w:t>
      </w:r>
      <w:r w:rsidRPr="00E30B67">
        <w:tab/>
      </w:r>
      <w:r w:rsidRPr="00E30B67">
        <w:t>委员会称赞缔约国努力将监狱现代化、通过</w:t>
      </w:r>
      <w:r w:rsidRPr="00E30B67">
        <w:t>2014</w:t>
      </w:r>
      <w:r w:rsidRPr="00E30B67">
        <w:t>年</w:t>
      </w:r>
      <w:r w:rsidRPr="00E30B67">
        <w:t>8</w:t>
      </w:r>
      <w:r w:rsidRPr="00E30B67">
        <w:t>月</w:t>
      </w:r>
      <w:r w:rsidRPr="00E30B67">
        <w:t>15</w:t>
      </w:r>
      <w:r w:rsidRPr="00E30B67">
        <w:t>日关于量刑个别化和强化刑罚的法律，以及更多地使用经过调整的刑罚。但委员会仍感关切的是，监狱过度拥挤现象持续存在，且对经过调整的刑罚使用不足，尤其是在海外属地</w:t>
      </w:r>
      <w:r w:rsidRPr="00E30B67">
        <w:t xml:space="preserve"> (</w:t>
      </w:r>
      <w:r w:rsidRPr="00E30B67">
        <w:t>第十条</w:t>
      </w:r>
      <w:r w:rsidRPr="00E30B67">
        <w:t>)</w:t>
      </w:r>
      <w:r w:rsidRPr="00E30B67">
        <w:t>。</w:t>
      </w:r>
    </w:p>
    <w:p w:rsidR="00E30B67" w:rsidRPr="00B40BBF" w:rsidRDefault="00E30B67" w:rsidP="00B40BBF">
      <w:pPr>
        <w:pStyle w:val="SingleTxt"/>
        <w:rPr>
          <w:rFonts w:ascii="黑体" w:eastAsia="黑体"/>
        </w:rPr>
      </w:pPr>
      <w:r w:rsidRPr="00B40BBF">
        <w:rPr>
          <w:rFonts w:ascii="黑体" w:eastAsia="黑体"/>
        </w:rPr>
        <w:t>缔约国应继续努力，更多地使用经过调整的刑罚，以缓解监狱过度拥挤的现象，特别是在海外属地。</w:t>
      </w: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移民和寻求庇护者</w:t>
      </w:r>
    </w:p>
    <w:p w:rsidR="00B40BBF" w:rsidRPr="00B40BBF" w:rsidRDefault="00B40BBF" w:rsidP="00B40BBF">
      <w:pPr>
        <w:pStyle w:val="SingleTxt"/>
        <w:spacing w:after="0" w:line="120" w:lineRule="exact"/>
        <w:rPr>
          <w:sz w:val="10"/>
        </w:rPr>
      </w:pPr>
    </w:p>
    <w:p w:rsidR="00B40BBF" w:rsidRPr="00B40BBF" w:rsidRDefault="00B40BBF" w:rsidP="00B40BBF">
      <w:pPr>
        <w:pStyle w:val="SingleTxt"/>
        <w:spacing w:after="0" w:line="120" w:lineRule="exact"/>
        <w:rPr>
          <w:sz w:val="10"/>
        </w:rPr>
      </w:pPr>
    </w:p>
    <w:p w:rsidR="00E30B67" w:rsidRPr="00E30B67" w:rsidRDefault="00E30B67" w:rsidP="00B40BBF">
      <w:pPr>
        <w:pStyle w:val="SingleTxt"/>
      </w:pPr>
      <w:r w:rsidRPr="00E30B67">
        <w:t>18.</w:t>
      </w:r>
      <w:r w:rsidRPr="00E30B67">
        <w:tab/>
      </w:r>
      <w:r w:rsidRPr="00E30B67">
        <w:t>委员会感到关切的是，一些庇护申请，特别是来自所谓安全原籍国的人员提交的庇护申请，会自动进入快速处理程序。委员会感到关切的是，这一程序剥夺了申请人在申请被法国难民与无国籍人保护局初次驳回时提起暂不驱逐的上诉的权利，且提供的程序性保障较少，因而导致申请人有被驱回的危险。委员会对庇护制度改</w:t>
      </w:r>
      <w:r w:rsidRPr="00E30B67">
        <w:lastRenderedPageBreak/>
        <w:t>革法案规定所有寻求庇护者都能使用暂不驱逐的上诉表示欢迎，但感到关切的是，仍然会存在例外情况，例如海外属地的寻求庇护者</w:t>
      </w:r>
      <w:r w:rsidRPr="00E30B67">
        <w:t xml:space="preserve"> (</w:t>
      </w:r>
      <w:r w:rsidRPr="00E30B67">
        <w:t>第二、第六和第七条</w:t>
      </w:r>
      <w:r w:rsidRPr="00E30B67">
        <w:t>)</w:t>
      </w:r>
      <w:r w:rsidRPr="00E30B67">
        <w:t>。</w:t>
      </w:r>
    </w:p>
    <w:p w:rsidR="00E30B67" w:rsidRPr="00B40BBF" w:rsidRDefault="00E30B67" w:rsidP="00B40BBF">
      <w:pPr>
        <w:pStyle w:val="SingleTxt"/>
        <w:rPr>
          <w:rFonts w:ascii="黑体" w:eastAsia="黑体"/>
        </w:rPr>
      </w:pPr>
      <w:r w:rsidRPr="00B40BBF">
        <w:rPr>
          <w:rFonts w:ascii="黑体" w:eastAsia="黑体"/>
        </w:rPr>
        <w:t>缔约国应确保根据对每名申诉人情况的单独评估来选择对哪些申请予以快速通道处理。缔约国应采取必要步骤，确保在实践中所有寻求庇护者和移民都享有提出充分有效的暂不驱逐的上诉的平等权利，具体而言，应确保在法国本土和海外属地的行政拘留中心和滞留区内，人们可以获得专业的口译服务和法律援助。</w:t>
      </w:r>
    </w:p>
    <w:p w:rsidR="00E30B67" w:rsidRPr="00E30B67" w:rsidRDefault="00E30B67" w:rsidP="00B40BBF">
      <w:pPr>
        <w:pStyle w:val="SingleTxt"/>
      </w:pPr>
      <w:r w:rsidRPr="00E30B67">
        <w:t>19.</w:t>
      </w:r>
      <w:r w:rsidRPr="00E30B67">
        <w:tab/>
      </w:r>
      <w:r w:rsidRPr="00E30B67">
        <w:t>委员会对以下问题感到关切：</w:t>
      </w:r>
      <w:r w:rsidRPr="00E30B67">
        <w:t xml:space="preserve">(a) </w:t>
      </w:r>
      <w:r w:rsidRPr="00E30B67">
        <w:t>在马约特的外国人和寻求庇护者的境况尤为令人担忧，其中许多是无人陪伴的未成年人；</w:t>
      </w:r>
      <w:r w:rsidRPr="00E30B67">
        <w:t xml:space="preserve">(b) </w:t>
      </w:r>
      <w:r w:rsidRPr="00E30B67">
        <w:t>马约特大区通过一套对《外国人入境居留和庇护权法》的克减制度，推行了限制性过强的庇护和拘留申请规则和程序；</w:t>
      </w:r>
      <w:r w:rsidRPr="00E30B67">
        <w:t xml:space="preserve">(c) </w:t>
      </w:r>
      <w:r w:rsidRPr="00E30B67">
        <w:t>有报告称，在马约特，有时会将无人陪伴的未成年人与素不相识的成年人搭配，以予以驱逐；</w:t>
      </w:r>
      <w:r w:rsidRPr="00E30B67">
        <w:t xml:space="preserve">(d) </w:t>
      </w:r>
      <w:r w:rsidRPr="00E30B67">
        <w:t>无人陪伴的未成年人仍可被扣留在滞留区最多</w:t>
      </w:r>
      <w:r w:rsidRPr="00E30B67">
        <w:t>20</w:t>
      </w:r>
      <w:r w:rsidRPr="00E30B67">
        <w:t>天；</w:t>
      </w:r>
      <w:r w:rsidRPr="00E30B67">
        <w:t xml:space="preserve">(e) </w:t>
      </w:r>
      <w:r w:rsidRPr="00E30B67">
        <w:t>无人陪伴的未成年人常常被与父母一起扣留在行政拘留中心和设施内；</w:t>
      </w:r>
      <w:r w:rsidRPr="00E30B67">
        <w:t xml:space="preserve">(f) </w:t>
      </w:r>
      <w:r w:rsidRPr="00E30B67">
        <w:t>拘留裁决法官介入过晚，使大多数被拘留的外国人没有机会让法官复核拘留是否合法、扣押在滞留区是否合法，或者拘留条件是否合法</w:t>
      </w:r>
      <w:r w:rsidRPr="00E30B67">
        <w:t xml:space="preserve"> (</w:t>
      </w:r>
      <w:r w:rsidRPr="00E30B67">
        <w:t>第七、第九、第十和第十三条</w:t>
      </w:r>
      <w:r w:rsidRPr="00E30B67">
        <w:t>)</w:t>
      </w:r>
      <w:r w:rsidRPr="00E30B67">
        <w:t>。</w:t>
      </w:r>
    </w:p>
    <w:p w:rsidR="00E30B67" w:rsidRPr="00B40BBF" w:rsidRDefault="00E30B67" w:rsidP="00B40BBF">
      <w:pPr>
        <w:pStyle w:val="SingleTxt"/>
        <w:rPr>
          <w:rFonts w:ascii="黑体" w:eastAsia="黑体"/>
        </w:rPr>
      </w:pPr>
      <w:r w:rsidRPr="00B40BBF">
        <w:rPr>
          <w:rFonts w:ascii="黑体" w:eastAsia="黑体"/>
        </w:rPr>
        <w:t>缔约国应：(a) 审查在马约特大区适用的克减制度，确保外国人和寻求庇护者得到与在法国本土相同的保障；(b) 禁止在过境区以及法国本土和海外属地的所有行政拘留中心剥夺未成年人的自由；(c) 确保无人陪伴的外籍未成年人得到法律保护以及儿童福利机构的支助；(d) 确保在执行任何驱逐或遣返措施之前，由普通法院复核案件。</w:t>
      </w: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残疾人的尊严和完整</w:t>
      </w:r>
    </w:p>
    <w:p w:rsidR="00B40BBF" w:rsidRPr="00B40BBF" w:rsidRDefault="00B40BBF" w:rsidP="00B40BBF">
      <w:pPr>
        <w:pStyle w:val="SingleTxt"/>
        <w:spacing w:after="0" w:line="120" w:lineRule="exact"/>
        <w:rPr>
          <w:sz w:val="10"/>
        </w:rPr>
      </w:pPr>
    </w:p>
    <w:p w:rsidR="00B40BBF" w:rsidRPr="00B40BBF" w:rsidRDefault="00B40BBF" w:rsidP="00B40BBF">
      <w:pPr>
        <w:pStyle w:val="SingleTxt"/>
        <w:spacing w:after="0" w:line="120" w:lineRule="exact"/>
        <w:rPr>
          <w:sz w:val="10"/>
        </w:rPr>
      </w:pPr>
    </w:p>
    <w:p w:rsidR="00E30B67" w:rsidRPr="00E30B67" w:rsidRDefault="00E30B67" w:rsidP="00B40BBF">
      <w:pPr>
        <w:pStyle w:val="SingleTxt"/>
      </w:pPr>
      <w:r w:rsidRPr="00E30B67">
        <w:t>20.</w:t>
      </w:r>
      <w:r w:rsidRPr="00E30B67">
        <w:tab/>
      </w:r>
      <w:r w:rsidRPr="00E30B67">
        <w:t>委员会感到关切的是，有报告称，在缔约国和某邻国的疗养机构中生活的残疾人的尊严和身心完整受到了侵犯。委员会还感到关切的是，缔约国仍在出于实验目的使用</w:t>
      </w:r>
      <w:r w:rsidRPr="00E30B67">
        <w:t>“</w:t>
      </w:r>
      <w:r w:rsidRPr="00E30B67">
        <w:t>包裹法</w:t>
      </w:r>
      <w:r w:rsidRPr="00E30B67">
        <w:t>”</w:t>
      </w:r>
      <w:r w:rsidRPr="00E30B67">
        <w:t>，即用极冷的湿布包裹自闭症儿童和患有精神疾病的成年人</w:t>
      </w:r>
      <w:r w:rsidRPr="00E30B67">
        <w:t xml:space="preserve"> (</w:t>
      </w:r>
      <w:r w:rsidRPr="00E30B67">
        <w:t>第七、第十六和第二十六条</w:t>
      </w:r>
      <w:r w:rsidRPr="00E30B67">
        <w:t>)</w:t>
      </w:r>
      <w:r w:rsidRPr="00E30B67">
        <w:t>。</w:t>
      </w:r>
    </w:p>
    <w:p w:rsidR="00E30B67" w:rsidRPr="00B40BBF" w:rsidRDefault="00E30B67" w:rsidP="00B40BBF">
      <w:pPr>
        <w:pStyle w:val="SingleTxt"/>
        <w:rPr>
          <w:rFonts w:ascii="黑体" w:eastAsia="黑体"/>
        </w:rPr>
      </w:pPr>
      <w:r w:rsidRPr="00B40BBF">
        <w:rPr>
          <w:rFonts w:ascii="黑体" w:eastAsia="黑体"/>
        </w:rPr>
        <w:t>缔约国应保障体面的生活条件并维护在疗养院中生活的残疾人的身心完整。缔约国还应确保对所有残忍、不人道或有辱人格的待遇予以调查，并判决责任人有罪或予以惩罚。</w:t>
      </w:r>
    </w:p>
    <w:p w:rsidR="00B40BBF" w:rsidRPr="00B40BBF" w:rsidRDefault="00B40BBF" w:rsidP="00B40BBF">
      <w:pPr>
        <w:pStyle w:val="SingleTxt"/>
        <w:spacing w:after="0" w:line="120" w:lineRule="exact"/>
        <w:rPr>
          <w:sz w:val="10"/>
        </w:rPr>
      </w:pP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对法国核试验受害者的赔偿</w:t>
      </w:r>
    </w:p>
    <w:p w:rsidR="00B40BBF" w:rsidRPr="00B40BBF" w:rsidRDefault="00B40BBF" w:rsidP="00B40BBF">
      <w:pPr>
        <w:pStyle w:val="SingleTxt"/>
        <w:spacing w:after="0" w:line="120" w:lineRule="exact"/>
        <w:rPr>
          <w:sz w:val="10"/>
        </w:rPr>
      </w:pPr>
    </w:p>
    <w:p w:rsidR="00B40BBF" w:rsidRPr="00B40BBF" w:rsidRDefault="00B40BBF" w:rsidP="00B40BBF">
      <w:pPr>
        <w:pStyle w:val="SingleTxt"/>
        <w:spacing w:after="0" w:line="120" w:lineRule="exact"/>
        <w:rPr>
          <w:sz w:val="10"/>
        </w:rPr>
      </w:pPr>
    </w:p>
    <w:p w:rsidR="00E30B67" w:rsidRPr="00E30B67" w:rsidRDefault="00E30B67" w:rsidP="00B40BBF">
      <w:pPr>
        <w:pStyle w:val="SingleTxt"/>
      </w:pPr>
      <w:r w:rsidRPr="00E30B67">
        <w:t>21.</w:t>
      </w:r>
      <w:r w:rsidRPr="00E30B67">
        <w:tab/>
      </w:r>
      <w:r w:rsidRPr="00E30B67">
        <w:t>委员会感到关切的是，</w:t>
      </w:r>
      <w:r w:rsidRPr="00E30B67">
        <w:t>2015</w:t>
      </w:r>
      <w:r w:rsidRPr="00E30B67">
        <w:t>年</w:t>
      </w:r>
      <w:r w:rsidRPr="00E30B67">
        <w:t>3</w:t>
      </w:r>
      <w:r w:rsidRPr="00E30B67">
        <w:t>月</w:t>
      </w:r>
      <w:r w:rsidRPr="00E30B67">
        <w:t>1</w:t>
      </w:r>
      <w:r w:rsidRPr="00E30B67">
        <w:t>日，核试验受害者赔偿委员会驳回了</w:t>
      </w:r>
      <w:r w:rsidRPr="00E30B67">
        <w:t>98.3%</w:t>
      </w:r>
      <w:r w:rsidRPr="00E30B67">
        <w:t>的索赔申请</w:t>
      </w:r>
      <w:r w:rsidRPr="00E30B67">
        <w:t xml:space="preserve"> (</w:t>
      </w:r>
      <w:r w:rsidRPr="00E30B67">
        <w:t>第二和第六条</w:t>
      </w:r>
      <w:r w:rsidRPr="00E30B67">
        <w:t>)</w:t>
      </w:r>
      <w:r w:rsidRPr="00E30B67">
        <w:t>。</w:t>
      </w:r>
    </w:p>
    <w:p w:rsidR="00E30B67" w:rsidRPr="008F00C0" w:rsidRDefault="00E30B67" w:rsidP="00B40BBF">
      <w:pPr>
        <w:pStyle w:val="SingleTxt"/>
        <w:rPr>
          <w:rFonts w:ascii="黑体" w:eastAsia="黑体"/>
        </w:rPr>
      </w:pPr>
      <w:r w:rsidRPr="008F00C0">
        <w:rPr>
          <w:rFonts w:ascii="黑体" w:eastAsia="黑体"/>
        </w:rPr>
        <w:t>缔约国应采取一切必要步骤，确保有效承认和赔偿法国核试验的所有受害者，包括当地民众。</w:t>
      </w:r>
    </w:p>
    <w:p w:rsidR="00B40BBF" w:rsidRDefault="00B40BBF">
      <w:pPr>
        <w:spacing w:line="240" w:lineRule="auto"/>
        <w:jc w:val="left"/>
        <w:rPr>
          <w:rFonts w:ascii="黑体" w:eastAsia="黑体"/>
          <w:spacing w:val="2"/>
          <w:sz w:val="10"/>
        </w:rPr>
      </w:pPr>
      <w:r>
        <w:rPr>
          <w:sz w:val="10"/>
        </w:rPr>
        <w:br w:type="page"/>
      </w:r>
    </w:p>
    <w:p w:rsidR="00E30B67" w:rsidRPr="00E30B67" w:rsidRDefault="00E30B67"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lastRenderedPageBreak/>
        <w:tab/>
      </w:r>
      <w:r w:rsidRPr="00E30B67">
        <w:tab/>
        <w:t>良心和宗教自由</w:t>
      </w:r>
    </w:p>
    <w:p w:rsidR="00B40BBF" w:rsidRPr="00B40BBF" w:rsidRDefault="00B40BBF" w:rsidP="00B40BBF">
      <w:pPr>
        <w:pStyle w:val="SingleTxt"/>
        <w:spacing w:after="0" w:line="120" w:lineRule="exact"/>
        <w:rPr>
          <w:sz w:val="10"/>
        </w:rPr>
      </w:pPr>
    </w:p>
    <w:p w:rsidR="00B40BBF" w:rsidRPr="00B40BBF" w:rsidRDefault="00B40BBF" w:rsidP="00B40BBF">
      <w:pPr>
        <w:pStyle w:val="SingleTxt"/>
        <w:spacing w:after="0" w:line="120" w:lineRule="exact"/>
        <w:rPr>
          <w:sz w:val="10"/>
        </w:rPr>
      </w:pPr>
    </w:p>
    <w:p w:rsidR="00E30B67" w:rsidRPr="00E30B67" w:rsidRDefault="00E30B67" w:rsidP="00B40BBF">
      <w:pPr>
        <w:pStyle w:val="SingleTxt"/>
      </w:pPr>
      <w:r w:rsidRPr="00E30B67">
        <w:t>22.</w:t>
      </w:r>
      <w:r w:rsidRPr="00E30B67">
        <w:tab/>
      </w:r>
      <w:r w:rsidRPr="00E30B67">
        <w:t>委员会感到关切的是，缔约国对在公立学校佩戴被视为</w:t>
      </w:r>
      <w:r w:rsidRPr="00E30B67">
        <w:t>“</w:t>
      </w:r>
      <w:r w:rsidRPr="00E30B67">
        <w:t>显眼的</w:t>
      </w:r>
      <w:r w:rsidRPr="00E30B67">
        <w:t>”</w:t>
      </w:r>
      <w:r w:rsidRPr="00E30B67">
        <w:t>宗教符号有管理规定</w:t>
      </w:r>
      <w:r w:rsidRPr="00E30B67">
        <w:t>(</w:t>
      </w:r>
      <w:r w:rsidRPr="00E30B67">
        <w:t>第</w:t>
      </w:r>
      <w:r w:rsidRPr="00E30B67">
        <w:t>2004-228</w:t>
      </w:r>
      <w:r w:rsidRPr="00E30B67">
        <w:t>号法</w:t>
      </w:r>
      <w:r w:rsidRPr="00E30B67">
        <w:t>)</w:t>
      </w:r>
      <w:r w:rsidRPr="00E30B67">
        <w:t>，且禁止在公共场所蒙面</w:t>
      </w:r>
      <w:r w:rsidRPr="00E30B67">
        <w:t>(</w:t>
      </w:r>
      <w:r w:rsidRPr="00E30B67">
        <w:t>第</w:t>
      </w:r>
      <w:r w:rsidRPr="00E30B67">
        <w:t>2010-1192</w:t>
      </w:r>
      <w:r w:rsidRPr="00E30B67">
        <w:t>号法</w:t>
      </w:r>
      <w:r w:rsidRPr="00E30B67">
        <w:t>)</w:t>
      </w:r>
      <w:r w:rsidRPr="00E30B67">
        <w:t>。委员会认为，这些法律侵犯了表达自身宗教或信仰的自由，且对特定宗教的成员和女童有过多影响。委员会还感到关切的是，这些法律会使特定团体产生被排斥和边缘化的感觉，可能有悖于其初衷</w:t>
      </w:r>
      <w:r w:rsidRPr="00E30B67">
        <w:t xml:space="preserve"> (</w:t>
      </w:r>
      <w:r w:rsidRPr="00E30B67">
        <w:t>第十八和第二十六条</w:t>
      </w:r>
      <w:r w:rsidRPr="00E30B67">
        <w:t>)</w:t>
      </w:r>
      <w:r w:rsidRPr="00E30B67">
        <w:t>。</w:t>
      </w:r>
    </w:p>
    <w:p w:rsidR="00E30B67" w:rsidRPr="00B40BBF" w:rsidRDefault="00E30B67" w:rsidP="00B40BBF">
      <w:pPr>
        <w:pStyle w:val="SingleTxt"/>
        <w:rPr>
          <w:rFonts w:ascii="黑体" w:eastAsia="黑体"/>
        </w:rPr>
      </w:pPr>
      <w:r w:rsidRPr="00B40BBF">
        <w:rPr>
          <w:rFonts w:ascii="黑体" w:eastAsia="黑体"/>
        </w:rPr>
        <w:t>缔约国应考虑到根据《公约》承担的义务，特别是关于良心和宗教自由的第十八条以及第二十六条所载的平等原则，审议2004年3月15日第2004-228号法和2010年10月11月第2010-1192号法。</w:t>
      </w: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种族主义、反犹太主义和仇视伊斯兰现象</w:t>
      </w:r>
    </w:p>
    <w:p w:rsidR="00B40BBF" w:rsidRPr="00B40BBF" w:rsidRDefault="00B40BBF" w:rsidP="00B40BBF">
      <w:pPr>
        <w:pStyle w:val="SingleTxt"/>
        <w:spacing w:after="0" w:line="120" w:lineRule="exact"/>
        <w:rPr>
          <w:sz w:val="10"/>
        </w:rPr>
      </w:pPr>
    </w:p>
    <w:p w:rsidR="00B40BBF" w:rsidRPr="00B40BBF" w:rsidRDefault="00B40BBF" w:rsidP="00B40BBF">
      <w:pPr>
        <w:pStyle w:val="SingleTxt"/>
        <w:spacing w:after="0" w:line="120" w:lineRule="exact"/>
        <w:rPr>
          <w:sz w:val="10"/>
        </w:rPr>
      </w:pPr>
    </w:p>
    <w:p w:rsidR="00E30B67" w:rsidRPr="00E30B67" w:rsidRDefault="00E30B67" w:rsidP="00B40BBF">
      <w:pPr>
        <w:pStyle w:val="SingleTxt"/>
      </w:pPr>
      <w:r w:rsidRPr="00E30B67">
        <w:t>23.</w:t>
      </w:r>
      <w:r w:rsidRPr="00E30B67">
        <w:tab/>
      </w:r>
      <w:r w:rsidRPr="00E30B67">
        <w:t>委员会对公共和政治领域重新出现种族主义和仇外话语感到关切，担心这可能导致不容忍现象的抬头并导致一些社群感觉受到排斥。委员会还对种族主义、反犹太主义或反穆斯林性质的暴力事件的急剧增多感到关切</w:t>
      </w:r>
      <w:r w:rsidRPr="00E30B67">
        <w:t xml:space="preserve"> (</w:t>
      </w:r>
      <w:r w:rsidRPr="00E30B67">
        <w:t>第二、第十八、第二十和第二十六条</w:t>
      </w:r>
      <w:r w:rsidRPr="00E30B67">
        <w:t>)</w:t>
      </w:r>
      <w:r w:rsidRPr="00E30B67">
        <w:t>。</w:t>
      </w:r>
    </w:p>
    <w:p w:rsidR="00E30B67" w:rsidRPr="00B40BBF" w:rsidRDefault="00E30B67" w:rsidP="00B40BBF">
      <w:pPr>
        <w:pStyle w:val="SingleTxt"/>
        <w:rPr>
          <w:rFonts w:ascii="黑体" w:eastAsia="黑体"/>
        </w:rPr>
      </w:pPr>
      <w:r w:rsidRPr="00B40BBF">
        <w:rPr>
          <w:rFonts w:ascii="黑体" w:eastAsia="黑体"/>
        </w:rPr>
        <w:t>缔约国应定期公开表示法律禁止一切煽动歧视、敌对或暴力的宣扬仇恨的行为，并应立即行动，将责任人绳之以法。缔约国应加大努力，打击种族主义、反犹太主义和反穆斯林暴力行为，特别是展开调查并惩处此类行为的责任人。</w:t>
      </w: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40BBF" w:rsidRPr="00B40BBF" w:rsidRDefault="00B40BBF"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E30B67" w:rsidRPr="00E30B67" w:rsidRDefault="00E30B67" w:rsidP="00B40BB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E30B67">
        <w:tab/>
      </w:r>
      <w:r w:rsidRPr="00E30B67">
        <w:tab/>
        <w:t>《公约》的传播</w:t>
      </w:r>
    </w:p>
    <w:p w:rsidR="00B40BBF" w:rsidRPr="00B40BBF" w:rsidRDefault="00B40BBF" w:rsidP="00B40BBF">
      <w:pPr>
        <w:pStyle w:val="SingleTxt"/>
        <w:spacing w:after="0" w:line="120" w:lineRule="exact"/>
        <w:rPr>
          <w:sz w:val="10"/>
        </w:rPr>
      </w:pPr>
    </w:p>
    <w:p w:rsidR="00B40BBF" w:rsidRPr="00B40BBF" w:rsidRDefault="00B40BBF" w:rsidP="00B40BBF">
      <w:pPr>
        <w:pStyle w:val="SingleTxt"/>
        <w:spacing w:after="0" w:line="120" w:lineRule="exact"/>
        <w:rPr>
          <w:sz w:val="10"/>
        </w:rPr>
      </w:pPr>
    </w:p>
    <w:p w:rsidR="00E30B67" w:rsidRPr="00E30B67" w:rsidRDefault="00E30B67" w:rsidP="00B40BBF">
      <w:pPr>
        <w:pStyle w:val="SingleTxt"/>
      </w:pPr>
      <w:r w:rsidRPr="00E30B67">
        <w:t>24.</w:t>
      </w:r>
      <w:r w:rsidRPr="00E30B67">
        <w:tab/>
      </w:r>
      <w:r w:rsidRPr="00E30B67">
        <w:t>缔约国应向司法、立法和行政机关、民间社会和非政府组织以及公众广为传播《公约》、该国的第五次定期报告、对委员会草拟的问题单的答复，以及本结论性意见。</w:t>
      </w:r>
    </w:p>
    <w:p w:rsidR="00E30B67" w:rsidRPr="00E30B67" w:rsidRDefault="00E30B67" w:rsidP="00B40BBF">
      <w:pPr>
        <w:pStyle w:val="SingleTxt"/>
      </w:pPr>
      <w:r w:rsidRPr="00E30B67">
        <w:t>25.</w:t>
      </w:r>
      <w:r w:rsidRPr="00E30B67">
        <w:tab/>
      </w:r>
      <w:r w:rsidRPr="00E30B67">
        <w:t>按照委员会议事规则第</w:t>
      </w:r>
      <w:r w:rsidRPr="00E30B67">
        <w:t>71</w:t>
      </w:r>
      <w:r w:rsidRPr="00E30B67">
        <w:t>条第</w:t>
      </w:r>
      <w:r w:rsidRPr="00E30B67">
        <w:t>5</w:t>
      </w:r>
      <w:r w:rsidRPr="00E30B67">
        <w:t>款，缔约国应该在一年内提供有关资料，说明委员会在上文第</w:t>
      </w:r>
      <w:r w:rsidRPr="00E30B67">
        <w:t>11</w:t>
      </w:r>
      <w:r w:rsidRPr="00E30B67">
        <w:t>段</w:t>
      </w:r>
      <w:r w:rsidRPr="00E30B67">
        <w:t>(</w:t>
      </w:r>
      <w:r w:rsidRPr="00E30B67">
        <w:t>刑后预防性拘留</w:t>
      </w:r>
      <w:r w:rsidRPr="00E30B67">
        <w:t>)</w:t>
      </w:r>
      <w:r w:rsidRPr="00E30B67">
        <w:t>、第</w:t>
      </w:r>
      <w:r w:rsidRPr="00E30B67">
        <w:t>12</w:t>
      </w:r>
      <w:r w:rsidRPr="00E30B67">
        <w:t>段</w:t>
      </w:r>
      <w:r w:rsidRPr="00E30B67">
        <w:t>(</w:t>
      </w:r>
      <w:r w:rsidRPr="00E30B67">
        <w:t>监控活动</w:t>
      </w:r>
      <w:r w:rsidRPr="00E30B67">
        <w:t>)</w:t>
      </w:r>
      <w:r w:rsidRPr="00E30B67">
        <w:t>和第</w:t>
      </w:r>
      <w:r w:rsidRPr="00E30B67">
        <w:t>16</w:t>
      </w:r>
      <w:r w:rsidRPr="00E30B67">
        <w:t>段</w:t>
      </w:r>
      <w:r w:rsidRPr="00E30B67">
        <w:t>(</w:t>
      </w:r>
      <w:r w:rsidRPr="00E30B67">
        <w:t>在中非共和国的性虐待</w:t>
      </w:r>
      <w:r w:rsidRPr="00E30B67">
        <w:t>)</w:t>
      </w:r>
      <w:r w:rsidRPr="00E30B67">
        <w:t>中所提建议的执行情况。</w:t>
      </w:r>
    </w:p>
    <w:p w:rsidR="00E30B67" w:rsidRPr="00E30B67" w:rsidRDefault="00E30B67" w:rsidP="00B40BBF">
      <w:pPr>
        <w:pStyle w:val="SingleTxt"/>
      </w:pPr>
      <w:r w:rsidRPr="00E30B67">
        <w:t>26.</w:t>
      </w:r>
      <w:r w:rsidRPr="00E30B67">
        <w:tab/>
      </w:r>
      <w:r w:rsidRPr="00E30B67">
        <w:t>委员会请缔约国于</w:t>
      </w:r>
      <w:r w:rsidRPr="00E30B67">
        <w:t>2020</w:t>
      </w:r>
      <w:r w:rsidRPr="00E30B67">
        <w:t>年</w:t>
      </w:r>
      <w:r w:rsidRPr="00E30B67">
        <w:t>7</w:t>
      </w:r>
      <w:r w:rsidRPr="00E30B67">
        <w:t>月</w:t>
      </w:r>
      <w:r w:rsidRPr="00E30B67">
        <w:t>24</w:t>
      </w:r>
      <w:r w:rsidRPr="00E30B67">
        <w:t>日前提交下一次定期报告，并在其中提供具体的最新材料，说明委员会所有建议和整个《公约》的执行情况。委员会还请缔约国同过去一样，在编写报告时广泛征求民间社会和非政府组织的意见。根据大会第</w:t>
      </w:r>
      <w:r w:rsidRPr="00E30B67">
        <w:t>68/268</w:t>
      </w:r>
      <w:r w:rsidRPr="00E30B67">
        <w:t>号决议，报告的篇幅限制为</w:t>
      </w:r>
      <w:r w:rsidRPr="00E30B67">
        <w:t>2</w:t>
      </w:r>
      <w:r>
        <w:t>1,</w:t>
      </w:r>
      <w:r w:rsidRPr="00E30B67">
        <w:t>200</w:t>
      </w:r>
      <w:r w:rsidRPr="00E30B67">
        <w:t>字。</w:t>
      </w:r>
    </w:p>
    <w:p w:rsidR="00B31E9D" w:rsidRPr="00B40BBF" w:rsidRDefault="00B40BBF" w:rsidP="00B40BBF">
      <w:pPr>
        <w:pStyle w:val="SingleTxt"/>
        <w:spacing w:after="0" w:line="240" w:lineRule="auto"/>
        <w:rPr>
          <w:rStyle w:val="a4"/>
          <w:color w:val="auto"/>
          <w:w w:val="100"/>
          <w:sz w:val="20"/>
          <w:vertAlign w:val="baseline"/>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B40BBF" w:rsidSect="00EF643A">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8T10:11:00Z" w:initials="Start">
    <w:p w:rsidR="00EF643A" w:rsidRDefault="00EF643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NO&gt;&gt;N1518264C&lt;&lt;ODS JOB NO&gt;&gt;</w:t>
      </w:r>
    </w:p>
    <w:p w:rsidR="00EF643A" w:rsidRDefault="00EF643A">
      <w:pPr>
        <w:pStyle w:val="a7"/>
      </w:pPr>
      <w:r>
        <w:t>&lt;&lt;ODS DOC SYMBOL1&gt;&gt;CCPR/C/FRA/CO/5&lt;&lt;ODS DOC SYMBOL1&gt;&gt;</w:t>
      </w:r>
    </w:p>
    <w:p w:rsidR="00EF643A" w:rsidRDefault="00EF643A">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559" w:rsidRDefault="00161559">
      <w:r>
        <w:separator/>
      </w:r>
    </w:p>
  </w:endnote>
  <w:endnote w:type="continuationSeparator" w:id="0">
    <w:p w:rsidR="00161559" w:rsidRDefault="00161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F643A" w:rsidTr="00EF643A">
      <w:trPr>
        <w:jc w:val="center"/>
      </w:trPr>
      <w:tc>
        <w:tcPr>
          <w:tcW w:w="5126" w:type="dxa"/>
          <w:shd w:val="clear" w:color="auto" w:fill="auto"/>
        </w:tcPr>
        <w:p w:rsidR="00EF643A" w:rsidRPr="00EF643A" w:rsidRDefault="00EF643A" w:rsidP="00EF643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18F8">
            <w:rPr>
              <w:b w:val="0"/>
              <w:w w:val="103"/>
              <w:sz w:val="14"/>
            </w:rPr>
            <w:t>GE.15-13886 (C)</w:t>
          </w:r>
          <w:r>
            <w:rPr>
              <w:b w:val="0"/>
              <w:w w:val="103"/>
              <w:sz w:val="14"/>
            </w:rPr>
            <w:fldChar w:fldCharType="end"/>
          </w:r>
        </w:p>
      </w:tc>
      <w:tc>
        <w:tcPr>
          <w:tcW w:w="5127" w:type="dxa"/>
          <w:shd w:val="clear" w:color="auto" w:fill="auto"/>
        </w:tcPr>
        <w:p w:rsidR="00EF643A" w:rsidRPr="00EF643A" w:rsidRDefault="00EF643A" w:rsidP="00EF643A">
          <w:pPr>
            <w:pStyle w:val="ac"/>
            <w:jc w:val="left"/>
            <w:rPr>
              <w:w w:val="103"/>
            </w:rPr>
          </w:pPr>
          <w:r>
            <w:rPr>
              <w:w w:val="103"/>
            </w:rPr>
            <w:fldChar w:fldCharType="begin"/>
          </w:r>
          <w:r>
            <w:rPr>
              <w:w w:val="103"/>
            </w:rPr>
            <w:instrText xml:space="preserve"> PAGE  \* Arabic  \* MERGEFORMAT </w:instrText>
          </w:r>
          <w:r>
            <w:rPr>
              <w:w w:val="103"/>
            </w:rPr>
            <w:fldChar w:fldCharType="separate"/>
          </w:r>
          <w:r w:rsidR="008A18F8">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18F8">
            <w:rPr>
              <w:w w:val="103"/>
            </w:rPr>
            <w:t>8</w:t>
          </w:r>
          <w:r>
            <w:rPr>
              <w:w w:val="103"/>
            </w:rPr>
            <w:fldChar w:fldCharType="end"/>
          </w:r>
        </w:p>
      </w:tc>
    </w:tr>
  </w:tbl>
  <w:p w:rsidR="00EF643A" w:rsidRPr="00EF643A" w:rsidRDefault="00EF643A" w:rsidP="00EF643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F643A" w:rsidTr="00EF643A">
      <w:trPr>
        <w:jc w:val="center"/>
      </w:trPr>
      <w:tc>
        <w:tcPr>
          <w:tcW w:w="5126" w:type="dxa"/>
          <w:shd w:val="clear" w:color="auto" w:fill="auto"/>
        </w:tcPr>
        <w:p w:rsidR="00EF643A" w:rsidRPr="00EF643A" w:rsidRDefault="00EF643A" w:rsidP="00EF643A">
          <w:pPr>
            <w:pStyle w:val="ac"/>
            <w:jc w:val="right"/>
          </w:pPr>
          <w:r>
            <w:fldChar w:fldCharType="begin"/>
          </w:r>
          <w:r>
            <w:instrText xml:space="preserve"> PAGE  \* Arabic  \* MERGEFORMAT </w:instrText>
          </w:r>
          <w:r>
            <w:fldChar w:fldCharType="separate"/>
          </w:r>
          <w:r w:rsidR="008A18F8">
            <w:t>7</w:t>
          </w:r>
          <w:r>
            <w:fldChar w:fldCharType="end"/>
          </w:r>
          <w:r>
            <w:t>/</w:t>
          </w:r>
          <w:r w:rsidR="008A18F8">
            <w:fldChar w:fldCharType="begin"/>
          </w:r>
          <w:r w:rsidR="008A18F8">
            <w:instrText xml:space="preserve"> NUMPAGES  \* Arabic  \* MERGEFORMAT </w:instrText>
          </w:r>
          <w:r w:rsidR="008A18F8">
            <w:fldChar w:fldCharType="separate"/>
          </w:r>
          <w:r w:rsidR="008A18F8">
            <w:t>8</w:t>
          </w:r>
          <w:r w:rsidR="008A18F8">
            <w:fldChar w:fldCharType="end"/>
          </w:r>
        </w:p>
      </w:tc>
      <w:tc>
        <w:tcPr>
          <w:tcW w:w="5127" w:type="dxa"/>
          <w:shd w:val="clear" w:color="auto" w:fill="auto"/>
        </w:tcPr>
        <w:p w:rsidR="00EF643A" w:rsidRPr="00EF643A" w:rsidRDefault="00EF643A" w:rsidP="00EF643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18F8">
            <w:rPr>
              <w:b w:val="0"/>
              <w:w w:val="103"/>
              <w:sz w:val="14"/>
            </w:rPr>
            <w:t>GE.15-13886 (C)</w:t>
          </w:r>
          <w:r>
            <w:rPr>
              <w:b w:val="0"/>
              <w:w w:val="103"/>
              <w:sz w:val="14"/>
            </w:rPr>
            <w:fldChar w:fldCharType="end"/>
          </w:r>
        </w:p>
      </w:tc>
    </w:tr>
  </w:tbl>
  <w:p w:rsidR="00EF643A" w:rsidRPr="00EF643A" w:rsidRDefault="00EF643A" w:rsidP="00EF643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EF643A" w:rsidTr="00EF643A">
      <w:tc>
        <w:tcPr>
          <w:tcW w:w="3873" w:type="dxa"/>
        </w:tcPr>
        <w:p w:rsidR="00EF643A" w:rsidRDefault="00EF643A" w:rsidP="00EF643A">
          <w:pPr>
            <w:pStyle w:val="Release"/>
          </w:pPr>
          <w:r>
            <w:rPr>
              <w:noProof/>
            </w:rPr>
            <w:drawing>
              <wp:anchor distT="0" distB="0" distL="114300" distR="114300" simplePos="0" relativeHeight="251658240" behindDoc="0" locked="0" layoutInCell="1" allowOverlap="1" wp14:anchorId="328A29E3" wp14:editId="7975B5BD">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CPR/C/FRA/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FRA/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A18F8">
            <w:fldChar w:fldCharType="begin"/>
          </w:r>
          <w:r w:rsidR="008A18F8">
            <w:instrText xml:space="preserve"> DOCVARIABLE "jobn" \* MERGEFORMAT </w:instrText>
          </w:r>
          <w:r w:rsidR="008A18F8">
            <w:fldChar w:fldCharType="separate"/>
          </w:r>
          <w:r w:rsidR="008A18F8">
            <w:t>GE.15-13886 (C)</w:t>
          </w:r>
          <w:r w:rsidR="008A18F8">
            <w:fldChar w:fldCharType="end"/>
          </w:r>
          <w:r>
            <w:t xml:space="preserve">    080216    080216</w:t>
          </w:r>
        </w:p>
        <w:p w:rsidR="00EF643A" w:rsidRPr="00EF643A" w:rsidRDefault="00EF643A" w:rsidP="00EF643A">
          <w:pPr>
            <w:spacing w:before="80" w:line="210" w:lineRule="exact"/>
            <w:rPr>
              <w:rFonts w:ascii="Barcode 3 of 9 by request" w:hAnsi="Barcode 3 of 9 by request"/>
              <w:sz w:val="24"/>
            </w:rPr>
          </w:pPr>
          <w:r>
            <w:rPr>
              <w:rFonts w:ascii="Barcode 3 of 9 by request" w:hAnsi="Barcode 3 of 9 by request"/>
              <w:sz w:val="24"/>
            </w:rPr>
            <w:t>*1513886*</w:t>
          </w:r>
        </w:p>
      </w:tc>
      <w:tc>
        <w:tcPr>
          <w:tcW w:w="5127" w:type="dxa"/>
        </w:tcPr>
        <w:p w:rsidR="00EF643A" w:rsidRDefault="00EF643A" w:rsidP="00EF643A">
          <w:pPr>
            <w:pStyle w:val="ac"/>
            <w:jc w:val="right"/>
            <w:rPr>
              <w:b w:val="0"/>
              <w:sz w:val="21"/>
            </w:rPr>
          </w:pPr>
          <w:r>
            <w:rPr>
              <w:b w:val="0"/>
              <w:sz w:val="21"/>
            </w:rPr>
            <w:drawing>
              <wp:inline distT="0" distB="0" distL="0" distR="0" wp14:anchorId="33CA106B" wp14:editId="69E49CF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EF643A" w:rsidRPr="00EF643A" w:rsidRDefault="00EF643A" w:rsidP="00EF643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559" w:rsidRPr="00E30B67" w:rsidRDefault="00E30B67" w:rsidP="00E30B67">
      <w:pPr>
        <w:pStyle w:val="ac"/>
        <w:spacing w:after="80"/>
        <w:ind w:left="792"/>
        <w:rPr>
          <w:sz w:val="16"/>
        </w:rPr>
      </w:pPr>
      <w:r w:rsidRPr="00E30B67">
        <w:rPr>
          <w:sz w:val="16"/>
        </w:rPr>
        <w:t>__________________</w:t>
      </w:r>
    </w:p>
  </w:footnote>
  <w:footnote w:type="continuationSeparator" w:id="0">
    <w:p w:rsidR="00161559" w:rsidRPr="00E30B67" w:rsidRDefault="00E30B67" w:rsidP="00E30B67">
      <w:pPr>
        <w:pStyle w:val="ac"/>
        <w:spacing w:after="80"/>
        <w:ind w:left="792"/>
        <w:rPr>
          <w:sz w:val="16"/>
        </w:rPr>
      </w:pPr>
      <w:r w:rsidRPr="00E30B67">
        <w:rPr>
          <w:sz w:val="16"/>
        </w:rPr>
        <w:t>__________________</w:t>
      </w:r>
    </w:p>
  </w:footnote>
  <w:footnote w:id="1">
    <w:p w:rsidR="00E30B67" w:rsidRDefault="00E30B67" w:rsidP="00E30B67">
      <w:pPr>
        <w:pStyle w:val="a5"/>
        <w:tabs>
          <w:tab w:val="clear" w:pos="418"/>
          <w:tab w:val="right" w:pos="1195"/>
          <w:tab w:val="left" w:pos="1264"/>
          <w:tab w:val="left" w:pos="1695"/>
          <w:tab w:val="left" w:pos="2126"/>
          <w:tab w:val="left" w:pos="2557"/>
        </w:tabs>
        <w:ind w:left="1264" w:right="1264" w:hanging="432"/>
      </w:pPr>
      <w:r>
        <w:tab/>
      </w:r>
      <w:r w:rsidRPr="00105E91">
        <w:rPr>
          <w:rStyle w:val="a3"/>
          <w:sz w:val="20"/>
        </w:rPr>
        <w:t>*</w:t>
      </w:r>
      <w:r>
        <w:tab/>
      </w:r>
      <w:r>
        <w:rPr>
          <w:rFonts w:hint="eastAsia"/>
        </w:rPr>
        <w:t>委员会第一一四届会议</w:t>
      </w:r>
      <w:r>
        <w:rPr>
          <w:rFonts w:hint="eastAsia"/>
        </w:rPr>
        <w:t>(2015</w:t>
      </w:r>
      <w:r>
        <w:rPr>
          <w:rFonts w:hint="eastAsia"/>
        </w:rPr>
        <w:t>年</w:t>
      </w:r>
      <w:r>
        <w:rPr>
          <w:rFonts w:hint="eastAsia"/>
        </w:rPr>
        <w:t>6</w:t>
      </w:r>
      <w:r>
        <w:rPr>
          <w:rFonts w:hint="eastAsia"/>
        </w:rPr>
        <w:t>月</w:t>
      </w:r>
      <w:r>
        <w:rPr>
          <w:rFonts w:hint="eastAsia"/>
        </w:rPr>
        <w:t>29</w:t>
      </w:r>
      <w:r>
        <w:rPr>
          <w:rFonts w:hint="eastAsia"/>
        </w:rPr>
        <w:t>日至</w:t>
      </w:r>
      <w:r>
        <w:rPr>
          <w:rFonts w:hint="eastAsia"/>
        </w:rPr>
        <w:t>7</w:t>
      </w:r>
      <w:r>
        <w:rPr>
          <w:rFonts w:hint="eastAsia"/>
        </w:rPr>
        <w:t>月</w:t>
      </w:r>
      <w:r>
        <w:rPr>
          <w:rFonts w:hint="eastAsia"/>
        </w:rPr>
        <w:t>24</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F643A" w:rsidTr="00EF643A">
      <w:trPr>
        <w:trHeight w:hRule="exact" w:val="864"/>
        <w:jc w:val="center"/>
      </w:trPr>
      <w:tc>
        <w:tcPr>
          <w:tcW w:w="4882" w:type="dxa"/>
          <w:shd w:val="clear" w:color="auto" w:fill="auto"/>
          <w:vAlign w:val="bottom"/>
        </w:tcPr>
        <w:p w:rsidR="00EF643A" w:rsidRPr="00EF643A" w:rsidRDefault="00EF643A" w:rsidP="00EF643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A18F8">
            <w:rPr>
              <w:b/>
              <w:sz w:val="17"/>
            </w:rPr>
            <w:t>CCPR/C/FRA/CO/5</w:t>
          </w:r>
          <w:r>
            <w:rPr>
              <w:b/>
              <w:sz w:val="17"/>
            </w:rPr>
            <w:fldChar w:fldCharType="end"/>
          </w:r>
        </w:p>
      </w:tc>
      <w:tc>
        <w:tcPr>
          <w:tcW w:w="5127" w:type="dxa"/>
          <w:shd w:val="clear" w:color="auto" w:fill="auto"/>
          <w:vAlign w:val="bottom"/>
        </w:tcPr>
        <w:p w:rsidR="00EF643A" w:rsidRDefault="00EF643A" w:rsidP="00EF643A">
          <w:pPr>
            <w:pStyle w:val="ab"/>
          </w:pPr>
        </w:p>
      </w:tc>
    </w:tr>
  </w:tbl>
  <w:p w:rsidR="00EF643A" w:rsidRPr="00EF643A" w:rsidRDefault="00EF643A" w:rsidP="00EF643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F643A" w:rsidTr="00EF643A">
      <w:trPr>
        <w:trHeight w:hRule="exact" w:val="864"/>
        <w:jc w:val="center"/>
      </w:trPr>
      <w:tc>
        <w:tcPr>
          <w:tcW w:w="4882" w:type="dxa"/>
          <w:shd w:val="clear" w:color="auto" w:fill="auto"/>
          <w:vAlign w:val="bottom"/>
        </w:tcPr>
        <w:p w:rsidR="00EF643A" w:rsidRDefault="00EF643A" w:rsidP="00EF643A">
          <w:pPr>
            <w:pStyle w:val="ab"/>
          </w:pPr>
        </w:p>
      </w:tc>
      <w:tc>
        <w:tcPr>
          <w:tcW w:w="5127" w:type="dxa"/>
          <w:shd w:val="clear" w:color="auto" w:fill="auto"/>
          <w:vAlign w:val="bottom"/>
        </w:tcPr>
        <w:p w:rsidR="00EF643A" w:rsidRPr="00EF643A" w:rsidRDefault="00EF643A" w:rsidP="00EF643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A18F8">
            <w:rPr>
              <w:b/>
              <w:sz w:val="17"/>
            </w:rPr>
            <w:t>CCPR/C/FRA/CO/5</w:t>
          </w:r>
          <w:r>
            <w:rPr>
              <w:b/>
              <w:sz w:val="17"/>
            </w:rPr>
            <w:fldChar w:fldCharType="end"/>
          </w:r>
        </w:p>
      </w:tc>
    </w:tr>
  </w:tbl>
  <w:p w:rsidR="00EF643A" w:rsidRPr="00EF643A" w:rsidRDefault="00EF643A" w:rsidP="00EF643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EF643A" w:rsidTr="00EF643A">
      <w:trPr>
        <w:trHeight w:hRule="exact" w:val="864"/>
      </w:trPr>
      <w:tc>
        <w:tcPr>
          <w:tcW w:w="1267" w:type="dxa"/>
          <w:tcBorders>
            <w:bottom w:val="single" w:sz="4" w:space="0" w:color="auto"/>
          </w:tcBorders>
          <w:shd w:val="clear" w:color="auto" w:fill="auto"/>
          <w:vAlign w:val="bottom"/>
        </w:tcPr>
        <w:p w:rsidR="00EF643A" w:rsidRDefault="00EF643A" w:rsidP="00EF643A">
          <w:pPr>
            <w:pStyle w:val="ab"/>
            <w:spacing w:after="120"/>
          </w:pPr>
        </w:p>
      </w:tc>
      <w:tc>
        <w:tcPr>
          <w:tcW w:w="1872" w:type="dxa"/>
          <w:tcBorders>
            <w:bottom w:val="single" w:sz="4" w:space="0" w:color="auto"/>
          </w:tcBorders>
          <w:shd w:val="clear" w:color="auto" w:fill="auto"/>
          <w:vAlign w:val="bottom"/>
        </w:tcPr>
        <w:p w:rsidR="00EF643A" w:rsidRPr="00EF643A" w:rsidRDefault="00EF643A" w:rsidP="00EF643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EF643A" w:rsidRDefault="00EF643A" w:rsidP="00EF643A">
          <w:pPr>
            <w:pStyle w:val="ab"/>
            <w:spacing w:after="120"/>
          </w:pPr>
        </w:p>
      </w:tc>
      <w:tc>
        <w:tcPr>
          <w:tcW w:w="6653" w:type="dxa"/>
          <w:gridSpan w:val="4"/>
          <w:tcBorders>
            <w:bottom w:val="single" w:sz="4" w:space="0" w:color="auto"/>
          </w:tcBorders>
          <w:shd w:val="clear" w:color="auto" w:fill="auto"/>
          <w:vAlign w:val="bottom"/>
        </w:tcPr>
        <w:p w:rsidR="00EF643A" w:rsidRPr="00EF643A" w:rsidRDefault="00EF643A" w:rsidP="00EF643A">
          <w:pPr>
            <w:spacing w:after="80" w:line="240" w:lineRule="auto"/>
            <w:jc w:val="right"/>
            <w:rPr>
              <w:position w:val="-4"/>
            </w:rPr>
          </w:pPr>
          <w:r>
            <w:rPr>
              <w:position w:val="-4"/>
              <w:sz w:val="40"/>
            </w:rPr>
            <w:t>CCPR</w:t>
          </w:r>
          <w:r>
            <w:rPr>
              <w:position w:val="-4"/>
            </w:rPr>
            <w:t>/C/FRA/CO/5</w:t>
          </w:r>
        </w:p>
      </w:tc>
    </w:tr>
    <w:tr w:rsidR="00EF643A" w:rsidRPr="00EF643A" w:rsidTr="00EF643A">
      <w:trPr>
        <w:gridAfter w:val="1"/>
        <w:wAfter w:w="18" w:type="dxa"/>
        <w:trHeight w:hRule="exact" w:val="2880"/>
      </w:trPr>
      <w:tc>
        <w:tcPr>
          <w:tcW w:w="1267" w:type="dxa"/>
          <w:tcBorders>
            <w:top w:val="single" w:sz="4" w:space="0" w:color="auto"/>
            <w:bottom w:val="single" w:sz="12" w:space="0" w:color="auto"/>
          </w:tcBorders>
          <w:shd w:val="clear" w:color="auto" w:fill="auto"/>
        </w:tcPr>
        <w:p w:rsidR="00EF643A" w:rsidRPr="00EF643A" w:rsidRDefault="00EF643A" w:rsidP="00EF643A">
          <w:pPr>
            <w:pStyle w:val="ab"/>
            <w:spacing w:before="109"/>
            <w:ind w:left="-72"/>
          </w:pPr>
          <w:r>
            <w:t xml:space="preserve"> </w:t>
          </w:r>
          <w:r>
            <w:drawing>
              <wp:inline distT="0" distB="0" distL="0" distR="0" wp14:anchorId="2C52E92D" wp14:editId="03C8344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F643A" w:rsidRPr="00EF643A" w:rsidRDefault="00EF643A" w:rsidP="00EF643A">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EF643A" w:rsidRPr="00EF643A" w:rsidRDefault="00EF643A" w:rsidP="00EF643A">
          <w:pPr>
            <w:pStyle w:val="ab"/>
            <w:spacing w:before="109"/>
          </w:pPr>
        </w:p>
      </w:tc>
      <w:tc>
        <w:tcPr>
          <w:tcW w:w="3280" w:type="dxa"/>
          <w:tcBorders>
            <w:top w:val="single" w:sz="4" w:space="0" w:color="auto"/>
            <w:bottom w:val="single" w:sz="12" w:space="0" w:color="auto"/>
          </w:tcBorders>
          <w:shd w:val="clear" w:color="auto" w:fill="auto"/>
        </w:tcPr>
        <w:p w:rsidR="00EF643A" w:rsidRDefault="00EF643A" w:rsidP="00EF643A">
          <w:pPr>
            <w:pStyle w:val="Distr"/>
          </w:pPr>
          <w:r>
            <w:t>Distr.: General</w:t>
          </w:r>
        </w:p>
        <w:p w:rsidR="00EF643A" w:rsidRDefault="00EF643A" w:rsidP="00EF643A">
          <w:pPr>
            <w:pStyle w:val="Publication"/>
          </w:pPr>
          <w:r>
            <w:t>17 August 2015</w:t>
          </w:r>
        </w:p>
        <w:p w:rsidR="00EF643A" w:rsidRDefault="00EF643A" w:rsidP="00EF643A">
          <w:pPr>
            <w:spacing w:line="240" w:lineRule="exact"/>
          </w:pPr>
          <w:r>
            <w:t>Chinese</w:t>
          </w:r>
        </w:p>
        <w:p w:rsidR="00EF643A" w:rsidRDefault="00EF643A" w:rsidP="00EF643A">
          <w:pPr>
            <w:pStyle w:val="Original"/>
          </w:pPr>
          <w:r>
            <w:t>Original: English</w:t>
          </w:r>
        </w:p>
        <w:p w:rsidR="00EF643A" w:rsidRPr="00EF643A" w:rsidRDefault="00EF643A" w:rsidP="00EF643A"/>
      </w:tc>
    </w:tr>
  </w:tbl>
  <w:p w:rsidR="00EF643A" w:rsidRPr="00EF643A" w:rsidRDefault="00EF643A" w:rsidP="00EF643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886*"/>
    <w:docVar w:name="CreationDt" w:val="08/02/2016 10:11:08"/>
    <w:docVar w:name="DocCategory" w:val="Doc"/>
    <w:docVar w:name="DocType" w:val="Final"/>
    <w:docVar w:name="DutyStation" w:val="Geneva"/>
    <w:docVar w:name="FooterJN" w:val="GE.15-13886 (C)"/>
    <w:docVar w:name="jobn" w:val="GE.15-13886 (C)"/>
    <w:docVar w:name="jobnDT" w:val="15-13886 (C)   080216"/>
    <w:docVar w:name="jobnDTDT" w:val="15-13886 (C)   080216   080216"/>
    <w:docVar w:name="JobNo" w:val="GE.1513886C"/>
    <w:docVar w:name="LocalDrive" w:val="0"/>
    <w:docVar w:name="OandT" w:val="kong"/>
    <w:docVar w:name="PaperSize" w:val="A4"/>
    <w:docVar w:name="sss1" w:val="CCPR/C/FRA/CO/5"/>
    <w:docVar w:name="sss2" w:val="-"/>
    <w:docVar w:name="Symbol1" w:val="CCPR/C/FRA/CO/5"/>
    <w:docVar w:name="Symbol2" w:val="-"/>
  </w:docVars>
  <w:rsids>
    <w:rsidRoot w:val="00161559"/>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1D50"/>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55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25EA"/>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373C"/>
    <w:rsid w:val="00545A99"/>
    <w:rsid w:val="00546CC5"/>
    <w:rsid w:val="00547EC6"/>
    <w:rsid w:val="00552CE5"/>
    <w:rsid w:val="005541E4"/>
    <w:rsid w:val="00554F60"/>
    <w:rsid w:val="005625DB"/>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36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6B55"/>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6A3A"/>
    <w:rsid w:val="007B2492"/>
    <w:rsid w:val="007B394B"/>
    <w:rsid w:val="007B6BAE"/>
    <w:rsid w:val="007C1048"/>
    <w:rsid w:val="007C10AC"/>
    <w:rsid w:val="007C5623"/>
    <w:rsid w:val="007C6FC5"/>
    <w:rsid w:val="007C74B9"/>
    <w:rsid w:val="007D441A"/>
    <w:rsid w:val="007D518C"/>
    <w:rsid w:val="007E0D70"/>
    <w:rsid w:val="007E1B5E"/>
    <w:rsid w:val="007E6253"/>
    <w:rsid w:val="007F0DF8"/>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722B1"/>
    <w:rsid w:val="00872730"/>
    <w:rsid w:val="00883DB0"/>
    <w:rsid w:val="008843BC"/>
    <w:rsid w:val="00884C8F"/>
    <w:rsid w:val="008927AD"/>
    <w:rsid w:val="00893A33"/>
    <w:rsid w:val="00896D38"/>
    <w:rsid w:val="008A0216"/>
    <w:rsid w:val="008A0650"/>
    <w:rsid w:val="008A1208"/>
    <w:rsid w:val="008A18F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00C0"/>
    <w:rsid w:val="008F2BB5"/>
    <w:rsid w:val="008F425D"/>
    <w:rsid w:val="008F43E4"/>
    <w:rsid w:val="008F5472"/>
    <w:rsid w:val="008F5D0F"/>
    <w:rsid w:val="00907874"/>
    <w:rsid w:val="009122E0"/>
    <w:rsid w:val="00913351"/>
    <w:rsid w:val="00923D95"/>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0BBF"/>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30F5"/>
    <w:rsid w:val="00E041F4"/>
    <w:rsid w:val="00E050BA"/>
    <w:rsid w:val="00E076AC"/>
    <w:rsid w:val="00E16655"/>
    <w:rsid w:val="00E16A6B"/>
    <w:rsid w:val="00E21275"/>
    <w:rsid w:val="00E25442"/>
    <w:rsid w:val="00E25A1F"/>
    <w:rsid w:val="00E25D27"/>
    <w:rsid w:val="00E30B6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D2708"/>
    <w:rsid w:val="00ED2D39"/>
    <w:rsid w:val="00ED3A3A"/>
    <w:rsid w:val="00EE0913"/>
    <w:rsid w:val="00EF23C4"/>
    <w:rsid w:val="00EF2DB0"/>
    <w:rsid w:val="00EF36AA"/>
    <w:rsid w:val="00EF5D84"/>
    <w:rsid w:val="00EF643A"/>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
    <w:basedOn w:val="a0"/>
    <w:link w:val="a5"/>
    <w:rsid w:val="00E30B67"/>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
    <w:basedOn w:val="a0"/>
    <w:link w:val="a5"/>
    <w:rsid w:val="00E30B67"/>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5DEF6-D3E9-4CD7-BA41-53411C00D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980</Words>
  <Characters>5592</Characters>
  <Application>Microsoft Office Word</Application>
  <DocSecurity>0</DocSecurity>
  <Lines>46</Lines>
  <Paragraphs>13</Paragraphs>
  <ScaleCrop>false</ScaleCrop>
  <Company>DCM</Company>
  <LinksUpToDate>false</LinksUpToDate>
  <CharactersWithSpaces>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Kong L.</dc:creator>
  <cp:keywords/>
  <dc:description/>
  <cp:lastModifiedBy>Kong L.</cp:lastModifiedBy>
  <cp:revision>3</cp:revision>
  <cp:lastPrinted>2016-02-08T13:15:00Z</cp:lastPrinted>
  <dcterms:created xsi:type="dcterms:W3CDTF">2016-02-08T13:15:00Z</dcterms:created>
  <dcterms:modified xsi:type="dcterms:W3CDTF">2016-02-08T13:15:00Z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1513886</vt:lpwstr>
  </property>
  <property fmtid="{D5CDD505-2E9C-101B-9397-08002B2CF9AE}" pid="3" name="ODSRefJobNo">
    <vt:lpwstr>1518264C</vt:lpwstr>
  </property>
  <property fmtid="{D5CDD505-2E9C-101B-9397-08002B2CF9AE}" pid="4" name="Symbol1">
    <vt:lpwstr>CCPR/C/FRA/CO/5</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August 2015</vt:lpwstr>
  </property>
  <property fmtid="{D5CDD505-2E9C-101B-9397-08002B2CF9AE}" pid="12" name="Original">
    <vt:lpwstr>English</vt:lpwstr>
  </property>
  <property fmtid="{D5CDD505-2E9C-101B-9397-08002B2CF9AE}" pid="13" name="Release Date">
    <vt:lpwstr>080216</vt:lpwstr>
  </property>
</Properties>
</file>