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51F02BEB" w14:textId="77777777" w:rsidTr="00F90E40">
        <w:trPr>
          <w:trHeight w:hRule="exact" w:val="851"/>
        </w:trPr>
        <w:tc>
          <w:tcPr>
            <w:tcW w:w="142" w:type="dxa"/>
            <w:tcBorders>
              <w:bottom w:val="single" w:sz="4" w:space="0" w:color="auto"/>
            </w:tcBorders>
          </w:tcPr>
          <w:p w14:paraId="51B59C51" w14:textId="77777777" w:rsidR="002D5AAC" w:rsidRDefault="002D5AAC" w:rsidP="00CC1965">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3F3AA8D1"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486B2827" w14:textId="177D885F" w:rsidR="002D5AAC" w:rsidRDefault="00CC1965" w:rsidP="00CC1965">
            <w:pPr>
              <w:jc w:val="right"/>
            </w:pPr>
            <w:r w:rsidRPr="00CC1965">
              <w:rPr>
                <w:sz w:val="40"/>
              </w:rPr>
              <w:t>CAT</w:t>
            </w:r>
            <w:r>
              <w:t>/C/79/2</w:t>
            </w:r>
          </w:p>
        </w:tc>
      </w:tr>
      <w:tr w:rsidR="002D5AAC" w:rsidRPr="007A7248" w14:paraId="3FEC4EF6" w14:textId="77777777" w:rsidTr="00F90E40">
        <w:trPr>
          <w:trHeight w:hRule="exact" w:val="2835"/>
        </w:trPr>
        <w:tc>
          <w:tcPr>
            <w:tcW w:w="1280" w:type="dxa"/>
            <w:gridSpan w:val="2"/>
            <w:tcBorders>
              <w:top w:val="single" w:sz="4" w:space="0" w:color="auto"/>
              <w:bottom w:val="single" w:sz="12" w:space="0" w:color="auto"/>
            </w:tcBorders>
          </w:tcPr>
          <w:p w14:paraId="05D1C8B7" w14:textId="77777777" w:rsidR="002D5AAC" w:rsidRDefault="002E5067" w:rsidP="00F90E40">
            <w:pPr>
              <w:spacing w:before="120"/>
              <w:jc w:val="center"/>
            </w:pPr>
            <w:r>
              <w:rPr>
                <w:noProof/>
                <w:lang w:val="fr-CH" w:eastAsia="fr-CH"/>
              </w:rPr>
              <w:drawing>
                <wp:inline distT="0" distB="0" distL="0" distR="0" wp14:anchorId="33373567" wp14:editId="6808900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C0DCF00" w14:textId="77777777"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3AB3C33B" w14:textId="77777777" w:rsidR="002D5AAC" w:rsidRPr="00CA192E" w:rsidRDefault="00CC1965" w:rsidP="00F90E40">
            <w:pPr>
              <w:spacing w:before="240"/>
              <w:rPr>
                <w:lang w:val="en-US"/>
              </w:rPr>
            </w:pPr>
            <w:r w:rsidRPr="00CA192E">
              <w:rPr>
                <w:lang w:val="en-US"/>
              </w:rPr>
              <w:t>Distr.: General</w:t>
            </w:r>
          </w:p>
          <w:p w14:paraId="611AD382" w14:textId="77777777" w:rsidR="00CC1965" w:rsidRPr="00CA192E" w:rsidRDefault="00CC1965" w:rsidP="00CC1965">
            <w:pPr>
              <w:spacing w:line="240" w:lineRule="exact"/>
              <w:rPr>
                <w:lang w:val="en-US"/>
              </w:rPr>
            </w:pPr>
            <w:r w:rsidRPr="00CA192E">
              <w:rPr>
                <w:lang w:val="en-US"/>
              </w:rPr>
              <w:t>15 March 2024</w:t>
            </w:r>
          </w:p>
          <w:p w14:paraId="0E707085" w14:textId="77777777" w:rsidR="00CC1965" w:rsidRPr="00CA192E" w:rsidRDefault="00CC1965" w:rsidP="00CC1965">
            <w:pPr>
              <w:spacing w:line="240" w:lineRule="exact"/>
              <w:rPr>
                <w:lang w:val="en-US"/>
              </w:rPr>
            </w:pPr>
            <w:r w:rsidRPr="00CA192E">
              <w:rPr>
                <w:lang w:val="en-US"/>
              </w:rPr>
              <w:t>Russian</w:t>
            </w:r>
          </w:p>
          <w:p w14:paraId="18CB0786" w14:textId="37C6C034" w:rsidR="00CC1965" w:rsidRPr="00CA192E" w:rsidRDefault="00CC1965" w:rsidP="00CC1965">
            <w:pPr>
              <w:spacing w:line="240" w:lineRule="exact"/>
              <w:rPr>
                <w:lang w:val="en-US"/>
              </w:rPr>
            </w:pPr>
            <w:r w:rsidRPr="00CA192E">
              <w:rPr>
                <w:lang w:val="en-US"/>
              </w:rPr>
              <w:t>Original: English</w:t>
            </w:r>
          </w:p>
        </w:tc>
      </w:tr>
    </w:tbl>
    <w:p w14:paraId="56E8AB6E" w14:textId="77777777" w:rsidR="00CC1965" w:rsidRPr="0073500C" w:rsidRDefault="00CC1965" w:rsidP="00CC1965">
      <w:pPr>
        <w:spacing w:before="120"/>
        <w:rPr>
          <w:b/>
          <w:bCs/>
          <w:color w:val="000000" w:themeColor="text1"/>
          <w:sz w:val="24"/>
          <w:szCs w:val="24"/>
        </w:rPr>
      </w:pPr>
      <w:r w:rsidRPr="0073500C">
        <w:rPr>
          <w:b/>
          <w:bCs/>
          <w:sz w:val="24"/>
          <w:szCs w:val="24"/>
        </w:rPr>
        <w:t>Комитет против пыток</w:t>
      </w:r>
    </w:p>
    <w:p w14:paraId="370579BF" w14:textId="77777777" w:rsidR="00CC1965" w:rsidRPr="0073500C" w:rsidRDefault="00CC1965" w:rsidP="00CC1965">
      <w:pPr>
        <w:rPr>
          <w:b/>
          <w:bCs/>
          <w:color w:val="000000" w:themeColor="text1"/>
        </w:rPr>
      </w:pPr>
      <w:r>
        <w:rPr>
          <w:b/>
          <w:bCs/>
        </w:rPr>
        <w:t>Семьдесят девятая сессия</w:t>
      </w:r>
    </w:p>
    <w:p w14:paraId="681C659B" w14:textId="77777777" w:rsidR="00CC1965" w:rsidRPr="0073500C" w:rsidRDefault="00CC1965" w:rsidP="00CC1965">
      <w:pPr>
        <w:rPr>
          <w:color w:val="000000" w:themeColor="text1"/>
        </w:rPr>
      </w:pPr>
      <w:r>
        <w:t>15 апреля — 10 мая 2024 года</w:t>
      </w:r>
    </w:p>
    <w:p w14:paraId="2472E79E" w14:textId="77777777" w:rsidR="00CC1965" w:rsidRPr="0073500C" w:rsidRDefault="00CC1965" w:rsidP="00CC1965">
      <w:pPr>
        <w:rPr>
          <w:color w:val="000000" w:themeColor="text1"/>
        </w:rPr>
      </w:pPr>
      <w:r>
        <w:t>Пункт 4 аннотированной предварительной повестки дня</w:t>
      </w:r>
    </w:p>
    <w:p w14:paraId="672C58FC" w14:textId="77777777" w:rsidR="00CC1965" w:rsidRPr="0073500C" w:rsidRDefault="00CC1965" w:rsidP="00CC1965">
      <w:pPr>
        <w:rPr>
          <w:b/>
          <w:bCs/>
          <w:color w:val="000000" w:themeColor="text1"/>
        </w:rPr>
      </w:pPr>
      <w:r>
        <w:rPr>
          <w:b/>
          <w:bCs/>
        </w:rPr>
        <w:t>Организационные и другие вопросы</w:t>
      </w:r>
    </w:p>
    <w:p w14:paraId="2B5EAB6B" w14:textId="299AB030" w:rsidR="00CC1965" w:rsidRPr="0073500C" w:rsidRDefault="00CC1965" w:rsidP="00CC1965">
      <w:pPr>
        <w:pStyle w:val="HChG"/>
        <w:rPr>
          <w:b w:val="0"/>
          <w:bCs/>
          <w:sz w:val="20"/>
        </w:rPr>
      </w:pPr>
      <w:r>
        <w:tab/>
      </w:r>
      <w:r>
        <w:tab/>
      </w:r>
      <w:r>
        <w:rPr>
          <w:bCs/>
        </w:rPr>
        <w:t xml:space="preserve">Семнадцатый ежегодный доклад Подкомитета </w:t>
      </w:r>
      <w:r>
        <w:rPr>
          <w:bCs/>
        </w:rPr>
        <w:br/>
        <w:t>по предупреждению пыток и других жестоких, бесчеловечных или унижающих достоинство видов обращения и наказания</w:t>
      </w:r>
      <w:r w:rsidRPr="00812E43">
        <w:rPr>
          <w:b w:val="0"/>
          <w:bCs/>
          <w:sz w:val="20"/>
        </w:rPr>
        <w:footnoteReference w:customMarkFollows="1" w:id="1"/>
        <w:t>*</w:t>
      </w:r>
      <w:bookmarkStart w:id="0" w:name="_Toc97717812"/>
      <w:bookmarkStart w:id="1" w:name="_Toc97794991"/>
      <w:bookmarkStart w:id="2" w:name="_Toc534899831"/>
      <w:bookmarkStart w:id="3" w:name="_Toc161321095"/>
      <w:bookmarkEnd w:id="0"/>
      <w:bookmarkEnd w:id="1"/>
      <w:bookmarkEnd w:id="2"/>
      <w:bookmarkEnd w:id="3"/>
    </w:p>
    <w:tbl>
      <w:tblPr>
        <w:tblStyle w:val="ac"/>
        <w:tblW w:w="0" w:type="auto"/>
        <w:jc w:val="center"/>
        <w:tblLayout w:type="fixed"/>
        <w:tblLook w:val="05E0" w:firstRow="1" w:lastRow="1" w:firstColumn="1" w:lastColumn="1" w:noHBand="0" w:noVBand="1"/>
      </w:tblPr>
      <w:tblGrid>
        <w:gridCol w:w="9629"/>
      </w:tblGrid>
      <w:tr w:rsidR="00CC1965" w:rsidRPr="00812E43" w14:paraId="401C8A76" w14:textId="77777777" w:rsidTr="00DA4E44">
        <w:trPr>
          <w:jc w:val="center"/>
        </w:trPr>
        <w:tc>
          <w:tcPr>
            <w:tcW w:w="9629" w:type="dxa"/>
            <w:tcBorders>
              <w:bottom w:val="nil"/>
            </w:tcBorders>
          </w:tcPr>
          <w:p w14:paraId="69E2E29D" w14:textId="77777777" w:rsidR="00CC1965" w:rsidRPr="00CC1965" w:rsidRDefault="00CC1965" w:rsidP="00DA4E44">
            <w:pPr>
              <w:tabs>
                <w:tab w:val="left" w:pos="255"/>
              </w:tabs>
              <w:suppressAutoHyphens w:val="0"/>
              <w:spacing w:before="240" w:after="120"/>
              <w:rPr>
                <w:sz w:val="24"/>
                <w:szCs w:val="24"/>
              </w:rPr>
            </w:pPr>
            <w:r>
              <w:tab/>
            </w:r>
            <w:r w:rsidRPr="00CC1965">
              <w:rPr>
                <w:i/>
                <w:iCs/>
                <w:sz w:val="24"/>
                <w:szCs w:val="24"/>
              </w:rPr>
              <w:t>Резюме</w:t>
            </w:r>
          </w:p>
        </w:tc>
      </w:tr>
      <w:tr w:rsidR="00CC1965" w:rsidRPr="0073500C" w14:paraId="593E7001" w14:textId="77777777" w:rsidTr="00DA4E44">
        <w:trPr>
          <w:jc w:val="center"/>
        </w:trPr>
        <w:tc>
          <w:tcPr>
            <w:tcW w:w="9629" w:type="dxa"/>
            <w:tcBorders>
              <w:top w:val="nil"/>
              <w:bottom w:val="nil"/>
            </w:tcBorders>
            <w:shd w:val="clear" w:color="auto" w:fill="auto"/>
          </w:tcPr>
          <w:p w14:paraId="21F89A26" w14:textId="77777777" w:rsidR="00CC1965" w:rsidRPr="0073500C" w:rsidRDefault="00CC1965" w:rsidP="00DA4E44">
            <w:pPr>
              <w:pStyle w:val="SingleTxtG"/>
            </w:pPr>
            <w:r>
              <w:tab/>
              <w:t>В настоящем докладе Подкомитет по предупреждению пыток и других жестоких, бесчеловечных или унижающих достоинство видов обращения и наказания сообщает о работе, проделанной им в 2023 году.</w:t>
            </w:r>
          </w:p>
        </w:tc>
      </w:tr>
      <w:tr w:rsidR="00CC1965" w:rsidRPr="0073500C" w14:paraId="1BB3BC54" w14:textId="77777777" w:rsidTr="00DA4E44">
        <w:trPr>
          <w:jc w:val="center"/>
        </w:trPr>
        <w:tc>
          <w:tcPr>
            <w:tcW w:w="9629" w:type="dxa"/>
            <w:tcBorders>
              <w:top w:val="nil"/>
              <w:bottom w:val="nil"/>
            </w:tcBorders>
            <w:shd w:val="clear" w:color="auto" w:fill="auto"/>
          </w:tcPr>
          <w:p w14:paraId="4B5BCC26" w14:textId="77777777" w:rsidR="00CC1965" w:rsidRPr="0073500C" w:rsidRDefault="00CC1965" w:rsidP="00DA4E44">
            <w:pPr>
              <w:pStyle w:val="SingleTxtG"/>
            </w:pPr>
            <w:r>
              <w:tab/>
              <w:t>После краткого введения Подкомитет приводит обновленную информацию о функционировании системы Факультативного протокола к Конвенции против пыток и других жестоких, бесчеловечных или унижающих достоинство видов обращения и наказания, включая сведения о предпринятых им посещениях, росте числа государств-участников и назначенных национальных превентивных механизмов, а также подробные сведения о деятельности Специального фонда, учрежденного Факультативным протоколом (раздел II).</w:t>
            </w:r>
          </w:p>
        </w:tc>
      </w:tr>
      <w:tr w:rsidR="00CC1965" w:rsidRPr="0073500C" w14:paraId="69AD283F" w14:textId="77777777" w:rsidTr="00DA4E44">
        <w:trPr>
          <w:jc w:val="center"/>
        </w:trPr>
        <w:tc>
          <w:tcPr>
            <w:tcW w:w="9629" w:type="dxa"/>
            <w:tcBorders>
              <w:top w:val="nil"/>
              <w:bottom w:val="nil"/>
            </w:tcBorders>
            <w:shd w:val="clear" w:color="auto" w:fill="auto"/>
          </w:tcPr>
          <w:p w14:paraId="594C92EB" w14:textId="6698E101" w:rsidR="00CC1965" w:rsidRPr="0073500C" w:rsidRDefault="00CC1965" w:rsidP="00DA4E44">
            <w:pPr>
              <w:pStyle w:val="SingleTxtG"/>
            </w:pPr>
            <w:r>
              <w:tab/>
              <w:t>Подкомитет предоставляет также относящуюся к сути вопроса информацию о взаимодействии с другими органами в области предупреждения пыток (раздел III) и событиях, связанных с методами его работы (раздел IV)</w:t>
            </w:r>
            <w:r w:rsidR="008A1B0E" w:rsidRPr="008A1B0E">
              <w:t>,</w:t>
            </w:r>
            <w:r>
              <w:t xml:space="preserve"> и комментирует вопросы, с которыми он столкнулся при выполнении своей работы в отчетном году.</w:t>
            </w:r>
          </w:p>
        </w:tc>
      </w:tr>
      <w:tr w:rsidR="00CC1965" w:rsidRPr="0073500C" w14:paraId="6AFBC13F" w14:textId="77777777" w:rsidTr="00DA4E44">
        <w:trPr>
          <w:jc w:val="center"/>
        </w:trPr>
        <w:tc>
          <w:tcPr>
            <w:tcW w:w="9629" w:type="dxa"/>
            <w:tcBorders>
              <w:top w:val="nil"/>
              <w:bottom w:val="nil"/>
            </w:tcBorders>
            <w:shd w:val="clear" w:color="auto" w:fill="auto"/>
          </w:tcPr>
          <w:p w14:paraId="32EDE1CA" w14:textId="77777777" w:rsidR="00CC1965" w:rsidRPr="0073500C" w:rsidRDefault="00CC1965" w:rsidP="00DA4E44">
            <w:pPr>
              <w:pStyle w:val="SingleTxtG"/>
            </w:pPr>
            <w:r>
              <w:tab/>
              <w:t>В заключительной части доклада Подкомитет рассматривает задачи на будущее (раздел V) и описывает свой план работы (раздел VI).</w:t>
            </w:r>
          </w:p>
        </w:tc>
      </w:tr>
      <w:tr w:rsidR="00CC1965" w:rsidRPr="0073500C" w14:paraId="1FACA224" w14:textId="77777777" w:rsidTr="00DA4E44">
        <w:trPr>
          <w:jc w:val="center"/>
        </w:trPr>
        <w:tc>
          <w:tcPr>
            <w:tcW w:w="9629" w:type="dxa"/>
            <w:tcBorders>
              <w:top w:val="nil"/>
              <w:bottom w:val="nil"/>
            </w:tcBorders>
            <w:shd w:val="clear" w:color="auto" w:fill="auto"/>
          </w:tcPr>
          <w:p w14:paraId="573176EF" w14:textId="77777777" w:rsidR="00CC1965" w:rsidRPr="0073500C" w:rsidRDefault="00CC1965" w:rsidP="00DA4E44">
            <w:pPr>
              <w:pStyle w:val="SingleTxtG"/>
            </w:pPr>
            <w:r>
              <w:tab/>
              <w:t>В приложениях содержится подборка рекомендаций, указаний и разъяснений, предоставленных Подкомитетом в 2023 году по просьбам национальных превентивных механизмов и государств-участников, а также в контексте участия Подкомитета в совещаниях с национальными превентивными механизмами и других соответствующих мероприятиях.</w:t>
            </w:r>
          </w:p>
        </w:tc>
      </w:tr>
      <w:tr w:rsidR="00CC1965" w:rsidRPr="0073500C" w14:paraId="538BFF2D" w14:textId="77777777" w:rsidTr="00DA4E44">
        <w:trPr>
          <w:jc w:val="center"/>
        </w:trPr>
        <w:tc>
          <w:tcPr>
            <w:tcW w:w="9629" w:type="dxa"/>
            <w:tcBorders>
              <w:top w:val="nil"/>
            </w:tcBorders>
          </w:tcPr>
          <w:p w14:paraId="3CD50776" w14:textId="77777777" w:rsidR="00CC1965" w:rsidRPr="0073500C" w:rsidRDefault="00CC1965" w:rsidP="00DA4E44">
            <w:pPr>
              <w:suppressAutoHyphens w:val="0"/>
            </w:pPr>
          </w:p>
        </w:tc>
      </w:tr>
    </w:tbl>
    <w:p w14:paraId="3CC93BDD" w14:textId="77777777" w:rsidR="00CC1965" w:rsidRPr="0073500C" w:rsidRDefault="00CC1965" w:rsidP="00CC1965">
      <w:pPr>
        <w:pStyle w:val="SingleTxtG"/>
      </w:pPr>
      <w:r w:rsidRPr="0073500C">
        <w:br w:type="page"/>
      </w:r>
    </w:p>
    <w:p w14:paraId="18F9FC31" w14:textId="77777777" w:rsidR="00D86C0F" w:rsidRDefault="00D86C0F" w:rsidP="00D86C0F">
      <w:pPr>
        <w:spacing w:after="120"/>
        <w:rPr>
          <w:sz w:val="28"/>
        </w:rPr>
      </w:pPr>
      <w:bookmarkStart w:id="4" w:name="_Hlk162429109"/>
      <w:r>
        <w:rPr>
          <w:sz w:val="28"/>
        </w:rPr>
        <w:lastRenderedPageBreak/>
        <w:t>Содержание</w:t>
      </w:r>
    </w:p>
    <w:p w14:paraId="494C9E65" w14:textId="77777777" w:rsidR="00D86C0F" w:rsidRDefault="00D86C0F" w:rsidP="00D86C0F">
      <w:pPr>
        <w:tabs>
          <w:tab w:val="right" w:pos="9638"/>
        </w:tabs>
        <w:spacing w:after="120"/>
        <w:ind w:left="283"/>
        <w:rPr>
          <w:sz w:val="18"/>
        </w:rPr>
      </w:pPr>
      <w:r>
        <w:rPr>
          <w:i/>
          <w:sz w:val="18"/>
        </w:rPr>
        <w:tab/>
        <w:t>Стр.</w:t>
      </w:r>
    </w:p>
    <w:p w14:paraId="1B65642E" w14:textId="77777777" w:rsidR="00D86C0F" w:rsidRPr="00D4197A" w:rsidRDefault="00D86C0F" w:rsidP="00D86C0F">
      <w:pPr>
        <w:tabs>
          <w:tab w:val="right" w:pos="850"/>
          <w:tab w:val="left" w:pos="1134"/>
          <w:tab w:val="left" w:pos="1559"/>
          <w:tab w:val="left" w:pos="1984"/>
          <w:tab w:val="left" w:leader="dot" w:pos="8787"/>
          <w:tab w:val="right" w:pos="9638"/>
        </w:tabs>
        <w:spacing w:after="120"/>
      </w:pPr>
      <w:bookmarkStart w:id="5" w:name="_Hlk152830603"/>
      <w:r w:rsidRPr="009868B1">
        <w:tab/>
      </w:r>
      <w:r w:rsidRPr="0073500C">
        <w:rPr>
          <w:lang w:val="en-US"/>
        </w:rPr>
        <w:t>I</w:t>
      </w:r>
      <w:r w:rsidRPr="009868B1">
        <w:t>.</w:t>
      </w:r>
      <w:r w:rsidRPr="009868B1">
        <w:tab/>
      </w:r>
      <w:r>
        <w:t>Введение</w:t>
      </w:r>
      <w:r w:rsidRPr="009868B1">
        <w:tab/>
      </w:r>
      <w:r w:rsidRPr="009868B1">
        <w:tab/>
      </w:r>
      <w:r w:rsidRPr="009868B1">
        <w:tab/>
      </w:r>
      <w:r w:rsidRPr="00D4197A">
        <w:t>3</w:t>
      </w:r>
    </w:p>
    <w:p w14:paraId="1BC10A3C" w14:textId="77777777" w:rsidR="00D86C0F" w:rsidRPr="00D4197A" w:rsidRDefault="00D86C0F" w:rsidP="00D86C0F">
      <w:pPr>
        <w:tabs>
          <w:tab w:val="right" w:pos="850"/>
          <w:tab w:val="left" w:pos="1134"/>
          <w:tab w:val="left" w:pos="1559"/>
          <w:tab w:val="left" w:pos="1984"/>
          <w:tab w:val="left" w:leader="dot" w:pos="8787"/>
          <w:tab w:val="right" w:pos="9638"/>
        </w:tabs>
        <w:spacing w:after="120"/>
      </w:pPr>
      <w:r w:rsidRPr="00D4197A">
        <w:tab/>
      </w:r>
      <w:r w:rsidRPr="0073500C">
        <w:rPr>
          <w:lang w:val="en-US"/>
        </w:rPr>
        <w:t>II</w:t>
      </w:r>
      <w:r w:rsidRPr="00D4197A">
        <w:t>.</w:t>
      </w:r>
      <w:r w:rsidRPr="00D4197A">
        <w:tab/>
      </w:r>
      <w:r>
        <w:rPr>
          <w:bCs/>
        </w:rPr>
        <w:t>Отчетный год</w:t>
      </w:r>
      <w:r w:rsidRPr="00D4197A">
        <w:tab/>
      </w:r>
      <w:r w:rsidRPr="00D4197A">
        <w:tab/>
        <w:t>3</w:t>
      </w:r>
    </w:p>
    <w:p w14:paraId="57B26B40" w14:textId="77777777" w:rsidR="00D86C0F" w:rsidRPr="00D4197A" w:rsidRDefault="00D86C0F" w:rsidP="00D86C0F">
      <w:pPr>
        <w:tabs>
          <w:tab w:val="right" w:pos="850"/>
          <w:tab w:val="left" w:pos="1134"/>
          <w:tab w:val="left" w:pos="1559"/>
          <w:tab w:val="left" w:pos="1984"/>
          <w:tab w:val="left" w:leader="dot" w:pos="8787"/>
          <w:tab w:val="right" w:pos="9638"/>
        </w:tabs>
        <w:spacing w:after="120"/>
      </w:pPr>
      <w:r w:rsidRPr="00D4197A">
        <w:tab/>
      </w:r>
      <w:r w:rsidRPr="00D4197A">
        <w:tab/>
      </w:r>
      <w:r w:rsidRPr="0073500C">
        <w:rPr>
          <w:lang w:val="en-US"/>
        </w:rPr>
        <w:t>A</w:t>
      </w:r>
      <w:r w:rsidRPr="00D4197A">
        <w:t>.</w:t>
      </w:r>
      <w:r w:rsidRPr="00D4197A">
        <w:tab/>
      </w:r>
      <w:r>
        <w:rPr>
          <w:bCs/>
        </w:rPr>
        <w:t>Участие в системе Факультативного протокола</w:t>
      </w:r>
      <w:r w:rsidRPr="00D4197A">
        <w:tab/>
      </w:r>
      <w:r w:rsidRPr="00D4197A">
        <w:tab/>
        <w:t>3</w:t>
      </w:r>
    </w:p>
    <w:p w14:paraId="72C94CB7" w14:textId="77777777" w:rsidR="00D86C0F" w:rsidRPr="00D4197A" w:rsidRDefault="00D86C0F" w:rsidP="00D86C0F">
      <w:pPr>
        <w:tabs>
          <w:tab w:val="right" w:pos="850"/>
          <w:tab w:val="left" w:pos="1134"/>
          <w:tab w:val="left" w:pos="1559"/>
          <w:tab w:val="left" w:pos="1984"/>
          <w:tab w:val="left" w:leader="dot" w:pos="8787"/>
          <w:tab w:val="right" w:pos="9638"/>
        </w:tabs>
        <w:spacing w:after="120"/>
      </w:pPr>
      <w:r w:rsidRPr="00D4197A">
        <w:tab/>
      </w:r>
      <w:r w:rsidRPr="00D4197A">
        <w:tab/>
      </w:r>
      <w:r w:rsidRPr="0073500C">
        <w:rPr>
          <w:lang w:val="en-US"/>
        </w:rPr>
        <w:t>B</w:t>
      </w:r>
      <w:r w:rsidRPr="00D4197A">
        <w:t>.</w:t>
      </w:r>
      <w:r w:rsidRPr="00D4197A">
        <w:tab/>
      </w:r>
      <w:r>
        <w:rPr>
          <w:bCs/>
        </w:rPr>
        <w:t>Организационные вопросы и членский состав</w:t>
      </w:r>
      <w:r w:rsidRPr="00D4197A">
        <w:tab/>
      </w:r>
      <w:r w:rsidRPr="00D4197A">
        <w:tab/>
        <w:t>3</w:t>
      </w:r>
    </w:p>
    <w:p w14:paraId="2F90F9D9" w14:textId="77777777" w:rsidR="00D86C0F" w:rsidRPr="00D4197A" w:rsidRDefault="00D86C0F" w:rsidP="00D86C0F">
      <w:pPr>
        <w:tabs>
          <w:tab w:val="right" w:pos="850"/>
          <w:tab w:val="left" w:pos="1134"/>
          <w:tab w:val="left" w:pos="1559"/>
          <w:tab w:val="left" w:pos="1984"/>
          <w:tab w:val="left" w:leader="dot" w:pos="8787"/>
          <w:tab w:val="right" w:pos="9638"/>
        </w:tabs>
        <w:spacing w:after="120"/>
      </w:pPr>
      <w:r w:rsidRPr="00D4197A">
        <w:tab/>
      </w:r>
      <w:r w:rsidRPr="00D4197A">
        <w:tab/>
      </w:r>
      <w:r w:rsidRPr="0073500C">
        <w:rPr>
          <w:lang w:val="en-US"/>
        </w:rPr>
        <w:t>C</w:t>
      </w:r>
      <w:r w:rsidRPr="00D4197A">
        <w:t>.</w:t>
      </w:r>
      <w:r w:rsidRPr="00D4197A">
        <w:tab/>
      </w:r>
      <w:r>
        <w:rPr>
          <w:bCs/>
        </w:rPr>
        <w:t>Посещения, проведенные за отчетный период</w:t>
      </w:r>
      <w:r w:rsidRPr="00D4197A">
        <w:tab/>
      </w:r>
      <w:r w:rsidRPr="00D4197A">
        <w:tab/>
        <w:t>5</w:t>
      </w:r>
    </w:p>
    <w:p w14:paraId="67CDCCED" w14:textId="77777777" w:rsidR="00D86C0F" w:rsidRPr="00D4197A" w:rsidRDefault="00D86C0F" w:rsidP="00D86C0F">
      <w:pPr>
        <w:tabs>
          <w:tab w:val="right" w:pos="850"/>
          <w:tab w:val="left" w:pos="1134"/>
          <w:tab w:val="left" w:pos="1559"/>
          <w:tab w:val="left" w:pos="1984"/>
          <w:tab w:val="left" w:leader="dot" w:pos="8787"/>
          <w:tab w:val="right" w:pos="9638"/>
        </w:tabs>
        <w:spacing w:after="120"/>
      </w:pPr>
      <w:r w:rsidRPr="00D4197A">
        <w:tab/>
      </w:r>
      <w:r w:rsidRPr="00D4197A">
        <w:tab/>
      </w:r>
      <w:r w:rsidRPr="0073500C">
        <w:rPr>
          <w:lang w:val="en-US"/>
        </w:rPr>
        <w:t>D</w:t>
      </w:r>
      <w:r w:rsidRPr="00D4197A">
        <w:t>.</w:t>
      </w:r>
      <w:r w:rsidRPr="00D4197A">
        <w:tab/>
      </w:r>
      <w:r>
        <w:rPr>
          <w:bCs/>
        </w:rPr>
        <w:t>Доклады о посещениях</w:t>
      </w:r>
      <w:r w:rsidRPr="00D4197A">
        <w:tab/>
      </w:r>
      <w:r w:rsidRPr="00D4197A">
        <w:tab/>
        <w:t>6</w:t>
      </w:r>
    </w:p>
    <w:p w14:paraId="5D3B8ACB" w14:textId="77777777" w:rsidR="00D86C0F" w:rsidRPr="009868B1" w:rsidRDefault="00D86C0F" w:rsidP="00D86C0F">
      <w:pPr>
        <w:tabs>
          <w:tab w:val="right" w:pos="850"/>
          <w:tab w:val="left" w:pos="1134"/>
          <w:tab w:val="left" w:pos="1559"/>
          <w:tab w:val="left" w:pos="1984"/>
          <w:tab w:val="left" w:leader="dot" w:pos="8787"/>
          <w:tab w:val="right" w:pos="9638"/>
        </w:tabs>
        <w:spacing w:after="120"/>
      </w:pPr>
      <w:r w:rsidRPr="00D4197A">
        <w:tab/>
      </w:r>
      <w:r w:rsidRPr="00D4197A">
        <w:tab/>
      </w:r>
      <w:r w:rsidRPr="0073500C">
        <w:rPr>
          <w:lang w:val="en-US"/>
        </w:rPr>
        <w:t>E</w:t>
      </w:r>
      <w:r w:rsidRPr="00D4197A">
        <w:t>.</w:t>
      </w:r>
      <w:r w:rsidRPr="00D4197A">
        <w:tab/>
      </w:r>
      <w:r>
        <w:rPr>
          <w:bCs/>
        </w:rPr>
        <w:t>События, связанные с национальными превентивными механизмами</w:t>
      </w:r>
      <w:r w:rsidRPr="00D4197A">
        <w:tab/>
      </w:r>
      <w:r w:rsidRPr="00D4197A">
        <w:tab/>
      </w:r>
      <w:r w:rsidRPr="009868B1">
        <w:t>8</w:t>
      </w:r>
    </w:p>
    <w:p w14:paraId="504880C3" w14:textId="77777777" w:rsidR="00D86C0F" w:rsidRPr="009868B1" w:rsidRDefault="00D86C0F" w:rsidP="00D86C0F">
      <w:pPr>
        <w:tabs>
          <w:tab w:val="right" w:pos="850"/>
          <w:tab w:val="left" w:pos="1134"/>
          <w:tab w:val="left" w:pos="1559"/>
          <w:tab w:val="left" w:pos="1984"/>
          <w:tab w:val="left" w:leader="dot" w:pos="8787"/>
          <w:tab w:val="right" w:pos="9638"/>
        </w:tabs>
        <w:spacing w:after="120"/>
      </w:pPr>
      <w:r w:rsidRPr="00D4197A">
        <w:tab/>
      </w:r>
      <w:r w:rsidRPr="00D4197A">
        <w:tab/>
      </w:r>
      <w:r w:rsidRPr="0073500C">
        <w:rPr>
          <w:lang w:val="en-US"/>
        </w:rPr>
        <w:t>F</w:t>
      </w:r>
      <w:r w:rsidRPr="00D4197A">
        <w:t>.</w:t>
      </w:r>
      <w:r w:rsidRPr="00D4197A">
        <w:tab/>
      </w:r>
      <w:r>
        <w:rPr>
          <w:bCs/>
        </w:rPr>
        <w:t>Существенное несоблюдение статьи 17</w:t>
      </w:r>
      <w:r w:rsidRPr="00D4197A">
        <w:tab/>
      </w:r>
      <w:r w:rsidRPr="00D4197A">
        <w:tab/>
      </w:r>
      <w:r w:rsidRPr="009868B1">
        <w:t>10</w:t>
      </w:r>
    </w:p>
    <w:p w14:paraId="08808BB7" w14:textId="77777777" w:rsidR="00D86C0F" w:rsidRPr="009868B1" w:rsidRDefault="00D86C0F" w:rsidP="00D86C0F">
      <w:pPr>
        <w:tabs>
          <w:tab w:val="right" w:pos="850"/>
          <w:tab w:val="left" w:pos="1134"/>
          <w:tab w:val="left" w:pos="1559"/>
          <w:tab w:val="left" w:pos="1984"/>
          <w:tab w:val="left" w:leader="dot" w:pos="8787"/>
          <w:tab w:val="right" w:pos="9638"/>
        </w:tabs>
        <w:spacing w:after="120"/>
      </w:pPr>
      <w:r w:rsidRPr="00D4197A">
        <w:tab/>
      </w:r>
      <w:r w:rsidRPr="00D4197A">
        <w:tab/>
      </w:r>
      <w:r w:rsidRPr="0073500C">
        <w:rPr>
          <w:lang w:val="en-US"/>
        </w:rPr>
        <w:t>G</w:t>
      </w:r>
      <w:r w:rsidRPr="00D4197A">
        <w:t>.</w:t>
      </w:r>
      <w:r w:rsidRPr="00D4197A">
        <w:tab/>
      </w:r>
      <w:r>
        <w:rPr>
          <w:bCs/>
        </w:rPr>
        <w:t>Специальный фонд, учрежденный Факультативным протоколом</w:t>
      </w:r>
      <w:r w:rsidRPr="00D4197A">
        <w:tab/>
      </w:r>
      <w:r w:rsidRPr="00D4197A">
        <w:tab/>
        <w:t>1</w:t>
      </w:r>
      <w:r w:rsidRPr="009868B1">
        <w:t>1</w:t>
      </w:r>
    </w:p>
    <w:p w14:paraId="467C9AE9" w14:textId="77777777" w:rsidR="00D86C0F" w:rsidRPr="009868B1" w:rsidRDefault="00D86C0F" w:rsidP="00D86C0F">
      <w:pPr>
        <w:tabs>
          <w:tab w:val="right" w:pos="850"/>
          <w:tab w:val="left" w:pos="1134"/>
          <w:tab w:val="left" w:pos="1559"/>
          <w:tab w:val="left" w:pos="1984"/>
          <w:tab w:val="left" w:leader="dot" w:pos="8787"/>
          <w:tab w:val="right" w:pos="9638"/>
        </w:tabs>
        <w:spacing w:after="120"/>
      </w:pPr>
      <w:r w:rsidRPr="00D4197A">
        <w:tab/>
      </w:r>
      <w:r w:rsidRPr="00D4197A">
        <w:tab/>
      </w:r>
      <w:r w:rsidRPr="0073500C">
        <w:rPr>
          <w:lang w:val="en-US"/>
        </w:rPr>
        <w:t>H</w:t>
      </w:r>
      <w:r w:rsidRPr="00D4197A">
        <w:t>.</w:t>
      </w:r>
      <w:r w:rsidRPr="00D4197A">
        <w:tab/>
      </w:r>
      <w:r>
        <w:rPr>
          <w:bCs/>
        </w:rPr>
        <w:t>Проект замечания общего порядка</w:t>
      </w:r>
      <w:r w:rsidRPr="00D4197A">
        <w:tab/>
      </w:r>
      <w:r w:rsidRPr="00D4197A">
        <w:tab/>
        <w:t>1</w:t>
      </w:r>
      <w:r w:rsidRPr="009868B1">
        <w:t>1</w:t>
      </w:r>
    </w:p>
    <w:p w14:paraId="354FB5A9" w14:textId="77777777" w:rsidR="00D86C0F" w:rsidRPr="009868B1" w:rsidRDefault="00D86C0F" w:rsidP="00D86C0F">
      <w:pPr>
        <w:tabs>
          <w:tab w:val="right" w:pos="850"/>
          <w:tab w:val="left" w:pos="1134"/>
          <w:tab w:val="left" w:pos="1559"/>
          <w:tab w:val="left" w:pos="1984"/>
          <w:tab w:val="left" w:leader="dot" w:pos="8787"/>
          <w:tab w:val="right" w:pos="9638"/>
        </w:tabs>
        <w:spacing w:after="120"/>
      </w:pPr>
      <w:r w:rsidRPr="00D4197A">
        <w:tab/>
      </w:r>
      <w:r w:rsidRPr="00D4197A">
        <w:tab/>
      </w:r>
      <w:r w:rsidRPr="0073500C">
        <w:rPr>
          <w:lang w:val="en-US"/>
        </w:rPr>
        <w:t>I</w:t>
      </w:r>
      <w:r w:rsidRPr="00D4197A">
        <w:t>.</w:t>
      </w:r>
      <w:r w:rsidRPr="00D4197A">
        <w:tab/>
      </w:r>
      <w:r>
        <w:rPr>
          <w:bCs/>
        </w:rPr>
        <w:t xml:space="preserve">Руководство по эффективному расследованию и документированию пыток </w:t>
      </w:r>
      <w:r>
        <w:rPr>
          <w:bCs/>
        </w:rPr>
        <w:br/>
      </w:r>
      <w:r>
        <w:rPr>
          <w:bCs/>
        </w:rPr>
        <w:tab/>
      </w:r>
      <w:r>
        <w:rPr>
          <w:bCs/>
        </w:rPr>
        <w:tab/>
      </w:r>
      <w:r>
        <w:rPr>
          <w:bCs/>
        </w:rPr>
        <w:tab/>
        <w:t xml:space="preserve">и других жестоких, бесчеловечных или унижающих достоинство видов </w:t>
      </w:r>
      <w:r>
        <w:rPr>
          <w:bCs/>
        </w:rPr>
        <w:br/>
      </w:r>
      <w:r>
        <w:rPr>
          <w:bCs/>
        </w:rPr>
        <w:tab/>
      </w:r>
      <w:r>
        <w:rPr>
          <w:bCs/>
        </w:rPr>
        <w:tab/>
      </w:r>
      <w:r>
        <w:rPr>
          <w:bCs/>
        </w:rPr>
        <w:tab/>
        <w:t>обращения и наказания (Стамбульский протокол)</w:t>
      </w:r>
      <w:r w:rsidRPr="00D4197A">
        <w:tab/>
      </w:r>
      <w:r w:rsidRPr="00D4197A">
        <w:tab/>
        <w:t>1</w:t>
      </w:r>
      <w:r w:rsidRPr="009868B1">
        <w:t>2</w:t>
      </w:r>
    </w:p>
    <w:p w14:paraId="4DF8E624" w14:textId="77777777" w:rsidR="00D86C0F" w:rsidRPr="009868B1" w:rsidRDefault="00D86C0F" w:rsidP="00D86C0F">
      <w:pPr>
        <w:tabs>
          <w:tab w:val="right" w:pos="850"/>
          <w:tab w:val="left" w:pos="1134"/>
          <w:tab w:val="left" w:pos="1559"/>
          <w:tab w:val="left" w:pos="1984"/>
          <w:tab w:val="left" w:leader="dot" w:pos="8787"/>
          <w:tab w:val="right" w:pos="9638"/>
        </w:tabs>
        <w:spacing w:after="120"/>
      </w:pPr>
      <w:r w:rsidRPr="00D4197A">
        <w:tab/>
      </w:r>
      <w:r w:rsidRPr="00D4197A">
        <w:tab/>
      </w:r>
      <w:r w:rsidRPr="0073500C">
        <w:rPr>
          <w:lang w:val="en-US"/>
        </w:rPr>
        <w:t>J</w:t>
      </w:r>
      <w:r w:rsidRPr="00D4197A">
        <w:t>.</w:t>
      </w:r>
      <w:r w:rsidRPr="00D4197A">
        <w:tab/>
      </w:r>
      <w:r>
        <w:rPr>
          <w:bCs/>
        </w:rPr>
        <w:t xml:space="preserve">Конференция, посвященная двадцатой годовщине Факультативного протокола </w:t>
      </w:r>
      <w:r>
        <w:rPr>
          <w:bCs/>
        </w:rPr>
        <w:br/>
      </w:r>
      <w:r>
        <w:rPr>
          <w:bCs/>
        </w:rPr>
        <w:tab/>
      </w:r>
      <w:r>
        <w:rPr>
          <w:bCs/>
        </w:rPr>
        <w:tab/>
      </w:r>
      <w:r>
        <w:rPr>
          <w:bCs/>
        </w:rPr>
        <w:tab/>
        <w:t>и пятнадцатой годовщине создания Подкомитета</w:t>
      </w:r>
      <w:r w:rsidRPr="00D4197A">
        <w:tab/>
      </w:r>
      <w:r w:rsidRPr="00D4197A">
        <w:tab/>
        <w:t>1</w:t>
      </w:r>
      <w:r w:rsidRPr="009868B1">
        <w:t>3</w:t>
      </w:r>
    </w:p>
    <w:p w14:paraId="60A1D36F" w14:textId="77777777" w:rsidR="00D86C0F" w:rsidRPr="009868B1" w:rsidRDefault="00D86C0F" w:rsidP="00D86C0F">
      <w:pPr>
        <w:tabs>
          <w:tab w:val="right" w:pos="850"/>
          <w:tab w:val="left" w:pos="1134"/>
          <w:tab w:val="left" w:pos="1559"/>
          <w:tab w:val="left" w:pos="1984"/>
          <w:tab w:val="left" w:leader="dot" w:pos="8787"/>
          <w:tab w:val="right" w:pos="9638"/>
        </w:tabs>
        <w:spacing w:after="120"/>
      </w:pPr>
      <w:r w:rsidRPr="00D4197A">
        <w:tab/>
      </w:r>
      <w:r w:rsidRPr="0073500C">
        <w:rPr>
          <w:lang w:val="en-US"/>
        </w:rPr>
        <w:t>III</w:t>
      </w:r>
      <w:r w:rsidRPr="00D4197A">
        <w:t>.</w:t>
      </w:r>
      <w:r w:rsidRPr="00D4197A">
        <w:tab/>
      </w:r>
      <w:r>
        <w:rPr>
          <w:bCs/>
        </w:rPr>
        <w:t>Взаимодействие с другими органами в области предупреждения пыток</w:t>
      </w:r>
      <w:r w:rsidRPr="00D4197A">
        <w:tab/>
      </w:r>
      <w:r>
        <w:tab/>
      </w:r>
      <w:r w:rsidRPr="00D4197A">
        <w:t>1</w:t>
      </w:r>
      <w:r w:rsidRPr="009868B1">
        <w:t>3</w:t>
      </w:r>
    </w:p>
    <w:p w14:paraId="3B3939CB" w14:textId="77777777" w:rsidR="00D86C0F" w:rsidRPr="009868B1" w:rsidRDefault="00D86C0F" w:rsidP="00D86C0F">
      <w:pPr>
        <w:tabs>
          <w:tab w:val="right" w:pos="850"/>
          <w:tab w:val="left" w:pos="1134"/>
          <w:tab w:val="left" w:pos="1559"/>
          <w:tab w:val="left" w:pos="1984"/>
          <w:tab w:val="left" w:leader="dot" w:pos="8787"/>
          <w:tab w:val="right" w:pos="9638"/>
        </w:tabs>
        <w:spacing w:after="120"/>
      </w:pPr>
      <w:r w:rsidRPr="00D4197A">
        <w:tab/>
      </w:r>
      <w:r w:rsidRPr="00D4197A">
        <w:tab/>
      </w:r>
      <w:r w:rsidRPr="0073500C">
        <w:rPr>
          <w:lang w:val="en-US"/>
        </w:rPr>
        <w:t>A</w:t>
      </w:r>
      <w:r w:rsidRPr="00D4197A">
        <w:t>.</w:t>
      </w:r>
      <w:r w:rsidRPr="00D4197A">
        <w:tab/>
      </w:r>
      <w:r>
        <w:rPr>
          <w:bCs/>
        </w:rPr>
        <w:t>Международное сотрудничество</w:t>
      </w:r>
      <w:r w:rsidRPr="00D4197A">
        <w:tab/>
      </w:r>
      <w:r w:rsidRPr="00D4197A">
        <w:tab/>
        <w:t>1</w:t>
      </w:r>
      <w:r w:rsidRPr="009868B1">
        <w:t>3</w:t>
      </w:r>
    </w:p>
    <w:p w14:paraId="1D6AECE0" w14:textId="77777777" w:rsidR="00D86C0F" w:rsidRPr="009868B1" w:rsidRDefault="00D86C0F" w:rsidP="00D86C0F">
      <w:pPr>
        <w:tabs>
          <w:tab w:val="right" w:pos="850"/>
          <w:tab w:val="left" w:pos="1134"/>
          <w:tab w:val="left" w:pos="1559"/>
          <w:tab w:val="left" w:pos="1984"/>
          <w:tab w:val="left" w:leader="dot" w:pos="8787"/>
          <w:tab w:val="right" w:pos="9638"/>
        </w:tabs>
        <w:spacing w:after="120"/>
      </w:pPr>
      <w:r w:rsidRPr="00D4197A">
        <w:tab/>
      </w:r>
      <w:r w:rsidRPr="00D4197A">
        <w:tab/>
      </w:r>
      <w:r w:rsidRPr="0073500C">
        <w:rPr>
          <w:lang w:val="en-US"/>
        </w:rPr>
        <w:t>B</w:t>
      </w:r>
      <w:r w:rsidRPr="00D4197A">
        <w:t>.</w:t>
      </w:r>
      <w:r w:rsidRPr="00D4197A">
        <w:tab/>
      </w:r>
      <w:r>
        <w:rPr>
          <w:bCs/>
        </w:rPr>
        <w:t>Региональное сотрудничество</w:t>
      </w:r>
      <w:r w:rsidRPr="00D4197A">
        <w:tab/>
      </w:r>
      <w:r w:rsidRPr="00D4197A">
        <w:tab/>
        <w:t>1</w:t>
      </w:r>
      <w:r w:rsidRPr="009868B1">
        <w:t>5</w:t>
      </w:r>
    </w:p>
    <w:p w14:paraId="2A0E15D5" w14:textId="77777777" w:rsidR="00D86C0F" w:rsidRPr="009868B1" w:rsidRDefault="00D86C0F" w:rsidP="00D86C0F">
      <w:pPr>
        <w:tabs>
          <w:tab w:val="right" w:pos="850"/>
          <w:tab w:val="left" w:pos="1134"/>
          <w:tab w:val="left" w:pos="1559"/>
          <w:tab w:val="left" w:pos="1984"/>
          <w:tab w:val="left" w:leader="dot" w:pos="8787"/>
          <w:tab w:val="right" w:pos="9638"/>
        </w:tabs>
        <w:spacing w:after="120"/>
      </w:pPr>
      <w:r w:rsidRPr="00D4197A">
        <w:tab/>
      </w:r>
      <w:r w:rsidRPr="00D4197A">
        <w:tab/>
      </w:r>
      <w:r w:rsidRPr="0073500C">
        <w:rPr>
          <w:lang w:val="en-US"/>
        </w:rPr>
        <w:t>C</w:t>
      </w:r>
      <w:r w:rsidRPr="00D4197A">
        <w:t>.</w:t>
      </w:r>
      <w:r w:rsidRPr="00D4197A">
        <w:tab/>
      </w:r>
      <w:r>
        <w:rPr>
          <w:bCs/>
        </w:rPr>
        <w:t xml:space="preserve">Сотрудничество с гражданским обществом и другими заинтересованными </w:t>
      </w:r>
      <w:r>
        <w:rPr>
          <w:bCs/>
        </w:rPr>
        <w:br/>
      </w:r>
      <w:r>
        <w:rPr>
          <w:bCs/>
        </w:rPr>
        <w:tab/>
      </w:r>
      <w:r>
        <w:rPr>
          <w:bCs/>
        </w:rPr>
        <w:tab/>
      </w:r>
      <w:r>
        <w:rPr>
          <w:bCs/>
        </w:rPr>
        <w:tab/>
        <w:t>сторонами</w:t>
      </w:r>
      <w:r w:rsidRPr="00D4197A">
        <w:tab/>
      </w:r>
      <w:r w:rsidRPr="00D4197A">
        <w:tab/>
        <w:t>1</w:t>
      </w:r>
      <w:r w:rsidRPr="009868B1">
        <w:t>5</w:t>
      </w:r>
    </w:p>
    <w:p w14:paraId="796858A7" w14:textId="77777777" w:rsidR="00D86C0F" w:rsidRPr="009868B1" w:rsidRDefault="00D86C0F" w:rsidP="00D86C0F">
      <w:pPr>
        <w:tabs>
          <w:tab w:val="right" w:pos="850"/>
          <w:tab w:val="left" w:pos="1134"/>
          <w:tab w:val="left" w:pos="1559"/>
          <w:tab w:val="left" w:pos="1984"/>
          <w:tab w:val="left" w:leader="dot" w:pos="8787"/>
          <w:tab w:val="right" w:pos="9638"/>
        </w:tabs>
        <w:spacing w:after="120"/>
      </w:pPr>
      <w:r w:rsidRPr="00D4197A">
        <w:tab/>
      </w:r>
      <w:r w:rsidRPr="0073500C">
        <w:rPr>
          <w:lang w:val="en-US"/>
        </w:rPr>
        <w:t>IV</w:t>
      </w:r>
      <w:r w:rsidRPr="00D4197A">
        <w:t>.</w:t>
      </w:r>
      <w:r w:rsidRPr="00D4197A">
        <w:tab/>
      </w:r>
      <w:r>
        <w:rPr>
          <w:bCs/>
        </w:rPr>
        <w:t>События, связанные с методами работы</w:t>
      </w:r>
      <w:r w:rsidRPr="00D4197A">
        <w:tab/>
      </w:r>
      <w:r w:rsidRPr="00D4197A">
        <w:tab/>
        <w:t>1</w:t>
      </w:r>
      <w:r w:rsidRPr="009868B1">
        <w:t>5</w:t>
      </w:r>
    </w:p>
    <w:p w14:paraId="331DFB6D" w14:textId="77777777" w:rsidR="00D86C0F" w:rsidRPr="009868B1" w:rsidRDefault="00D86C0F" w:rsidP="00D86C0F">
      <w:pPr>
        <w:tabs>
          <w:tab w:val="right" w:pos="850"/>
          <w:tab w:val="left" w:pos="1134"/>
          <w:tab w:val="left" w:pos="1559"/>
          <w:tab w:val="left" w:pos="1984"/>
          <w:tab w:val="left" w:leader="dot" w:pos="8787"/>
          <w:tab w:val="right" w:pos="9638"/>
        </w:tabs>
        <w:spacing w:after="120"/>
      </w:pPr>
      <w:r w:rsidRPr="00D4197A">
        <w:tab/>
      </w:r>
      <w:r w:rsidRPr="00D4197A">
        <w:tab/>
      </w:r>
      <w:r w:rsidRPr="002F2883">
        <w:rPr>
          <w:lang w:val="en-US"/>
        </w:rPr>
        <w:t>A</w:t>
      </w:r>
      <w:r w:rsidRPr="00D4197A">
        <w:t>.</w:t>
      </w:r>
      <w:r w:rsidRPr="00D4197A">
        <w:tab/>
      </w:r>
      <w:r>
        <w:rPr>
          <w:bCs/>
        </w:rPr>
        <w:t>Посещения в 2024 году</w:t>
      </w:r>
      <w:r w:rsidRPr="00D4197A">
        <w:tab/>
      </w:r>
      <w:r w:rsidRPr="00D4197A">
        <w:tab/>
        <w:t>1</w:t>
      </w:r>
      <w:r w:rsidRPr="009868B1">
        <w:t>5</w:t>
      </w:r>
    </w:p>
    <w:p w14:paraId="204348B6" w14:textId="77777777" w:rsidR="00D86C0F" w:rsidRPr="009868B1" w:rsidRDefault="00D86C0F" w:rsidP="00D86C0F">
      <w:pPr>
        <w:tabs>
          <w:tab w:val="right" w:pos="850"/>
          <w:tab w:val="left" w:pos="1134"/>
          <w:tab w:val="left" w:pos="1559"/>
          <w:tab w:val="left" w:pos="1984"/>
          <w:tab w:val="left" w:leader="dot" w:pos="8787"/>
          <w:tab w:val="right" w:pos="9638"/>
        </w:tabs>
        <w:spacing w:after="120"/>
      </w:pPr>
      <w:r w:rsidRPr="00D4197A">
        <w:tab/>
      </w:r>
      <w:r w:rsidRPr="00D4197A">
        <w:tab/>
      </w:r>
      <w:r w:rsidRPr="002F2883">
        <w:rPr>
          <w:lang w:val="en-US"/>
        </w:rPr>
        <w:t>B</w:t>
      </w:r>
      <w:r w:rsidRPr="00D4197A">
        <w:t>.</w:t>
      </w:r>
      <w:r w:rsidRPr="00D4197A">
        <w:tab/>
      </w:r>
      <w:r>
        <w:rPr>
          <w:bCs/>
        </w:rPr>
        <w:t>Продолжительность заседаний</w:t>
      </w:r>
      <w:r w:rsidRPr="00D4197A">
        <w:tab/>
      </w:r>
      <w:r w:rsidRPr="00D4197A">
        <w:tab/>
        <w:t>1</w:t>
      </w:r>
      <w:r w:rsidRPr="009868B1">
        <w:t>6</w:t>
      </w:r>
    </w:p>
    <w:p w14:paraId="504925DD" w14:textId="77777777" w:rsidR="00D86C0F" w:rsidRPr="009868B1" w:rsidRDefault="00D86C0F" w:rsidP="00D86C0F">
      <w:pPr>
        <w:tabs>
          <w:tab w:val="right" w:pos="850"/>
          <w:tab w:val="left" w:pos="1134"/>
          <w:tab w:val="left" w:pos="1559"/>
          <w:tab w:val="left" w:pos="1984"/>
          <w:tab w:val="left" w:leader="dot" w:pos="8787"/>
          <w:tab w:val="right" w:pos="9638"/>
        </w:tabs>
        <w:spacing w:after="120"/>
      </w:pPr>
      <w:r w:rsidRPr="00D4197A">
        <w:tab/>
      </w:r>
      <w:r w:rsidRPr="0073500C">
        <w:rPr>
          <w:lang w:val="en-US"/>
        </w:rPr>
        <w:t>V</w:t>
      </w:r>
      <w:r w:rsidRPr="00D4197A">
        <w:t>.</w:t>
      </w:r>
      <w:r w:rsidRPr="00D4197A">
        <w:tab/>
      </w:r>
      <w:r>
        <w:rPr>
          <w:bCs/>
        </w:rPr>
        <w:t>Задачи на будущее</w:t>
      </w:r>
      <w:r w:rsidRPr="00D4197A">
        <w:tab/>
      </w:r>
      <w:r w:rsidRPr="00D4197A">
        <w:tab/>
        <w:t>1</w:t>
      </w:r>
      <w:r w:rsidRPr="009868B1">
        <w:t>6</w:t>
      </w:r>
    </w:p>
    <w:p w14:paraId="213E6E85" w14:textId="77777777" w:rsidR="00D86C0F" w:rsidRPr="009868B1" w:rsidRDefault="00D86C0F" w:rsidP="00D86C0F">
      <w:pPr>
        <w:tabs>
          <w:tab w:val="right" w:pos="850"/>
          <w:tab w:val="left" w:pos="1134"/>
          <w:tab w:val="left" w:pos="1559"/>
          <w:tab w:val="left" w:pos="1984"/>
          <w:tab w:val="left" w:leader="dot" w:pos="8787"/>
          <w:tab w:val="right" w:pos="9638"/>
        </w:tabs>
        <w:spacing w:after="120"/>
      </w:pPr>
      <w:r w:rsidRPr="00D4197A">
        <w:tab/>
      </w:r>
      <w:r w:rsidRPr="0073500C">
        <w:rPr>
          <w:lang w:val="en-US"/>
        </w:rPr>
        <w:t>VI</w:t>
      </w:r>
      <w:r w:rsidRPr="00D4197A">
        <w:t>.</w:t>
      </w:r>
      <w:r w:rsidRPr="00D4197A">
        <w:tab/>
      </w:r>
      <w:r>
        <w:rPr>
          <w:bCs/>
        </w:rPr>
        <w:t>План работы</w:t>
      </w:r>
      <w:r w:rsidRPr="00D4197A">
        <w:tab/>
      </w:r>
      <w:r w:rsidRPr="00D4197A">
        <w:tab/>
        <w:t>1</w:t>
      </w:r>
      <w:bookmarkEnd w:id="5"/>
      <w:r w:rsidRPr="009868B1">
        <w:t>8</w:t>
      </w:r>
    </w:p>
    <w:p w14:paraId="7322B8FC" w14:textId="77777777" w:rsidR="00D86C0F" w:rsidRPr="00D4197A" w:rsidRDefault="00D86C0F" w:rsidP="00D86C0F">
      <w:pPr>
        <w:tabs>
          <w:tab w:val="left" w:pos="142"/>
          <w:tab w:val="right" w:pos="850"/>
          <w:tab w:val="left" w:pos="1134"/>
          <w:tab w:val="left" w:pos="1559"/>
          <w:tab w:val="left" w:pos="1984"/>
          <w:tab w:val="left" w:leader="dot" w:pos="8787"/>
          <w:tab w:val="right" w:pos="9638"/>
        </w:tabs>
        <w:spacing w:after="120"/>
      </w:pPr>
      <w:r w:rsidRPr="00D4197A">
        <w:tab/>
      </w:r>
      <w:r>
        <w:t>Приложения</w:t>
      </w:r>
    </w:p>
    <w:p w14:paraId="161F7F21" w14:textId="77777777" w:rsidR="00D86C0F" w:rsidRPr="009868B1" w:rsidRDefault="00D86C0F" w:rsidP="00D86C0F">
      <w:pPr>
        <w:tabs>
          <w:tab w:val="right" w:pos="850"/>
          <w:tab w:val="left" w:pos="1134"/>
          <w:tab w:val="left" w:pos="1559"/>
          <w:tab w:val="left" w:pos="1984"/>
          <w:tab w:val="left" w:leader="dot" w:pos="8787"/>
          <w:tab w:val="right" w:pos="9638"/>
        </w:tabs>
        <w:spacing w:after="120"/>
      </w:pPr>
      <w:r w:rsidRPr="00D4197A">
        <w:tab/>
      </w:r>
      <w:r w:rsidRPr="0073500C">
        <w:rPr>
          <w:lang w:val="en-US"/>
        </w:rPr>
        <w:t>I</w:t>
      </w:r>
      <w:r w:rsidRPr="00D4197A">
        <w:t>.</w:t>
      </w:r>
      <w:r w:rsidRPr="00D4197A">
        <w:tab/>
      </w:r>
      <w:r>
        <w:rPr>
          <w:bCs/>
        </w:rPr>
        <w:t xml:space="preserve">Консультации, предоставляемые Подкомитетом по просьбам национальных </w:t>
      </w:r>
      <w:r>
        <w:rPr>
          <w:bCs/>
        </w:rPr>
        <w:br/>
      </w:r>
      <w:r>
        <w:rPr>
          <w:bCs/>
        </w:rPr>
        <w:tab/>
      </w:r>
      <w:r>
        <w:rPr>
          <w:bCs/>
        </w:rPr>
        <w:tab/>
        <w:t>превентивных механизмов</w:t>
      </w:r>
      <w:r w:rsidRPr="00D4197A">
        <w:tab/>
      </w:r>
      <w:r w:rsidRPr="00D4197A">
        <w:tab/>
        <w:t>1</w:t>
      </w:r>
      <w:bookmarkStart w:id="6" w:name="_Hlk161305854"/>
      <w:bookmarkEnd w:id="6"/>
      <w:r w:rsidRPr="009868B1">
        <w:t>9</w:t>
      </w:r>
    </w:p>
    <w:p w14:paraId="515CD7E6" w14:textId="77777777" w:rsidR="00D86C0F" w:rsidRPr="009868B1" w:rsidRDefault="00D86C0F" w:rsidP="00D86C0F">
      <w:pPr>
        <w:tabs>
          <w:tab w:val="right" w:pos="850"/>
          <w:tab w:val="left" w:pos="1134"/>
          <w:tab w:val="left" w:pos="1559"/>
          <w:tab w:val="left" w:pos="1984"/>
          <w:tab w:val="left" w:leader="dot" w:pos="8787"/>
          <w:tab w:val="right" w:pos="9638"/>
        </w:tabs>
        <w:spacing w:after="120"/>
      </w:pPr>
      <w:r w:rsidRPr="00D4197A">
        <w:tab/>
      </w:r>
      <w:r w:rsidRPr="0073500C">
        <w:rPr>
          <w:lang w:val="en-US"/>
        </w:rPr>
        <w:t>II</w:t>
      </w:r>
      <w:r w:rsidRPr="00D4197A">
        <w:t>.</w:t>
      </w:r>
      <w:r w:rsidRPr="00D4197A">
        <w:tab/>
      </w:r>
      <w:r>
        <w:rPr>
          <w:bCs/>
        </w:rPr>
        <w:t xml:space="preserve">Резюме обсуждения в ходе ежегодной встречи между региональной группой </w:t>
      </w:r>
      <w:r>
        <w:rPr>
          <w:bCs/>
        </w:rPr>
        <w:br/>
      </w:r>
      <w:r>
        <w:rPr>
          <w:bCs/>
        </w:rPr>
        <w:tab/>
      </w:r>
      <w:r>
        <w:rPr>
          <w:bCs/>
        </w:rPr>
        <w:tab/>
        <w:t>по Европе и национальными превентивными механизмами региона</w:t>
      </w:r>
      <w:r w:rsidRPr="00D4197A">
        <w:tab/>
      </w:r>
      <w:r w:rsidRPr="00D4197A">
        <w:tab/>
        <w:t>2</w:t>
      </w:r>
      <w:r w:rsidRPr="009868B1">
        <w:t>2</w:t>
      </w:r>
    </w:p>
    <w:p w14:paraId="71D37442" w14:textId="77777777" w:rsidR="00D86C0F" w:rsidRPr="009868B1" w:rsidRDefault="00D86C0F" w:rsidP="00D86C0F">
      <w:pPr>
        <w:tabs>
          <w:tab w:val="right" w:pos="850"/>
          <w:tab w:val="left" w:pos="1134"/>
          <w:tab w:val="left" w:pos="1559"/>
          <w:tab w:val="left" w:pos="1984"/>
          <w:tab w:val="left" w:leader="dot" w:pos="8787"/>
          <w:tab w:val="right" w:pos="9638"/>
        </w:tabs>
        <w:spacing w:after="120"/>
      </w:pPr>
      <w:r w:rsidRPr="00D4197A">
        <w:tab/>
      </w:r>
      <w:r w:rsidRPr="0073500C">
        <w:rPr>
          <w:lang w:val="en-US"/>
        </w:rPr>
        <w:t>III</w:t>
      </w:r>
      <w:r w:rsidRPr="00D4197A">
        <w:t>.</w:t>
      </w:r>
      <w:r w:rsidRPr="00D4197A">
        <w:tab/>
      </w:r>
      <w:r>
        <w:rPr>
          <w:bCs/>
        </w:rPr>
        <w:t xml:space="preserve">Национальные учреждения по правам человека и национальные превентивные </w:t>
      </w:r>
      <w:r>
        <w:rPr>
          <w:bCs/>
        </w:rPr>
        <w:br/>
      </w:r>
      <w:r>
        <w:rPr>
          <w:bCs/>
        </w:rPr>
        <w:tab/>
      </w:r>
      <w:r>
        <w:rPr>
          <w:bCs/>
        </w:rPr>
        <w:tab/>
        <w:t>механизмы</w:t>
      </w:r>
      <w:r w:rsidRPr="00D4197A">
        <w:tab/>
      </w:r>
      <w:r w:rsidRPr="00D4197A">
        <w:tab/>
        <w:t>2</w:t>
      </w:r>
      <w:r w:rsidRPr="009868B1">
        <w:t>4</w:t>
      </w:r>
    </w:p>
    <w:p w14:paraId="6909AAA7" w14:textId="77777777" w:rsidR="00CC1965" w:rsidRPr="00D4197A" w:rsidRDefault="00CC1965" w:rsidP="002F2883">
      <w:pPr>
        <w:tabs>
          <w:tab w:val="right" w:pos="850"/>
          <w:tab w:val="left" w:pos="1134"/>
          <w:tab w:val="left" w:pos="1559"/>
          <w:tab w:val="left" w:pos="1984"/>
          <w:tab w:val="left" w:leader="dot" w:pos="8787"/>
          <w:tab w:val="right" w:pos="9638"/>
        </w:tabs>
        <w:spacing w:after="120"/>
      </w:pPr>
      <w:r w:rsidRPr="00D4197A">
        <w:br w:type="page"/>
      </w:r>
    </w:p>
    <w:bookmarkEnd w:id="4"/>
    <w:p w14:paraId="32E4ACC6" w14:textId="77777777" w:rsidR="00CC1965" w:rsidRPr="0073500C" w:rsidRDefault="00CC1965" w:rsidP="00CC1965">
      <w:pPr>
        <w:pStyle w:val="HChG"/>
        <w:tabs>
          <w:tab w:val="left" w:pos="1134"/>
          <w:tab w:val="left" w:pos="1701"/>
          <w:tab w:val="left" w:pos="2268"/>
          <w:tab w:val="center" w:pos="4252"/>
        </w:tabs>
        <w:ind w:left="0" w:firstLine="0"/>
      </w:pPr>
      <w:r w:rsidRPr="00D4197A">
        <w:rPr>
          <w:bCs/>
        </w:rPr>
        <w:lastRenderedPageBreak/>
        <w:tab/>
      </w:r>
      <w:r>
        <w:rPr>
          <w:bCs/>
        </w:rPr>
        <w:t>I.</w:t>
      </w:r>
      <w:r>
        <w:tab/>
      </w:r>
      <w:r>
        <w:rPr>
          <w:bCs/>
        </w:rPr>
        <w:t>Введение</w:t>
      </w:r>
      <w:bookmarkStart w:id="7" w:name="_Toc534899833"/>
      <w:bookmarkStart w:id="8" w:name="_Toc97717813"/>
      <w:bookmarkStart w:id="9" w:name="_Toc97794992"/>
      <w:bookmarkStart w:id="10" w:name="_Toc161321096"/>
      <w:bookmarkEnd w:id="7"/>
      <w:bookmarkEnd w:id="8"/>
      <w:bookmarkEnd w:id="9"/>
      <w:bookmarkEnd w:id="10"/>
    </w:p>
    <w:p w14:paraId="09C4F52F" w14:textId="77777777" w:rsidR="00CC1965" w:rsidRPr="0073500C" w:rsidRDefault="00CC1965" w:rsidP="00CC1965">
      <w:pPr>
        <w:pStyle w:val="SingleTxtG"/>
      </w:pPr>
      <w:bookmarkStart w:id="11" w:name="_Hlk160116560"/>
      <w:r>
        <w:t>1.</w:t>
      </w:r>
      <w:r>
        <w:tab/>
        <w:t>С учетом пункта 3 статьи 16 Факультативного протокола к Конвенции против пыток и других жестоких, бесчеловечных или унижающих достоинство видов обращения и наказания и в соответствии с правилом 33 своих правил процедуры Подкомитет по предупреждению пыток и других жестоких, бесчеловечных или унижающих достоинство видов обращения и наказания готовит ежегодный доклад о своей деятельности в виде открытого документа. Настоящий доклад охватывает деятельность Подкомитета за период с 1 января по 31 декабря 2023 года и был утвержден Подкомитетом на его пятьдесят второй сессии, которая проходила с 29</w:t>
      </w:r>
      <w:r>
        <w:rPr>
          <w:lang w:val="en-US"/>
        </w:rPr>
        <w:t> </w:t>
      </w:r>
      <w:r>
        <w:t>января по 9 февраля 2024 года.</w:t>
      </w:r>
      <w:bookmarkStart w:id="12" w:name="_Hlk58255257"/>
      <w:bookmarkEnd w:id="12"/>
    </w:p>
    <w:p w14:paraId="63FEC9F7" w14:textId="77777777" w:rsidR="00CC1965" w:rsidRPr="0073500C" w:rsidRDefault="00CC1965" w:rsidP="00CC1965">
      <w:pPr>
        <w:pStyle w:val="HChG"/>
      </w:pPr>
      <w:r>
        <w:rPr>
          <w:bCs/>
        </w:rPr>
        <w:tab/>
        <w:t>II.</w:t>
      </w:r>
      <w:r>
        <w:tab/>
      </w:r>
      <w:r>
        <w:rPr>
          <w:bCs/>
        </w:rPr>
        <w:t>Отчетный год</w:t>
      </w:r>
      <w:bookmarkStart w:id="13" w:name="_Toc534899834"/>
      <w:bookmarkStart w:id="14" w:name="_Toc97717814"/>
      <w:bookmarkStart w:id="15" w:name="_Toc97794993"/>
      <w:bookmarkStart w:id="16" w:name="_Toc161321097"/>
      <w:bookmarkEnd w:id="13"/>
      <w:bookmarkEnd w:id="14"/>
      <w:bookmarkEnd w:id="15"/>
      <w:bookmarkEnd w:id="16"/>
    </w:p>
    <w:bookmarkEnd w:id="11"/>
    <w:p w14:paraId="4096E3EB" w14:textId="77777777" w:rsidR="00CC1965" w:rsidRPr="0073500C" w:rsidRDefault="00CC1965" w:rsidP="00CC1965">
      <w:pPr>
        <w:pStyle w:val="H1G"/>
      </w:pPr>
      <w:r>
        <w:rPr>
          <w:bCs/>
        </w:rPr>
        <w:tab/>
        <w:t>A.</w:t>
      </w:r>
      <w:r>
        <w:tab/>
      </w:r>
      <w:r>
        <w:rPr>
          <w:bCs/>
        </w:rPr>
        <w:t>Участие в системе Факультативного протокола</w:t>
      </w:r>
      <w:bookmarkStart w:id="17" w:name="_Toc534899835"/>
      <w:bookmarkStart w:id="18" w:name="_Toc97717815"/>
      <w:bookmarkStart w:id="19" w:name="_Toc97794994"/>
      <w:bookmarkStart w:id="20" w:name="_Toc161321098"/>
      <w:bookmarkEnd w:id="17"/>
      <w:bookmarkEnd w:id="18"/>
      <w:bookmarkEnd w:id="19"/>
      <w:bookmarkEnd w:id="20"/>
    </w:p>
    <w:p w14:paraId="77B28A61" w14:textId="77777777" w:rsidR="00CC1965" w:rsidRPr="0073500C" w:rsidRDefault="00CC1965" w:rsidP="00CC1965">
      <w:pPr>
        <w:pStyle w:val="SingleTxtG"/>
      </w:pPr>
      <w:r>
        <w:t>2.</w:t>
      </w:r>
      <w:r>
        <w:tab/>
        <w:t>По состоянию на 31 декабря 2023 года сторонами Факультативного протокола являлись 93 государства и 12 государств его подписали</w:t>
      </w:r>
      <w:r w:rsidRPr="00812E43">
        <w:rPr>
          <w:rStyle w:val="aa"/>
        </w:rPr>
        <w:footnoteReference w:id="2"/>
      </w:r>
      <w:r>
        <w:t>. Кот-д'Ивуар присоединился к нему 1 марта 2023 года, а Словакия ратифицировала его 19 сентября 2023 года.</w:t>
      </w:r>
    </w:p>
    <w:p w14:paraId="1773AD8B" w14:textId="77777777" w:rsidR="00CC1965" w:rsidRPr="0073500C" w:rsidRDefault="00CC1965" w:rsidP="00CC1965">
      <w:pPr>
        <w:pStyle w:val="SingleTxtG"/>
      </w:pPr>
      <w:r>
        <w:t>3.</w:t>
      </w:r>
      <w:r>
        <w:tab/>
        <w:t>Распределение участия по регионам выглядело следующим образом:</w:t>
      </w:r>
    </w:p>
    <w:p w14:paraId="4BD55C2D" w14:textId="77777777" w:rsidR="00CC1965" w:rsidRPr="0073500C" w:rsidRDefault="00CC1965" w:rsidP="00CC1965">
      <w:pPr>
        <w:pStyle w:val="SingleTxtG"/>
        <w:tabs>
          <w:tab w:val="left" w:pos="5103"/>
        </w:tabs>
        <w:ind w:left="1701"/>
      </w:pPr>
      <w:r>
        <w:t>Государства Африки</w:t>
      </w:r>
      <w:r>
        <w:tab/>
      </w:r>
      <w:r>
        <w:tab/>
      </w:r>
      <w:r>
        <w:tab/>
      </w:r>
      <w:r>
        <w:tab/>
      </w:r>
      <w:r>
        <w:tab/>
        <w:t>24</w:t>
      </w:r>
    </w:p>
    <w:p w14:paraId="533E0A68" w14:textId="77777777" w:rsidR="00CC1965" w:rsidRPr="0073500C" w:rsidRDefault="00CC1965" w:rsidP="00CC1965">
      <w:pPr>
        <w:pStyle w:val="SingleTxtG"/>
        <w:tabs>
          <w:tab w:val="left" w:pos="5103"/>
        </w:tabs>
        <w:ind w:left="1701"/>
      </w:pPr>
      <w:r>
        <w:t>Государства Азии и Тихого океана</w:t>
      </w:r>
      <w:r>
        <w:tab/>
      </w:r>
      <w:r>
        <w:tab/>
      </w:r>
      <w:r>
        <w:tab/>
      </w:r>
      <w:r>
        <w:tab/>
      </w:r>
      <w:r>
        <w:tab/>
        <w:t>13</w:t>
      </w:r>
    </w:p>
    <w:p w14:paraId="0E220C61" w14:textId="77777777" w:rsidR="00CC1965" w:rsidRPr="0073500C" w:rsidRDefault="00CC1965" w:rsidP="00CC1965">
      <w:pPr>
        <w:pStyle w:val="SingleTxtG"/>
        <w:tabs>
          <w:tab w:val="left" w:pos="5103"/>
        </w:tabs>
        <w:ind w:left="1701"/>
      </w:pPr>
      <w:r>
        <w:t>Государства Восточной Европы</w:t>
      </w:r>
      <w:r>
        <w:tab/>
      </w:r>
      <w:r>
        <w:tab/>
      </w:r>
      <w:r>
        <w:tab/>
      </w:r>
      <w:r>
        <w:tab/>
      </w:r>
      <w:r>
        <w:tab/>
        <w:t>21</w:t>
      </w:r>
    </w:p>
    <w:p w14:paraId="4B419B7C" w14:textId="77777777" w:rsidR="00CC1965" w:rsidRPr="0073500C" w:rsidRDefault="00CC1965" w:rsidP="00CC1965">
      <w:pPr>
        <w:pStyle w:val="SingleTxtG"/>
        <w:tabs>
          <w:tab w:val="left" w:pos="5103"/>
        </w:tabs>
        <w:ind w:left="1701"/>
      </w:pPr>
      <w:r>
        <w:t>Государства Латинской Америки и Карибского бассейна</w:t>
      </w:r>
      <w:r>
        <w:tab/>
        <w:t>15</w:t>
      </w:r>
    </w:p>
    <w:p w14:paraId="2EF6D15E" w14:textId="77777777" w:rsidR="00CC1965" w:rsidRPr="0073500C" w:rsidRDefault="00CC1965" w:rsidP="00CC1965">
      <w:pPr>
        <w:pStyle w:val="SingleTxtG"/>
        <w:tabs>
          <w:tab w:val="left" w:pos="5103"/>
        </w:tabs>
        <w:ind w:left="1701"/>
      </w:pPr>
      <w:r>
        <w:t>Государства Западной Европы и другие государства</w:t>
      </w:r>
      <w:r>
        <w:tab/>
      </w:r>
      <w:r>
        <w:tab/>
        <w:t>20</w:t>
      </w:r>
    </w:p>
    <w:p w14:paraId="4DCADD83" w14:textId="77777777" w:rsidR="00CC1965" w:rsidRPr="0073500C" w:rsidRDefault="00CC1965" w:rsidP="00CC1965">
      <w:pPr>
        <w:pStyle w:val="SingleTxtG"/>
      </w:pPr>
      <w:r>
        <w:t>4.</w:t>
      </w:r>
      <w:r>
        <w:tab/>
        <w:t>Распределение по регионам 12 подписавших документ стран, которые еще не ратифицировали его, выглядит следующим образом:</w:t>
      </w:r>
    </w:p>
    <w:p w14:paraId="7AA0C6AC" w14:textId="77777777" w:rsidR="00CC1965" w:rsidRPr="0073500C" w:rsidRDefault="00CC1965" w:rsidP="00CC1965">
      <w:pPr>
        <w:pStyle w:val="SingleTxtG"/>
        <w:tabs>
          <w:tab w:val="left" w:pos="5103"/>
        </w:tabs>
        <w:ind w:left="1701"/>
      </w:pPr>
      <w:r>
        <w:t>Государства Африки</w:t>
      </w:r>
      <w:r>
        <w:tab/>
      </w:r>
      <w:r>
        <w:tab/>
      </w:r>
      <w:r>
        <w:tab/>
      </w:r>
      <w:r>
        <w:tab/>
      </w:r>
      <w:r>
        <w:tab/>
        <w:t>8</w:t>
      </w:r>
    </w:p>
    <w:p w14:paraId="04F2BDC2" w14:textId="77777777" w:rsidR="00CC1965" w:rsidRPr="0073500C" w:rsidRDefault="00CC1965" w:rsidP="00CC1965">
      <w:pPr>
        <w:pStyle w:val="SingleTxtG"/>
        <w:tabs>
          <w:tab w:val="left" w:pos="5103"/>
        </w:tabs>
        <w:ind w:left="1701"/>
      </w:pPr>
      <w:r>
        <w:t>Государства Азии и Тихого океана</w:t>
      </w:r>
      <w:r>
        <w:tab/>
      </w:r>
      <w:r>
        <w:tab/>
      </w:r>
      <w:r>
        <w:tab/>
      </w:r>
      <w:r>
        <w:tab/>
      </w:r>
      <w:r>
        <w:tab/>
        <w:t>1</w:t>
      </w:r>
    </w:p>
    <w:p w14:paraId="6F6665F5" w14:textId="77777777" w:rsidR="00CC1965" w:rsidRPr="0073500C" w:rsidRDefault="00CC1965" w:rsidP="00CC1965">
      <w:pPr>
        <w:pStyle w:val="SingleTxtG"/>
        <w:tabs>
          <w:tab w:val="left" w:pos="5103"/>
        </w:tabs>
        <w:ind w:left="1701"/>
      </w:pPr>
      <w:r>
        <w:t>Государства Восточной Европы</w:t>
      </w:r>
      <w:r>
        <w:tab/>
      </w:r>
      <w:r>
        <w:tab/>
      </w:r>
      <w:r>
        <w:tab/>
      </w:r>
      <w:r>
        <w:tab/>
      </w:r>
      <w:r>
        <w:tab/>
        <w:t>0</w:t>
      </w:r>
    </w:p>
    <w:p w14:paraId="466267D5" w14:textId="77777777" w:rsidR="00CC1965" w:rsidRPr="0073500C" w:rsidRDefault="00CC1965" w:rsidP="00CC1965">
      <w:pPr>
        <w:pStyle w:val="SingleTxtG"/>
        <w:tabs>
          <w:tab w:val="left" w:pos="5103"/>
        </w:tabs>
        <w:ind w:left="1701"/>
      </w:pPr>
      <w:r>
        <w:t>Государства Латинской Америки и Карибского бассейна</w:t>
      </w:r>
      <w:r>
        <w:tab/>
        <w:t>1</w:t>
      </w:r>
    </w:p>
    <w:p w14:paraId="48362BB9" w14:textId="77777777" w:rsidR="00CC1965" w:rsidRPr="0073500C" w:rsidRDefault="00CC1965" w:rsidP="00CC1965">
      <w:pPr>
        <w:pStyle w:val="SingleTxtG"/>
        <w:tabs>
          <w:tab w:val="left" w:pos="5103"/>
        </w:tabs>
        <w:ind w:left="1701"/>
      </w:pPr>
      <w:r>
        <w:t>Государства Западной Европы и другие государства</w:t>
      </w:r>
      <w:r>
        <w:tab/>
      </w:r>
      <w:r>
        <w:tab/>
        <w:t>2</w:t>
      </w:r>
    </w:p>
    <w:p w14:paraId="61382DC6" w14:textId="77777777" w:rsidR="00CC1965" w:rsidRPr="0073500C" w:rsidRDefault="00CC1965" w:rsidP="00CC1965">
      <w:pPr>
        <w:pStyle w:val="H1G"/>
      </w:pPr>
      <w:r>
        <w:rPr>
          <w:bCs/>
        </w:rPr>
        <w:tab/>
        <w:t>B.</w:t>
      </w:r>
      <w:r>
        <w:tab/>
      </w:r>
      <w:r>
        <w:rPr>
          <w:bCs/>
        </w:rPr>
        <w:t>Организационные вопросы и членский состав</w:t>
      </w:r>
      <w:bookmarkStart w:id="21" w:name="_Toc534899836"/>
      <w:bookmarkStart w:id="22" w:name="_Toc97717816"/>
      <w:bookmarkStart w:id="23" w:name="_Toc97794995"/>
      <w:bookmarkStart w:id="24" w:name="_Toc161321099"/>
      <w:bookmarkEnd w:id="21"/>
      <w:bookmarkEnd w:id="22"/>
      <w:bookmarkEnd w:id="23"/>
      <w:bookmarkEnd w:id="24"/>
    </w:p>
    <w:p w14:paraId="4340EF67" w14:textId="10675FEB" w:rsidR="00CC1965" w:rsidRPr="0073500C" w:rsidRDefault="00CC1965" w:rsidP="00CC1965">
      <w:pPr>
        <w:pStyle w:val="SingleTxtG"/>
      </w:pPr>
      <w:bookmarkStart w:id="25" w:name="_Hlk58255486"/>
      <w:r>
        <w:t>5.</w:t>
      </w:r>
      <w:r>
        <w:tab/>
        <w:t>За отчетный период Подкомитет провел в очном формате в Женеве две сессии продолжительностью в одну неделю и одну сессию продолжительностью в две недели: сорок девятую сессию (6</w:t>
      </w:r>
      <w:r w:rsidR="002F2883" w:rsidRPr="002F2883">
        <w:t>–</w:t>
      </w:r>
      <w:r>
        <w:t>10 февраля 2023 года); пятидесятую сессию (5</w:t>
      </w:r>
      <w:r w:rsidR="002F2883" w:rsidRPr="002F2883">
        <w:t>–</w:t>
      </w:r>
      <w:r>
        <w:t>16 июня 2023</w:t>
      </w:r>
      <w:r>
        <w:rPr>
          <w:lang w:val="en-US"/>
        </w:rPr>
        <w:t> </w:t>
      </w:r>
      <w:r>
        <w:t>года) и пятьдесят первую сессию (6</w:t>
      </w:r>
      <w:r w:rsidR="00CA192E" w:rsidRPr="00CA192E">
        <w:t>–</w:t>
      </w:r>
      <w:r>
        <w:t>10 ноября 2023 года).</w:t>
      </w:r>
      <w:bookmarkEnd w:id="25"/>
    </w:p>
    <w:p w14:paraId="2D2D2088" w14:textId="2E5B4FF3" w:rsidR="00CC1965" w:rsidRPr="0073500C" w:rsidRDefault="00CC1965" w:rsidP="00CC1965">
      <w:pPr>
        <w:pStyle w:val="SingleTxtG"/>
      </w:pPr>
      <w:r>
        <w:t>6.</w:t>
      </w:r>
      <w:r>
        <w:tab/>
        <w:t>За рассматриваемый период состав Подкомитета претерпел изменения</w:t>
      </w:r>
      <w:r w:rsidRPr="00812E43">
        <w:rPr>
          <w:rStyle w:val="aa"/>
        </w:rPr>
        <w:footnoteReference w:id="3"/>
      </w:r>
      <w:r>
        <w:t xml:space="preserve">. </w:t>
      </w:r>
      <w:r w:rsidR="002F2883">
        <w:br/>
      </w:r>
      <w:r>
        <w:t xml:space="preserve">В соответствии с правилами 12 и 14 его правил процедуры шестеро вновь избранных членов Подкомитета </w:t>
      </w:r>
      <w:r w:rsidR="002F2883" w:rsidRPr="002F2883">
        <w:t>—</w:t>
      </w:r>
      <w:r>
        <w:t xml:space="preserve"> Уджу Розелин Чиемека Агомох (Нигерия), Юлия Козма (Австрия), Эндрю Кристоффель Ниссен (Южная Африка), Элина Штейнерте (Латвия), </w:t>
      </w:r>
      <w:r>
        <w:lastRenderedPageBreak/>
        <w:t xml:space="preserve">Аница Томшич (Хорватия) и Виктор Захария (Республика Молдова) </w:t>
      </w:r>
      <w:r w:rsidR="00CA192E" w:rsidRPr="00CA192E">
        <w:t>—</w:t>
      </w:r>
      <w:r>
        <w:t xml:space="preserve"> приступили к исполнению своих обязанностей, принеся в торжественной обстановке присягу на сорок девятой сессии. После отставки Марины Лангфельдт по личным причинам Мартин Цинклер (Германия), заменивший ее в соответствии со статьей 8 Факультативного протокола, 31 октября 2022 года также принял присягу в ходе этой сессии.</w:t>
      </w:r>
    </w:p>
    <w:p w14:paraId="3745BA47" w14:textId="77777777" w:rsidR="00CC1965" w:rsidRPr="0073500C" w:rsidRDefault="00CC1965" w:rsidP="00CC1965">
      <w:pPr>
        <w:pStyle w:val="SingleTxtG"/>
      </w:pPr>
      <w:r>
        <w:t>7.</w:t>
      </w:r>
      <w:r>
        <w:tab/>
        <w:t>На своей сорок девятой сессии Подкомитет вновь избрал Сюзанну Джаббур в качестве Председателя, а следующих членов в качестве заместителей Председателя и членов Бюро: Кармен Комас-Мату Мира (заместителем Председателя по посещениям); Даниэля Финка (заместителем Председателя по внешним сношениям); и Аишу Шуджуне Мухаммад (заместителем Председателя по национальным превентивным механизмам). Мария Луиса Ромеро была избрана заместителем Председателя и членом Бюро (Докладчиком). Все сроки полномочий Бюро составляют два года. Якуб Юлиан Чепек был назначен Подкомитетом Докладчиком по вопросу о репрессиях на двухлетний срок.</w:t>
      </w:r>
    </w:p>
    <w:p w14:paraId="09080A77" w14:textId="77777777" w:rsidR="00CC1965" w:rsidRPr="005F03FE" w:rsidRDefault="00CC1965" w:rsidP="00CC1965">
      <w:pPr>
        <w:pStyle w:val="SingleTxtG"/>
      </w:pPr>
      <w:r>
        <w:t>8.</w:t>
      </w:r>
      <w:r>
        <w:tab/>
        <w:t>Произошли изменения в составе региональных групп и постоянных рабочих групп. По состоянию на 31 декабря 2023 года руководителями региональных групп были Абдалла Уннир для Африки, Ника Кварацхелия для Азии и Тихого океана, Василики Артинопулу для Европы и Марко Феоли Вильялобос для Северной и Южной Америки. Хуан Пабло Вегас возглавлял региональную группу для Северной и Южной Америки до пятьдесят первой сессии, а г-жа Ромеро возглавляла европейскую региональную группу до сорок девятой сессии. Подробно с составом региональных групп можно ознакомиться на веб-сайте Подкомитета</w:t>
      </w:r>
      <w:r w:rsidRPr="00812E43">
        <w:rPr>
          <w:rStyle w:val="aa"/>
        </w:rPr>
        <w:footnoteReference w:id="4"/>
      </w:r>
      <w:r>
        <w:t>. Региональные группы провели совещания на сорок девятой, пятидесятой и пятьдесят первой сессиях, с тем чтобы изучить ход осуществления Факультативного протокола в своих регионах и представить доклад Подкомитету на пленарном заседании, а также вынесли соответствующие рекомендации.</w:t>
      </w:r>
      <w:bookmarkStart w:id="26" w:name="_Hlk151388977"/>
      <w:bookmarkEnd w:id="26"/>
    </w:p>
    <w:p w14:paraId="14863473" w14:textId="77777777" w:rsidR="00CC1965" w:rsidRPr="0073500C" w:rsidRDefault="00CC1965" w:rsidP="00CC1965">
      <w:pPr>
        <w:pStyle w:val="SingleTxtG"/>
      </w:pPr>
      <w:r>
        <w:t>9.</w:t>
      </w:r>
      <w:r>
        <w:tab/>
        <w:t>По состоянию на 31 декабря 2023 года руководителями постоянных рабочих групп по правовой практике, по медицинским аспектам предупреждения пыток и по Специальному фонду, учрежденному Факультативным протоколом, являлись соответственно г-жа Ромеро, Мария Брасхольт и г-жа Жаббур. Рабочие группы по правовой практике и по медицинским аспектам предупреждения пыток проводили свои заседания на всех сессиях, которые состоялись за отчетный период. Рабочая группа по Специальному фонду, учрежденному Факультативным протоколом, провела заседания на сорок девятой и пятидесятой сессиях.</w:t>
      </w:r>
    </w:p>
    <w:p w14:paraId="7B96E29C" w14:textId="77777777" w:rsidR="00CC1965" w:rsidRPr="0073500C" w:rsidRDefault="00CC1965" w:rsidP="00CC1965">
      <w:pPr>
        <w:pStyle w:val="SingleTxtG"/>
      </w:pPr>
      <w:r>
        <w:t>10.</w:t>
      </w:r>
      <w:r>
        <w:tab/>
        <w:t>На сорок девятой сессии региональные группы провели заседания без устного перевода, а рабочие группы заседали во время пленарных заседаний. Подкомитет провел открытую конференцию, посвященную двадцатой годовщине Факультативного протокола и пятнадцатой годовщине создания Подкомитета, в которой приняли участие государства-участники, национальные превентивные механизмы, неправительственные организации (НПО) и другие. Кроме того, были проведены встречи с представителями Бюджетно-финансовой секции Управления Верховного комиссара Организации Объединенных Наций по правам человека (УВКПЧ) и различных заинтересованных сторон, включая Ассоциацию за предотвращение пыток.</w:t>
      </w:r>
    </w:p>
    <w:p w14:paraId="66807BC5" w14:textId="59DC8484" w:rsidR="00CC1965" w:rsidRPr="005F03FE" w:rsidRDefault="00CC1965" w:rsidP="00CC1965">
      <w:pPr>
        <w:pStyle w:val="SingleTxtG"/>
      </w:pPr>
      <w:r>
        <w:t>11.</w:t>
      </w:r>
      <w:r>
        <w:tab/>
        <w:t>На пятидесятой сессии региональные группы провели совещание без устного перевода, а также провели свои ежегодные региональные встречи с национальными превентивными механизмами; Рабочие группы проводили свои встречи без устного перевода. Подкомитет провел неофициальное открытое заседание с государствами-участниками, на котором присутствовали 32 участника и подписавших Протокол государства</w:t>
      </w:r>
      <w:r w:rsidRPr="00812E43">
        <w:rPr>
          <w:rStyle w:val="aa"/>
        </w:rPr>
        <w:footnoteReference w:id="5"/>
      </w:r>
      <w:r>
        <w:t xml:space="preserve">. В ходе этого заседания Подкомитет рассказал о своей работе, деятельности и проблемах, включая нехватку ресурсов, и подчеркнул свое участие в процессе укрепления договорных органов; Представители государств-участников </w:t>
      </w:r>
      <w:r>
        <w:lastRenderedPageBreak/>
        <w:t xml:space="preserve">взяли слово, чтобы задать вопросы или дать разъяснения в случае необходимости. Подкомитет вновь встретился с представителями Бюджетно-финансовой секции УВКПЧ и Ассоциации за предотвращение пыток, а также с другими заинтересованными сторонами, включая Бюро Глобального альянса национальных правозащитных учреждений и Консорциум </w:t>
      </w:r>
      <w:r w:rsidR="00CA192E">
        <w:t>«</w:t>
      </w:r>
      <w:r>
        <w:t>Объединенные против пыток</w:t>
      </w:r>
      <w:r w:rsidR="00CA192E">
        <w:t>»</w:t>
      </w:r>
      <w:r>
        <w:t>.</w:t>
      </w:r>
    </w:p>
    <w:p w14:paraId="6A193391" w14:textId="77777777" w:rsidR="00CC1965" w:rsidRPr="0073500C" w:rsidRDefault="00CC1965" w:rsidP="00CC1965">
      <w:pPr>
        <w:pStyle w:val="SingleTxtG"/>
      </w:pPr>
      <w:r>
        <w:t>12.</w:t>
      </w:r>
      <w:r>
        <w:tab/>
        <w:t>На той же сессии Подкомитет провел день общей дискуссии по своему проекту замечания общего порядка по определению лишения свободы (статья 4 Факультативного протокола) и организовал для всех членов обучение по проведению опроса лишенных свободы лиц в рамках непрерывной подготовки членов.</w:t>
      </w:r>
    </w:p>
    <w:p w14:paraId="63DC3D4E" w14:textId="1AB628A4" w:rsidR="00CC1965" w:rsidRPr="0073500C" w:rsidRDefault="00CC1965" w:rsidP="00CC1965">
      <w:pPr>
        <w:pStyle w:val="SingleTxtG"/>
      </w:pPr>
      <w:r>
        <w:t>13.</w:t>
      </w:r>
      <w:r>
        <w:tab/>
        <w:t xml:space="preserve">В ходе пятьдесят первой сессии Подкомитет провел совместное заседание с Комитетом против пыток для обсуждения вопросов, представляющих взаимный интерес, обмена опытом и извлеченными уроками и укрепления сотрудничества между этими двумя органами. Он также встретился с другими заинтересованными сторонами, включая Ассоциацию за предотвращение пыток и Консорциум </w:t>
      </w:r>
      <w:r w:rsidR="00CA192E">
        <w:t>«</w:t>
      </w:r>
      <w:r>
        <w:t>Объединенные против пыток</w:t>
      </w:r>
      <w:r w:rsidR="00CA192E">
        <w:t>»</w:t>
      </w:r>
      <w:r>
        <w:t>.</w:t>
      </w:r>
    </w:p>
    <w:p w14:paraId="1328CE4D" w14:textId="77777777" w:rsidR="00CC1965" w:rsidRPr="0073500C" w:rsidRDefault="00CC1965" w:rsidP="00CC1965">
      <w:pPr>
        <w:pStyle w:val="SingleTxtG"/>
      </w:pPr>
      <w:r>
        <w:t>14.</w:t>
      </w:r>
      <w:r>
        <w:tab/>
        <w:t>На той же сессии Подкомитет провел для своих членов занятие, посвященное изучению Руководства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w:t>
      </w:r>
    </w:p>
    <w:p w14:paraId="1F7F2835" w14:textId="77777777" w:rsidR="00CC1965" w:rsidRPr="0073500C" w:rsidRDefault="00CC1965" w:rsidP="00CC1965">
      <w:pPr>
        <w:pStyle w:val="H1G"/>
      </w:pPr>
      <w:r>
        <w:rPr>
          <w:bCs/>
        </w:rPr>
        <w:tab/>
        <w:t>C.</w:t>
      </w:r>
      <w:r>
        <w:tab/>
      </w:r>
      <w:r>
        <w:rPr>
          <w:bCs/>
        </w:rPr>
        <w:t>Посещения, проведенные за отчетный период</w:t>
      </w:r>
      <w:bookmarkStart w:id="27" w:name="_Toc534899837"/>
      <w:bookmarkStart w:id="28" w:name="_Toc97717817"/>
      <w:bookmarkStart w:id="29" w:name="_Toc97794996"/>
      <w:bookmarkStart w:id="30" w:name="_Toc161321100"/>
      <w:bookmarkEnd w:id="27"/>
      <w:bookmarkEnd w:id="28"/>
      <w:bookmarkEnd w:id="29"/>
      <w:bookmarkEnd w:id="30"/>
    </w:p>
    <w:p w14:paraId="6C3630A0" w14:textId="7BCCA107" w:rsidR="00CC1965" w:rsidRPr="0073500C" w:rsidRDefault="00CC1965" w:rsidP="00CC1965">
      <w:pPr>
        <w:pStyle w:val="SingleTxtG"/>
      </w:pPr>
      <w:r>
        <w:t>15.</w:t>
      </w:r>
      <w:r>
        <w:tab/>
        <w:t xml:space="preserve">В соответствии со своим мандатом, предусмотренным статьями 11 и 13 Факультативного протокола, в 2023 году Подкомитет предпринял восемь посещений: Южной Африки (26 февраля </w:t>
      </w:r>
      <w:r w:rsidR="00CA192E">
        <w:t>—</w:t>
      </w:r>
      <w:r>
        <w:t xml:space="preserve"> 9 марта), Казахстана (26 марта </w:t>
      </w:r>
      <w:r w:rsidR="00CA192E">
        <w:t>—</w:t>
      </w:r>
      <w:r>
        <w:t xml:space="preserve"> 1 апреля), Мадагаскара (16</w:t>
      </w:r>
      <w:r w:rsidR="00CA192E">
        <w:t>–</w:t>
      </w:r>
      <w:r>
        <w:t>27 апреля), Хорватии (2</w:t>
      </w:r>
      <w:r w:rsidR="00CA192E">
        <w:t>–</w:t>
      </w:r>
      <w:r>
        <w:t xml:space="preserve">8 июля), Государства Палестина </w:t>
      </w:r>
      <w:r w:rsidR="00CA192E">
        <w:br/>
      </w:r>
      <w:r>
        <w:t>(10</w:t>
      </w:r>
      <w:r w:rsidR="00CA192E">
        <w:t>–</w:t>
      </w:r>
      <w:r>
        <w:t>21 сентября), Грузии (8</w:t>
      </w:r>
      <w:r w:rsidR="00CA192E">
        <w:t>–</w:t>
      </w:r>
      <w:r>
        <w:t>14 октября), Гватемалы (8</w:t>
      </w:r>
      <w:r w:rsidR="00CA192E">
        <w:t>–</w:t>
      </w:r>
      <w:r>
        <w:t xml:space="preserve">19 октября) и Филиппин </w:t>
      </w:r>
      <w:r w:rsidR="00CA192E">
        <w:br/>
      </w:r>
      <w:r>
        <w:t>(3</w:t>
      </w:r>
      <w:r w:rsidR="00CA192E">
        <w:t>–</w:t>
      </w:r>
      <w:r>
        <w:t>14 декабря)</w:t>
      </w:r>
      <w:r w:rsidRPr="00812E43">
        <w:rPr>
          <w:rStyle w:val="aa"/>
        </w:rPr>
        <w:footnoteReference w:id="6"/>
      </w:r>
      <w:r>
        <w:t>.</w:t>
      </w:r>
    </w:p>
    <w:p w14:paraId="75F44CE1" w14:textId="6A386C21" w:rsidR="00CC1965" w:rsidRPr="0073500C" w:rsidRDefault="00CC1965" w:rsidP="00CC1965">
      <w:pPr>
        <w:pStyle w:val="SingleTxtG"/>
      </w:pPr>
      <w:r>
        <w:t>16.</w:t>
      </w:r>
      <w:r>
        <w:tab/>
        <w:t xml:space="preserve">В ходе этих посещений Подкомитет провел более 1100 индивидуальных и коллективных собеседований с более чем 3500 лицами. Большинство собеседований были проведены с лицами, лишенными свободы; представители Подкомитета также опросили должностных лиц, сотрудников правоохранительных органов и медицинский персонал. Они посетили более 170 мест лишения свободы: 72 тюрьмы </w:t>
      </w:r>
      <w:r w:rsidR="002F2883">
        <w:br/>
      </w:r>
      <w:r>
        <w:t xml:space="preserve">(в том числе 14 женских тюрем), 54 полицейских участка, 18 центров содержания детей, 8 следственных изоляторов, 7 психиатрических и медицинских учреждений, </w:t>
      </w:r>
      <w:r w:rsidR="002F2883">
        <w:br/>
      </w:r>
      <w:r>
        <w:t>6 закрытых центров для нелегальных мигрантов, 4 центра реабилитации наркоманов, 4 закрытых религиозных центра, 3 военных объекта, 1 камеру предварительного заключения в суде и 1 учреждение социального обслуживания.</w:t>
      </w:r>
      <w:bookmarkStart w:id="31" w:name="_Hlk158908921"/>
      <w:bookmarkStart w:id="32" w:name="_Hlk158909101"/>
      <w:bookmarkEnd w:id="31"/>
      <w:bookmarkEnd w:id="32"/>
    </w:p>
    <w:p w14:paraId="38363D2A" w14:textId="744A920F" w:rsidR="00CC1965" w:rsidRPr="0073500C" w:rsidRDefault="00CC1965" w:rsidP="00CC1965">
      <w:pPr>
        <w:pStyle w:val="SingleTxtG"/>
      </w:pPr>
      <w:r>
        <w:t>17.</w:t>
      </w:r>
      <w:r>
        <w:tab/>
        <w:t>После каждого посещения информация публикуется в пресс-релизах</w:t>
      </w:r>
      <w:r w:rsidRPr="00812E43">
        <w:rPr>
          <w:rStyle w:val="aa"/>
        </w:rPr>
        <w:footnoteReference w:id="7"/>
      </w:r>
      <w:r>
        <w:t>. После посещения Южной Африки Подкомитет призвал создать национальный превентивный механизм в соответствии с Факультативным протоколом. Он отметил чрезмерное использование лишения свободы в различных секторах, что отражает карательный подход к преступности и другим социальным проблемам</w:t>
      </w:r>
      <w:r w:rsidRPr="00812E43">
        <w:rPr>
          <w:rStyle w:val="aa"/>
        </w:rPr>
        <w:footnoteReference w:id="8"/>
      </w:r>
      <w:r>
        <w:t>. После посещения Казахстана Подкомитет призвал принять меры по защите лиц, лишенных свободы, от пыток и жестокого обращения и укрепить мандат национального превентивного механизма</w:t>
      </w:r>
      <w:r w:rsidRPr="00812E43">
        <w:rPr>
          <w:rStyle w:val="aa"/>
        </w:rPr>
        <w:footnoteReference w:id="9"/>
      </w:r>
      <w:r>
        <w:t xml:space="preserve">. На Мадагаскаре крайняя переполненность тюрем вызвала тревогу, и Подкомитет особо отметил необходимость создания функционального национального </w:t>
      </w:r>
      <w:r>
        <w:lastRenderedPageBreak/>
        <w:t>превентивного механизма</w:t>
      </w:r>
      <w:r w:rsidRPr="00812E43">
        <w:rPr>
          <w:rStyle w:val="aa"/>
        </w:rPr>
        <w:footnoteReference w:id="10"/>
      </w:r>
      <w:r>
        <w:t>. После посещения Хорватии Подкомитет приветствовал улучшение условий содержания под стражей, но рекомендовал государству-участнику уменьшить переполненность тюрем</w:t>
      </w:r>
      <w:r w:rsidRPr="00812E43">
        <w:rPr>
          <w:rStyle w:val="aa"/>
        </w:rPr>
        <w:footnoteReference w:id="11"/>
      </w:r>
      <w:r>
        <w:t>. После посещения Государства Палестина Подкомитет подчеркнул необходимость повышения эффективности основных правовых гарантий против пыток и жестокого обращения, в том числе путем создания национального превентивного механизма</w:t>
      </w:r>
      <w:r w:rsidRPr="00812E43">
        <w:rPr>
          <w:rStyle w:val="aa"/>
        </w:rPr>
        <w:footnoteReference w:id="12"/>
      </w:r>
      <w:r>
        <w:t>. После посещения Грузии Подкомитет отметил необходимость принятия мер по дальнейшему сокращению переполненности и модернизации тюрем</w:t>
      </w:r>
      <w:r w:rsidRPr="00812E43">
        <w:rPr>
          <w:rStyle w:val="aa"/>
        </w:rPr>
        <w:footnoteReference w:id="13"/>
      </w:r>
      <w:r>
        <w:t>. В отношении Гватемалы Подкомитет выразил обеспокоенность условиями содержания в тюрьмах и высказался в поддержку необходимости модернизации системы уголовного правосудия</w:t>
      </w:r>
      <w:r w:rsidRPr="00812E43">
        <w:rPr>
          <w:rStyle w:val="aa"/>
        </w:rPr>
        <w:footnoteReference w:id="14"/>
      </w:r>
      <w:r>
        <w:t>. После посещения Филиппин, учитывая масштаб наблюдаемых проблем, Подкомитет призвал в срочном порядке создать национальный орган по предупреждению пыток</w:t>
      </w:r>
      <w:r w:rsidRPr="00812E43">
        <w:rPr>
          <w:rStyle w:val="aa"/>
        </w:rPr>
        <w:footnoteReference w:id="15"/>
      </w:r>
      <w:r>
        <w:t>.</w:t>
      </w:r>
    </w:p>
    <w:p w14:paraId="13D53D9E" w14:textId="77777777" w:rsidR="00CC1965" w:rsidRPr="0073500C" w:rsidRDefault="00CC1965" w:rsidP="00CC1965">
      <w:pPr>
        <w:pStyle w:val="SingleTxtG"/>
        <w:rPr>
          <w:color w:val="000000"/>
        </w:rPr>
      </w:pPr>
      <w:bookmarkStart w:id="33" w:name="_Toc534899838"/>
      <w:bookmarkStart w:id="34" w:name="_Toc97717818"/>
      <w:bookmarkStart w:id="35" w:name="_Toc97794997"/>
      <w:r>
        <w:t>18.</w:t>
      </w:r>
      <w:r>
        <w:tab/>
        <w:t>После одного из посещений в 2023 году Подкомитет получил сообщение о репрессиях, в частности о негативных последствиях, с которыми столкнулось лицо, лишенное свободы, после беседы с делегацией Подкомитета. Этот вопрос был поднят в ходе официальной переписки с государством-участником и на встрече с одним из представителей его постоянной миссии в Женеве. Государству-участнику было предложено представить дополнительную информацию, в частности о следственных действиях, состоянии и медицинском обслуживании этого лица, а также о мерах защиты от дальнейших репрессий. В соответствии с содержащимся в статье 15 Факультативного протокола абсолютным запретом на любые санкции или репрессии из любых источников Подкомитет серьезно относится к подобным утверждениям и просит все государства-участники соблюдать аналогичные требования. Диалог по этому делу будет продолжен с государством-участником.</w:t>
      </w:r>
    </w:p>
    <w:p w14:paraId="76A98334" w14:textId="77777777" w:rsidR="00CC1965" w:rsidRPr="00812E43" w:rsidRDefault="00CC1965" w:rsidP="00CC1965">
      <w:pPr>
        <w:pStyle w:val="H1G"/>
      </w:pPr>
      <w:r>
        <w:rPr>
          <w:bCs/>
        </w:rPr>
        <w:tab/>
        <w:t>D.</w:t>
      </w:r>
      <w:r>
        <w:tab/>
      </w:r>
      <w:r>
        <w:tab/>
      </w:r>
      <w:r>
        <w:rPr>
          <w:bCs/>
        </w:rPr>
        <w:t>Доклады о посещениях</w:t>
      </w:r>
      <w:bookmarkStart w:id="36" w:name="_Toc161321101"/>
      <w:bookmarkEnd w:id="33"/>
      <w:bookmarkEnd w:id="34"/>
      <w:bookmarkEnd w:id="35"/>
      <w:bookmarkEnd w:id="36"/>
    </w:p>
    <w:p w14:paraId="601B538E" w14:textId="6A0E6561" w:rsidR="00CC1965" w:rsidRPr="005F03FE" w:rsidRDefault="00CC1965" w:rsidP="00CC1965">
      <w:pPr>
        <w:pStyle w:val="SingleTxtG"/>
      </w:pPr>
      <w:r>
        <w:t>19.</w:t>
      </w:r>
      <w:r>
        <w:tab/>
        <w:t>В соответствии со статьей 16 Факультативного протокола вопросы существа, возникающие в ходе посещений Подкомитета, носят конфиденциальный характер. Опубликование докладов может осуществляться только по просьбе посещаемого государства-участника</w:t>
      </w:r>
      <w:r w:rsidRPr="00812E43">
        <w:rPr>
          <w:rStyle w:val="aa"/>
        </w:rPr>
        <w:footnoteReference w:id="16"/>
      </w:r>
      <w:r>
        <w:t xml:space="preserve">. К 31 декабря 2023 года Подкомитет направил государствам-участникам 82 доклада о посещениях, в том числе 8 докладов за отчетный период </w:t>
      </w:r>
      <w:r w:rsidR="0085423F">
        <w:t>—</w:t>
      </w:r>
      <w:r>
        <w:t xml:space="preserve"> Австралии, Боснии и Герцеговине, Ливану, Мадагаскару, Тунису, Турции, Эквадору и Южной Африке.</w:t>
      </w:r>
    </w:p>
    <w:p w14:paraId="13615D8F" w14:textId="47DA9AAF" w:rsidR="00CC1965" w:rsidRPr="005F03FE" w:rsidRDefault="00CC1965" w:rsidP="00CC1965">
      <w:pPr>
        <w:pStyle w:val="SingleTxtG"/>
      </w:pPr>
      <w:r>
        <w:t>20.</w:t>
      </w:r>
      <w:r>
        <w:tab/>
        <w:t xml:space="preserve">Из 82 докладов о посещении государств-участников 52 были опубликованы к 31 декабря 2023 года по просьбе государств-участников в соответствии с пунктом 2 статьи 16 Факультативного протокола, в том числе 4 </w:t>
      </w:r>
      <w:r w:rsidR="0085423F">
        <w:t>—</w:t>
      </w:r>
      <w:r>
        <w:t xml:space="preserve"> за отчетный период, а именно доклады о посещении Аргентины (2022 год)</w:t>
      </w:r>
      <w:r w:rsidRPr="00812E43">
        <w:rPr>
          <w:rStyle w:val="aa"/>
        </w:rPr>
        <w:footnoteReference w:id="17"/>
      </w:r>
      <w:r>
        <w:t>, Австралии (2022 год)</w:t>
      </w:r>
      <w:r w:rsidRPr="00812E43">
        <w:rPr>
          <w:rStyle w:val="aa"/>
        </w:rPr>
        <w:footnoteReference w:id="18"/>
      </w:r>
      <w:r>
        <w:t xml:space="preserve"> и Либерии (2011</w:t>
      </w:r>
      <w:r w:rsidRPr="00812E43">
        <w:rPr>
          <w:rStyle w:val="aa"/>
        </w:rPr>
        <w:footnoteReference w:id="19"/>
      </w:r>
      <w:r>
        <w:t xml:space="preserve"> и 2018</w:t>
      </w:r>
      <w:r w:rsidRPr="00812E43">
        <w:rPr>
          <w:rStyle w:val="aa"/>
        </w:rPr>
        <w:footnoteReference w:id="20"/>
      </w:r>
      <w:r>
        <w:t xml:space="preserve"> годы). Полностью соблюдая принцип и право на конфиденциальность, </w:t>
      </w:r>
      <w:r>
        <w:lastRenderedPageBreak/>
        <w:t>предусмотренные Факультативным протоколом, Подкомитет приветствует опубликование докладов о своих посещениях, поскольку это отражает дух транспарентности, положенный в основу превентивного посещения, способствует лучшему выполнению соответствующих рекомендаций и позволяет другим государствам-участникам и национальным превентивным механизмам взаимное изучение практики, проблем и прогресса, с которыми они имеют дело в области предупреждения пыток. Подкомитет настоятельно призывает 25 государств-участников, которые получили доклады о посещениях со времени его первого посещения в 2007 году и не обратились с просьбой об их опубликовании до конца 2023</w:t>
      </w:r>
      <w:r>
        <w:rPr>
          <w:lang w:val="en-US"/>
        </w:rPr>
        <w:t> </w:t>
      </w:r>
      <w:r>
        <w:t>года</w:t>
      </w:r>
      <w:r w:rsidRPr="00812E43">
        <w:rPr>
          <w:rStyle w:val="aa"/>
        </w:rPr>
        <w:footnoteReference w:id="21"/>
      </w:r>
      <w:r>
        <w:t>, сделать это в духе транспарентности и потому, что распространение рекомендаций Подкомитета представляет собой позитивный вклад в дело предупреждения пыток и жестокого, бесчеловечного и унижающего достоинство обращения. Подкомитет хотел бы также напомнить, что государства, попросившие опубликовать доклады об их посещениях, получают доступ к Специальному фонду, созданному в соответствии с Факультативным протоколом, который является важным ресурсом оказания поддержки в осуществлении Факультативного протокола путем финансирования проектов, помогающих государствам выполнять рекомендации Подкомитета по итогам посещений. Фонд демонстрирует неизменную приверженность Организации Объединенных Наций сопровождению и поддержке усилий государств по выполнению рекомендаций Подкомитета.</w:t>
      </w:r>
    </w:p>
    <w:p w14:paraId="194EEACD" w14:textId="286D0C62" w:rsidR="00CC1965" w:rsidRPr="005F03FE" w:rsidRDefault="00CC1965" w:rsidP="00CC1965">
      <w:pPr>
        <w:pStyle w:val="SingleTxtG"/>
      </w:pPr>
      <w:r>
        <w:t>21.</w:t>
      </w:r>
      <w:r>
        <w:tab/>
        <w:t>Согласно установившейся практике</w:t>
      </w:r>
      <w:r w:rsidR="0085423F">
        <w:t>,</w:t>
      </w:r>
      <w:r>
        <w:t xml:space="preserve"> получателям докладов предлагается в течение шести месяцев с момента их препровождения представить письменный ответ с подробной информацией о принятых и запланированных мерах по выполнению рекомендаций Подкомитета. За отчетный период Подкомитет получил четыре ответа: от Аргентины, Австралии, Буркина-Фасо и Сенегала. Аргентина</w:t>
      </w:r>
      <w:r w:rsidRPr="00812E43">
        <w:rPr>
          <w:rStyle w:val="aa"/>
        </w:rPr>
        <w:footnoteReference w:id="22"/>
      </w:r>
      <w:r>
        <w:t>, Австралия</w:t>
      </w:r>
      <w:r w:rsidRPr="00812E43">
        <w:rPr>
          <w:rStyle w:val="aa"/>
        </w:rPr>
        <w:footnoteReference w:id="23"/>
      </w:r>
      <w:r>
        <w:t xml:space="preserve"> и Буркина-Фасо</w:t>
      </w:r>
      <w:r w:rsidRPr="00812E43">
        <w:rPr>
          <w:rStyle w:val="aa"/>
        </w:rPr>
        <w:footnoteReference w:id="24"/>
      </w:r>
      <w:r>
        <w:t xml:space="preserve"> попросили опубликовать их ответы.</w:t>
      </w:r>
    </w:p>
    <w:p w14:paraId="039288A0" w14:textId="77777777" w:rsidR="00CC1965" w:rsidRPr="005F03FE" w:rsidRDefault="00CC1965" w:rsidP="00CC1965">
      <w:pPr>
        <w:pStyle w:val="SingleTxtG"/>
      </w:pPr>
      <w:bookmarkStart w:id="37" w:name="_Hlk128584421"/>
      <w:r>
        <w:t>22.</w:t>
      </w:r>
      <w:r>
        <w:tab/>
        <w:t>По состоянию на 31 декабря 2023 года на доклады Подкомитета от государств-участников было получено 49 ответов, при этом 37 из них были опубликованы. В духе сотрудничества в соответствии с Факультативным протоколом Подкомитет призывает все государства-участники незамедлительно отвечать на его доклады о посещениях, с тем чтобы в процессе конструктивного диалога взаимодействовать в деле выполнения его рекомендаций. Он также призывает государства-участники обращаться с просьбами об опубликовании их ответов, что само по себе является превентивным инструментом и соответствует духу транспарентности. Информация о докладах Подкомитета и ответах размещена на его веб-сайте</w:t>
      </w:r>
      <w:r w:rsidRPr="00812E43">
        <w:rPr>
          <w:rStyle w:val="aa"/>
        </w:rPr>
        <w:footnoteReference w:id="25"/>
      </w:r>
      <w:r>
        <w:t>.</w:t>
      </w:r>
      <w:bookmarkEnd w:id="37"/>
    </w:p>
    <w:p w14:paraId="279026E9" w14:textId="3C1786EF" w:rsidR="00CC1965" w:rsidRPr="0073500C" w:rsidRDefault="00CC1965" w:rsidP="00CC1965">
      <w:pPr>
        <w:pStyle w:val="SingleTxtG"/>
      </w:pPr>
      <w:bookmarkStart w:id="38" w:name="_Toc534899839"/>
      <w:bookmarkStart w:id="39" w:name="_Toc97717819"/>
      <w:bookmarkStart w:id="40" w:name="_Toc97794998"/>
      <w:r>
        <w:t>23.</w:t>
      </w:r>
      <w:r>
        <w:tab/>
        <w:t xml:space="preserve">В соответствии со сложившейся практикой Подкомитета и в духе постоянного и конструктивного диалога с государствами-участниками, который является центральным элементом системы Факультативного протокола, после получения ответа государства-участника Подкомитет и соответствующее государство-участник </w:t>
      </w:r>
      <w:r>
        <w:lastRenderedPageBreak/>
        <w:t>продолжают диалог о выполнении рекомендаций в соответствии с пунктом d) статьи</w:t>
      </w:r>
      <w:r w:rsidR="0085423F">
        <w:t> </w:t>
      </w:r>
      <w:r>
        <w:t>12 Факультативного протокола.</w:t>
      </w:r>
    </w:p>
    <w:p w14:paraId="603188BE" w14:textId="77777777" w:rsidR="00CC1965" w:rsidRPr="005F03FE" w:rsidRDefault="00CC1965" w:rsidP="00CC1965">
      <w:pPr>
        <w:pStyle w:val="SingleTxtG"/>
      </w:pPr>
      <w:r>
        <w:t>24.</w:t>
      </w:r>
      <w:r>
        <w:tab/>
        <w:t>За отчетный период Подкомитет продолжал выполнять решение, принятое на его сорок пятой сессии и применяемое с 2020 года, о том чтобы не требовать опубликования докладов, адресованных национальным превентивным механизмам. Это укрепляет привилегированную связь между Подкомитетом и национальными превентивными механизмами. Однако, как и в случае с государствами-участниками, Подкомитет ожидает ответа от всех национальных превентивных механизмов в целях обеспечения постоянного диалога.</w:t>
      </w:r>
    </w:p>
    <w:p w14:paraId="6757C187" w14:textId="77777777" w:rsidR="00CC1965" w:rsidRPr="0073500C" w:rsidRDefault="00CC1965" w:rsidP="00CC1965">
      <w:pPr>
        <w:pStyle w:val="H1G"/>
      </w:pPr>
      <w:r>
        <w:rPr>
          <w:bCs/>
        </w:rPr>
        <w:tab/>
        <w:t>E.</w:t>
      </w:r>
      <w:r>
        <w:tab/>
      </w:r>
      <w:r>
        <w:rPr>
          <w:bCs/>
        </w:rPr>
        <w:t>События, связанные с национальными превентивными механизмами</w:t>
      </w:r>
      <w:bookmarkStart w:id="41" w:name="_Toc161321102"/>
      <w:bookmarkEnd w:id="38"/>
      <w:bookmarkEnd w:id="39"/>
      <w:bookmarkEnd w:id="40"/>
      <w:bookmarkEnd w:id="41"/>
    </w:p>
    <w:p w14:paraId="2CA85673" w14:textId="0DFDCA77" w:rsidR="00CC1965" w:rsidRPr="0073500C" w:rsidRDefault="00CC1965" w:rsidP="00CC1965">
      <w:pPr>
        <w:pStyle w:val="SingleTxtG"/>
      </w:pPr>
      <w:r>
        <w:t>25.</w:t>
      </w:r>
      <w:r>
        <w:tab/>
        <w:t xml:space="preserve">Подкомитет продолжает вести диалог с государствами-участниками и подписавшими Протокол государствами как в ходе сессий, так и в межсессионные периоды по вопросам назначения или функционирования их национальных превентивных механизмов и другим соответствующим вопросам. В соответствии со своим мандатом, предусмотренным в подпунктах b) i) и ii) статьи 11 Факультативного протокола, Подкомитет установил и поддерживал прямые контакты с национальными превентивными механизмами как в ходе сессий, так и в межсессионные периоды. </w:t>
      </w:r>
      <w:r w:rsidR="002F2883">
        <w:br/>
      </w:r>
      <w:r>
        <w:t>За отчетный период Подкомитет предоставлял национальным превентивным механизмам и государствам-участникам рекомендации, советы и разъяснения по положениям Факультативного протокола и применению превентивного подхода в конкретных ситуациях. Поскольку такая информация представляет общий интерес, она воспроизводится в приложениях к настоящему докладу.</w:t>
      </w:r>
    </w:p>
    <w:p w14:paraId="51093DA9" w14:textId="77777777" w:rsidR="00CC1965" w:rsidRPr="0073500C" w:rsidRDefault="00CC1965" w:rsidP="00CC1965">
      <w:pPr>
        <w:pStyle w:val="H23G"/>
      </w:pPr>
      <w:r>
        <w:rPr>
          <w:bCs/>
        </w:rPr>
        <w:tab/>
        <w:t>1.</w:t>
      </w:r>
      <w:r>
        <w:tab/>
      </w:r>
      <w:r>
        <w:rPr>
          <w:bCs/>
        </w:rPr>
        <w:t>Ежегодные совещания с национальными превентивными механизмами</w:t>
      </w:r>
    </w:p>
    <w:p w14:paraId="6A8F6BF6" w14:textId="77777777" w:rsidR="00CC1965" w:rsidRPr="0073500C" w:rsidRDefault="00CC1965" w:rsidP="00CC1965">
      <w:pPr>
        <w:pStyle w:val="SingleTxtG"/>
      </w:pPr>
      <w:r>
        <w:t>26.</w:t>
      </w:r>
      <w:r>
        <w:tab/>
        <w:t>В ходе пятидесятой сессии региональные группы провели ежегодные совещания в Интернете с национальными превентивными механизмами своих соответствующих регионов. Подробная информация об этих совещаниях приводится ниже.</w:t>
      </w:r>
    </w:p>
    <w:p w14:paraId="1B2DA7F7" w14:textId="77777777" w:rsidR="00CC1965" w:rsidRPr="0073500C" w:rsidRDefault="00CC1965" w:rsidP="00CC1965">
      <w:pPr>
        <w:pStyle w:val="H4G"/>
      </w:pPr>
      <w:r>
        <w:tab/>
      </w:r>
      <w:r>
        <w:tab/>
      </w:r>
      <w:r>
        <w:rPr>
          <w:iCs/>
        </w:rPr>
        <w:t>Региональная группа для Африки</w:t>
      </w:r>
    </w:p>
    <w:p w14:paraId="41918247" w14:textId="77777777" w:rsidR="00CC1965" w:rsidRPr="0073500C" w:rsidRDefault="00CC1965" w:rsidP="00CC1965">
      <w:pPr>
        <w:pStyle w:val="SingleTxtG"/>
      </w:pPr>
      <w:r>
        <w:t>27.</w:t>
      </w:r>
      <w:r>
        <w:tab/>
        <w:t>Региональная группа для Африки встретилась с представителями нескольких национальных превентивных механизмов региона, чтобы провести диалог об их работе и эффективности, а также о возникающих проблемах. Финансовые трудности стали одной из главных проблем: отсутствие специального бюджета и недостаточный объем их бюджетов не позволяют национальным превентивным механизмам выполнять свой мандат. Финансовые трудности негативно сказываются на людских ресурсах, привлечении внешних экспертов, оборудовании и логистике. На некоторые национальные превентивные механизмы также возложены обязанности, выходящие за рамки их превентивного мандата, а нехватка ресурсов не позволяет им надлежащим образом выполнять свой мандат, изложенный в Факультативном протоколе. Подкомитет напомнил национальным превентивным механизмам о важности согласования их миссии с мандатом, установленным в Факультативном протоколе, который носит превентивный характер и предполагает различие между ведением превентивной работы и рассмотрением индивидуальных жалоб.</w:t>
      </w:r>
    </w:p>
    <w:p w14:paraId="063FA594" w14:textId="77777777" w:rsidR="00CC1965" w:rsidRPr="0073500C" w:rsidRDefault="00CC1965" w:rsidP="00CC1965">
      <w:pPr>
        <w:pStyle w:val="H4G"/>
      </w:pPr>
      <w:r>
        <w:tab/>
      </w:r>
      <w:r>
        <w:tab/>
      </w:r>
      <w:r>
        <w:rPr>
          <w:iCs/>
        </w:rPr>
        <w:t>Региональная группа для Северной и Южной Америки</w:t>
      </w:r>
    </w:p>
    <w:p w14:paraId="52BFD2B1" w14:textId="77777777" w:rsidR="00CC1965" w:rsidRPr="005F03FE" w:rsidRDefault="00CC1965" w:rsidP="00CC1965">
      <w:pPr>
        <w:pStyle w:val="SingleTxtG"/>
      </w:pPr>
      <w:r>
        <w:t>28.</w:t>
      </w:r>
      <w:r>
        <w:tab/>
        <w:t xml:space="preserve">Региональная группа для Северной и Южной Америки организовала совещание в Интернете с представителями национальных превентивных механизмов региона по вопросам задержания мигрантов в сотрудничестве с Центром правосудия и международного права. В ходе обсуждения был проведен теоретический анализ лишения свободы в условиях миграции на основе идеи о том, что мигранты обычно оказываются в более уязвимом положении, чем немигранты, что обусловлено как неравенством де-юре (законодательным), так и неравенством де-факто (структурным). </w:t>
      </w:r>
      <w:r>
        <w:lastRenderedPageBreak/>
        <w:t>Было особо отмечено, что, как правило, беременные женщины, кормящие матери и дети не подлежат задержанию и что задержание мигрантов в любой форме должно быть крайней мерой, основанной на индивидуальной оценке необходимости задержания, и лишь для достижения законной и соразмерной цели, установленной международным правом, с периодическим пересмотром вопроса о дальнейшей необходимости задержания. Представители национальных превентивных механизмов подчеркнули важность ряда факторов при ведении мониторинга положения мигрантов, лишенных свободы, таких как необходимость первоначальной и регулярной оценки физического и психического состояния, доступ к медицинской помощи, обеспечение преодоления языкового барьера и сохранение единства семьи.</w:t>
      </w:r>
    </w:p>
    <w:p w14:paraId="2402A56C" w14:textId="77777777" w:rsidR="00CC1965" w:rsidRPr="0073500C" w:rsidRDefault="00CC1965" w:rsidP="00CC1965">
      <w:pPr>
        <w:pStyle w:val="H4G"/>
      </w:pPr>
      <w:r>
        <w:tab/>
      </w:r>
      <w:r>
        <w:tab/>
      </w:r>
      <w:r>
        <w:rPr>
          <w:iCs/>
        </w:rPr>
        <w:t>Региональная группа для Азии и Тихого океана</w:t>
      </w:r>
    </w:p>
    <w:p w14:paraId="1490E0E7" w14:textId="77777777" w:rsidR="00CC1965" w:rsidRPr="0073500C" w:rsidRDefault="00CC1965" w:rsidP="00CC1965">
      <w:pPr>
        <w:pStyle w:val="SingleTxtG"/>
        <w:rPr>
          <w:shd w:val="clear" w:color="auto" w:fill="FFFFFF"/>
        </w:rPr>
      </w:pPr>
      <w:r>
        <w:t>29.</w:t>
      </w:r>
      <w:r>
        <w:tab/>
        <w:t>Региональная группа для Азии и Тихого океана провела совещание в целях содействия обмену опытом между национальными превентивными механизмами, которые представили информацию о своей работе и стоящих перед ними задачах. Региональная группа ответила на вопросы, заданные представителями национальных превентивных механизмов. Конкретные вопросы будут рассматриваться на двусторонней основе докладчиками соответствующих стран. В ходе встречи обсуждались вопросы распределения ресурсов и стратегического планирования, доступа к местам лишения свободы, наращивания потенциала членов национальных превентивных механизмов, а также последующие действия по выполнению рекомендаций для национальных превентивных механизмов.</w:t>
      </w:r>
    </w:p>
    <w:p w14:paraId="1510A808" w14:textId="77777777" w:rsidR="00CC1965" w:rsidRPr="0073500C" w:rsidRDefault="00CC1965" w:rsidP="00CC1965">
      <w:pPr>
        <w:pStyle w:val="H4G"/>
      </w:pPr>
      <w:r>
        <w:tab/>
      </w:r>
      <w:r>
        <w:tab/>
      </w:r>
      <w:r>
        <w:rPr>
          <w:iCs/>
        </w:rPr>
        <w:t>Региональная группа для Европы</w:t>
      </w:r>
    </w:p>
    <w:p w14:paraId="3B0AF188" w14:textId="77777777" w:rsidR="00CC1965" w:rsidRPr="0073500C" w:rsidRDefault="00CC1965" w:rsidP="00CC1965">
      <w:pPr>
        <w:pStyle w:val="SingleTxtG"/>
      </w:pPr>
      <w:r>
        <w:t>30. Совещание в Интернете с представителями национальных превентивных механизмов, созванное региональной группой по Европе, было направлено на изучение того, как эти механизмы применяют подход Факультативного протокола к предупреждению пыток, на основе обмена опытом, мнениями и практическими знаниями. Вебинар был посвящен двум ключевым вопросам: а) стратегиям механизмов по предотвращению и защите от любых форм репрессий; и b) укреплению потенциала механизмов для эффективного контроля за выполнением рекомендаций Подкомитета. В этом обмене приняли участие представители 29 механизмов из региона, а 13 из них выступили с презентациями. Более подробная информация о ходе обсуждения содержится в приложении II к настоящему докладу.</w:t>
      </w:r>
    </w:p>
    <w:p w14:paraId="2DE0B1D8" w14:textId="77777777" w:rsidR="00CC1965" w:rsidRPr="0073500C" w:rsidRDefault="00CC1965" w:rsidP="00CC1965">
      <w:pPr>
        <w:pStyle w:val="H23G"/>
      </w:pPr>
      <w:r>
        <w:rPr>
          <w:bCs/>
        </w:rPr>
        <w:tab/>
        <w:t>2.</w:t>
      </w:r>
      <w:r>
        <w:tab/>
      </w:r>
      <w:r>
        <w:rPr>
          <w:bCs/>
        </w:rPr>
        <w:t>Участие Подкомитета в совещаниях, связанных с национальными превентивными механизмами</w:t>
      </w:r>
    </w:p>
    <w:p w14:paraId="2013713B" w14:textId="7377F607" w:rsidR="00CC1965" w:rsidRPr="005F03FE" w:rsidRDefault="00CC1965" w:rsidP="00CC1965">
      <w:pPr>
        <w:pStyle w:val="SingleTxtG"/>
      </w:pPr>
      <w:r>
        <w:t>3</w:t>
      </w:r>
      <w:r w:rsidR="007A7248" w:rsidRPr="007A7248">
        <w:t>1</w:t>
      </w:r>
      <w:r>
        <w:t>.</w:t>
      </w:r>
      <w:r>
        <w:tab/>
        <w:t>Подкомитет продолжал получать приглашения об участии в многочисленных национальных, региональных и международных совещаниях, посвященных назначению, созданию и развитию национальных превентивных механизмов, эффективному выполнению их мандатов в частности и Факультативному протоколу в целом. Подкомитет выражает признательность организаторам этих и всех других мероприятий, на которые он получает приглашения.</w:t>
      </w:r>
    </w:p>
    <w:p w14:paraId="24EB9C08" w14:textId="1F53971E" w:rsidR="00CC1965" w:rsidRPr="005F03FE" w:rsidRDefault="00CC1965" w:rsidP="00CC1965">
      <w:pPr>
        <w:pStyle w:val="SingleTxtG"/>
      </w:pPr>
      <w:r>
        <w:t>3</w:t>
      </w:r>
      <w:r w:rsidR="007A7248" w:rsidRPr="007A7248">
        <w:t>2</w:t>
      </w:r>
      <w:r>
        <w:t>.</w:t>
      </w:r>
      <w:r>
        <w:tab/>
        <w:t>С 6 по 8 ноября 2023 года Подкомитет принял участие в Четырнадцатой международной конференции правозащитных учреждений, организованной Глобальным альянсом национальных правозащитных учреждений и проходившей в Копенгагене. В ходе обсуждений были затронуты темы, тесно связанные с работой Подкомитета, в том числе взаимоотношений между национальными превентивными механизмами и национальными правозащитными учреждениями. Позиция, изложенная Подкомитетом на конференции, содержится в приложении III к настоящему докладу и представлена в интересах всех национальных превентивных механизмов и государств-участников, в том числе тех, которые находятся в процессе создания своих национальных превентивных механизмов.</w:t>
      </w:r>
    </w:p>
    <w:p w14:paraId="7DCDB033" w14:textId="75A69042" w:rsidR="00CC1965" w:rsidRPr="005F03FE" w:rsidRDefault="00CC1965" w:rsidP="00CC1965">
      <w:pPr>
        <w:pStyle w:val="SingleTxtG"/>
      </w:pPr>
      <w:r>
        <w:t>3</w:t>
      </w:r>
      <w:r w:rsidR="007A7248" w:rsidRPr="007A7248">
        <w:t>3</w:t>
      </w:r>
      <w:r>
        <w:t>.</w:t>
      </w:r>
      <w:r>
        <w:tab/>
        <w:t xml:space="preserve">С 22 по 24 ноября 2023 года по приглашению Бюро по демократическим институтам и правам человека Организации по безопасности и сотрудничеству в Европе (ОБСЕ) Подкомитет принял участие в диалоге in situ в Братиславе после ратификации Словакией Факультативного протокола 19 сентября 2023 года. </w:t>
      </w:r>
      <w:r>
        <w:lastRenderedPageBreak/>
        <w:t>Примечательно, что, хотя государством-участником был создан национальный превентивный механизм в марте 2023 года, оно не уведомило об этом Подкомитет по предупреждению пыток во время проведения диалога in situ. Однако</w:t>
      </w:r>
      <w:r w:rsidR="00000161">
        <w:t>,</w:t>
      </w:r>
      <w:r>
        <w:t xml:space="preserve"> для того чтобы провести консультации по вопросам превентивного мандата механизма и обязательств страны по Факультативному протоколу, представители Подкомитета встретились с сотрудниками механизма, руководителями трех учреждений, входящих в его состав (Общественный защитник прав, Уполномоченный по делам инвалидов и Уполномоченный по делам детей), представителем гражданского общества и представителями министерства юстиции, министерства внутренних дел, министерства здравоохранения и министерства труда, социальных дел и семьи.</w:t>
      </w:r>
    </w:p>
    <w:p w14:paraId="56ED97CD" w14:textId="21BAEA38" w:rsidR="00CC1965" w:rsidRPr="0073500C" w:rsidRDefault="00CC1965" w:rsidP="00CC1965">
      <w:pPr>
        <w:pStyle w:val="SingleTxtG"/>
        <w:rPr>
          <w:shd w:val="clear" w:color="auto" w:fill="FFFFFF"/>
        </w:rPr>
      </w:pPr>
      <w:r>
        <w:t>3</w:t>
      </w:r>
      <w:r w:rsidR="007A7248" w:rsidRPr="007A7248">
        <w:t>4</w:t>
      </w:r>
      <w:r>
        <w:t>.</w:t>
      </w:r>
      <w:r>
        <w:tab/>
        <w:t>Подкомитет приветствовал возможность участия в международной конференции, организованной в Дублине Управлением инспектора тюрем Ирландии 6</w:t>
      </w:r>
      <w:r w:rsidR="00217B48">
        <w:rPr>
          <w:lang w:val="en-US"/>
        </w:rPr>
        <w:t> </w:t>
      </w:r>
      <w:r>
        <w:t>декабря 2023 года. Подкомитет поделился своими мнениями по различным важным вопросам, связанным с созданием эффективного национального превентивного механизма, и при этом призвал власти Ирландии, государства, подписавшего Факультативный протокол, продвигаться вперед в деле его ратификации.</w:t>
      </w:r>
    </w:p>
    <w:p w14:paraId="73E5764D" w14:textId="77777777" w:rsidR="00CC1965" w:rsidRPr="007A7248" w:rsidRDefault="00CC1965" w:rsidP="00CC1965">
      <w:pPr>
        <w:pStyle w:val="H1G"/>
      </w:pPr>
      <w:r>
        <w:rPr>
          <w:bCs/>
        </w:rPr>
        <w:tab/>
        <w:t>F.</w:t>
      </w:r>
      <w:r>
        <w:tab/>
      </w:r>
      <w:r>
        <w:rPr>
          <w:bCs/>
        </w:rPr>
        <w:t>Существенное несоблюдение статьи 17</w:t>
      </w:r>
      <w:bookmarkStart w:id="42" w:name="_Toc534899840"/>
      <w:bookmarkStart w:id="43" w:name="_Toc97717820"/>
      <w:bookmarkStart w:id="44" w:name="_Toc97794999"/>
      <w:bookmarkStart w:id="45" w:name="_Toc161321103"/>
      <w:bookmarkEnd w:id="42"/>
      <w:bookmarkEnd w:id="43"/>
      <w:bookmarkEnd w:id="44"/>
      <w:bookmarkEnd w:id="45"/>
    </w:p>
    <w:p w14:paraId="44F85837" w14:textId="26FC59D9" w:rsidR="00CC1965" w:rsidRPr="0073500C" w:rsidRDefault="00CC1965" w:rsidP="00CC1965">
      <w:pPr>
        <w:pStyle w:val="SingleTxtG"/>
      </w:pPr>
      <w:r>
        <w:t>3</w:t>
      </w:r>
      <w:r w:rsidR="007A7248" w:rsidRPr="007A7248">
        <w:t>5</w:t>
      </w:r>
      <w:r>
        <w:t>.</w:t>
      </w:r>
      <w:r>
        <w:tab/>
        <w:t>На своей двадцать седьмой сессии Подкомитет постановил определить государства-участники, которые существенно запаздывают с созданием национальных превентивных механизмов, и включить их в соответствующий список</w:t>
      </w:r>
      <w:r w:rsidRPr="00812E43">
        <w:rPr>
          <w:rStyle w:val="aa"/>
        </w:rPr>
        <w:footnoteReference w:id="26"/>
      </w:r>
      <w:r>
        <w:t>. Этот список пересматривается на каждой сессии Подкомитета, и государства-участники исключаются из него по достижении порогового уровня для такого исключения, а именно после того, как Подкомитет получает уведомление об официальном назначении национального превентивного механизма и копии документации, обеспечивающей его создание и эффективное функционирование.</w:t>
      </w:r>
    </w:p>
    <w:p w14:paraId="065D13B8" w14:textId="0295B6E6" w:rsidR="00CC1965" w:rsidRPr="00812E43" w:rsidRDefault="00CC1965" w:rsidP="00CC1965">
      <w:pPr>
        <w:pStyle w:val="SingleTxtG"/>
        <w:rPr>
          <w:b/>
        </w:rPr>
      </w:pPr>
      <w:bookmarkStart w:id="46" w:name="_Hlk160119219"/>
      <w:r>
        <w:t>3</w:t>
      </w:r>
      <w:r w:rsidR="007A7248" w:rsidRPr="007A7248">
        <w:t>6</w:t>
      </w:r>
      <w:r>
        <w:t>.</w:t>
      </w:r>
      <w:r>
        <w:tab/>
        <w:t>В целях уточнения критериев для определения того, был ли, в зависимости от обстоятельств, поддержан, назначен или создан национальный превентивный механизм, согласно статье 17 Факультативного протокола, и для исключения государства-участника из вышеупомянутого списка Подкомитет изложил на своем веб-сайте</w:t>
      </w:r>
      <w:r w:rsidRPr="00812E43">
        <w:rPr>
          <w:rStyle w:val="aa"/>
        </w:rPr>
        <w:footnoteReference w:id="27"/>
      </w:r>
      <w:r>
        <w:t xml:space="preserve"> элементы, которые государство-участник должно включать в вербальную ноту, адресованную Подкомитету; эти элементы были обнародованы в 2022 году.</w:t>
      </w:r>
    </w:p>
    <w:bookmarkEnd w:id="46"/>
    <w:p w14:paraId="3BCA363D" w14:textId="56231692" w:rsidR="00CC1965" w:rsidRPr="005F03FE" w:rsidRDefault="00CC1965" w:rsidP="00CC1965">
      <w:pPr>
        <w:pStyle w:val="SingleTxtG"/>
      </w:pPr>
      <w:r>
        <w:t>3</w:t>
      </w:r>
      <w:r w:rsidR="007A7248" w:rsidRPr="007A7248">
        <w:t>7</w:t>
      </w:r>
      <w:r>
        <w:t>.</w:t>
      </w:r>
      <w:r>
        <w:tab/>
        <w:t>В 2023 году не было создано ни одного национального превентивного механизма, однако от некоторых государств-участников поступили сообщения о том, что в ближайшем будущем такие механизмы будут созданы, что было с удовлетворением отмечено Подкомитетом. По состоянию на 31 декабря 2023 года в списке государств, не соблюдающих статью 17, после того как на пятьдесят первой сессии Подкомитета в этот список был добавлен Афганистан, находились следующие 15 государств-участников: Афганистан, Белиз, Бенин, Босния и Герцеговина, Бурунди, Габон, Гана, Демократическая Республика Конго, Либерия, Науру, Нигерия, Филиппины, Центральноафриканская Республика, Южный Судан и Государство Палестина. У Подкомитета по-прежнему вызывает большую обеспокоенность тот факт, что некоторые из включенных в список государств-участников, как представляется, до сих пор не достигли практически никакого прогресса в выполнении своих обязательств и давно просрочили создание своего национального превентивного механизма.</w:t>
      </w:r>
    </w:p>
    <w:p w14:paraId="578F8512" w14:textId="10076EDD" w:rsidR="00CC1965" w:rsidRPr="005F03FE" w:rsidRDefault="00CC1965" w:rsidP="00CC1965">
      <w:pPr>
        <w:pStyle w:val="SingleTxtG"/>
      </w:pPr>
      <w:r>
        <w:t>3</w:t>
      </w:r>
      <w:r w:rsidR="007A7248" w:rsidRPr="007A7248">
        <w:t>8</w:t>
      </w:r>
      <w:r>
        <w:t>.</w:t>
      </w:r>
      <w:r>
        <w:tab/>
        <w:t xml:space="preserve">В связи с этим Подкомитет подчеркивает, что создание национального превентивного механизма и наделение его необходимым мандатом является одним из основных обязательств, которое должно взять на себя каждое государство-участник Факультативного протокола. Это также является важнейшим шагом на пути к выполнению обязательств государств-участников по Конвенции против пыток и других жестоких, бесчеловечных или унижающих достоинство видов обращения и </w:t>
      </w:r>
      <w:r>
        <w:lastRenderedPageBreak/>
        <w:t>наказания по предотвращению актов пыток и других видов жестокого обращения. Подкомитет готов проводить консультации и оказывать помощь всем государствам-участникам, в особенности тем, которые включены в вышеупомянутый список и стремятся полностью выполнить свои обязательства по созданию национального превентивного механизма в соответствии с Факультативным протоколом.</w:t>
      </w:r>
    </w:p>
    <w:p w14:paraId="37F0E53F" w14:textId="77777777" w:rsidR="00CC1965" w:rsidRPr="0073500C" w:rsidRDefault="00CC1965" w:rsidP="00CC1965">
      <w:pPr>
        <w:pStyle w:val="H1G"/>
      </w:pPr>
      <w:r>
        <w:rPr>
          <w:bCs/>
        </w:rPr>
        <w:tab/>
        <w:t>G.</w:t>
      </w:r>
      <w:r>
        <w:tab/>
      </w:r>
      <w:r>
        <w:rPr>
          <w:bCs/>
        </w:rPr>
        <w:t>Специальный фонд, учрежденный Факультативным протоколом</w:t>
      </w:r>
      <w:bookmarkStart w:id="47" w:name="_Toc534899841"/>
      <w:bookmarkStart w:id="48" w:name="_Toc97717821"/>
      <w:bookmarkStart w:id="49" w:name="_Toc97795000"/>
      <w:bookmarkStart w:id="50" w:name="_Toc161321104"/>
      <w:bookmarkStart w:id="51" w:name="_Hlk128135928"/>
      <w:bookmarkEnd w:id="47"/>
      <w:bookmarkEnd w:id="48"/>
      <w:bookmarkEnd w:id="49"/>
      <w:bookmarkEnd w:id="50"/>
    </w:p>
    <w:p w14:paraId="2F977655" w14:textId="6CCC0AE8" w:rsidR="00CC1965" w:rsidRPr="0073500C" w:rsidRDefault="00CC1965" w:rsidP="00CC1965">
      <w:pPr>
        <w:pStyle w:val="SingleTxtG"/>
        <w:rPr>
          <w:b/>
        </w:rPr>
      </w:pPr>
      <w:bookmarkStart w:id="52" w:name="_Hlk151652138"/>
      <w:bookmarkEnd w:id="51"/>
      <w:r>
        <w:t>3</w:t>
      </w:r>
      <w:r w:rsidR="007A7248" w:rsidRPr="007A7248">
        <w:t>9</w:t>
      </w:r>
      <w:r>
        <w:t>.</w:t>
      </w:r>
      <w:r>
        <w:tab/>
        <w:t xml:space="preserve">Средства Специального фонда, учрежденного в соответствии с пунктом 1) статьи 26 Факультативного протокола, направляются на поддержку </w:t>
      </w:r>
      <w:r w:rsidR="00A3242D">
        <w:br/>
      </w:r>
      <w:r>
        <w:t>проектов, имеющих целью создание или укрепление национальных превентивных механизмов, т.</w:t>
      </w:r>
      <w:r w:rsidR="00A3242D">
        <w:rPr>
          <w:lang w:val="en-US"/>
        </w:rPr>
        <w:t> </w:t>
      </w:r>
      <w:r>
        <w:t>е. способствуют осуществлению соответствующих рекомендаций, препровожденных Подкомитетом государству-участнику по итогам его посещения. Проекты также могут быть представлены национальными превентивными механизмами, независимо от посещения Подкомитетом, для поддержки их образовательных программ. В 2023 году через Специальный фонд были выделены субсидии в размере 384</w:t>
      </w:r>
      <w:r w:rsidR="00A3242D" w:rsidRPr="00A3242D">
        <w:t xml:space="preserve"> </w:t>
      </w:r>
      <w:r>
        <w:t>063 долл. США для поддержки 14 проектов, направленных на предупреждение пыток в 12 государствах-участниках, в ходе их осуществления в 2024</w:t>
      </w:r>
      <w:r>
        <w:rPr>
          <w:lang w:val="en-US"/>
        </w:rPr>
        <w:t> </w:t>
      </w:r>
      <w:r>
        <w:t>году. Подкомитет оказывает поддержку в оценке предложений по проектам и рекомендаций о предоставлении субсидий.</w:t>
      </w:r>
    </w:p>
    <w:p w14:paraId="60A3698D" w14:textId="2180D0A0" w:rsidR="00CC1965" w:rsidRPr="0073500C" w:rsidRDefault="007A7248" w:rsidP="00CC1965">
      <w:pPr>
        <w:pStyle w:val="SingleTxtG"/>
      </w:pPr>
      <w:r w:rsidRPr="007A7248">
        <w:t>40</w:t>
      </w:r>
      <w:r w:rsidR="00CC1965">
        <w:t>.</w:t>
      </w:r>
      <w:r w:rsidR="00CC1965">
        <w:tab/>
        <w:t>Предложения по проектам в Буркина-Фасо, Габоне и Того были представлены по итогам региональной конференции УВКПЧ по предупреждению пыток, состоявшейся в Дакаре 17 и 18 января 2023 года. В соответствии с рекомендациями, вынесенными на конференции, эти проекты будут содействовать созданию или укреплению национальных превентивных механизмов в соответствии с Факультативным протоколом, в том числе путем разработки законодательных постановлений, наращивания потенциала членов механизмов, обучения судей и сотрудников правоохранительных органов, повышения значимости механизмов и тематических посещений женских тюрем для решения вопросов предотвращения пыток и жестокого обращения. Ожидается, что больше материалов представят государства, которые существенно просрочили создание своих механизмов и поэтому не соблюдают статью 17 Факультативного протокола.</w:t>
      </w:r>
    </w:p>
    <w:p w14:paraId="78153BC8" w14:textId="015C48AC" w:rsidR="00CC1965" w:rsidRPr="0073500C" w:rsidRDefault="00CC1965" w:rsidP="00CC1965">
      <w:pPr>
        <w:pStyle w:val="SingleTxtG"/>
      </w:pPr>
      <w:r>
        <w:t>4</w:t>
      </w:r>
      <w:r w:rsidR="007A7248" w:rsidRPr="007A7248">
        <w:t>1</w:t>
      </w:r>
      <w:r>
        <w:t>.</w:t>
      </w:r>
      <w:r>
        <w:tab/>
        <w:t>Подкомитет высоко оценивает выплаты взносов, осуществл</w:t>
      </w:r>
      <w:r w:rsidR="00A3242D">
        <w:t>е</w:t>
      </w:r>
      <w:r>
        <w:t>нные Чехией (9276</w:t>
      </w:r>
      <w:r>
        <w:rPr>
          <w:lang w:val="en-US"/>
        </w:rPr>
        <w:t> </w:t>
      </w:r>
      <w:r>
        <w:t>долл. США) и Данией (143</w:t>
      </w:r>
      <w:r w:rsidR="00D4197A" w:rsidRPr="00CA192E">
        <w:t xml:space="preserve"> </w:t>
      </w:r>
      <w:r>
        <w:t xml:space="preserve">287 долл. США) в Специальный фонд за отчетный период. Вместе с тем он по-прежнему осознает, что для поддержки проектов в течение цикла предоставления субсидий в 2023–2024 годах и в последующий период потребуются дополнительные взносы. Специальный фонд является важным инструментом для поддержки и дополнения деятельности по выполнению рекомендаций Подкомитета, направленных на предупреждение пыток и жестокого обращения; поэтому Подкомитет настоятельно призывает государства исполнить свою ответственность в качестве государств </w:t>
      </w:r>
      <w:r w:rsidR="00A3242D">
        <w:t>—</w:t>
      </w:r>
      <w:r>
        <w:t xml:space="preserve"> участников Факультативного протокола и как можно скорее оказать Специальному фонду необходимую финансовую поддержку.</w:t>
      </w:r>
    </w:p>
    <w:p w14:paraId="61A367A2" w14:textId="77777777" w:rsidR="00CC1965" w:rsidRPr="0073500C" w:rsidRDefault="00CC1965" w:rsidP="00CC1965">
      <w:pPr>
        <w:pStyle w:val="H1G"/>
      </w:pPr>
      <w:r>
        <w:rPr>
          <w:bCs/>
        </w:rPr>
        <w:tab/>
        <w:t>H.</w:t>
      </w:r>
      <w:r>
        <w:tab/>
      </w:r>
      <w:r>
        <w:rPr>
          <w:bCs/>
        </w:rPr>
        <w:t>Проект замечания общего порядка</w:t>
      </w:r>
      <w:bookmarkStart w:id="53" w:name="_Toc97717822"/>
      <w:bookmarkStart w:id="54" w:name="_Toc97795001"/>
      <w:bookmarkStart w:id="55" w:name="_Toc161321105"/>
      <w:bookmarkEnd w:id="53"/>
      <w:bookmarkEnd w:id="54"/>
      <w:bookmarkEnd w:id="55"/>
    </w:p>
    <w:p w14:paraId="54CB94FB" w14:textId="190328F0" w:rsidR="00CC1965" w:rsidRPr="0073500C" w:rsidRDefault="00CC1965" w:rsidP="00CC1965">
      <w:pPr>
        <w:pStyle w:val="SingleTxtG"/>
      </w:pPr>
      <w:bookmarkStart w:id="56" w:name="_Hlk151655420"/>
      <w:bookmarkEnd w:id="52"/>
      <w:r>
        <w:t>4</w:t>
      </w:r>
      <w:r w:rsidR="007A7248" w:rsidRPr="007A7248">
        <w:t>2</w:t>
      </w:r>
      <w:r>
        <w:t>.</w:t>
      </w:r>
      <w:r>
        <w:tab/>
        <w:t xml:space="preserve">Подкомитет продолжил работу над составлением своего замечания общего порядка по статье 4 Факультативного протокола. Подкомитет предложил всем заинтересованным сторонам прокомментировать первый открытый проект и получил материалы от 68 различных заинтересованных сторон, включая государства-участники, национальные превентивные механизмы, органы и механизмы Организации Объединенных Наций, региональные организации, представителей академий и университетов, а также международные и местные организации гражданского общества. В ходе пятидесятой сессии Подкомитет провел публичное обсуждение проекта, на котором выступили более 30 различных заинтересованных сторон. С программой публичного обсуждения можно ознакомиться на веб-сайте </w:t>
      </w:r>
      <w:r>
        <w:lastRenderedPageBreak/>
        <w:t>Подкомитета</w:t>
      </w:r>
      <w:r w:rsidRPr="00812E43">
        <w:rPr>
          <w:rStyle w:val="aa"/>
        </w:rPr>
        <w:footnoteReference w:id="28"/>
      </w:r>
      <w:r>
        <w:t>; запись прямой трансляции открытого заседания также доступна на трех языках на веб-сайте Организации Объединенных Наций</w:t>
      </w:r>
      <w:r w:rsidRPr="00812E43">
        <w:rPr>
          <w:rStyle w:val="aa"/>
        </w:rPr>
        <w:footnoteReference w:id="29"/>
      </w:r>
      <w:r>
        <w:t>.</w:t>
      </w:r>
    </w:p>
    <w:p w14:paraId="211F46F0" w14:textId="0925E67D" w:rsidR="00CC1965" w:rsidRPr="0073500C" w:rsidRDefault="00CC1965" w:rsidP="00CC1965">
      <w:pPr>
        <w:pStyle w:val="SingleTxtG"/>
      </w:pPr>
      <w:r>
        <w:t>4</w:t>
      </w:r>
      <w:r w:rsidR="007A7248" w:rsidRPr="007A7248">
        <w:t>3</w:t>
      </w:r>
      <w:r>
        <w:t>.</w:t>
      </w:r>
      <w:r>
        <w:tab/>
        <w:t xml:space="preserve">В ходе обсуждения были подняты различные вопросы, в частности о необходимости сохранить термин </w:t>
      </w:r>
      <w:r w:rsidR="00CA192E">
        <w:t>«</w:t>
      </w:r>
      <w:r>
        <w:t>места лишения свободы</w:t>
      </w:r>
      <w:r w:rsidR="00CA192E">
        <w:t>»</w:t>
      </w:r>
      <w:r>
        <w:t xml:space="preserve"> в широком и неисчерпывающем значении, чтобы Факультативный протокол оставался живым инструментом. Несколько ораторов особо отметили необходимость включить в понимание этого термина учреждения социальной помощи и центры для просителей убежища и мигрантов. Уточнение о том, что под лишением свободы следует понимать отсутствие возможности уйти по собственному желанию, получило одобрение участников. Несколько ораторов предложили другие места и обстоятельства, которые также должны охватываться этим термином, такие как места транспортировки или транзита в аэропортах или пограничных зонах, места содержания под стражей для инвалидов, школы, центры лечения от наркозависимости, ситуации домашнего ареста, цифровые и другие нефизические пространства.</w:t>
      </w:r>
    </w:p>
    <w:p w14:paraId="47F1324A" w14:textId="6374C286" w:rsidR="00CC1965" w:rsidRPr="005F03FE" w:rsidRDefault="00CC1965" w:rsidP="00CC1965">
      <w:pPr>
        <w:pStyle w:val="SingleTxtG"/>
      </w:pPr>
      <w:r>
        <w:t>4</w:t>
      </w:r>
      <w:r w:rsidR="007A7248" w:rsidRPr="007A7248">
        <w:t>4</w:t>
      </w:r>
      <w:r>
        <w:t>.</w:t>
      </w:r>
      <w:r>
        <w:tab/>
        <w:t>Некоторые участники подчеркнули важность сосредоточения внимания на местах, где лишены свободы уязвимые группы населения, в частности дети и люди с инвалидностью. Также был рассмотрен вопрос о юрисдикции или контроле государства, в частности в отношении экстерриториальности и негосударственных субъектов. Кроме того, обсуждались требования к осуществлению статьи 4, в том числе независимость и эффективность национальных превентивных механизмов, отмена исключений и возражений государств-участников в отношении посещения определенных мест или лиц, а также важность доступа ко всем без исключения местам содержания под стражей, включая и те, которые, строго говоря, не являются местами лишения свободы, но где люди все же могут быть лишены свободы.</w:t>
      </w:r>
    </w:p>
    <w:p w14:paraId="0B231734" w14:textId="631A936C" w:rsidR="00CC1965" w:rsidRPr="005F03FE" w:rsidRDefault="00CC1965" w:rsidP="00CC1965">
      <w:pPr>
        <w:pStyle w:val="SingleTxtG"/>
      </w:pPr>
      <w:r>
        <w:t>4</w:t>
      </w:r>
      <w:r w:rsidR="007A7248" w:rsidRPr="007A7248">
        <w:t>5</w:t>
      </w:r>
      <w:r>
        <w:t>.</w:t>
      </w:r>
      <w:r>
        <w:tab/>
        <w:t>На основе представленной в материалах и в ходе обсуждения информации Подкомитет составил список важных вопросов для включения во второй проект замечания общего порядка и приступил к их включению, как это обсуждалось на пленарном заседании в ходе пятьдесят первой сессии. Подкомитет также провел дальнейшую редакционную работу над проектом. Этот процесс будет продолжен на пятьдесят второй сессии Подкомитета, в ходе которой второй проект будет представлен на пленарном заседании.</w:t>
      </w:r>
    </w:p>
    <w:p w14:paraId="5C3DE2F5" w14:textId="09E64EBB" w:rsidR="00CC1965" w:rsidRPr="0073500C" w:rsidRDefault="00CC1965" w:rsidP="00CC1965">
      <w:pPr>
        <w:pStyle w:val="H1G"/>
      </w:pPr>
      <w:bookmarkStart w:id="57" w:name="_Hlk151652730"/>
      <w:r>
        <w:rPr>
          <w:bCs/>
        </w:rPr>
        <w:tab/>
        <w:t>I.</w:t>
      </w:r>
      <w:r>
        <w:tab/>
      </w:r>
      <w:r>
        <w:rPr>
          <w:bCs/>
        </w:rPr>
        <w:t xml:space="preserve">Руководство по эффективному расследованию </w:t>
      </w:r>
      <w:r w:rsidR="00D4197A">
        <w:rPr>
          <w:bCs/>
        </w:rPr>
        <w:br/>
      </w:r>
      <w:r>
        <w:rPr>
          <w:bCs/>
        </w:rPr>
        <w:t>и документированию пыток и других жестоких, бесчеловечных или унижающих достоинство видов обращения и наказания (Стамбульский протокол)</w:t>
      </w:r>
      <w:bookmarkStart w:id="58" w:name="_Toc161321106"/>
      <w:bookmarkEnd w:id="58"/>
    </w:p>
    <w:bookmarkEnd w:id="56"/>
    <w:bookmarkEnd w:id="57"/>
    <w:p w14:paraId="4D38AC44" w14:textId="648EFE70" w:rsidR="00CC1965" w:rsidRPr="005F03FE" w:rsidRDefault="00CC1965" w:rsidP="00CC1965">
      <w:pPr>
        <w:pStyle w:val="SingleTxtG"/>
      </w:pPr>
      <w:r>
        <w:t>4</w:t>
      </w:r>
      <w:r w:rsidR="007A7248" w:rsidRPr="007A7248">
        <w:t>6</w:t>
      </w:r>
      <w:r>
        <w:t>.</w:t>
      </w:r>
      <w:r>
        <w:tab/>
        <w:t>Входя в состав редакционной комиссии, Подкомитет сыграл в 2022 году ключевую роль в процессе подготовки к выпуску обновленной версии Руководства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(Стамбульский протокол). Обновленная версия Руководства представляет собой важный стандарт, на который постоянно делаются ссылки в рекомендациях Подкомитета после посещения стран, а также в ходе обсуждений, проводимых с национальными превентивными механизмами. Оно также обеспечивает прочную основу для совершенствования рекомендаций, и поэтому Подкомитет счел важным провести учебное занятие по нему для своих членов на пятьдесят первой сессии.</w:t>
      </w:r>
    </w:p>
    <w:p w14:paraId="12358FB0" w14:textId="6D993216" w:rsidR="00CC1965" w:rsidRPr="0073500C" w:rsidRDefault="00CC1965" w:rsidP="00CC1965">
      <w:pPr>
        <w:pStyle w:val="SingleTxtG"/>
      </w:pPr>
      <w:r>
        <w:t>4</w:t>
      </w:r>
      <w:r w:rsidR="007A7248" w:rsidRPr="007A7248">
        <w:t>7</w:t>
      </w:r>
      <w:r>
        <w:t>.</w:t>
      </w:r>
      <w:r>
        <w:tab/>
        <w:t xml:space="preserve">В ходе учебной сессии был представлен обзор Стамбульского протокола, а также проведено подробное ознакомление с двумя новыми главами и обновленными приложениями. Новая глава 8 особенно актуальна, поскольку в ней содержатся конкретные указания для государств по выполнению положений Факультативного протокола. В ходе учебной сессии особое внимание было сосредоточено на том, какие </w:t>
      </w:r>
      <w:r>
        <w:lastRenderedPageBreak/>
        <w:t>физические и психологические факты могут быть выявлены в результате применения пыток и как их следует интерпретировать, а также тому, как эти данные могут быть описаны. Эта тема очень актуальна для членов Совета при посещении ими мест лишения свободы. В ходе занятий также обсуждалось, каким образом оценивать и описывать соответствие между произошедшими событиями и выявленными фактами. Учебная сессия станет основой для постоянных обсуждений в Подкомитете вопроса о том, как по-прежнему наилучшим образом включать Стамбульский протокол в свою работу.</w:t>
      </w:r>
    </w:p>
    <w:p w14:paraId="2BD60464" w14:textId="77777777" w:rsidR="00CC1965" w:rsidRPr="0073500C" w:rsidRDefault="00CC1965" w:rsidP="00CC1965">
      <w:pPr>
        <w:pStyle w:val="H1G"/>
      </w:pPr>
      <w:bookmarkStart w:id="59" w:name="_Hlk151655463"/>
      <w:r>
        <w:rPr>
          <w:bCs/>
        </w:rPr>
        <w:tab/>
        <w:t>J.</w:t>
      </w:r>
      <w:r>
        <w:tab/>
      </w:r>
      <w:r>
        <w:rPr>
          <w:bCs/>
        </w:rPr>
        <w:t>Конференция, посвященная двадцатой годовщине Факультативного протокола и пятнадцатой годовщине создания Подкомитета</w:t>
      </w:r>
      <w:bookmarkStart w:id="60" w:name="_Toc161321107"/>
      <w:bookmarkEnd w:id="60"/>
    </w:p>
    <w:p w14:paraId="4C7345AC" w14:textId="4FD6555B" w:rsidR="00CC1965" w:rsidRPr="005F03FE" w:rsidRDefault="00CC1965" w:rsidP="00CC1965">
      <w:pPr>
        <w:pStyle w:val="SingleTxtG"/>
      </w:pPr>
      <w:bookmarkStart w:id="61" w:name="_Toc534899842"/>
      <w:bookmarkEnd w:id="59"/>
      <w:r>
        <w:t>4</w:t>
      </w:r>
      <w:r w:rsidR="007A7248" w:rsidRPr="007A7248">
        <w:t>8</w:t>
      </w:r>
      <w:r>
        <w:t>.</w:t>
      </w:r>
      <w:r>
        <w:tab/>
        <w:t>Двадцатая годовщина Факультативного протокола и пятнадцатая годовщина создания Подкомитета были отмечены проведением конференции в смешанном формате в Женеве 9 февраля 2023 года. Со вступительным словом выступила заместитель Верховного комиссара по правам человека. Было проведено три дискуссионных форума, в которых участвовали представители различных заинтересованных сторон, включая государства-участники, национальные превентивные механизмы, региональные органы и НПО, а также бывшие члены Подкомитета. В ходе заключительного заседания с заявлениями выступили представители Швейцарии, Комитета против пыток, Фонда добровольных взносов Организации Объединенных Наций для жертв пыток и Международного комитета Красного Креста, а также Специальный докладчик по вопросу о пытках и других жестоких, бесчеловечных или унижающих достоинство видах обращения и наказания и Председатель Подкомитета. На конференции присутствовали лично более 100</w:t>
      </w:r>
      <w:r>
        <w:rPr>
          <w:lang w:val="en-US"/>
        </w:rPr>
        <w:t> </w:t>
      </w:r>
      <w:r>
        <w:t xml:space="preserve">участников, включая представителей государств-участников, национальных превентивных механизмов, гражданского общества и научных кругов, а в режиме онлайн </w:t>
      </w:r>
      <w:r w:rsidR="00A3242D">
        <w:t>—</w:t>
      </w:r>
      <w:r>
        <w:t xml:space="preserve"> более 100 участников, представлявших все континенты.</w:t>
      </w:r>
    </w:p>
    <w:p w14:paraId="7D44AD0D" w14:textId="3BFA92CD" w:rsidR="00CC1965" w:rsidRPr="0073500C" w:rsidRDefault="00CC1965" w:rsidP="00CC1965">
      <w:pPr>
        <w:pStyle w:val="SingleTxtG"/>
      </w:pPr>
      <w:r>
        <w:t>4</w:t>
      </w:r>
      <w:r w:rsidR="007A7248" w:rsidRPr="007A7248">
        <w:t>9</w:t>
      </w:r>
      <w:r>
        <w:t>.</w:t>
      </w:r>
      <w:r>
        <w:tab/>
        <w:t>Подкомитет выражает благодарность всем модераторам, докладчикам и непосредственным участникам этого мероприятия, а также участникам со всего мира, которые присутствовали на нем в режиме онлайн. Программа и информационная листовка размещены на веб-сайте Подкомитета</w:t>
      </w:r>
      <w:r w:rsidRPr="00812E43">
        <w:rPr>
          <w:rStyle w:val="aa"/>
        </w:rPr>
        <w:footnoteReference w:id="30"/>
      </w:r>
      <w:r>
        <w:t>; запись конференции, которая проводилась как открытое заседание, и прямая трансляция в эфире на трех языках, размещены на веб-сайте Организации Объединенных Наций</w:t>
      </w:r>
      <w:r w:rsidRPr="00812E43">
        <w:rPr>
          <w:rStyle w:val="aa"/>
        </w:rPr>
        <w:footnoteReference w:id="31"/>
      </w:r>
      <w:r>
        <w:t>.</w:t>
      </w:r>
    </w:p>
    <w:p w14:paraId="4EAFB632" w14:textId="77777777" w:rsidR="00CC1965" w:rsidRPr="0073500C" w:rsidRDefault="00CC1965" w:rsidP="00CC1965">
      <w:pPr>
        <w:pStyle w:val="HChG"/>
      </w:pPr>
      <w:r>
        <w:rPr>
          <w:bCs/>
        </w:rPr>
        <w:tab/>
        <w:t>III.</w:t>
      </w:r>
      <w:r>
        <w:tab/>
      </w:r>
      <w:r>
        <w:tab/>
      </w:r>
      <w:r>
        <w:rPr>
          <w:bCs/>
        </w:rPr>
        <w:t>Взаимодействие с другими органами в области предупреждения пыток</w:t>
      </w:r>
      <w:bookmarkStart w:id="62" w:name="_Toc97717823"/>
      <w:bookmarkStart w:id="63" w:name="_Toc97795002"/>
      <w:bookmarkStart w:id="64" w:name="_Toc161321108"/>
      <w:bookmarkEnd w:id="61"/>
      <w:bookmarkEnd w:id="62"/>
      <w:bookmarkEnd w:id="63"/>
      <w:bookmarkEnd w:id="64"/>
    </w:p>
    <w:p w14:paraId="45ED7A59" w14:textId="77777777" w:rsidR="00CC1965" w:rsidRPr="0073500C" w:rsidRDefault="00CC1965" w:rsidP="00CC1965">
      <w:pPr>
        <w:pStyle w:val="H1G"/>
      </w:pPr>
      <w:r>
        <w:rPr>
          <w:bCs/>
        </w:rPr>
        <w:tab/>
        <w:t>A.</w:t>
      </w:r>
      <w:r>
        <w:tab/>
      </w:r>
      <w:r>
        <w:rPr>
          <w:bCs/>
        </w:rPr>
        <w:t>Международное сотрудничество</w:t>
      </w:r>
      <w:bookmarkStart w:id="65" w:name="_Toc534899843"/>
      <w:bookmarkStart w:id="66" w:name="_Toc97717824"/>
      <w:bookmarkStart w:id="67" w:name="_Toc97795003"/>
      <w:bookmarkStart w:id="68" w:name="_Toc161321109"/>
      <w:bookmarkEnd w:id="65"/>
      <w:bookmarkEnd w:id="66"/>
      <w:bookmarkEnd w:id="67"/>
      <w:bookmarkEnd w:id="68"/>
    </w:p>
    <w:p w14:paraId="427B8E89" w14:textId="77777777" w:rsidR="00CC1965" w:rsidRPr="0073500C" w:rsidRDefault="00CC1965" w:rsidP="00CC1965">
      <w:pPr>
        <w:pStyle w:val="H23G"/>
      </w:pPr>
      <w:r>
        <w:rPr>
          <w:bCs/>
        </w:rPr>
        <w:tab/>
        <w:t>1.</w:t>
      </w:r>
      <w:r>
        <w:tab/>
      </w:r>
      <w:r>
        <w:rPr>
          <w:bCs/>
        </w:rPr>
        <w:t>Сотрудничество с другими органами Организации Объединенных Наций</w:t>
      </w:r>
    </w:p>
    <w:p w14:paraId="1917EE52" w14:textId="094A9D7B" w:rsidR="00CC1965" w:rsidRPr="0073500C" w:rsidRDefault="007A7248" w:rsidP="00CC1965">
      <w:pPr>
        <w:pStyle w:val="SingleTxtG"/>
      </w:pPr>
      <w:r w:rsidRPr="007A7248">
        <w:t>50</w:t>
      </w:r>
      <w:r w:rsidR="00CC1965">
        <w:t>.</w:t>
      </w:r>
      <w:r w:rsidR="00CC1965">
        <w:tab/>
        <w:t>Председатель Подкомитета 1 мая 2023 года представил шестнадцатый ежегодный доклад Подкомитета</w:t>
      </w:r>
      <w:r w:rsidR="00CC1965" w:rsidRPr="00812E43">
        <w:rPr>
          <w:rStyle w:val="aa"/>
        </w:rPr>
        <w:footnoteReference w:id="32"/>
      </w:r>
      <w:r w:rsidR="00CC1965">
        <w:t xml:space="preserve"> и обсудил его с Комитетом против пыток на пленарном заседании семьдесят шестой сессии Комитета, которая проходила в Женеве с 17 апреля по 12 мая 2022 года.</w:t>
      </w:r>
    </w:p>
    <w:p w14:paraId="461E7D61" w14:textId="19B8AC63" w:rsidR="00CC1965" w:rsidRPr="005F03FE" w:rsidRDefault="00CC1965" w:rsidP="00CC1965">
      <w:pPr>
        <w:pStyle w:val="SingleTxtG"/>
      </w:pPr>
      <w:r>
        <w:t>5</w:t>
      </w:r>
      <w:r w:rsidR="007A7248" w:rsidRPr="007A7248">
        <w:t>1</w:t>
      </w:r>
      <w:r>
        <w:t>.</w:t>
      </w:r>
      <w:r>
        <w:tab/>
        <w:t xml:space="preserve">В соответствии с резолюцией 70/146 Генеральной Ассамблеи Председатель Подкомитета совместно с Председателем Комитета против пыток и Специальным докладчиком по вопросу о пытках и других жестоких, бесчеловечных или унижающих </w:t>
      </w:r>
      <w:r>
        <w:lastRenderedPageBreak/>
        <w:t>достоинство видах обращения и наказания представили Ассамблее на ее семьдесят восьмой сессии шестнадцатый ежегодный доклад Подкомитета</w:t>
      </w:r>
      <w:r w:rsidRPr="00812E43">
        <w:rPr>
          <w:rStyle w:val="aa"/>
        </w:rPr>
        <w:footnoteReference w:id="33"/>
      </w:r>
      <w:r>
        <w:t>.</w:t>
      </w:r>
    </w:p>
    <w:p w14:paraId="1ABCD7EB" w14:textId="698359CC" w:rsidR="00CC1965" w:rsidRPr="0073500C" w:rsidRDefault="00CC1965" w:rsidP="00CC1965">
      <w:pPr>
        <w:pStyle w:val="SingleTxtG"/>
      </w:pPr>
      <w:r>
        <w:t>5</w:t>
      </w:r>
      <w:r w:rsidR="007A7248" w:rsidRPr="007A7248">
        <w:t>2</w:t>
      </w:r>
      <w:r>
        <w:t>.</w:t>
      </w:r>
      <w:r>
        <w:tab/>
        <w:t>В течение года Председатель Подкомитета участвовал в нескольких неофициальных онлайн-встречах председателей договорных органов по правам человека и представлял Подкомитет на тридцать пятом совещании председателей договорных органов по правам человека, проходившем в Нью-Йорке с 29 мая по 3</w:t>
      </w:r>
      <w:r>
        <w:rPr>
          <w:lang w:val="en-US"/>
        </w:rPr>
        <w:t> </w:t>
      </w:r>
      <w:r>
        <w:t>июня 2023 года. В контексте процесса укрепления договорных органов председатели договорились установить предсказуемый график рассмотрения докладов государств-участников о соблюдении договорных обязательств в области прав человека с восьмилетним циклом проведения полных обзоров в сочетании с последующими обзорами в течение цикла для восьми договорных органов, в которых проводятся периодические обзоры. Аналогичным образом Подкомитет, у которого имеется мандат на посещение, будет посещать государства-участники в среднем один раз в восемь лет, с периодическим проведением диалога в периоды между посещениями, согласно принятому Подкомитетом соответствующему заявлению</w:t>
      </w:r>
      <w:r w:rsidRPr="00812E43">
        <w:rPr>
          <w:rStyle w:val="aa"/>
        </w:rPr>
        <w:footnoteReference w:id="34"/>
      </w:r>
      <w:r>
        <w:t>.</w:t>
      </w:r>
      <w:bookmarkStart w:id="69" w:name="_Hlk58255827"/>
      <w:bookmarkEnd w:id="69"/>
    </w:p>
    <w:p w14:paraId="59B41881" w14:textId="24589452" w:rsidR="00CC1965" w:rsidRPr="0073500C" w:rsidRDefault="00CC1965" w:rsidP="00CC1965">
      <w:pPr>
        <w:pStyle w:val="SingleTxtG"/>
      </w:pPr>
      <w:r>
        <w:t>5</w:t>
      </w:r>
      <w:r w:rsidR="007A7248" w:rsidRPr="007A7248">
        <w:t>3</w:t>
      </w:r>
      <w:r>
        <w:t>.</w:t>
      </w:r>
      <w:r>
        <w:tab/>
        <w:t>В Международный день Организации Объединенных Наций в поддержку жертв пыток, 26 июня, Подкомитет, Комитет против пыток и Совет попечителей Фонда добровольных взносов Организации Объединенных Наций для жертв пыток опубликовали совместное заявление, в котором призвали государства придерживаться абсолютного запрета на применение пыток в вооруженных конфликтах</w:t>
      </w:r>
      <w:r w:rsidRPr="00812E43">
        <w:rPr>
          <w:rStyle w:val="aa"/>
        </w:rPr>
        <w:footnoteReference w:id="35"/>
      </w:r>
      <w:r>
        <w:t>. В этом заявлении эксперты по правам человека подчеркнули, что запрет на применение пыток является нормой jus cogens международного права, основополагающим принципом, который применяется во все времена и при любых обстоятельствах, и ко всем сторонам в конфликте. В заявлении Председатель Подкомитета настоятельно призвал государства обеспечить, чтобы и в ситуациях вооруженного конфликта принимались все возможные меры для предоставления национальным превентивным механизмам и другим органам по контролю за содержанием под стражей постоянного доступа во все места лишения свободы и возможностей ведения там мониторинга. Она призвала негосударственные субъекты содействовать аналогичному доступу, подчеркнув, что предотвращение пыток является обязательным условием при любых обстоятельствах и отвечает интересам всех сторон в конфликте.</w:t>
      </w:r>
    </w:p>
    <w:p w14:paraId="6D1CE74D" w14:textId="0749342F" w:rsidR="00CC1965" w:rsidRPr="0073500C" w:rsidRDefault="00CC1965" w:rsidP="00CC1965">
      <w:pPr>
        <w:pStyle w:val="SingleTxtG"/>
      </w:pPr>
      <w:r>
        <w:t>5</w:t>
      </w:r>
      <w:r w:rsidR="007A7248" w:rsidRPr="007A7248">
        <w:t>4</w:t>
      </w:r>
      <w:r>
        <w:t>.</w:t>
      </w:r>
      <w:r>
        <w:tab/>
        <w:t>Подкомитет продолжал на систематической основе сотрудничать с другими механизмами, в том числе препровождая на рассмотрение Комитета против пыток предложения, касающиеся государств — участников Факультативного протокола, доклады которых предполагалось рассмотреть на предстоящих сессиях Комитета, и вопросы, которые Комитет мог бы решить рассмотреть с государствами-участниками в рамках упрощенной процедуры представления докладов.</w:t>
      </w:r>
    </w:p>
    <w:p w14:paraId="08E25808" w14:textId="7000C5A6" w:rsidR="00CC1965" w:rsidRPr="0073500C" w:rsidRDefault="00CC1965" w:rsidP="00CC1965">
      <w:pPr>
        <w:pStyle w:val="SingleTxtG"/>
      </w:pPr>
      <w:r>
        <w:t>5</w:t>
      </w:r>
      <w:r w:rsidR="007A7248" w:rsidRPr="007A7248">
        <w:t>5</w:t>
      </w:r>
      <w:r>
        <w:t>.</w:t>
      </w:r>
      <w:r>
        <w:tab/>
        <w:t>В ходе своей пятьдесят первой сессии Подкомитет провел совещание с Комитетом против пыток, чтобы обсудить проблемы, общие для обоих мандатов, и взаимное признание ключевых проблем и рекомендаций государствам-участникам в их работе, вынесенных будь то во время посещения стран, в докладах о посещении или при рассмотрении докладов государств-участников. Оба органа выразили готовность и далее укреплять свое сотрудничество с должным учетом принципа конфиденциальности в соответствии с Факультативным протоколом.</w:t>
      </w:r>
    </w:p>
    <w:p w14:paraId="6E57E37A" w14:textId="14061BC9" w:rsidR="00CC1965" w:rsidRPr="0073500C" w:rsidRDefault="00CC1965" w:rsidP="00CC1965">
      <w:pPr>
        <w:pStyle w:val="SingleTxtG"/>
      </w:pPr>
      <w:r>
        <w:t>5</w:t>
      </w:r>
      <w:r w:rsidR="007A7248" w:rsidRPr="007A7248">
        <w:t>6</w:t>
      </w:r>
      <w:r>
        <w:t>.</w:t>
      </w:r>
      <w:r>
        <w:tab/>
        <w:t>Подкомитет продолжал сотрудничать с региональными отделениями УВКПЧ, страновыми группами Организации Объединенных Наций и Управлением Верховного комиссара Организации Объединенных Наций по делам беженцев.</w:t>
      </w:r>
    </w:p>
    <w:p w14:paraId="3CBE9E7B" w14:textId="38740A31" w:rsidR="00CC1965" w:rsidRPr="005F03FE" w:rsidRDefault="00CC1965" w:rsidP="00CC1965">
      <w:pPr>
        <w:pStyle w:val="SingleTxtG"/>
      </w:pPr>
      <w:r>
        <w:t>5</w:t>
      </w:r>
      <w:r w:rsidR="007A7248" w:rsidRPr="007A7248">
        <w:t>7</w:t>
      </w:r>
      <w:r>
        <w:t>.</w:t>
      </w:r>
      <w:r>
        <w:tab/>
        <w:t>Подкомитет продолжал также сотрудничать с программой укрепления потенциала договорных органов, в частности в порядке содействия работе национальных превентивных механизмов.</w:t>
      </w:r>
    </w:p>
    <w:p w14:paraId="77D2A288" w14:textId="77777777" w:rsidR="00CC1965" w:rsidRPr="0073500C" w:rsidRDefault="00CC1965" w:rsidP="00CC1965">
      <w:pPr>
        <w:pStyle w:val="H23G"/>
      </w:pPr>
      <w:r>
        <w:rPr>
          <w:bCs/>
        </w:rPr>
        <w:lastRenderedPageBreak/>
        <w:tab/>
        <w:t>2.</w:t>
      </w:r>
      <w:r>
        <w:tab/>
      </w:r>
      <w:r>
        <w:rPr>
          <w:bCs/>
        </w:rPr>
        <w:t>Сотрудничество с другими соответствующими международными организациями</w:t>
      </w:r>
    </w:p>
    <w:p w14:paraId="66B2310B" w14:textId="64D4B108" w:rsidR="00CC1965" w:rsidRPr="0073500C" w:rsidRDefault="00CC1965" w:rsidP="00CC1965">
      <w:pPr>
        <w:pStyle w:val="SingleTxtG"/>
      </w:pPr>
      <w:r>
        <w:t>5</w:t>
      </w:r>
      <w:r w:rsidR="007A7248" w:rsidRPr="007A7248">
        <w:t>8</w:t>
      </w:r>
      <w:r>
        <w:t>.</w:t>
      </w:r>
      <w:r>
        <w:tab/>
        <w:t>Подкомитет продолжал сотрудничать с Международным комитетом Красного Креста, представитель которого участвовал в качестве основного докладчика в открытом публичном обсуждении проекта замечания общего порядка Подкомитета, а также в конференции, посвященной годовщинам Факультативного протокола и Подкомитета.</w:t>
      </w:r>
    </w:p>
    <w:p w14:paraId="5D1053BA" w14:textId="77777777" w:rsidR="00CC1965" w:rsidRPr="00812E43" w:rsidRDefault="00CC1965" w:rsidP="00CC1965">
      <w:pPr>
        <w:pStyle w:val="H1G"/>
      </w:pPr>
      <w:r>
        <w:rPr>
          <w:bCs/>
        </w:rPr>
        <w:tab/>
        <w:t>B.</w:t>
      </w:r>
      <w:r>
        <w:tab/>
      </w:r>
      <w:r>
        <w:rPr>
          <w:bCs/>
        </w:rPr>
        <w:t>Региональное сотрудничество</w:t>
      </w:r>
      <w:bookmarkStart w:id="70" w:name="_Toc534899844"/>
      <w:bookmarkStart w:id="71" w:name="_Toc97717825"/>
      <w:bookmarkStart w:id="72" w:name="_Toc97795004"/>
      <w:bookmarkStart w:id="73" w:name="_Toc161321110"/>
      <w:bookmarkEnd w:id="70"/>
      <w:bookmarkEnd w:id="71"/>
      <w:bookmarkEnd w:id="72"/>
      <w:bookmarkEnd w:id="73"/>
    </w:p>
    <w:p w14:paraId="5668F384" w14:textId="4B40E64D" w:rsidR="00CC1965" w:rsidRPr="005F03FE" w:rsidRDefault="00CC1965" w:rsidP="00CC1965">
      <w:pPr>
        <w:pStyle w:val="SingleTxtG"/>
      </w:pPr>
      <w:r>
        <w:t>5</w:t>
      </w:r>
      <w:r w:rsidR="007A7248" w:rsidRPr="007A7248">
        <w:t>9</w:t>
      </w:r>
      <w:r>
        <w:t>.</w:t>
      </w:r>
      <w:r>
        <w:tab/>
        <w:t>Подкомитет продолжал сотрудничество с региональными организациями, в том числе с Европейским комитетом по предупреждению пыток и бесчеловечного или унижающего достоинство обращения или наказания, в основу которого был положен взаимный обмен письмами в целях введения в действие статьи 31 Факультативного протокола, с тем чтобы усилить взаимодополняемость и субсидиарность. Было проведено несколько совещаний на уровне председателей и секретариата.</w:t>
      </w:r>
    </w:p>
    <w:p w14:paraId="1352ECD7" w14:textId="6E1027B4" w:rsidR="00CC1965" w:rsidRPr="005F03FE" w:rsidRDefault="007A7248" w:rsidP="00CC1965">
      <w:pPr>
        <w:pStyle w:val="SingleTxtG"/>
      </w:pPr>
      <w:r w:rsidRPr="007A7248">
        <w:t>60</w:t>
      </w:r>
      <w:r w:rsidR="00CC1965">
        <w:t>.</w:t>
      </w:r>
      <w:r w:rsidR="00CC1965">
        <w:tab/>
        <w:t>Подкомитет проводил совместные мероприятия с Бюро по демократическим институтам и правам человека ОБСЕ в рамках своего мандата по сотрудничеству с соответствующими региональными учреждениями, работающими над укреплением защиты всех лиц от пыток и жестокого обращения (п. 1 с) ст. 11 Факультативного протокола). Именно в этом контексте представители Подкомитета участвовали в диалоге in situ в Словакии, который координировало Бюро по демократическим институтам и правам человека.</w:t>
      </w:r>
    </w:p>
    <w:p w14:paraId="6F54BE6F" w14:textId="77777777" w:rsidR="00CC1965" w:rsidRPr="0073500C" w:rsidRDefault="00CC1965" w:rsidP="00CC1965">
      <w:pPr>
        <w:pStyle w:val="H1G"/>
      </w:pPr>
      <w:r>
        <w:rPr>
          <w:bCs/>
        </w:rPr>
        <w:tab/>
        <w:t>C.</w:t>
      </w:r>
      <w:r>
        <w:tab/>
      </w:r>
      <w:r>
        <w:rPr>
          <w:bCs/>
        </w:rPr>
        <w:t>Сотрудничество с гражданским обществом и другими заинтересованными сторонами</w:t>
      </w:r>
      <w:bookmarkStart w:id="74" w:name="_Toc534899845"/>
      <w:bookmarkStart w:id="75" w:name="_Toc97717826"/>
      <w:bookmarkStart w:id="76" w:name="_Toc97795005"/>
      <w:bookmarkStart w:id="77" w:name="_Toc161321111"/>
      <w:bookmarkEnd w:id="74"/>
      <w:bookmarkEnd w:id="75"/>
      <w:bookmarkEnd w:id="76"/>
      <w:bookmarkEnd w:id="77"/>
    </w:p>
    <w:p w14:paraId="211A895C" w14:textId="53D17E50" w:rsidR="00CC1965" w:rsidRPr="005F03FE" w:rsidRDefault="00CC1965" w:rsidP="00CC1965">
      <w:pPr>
        <w:pStyle w:val="SingleTxtG"/>
      </w:pPr>
      <w:bookmarkStart w:id="78" w:name="_Toc534899846"/>
      <w:r>
        <w:t>6</w:t>
      </w:r>
      <w:r w:rsidR="007A7248" w:rsidRPr="007A7248">
        <w:t>1</w:t>
      </w:r>
      <w:r>
        <w:t>.</w:t>
      </w:r>
      <w:r>
        <w:tab/>
        <w:t xml:space="preserve">Подкомитет продолжал получать значительную поддержку со стороны гражданского общества, в том числе Ассоциации за предотвращение пыток, Консорциума </w:t>
      </w:r>
      <w:r w:rsidR="00CA192E">
        <w:t>«</w:t>
      </w:r>
      <w:r>
        <w:t>Объединенные против пыток</w:t>
      </w:r>
      <w:r w:rsidR="00CA192E">
        <w:t>»</w:t>
      </w:r>
      <w:r>
        <w:t xml:space="preserve"> и целого ряда научных учреждений. Подкомитет получил ценную информацию от контактов с национальными и международными организациями гражданского общества до и во время посещений стран и благодарит эти организации за продвижение и поддержку Факультативного протокола.</w:t>
      </w:r>
    </w:p>
    <w:p w14:paraId="12144A98" w14:textId="77777777" w:rsidR="00CC1965" w:rsidRPr="0073500C" w:rsidRDefault="00CC1965" w:rsidP="00CC1965">
      <w:pPr>
        <w:pStyle w:val="HChG"/>
      </w:pPr>
      <w:r>
        <w:rPr>
          <w:bCs/>
        </w:rPr>
        <w:tab/>
        <w:t>IV.</w:t>
      </w:r>
      <w:r>
        <w:tab/>
      </w:r>
      <w:r>
        <w:tab/>
      </w:r>
      <w:r>
        <w:rPr>
          <w:bCs/>
        </w:rPr>
        <w:t>События, связанные с методами работы</w:t>
      </w:r>
      <w:bookmarkStart w:id="79" w:name="_Toc97717828"/>
      <w:bookmarkStart w:id="80" w:name="_Toc97795007"/>
      <w:bookmarkStart w:id="81" w:name="_Toc161321112"/>
      <w:bookmarkEnd w:id="78"/>
      <w:bookmarkEnd w:id="79"/>
      <w:bookmarkEnd w:id="80"/>
      <w:bookmarkEnd w:id="81"/>
    </w:p>
    <w:p w14:paraId="2F7E573A" w14:textId="77777777" w:rsidR="00CC1965" w:rsidRPr="00812E43" w:rsidRDefault="00CC1965" w:rsidP="00CC1965">
      <w:pPr>
        <w:pStyle w:val="H1G"/>
      </w:pPr>
      <w:r>
        <w:rPr>
          <w:bCs/>
        </w:rPr>
        <w:tab/>
        <w:t>A.</w:t>
      </w:r>
      <w:r>
        <w:tab/>
      </w:r>
      <w:r>
        <w:rPr>
          <w:bCs/>
        </w:rPr>
        <w:t>Посещения в 2024 году</w:t>
      </w:r>
      <w:bookmarkStart w:id="82" w:name="_Toc97717829"/>
      <w:bookmarkStart w:id="83" w:name="_Toc97795008"/>
      <w:bookmarkStart w:id="84" w:name="_Toc161321113"/>
      <w:bookmarkEnd w:id="82"/>
      <w:bookmarkEnd w:id="83"/>
      <w:bookmarkEnd w:id="84"/>
    </w:p>
    <w:p w14:paraId="1CE513C7" w14:textId="56A2CC3D" w:rsidR="00CC1965" w:rsidRPr="005F03FE" w:rsidRDefault="00CC1965" w:rsidP="00CC1965">
      <w:pPr>
        <w:pStyle w:val="SingleTxtG"/>
      </w:pPr>
      <w:r>
        <w:t>6</w:t>
      </w:r>
      <w:r w:rsidR="007A7248" w:rsidRPr="007A7248">
        <w:t>2</w:t>
      </w:r>
      <w:r>
        <w:t>.</w:t>
      </w:r>
      <w:r>
        <w:tab/>
        <w:t xml:space="preserve">На своих пятидесятой и пятьдесят первой сессиях Подкомитет обсудил приоритеты программы посещений в свете положения в каждом государстве-участнике, ратифицировавшем Факультативный протокол. Был опубликован следующий список государств-участников, посещение которых намечено в 2024 году: Албания, Боливия (Многонациональное Государство), Габон, </w:t>
      </w:r>
      <w:r w:rsidR="004A5A07">
        <w:t xml:space="preserve">Гондурас, </w:t>
      </w:r>
      <w:r>
        <w:t>Греция, Демократическая Республика Конго, Монголия и Нигерия</w:t>
      </w:r>
      <w:r w:rsidRPr="00812E43">
        <w:rPr>
          <w:rStyle w:val="aa"/>
        </w:rPr>
        <w:footnoteReference w:id="36"/>
      </w:r>
      <w:r>
        <w:t>.</w:t>
      </w:r>
    </w:p>
    <w:p w14:paraId="1B348C9E" w14:textId="0C99E150" w:rsidR="00CC1965" w:rsidRPr="0073500C" w:rsidRDefault="00CC1965" w:rsidP="00CC1965">
      <w:pPr>
        <w:pStyle w:val="SingleTxtG"/>
      </w:pPr>
      <w:r>
        <w:t>6</w:t>
      </w:r>
      <w:r w:rsidR="007A7248" w:rsidRPr="007A7248">
        <w:t>3</w:t>
      </w:r>
      <w:r>
        <w:t>.</w:t>
      </w:r>
      <w:r>
        <w:tab/>
        <w:t>Подкомитет по предупреждению пыток по-прежнему указывает на то, о чем он говорил в своем одиннадцатом ежегодном докладе</w:t>
      </w:r>
      <w:r w:rsidRPr="00812E43">
        <w:rPr>
          <w:rStyle w:val="aa"/>
        </w:rPr>
        <w:footnoteReference w:id="37"/>
      </w:r>
      <w:r>
        <w:t>, а именно: неспособность Подкомитета ежегодно осуществлять не менее 12 посещений стран в соответствии с заявлением, принятым на его сорок шестой сессии</w:t>
      </w:r>
      <w:r w:rsidRPr="00812E43">
        <w:rPr>
          <w:rStyle w:val="aa"/>
        </w:rPr>
        <w:footnoteReference w:id="38"/>
      </w:r>
      <w:r>
        <w:t xml:space="preserve">, является серьезным препятствием </w:t>
      </w:r>
      <w:r>
        <w:lastRenderedPageBreak/>
        <w:t>для полноценного и эффективного осуществления превентивного мандата, предусмотренного Факультативным протоколом, и подрывает характер заблаговременных действий в рамках созданной им системы предупреждения. Крайне важно, чтобы Подкомитету выделяли ресурсы, необходимые для того, чтобы он мог располагать соответствующим образом укомплектованным секретариатом и осуществлять программу посещений в полном объеме.</w:t>
      </w:r>
    </w:p>
    <w:p w14:paraId="4A033C46" w14:textId="77777777" w:rsidR="00CC1965" w:rsidRPr="0073500C" w:rsidRDefault="00CC1965" w:rsidP="00CC1965">
      <w:pPr>
        <w:pStyle w:val="H1G"/>
      </w:pPr>
      <w:r>
        <w:rPr>
          <w:bCs/>
        </w:rPr>
        <w:tab/>
        <w:t>B.</w:t>
      </w:r>
      <w:r>
        <w:tab/>
      </w:r>
      <w:r>
        <w:rPr>
          <w:bCs/>
        </w:rPr>
        <w:t>Продолжительность заседаний</w:t>
      </w:r>
      <w:bookmarkStart w:id="85" w:name="_Toc97717830"/>
      <w:bookmarkStart w:id="86" w:name="_Toc97795009"/>
      <w:bookmarkStart w:id="87" w:name="_Toc161321114"/>
      <w:bookmarkEnd w:id="85"/>
      <w:bookmarkEnd w:id="86"/>
      <w:bookmarkEnd w:id="87"/>
    </w:p>
    <w:p w14:paraId="792C3014" w14:textId="7E897D62" w:rsidR="00CC1965" w:rsidRPr="0073500C" w:rsidRDefault="00CC1965" w:rsidP="00CC1965">
      <w:pPr>
        <w:pStyle w:val="SingleTxtG"/>
      </w:pPr>
      <w:r>
        <w:t>6</w:t>
      </w:r>
      <w:r w:rsidR="007A7248" w:rsidRPr="007A7248">
        <w:t>4</w:t>
      </w:r>
      <w:r>
        <w:t>.</w:t>
      </w:r>
      <w:r>
        <w:tab/>
        <w:t xml:space="preserve">Сорок девятая и пятьдесят первая сессии длились каждая по одной неделе. </w:t>
      </w:r>
      <w:r w:rsidR="00D4197A">
        <w:br/>
      </w:r>
      <w:r>
        <w:t>На пятидесятой сессии Подкомитет во второй раз заседал в течение двух недель.</w:t>
      </w:r>
    </w:p>
    <w:p w14:paraId="2F3D69A0" w14:textId="77777777" w:rsidR="00CC1965" w:rsidRPr="00812E43" w:rsidRDefault="00CC1965" w:rsidP="00CC1965">
      <w:pPr>
        <w:pStyle w:val="HChG"/>
      </w:pPr>
      <w:r>
        <w:rPr>
          <w:bCs/>
        </w:rPr>
        <w:tab/>
        <w:t>V.</w:t>
      </w:r>
      <w:r>
        <w:tab/>
      </w:r>
      <w:r>
        <w:rPr>
          <w:bCs/>
        </w:rPr>
        <w:t>Задачи на будущее</w:t>
      </w:r>
      <w:bookmarkStart w:id="88" w:name="_Toc534899849"/>
      <w:bookmarkStart w:id="89" w:name="_Toc97717831"/>
      <w:bookmarkStart w:id="90" w:name="_Toc97795010"/>
      <w:bookmarkStart w:id="91" w:name="_Toc161321115"/>
      <w:bookmarkEnd w:id="88"/>
      <w:bookmarkEnd w:id="89"/>
      <w:bookmarkEnd w:id="90"/>
      <w:bookmarkEnd w:id="91"/>
    </w:p>
    <w:p w14:paraId="6209EA6D" w14:textId="2FAC9A5C" w:rsidR="00CC1965" w:rsidRPr="005F03FE" w:rsidRDefault="00CC1965" w:rsidP="00CC1965">
      <w:pPr>
        <w:pStyle w:val="SingleTxtG"/>
      </w:pPr>
      <w:r>
        <w:t>6</w:t>
      </w:r>
      <w:r w:rsidR="007A7248" w:rsidRPr="007A7248">
        <w:t>5</w:t>
      </w:r>
      <w:r>
        <w:t>.</w:t>
      </w:r>
      <w:r>
        <w:tab/>
        <w:t>Конференция, посвященная годовщинам Факультативного протокола и Подкомитета, предоставила важную возможность напомнить об основополагающих принципах Факультативного протокола и укрепить связи сотрудничества между Подкомитетом, государствами-участниками, национальными превентивными механизмами и гражданским обществом. Тогда же настало и время вспомнить о необходимости выполнения государствами-участниками своих финансовых обязательств перед Организацией Объединенных Наций, с тем чтобы договорные органы по правам человека могли выполнять свой мандат.</w:t>
      </w:r>
    </w:p>
    <w:p w14:paraId="3173467E" w14:textId="267867B1" w:rsidR="00CC1965" w:rsidRPr="0073500C" w:rsidRDefault="00CC1965" w:rsidP="00CC1965">
      <w:pPr>
        <w:pStyle w:val="SingleTxtG"/>
      </w:pPr>
      <w:r>
        <w:t>6</w:t>
      </w:r>
      <w:r w:rsidR="007A7248" w:rsidRPr="007A7248">
        <w:t>6</w:t>
      </w:r>
      <w:r>
        <w:t>.</w:t>
      </w:r>
      <w:r>
        <w:tab/>
        <w:t>Подкомитет определил свою программу посещений на 2024 год, предусмотренную в соответствии с требованиями, установленными Факультативным протоколом, отражающую строгий характер работы Подкомитета и потребности государств-участников и национальных превентивных механизмов, в духе сотрудничества с государствами-участниками и национальными превентивными механизмами и между ними.</w:t>
      </w:r>
    </w:p>
    <w:p w14:paraId="2E642305" w14:textId="3EF81AFF" w:rsidR="00CC1965" w:rsidRPr="0073500C" w:rsidRDefault="00CC1965" w:rsidP="00CC1965">
      <w:pPr>
        <w:pStyle w:val="SingleTxtG"/>
      </w:pPr>
      <w:r>
        <w:t>6</w:t>
      </w:r>
      <w:r w:rsidR="007A7248" w:rsidRPr="007A7248">
        <w:t>7</w:t>
      </w:r>
      <w:r>
        <w:t>.</w:t>
      </w:r>
      <w:r>
        <w:tab/>
        <w:t>Посещение мест лишения свободы составляет основу Факультативного протокола. Следует напомнить, что посещения Подкомитета могут осуществляться только лично, с проведением личных бесед с людьми, лишенными свободы, и другими заинтересованными сторонами, а также в рамках эффективного диалога с соответствующим государством-участником. В связи с этим Подкомитет не пожалеет усилий и будет использовать все возможные средства, чтобы выполнить свою программу посещений, несмотря на препятствия, вызванные нехваткой ресурсов или просьбами государств-участников приостановить посещения. В этой ситуации Подкомитет вынужден обращаться к национальным превентивным механизмам по поводу выполнения ими своего превентивного мандата, поскольку имеющихся в распоряжении Подкомитета ресурсов недостаточно для того, чтобы он мог осуществить то количество посещений, которое считает необходимым для эффективного выполнения своего мандата, предусмотренного Факультативным протоколом. Двадцатая годовщина Факультативного протокола является подходящим моментом для того, чтобы Подкомитет обратился ко всем государствам-участникам с просьбой обеспечить предоставление в распоряжение Подкомитета необходимых финансовых и людских ресурсов, с тем чтобы он мог эффективно выполнять мандат, возложенный на него в соответствии с Факультативным протоколом. Кроме того, государствам-участникам предлагается оказывать поддержку, направляя пожертвования в Специальный фонд, учрежденный Факультативным протоколом.</w:t>
      </w:r>
    </w:p>
    <w:p w14:paraId="52A04916" w14:textId="12A2D8A7" w:rsidR="00CC1965" w:rsidRPr="0073500C" w:rsidRDefault="00CC1965" w:rsidP="00CC1965">
      <w:pPr>
        <w:pStyle w:val="SingleTxtG"/>
      </w:pPr>
      <w:r>
        <w:t>6</w:t>
      </w:r>
      <w:r w:rsidR="007A7248" w:rsidRPr="007A7248">
        <w:t>8</w:t>
      </w:r>
      <w:r>
        <w:t>.</w:t>
      </w:r>
      <w:r>
        <w:tab/>
        <w:t xml:space="preserve">Подкомитет продолжает активно участвовать в текущем этапе процесса укрепления договорных органов. Он продолжит работу с другими договорными органами, с тем чтобы заручиться поддержкой государств-участников для включения выводов совещаний председателей договорных органов по правам человека в следующую резолюцию Генеральной Ассамблеи о системе договорных органов по правам человека, запланированную на декабрь 2024 года, и получить необходимые для этого людские, технические и финансовые ресурсы. Подкомитет активно содействует созданию основы для устойчивой институционализации согласованных методов </w:t>
      </w:r>
      <w:r>
        <w:lastRenderedPageBreak/>
        <w:t>работы, в том числе поддерживает разработку координационного механизма, предложенного председателями договорных органов по правам человека и отражающего уникальный мандат Подкомитета.</w:t>
      </w:r>
    </w:p>
    <w:p w14:paraId="6A20BBC3" w14:textId="13E1D0B0" w:rsidR="00CC1965" w:rsidRPr="0073500C" w:rsidRDefault="00CC1965" w:rsidP="00CC1965">
      <w:pPr>
        <w:pStyle w:val="SingleTxtG"/>
      </w:pPr>
      <w:bookmarkStart w:id="92" w:name="_Hlk128585186"/>
      <w:r>
        <w:t>6</w:t>
      </w:r>
      <w:r w:rsidR="007A7248" w:rsidRPr="007A7248">
        <w:t>9</w:t>
      </w:r>
      <w:r>
        <w:t>.</w:t>
      </w:r>
      <w:r>
        <w:tab/>
        <w:t xml:space="preserve">Подкомитет хотел бы воспользоваться данной возможностью, чтобы поблагодарить все заинтересованные стороны, которые внесли вклад в процесс подготовки его замечания общего порядка по статье 4 Факультативного протокола. </w:t>
      </w:r>
      <w:r w:rsidR="007A2A3E">
        <w:br/>
      </w:r>
      <w:r>
        <w:t>К их числу относятся государства-участники, национальные превентивные механизмы, органы и механизмы Организации Объединенных Наций, международные и региональные организации, организации гражданского общества и научные круги. Их вклад и участие в консультациях с общественностью, которые были проведены в ходе пятидесятой сессии Подкомитета, а также в период, предшествовавший этим консультациям, сыграли важнейшую роль в обогащении проекта замечания общего порядка.</w:t>
      </w:r>
    </w:p>
    <w:p w14:paraId="04D021D4" w14:textId="09FA3630" w:rsidR="00CC1965" w:rsidRPr="005F03FE" w:rsidRDefault="007A7248" w:rsidP="00CC1965">
      <w:pPr>
        <w:pStyle w:val="SingleTxtG"/>
      </w:pPr>
      <w:r w:rsidRPr="007A7248">
        <w:t>70</w:t>
      </w:r>
      <w:r w:rsidR="00CC1965">
        <w:t>.</w:t>
      </w:r>
      <w:r w:rsidR="00CC1965">
        <w:tab/>
        <w:t xml:space="preserve">В 2023 году два государства </w:t>
      </w:r>
      <w:r w:rsidR="007A2A3E">
        <w:t>—</w:t>
      </w:r>
      <w:r w:rsidR="00CC1965">
        <w:t xml:space="preserve"> Кот-д'Ивуар и Словакия </w:t>
      </w:r>
      <w:r w:rsidR="007A2A3E">
        <w:t>—</w:t>
      </w:r>
      <w:r w:rsidR="00CC1965">
        <w:t xml:space="preserve"> стали участниками Факультативного протокола. Подкомитет призывает государства, которые еще не сделали этого, подписать и/или ратифицировать Факультативный протокол. Подкомитет напоминает новым государствам-участникам, в частности, об их обязательстве по статье 17 Факультативного протокола сохранить, назначить или создать, не позднее чем через год после ратификации, один или несколько независимых национальных превентивных механизмов по предупреждению пыток. Подкомитет готов предоставить свои консультации и помощь государствам-участникам, стремящимся выполнить эти обязательства.</w:t>
      </w:r>
    </w:p>
    <w:p w14:paraId="3FAE6A67" w14:textId="3C1BB922" w:rsidR="00CC1965" w:rsidRPr="0073500C" w:rsidRDefault="00CC1965" w:rsidP="00CC1965">
      <w:pPr>
        <w:pStyle w:val="SingleTxtG"/>
      </w:pPr>
      <w:r>
        <w:t>7</w:t>
      </w:r>
      <w:r w:rsidR="007A7248" w:rsidRPr="007A7248">
        <w:t>1</w:t>
      </w:r>
      <w:r>
        <w:t>.</w:t>
      </w:r>
      <w:r>
        <w:tab/>
        <w:t>Подкомитет вновь заявляет о необходимости получения надлежащей и актуальной информации об эффективном создании любого национального превентивного механизма, который должен быть оформлен, как минимум, в виде правового документа. В своих руководящих принципах, касающихся национальных превентивных механизмов, Подкомитет указывает, что мандат и полномочия национального превентивного механизма должны быть четко прописаны в конституционном или законодательном тексте</w:t>
      </w:r>
      <w:r w:rsidRPr="00812E43">
        <w:rPr>
          <w:rStyle w:val="aa"/>
        </w:rPr>
        <w:footnoteReference w:id="39"/>
      </w:r>
      <w:r>
        <w:t>. Однако, учитывая трудности, с которыми в некоторых случаях сталкиваются государства-участники, Подкомитет уточнил свой подход и признает любой письменный правовой документ для этой цели в виде законодательного или любого иного правового акта. Государствам-участникам следует направлять информацию о создании своего национального превентивного механизма в виде вербальной ноты на имя Подкомитета</w:t>
      </w:r>
      <w:r w:rsidRPr="00812E43">
        <w:rPr>
          <w:rStyle w:val="aa"/>
        </w:rPr>
        <w:footnoteReference w:id="40"/>
      </w:r>
      <w:r>
        <w:t>.</w:t>
      </w:r>
    </w:p>
    <w:bookmarkEnd w:id="92"/>
    <w:p w14:paraId="2134C796" w14:textId="275C8039" w:rsidR="00CC1965" w:rsidRPr="0073500C" w:rsidRDefault="00CC1965" w:rsidP="00CC1965">
      <w:pPr>
        <w:pStyle w:val="SingleTxtG"/>
      </w:pPr>
      <w:r>
        <w:t>7</w:t>
      </w:r>
      <w:r w:rsidR="007A7248" w:rsidRPr="007A7248">
        <w:t>2</w:t>
      </w:r>
      <w:r>
        <w:t>.</w:t>
      </w:r>
      <w:r>
        <w:tab/>
        <w:t>Напоминая, что статья 17 Факультативного протокола обязывает государства-участники поддерживать, назначать или создавать свои национальные превентивные механизмы, Подкомитет признает выбор многих государств-участников назначить свои национальные правозащитные учреждения или омбудсменов в качестве своих национальных превентивных механизмов. Часто такое наделение дополнительными полномочиями происходит без выделения новых финансовых ресурсов или персонала. В этом контексте Подкомитет высоко ценит сотрудничество с Глобальным альянсом национальных правозащитных учреждений и надеется на его продолжение, напоминая при этом, что именно Подкомитет является единственным депозитарием Факультативного протокола. Национальные превентивные механизмы, какую бы форму они ни принимали, относятся к компетенции Подкомитета.</w:t>
      </w:r>
    </w:p>
    <w:p w14:paraId="00D99AFD" w14:textId="4DA98585" w:rsidR="00CC1965" w:rsidRPr="005F03FE" w:rsidRDefault="00CC1965" w:rsidP="00CC1965">
      <w:pPr>
        <w:pStyle w:val="SingleTxtG"/>
        <w:rPr>
          <w:color w:val="000000" w:themeColor="text1"/>
        </w:rPr>
      </w:pPr>
      <w:r>
        <w:t>7</w:t>
      </w:r>
      <w:r w:rsidR="007A7248" w:rsidRPr="007A7248">
        <w:t>3</w:t>
      </w:r>
      <w:r>
        <w:t>.</w:t>
      </w:r>
      <w:r>
        <w:tab/>
        <w:t>Срок полномочий 12 членов Подкомитета истекает 31 декабря 2024 года, при этом некоторые из них завершают восьмилетний срок службы, а другие могут быть переизбраны на второй четырехлетний срок. Соответственно, выборы состоятся 24</w:t>
      </w:r>
      <w:r>
        <w:rPr>
          <w:lang w:val="en-US"/>
        </w:rPr>
        <w:t> </w:t>
      </w:r>
      <w:r>
        <w:t xml:space="preserve">октября 2024 года. Подкомитет напоминает государствам-участникам о необходимости выдвигать в соответствии со статьей 5 Факультативного протокола кандидатуры </w:t>
      </w:r>
      <w:r w:rsidR="00CA192E">
        <w:t>«</w:t>
      </w:r>
      <w:r>
        <w:t xml:space="preserve">лиц, обладающих высокими моральными качествами и имеющих подтвержденный опыт работы в области отправления правосудия, в частности </w:t>
      </w:r>
      <w:r>
        <w:lastRenderedPageBreak/>
        <w:t>уголовного, в пенитенциарной системе или полиции, либо в различных областях, имеющих отношение к обращению с лишенными свободы лицами</w:t>
      </w:r>
      <w:r w:rsidR="00CA192E">
        <w:t>»</w:t>
      </w:r>
      <w:r>
        <w:t>. К другим областям, имеющим отношение к обращению с лицами, лишенными свободы, и к работе Подкомитета, относятся медицина, здравоохранение, психология, права человека и социальная работа. Подкомитет напоминает, что, согласно Факультативному протоколу, при формировании его состава должное внимание необходимо уделять справедливому географическому распределению, представительству различных форм цивилизации и правовых систем государств-участников и сбалансированному гендерному представительству на основе принципов равенства и недискриминации, а также независимости и беспристрастности членов</w:t>
      </w:r>
      <w:r w:rsidRPr="00812E43">
        <w:rPr>
          <w:rStyle w:val="aa"/>
        </w:rPr>
        <w:footnoteReference w:id="41"/>
      </w:r>
      <w:r>
        <w:t>.</w:t>
      </w:r>
    </w:p>
    <w:p w14:paraId="371B990D" w14:textId="77777777" w:rsidR="00CC1965" w:rsidRPr="0073500C" w:rsidRDefault="00CC1965" w:rsidP="00CC1965">
      <w:pPr>
        <w:pStyle w:val="HChG"/>
      </w:pPr>
      <w:r>
        <w:rPr>
          <w:bCs/>
        </w:rPr>
        <w:tab/>
        <w:t>VI.</w:t>
      </w:r>
      <w:r>
        <w:tab/>
      </w:r>
      <w:r>
        <w:rPr>
          <w:bCs/>
        </w:rPr>
        <w:t>План работы</w:t>
      </w:r>
      <w:bookmarkStart w:id="93" w:name="_Toc97717832"/>
      <w:bookmarkStart w:id="94" w:name="_Toc97795011"/>
      <w:bookmarkStart w:id="95" w:name="_Toc161321116"/>
      <w:bookmarkEnd w:id="93"/>
      <w:bookmarkEnd w:id="94"/>
      <w:bookmarkEnd w:id="95"/>
    </w:p>
    <w:p w14:paraId="38CB69F5" w14:textId="2E4C7858" w:rsidR="00CC1965" w:rsidRPr="0073500C" w:rsidRDefault="00CC1965" w:rsidP="00CC1965">
      <w:pPr>
        <w:pStyle w:val="SingleTxtG"/>
      </w:pPr>
      <w:r>
        <w:t>7</w:t>
      </w:r>
      <w:r w:rsidR="007A7248" w:rsidRPr="007A7248">
        <w:t>4</w:t>
      </w:r>
      <w:r>
        <w:t>.</w:t>
      </w:r>
      <w:r>
        <w:tab/>
        <w:t>В 2024 году, помимо пятьдесят второй сессии, которая пройдет с 29 января по 9</w:t>
      </w:r>
      <w:r>
        <w:rPr>
          <w:lang w:val="en-US"/>
        </w:rPr>
        <w:t> </w:t>
      </w:r>
      <w:r>
        <w:t>февраля, Подкомитет проведет еще две сессии: с 3 по 7 июня и с 11 по 15 ноября. Подкомитет окончательно утвердил график из восьми посещений на 2024 год</w:t>
      </w:r>
      <w:r w:rsidR="007A2A3E" w:rsidRPr="00812E43">
        <w:rPr>
          <w:rStyle w:val="aa"/>
        </w:rPr>
        <w:footnoteReference w:id="42"/>
      </w:r>
      <w:r>
        <w:t xml:space="preserve"> и планирует добавить девятое посещение, если позволят ресурсы. Это больше, чем восемь посещений, осуществленных им в 2023 году. Подкомитет планирует также принять свое замечание общего порядка по статье 4 в 2024 году.</w:t>
      </w:r>
    </w:p>
    <w:p w14:paraId="679DFE71" w14:textId="26F85B1D" w:rsidR="00CC1965" w:rsidRPr="00CC1965" w:rsidRDefault="00CC1965" w:rsidP="00CC1965">
      <w:pPr>
        <w:pStyle w:val="SingleTxtG"/>
      </w:pPr>
      <w:r>
        <w:t>7</w:t>
      </w:r>
      <w:r w:rsidR="007A7248" w:rsidRPr="007A7248">
        <w:t>5</w:t>
      </w:r>
      <w:r>
        <w:t>.</w:t>
      </w:r>
      <w:r>
        <w:tab/>
        <w:t xml:space="preserve">Подкомитет сохранит практику участия своих членов, уполномоченных Бюро, в мероприятиях, связанных с мандатом, который возложен на него Факультативным протоколом. К числу таких мероприятий могут относиться обучение наблюдательных органов, конференции по передовой практике или мероприятия, касающиеся процедур ратификации Факультативного протокола, </w:t>
      </w:r>
      <w:r w:rsidR="007A2A3E">
        <w:t>—</w:t>
      </w:r>
      <w:r>
        <w:t xml:space="preserve"> все они направлены на укрепление системы предупреждения пыток и жестокого обращения на глобальном уровне. Подкомитет был бы признателен, если бы все приглашения на официальные мероприятия и совещания направлялись через секретариат Подкомитета</w:t>
      </w:r>
      <w:r w:rsidRPr="00CC1965">
        <w:t>.</w:t>
      </w:r>
    </w:p>
    <w:p w14:paraId="517B13C8" w14:textId="77777777" w:rsidR="00CC1965" w:rsidRDefault="00CC1965" w:rsidP="00041407">
      <w:pPr>
        <w:sectPr w:rsidR="00CC1965" w:rsidSect="00CC1965">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pPr>
    </w:p>
    <w:p w14:paraId="79B2BEAA" w14:textId="77777777" w:rsidR="00CC1965" w:rsidRPr="0073500C" w:rsidRDefault="00CC1965" w:rsidP="00CC1965">
      <w:pPr>
        <w:pStyle w:val="HChG"/>
      </w:pPr>
      <w:r>
        <w:rPr>
          <w:bCs/>
        </w:rPr>
        <w:lastRenderedPageBreak/>
        <w:t>Приложение I</w:t>
      </w:r>
      <w:bookmarkStart w:id="96" w:name="_Toc161321117"/>
      <w:bookmarkEnd w:id="96"/>
    </w:p>
    <w:p w14:paraId="594965E2" w14:textId="64BB5B08" w:rsidR="00CC1965" w:rsidRPr="0073500C" w:rsidRDefault="00CC1965" w:rsidP="00CC1965">
      <w:pPr>
        <w:pStyle w:val="HChG"/>
      </w:pPr>
      <w:r>
        <w:tab/>
      </w:r>
      <w:r>
        <w:tab/>
      </w:r>
      <w:r>
        <w:rPr>
          <w:bCs/>
        </w:rPr>
        <w:t xml:space="preserve">Консультации, предоставляемые Подкомитетом </w:t>
      </w:r>
      <w:r w:rsidR="007A2A3E">
        <w:rPr>
          <w:bCs/>
        </w:rPr>
        <w:br/>
      </w:r>
      <w:r>
        <w:rPr>
          <w:bCs/>
        </w:rPr>
        <w:t>по просьбам национальных превентивных механизмов</w:t>
      </w:r>
      <w:bookmarkStart w:id="97" w:name="_Toc161321118"/>
      <w:bookmarkEnd w:id="97"/>
    </w:p>
    <w:p w14:paraId="6FD67F1E" w14:textId="02A03A78" w:rsidR="00CC1965" w:rsidRPr="0073500C" w:rsidRDefault="00CC1965" w:rsidP="00CC1965">
      <w:pPr>
        <w:pStyle w:val="H1G"/>
      </w:pPr>
      <w:r>
        <w:rPr>
          <w:bCs/>
        </w:rPr>
        <w:tab/>
        <w:t>A.</w:t>
      </w:r>
      <w:r>
        <w:tab/>
      </w:r>
      <w:r>
        <w:rPr>
          <w:bCs/>
        </w:rPr>
        <w:t xml:space="preserve">Консультации для национального превентивного механизма </w:t>
      </w:r>
      <w:r w:rsidR="007A2A3E">
        <w:rPr>
          <w:bCs/>
        </w:rPr>
        <w:br/>
      </w:r>
      <w:r>
        <w:rPr>
          <w:bCs/>
        </w:rPr>
        <w:t>по статье 18</w:t>
      </w:r>
      <w:bookmarkStart w:id="98" w:name="_Toc161321119"/>
      <w:bookmarkEnd w:id="98"/>
    </w:p>
    <w:p w14:paraId="12D790F2" w14:textId="77777777" w:rsidR="00CC1965" w:rsidRPr="0073500C" w:rsidRDefault="00CC1965" w:rsidP="00CC1965">
      <w:pPr>
        <w:pStyle w:val="SingleTxtG"/>
      </w:pPr>
      <w:r>
        <w:t>1.</w:t>
      </w:r>
      <w:r>
        <w:tab/>
        <w:t>Подкомитет получил от одного из национальных превентивных механизмов просьбу высказать свое мнение о независимости национальных превентивных механизмов в тех случаях, когда их мандат определен в рамках национального правозащитного учреждения.</w:t>
      </w:r>
    </w:p>
    <w:p w14:paraId="72E04EE1" w14:textId="77777777" w:rsidR="00CC1965" w:rsidRPr="0073500C" w:rsidRDefault="00CC1965" w:rsidP="00CC1965">
      <w:pPr>
        <w:pStyle w:val="SingleTxtG"/>
      </w:pPr>
      <w:r>
        <w:t>2.</w:t>
      </w:r>
      <w:r>
        <w:tab/>
        <w:t>Как указано в руководящих принципах, касающихся национальных превентивных механизмов, ответственность за обеспечение наличия в государствах национального превентивного механизма, полностью отвечающего требованиям Факультативного протокола, лежит исключительно на государствах-участниках. Хотя Подкомитет не проводит и не намерен проводить официальной оценки степени соответствия механизмов требованиям Факультативного протокола, он считает, что консультирование и оказание помощи государствам и механизмам в выполнении их обязательств по Факультативному протоколу является важнейшей частью отведенной ему роли</w:t>
      </w:r>
      <w:r w:rsidRPr="00812E43">
        <w:rPr>
          <w:rStyle w:val="aa"/>
        </w:rPr>
        <w:footnoteReference w:id="43"/>
      </w:r>
      <w:r>
        <w:t>. Подкомитет постоянно повторяет, что, хотя единой модели национального превентивного механизма не существует, крайне важно, чтобы этот механизм был структурирован и выполнял свой мандат в соответствии с требованиями Факультативного протокола</w:t>
      </w:r>
      <w:r w:rsidRPr="00812E43">
        <w:rPr>
          <w:rStyle w:val="aa"/>
        </w:rPr>
        <w:footnoteReference w:id="44"/>
      </w:r>
      <w:r>
        <w:t>.</w:t>
      </w:r>
    </w:p>
    <w:p w14:paraId="223F0C12" w14:textId="3FAE857E" w:rsidR="00CC1965" w:rsidRPr="005F03FE" w:rsidRDefault="00CC1965" w:rsidP="00CC1965">
      <w:pPr>
        <w:pStyle w:val="SingleTxtG"/>
      </w:pPr>
      <w:r>
        <w:t>3.</w:t>
      </w:r>
      <w:r>
        <w:tab/>
        <w:t>В пункте 1) статьи 18 Факультативного протокола содержится требование, чтобы национальные превентивные механизмы, созданные, поддерживаемые или назначенные государствами-участниками, были независимыми. Это требование относится ко всем механизмам, независимо от их типа или модели. В пункте 1) статьи</w:t>
      </w:r>
      <w:r w:rsidR="00FF35FB">
        <w:t> </w:t>
      </w:r>
      <w:r>
        <w:t>18 также требуется, чтобы государства-участники гарантировали функциональную независимость этих механизмов</w:t>
      </w:r>
      <w:r w:rsidRPr="00812E43">
        <w:rPr>
          <w:rStyle w:val="aa"/>
        </w:rPr>
        <w:footnoteReference w:id="45"/>
      </w:r>
      <w:r>
        <w:t>. Таким образом, персонал, назначенный на работу в механизм, не должен вызывать вопросов о конфликте интересов и должен эффективно и независимо исполнять мандат механизма</w:t>
      </w:r>
      <w:r w:rsidRPr="00812E43">
        <w:rPr>
          <w:rStyle w:val="aa"/>
        </w:rPr>
        <w:footnoteReference w:id="46"/>
      </w:r>
      <w:r>
        <w:t xml:space="preserve">. </w:t>
      </w:r>
      <w:r w:rsidR="00FF35FB">
        <w:br/>
      </w:r>
      <w:r>
        <w:t>В Факультативном протоколе далее содержится требование о том, чтобы механизм был обеспечен финансовыми ресурсами, позволяющими ему выполнять свой мандат. Таким образом, механизм должен обладать исключительным правом принятия решений о том, какие ресурсы необходимы (подготовка бюджета) и как исполнить этот бюджет (расходование бюджета)</w:t>
      </w:r>
      <w:r w:rsidRPr="00812E43">
        <w:rPr>
          <w:rStyle w:val="aa"/>
        </w:rPr>
        <w:footnoteReference w:id="47"/>
      </w:r>
      <w:r>
        <w:t>. Следовательно, когда мандат механизма возлагается на уже существующее учреждение, например на национальное учреждение по правам человека, бюджет механизма должен быть зарезервирован</w:t>
      </w:r>
      <w:r w:rsidRPr="00812E43">
        <w:rPr>
          <w:rStyle w:val="aa"/>
        </w:rPr>
        <w:footnoteReference w:id="48"/>
      </w:r>
      <w:r>
        <w:t>, и лишь механизм должен отвечать за то, как формируется и расходуется бюджет. Иными словами, организационная схема механизма должна отражать требования Факультативного протокола, согласно которым механизм должен обладать оперативной автономией в отношении своих ресурсов, плана работы, выводов, рекомендаций и прямых, а при необходимости, конфиденциальных контактов с Подкомитетом</w:t>
      </w:r>
      <w:r w:rsidRPr="00812E43">
        <w:rPr>
          <w:rStyle w:val="aa"/>
        </w:rPr>
        <w:footnoteReference w:id="49"/>
      </w:r>
      <w:r>
        <w:t>.</w:t>
      </w:r>
    </w:p>
    <w:p w14:paraId="67BECB9B" w14:textId="77777777" w:rsidR="00CC1965" w:rsidRPr="005F03FE" w:rsidRDefault="00CC1965" w:rsidP="00CC1965">
      <w:pPr>
        <w:pStyle w:val="SingleTxtG"/>
      </w:pPr>
      <w:r>
        <w:lastRenderedPageBreak/>
        <w:t>4.</w:t>
      </w:r>
      <w:r>
        <w:tab/>
        <w:t>Помимо функциональной независимости самого национального превентивного механизма, требование независимости в соответствии с Факультативным протоколом распространяется и на каждого члена механизма и его сотрудников, независимо от типа или модели механизма. Таким образом, Подкомитет потребовал, чтобы даже в тех случаях, когда мандат механизма возлагается на ранее существовавшее учреждение, включая национальное учреждение по правам человека, механизм имел свой собственный штат, а в соответствующем законодательстве были указаны сроки полномочий членов механизма и основания для их увольнения. Сроки полномочий, которые могут быть продлены, должны быть достаточными для обеспечения независимого функционирования механизма</w:t>
      </w:r>
      <w:r w:rsidRPr="00812E43">
        <w:rPr>
          <w:rStyle w:val="aa"/>
        </w:rPr>
        <w:footnoteReference w:id="50"/>
      </w:r>
      <w:r>
        <w:t>.</w:t>
      </w:r>
    </w:p>
    <w:p w14:paraId="1D95D493" w14:textId="77777777" w:rsidR="00CC1965" w:rsidRPr="005F03FE" w:rsidRDefault="00CC1965" w:rsidP="00CC1965">
      <w:pPr>
        <w:pStyle w:val="SingleTxtG"/>
      </w:pPr>
      <w:r>
        <w:t>5.</w:t>
      </w:r>
      <w:r>
        <w:tab/>
        <w:t>В тех случаях, когда орган, назначенный в качестве национального превентивного механизма, исполняет функции в дополнение к тем, что предусмотрены Факультативным протоколом, как это имеет место в случае национальных учреждений по правам человека, практика государств-участников на сегодняшний день заключается в назначении отдельного подразделения национального превентивного механизма для обеспечения независимости и соблюдения требования о многодисциплинарном составе механизма, как это предусмотрено в статье 18 Факультативного протокола. Согласно такой мировой практике, в тех случаях, когда механизм находится в структуре учреждения с более широкой сферой деятельности, наличие отдельного подразделения позволяет ему более эффективно и независимо исполнять свой превентивный мандат. Ключевым фактором с точки зрения Факультативного протокола во всех случаях остается способность каждого механизма эффективно исполнять свой мандат самостоятельно, независимо от других обязанностей учреждения. Таким образом, в случаях, когда орган, назначенный в качестве механизма, исполняет функции в дополнение к тем, что предусмотрены Факультативным протоколом, Факультативный протокол и руководящие принципы в отношении национальных превентивных механизмов предусматривают наличие двух разных и самостоятельных структур, исполняющих два разных мандата</w:t>
      </w:r>
      <w:r w:rsidRPr="00812E43">
        <w:rPr>
          <w:rStyle w:val="aa"/>
        </w:rPr>
        <w:footnoteReference w:id="51"/>
      </w:r>
      <w:r>
        <w:t>.</w:t>
      </w:r>
    </w:p>
    <w:p w14:paraId="1808C806" w14:textId="77777777" w:rsidR="00CC1965" w:rsidRPr="0073500C" w:rsidRDefault="00CC1965" w:rsidP="00CC1965">
      <w:pPr>
        <w:pStyle w:val="SingleTxtG"/>
      </w:pPr>
      <w:r>
        <w:t>6.</w:t>
      </w:r>
      <w:r>
        <w:tab/>
        <w:t>В Руководящих принципах, касающихся национальных превентивных механизмов также четко указано, что эти механизмы должны дополнять, а не заменять существующие системы надзора и что их создание не должно препятствовать созданию или функционированию других подобных дополнительных систем</w:t>
      </w:r>
      <w:r w:rsidRPr="00812E43">
        <w:rPr>
          <w:rStyle w:val="aa"/>
        </w:rPr>
        <w:footnoteReference w:id="52"/>
      </w:r>
      <w:r>
        <w:t>. Хотя мандаты механизмов в основе своей рассчитаны на действия на опережение событий, а не на реагирование на них, при создании и функционировании механизма следует учитывать эффективное сотрудничество и координацию между превентивными механизмами и механизмами подачи и рассмотрения жалоб в стране</w:t>
      </w:r>
      <w:r w:rsidRPr="00812E43">
        <w:rPr>
          <w:rStyle w:val="aa"/>
        </w:rPr>
        <w:footnoteReference w:id="53"/>
      </w:r>
      <w:r>
        <w:t>.</w:t>
      </w:r>
    </w:p>
    <w:p w14:paraId="23EE3FA2" w14:textId="77777777" w:rsidR="00CC1965" w:rsidRPr="0073500C" w:rsidRDefault="00CC1965" w:rsidP="00CC1965">
      <w:pPr>
        <w:pStyle w:val="SingleTxtG"/>
      </w:pPr>
      <w:r>
        <w:t>7.</w:t>
      </w:r>
      <w:r>
        <w:tab/>
        <w:t>Следует также отметить, что, хотя превентивный мандат в соответствии с Факультативным протоколом должен выполнять исключительно национальный превентивный механизм, другие департаменты или сотрудники национального учреждения по правам человека или аппарата омбудсмена не лишены возможности вносить вклад в его работу, поскольку такое сотрудничество может привести к взаимодействию и взаимодополняемости. Например, число жалоб, полученных учреждением в отношении конкретного места содержания под стражей, может стать основой для работы механизма. Хотя этот механизм не рекомендуется использовать для рассмотрения жалоб, он мог бы передавать некоторые экстренные серьезные или гуманитарные случаи в учреждение для обеспечения защиты или принятия иных мер</w:t>
      </w:r>
      <w:r w:rsidRPr="00812E43">
        <w:rPr>
          <w:rStyle w:val="aa"/>
        </w:rPr>
        <w:footnoteReference w:id="54"/>
      </w:r>
      <w:r>
        <w:t>.</w:t>
      </w:r>
    </w:p>
    <w:p w14:paraId="060BFF33" w14:textId="103DEE40" w:rsidR="00CC1965" w:rsidRPr="0073500C" w:rsidRDefault="00CC1965" w:rsidP="00CC1965">
      <w:pPr>
        <w:pStyle w:val="H1G"/>
      </w:pPr>
      <w:r>
        <w:rPr>
          <w:bCs/>
        </w:rPr>
        <w:lastRenderedPageBreak/>
        <w:tab/>
        <w:t>B.</w:t>
      </w:r>
      <w:r>
        <w:tab/>
      </w:r>
      <w:r>
        <w:tab/>
      </w:r>
      <w:r>
        <w:rPr>
          <w:bCs/>
        </w:rPr>
        <w:t xml:space="preserve">Консультации для национального превентивного механизма </w:t>
      </w:r>
      <w:r w:rsidR="00D4197A">
        <w:rPr>
          <w:bCs/>
        </w:rPr>
        <w:br/>
      </w:r>
      <w:r>
        <w:rPr>
          <w:bCs/>
        </w:rPr>
        <w:t>по статье 20</w:t>
      </w:r>
      <w:bookmarkStart w:id="99" w:name="_Toc161321120"/>
      <w:bookmarkEnd w:id="99"/>
    </w:p>
    <w:p w14:paraId="1549F6BC" w14:textId="77777777" w:rsidR="00CC1965" w:rsidRPr="0073500C" w:rsidRDefault="00CC1965" w:rsidP="00CC1965">
      <w:pPr>
        <w:pStyle w:val="SingleTxtG"/>
      </w:pPr>
      <w:r>
        <w:t>8.</w:t>
      </w:r>
      <w:r>
        <w:tab/>
        <w:t>Подкомитет получил запрос от другого национального превентивного механизма относительно документации, к которой механизмы должны иметь доступ при исполнении своих превентивных мандатов в соответствии с Факультативным протоколом.</w:t>
      </w:r>
    </w:p>
    <w:p w14:paraId="518B4E68" w14:textId="77777777" w:rsidR="00CC1965" w:rsidRPr="0073500C" w:rsidRDefault="00CC1965" w:rsidP="00CC1965">
      <w:pPr>
        <w:pStyle w:val="SingleTxtG"/>
      </w:pPr>
      <w:r>
        <w:t>9.</w:t>
      </w:r>
      <w:r>
        <w:tab/>
        <w:t>В соответствии с пунктами а) и b) статьи 20 Факультативного протокола национальному превентивному механизму должен быть предоставлен, в частности, доступ ко всей информации, касающейся числа лиц, лишенных свободы, числа и расположения таких мест, обращения с лицами, лишенными свободы, и условий их содержания под стражей.</w:t>
      </w:r>
    </w:p>
    <w:p w14:paraId="684BC9E4" w14:textId="77777777" w:rsidR="00CC1965" w:rsidRPr="0073500C" w:rsidRDefault="00CC1965" w:rsidP="00CC1965">
      <w:pPr>
        <w:pStyle w:val="SingleTxtG"/>
      </w:pPr>
      <w:r>
        <w:t>10.</w:t>
      </w:r>
      <w:r>
        <w:tab/>
        <w:t>Это положение не устанавливает каких-либо ограничений в отношении того, когда национальному превентивному механизму должен быть предоставлен полный доступ к указанной информации, а лишь оговаривает, что такой доступ должен позволить национальному превентивному механизму выполнить свой мандат.</w:t>
      </w:r>
    </w:p>
    <w:p w14:paraId="3E8D0F10" w14:textId="3F682BEA" w:rsidR="00CC1965" w:rsidRPr="005F03FE" w:rsidRDefault="00CC1965" w:rsidP="00CC1965">
      <w:pPr>
        <w:pStyle w:val="SingleTxtG"/>
      </w:pPr>
      <w:r>
        <w:t>11.</w:t>
      </w:r>
      <w:r>
        <w:tab/>
        <w:t xml:space="preserve">Основным способом исполнения мандата национального превентивного механизма являются посещения мест лишения свободы. Однако такие посещения </w:t>
      </w:r>
      <w:r w:rsidR="00FF35FB">
        <w:t>—</w:t>
      </w:r>
      <w:r>
        <w:t xml:space="preserve"> не единственное средство, с помощью которого национальный превентивный механизм должен исполнять свой мандат, поскольку его превентивный мандат широк. Это очевидно, например, из пункта с) статьи 19 Факультативного протокола, который уполномочивает национальные превентивные механизмы представлять предложения и замечания, касающиеся действующего законодательства или законопроектов. Это также подтверждается руководящими принципами Подкомитета, касающимися национальных превентивных механизмов, в которых говорится, что механизмы должны вносить в соответствующие государственные органы предложения и замечания о существующей и разрабатываемой политике и законах, которые, по их мнению, имеют отношение к их мандату</w:t>
      </w:r>
      <w:r w:rsidRPr="00812E43">
        <w:rPr>
          <w:rStyle w:val="aa"/>
        </w:rPr>
        <w:footnoteReference w:id="55"/>
      </w:r>
      <w:r>
        <w:t>. Это лишь один пример, который ясно показывает, что для эффективного исполнения широкого превентивного мандата национальным превентивным механизмам необходим полный доступ ко всей информации, указанной в статье 20 Факультативного протокола, в любое необходимое им время. Любое предположение о том, что такой доступ к информации должен быть ограничен фактическим временем, когда механизмы находятся в процессе посещения, стало бы серьезным препятствием для полного осуществления их превентивного мандата, предусмотренного Факультативным протоколом.</w:t>
      </w:r>
    </w:p>
    <w:p w14:paraId="4487AD7B" w14:textId="121BFA57" w:rsidR="00CC1965" w:rsidRPr="005F03FE" w:rsidRDefault="00CC1965" w:rsidP="00CC1965">
      <w:pPr>
        <w:pStyle w:val="SingleTxtG"/>
      </w:pPr>
      <w:r>
        <w:t>12.</w:t>
      </w:r>
      <w:r>
        <w:tab/>
        <w:t xml:space="preserve">Более того, термин </w:t>
      </w:r>
      <w:r w:rsidR="00CA192E">
        <w:t>«</w:t>
      </w:r>
      <w:r>
        <w:t>посещения</w:t>
      </w:r>
      <w:r w:rsidR="00CA192E">
        <w:t>»</w:t>
      </w:r>
      <w:r>
        <w:t xml:space="preserve"> не должен толковаться узко и означать исключительно физическое время, которое члены национального превентивного механизма проводят в конкретном учреждении или месте лишения свободы; оно также включает подготовку к посещению и последующие действия по его итогам. Так, например, чтобы эффективно подготовиться к посещению, национальному превентивному механизму заблаговременно, до фактического посещения потребуется информация, предусмотренная статьей 20 Факультативного протокола. Аналогичным образом эта же информация может потребоваться и после посещения для эффективной и фактологически корректной подготовки отчета.</w:t>
      </w:r>
    </w:p>
    <w:p w14:paraId="4BC414AA" w14:textId="12D253CA" w:rsidR="00381C24" w:rsidRDefault="00CC1965" w:rsidP="00CC1965">
      <w:pPr>
        <w:pStyle w:val="SingleTxtG"/>
      </w:pPr>
      <w:r>
        <w:t>13.</w:t>
      </w:r>
      <w:r>
        <w:tab/>
        <w:t>Следовательно, национальному превентивному механизму должен быть предоставлен, в частности, доступ ко всей информации, касающейся числа лиц, лишенных свободы, числа и расположения таких мест, обращения с лицами, лишенными свободы, и условий их содержания под стражей, в любое время, когда ему требуется эта информация, как это предусмотрено в статье 20 Факультативного протокола</w:t>
      </w:r>
      <w:r w:rsidRPr="00CC1965">
        <w:t>.</w:t>
      </w:r>
    </w:p>
    <w:p w14:paraId="0621E8A2" w14:textId="77777777" w:rsidR="00CC1965" w:rsidRDefault="00CC1965" w:rsidP="00CC1965">
      <w:pPr>
        <w:pStyle w:val="SingleTxtG"/>
        <w:sectPr w:rsidR="00CC1965" w:rsidSect="00CC1965">
          <w:footnotePr>
            <w:numRestart w:val="eachSect"/>
          </w:footnotePr>
          <w:endnotePr>
            <w:numFmt w:val="decimal"/>
          </w:endnotePr>
          <w:pgSz w:w="11906" w:h="16838" w:code="9"/>
          <w:pgMar w:top="1418" w:right="1134" w:bottom="1134" w:left="1134" w:header="851" w:footer="567" w:gutter="0"/>
          <w:cols w:space="708"/>
          <w:docGrid w:linePitch="360"/>
        </w:sectPr>
      </w:pPr>
    </w:p>
    <w:p w14:paraId="5DE64FAA" w14:textId="77777777" w:rsidR="00CC1965" w:rsidRPr="0073500C" w:rsidRDefault="00CC1965" w:rsidP="00CC1965">
      <w:pPr>
        <w:pStyle w:val="HChG"/>
      </w:pPr>
      <w:r>
        <w:rPr>
          <w:bCs/>
        </w:rPr>
        <w:lastRenderedPageBreak/>
        <w:t>Приложение II</w:t>
      </w:r>
      <w:bookmarkStart w:id="100" w:name="_Toc161321121"/>
      <w:bookmarkEnd w:id="100"/>
    </w:p>
    <w:p w14:paraId="678B0B2A" w14:textId="77777777" w:rsidR="00CC1965" w:rsidRPr="0073500C" w:rsidRDefault="00CC1965" w:rsidP="00CC1965">
      <w:pPr>
        <w:pStyle w:val="H1G"/>
      </w:pPr>
      <w:r>
        <w:tab/>
      </w:r>
      <w:r>
        <w:tab/>
      </w:r>
      <w:r>
        <w:rPr>
          <w:bCs/>
        </w:rPr>
        <w:t>Резюме обсуждения в ходе ежегодной встречи между региональной группой по Европе и национальными превентивными механизмами региона</w:t>
      </w:r>
      <w:bookmarkStart w:id="101" w:name="_Toc161321122"/>
      <w:bookmarkEnd w:id="101"/>
    </w:p>
    <w:p w14:paraId="5C38455D" w14:textId="77777777" w:rsidR="00CC1965" w:rsidRPr="0073500C" w:rsidRDefault="00CC1965" w:rsidP="00CC1965">
      <w:pPr>
        <w:pStyle w:val="SingleTxtG"/>
      </w:pPr>
      <w:r>
        <w:t>1.</w:t>
      </w:r>
      <w:r>
        <w:tab/>
        <w:t>На совещании в ходе пятидесятой сессии Подкомитета между региональной группой по Европе и национальными превентивными механизмами региона обсуждались два основных вопроса: а) обеспечение предотвращения репрессий и защиты от них со стороны национальных превентивных механизмов; и b) мониторинг выполнения национальными превентивными механизмами вынесенных рекомендаций.</w:t>
      </w:r>
    </w:p>
    <w:p w14:paraId="75C9EB55" w14:textId="32E9C5E6" w:rsidR="00CC1965" w:rsidRPr="0073500C" w:rsidRDefault="00CC1965" w:rsidP="00CC1965">
      <w:pPr>
        <w:pStyle w:val="H1G"/>
      </w:pPr>
      <w:r>
        <w:rPr>
          <w:bCs/>
        </w:rPr>
        <w:tab/>
        <w:t>A.</w:t>
      </w:r>
      <w:r>
        <w:tab/>
      </w:r>
      <w:r>
        <w:rPr>
          <w:bCs/>
        </w:rPr>
        <w:t xml:space="preserve">Обеспечение предотвращения репрессий и защиты от них </w:t>
      </w:r>
      <w:r w:rsidR="00D4197A">
        <w:rPr>
          <w:bCs/>
        </w:rPr>
        <w:br/>
      </w:r>
      <w:r>
        <w:rPr>
          <w:bCs/>
        </w:rPr>
        <w:t>со стороны национальных превентивных механизмов</w:t>
      </w:r>
      <w:bookmarkStart w:id="102" w:name="_Toc161321123"/>
      <w:bookmarkEnd w:id="102"/>
    </w:p>
    <w:p w14:paraId="5E5600F5" w14:textId="77777777" w:rsidR="00CC1965" w:rsidRPr="0073500C" w:rsidRDefault="00CC1965" w:rsidP="00CC1965">
      <w:pPr>
        <w:pStyle w:val="SingleTxtG"/>
      </w:pPr>
      <w:r>
        <w:t>2.</w:t>
      </w:r>
      <w:r>
        <w:tab/>
        <w:t>В связи с вопросом о предотвращении любых видов репрессий и защите от них, опираясь на пункт а) статьи 21 Факультативного протокола, согласно которому любые виды санкций в отношении любого лица или организации за передачу национальному превентивному механизму какой-либо информации абсолютно запрещены, Подкомитет, ссылаясь на свою политику в отношении репрессий</w:t>
      </w:r>
      <w:r w:rsidRPr="00812E43">
        <w:rPr>
          <w:rStyle w:val="aa"/>
        </w:rPr>
        <w:footnoteReference w:id="56"/>
      </w:r>
      <w:r>
        <w:t>, напомнил следующее:</w:t>
      </w:r>
    </w:p>
    <w:p w14:paraId="246F9232" w14:textId="3A1B84B1" w:rsidR="00CC1965" w:rsidRPr="005F03FE" w:rsidRDefault="00D4197A" w:rsidP="00CC1965">
      <w:pPr>
        <w:pStyle w:val="SingleTxtG"/>
      </w:pPr>
      <w:r>
        <w:tab/>
      </w:r>
      <w:r w:rsidR="00CC1965">
        <w:t>a)</w:t>
      </w:r>
      <w:r w:rsidR="00CC1965">
        <w:tab/>
        <w:t>для эффективного осуществления превентивных полномочий, возложенных Факультативным протоколом на национальные превентивные механизмы и Подкомитет, необходимо, чтобы эти органы имели возможность получать любую информацию, имеющую отношение к предупреждению пыток и жестокого обращения в государствах</w:t>
      </w:r>
      <w:r w:rsidR="00CA4C12">
        <w:t xml:space="preserve"> — </w:t>
      </w:r>
      <w:r w:rsidR="00CC1965">
        <w:t>участниках Факультативного протокола. Поэтому аксиомой является то, что любой человек и/или организация должны свободно общаться с национальными превентивными механизмами и Подкомитетом, совершенно не опасаясь последующего неблагоприятного обращения, и что ни один орган или должностное лицо не должны отдавать приказы о подобных репрессиях, их применять, разрешать или допускать;</w:t>
      </w:r>
    </w:p>
    <w:p w14:paraId="67483DD0" w14:textId="0866BB5F" w:rsidR="00CC1965" w:rsidRPr="0073500C" w:rsidRDefault="00D4197A" w:rsidP="00CC1965">
      <w:pPr>
        <w:pStyle w:val="SingleTxtG"/>
      </w:pPr>
      <w:r>
        <w:tab/>
      </w:r>
      <w:r w:rsidR="00CC1965">
        <w:t>b)</w:t>
      </w:r>
      <w:r w:rsidR="00CC1965">
        <w:tab/>
        <w:t>в Подкомитете применяется устоявшаяся практика назначения координатора по вопросам репрессий среди его членов, и этот член публично указан на его веб-сайте. Кроме того, в ходе посещений Подкомитетом государств-участников сложилась практика назначения одного из членов делегации для выполнения функций координатора по вопросам репрессий в контексте конкретного визита;</w:t>
      </w:r>
    </w:p>
    <w:p w14:paraId="59783080" w14:textId="682EED39" w:rsidR="00CC1965" w:rsidRPr="0073500C" w:rsidRDefault="00D4197A" w:rsidP="00CC1965">
      <w:pPr>
        <w:pStyle w:val="SingleTxtG"/>
      </w:pPr>
      <w:r>
        <w:tab/>
      </w:r>
      <w:r w:rsidR="00CC1965">
        <w:t>c)</w:t>
      </w:r>
      <w:r w:rsidR="00CC1965">
        <w:tab/>
        <w:t>для защиты от возможных репрессий крайне важно, чтобы каждый национальный превентивный механизм принял конкретную, четкую стратегию борьбы с любыми случаями репрессий, которые могут возникнуть. Эта стратегия должна быть принята в виде письменно сформулированной политики, а механизм должен назначить конкретное лицо из числа сотрудников механизма в качестве координатора, который будет действовать в качестве главного информационного пункта, если возникнут обвинения в репрессиях;</w:t>
      </w:r>
    </w:p>
    <w:p w14:paraId="72E97377" w14:textId="6B4F8902" w:rsidR="00CC1965" w:rsidRPr="005F03FE" w:rsidRDefault="00D4197A" w:rsidP="00CC1965">
      <w:pPr>
        <w:pStyle w:val="SingleTxtG"/>
      </w:pPr>
      <w:r>
        <w:tab/>
      </w:r>
      <w:r w:rsidR="00CC1965">
        <w:t>d)</w:t>
      </w:r>
      <w:r w:rsidR="00CC1965">
        <w:tab/>
        <w:t xml:space="preserve">учитывая особую уязвимость лиц, лишенных свободы, конкретное внимание следует уделять возможным репрессиям в контексте посещений мест лишения свободы представителями национальных превентивных механизмов. Механизмам следует учитывать факторы, снижающие вероятность репрессий, такие как четкие инструкции властям, ответственным за объект, о недопустимости репрессий, информирование лиц, лишенных свободы, о способах обращения в механизм в случае репрессий, повторные посещения и последующие действия, а также </w:t>
      </w:r>
      <w:r w:rsidR="00CC1965">
        <w:lastRenderedPageBreak/>
        <w:t>конфиденциальные обмены информацией с другими органами, которые могут посещать те же объекты;</w:t>
      </w:r>
    </w:p>
    <w:p w14:paraId="00FF9BB0" w14:textId="654801BE" w:rsidR="00CC1965" w:rsidRPr="005F03FE" w:rsidRDefault="00D4197A" w:rsidP="00CC1965">
      <w:pPr>
        <w:pStyle w:val="SingleTxtG"/>
      </w:pPr>
      <w:r>
        <w:tab/>
      </w:r>
      <w:r w:rsidR="00CC1965">
        <w:t>e)</w:t>
      </w:r>
      <w:r w:rsidR="00CC1965">
        <w:tab/>
        <w:t>на уровне Организации Объединенных Наций крайне важно, чтобы национальные превентивные механизмы помнили, что как Специальный докладчик по вопросу о положении правозащитников и правозащитниц, так и помощник Генерального секретаря по правам человека могут предоставить дополнительные средства правовой защиты в случае репрессий.</w:t>
      </w:r>
    </w:p>
    <w:p w14:paraId="6904615D" w14:textId="77777777" w:rsidR="00CC1965" w:rsidRPr="0073500C" w:rsidRDefault="00CC1965" w:rsidP="00CC1965">
      <w:pPr>
        <w:pStyle w:val="H1G"/>
      </w:pPr>
      <w:r>
        <w:rPr>
          <w:bCs/>
        </w:rPr>
        <w:tab/>
        <w:t>B.</w:t>
      </w:r>
      <w:r>
        <w:tab/>
      </w:r>
      <w:r>
        <w:rPr>
          <w:bCs/>
        </w:rPr>
        <w:t>Рекомендации национальных превентивных механизмов национальным властям</w:t>
      </w:r>
    </w:p>
    <w:p w14:paraId="68180FFD" w14:textId="77777777" w:rsidR="00CC1965" w:rsidRPr="0073500C" w:rsidRDefault="00CC1965" w:rsidP="00CC1965">
      <w:pPr>
        <w:pStyle w:val="SingleTxtG"/>
      </w:pPr>
      <w:r>
        <w:t>3.</w:t>
      </w:r>
      <w:r>
        <w:tab/>
        <w:t>Были обсуждены следующие вопросы, касающиеся мониторинга выполнения рекомендаций национальными превентивными механизмами:</w:t>
      </w:r>
    </w:p>
    <w:p w14:paraId="7E2A5517" w14:textId="1677C525" w:rsidR="00CC1965" w:rsidRPr="005F03FE" w:rsidRDefault="00D4197A" w:rsidP="00CC1965">
      <w:pPr>
        <w:pStyle w:val="SingleTxtG"/>
      </w:pPr>
      <w:r>
        <w:tab/>
      </w:r>
      <w:r w:rsidR="00CC1965">
        <w:t>a)</w:t>
      </w:r>
      <w:r w:rsidR="00CC1965">
        <w:tab/>
        <w:t>согласно статье 19 Факультативного протокола, национальным превентивным механизмам должны быть предоставлены, как минимум, полномочия представлять рекомендации соответствующим органам в целях улучшения обращения с лишенными свободы лицами и условий их содержания и предупреждать пытки и другие жестокие, бесчеловечные или унижающие достоинство виды обращения и наказания с учетом соответствующих норм Организации Объединенных Наций;</w:t>
      </w:r>
    </w:p>
    <w:p w14:paraId="390F610C" w14:textId="0BD2DE3B" w:rsidR="00CC1965" w:rsidRPr="005F03FE" w:rsidRDefault="00D4197A" w:rsidP="00CC1965">
      <w:pPr>
        <w:pStyle w:val="SingleTxtG"/>
      </w:pPr>
      <w:r>
        <w:tab/>
      </w:r>
      <w:r w:rsidR="00CC1965">
        <w:t>b)</w:t>
      </w:r>
      <w:r w:rsidR="00CC1965">
        <w:tab/>
        <w:t>при вынесении таких рекомендаций национальным превентивным механизмам следует руководствоваться так называемым принципом SMART, согласно которому каждая рекомендация должна быть конкретной, измеримой, достижимой, актуальной и определенной по времени;</w:t>
      </w:r>
    </w:p>
    <w:p w14:paraId="1E0ACF6B" w14:textId="33A44358" w:rsidR="00CC1965" w:rsidRPr="0073500C" w:rsidRDefault="00D4197A" w:rsidP="00CC1965">
      <w:pPr>
        <w:pStyle w:val="SingleTxtG"/>
      </w:pPr>
      <w:r>
        <w:tab/>
      </w:r>
      <w:r w:rsidR="00CC1965">
        <w:t>c)</w:t>
      </w:r>
      <w:r w:rsidR="00CC1965">
        <w:tab/>
        <w:t>чтобы повысить эффективность своих рекомендаций, национальным превентивным механизмам следует разработать стратегии последующих действий для обеспечения выполнения своих рекомендаций;</w:t>
      </w:r>
    </w:p>
    <w:p w14:paraId="1FC40F58" w14:textId="3FB84C81" w:rsidR="00CC1965" w:rsidRPr="0073500C" w:rsidRDefault="00D4197A" w:rsidP="00CC1965">
      <w:pPr>
        <w:pStyle w:val="SingleTxtG"/>
      </w:pPr>
      <w:r>
        <w:tab/>
      </w:r>
      <w:r w:rsidR="00CC1965">
        <w:t>d)</w:t>
      </w:r>
      <w:r w:rsidR="00CC1965">
        <w:tab/>
        <w:t>регулярно выполняя рекомендации, национальные превентивные механизмы должны иметь возможность оценивать уровень их выполнения и принимать решения о дальнейших шагах, которые необходимо предпринять для их полного выполнения;</w:t>
      </w:r>
    </w:p>
    <w:p w14:paraId="3F8D63C8" w14:textId="1C5BB9EC" w:rsidR="00CC1965" w:rsidRPr="0073500C" w:rsidRDefault="00D4197A" w:rsidP="00CC1965">
      <w:pPr>
        <w:pStyle w:val="SingleTxtG"/>
      </w:pPr>
      <w:r>
        <w:tab/>
      </w:r>
      <w:r w:rsidR="00CC1965">
        <w:t>e)</w:t>
      </w:r>
      <w:r w:rsidR="00CC1965">
        <w:tab/>
        <w:t>стратегии последующих действий должны включать качественную отчетность и регистрацию данных по рекомендациям, разделенным на краткосрочные и долгосрочные, а также методологию мониторинга, основанную на диалоге с властями и последующих посещениях. Выполнение рекомендаций также может быть достигнуто путем представления комментариев по законодательству, внесения предложений по изменению политики и практики либо участия в стратегических судебных процессах;</w:t>
      </w:r>
    </w:p>
    <w:p w14:paraId="2E39CE11" w14:textId="05F84A09" w:rsidR="00CC1965" w:rsidRPr="0073500C" w:rsidRDefault="00D4197A" w:rsidP="00CC1965">
      <w:pPr>
        <w:pStyle w:val="SingleTxtG"/>
      </w:pPr>
      <w:r>
        <w:tab/>
      </w:r>
      <w:r w:rsidR="00CC1965">
        <w:t>f)</w:t>
      </w:r>
      <w:r w:rsidR="00CC1965">
        <w:tab/>
        <w:t>привлечение средств массовой информации и использование рекламы также являются важнейшими элементами стратегии осуществления последующей деятельности;</w:t>
      </w:r>
    </w:p>
    <w:p w14:paraId="7AA336EB" w14:textId="213CF0B2" w:rsidR="00CC1965" w:rsidRPr="0073500C" w:rsidRDefault="00D4197A" w:rsidP="00CC1965">
      <w:pPr>
        <w:pStyle w:val="SingleTxtG"/>
      </w:pPr>
      <w:r>
        <w:tab/>
      </w:r>
      <w:r w:rsidR="00CC1965">
        <w:t>g)</w:t>
      </w:r>
      <w:r w:rsidR="00CC1965">
        <w:tab/>
        <w:t>национальным превентивным механизмам следует продолжать сотрудничать друг с другом в рамках сетей национальных превентивных механизмов и других форумов по вопросам передовой практики в области контроля за выполнением рекомендаций;</w:t>
      </w:r>
    </w:p>
    <w:p w14:paraId="56DBA2E5" w14:textId="39EAA3B2" w:rsidR="00CC1965" w:rsidRDefault="00D4197A" w:rsidP="00CC1965">
      <w:pPr>
        <w:pStyle w:val="SingleTxtG"/>
      </w:pPr>
      <w:r>
        <w:tab/>
      </w:r>
      <w:r w:rsidR="00CC1965">
        <w:t>h)</w:t>
      </w:r>
      <w:r w:rsidR="00CC1965">
        <w:tab/>
        <w:t>национальным превентивным механизмам необходимо тесно сотрудничать с международными организациями и другими национальными партнерами, с тем чтобы совместно добиваться выполнения вынесенных рекомендаций</w:t>
      </w:r>
      <w:r w:rsidR="00CC1965" w:rsidRPr="00CC1965">
        <w:t>.</w:t>
      </w:r>
    </w:p>
    <w:p w14:paraId="40B717C4" w14:textId="77777777" w:rsidR="00CC1965" w:rsidRDefault="00CC1965" w:rsidP="00CC1965">
      <w:pPr>
        <w:pStyle w:val="SingleTxtG"/>
        <w:sectPr w:rsidR="00CC1965" w:rsidSect="00CC1965">
          <w:footnotePr>
            <w:numRestart w:val="eachSect"/>
          </w:footnotePr>
          <w:endnotePr>
            <w:numFmt w:val="decimal"/>
          </w:endnotePr>
          <w:pgSz w:w="11906" w:h="16838" w:code="9"/>
          <w:pgMar w:top="1418" w:right="1134" w:bottom="1134" w:left="1134" w:header="851" w:footer="567" w:gutter="0"/>
          <w:cols w:space="708"/>
          <w:docGrid w:linePitch="360"/>
        </w:sectPr>
      </w:pPr>
    </w:p>
    <w:p w14:paraId="4B178475" w14:textId="77777777" w:rsidR="00CC1965" w:rsidRPr="0073500C" w:rsidRDefault="00CC1965" w:rsidP="00CC1965">
      <w:pPr>
        <w:pStyle w:val="HChG"/>
      </w:pPr>
      <w:r>
        <w:rPr>
          <w:bCs/>
        </w:rPr>
        <w:lastRenderedPageBreak/>
        <w:t>Приложение III</w:t>
      </w:r>
      <w:bookmarkStart w:id="103" w:name="_Toc161321124"/>
      <w:bookmarkEnd w:id="103"/>
    </w:p>
    <w:p w14:paraId="60415691" w14:textId="77777777" w:rsidR="00CC1965" w:rsidRPr="0073500C" w:rsidRDefault="00CC1965" w:rsidP="00CC1965">
      <w:pPr>
        <w:pStyle w:val="H1G"/>
      </w:pPr>
      <w:r>
        <w:tab/>
      </w:r>
      <w:r>
        <w:tab/>
      </w:r>
      <w:r>
        <w:rPr>
          <w:bCs/>
        </w:rPr>
        <w:t>Национальные учреждения по правам человека и национальные превентивные механизмы</w:t>
      </w:r>
      <w:bookmarkStart w:id="104" w:name="_Toc161321125"/>
      <w:bookmarkEnd w:id="104"/>
    </w:p>
    <w:p w14:paraId="45A2DF41" w14:textId="2810429B" w:rsidR="00CC1965" w:rsidRPr="005F03FE" w:rsidRDefault="00CC1965" w:rsidP="00CC1965">
      <w:pPr>
        <w:pStyle w:val="SingleTxtG"/>
      </w:pPr>
      <w:r>
        <w:t>1.</w:t>
      </w:r>
      <w:r>
        <w:tab/>
        <w:t>В контексте Четырнадцатой международной конференции правозащитных учреждений, организованной Глобальным альянсом национальных правозащитных учреждений и проходившей в Копенгагене в ноябре 2023 года, Подкомитет напомнил, что система предупреждения пыток Факультативного протокола обязывает государства-участники поддерживать, назначать или создавать свой собственный национальный превентивный механизм в качестве постоянной, независимой структуры по предупреждению пыток и жестокого обращения. Хотя в статьях 17</w:t>
      </w:r>
      <w:r w:rsidR="00D4197A">
        <w:t>–</w:t>
      </w:r>
      <w:r>
        <w:t>23 Факультативного протокола и изложены основные характеристики национальных превентивных механизмов, но в них не установлена конкретная модель механизмов и не представлены предпочтения в отношении того, какая структура может лучше всего подходить на эту роль. Выбор структуры скорее полностью оставлен на усмотрение государства, и поэтому, как неоднократно заявлял Подкомитет, этот выбор должен учитывать конкретные особенности национальных реалий</w:t>
      </w:r>
      <w:r w:rsidRPr="00812E43">
        <w:rPr>
          <w:rStyle w:val="aa"/>
        </w:rPr>
        <w:footnoteReference w:id="57"/>
      </w:r>
      <w:r>
        <w:t>.</w:t>
      </w:r>
    </w:p>
    <w:p w14:paraId="145B8DA4" w14:textId="6912F7B1" w:rsidR="00CC1965" w:rsidRPr="0073500C" w:rsidRDefault="00CC1965" w:rsidP="00CC1965">
      <w:pPr>
        <w:pStyle w:val="SingleTxtG"/>
      </w:pPr>
      <w:r>
        <w:t>2.</w:t>
      </w:r>
      <w:r>
        <w:tab/>
        <w:t xml:space="preserve">В своей практике Подкомитет постоянно подчеркивает, что не может быть </w:t>
      </w:r>
      <w:r w:rsidR="00CA192E">
        <w:t>«</w:t>
      </w:r>
      <w:r>
        <w:t>универсального</w:t>
      </w:r>
      <w:r w:rsidR="00CA192E">
        <w:t>»</w:t>
      </w:r>
      <w:r>
        <w:t xml:space="preserve"> подхода к назначению национальных превентивных механизмов. Хотя многие государства</w:t>
      </w:r>
      <w:r w:rsidR="00CA4C12">
        <w:t xml:space="preserve"> — </w:t>
      </w:r>
      <w:r>
        <w:t>участники Факультативного протокола предпочли назначить свои национальные учреждения по правам человека, будь то комиссии по правам человека или омбудсмены, в качестве своих механизмов, в Факультативном протоколе не содержится предписаний, обязывающих государства делать именно такой выбор. В действительности многие государства выбрали в качестве своих механизмов иные структуры. Каков бы ни был формат, выбранный государством, он должен соответствовать положениям Факультативного протокола</w:t>
      </w:r>
      <w:r w:rsidRPr="00812E43">
        <w:rPr>
          <w:rStyle w:val="aa"/>
        </w:rPr>
        <w:footnoteReference w:id="58"/>
      </w:r>
      <w:r>
        <w:t>, а содержащийся в статье</w:t>
      </w:r>
      <w:r w:rsidR="00D4197A">
        <w:t> </w:t>
      </w:r>
      <w:r>
        <w:t>18 Факультативного протокола совет государствам при создании своего механизма должным образом учитывать принципы, касающиеся статуса национальных учреждений, занимающихся поощрением и защитой прав человека (Парижские принципы), следует читать и понимать прежде всего как указание на независимое функционирование органа, а не как предписание в отношении конкретной модели.</w:t>
      </w:r>
    </w:p>
    <w:p w14:paraId="17559BEE" w14:textId="77777777" w:rsidR="00CC1965" w:rsidRPr="0073500C" w:rsidRDefault="00CC1965" w:rsidP="00CC1965">
      <w:pPr>
        <w:pStyle w:val="SingleTxtG"/>
      </w:pPr>
      <w:bookmarkStart w:id="105" w:name="_Hlk128584359"/>
      <w:r>
        <w:t>3.</w:t>
      </w:r>
      <w:r>
        <w:tab/>
        <w:t>Переходя к национальным учреждениям по правам человека, назначенным в качестве национальных превентивных механизмов</w:t>
      </w:r>
      <w:r w:rsidRPr="00812E43">
        <w:rPr>
          <w:rStyle w:val="aa"/>
        </w:rPr>
        <w:footnoteReference w:id="59"/>
      </w:r>
      <w:r>
        <w:t>, Подкомитет принимает к сведению систему коллегиальной оценки Подкомитета по аккредитации Глобального альянса национальных правозащитных учреждений, в которой также содержится отдельный раздел для национальных правозащитных учреждений, которые являются также национальными превентивными механизмами</w:t>
      </w:r>
      <w:r w:rsidRPr="00812E43">
        <w:rPr>
          <w:rStyle w:val="aa"/>
        </w:rPr>
        <w:footnoteReference w:id="60"/>
      </w:r>
      <w:r>
        <w:t>. Подкомитет хотел бы пояснить, что не вносит никакого вклада в эту систему коллегиальной оценки и что, следовательно, любую оценку Подкомитета по аккредитации не следует воспринимать как отражающую мнения Подкомитета о том, соответствует ли какой-либо конкретный национальный превентивный механизм требованиям Факультативного протокола.</w:t>
      </w:r>
      <w:bookmarkEnd w:id="105"/>
    </w:p>
    <w:p w14:paraId="4A4BBAA6" w14:textId="77777777" w:rsidR="00CC1965" w:rsidRPr="0073500C" w:rsidRDefault="00CC1965" w:rsidP="00CC1965">
      <w:pPr>
        <w:jc w:val="center"/>
        <w:rPr>
          <w:u w:val="single"/>
        </w:rPr>
      </w:pPr>
      <w:r w:rsidRPr="0073500C">
        <w:rPr>
          <w:u w:val="single"/>
        </w:rPr>
        <w:tab/>
      </w:r>
      <w:r w:rsidRPr="0073500C">
        <w:rPr>
          <w:u w:val="single"/>
        </w:rPr>
        <w:tab/>
      </w:r>
      <w:r w:rsidRPr="0073500C">
        <w:rPr>
          <w:u w:val="single"/>
        </w:rPr>
        <w:tab/>
      </w:r>
    </w:p>
    <w:p w14:paraId="451E0AEC" w14:textId="77777777" w:rsidR="00CC1965" w:rsidRPr="00CC1965" w:rsidRDefault="00CC1965" w:rsidP="00CC1965">
      <w:pPr>
        <w:pStyle w:val="SingleTxtG"/>
      </w:pPr>
    </w:p>
    <w:sectPr w:rsidR="00CC1965" w:rsidRPr="00CC1965" w:rsidSect="00CC1965">
      <w:footnotePr>
        <w:numRestart w:val="eachSect"/>
      </w:footnotePr>
      <w:endnotePr>
        <w:numFmt w:val="decimal"/>
      </w:endnotePr>
      <w:pgSz w:w="11907" w:h="16840" w:code="9"/>
      <w:pgMar w:top="1417" w:right="1134" w:bottom="1134" w:left="1134" w:header="850"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D6BC5" w14:textId="77777777" w:rsidR="00D9241B" w:rsidRPr="00A312BC" w:rsidRDefault="00D9241B" w:rsidP="00A312BC"/>
  </w:endnote>
  <w:endnote w:type="continuationSeparator" w:id="0">
    <w:p w14:paraId="4F51362D" w14:textId="77777777" w:rsidR="00D9241B" w:rsidRPr="00A312BC" w:rsidRDefault="00D9241B"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85CE2" w14:textId="42773C85" w:rsidR="00CC1965" w:rsidRPr="00CC1965" w:rsidRDefault="00CC1965">
    <w:pPr>
      <w:pStyle w:val="a8"/>
    </w:pPr>
    <w:r w:rsidRPr="00CC1965">
      <w:rPr>
        <w:b/>
        <w:sz w:val="18"/>
      </w:rPr>
      <w:fldChar w:fldCharType="begin"/>
    </w:r>
    <w:r w:rsidRPr="00CC1965">
      <w:rPr>
        <w:b/>
        <w:sz w:val="18"/>
      </w:rPr>
      <w:instrText xml:space="preserve"> PAGE  \* MERGEFORMAT </w:instrText>
    </w:r>
    <w:r w:rsidRPr="00CC1965">
      <w:rPr>
        <w:b/>
        <w:sz w:val="18"/>
      </w:rPr>
      <w:fldChar w:fldCharType="separate"/>
    </w:r>
    <w:r w:rsidRPr="00CC1965">
      <w:rPr>
        <w:b/>
        <w:noProof/>
        <w:sz w:val="18"/>
      </w:rPr>
      <w:t>2</w:t>
    </w:r>
    <w:r w:rsidRPr="00CC1965">
      <w:rPr>
        <w:b/>
        <w:sz w:val="18"/>
      </w:rPr>
      <w:fldChar w:fldCharType="end"/>
    </w:r>
    <w:r>
      <w:rPr>
        <w:b/>
        <w:sz w:val="18"/>
      </w:rPr>
      <w:tab/>
    </w:r>
    <w:r>
      <w:t>GE.24-03972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4A2B04" w14:textId="0E94742E" w:rsidR="00CC1965" w:rsidRPr="00CC1965" w:rsidRDefault="00CC1965" w:rsidP="00CC1965">
    <w:pPr>
      <w:pStyle w:val="a8"/>
      <w:tabs>
        <w:tab w:val="clear" w:pos="9639"/>
        <w:tab w:val="right" w:pos="9638"/>
      </w:tabs>
      <w:rPr>
        <w:b/>
        <w:sz w:val="18"/>
      </w:rPr>
    </w:pPr>
    <w:r>
      <w:t>GE.24-03972</w:t>
    </w:r>
    <w:r>
      <w:tab/>
    </w:r>
    <w:r w:rsidRPr="00CC1965">
      <w:rPr>
        <w:b/>
        <w:sz w:val="18"/>
      </w:rPr>
      <w:fldChar w:fldCharType="begin"/>
    </w:r>
    <w:r w:rsidRPr="00CC1965">
      <w:rPr>
        <w:b/>
        <w:sz w:val="18"/>
      </w:rPr>
      <w:instrText xml:space="preserve"> PAGE  \* MERGEFORMAT </w:instrText>
    </w:r>
    <w:r w:rsidRPr="00CC1965">
      <w:rPr>
        <w:b/>
        <w:sz w:val="18"/>
      </w:rPr>
      <w:fldChar w:fldCharType="separate"/>
    </w:r>
    <w:r w:rsidRPr="00CC1965">
      <w:rPr>
        <w:b/>
        <w:noProof/>
        <w:sz w:val="18"/>
      </w:rPr>
      <w:t>3</w:t>
    </w:r>
    <w:r w:rsidRPr="00CC196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0344E" w14:textId="5C695569" w:rsidR="00042B72" w:rsidRPr="00CC1965" w:rsidRDefault="00CC1965" w:rsidP="00CC1965">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7FDF8F4E" wp14:editId="799C8CFC">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24-03972  (R)</w:t>
    </w:r>
    <w:r>
      <w:rPr>
        <w:noProof/>
      </w:rPr>
      <w:drawing>
        <wp:anchor distT="0" distB="0" distL="114300" distR="114300" simplePos="0" relativeHeight="251659264" behindDoc="0" locked="0" layoutInCell="1" allowOverlap="1" wp14:anchorId="57D761DE" wp14:editId="44C16750">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260324  </w:t>
    </w:r>
    <w:r w:rsidR="007A7248">
      <w:rPr>
        <w:lang w:val="en-US"/>
      </w:rPr>
      <w:t>0204</w:t>
    </w:r>
    <w:r>
      <w:rPr>
        <w:lang w:val="en-US"/>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8A2DB1" w14:textId="77777777" w:rsidR="00D9241B" w:rsidRPr="001075E9" w:rsidRDefault="00D9241B" w:rsidP="001075E9">
      <w:pPr>
        <w:tabs>
          <w:tab w:val="right" w:pos="2155"/>
        </w:tabs>
        <w:spacing w:after="80" w:line="240" w:lineRule="auto"/>
        <w:ind w:left="680"/>
        <w:rPr>
          <w:u w:val="single"/>
        </w:rPr>
      </w:pPr>
      <w:r>
        <w:rPr>
          <w:u w:val="single"/>
        </w:rPr>
        <w:tab/>
      </w:r>
    </w:p>
  </w:footnote>
  <w:footnote w:type="continuationSeparator" w:id="0">
    <w:p w14:paraId="14B59E81" w14:textId="77777777" w:rsidR="00D9241B" w:rsidRDefault="00D9241B" w:rsidP="00407B78">
      <w:pPr>
        <w:tabs>
          <w:tab w:val="right" w:pos="2155"/>
        </w:tabs>
        <w:spacing w:after="80"/>
        <w:ind w:left="680"/>
        <w:rPr>
          <w:u w:val="single"/>
        </w:rPr>
      </w:pPr>
      <w:r>
        <w:rPr>
          <w:u w:val="single"/>
        </w:rPr>
        <w:tab/>
      </w:r>
    </w:p>
  </w:footnote>
  <w:footnote w:id="1">
    <w:p w14:paraId="6F8196E7" w14:textId="77777777" w:rsidR="00CC1965" w:rsidRPr="0073500C" w:rsidRDefault="00CC1965" w:rsidP="00CC1965">
      <w:pPr>
        <w:pStyle w:val="ad"/>
      </w:pPr>
      <w:r>
        <w:tab/>
      </w:r>
      <w:r w:rsidRPr="00CA192E">
        <w:rPr>
          <w:sz w:val="20"/>
        </w:rPr>
        <w:t>*</w:t>
      </w:r>
      <w:r>
        <w:tab/>
        <w:t>На основании достигнутой договоренности настоящий доклад издается позднее предусмотренного срока его опубликования в связи с обстоятельствами, не зависящими от представляющей доклад стороны.</w:t>
      </w:r>
    </w:p>
  </w:footnote>
  <w:footnote w:id="2">
    <w:p w14:paraId="5987038B" w14:textId="013862AA" w:rsidR="00CC1965" w:rsidRPr="0073500C" w:rsidRDefault="00CC1965" w:rsidP="00CC1965">
      <w:pPr>
        <w:pStyle w:val="ad"/>
        <w:rPr>
          <w:color w:val="000000" w:themeColor="text1"/>
          <w:sz w:val="16"/>
          <w:szCs w:val="16"/>
        </w:rPr>
      </w:pPr>
      <w:r w:rsidRPr="00812E43">
        <w:rPr>
          <w:color w:val="000000" w:themeColor="text1"/>
          <w:sz w:val="16"/>
          <w:szCs w:val="16"/>
        </w:rPr>
        <w:tab/>
      </w:r>
      <w:r w:rsidRPr="00812E43">
        <w:rPr>
          <w:rStyle w:val="aa"/>
        </w:rPr>
        <w:footnoteRef/>
      </w:r>
      <w:r>
        <w:tab/>
        <w:t xml:space="preserve">По состоянию на 31 декабря 2023 года Факультативный протокол подписали 12 государств: Ангола, Бельгия, Венесуэла (Боливарианская Республика), Гвинея, Гвинея-Бисау, Замбия, Ирландия, Камерун, Конго, Сьерра-Леоне, Тимор-Лешти и Чад. Более подробную информацию см. на URL: </w:t>
      </w:r>
      <w:hyperlink r:id="rId1" w:history="1">
        <w:r w:rsidR="002F2883" w:rsidRPr="00833285">
          <w:rPr>
            <w:rStyle w:val="af1"/>
          </w:rPr>
          <w:t>https://treaties.un.org/Pages/ViewDetails.aspx?src=TREATY&amp;mtdsg_no=IV-9-b&amp;chapter=4&amp;clang=_en</w:t>
        </w:r>
      </w:hyperlink>
      <w:r>
        <w:t>.</w:t>
      </w:r>
    </w:p>
  </w:footnote>
  <w:footnote w:id="3">
    <w:p w14:paraId="2B9FCD6E" w14:textId="6B2DBBC4" w:rsidR="00CC1965" w:rsidRPr="0073500C" w:rsidRDefault="00CC1965" w:rsidP="00CC1965">
      <w:pPr>
        <w:pStyle w:val="ad"/>
      </w:pPr>
      <w:r w:rsidRPr="00812E43">
        <w:rPr>
          <w:color w:val="000000" w:themeColor="text1"/>
          <w:sz w:val="16"/>
          <w:szCs w:val="16"/>
        </w:rPr>
        <w:tab/>
      </w:r>
      <w:r w:rsidRPr="00812E43">
        <w:rPr>
          <w:rStyle w:val="aa"/>
        </w:rPr>
        <w:footnoteRef/>
      </w:r>
      <w:r>
        <w:tab/>
        <w:t xml:space="preserve">См. </w:t>
      </w:r>
      <w:hyperlink r:id="rId2" w:history="1">
        <w:r w:rsidR="002F2883" w:rsidRPr="00833285">
          <w:rPr>
            <w:rStyle w:val="af1"/>
          </w:rPr>
          <w:t>https://www.ohchr.org/en/treaty-bodies/spt/membership</w:t>
        </w:r>
      </w:hyperlink>
      <w:r>
        <w:t>.</w:t>
      </w:r>
    </w:p>
  </w:footnote>
  <w:footnote w:id="4">
    <w:p w14:paraId="2C98B7F3" w14:textId="2062DEE9" w:rsidR="00CC1965" w:rsidRPr="0073500C" w:rsidRDefault="00CC1965" w:rsidP="00CC1965">
      <w:pPr>
        <w:pStyle w:val="ad"/>
        <w:rPr>
          <w:color w:val="000000" w:themeColor="text1"/>
          <w:sz w:val="16"/>
        </w:rPr>
      </w:pPr>
      <w:r w:rsidRPr="00812E43">
        <w:rPr>
          <w:color w:val="000000" w:themeColor="text1"/>
          <w:sz w:val="16"/>
        </w:rPr>
        <w:tab/>
      </w:r>
      <w:r w:rsidRPr="00812E43">
        <w:rPr>
          <w:rStyle w:val="aa"/>
        </w:rPr>
        <w:footnoteRef/>
      </w:r>
      <w:r>
        <w:tab/>
        <w:t xml:space="preserve">См. </w:t>
      </w:r>
      <w:hyperlink r:id="rId3" w:history="1">
        <w:r w:rsidR="002F2883" w:rsidRPr="00833285">
          <w:rPr>
            <w:rStyle w:val="af1"/>
          </w:rPr>
          <w:t>https://www.ohchr.org/en/treaty-bodies/spt/regional-teams</w:t>
        </w:r>
      </w:hyperlink>
      <w:r>
        <w:t>.</w:t>
      </w:r>
    </w:p>
  </w:footnote>
  <w:footnote w:id="5">
    <w:p w14:paraId="79D5A796" w14:textId="0C0E5CDA" w:rsidR="00CC1965" w:rsidRPr="0073500C" w:rsidRDefault="00CC1965" w:rsidP="00CC1965">
      <w:pPr>
        <w:pStyle w:val="ad"/>
        <w:rPr>
          <w:color w:val="000000" w:themeColor="text1"/>
          <w:sz w:val="16"/>
          <w:szCs w:val="16"/>
        </w:rPr>
      </w:pPr>
      <w:r w:rsidRPr="00812E43">
        <w:rPr>
          <w:color w:val="000000" w:themeColor="text1"/>
          <w:sz w:val="16"/>
          <w:szCs w:val="16"/>
        </w:rPr>
        <w:tab/>
      </w:r>
      <w:r w:rsidRPr="00812E43">
        <w:rPr>
          <w:rStyle w:val="aa"/>
        </w:rPr>
        <w:footnoteRef/>
      </w:r>
      <w:r>
        <w:tab/>
        <w:t xml:space="preserve">См. </w:t>
      </w:r>
      <w:hyperlink r:id="rId4" w:history="1">
        <w:r w:rsidR="002F2883" w:rsidRPr="00833285">
          <w:rPr>
            <w:rStyle w:val="af1"/>
          </w:rPr>
          <w:t>https://webtv.un.org/en/asset/k18/k18ulkqk60</w:t>
        </w:r>
      </w:hyperlink>
      <w:r>
        <w:t>.</w:t>
      </w:r>
    </w:p>
  </w:footnote>
  <w:footnote w:id="6">
    <w:p w14:paraId="148B1C2E" w14:textId="6C7D9BBF" w:rsidR="00CC1965" w:rsidRPr="0073500C" w:rsidRDefault="00CC1965" w:rsidP="00CC1965">
      <w:pPr>
        <w:pStyle w:val="ad"/>
      </w:pPr>
      <w:r w:rsidRPr="00812E43">
        <w:rPr>
          <w:color w:val="000000" w:themeColor="text1"/>
          <w:sz w:val="16"/>
          <w:szCs w:val="16"/>
        </w:rPr>
        <w:tab/>
      </w:r>
      <w:r w:rsidRPr="00812E43">
        <w:rPr>
          <w:rStyle w:val="aa"/>
        </w:rPr>
        <w:footnoteRef/>
      </w:r>
      <w:r>
        <w:tab/>
        <w:t xml:space="preserve">См. </w:t>
      </w:r>
      <w:hyperlink r:id="rId5" w:history="1">
        <w:r w:rsidR="002F2883" w:rsidRPr="00833285">
          <w:rPr>
            <w:rStyle w:val="af1"/>
          </w:rPr>
          <w:t>https://www.ohchr.org/en/treaty-bodies/spt/visits</w:t>
        </w:r>
      </w:hyperlink>
      <w:r>
        <w:t>.</w:t>
      </w:r>
    </w:p>
  </w:footnote>
  <w:footnote w:id="7">
    <w:p w14:paraId="37C4DFC3" w14:textId="29CCD950" w:rsidR="00CC1965" w:rsidRPr="0073500C" w:rsidRDefault="00CC1965" w:rsidP="00CC1965">
      <w:pPr>
        <w:pStyle w:val="ad"/>
        <w:rPr>
          <w:color w:val="000000" w:themeColor="text1"/>
          <w:sz w:val="16"/>
        </w:rPr>
      </w:pPr>
      <w:r w:rsidRPr="00812E43">
        <w:rPr>
          <w:color w:val="000000" w:themeColor="text1"/>
          <w:sz w:val="16"/>
          <w:szCs w:val="16"/>
        </w:rPr>
        <w:tab/>
      </w:r>
      <w:r w:rsidRPr="00812E43">
        <w:rPr>
          <w:rStyle w:val="aa"/>
        </w:rPr>
        <w:footnoteRef/>
      </w:r>
      <w:r>
        <w:tab/>
        <w:t xml:space="preserve">См. </w:t>
      </w:r>
      <w:hyperlink r:id="rId6" w:history="1">
        <w:r w:rsidR="002F2883" w:rsidRPr="00833285">
          <w:rPr>
            <w:rStyle w:val="af1"/>
          </w:rPr>
          <w:t>https://www.ohchr.org/en/treaty-bodies/spt</w:t>
        </w:r>
      </w:hyperlink>
      <w:r>
        <w:t>.</w:t>
      </w:r>
    </w:p>
  </w:footnote>
  <w:footnote w:id="8">
    <w:p w14:paraId="16C90785" w14:textId="32B98D55" w:rsidR="00CC1965" w:rsidRPr="0073500C" w:rsidRDefault="00CC1965" w:rsidP="00CC1965">
      <w:pPr>
        <w:pStyle w:val="ad"/>
        <w:rPr>
          <w:color w:val="000000" w:themeColor="text1"/>
          <w:sz w:val="16"/>
        </w:rPr>
      </w:pPr>
      <w:r w:rsidRPr="00812E43">
        <w:rPr>
          <w:color w:val="000000" w:themeColor="text1"/>
          <w:sz w:val="16"/>
        </w:rPr>
        <w:tab/>
      </w:r>
      <w:r w:rsidRPr="00812E43">
        <w:rPr>
          <w:rStyle w:val="aa"/>
        </w:rPr>
        <w:footnoteRef/>
      </w:r>
      <w:r>
        <w:tab/>
        <w:t xml:space="preserve">См. </w:t>
      </w:r>
      <w:hyperlink r:id="rId7" w:history="1">
        <w:r w:rsidR="002F2883" w:rsidRPr="00833285">
          <w:rPr>
            <w:rStyle w:val="af1"/>
          </w:rPr>
          <w:t>https://www.ohchr.org/en/press-releases/2023/03/south-africa-must-fully-comply-international-obligations-prevent-torture</w:t>
        </w:r>
      </w:hyperlink>
      <w:r>
        <w:t>.</w:t>
      </w:r>
    </w:p>
  </w:footnote>
  <w:footnote w:id="9">
    <w:p w14:paraId="39323E53" w14:textId="136FC35C" w:rsidR="00CC1965" w:rsidRPr="0073500C" w:rsidRDefault="00CC1965" w:rsidP="00CC1965">
      <w:pPr>
        <w:pStyle w:val="ad"/>
        <w:rPr>
          <w:color w:val="000000" w:themeColor="text1"/>
          <w:sz w:val="16"/>
        </w:rPr>
      </w:pPr>
      <w:r w:rsidRPr="00812E43">
        <w:rPr>
          <w:color w:val="000000" w:themeColor="text1"/>
          <w:sz w:val="16"/>
        </w:rPr>
        <w:tab/>
      </w:r>
      <w:r w:rsidRPr="00812E43">
        <w:rPr>
          <w:rStyle w:val="aa"/>
        </w:rPr>
        <w:footnoteRef/>
      </w:r>
      <w:r>
        <w:tab/>
        <w:t xml:space="preserve">См. </w:t>
      </w:r>
      <w:hyperlink r:id="rId8" w:history="1">
        <w:r w:rsidR="002F2883" w:rsidRPr="00833285">
          <w:rPr>
            <w:rStyle w:val="af1"/>
          </w:rPr>
          <w:t>https://www.ohchr.org/en/press-releases/2023/04/kazakhstan-needs-strengthen-effective-torture-prevention-measures-un-torture</w:t>
        </w:r>
      </w:hyperlink>
      <w:r>
        <w:t>.</w:t>
      </w:r>
    </w:p>
  </w:footnote>
  <w:footnote w:id="10">
    <w:p w14:paraId="578DDB28" w14:textId="41A64CDB" w:rsidR="00CC1965" w:rsidRPr="0073500C" w:rsidRDefault="00CC1965" w:rsidP="00CC1965">
      <w:pPr>
        <w:pStyle w:val="ad"/>
        <w:rPr>
          <w:color w:val="000000" w:themeColor="text1"/>
          <w:sz w:val="16"/>
          <w:szCs w:val="16"/>
        </w:rPr>
      </w:pPr>
      <w:r w:rsidRPr="00812E43">
        <w:rPr>
          <w:color w:val="000000" w:themeColor="text1"/>
          <w:sz w:val="16"/>
          <w:szCs w:val="16"/>
        </w:rPr>
        <w:tab/>
      </w:r>
      <w:r w:rsidRPr="00812E43">
        <w:rPr>
          <w:rStyle w:val="aa"/>
        </w:rPr>
        <w:footnoteRef/>
      </w:r>
      <w:r>
        <w:tab/>
        <w:t xml:space="preserve">См. </w:t>
      </w:r>
      <w:hyperlink r:id="rId9" w:history="1">
        <w:r w:rsidR="002F2883" w:rsidRPr="00833285">
          <w:rPr>
            <w:rStyle w:val="af1"/>
          </w:rPr>
          <w:t>https://www.ohchr.org/en/press-releases/2023/05/madagascar-extreme-prison-overcrowding-needs-urgent-fix-un-experts</w:t>
        </w:r>
      </w:hyperlink>
      <w:r>
        <w:t>.</w:t>
      </w:r>
    </w:p>
  </w:footnote>
  <w:footnote w:id="11">
    <w:p w14:paraId="781D61AC" w14:textId="6CEDF5BA" w:rsidR="00CC1965" w:rsidRPr="0073500C" w:rsidRDefault="00CC1965" w:rsidP="00CC1965">
      <w:pPr>
        <w:pStyle w:val="ad"/>
        <w:rPr>
          <w:color w:val="000000" w:themeColor="text1"/>
          <w:sz w:val="16"/>
          <w:szCs w:val="16"/>
        </w:rPr>
      </w:pPr>
      <w:r w:rsidRPr="00812E43">
        <w:rPr>
          <w:color w:val="000000" w:themeColor="text1"/>
          <w:sz w:val="16"/>
          <w:szCs w:val="16"/>
        </w:rPr>
        <w:tab/>
      </w:r>
      <w:r w:rsidRPr="00812E43">
        <w:rPr>
          <w:rStyle w:val="aa"/>
        </w:rPr>
        <w:footnoteRef/>
      </w:r>
      <w:r>
        <w:tab/>
        <w:t xml:space="preserve">См. </w:t>
      </w:r>
      <w:hyperlink r:id="rId10" w:history="1">
        <w:r w:rsidR="002F2883" w:rsidRPr="00833285">
          <w:rPr>
            <w:rStyle w:val="af1"/>
          </w:rPr>
          <w:t>https://www.ohchr.org/en/press-releases/2023/07/croatias-detention-facilities-spotlight-un-torture-prevention-body-concludes</w:t>
        </w:r>
      </w:hyperlink>
      <w:r>
        <w:t>.</w:t>
      </w:r>
    </w:p>
  </w:footnote>
  <w:footnote w:id="12">
    <w:p w14:paraId="1A390304" w14:textId="7FF8E3C4" w:rsidR="00CC1965" w:rsidRPr="0073500C" w:rsidRDefault="00CC1965" w:rsidP="00CC1965">
      <w:pPr>
        <w:pStyle w:val="ad"/>
        <w:rPr>
          <w:color w:val="000000" w:themeColor="text1"/>
          <w:sz w:val="16"/>
        </w:rPr>
      </w:pPr>
      <w:r w:rsidRPr="00812E43">
        <w:rPr>
          <w:color w:val="000000" w:themeColor="text1"/>
          <w:sz w:val="16"/>
        </w:rPr>
        <w:tab/>
      </w:r>
      <w:r w:rsidRPr="00812E43">
        <w:rPr>
          <w:rStyle w:val="aa"/>
        </w:rPr>
        <w:footnoteRef/>
      </w:r>
      <w:r>
        <w:tab/>
        <w:t xml:space="preserve">См. </w:t>
      </w:r>
      <w:hyperlink r:id="rId11" w:history="1">
        <w:r w:rsidR="002F2883" w:rsidRPr="00833285">
          <w:rPr>
            <w:rStyle w:val="af1"/>
          </w:rPr>
          <w:t>https://www.ohchr.org/en/press-releases/2023/09/palestine-must-strengthen-torture-prevention-measures-un-body-finds</w:t>
        </w:r>
      </w:hyperlink>
      <w:r>
        <w:t>.</w:t>
      </w:r>
    </w:p>
  </w:footnote>
  <w:footnote w:id="13">
    <w:p w14:paraId="183569ED" w14:textId="0A46D882" w:rsidR="00CC1965" w:rsidRPr="0073500C" w:rsidRDefault="00CC1965" w:rsidP="00CC1965">
      <w:pPr>
        <w:pStyle w:val="ad"/>
        <w:rPr>
          <w:color w:val="000000" w:themeColor="text1"/>
          <w:sz w:val="16"/>
        </w:rPr>
      </w:pPr>
      <w:r w:rsidRPr="00812E43">
        <w:rPr>
          <w:color w:val="000000" w:themeColor="text1"/>
          <w:sz w:val="16"/>
        </w:rPr>
        <w:tab/>
      </w:r>
      <w:r w:rsidRPr="00812E43">
        <w:rPr>
          <w:rStyle w:val="aa"/>
        </w:rPr>
        <w:footnoteRef/>
      </w:r>
      <w:r>
        <w:tab/>
        <w:t xml:space="preserve">См. </w:t>
      </w:r>
      <w:hyperlink r:id="rId12" w:history="1">
        <w:r w:rsidR="002F2883" w:rsidRPr="00833285">
          <w:rPr>
            <w:rStyle w:val="af1"/>
          </w:rPr>
          <w:t>https://www.ohchr.org/en/press-releases/2023/10/georgia-prison-system-needs-modernisation-says-un-torture-prevention-body</w:t>
        </w:r>
      </w:hyperlink>
      <w:r>
        <w:t>.</w:t>
      </w:r>
    </w:p>
  </w:footnote>
  <w:footnote w:id="14">
    <w:p w14:paraId="542D68C9" w14:textId="5AECA1E8" w:rsidR="00CC1965" w:rsidRPr="0073500C" w:rsidRDefault="00CC1965" w:rsidP="00CC1965">
      <w:pPr>
        <w:pStyle w:val="ad"/>
        <w:rPr>
          <w:color w:val="000000" w:themeColor="text1"/>
          <w:sz w:val="16"/>
        </w:rPr>
      </w:pPr>
      <w:r w:rsidRPr="00812E43">
        <w:rPr>
          <w:color w:val="000000" w:themeColor="text1"/>
          <w:sz w:val="16"/>
        </w:rPr>
        <w:tab/>
      </w:r>
      <w:r w:rsidRPr="00812E43">
        <w:rPr>
          <w:rStyle w:val="aa"/>
        </w:rPr>
        <w:footnoteRef/>
      </w:r>
      <w:r>
        <w:tab/>
        <w:t xml:space="preserve">См. </w:t>
      </w:r>
      <w:hyperlink r:id="rId13" w:history="1">
        <w:r w:rsidR="002F2883" w:rsidRPr="00833285">
          <w:rPr>
            <w:rStyle w:val="af1"/>
          </w:rPr>
          <w:t>https://www.ohchr.org/en/press-releases/2023/10/guatemala-despite-political-turmoil-torture-prevention-measures-must-be</w:t>
        </w:r>
      </w:hyperlink>
      <w:r>
        <w:t>.</w:t>
      </w:r>
    </w:p>
  </w:footnote>
  <w:footnote w:id="15">
    <w:p w14:paraId="6D19CFFE" w14:textId="430C2157" w:rsidR="00CC1965" w:rsidRPr="0073500C" w:rsidRDefault="00CC1965" w:rsidP="00CC1965">
      <w:pPr>
        <w:pStyle w:val="ad"/>
        <w:rPr>
          <w:color w:val="000000" w:themeColor="text1"/>
          <w:sz w:val="16"/>
          <w:szCs w:val="16"/>
        </w:rPr>
      </w:pPr>
      <w:r w:rsidRPr="00812E43">
        <w:rPr>
          <w:color w:val="000000" w:themeColor="text1"/>
          <w:sz w:val="16"/>
          <w:szCs w:val="16"/>
        </w:rPr>
        <w:tab/>
      </w:r>
      <w:r w:rsidRPr="00812E43">
        <w:rPr>
          <w:rStyle w:val="aa"/>
        </w:rPr>
        <w:footnoteRef/>
      </w:r>
      <w:r>
        <w:tab/>
        <w:t xml:space="preserve">См. </w:t>
      </w:r>
      <w:hyperlink r:id="rId14" w:history="1">
        <w:r w:rsidR="002F2883" w:rsidRPr="00833285">
          <w:rPr>
            <w:rStyle w:val="af1"/>
          </w:rPr>
          <w:t>https://www.ohchr.org/en/press-releases/2023/12/philippines-dire-need-national-torture-prevention-body-say-un-experts</w:t>
        </w:r>
      </w:hyperlink>
      <w:r>
        <w:t>.</w:t>
      </w:r>
    </w:p>
  </w:footnote>
  <w:footnote w:id="16">
    <w:p w14:paraId="124D2F79" w14:textId="4367DB33" w:rsidR="00CC1965" w:rsidRPr="0073500C" w:rsidRDefault="00CC1965" w:rsidP="00CC1965">
      <w:pPr>
        <w:pStyle w:val="ad"/>
      </w:pPr>
      <w:r w:rsidRPr="00812E43">
        <w:tab/>
      </w:r>
      <w:r w:rsidRPr="00812E43">
        <w:rPr>
          <w:rStyle w:val="aa"/>
        </w:rPr>
        <w:footnoteRef/>
      </w:r>
      <w:r>
        <w:tab/>
        <w:t xml:space="preserve">Данные, касающееся докладов о посещениях, включая те, которые были опубликованы, размещены по адресу </w:t>
      </w:r>
      <w:hyperlink r:id="rId15" w:history="1">
        <w:r w:rsidR="002F2883" w:rsidRPr="00833285">
          <w:rPr>
            <w:rStyle w:val="af1"/>
          </w:rPr>
          <w:t>https://tbinternet.ohchr.org/_layouts/15/TreatyBodyExternal/CountryVisits.aspx</w:t>
        </w:r>
      </w:hyperlink>
      <w:r>
        <w:t>.</w:t>
      </w:r>
    </w:p>
  </w:footnote>
  <w:footnote w:id="17">
    <w:p w14:paraId="3622F386" w14:textId="0FC3C3B8" w:rsidR="00CC1965" w:rsidRPr="00CC1965" w:rsidRDefault="00CC1965" w:rsidP="00CC1965">
      <w:pPr>
        <w:pStyle w:val="ad"/>
        <w:rPr>
          <w:lang w:val="en-US"/>
        </w:rPr>
      </w:pPr>
      <w:r w:rsidRPr="00812E43">
        <w:rPr>
          <w:color w:val="000000" w:themeColor="text1"/>
          <w:sz w:val="16"/>
          <w:szCs w:val="16"/>
        </w:rPr>
        <w:tab/>
      </w:r>
      <w:r w:rsidRPr="00812E43">
        <w:rPr>
          <w:rStyle w:val="aa"/>
        </w:rPr>
        <w:footnoteRef/>
      </w:r>
      <w:r w:rsidRPr="0073500C">
        <w:rPr>
          <w:lang w:val="en-US"/>
        </w:rPr>
        <w:tab/>
      </w:r>
      <w:hyperlink r:id="rId16" w:history="1">
        <w:r w:rsidRPr="002F2883">
          <w:rPr>
            <w:rStyle w:val="af1"/>
            <w:lang w:val="en-US"/>
          </w:rPr>
          <w:t>CAT/OP/ARG/ROSP/1</w:t>
        </w:r>
      </w:hyperlink>
      <w:r w:rsidRPr="0073500C">
        <w:rPr>
          <w:lang w:val="en-US"/>
        </w:rPr>
        <w:t>.</w:t>
      </w:r>
    </w:p>
  </w:footnote>
  <w:footnote w:id="18">
    <w:p w14:paraId="75E528DA" w14:textId="51343BC1" w:rsidR="00CC1965" w:rsidRPr="00CC1965" w:rsidRDefault="00CC1965" w:rsidP="00CC1965">
      <w:pPr>
        <w:pStyle w:val="ad"/>
        <w:rPr>
          <w:lang w:val="en-US"/>
        </w:rPr>
      </w:pPr>
      <w:r w:rsidRPr="0073500C">
        <w:rPr>
          <w:color w:val="000000" w:themeColor="text1"/>
          <w:sz w:val="16"/>
          <w:szCs w:val="16"/>
          <w:lang w:val="en-US"/>
        </w:rPr>
        <w:tab/>
      </w:r>
      <w:r w:rsidRPr="00812E43">
        <w:rPr>
          <w:rStyle w:val="aa"/>
        </w:rPr>
        <w:footnoteRef/>
      </w:r>
      <w:r w:rsidRPr="0073500C">
        <w:rPr>
          <w:lang w:val="en-US"/>
        </w:rPr>
        <w:tab/>
      </w:r>
      <w:hyperlink r:id="rId17" w:history="1">
        <w:r w:rsidRPr="002F2883">
          <w:rPr>
            <w:rStyle w:val="af1"/>
            <w:lang w:val="en-US"/>
          </w:rPr>
          <w:t>CAT/OP/AUS/ROSP/1</w:t>
        </w:r>
      </w:hyperlink>
      <w:r w:rsidRPr="0073500C">
        <w:rPr>
          <w:lang w:val="en-US"/>
        </w:rPr>
        <w:t>.</w:t>
      </w:r>
    </w:p>
  </w:footnote>
  <w:footnote w:id="19">
    <w:p w14:paraId="735D36D7" w14:textId="528AC03E" w:rsidR="00CC1965" w:rsidRPr="0073500C" w:rsidRDefault="00CC1965" w:rsidP="00CC1965">
      <w:pPr>
        <w:pStyle w:val="ad"/>
        <w:rPr>
          <w:color w:val="000000" w:themeColor="text1"/>
          <w:sz w:val="16"/>
          <w:szCs w:val="16"/>
        </w:rPr>
      </w:pPr>
      <w:r w:rsidRPr="0073500C">
        <w:rPr>
          <w:color w:val="000000" w:themeColor="text1"/>
          <w:sz w:val="16"/>
          <w:szCs w:val="16"/>
          <w:lang w:val="en-US"/>
        </w:rPr>
        <w:tab/>
      </w:r>
      <w:r w:rsidRPr="00812E43">
        <w:rPr>
          <w:rStyle w:val="aa"/>
        </w:rPr>
        <w:footnoteRef/>
      </w:r>
      <w:r>
        <w:tab/>
      </w:r>
      <w:hyperlink r:id="rId18" w:history="1">
        <w:r w:rsidRPr="002F2883">
          <w:rPr>
            <w:rStyle w:val="af1"/>
          </w:rPr>
          <w:t>CAT/OP/LBR/1</w:t>
        </w:r>
      </w:hyperlink>
      <w:r>
        <w:t>.</w:t>
      </w:r>
    </w:p>
  </w:footnote>
  <w:footnote w:id="20">
    <w:p w14:paraId="5A0DDBDA" w14:textId="6A1FC192" w:rsidR="00CC1965" w:rsidRPr="0073500C" w:rsidRDefault="00CC1965" w:rsidP="00CC1965">
      <w:pPr>
        <w:pStyle w:val="ad"/>
        <w:rPr>
          <w:color w:val="000000" w:themeColor="text1"/>
          <w:sz w:val="16"/>
          <w:szCs w:val="16"/>
        </w:rPr>
      </w:pPr>
      <w:r w:rsidRPr="00812E43">
        <w:rPr>
          <w:color w:val="000000" w:themeColor="text1"/>
          <w:sz w:val="16"/>
          <w:szCs w:val="16"/>
        </w:rPr>
        <w:tab/>
      </w:r>
      <w:r w:rsidRPr="00812E43">
        <w:rPr>
          <w:rStyle w:val="aa"/>
        </w:rPr>
        <w:footnoteRef/>
      </w:r>
      <w:r>
        <w:tab/>
      </w:r>
      <w:hyperlink r:id="rId19" w:history="1">
        <w:r w:rsidRPr="002F2883">
          <w:rPr>
            <w:rStyle w:val="af1"/>
          </w:rPr>
          <w:t>CAT/OP/LBR/ROSP/1</w:t>
        </w:r>
      </w:hyperlink>
      <w:r>
        <w:t>.</w:t>
      </w:r>
    </w:p>
  </w:footnote>
  <w:footnote w:id="21">
    <w:p w14:paraId="60B81CE0" w14:textId="72B7A637" w:rsidR="00CC1965" w:rsidRPr="0073500C" w:rsidRDefault="00CC1965" w:rsidP="00CC1965">
      <w:pPr>
        <w:pStyle w:val="ad"/>
        <w:rPr>
          <w:kern w:val="36"/>
        </w:rPr>
      </w:pPr>
      <w:r w:rsidRPr="00812E43">
        <w:tab/>
      </w:r>
      <w:r w:rsidRPr="00812E43">
        <w:rPr>
          <w:rStyle w:val="aa"/>
        </w:rPr>
        <w:footnoteRef/>
      </w:r>
      <w:r>
        <w:tab/>
        <w:t xml:space="preserve">Доклады относятся к следующим посещениям: Маврикия (2007 год), Камбоджи (2009 год), Ливана (2010 год), Многонационального Государства Боливия (2010 год), Гондураса </w:t>
      </w:r>
      <w:r w:rsidR="002F2883">
        <w:br/>
      </w:r>
      <w:r>
        <w:t xml:space="preserve">(2012 год), Сенегала (2012 год), Камбоджи (2013 год), Эквадора (2014 год), Нигерии </w:t>
      </w:r>
      <w:r w:rsidR="0085423F">
        <w:br/>
      </w:r>
      <w:r>
        <w:t xml:space="preserve">(2014 год), Азербайджана (2015 год), Гватемалы (2015 год), Науру (2015 год), Филиппин </w:t>
      </w:r>
      <w:r w:rsidR="0085423F">
        <w:br/>
      </w:r>
      <w:r>
        <w:t xml:space="preserve">(2015 год), Мозамбика (2016 год), Мавритании (2016 год), Туниса (2016 год), Венгрии </w:t>
      </w:r>
      <w:r w:rsidR="0085423F">
        <w:br/>
      </w:r>
      <w:r>
        <w:t>(2017 год), Марокко (2017 год), Кыргызстана (2018 год), Шри-Ланки (2019 год), Кабо</w:t>
      </w:r>
      <w:r w:rsidR="00320613" w:rsidRPr="00320613">
        <w:t>-</w:t>
      </w:r>
      <w:r>
        <w:t xml:space="preserve">Верде (2019 год), Ганы (2019 год), Сенегала (2019 год), Ливана (2022 год) и Туниса (2022 год). Дополнительную информацию см. на </w:t>
      </w:r>
      <w:hyperlink r:id="rId20" w:history="1">
        <w:r w:rsidR="002F2883" w:rsidRPr="00833285">
          <w:rPr>
            <w:rStyle w:val="af1"/>
          </w:rPr>
          <w:t>https://tbinternet.ohchr.org/_layouts/15/TreatyBodyExternal/CountryVisits.aspx</w:t>
        </w:r>
      </w:hyperlink>
      <w:r>
        <w:t>. К концу отчетного периода доклады были направлены пяти государствам-участникам, но срок представления ответов Подкомитету истекал в 2024 году, поэтому они не включены в данный список. Эти доклады относятся к следующим посещениям: Боснии и Герцеговины (2022 год), Эквадора (2022 год), Турции (2022 год), Мадагаскара (2023 год) и Южной Африки (2023 год).</w:t>
      </w:r>
    </w:p>
  </w:footnote>
  <w:footnote w:id="22">
    <w:p w14:paraId="12389FAF" w14:textId="581A9DF8" w:rsidR="00CC1965" w:rsidRPr="00CA192E" w:rsidRDefault="00CC1965" w:rsidP="00CC1965">
      <w:pPr>
        <w:pStyle w:val="ad"/>
      </w:pPr>
      <w:r w:rsidRPr="00812E43">
        <w:tab/>
      </w:r>
      <w:r w:rsidRPr="00812E43">
        <w:rPr>
          <w:rStyle w:val="aa"/>
        </w:rPr>
        <w:footnoteRef/>
      </w:r>
      <w:r w:rsidRPr="00CA192E">
        <w:tab/>
      </w:r>
      <w:r>
        <w:t>См</w:t>
      </w:r>
      <w:r w:rsidRPr="00CA192E">
        <w:t xml:space="preserve">. </w:t>
      </w:r>
      <w:hyperlink r:id="rId21" w:history="1">
        <w:r w:rsidR="002F2883" w:rsidRPr="00833285">
          <w:rPr>
            <w:rStyle w:val="af1"/>
            <w:lang w:val="en-US"/>
          </w:rPr>
          <w:t>https</w:t>
        </w:r>
        <w:r w:rsidR="002F2883" w:rsidRPr="00CA192E">
          <w:rPr>
            <w:rStyle w:val="af1"/>
          </w:rPr>
          <w:t>://</w:t>
        </w:r>
        <w:proofErr w:type="spellStart"/>
        <w:r w:rsidR="002F2883" w:rsidRPr="00833285">
          <w:rPr>
            <w:rStyle w:val="af1"/>
            <w:lang w:val="en-US"/>
          </w:rPr>
          <w:t>tbinternet</w:t>
        </w:r>
        <w:proofErr w:type="spellEnd"/>
        <w:r w:rsidR="002F2883" w:rsidRPr="00CA192E">
          <w:rPr>
            <w:rStyle w:val="af1"/>
          </w:rPr>
          <w:t>.</w:t>
        </w:r>
        <w:proofErr w:type="spellStart"/>
        <w:r w:rsidR="002F2883" w:rsidRPr="00833285">
          <w:rPr>
            <w:rStyle w:val="af1"/>
            <w:lang w:val="en-US"/>
          </w:rPr>
          <w:t>ohchr</w:t>
        </w:r>
        <w:proofErr w:type="spellEnd"/>
        <w:r w:rsidR="002F2883" w:rsidRPr="00CA192E">
          <w:rPr>
            <w:rStyle w:val="af1"/>
          </w:rPr>
          <w:t>.</w:t>
        </w:r>
        <w:r w:rsidR="002F2883" w:rsidRPr="00833285">
          <w:rPr>
            <w:rStyle w:val="af1"/>
            <w:lang w:val="en-US"/>
          </w:rPr>
          <w:t>org</w:t>
        </w:r>
        <w:r w:rsidR="002F2883" w:rsidRPr="00CA192E">
          <w:rPr>
            <w:rStyle w:val="af1"/>
          </w:rPr>
          <w:t>/_</w:t>
        </w:r>
        <w:r w:rsidR="002F2883" w:rsidRPr="00833285">
          <w:rPr>
            <w:rStyle w:val="af1"/>
            <w:lang w:val="en-US"/>
          </w:rPr>
          <w:t>layouts</w:t>
        </w:r>
        <w:r w:rsidR="002F2883" w:rsidRPr="00CA192E">
          <w:rPr>
            <w:rStyle w:val="af1"/>
          </w:rPr>
          <w:t>/15/</w:t>
        </w:r>
        <w:proofErr w:type="spellStart"/>
        <w:r w:rsidR="002F2883" w:rsidRPr="00833285">
          <w:rPr>
            <w:rStyle w:val="af1"/>
            <w:lang w:val="en-US"/>
          </w:rPr>
          <w:t>treatybodyexternal</w:t>
        </w:r>
        <w:proofErr w:type="spellEnd"/>
        <w:r w:rsidR="002F2883" w:rsidRPr="00CA192E">
          <w:rPr>
            <w:rStyle w:val="af1"/>
          </w:rPr>
          <w:t>/</w:t>
        </w:r>
        <w:r w:rsidR="002F2883" w:rsidRPr="00833285">
          <w:rPr>
            <w:rStyle w:val="af1"/>
            <w:lang w:val="en-US"/>
          </w:rPr>
          <w:t>Download</w:t>
        </w:r>
        <w:r w:rsidR="002F2883" w:rsidRPr="00CA192E">
          <w:rPr>
            <w:rStyle w:val="af1"/>
          </w:rPr>
          <w:t>.</w:t>
        </w:r>
        <w:proofErr w:type="spellStart"/>
        <w:r w:rsidR="002F2883" w:rsidRPr="00833285">
          <w:rPr>
            <w:rStyle w:val="af1"/>
            <w:lang w:val="en-US"/>
          </w:rPr>
          <w:t>aspx</w:t>
        </w:r>
        <w:proofErr w:type="spellEnd"/>
        <w:r w:rsidR="002F2883" w:rsidRPr="00CA192E">
          <w:rPr>
            <w:rStyle w:val="af1"/>
          </w:rPr>
          <w:t>?</w:t>
        </w:r>
        <w:proofErr w:type="spellStart"/>
        <w:r w:rsidR="002F2883" w:rsidRPr="00833285">
          <w:rPr>
            <w:rStyle w:val="af1"/>
            <w:lang w:val="en-US"/>
          </w:rPr>
          <w:t>symbolno</w:t>
        </w:r>
        <w:proofErr w:type="spellEnd"/>
        <w:r w:rsidR="002F2883" w:rsidRPr="00CA192E">
          <w:rPr>
            <w:rStyle w:val="af1"/>
          </w:rPr>
          <w:t>=</w:t>
        </w:r>
        <w:r w:rsidR="002F2883" w:rsidRPr="00833285">
          <w:rPr>
            <w:rStyle w:val="af1"/>
            <w:lang w:val="en-US"/>
          </w:rPr>
          <w:t>CAT</w:t>
        </w:r>
        <w:r w:rsidR="002F2883" w:rsidRPr="00CA192E">
          <w:rPr>
            <w:rStyle w:val="af1"/>
          </w:rPr>
          <w:t>%2</w:t>
        </w:r>
        <w:r w:rsidR="002F2883" w:rsidRPr="00833285">
          <w:rPr>
            <w:rStyle w:val="af1"/>
            <w:lang w:val="en-US"/>
          </w:rPr>
          <w:t>FOP</w:t>
        </w:r>
        <w:r w:rsidR="002F2883" w:rsidRPr="00CA192E">
          <w:rPr>
            <w:rStyle w:val="af1"/>
          </w:rPr>
          <w:t>%2</w:t>
        </w:r>
        <w:r w:rsidR="002F2883" w:rsidRPr="00833285">
          <w:rPr>
            <w:rStyle w:val="af1"/>
            <w:lang w:val="en-US"/>
          </w:rPr>
          <w:t>FARG</w:t>
        </w:r>
        <w:r w:rsidR="002F2883" w:rsidRPr="00CA192E">
          <w:rPr>
            <w:rStyle w:val="af1"/>
          </w:rPr>
          <w:t>%2</w:t>
        </w:r>
        <w:r w:rsidR="002F2883" w:rsidRPr="00833285">
          <w:rPr>
            <w:rStyle w:val="af1"/>
            <w:lang w:val="en-US"/>
          </w:rPr>
          <w:t>FCSPRO</w:t>
        </w:r>
        <w:r w:rsidR="002F2883" w:rsidRPr="00CA192E">
          <w:rPr>
            <w:rStyle w:val="af1"/>
          </w:rPr>
          <w:t>%2</w:t>
        </w:r>
        <w:r w:rsidR="002F2883" w:rsidRPr="00833285">
          <w:rPr>
            <w:rStyle w:val="af1"/>
            <w:lang w:val="en-US"/>
          </w:rPr>
          <w:t>FR</w:t>
        </w:r>
        <w:r w:rsidR="002F2883" w:rsidRPr="00CA192E">
          <w:rPr>
            <w:rStyle w:val="af1"/>
          </w:rPr>
          <w:t>.1&amp;</w:t>
        </w:r>
        <w:r w:rsidR="002F2883" w:rsidRPr="00833285">
          <w:rPr>
            <w:rStyle w:val="af1"/>
            <w:lang w:val="en-US"/>
          </w:rPr>
          <w:t>Lang</w:t>
        </w:r>
        <w:r w:rsidR="002F2883" w:rsidRPr="00CA192E">
          <w:rPr>
            <w:rStyle w:val="af1"/>
          </w:rPr>
          <w:t>=</w:t>
        </w:r>
        <w:proofErr w:type="spellStart"/>
        <w:r w:rsidR="002F2883" w:rsidRPr="00833285">
          <w:rPr>
            <w:rStyle w:val="af1"/>
            <w:lang w:val="en-US"/>
          </w:rPr>
          <w:t>en</w:t>
        </w:r>
        <w:proofErr w:type="spellEnd"/>
      </w:hyperlink>
      <w:r w:rsidRPr="00CA192E">
        <w:t>.</w:t>
      </w:r>
    </w:p>
  </w:footnote>
  <w:footnote w:id="23">
    <w:p w14:paraId="2152BC0A" w14:textId="205D2DB6" w:rsidR="00CC1965" w:rsidRPr="00CC1965" w:rsidRDefault="00CC1965" w:rsidP="00CC1965">
      <w:pPr>
        <w:pStyle w:val="ad"/>
        <w:rPr>
          <w:lang w:val="en-US"/>
        </w:rPr>
      </w:pPr>
      <w:r w:rsidRPr="00CA192E">
        <w:rPr>
          <w:color w:val="000000" w:themeColor="text1"/>
          <w:sz w:val="16"/>
          <w:szCs w:val="16"/>
        </w:rPr>
        <w:tab/>
      </w:r>
      <w:r w:rsidRPr="00812E43">
        <w:rPr>
          <w:rStyle w:val="aa"/>
        </w:rPr>
        <w:footnoteRef/>
      </w:r>
      <w:r w:rsidRPr="0073500C">
        <w:rPr>
          <w:lang w:val="en-US"/>
        </w:rPr>
        <w:tab/>
      </w:r>
      <w:hyperlink r:id="rId22" w:history="1">
        <w:r w:rsidRPr="002F2883">
          <w:rPr>
            <w:rStyle w:val="af1"/>
            <w:lang w:val="en-US"/>
          </w:rPr>
          <w:t>CAT/OP/AUS/CSPRO/1</w:t>
        </w:r>
      </w:hyperlink>
      <w:r w:rsidRPr="0073500C">
        <w:rPr>
          <w:lang w:val="en-US"/>
        </w:rPr>
        <w:t>.</w:t>
      </w:r>
    </w:p>
  </w:footnote>
  <w:footnote w:id="24">
    <w:p w14:paraId="7E049FB3" w14:textId="6552251D" w:rsidR="00CC1965" w:rsidRPr="00CC1965" w:rsidRDefault="00CC1965" w:rsidP="00CC1965">
      <w:pPr>
        <w:pStyle w:val="ad"/>
        <w:rPr>
          <w:lang w:val="en-US"/>
        </w:rPr>
      </w:pPr>
      <w:r w:rsidRPr="0073500C">
        <w:rPr>
          <w:color w:val="000000" w:themeColor="text1"/>
          <w:sz w:val="16"/>
          <w:szCs w:val="16"/>
          <w:lang w:val="en-US"/>
        </w:rPr>
        <w:tab/>
      </w:r>
      <w:r w:rsidRPr="00812E43">
        <w:rPr>
          <w:rStyle w:val="aa"/>
        </w:rPr>
        <w:footnoteRef/>
      </w:r>
      <w:r w:rsidRPr="0073500C">
        <w:rPr>
          <w:lang w:val="en-US"/>
        </w:rPr>
        <w:tab/>
      </w:r>
      <w:hyperlink r:id="rId23" w:history="1">
        <w:r w:rsidRPr="002F2883">
          <w:rPr>
            <w:rStyle w:val="af1"/>
            <w:lang w:val="en-US"/>
          </w:rPr>
          <w:t>CAT/OP/BFA/CSPRO/1</w:t>
        </w:r>
      </w:hyperlink>
      <w:r w:rsidRPr="0073500C">
        <w:rPr>
          <w:lang w:val="en-US"/>
        </w:rPr>
        <w:t>.</w:t>
      </w:r>
    </w:p>
  </w:footnote>
  <w:footnote w:id="25">
    <w:p w14:paraId="126F8E97" w14:textId="102B0571" w:rsidR="00CC1965" w:rsidRPr="00CC1965" w:rsidRDefault="00CC1965" w:rsidP="00CC1965">
      <w:pPr>
        <w:pStyle w:val="ad"/>
        <w:rPr>
          <w:color w:val="000000" w:themeColor="text1"/>
          <w:sz w:val="16"/>
          <w:szCs w:val="16"/>
          <w:lang w:val="en-US"/>
        </w:rPr>
      </w:pPr>
      <w:r w:rsidRPr="0073500C">
        <w:rPr>
          <w:color w:val="000000" w:themeColor="text1"/>
          <w:sz w:val="16"/>
          <w:szCs w:val="16"/>
          <w:lang w:val="en-US"/>
        </w:rPr>
        <w:tab/>
      </w:r>
      <w:r w:rsidRPr="00812E43">
        <w:rPr>
          <w:rStyle w:val="aa"/>
        </w:rPr>
        <w:footnoteRef/>
      </w:r>
      <w:r w:rsidRPr="0073500C">
        <w:rPr>
          <w:lang w:val="en-US"/>
        </w:rPr>
        <w:tab/>
      </w:r>
      <w:hyperlink r:id="rId24" w:history="1">
        <w:r w:rsidR="002F2883" w:rsidRPr="00833285">
          <w:rPr>
            <w:rStyle w:val="af1"/>
            <w:lang w:val="en-US"/>
          </w:rPr>
          <w:t>https://tbinternet.ohchr.org/_layouts/15/TreatyBodyExternal/CountryVisits.aspx</w:t>
        </w:r>
      </w:hyperlink>
      <w:r w:rsidRPr="0073500C">
        <w:rPr>
          <w:lang w:val="en-US"/>
        </w:rPr>
        <w:t>.</w:t>
      </w:r>
    </w:p>
  </w:footnote>
  <w:footnote w:id="26">
    <w:p w14:paraId="5CBDF45F" w14:textId="62A98807" w:rsidR="00CC1965" w:rsidRPr="0073500C" w:rsidRDefault="00CC1965" w:rsidP="00CC1965">
      <w:pPr>
        <w:pStyle w:val="ad"/>
        <w:rPr>
          <w:color w:val="000000" w:themeColor="text1"/>
          <w:szCs w:val="18"/>
        </w:rPr>
      </w:pPr>
      <w:r w:rsidRPr="0073500C">
        <w:rPr>
          <w:color w:val="000000" w:themeColor="text1"/>
          <w:sz w:val="16"/>
          <w:szCs w:val="16"/>
          <w:lang w:val="en-US"/>
        </w:rPr>
        <w:tab/>
      </w:r>
      <w:r w:rsidRPr="00812E43">
        <w:rPr>
          <w:rStyle w:val="aa"/>
        </w:rPr>
        <w:footnoteRef/>
      </w:r>
      <w:r>
        <w:tab/>
        <w:t xml:space="preserve">См. </w:t>
      </w:r>
      <w:hyperlink r:id="rId25" w:history="1">
        <w:r w:rsidR="00D4197A" w:rsidRPr="00833285">
          <w:rPr>
            <w:rStyle w:val="af1"/>
          </w:rPr>
          <w:t>https://www.ohchr.org/en/treaty-bodies/spt/non-compliance-article-17</w:t>
        </w:r>
      </w:hyperlink>
      <w:r>
        <w:t>.</w:t>
      </w:r>
    </w:p>
  </w:footnote>
  <w:footnote w:id="27">
    <w:p w14:paraId="7E54BF38" w14:textId="77777777" w:rsidR="00CC1965" w:rsidRPr="00CC1965" w:rsidRDefault="00CC1965" w:rsidP="00CC1965">
      <w:pPr>
        <w:pStyle w:val="ad"/>
        <w:rPr>
          <w:color w:val="000000" w:themeColor="text1"/>
          <w:sz w:val="16"/>
          <w:lang w:val="en-US"/>
        </w:rPr>
      </w:pPr>
      <w:r w:rsidRPr="00812E43">
        <w:rPr>
          <w:color w:val="000000" w:themeColor="text1"/>
          <w:sz w:val="16"/>
        </w:rPr>
        <w:tab/>
      </w:r>
      <w:r w:rsidRPr="00812E43">
        <w:rPr>
          <w:rStyle w:val="aa"/>
        </w:rPr>
        <w:footnoteRef/>
      </w:r>
      <w:r w:rsidRPr="0073500C">
        <w:rPr>
          <w:lang w:val="en-US"/>
        </w:rPr>
        <w:tab/>
        <w:t>Ibid.</w:t>
      </w:r>
    </w:p>
  </w:footnote>
  <w:footnote w:id="28">
    <w:p w14:paraId="1438B7F7" w14:textId="5CC577CB" w:rsidR="00CC1965" w:rsidRPr="00CC1965" w:rsidRDefault="00CC1965" w:rsidP="00CC1965">
      <w:pPr>
        <w:pStyle w:val="ad"/>
        <w:rPr>
          <w:color w:val="000000" w:themeColor="text1"/>
          <w:sz w:val="16"/>
          <w:szCs w:val="16"/>
          <w:lang w:val="en-US"/>
        </w:rPr>
      </w:pPr>
      <w:r w:rsidRPr="0073500C">
        <w:rPr>
          <w:color w:val="000000" w:themeColor="text1"/>
          <w:sz w:val="16"/>
          <w:szCs w:val="16"/>
          <w:lang w:val="en-US"/>
        </w:rPr>
        <w:tab/>
      </w:r>
      <w:r w:rsidRPr="00812E43">
        <w:rPr>
          <w:rStyle w:val="aa"/>
        </w:rPr>
        <w:footnoteRef/>
      </w:r>
      <w:r w:rsidRPr="0073500C">
        <w:rPr>
          <w:lang w:val="en-US"/>
        </w:rPr>
        <w:tab/>
      </w:r>
      <w:r>
        <w:t>См</w:t>
      </w:r>
      <w:r w:rsidRPr="0073500C">
        <w:rPr>
          <w:lang w:val="en-US"/>
        </w:rPr>
        <w:t xml:space="preserve">. </w:t>
      </w:r>
      <w:hyperlink r:id="rId26" w:history="1">
        <w:r w:rsidR="00D4197A" w:rsidRPr="00833285">
          <w:rPr>
            <w:rStyle w:val="af1"/>
            <w:lang w:val="en-US"/>
          </w:rPr>
          <w:t>https://www.ohchr.org/sites/default/files/documents/hrbodies/spt-opcat/Programme-work-on-the-draft-GC.art_.4.pdf</w:t>
        </w:r>
      </w:hyperlink>
      <w:r w:rsidRPr="0073500C">
        <w:rPr>
          <w:lang w:val="en-US"/>
        </w:rPr>
        <w:t>.</w:t>
      </w:r>
    </w:p>
  </w:footnote>
  <w:footnote w:id="29">
    <w:p w14:paraId="5EF63281" w14:textId="1E91999D" w:rsidR="00CC1965" w:rsidRPr="0073500C" w:rsidRDefault="00CC1965" w:rsidP="00CC1965">
      <w:pPr>
        <w:pStyle w:val="ad"/>
      </w:pPr>
      <w:r w:rsidRPr="0073500C">
        <w:rPr>
          <w:color w:val="000000" w:themeColor="text1"/>
          <w:sz w:val="16"/>
          <w:szCs w:val="16"/>
          <w:lang w:val="en-US"/>
        </w:rPr>
        <w:tab/>
      </w:r>
      <w:r w:rsidRPr="00812E43">
        <w:rPr>
          <w:rStyle w:val="aa"/>
        </w:rPr>
        <w:footnoteRef/>
      </w:r>
      <w:r>
        <w:tab/>
        <w:t xml:space="preserve">См. </w:t>
      </w:r>
      <w:hyperlink r:id="rId27" w:history="1">
        <w:r w:rsidR="00D4197A" w:rsidRPr="00833285">
          <w:rPr>
            <w:rStyle w:val="af1"/>
          </w:rPr>
          <w:t>https://webtv.un.org/en/asset/k18/k18ah5tr4u</w:t>
        </w:r>
      </w:hyperlink>
      <w:r>
        <w:t>.</w:t>
      </w:r>
    </w:p>
  </w:footnote>
  <w:footnote w:id="30">
    <w:p w14:paraId="25FC6C69" w14:textId="623C4B86" w:rsidR="00CC1965" w:rsidRPr="0073500C" w:rsidRDefault="00CC1965" w:rsidP="00CC1965">
      <w:pPr>
        <w:pStyle w:val="ad"/>
      </w:pPr>
      <w:r w:rsidRPr="00812E43">
        <w:tab/>
      </w:r>
      <w:r w:rsidRPr="00812E43">
        <w:rPr>
          <w:rStyle w:val="aa"/>
        </w:rPr>
        <w:footnoteRef/>
      </w:r>
      <w:r>
        <w:tab/>
        <w:t xml:space="preserve">См. </w:t>
      </w:r>
      <w:hyperlink r:id="rId28" w:history="1">
        <w:r w:rsidR="00D4197A" w:rsidRPr="00833285">
          <w:rPr>
            <w:rStyle w:val="af1"/>
          </w:rPr>
          <w:t>https://www.ohchr.org/en/events/events/2023/twentieth-anniversary-opcat-and-fifteenth-anniversary-spt</w:t>
        </w:r>
      </w:hyperlink>
      <w:r>
        <w:t>.</w:t>
      </w:r>
    </w:p>
  </w:footnote>
  <w:footnote w:id="31">
    <w:p w14:paraId="5FD7C10C" w14:textId="3E2A3C6E" w:rsidR="00CC1965" w:rsidRPr="0073500C" w:rsidRDefault="00CC1965" w:rsidP="00CC1965">
      <w:pPr>
        <w:pStyle w:val="ad"/>
      </w:pPr>
      <w:r w:rsidRPr="00812E43">
        <w:tab/>
      </w:r>
      <w:r w:rsidRPr="00812E43">
        <w:rPr>
          <w:rStyle w:val="aa"/>
        </w:rPr>
        <w:footnoteRef/>
      </w:r>
      <w:r>
        <w:tab/>
        <w:t xml:space="preserve">См. </w:t>
      </w:r>
      <w:hyperlink r:id="rId29" w:history="1">
        <w:r w:rsidR="00D4197A" w:rsidRPr="00833285">
          <w:rPr>
            <w:rStyle w:val="af1"/>
          </w:rPr>
          <w:t>https://webtv.un.org/en/asset/k1n/k1nbqlbcno</w:t>
        </w:r>
      </w:hyperlink>
      <w:r>
        <w:t>.</w:t>
      </w:r>
    </w:p>
  </w:footnote>
  <w:footnote w:id="32">
    <w:p w14:paraId="7315DF72" w14:textId="45C70BF1" w:rsidR="00CC1965" w:rsidRPr="0073500C" w:rsidRDefault="00CC1965" w:rsidP="00CC1965">
      <w:pPr>
        <w:pStyle w:val="ad"/>
      </w:pPr>
      <w:r w:rsidRPr="00812E43">
        <w:rPr>
          <w:color w:val="000000" w:themeColor="text1"/>
          <w:sz w:val="16"/>
        </w:rPr>
        <w:tab/>
      </w:r>
      <w:r w:rsidRPr="00812E43">
        <w:rPr>
          <w:rStyle w:val="aa"/>
        </w:rPr>
        <w:footnoteRef/>
      </w:r>
      <w:r>
        <w:tab/>
      </w:r>
      <w:hyperlink r:id="rId30" w:history="1">
        <w:r w:rsidRPr="002F2883">
          <w:rPr>
            <w:rStyle w:val="af1"/>
          </w:rPr>
          <w:t>CAT/C/76/2</w:t>
        </w:r>
      </w:hyperlink>
      <w:r>
        <w:t>.</w:t>
      </w:r>
    </w:p>
  </w:footnote>
  <w:footnote w:id="33">
    <w:p w14:paraId="2929FC72" w14:textId="609E6314" w:rsidR="00CC1965" w:rsidRPr="0073500C" w:rsidRDefault="00CC1965" w:rsidP="00CC1965">
      <w:pPr>
        <w:pStyle w:val="ad"/>
      </w:pPr>
      <w:r w:rsidRPr="00812E43">
        <w:tab/>
      </w:r>
      <w:r w:rsidRPr="00812E43">
        <w:rPr>
          <w:rStyle w:val="aa"/>
        </w:rPr>
        <w:footnoteRef/>
      </w:r>
      <w:r>
        <w:tab/>
        <w:t xml:space="preserve">См. </w:t>
      </w:r>
      <w:hyperlink r:id="rId31" w:history="1">
        <w:r w:rsidR="00D4197A" w:rsidRPr="00833285">
          <w:rPr>
            <w:rStyle w:val="af1"/>
          </w:rPr>
          <w:t>https://www.ohchr.org/en/statements/2022/10/chairperson-subcommittee-prevention-tortures-statement-77th-ga-session</w:t>
        </w:r>
      </w:hyperlink>
      <w:r>
        <w:t>.</w:t>
      </w:r>
    </w:p>
  </w:footnote>
  <w:footnote w:id="34">
    <w:p w14:paraId="4AC667C5" w14:textId="6ABC400B" w:rsidR="00CC1965" w:rsidRPr="0073500C" w:rsidRDefault="00CC1965" w:rsidP="00CC1965">
      <w:pPr>
        <w:pStyle w:val="ad"/>
        <w:rPr>
          <w:color w:val="000000" w:themeColor="text1"/>
          <w:sz w:val="16"/>
        </w:rPr>
      </w:pPr>
      <w:r w:rsidRPr="00812E43">
        <w:rPr>
          <w:color w:val="000000" w:themeColor="text1"/>
          <w:sz w:val="16"/>
        </w:rPr>
        <w:tab/>
      </w:r>
      <w:r w:rsidRPr="00812E43">
        <w:rPr>
          <w:rStyle w:val="aa"/>
        </w:rPr>
        <w:footnoteRef/>
      </w:r>
      <w:r>
        <w:tab/>
      </w:r>
      <w:hyperlink r:id="rId32" w:history="1">
        <w:r w:rsidRPr="002F2883">
          <w:rPr>
            <w:rStyle w:val="af1"/>
          </w:rPr>
          <w:t>CAT/C/73/2</w:t>
        </w:r>
      </w:hyperlink>
      <w:r>
        <w:t>, приложение.</w:t>
      </w:r>
    </w:p>
  </w:footnote>
  <w:footnote w:id="35">
    <w:p w14:paraId="3887DFE9" w14:textId="374BD2BA" w:rsidR="00CC1965" w:rsidRPr="0073500C" w:rsidRDefault="00CC1965" w:rsidP="00CC1965">
      <w:pPr>
        <w:pStyle w:val="ad"/>
      </w:pPr>
      <w:r w:rsidRPr="00812E43">
        <w:rPr>
          <w:color w:val="000000" w:themeColor="text1"/>
          <w:sz w:val="16"/>
          <w:szCs w:val="16"/>
        </w:rPr>
        <w:tab/>
      </w:r>
      <w:r w:rsidRPr="00812E43">
        <w:rPr>
          <w:rStyle w:val="aa"/>
        </w:rPr>
        <w:footnoteRef/>
      </w:r>
      <w:r>
        <w:tab/>
        <w:t xml:space="preserve">См. </w:t>
      </w:r>
      <w:hyperlink r:id="rId33" w:history="1">
        <w:r w:rsidR="00D4197A" w:rsidRPr="00833285">
          <w:rPr>
            <w:rStyle w:val="af1"/>
          </w:rPr>
          <w:t>https://www.ohchr.org/en/statements/2023/06/un-experts-call-states-uphold-absolute-prohibition-torture-armed-conflict</w:t>
        </w:r>
      </w:hyperlink>
      <w:r>
        <w:t>.</w:t>
      </w:r>
    </w:p>
  </w:footnote>
  <w:footnote w:id="36">
    <w:p w14:paraId="4FA5C456" w14:textId="7C710381" w:rsidR="00CC1965" w:rsidRPr="0073500C" w:rsidRDefault="00CC1965" w:rsidP="00CC1965">
      <w:pPr>
        <w:pStyle w:val="ad"/>
      </w:pPr>
      <w:r w:rsidRPr="00812E43">
        <w:rPr>
          <w:color w:val="000000" w:themeColor="text1"/>
          <w:sz w:val="16"/>
          <w:szCs w:val="16"/>
        </w:rPr>
        <w:tab/>
      </w:r>
      <w:r w:rsidRPr="00812E43">
        <w:rPr>
          <w:rStyle w:val="aa"/>
        </w:rPr>
        <w:footnoteRef/>
      </w:r>
      <w:r>
        <w:tab/>
        <w:t xml:space="preserve">См. </w:t>
      </w:r>
      <w:hyperlink r:id="rId34" w:history="1">
        <w:r w:rsidR="00D4197A" w:rsidRPr="00833285">
          <w:rPr>
            <w:rStyle w:val="af1"/>
          </w:rPr>
          <w:t>https://www.ohchr.org/en/press-releases/2023/11/un-torture-prevention-body-plans-visit-democratic-republic-congo-greece</w:t>
        </w:r>
      </w:hyperlink>
      <w:r w:rsidR="00D4197A">
        <w:t xml:space="preserve"> </w:t>
      </w:r>
      <w:r>
        <w:t xml:space="preserve">и </w:t>
      </w:r>
      <w:hyperlink r:id="rId35" w:history="1">
        <w:r w:rsidR="00D4197A" w:rsidRPr="00833285">
          <w:rPr>
            <w:rStyle w:val="af1"/>
          </w:rPr>
          <w:t>https://www.ohchr.org/en/press-releases/2023/07/un-torture-prevention-body-announces-visits-2024</w:t>
        </w:r>
      </w:hyperlink>
      <w:r>
        <w:t>.</w:t>
      </w:r>
    </w:p>
  </w:footnote>
  <w:footnote w:id="37">
    <w:p w14:paraId="2569F727" w14:textId="62EF29AE" w:rsidR="00CC1965" w:rsidRPr="0073500C" w:rsidRDefault="00CC1965" w:rsidP="00CC1965">
      <w:pPr>
        <w:pStyle w:val="ad"/>
        <w:jc w:val="both"/>
      </w:pPr>
      <w:r w:rsidRPr="00812E43">
        <w:rPr>
          <w:color w:val="000000" w:themeColor="text1"/>
          <w:sz w:val="16"/>
        </w:rPr>
        <w:tab/>
      </w:r>
      <w:r w:rsidRPr="00812E43">
        <w:rPr>
          <w:rStyle w:val="aa"/>
        </w:rPr>
        <w:footnoteRef/>
      </w:r>
      <w:r>
        <w:tab/>
      </w:r>
      <w:hyperlink r:id="rId36" w:history="1">
        <w:r w:rsidRPr="002F2883">
          <w:rPr>
            <w:rStyle w:val="af1"/>
          </w:rPr>
          <w:t>CAT/C/63/4</w:t>
        </w:r>
      </w:hyperlink>
      <w:r>
        <w:t>.</w:t>
      </w:r>
    </w:p>
  </w:footnote>
  <w:footnote w:id="38">
    <w:p w14:paraId="6D3B59D3" w14:textId="5060258B" w:rsidR="00CC1965" w:rsidRPr="0073500C" w:rsidRDefault="00CC1965" w:rsidP="00CC1965">
      <w:pPr>
        <w:pStyle w:val="ad"/>
        <w:rPr>
          <w:color w:val="000000" w:themeColor="text1"/>
          <w:sz w:val="16"/>
          <w:szCs w:val="16"/>
        </w:rPr>
      </w:pPr>
      <w:r w:rsidRPr="00812E43">
        <w:rPr>
          <w:color w:val="000000" w:themeColor="text1"/>
          <w:sz w:val="16"/>
          <w:szCs w:val="16"/>
        </w:rPr>
        <w:tab/>
      </w:r>
      <w:r w:rsidRPr="00812E43">
        <w:rPr>
          <w:rStyle w:val="aa"/>
        </w:rPr>
        <w:footnoteRef/>
      </w:r>
      <w:r>
        <w:tab/>
      </w:r>
      <w:hyperlink r:id="rId37" w:history="1">
        <w:r w:rsidRPr="002F2883">
          <w:rPr>
            <w:rStyle w:val="af1"/>
          </w:rPr>
          <w:t>CAT/C/73/2</w:t>
        </w:r>
      </w:hyperlink>
      <w:r>
        <w:t>, приложение.</w:t>
      </w:r>
    </w:p>
  </w:footnote>
  <w:footnote w:id="39">
    <w:p w14:paraId="18F1D882" w14:textId="25486B4F" w:rsidR="00CC1965" w:rsidRPr="0073500C" w:rsidRDefault="00CC1965" w:rsidP="00CC1965">
      <w:pPr>
        <w:pStyle w:val="ad"/>
      </w:pPr>
      <w:r w:rsidRPr="00812E43">
        <w:tab/>
      </w:r>
      <w:r w:rsidRPr="00812E43">
        <w:rPr>
          <w:rStyle w:val="aa"/>
        </w:rPr>
        <w:footnoteRef/>
      </w:r>
      <w:r>
        <w:tab/>
      </w:r>
      <w:hyperlink r:id="rId38" w:history="1">
        <w:r w:rsidRPr="002F2883">
          <w:rPr>
            <w:rStyle w:val="af1"/>
          </w:rPr>
          <w:t>CAT/OP/12/5</w:t>
        </w:r>
      </w:hyperlink>
      <w:r>
        <w:t>, п. 7.</w:t>
      </w:r>
    </w:p>
  </w:footnote>
  <w:footnote w:id="40">
    <w:p w14:paraId="110BB996" w14:textId="0422595D" w:rsidR="00CC1965" w:rsidRPr="0073500C" w:rsidRDefault="00CC1965" w:rsidP="00CC1965">
      <w:pPr>
        <w:pStyle w:val="ad"/>
      </w:pPr>
      <w:r w:rsidRPr="00812E43">
        <w:rPr>
          <w:color w:val="000000" w:themeColor="text1"/>
          <w:sz w:val="16"/>
          <w:szCs w:val="16"/>
        </w:rPr>
        <w:tab/>
      </w:r>
      <w:r w:rsidRPr="00812E43">
        <w:rPr>
          <w:rStyle w:val="aa"/>
        </w:rPr>
        <w:footnoteRef/>
      </w:r>
      <w:r>
        <w:tab/>
        <w:t xml:space="preserve">Более подробную информацию см. </w:t>
      </w:r>
      <w:hyperlink r:id="rId39" w:history="1">
        <w:r w:rsidR="00D4197A" w:rsidRPr="00833285">
          <w:rPr>
            <w:rStyle w:val="af1"/>
          </w:rPr>
          <w:t>https://www.ohchr.org/en/treaty-bodies/spt/non-compliance-article-17</w:t>
        </w:r>
      </w:hyperlink>
      <w:r>
        <w:t>.</w:t>
      </w:r>
    </w:p>
  </w:footnote>
  <w:footnote w:id="41">
    <w:p w14:paraId="09DB787A" w14:textId="41EFCAE0" w:rsidR="00CC1965" w:rsidRPr="0073500C" w:rsidRDefault="00CC1965" w:rsidP="00CC1965">
      <w:pPr>
        <w:pStyle w:val="ad"/>
      </w:pPr>
      <w:r w:rsidRPr="00812E43">
        <w:tab/>
      </w:r>
      <w:r w:rsidRPr="00812E43">
        <w:rPr>
          <w:rStyle w:val="aa"/>
        </w:rPr>
        <w:footnoteRef/>
      </w:r>
      <w:r>
        <w:tab/>
        <w:t xml:space="preserve">Более подробную информацию о членстве в договорных органах по правам человека см. </w:t>
      </w:r>
      <w:r w:rsidR="007A7248">
        <w:br/>
      </w:r>
      <w:r>
        <w:t xml:space="preserve">в УВКПЧ, </w:t>
      </w:r>
      <w:proofErr w:type="spellStart"/>
      <w:r>
        <w:rPr>
          <w:i/>
          <w:iCs/>
        </w:rPr>
        <w:t>Handbook</w:t>
      </w:r>
      <w:proofErr w:type="spellEnd"/>
      <w:r>
        <w:rPr>
          <w:i/>
          <w:iCs/>
        </w:rPr>
        <w:t xml:space="preserve"> </w:t>
      </w:r>
      <w:proofErr w:type="spellStart"/>
      <w:r>
        <w:rPr>
          <w:i/>
          <w:iCs/>
        </w:rPr>
        <w:t>for</w:t>
      </w:r>
      <w:proofErr w:type="spellEnd"/>
      <w:r>
        <w:rPr>
          <w:i/>
          <w:iCs/>
        </w:rPr>
        <w:t xml:space="preserve"> Human Rights Treaty Body Members</w:t>
      </w:r>
      <w:r>
        <w:t xml:space="preserve"> (New York and Geneva, 2015).</w:t>
      </w:r>
    </w:p>
  </w:footnote>
  <w:footnote w:id="42">
    <w:p w14:paraId="250E33F2" w14:textId="1A8380C5" w:rsidR="007A2A3E" w:rsidRPr="0073500C" w:rsidRDefault="007A2A3E" w:rsidP="007A2A3E">
      <w:pPr>
        <w:pStyle w:val="ad"/>
      </w:pPr>
      <w:r w:rsidRPr="00812E43">
        <w:rPr>
          <w:color w:val="000000" w:themeColor="text1"/>
          <w:sz w:val="16"/>
          <w:szCs w:val="16"/>
        </w:rPr>
        <w:tab/>
      </w:r>
      <w:r w:rsidRPr="00812E43">
        <w:rPr>
          <w:rStyle w:val="aa"/>
        </w:rPr>
        <w:footnoteRef/>
      </w:r>
      <w:r>
        <w:tab/>
        <w:t>См. п</w:t>
      </w:r>
      <w:r w:rsidR="007A7248">
        <w:rPr>
          <w:lang w:val="en-US"/>
        </w:rPr>
        <w:t>.</w:t>
      </w:r>
      <w:r>
        <w:t xml:space="preserve"> 61 выше.</w:t>
      </w:r>
    </w:p>
  </w:footnote>
  <w:footnote w:id="43">
    <w:p w14:paraId="27E3928A" w14:textId="00762526" w:rsidR="00CC1965" w:rsidRPr="00CA192E" w:rsidRDefault="00CC1965" w:rsidP="00CC1965">
      <w:pPr>
        <w:pStyle w:val="ad"/>
      </w:pPr>
      <w:r w:rsidRPr="00812E43">
        <w:tab/>
      </w:r>
      <w:r w:rsidRPr="00812E43">
        <w:rPr>
          <w:rStyle w:val="aa"/>
        </w:rPr>
        <w:footnoteRef/>
      </w:r>
      <w:r w:rsidRPr="00CA192E">
        <w:tab/>
      </w:r>
      <w:hyperlink r:id="rId40" w:history="1">
        <w:r w:rsidRPr="002F2883">
          <w:rPr>
            <w:rStyle w:val="af1"/>
            <w:lang w:val="en-US"/>
          </w:rPr>
          <w:t>CAT</w:t>
        </w:r>
        <w:r w:rsidRPr="00CA192E">
          <w:rPr>
            <w:rStyle w:val="af1"/>
          </w:rPr>
          <w:t>/</w:t>
        </w:r>
        <w:r w:rsidRPr="002F2883">
          <w:rPr>
            <w:rStyle w:val="af1"/>
            <w:lang w:val="en-US"/>
          </w:rPr>
          <w:t>OP</w:t>
        </w:r>
        <w:r w:rsidRPr="00CA192E">
          <w:rPr>
            <w:rStyle w:val="af1"/>
          </w:rPr>
          <w:t>/12/5</w:t>
        </w:r>
      </w:hyperlink>
      <w:r w:rsidRPr="00CA192E">
        <w:t xml:space="preserve">, </w:t>
      </w:r>
      <w:r>
        <w:t>п</w:t>
      </w:r>
      <w:r w:rsidRPr="00CA192E">
        <w:t>. 2.</w:t>
      </w:r>
    </w:p>
  </w:footnote>
  <w:footnote w:id="44">
    <w:p w14:paraId="607992DF" w14:textId="1B78E0F8" w:rsidR="00CC1965" w:rsidRPr="00CC1965" w:rsidRDefault="00CC1965" w:rsidP="00CC1965">
      <w:pPr>
        <w:pStyle w:val="ad"/>
        <w:rPr>
          <w:lang w:val="en-US"/>
        </w:rPr>
      </w:pPr>
      <w:r w:rsidRPr="00CA192E">
        <w:tab/>
      </w:r>
      <w:r w:rsidRPr="00812E43">
        <w:rPr>
          <w:rStyle w:val="aa"/>
        </w:rPr>
        <w:footnoteRef/>
      </w:r>
      <w:r w:rsidRPr="0073500C">
        <w:rPr>
          <w:lang w:val="en-US"/>
        </w:rPr>
        <w:tab/>
      </w:r>
      <w:hyperlink r:id="rId41" w:history="1">
        <w:r w:rsidRPr="002F2883">
          <w:rPr>
            <w:rStyle w:val="af1"/>
            <w:lang w:val="en-US"/>
          </w:rPr>
          <w:t>CAT/OP/PRT/1</w:t>
        </w:r>
      </w:hyperlink>
      <w:r w:rsidRPr="0073500C">
        <w:rPr>
          <w:lang w:val="en-US"/>
        </w:rPr>
        <w:t xml:space="preserve">, </w:t>
      </w:r>
      <w:r>
        <w:t>п</w:t>
      </w:r>
      <w:r w:rsidRPr="0073500C">
        <w:rPr>
          <w:lang w:val="en-US"/>
        </w:rPr>
        <w:t xml:space="preserve">. 15; </w:t>
      </w:r>
      <w:hyperlink r:id="rId42" w:history="1">
        <w:r w:rsidRPr="002F2883">
          <w:rPr>
            <w:rStyle w:val="af1"/>
            <w:lang w:val="en-US"/>
          </w:rPr>
          <w:t>CAT/OP/MKD/2</w:t>
        </w:r>
      </w:hyperlink>
      <w:r w:rsidRPr="0073500C">
        <w:rPr>
          <w:lang w:val="en-US"/>
        </w:rPr>
        <w:t xml:space="preserve">, </w:t>
      </w:r>
      <w:r>
        <w:t>п</w:t>
      </w:r>
      <w:r w:rsidRPr="0073500C">
        <w:rPr>
          <w:lang w:val="en-US"/>
        </w:rPr>
        <w:t xml:space="preserve">. 15; </w:t>
      </w:r>
      <w:r>
        <w:t>и</w:t>
      </w:r>
      <w:r w:rsidRPr="0073500C">
        <w:rPr>
          <w:lang w:val="en-US"/>
        </w:rPr>
        <w:t xml:space="preserve"> </w:t>
      </w:r>
      <w:hyperlink r:id="rId43" w:history="1">
        <w:r w:rsidRPr="002F2883">
          <w:rPr>
            <w:rStyle w:val="af1"/>
            <w:lang w:val="en-US"/>
          </w:rPr>
          <w:t>CAT/OP/CYP/1</w:t>
        </w:r>
      </w:hyperlink>
      <w:r w:rsidRPr="0073500C">
        <w:rPr>
          <w:lang w:val="en-US"/>
        </w:rPr>
        <w:t xml:space="preserve">, </w:t>
      </w:r>
      <w:r>
        <w:t>п</w:t>
      </w:r>
      <w:r w:rsidRPr="0073500C">
        <w:rPr>
          <w:lang w:val="en-US"/>
        </w:rPr>
        <w:t>. 89.</w:t>
      </w:r>
    </w:p>
  </w:footnote>
  <w:footnote w:id="45">
    <w:p w14:paraId="33044D94" w14:textId="763F7C0A" w:rsidR="00CC1965" w:rsidRPr="0073500C" w:rsidRDefault="00CC1965" w:rsidP="00CC1965">
      <w:pPr>
        <w:pStyle w:val="ad"/>
      </w:pPr>
      <w:r w:rsidRPr="0073500C">
        <w:rPr>
          <w:lang w:val="en-US"/>
        </w:rPr>
        <w:tab/>
      </w:r>
      <w:r w:rsidRPr="00812E43">
        <w:rPr>
          <w:rStyle w:val="aa"/>
        </w:rPr>
        <w:footnoteRef/>
      </w:r>
      <w:r>
        <w:tab/>
        <w:t xml:space="preserve">См. также </w:t>
      </w:r>
      <w:hyperlink r:id="rId44" w:history="1">
        <w:r w:rsidRPr="002F2883">
          <w:rPr>
            <w:rStyle w:val="af1"/>
          </w:rPr>
          <w:t>CAT/C/57/4</w:t>
        </w:r>
      </w:hyperlink>
      <w:r>
        <w:t xml:space="preserve"> и </w:t>
      </w:r>
      <w:hyperlink r:id="rId45" w:history="1">
        <w:r w:rsidRPr="002F2883">
          <w:rPr>
            <w:rStyle w:val="af1"/>
          </w:rPr>
          <w:t>CAT/C/57/4/Corr.1</w:t>
        </w:r>
      </w:hyperlink>
      <w:r>
        <w:t>, приложение, п. 12.</w:t>
      </w:r>
    </w:p>
  </w:footnote>
  <w:footnote w:id="46">
    <w:p w14:paraId="4720F511" w14:textId="1C528D8F" w:rsidR="00CC1965" w:rsidRPr="0073500C" w:rsidRDefault="00CC1965" w:rsidP="00CC1965">
      <w:pPr>
        <w:pStyle w:val="ad"/>
      </w:pPr>
      <w:r w:rsidRPr="00812E43">
        <w:tab/>
      </w:r>
      <w:r w:rsidRPr="00812E43">
        <w:rPr>
          <w:rStyle w:val="aa"/>
        </w:rPr>
        <w:footnoteRef/>
      </w:r>
      <w:r>
        <w:tab/>
      </w:r>
      <w:hyperlink r:id="rId46" w:history="1">
        <w:r w:rsidRPr="002F2883">
          <w:rPr>
            <w:rStyle w:val="af1"/>
          </w:rPr>
          <w:t>CAT/OP/12/5</w:t>
        </w:r>
      </w:hyperlink>
      <w:r>
        <w:t xml:space="preserve">, пп. 17, 18 и 32. См. также </w:t>
      </w:r>
      <w:hyperlink r:id="rId47" w:history="1">
        <w:r w:rsidRPr="002F2883">
          <w:rPr>
            <w:rStyle w:val="af1"/>
          </w:rPr>
          <w:t>CAT/OP/SWE/1</w:t>
        </w:r>
      </w:hyperlink>
      <w:r>
        <w:t>, п. 142 c).</w:t>
      </w:r>
    </w:p>
  </w:footnote>
  <w:footnote w:id="47">
    <w:p w14:paraId="56665FE5" w14:textId="41485868" w:rsidR="00CC1965" w:rsidRPr="0073500C" w:rsidRDefault="00CC1965" w:rsidP="00CC1965">
      <w:pPr>
        <w:pStyle w:val="ad"/>
      </w:pPr>
      <w:r w:rsidRPr="00812E43">
        <w:tab/>
      </w:r>
      <w:r w:rsidRPr="00812E43">
        <w:rPr>
          <w:rStyle w:val="aa"/>
        </w:rPr>
        <w:footnoteRef/>
      </w:r>
      <w:r>
        <w:tab/>
      </w:r>
      <w:hyperlink r:id="rId48" w:history="1">
        <w:r w:rsidRPr="002F2883">
          <w:rPr>
            <w:rStyle w:val="af1"/>
          </w:rPr>
          <w:t>CAT/C/57/4</w:t>
        </w:r>
      </w:hyperlink>
      <w:r>
        <w:t xml:space="preserve"> и </w:t>
      </w:r>
      <w:hyperlink r:id="rId49" w:history="1">
        <w:r w:rsidRPr="002F2883">
          <w:rPr>
            <w:rStyle w:val="af1"/>
          </w:rPr>
          <w:t>CAT/C/57/4/Corr.1</w:t>
        </w:r>
      </w:hyperlink>
      <w:r>
        <w:t>, приложение, п. 13.</w:t>
      </w:r>
    </w:p>
  </w:footnote>
  <w:footnote w:id="48">
    <w:p w14:paraId="3079C26A" w14:textId="16FEE046" w:rsidR="00CC1965" w:rsidRPr="002F2883" w:rsidRDefault="00CC1965" w:rsidP="00CC1965">
      <w:pPr>
        <w:pStyle w:val="ad"/>
        <w:rPr>
          <w:lang w:val="en-US"/>
        </w:rPr>
      </w:pPr>
      <w:r w:rsidRPr="00812E43">
        <w:tab/>
      </w:r>
      <w:r w:rsidRPr="00812E43">
        <w:rPr>
          <w:rStyle w:val="aa"/>
        </w:rPr>
        <w:footnoteRef/>
      </w:r>
      <w:r w:rsidRPr="0073500C">
        <w:rPr>
          <w:lang w:val="en-US"/>
        </w:rPr>
        <w:tab/>
      </w:r>
      <w:hyperlink r:id="rId50" w:history="1">
        <w:r w:rsidRPr="002F2883">
          <w:rPr>
            <w:rStyle w:val="af1"/>
            <w:lang w:val="en-US"/>
          </w:rPr>
          <w:t>CAT/OP/SWE/1</w:t>
        </w:r>
      </w:hyperlink>
      <w:r w:rsidRPr="0073500C">
        <w:rPr>
          <w:lang w:val="en-US"/>
        </w:rPr>
        <w:t xml:space="preserve">, </w:t>
      </w:r>
      <w:r>
        <w:t>п</w:t>
      </w:r>
      <w:r w:rsidRPr="0073500C">
        <w:rPr>
          <w:lang w:val="en-US"/>
        </w:rPr>
        <w:t xml:space="preserve">. 142 g). </w:t>
      </w:r>
      <w:r>
        <w:t>См</w:t>
      </w:r>
      <w:r w:rsidRPr="002F2883">
        <w:rPr>
          <w:lang w:val="en-US"/>
        </w:rPr>
        <w:t xml:space="preserve">. </w:t>
      </w:r>
      <w:r>
        <w:t>также</w:t>
      </w:r>
      <w:r w:rsidRPr="002F2883">
        <w:rPr>
          <w:lang w:val="en-US"/>
        </w:rPr>
        <w:t xml:space="preserve"> </w:t>
      </w:r>
      <w:hyperlink r:id="rId51" w:history="1">
        <w:r w:rsidRPr="002F2883">
          <w:rPr>
            <w:rStyle w:val="af1"/>
            <w:lang w:val="en-US"/>
          </w:rPr>
          <w:t>CAT/OP/12/5</w:t>
        </w:r>
      </w:hyperlink>
      <w:r w:rsidRPr="002F2883">
        <w:rPr>
          <w:lang w:val="en-US"/>
        </w:rPr>
        <w:t xml:space="preserve">, </w:t>
      </w:r>
      <w:r>
        <w:t>п</w:t>
      </w:r>
      <w:r w:rsidRPr="002F2883">
        <w:rPr>
          <w:lang w:val="en-US"/>
        </w:rPr>
        <w:t>. 32.</w:t>
      </w:r>
    </w:p>
  </w:footnote>
  <w:footnote w:id="49">
    <w:p w14:paraId="4A241767" w14:textId="33B73F38" w:rsidR="00CC1965" w:rsidRPr="007A7248" w:rsidRDefault="00CC1965" w:rsidP="00CC1965">
      <w:pPr>
        <w:pStyle w:val="ad"/>
      </w:pPr>
      <w:r w:rsidRPr="002F2883">
        <w:rPr>
          <w:lang w:val="en-US"/>
        </w:rPr>
        <w:tab/>
      </w:r>
      <w:r w:rsidRPr="00812E43">
        <w:rPr>
          <w:rStyle w:val="aa"/>
        </w:rPr>
        <w:footnoteRef/>
      </w:r>
      <w:r w:rsidRPr="007A7248">
        <w:tab/>
      </w:r>
      <w:hyperlink r:id="rId52" w:history="1">
        <w:r w:rsidRPr="007A7248">
          <w:rPr>
            <w:rStyle w:val="af1"/>
            <w:lang w:val="en-US"/>
          </w:rPr>
          <w:t>CAT</w:t>
        </w:r>
        <w:r w:rsidRPr="007A7248">
          <w:rPr>
            <w:rStyle w:val="af1"/>
          </w:rPr>
          <w:t>/</w:t>
        </w:r>
        <w:r w:rsidRPr="007A7248">
          <w:rPr>
            <w:rStyle w:val="af1"/>
            <w:lang w:val="en-US"/>
          </w:rPr>
          <w:t>C</w:t>
        </w:r>
        <w:r w:rsidRPr="007A7248">
          <w:rPr>
            <w:rStyle w:val="af1"/>
          </w:rPr>
          <w:t>/57/4</w:t>
        </w:r>
      </w:hyperlink>
      <w:r w:rsidRPr="007A7248">
        <w:t xml:space="preserve"> </w:t>
      </w:r>
      <w:r>
        <w:t>и</w:t>
      </w:r>
      <w:r w:rsidRPr="007A7248">
        <w:t xml:space="preserve"> </w:t>
      </w:r>
      <w:hyperlink r:id="rId53" w:history="1">
        <w:r w:rsidRPr="002F2883">
          <w:rPr>
            <w:rStyle w:val="af1"/>
            <w:lang w:val="en-US"/>
          </w:rPr>
          <w:t>CAT</w:t>
        </w:r>
        <w:r w:rsidRPr="007A7248">
          <w:rPr>
            <w:rStyle w:val="af1"/>
          </w:rPr>
          <w:t>/</w:t>
        </w:r>
        <w:r w:rsidRPr="002F2883">
          <w:rPr>
            <w:rStyle w:val="af1"/>
            <w:lang w:val="en-US"/>
          </w:rPr>
          <w:t>C</w:t>
        </w:r>
        <w:r w:rsidRPr="007A7248">
          <w:rPr>
            <w:rStyle w:val="af1"/>
          </w:rPr>
          <w:t>/57/4/</w:t>
        </w:r>
        <w:proofErr w:type="spellStart"/>
        <w:r w:rsidRPr="002F2883">
          <w:rPr>
            <w:rStyle w:val="af1"/>
            <w:lang w:val="en-US"/>
          </w:rPr>
          <w:t>Corr</w:t>
        </w:r>
        <w:proofErr w:type="spellEnd"/>
        <w:r w:rsidRPr="007A7248">
          <w:rPr>
            <w:rStyle w:val="af1"/>
          </w:rPr>
          <w:t>.1</w:t>
        </w:r>
      </w:hyperlink>
      <w:r w:rsidRPr="007A7248">
        <w:t xml:space="preserve">, </w:t>
      </w:r>
      <w:r>
        <w:t>приложение</w:t>
      </w:r>
      <w:r w:rsidRPr="007A7248">
        <w:t xml:space="preserve">, </w:t>
      </w:r>
      <w:r>
        <w:t>п</w:t>
      </w:r>
      <w:r w:rsidRPr="007A7248">
        <w:t>. 16.</w:t>
      </w:r>
    </w:p>
  </w:footnote>
  <w:footnote w:id="50">
    <w:p w14:paraId="65A29B6A" w14:textId="649378F1" w:rsidR="00CC1965" w:rsidRPr="0073500C" w:rsidRDefault="00CC1965" w:rsidP="00CC1965">
      <w:pPr>
        <w:pStyle w:val="ad"/>
      </w:pPr>
      <w:r w:rsidRPr="007A7248">
        <w:tab/>
      </w:r>
      <w:r w:rsidRPr="00812E43">
        <w:rPr>
          <w:rStyle w:val="aa"/>
        </w:rPr>
        <w:footnoteRef/>
      </w:r>
      <w:r>
        <w:tab/>
      </w:r>
      <w:hyperlink r:id="rId54" w:history="1">
        <w:r w:rsidRPr="002F2883">
          <w:rPr>
            <w:rStyle w:val="af1"/>
          </w:rPr>
          <w:t>CAT/OP/12/5</w:t>
        </w:r>
      </w:hyperlink>
      <w:r>
        <w:t xml:space="preserve">, </w:t>
      </w:r>
      <w:proofErr w:type="spellStart"/>
      <w:r>
        <w:t>пп</w:t>
      </w:r>
      <w:proofErr w:type="spellEnd"/>
      <w:r>
        <w:t>. 9 и 32.</w:t>
      </w:r>
    </w:p>
  </w:footnote>
  <w:footnote w:id="51">
    <w:p w14:paraId="2A3118E9" w14:textId="7A5F770B" w:rsidR="00CC1965" w:rsidRPr="0073500C" w:rsidRDefault="00CC1965" w:rsidP="00CC1965">
      <w:pPr>
        <w:pStyle w:val="ad"/>
      </w:pPr>
      <w:r w:rsidRPr="00812E43">
        <w:tab/>
      </w:r>
      <w:r w:rsidRPr="00812E43">
        <w:rPr>
          <w:rStyle w:val="aa"/>
        </w:rPr>
        <w:footnoteRef/>
      </w:r>
      <w:r>
        <w:tab/>
      </w:r>
      <w:hyperlink r:id="rId55" w:history="1">
        <w:r w:rsidRPr="002F2883">
          <w:rPr>
            <w:rStyle w:val="af1"/>
          </w:rPr>
          <w:t>CAT/C/57/4</w:t>
        </w:r>
      </w:hyperlink>
      <w:r>
        <w:t xml:space="preserve"> и </w:t>
      </w:r>
      <w:hyperlink r:id="rId56" w:history="1">
        <w:r w:rsidRPr="002F2883">
          <w:rPr>
            <w:rStyle w:val="af1"/>
          </w:rPr>
          <w:t>CAT/C/57/4/Corr.1</w:t>
        </w:r>
      </w:hyperlink>
      <w:r>
        <w:t>, приложение, п. 18.</w:t>
      </w:r>
    </w:p>
  </w:footnote>
  <w:footnote w:id="52">
    <w:p w14:paraId="38956F99" w14:textId="34BA996A" w:rsidR="00CC1965" w:rsidRPr="00CC1965" w:rsidRDefault="00CC1965" w:rsidP="00CC1965">
      <w:pPr>
        <w:pStyle w:val="ad"/>
        <w:rPr>
          <w:lang w:val="en-US"/>
        </w:rPr>
      </w:pPr>
      <w:r w:rsidRPr="00812E43">
        <w:tab/>
      </w:r>
      <w:r w:rsidRPr="00812E43">
        <w:rPr>
          <w:rStyle w:val="aa"/>
        </w:rPr>
        <w:footnoteRef/>
      </w:r>
      <w:r w:rsidRPr="0073500C">
        <w:rPr>
          <w:lang w:val="en-US"/>
        </w:rPr>
        <w:tab/>
      </w:r>
      <w:hyperlink r:id="rId57" w:history="1">
        <w:r w:rsidRPr="002F2883">
          <w:rPr>
            <w:rStyle w:val="af1"/>
            <w:lang w:val="en-US"/>
          </w:rPr>
          <w:t>CAT/OP/12/5</w:t>
        </w:r>
      </w:hyperlink>
      <w:r w:rsidRPr="0073500C">
        <w:rPr>
          <w:lang w:val="en-US"/>
        </w:rPr>
        <w:t xml:space="preserve">, </w:t>
      </w:r>
      <w:r>
        <w:t>п</w:t>
      </w:r>
      <w:r w:rsidRPr="0073500C">
        <w:rPr>
          <w:lang w:val="en-US"/>
        </w:rPr>
        <w:t>. 5.</w:t>
      </w:r>
    </w:p>
  </w:footnote>
  <w:footnote w:id="53">
    <w:p w14:paraId="57E708F6" w14:textId="524863B7" w:rsidR="00CC1965" w:rsidRPr="00CC1965" w:rsidRDefault="00CC1965" w:rsidP="00CC1965">
      <w:pPr>
        <w:pStyle w:val="ad"/>
        <w:rPr>
          <w:lang w:val="en-US"/>
        </w:rPr>
      </w:pPr>
      <w:r w:rsidRPr="0073500C">
        <w:rPr>
          <w:lang w:val="en-US"/>
        </w:rPr>
        <w:tab/>
      </w:r>
      <w:r w:rsidRPr="00812E43">
        <w:rPr>
          <w:rStyle w:val="aa"/>
        </w:rPr>
        <w:footnoteRef/>
      </w:r>
      <w:r w:rsidRPr="0073500C">
        <w:rPr>
          <w:lang w:val="en-US"/>
        </w:rPr>
        <w:tab/>
      </w:r>
      <w:hyperlink r:id="rId58" w:history="1">
        <w:r w:rsidRPr="002F2883">
          <w:rPr>
            <w:rStyle w:val="af1"/>
            <w:lang w:val="en-US"/>
          </w:rPr>
          <w:t>CAT/OP/BGR/ROSP/1</w:t>
        </w:r>
      </w:hyperlink>
      <w:r w:rsidRPr="0073500C">
        <w:rPr>
          <w:lang w:val="en-US"/>
        </w:rPr>
        <w:t xml:space="preserve">, </w:t>
      </w:r>
      <w:r>
        <w:t>п</w:t>
      </w:r>
      <w:r w:rsidRPr="0073500C">
        <w:rPr>
          <w:lang w:val="en-US"/>
        </w:rPr>
        <w:t>. 26.</w:t>
      </w:r>
    </w:p>
  </w:footnote>
  <w:footnote w:id="54">
    <w:p w14:paraId="554FB10A" w14:textId="37F03B23" w:rsidR="00CC1965" w:rsidRPr="0073500C" w:rsidRDefault="00CC1965" w:rsidP="00CC1965">
      <w:pPr>
        <w:pStyle w:val="ad"/>
      </w:pPr>
      <w:r w:rsidRPr="0073500C">
        <w:rPr>
          <w:lang w:val="en-US"/>
        </w:rPr>
        <w:tab/>
      </w:r>
      <w:r w:rsidRPr="00812E43">
        <w:rPr>
          <w:rStyle w:val="aa"/>
        </w:rPr>
        <w:footnoteRef/>
      </w:r>
      <w:r>
        <w:tab/>
      </w:r>
      <w:hyperlink r:id="rId59" w:history="1">
        <w:r w:rsidRPr="002F2883">
          <w:rPr>
            <w:rStyle w:val="af1"/>
          </w:rPr>
          <w:t>CAT/C/57/4</w:t>
        </w:r>
      </w:hyperlink>
      <w:r>
        <w:t xml:space="preserve"> и </w:t>
      </w:r>
      <w:hyperlink r:id="rId60" w:history="1">
        <w:r w:rsidRPr="002F2883">
          <w:rPr>
            <w:rStyle w:val="af1"/>
          </w:rPr>
          <w:t>CAT/C/57/4/Corr.1</w:t>
        </w:r>
      </w:hyperlink>
      <w:r>
        <w:t>, приложение, п. 19.</w:t>
      </w:r>
    </w:p>
  </w:footnote>
  <w:footnote w:id="55">
    <w:p w14:paraId="6D47A725" w14:textId="00214FE5" w:rsidR="00CC1965" w:rsidRPr="002F2883" w:rsidRDefault="00CC1965" w:rsidP="00CC1965">
      <w:pPr>
        <w:pStyle w:val="ad"/>
        <w:rPr>
          <w:lang w:val="en-US"/>
        </w:rPr>
      </w:pPr>
      <w:r w:rsidRPr="00812E43">
        <w:tab/>
      </w:r>
      <w:r w:rsidRPr="00812E43">
        <w:rPr>
          <w:rStyle w:val="aa"/>
        </w:rPr>
        <w:footnoteRef/>
      </w:r>
      <w:r w:rsidRPr="0073500C">
        <w:rPr>
          <w:lang w:val="en-US"/>
        </w:rPr>
        <w:tab/>
      </w:r>
      <w:hyperlink r:id="rId61" w:history="1">
        <w:r w:rsidRPr="002F2883">
          <w:rPr>
            <w:rStyle w:val="af1"/>
            <w:lang w:val="en-US"/>
          </w:rPr>
          <w:t>CAT/OP/12/5</w:t>
        </w:r>
      </w:hyperlink>
      <w:r w:rsidRPr="0073500C">
        <w:rPr>
          <w:lang w:val="en-US"/>
        </w:rPr>
        <w:t xml:space="preserve">, </w:t>
      </w:r>
      <w:r>
        <w:t>п</w:t>
      </w:r>
      <w:r w:rsidRPr="0073500C">
        <w:rPr>
          <w:lang w:val="en-US"/>
        </w:rPr>
        <w:t>. 35.</w:t>
      </w:r>
    </w:p>
  </w:footnote>
  <w:footnote w:id="56">
    <w:p w14:paraId="33957F9A" w14:textId="6A43E922" w:rsidR="00CC1965" w:rsidRPr="002F2883" w:rsidRDefault="00CC1965" w:rsidP="00CC1965">
      <w:pPr>
        <w:pStyle w:val="ad"/>
        <w:rPr>
          <w:color w:val="000000" w:themeColor="text1"/>
          <w:sz w:val="16"/>
          <w:szCs w:val="16"/>
          <w:lang w:val="en-US"/>
        </w:rPr>
      </w:pPr>
      <w:r w:rsidRPr="0073500C">
        <w:rPr>
          <w:color w:val="000000" w:themeColor="text1"/>
          <w:sz w:val="16"/>
          <w:szCs w:val="16"/>
          <w:lang w:val="en-US"/>
        </w:rPr>
        <w:tab/>
      </w:r>
      <w:r w:rsidRPr="00812E43">
        <w:rPr>
          <w:rStyle w:val="aa"/>
        </w:rPr>
        <w:footnoteRef/>
      </w:r>
      <w:r w:rsidRPr="0073500C">
        <w:rPr>
          <w:lang w:val="en-US"/>
        </w:rPr>
        <w:tab/>
      </w:r>
      <w:hyperlink r:id="rId62" w:history="1">
        <w:r w:rsidRPr="002F2883">
          <w:rPr>
            <w:rStyle w:val="af1"/>
            <w:lang w:val="en-US"/>
          </w:rPr>
          <w:t>CAT/OP/6/Rev.1</w:t>
        </w:r>
      </w:hyperlink>
      <w:r w:rsidRPr="0073500C">
        <w:rPr>
          <w:lang w:val="en-US"/>
        </w:rPr>
        <w:t>.</w:t>
      </w:r>
    </w:p>
  </w:footnote>
  <w:footnote w:id="57">
    <w:p w14:paraId="56444D31" w14:textId="06CA61BF" w:rsidR="00CC1965" w:rsidRPr="0073500C" w:rsidRDefault="00CC1965" w:rsidP="00CC1965">
      <w:pPr>
        <w:pStyle w:val="ad"/>
      </w:pPr>
      <w:r w:rsidRPr="0073500C">
        <w:rPr>
          <w:lang w:val="en-US"/>
        </w:rPr>
        <w:tab/>
      </w:r>
      <w:r w:rsidRPr="00812E43">
        <w:rPr>
          <w:rStyle w:val="aa"/>
        </w:rPr>
        <w:footnoteRef/>
      </w:r>
      <w:r>
        <w:tab/>
      </w:r>
      <w:hyperlink r:id="rId63" w:history="1">
        <w:r w:rsidRPr="007A7248">
          <w:rPr>
            <w:rStyle w:val="af1"/>
          </w:rPr>
          <w:t>CAT/C/57/4</w:t>
        </w:r>
      </w:hyperlink>
      <w:r>
        <w:t xml:space="preserve"> и </w:t>
      </w:r>
      <w:hyperlink r:id="rId64" w:history="1">
        <w:r w:rsidRPr="002F2883">
          <w:rPr>
            <w:rStyle w:val="af1"/>
          </w:rPr>
          <w:t>CAT/C/57/4/Corr.1</w:t>
        </w:r>
      </w:hyperlink>
      <w:r>
        <w:t>, приложение, п. 17.</w:t>
      </w:r>
    </w:p>
  </w:footnote>
  <w:footnote w:id="58">
    <w:p w14:paraId="1552374E" w14:textId="48245F25" w:rsidR="00CC1965" w:rsidRPr="0073500C" w:rsidRDefault="00CC1965" w:rsidP="00CC1965">
      <w:pPr>
        <w:pStyle w:val="ad"/>
      </w:pPr>
      <w:r w:rsidRPr="00812E43">
        <w:tab/>
      </w:r>
      <w:r w:rsidRPr="00812E43">
        <w:rPr>
          <w:rStyle w:val="aa"/>
        </w:rPr>
        <w:footnoteRef/>
      </w:r>
      <w:r>
        <w:tab/>
        <w:t xml:space="preserve">См. </w:t>
      </w:r>
      <w:hyperlink r:id="rId65" w:history="1">
        <w:r w:rsidRPr="002F2883">
          <w:rPr>
            <w:rStyle w:val="af1"/>
          </w:rPr>
          <w:t>CAT/OP/12/5</w:t>
        </w:r>
      </w:hyperlink>
      <w:r>
        <w:t>.</w:t>
      </w:r>
    </w:p>
  </w:footnote>
  <w:footnote w:id="59">
    <w:p w14:paraId="0E207166" w14:textId="79BEC183" w:rsidR="00CC1965" w:rsidRPr="0073500C" w:rsidRDefault="00CC1965" w:rsidP="00CC1965">
      <w:pPr>
        <w:pStyle w:val="ad"/>
      </w:pPr>
      <w:r w:rsidRPr="00812E43">
        <w:tab/>
      </w:r>
      <w:r w:rsidRPr="00812E43">
        <w:rPr>
          <w:rStyle w:val="aa"/>
        </w:rPr>
        <w:footnoteRef/>
      </w:r>
      <w:r>
        <w:tab/>
      </w:r>
      <w:hyperlink r:id="rId66" w:history="1">
        <w:r w:rsidRPr="007A7248">
          <w:rPr>
            <w:rStyle w:val="af1"/>
          </w:rPr>
          <w:t>CAT/C/57/4</w:t>
        </w:r>
      </w:hyperlink>
      <w:r>
        <w:t xml:space="preserve"> и </w:t>
      </w:r>
      <w:hyperlink r:id="rId67" w:history="1">
        <w:r w:rsidRPr="002F2883">
          <w:rPr>
            <w:rStyle w:val="af1"/>
          </w:rPr>
          <w:t>CAT/C/57/4/Corr.1</w:t>
        </w:r>
      </w:hyperlink>
      <w:r>
        <w:t>, приложение, пп. 11–16.</w:t>
      </w:r>
    </w:p>
  </w:footnote>
  <w:footnote w:id="60">
    <w:p w14:paraId="0DAB032A" w14:textId="66B447A7" w:rsidR="00CC1965" w:rsidRPr="00CC1965" w:rsidRDefault="00CC1965" w:rsidP="00CC1965">
      <w:pPr>
        <w:pStyle w:val="ad"/>
        <w:rPr>
          <w:lang w:val="en-US"/>
        </w:rPr>
      </w:pPr>
      <w:r w:rsidRPr="00812E43">
        <w:rPr>
          <w:color w:val="000000" w:themeColor="text1"/>
          <w:sz w:val="16"/>
          <w:szCs w:val="16"/>
        </w:rPr>
        <w:tab/>
      </w:r>
      <w:r w:rsidRPr="00812E43">
        <w:rPr>
          <w:rStyle w:val="aa"/>
        </w:rPr>
        <w:footnoteRef/>
      </w:r>
      <w:r w:rsidRPr="0073500C">
        <w:rPr>
          <w:lang w:val="en-US"/>
        </w:rPr>
        <w:tab/>
      </w:r>
      <w:r>
        <w:t>Глобальный</w:t>
      </w:r>
      <w:r w:rsidRPr="0073500C">
        <w:rPr>
          <w:lang w:val="en-US"/>
        </w:rPr>
        <w:t xml:space="preserve"> </w:t>
      </w:r>
      <w:r>
        <w:t>альянс</w:t>
      </w:r>
      <w:r w:rsidRPr="0073500C">
        <w:rPr>
          <w:lang w:val="en-US"/>
        </w:rPr>
        <w:t xml:space="preserve"> </w:t>
      </w:r>
      <w:r>
        <w:t>национальных</w:t>
      </w:r>
      <w:r w:rsidRPr="0073500C">
        <w:rPr>
          <w:lang w:val="en-US"/>
        </w:rPr>
        <w:t xml:space="preserve"> </w:t>
      </w:r>
      <w:r>
        <w:t>правозащитных</w:t>
      </w:r>
      <w:r w:rsidRPr="0073500C">
        <w:rPr>
          <w:lang w:val="en-US"/>
        </w:rPr>
        <w:t xml:space="preserve"> </w:t>
      </w:r>
      <w:r>
        <w:t>учреждений</w:t>
      </w:r>
      <w:r w:rsidRPr="0073500C">
        <w:rPr>
          <w:lang w:val="en-US"/>
        </w:rPr>
        <w:t>, “</w:t>
      </w:r>
      <w:hyperlink r:id="rId68" w:history="1">
        <w:r w:rsidR="00CA4C12" w:rsidRPr="00CA4C12">
          <w:rPr>
            <w:color w:val="0000FF"/>
            <w:lang w:val="en-US"/>
          </w:rPr>
          <w:t>Compilation of the Rules and working methods of the SCA</w:t>
        </w:r>
      </w:hyperlink>
      <w:r w:rsidRPr="0073500C">
        <w:rPr>
          <w:lang w:val="en-US"/>
        </w:rPr>
        <w:t>”, p. 34.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05568" w14:textId="3742674B" w:rsidR="00CC1965" w:rsidRPr="00CC1965" w:rsidRDefault="00525586">
    <w:pPr>
      <w:pStyle w:val="a5"/>
    </w:pPr>
    <w:fldSimple w:instr=" TITLE  \* MERGEFORMAT ">
      <w:r w:rsidR="004A5A07">
        <w:t>CAT/C/79/2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49D5B" w14:textId="486857AA" w:rsidR="00CC1965" w:rsidRPr="00CC1965" w:rsidRDefault="00525586" w:rsidP="00CC1965">
    <w:pPr>
      <w:pStyle w:val="a5"/>
      <w:jc w:val="right"/>
    </w:pPr>
    <w:fldSimple w:instr=" TITLE  \* MERGEFORMAT ">
      <w:r w:rsidR="004A5A07">
        <w:t>CAT/C/79/2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1443188989">
    <w:abstractNumId w:val="17"/>
  </w:num>
  <w:num w:numId="2" w16cid:durableId="182600759">
    <w:abstractNumId w:val="11"/>
  </w:num>
  <w:num w:numId="3" w16cid:durableId="315763993">
    <w:abstractNumId w:val="15"/>
  </w:num>
  <w:num w:numId="4" w16cid:durableId="2085183683">
    <w:abstractNumId w:val="10"/>
  </w:num>
  <w:num w:numId="5" w16cid:durableId="892279582">
    <w:abstractNumId w:val="13"/>
  </w:num>
  <w:num w:numId="6" w16cid:durableId="1587156835">
    <w:abstractNumId w:val="8"/>
  </w:num>
  <w:num w:numId="7" w16cid:durableId="1571967327">
    <w:abstractNumId w:val="3"/>
  </w:num>
  <w:num w:numId="8" w16cid:durableId="1348945060">
    <w:abstractNumId w:val="2"/>
  </w:num>
  <w:num w:numId="9" w16cid:durableId="800655144">
    <w:abstractNumId w:val="1"/>
  </w:num>
  <w:num w:numId="10" w16cid:durableId="1486779123">
    <w:abstractNumId w:val="0"/>
  </w:num>
  <w:num w:numId="11" w16cid:durableId="1694333942">
    <w:abstractNumId w:val="9"/>
  </w:num>
  <w:num w:numId="12" w16cid:durableId="1355614549">
    <w:abstractNumId w:val="7"/>
  </w:num>
  <w:num w:numId="13" w16cid:durableId="147669172">
    <w:abstractNumId w:val="6"/>
  </w:num>
  <w:num w:numId="14" w16cid:durableId="700132574">
    <w:abstractNumId w:val="5"/>
  </w:num>
  <w:num w:numId="15" w16cid:durableId="1262566191">
    <w:abstractNumId w:val="4"/>
  </w:num>
  <w:num w:numId="16" w16cid:durableId="694767875">
    <w:abstractNumId w:val="16"/>
  </w:num>
  <w:num w:numId="17" w16cid:durableId="2014838978">
    <w:abstractNumId w:val="12"/>
  </w:num>
  <w:num w:numId="18" w16cid:durableId="1493107414">
    <w:abstractNumId w:val="14"/>
  </w:num>
  <w:num w:numId="19" w16cid:durableId="2138405590">
    <w:abstractNumId w:val="16"/>
  </w:num>
  <w:num w:numId="20" w16cid:durableId="680133077">
    <w:abstractNumId w:val="12"/>
  </w:num>
  <w:num w:numId="21" w16cid:durableId="188123539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41B"/>
    <w:rsid w:val="00000161"/>
    <w:rsid w:val="00030741"/>
    <w:rsid w:val="00033EE1"/>
    <w:rsid w:val="00041407"/>
    <w:rsid w:val="00042B72"/>
    <w:rsid w:val="000558BD"/>
    <w:rsid w:val="000725B5"/>
    <w:rsid w:val="000814CD"/>
    <w:rsid w:val="000B57E7"/>
    <w:rsid w:val="000B6373"/>
    <w:rsid w:val="000F09DF"/>
    <w:rsid w:val="000F61B2"/>
    <w:rsid w:val="001075E9"/>
    <w:rsid w:val="00180183"/>
    <w:rsid w:val="0018024D"/>
    <w:rsid w:val="0018649F"/>
    <w:rsid w:val="00196389"/>
    <w:rsid w:val="001B3EF6"/>
    <w:rsid w:val="001C7A89"/>
    <w:rsid w:val="00217B48"/>
    <w:rsid w:val="0026582E"/>
    <w:rsid w:val="002A2EFC"/>
    <w:rsid w:val="002C0E18"/>
    <w:rsid w:val="002D525E"/>
    <w:rsid w:val="002D5AAC"/>
    <w:rsid w:val="002E5067"/>
    <w:rsid w:val="002F2883"/>
    <w:rsid w:val="002F405F"/>
    <w:rsid w:val="002F7EEC"/>
    <w:rsid w:val="00301299"/>
    <w:rsid w:val="00307FB6"/>
    <w:rsid w:val="00315ED6"/>
    <w:rsid w:val="00317339"/>
    <w:rsid w:val="00320613"/>
    <w:rsid w:val="00322004"/>
    <w:rsid w:val="003269FF"/>
    <w:rsid w:val="003402C2"/>
    <w:rsid w:val="00374EC6"/>
    <w:rsid w:val="00381C24"/>
    <w:rsid w:val="00393C46"/>
    <w:rsid w:val="003958D0"/>
    <w:rsid w:val="003A613F"/>
    <w:rsid w:val="003B00E5"/>
    <w:rsid w:val="00403C9E"/>
    <w:rsid w:val="00407B78"/>
    <w:rsid w:val="00424203"/>
    <w:rsid w:val="00452493"/>
    <w:rsid w:val="00454E07"/>
    <w:rsid w:val="00472C5C"/>
    <w:rsid w:val="004A5A07"/>
    <w:rsid w:val="0050108D"/>
    <w:rsid w:val="00513081"/>
    <w:rsid w:val="00517901"/>
    <w:rsid w:val="00523039"/>
    <w:rsid w:val="00525586"/>
    <w:rsid w:val="00526683"/>
    <w:rsid w:val="00550706"/>
    <w:rsid w:val="005709E0"/>
    <w:rsid w:val="00570A37"/>
    <w:rsid w:val="00572E19"/>
    <w:rsid w:val="0058663C"/>
    <w:rsid w:val="005961C8"/>
    <w:rsid w:val="005D7914"/>
    <w:rsid w:val="005E2B41"/>
    <w:rsid w:val="005F0B42"/>
    <w:rsid w:val="00652C19"/>
    <w:rsid w:val="00681A10"/>
    <w:rsid w:val="006A1ED8"/>
    <w:rsid w:val="006C2031"/>
    <w:rsid w:val="006D461A"/>
    <w:rsid w:val="006F35EE"/>
    <w:rsid w:val="007021FF"/>
    <w:rsid w:val="00712895"/>
    <w:rsid w:val="00757357"/>
    <w:rsid w:val="007A2A3E"/>
    <w:rsid w:val="007A692E"/>
    <w:rsid w:val="007A7248"/>
    <w:rsid w:val="00825F8D"/>
    <w:rsid w:val="00834B71"/>
    <w:rsid w:val="00834CC0"/>
    <w:rsid w:val="0085423F"/>
    <w:rsid w:val="0086445C"/>
    <w:rsid w:val="00894693"/>
    <w:rsid w:val="008A08D7"/>
    <w:rsid w:val="008A1B0E"/>
    <w:rsid w:val="008B31DA"/>
    <w:rsid w:val="008B6909"/>
    <w:rsid w:val="00906890"/>
    <w:rsid w:val="00911BE4"/>
    <w:rsid w:val="009267E7"/>
    <w:rsid w:val="00951972"/>
    <w:rsid w:val="00953B7A"/>
    <w:rsid w:val="009569AF"/>
    <w:rsid w:val="009608F3"/>
    <w:rsid w:val="009A24AC"/>
    <w:rsid w:val="00A312BC"/>
    <w:rsid w:val="00A3242D"/>
    <w:rsid w:val="00A478EF"/>
    <w:rsid w:val="00A66C5E"/>
    <w:rsid w:val="00A74D9D"/>
    <w:rsid w:val="00A84021"/>
    <w:rsid w:val="00A84D35"/>
    <w:rsid w:val="00A8719B"/>
    <w:rsid w:val="00A917B3"/>
    <w:rsid w:val="00AB4B51"/>
    <w:rsid w:val="00B10CC7"/>
    <w:rsid w:val="00B20CB2"/>
    <w:rsid w:val="00B539E7"/>
    <w:rsid w:val="00B62458"/>
    <w:rsid w:val="00BC18B2"/>
    <w:rsid w:val="00BC67F0"/>
    <w:rsid w:val="00BD33EE"/>
    <w:rsid w:val="00C106D6"/>
    <w:rsid w:val="00C23549"/>
    <w:rsid w:val="00C60F0C"/>
    <w:rsid w:val="00C805C9"/>
    <w:rsid w:val="00C838C6"/>
    <w:rsid w:val="00C92939"/>
    <w:rsid w:val="00CA1679"/>
    <w:rsid w:val="00CA192E"/>
    <w:rsid w:val="00CA4C12"/>
    <w:rsid w:val="00CB151C"/>
    <w:rsid w:val="00CC1965"/>
    <w:rsid w:val="00CE5A1A"/>
    <w:rsid w:val="00CF55F6"/>
    <w:rsid w:val="00D33D63"/>
    <w:rsid w:val="00D4197A"/>
    <w:rsid w:val="00D6392D"/>
    <w:rsid w:val="00D7263B"/>
    <w:rsid w:val="00D86C0F"/>
    <w:rsid w:val="00D90028"/>
    <w:rsid w:val="00D90138"/>
    <w:rsid w:val="00D9241B"/>
    <w:rsid w:val="00DF71B9"/>
    <w:rsid w:val="00E21169"/>
    <w:rsid w:val="00E34663"/>
    <w:rsid w:val="00E528D1"/>
    <w:rsid w:val="00E73F76"/>
    <w:rsid w:val="00EA2C9F"/>
    <w:rsid w:val="00ED0BDA"/>
    <w:rsid w:val="00EE6818"/>
    <w:rsid w:val="00EF1360"/>
    <w:rsid w:val="00EF3220"/>
    <w:rsid w:val="00F21B00"/>
    <w:rsid w:val="00F82DE6"/>
    <w:rsid w:val="00F90E40"/>
    <w:rsid w:val="00F94155"/>
    <w:rsid w:val="00F9783F"/>
    <w:rsid w:val="00FD2EF7"/>
    <w:rsid w:val="00FE447E"/>
    <w:rsid w:val="00FF35FB"/>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A15160"/>
  <w15:docId w15:val="{B574134D-0C86-4BEB-8CCF-8FE9154AF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20CB2"/>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570A3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0814CD"/>
    <w:pPr>
      <w:keepNext/>
      <w:outlineLvl w:val="1"/>
    </w:pPr>
    <w:rPr>
      <w:rFonts w:cs="Arial"/>
      <w:bCs/>
      <w:iCs/>
      <w:szCs w:val="28"/>
    </w:rPr>
  </w:style>
  <w:style w:type="paragraph" w:styleId="3">
    <w:name w:val="heading 3"/>
    <w:basedOn w:val="a"/>
    <w:next w:val="a"/>
    <w:semiHidden/>
    <w:rsid w:val="000814CD"/>
    <w:pPr>
      <w:keepNext/>
      <w:spacing w:before="240" w:after="60"/>
      <w:outlineLvl w:val="2"/>
    </w:pPr>
    <w:rPr>
      <w:rFonts w:ascii="Arial" w:hAnsi="Arial" w:cs="Arial"/>
      <w:b/>
      <w:bCs/>
      <w:sz w:val="26"/>
      <w:szCs w:val="26"/>
    </w:rPr>
  </w:style>
  <w:style w:type="paragraph" w:styleId="4">
    <w:name w:val="heading 4"/>
    <w:basedOn w:val="a"/>
    <w:next w:val="a"/>
    <w:semiHidden/>
    <w:rsid w:val="000814CD"/>
    <w:pPr>
      <w:keepNext/>
      <w:spacing w:before="240" w:after="60"/>
      <w:outlineLvl w:val="3"/>
    </w:pPr>
    <w:rPr>
      <w:b/>
      <w:bCs/>
      <w:sz w:val="28"/>
      <w:szCs w:val="28"/>
    </w:rPr>
  </w:style>
  <w:style w:type="paragraph" w:styleId="5">
    <w:name w:val="heading 5"/>
    <w:basedOn w:val="a"/>
    <w:next w:val="a"/>
    <w:semiHidden/>
    <w:rsid w:val="000814CD"/>
    <w:pPr>
      <w:spacing w:before="240" w:after="60"/>
      <w:outlineLvl w:val="4"/>
    </w:pPr>
    <w:rPr>
      <w:b/>
      <w:bCs/>
      <w:i/>
      <w:iCs/>
      <w:sz w:val="26"/>
      <w:szCs w:val="26"/>
    </w:rPr>
  </w:style>
  <w:style w:type="paragraph" w:styleId="6">
    <w:name w:val="heading 6"/>
    <w:basedOn w:val="a"/>
    <w:next w:val="a"/>
    <w:semiHidden/>
    <w:rsid w:val="000814CD"/>
    <w:pPr>
      <w:spacing w:before="240" w:after="60"/>
      <w:outlineLvl w:val="5"/>
    </w:pPr>
    <w:rPr>
      <w:b/>
      <w:bCs/>
      <w:sz w:val="22"/>
    </w:rPr>
  </w:style>
  <w:style w:type="paragraph" w:styleId="7">
    <w:name w:val="heading 7"/>
    <w:basedOn w:val="a"/>
    <w:next w:val="a"/>
    <w:semiHidden/>
    <w:rsid w:val="000814CD"/>
    <w:pPr>
      <w:spacing w:before="240" w:after="60"/>
      <w:outlineLvl w:val="6"/>
    </w:pPr>
    <w:rPr>
      <w:sz w:val="24"/>
      <w:szCs w:val="24"/>
    </w:rPr>
  </w:style>
  <w:style w:type="paragraph" w:styleId="8">
    <w:name w:val="heading 8"/>
    <w:basedOn w:val="a"/>
    <w:next w:val="a"/>
    <w:semiHidden/>
    <w:rsid w:val="000814CD"/>
    <w:pPr>
      <w:spacing w:before="240" w:after="60"/>
      <w:outlineLvl w:val="7"/>
    </w:pPr>
    <w:rPr>
      <w:i/>
      <w:iCs/>
      <w:sz w:val="24"/>
      <w:szCs w:val="24"/>
    </w:rPr>
  </w:style>
  <w:style w:type="paragraph" w:styleId="9">
    <w:name w:val="heading 9"/>
    <w:basedOn w:val="a"/>
    <w:next w:val="a"/>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A74D9D"/>
    <w:rPr>
      <w:rFonts w:ascii="Tahoma" w:eastAsiaTheme="minorHAnsi" w:hAnsi="Tahoma" w:cs="Tahoma"/>
      <w:sz w:val="16"/>
      <w:szCs w:val="16"/>
      <w:lang w:val="ru-RU" w:eastAsia="en-US"/>
    </w:rPr>
  </w:style>
  <w:style w:type="paragraph" w:customStyle="1" w:styleId="HMG">
    <w:name w:val="_ H __M_G"/>
    <w:basedOn w:val="a"/>
    <w:next w:val="a"/>
    <w:qFormat/>
    <w:rsid w:val="00570A3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570A3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570A3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570A3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570A3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570A3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A74D9D"/>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570A37"/>
    <w:rPr>
      <w:b/>
      <w:sz w:val="18"/>
      <w:lang w:val="en-GB" w:eastAsia="ru-RU"/>
    </w:rPr>
  </w:style>
  <w:style w:type="character" w:styleId="a7">
    <w:name w:val="page number"/>
    <w:aliases w:val="7_G"/>
    <w:basedOn w:val="a0"/>
    <w:qFormat/>
    <w:rsid w:val="00570A37"/>
    <w:rPr>
      <w:rFonts w:ascii="Times New Roman" w:hAnsi="Times New Roman"/>
      <w:b/>
      <w:sz w:val="18"/>
    </w:rPr>
  </w:style>
  <w:style w:type="paragraph" w:styleId="a8">
    <w:name w:val="footer"/>
    <w:aliases w:val="3_G"/>
    <w:basedOn w:val="a"/>
    <w:link w:val="a9"/>
    <w:qFormat/>
    <w:rsid w:val="00570A3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570A37"/>
    <w:rPr>
      <w:sz w:val="16"/>
      <w:lang w:val="en-GB" w:eastAsia="ru-RU"/>
    </w:rPr>
  </w:style>
  <w:style w:type="character" w:styleId="aa">
    <w:name w:val="footnote reference"/>
    <w:aliases w:val="4_G"/>
    <w:basedOn w:val="a0"/>
    <w:qFormat/>
    <w:rsid w:val="00570A37"/>
    <w:rPr>
      <w:rFonts w:ascii="Times New Roman" w:hAnsi="Times New Roman"/>
      <w:dstrike w:val="0"/>
      <w:sz w:val="18"/>
      <w:vertAlign w:val="superscript"/>
    </w:rPr>
  </w:style>
  <w:style w:type="character" w:styleId="ab">
    <w:name w:val="endnote reference"/>
    <w:aliases w:val="1_G"/>
    <w:basedOn w:val="aa"/>
    <w:qFormat/>
    <w:rsid w:val="00570A37"/>
    <w:rPr>
      <w:rFonts w:ascii="Times New Roman" w:hAnsi="Times New Roman"/>
      <w:dstrike w:val="0"/>
      <w:sz w:val="18"/>
      <w:vertAlign w:val="superscript"/>
    </w:rPr>
  </w:style>
  <w:style w:type="table" w:styleId="ac">
    <w:name w:val="Table Grid"/>
    <w:basedOn w:val="a1"/>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570A37"/>
    <w:rPr>
      <w:sz w:val="18"/>
      <w:lang w:val="ru-RU" w:eastAsia="ru-RU"/>
    </w:rPr>
  </w:style>
  <w:style w:type="paragraph" w:styleId="af">
    <w:name w:val="endnote text"/>
    <w:aliases w:val="2_G"/>
    <w:basedOn w:val="ad"/>
    <w:link w:val="af0"/>
    <w:qFormat/>
    <w:rsid w:val="00570A37"/>
  </w:style>
  <w:style w:type="character" w:customStyle="1" w:styleId="af0">
    <w:name w:val="Текст концевой сноски Знак"/>
    <w:aliases w:val="2_G Знак"/>
    <w:basedOn w:val="a0"/>
    <w:link w:val="af"/>
    <w:rsid w:val="00570A37"/>
    <w:rPr>
      <w:sz w:val="18"/>
      <w:lang w:val="ru-RU" w:eastAsia="ru-RU"/>
    </w:rPr>
  </w:style>
  <w:style w:type="character" w:customStyle="1" w:styleId="10">
    <w:name w:val="Заголовок 1 Знак"/>
    <w:aliases w:val="Table_G Знак"/>
    <w:basedOn w:val="a0"/>
    <w:link w:val="1"/>
    <w:rsid w:val="00570A37"/>
    <w:rPr>
      <w:rFonts w:cs="Arial"/>
      <w:b/>
      <w:bCs/>
      <w:szCs w:val="32"/>
      <w:lang w:val="ru-RU" w:eastAsia="ru-RU"/>
    </w:rPr>
  </w:style>
  <w:style w:type="character" w:styleId="af1">
    <w:name w:val="Hyperlink"/>
    <w:basedOn w:val="a0"/>
    <w:rsid w:val="00570A37"/>
    <w:rPr>
      <w:color w:val="0000FF"/>
      <w:u w:val="none"/>
    </w:rPr>
  </w:style>
  <w:style w:type="character" w:styleId="af2">
    <w:name w:val="FollowedHyperlink"/>
    <w:basedOn w:val="a0"/>
    <w:rsid w:val="00570A37"/>
    <w:rPr>
      <w:color w:val="0000FF"/>
      <w:u w:val="none"/>
    </w:rPr>
  </w:style>
  <w:style w:type="character" w:customStyle="1" w:styleId="SingleTxtGChar">
    <w:name w:val="_ Single Txt_G Char"/>
    <w:basedOn w:val="a0"/>
    <w:link w:val="SingleTxtG"/>
    <w:locked/>
    <w:rsid w:val="00CC1965"/>
    <w:rPr>
      <w:lang w:val="ru-RU" w:eastAsia="en-US"/>
    </w:rPr>
  </w:style>
  <w:style w:type="character" w:styleId="af3">
    <w:name w:val="Unresolved Mention"/>
    <w:basedOn w:val="a0"/>
    <w:uiPriority w:val="99"/>
    <w:semiHidden/>
    <w:unhideWhenUsed/>
    <w:rsid w:val="002F28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ohchr.org/en/press-releases/2023/10/guatemala-despite-political-turmoil-torture-prevention-measures-must-be" TargetMode="External"/><Relationship Id="rId18" Type="http://schemas.openxmlformats.org/officeDocument/2006/relationships/hyperlink" Target="https://tbinternet.ohchr.org/_layouts/15/treatybodyexternal/Download.aspx?symbolno=CAT%2FOP%2FLBR%2F1&amp;Lang=en" TargetMode="External"/><Relationship Id="rId26" Type="http://schemas.openxmlformats.org/officeDocument/2006/relationships/hyperlink" Target="https://www.ohchr.org/sites/default/files/documents/hrbodies/spt-opcat/Programme-work-on-the-draft-GC.art_.4.pdf" TargetMode="External"/><Relationship Id="rId39" Type="http://schemas.openxmlformats.org/officeDocument/2006/relationships/hyperlink" Target="https://www.ohchr.org/en/treaty-bodies/spt/non-compliance-article-17" TargetMode="External"/><Relationship Id="rId21" Type="http://schemas.openxmlformats.org/officeDocument/2006/relationships/hyperlink" Target="https://tbinternet.ohchr.org/_layouts/15/treatybodyexternal/Download.aspx?symbolno=CAT%2FOP%2FARG%2FCSPRO%2FR.1&amp;Lang=en" TargetMode="External"/><Relationship Id="rId34" Type="http://schemas.openxmlformats.org/officeDocument/2006/relationships/hyperlink" Target="https://www.ohchr.org/en/press-releases/2023/11/un-torture-prevention-body-plans-visit-democratic-republic-congo-greece" TargetMode="External"/><Relationship Id="rId42" Type="http://schemas.openxmlformats.org/officeDocument/2006/relationships/hyperlink" Target="http://undocs.org/en/CAT/OP/MKD/2" TargetMode="External"/><Relationship Id="rId47" Type="http://schemas.openxmlformats.org/officeDocument/2006/relationships/hyperlink" Target="http://undocs.org/ru/CAT/OP/SWE/1" TargetMode="External"/><Relationship Id="rId50" Type="http://schemas.openxmlformats.org/officeDocument/2006/relationships/hyperlink" Target="http://undocs.org/ru/CAT/OP/SWE/1" TargetMode="External"/><Relationship Id="rId55" Type="http://schemas.openxmlformats.org/officeDocument/2006/relationships/hyperlink" Target="http://undocs.org/ru/CAT/C/57/4" TargetMode="External"/><Relationship Id="rId63" Type="http://schemas.openxmlformats.org/officeDocument/2006/relationships/hyperlink" Target="http://undocs.org/ru/CAT/C/57/4" TargetMode="External"/><Relationship Id="rId68" Type="http://schemas.openxmlformats.org/officeDocument/2006/relationships/hyperlink" Target="https://www.ohchr.org/en/countries/nhri/ganhri-sub-committee-accreditation-sca" TargetMode="External"/><Relationship Id="rId7" Type="http://schemas.openxmlformats.org/officeDocument/2006/relationships/hyperlink" Target="https://www.ohchr.org/en/press-releases/2023/03/south-africa-must-fully-comply-international-obligations-prevent-torture" TargetMode="External"/><Relationship Id="rId2" Type="http://schemas.openxmlformats.org/officeDocument/2006/relationships/hyperlink" Target="https://www.ohchr.org/en/treaty-bodies/spt/membership" TargetMode="External"/><Relationship Id="rId16" Type="http://schemas.openxmlformats.org/officeDocument/2006/relationships/hyperlink" Target="https://tbinternet.ohchr.org/_layouts/15/treatybodyexternal/Download.aspx?symbolno=CAT%2FOP%2FARG%2FROSP%2F1&amp;Lang=en" TargetMode="External"/><Relationship Id="rId29" Type="http://schemas.openxmlformats.org/officeDocument/2006/relationships/hyperlink" Target="https://webtv.un.org/en/asset/k1n/k1nbqlbcno" TargetMode="External"/><Relationship Id="rId1" Type="http://schemas.openxmlformats.org/officeDocument/2006/relationships/hyperlink" Target="https://treaties.un.org/Pages/ViewDetails.aspx?src=TREATY&amp;mtdsg_no=IV-9-b&amp;chapter=4&amp;clang=_en" TargetMode="External"/><Relationship Id="rId6" Type="http://schemas.openxmlformats.org/officeDocument/2006/relationships/hyperlink" Target="https://www.ohchr.org/en/treaty-bodies/spt" TargetMode="External"/><Relationship Id="rId11" Type="http://schemas.openxmlformats.org/officeDocument/2006/relationships/hyperlink" Target="https://www.ohchr.org/en/press-releases/2023/09/palestine-must-strengthen-torture-prevention-measures-un-body-finds" TargetMode="External"/><Relationship Id="rId24" Type="http://schemas.openxmlformats.org/officeDocument/2006/relationships/hyperlink" Target="https://tbinternet.ohchr.org/_layouts/15/TreatyBodyExternal/CountryVisits.aspx" TargetMode="External"/><Relationship Id="rId32" Type="http://schemas.openxmlformats.org/officeDocument/2006/relationships/hyperlink" Target="http://undocs.org/ru/CAT/C/73/2" TargetMode="External"/><Relationship Id="rId37" Type="http://schemas.openxmlformats.org/officeDocument/2006/relationships/hyperlink" Target="http://undocs.org/ru/CAT/C/73/2" TargetMode="External"/><Relationship Id="rId40" Type="http://schemas.openxmlformats.org/officeDocument/2006/relationships/hyperlink" Target="http://undocs.org/ru/CAT/OP/12/5" TargetMode="External"/><Relationship Id="rId45" Type="http://schemas.openxmlformats.org/officeDocument/2006/relationships/hyperlink" Target="http://undocs.org/en/CAT/C/57/4/Corr.1" TargetMode="External"/><Relationship Id="rId53" Type="http://schemas.openxmlformats.org/officeDocument/2006/relationships/hyperlink" Target="http://undocs.org/en/CAT/C/57/4/Corr.1" TargetMode="External"/><Relationship Id="rId58" Type="http://schemas.openxmlformats.org/officeDocument/2006/relationships/hyperlink" Target="http://undocs.org/en/CAT/OP/BGR/ROSP/1" TargetMode="External"/><Relationship Id="rId66" Type="http://schemas.openxmlformats.org/officeDocument/2006/relationships/hyperlink" Target="http://undocs.org/ru/CAT/C/57/4" TargetMode="External"/><Relationship Id="rId5" Type="http://schemas.openxmlformats.org/officeDocument/2006/relationships/hyperlink" Target="https://www.ohchr.org/en/treaty-bodies/spt/visits" TargetMode="External"/><Relationship Id="rId15" Type="http://schemas.openxmlformats.org/officeDocument/2006/relationships/hyperlink" Target="https://tbinternet.ohchr.org/_layouts/15/TreatyBodyExternal/CountryVisits.aspx" TargetMode="External"/><Relationship Id="rId23" Type="http://schemas.openxmlformats.org/officeDocument/2006/relationships/hyperlink" Target="https://tbinternet.ohchr.org/_layouts/15/treatybodyexternal/Download.aspx?symbolno=CAT%2FOP%2FBFA%2FCSPRO%2F1&amp;Lang=en" TargetMode="External"/><Relationship Id="rId28" Type="http://schemas.openxmlformats.org/officeDocument/2006/relationships/hyperlink" Target="https://www.ohchr.org/en/events/events/2023/twentieth-anniversary-opcat-and-fifteenth-anniversary-spt" TargetMode="External"/><Relationship Id="rId36" Type="http://schemas.openxmlformats.org/officeDocument/2006/relationships/hyperlink" Target="http://undocs.org/ru/CAT/C/63/4" TargetMode="External"/><Relationship Id="rId49" Type="http://schemas.openxmlformats.org/officeDocument/2006/relationships/hyperlink" Target="http://undocs.org/en/CAT/C/57/4/Corr.1" TargetMode="External"/><Relationship Id="rId57" Type="http://schemas.openxmlformats.org/officeDocument/2006/relationships/hyperlink" Target="http://undocs.org/ru/CAT/OP/12/5" TargetMode="External"/><Relationship Id="rId61" Type="http://schemas.openxmlformats.org/officeDocument/2006/relationships/hyperlink" Target="http://undocs.org/ru/CAT/OP/12/5" TargetMode="External"/><Relationship Id="rId10" Type="http://schemas.openxmlformats.org/officeDocument/2006/relationships/hyperlink" Target="https://www.ohchr.org/en/press-releases/2023/07/croatias-detention-facilities-spotlight-un-torture-prevention-body-concludes" TargetMode="External"/><Relationship Id="rId19" Type="http://schemas.openxmlformats.org/officeDocument/2006/relationships/hyperlink" Target="https://tbinternet.ohchr.org/_layouts/15/treatybodyexternal/Download.aspx?symbolno=CAT%2FOP%2FLBR%2FROSP%2F1&amp;Lang=en" TargetMode="External"/><Relationship Id="rId31" Type="http://schemas.openxmlformats.org/officeDocument/2006/relationships/hyperlink" Target="https://www.ohchr.org/en/statements/2022/10/chairperson-subcommittee-prevention-tortures-statement-77th-ga-session" TargetMode="External"/><Relationship Id="rId44" Type="http://schemas.openxmlformats.org/officeDocument/2006/relationships/hyperlink" Target="http://undocs.org/ru/CAT/C/57/4" TargetMode="External"/><Relationship Id="rId52" Type="http://schemas.openxmlformats.org/officeDocument/2006/relationships/hyperlink" Target="http://undocs.org/ru/CAT/C/57/4" TargetMode="External"/><Relationship Id="rId60" Type="http://schemas.openxmlformats.org/officeDocument/2006/relationships/hyperlink" Target="http://undocs.org/en/CAT/C/57/4/Corr.1" TargetMode="External"/><Relationship Id="rId65" Type="http://schemas.openxmlformats.org/officeDocument/2006/relationships/hyperlink" Target="http://undocs.org/ru/CAT/OP/12/5" TargetMode="External"/><Relationship Id="rId4" Type="http://schemas.openxmlformats.org/officeDocument/2006/relationships/hyperlink" Target="https://webtv.un.org/en/asset/k18/k18ulkqk60" TargetMode="External"/><Relationship Id="rId9" Type="http://schemas.openxmlformats.org/officeDocument/2006/relationships/hyperlink" Target="https://www.ohchr.org/en/press-releases/2023/05/madagascar-extreme-prison-overcrowding-needs-urgent-fix-un-experts" TargetMode="External"/><Relationship Id="rId14" Type="http://schemas.openxmlformats.org/officeDocument/2006/relationships/hyperlink" Target="https://www.ohchr.org/en/press-releases/2023/12/philippines-dire-need-national-torture-prevention-body-say-un-experts" TargetMode="External"/><Relationship Id="rId22" Type="http://schemas.openxmlformats.org/officeDocument/2006/relationships/hyperlink" Target="https://tbinternet.ohchr.org/_layouts/15/treatybodyexternal/Download.aspx?symbolno=CAT%2FOP%2FAUS%2FCSPRO%2F1&amp;Lang=en" TargetMode="External"/><Relationship Id="rId27" Type="http://schemas.openxmlformats.org/officeDocument/2006/relationships/hyperlink" Target="https://webtv.un.org/en/asset/k18/k18ah5tr4u" TargetMode="External"/><Relationship Id="rId30" Type="http://schemas.openxmlformats.org/officeDocument/2006/relationships/hyperlink" Target="http://undocs.org/ru/CAT/C/76/2" TargetMode="External"/><Relationship Id="rId35" Type="http://schemas.openxmlformats.org/officeDocument/2006/relationships/hyperlink" Target="https://www.ohchr.org/en/press-releases/2023/07/un-torture-prevention-body-announces-visits-2024" TargetMode="External"/><Relationship Id="rId43" Type="http://schemas.openxmlformats.org/officeDocument/2006/relationships/hyperlink" Target="http://undocs.org/en/CAT/OP/CYP/1" TargetMode="External"/><Relationship Id="rId48" Type="http://schemas.openxmlformats.org/officeDocument/2006/relationships/hyperlink" Target="http://undocs.org/ru/CAT/C/57/4" TargetMode="External"/><Relationship Id="rId56" Type="http://schemas.openxmlformats.org/officeDocument/2006/relationships/hyperlink" Target="http://undocs.org/en/CAT/C/57/4/Corr.1" TargetMode="External"/><Relationship Id="rId64" Type="http://schemas.openxmlformats.org/officeDocument/2006/relationships/hyperlink" Target="http://undocs.org/en/CAT/C/57/4/Corr.1" TargetMode="External"/><Relationship Id="rId8" Type="http://schemas.openxmlformats.org/officeDocument/2006/relationships/hyperlink" Target="https://www.ohchr.org/en/press-releases/2023/04/kazakhstan-needs-strengthen-effective-torture-prevention-measures-un-torture" TargetMode="External"/><Relationship Id="rId51" Type="http://schemas.openxmlformats.org/officeDocument/2006/relationships/hyperlink" Target="http://undocs.org/ru/CAT/OP/12/5" TargetMode="External"/><Relationship Id="rId3" Type="http://schemas.openxmlformats.org/officeDocument/2006/relationships/hyperlink" Target="https://www.ohchr.org/en/treaty-bodies/spt/regional-teams" TargetMode="External"/><Relationship Id="rId12" Type="http://schemas.openxmlformats.org/officeDocument/2006/relationships/hyperlink" Target="https://www.ohchr.org/en/press-releases/2023/10/georgia-prison-system-needs-modernisation-says-un-torture-prevention-body" TargetMode="External"/><Relationship Id="rId17" Type="http://schemas.openxmlformats.org/officeDocument/2006/relationships/hyperlink" Target="https://tbinternet.ohchr.org/_layouts/15/treatybodyexternal/Download.aspx?symbolno=CAT%2FOP%2FAUS%2FROSP%2F1&amp;Lang=en" TargetMode="External"/><Relationship Id="rId25" Type="http://schemas.openxmlformats.org/officeDocument/2006/relationships/hyperlink" Target="https://www.ohchr.org/en/treaty-bodies/spt/non-compliance-article-17" TargetMode="External"/><Relationship Id="rId33" Type="http://schemas.openxmlformats.org/officeDocument/2006/relationships/hyperlink" Target="https://www.ohchr.org/en/statements/2023/06/un-experts-call-states-uphold-absolute-prohibition-torture-armed-conflict" TargetMode="External"/><Relationship Id="rId38" Type="http://schemas.openxmlformats.org/officeDocument/2006/relationships/hyperlink" Target="http://undocs.org/ru/CAT/OP/12/5" TargetMode="External"/><Relationship Id="rId46" Type="http://schemas.openxmlformats.org/officeDocument/2006/relationships/hyperlink" Target="http://undocs.org/ru/CAT/OP/12/5" TargetMode="External"/><Relationship Id="rId59" Type="http://schemas.openxmlformats.org/officeDocument/2006/relationships/hyperlink" Target="http://undocs.org/ru/CAT/C/57/4" TargetMode="External"/><Relationship Id="rId67" Type="http://schemas.openxmlformats.org/officeDocument/2006/relationships/hyperlink" Target="http://undocs.org/en/CAT/C/57/4/Corr.1" TargetMode="External"/><Relationship Id="rId20" Type="http://schemas.openxmlformats.org/officeDocument/2006/relationships/hyperlink" Target="https://tbinternet.ohchr.org/_layouts/15/TreatyBodyExternal/CountryVisits.aspx" TargetMode="External"/><Relationship Id="rId41" Type="http://schemas.openxmlformats.org/officeDocument/2006/relationships/hyperlink" Target="http://undocs.org/en/CAT/OP/PRT/1" TargetMode="External"/><Relationship Id="rId54" Type="http://schemas.openxmlformats.org/officeDocument/2006/relationships/hyperlink" Target="http://undocs.org/ru/CAT/OP/12/5" TargetMode="External"/><Relationship Id="rId62" Type="http://schemas.openxmlformats.org/officeDocument/2006/relationships/hyperlink" Target="http://undocs.org/ru/CAT/OP/6/Rev.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52C0AE-8D45-4F73-9793-545B33BE7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3</TotalTime>
  <Pages>24</Pages>
  <Words>8746</Words>
  <Characters>64291</Characters>
  <Application>Microsoft Office Word</Application>
  <DocSecurity>0</DocSecurity>
  <Lines>1260</Lines>
  <Paragraphs>477</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CAT/C/79/2</vt:lpstr>
      <vt:lpstr>A/</vt:lpstr>
      <vt:lpstr>A/</vt:lpstr>
      <vt:lpstr>A/</vt:lpstr>
    </vt:vector>
  </TitlesOfParts>
  <Company>DCM</Company>
  <LinksUpToDate>false</LinksUpToDate>
  <CharactersWithSpaces>72560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CAT/C/79/2</dc:title>
  <dc:subject/>
  <dc:creator>Sharkina</dc:creator>
  <cp:keywords/>
  <cp:lastModifiedBy>Sharkina</cp:lastModifiedBy>
  <cp:revision>2</cp:revision>
  <cp:lastPrinted>2024-04-02T13:51:00Z</cp:lastPrinted>
  <dcterms:created xsi:type="dcterms:W3CDTF">2024-04-02T13:54:00Z</dcterms:created>
  <dcterms:modified xsi:type="dcterms:W3CDTF">2024-04-02T13:54:00Z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