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r>
              <w:rPr>
                <w:rFonts w:hint="eastAsia"/>
                <w:sz w:val="40"/>
                <w:szCs w:val="40"/>
              </w:rPr>
              <w:t>CCPR</w:t>
            </w:r>
            <w:r w:rsidRPr="002D3D9F">
              <w:rPr>
                <w:sz w:val="20"/>
              </w:rPr>
              <w:t>/</w:t>
            </w:r>
            <w:r w:rsidR="00AE6E76">
              <w:rPr>
                <w:rFonts w:hint="eastAsia"/>
                <w:sz w:val="20"/>
              </w:rPr>
              <w:t>C/IDN/CO/1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2B7893" w:rsidP="002D3D9F">
            <w:pPr>
              <w:spacing w:before="240" w:line="240" w:lineRule="atLeast"/>
              <w:rPr>
                <w:rFonts w:hint="eastAsia"/>
                <w:sz w:val="20"/>
              </w:rPr>
            </w:pPr>
            <w:r>
              <w:rPr>
                <w:sz w:val="20"/>
              </w:rPr>
              <w:t xml:space="preserve">Distr.: </w:t>
            </w:r>
            <w:r w:rsidR="00AE6E76">
              <w:rPr>
                <w:rFonts w:hint="eastAsia"/>
                <w:sz w:val="20"/>
              </w:rPr>
              <w:t>General</w:t>
            </w:r>
          </w:p>
          <w:p w:rsidR="00C40431" w:rsidRPr="002D3D9F" w:rsidRDefault="00AE6E76">
            <w:pPr>
              <w:spacing w:line="240" w:lineRule="atLeast"/>
              <w:rPr>
                <w:rFonts w:hint="eastAsia"/>
                <w:sz w:val="20"/>
              </w:rPr>
            </w:pPr>
            <w:r>
              <w:rPr>
                <w:rFonts w:hint="eastAsia"/>
                <w:sz w:val="20"/>
              </w:rPr>
              <w:t>21 August</w:t>
            </w:r>
            <w:r w:rsidR="005F24E4">
              <w:rPr>
                <w:sz w:val="20"/>
              </w:rPr>
              <w:t xml:space="preserve"> 20</w:t>
            </w:r>
            <w:r w:rsidR="00902307">
              <w:rPr>
                <w:rFonts w:hint="eastAsia"/>
                <w:sz w:val="20"/>
              </w:rPr>
              <w:t>13</w:t>
            </w:r>
          </w:p>
          <w:p w:rsidR="00C40431" w:rsidRPr="002D3D9F" w:rsidRDefault="00C40431">
            <w:pPr>
              <w:spacing w:line="240" w:lineRule="atLeast"/>
              <w:rPr>
                <w:sz w:val="20"/>
              </w:rPr>
            </w:pPr>
            <w:r w:rsidRPr="002D3D9F">
              <w:rPr>
                <w:sz w:val="20"/>
              </w:rPr>
              <w:t xml:space="preserve">Chinese </w:t>
            </w:r>
          </w:p>
          <w:p w:rsidR="00C40431" w:rsidRPr="002D3D9F" w:rsidRDefault="002B7893">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553C07" w:rsidRPr="00D15CBD" w:rsidRDefault="00553C07">
      <w:pPr>
        <w:rPr>
          <w:rFonts w:hint="eastAsia"/>
          <w:snapToGrid/>
        </w:rPr>
      </w:pPr>
    </w:p>
    <w:p w:rsidR="002B7245" w:rsidRDefault="00C40431" w:rsidP="0033717E">
      <w:pPr>
        <w:pStyle w:val="HChGC"/>
        <w:rPr>
          <w:rFonts w:hint="eastAsia"/>
        </w:rPr>
      </w:pPr>
      <w:r>
        <w:tab/>
      </w:r>
      <w:r>
        <w:tab/>
      </w:r>
      <w:r w:rsidR="002B7245">
        <w:rPr>
          <w:rFonts w:hint="eastAsia"/>
        </w:rPr>
        <w:t>关于印度尼西亚初次报告的结论性意见</w:t>
      </w:r>
      <w:r w:rsidR="0033717E" w:rsidRPr="002B7893">
        <w:rPr>
          <w:rStyle w:val="FootnoteReference"/>
          <w:sz w:val="28"/>
          <w:szCs w:val="28"/>
          <w:vertAlign w:val="baseline"/>
        </w:rPr>
        <w:footnoteReference w:customMarkFollows="1" w:id="1"/>
        <w:t>*</w:t>
      </w:r>
    </w:p>
    <w:p w:rsidR="002B7245" w:rsidRDefault="002B7245" w:rsidP="002B7245">
      <w:pPr>
        <w:pStyle w:val="SingleTxtGC"/>
        <w:rPr>
          <w:rFonts w:hint="eastAsia"/>
        </w:rPr>
      </w:pPr>
      <w:r>
        <w:rPr>
          <w:rFonts w:hint="eastAsia"/>
        </w:rPr>
        <w:t xml:space="preserve">1.  </w:t>
      </w:r>
      <w:r>
        <w:rPr>
          <w:rFonts w:hint="eastAsia"/>
        </w:rPr>
        <w:t>委员会在</w:t>
      </w:r>
      <w:r>
        <w:rPr>
          <w:rFonts w:hint="eastAsia"/>
        </w:rPr>
        <w:t>2013</w:t>
      </w:r>
      <w:r>
        <w:rPr>
          <w:rFonts w:hint="eastAsia"/>
        </w:rPr>
        <w:t>年</w:t>
      </w:r>
      <w:r>
        <w:rPr>
          <w:rFonts w:hint="eastAsia"/>
        </w:rPr>
        <w:t>7</w:t>
      </w:r>
      <w:r>
        <w:rPr>
          <w:rFonts w:hint="eastAsia"/>
        </w:rPr>
        <w:t>月</w:t>
      </w:r>
      <w:r>
        <w:rPr>
          <w:rFonts w:hint="eastAsia"/>
        </w:rPr>
        <w:t>10</w:t>
      </w:r>
      <w:r>
        <w:rPr>
          <w:rFonts w:hint="eastAsia"/>
        </w:rPr>
        <w:t>日和</w:t>
      </w:r>
      <w:r>
        <w:rPr>
          <w:rFonts w:hint="eastAsia"/>
        </w:rPr>
        <w:t>11</w:t>
      </w:r>
      <w:r>
        <w:rPr>
          <w:rFonts w:hint="eastAsia"/>
        </w:rPr>
        <w:t>日举行的第</w:t>
      </w:r>
      <w:r>
        <w:rPr>
          <w:rFonts w:hint="eastAsia"/>
        </w:rPr>
        <w:t>2984</w:t>
      </w:r>
      <w:r>
        <w:rPr>
          <w:rFonts w:hint="eastAsia"/>
        </w:rPr>
        <w:t>、</w:t>
      </w:r>
      <w:r>
        <w:rPr>
          <w:rFonts w:hint="eastAsia"/>
        </w:rPr>
        <w:t>2985</w:t>
      </w:r>
      <w:r>
        <w:rPr>
          <w:rFonts w:hint="eastAsia"/>
        </w:rPr>
        <w:t>和</w:t>
      </w:r>
      <w:r>
        <w:rPr>
          <w:rFonts w:hint="eastAsia"/>
        </w:rPr>
        <w:t>2986</w:t>
      </w:r>
      <w:r>
        <w:rPr>
          <w:rFonts w:hint="eastAsia"/>
        </w:rPr>
        <w:t>次会议</w:t>
      </w:r>
      <w:r>
        <w:rPr>
          <w:rFonts w:hint="eastAsia"/>
        </w:rPr>
        <w:t>(CCPR/C/SR.2984</w:t>
      </w:r>
      <w:r>
        <w:rPr>
          <w:rFonts w:hint="eastAsia"/>
        </w:rPr>
        <w:t>、</w:t>
      </w:r>
      <w:r>
        <w:rPr>
          <w:rFonts w:hint="eastAsia"/>
        </w:rPr>
        <w:t>2985</w:t>
      </w:r>
      <w:r>
        <w:rPr>
          <w:rFonts w:hint="eastAsia"/>
        </w:rPr>
        <w:t>和</w:t>
      </w:r>
      <w:r>
        <w:rPr>
          <w:rFonts w:hint="eastAsia"/>
        </w:rPr>
        <w:t>2986)</w:t>
      </w:r>
      <w:r>
        <w:rPr>
          <w:rFonts w:hint="eastAsia"/>
        </w:rPr>
        <w:t>上审议了印度尼西亚的初次报告</w:t>
      </w:r>
      <w:r>
        <w:rPr>
          <w:rFonts w:hint="eastAsia"/>
        </w:rPr>
        <w:t>(CCPR/C/IDN/1)</w:t>
      </w:r>
      <w:r>
        <w:rPr>
          <w:rFonts w:hint="eastAsia"/>
        </w:rPr>
        <w:t>。在</w:t>
      </w:r>
      <w:r>
        <w:rPr>
          <w:rFonts w:hint="eastAsia"/>
        </w:rPr>
        <w:t>2013</w:t>
      </w:r>
      <w:r>
        <w:rPr>
          <w:rFonts w:hint="eastAsia"/>
        </w:rPr>
        <w:t>年</w:t>
      </w:r>
      <w:r>
        <w:rPr>
          <w:rFonts w:hint="eastAsia"/>
        </w:rPr>
        <w:t>7</w:t>
      </w:r>
      <w:r>
        <w:rPr>
          <w:rFonts w:hint="eastAsia"/>
        </w:rPr>
        <w:t>月</w:t>
      </w:r>
      <w:r>
        <w:rPr>
          <w:rFonts w:hint="eastAsia"/>
        </w:rPr>
        <w:t>23</w:t>
      </w:r>
      <w:r>
        <w:rPr>
          <w:rFonts w:hint="eastAsia"/>
        </w:rPr>
        <w:t>日和</w:t>
      </w:r>
      <w:r>
        <w:rPr>
          <w:rFonts w:hint="eastAsia"/>
        </w:rPr>
        <w:t>24</w:t>
      </w:r>
      <w:r>
        <w:rPr>
          <w:rFonts w:hint="eastAsia"/>
        </w:rPr>
        <w:t>日举行的第</w:t>
      </w:r>
      <w:r>
        <w:rPr>
          <w:rFonts w:hint="eastAsia"/>
        </w:rPr>
        <w:t>3002</w:t>
      </w:r>
      <w:r>
        <w:rPr>
          <w:rFonts w:hint="eastAsia"/>
        </w:rPr>
        <w:t>和</w:t>
      </w:r>
      <w:r>
        <w:rPr>
          <w:rFonts w:hint="eastAsia"/>
        </w:rPr>
        <w:t>3003</w:t>
      </w:r>
      <w:r>
        <w:rPr>
          <w:rFonts w:hint="eastAsia"/>
        </w:rPr>
        <w:t>次会议</w:t>
      </w:r>
      <w:r>
        <w:rPr>
          <w:rFonts w:hint="eastAsia"/>
        </w:rPr>
        <w:t>(CCPR/C/SR.3002</w:t>
      </w:r>
      <w:r>
        <w:rPr>
          <w:rFonts w:hint="eastAsia"/>
        </w:rPr>
        <w:t>和</w:t>
      </w:r>
      <w:r>
        <w:rPr>
          <w:rFonts w:hint="eastAsia"/>
        </w:rPr>
        <w:t>3003)</w:t>
      </w:r>
      <w:r>
        <w:rPr>
          <w:rFonts w:hint="eastAsia"/>
        </w:rPr>
        <w:t>上通过了下列结论性意见。</w:t>
      </w:r>
    </w:p>
    <w:p w:rsidR="002B7245" w:rsidRDefault="002B7245" w:rsidP="002B7893">
      <w:pPr>
        <w:pStyle w:val="H1GC"/>
        <w:rPr>
          <w:rFonts w:hint="eastAsia"/>
        </w:rPr>
      </w:pPr>
      <w:r>
        <w:rPr>
          <w:rFonts w:hint="eastAsia"/>
        </w:rPr>
        <w:tab/>
        <w:t>A.</w:t>
      </w:r>
      <w:r>
        <w:rPr>
          <w:rFonts w:hint="eastAsia"/>
        </w:rPr>
        <w:tab/>
      </w:r>
      <w:r>
        <w:rPr>
          <w:rFonts w:hint="eastAsia"/>
        </w:rPr>
        <w:t>导言</w:t>
      </w:r>
    </w:p>
    <w:p w:rsidR="002B7245" w:rsidRDefault="002B7245" w:rsidP="002B7245">
      <w:pPr>
        <w:pStyle w:val="SingleTxtGC"/>
        <w:rPr>
          <w:rFonts w:hint="eastAsia"/>
        </w:rPr>
      </w:pPr>
      <w:r>
        <w:rPr>
          <w:rFonts w:hint="eastAsia"/>
        </w:rPr>
        <w:t xml:space="preserve">2.  </w:t>
      </w:r>
      <w:r>
        <w:rPr>
          <w:rFonts w:hint="eastAsia"/>
        </w:rPr>
        <w:t>委员会欢迎印度尼西亚提交的初次报告以及报告内所介绍的情况。委员会欢迎有机会与缔约国高层次代表团就</w:t>
      </w:r>
      <w:r>
        <w:rPr>
          <w:rFonts w:hint="eastAsia"/>
        </w:rPr>
        <w:t>2006</w:t>
      </w:r>
      <w:r>
        <w:rPr>
          <w:rFonts w:hint="eastAsia"/>
        </w:rPr>
        <w:t>年《公约》在缔约国生效之后缔约国为实施《公约》条款所采取的措施的积极对话。委员会感谢缔约国对问题清单</w:t>
      </w:r>
      <w:r>
        <w:rPr>
          <w:rFonts w:hint="eastAsia"/>
        </w:rPr>
        <w:t>(CCPR/C/IDN/Q/1)</w:t>
      </w:r>
      <w:r>
        <w:rPr>
          <w:rFonts w:hint="eastAsia"/>
        </w:rPr>
        <w:t>所作的书面答复</w:t>
      </w:r>
      <w:r>
        <w:rPr>
          <w:rFonts w:hint="eastAsia"/>
        </w:rPr>
        <w:t>(CCPR/C/IDN/Q/1/Add.1)</w:t>
      </w:r>
      <w:r>
        <w:rPr>
          <w:rFonts w:hint="eastAsia"/>
        </w:rPr>
        <w:t>，书面答复补充了代表团所作的口头答复，并感谢向委员会提供了书面补充资料。</w:t>
      </w:r>
    </w:p>
    <w:p w:rsidR="002B7245" w:rsidRDefault="002B7245" w:rsidP="002B7893">
      <w:pPr>
        <w:pStyle w:val="H1GC"/>
        <w:rPr>
          <w:rFonts w:hint="eastAsia"/>
        </w:rPr>
      </w:pPr>
      <w:r>
        <w:rPr>
          <w:rFonts w:hint="eastAsia"/>
        </w:rPr>
        <w:tab/>
        <w:t>B.</w:t>
      </w:r>
      <w:r>
        <w:rPr>
          <w:rFonts w:hint="eastAsia"/>
        </w:rPr>
        <w:tab/>
      </w:r>
      <w:r>
        <w:rPr>
          <w:rFonts w:hint="eastAsia"/>
        </w:rPr>
        <w:t>积极方面</w:t>
      </w:r>
    </w:p>
    <w:p w:rsidR="002B7245" w:rsidRDefault="002B7245" w:rsidP="002B7245">
      <w:pPr>
        <w:pStyle w:val="SingleTxtGC"/>
        <w:rPr>
          <w:rFonts w:hint="eastAsia"/>
        </w:rPr>
      </w:pPr>
      <w:r>
        <w:rPr>
          <w:rFonts w:hint="eastAsia"/>
        </w:rPr>
        <w:t xml:space="preserve">3.  </w:t>
      </w:r>
      <w:r>
        <w:rPr>
          <w:rFonts w:hint="eastAsia"/>
        </w:rPr>
        <w:t>委员会欢迎缔约国采取了下列政策与法律步骤：</w:t>
      </w:r>
    </w:p>
    <w:p w:rsidR="002B7245" w:rsidRDefault="002B7245" w:rsidP="002B7893">
      <w:pPr>
        <w:pStyle w:val="SingleTxtGC"/>
        <w:numPr>
          <w:ilvl w:val="0"/>
          <w:numId w:val="39"/>
        </w:numPr>
        <w:tabs>
          <w:tab w:val="clear" w:pos="2426"/>
          <w:tab w:val="left" w:pos="2427"/>
        </w:tabs>
        <w:rPr>
          <w:rFonts w:hint="eastAsia"/>
        </w:rPr>
      </w:pPr>
      <w:r>
        <w:rPr>
          <w:rFonts w:hint="eastAsia"/>
        </w:rPr>
        <w:t>通过了</w:t>
      </w:r>
      <w:r>
        <w:rPr>
          <w:rFonts w:hint="eastAsia"/>
        </w:rPr>
        <w:t>2011</w:t>
      </w:r>
      <w:r>
        <w:rPr>
          <w:rFonts w:hint="eastAsia"/>
        </w:rPr>
        <w:t>至</w:t>
      </w:r>
      <w:r>
        <w:rPr>
          <w:rFonts w:hint="eastAsia"/>
        </w:rPr>
        <w:t>2014</w:t>
      </w:r>
      <w:r>
        <w:rPr>
          <w:rFonts w:hint="eastAsia"/>
        </w:rPr>
        <w:t>年阶段的全国人权行动计划；和</w:t>
      </w:r>
    </w:p>
    <w:p w:rsidR="002B7245" w:rsidRDefault="002B7245" w:rsidP="002B7893">
      <w:pPr>
        <w:pStyle w:val="SingleTxtGC"/>
        <w:numPr>
          <w:ilvl w:val="0"/>
          <w:numId w:val="39"/>
        </w:numPr>
        <w:tabs>
          <w:tab w:val="clear" w:pos="2426"/>
          <w:tab w:val="left" w:pos="2427"/>
        </w:tabs>
        <w:rPr>
          <w:rFonts w:hint="eastAsia"/>
        </w:rPr>
      </w:pPr>
      <w:r>
        <w:rPr>
          <w:rFonts w:hint="eastAsia"/>
        </w:rPr>
        <w:t>颁发了关于少年刑事司法制度的</w:t>
      </w:r>
      <w:r w:rsidR="00C047D2">
        <w:rPr>
          <w:rFonts w:hint="eastAsia"/>
        </w:rPr>
        <w:t>2012</w:t>
      </w:r>
      <w:r w:rsidR="00C047D2">
        <w:rPr>
          <w:rFonts w:hint="eastAsia"/>
        </w:rPr>
        <w:t>年</w:t>
      </w:r>
      <w:r>
        <w:rPr>
          <w:rFonts w:hint="eastAsia"/>
        </w:rPr>
        <w:t>第</w:t>
      </w:r>
      <w:r>
        <w:rPr>
          <w:rFonts w:hint="eastAsia"/>
        </w:rPr>
        <w:t>11</w:t>
      </w:r>
      <w:r>
        <w:rPr>
          <w:rFonts w:hint="eastAsia"/>
        </w:rPr>
        <w:t>号法，该法将刑事责任年龄从</w:t>
      </w:r>
      <w:r>
        <w:rPr>
          <w:rFonts w:hint="eastAsia"/>
        </w:rPr>
        <w:t>8</w:t>
      </w:r>
      <w:r>
        <w:rPr>
          <w:rFonts w:hint="eastAsia"/>
        </w:rPr>
        <w:t>岁提高到</w:t>
      </w:r>
      <w:r>
        <w:rPr>
          <w:rFonts w:hint="eastAsia"/>
        </w:rPr>
        <w:t>12</w:t>
      </w:r>
      <w:r>
        <w:rPr>
          <w:rFonts w:hint="eastAsia"/>
        </w:rPr>
        <w:t>岁。</w:t>
      </w:r>
    </w:p>
    <w:p w:rsidR="002B7245" w:rsidRDefault="002B7245" w:rsidP="002B7245">
      <w:pPr>
        <w:pStyle w:val="SingleTxtGC"/>
        <w:rPr>
          <w:rFonts w:hint="eastAsia"/>
        </w:rPr>
      </w:pPr>
      <w:r>
        <w:rPr>
          <w:rFonts w:hint="eastAsia"/>
        </w:rPr>
        <w:t xml:space="preserve">4.  </w:t>
      </w:r>
      <w:r>
        <w:rPr>
          <w:rFonts w:hint="eastAsia"/>
        </w:rPr>
        <w:t>委员会欢迎缔约国批准了下列国际文书：</w:t>
      </w:r>
    </w:p>
    <w:p w:rsidR="002B7245" w:rsidRDefault="002B7245" w:rsidP="002B7893">
      <w:pPr>
        <w:pStyle w:val="SingleTxtGC"/>
        <w:numPr>
          <w:ilvl w:val="0"/>
          <w:numId w:val="41"/>
        </w:numPr>
        <w:tabs>
          <w:tab w:val="clear" w:pos="2426"/>
          <w:tab w:val="left" w:pos="2427"/>
        </w:tabs>
        <w:rPr>
          <w:rFonts w:hint="eastAsia"/>
        </w:rPr>
      </w:pPr>
      <w:r>
        <w:rPr>
          <w:rFonts w:hint="eastAsia"/>
        </w:rPr>
        <w:t>2012</w:t>
      </w:r>
      <w:r>
        <w:rPr>
          <w:rFonts w:hint="eastAsia"/>
        </w:rPr>
        <w:t>年批准了《保护所有移徙工人及其家庭成员权利国际公约》；</w:t>
      </w:r>
    </w:p>
    <w:p w:rsidR="002B7245" w:rsidRDefault="002B7245" w:rsidP="002B7893">
      <w:pPr>
        <w:pStyle w:val="SingleTxtGC"/>
        <w:numPr>
          <w:ilvl w:val="0"/>
          <w:numId w:val="41"/>
        </w:numPr>
        <w:tabs>
          <w:tab w:val="clear" w:pos="2426"/>
          <w:tab w:val="left" w:pos="2427"/>
        </w:tabs>
        <w:rPr>
          <w:rFonts w:hint="eastAsia"/>
        </w:rPr>
      </w:pPr>
      <w:r>
        <w:rPr>
          <w:rFonts w:hint="eastAsia"/>
        </w:rPr>
        <w:t>2011</w:t>
      </w:r>
      <w:r>
        <w:rPr>
          <w:rFonts w:hint="eastAsia"/>
        </w:rPr>
        <w:t>年批准了《残疾人权利公约》；</w:t>
      </w:r>
    </w:p>
    <w:p w:rsidR="002B7245" w:rsidRDefault="002B7245" w:rsidP="002B7893">
      <w:pPr>
        <w:pStyle w:val="SingleTxtGC"/>
        <w:numPr>
          <w:ilvl w:val="0"/>
          <w:numId w:val="41"/>
        </w:numPr>
        <w:tabs>
          <w:tab w:val="clear" w:pos="2426"/>
          <w:tab w:val="left" w:pos="2427"/>
        </w:tabs>
        <w:rPr>
          <w:rFonts w:hint="eastAsia"/>
        </w:rPr>
      </w:pPr>
      <w:r>
        <w:rPr>
          <w:rFonts w:hint="eastAsia"/>
        </w:rPr>
        <w:t>2009</w:t>
      </w:r>
      <w:r>
        <w:rPr>
          <w:rFonts w:hint="eastAsia"/>
        </w:rPr>
        <w:t>年批准了《联合国打击跨国有组织犯罪公约关于预防、禁止和惩治贩运人口特别是妇女与儿童公约》；</w:t>
      </w:r>
    </w:p>
    <w:p w:rsidR="002B7245" w:rsidRDefault="002B7245" w:rsidP="002B7893">
      <w:pPr>
        <w:pStyle w:val="SingleTxtGC"/>
        <w:numPr>
          <w:ilvl w:val="0"/>
          <w:numId w:val="41"/>
        </w:numPr>
        <w:tabs>
          <w:tab w:val="clear" w:pos="2426"/>
          <w:tab w:val="left" w:pos="2427"/>
        </w:tabs>
        <w:rPr>
          <w:rFonts w:hint="eastAsia"/>
        </w:rPr>
      </w:pPr>
      <w:r>
        <w:rPr>
          <w:rFonts w:hint="eastAsia"/>
        </w:rPr>
        <w:t>2012</w:t>
      </w:r>
      <w:r>
        <w:rPr>
          <w:rFonts w:hint="eastAsia"/>
        </w:rPr>
        <w:t>年批准了《儿童权利公约关于买卖儿童、儿童卖淫和儿童色情制品问题的任择议定书》；和</w:t>
      </w:r>
    </w:p>
    <w:p w:rsidR="002B7245" w:rsidRDefault="002B7245" w:rsidP="002B7893">
      <w:pPr>
        <w:pStyle w:val="SingleTxtGC"/>
        <w:numPr>
          <w:ilvl w:val="0"/>
          <w:numId w:val="41"/>
        </w:numPr>
        <w:tabs>
          <w:tab w:val="clear" w:pos="2426"/>
          <w:tab w:val="left" w:pos="2427"/>
        </w:tabs>
        <w:rPr>
          <w:rFonts w:hint="eastAsia"/>
        </w:rPr>
      </w:pPr>
      <w:r>
        <w:rPr>
          <w:rFonts w:hint="eastAsia"/>
        </w:rPr>
        <w:t>2012</w:t>
      </w:r>
      <w:r>
        <w:rPr>
          <w:rFonts w:hint="eastAsia"/>
        </w:rPr>
        <w:t>年批准了《儿童权利公约关于儿童卷入武装冲突问题的任择议定书》。</w:t>
      </w:r>
    </w:p>
    <w:p w:rsidR="002B7245" w:rsidRDefault="002B7245" w:rsidP="002B7893">
      <w:pPr>
        <w:pStyle w:val="H1GC"/>
        <w:rPr>
          <w:rFonts w:hint="eastAsia"/>
        </w:rPr>
      </w:pPr>
      <w:r>
        <w:rPr>
          <w:rFonts w:hint="eastAsia"/>
        </w:rPr>
        <w:tab/>
        <w:t>C.</w:t>
      </w:r>
      <w:r>
        <w:rPr>
          <w:rFonts w:hint="eastAsia"/>
        </w:rPr>
        <w:tab/>
      </w:r>
      <w:r>
        <w:rPr>
          <w:rFonts w:hint="eastAsia"/>
        </w:rPr>
        <w:t>主要关注与建议</w:t>
      </w:r>
    </w:p>
    <w:p w:rsidR="002B7245" w:rsidRDefault="002B7245" w:rsidP="002B7245">
      <w:pPr>
        <w:pStyle w:val="SingleTxtGC"/>
        <w:rPr>
          <w:rFonts w:hint="eastAsia"/>
        </w:rPr>
      </w:pPr>
      <w:r>
        <w:rPr>
          <w:rFonts w:hint="eastAsia"/>
        </w:rPr>
        <w:t xml:space="preserve">5.  </w:t>
      </w:r>
      <w:r>
        <w:rPr>
          <w:rFonts w:hint="eastAsia"/>
        </w:rPr>
        <w:t>委员会注意到</w:t>
      </w:r>
      <w:r>
        <w:rPr>
          <w:rFonts w:hint="eastAsia"/>
        </w:rPr>
        <w:t>1999</w:t>
      </w:r>
      <w:r>
        <w:rPr>
          <w:rFonts w:hint="eastAsia"/>
        </w:rPr>
        <w:t>年关于人权的第</w:t>
      </w:r>
      <w:r>
        <w:rPr>
          <w:rFonts w:hint="eastAsia"/>
        </w:rPr>
        <w:t>39</w:t>
      </w:r>
      <w:r>
        <w:rPr>
          <w:rFonts w:hint="eastAsia"/>
        </w:rPr>
        <w:t>号法第</w:t>
      </w:r>
      <w:r>
        <w:rPr>
          <w:rFonts w:hint="eastAsia"/>
        </w:rPr>
        <w:t>7</w:t>
      </w:r>
      <w:r>
        <w:rPr>
          <w:rFonts w:hint="eastAsia"/>
        </w:rPr>
        <w:t>条以及缔约国在其答复中说缔约国批准的所有国际文书都是国内法的一部分，但是委员会注意到，《公约》并不优先于国家法律条款，而且国家条款似乎与《公约》不符。委员会注意到，尽管缔约国的宪法法院在其决定中提到《公约》的条款，但是律师与法官对公约条款的了解和引用有限</w:t>
      </w:r>
      <w:r>
        <w:rPr>
          <w:rFonts w:hint="eastAsia"/>
        </w:rPr>
        <w:t>(</w:t>
      </w:r>
      <w:r>
        <w:rPr>
          <w:rFonts w:hint="eastAsia"/>
        </w:rPr>
        <w:t>第二条</w:t>
      </w:r>
      <w:r>
        <w:rPr>
          <w:rFonts w:hint="eastAsia"/>
        </w:rPr>
        <w:t>)</w:t>
      </w:r>
      <w:r>
        <w:rPr>
          <w:rFonts w:hint="eastAsia"/>
        </w:rPr>
        <w:t>。</w:t>
      </w:r>
    </w:p>
    <w:p w:rsidR="002B7245" w:rsidRPr="00AE6E76" w:rsidRDefault="002B7245" w:rsidP="002B7245">
      <w:pPr>
        <w:pStyle w:val="SingleTxtGC"/>
        <w:rPr>
          <w:rFonts w:eastAsia="SimHei" w:hint="eastAsia"/>
        </w:rPr>
      </w:pPr>
      <w:r w:rsidRPr="00AE6E76">
        <w:rPr>
          <w:rFonts w:eastAsia="SimHei" w:hint="eastAsia"/>
        </w:rPr>
        <w:t>缔约国应采取所有措施充分在其国内法律秩序中实施《公约》的条款。缔约国还应采取适当的措施在所有层次的法官、律师和检察官中间提高其对《公约》的认识，特别在自治区域要这么做，以确保在国家法院内考虑公约的条款。缔约国还应考虑加入《公约的第一项任择议定书》。</w:t>
      </w:r>
    </w:p>
    <w:p w:rsidR="002B7245" w:rsidRDefault="002B7245" w:rsidP="002B7245">
      <w:pPr>
        <w:pStyle w:val="SingleTxtGC"/>
        <w:rPr>
          <w:rFonts w:hint="eastAsia"/>
        </w:rPr>
      </w:pPr>
      <w:r>
        <w:rPr>
          <w:rFonts w:hint="eastAsia"/>
        </w:rPr>
        <w:t xml:space="preserve">6.  </w:t>
      </w:r>
      <w:r>
        <w:rPr>
          <w:rFonts w:hint="eastAsia"/>
        </w:rPr>
        <w:t>委员会注意到缔约国努力根据关于权力下放政策</w:t>
      </w:r>
      <w:r>
        <w:rPr>
          <w:rFonts w:hint="eastAsia"/>
        </w:rPr>
        <w:t>(2004</w:t>
      </w:r>
      <w:r>
        <w:rPr>
          <w:rFonts w:hint="eastAsia"/>
        </w:rPr>
        <w:t>年第</w:t>
      </w:r>
      <w:r>
        <w:rPr>
          <w:rFonts w:hint="eastAsia"/>
        </w:rPr>
        <w:t>32</w:t>
      </w:r>
      <w:r>
        <w:rPr>
          <w:rFonts w:hint="eastAsia"/>
        </w:rPr>
        <w:t>号法</w:t>
      </w:r>
      <w:r>
        <w:rPr>
          <w:rFonts w:hint="eastAsia"/>
        </w:rPr>
        <w:t>)</w:t>
      </w:r>
      <w:r>
        <w:rPr>
          <w:rFonts w:hint="eastAsia"/>
        </w:rPr>
        <w:t>下放国家权力，但委员会感到遗憾的是由此产生的各个区域自治导致颁发的次国家法律与细则有悖于《公约》的条款。委员会特别感到遗憾的是各区域通过了越来越多的严格限制享有人权与歧视妇女的细则与政策，例如在亚齐推行有悖于《公约》的伊斯兰教法的解释。委员会还关注有报告表明，在亚齐省，人们若要在警察机关或一些公共机构就职必须表明其熟读或能够阅读宗教书籍</w:t>
      </w:r>
      <w:r>
        <w:rPr>
          <w:rFonts w:hint="eastAsia"/>
        </w:rPr>
        <w:t>(</w:t>
      </w:r>
      <w:r>
        <w:rPr>
          <w:rFonts w:hint="eastAsia"/>
        </w:rPr>
        <w:t>第二、第三、十八和二十六条</w:t>
      </w:r>
      <w:r>
        <w:rPr>
          <w:rFonts w:hint="eastAsia"/>
        </w:rPr>
        <w:t>)</w:t>
      </w:r>
      <w:r>
        <w:rPr>
          <w:rFonts w:hint="eastAsia"/>
        </w:rPr>
        <w:t>。</w:t>
      </w:r>
    </w:p>
    <w:p w:rsidR="002B7245" w:rsidRPr="00AE6E76" w:rsidRDefault="002B7245" w:rsidP="002B7245">
      <w:pPr>
        <w:pStyle w:val="SingleTxtGC"/>
        <w:rPr>
          <w:rFonts w:eastAsia="SimHei" w:hint="eastAsia"/>
        </w:rPr>
      </w:pPr>
      <w:r w:rsidRPr="00AE6E76">
        <w:rPr>
          <w:rFonts w:eastAsia="SimHei" w:hint="eastAsia"/>
        </w:rPr>
        <w:t>委员会提到委员会关于《公约》缔约国一般法律义务的性质的第</w:t>
      </w:r>
      <w:r w:rsidRPr="00AE6E76">
        <w:rPr>
          <w:rFonts w:eastAsia="SimHei" w:hint="eastAsia"/>
        </w:rPr>
        <w:t>31</w:t>
      </w:r>
      <w:r w:rsidRPr="00AE6E76">
        <w:rPr>
          <w:rFonts w:eastAsia="SimHei" w:hint="eastAsia"/>
        </w:rPr>
        <w:t>号</w:t>
      </w:r>
      <w:r w:rsidRPr="00AE6E76">
        <w:rPr>
          <w:rFonts w:eastAsia="SimHei" w:hint="eastAsia"/>
        </w:rPr>
        <w:t>(2004)</w:t>
      </w:r>
      <w:r w:rsidRPr="00AE6E76">
        <w:rPr>
          <w:rFonts w:eastAsia="SimHei" w:hint="eastAsia"/>
        </w:rPr>
        <w:t>一般性意见的第</w:t>
      </w:r>
      <w:r w:rsidRPr="00AE6E76">
        <w:rPr>
          <w:rFonts w:eastAsia="SimHei" w:hint="eastAsia"/>
        </w:rPr>
        <w:t>4</w:t>
      </w:r>
      <w:r w:rsidRPr="00AE6E76">
        <w:rPr>
          <w:rFonts w:eastAsia="SimHei" w:hint="eastAsia"/>
        </w:rPr>
        <w:t>段，并提请缔约国注意“《公约》的一般性义务，特别是第二条规定的义务，对所有缔约国都具有约束力。政府的所有部门</w:t>
      </w:r>
      <w:r w:rsidRPr="00AE6E76">
        <w:rPr>
          <w:rFonts w:eastAsia="SimHei" w:hint="eastAsia"/>
        </w:rPr>
        <w:t>(</w:t>
      </w:r>
      <w:r w:rsidRPr="00AE6E76">
        <w:rPr>
          <w:rFonts w:eastAsia="SimHei" w:hint="eastAsia"/>
        </w:rPr>
        <w:t>执法、立法和司法</w:t>
      </w:r>
      <w:r w:rsidRPr="00AE6E76">
        <w:rPr>
          <w:rFonts w:eastAsia="SimHei" w:hint="eastAsia"/>
        </w:rPr>
        <w:t>)</w:t>
      </w:r>
      <w:r w:rsidRPr="00AE6E76">
        <w:rPr>
          <w:rFonts w:eastAsia="SimHei" w:hint="eastAsia"/>
        </w:rPr>
        <w:t>以及国家、地区或者当地各级的公共机构或者政府机构均应承担缔约国的责任。”。因此缔约国应确保《公约》的条款在缔约国的所有省份和自治地区得到尊重而不论缔约国内部治理安排如何。在这方面，缔约国应确保各个政府层次的立法符合《公约》条款。缔约国还应修订可能解释为规定对某一宗教信奉作为公务部门就业法定要求的政策与做法。</w:t>
      </w:r>
    </w:p>
    <w:p w:rsidR="002B7245" w:rsidRDefault="002B7245" w:rsidP="002B7245">
      <w:pPr>
        <w:pStyle w:val="SingleTxtGC"/>
        <w:rPr>
          <w:rFonts w:hint="eastAsia"/>
        </w:rPr>
      </w:pPr>
      <w:r>
        <w:rPr>
          <w:rFonts w:hint="eastAsia"/>
        </w:rPr>
        <w:t xml:space="preserve">7.  </w:t>
      </w:r>
      <w:r>
        <w:rPr>
          <w:rFonts w:hint="eastAsia"/>
        </w:rPr>
        <w:t>委员会注意到缔约国努力促进国家人权委员会</w:t>
      </w:r>
      <w:r>
        <w:rPr>
          <w:rFonts w:hint="eastAsia"/>
        </w:rPr>
        <w:t>(Komnas HAM)</w:t>
      </w:r>
      <w:r>
        <w:rPr>
          <w:rFonts w:hint="eastAsia"/>
        </w:rPr>
        <w:t>与国家实体之间的合作，并注意到</w:t>
      </w:r>
      <w:r>
        <w:rPr>
          <w:rFonts w:hint="eastAsia"/>
        </w:rPr>
        <w:t>Komnas HAM</w:t>
      </w:r>
      <w:r>
        <w:rPr>
          <w:rFonts w:hint="eastAsia"/>
        </w:rPr>
        <w:t>已被增进和保护人权国家机构国际协调委员会授予“</w:t>
      </w:r>
      <w:r>
        <w:rPr>
          <w:rFonts w:hint="eastAsia"/>
        </w:rPr>
        <w:t>A</w:t>
      </w:r>
      <w:r>
        <w:rPr>
          <w:rFonts w:hint="eastAsia"/>
        </w:rPr>
        <w:t>”地位，但委员会还注意到关于</w:t>
      </w:r>
      <w:r>
        <w:rPr>
          <w:rFonts w:hint="eastAsia"/>
        </w:rPr>
        <w:t>Komnas HAM</w:t>
      </w:r>
      <w:r>
        <w:rPr>
          <w:rFonts w:hint="eastAsia"/>
        </w:rPr>
        <w:t>成员任期的问题及其其缺乏充分资金的问题</w:t>
      </w:r>
      <w:r>
        <w:rPr>
          <w:rFonts w:hint="eastAsia"/>
        </w:rPr>
        <w:t>(</w:t>
      </w:r>
      <w:r>
        <w:rPr>
          <w:rFonts w:hint="eastAsia"/>
        </w:rPr>
        <w:t>第二条</w:t>
      </w:r>
      <w:r>
        <w:rPr>
          <w:rFonts w:hint="eastAsia"/>
        </w:rPr>
        <w:t>)</w:t>
      </w:r>
      <w:r>
        <w:rPr>
          <w:rFonts w:hint="eastAsia"/>
        </w:rPr>
        <w:t>。</w:t>
      </w:r>
    </w:p>
    <w:p w:rsidR="002B7245" w:rsidRPr="00AE6E76" w:rsidRDefault="002B7245" w:rsidP="002B7245">
      <w:pPr>
        <w:pStyle w:val="SingleTxtGC"/>
        <w:rPr>
          <w:rFonts w:eastAsia="SimHei" w:hint="eastAsia"/>
        </w:rPr>
      </w:pPr>
      <w:r w:rsidRPr="00AE6E76">
        <w:rPr>
          <w:rFonts w:eastAsia="SimHei" w:hint="eastAsia"/>
        </w:rPr>
        <w:t>缔约国应采取适当措施解决就</w:t>
      </w:r>
      <w:r w:rsidRPr="00AE6E76">
        <w:rPr>
          <w:rFonts w:eastAsia="SimHei" w:hint="eastAsia"/>
        </w:rPr>
        <w:t>Komnas HAM</w:t>
      </w:r>
      <w:r w:rsidRPr="00AE6E76">
        <w:rPr>
          <w:rFonts w:eastAsia="SimHei" w:hint="eastAsia"/>
        </w:rPr>
        <w:t>所提出的问题，包括其成员任期的问题，并根据增进和保护人权国家机构地位的原则向其提供充分的财力和人力资源</w:t>
      </w:r>
      <w:r w:rsidRPr="00AE6E76">
        <w:rPr>
          <w:rFonts w:eastAsia="SimHei" w:hint="eastAsia"/>
        </w:rPr>
        <w:t>(</w:t>
      </w:r>
      <w:r w:rsidRPr="00AE6E76">
        <w:rPr>
          <w:rFonts w:eastAsia="SimHei" w:hint="eastAsia"/>
        </w:rPr>
        <w:t>《巴黎原则》</w:t>
      </w:r>
      <w:r w:rsidRPr="00AE6E76">
        <w:rPr>
          <w:rFonts w:eastAsia="SimHei" w:hint="eastAsia"/>
        </w:rPr>
        <w:t>)</w:t>
      </w:r>
      <w:r w:rsidRPr="00AE6E76">
        <w:rPr>
          <w:rFonts w:eastAsia="SimHei" w:hint="eastAsia"/>
        </w:rPr>
        <w:t>。</w:t>
      </w:r>
    </w:p>
    <w:p w:rsidR="002B7245" w:rsidRDefault="002B7245" w:rsidP="002B7245">
      <w:pPr>
        <w:pStyle w:val="SingleTxtGC"/>
        <w:rPr>
          <w:rFonts w:hint="eastAsia"/>
        </w:rPr>
      </w:pPr>
      <w:r>
        <w:rPr>
          <w:rFonts w:hint="eastAsia"/>
        </w:rPr>
        <w:t xml:space="preserve">8.  </w:t>
      </w:r>
      <w:r>
        <w:rPr>
          <w:rFonts w:hint="eastAsia"/>
        </w:rPr>
        <w:t>委员会感到遗憾的是缔约国没有按</w:t>
      </w:r>
      <w:r>
        <w:rPr>
          <w:rFonts w:hint="eastAsia"/>
        </w:rPr>
        <w:t>Komnas HAM</w:t>
      </w:r>
      <w:r>
        <w:rPr>
          <w:rFonts w:hint="eastAsia"/>
        </w:rPr>
        <w:t>和印度尼西亚议会的建议，实施</w:t>
      </w:r>
      <w:r>
        <w:rPr>
          <w:rFonts w:hint="eastAsia"/>
        </w:rPr>
        <w:t>2000</w:t>
      </w:r>
      <w:r>
        <w:rPr>
          <w:rFonts w:hint="eastAsia"/>
        </w:rPr>
        <w:t>年第</w:t>
      </w:r>
      <w:r>
        <w:rPr>
          <w:rFonts w:hint="eastAsia"/>
        </w:rPr>
        <w:t>26</w:t>
      </w:r>
      <w:r>
        <w:rPr>
          <w:rFonts w:hint="eastAsia"/>
        </w:rPr>
        <w:t>号法第</w:t>
      </w:r>
      <w:r>
        <w:rPr>
          <w:rFonts w:hint="eastAsia"/>
        </w:rPr>
        <w:t>43</w:t>
      </w:r>
      <w:r>
        <w:rPr>
          <w:rFonts w:hint="eastAsia"/>
        </w:rPr>
        <w:t>条，为调查</w:t>
      </w:r>
      <w:r>
        <w:rPr>
          <w:rFonts w:hint="eastAsia"/>
        </w:rPr>
        <w:t>1997</w:t>
      </w:r>
      <w:r>
        <w:rPr>
          <w:rFonts w:hint="eastAsia"/>
        </w:rPr>
        <w:t>年和</w:t>
      </w:r>
      <w:r>
        <w:rPr>
          <w:rFonts w:hint="eastAsia"/>
        </w:rPr>
        <w:t>1998</w:t>
      </w:r>
      <w:r>
        <w:rPr>
          <w:rFonts w:hint="eastAsia"/>
        </w:rPr>
        <w:t>年期间所犯下的强迫失踪的案件建立一个法庭。委员会特别感到遗憾的是，在由</w:t>
      </w:r>
      <w:r>
        <w:rPr>
          <w:rFonts w:hint="eastAsia"/>
        </w:rPr>
        <w:t xml:space="preserve">Komnas HAM </w:t>
      </w:r>
      <w:r>
        <w:rPr>
          <w:rFonts w:hint="eastAsia"/>
        </w:rPr>
        <w:t>查清证据确凿之后才由总检察长采取行动的问题方面，总检察长与</w:t>
      </w:r>
      <w:r>
        <w:rPr>
          <w:rFonts w:hint="eastAsia"/>
        </w:rPr>
        <w:t>Komnas HAM</w:t>
      </w:r>
      <w:r>
        <w:rPr>
          <w:rFonts w:hint="eastAsia"/>
        </w:rPr>
        <w:t>之间意见僵持不下。委员会进一步感到遗憾的是有罪不罚的现象普遍，以往侵犯人权行为，特别是由军方参与的侵犯人权行为的受害者没有得到赔偿</w:t>
      </w:r>
      <w:r>
        <w:rPr>
          <w:rFonts w:hint="eastAsia"/>
        </w:rPr>
        <w:t>(</w:t>
      </w:r>
      <w:r>
        <w:rPr>
          <w:rFonts w:hint="eastAsia"/>
        </w:rPr>
        <w:t>第二条</w:t>
      </w:r>
      <w:r>
        <w:rPr>
          <w:rFonts w:hint="eastAsia"/>
        </w:rPr>
        <w:t>)</w:t>
      </w:r>
      <w:r>
        <w:rPr>
          <w:rFonts w:hint="eastAsia"/>
        </w:rPr>
        <w:t>。</w:t>
      </w:r>
    </w:p>
    <w:p w:rsidR="002B7245" w:rsidRPr="00AE6E76" w:rsidRDefault="002B7245" w:rsidP="002B7245">
      <w:pPr>
        <w:pStyle w:val="SingleTxtGC"/>
        <w:rPr>
          <w:rFonts w:eastAsia="SimHei" w:hint="eastAsia"/>
        </w:rPr>
      </w:pPr>
      <w:r w:rsidRPr="00AE6E76">
        <w:rPr>
          <w:rFonts w:eastAsia="SimHei" w:hint="eastAsia"/>
        </w:rPr>
        <w:t>缔约国应作为紧急事项解决</w:t>
      </w:r>
      <w:r w:rsidRPr="00AE6E76">
        <w:rPr>
          <w:rFonts w:eastAsia="SimHei" w:hint="eastAsia"/>
        </w:rPr>
        <w:t>Komnas HAM</w:t>
      </w:r>
      <w:r w:rsidRPr="00AE6E76">
        <w:rPr>
          <w:rFonts w:eastAsia="SimHei" w:hint="eastAsia"/>
        </w:rPr>
        <w:t>和总检察长之间的僵局。应该按照</w:t>
      </w:r>
      <w:r w:rsidRPr="00AE6E76">
        <w:rPr>
          <w:rFonts w:eastAsia="SimHei" w:hint="eastAsia"/>
        </w:rPr>
        <w:t>Komnas HAM</w:t>
      </w:r>
      <w:r w:rsidRPr="00AE6E76">
        <w:rPr>
          <w:rFonts w:eastAsia="SimHei" w:hint="eastAsia"/>
        </w:rPr>
        <w:t>和印度尼西亚议会的建议，尽快地建立一个法庭调查</w:t>
      </w:r>
      <w:r w:rsidRPr="00AE6E76">
        <w:rPr>
          <w:rFonts w:eastAsia="SimHei" w:hint="eastAsia"/>
        </w:rPr>
        <w:t>1997</w:t>
      </w:r>
      <w:r w:rsidRPr="00AE6E76">
        <w:rPr>
          <w:rFonts w:eastAsia="SimHei" w:hint="eastAsia"/>
        </w:rPr>
        <w:t>年和</w:t>
      </w:r>
      <w:r w:rsidRPr="00AE6E76">
        <w:rPr>
          <w:rFonts w:eastAsia="SimHei" w:hint="eastAsia"/>
        </w:rPr>
        <w:t>1998</w:t>
      </w:r>
      <w:r w:rsidRPr="00AE6E76">
        <w:rPr>
          <w:rFonts w:eastAsia="SimHei" w:hint="eastAsia"/>
        </w:rPr>
        <w:t>年之间所犯的强迫失踪案件。此外，缔约国应有力起诉以往侵犯人权的案件，例如</w:t>
      </w:r>
      <w:r w:rsidRPr="00AE6E76">
        <w:rPr>
          <w:rFonts w:eastAsia="SimHei" w:hint="eastAsia"/>
        </w:rPr>
        <w:t>2004</w:t>
      </w:r>
      <w:r w:rsidRPr="00AE6E76">
        <w:rPr>
          <w:rFonts w:eastAsia="SimHei" w:hint="eastAsia"/>
        </w:rPr>
        <w:t>年</w:t>
      </w:r>
      <w:r w:rsidRPr="00AE6E76">
        <w:rPr>
          <w:rFonts w:eastAsia="SimHei" w:hint="eastAsia"/>
        </w:rPr>
        <w:t>9</w:t>
      </w:r>
      <w:r w:rsidRPr="00AE6E76">
        <w:rPr>
          <w:rFonts w:eastAsia="SimHei" w:hint="eastAsia"/>
        </w:rPr>
        <w:t>月</w:t>
      </w:r>
      <w:r w:rsidRPr="00AE6E76">
        <w:rPr>
          <w:rFonts w:eastAsia="SimHei" w:hint="eastAsia"/>
        </w:rPr>
        <w:t>7</w:t>
      </w:r>
      <w:r w:rsidRPr="00AE6E76">
        <w:rPr>
          <w:rFonts w:eastAsia="SimHei" w:hint="eastAsia"/>
        </w:rPr>
        <w:t>日人权捍卫者</w:t>
      </w:r>
      <w:r w:rsidRPr="00AE6E76">
        <w:rPr>
          <w:rFonts w:eastAsia="SimHei" w:hint="eastAsia"/>
        </w:rPr>
        <w:t>Munir Said Thalib</w:t>
      </w:r>
      <w:r w:rsidRPr="00AE6E76">
        <w:rPr>
          <w:rFonts w:eastAsia="SimHei" w:hint="eastAsia"/>
        </w:rPr>
        <w:t>杀害案件，向受害者及其家庭成员提供充分的赔偿。</w:t>
      </w:r>
    </w:p>
    <w:p w:rsidR="002B7245" w:rsidRDefault="002B7245" w:rsidP="002B7245">
      <w:pPr>
        <w:pStyle w:val="SingleTxtGC"/>
        <w:rPr>
          <w:rFonts w:hint="eastAsia"/>
        </w:rPr>
      </w:pPr>
      <w:r>
        <w:rPr>
          <w:rFonts w:hint="eastAsia"/>
        </w:rPr>
        <w:t xml:space="preserve">9.  </w:t>
      </w:r>
      <w:r>
        <w:rPr>
          <w:rFonts w:hint="eastAsia"/>
        </w:rPr>
        <w:t>委员会关注在</w:t>
      </w:r>
      <w:r>
        <w:rPr>
          <w:rFonts w:hint="eastAsia"/>
        </w:rPr>
        <w:t>1945</w:t>
      </w:r>
      <w:r>
        <w:rPr>
          <w:rFonts w:hint="eastAsia"/>
        </w:rPr>
        <w:t>年的《宪法》第</w:t>
      </w:r>
      <w:r>
        <w:rPr>
          <w:rFonts w:hint="eastAsia"/>
        </w:rPr>
        <w:t>28I</w:t>
      </w:r>
      <w:r>
        <w:rPr>
          <w:rFonts w:hint="eastAsia"/>
        </w:rPr>
        <w:t>条和取代</w:t>
      </w:r>
      <w:r>
        <w:rPr>
          <w:rFonts w:hint="eastAsia"/>
        </w:rPr>
        <w:t>1959</w:t>
      </w:r>
      <w:r>
        <w:rPr>
          <w:rFonts w:hint="eastAsia"/>
        </w:rPr>
        <w:t>年第</w:t>
      </w:r>
      <w:r>
        <w:rPr>
          <w:rFonts w:hint="eastAsia"/>
        </w:rPr>
        <w:t>23</w:t>
      </w:r>
      <w:r>
        <w:rPr>
          <w:rFonts w:hint="eastAsia"/>
        </w:rPr>
        <w:t>号法的条例</w:t>
      </w:r>
      <w:r w:rsidR="002B7893">
        <w:rPr>
          <w:rFonts w:hint="eastAsia"/>
        </w:rPr>
        <w:t>(</w:t>
      </w:r>
      <w:r>
        <w:rPr>
          <w:rFonts w:hint="eastAsia"/>
        </w:rPr>
        <w:t>管控紧急状况下不得克减的权利</w:t>
      </w:r>
      <w:r w:rsidR="002B7893">
        <w:rPr>
          <w:rFonts w:hint="eastAsia"/>
        </w:rPr>
        <w:t>)</w:t>
      </w:r>
      <w:r>
        <w:rPr>
          <w:rFonts w:hint="eastAsia"/>
        </w:rPr>
        <w:t>缺乏明确的条款消除对某些权利的疑点，例如不能仅仅因无力履行合同义务遭到囚禁的权利，因为这是《公约》第十一条所保护的权利，该项权利不应该在紧急状况下克减</w:t>
      </w:r>
      <w:r>
        <w:rPr>
          <w:rFonts w:hint="eastAsia"/>
        </w:rPr>
        <w:t>(</w:t>
      </w:r>
      <w:r>
        <w:rPr>
          <w:rFonts w:hint="eastAsia"/>
        </w:rPr>
        <w:t>第二和第四条</w:t>
      </w:r>
      <w:r>
        <w:rPr>
          <w:rFonts w:hint="eastAsia"/>
        </w:rPr>
        <w:t>)</w:t>
      </w:r>
      <w:r>
        <w:rPr>
          <w:rFonts w:hint="eastAsia"/>
        </w:rPr>
        <w:t>。</w:t>
      </w:r>
    </w:p>
    <w:p w:rsidR="002B7245" w:rsidRPr="00AE6E76" w:rsidRDefault="002B7245" w:rsidP="002B7245">
      <w:pPr>
        <w:pStyle w:val="SingleTxtGC"/>
        <w:rPr>
          <w:rFonts w:eastAsia="SimHei" w:hint="eastAsia"/>
        </w:rPr>
      </w:pPr>
      <w:r w:rsidRPr="00AE6E76">
        <w:rPr>
          <w:rFonts w:eastAsia="SimHei" w:hint="eastAsia"/>
        </w:rPr>
        <w:t>委员会提到其第</w:t>
      </w:r>
      <w:r w:rsidRPr="00AE6E76">
        <w:rPr>
          <w:rFonts w:eastAsia="SimHei" w:hint="eastAsia"/>
        </w:rPr>
        <w:t>29(2001)</w:t>
      </w:r>
      <w:r w:rsidRPr="00AE6E76">
        <w:rPr>
          <w:rFonts w:eastAsia="SimHei" w:hint="eastAsia"/>
        </w:rPr>
        <w:t>号一般性意见，促请缔约国确保其有关紧急状态的法律的明确性以便《公约》第四条保护的所有权利，包括《公约》第十一条保护的权利，在紧急状态期间不受到克减，并确保此类克减的要求符合《公约》。</w:t>
      </w:r>
    </w:p>
    <w:p w:rsidR="002B7245" w:rsidRDefault="002B7245" w:rsidP="002B7245">
      <w:pPr>
        <w:pStyle w:val="SingleTxtGC"/>
        <w:rPr>
          <w:rFonts w:hint="eastAsia"/>
        </w:rPr>
      </w:pPr>
      <w:r>
        <w:rPr>
          <w:rFonts w:hint="eastAsia"/>
        </w:rPr>
        <w:t xml:space="preserve">10.  </w:t>
      </w:r>
      <w:r>
        <w:rPr>
          <w:rFonts w:hint="eastAsia"/>
        </w:rPr>
        <w:t>委员会感到遗憾的是缔约国中止其事实上暂停执行死刑，并已恢复执行死刑。委员会感到遗憾的法庭因毒品罪而施加死刑，毒品罪并不属《公约》第六条规定的“最严重罪行”的界限</w:t>
      </w:r>
      <w:r>
        <w:rPr>
          <w:rFonts w:hint="eastAsia"/>
        </w:rPr>
        <w:t>(</w:t>
      </w:r>
      <w:r>
        <w:rPr>
          <w:rFonts w:hint="eastAsia"/>
        </w:rPr>
        <w:t>第六条</w:t>
      </w:r>
      <w:r>
        <w:rPr>
          <w:rFonts w:hint="eastAsia"/>
        </w:rPr>
        <w:t>)</w:t>
      </w:r>
      <w:r>
        <w:rPr>
          <w:rFonts w:hint="eastAsia"/>
        </w:rPr>
        <w:t>。</w:t>
      </w:r>
    </w:p>
    <w:p w:rsidR="002B7245" w:rsidRPr="00AE6E76" w:rsidRDefault="002B7245" w:rsidP="002B7245">
      <w:pPr>
        <w:pStyle w:val="SingleTxtGC"/>
        <w:rPr>
          <w:rFonts w:eastAsia="SimHei" w:hint="eastAsia"/>
        </w:rPr>
      </w:pPr>
      <w:r w:rsidRPr="00AE6E76">
        <w:rPr>
          <w:rFonts w:eastAsia="SimHei" w:hint="eastAsia"/>
        </w:rPr>
        <w:t>缔约国应恢复事实上暂停执行死刑，并应考虑批准《公约》第二项任择议定书废除死刑。此外，缔约国应确保如果维持死刑，仅对最为严重的罪行施行死刑。在这方面，委员会建议缔约国审查其立法，确保涉及毒品的罪行不受到死刑惩罚。在这方面，缔约国应考虑减缓所有犯毒品罪者的死刑判决。</w:t>
      </w:r>
    </w:p>
    <w:p w:rsidR="002B7245" w:rsidRDefault="002B7245" w:rsidP="002B7245">
      <w:pPr>
        <w:pStyle w:val="SingleTxtGC"/>
        <w:rPr>
          <w:rFonts w:hint="eastAsia"/>
        </w:rPr>
      </w:pPr>
      <w:r>
        <w:rPr>
          <w:rFonts w:hint="eastAsia"/>
        </w:rPr>
        <w:t xml:space="preserve">11.  </w:t>
      </w:r>
      <w:r>
        <w:rPr>
          <w:rFonts w:hint="eastAsia"/>
        </w:rPr>
        <w:t>委员会注意到缔约国正在最后完善性别平等的法案，并承认缔约国努力通过采取暂行特别措施改进妇女在政治职务方面的代表性，例如在政党内规定</w:t>
      </w:r>
      <w:r>
        <w:rPr>
          <w:rFonts w:hint="eastAsia"/>
        </w:rPr>
        <w:t>30%</w:t>
      </w:r>
      <w:r>
        <w:rPr>
          <w:rFonts w:hint="eastAsia"/>
        </w:rPr>
        <w:t>的妇女代表定额，但委员会感到遗憾的是没有资料表明为在政党之外促进妇女代表性采取同样措施。委员会赞赏在问题清单答复中提供了关于妇女在司法界代表性的数据。然而，委员会关注没有关于妇女在私营部门代表性的数据</w:t>
      </w:r>
      <w:r>
        <w:rPr>
          <w:rFonts w:hint="eastAsia"/>
        </w:rPr>
        <w:t>(</w:t>
      </w:r>
      <w:r>
        <w:rPr>
          <w:rFonts w:hint="eastAsia"/>
        </w:rPr>
        <w:t>第三条和第二十六条</w:t>
      </w:r>
      <w:r>
        <w:rPr>
          <w:rFonts w:hint="eastAsia"/>
        </w:rPr>
        <w:t>)</w:t>
      </w:r>
      <w:r>
        <w:rPr>
          <w:rFonts w:hint="eastAsia"/>
        </w:rPr>
        <w:t>。</w:t>
      </w:r>
    </w:p>
    <w:p w:rsidR="002B7245" w:rsidRPr="00AE6E76" w:rsidRDefault="002B7245" w:rsidP="002B7245">
      <w:pPr>
        <w:pStyle w:val="SingleTxtGC"/>
        <w:rPr>
          <w:rFonts w:eastAsia="SimHei" w:hint="eastAsia"/>
        </w:rPr>
      </w:pPr>
      <w:r w:rsidRPr="00AE6E76">
        <w:rPr>
          <w:rFonts w:eastAsia="SimHei" w:hint="eastAsia"/>
        </w:rPr>
        <w:t>缔约国应加强努力提高妇女在政治、公共事务以及在私营部门的代表性，若有必要，扩展暂行特别措施，委员会促请缔约国在其下次定期报告中纳入妇女在私营部门代表性的分类统计数据。</w:t>
      </w:r>
    </w:p>
    <w:p w:rsidR="002B7245" w:rsidRDefault="002B7245" w:rsidP="002B7245">
      <w:pPr>
        <w:pStyle w:val="SingleTxtGC"/>
        <w:rPr>
          <w:rFonts w:hint="eastAsia"/>
        </w:rPr>
      </w:pPr>
      <w:r>
        <w:rPr>
          <w:rFonts w:hint="eastAsia"/>
        </w:rPr>
        <w:t xml:space="preserve">12.  </w:t>
      </w:r>
      <w:r>
        <w:rPr>
          <w:rFonts w:hint="eastAsia"/>
        </w:rPr>
        <w:t>委员会感到遗憾的是缔约国在乌里玛理事会的一项裁决之后，颁布了</w:t>
      </w:r>
      <w:r>
        <w:rPr>
          <w:rFonts w:hint="eastAsia"/>
        </w:rPr>
        <w:t>2010</w:t>
      </w:r>
      <w:r>
        <w:rPr>
          <w:rFonts w:hint="eastAsia"/>
        </w:rPr>
        <w:t>年第</w:t>
      </w:r>
      <w:r>
        <w:rPr>
          <w:rFonts w:hint="eastAsia"/>
        </w:rPr>
        <w:t>1636</w:t>
      </w:r>
      <w:r>
        <w:rPr>
          <w:rFonts w:hint="eastAsia"/>
        </w:rPr>
        <w:t>号条例，该项条例允许行医者切割女性生殖器，包括切割六个月的婴儿。委员会感到遗憾的是缔约国解释说，先前对女性生殖器切割的禁止导致越来越多的非从医者实施女性生殖器切割，将妇女置于有害的妇女生殖器切割形式的严重风险之下，目前的条例将能够更好地保护妇女</w:t>
      </w:r>
      <w:r>
        <w:rPr>
          <w:rFonts w:hint="eastAsia"/>
        </w:rPr>
        <w:t>(</w:t>
      </w:r>
      <w:r>
        <w:rPr>
          <w:rFonts w:hint="eastAsia"/>
        </w:rPr>
        <w:t>第七条</w:t>
      </w:r>
      <w:r>
        <w:rPr>
          <w:rFonts w:hint="eastAsia"/>
        </w:rPr>
        <w:t>)</w:t>
      </w:r>
      <w:r>
        <w:rPr>
          <w:rFonts w:hint="eastAsia"/>
        </w:rPr>
        <w:t>。</w:t>
      </w:r>
    </w:p>
    <w:p w:rsidR="002B7245" w:rsidRPr="00AE6E76" w:rsidRDefault="002B7245" w:rsidP="002B7245">
      <w:pPr>
        <w:pStyle w:val="SingleTxtGC"/>
        <w:rPr>
          <w:rFonts w:eastAsia="SimHei" w:hint="eastAsia"/>
        </w:rPr>
      </w:pPr>
      <w:r w:rsidRPr="00AE6E76">
        <w:rPr>
          <w:rFonts w:eastAsia="SimHei" w:hint="eastAsia"/>
        </w:rPr>
        <w:t>缔约国应废除卫生部</w:t>
      </w:r>
      <w:r w:rsidRPr="00AE6E76">
        <w:rPr>
          <w:rFonts w:eastAsia="SimHei" w:hint="eastAsia"/>
        </w:rPr>
        <w:t>2010</w:t>
      </w:r>
      <w:r w:rsidRPr="00AE6E76">
        <w:rPr>
          <w:rFonts w:eastAsia="SimHei" w:hint="eastAsia"/>
        </w:rPr>
        <w:t>年第</w:t>
      </w:r>
      <w:r w:rsidRPr="00AE6E76">
        <w:rPr>
          <w:rFonts w:eastAsia="SimHei" w:hint="eastAsia"/>
        </w:rPr>
        <w:t>1636</w:t>
      </w:r>
      <w:r w:rsidRPr="00AE6E76">
        <w:rPr>
          <w:rFonts w:eastAsia="SimHei" w:hint="eastAsia"/>
        </w:rPr>
        <w:t>号条例，因为该条例授权由行医者实施女性生殖器切割</w:t>
      </w:r>
      <w:r w:rsidRPr="00AE6E76">
        <w:rPr>
          <w:rFonts w:eastAsia="SimHei" w:hint="eastAsia"/>
        </w:rPr>
        <w:t>(</w:t>
      </w:r>
      <w:r w:rsidRPr="00AE6E76">
        <w:rPr>
          <w:rFonts w:eastAsia="SimHei" w:hint="eastAsia"/>
        </w:rPr>
        <w:t>将女性生殖器切割医学化</w:t>
      </w:r>
      <w:r w:rsidRPr="00AE6E76">
        <w:rPr>
          <w:rFonts w:eastAsia="SimHei" w:hint="eastAsia"/>
        </w:rPr>
        <w:t>)</w:t>
      </w:r>
      <w:r w:rsidRPr="00AE6E76">
        <w:rPr>
          <w:rFonts w:eastAsia="SimHei" w:hint="eastAsia"/>
        </w:rPr>
        <w:t>。在这方面，缔约国应颁发一条法律禁止任何形式的女性生殖器切割，并确保该条法律规定适当的惩治，以反映这一犯罪行为的严重性。此外，缔约国应努力防止和消除有害传统做法，包括女性生殖器切割，可通过加强提高认识与教育方案达到此目的。在这方面，为对妇女生殖器切割问题形成统一看法而建立的国家一级的工作队应确保将此种做法普遍流行的社区作为目标，以实现观念的改变。</w:t>
      </w:r>
    </w:p>
    <w:p w:rsidR="002B7245" w:rsidRDefault="002B7245" w:rsidP="002B7245">
      <w:pPr>
        <w:pStyle w:val="SingleTxtGC"/>
        <w:rPr>
          <w:rFonts w:hint="eastAsia"/>
        </w:rPr>
      </w:pPr>
      <w:r>
        <w:rPr>
          <w:rFonts w:hint="eastAsia"/>
        </w:rPr>
        <w:t xml:space="preserve">13.  </w:t>
      </w:r>
      <w:r>
        <w:rPr>
          <w:rFonts w:hint="eastAsia"/>
        </w:rPr>
        <w:t>委员会注意到缔约国努力消除对妇女的暴力行为，例如建立了暴力侵犯妇女问题全国委员会</w:t>
      </w:r>
      <w:r>
        <w:rPr>
          <w:rFonts w:hint="eastAsia"/>
        </w:rPr>
        <w:t>(Komnas Perempuan)</w:t>
      </w:r>
      <w:r>
        <w:rPr>
          <w:rFonts w:hint="eastAsia"/>
        </w:rPr>
        <w:t>，但委员会仍关注此类暴力行为普遍存在，并因缔约国对此持沉默态度以及对妇女作用的陈旧观念而恶化。委员会还关注尽管《刑法》规定强奸的最高惩治为</w:t>
      </w:r>
      <w:r>
        <w:rPr>
          <w:rFonts w:hint="eastAsia"/>
        </w:rPr>
        <w:t>12</w:t>
      </w:r>
      <w:r>
        <w:rPr>
          <w:rFonts w:hint="eastAsia"/>
        </w:rPr>
        <w:t>年监禁，但缔约国法庭对强奸犯施加的惩罚较轻</w:t>
      </w:r>
      <w:r>
        <w:rPr>
          <w:rFonts w:hint="eastAsia"/>
        </w:rPr>
        <w:t>(</w:t>
      </w:r>
      <w:r>
        <w:rPr>
          <w:rFonts w:hint="eastAsia"/>
        </w:rPr>
        <w:t>第二、第三和第七条</w:t>
      </w:r>
      <w:r>
        <w:rPr>
          <w:rFonts w:hint="eastAsia"/>
        </w:rPr>
        <w:t>)</w:t>
      </w:r>
      <w:r>
        <w:rPr>
          <w:rFonts w:hint="eastAsia"/>
        </w:rPr>
        <w:t>。</w:t>
      </w:r>
    </w:p>
    <w:p w:rsidR="002B7245" w:rsidRPr="00AE6E76" w:rsidRDefault="002B7245" w:rsidP="002B7245">
      <w:pPr>
        <w:pStyle w:val="SingleTxtGC"/>
        <w:rPr>
          <w:rFonts w:eastAsia="SimHei" w:hint="eastAsia"/>
        </w:rPr>
      </w:pPr>
      <w:r w:rsidRPr="00AE6E76">
        <w:rPr>
          <w:rFonts w:eastAsia="SimHei" w:hint="eastAsia"/>
        </w:rPr>
        <w:t>缔约国应采取一项全面的方针，开展有关暴力行为有害后果的提高认识运动，防止和解决所有形式与表现方式的侵犯妇女的暴力行为，包括家庭暴力。在这方面缔约国应通过各种方案消除有关妇女作用的陈旧观，确保鼓励暴力行为的女性受害者向执法当局汇报此类事件。缔约国应确保彻底调查暴力侵害妇女的案件，起诉肇事者，一旦定罪，则量刑予以制裁，并向受害者提供充分赔偿。此外，缔约国应对法官和行政法官进行定期培训，确保强奸罪按其罪行的严重性予以适当惩治。</w:t>
      </w:r>
    </w:p>
    <w:p w:rsidR="002B7245" w:rsidRDefault="002B7245" w:rsidP="002B7245">
      <w:pPr>
        <w:pStyle w:val="SingleTxtGC"/>
        <w:rPr>
          <w:rFonts w:hint="eastAsia"/>
        </w:rPr>
      </w:pPr>
      <w:r>
        <w:rPr>
          <w:rFonts w:hint="eastAsia"/>
        </w:rPr>
        <w:t xml:space="preserve">14.  </w:t>
      </w:r>
      <w:r>
        <w:rPr>
          <w:rFonts w:hint="eastAsia"/>
        </w:rPr>
        <w:t>委员会注意到关于《刑法典》的一项法案力图全面界定酷刑及由此应施加的惩治，但委员会关注该项法律迟迟未得以制定，使酷刑行为的受害者无法得到充分赔偿</w:t>
      </w:r>
      <w:r>
        <w:rPr>
          <w:rFonts w:hint="eastAsia"/>
        </w:rPr>
        <w:t>(</w:t>
      </w:r>
      <w:r>
        <w:rPr>
          <w:rFonts w:hint="eastAsia"/>
        </w:rPr>
        <w:t>第二条和第七条</w:t>
      </w:r>
      <w:r>
        <w:rPr>
          <w:rFonts w:hint="eastAsia"/>
        </w:rPr>
        <w:t>)</w:t>
      </w:r>
      <w:r>
        <w:rPr>
          <w:rFonts w:hint="eastAsia"/>
        </w:rPr>
        <w:t>。</w:t>
      </w:r>
    </w:p>
    <w:p w:rsidR="00D15CBD" w:rsidRPr="00AE6E76" w:rsidRDefault="002B7245" w:rsidP="002B7245">
      <w:pPr>
        <w:pStyle w:val="SingleTxtGC"/>
        <w:rPr>
          <w:rFonts w:eastAsia="SimHei" w:hint="eastAsia"/>
        </w:rPr>
      </w:pPr>
      <w:r w:rsidRPr="00AE6E76">
        <w:rPr>
          <w:rFonts w:eastAsia="SimHei" w:hint="eastAsia"/>
        </w:rPr>
        <w:t>缔约国应加速制定修订《刑法典》的进程。确保经修订的《刑法典》包括酷刑定义，并且该项酷刑定义应涵盖《禁止酷刑及其他残忍、不人道或有辱人格待遇或惩治公约》第</w:t>
      </w:r>
      <w:r w:rsidRPr="00AE6E76">
        <w:rPr>
          <w:rFonts w:eastAsia="SimHei" w:hint="eastAsia"/>
        </w:rPr>
        <w:t>1</w:t>
      </w:r>
      <w:r w:rsidRPr="00AE6E76">
        <w:rPr>
          <w:rFonts w:eastAsia="SimHei" w:hint="eastAsia"/>
        </w:rPr>
        <w:t>条和《公约》第七条所涵盖的所有因素。缔约国还应确保该项法律详细规定对此类行为的肇事者及其同伙进行有效的调查和起诉，一旦定罪，对肇事者及其同犯量刑予以制裁；对受害者给予充分的赔偿。此外，缔约国应将《酷刑和其他残忍、不人道或有辱人格的待遇或处罚的有效调查和文件记录手册》纳入其所有培训方案之内，确保执法人员接受有关防止和调查酷刑和虐待的培训。</w:t>
      </w:r>
    </w:p>
    <w:p w:rsidR="002B7893" w:rsidRDefault="002B7893" w:rsidP="002B7893">
      <w:pPr>
        <w:pStyle w:val="SingleTxtGC"/>
        <w:rPr>
          <w:rFonts w:hint="eastAsia"/>
        </w:rPr>
      </w:pPr>
      <w:r>
        <w:rPr>
          <w:rFonts w:hint="eastAsia"/>
        </w:rPr>
        <w:t xml:space="preserve">15.  </w:t>
      </w:r>
      <w:r>
        <w:rPr>
          <w:rFonts w:hint="eastAsia"/>
        </w:rPr>
        <w:t>委员会感到遗憾的是在刑法系统内采用体罚，特别在亚齐省，《亚齐刑法》，除其他事项外，规定了侵犯《公约》第七条的惩罚，例如对违反有关衣着的</w:t>
      </w:r>
      <w:r>
        <w:rPr>
          <w:rFonts w:hint="eastAsia"/>
        </w:rPr>
        <w:t>qanun(</w:t>
      </w:r>
      <w:r>
        <w:rPr>
          <w:rFonts w:hint="eastAsia"/>
        </w:rPr>
        <w:t>细则</w:t>
      </w:r>
      <w:r>
        <w:rPr>
          <w:rFonts w:hint="eastAsia"/>
        </w:rPr>
        <w:t>)</w:t>
      </w:r>
      <w:r>
        <w:rPr>
          <w:rFonts w:hint="eastAsia"/>
        </w:rPr>
        <w:t>，违反</w:t>
      </w:r>
      <w:r>
        <w:rPr>
          <w:rFonts w:hint="eastAsia"/>
        </w:rPr>
        <w:t>qanun khalwat(</w:t>
      </w:r>
      <w:r>
        <w:rPr>
          <w:rFonts w:hint="eastAsia"/>
        </w:rPr>
        <w:t>禁止一名男子和一名妇女单独在一个僻静的地方</w:t>
      </w:r>
      <w:r>
        <w:rPr>
          <w:rFonts w:hint="eastAsia"/>
        </w:rPr>
        <w:t>)</w:t>
      </w:r>
      <w:r>
        <w:rPr>
          <w:rFonts w:hint="eastAsia"/>
        </w:rPr>
        <w:t>，和违反</w:t>
      </w:r>
      <w:r>
        <w:rPr>
          <w:rFonts w:hint="eastAsia"/>
        </w:rPr>
        <w:t>qanun khamar(</w:t>
      </w:r>
      <w:r>
        <w:rPr>
          <w:rFonts w:hint="eastAsia"/>
        </w:rPr>
        <w:t>禁止饮用酒精饮料</w:t>
      </w:r>
      <w:r>
        <w:rPr>
          <w:rFonts w:hint="eastAsia"/>
        </w:rPr>
        <w:t>)</w:t>
      </w:r>
      <w:r>
        <w:rPr>
          <w:rFonts w:hint="eastAsia"/>
        </w:rPr>
        <w:t>等法的违法行为采用鞭打。委员会还感到遗憾的是伊斯兰教警察过度严厉地对妇女实施这些刑罚</w:t>
      </w:r>
      <w:r>
        <w:rPr>
          <w:rFonts w:hint="eastAsia"/>
        </w:rPr>
        <w:t>(</w:t>
      </w:r>
      <w:r>
        <w:rPr>
          <w:rFonts w:hint="eastAsia"/>
        </w:rPr>
        <w:t>第二、第三、第七和二十六条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缔约国应采取实际步骤在刑法系统内以及在所有场合消除体罚。在这方面，缔约国应废除《亚齐细则》</w:t>
      </w:r>
      <w:r w:rsidRPr="00AE6E76">
        <w:rPr>
          <w:rFonts w:eastAsia="SimHei" w:hint="eastAsia"/>
        </w:rPr>
        <w:t>(Qanun Jinayah)</w:t>
      </w:r>
      <w:r w:rsidRPr="00AE6E76">
        <w:rPr>
          <w:rFonts w:eastAsia="SimHei" w:hint="eastAsia"/>
        </w:rPr>
        <w:t>，因为该细则允许在刑法系统内采用体罚。缔约国在该法废除之前，应积极行动防止根据该法采用体罚作为对刑事罪的一种惩罚形式。</w:t>
      </w:r>
    </w:p>
    <w:p w:rsidR="002B7893" w:rsidRDefault="002B7893" w:rsidP="002B7893">
      <w:pPr>
        <w:pStyle w:val="SingleTxtGC"/>
        <w:rPr>
          <w:rFonts w:hint="eastAsia"/>
        </w:rPr>
      </w:pPr>
      <w:r>
        <w:rPr>
          <w:rFonts w:hint="eastAsia"/>
        </w:rPr>
        <w:t xml:space="preserve">16.  </w:t>
      </w:r>
      <w:r>
        <w:rPr>
          <w:rFonts w:hint="eastAsia"/>
        </w:rPr>
        <w:t>委员会关注越来越多的报告表明警察和军方在抗议阶段，特别在西</w:t>
      </w:r>
      <w:r>
        <w:rPr>
          <w:rFonts w:hint="eastAsia"/>
        </w:rPr>
        <w:t>Papua</w:t>
      </w:r>
      <w:r>
        <w:rPr>
          <w:rFonts w:hint="eastAsia"/>
        </w:rPr>
        <w:t>、</w:t>
      </w:r>
      <w:r>
        <w:rPr>
          <w:rFonts w:hint="eastAsia"/>
        </w:rPr>
        <w:t>Bima</w:t>
      </w:r>
      <w:r>
        <w:rPr>
          <w:rFonts w:hint="eastAsia"/>
        </w:rPr>
        <w:t>和西</w:t>
      </w:r>
      <w:r>
        <w:rPr>
          <w:rFonts w:hint="eastAsia"/>
        </w:rPr>
        <w:t>Nusa Tenggara</w:t>
      </w:r>
      <w:r>
        <w:rPr>
          <w:rFonts w:hint="eastAsia"/>
        </w:rPr>
        <w:t>等地过度地使用武力和法外杀害。委员会特别关注有报告表明缔约国利用治安机器惩罚政治异己者和人权捍卫者。委员会还关注授权接受公众有关执法人员的申诉的国家警察委员会软弱无力，因为其既没有权力传唤执法人员也没有职权进行独立调查</w:t>
      </w:r>
      <w:r>
        <w:rPr>
          <w:rFonts w:hint="eastAsia"/>
        </w:rPr>
        <w:t>(</w:t>
      </w:r>
      <w:r>
        <w:rPr>
          <w:rFonts w:hint="eastAsia"/>
        </w:rPr>
        <w:t>第六和第七条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缔约国应采取具体步骤确保执法官员遵守《执法人员使用武力和火器的基本原则》，防止执法人员过度使用武力。缔约国还应采取适当措施加强国家警察委员会，确保其能够有效地处理指控执法人员违法行为的举报案件。此外，缔约国应采取具体步骤杜绝治安人员任意和法外杀害的有罪不罚现象，并应采取适当措施保护政见异己者的权利和人权捍卫者的权利。缔约国应起诉法外处决案件，一旦定罪，惩治负有责任者，并向受害者家庭提供充分的赔偿。</w:t>
      </w:r>
    </w:p>
    <w:p w:rsidR="002B7893" w:rsidRDefault="002B7893" w:rsidP="002B7893">
      <w:pPr>
        <w:pStyle w:val="SingleTxtGC"/>
        <w:rPr>
          <w:rFonts w:hint="eastAsia"/>
        </w:rPr>
      </w:pPr>
      <w:r>
        <w:rPr>
          <w:rFonts w:hint="eastAsia"/>
        </w:rPr>
        <w:t xml:space="preserve">17.  </w:t>
      </w:r>
      <w:r>
        <w:rPr>
          <w:rFonts w:hint="eastAsia"/>
        </w:rPr>
        <w:t>委员会关注有报告指出缔约国当局没有保护基于种族仇恨暴力袭击的受害者，例如</w:t>
      </w:r>
      <w:r>
        <w:rPr>
          <w:rFonts w:hint="eastAsia"/>
        </w:rPr>
        <w:t>2012</w:t>
      </w:r>
      <w:r>
        <w:rPr>
          <w:rFonts w:hint="eastAsia"/>
        </w:rPr>
        <w:t>年</w:t>
      </w:r>
      <w:r>
        <w:rPr>
          <w:rFonts w:hint="eastAsia"/>
        </w:rPr>
        <w:t>8</w:t>
      </w:r>
      <w:r>
        <w:rPr>
          <w:rFonts w:hint="eastAsia"/>
        </w:rPr>
        <w:t>月在马都拉岛对</w:t>
      </w:r>
      <w:r>
        <w:rPr>
          <w:rFonts w:hint="eastAsia"/>
        </w:rPr>
        <w:t>Shia</w:t>
      </w:r>
      <w:r>
        <w:rPr>
          <w:rFonts w:hint="eastAsia"/>
        </w:rPr>
        <w:t>全体成员的袭击。委员会进一步关注对具有宗教仇恨目的的暴力袭击的肇事者所施加的惩罚过轻，例如对</w:t>
      </w:r>
      <w:r>
        <w:rPr>
          <w:rFonts w:hint="eastAsia"/>
        </w:rPr>
        <w:t>2011</w:t>
      </w:r>
      <w:r>
        <w:rPr>
          <w:rFonts w:hint="eastAsia"/>
        </w:rPr>
        <w:t>年</w:t>
      </w:r>
      <w:r>
        <w:rPr>
          <w:rFonts w:hint="eastAsia"/>
        </w:rPr>
        <w:t>2</w:t>
      </w:r>
      <w:r>
        <w:rPr>
          <w:rFonts w:hint="eastAsia"/>
        </w:rPr>
        <w:t>月在</w:t>
      </w:r>
      <w:r>
        <w:rPr>
          <w:rFonts w:hint="eastAsia"/>
        </w:rPr>
        <w:t>Cikeusik Banten</w:t>
      </w:r>
      <w:r>
        <w:rPr>
          <w:rFonts w:hint="eastAsia"/>
        </w:rPr>
        <w:t>对</w:t>
      </w:r>
      <w:r>
        <w:rPr>
          <w:rFonts w:hint="eastAsia"/>
        </w:rPr>
        <w:t>Madura</w:t>
      </w:r>
      <w:r>
        <w:rPr>
          <w:rFonts w:hint="eastAsia"/>
        </w:rPr>
        <w:t>全体成员进行袭击的</w:t>
      </w:r>
      <w:r>
        <w:rPr>
          <w:rFonts w:hint="eastAsia"/>
        </w:rPr>
        <w:t>12</w:t>
      </w:r>
      <w:r>
        <w:rPr>
          <w:rFonts w:hint="eastAsia"/>
        </w:rPr>
        <w:t>名肇事者的惩治过轻</w:t>
      </w:r>
      <w:r>
        <w:rPr>
          <w:rFonts w:hint="eastAsia"/>
        </w:rPr>
        <w:t>(</w:t>
      </w:r>
      <w:r>
        <w:rPr>
          <w:rFonts w:hint="eastAsia"/>
        </w:rPr>
        <w:t>第二、第六、第七和二十六条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缔约国应采取一切措施保护具有宗教目的袭击的受害者；调查和起诉这些袭击的肇事者，确保一旦肇事者定罪，将量刑制裁；并且向受害者提供充分的赔偿。</w:t>
      </w:r>
    </w:p>
    <w:p w:rsidR="002B7893" w:rsidRDefault="002B7893" w:rsidP="002B7893">
      <w:pPr>
        <w:pStyle w:val="SingleTxtGC"/>
        <w:rPr>
          <w:rFonts w:hint="eastAsia"/>
        </w:rPr>
      </w:pPr>
      <w:r>
        <w:rPr>
          <w:rFonts w:hint="eastAsia"/>
        </w:rPr>
        <w:t xml:space="preserve">18.  </w:t>
      </w:r>
      <w:r>
        <w:rPr>
          <w:rFonts w:hint="eastAsia"/>
        </w:rPr>
        <w:t>委员会欢迎通过了有关杜绝人口贩运的</w:t>
      </w:r>
      <w:r>
        <w:rPr>
          <w:rFonts w:hint="eastAsia"/>
        </w:rPr>
        <w:t>2007</w:t>
      </w:r>
      <w:r>
        <w:rPr>
          <w:rFonts w:hint="eastAsia"/>
        </w:rPr>
        <w:t>年第</w:t>
      </w:r>
      <w:r>
        <w:rPr>
          <w:rFonts w:hint="eastAsia"/>
        </w:rPr>
        <w:t>21</w:t>
      </w:r>
      <w:r>
        <w:rPr>
          <w:rFonts w:hint="eastAsia"/>
        </w:rPr>
        <w:t>号法，并注意到缔约国的资料表明从</w:t>
      </w:r>
      <w:r>
        <w:rPr>
          <w:rFonts w:hint="eastAsia"/>
        </w:rPr>
        <w:t>2011</w:t>
      </w:r>
      <w:r>
        <w:rPr>
          <w:rFonts w:hint="eastAsia"/>
        </w:rPr>
        <w:t>年至</w:t>
      </w:r>
      <w:r>
        <w:rPr>
          <w:rFonts w:hint="eastAsia"/>
        </w:rPr>
        <w:t>2013</w:t>
      </w:r>
      <w:r>
        <w:rPr>
          <w:rFonts w:hint="eastAsia"/>
        </w:rPr>
        <w:t>年</w:t>
      </w:r>
      <w:r w:rsidR="00397E2E">
        <w:rPr>
          <w:rFonts w:hint="eastAsia"/>
        </w:rPr>
        <w:t>6</w:t>
      </w:r>
      <w:r w:rsidR="00397E2E">
        <w:rPr>
          <w:rFonts w:hint="eastAsia"/>
        </w:rPr>
        <w:t>月</w:t>
      </w:r>
      <w:r>
        <w:rPr>
          <w:rFonts w:hint="eastAsia"/>
        </w:rPr>
        <w:t>阶段人口贩运案件数量有所减少</w:t>
      </w:r>
      <w:r w:rsidR="00397E2E">
        <w:rPr>
          <w:rFonts w:hint="eastAsia"/>
        </w:rPr>
        <w:t>(</w:t>
      </w:r>
      <w:proofErr w:type="spellStart"/>
      <w:r w:rsidR="00397E2E">
        <w:rPr>
          <w:rFonts w:hint="eastAsia"/>
        </w:rPr>
        <w:t>CCPR/C/</w:t>
      </w:r>
      <w:r>
        <w:rPr>
          <w:rFonts w:hint="eastAsia"/>
        </w:rPr>
        <w:t>IDN/Q/1/Add.1</w:t>
      </w:r>
      <w:proofErr w:type="spellEnd"/>
      <w:r>
        <w:rPr>
          <w:rFonts w:hint="eastAsia"/>
        </w:rPr>
        <w:t xml:space="preserve">, </w:t>
      </w:r>
      <w:r>
        <w:rPr>
          <w:rFonts w:hint="eastAsia"/>
        </w:rPr>
        <w:t>第</w:t>
      </w:r>
      <w:r>
        <w:rPr>
          <w:rFonts w:hint="eastAsia"/>
        </w:rPr>
        <w:t>160</w:t>
      </w:r>
      <w:r>
        <w:rPr>
          <w:rFonts w:hint="eastAsia"/>
        </w:rPr>
        <w:t>段</w:t>
      </w:r>
      <w:r>
        <w:rPr>
          <w:rFonts w:hint="eastAsia"/>
        </w:rPr>
        <w:t>)</w:t>
      </w:r>
      <w:r>
        <w:rPr>
          <w:rFonts w:hint="eastAsia"/>
        </w:rPr>
        <w:t>，但委员会仍然关注在缔约国内普遍存在狎妓旅游和人口贩运</w:t>
      </w:r>
      <w:r>
        <w:rPr>
          <w:rFonts w:hint="eastAsia"/>
        </w:rPr>
        <w:t>(</w:t>
      </w:r>
      <w:r>
        <w:rPr>
          <w:rFonts w:hint="eastAsia"/>
        </w:rPr>
        <w:t>第八条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缔约国应加紧努力确认人口贩运的受害者，确保系统地收集有关人口贩运的数据，这些数据应以年龄、性别和种族原籍分类，并应将重点放在来自、通往或在过渡的人贩流动现象。缔约国应加紧向警官、边境人员、法官、律师及其他相关的人员提供培训方案以便提高对这一现象以及对受害者权利的认识。此外，缔约国应确保调查与起诉所有人口贩运肇事者，一旦定罪，适当予以制裁，并应保障向受害者提供充分的保护、赔偿与补偿。</w:t>
      </w:r>
    </w:p>
    <w:p w:rsidR="002B7893" w:rsidRDefault="002B7893" w:rsidP="002B7893">
      <w:pPr>
        <w:pStyle w:val="SingleTxtGC"/>
        <w:rPr>
          <w:rFonts w:hint="eastAsia"/>
        </w:rPr>
      </w:pPr>
      <w:r>
        <w:rPr>
          <w:rFonts w:hint="eastAsia"/>
        </w:rPr>
        <w:t xml:space="preserve">19.  </w:t>
      </w:r>
      <w:r>
        <w:rPr>
          <w:rFonts w:hint="eastAsia"/>
        </w:rPr>
        <w:t>委员会关注，根据《刑事诉讼程序法》被拘留者在提交给法官之前可在警察羁押所被关押长达</w:t>
      </w:r>
      <w:r>
        <w:rPr>
          <w:rFonts w:hint="eastAsia"/>
        </w:rPr>
        <w:t>20</w:t>
      </w:r>
      <w:r>
        <w:rPr>
          <w:rFonts w:hint="eastAsia"/>
        </w:rPr>
        <w:t>天，如涉及恐怖主义嫌疑只可延长至</w:t>
      </w:r>
      <w:r>
        <w:rPr>
          <w:rFonts w:hint="eastAsia"/>
        </w:rPr>
        <w:t>60</w:t>
      </w:r>
      <w:r>
        <w:rPr>
          <w:rFonts w:hint="eastAsia"/>
        </w:rPr>
        <w:t>天甚至更长的时间。委员会赞赏缔约国正在修订《刑事诉讼程序法》，并考虑了缔约国代表团所提供的补充资料，但委员会仍然关注新的法案仅仅提议将拘留期从</w:t>
      </w:r>
      <w:r>
        <w:rPr>
          <w:rFonts w:hint="eastAsia"/>
        </w:rPr>
        <w:t>20</w:t>
      </w:r>
      <w:r>
        <w:rPr>
          <w:rFonts w:hint="eastAsia"/>
        </w:rPr>
        <w:t>天降至</w:t>
      </w:r>
      <w:r>
        <w:rPr>
          <w:rFonts w:hint="eastAsia"/>
        </w:rPr>
        <w:t>5</w:t>
      </w:r>
      <w:r>
        <w:rPr>
          <w:rFonts w:hint="eastAsia"/>
        </w:rPr>
        <w:t>天</w:t>
      </w:r>
      <w:r>
        <w:rPr>
          <w:rFonts w:hint="eastAsia"/>
        </w:rPr>
        <w:t>(</w:t>
      </w:r>
      <w:r>
        <w:rPr>
          <w:rFonts w:hint="eastAsia"/>
        </w:rPr>
        <w:t>第九条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委员会鼓励缔约国确保修订《刑事诉讼程序法》，规定任何因刑事犯罪而被拘捕或拘留者在</w:t>
      </w:r>
      <w:r w:rsidRPr="00AE6E76">
        <w:rPr>
          <w:rFonts w:eastAsia="SimHei" w:hint="eastAsia"/>
        </w:rPr>
        <w:t>48</w:t>
      </w:r>
      <w:r w:rsidRPr="00AE6E76">
        <w:rPr>
          <w:rFonts w:eastAsia="SimHei" w:hint="eastAsia"/>
        </w:rPr>
        <w:t>小时内提交法官。</w:t>
      </w:r>
    </w:p>
    <w:p w:rsidR="002B7893" w:rsidRDefault="002B7893" w:rsidP="002B7893">
      <w:pPr>
        <w:pStyle w:val="SingleTxtGC"/>
        <w:rPr>
          <w:rFonts w:hint="eastAsia"/>
        </w:rPr>
      </w:pPr>
      <w:r>
        <w:rPr>
          <w:rFonts w:hint="eastAsia"/>
        </w:rPr>
        <w:t xml:space="preserve">20.  </w:t>
      </w:r>
      <w:r>
        <w:rPr>
          <w:rFonts w:hint="eastAsia"/>
        </w:rPr>
        <w:t>委员会注意到缔约国为了改善对惩教设施的监督，特别与检察官和</w:t>
      </w:r>
      <w:r>
        <w:rPr>
          <w:rFonts w:hint="eastAsia"/>
        </w:rPr>
        <w:t>Komnas HAM</w:t>
      </w:r>
      <w:r>
        <w:rPr>
          <w:rFonts w:hint="eastAsia"/>
        </w:rPr>
        <w:t>签署了谅解备忘录，但委员会关注不允许任何一个监督机构对缔约国内的任何被剥夺自由的场所进行未预先通报的查访。委员会还关注有报告表明过度限制监督机构查访军方管制下的被剥夺自由的场所</w:t>
      </w:r>
      <w:r>
        <w:rPr>
          <w:rFonts w:hint="eastAsia"/>
        </w:rPr>
        <w:t>(</w:t>
      </w:r>
      <w:r>
        <w:rPr>
          <w:rFonts w:hint="eastAsia"/>
        </w:rPr>
        <w:t>第九条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缔约国应修订其各项政策，确保监督惩教设施的机构具有权力对所有监狱和拘留设施进行未事先通报的查访。此外，缔约国应便利这些监督机构对所有剥夺自由的场所，包括那些在军方统治之下的被剥夺自由场所进行查访。</w:t>
      </w:r>
    </w:p>
    <w:p w:rsidR="002B7893" w:rsidRDefault="002B7893" w:rsidP="002B7893">
      <w:pPr>
        <w:pStyle w:val="SingleTxtGC"/>
        <w:rPr>
          <w:rFonts w:hint="eastAsia"/>
        </w:rPr>
      </w:pPr>
      <w:r>
        <w:rPr>
          <w:rFonts w:hint="eastAsia"/>
        </w:rPr>
        <w:t xml:space="preserve">21.  </w:t>
      </w:r>
      <w:r>
        <w:rPr>
          <w:rFonts w:hint="eastAsia"/>
        </w:rPr>
        <w:t>委员会注意到缔约国努力建造新的设施来改善监狱的条件。然而，委员会关注有报告表明监狱过分拥挤，没有对一定类别的囚犯进行分割，还发生囚犯死亡现象，而囚犯死亡现象与简陋的环境卫生和缺乏充分的保健照料有关。委员会还关注没有任何关于囚犯向监狱当局提出申诉的数据</w:t>
      </w:r>
      <w:r>
        <w:rPr>
          <w:rFonts w:hint="eastAsia"/>
        </w:rPr>
        <w:t>(</w:t>
      </w:r>
      <w:r>
        <w:rPr>
          <w:rFonts w:hint="eastAsia"/>
        </w:rPr>
        <w:t>第十条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缔约国应根据《公约》和《联合国囚犯待遇最低限度标准规则》加紧努力减少拘留场所拥挤现象，包括采用替代监禁的方式，改善拘留条件，特别要改善有关医疗保健的条件。缔约国应在其下次定期报告内纳入有关囚犯针对监狱人员提出申诉的统计数据。</w:t>
      </w:r>
    </w:p>
    <w:p w:rsidR="002B7893" w:rsidRDefault="002B7893" w:rsidP="002B7893">
      <w:pPr>
        <w:pStyle w:val="SingleTxtGC"/>
        <w:rPr>
          <w:rFonts w:hint="eastAsia"/>
        </w:rPr>
      </w:pPr>
      <w:r>
        <w:rPr>
          <w:rFonts w:hint="eastAsia"/>
        </w:rPr>
        <w:t xml:space="preserve">22.  </w:t>
      </w:r>
      <w:r>
        <w:rPr>
          <w:rFonts w:hint="eastAsia"/>
        </w:rPr>
        <w:t>委员会注意到缔约国答复表明关于税收条例的</w:t>
      </w:r>
      <w:r>
        <w:rPr>
          <w:rFonts w:hint="eastAsia"/>
        </w:rPr>
        <w:t>2000</w:t>
      </w:r>
      <w:r>
        <w:rPr>
          <w:rFonts w:hint="eastAsia"/>
        </w:rPr>
        <w:t>年第</w:t>
      </w:r>
      <w:r>
        <w:rPr>
          <w:rFonts w:hint="eastAsia"/>
        </w:rPr>
        <w:t>19</w:t>
      </w:r>
      <w:r>
        <w:rPr>
          <w:rFonts w:hint="eastAsia"/>
        </w:rPr>
        <w:t>号法惩治逃税行为，因而并不管控民事债务，委员会关注越来越多的报告表明警官滥用</w:t>
      </w:r>
      <w:r>
        <w:rPr>
          <w:rFonts w:hint="eastAsia"/>
        </w:rPr>
        <w:t>gijzelin</w:t>
      </w:r>
      <w:r w:rsidR="00C047D2">
        <w:rPr>
          <w:rFonts w:hint="eastAsia"/>
        </w:rPr>
        <w:t>g</w:t>
      </w:r>
      <w:r>
        <w:rPr>
          <w:rFonts w:hint="eastAsia"/>
        </w:rPr>
        <w:t>制度，根据该项制度个人仅因未向其贷方支付民事债务而被拘留</w:t>
      </w:r>
      <w:r>
        <w:rPr>
          <w:rFonts w:hint="eastAsia"/>
        </w:rPr>
        <w:t>(</w:t>
      </w:r>
      <w:r>
        <w:rPr>
          <w:rFonts w:hint="eastAsia"/>
        </w:rPr>
        <w:t>第</w:t>
      </w:r>
      <w:r w:rsidR="00C047D2">
        <w:rPr>
          <w:rFonts w:hint="eastAsia"/>
        </w:rPr>
        <w:t>十一</w:t>
      </w:r>
      <w:r>
        <w:rPr>
          <w:rFonts w:hint="eastAsia"/>
        </w:rPr>
        <w:t>条</w:t>
      </w:r>
      <w:r>
        <w:rPr>
          <w:rFonts w:hint="eastAsia"/>
        </w:rPr>
        <w:t>)</w:t>
      </w:r>
      <w:r w:rsidR="004E4EC7">
        <w:rPr>
          <w:rFonts w:hint="eastAsia"/>
        </w:rPr>
        <w:t>。</w:t>
      </w:r>
    </w:p>
    <w:p w:rsidR="002B7893" w:rsidRPr="00AE6E76" w:rsidRDefault="002B7893" w:rsidP="002B7893">
      <w:pPr>
        <w:pStyle w:val="SingleTxtGC"/>
        <w:rPr>
          <w:rFonts w:eastAsia="SimHei" w:hint="eastAsia"/>
        </w:rPr>
      </w:pPr>
      <w:r w:rsidRPr="00AE6E76">
        <w:rPr>
          <w:rFonts w:eastAsia="SimHei" w:hint="eastAsia"/>
        </w:rPr>
        <w:t>委员会促请缔约国采取措施杜绝警官滥用</w:t>
      </w:r>
      <w:r w:rsidRPr="00AE6E76">
        <w:rPr>
          <w:rFonts w:eastAsia="SimHei" w:hint="eastAsia"/>
        </w:rPr>
        <w:t>gijzelin</w:t>
      </w:r>
      <w:r w:rsidR="00C047D2">
        <w:rPr>
          <w:rFonts w:eastAsia="SimHei" w:hint="eastAsia"/>
        </w:rPr>
        <w:t>g</w:t>
      </w:r>
      <w:r w:rsidRPr="00AE6E76">
        <w:rPr>
          <w:rFonts w:eastAsia="SimHei" w:hint="eastAsia"/>
        </w:rPr>
        <w:t>制度。在这方面，委员会建议缔约国调查和起诉此类案件，并确保肇事者一旦定罪受到适当的制裁。</w:t>
      </w:r>
    </w:p>
    <w:p w:rsidR="002B7893" w:rsidRDefault="002B7893" w:rsidP="002B7893">
      <w:pPr>
        <w:pStyle w:val="SingleTxtGC"/>
        <w:rPr>
          <w:rFonts w:hint="eastAsia"/>
        </w:rPr>
      </w:pPr>
      <w:r>
        <w:rPr>
          <w:rFonts w:hint="eastAsia"/>
        </w:rPr>
        <w:t xml:space="preserve">23.  </w:t>
      </w:r>
      <w:r>
        <w:rPr>
          <w:rFonts w:hint="eastAsia"/>
        </w:rPr>
        <w:t>委员会欢迎缔约国努力解决司法系统腐败现象，例如建立了根除司法黑手党的专职小组，该专职小组现已由总统的一个工作股取代，并且通过了防止与根除腐败全国战略的</w:t>
      </w:r>
      <w:r>
        <w:rPr>
          <w:rFonts w:hint="eastAsia"/>
        </w:rPr>
        <w:t>2011</w:t>
      </w:r>
      <w:r>
        <w:rPr>
          <w:rFonts w:hint="eastAsia"/>
        </w:rPr>
        <w:t>年第</w:t>
      </w:r>
      <w:r>
        <w:rPr>
          <w:rFonts w:hint="eastAsia"/>
        </w:rPr>
        <w:t>17</w:t>
      </w:r>
      <w:r>
        <w:rPr>
          <w:rFonts w:hint="eastAsia"/>
        </w:rPr>
        <w:t>号总统令。然而委员会关注有报告表明提供司法援助和在一般的司法中存在腐败现象</w:t>
      </w:r>
      <w:r>
        <w:rPr>
          <w:rFonts w:hint="eastAsia"/>
        </w:rPr>
        <w:t>(</w:t>
      </w:r>
      <w:r>
        <w:rPr>
          <w:rFonts w:hint="eastAsia"/>
        </w:rPr>
        <w:t>第二和十四条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缔约国应采取有效措施根除司法部门腐败现象，包括在提供法律援助方面的腐败现象。缔约国应加强努力确保及时、彻底和独立地调查在司法与在提供法律援助方面的腐败指控，起诉，惩办肇事者，包括涉嫌参与腐败的法官。</w:t>
      </w:r>
    </w:p>
    <w:p w:rsidR="002B7893" w:rsidRDefault="002B7893" w:rsidP="002B7893">
      <w:pPr>
        <w:pStyle w:val="SingleTxtGC"/>
        <w:rPr>
          <w:rFonts w:hint="eastAsia"/>
        </w:rPr>
      </w:pPr>
      <w:r>
        <w:rPr>
          <w:rFonts w:hint="eastAsia"/>
        </w:rPr>
        <w:t xml:space="preserve">24.  </w:t>
      </w:r>
      <w:r>
        <w:rPr>
          <w:rFonts w:hint="eastAsia"/>
        </w:rPr>
        <w:t>委员会对近期通过的关于群众组织的法律表示关注，因为该项法律过度地限制了结社自由、言论自由和国内与“外国”协会的宗教自由。委员会特别关注该法的条款对结社登记规定了过分严厉的要求。而且规定此类协会应符合国家官方“</w:t>
      </w:r>
      <w:r>
        <w:rPr>
          <w:rFonts w:hint="eastAsia"/>
        </w:rPr>
        <w:t>Pancasila</w:t>
      </w:r>
      <w:r>
        <w:rPr>
          <w:rFonts w:hint="eastAsia"/>
        </w:rPr>
        <w:t>”理念的要求模糊不清和过分严格。</w:t>
      </w:r>
      <w:r>
        <w:rPr>
          <w:rFonts w:hint="eastAsia"/>
        </w:rPr>
        <w:t>Pancasila</w:t>
      </w:r>
      <w:r>
        <w:rPr>
          <w:rFonts w:hint="eastAsia"/>
        </w:rPr>
        <w:t>鼓吹信奉“一个和唯一的上帝”</w:t>
      </w:r>
      <w:r>
        <w:rPr>
          <w:rFonts w:hint="eastAsia"/>
        </w:rPr>
        <w:t>(</w:t>
      </w:r>
      <w:r>
        <w:rPr>
          <w:rFonts w:hint="eastAsia"/>
        </w:rPr>
        <w:t>第十八、十九和二十二条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委员会促请缔约国审查关于群众组织的法律，确保其符合委员会在其关于思想、良心和宗教自由权的第</w:t>
      </w:r>
      <w:r w:rsidRPr="00AE6E76">
        <w:rPr>
          <w:rFonts w:eastAsia="SimHei" w:hint="eastAsia"/>
        </w:rPr>
        <w:t>22</w:t>
      </w:r>
      <w:r w:rsidRPr="00AE6E76">
        <w:rPr>
          <w:rFonts w:eastAsia="SimHei" w:hint="eastAsia"/>
        </w:rPr>
        <w:t>号一般性评论</w:t>
      </w:r>
      <w:r w:rsidRPr="00AE6E76">
        <w:rPr>
          <w:rFonts w:eastAsia="SimHei" w:hint="eastAsia"/>
        </w:rPr>
        <w:t>(1993</w:t>
      </w:r>
      <w:r w:rsidRPr="00AE6E76">
        <w:rPr>
          <w:rFonts w:eastAsia="SimHei" w:hint="eastAsia"/>
        </w:rPr>
        <w:t>年</w:t>
      </w:r>
      <w:r w:rsidRPr="00AE6E76">
        <w:rPr>
          <w:rFonts w:eastAsia="SimHei" w:hint="eastAsia"/>
        </w:rPr>
        <w:t>)</w:t>
      </w:r>
      <w:r w:rsidRPr="00AE6E76">
        <w:rPr>
          <w:rFonts w:eastAsia="SimHei" w:hint="eastAsia"/>
        </w:rPr>
        <w:t>和关于意见与言论自由的第</w:t>
      </w:r>
      <w:r w:rsidRPr="00AE6E76">
        <w:rPr>
          <w:rFonts w:eastAsia="SimHei" w:hint="eastAsia"/>
        </w:rPr>
        <w:t>34</w:t>
      </w:r>
      <w:r w:rsidRPr="00AE6E76">
        <w:rPr>
          <w:rFonts w:eastAsia="SimHei" w:hint="eastAsia"/>
        </w:rPr>
        <w:t>号</w:t>
      </w:r>
      <w:r w:rsidRPr="00AE6E76">
        <w:rPr>
          <w:rFonts w:eastAsia="SimHei" w:hint="eastAsia"/>
        </w:rPr>
        <w:t>(2011</w:t>
      </w:r>
      <w:r w:rsidRPr="00AE6E76">
        <w:rPr>
          <w:rFonts w:eastAsia="SimHei" w:hint="eastAsia"/>
        </w:rPr>
        <w:t>年</w:t>
      </w:r>
      <w:r w:rsidRPr="00AE6E76">
        <w:rPr>
          <w:rFonts w:eastAsia="SimHei" w:hint="eastAsia"/>
        </w:rPr>
        <w:t>)</w:t>
      </w:r>
      <w:r w:rsidRPr="00AE6E76">
        <w:rPr>
          <w:rFonts w:eastAsia="SimHei" w:hint="eastAsia"/>
        </w:rPr>
        <w:t>一般性评论中所阐述的《公约》第十八、十九和二十二条的条款。</w:t>
      </w:r>
    </w:p>
    <w:p w:rsidR="002B7893" w:rsidRDefault="002B7893" w:rsidP="002B7893">
      <w:pPr>
        <w:pStyle w:val="SingleTxtGC"/>
        <w:rPr>
          <w:rFonts w:hint="eastAsia"/>
        </w:rPr>
      </w:pPr>
      <w:r>
        <w:rPr>
          <w:rFonts w:hint="eastAsia"/>
        </w:rPr>
        <w:t xml:space="preserve">25.  </w:t>
      </w:r>
      <w:r>
        <w:rPr>
          <w:rFonts w:hint="eastAsia"/>
        </w:rPr>
        <w:t>委员会对关于宗教毁名的</w:t>
      </w:r>
      <w:r>
        <w:rPr>
          <w:rFonts w:hint="eastAsia"/>
        </w:rPr>
        <w:t>1965</w:t>
      </w:r>
      <w:r>
        <w:rPr>
          <w:rFonts w:hint="eastAsia"/>
        </w:rPr>
        <w:t>年第</w:t>
      </w:r>
      <w:r>
        <w:rPr>
          <w:rFonts w:hint="eastAsia"/>
        </w:rPr>
        <w:t>1</w:t>
      </w:r>
      <w:r>
        <w:rPr>
          <w:rFonts w:hint="eastAsia"/>
        </w:rPr>
        <w:t>号法表示遗憾。该法禁止诠释被认为背离受保护与承认宗教教诲的宗教教义。</w:t>
      </w:r>
      <w:r>
        <w:rPr>
          <w:rFonts w:hint="eastAsia"/>
        </w:rPr>
        <w:tab/>
      </w:r>
      <w:r>
        <w:rPr>
          <w:rFonts w:hint="eastAsia"/>
        </w:rPr>
        <w:t>印度尼西亚乌里玛理事会</w:t>
      </w:r>
      <w:r>
        <w:rPr>
          <w:rFonts w:hint="eastAsia"/>
        </w:rPr>
        <w:t>2005</w:t>
      </w:r>
      <w:r>
        <w:rPr>
          <w:rFonts w:hint="eastAsia"/>
        </w:rPr>
        <w:t>年法令和宗教事务部长及其他人的</w:t>
      </w:r>
      <w:r>
        <w:rPr>
          <w:rFonts w:hint="eastAsia"/>
        </w:rPr>
        <w:t>2008</w:t>
      </w:r>
      <w:r>
        <w:rPr>
          <w:rFonts w:hint="eastAsia"/>
        </w:rPr>
        <w:t>年的联合法令过度限制宗教少数，例如</w:t>
      </w:r>
      <w:r>
        <w:rPr>
          <w:rFonts w:hint="eastAsia"/>
        </w:rPr>
        <w:t>Ahmadiyya</w:t>
      </w:r>
      <w:r>
        <w:rPr>
          <w:rFonts w:hint="eastAsia"/>
        </w:rPr>
        <w:t>的宗教和言论自由。委员会还关注其他宗教少数，例如</w:t>
      </w:r>
      <w:r>
        <w:rPr>
          <w:rFonts w:hint="eastAsia"/>
        </w:rPr>
        <w:t>Shia</w:t>
      </w:r>
      <w:r>
        <w:rPr>
          <w:rFonts w:hint="eastAsia"/>
        </w:rPr>
        <w:t>和基督教遭受迫害的举报。这些宗教少数遭受到其他宗教群体和执法人员的暴力侵害</w:t>
      </w:r>
      <w:r>
        <w:rPr>
          <w:rFonts w:hint="eastAsia"/>
        </w:rPr>
        <w:t>(</w:t>
      </w:r>
      <w:r>
        <w:rPr>
          <w:rFonts w:hint="eastAsia"/>
        </w:rPr>
        <w:t>第十八、十九、二十一和二十二条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尽管宪法法院通过了支持有关宗教诽谤的</w:t>
      </w:r>
      <w:r w:rsidRPr="00AE6E76">
        <w:rPr>
          <w:rFonts w:eastAsia="SimHei" w:hint="eastAsia"/>
        </w:rPr>
        <w:t>1965</w:t>
      </w:r>
      <w:r w:rsidRPr="00AE6E76">
        <w:rPr>
          <w:rFonts w:eastAsia="SimHei" w:hint="eastAsia"/>
        </w:rPr>
        <w:t>年第</w:t>
      </w:r>
      <w:r w:rsidRPr="00AE6E76">
        <w:rPr>
          <w:rFonts w:eastAsia="SimHei" w:hint="eastAsia"/>
        </w:rPr>
        <w:t>1</w:t>
      </w:r>
      <w:r w:rsidRPr="00AE6E76">
        <w:rPr>
          <w:rFonts w:eastAsia="SimHei" w:hint="eastAsia"/>
        </w:rPr>
        <w:t>号法的决定，但委员会认为该法不符合《公约》的条款，应立即予以废除。委员会重申其在第</w:t>
      </w:r>
      <w:r w:rsidRPr="00AE6E76">
        <w:rPr>
          <w:rFonts w:eastAsia="SimHei" w:hint="eastAsia"/>
        </w:rPr>
        <w:t>34</w:t>
      </w:r>
      <w:r w:rsidRPr="00AE6E76">
        <w:rPr>
          <w:rFonts w:eastAsia="SimHei" w:hint="eastAsia"/>
        </w:rPr>
        <w:t>号一般性意见第</w:t>
      </w:r>
      <w:r w:rsidRPr="00AE6E76">
        <w:rPr>
          <w:rFonts w:eastAsia="SimHei" w:hint="eastAsia"/>
        </w:rPr>
        <w:t>48</w:t>
      </w:r>
      <w:r w:rsidRPr="00AE6E76">
        <w:rPr>
          <w:rFonts w:eastAsia="SimHei" w:hint="eastAsia"/>
        </w:rPr>
        <w:t>段内所表达的立场：“禁止不尊重宗教和其他信仰体系的表现，包括亵渎法不符合《公约》，但《公约》第二十条第</w:t>
      </w:r>
      <w:r w:rsidRPr="00AE6E76">
        <w:rPr>
          <w:rFonts w:eastAsia="SimHei" w:hint="eastAsia"/>
        </w:rPr>
        <w:t>2</w:t>
      </w:r>
      <w:r w:rsidRPr="00AE6E76">
        <w:rPr>
          <w:rFonts w:eastAsia="SimHei" w:hint="eastAsia"/>
        </w:rPr>
        <w:t>款规定的具体情况除外。因此，例如，任何此类法律均不得存在利于或不利于某个或某些宗教或信仰体系，或者其拥护者优于他人，或者宗教信徒优于非信徒的差别待遇。也不得利用此类限制防止或处罚批评宗教领袖或评论宗教教义和信仰原则的行为。”此外，委员会建议缔约国提供充分的保护，防止对宗教少数群体成员施加任何暴力行为。</w:t>
      </w:r>
    </w:p>
    <w:p w:rsidR="002B7893" w:rsidRDefault="002B7893" w:rsidP="002B7893">
      <w:pPr>
        <w:pStyle w:val="SingleTxtGC"/>
        <w:rPr>
          <w:rFonts w:hint="eastAsia"/>
        </w:rPr>
      </w:pPr>
      <w:r>
        <w:rPr>
          <w:rFonts w:hint="eastAsia"/>
        </w:rPr>
        <w:t xml:space="preserve">26.  </w:t>
      </w:r>
      <w:r>
        <w:rPr>
          <w:rFonts w:hint="eastAsia"/>
        </w:rPr>
        <w:t>委员会注意到缔约国目前正在制定一项作为加强宗教容忍法律框架的法案。委员会也承认缔约国努力改革学校教程，以便向不同宗教背景的学生可以学习其所信奉的宗教。委员会进一步注意到在学校内宗教作为必修科目传授，该国打算仅部分地扩展其将要传授的宗教清单。然而，缔约国并不打算让学生选择其所传授的宗教，并不打算规定可以避免接受宗教教育的可能性</w:t>
      </w:r>
      <w:r>
        <w:rPr>
          <w:rFonts w:hint="eastAsia"/>
        </w:rPr>
        <w:t>(</w:t>
      </w:r>
      <w:r>
        <w:rPr>
          <w:rFonts w:hint="eastAsia"/>
        </w:rPr>
        <w:t>第二条和第十八条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委员会认为思想、意识和宗教自由权意味着不仅仅接受或者奉行某一宗教或信仰的自由，也意味着抵制这些信仰的权利。委员会提到其第</w:t>
      </w:r>
      <w:r w:rsidRPr="00AE6E76">
        <w:rPr>
          <w:rFonts w:eastAsia="SimHei" w:hint="eastAsia"/>
        </w:rPr>
        <w:t>22</w:t>
      </w:r>
      <w:r w:rsidRPr="00AE6E76">
        <w:rPr>
          <w:rFonts w:eastAsia="SimHei" w:hint="eastAsia"/>
        </w:rPr>
        <w:t>号一般性意见，提请缔约国注意“包括特定宗教或信仰在内的公共教育除非规定了能够符合父母和法定监护人愿望的不歧视例外办法或备选方法，否则即不符合第十八第</w:t>
      </w:r>
      <w:r w:rsidRPr="00AE6E76">
        <w:rPr>
          <w:rFonts w:eastAsia="SimHei" w:hint="eastAsia"/>
        </w:rPr>
        <w:t>4</w:t>
      </w:r>
      <w:r w:rsidRPr="00AE6E76">
        <w:rPr>
          <w:rFonts w:eastAsia="SimHei" w:hint="eastAsia"/>
        </w:rPr>
        <w:t>款的规定”。</w:t>
      </w:r>
      <w:r w:rsidRPr="00AE6E76">
        <w:rPr>
          <w:rFonts w:eastAsia="SimHei" w:hint="eastAsia"/>
        </w:rPr>
        <w:t>(</w:t>
      </w:r>
      <w:r w:rsidRPr="00AE6E76">
        <w:rPr>
          <w:rFonts w:eastAsia="SimHei" w:hint="eastAsia"/>
        </w:rPr>
        <w:t>第</w:t>
      </w:r>
      <w:r w:rsidRPr="00AE6E76">
        <w:rPr>
          <w:rFonts w:eastAsia="SimHei" w:hint="eastAsia"/>
        </w:rPr>
        <w:t>22</w:t>
      </w:r>
      <w:r w:rsidRPr="00AE6E76">
        <w:rPr>
          <w:rFonts w:eastAsia="SimHei" w:hint="eastAsia"/>
        </w:rPr>
        <w:t>号一般性意见，第</w:t>
      </w:r>
      <w:r w:rsidRPr="00AE6E76">
        <w:rPr>
          <w:rFonts w:eastAsia="SimHei" w:hint="eastAsia"/>
        </w:rPr>
        <w:t>6</w:t>
      </w:r>
      <w:r w:rsidRPr="00AE6E76">
        <w:rPr>
          <w:rFonts w:eastAsia="SimHei" w:hint="eastAsia"/>
        </w:rPr>
        <w:t>段</w:t>
      </w:r>
      <w:r w:rsidRPr="00AE6E76">
        <w:rPr>
          <w:rFonts w:eastAsia="SimHei" w:hint="eastAsia"/>
        </w:rPr>
        <w:t>)</w:t>
      </w:r>
      <w:r w:rsidRPr="00AE6E76">
        <w:rPr>
          <w:rFonts w:eastAsia="SimHei" w:hint="eastAsia"/>
        </w:rPr>
        <w:t>。因而委员会建议缔约国改革其教程促进宗教多样性并确保同时顾及信仰者与非信仰者的愿望。</w:t>
      </w:r>
    </w:p>
    <w:p w:rsidR="002B7893" w:rsidRDefault="002B7893" w:rsidP="002B7893">
      <w:pPr>
        <w:pStyle w:val="SingleTxtGC"/>
        <w:rPr>
          <w:rFonts w:hint="eastAsia"/>
        </w:rPr>
      </w:pPr>
      <w:r>
        <w:rPr>
          <w:rFonts w:hint="eastAsia"/>
        </w:rPr>
        <w:t xml:space="preserve">27.  </w:t>
      </w:r>
      <w:r>
        <w:rPr>
          <w:rFonts w:hint="eastAsia"/>
        </w:rPr>
        <w:t>委员会关注《刑法典》诋毁条款和关于信息和电子交易的</w:t>
      </w:r>
      <w:r>
        <w:rPr>
          <w:rFonts w:hint="eastAsia"/>
        </w:rPr>
        <w:t>2008</w:t>
      </w:r>
      <w:r>
        <w:rPr>
          <w:rFonts w:hint="eastAsia"/>
        </w:rPr>
        <w:t>年第</w:t>
      </w:r>
      <w:r>
        <w:rPr>
          <w:rFonts w:hint="eastAsia"/>
        </w:rPr>
        <w:t>11</w:t>
      </w:r>
      <w:r>
        <w:rPr>
          <w:rFonts w:hint="eastAsia"/>
        </w:rPr>
        <w:t>号法的执行抑制了对国家官员的合法批评</w:t>
      </w:r>
      <w:r>
        <w:rPr>
          <w:rFonts w:hint="eastAsia"/>
        </w:rPr>
        <w:t>(</w:t>
      </w:r>
      <w:r w:rsidR="00C047D2">
        <w:rPr>
          <w:rFonts w:hint="eastAsia"/>
        </w:rPr>
        <w:t>第</w:t>
      </w:r>
      <w:r>
        <w:rPr>
          <w:rFonts w:hint="eastAsia"/>
        </w:rPr>
        <w:t>十九条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缔约国应考虑修订其诋毁法，特别要修订关于信息和电子交易法，确保这些法律符合《公约》第十九条。</w:t>
      </w:r>
    </w:p>
    <w:p w:rsidR="002B7893" w:rsidRDefault="002B7893" w:rsidP="002B7893">
      <w:pPr>
        <w:pStyle w:val="SingleTxtGC"/>
        <w:rPr>
          <w:rFonts w:hint="eastAsia"/>
        </w:rPr>
      </w:pPr>
      <w:r>
        <w:rPr>
          <w:rFonts w:hint="eastAsia"/>
        </w:rPr>
        <w:t xml:space="preserve">28.  </w:t>
      </w:r>
      <w:r>
        <w:rPr>
          <w:rFonts w:hint="eastAsia"/>
        </w:rPr>
        <w:t>委员会注意到，</w:t>
      </w:r>
      <w:r>
        <w:rPr>
          <w:rFonts w:hint="eastAsia"/>
        </w:rPr>
        <w:t>Papua</w:t>
      </w:r>
      <w:r>
        <w:rPr>
          <w:rFonts w:hint="eastAsia"/>
        </w:rPr>
        <w:t>与其他省份不同，不要求</w:t>
      </w:r>
      <w:r>
        <w:rPr>
          <w:rFonts w:hint="eastAsia"/>
        </w:rPr>
        <w:t>Papua</w:t>
      </w:r>
      <w:r>
        <w:rPr>
          <w:rFonts w:hint="eastAsia"/>
        </w:rPr>
        <w:t>示威者在举行示威之前获得警方允许，但委员会仍然关注对西巴布亚示威者过度地限制集会和言论自由</w:t>
      </w:r>
      <w:r>
        <w:rPr>
          <w:rFonts w:hint="eastAsia"/>
        </w:rPr>
        <w:t>(</w:t>
      </w:r>
      <w:r>
        <w:rPr>
          <w:rFonts w:hint="eastAsia"/>
        </w:rPr>
        <w:t>第十九条和二十一条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根据委员会第</w:t>
      </w:r>
      <w:r w:rsidRPr="00AE6E76">
        <w:rPr>
          <w:rFonts w:eastAsia="SimHei" w:hint="eastAsia"/>
        </w:rPr>
        <w:t>34</w:t>
      </w:r>
      <w:r w:rsidRPr="00AE6E76">
        <w:rPr>
          <w:rFonts w:eastAsia="SimHei" w:hint="eastAsia"/>
        </w:rPr>
        <w:t>号一般性意见，缔约国应采取必要步骤确保对言论自由的限制，如第</w:t>
      </w:r>
      <w:r w:rsidRPr="00AE6E76">
        <w:rPr>
          <w:rFonts w:eastAsia="SimHei" w:hint="eastAsia"/>
        </w:rPr>
        <w:t>34</w:t>
      </w:r>
      <w:r w:rsidRPr="00AE6E76">
        <w:rPr>
          <w:rFonts w:eastAsia="SimHei" w:hint="eastAsia"/>
        </w:rPr>
        <w:t>号一般性意见进一步阐明的那样，完全遵守《公约》第十九条第</w:t>
      </w:r>
      <w:r w:rsidRPr="00AE6E76">
        <w:rPr>
          <w:rFonts w:eastAsia="SimHei" w:hint="eastAsia"/>
        </w:rPr>
        <w:t>3</w:t>
      </w:r>
      <w:r w:rsidRPr="00AE6E76">
        <w:rPr>
          <w:rFonts w:eastAsia="SimHei" w:hint="eastAsia"/>
        </w:rPr>
        <w:t>款的严格要求。缔约国应确保人人享有和平集会自由，保护示威者免遭骚扰、恐吓与暴力行为。缔约国应坚持不懈地调查此类案件，起诉负有责任者。</w:t>
      </w:r>
    </w:p>
    <w:p w:rsidR="002B7893" w:rsidRDefault="002B7893" w:rsidP="002B7893">
      <w:pPr>
        <w:pStyle w:val="SingleTxtGC"/>
        <w:rPr>
          <w:rFonts w:hint="eastAsia"/>
        </w:rPr>
      </w:pPr>
      <w:r>
        <w:rPr>
          <w:rFonts w:hint="eastAsia"/>
        </w:rPr>
        <w:t xml:space="preserve">29.  </w:t>
      </w:r>
      <w:r>
        <w:rPr>
          <w:rFonts w:hint="eastAsia"/>
        </w:rPr>
        <w:t>委员会关注有报告表明一夫多妻制的做法普遍存在，女孩的最低结婚年龄是</w:t>
      </w:r>
      <w:r>
        <w:rPr>
          <w:rFonts w:hint="eastAsia"/>
        </w:rPr>
        <w:t>16</w:t>
      </w:r>
      <w:r>
        <w:rPr>
          <w:rFonts w:hint="eastAsia"/>
        </w:rPr>
        <w:t>岁，男孩是</w:t>
      </w:r>
      <w:r>
        <w:rPr>
          <w:rFonts w:hint="eastAsia"/>
        </w:rPr>
        <w:t>19</w:t>
      </w:r>
      <w:r>
        <w:rPr>
          <w:rFonts w:hint="eastAsia"/>
        </w:rPr>
        <w:t>岁。委员会关注报告表明缔约国的女孩中始终存在早婚的现象</w:t>
      </w:r>
      <w:r>
        <w:rPr>
          <w:rFonts w:hint="eastAsia"/>
        </w:rPr>
        <w:t>(</w:t>
      </w:r>
      <w:r>
        <w:rPr>
          <w:rFonts w:hint="eastAsia"/>
        </w:rPr>
        <w:t>第二、第三、二十四和二十六条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缔约国应采取适当措施确保其法律有效禁止一夫多妻制并予以有效地实施，缔约国应在民众中，特别在妇女中开展有关禁止一夫多妻制和其负面影响的提高认识运动。缔约国应审查其立法以便禁止早婚。缔</w:t>
      </w:r>
      <w:r w:rsidR="001375E7">
        <w:rPr>
          <w:rFonts w:eastAsia="SimHei" w:hint="eastAsia"/>
        </w:rPr>
        <w:t>约国应进一步加强措施，在各个省份建立机制消除早婚，在继续在社区开展提高认识战略</w:t>
      </w:r>
      <w:r w:rsidRPr="00AE6E76">
        <w:rPr>
          <w:rFonts w:eastAsia="SimHei" w:hint="eastAsia"/>
        </w:rPr>
        <w:t>，重点放在早婚后果方面。缔约国还应收集有关一夫多妻制和早婚的数据，并在下次定期报告中向委员会提供这一资料。</w:t>
      </w:r>
    </w:p>
    <w:p w:rsidR="002B7893" w:rsidRDefault="002B7893" w:rsidP="002B7893">
      <w:pPr>
        <w:pStyle w:val="SingleTxtGC"/>
        <w:rPr>
          <w:rFonts w:hint="eastAsia"/>
        </w:rPr>
      </w:pPr>
      <w:r>
        <w:rPr>
          <w:rFonts w:hint="eastAsia"/>
        </w:rPr>
        <w:t xml:space="preserve">30.  </w:t>
      </w:r>
      <w:r>
        <w:rPr>
          <w:rFonts w:hint="eastAsia"/>
        </w:rPr>
        <w:t>委员会欢迎</w:t>
      </w:r>
      <w:r>
        <w:rPr>
          <w:rFonts w:hint="eastAsia"/>
        </w:rPr>
        <w:t>2012</w:t>
      </w:r>
      <w:r>
        <w:rPr>
          <w:rFonts w:hint="eastAsia"/>
        </w:rPr>
        <w:t>年</w:t>
      </w:r>
      <w:r>
        <w:rPr>
          <w:rFonts w:hint="eastAsia"/>
        </w:rPr>
        <w:t>2</w:t>
      </w:r>
      <w:r>
        <w:rPr>
          <w:rFonts w:hint="eastAsia"/>
        </w:rPr>
        <w:t>月</w:t>
      </w:r>
      <w:r>
        <w:rPr>
          <w:rFonts w:hint="eastAsia"/>
        </w:rPr>
        <w:t>17</w:t>
      </w:r>
      <w:r>
        <w:rPr>
          <w:rFonts w:hint="eastAsia"/>
        </w:rPr>
        <w:t>日第</w:t>
      </w:r>
      <w:r>
        <w:rPr>
          <w:rFonts w:hint="eastAsia"/>
        </w:rPr>
        <w:t>46/PUU-VIII/2010</w:t>
      </w:r>
      <w:r>
        <w:rPr>
          <w:rFonts w:hint="eastAsia"/>
        </w:rPr>
        <w:t>号宪法法院裁决。该项裁决就非婚生儿童的继承权澄清了关于婚姻的</w:t>
      </w:r>
      <w:r>
        <w:rPr>
          <w:rFonts w:hint="eastAsia"/>
        </w:rPr>
        <w:t>1974</w:t>
      </w:r>
      <w:r>
        <w:rPr>
          <w:rFonts w:hint="eastAsia"/>
        </w:rPr>
        <w:t>年第</w:t>
      </w:r>
      <w:r>
        <w:rPr>
          <w:rFonts w:hint="eastAsia"/>
        </w:rPr>
        <w:t>1</w:t>
      </w:r>
      <w:r>
        <w:rPr>
          <w:rFonts w:hint="eastAsia"/>
        </w:rPr>
        <w:t>号法。但是，委员会关注并没有努力修正该法，而由公众和当局诠释与实施宪法法院的裁决</w:t>
      </w:r>
      <w:r>
        <w:rPr>
          <w:rFonts w:hint="eastAsia"/>
        </w:rPr>
        <w:t>(</w:t>
      </w:r>
      <w:r>
        <w:rPr>
          <w:rFonts w:hint="eastAsia"/>
        </w:rPr>
        <w:t>第二和二十四条</w:t>
      </w:r>
      <w:r>
        <w:rPr>
          <w:rFonts w:hint="eastAsia"/>
        </w:rPr>
        <w:t>)</w:t>
      </w:r>
      <w:r>
        <w:rPr>
          <w:rFonts w:hint="eastAsia"/>
        </w:rPr>
        <w:t>。</w:t>
      </w:r>
    </w:p>
    <w:p w:rsidR="002B7893" w:rsidRPr="00AE6E76" w:rsidRDefault="002B7893" w:rsidP="002B7893">
      <w:pPr>
        <w:pStyle w:val="SingleTxtGC"/>
        <w:rPr>
          <w:rFonts w:eastAsia="SimHei" w:hint="eastAsia"/>
        </w:rPr>
      </w:pPr>
      <w:r w:rsidRPr="00AE6E76">
        <w:rPr>
          <w:rFonts w:eastAsia="SimHei" w:hint="eastAsia"/>
        </w:rPr>
        <w:t>根据宪法法院关于非婚生儿童继承权的裁决，委员会促请缔约国根据宪法法院的裁决和《公约》采取立法步骤修订婚姻法及相关的立法。</w:t>
      </w:r>
    </w:p>
    <w:p w:rsidR="002B7893" w:rsidRDefault="002B7893" w:rsidP="002B7893">
      <w:pPr>
        <w:pStyle w:val="SingleTxtGC"/>
        <w:rPr>
          <w:rFonts w:hint="eastAsia"/>
        </w:rPr>
      </w:pPr>
      <w:r>
        <w:rPr>
          <w:rFonts w:hint="eastAsia"/>
        </w:rPr>
        <w:t xml:space="preserve">31.  </w:t>
      </w:r>
      <w:r>
        <w:rPr>
          <w:rFonts w:hint="eastAsia"/>
        </w:rPr>
        <w:t>缔约国应广泛散发本《公约》、初次报告的案文、缔约国为答复委员会编制的问题清单提供的书面答复以及本结论性意见，提高执法、立法和行政当局、民间社会和在该国境内运作的非政府组织以及广大公众的认识。委员会还建议将本报告和结论性意见翻译为该国的官方语言。委员会还请缔约国在编写第二次定期报告时与民间社会和非政府组织进行广泛磋商。</w:t>
      </w:r>
    </w:p>
    <w:p w:rsidR="002B7893" w:rsidRDefault="002B7893" w:rsidP="002B7893">
      <w:pPr>
        <w:pStyle w:val="SingleTxtGC"/>
        <w:rPr>
          <w:rFonts w:hint="eastAsia"/>
        </w:rPr>
      </w:pPr>
      <w:r>
        <w:rPr>
          <w:rFonts w:hint="eastAsia"/>
        </w:rPr>
        <w:t xml:space="preserve">32.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款，缔约国应在一年以内提供有关资料，说明上文第</w:t>
      </w:r>
      <w:r>
        <w:rPr>
          <w:rFonts w:hint="eastAsia"/>
        </w:rPr>
        <w:t>8</w:t>
      </w:r>
      <w:r>
        <w:rPr>
          <w:rFonts w:hint="eastAsia"/>
        </w:rPr>
        <w:t>、第</w:t>
      </w:r>
      <w:r>
        <w:rPr>
          <w:rFonts w:hint="eastAsia"/>
        </w:rPr>
        <w:t>10</w:t>
      </w:r>
      <w:r>
        <w:rPr>
          <w:rFonts w:hint="eastAsia"/>
        </w:rPr>
        <w:t>、</w:t>
      </w:r>
      <w:r>
        <w:rPr>
          <w:rFonts w:hint="eastAsia"/>
        </w:rPr>
        <w:t>12</w:t>
      </w:r>
      <w:r>
        <w:rPr>
          <w:rFonts w:hint="eastAsia"/>
        </w:rPr>
        <w:t>和</w:t>
      </w:r>
      <w:r>
        <w:rPr>
          <w:rFonts w:hint="eastAsia"/>
        </w:rPr>
        <w:t>25</w:t>
      </w:r>
      <w:r>
        <w:rPr>
          <w:rFonts w:hint="eastAsia"/>
        </w:rPr>
        <w:t>段内委员会建议的落实情况。</w:t>
      </w:r>
    </w:p>
    <w:p w:rsidR="002B7893" w:rsidRDefault="002B7893" w:rsidP="002B7893">
      <w:pPr>
        <w:pStyle w:val="SingleTxtGC"/>
        <w:rPr>
          <w:rFonts w:hint="eastAsia"/>
        </w:rPr>
      </w:pPr>
      <w:r>
        <w:rPr>
          <w:rFonts w:hint="eastAsia"/>
        </w:rPr>
        <w:t xml:space="preserve">33.  </w:t>
      </w:r>
      <w:r>
        <w:rPr>
          <w:rFonts w:hint="eastAsia"/>
        </w:rPr>
        <w:t>委员会请其在</w:t>
      </w:r>
      <w:r>
        <w:rPr>
          <w:rFonts w:hint="eastAsia"/>
        </w:rPr>
        <w:t>2017</w:t>
      </w:r>
      <w:r>
        <w:rPr>
          <w:rFonts w:hint="eastAsia"/>
        </w:rPr>
        <w:t>年</w:t>
      </w:r>
      <w:r>
        <w:rPr>
          <w:rFonts w:hint="eastAsia"/>
        </w:rPr>
        <w:t>7</w:t>
      </w:r>
      <w:r>
        <w:rPr>
          <w:rFonts w:hint="eastAsia"/>
        </w:rPr>
        <w:t>月</w:t>
      </w:r>
      <w:r>
        <w:rPr>
          <w:rFonts w:hint="eastAsia"/>
        </w:rPr>
        <w:t>26</w:t>
      </w:r>
      <w:r>
        <w:rPr>
          <w:rFonts w:hint="eastAsia"/>
        </w:rPr>
        <w:t>日提交的下次报告中提供委员会所有建议和《公约》全面情况的最新具体资料。</w:t>
      </w:r>
    </w:p>
    <w:p w:rsidR="00C40431" w:rsidRDefault="00C40431" w:rsidP="002B7893">
      <w:pPr>
        <w:pStyle w:val="SingleTxtGC"/>
        <w:rPr>
          <w:rFonts w:hint="eastAsia"/>
        </w:rPr>
      </w:pPr>
    </w:p>
    <w:p w:rsidR="002B7893" w:rsidRPr="00C047D2" w:rsidRDefault="002B7893" w:rsidP="00C047D2">
      <w:pPr>
        <w:spacing w:before="240"/>
        <w:jc w:val="center"/>
        <w:rPr>
          <w:rFonts w:hint="eastAsia"/>
          <w:u w:val="single"/>
        </w:rPr>
      </w:pPr>
      <w:r w:rsidRPr="00C047D2">
        <w:rPr>
          <w:rFonts w:hint="eastAsia"/>
          <w:u w:val="single"/>
        </w:rPr>
        <w:tab/>
      </w:r>
      <w:r w:rsidRPr="00C047D2">
        <w:rPr>
          <w:rFonts w:hint="eastAsia"/>
          <w:u w:val="single"/>
        </w:rPr>
        <w:tab/>
      </w:r>
      <w:r w:rsidRPr="00C047D2">
        <w:rPr>
          <w:rFonts w:hint="eastAsia"/>
          <w:u w:val="single"/>
        </w:rPr>
        <w:tab/>
      </w:r>
      <w:r w:rsidRPr="00C047D2">
        <w:rPr>
          <w:u w:val="single"/>
        </w:rPr>
        <w:tab/>
      </w:r>
    </w:p>
    <w:sectPr w:rsidR="002B7893" w:rsidRPr="00C047D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2E0" w:rsidRPr="000F217F" w:rsidRDefault="00F322E0"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F322E0" w:rsidRPr="000F217F" w:rsidRDefault="00F322E0"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2E0" w:rsidRPr="00AE6E76" w:rsidRDefault="00F322E0"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AE6E76">
      <w:rPr>
        <w:rFonts w:eastAsia="SimSun"/>
      </w:rPr>
      <w:t>GE.13-46258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2E0" w:rsidRDefault="00F322E0">
    <w:pPr>
      <w:pStyle w:val="Footer"/>
      <w:tabs>
        <w:tab w:val="right" w:pos="9639"/>
      </w:tabs>
    </w:pPr>
    <w:r w:rsidRPr="00AE6E76">
      <w:rPr>
        <w:rFonts w:eastAsia="SimSun"/>
      </w:rPr>
      <w:t>GE.13-46258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2E0" w:rsidRPr="00FC23DC" w:rsidRDefault="00F322E0" w:rsidP="00FC23DC">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46258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250913</w:t>
    </w:r>
    <w:r>
      <w:rPr>
        <w:rFonts w:eastAsia="SimSun"/>
        <w:sz w:val="20"/>
        <w:lang w:eastAsia="zh-CN"/>
      </w:rPr>
      <w:tab/>
    </w:r>
    <w:r>
      <w:rPr>
        <w:rFonts w:eastAsia="SimSun" w:hint="eastAsia"/>
        <w:sz w:val="20"/>
        <w:lang w:eastAsia="zh-CN"/>
      </w:rPr>
      <w:t>270913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2E0" w:rsidRPr="00052154" w:rsidRDefault="00F322E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322E0" w:rsidRPr="00052154" w:rsidRDefault="00F322E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F322E0" w:rsidRPr="0033717E" w:rsidRDefault="00F322E0">
      <w:pPr>
        <w:pStyle w:val="FootnoteText"/>
      </w:pPr>
      <w:r>
        <w:rPr>
          <w:rFonts w:hint="eastAsia"/>
        </w:rPr>
        <w:tab/>
      </w:r>
      <w:r w:rsidRPr="0033717E">
        <w:rPr>
          <w:rStyle w:val="FootnoteReference"/>
          <w:vertAlign w:val="baseline"/>
        </w:rPr>
        <w:t>*</w:t>
      </w:r>
      <w:r w:rsidRPr="0033717E">
        <w:rPr>
          <w:rFonts w:hint="eastAsia"/>
        </w:rPr>
        <w:tab/>
      </w:r>
      <w:r w:rsidRPr="0033717E">
        <w:rPr>
          <w:rFonts w:hint="eastAsia"/>
        </w:rPr>
        <w:t>委员会第</w:t>
      </w:r>
      <w:r>
        <w:rPr>
          <w:rFonts w:hint="eastAsia"/>
        </w:rPr>
        <w:t>一</w:t>
      </w:r>
      <w:r>
        <w:rPr>
          <w:rFonts w:ascii="SimSun" w:hAnsi="SimSun" w:hint="eastAsia"/>
        </w:rPr>
        <w:t>〇</w:t>
      </w:r>
      <w:r>
        <w:rPr>
          <w:rFonts w:hint="eastAsia"/>
        </w:rPr>
        <w:t>八</w:t>
      </w:r>
      <w:r w:rsidRPr="0033717E">
        <w:rPr>
          <w:rFonts w:hint="eastAsia"/>
        </w:rPr>
        <w:t>届会议</w:t>
      </w:r>
      <w:r w:rsidRPr="0033717E">
        <w:rPr>
          <w:rFonts w:hint="eastAsia"/>
        </w:rPr>
        <w:t>(2013</w:t>
      </w:r>
      <w:r w:rsidRPr="0033717E">
        <w:rPr>
          <w:rFonts w:hint="eastAsia"/>
        </w:rPr>
        <w:t>年</w:t>
      </w:r>
      <w:r w:rsidRPr="0033717E">
        <w:rPr>
          <w:rFonts w:hint="eastAsia"/>
        </w:rPr>
        <w:t>7</w:t>
      </w:r>
      <w:r w:rsidRPr="0033717E">
        <w:rPr>
          <w:rFonts w:hint="eastAsia"/>
        </w:rPr>
        <w:t>月</w:t>
      </w:r>
      <w:r w:rsidRPr="0033717E">
        <w:rPr>
          <w:rFonts w:hint="eastAsia"/>
        </w:rPr>
        <w:t>8</w:t>
      </w:r>
      <w:r w:rsidRPr="0033717E">
        <w:rPr>
          <w:rFonts w:hint="eastAsia"/>
        </w:rPr>
        <w:t>日至</w:t>
      </w:r>
      <w:r w:rsidRPr="0033717E">
        <w:rPr>
          <w:rFonts w:hint="eastAsia"/>
        </w:rPr>
        <w:t>26</w:t>
      </w:r>
      <w:r w:rsidRPr="0033717E">
        <w:rPr>
          <w:rFonts w:hint="eastAsia"/>
        </w:rPr>
        <w:t>日</w:t>
      </w:r>
      <w:r w:rsidRPr="0033717E">
        <w:rPr>
          <w:rFonts w:hint="eastAsia"/>
        </w:rPr>
        <w:t>)</w:t>
      </w:r>
      <w:r w:rsidRPr="0033717E">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2E0" w:rsidRPr="00AE6E76" w:rsidRDefault="00F322E0">
    <w:pPr>
      <w:pStyle w:val="Header"/>
    </w:pPr>
    <w:r w:rsidRPr="00AE6E76">
      <w:t>CCPR/C/IDN/CO/1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2E0" w:rsidRPr="00AE6E76" w:rsidRDefault="00F322E0">
    <w:pPr>
      <w:pStyle w:val="Header"/>
      <w:jc w:val="right"/>
    </w:pPr>
    <w:r w:rsidRPr="00AE6E76">
      <w:t>CCPR/C/IDN/CO/1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6E7B76"/>
    <w:multiLevelType w:val="hybridMultilevel"/>
    <w:tmpl w:val="5814494C"/>
    <w:lvl w:ilvl="0" w:tplc="FECCA36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CF55EA2"/>
    <w:multiLevelType w:val="hybridMultilevel"/>
    <w:tmpl w:val="8B3269F6"/>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4AF4E79"/>
    <w:multiLevelType w:val="hybridMultilevel"/>
    <w:tmpl w:val="93C2244A"/>
    <w:lvl w:ilvl="0" w:tplc="534E477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4DE80DDB"/>
    <w:multiLevelType w:val="hybridMultilevel"/>
    <w:tmpl w:val="8B4685B0"/>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6"/>
  </w:num>
  <w:num w:numId="13">
    <w:abstractNumId w:val="17"/>
  </w:num>
  <w:num w:numId="14">
    <w:abstractNumId w:val="11"/>
  </w:num>
  <w:num w:numId="15">
    <w:abstractNumId w:val="12"/>
  </w:num>
  <w:num w:numId="16">
    <w:abstractNumId w:val="24"/>
  </w:num>
  <w:num w:numId="17">
    <w:abstractNumId w:val="11"/>
  </w:num>
  <w:num w:numId="18">
    <w:abstractNumId w:val="11"/>
  </w:num>
  <w:num w:numId="19">
    <w:abstractNumId w:val="24"/>
  </w:num>
  <w:num w:numId="20">
    <w:abstractNumId w:val="12"/>
  </w:num>
  <w:num w:numId="21">
    <w:abstractNumId w:val="12"/>
  </w:num>
  <w:num w:numId="22">
    <w:abstractNumId w:val="20"/>
  </w:num>
  <w:num w:numId="23">
    <w:abstractNumId w:val="10"/>
  </w:num>
  <w:num w:numId="24">
    <w:abstractNumId w:val="15"/>
  </w:num>
  <w:num w:numId="25">
    <w:abstractNumId w:val="23"/>
  </w:num>
  <w:num w:numId="26">
    <w:abstractNumId w:val="18"/>
  </w:num>
  <w:num w:numId="27">
    <w:abstractNumId w:val="13"/>
  </w:num>
  <w:num w:numId="28">
    <w:abstractNumId w:val="20"/>
  </w:num>
  <w:num w:numId="29">
    <w:abstractNumId w:val="10"/>
  </w:num>
  <w:num w:numId="30">
    <w:abstractNumId w:val="15"/>
  </w:num>
  <w:num w:numId="31">
    <w:abstractNumId w:val="25"/>
  </w:num>
  <w:num w:numId="32">
    <w:abstractNumId w:val="23"/>
  </w:num>
  <w:num w:numId="33">
    <w:abstractNumId w:val="18"/>
  </w:num>
  <w:num w:numId="34">
    <w:abstractNumId w:val="13"/>
  </w:num>
  <w:num w:numId="35">
    <w:abstractNumId w:val="20"/>
  </w:num>
  <w:num w:numId="36">
    <w:abstractNumId w:val="10"/>
  </w:num>
  <w:num w:numId="37">
    <w:abstractNumId w:val="15"/>
  </w:num>
  <w:num w:numId="38">
    <w:abstractNumId w:val="25"/>
  </w:num>
  <w:num w:numId="39">
    <w:abstractNumId w:val="16"/>
  </w:num>
  <w:num w:numId="40">
    <w:abstractNumId w:val="19"/>
  </w:num>
  <w:num w:numId="41">
    <w:abstractNumId w:val="22"/>
  </w:num>
  <w:num w:numId="42">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7245"/>
    <w:rsid w:val="00051474"/>
    <w:rsid w:val="00052154"/>
    <w:rsid w:val="00056B0A"/>
    <w:rsid w:val="000848DB"/>
    <w:rsid w:val="00086AFE"/>
    <w:rsid w:val="000C730A"/>
    <w:rsid w:val="000F217F"/>
    <w:rsid w:val="001039BC"/>
    <w:rsid w:val="001375E7"/>
    <w:rsid w:val="0014292A"/>
    <w:rsid w:val="00161576"/>
    <w:rsid w:val="001909BF"/>
    <w:rsid w:val="001A664B"/>
    <w:rsid w:val="001A7516"/>
    <w:rsid w:val="001B1636"/>
    <w:rsid w:val="001B41B9"/>
    <w:rsid w:val="001D46AE"/>
    <w:rsid w:val="001F04F8"/>
    <w:rsid w:val="002250D3"/>
    <w:rsid w:val="0023199F"/>
    <w:rsid w:val="0023313F"/>
    <w:rsid w:val="00242C16"/>
    <w:rsid w:val="002547C8"/>
    <w:rsid w:val="002918A1"/>
    <w:rsid w:val="002B7245"/>
    <w:rsid w:val="002B7893"/>
    <w:rsid w:val="002C2513"/>
    <w:rsid w:val="002C618C"/>
    <w:rsid w:val="002D3D9F"/>
    <w:rsid w:val="0033717E"/>
    <w:rsid w:val="00352D87"/>
    <w:rsid w:val="0038024C"/>
    <w:rsid w:val="00397E2E"/>
    <w:rsid w:val="003B09E6"/>
    <w:rsid w:val="003C6A6A"/>
    <w:rsid w:val="003D1840"/>
    <w:rsid w:val="003F3E54"/>
    <w:rsid w:val="003F67C5"/>
    <w:rsid w:val="004548F7"/>
    <w:rsid w:val="00463CF0"/>
    <w:rsid w:val="004841B8"/>
    <w:rsid w:val="00497733"/>
    <w:rsid w:val="004A27CA"/>
    <w:rsid w:val="004D1555"/>
    <w:rsid w:val="004E0BB3"/>
    <w:rsid w:val="004E4EC7"/>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21ADC"/>
    <w:rsid w:val="007337FF"/>
    <w:rsid w:val="007802C5"/>
    <w:rsid w:val="007B5B8A"/>
    <w:rsid w:val="007E1E0A"/>
    <w:rsid w:val="007F57CE"/>
    <w:rsid w:val="0082020C"/>
    <w:rsid w:val="008351FB"/>
    <w:rsid w:val="00840AD2"/>
    <w:rsid w:val="0086574C"/>
    <w:rsid w:val="00867AE0"/>
    <w:rsid w:val="00877885"/>
    <w:rsid w:val="008A29C7"/>
    <w:rsid w:val="008A2C66"/>
    <w:rsid w:val="008B7C42"/>
    <w:rsid w:val="008D08D4"/>
    <w:rsid w:val="008F1659"/>
    <w:rsid w:val="008F2A5F"/>
    <w:rsid w:val="00902307"/>
    <w:rsid w:val="00924464"/>
    <w:rsid w:val="00935148"/>
    <w:rsid w:val="009353BD"/>
    <w:rsid w:val="00964A61"/>
    <w:rsid w:val="00983FE7"/>
    <w:rsid w:val="009941A1"/>
    <w:rsid w:val="00997F66"/>
    <w:rsid w:val="009E352C"/>
    <w:rsid w:val="009F0DDD"/>
    <w:rsid w:val="00A02B21"/>
    <w:rsid w:val="00A13418"/>
    <w:rsid w:val="00A3593C"/>
    <w:rsid w:val="00A37913"/>
    <w:rsid w:val="00A50BDC"/>
    <w:rsid w:val="00A53684"/>
    <w:rsid w:val="00A6580F"/>
    <w:rsid w:val="00A956E4"/>
    <w:rsid w:val="00AC0B2D"/>
    <w:rsid w:val="00AC56DE"/>
    <w:rsid w:val="00AE6BDB"/>
    <w:rsid w:val="00AE6E76"/>
    <w:rsid w:val="00AF26E4"/>
    <w:rsid w:val="00B75594"/>
    <w:rsid w:val="00BA09F5"/>
    <w:rsid w:val="00C00FD2"/>
    <w:rsid w:val="00C047D2"/>
    <w:rsid w:val="00C1716A"/>
    <w:rsid w:val="00C21A92"/>
    <w:rsid w:val="00C40431"/>
    <w:rsid w:val="00C51697"/>
    <w:rsid w:val="00C63BBD"/>
    <w:rsid w:val="00C93524"/>
    <w:rsid w:val="00CD2B51"/>
    <w:rsid w:val="00CD757E"/>
    <w:rsid w:val="00CE5730"/>
    <w:rsid w:val="00D012B2"/>
    <w:rsid w:val="00D01D93"/>
    <w:rsid w:val="00D129A7"/>
    <w:rsid w:val="00D159B2"/>
    <w:rsid w:val="00D15CBD"/>
    <w:rsid w:val="00D26C70"/>
    <w:rsid w:val="00D3329D"/>
    <w:rsid w:val="00D37022"/>
    <w:rsid w:val="00D563C9"/>
    <w:rsid w:val="00D7111C"/>
    <w:rsid w:val="00D73055"/>
    <w:rsid w:val="00D94C4B"/>
    <w:rsid w:val="00DD5096"/>
    <w:rsid w:val="00E04759"/>
    <w:rsid w:val="00E17BEF"/>
    <w:rsid w:val="00E52100"/>
    <w:rsid w:val="00E9545F"/>
    <w:rsid w:val="00E9599A"/>
    <w:rsid w:val="00E97B28"/>
    <w:rsid w:val="00EA4472"/>
    <w:rsid w:val="00EA55AB"/>
    <w:rsid w:val="00EB791E"/>
    <w:rsid w:val="00EC1754"/>
    <w:rsid w:val="00ED4038"/>
    <w:rsid w:val="00ED5739"/>
    <w:rsid w:val="00F01AE0"/>
    <w:rsid w:val="00F039D0"/>
    <w:rsid w:val="00F174AF"/>
    <w:rsid w:val="00F21548"/>
    <w:rsid w:val="00F22540"/>
    <w:rsid w:val="00F322E0"/>
    <w:rsid w:val="00F32849"/>
    <w:rsid w:val="00F4532B"/>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8</Pages>
  <Words>1297</Words>
  <Characters>7399</Characters>
  <Application>Microsoft Office Outlook</Application>
  <DocSecurity>4</DocSecurity>
  <Lines>61</Lines>
  <Paragraphs>17</Paragraphs>
  <ScaleCrop>false</ScaleCrop>
  <Company>CSD</Company>
  <LinksUpToDate>false</LinksUpToDate>
  <CharactersWithSpaces>8679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Lu</cp:lastModifiedBy>
  <cp:revision>2</cp:revision>
  <cp:lastPrinted>2013-09-26T18:55:00Z</cp:lastPrinted>
  <dcterms:created xsi:type="dcterms:W3CDTF">2013-09-27T09:38:00Z</dcterms:created>
  <dcterms:modified xsi:type="dcterms:W3CDTF">2013-09-27T09:38:00Z</dcterms:modified>
</cp:coreProperties>
</file>