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FAB6CF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2108B63" w14:textId="77777777" w:rsidR="002D5AAC" w:rsidRDefault="002D5AAC" w:rsidP="00962C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FC004C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483CF11" w14:textId="6448CB03" w:rsidR="002D5AAC" w:rsidRDefault="00962CCD" w:rsidP="00962CCD">
            <w:pPr>
              <w:jc w:val="right"/>
            </w:pPr>
            <w:r w:rsidRPr="001D548F">
              <w:rPr>
                <w:sz w:val="40"/>
              </w:rPr>
              <w:t>CCPR</w:t>
            </w:r>
            <w:r w:rsidRPr="001D548F">
              <w:t>/C/UKR/CO/8</w:t>
            </w:r>
          </w:p>
        </w:tc>
      </w:tr>
      <w:tr w:rsidR="002D5AAC" w:rsidRPr="005F1FFE" w14:paraId="4F0E29FE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7FCC2C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52DED1" wp14:editId="253AC8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C86D4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8476914" w14:textId="77777777" w:rsidR="002D5AAC" w:rsidRPr="005E6FCD" w:rsidRDefault="00962CCD" w:rsidP="00BC3629">
            <w:pPr>
              <w:spacing w:before="240"/>
              <w:rPr>
                <w:lang w:val="en-US"/>
              </w:rPr>
            </w:pPr>
            <w:r w:rsidRPr="005E6FCD">
              <w:rPr>
                <w:lang w:val="en-US"/>
              </w:rPr>
              <w:t>Distr.: General</w:t>
            </w:r>
          </w:p>
          <w:p w14:paraId="7DBA6219" w14:textId="77777777" w:rsidR="00962CCD" w:rsidRPr="005E6FCD" w:rsidRDefault="00962CCD" w:rsidP="00962CCD">
            <w:pPr>
              <w:spacing w:line="240" w:lineRule="exact"/>
              <w:rPr>
                <w:lang w:val="en-US"/>
              </w:rPr>
            </w:pPr>
            <w:r w:rsidRPr="005E6FCD">
              <w:rPr>
                <w:lang w:val="en-US"/>
              </w:rPr>
              <w:t>9 February 2022</w:t>
            </w:r>
          </w:p>
          <w:p w14:paraId="51612652" w14:textId="77777777" w:rsidR="00962CCD" w:rsidRPr="005E6FCD" w:rsidRDefault="00962CCD" w:rsidP="00962CCD">
            <w:pPr>
              <w:spacing w:line="240" w:lineRule="exact"/>
              <w:rPr>
                <w:lang w:val="en-US"/>
              </w:rPr>
            </w:pPr>
            <w:r w:rsidRPr="005E6FCD">
              <w:rPr>
                <w:lang w:val="en-US"/>
              </w:rPr>
              <w:t>Russian</w:t>
            </w:r>
          </w:p>
          <w:p w14:paraId="3F162174" w14:textId="2A1D7903" w:rsidR="00962CCD" w:rsidRPr="005E6FCD" w:rsidRDefault="00962CCD" w:rsidP="00962CCD">
            <w:pPr>
              <w:spacing w:line="240" w:lineRule="exact"/>
              <w:rPr>
                <w:lang w:val="en-US"/>
              </w:rPr>
            </w:pPr>
            <w:r w:rsidRPr="005E6FCD">
              <w:rPr>
                <w:lang w:val="en-US"/>
              </w:rPr>
              <w:t>Original: English</w:t>
            </w:r>
          </w:p>
        </w:tc>
      </w:tr>
    </w:tbl>
    <w:p w14:paraId="18DCFDA3" w14:textId="77777777" w:rsidR="00962CCD" w:rsidRPr="003E0F1E" w:rsidRDefault="00962CCD" w:rsidP="00962CCD">
      <w:pPr>
        <w:spacing w:before="120"/>
        <w:rPr>
          <w:b/>
          <w:sz w:val="24"/>
          <w:szCs w:val="24"/>
        </w:rPr>
      </w:pPr>
      <w:r w:rsidRPr="003E0F1E">
        <w:rPr>
          <w:b/>
          <w:bCs/>
          <w:sz w:val="24"/>
          <w:szCs w:val="24"/>
        </w:rPr>
        <w:t>Комитет по правам человека</w:t>
      </w:r>
    </w:p>
    <w:p w14:paraId="70FB106E" w14:textId="77777777" w:rsidR="00962CCD" w:rsidRPr="003E0F1E" w:rsidRDefault="00962CCD" w:rsidP="00962CCD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восьмому периодическому докладу Украины</w:t>
      </w:r>
      <w:r w:rsidRPr="00962CCD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6AB25155" w14:textId="77777777" w:rsidR="00962CCD" w:rsidRPr="003E0F1E" w:rsidRDefault="00962CCD" w:rsidP="00962CCD">
      <w:pPr>
        <w:pStyle w:val="SingleTxtG"/>
      </w:pPr>
      <w:r>
        <w:t>1.</w:t>
      </w:r>
      <w:r>
        <w:tab/>
        <w:t>Комитет рассмотрел восьмой периодический доклад Украины</w:t>
      </w:r>
      <w:r w:rsidRPr="008544FD">
        <w:rPr>
          <w:rStyle w:val="aa"/>
        </w:rPr>
        <w:footnoteReference w:id="2"/>
      </w:r>
      <w:r>
        <w:t xml:space="preserve"> на своих 3820-м и 3821-м заседаниях</w:t>
      </w:r>
      <w:r w:rsidRPr="008544FD">
        <w:rPr>
          <w:rStyle w:val="aa"/>
        </w:rPr>
        <w:footnoteReference w:id="3"/>
      </w:r>
      <w:r>
        <w:t>, состоявшихся 25 и 26 октября 2021 года в смешанном формате по причине ограничений, которые были введены из-за пандемии коронавирусного заболевания (COVID-19). На своем 3833 заседании, состоявшемся 4 ноября 2021 года, он принял настоящие заключительные замечания.</w:t>
      </w:r>
    </w:p>
    <w:p w14:paraId="55E71001" w14:textId="77777777" w:rsidR="00962CCD" w:rsidRPr="003E0F1E" w:rsidRDefault="00962CCD" w:rsidP="00962CC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C5DE64F" w14:textId="77777777" w:rsidR="00962CCD" w:rsidRPr="003E0F1E" w:rsidRDefault="00962CCD" w:rsidP="00962CCD">
      <w:pPr>
        <w:pStyle w:val="SingleTxtG"/>
      </w:pPr>
      <w:r>
        <w:t>2.</w:t>
      </w:r>
      <w:r>
        <w:tab/>
        <w:t>Комитет приветствует представление восьмого периодического доклада Украины и изложенную в нем информацию.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также благодарит государство-участник за его письменные ответы</w:t>
      </w:r>
      <w:r w:rsidRPr="008544FD">
        <w:rPr>
          <w:rStyle w:val="aa"/>
        </w:rPr>
        <w:footnoteReference w:id="4"/>
      </w:r>
      <w:r>
        <w:t xml:space="preserve"> на перечень вопросов</w:t>
      </w:r>
      <w:r w:rsidRPr="008544FD">
        <w:rPr>
          <w:rStyle w:val="aa"/>
        </w:rPr>
        <w:footnoteReference w:id="5"/>
      </w:r>
      <w:r>
        <w:t>, которые были дополнены устными ответами членов делегации, а также за представленную ему в письменном виде важную информацию.</w:t>
      </w:r>
    </w:p>
    <w:p w14:paraId="59592669" w14:textId="77777777" w:rsidR="00962CCD" w:rsidRPr="003E0F1E" w:rsidRDefault="00962CCD" w:rsidP="00962CCD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4C236F72" w14:textId="77777777" w:rsidR="00962CCD" w:rsidRPr="003E0F1E" w:rsidRDefault="00962CCD" w:rsidP="00962CCD">
      <w:pPr>
        <w:pStyle w:val="SingleTxtG"/>
      </w:pPr>
      <w:r>
        <w:t>3.</w:t>
      </w:r>
      <w:r>
        <w:tab/>
        <w:t>Комитет приветствует следующие законодательные и политические меры государства-участника:</w:t>
      </w:r>
    </w:p>
    <w:p w14:paraId="06775870" w14:textId="3F69C020" w:rsidR="00962CCD" w:rsidRPr="003E0F1E" w:rsidRDefault="00962CCD" w:rsidP="00962CCD">
      <w:pPr>
        <w:pStyle w:val="SingleTxtG"/>
      </w:pPr>
      <w:r>
        <w:tab/>
        <w:t>a)</w:t>
      </w:r>
      <w:r>
        <w:tab/>
        <w:t>принятие 24 марта 2021 года указа № 119/2021, которым была утверждена новая редакция Национальной стратегии в сфере прав человека;</w:t>
      </w:r>
    </w:p>
    <w:p w14:paraId="2B886302" w14:textId="56FC4F82" w:rsidR="00962CCD" w:rsidRPr="003E0F1E" w:rsidRDefault="00962CCD" w:rsidP="00962CCD">
      <w:pPr>
        <w:pStyle w:val="SingleTxtG"/>
      </w:pPr>
      <w:r>
        <w:tab/>
        <w:t>b)</w:t>
      </w:r>
      <w:r>
        <w:tab/>
        <w:t>принятие 6 декабря 2018 года закона о противоминной деятельности;</w:t>
      </w:r>
    </w:p>
    <w:p w14:paraId="2A4AFE8C" w14:textId="28831DCC" w:rsidR="00962CCD" w:rsidRPr="003E0F1E" w:rsidRDefault="00962CCD" w:rsidP="00962CCD">
      <w:pPr>
        <w:pStyle w:val="SingleTxtG"/>
      </w:pPr>
      <w:r>
        <w:tab/>
        <w:t>c)</w:t>
      </w:r>
      <w:r>
        <w:tab/>
        <w:t>принятие 7 декабря 2017 года закона о</w:t>
      </w:r>
      <w:r w:rsidRPr="002D7184">
        <w:t xml:space="preserve"> предотвращении и противодействии домашнему насилию</w:t>
      </w:r>
      <w:r>
        <w:t>;</w:t>
      </w:r>
    </w:p>
    <w:p w14:paraId="1A140AE4" w14:textId="491AE058" w:rsidR="00962CCD" w:rsidRPr="003E0F1E" w:rsidRDefault="00962CCD" w:rsidP="00962CCD">
      <w:pPr>
        <w:pStyle w:val="SingleTxtG"/>
      </w:pPr>
      <w:r>
        <w:tab/>
        <w:t>d)</w:t>
      </w:r>
      <w:r>
        <w:tab/>
        <w:t>принятие в 2015 году закона о государственной службе;</w:t>
      </w:r>
    </w:p>
    <w:p w14:paraId="0DF291FE" w14:textId="271D6384" w:rsidR="00962CCD" w:rsidRPr="003E0F1E" w:rsidRDefault="00962CCD" w:rsidP="00962CCD">
      <w:pPr>
        <w:pStyle w:val="SingleTxtG"/>
      </w:pPr>
      <w:r>
        <w:tab/>
        <w:t>e)</w:t>
      </w:r>
      <w:r>
        <w:tab/>
        <w:t>принятие 27 сентября 2021 года Национальной стратегии содействия развитию гражданского общества на Украине до 2026 года;</w:t>
      </w:r>
    </w:p>
    <w:p w14:paraId="2DD7637D" w14:textId="2D7F86BC" w:rsidR="00962CCD" w:rsidRPr="003E0F1E" w:rsidRDefault="00962CCD" w:rsidP="00962CCD">
      <w:pPr>
        <w:pStyle w:val="SingleTxtG"/>
        <w:rPr>
          <w:color w:val="000000" w:themeColor="text1"/>
        </w:rPr>
      </w:pPr>
      <w:r>
        <w:tab/>
        <w:t>f)</w:t>
      </w:r>
      <w:r>
        <w:tab/>
        <w:t>принятие 28 июля 2021 года стратегии содействия реализации прав и возможностей лиц, принадлежащих к национальному меньшинству рома, в украинском обществе на период до 2030 года;</w:t>
      </w:r>
    </w:p>
    <w:p w14:paraId="3B107E50" w14:textId="344C9097" w:rsidR="00962CCD" w:rsidRPr="003E0F1E" w:rsidRDefault="00962CCD" w:rsidP="00962CCD">
      <w:pPr>
        <w:pStyle w:val="SingleTxtG"/>
        <w:rPr>
          <w:color w:val="000000" w:themeColor="text1"/>
        </w:rPr>
      </w:pPr>
      <w:r>
        <w:lastRenderedPageBreak/>
        <w:tab/>
        <w:t>g)</w:t>
      </w:r>
      <w:r>
        <w:tab/>
        <w:t>принятие 28 октября 2020 года плана действий по реализации Национальной стратегии в сфере прав человека;</w:t>
      </w:r>
    </w:p>
    <w:p w14:paraId="02CA9CFB" w14:textId="7853CED0" w:rsidR="00962CCD" w:rsidRPr="003E0F1E" w:rsidRDefault="00962CCD" w:rsidP="00962CCD">
      <w:pPr>
        <w:pStyle w:val="SingleTxtG"/>
      </w:pPr>
      <w:r>
        <w:tab/>
        <w:t>h)</w:t>
      </w:r>
      <w:r>
        <w:tab/>
        <w:t>принятие второго национального плана действий по осуществлению резолюции 1325 (2000) Совета Безопасности о женщинах и мире и безопасности на период до 2025 года;</w:t>
      </w:r>
    </w:p>
    <w:p w14:paraId="31F4FB76" w14:textId="4231F939" w:rsidR="00962CCD" w:rsidRPr="003E0F1E" w:rsidRDefault="00962CCD" w:rsidP="00962CCD">
      <w:pPr>
        <w:pStyle w:val="SingleTxtG"/>
      </w:pPr>
      <w:r>
        <w:tab/>
        <w:t>i)</w:t>
      </w:r>
      <w:r>
        <w:tab/>
        <w:t>принятие 28 марта 2018 года плана действий по реализации отдельных принципов государственной внутренней политики на временно оккупированных территориях Крыма;</w:t>
      </w:r>
    </w:p>
    <w:p w14:paraId="1E5FB324" w14:textId="1232DCB2" w:rsidR="00962CCD" w:rsidRPr="003E0F1E" w:rsidRDefault="00962CCD" w:rsidP="00962CCD">
      <w:pPr>
        <w:pStyle w:val="SingleTxtG"/>
      </w:pPr>
      <w:r>
        <w:tab/>
        <w:t>j)</w:t>
      </w:r>
      <w:r>
        <w:tab/>
        <w:t>принятие 11 января 2017 года плана действий по реализации отдельных принципов государственной внутренней политики на отдельных территориях Донецкой и Луганской областей, где органы государственной власти временно не осуществляют свои полномочия.</w:t>
      </w:r>
    </w:p>
    <w:p w14:paraId="58682B51" w14:textId="77777777" w:rsidR="00962CCD" w:rsidRPr="003E0F1E" w:rsidRDefault="00962CCD" w:rsidP="00962CCD">
      <w:pPr>
        <w:pStyle w:val="SingleTxtG"/>
      </w:pPr>
      <w:r>
        <w:t>4.</w:t>
      </w:r>
      <w:r>
        <w:tab/>
        <w:t>Комитет также приветствует ратификацию государством-участником следующих международных договоров по правам человека или присоединение к ним:</w:t>
      </w:r>
    </w:p>
    <w:p w14:paraId="2F52A7F4" w14:textId="44495C19" w:rsidR="00962CCD" w:rsidRPr="003E0F1E" w:rsidRDefault="00962CCD" w:rsidP="00962CCD">
      <w:pPr>
        <w:pStyle w:val="SingleTxtG"/>
        <w:rPr>
          <w:shd w:val="clear" w:color="auto" w:fill="FFFFFF"/>
        </w:rPr>
      </w:pPr>
      <w:r>
        <w:tab/>
        <w:t>a)</w:t>
      </w:r>
      <w:r>
        <w:tab/>
        <w:t>Международной конвенции для защиты всех лиц от насильственных исчезновений, включая процедуру рассмотрения индивидуальных жалоб (статья 31) и процедуру расследования (статья 33), 14 августа 2015 года;</w:t>
      </w:r>
    </w:p>
    <w:p w14:paraId="11021A34" w14:textId="05069893" w:rsidR="00962CCD" w:rsidRPr="003E0F1E" w:rsidRDefault="00962CCD" w:rsidP="00962CCD">
      <w:pPr>
        <w:pStyle w:val="SingleTxtG"/>
      </w:pPr>
      <w:r>
        <w:tab/>
        <w:t>b)</w:t>
      </w:r>
      <w:r>
        <w:tab/>
        <w:t>Факультативного протокола к Конвенции о правах ребенка, касающегося процедуры сообщений, включая процедуру расследования (статья 13), 2 сентября 2016</w:t>
      </w:r>
      <w:r w:rsidR="00DA09BA">
        <w:rPr>
          <w:lang w:val="fr-CH"/>
        </w:rPr>
        <w:t> </w:t>
      </w:r>
      <w:r>
        <w:t>года.</w:t>
      </w:r>
    </w:p>
    <w:p w14:paraId="18B3F936" w14:textId="56F89178" w:rsidR="00962CCD" w:rsidRPr="003E0F1E" w:rsidRDefault="00962CCD" w:rsidP="00962CCD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DA09BA">
        <w:rPr>
          <w:bCs/>
          <w:lang w:val="fr-CH"/>
        </w:rPr>
        <w:t> </w:t>
      </w:r>
      <w:r>
        <w:rPr>
          <w:bCs/>
        </w:rPr>
        <w:t>рекомендации</w:t>
      </w:r>
    </w:p>
    <w:p w14:paraId="4B6C488F" w14:textId="77777777" w:rsidR="00962CCD" w:rsidRPr="003E0F1E" w:rsidRDefault="00962CCD" w:rsidP="00962CCD">
      <w:pPr>
        <w:pStyle w:val="H23G"/>
        <w:rPr>
          <w:bdr w:val="none" w:sz="0" w:space="0" w:color="auto" w:frame="1"/>
        </w:rPr>
      </w:pPr>
      <w:r>
        <w:tab/>
      </w:r>
      <w:r>
        <w:tab/>
      </w:r>
      <w:r>
        <w:rPr>
          <w:bCs/>
        </w:rPr>
        <w:t>Применимость Пакта</w:t>
      </w:r>
    </w:p>
    <w:p w14:paraId="14287BC8" w14:textId="1F42937F" w:rsidR="00962CCD" w:rsidRPr="003E0F1E" w:rsidRDefault="00962CCD" w:rsidP="00962CCD">
      <w:pPr>
        <w:pStyle w:val="SingleTxtG"/>
        <w:rPr>
          <w:bdr w:val="none" w:sz="0" w:space="0" w:color="auto" w:frame="1"/>
        </w:rPr>
      </w:pPr>
      <w:r>
        <w:t>5.</w:t>
      </w:r>
      <w:r>
        <w:tab/>
        <w:t>Комитет, должным образом учитывая резолюцию 68/262 Генеральной Ассамблеи о территориальной целостности Украины, приветствует меры, принимаемые государством-участником для обеспечения соблюдения прав человека в Донецкой и Луганской областях, которые не находятся под контролем правительства, а также в Автономной Республике Крым и городе Севастополе, временно оккупированных Российской Федерацией. Тем не менее он обеспокоен тем, что права человека людей в этих районах не пользуются таким же уровнем защиты по Пакту, как права их сограждан на остальной территории Украины. Несмотря на меры, принимаемые государством-участником, Комитет сожалеет о трудностях, с которыми сталкиваются лица в этих районах, в том числе при обращении за выдачей свидетельств о рождении, для чего требуется предварительное решение суда (статья</w:t>
      </w:r>
      <w:r>
        <w:rPr>
          <w:lang w:val="fr-CH"/>
        </w:rPr>
        <w:t> </w:t>
      </w:r>
      <w:r>
        <w:t>2).</w:t>
      </w:r>
    </w:p>
    <w:p w14:paraId="7021555C" w14:textId="77777777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6.</w:t>
      </w:r>
      <w:r>
        <w:tab/>
      </w:r>
      <w:r>
        <w:rPr>
          <w:b/>
          <w:bCs/>
        </w:rPr>
        <w:t>Государству-участнику следует принимать все надлежащие меры для обеспечения того, чтобы все лица на всех частях территории государства-участника могли эффективно пользоваться правами, гарантированными им Пактом.</w:t>
      </w:r>
      <w:r>
        <w:t xml:space="preserve"> </w:t>
      </w:r>
      <w:r>
        <w:rPr>
          <w:b/>
          <w:bCs/>
        </w:rPr>
        <w:t>Государству-участнику следует обеспечивать, чтобы все дети, родившиеся на его территории, регистрировались бесплатно и получали официальное свидетельство о рождении.</w:t>
      </w:r>
    </w:p>
    <w:p w14:paraId="49D4A2FB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Соображения, принятые в соответствии с Факультативным протоколом</w:t>
      </w:r>
    </w:p>
    <w:p w14:paraId="7D7D5B0F" w14:textId="3B7D661A" w:rsidR="00962CCD" w:rsidRPr="003E0F1E" w:rsidRDefault="00962CCD" w:rsidP="00962CCD">
      <w:pPr>
        <w:pStyle w:val="SingleTxtG"/>
      </w:pPr>
      <w:r>
        <w:t>7.</w:t>
      </w:r>
      <w:r>
        <w:tab/>
        <w:t>Комитет с обеспокоенностью отмечает решение Большой палаты Верховного суда Украины от 18 сентября 2018 года по делу № 13-53zvo18, которое подрывает выполнение соображений Комитета на национальном уровне. Комитет также считает достойным сожаления тот факт, что большинство принятых им соображений не были выполнены и до сих пор являются предметом последующих процедур (статья 2).</w:t>
      </w:r>
    </w:p>
    <w:p w14:paraId="4D1B5385" w14:textId="77777777" w:rsidR="00962CCD" w:rsidRPr="003E0F1E" w:rsidRDefault="00962CCD" w:rsidP="00962CCD">
      <w:pPr>
        <w:pStyle w:val="SingleTxtG"/>
      </w:pPr>
      <w:r>
        <w:t>8.</w:t>
      </w:r>
      <w:r>
        <w:tab/>
        <w:t xml:space="preserve">Ссылаясь на свое замечание общего порядка № 33 (2008), Комитет призывает государство-участник добросовестно сотрудничать с Комитетом и принимать все меры, необходимые для введения в действие надлежащих процедур, чтобы в полной </w:t>
      </w:r>
      <w:r>
        <w:lastRenderedPageBreak/>
        <w:t>мере реализовать соображения Комитета и тем самым обеспечить доступ к эффективному средству правовой защиты в случае нарушения Пакта (статья 2 (3)).</w:t>
      </w:r>
    </w:p>
    <w:p w14:paraId="2C6005EF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7AD07BE2" w14:textId="0AAF8D69" w:rsidR="00962CCD" w:rsidRPr="003E0F1E" w:rsidRDefault="00962CCD" w:rsidP="00962CCD">
      <w:pPr>
        <w:pStyle w:val="SingleTxtG"/>
      </w:pPr>
      <w:r>
        <w:t>9.</w:t>
      </w:r>
      <w:r>
        <w:tab/>
        <w:t>Комитет принимает к сведению последнее депозитарное уведомление Генерального секретаря от 26 ноября 2019 года, которым правительство проинформировало государства-члены о том, что оно будет продолжать принимать меры в отступление своих обязательств по статьям 9, 12 и 17 Пакта; то, что особый режим досудебного расследования, введенный законом о внесении изменений в Уголовно-процессуальный кодекс Украины относительно особого режима досудебного расследования в условиях военного, чрезвычайного положения или в районе проведения антитеррористической операции, не применим к Операции объединенных сил; и то, что она отменила отступления от своих обязательств по статье</w:t>
      </w:r>
      <w:r>
        <w:rPr>
          <w:lang w:val="fr-CH"/>
        </w:rPr>
        <w:t> </w:t>
      </w:r>
      <w:r>
        <w:t>14 Пакта. В этой связи и в соответствии со статьей 4 Пакта и своим замечанием общего порядка № 29 (2001) Комитет напоминает, что процедурные гарантии, включая, зачастую, судебные гарантии, являются неотъемлемой частью защиты прав, прямо признанных  в статье 4 (2) (статья 4) в качестве прав, не допускающих никаких отступлений.</w:t>
      </w:r>
    </w:p>
    <w:p w14:paraId="2B2D9A0B" w14:textId="0B80238F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10.</w:t>
      </w:r>
      <w:r>
        <w:tab/>
      </w:r>
      <w:r>
        <w:rPr>
          <w:b/>
          <w:bCs/>
        </w:rPr>
        <w:t>Государству-участнику следует обеспечивать, чтобы любые меры, принимаемые в соответствии с отступлениями от его обязательств по Пакту, полностью соответствовали статье 4 Пакта.</w:t>
      </w:r>
      <w:r>
        <w:t xml:space="preserve"> </w:t>
      </w:r>
      <w:r w:rsidRPr="005E6FCD">
        <w:rPr>
          <w:b/>
          <w:bCs/>
        </w:rPr>
        <w:t>В</w:t>
      </w:r>
      <w:r>
        <w:rPr>
          <w:b/>
          <w:bCs/>
        </w:rPr>
        <w:t>нимание государства-участника обращается на замечание общего порядка № 29 (2001)</w:t>
      </w:r>
      <w:r w:rsidRPr="00137BFC">
        <w:rPr>
          <w:b/>
          <w:bCs/>
        </w:rPr>
        <w:t xml:space="preserve"> </w:t>
      </w:r>
      <w:r>
        <w:rPr>
          <w:b/>
          <w:bCs/>
        </w:rPr>
        <w:t>Комитета, в частности на пункт 1</w:t>
      </w:r>
      <w:r w:rsidR="001E31D7" w:rsidRPr="001E31D7">
        <w:rPr>
          <w:b/>
          <w:bCs/>
        </w:rPr>
        <w:t>6</w:t>
      </w:r>
      <w:r>
        <w:rPr>
          <w:b/>
          <w:bCs/>
        </w:rPr>
        <w:t>, и напоминает, что для защиты прав, которые в статье 4 (2) четко квалифицируются как не допускающие никаких отступлений и которые должны соблюдаться во время чрезвычайного положения, решающее значение имеют процедурные, в том числе судебные, гарантии.</w:t>
      </w:r>
    </w:p>
    <w:p w14:paraId="0F7B651A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Гендерное равенство</w:t>
      </w:r>
    </w:p>
    <w:p w14:paraId="0BE24667" w14:textId="32D0F6E7" w:rsidR="00962CCD" w:rsidRPr="003E0F1E" w:rsidRDefault="00962CCD" w:rsidP="00962CCD">
      <w:pPr>
        <w:pStyle w:val="SingleTxtG"/>
        <w:rPr>
          <w:u w:val="single"/>
        </w:rPr>
      </w:pPr>
      <w:r>
        <w:t>11.</w:t>
      </w:r>
      <w:r>
        <w:tab/>
        <w:t>Отмечая различные меры, принимаемые для поощрения гендерного равенства и борьбы с гендерными стереотипами в семье и обществе, Комитет по-прежнему обеспокоен сохраняющимся низким уровнем представительства женщин в государственном секторе, особенно на высоком государственном и местных уровнях, в том числе женщин, представляющих уязвимые группы. Он также обеспокоен сохраняющимся разрывом в оплате труда мужчин и женщин (статьи 2</w:t>
      </w:r>
      <w:r w:rsidR="00DA09BA" w:rsidRPr="00DA09BA">
        <w:t>–</w:t>
      </w:r>
      <w:r>
        <w:t>3 и 25</w:t>
      </w:r>
      <w:r w:rsidR="00DA09BA" w:rsidRPr="00DA09BA">
        <w:t>–</w:t>
      </w:r>
      <w:r>
        <w:t>26).</w:t>
      </w:r>
    </w:p>
    <w:p w14:paraId="02B39A7D" w14:textId="77777777" w:rsidR="00962CCD" w:rsidRPr="003E0F1E" w:rsidRDefault="00962CCD" w:rsidP="00962CCD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3F3A624F" w14:textId="0BD098AA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укреплять стратегии, направленные на повышение уровня осведомленности общественности в рамках борьбы с гендерными стереотипами в семье и обществе;</w:t>
      </w:r>
    </w:p>
    <w:p w14:paraId="3DDA53AF" w14:textId="5C7D68FB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продолжать предпринимать усилия по расширению участия женщин, особенно в государственном секторе и на высших уровнях, включая участие женщин, представляющих уязвимые группы;</w:t>
      </w:r>
    </w:p>
    <w:p w14:paraId="7BC92907" w14:textId="52313A00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принимать эффективные меры по устранению разрыва в оплате труда мужчин и женщин.</w:t>
      </w:r>
    </w:p>
    <w:p w14:paraId="6F37E42E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E39B59E" w14:textId="4DE0E802" w:rsidR="00962CCD" w:rsidRPr="003E0F1E" w:rsidRDefault="00962CCD" w:rsidP="00962CCD">
      <w:pPr>
        <w:pStyle w:val="SingleTxtG"/>
      </w:pPr>
      <w:r>
        <w:t>13.</w:t>
      </w:r>
      <w:r>
        <w:tab/>
        <w:t xml:space="preserve">Несмотря на законодательные инициативы по расширению списка запрещенных в законодательном порядке оснований для дискриминации, в том числе путем добавления в него гендерной идентичности и сексуальной ориентации, Комитет выражает обеспокоенность по поводу отсутствия всеобъемлющего антидискриминационного законодательства, которое соответствовало бы положениям Пакта. Комитет с обеспокоенностью отмечает отсутствие информации от государства-участника о шагах, предпринимаемых для решения проблемы стигматизации и дискриминационного отношения к многочисленным группам, включая этнические меньшинства, лесбиянок, геев, бисексуалов, трансгендеров и интерсексов, внутренне перемещенных лиц и лиц с инвалидностью, а также для поощрения внимательного и </w:t>
      </w:r>
      <w:r>
        <w:lastRenderedPageBreak/>
        <w:t>уважительного отношения к многообразию среди населения в целом. Комитет также обеспокоен случаями, когда рома не могут получить доступ к судам для защиты своих прав из-за отсутствия документов, удостоверяющих личность (статьи 2 и 26).</w:t>
      </w:r>
    </w:p>
    <w:p w14:paraId="16F94073" w14:textId="02517FAD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14.</w:t>
      </w:r>
      <w:r>
        <w:tab/>
      </w:r>
      <w:r>
        <w:rPr>
          <w:b/>
          <w:bCs/>
        </w:rPr>
        <w:t xml:space="preserve">Государству-участнику следует принять всеобъемлющее антидискриминационное законодательство, чтобы его нормативно-правовая база: а) обеспечивала эффективную защиту от дискриминации во всех сферах, в том числе в частной сфере, </w:t>
      </w:r>
      <w:r>
        <w:rPr>
          <w:b/>
          <w:bCs/>
          <w:lang w:val="en-US"/>
        </w:rPr>
        <w:t>c</w:t>
      </w:r>
      <w:r>
        <w:rPr>
          <w:b/>
          <w:bCs/>
        </w:rPr>
        <w:t xml:space="preserve"> запретом прямой, косвенной и множественной дискриминации;</w:t>
      </w:r>
      <w:r>
        <w:t xml:space="preserve"> </w:t>
      </w:r>
      <w:r>
        <w:rPr>
          <w:b/>
          <w:bCs/>
        </w:rPr>
        <w:t>b) содержала всеобъемлющий перечень запрещенных оснований для дискриминации, включая цвет кожи, язык, политические или иные убеждения, национальное или социальное происхождение, имущественное положение, инвалидность, сексуальную ориентацию и гендерную идентичность или иное обстоятельство, согласно Пакту;</w:t>
      </w:r>
      <w:r>
        <w:t xml:space="preserve"> </w:t>
      </w:r>
      <w:r>
        <w:rPr>
          <w:b/>
          <w:bCs/>
        </w:rPr>
        <w:t>и с) предусматривала эффективные средства правовой защиты в случае нарушений.</w:t>
      </w:r>
      <w:r>
        <w:t xml:space="preserve"> </w:t>
      </w:r>
      <w:r>
        <w:rPr>
          <w:b/>
          <w:bCs/>
        </w:rPr>
        <w:t xml:space="preserve">Ему следует также предпринимать конкретные шаги, такие как всесторонние информационно-просветительские кампании и мероприятия, для решения проблемы стигматизации и дискриминационного отношения и поощрения внимательного и уважительного отношения к многообразию среди населения в </w:t>
      </w:r>
      <w:r w:rsidR="00DA09BA">
        <w:rPr>
          <w:b/>
          <w:bCs/>
        </w:rPr>
        <w:br/>
      </w:r>
      <w:r>
        <w:rPr>
          <w:b/>
          <w:bCs/>
        </w:rPr>
        <w:t>целом.</w:t>
      </w:r>
      <w:r>
        <w:t xml:space="preserve"> </w:t>
      </w:r>
      <w:r>
        <w:rPr>
          <w:b/>
          <w:bCs/>
        </w:rPr>
        <w:t>В</w:t>
      </w:r>
      <w:r w:rsidR="00DA09BA">
        <w:rPr>
          <w:b/>
          <w:bCs/>
          <w:lang w:val="fr-CH"/>
        </w:rPr>
        <w:t> </w:t>
      </w:r>
      <w:r>
        <w:rPr>
          <w:b/>
          <w:bCs/>
        </w:rPr>
        <w:t xml:space="preserve">соответствии с пунктом 4 распоряжения Кабинета министров </w:t>
      </w:r>
      <w:r w:rsidR="00DA09BA">
        <w:rPr>
          <w:b/>
          <w:bCs/>
        </w:rPr>
        <w:br/>
      </w:r>
      <w:r>
        <w:rPr>
          <w:b/>
          <w:bCs/>
        </w:rPr>
        <w:t>Украины № 701-р от 11 сентября 2013 года государству-участнику следует активизировать усилия по оказанию помощи лицам из числа рома в получении документов, удостоверяющих личность.</w:t>
      </w:r>
    </w:p>
    <w:p w14:paraId="732A2B47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Язык ненависти и преступления на почве ненависти</w:t>
      </w:r>
    </w:p>
    <w:p w14:paraId="33CB4924" w14:textId="64462411" w:rsidR="00962CCD" w:rsidRPr="003E0F1E" w:rsidRDefault="00962CCD" w:rsidP="00962CCD">
      <w:pPr>
        <w:pStyle w:val="SingleTxtG"/>
        <w:rPr>
          <w:b/>
          <w:bCs/>
        </w:rPr>
      </w:pPr>
      <w:r>
        <w:t>15.</w:t>
      </w:r>
      <w:r>
        <w:tab/>
        <w:t>Отмечая принимаемые государством-участником законодательные меры в рамках борьбы с использованием языка ненависти и преступлениями на почве ненависти, Комитет выражает обеспокоенность сообщениями о проявлениях в средствах массовой информации — нередко со стороны крайне правых групп — нетерпимости, предрассудков, языка ненависти и преступлений на почве ненависти в отношении представителей уязвимых групп и меньшинств, включая рома, венгров, Свидетелей Иеговы, крымских татар и лесбиянок, геев, бисексуалов, трансгендеров и интерсексов. Комитет также обеспокоен сообщениями о том, что большинство преступлений на почве ненависти против представителей групп меньшинств не квалифицируются как таковые по статье 161 Уголовного кодекса. Он выражает сожаление по поводу крайне низкого количества жалоб, расследований и приговоров в связи с преступлениями на почве ненависти, а также по поводу сообщений, указывающих на то, что вместо уделения первоочередного внимания обеспечению доступа к средствам правовой защиты предпочтение отдается полюбовному разрешению споров в соответствии со статьей 161 Уголовного кодекса. В частности, он с обеспокоенностью отмечает медленные темпы проведения расследований и отсутствие обвинительных приговоров в отношении нападений на поселения рома в Киеве, Тернополе и Львове в 2018 году и нападений, совершенных в 2019 году на семерых членов сообщества лесбиянок, геев, бисексуалов, трансгендеров и интерсексов, участвовавших в прайде в Киеве (статьи 2, 19</w:t>
      </w:r>
      <w:r w:rsidR="0067242D">
        <w:t>–</w:t>
      </w:r>
      <w:r>
        <w:t>20 и 26).</w:t>
      </w:r>
    </w:p>
    <w:p w14:paraId="18C1B7C8" w14:textId="77777777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16.</w:t>
      </w:r>
      <w:r>
        <w:tab/>
      </w:r>
      <w:r>
        <w:rPr>
          <w:b/>
          <w:bCs/>
        </w:rPr>
        <w:t>Государству-участнику следует:</w:t>
      </w:r>
    </w:p>
    <w:p w14:paraId="5AB434FE" w14:textId="458B0384" w:rsidR="00962CCD" w:rsidRPr="003E0F1E" w:rsidRDefault="00962CCD" w:rsidP="00962CCD">
      <w:pPr>
        <w:pStyle w:val="SingleTxtG"/>
        <w:rPr>
          <w:b/>
          <w:bCs/>
          <w:color w:val="000000" w:themeColor="text1"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рассмотреть возможность пересмотра своего законодательства с целью прямого запрета преступлений на почве ненависти в соответствии с Пактом и активизировать усилия по борьбе с нетерпимостью, стереотипами, предрассудками и дискриминацией в отношении представителей уязвимых групп и меньшинств, включая рома, венгров, Свидетелей Иеговы, крымских татар и лесбиянок, геев, бисексуалов, трансгендеров и интерсексов, в том числе путем повышения уровня подготовки сотрудников правоохранительных органов, прокуроров и работников судебной системы, а также путем проведения информационно-просветительских кампаний;</w:t>
      </w:r>
    </w:p>
    <w:p w14:paraId="4E61DD19" w14:textId="0112BFEA" w:rsidR="00962CCD" w:rsidRPr="003E0F1E" w:rsidRDefault="00962CCD" w:rsidP="00962CCD">
      <w:pPr>
        <w:pStyle w:val="SingleTxtG"/>
        <w:rPr>
          <w:b/>
          <w:bCs/>
          <w:color w:val="000000" w:themeColor="text1"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поощрять информирование о преступлениях на почве ненависти и языке ненависти и обеспечивать выявление и регистрацию преступлений, в том числе посредством учреждения всеобъемлющей системы сбора дезагрегированных данных;</w:t>
      </w:r>
    </w:p>
    <w:p w14:paraId="1B6BE658" w14:textId="47592922" w:rsidR="00962CCD" w:rsidRPr="003E0F1E" w:rsidRDefault="00962CCD" w:rsidP="00962CCD">
      <w:pPr>
        <w:pStyle w:val="SingleTxtG"/>
        <w:rPr>
          <w:b/>
          <w:bCs/>
          <w:u w:val="single"/>
        </w:rPr>
      </w:pPr>
      <w:r>
        <w:lastRenderedPageBreak/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укреплять возможности сотрудников правоохранительных органов в деле проведения расследований преступлений на почве ненависти и случаев использования уголовно наказуемого языка ненависти, в том числе в Интернете, повышать уровень подготовки судей и прокуроров и обеспечивать, чтобы все такие дела систематически расследовались, исполнители привлекались к ответственности и к ним применялись меры наказания, соразмерные тяжести преступления, а потерпевшие имели доступ к полной компенсации.</w:t>
      </w:r>
    </w:p>
    <w:p w14:paraId="157084C7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Насилие в отношении женщин</w:t>
      </w:r>
    </w:p>
    <w:p w14:paraId="18A292B9" w14:textId="312C7EF0" w:rsidR="00962CCD" w:rsidRPr="003E0F1E" w:rsidRDefault="00962CCD" w:rsidP="00962CCD">
      <w:pPr>
        <w:pStyle w:val="SingleTxtG"/>
        <w:rPr>
          <w:shd w:val="clear" w:color="auto" w:fill="FFFFFF"/>
        </w:rPr>
      </w:pPr>
      <w:r>
        <w:t>17.</w:t>
      </w:r>
      <w:r>
        <w:tab/>
        <w:t xml:space="preserve">Комитет принимает во внимание усилия государства-участника по борьбе с насилием в отношении женщин, включая открытие телефонной </w:t>
      </w:r>
      <w:r w:rsidR="001E31D7">
        <w:t>«</w:t>
      </w:r>
      <w:r>
        <w:t>горячей линии</w:t>
      </w:r>
      <w:r w:rsidR="001E31D7">
        <w:t>»</w:t>
      </w:r>
      <w:r>
        <w:t xml:space="preserve"> и создание приютов. Однако он обеспокоен сохранением насилия в отношении женщин, в частности сексуального насилия, в зонах конфликтов. Он также обеспокоен незначительным количеством обращений пострадавших женщин c заявлениями, а также случаев судебного преследования и осуждения лиц, совершивших насилие в отношении женщин, отсутствием информации о наличии юридической помощи и непринятием эффективных мер защиты в интересах жертв насилия (статьи 2</w:t>
      </w:r>
      <w:r w:rsidR="00DA09BA" w:rsidRPr="00DA09BA">
        <w:t>–</w:t>
      </w:r>
      <w:r>
        <w:t>3, 6</w:t>
      </w:r>
      <w:r w:rsidR="00DA09BA" w:rsidRPr="00DA09BA">
        <w:t>–</w:t>
      </w:r>
      <w:r>
        <w:t>7 и</w:t>
      </w:r>
      <w:r w:rsidR="001E31D7">
        <w:t> </w:t>
      </w:r>
      <w:r>
        <w:t>26).</w:t>
      </w:r>
    </w:p>
    <w:p w14:paraId="2FE3812D" w14:textId="77777777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18.</w:t>
      </w:r>
      <w:r>
        <w:tab/>
      </w:r>
      <w:r>
        <w:rPr>
          <w:b/>
          <w:bCs/>
        </w:rPr>
        <w:t>Государству-участнику следует в срочном порядке активизировать свои усилия по борьбе с насилием в отношении женщин, включая домашнее и сексуальное насилие, в частности, путем:</w:t>
      </w:r>
    </w:p>
    <w:p w14:paraId="45DF5724" w14:textId="428BCEE0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проведения кампаний по разъяснению неприемлемости и негативных последствий насилия в отношении женщин и систематического информирования женщин об их правах и имеющихся возможностях для получения защиты, помощи и возмещения ущерба, в частности в зонах конфликтов;</w:t>
      </w:r>
    </w:p>
    <w:p w14:paraId="241ED7F9" w14:textId="088C3E4C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обеспечения того, чтобы сотрудники правоохранительных органов, работники судебной системы, прокуроры и другие соответствующие заинтересованные стороны проходили надлежащую подготовку по вопросам выявления, рассмотрения и расследования с учетом гендерных аспектов случаев насилия в отношении женщин;</w:t>
      </w:r>
    </w:p>
    <w:p w14:paraId="4E502168" w14:textId="3501676B" w:rsidR="00962CCD" w:rsidRPr="003E0F1E" w:rsidRDefault="00962CCD" w:rsidP="00962CCD">
      <w:pPr>
        <w:pStyle w:val="SingleTxtG"/>
        <w:rPr>
          <w:b/>
          <w:bCs/>
          <w:color w:val="000000" w:themeColor="text1"/>
        </w:rPr>
      </w:pPr>
      <w:r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проведения тщательного расследования случаев насилия в отношении женщин, судебного преследования виновных и, в случае осуждения, назначения им соответствующих мер наказания, а также предоставления жертвам доступа к эффективным средствам правовой защиты</w:t>
      </w:r>
      <w:r w:rsidR="005F1FFE">
        <w:rPr>
          <w:b/>
          <w:bCs/>
        </w:rPr>
        <w:t>;</w:t>
      </w:r>
    </w:p>
    <w:p w14:paraId="731E643A" w14:textId="06683A53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d)</w:t>
      </w:r>
      <w:r>
        <w:tab/>
      </w:r>
      <w:r>
        <w:rPr>
          <w:b/>
          <w:bCs/>
        </w:rPr>
        <w:t>повышения доступности услуг по оказанию поддержки жертвам;</w:t>
      </w:r>
    </w:p>
    <w:p w14:paraId="6FF7EFEA" w14:textId="679241C4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ab/>
      </w:r>
      <w:r w:rsidRPr="00962CCD">
        <w:rPr>
          <w:b/>
          <w:bCs/>
        </w:rPr>
        <w:t>e)</w:t>
      </w:r>
      <w:r>
        <w:tab/>
      </w:r>
      <w:r>
        <w:rPr>
          <w:b/>
          <w:bCs/>
        </w:rPr>
        <w:t>рассмотрения вопроса о ратификации Конвенции Совета Европы о предотвращении и борьбе с насилием в отношении женщин и домашним насилием (Стамбульская конвенция).</w:t>
      </w:r>
    </w:p>
    <w:p w14:paraId="15BBE51D" w14:textId="77777777" w:rsidR="00962CCD" w:rsidRPr="003E0F1E" w:rsidRDefault="00962CCD" w:rsidP="00962CCD">
      <w:pPr>
        <w:pStyle w:val="H23G"/>
        <w:rPr>
          <w:bdr w:val="none" w:sz="0" w:space="0" w:color="auto" w:frame="1"/>
        </w:rPr>
      </w:pPr>
      <w:r>
        <w:tab/>
      </w:r>
      <w:r>
        <w:tab/>
      </w:r>
      <w:r>
        <w:rPr>
          <w:bCs/>
        </w:rPr>
        <w:t>Расследование нарушений прав человека на Майдане и в Одессе</w:t>
      </w:r>
    </w:p>
    <w:p w14:paraId="64513BCF" w14:textId="60DD8A90" w:rsidR="00962CCD" w:rsidRPr="003E0F1E" w:rsidRDefault="00962CCD" w:rsidP="00962CCD">
      <w:pPr>
        <w:pStyle w:val="SingleTxtG"/>
        <w:rPr>
          <w:shd w:val="clear" w:color="auto" w:fill="FFFFFF"/>
        </w:rPr>
      </w:pPr>
      <w:r>
        <w:t>19.</w:t>
      </w:r>
      <w:r>
        <w:tab/>
        <w:t>Комитет обеспокоен медленными темпами проведения расследований и соответствующих судебных процессов по фактам нарушений прав человека, включая убийства и насильственные смерти, совершенных во время протестов на Майдане в январе и феврале 2014 года и в Одессе в мае 2014 года. Комитет считает достойным сожаления то обстоятельство, что прогресс в расследовании этих преступлений затрудняется, в том числе из-за нехватки кадров и финансовых средств для обеспечения работы судов, а также из-за так называемого закона об иммунитете (закон</w:t>
      </w:r>
      <w:r w:rsidR="007172D2">
        <w:t> </w:t>
      </w:r>
      <w:r>
        <w:t>№ 743-VII), который препятствует расследованию, в частности, убийств 13</w:t>
      </w:r>
      <w:r w:rsidR="00DA09BA">
        <w:rPr>
          <w:lang w:val="fr-CH"/>
        </w:rPr>
        <w:t> </w:t>
      </w:r>
      <w:r>
        <w:t xml:space="preserve">сотрудников полиции, предположительно совершенных протестующими </w:t>
      </w:r>
      <w:r w:rsidR="00DA09BA">
        <w:br/>
      </w:r>
      <w:r>
        <w:t>(статьи 6</w:t>
      </w:r>
      <w:r w:rsidRPr="00962CCD">
        <w:t>–</w:t>
      </w:r>
      <w:r>
        <w:t>7, 9, 14 и 21).</w:t>
      </w:r>
    </w:p>
    <w:p w14:paraId="1B706FD5" w14:textId="77777777" w:rsidR="00962CCD" w:rsidRPr="003E0F1E" w:rsidRDefault="00962CCD" w:rsidP="00962CCD">
      <w:pPr>
        <w:pStyle w:val="SingleTxtG"/>
      </w:pPr>
      <w:r>
        <w:t>20.</w:t>
      </w:r>
      <w:r>
        <w:tab/>
        <w:t xml:space="preserve">Государству-участнику следует активизировать свои усилия по проведению тщательного и беспристрастного расследования нарушений прав человека, совершенных во время протестов на Майдане в январе и феврале 2014 года и в Одессе в мае 2014 года. Государству-участнику следует устранить все препятствия в </w:t>
      </w:r>
      <w:r>
        <w:lastRenderedPageBreak/>
        <w:t>законодательстве, затрудняющие расследование убийств и насильственных смертей, в частности убийства 13 сотрудников полиции. Кроме того, ему следует обеспечить информирование всех жертв и их родственников о ходе и результатах расследования, выявить всех виновных и обеспечить их судебное преследование и наказание, соразмерное тяжести совершенных ими преступлений. Кроме того, ему следует обеспечить всем жертвам и их семьям полное возмещение ущерба, включая адекватную компенсацию, реабилитацию, сатисфакцию и гарантии неповторения.</w:t>
      </w:r>
    </w:p>
    <w:p w14:paraId="437F0CFB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Право на жизнь и защита гражданского населения</w:t>
      </w:r>
    </w:p>
    <w:p w14:paraId="7C21C169" w14:textId="77777777" w:rsidR="00962CCD" w:rsidRPr="003E0F1E" w:rsidRDefault="00962CCD" w:rsidP="00962CCD">
      <w:pPr>
        <w:pStyle w:val="SingleTxtG"/>
      </w:pPr>
      <w:r>
        <w:t>21.</w:t>
      </w:r>
      <w:r>
        <w:tab/>
        <w:t>Комитет высоко оценивает принимаемые государством-участником меры по усилению защиты гражданского населения и значительное улучшение ситуации в плане безопасности в Донецкой и Луганской областях, которые не контролируются правительством, а также в Автономной Республике Крым и городе Севастополе, временно оккупированных Российской Федерацией. Вместе с тем он с обеспокоенностью отмечает, что национальная стратегия защиты гражданских лиц в вооруженных конфликтах на период до 2030 года еще не принята. Комитет обеспокоен сообщениями о ранениях и смертях, вызванных наземными минами на востоке Украины (статья 6).</w:t>
      </w:r>
    </w:p>
    <w:p w14:paraId="3605DD3E" w14:textId="77777777" w:rsidR="00962CCD" w:rsidRPr="003E0F1E" w:rsidRDefault="00962CCD" w:rsidP="00962CCD">
      <w:pPr>
        <w:pStyle w:val="SingleTxtG"/>
      </w:pPr>
      <w:r>
        <w:t>22.</w:t>
      </w:r>
      <w:r>
        <w:tab/>
        <w:t>Государству-участнику следует продолжать свои усилия по повышению уровня защиты гражданского населения в зонах конфликтов и принять соответствующую национальную стратегию. Ему следует также активизировать свои усилия по защите гражданского населения, в частности детей, от наземных мин, в том числе посредством программ по разминированию, программ по информированию о минной опасности и физической реабилитации жертв.</w:t>
      </w:r>
    </w:p>
    <w:p w14:paraId="1A05765B" w14:textId="77777777" w:rsidR="00962CCD" w:rsidRPr="003E0F1E" w:rsidRDefault="00962CCD" w:rsidP="00962CCD">
      <w:pPr>
        <w:pStyle w:val="H23G"/>
        <w:rPr>
          <w:bdr w:val="none" w:sz="0" w:space="0" w:color="auto" w:frame="1"/>
        </w:rPr>
      </w:pPr>
      <w:r>
        <w:tab/>
      </w:r>
      <w:r>
        <w:tab/>
      </w:r>
      <w:r>
        <w:rPr>
          <w:bCs/>
        </w:rPr>
        <w:t>Нарушения прав человека в прошлом</w:t>
      </w:r>
    </w:p>
    <w:p w14:paraId="5E9A4AF0" w14:textId="25689D98" w:rsidR="00962CCD" w:rsidRPr="003E0F1E" w:rsidRDefault="00962CCD" w:rsidP="00962CCD">
      <w:pPr>
        <w:pStyle w:val="SingleTxtG"/>
      </w:pPr>
      <w:r>
        <w:t>23.</w:t>
      </w:r>
      <w:r>
        <w:tab/>
        <w:t>Хотя Комитет приветствует заверения государства-участника в том, что оно будет расследовать все преступления, совершенные в контексте вооруженного конфликта, он с обеспокоенностью отмечает отсутствие прогресса в расследовании дел и привлечении к ответственности лиц, виновных в серьезных нарушениях прав человека, включая суммарные казни, акты сексуального насилия, похищения, насильственные исчезновения, незаконные или произвольные задержания и акты пыток и жестокого обращения, предположительно совершенные украинскими военными и сотрудниками правоохранительных органов в контексте вооруженного конфликта, в том числе в неофициальном месте содержания под стражей в Харькове, в период 2014</w:t>
      </w:r>
      <w:r w:rsidR="007172D2">
        <w:t>–</w:t>
      </w:r>
      <w:r>
        <w:t xml:space="preserve">2016 годов. Он также обеспокоен сообщениями о том, что жертвы, особенно женщины, часто не сообщают о нарушениях прав человека из-за страха расправы, отсутствия доверия к государственным институтам и незнания своих прав. Он с обеспокоенностью отмечает сообщения об угрозах в адрес адвокатов за то, что они защищали отдельных лиц в делах, связанных с вооруженным конфликтом. Кроме того, Комитет приветствует данное государством-участником в ходе диалога обещание соблюдать положения заключения № 1046/2021 Европейской комиссии </w:t>
      </w:r>
      <w:r w:rsidR="001E31D7">
        <w:t>«</w:t>
      </w:r>
      <w:r>
        <w:t>Демократия через закон</w:t>
      </w:r>
      <w:r w:rsidR="001E31D7">
        <w:t>»</w:t>
      </w:r>
      <w:r>
        <w:t xml:space="preserve"> (Венецианской комиссии) относительно законопроекта об основах государственной политики переходного периода (статьи 2, 6</w:t>
      </w:r>
      <w:r w:rsidR="00DA09BA" w:rsidRPr="00DA09BA">
        <w:t>–</w:t>
      </w:r>
      <w:r>
        <w:t>7, 9</w:t>
      </w:r>
      <w:r w:rsidR="00DA09BA" w:rsidRPr="00DA09BA">
        <w:t>–</w:t>
      </w:r>
      <w:r>
        <w:t>10 и 14).</w:t>
      </w:r>
    </w:p>
    <w:p w14:paraId="6039B6C5" w14:textId="77777777" w:rsidR="00962CCD" w:rsidRPr="003E0F1E" w:rsidRDefault="00962CCD" w:rsidP="00962CCD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следует:</w:t>
      </w:r>
    </w:p>
    <w:p w14:paraId="21259EC0" w14:textId="6BEBD0AA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принимать все возможные меры для борьбы с безнаказанностью лиц, виновных в нарушениях прав человека, особенно в наиболее серьезных нарушениях, путем проведения быстрых, беспристрастных и эффективных расследований систематическим и тщательным образом в целях установления и судебного преследования виновных и, в случае признания их виновными, вынесения им соответствующих наказаний, а также обеспечения семьям жертв доступа к эффективным средствам правовой защиты и полного возмещения ущерба;</w:t>
      </w:r>
    </w:p>
    <w:p w14:paraId="3B47F6E7" w14:textId="50B107C9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принять всеобъемлющую государственную политику в отношении предоставления компенсаций гражданским жертвам конфликта;</w:t>
      </w:r>
    </w:p>
    <w:p w14:paraId="52D7DCE0" w14:textId="328497F1" w:rsidR="00962CCD" w:rsidRPr="003E0F1E" w:rsidRDefault="00962CCD" w:rsidP="00962CCD">
      <w:pPr>
        <w:pStyle w:val="SingleTxtG"/>
        <w:rPr>
          <w:b/>
          <w:bCs/>
        </w:rPr>
      </w:pPr>
      <w:r>
        <w:lastRenderedPageBreak/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гарантировать защиту заявителей, включая женщин и адвокатов, от любых форм репрессий и обеспечивать, чтобы все случаи репрессий эффективно расследовались, а виновные привлекались к ответственности и, в случае осуждения, несли соответствующее наказание;</w:t>
      </w:r>
    </w:p>
    <w:p w14:paraId="3E4158DD" w14:textId="23C5BDF0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d)</w:t>
      </w:r>
      <w:r>
        <w:tab/>
      </w:r>
      <w:r>
        <w:rPr>
          <w:b/>
          <w:bCs/>
        </w:rPr>
        <w:t>обеспечивать, чтобы лица, осужденные за серьезные нарушения прав человека, не допускались на руководящие должности с властными полномочиями;</w:t>
      </w:r>
    </w:p>
    <w:p w14:paraId="6BFAE7CE" w14:textId="74145B4E" w:rsidR="00962CCD" w:rsidRPr="003E0F1E" w:rsidRDefault="00962CCD" w:rsidP="00962CCD">
      <w:pPr>
        <w:pStyle w:val="SingleTxtG"/>
        <w:rPr>
          <w:b/>
          <w:bCs/>
          <w:bdr w:val="none" w:sz="0" w:space="0" w:color="auto" w:frame="1"/>
        </w:rPr>
      </w:pPr>
      <w:r>
        <w:tab/>
      </w:r>
      <w:r w:rsidRPr="00962CCD">
        <w:rPr>
          <w:b/>
          <w:bCs/>
        </w:rPr>
        <w:t>e)</w:t>
      </w:r>
      <w:r>
        <w:tab/>
      </w:r>
      <w:r>
        <w:rPr>
          <w:b/>
          <w:bCs/>
        </w:rPr>
        <w:t>пересмотреть законопроект об основах государственной политики переходного периода, принимая во внимание заключение № 1046/2021 Венецианской комиссии.</w:t>
      </w:r>
    </w:p>
    <w:p w14:paraId="139BBBA8" w14:textId="77777777" w:rsidR="00962CCD" w:rsidRPr="003E0F1E" w:rsidRDefault="00962CCD" w:rsidP="00962CCD">
      <w:pPr>
        <w:pStyle w:val="H23G"/>
        <w:rPr>
          <w:bdr w:val="none" w:sz="0" w:space="0" w:color="auto" w:frame="1"/>
        </w:rPr>
      </w:pPr>
      <w:r>
        <w:tab/>
      </w:r>
      <w:r>
        <w:tab/>
      </w:r>
      <w:r>
        <w:rPr>
          <w:bCs/>
        </w:rPr>
        <w:t>Насильственные исчезновения</w:t>
      </w:r>
    </w:p>
    <w:p w14:paraId="587ACC35" w14:textId="5AABA57E" w:rsidR="00962CCD" w:rsidRPr="003E0F1E" w:rsidRDefault="00962CCD" w:rsidP="00962CCD">
      <w:pPr>
        <w:pStyle w:val="SingleTxtG"/>
      </w:pPr>
      <w:r>
        <w:t>25.</w:t>
      </w:r>
      <w:r>
        <w:tab/>
        <w:t>Хотя Комитет приветствует принятие в 2018 году закона о правовом статусе пропавших без вести лиц, он обеспокоен его юридическими неточностями, сферой его применения и способами реализации различных его положений. В частности, он с обеспокоенностью отмечает трудности в определении того, какие положения применяются ко всем пропавшим без вести лицам, а какие — только к лицам, пропавшим без вести в конкретной ситуации конфликта. Несмотря на усилия, предпринимаемые государством-участником, Комитет сожалеет, что Комиссии по делам лиц, пропавших без вести при особых обстоятельствах, и единому реестру пропавших без вести лиц, которые были учреждены в 2019 году, трудно функционировать должным образом. Отмечая включение в Уголовный кодекс статьи</w:t>
      </w:r>
      <w:r>
        <w:rPr>
          <w:lang w:val="fr-CH"/>
        </w:rPr>
        <w:t> </w:t>
      </w:r>
      <w:r>
        <w:t>146 (1), определяющей преступление насильственного исчезновения, Комитет обеспокоен тем, что предусмотренные наказания тяжести преступления не соответствуют (статьи 2, 6</w:t>
      </w:r>
      <w:r w:rsidR="00DA09BA" w:rsidRPr="00DA09BA">
        <w:t>–</w:t>
      </w:r>
      <w:r>
        <w:t>7, 9, 14 и 16).</w:t>
      </w:r>
    </w:p>
    <w:p w14:paraId="79F90596" w14:textId="77777777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26.</w:t>
      </w:r>
      <w:r>
        <w:tab/>
      </w:r>
      <w:r>
        <w:rPr>
          <w:b/>
          <w:bCs/>
        </w:rPr>
        <w:t>Государству-участнику следует:</w:t>
      </w:r>
    </w:p>
    <w:p w14:paraId="615840C1" w14:textId="3975A29A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пересмотреть нормативно-правовую базу таким образом, чтобы все формы насильственного исчезновения были четко определены в уголовном законодательстве, а соответствующие наказания были соразмерны тяжести преступления;</w:t>
      </w:r>
    </w:p>
    <w:p w14:paraId="11B9104C" w14:textId="70EBD21F" w:rsidR="00962CCD" w:rsidRPr="003E0F1E" w:rsidRDefault="00962CCD" w:rsidP="00962CCD">
      <w:pPr>
        <w:pStyle w:val="SingleTxtG"/>
        <w:rPr>
          <w:b/>
          <w:bCs/>
          <w:bdr w:val="none" w:sz="0" w:space="0" w:color="auto" w:frame="1"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по обеспечению своевременного расследования всех зарегистрированных случаев насильственных исчезновений, в том числе совершенных в контексте вооруженного конфликта, а также своевременного судебного преследования и наказания виновных;</w:t>
      </w:r>
    </w:p>
    <w:p w14:paraId="03B2E178" w14:textId="21E8E9D9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укрепить потенциал специальных прокуратур по делам пропавших без вести лиц и удвоить усилия по тщательному, беспристрастному и прозрачному расследованию всех случаев предполагаемых насильственных исчезновений в целях выяснения местонахождения пропавших без вести лиц, а также судебного преследования и наказания виновных;</w:t>
      </w:r>
    </w:p>
    <w:p w14:paraId="0080725E" w14:textId="7F5FE399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d)</w:t>
      </w:r>
      <w:r>
        <w:tab/>
      </w:r>
      <w:r>
        <w:rPr>
          <w:b/>
          <w:bCs/>
        </w:rPr>
        <w:t>принять все необходимые меры для обеспечения эффективного функционирования Комиссии по делам лиц, пропавших без вести при особых обстоятельствах, и единого реестра пропавших без вести лиц путем безотлагательного предоставления институциональных и бюджетных ресурсов согласно соответствующему законодательству.</w:t>
      </w:r>
    </w:p>
    <w:p w14:paraId="5AB03559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Запрет пыток и других жестоких, бесчеловечных или унижающих достоинство видов обращения и наказания</w:t>
      </w:r>
    </w:p>
    <w:p w14:paraId="34FB6FD3" w14:textId="2D4101EB" w:rsidR="00962CCD" w:rsidRPr="003E0F1E" w:rsidRDefault="00962CCD" w:rsidP="00962CCD">
      <w:pPr>
        <w:pStyle w:val="SingleTxtG"/>
      </w:pPr>
      <w:r>
        <w:t xml:space="preserve">27. </w:t>
      </w:r>
      <w:r>
        <w:tab/>
        <w:t>Комитет по-прежнему обеспокоен сообщениями о том, что акты пыток и жестокого обращения продолжают совершаться правоохранительными органами, а также ограниченным количеством вынесенных приговоров, несмотря на большое количество поданных жалоб</w:t>
      </w:r>
      <w:r w:rsidRPr="008544FD">
        <w:rPr>
          <w:rStyle w:val="aa"/>
        </w:rPr>
        <w:footnoteReference w:id="6"/>
      </w:r>
      <w:r>
        <w:t xml:space="preserve">. Комитет с обеспокоенностью отмечает, что определение, содержащееся в статье 127 Уголовного кодекса, предусматривает </w:t>
      </w:r>
      <w:r>
        <w:lastRenderedPageBreak/>
        <w:t>уголовную ответственность только за непосредственное применение пыток, но не за простое согласие или попустительство со стороны государственного должностного лица или другого лица, выступающего в официальном качестве, и что оно не предусматривает ответственности командиров или вышестоящего начальства (статьи</w:t>
      </w:r>
      <w:r w:rsidR="00DA09BA">
        <w:rPr>
          <w:lang w:val="fr-CH"/>
        </w:rPr>
        <w:t> </w:t>
      </w:r>
      <w:r>
        <w:t>2, 7, 9 и 14).</w:t>
      </w:r>
    </w:p>
    <w:p w14:paraId="2CFDC473" w14:textId="77777777" w:rsidR="00962CCD" w:rsidRPr="003E0F1E" w:rsidRDefault="00962CCD" w:rsidP="00962CCD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следует:</w:t>
      </w:r>
    </w:p>
    <w:p w14:paraId="1E663E9B" w14:textId="1CAB6683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искоренению пыток и жестокого обращения, обеспечивать оперативное, тщательное и независимое расследование таких актов, судебное преследование виновных соразмерно тяжести их деяний и предоставление жертвам эффективных средств правовой защиты, включая адекватную компенсацию;</w:t>
      </w:r>
    </w:p>
    <w:p w14:paraId="537C7715" w14:textId="768861DD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создать эффективный и независимый механизм рассмотрения жалоб по делам о предполагаемых пытках и жестоком обращении;</w:t>
      </w:r>
    </w:p>
    <w:p w14:paraId="68F13200" w14:textId="691F56EA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внести поправку в статью 127 Уголовного кодекса, включив в нее определение пытки, соответствующее Пакту и другим международным стандартам.</w:t>
      </w:r>
    </w:p>
    <w:p w14:paraId="08180DE2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Произвольное задержание призывников</w:t>
      </w:r>
    </w:p>
    <w:p w14:paraId="1DD94F73" w14:textId="21E0ED3B" w:rsidR="00962CCD" w:rsidRPr="003E0F1E" w:rsidRDefault="00962CCD" w:rsidP="00962CCD">
      <w:pPr>
        <w:pStyle w:val="SingleTxtG"/>
      </w:pPr>
      <w:r>
        <w:t>29.</w:t>
      </w:r>
      <w:r>
        <w:tab/>
        <w:t>Комитет обеспокоен сообщениями о том, что призывников, включая лиц, отказывающихся от военной службы по соображениям совести, выслеживают и доставляют на сборные пункты военкоматов против их воли, а также о том, что призывники подвергаются произвольным задержаниям. Он также обеспокоен отсутствием информации о расследовании таких случаев и о судебном преследовании виновных (статьи 9</w:t>
      </w:r>
      <w:r w:rsidR="00281E79">
        <w:t>–</w:t>
      </w:r>
      <w:r>
        <w:t>10 и 18).</w:t>
      </w:r>
    </w:p>
    <w:p w14:paraId="34C9B908" w14:textId="77777777" w:rsidR="00962CCD" w:rsidRPr="003E0F1E" w:rsidRDefault="00962CCD" w:rsidP="00962CCD">
      <w:pPr>
        <w:pStyle w:val="SingleTxtG"/>
        <w:rPr>
          <w:b/>
          <w:bCs/>
        </w:rPr>
      </w:pPr>
      <w:r>
        <w:t>30.</w:t>
      </w:r>
      <w:r>
        <w:tab/>
      </w:r>
      <w:r w:rsidRPr="00D05905">
        <w:rPr>
          <w:b/>
          <w:bCs/>
        </w:rPr>
        <w:t>Комитет повторяет свою предыдущую рекомендацию</w:t>
      </w:r>
      <w:r w:rsidRPr="00281E79">
        <w:rPr>
          <w:rStyle w:val="aa"/>
        </w:rPr>
        <w:footnoteReference w:id="7"/>
      </w:r>
      <w:r w:rsidRPr="00D05905">
        <w:rPr>
          <w:b/>
          <w:bCs/>
        </w:rPr>
        <w:t xml:space="preserve"> и подчеркивает, что альтернативы военной службе должны быть доступны всем лицам, отказывающимся от военной службы по соображениям совести, без дискриминации в отношении характера их убеждений, обосновывающих отказ (будь то религиозные убеждения или нерелигиозные убеждения, основанные на совести), и не должны быть ни карательными, ни дискриминационными по характеру или продолжительности по сравнению с военной службой.</w:t>
      </w:r>
      <w:r>
        <w:t xml:space="preserve"> </w:t>
      </w:r>
      <w:r>
        <w:rPr>
          <w:b/>
          <w:bCs/>
        </w:rPr>
        <w:t>Государству-участнику следует обеспечивать, чтобы случаи похищения и произвольного задержания призывников оперативно, тщательно и независимо расследовались, чтобы виновные привлекались к ответственности и наказывались, а жертвам предоставлялись эффективные средства правовой защиты, включая адекватную компенсацию.</w:t>
      </w:r>
    </w:p>
    <w:p w14:paraId="39CC41F9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Содержание под стражей до суда</w:t>
      </w:r>
    </w:p>
    <w:p w14:paraId="6C0BADAB" w14:textId="3255F0F1" w:rsidR="00962CCD" w:rsidRPr="003E0F1E" w:rsidRDefault="00962CCD" w:rsidP="00962CCD">
      <w:pPr>
        <w:pStyle w:val="SingleTxtG"/>
        <w:rPr>
          <w:shd w:val="clear" w:color="auto" w:fill="FFFFFF"/>
        </w:rPr>
      </w:pPr>
      <w:r>
        <w:t>31.</w:t>
      </w:r>
      <w:r>
        <w:tab/>
        <w:t>Комитет обеспокоен сообщениями о лицах, содержащихся под стражей до суда течение длительных периодов времени, что противоречит положениям Пакта. В</w:t>
      </w:r>
      <w:r w:rsidR="00DA09BA">
        <w:rPr>
          <w:lang w:val="fr-CH"/>
        </w:rPr>
        <w:t> </w:t>
      </w:r>
      <w:r>
        <w:t>частности, Комитет обеспокоен сообщениями о том, что дети содержатся под стражей до суда более одного года (статьи 9</w:t>
      </w:r>
      <w:r w:rsidR="00DA09BA" w:rsidRPr="007D309F">
        <w:t>–</w:t>
      </w:r>
      <w:r>
        <w:t>10 и 14).</w:t>
      </w:r>
    </w:p>
    <w:p w14:paraId="17126C83" w14:textId="77777777" w:rsidR="00962CCD" w:rsidRPr="003E0F1E" w:rsidRDefault="00962CCD" w:rsidP="00962CCD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Государству-участнику следует обеспечивать, чтобы содержание под стражей до суда использовалось только в качестве крайней меры и на максимально короткий срок и чтобы оно регулярно пересматривалось в соответствии с Пактом.</w:t>
      </w:r>
      <w:r>
        <w:t xml:space="preserve"> </w:t>
      </w:r>
      <w:r>
        <w:rPr>
          <w:b/>
          <w:bCs/>
        </w:rPr>
        <w:t>Ему также следует в максимально возможной степени избегать содержания несовершеннолетних под стражей до суда.</w:t>
      </w:r>
      <w:r>
        <w:t xml:space="preserve"> </w:t>
      </w:r>
      <w:r>
        <w:rPr>
          <w:b/>
          <w:bCs/>
        </w:rPr>
        <w:t>Государству-участнику следует продолжать поощрять использование альтернативных мер, не связанных с лишением свободы.</w:t>
      </w:r>
    </w:p>
    <w:p w14:paraId="38D9ACF1" w14:textId="77777777" w:rsidR="00962CCD" w:rsidRPr="003E0F1E" w:rsidRDefault="00962CCD" w:rsidP="00962CCD">
      <w:pPr>
        <w:pStyle w:val="H23G"/>
      </w:pPr>
      <w:r>
        <w:lastRenderedPageBreak/>
        <w:tab/>
      </w:r>
      <w:r>
        <w:tab/>
      </w:r>
      <w:r>
        <w:rPr>
          <w:bCs/>
        </w:rPr>
        <w:t>Свобода передвижения</w:t>
      </w:r>
    </w:p>
    <w:p w14:paraId="11CC5ABE" w14:textId="77777777" w:rsidR="00962CCD" w:rsidRPr="003E0F1E" w:rsidRDefault="00962CCD" w:rsidP="00962CCD">
      <w:pPr>
        <w:pStyle w:val="SingleTxtG"/>
      </w:pPr>
      <w:r>
        <w:t>33.</w:t>
      </w:r>
      <w:r>
        <w:tab/>
        <w:t>Комитет высоко оценивает принимаемые государством-участником меры по улучшению условий пересечения границы на контрольно-пропускных пунктах и создание двух дополнительных контрольно-пропускных пунктов в Луганской области. Комитет с обеспокоенностью отмечает жесткие ограничения, наложенные на гражданских лиц на контрольно-пропускных пунктах во время пандемии COVID-19. Несмотря на исключительные основания, позволяющие пересекать границу по гуманитарным соображениям, он с обеспокоенностью отмечает сообщения о том, что на практике многим людям, предположительно отвечающим установленным государством-участником требованиям, тем не менее отказывали в разрешении на пересечение границы (статья 12).</w:t>
      </w:r>
    </w:p>
    <w:p w14:paraId="67C1DF8C" w14:textId="77777777" w:rsidR="00962CCD" w:rsidRPr="003E0F1E" w:rsidRDefault="00962CCD" w:rsidP="00962CCD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гарантировать свободу передвижения, отменив все ограничения, несовместимые со статьей 12 Пакта, с учетом замечания общего порядка № 27 (1999) Комитета.</w:t>
      </w:r>
      <w:r>
        <w:t xml:space="preserve"> </w:t>
      </w:r>
      <w:r>
        <w:rPr>
          <w:b/>
          <w:bCs/>
        </w:rPr>
        <w:t>Государству-участнику следует обеспечивать, чтобы соответствующие органы власти приводили четкие и прозрачные причины любого отказа или ограничения на пересечение контрольно-пропускных пунктов и чтобы в таких обстоятельствах была доступна процедура обжалования.</w:t>
      </w:r>
    </w:p>
    <w:p w14:paraId="13A9E45D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Внутренне перемещенные лица</w:t>
      </w:r>
    </w:p>
    <w:p w14:paraId="77AA89D7" w14:textId="77777777" w:rsidR="00962CCD" w:rsidRPr="003E0F1E" w:rsidRDefault="00962CCD" w:rsidP="00962CCD">
      <w:pPr>
        <w:pStyle w:val="SingleTxtG"/>
      </w:pPr>
      <w:r>
        <w:t>35.</w:t>
      </w:r>
      <w:r>
        <w:tab/>
        <w:t>Комитет обеспокоен тем, что внутренне перемещенные лица сталкиваются с многими формами дискриминации, в том числе в отношении своих политических прав, и что такая дискриминация препятствует их реинтеграции в общество. Несмотря на принятие в 2019 году Избирательного кодекса и улучшение условий, регулирующих осуществление избирательного права внутренне перемещенных лиц, Комитет обеспокоен тем, что практические барьеры сохраняются, а число внутренне перемещенных лиц, осуществляющих свое избирательное право, по-прежнему невелико (статьи 12 и 26).</w:t>
      </w:r>
    </w:p>
    <w:p w14:paraId="6476F6F0" w14:textId="77777777" w:rsidR="00962CCD" w:rsidRPr="003E0F1E" w:rsidRDefault="00962CCD" w:rsidP="00962CCD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принимать законодательные и практические меры по борьбе с дискриминацией в отношении внутренне перемещенных лиц, в том числе путем обеспечения их права голоса на практике.</w:t>
      </w:r>
      <w:r>
        <w:t xml:space="preserve"> </w:t>
      </w:r>
      <w:r>
        <w:rPr>
          <w:b/>
          <w:bCs/>
        </w:rPr>
        <w:t>В частности, ему следует принимать меры по облегчению процедуры регистрации места фактического проживания внутренне перемещенных лиц и поощрять их к осуществлению своего права голоса, в том числе посредством стратегий по повышению осведомленности общественности об Избирательном кодексе и процедурах, гарантирующих полный объем избирательных прав внутренне перемещенных лиц.</w:t>
      </w:r>
    </w:p>
    <w:p w14:paraId="42EC3C84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Права иностранцев, включая мигрантов, беженцев и просителей убежища</w:t>
      </w:r>
    </w:p>
    <w:p w14:paraId="7BDA59EF" w14:textId="6AB85450" w:rsidR="00962CCD" w:rsidRPr="003E0F1E" w:rsidRDefault="00962CCD" w:rsidP="00962CCD">
      <w:pPr>
        <w:pStyle w:val="SingleTxtG"/>
      </w:pPr>
      <w:r>
        <w:t>37.</w:t>
      </w:r>
      <w:r>
        <w:tab/>
        <w:t>Комитет обеспокоен тем, что некоторые меры, принимаемые для решения проблемы притока мигрантов, могут нарушать защищаемые Пактом права. В</w:t>
      </w:r>
      <w:r w:rsidR="00DA09BA">
        <w:rPr>
          <w:lang w:val="fr-CH"/>
        </w:rPr>
        <w:t> </w:t>
      </w:r>
      <w:r>
        <w:t>частности, Комитет обеспокоен тем, что на практике просители убежища в транзитных зонах международных аэропортов не имеют доступа к эффективному механизму обжалования с приостанавливающим действием, а также отсутствием юридической помощи и услуг устного переводчика. Отмечая наличие законопроекта (№ 3387) о предоставлении защиты иностранцам и лицам без гражданства, Комитет, тем не менее, обеспокоен тем, что некоторые его положения, включая широкую сферу действия положений, допускающих задержание, не согласуются с Пактом (статьи 2, 7, 9</w:t>
      </w:r>
      <w:r w:rsidR="00DA09BA" w:rsidRPr="00DA09BA">
        <w:t>–</w:t>
      </w:r>
      <w:r>
        <w:t>10, 13 и 17).</w:t>
      </w:r>
    </w:p>
    <w:p w14:paraId="02B918B2" w14:textId="77777777" w:rsidR="00962CCD" w:rsidRPr="003E0F1E" w:rsidRDefault="00962CCD" w:rsidP="00962CCD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следует:</w:t>
      </w:r>
    </w:p>
    <w:p w14:paraId="11F50350" w14:textId="7256441E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обеспечивать, чтобы любой принятый закон в полной мере соответствовал бы Пакту, в частности принципу невыдворения и праву на свободу и личную неприкосновенность, в соответствии с замечанием общего порядка № 35 (2014) Комитета, и чтобы принцип невыдворения полностью соблюдался в транзитных зонах;</w:t>
      </w:r>
    </w:p>
    <w:p w14:paraId="7F8CD2B4" w14:textId="6C323B9A" w:rsidR="00962CCD" w:rsidRPr="003E0F1E" w:rsidRDefault="00962CCD" w:rsidP="00962CCD">
      <w:pPr>
        <w:pStyle w:val="SingleTxtG"/>
        <w:rPr>
          <w:b/>
          <w:bCs/>
        </w:rPr>
      </w:pPr>
      <w:r>
        <w:lastRenderedPageBreak/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предоставлять бесплатную юридическую помощь и услуги переводчика лицам, обращающимся с ходат</w:t>
      </w:r>
      <w:r w:rsidR="00A01FC1">
        <w:rPr>
          <w:b/>
          <w:bCs/>
        </w:rPr>
        <w:t>а</w:t>
      </w:r>
      <w:r>
        <w:rPr>
          <w:b/>
          <w:bCs/>
        </w:rPr>
        <w:t>йством о предоставлении убежища на границе, в частности в транзитных зонах, чтобы обеспечить им возможность на практике реализовать свое право на обжалование;</w:t>
      </w:r>
    </w:p>
    <w:p w14:paraId="587C2E89" w14:textId="3AA8649B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повышать уровень подготовки сотрудников пограничной и иммиграционной служб в целях обеспечения полного соблюдения прав просителей убежища и беженцев в соответствии с Пактом и другими применимыми международными стандартами.</w:t>
      </w:r>
    </w:p>
    <w:p w14:paraId="2F123462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Меры реагирования на COVID-19</w:t>
      </w:r>
    </w:p>
    <w:p w14:paraId="68705BAE" w14:textId="3509A44A" w:rsidR="00962CCD" w:rsidRPr="003E0F1E" w:rsidRDefault="00962CCD" w:rsidP="00962CCD">
      <w:pPr>
        <w:pStyle w:val="SingleTxtG"/>
      </w:pPr>
      <w:r>
        <w:t>39.</w:t>
      </w:r>
      <w:r>
        <w:tab/>
        <w:t>Комитет отмечает представленную государством-участником информацию о том, что в отношении некоторых статей Пакта, таких как статьи 12, 18 и 21, из-за мер, принятых для защиты здоровья населения после начала пандемии COVID-19, были введены ограничения. Комитет обеспокоен сообщениями о том, что значительные ограничения гражданских и политических прав, особенно остро отражающиеся на затронутых конфликтом группах населения, женщинах, рома, пожилых людях и других, были введены постановлениями Кабинета министров, а не путем пересмотра национальной нормативно-правовой базы, что вызывает обеспокоенность по поводу законности этих мер (статьи 4, 12 и 21</w:t>
      </w:r>
      <w:r w:rsidR="00DA09BA" w:rsidRPr="00DA09BA">
        <w:t>–</w:t>
      </w:r>
      <w:r>
        <w:t>22).</w:t>
      </w:r>
    </w:p>
    <w:p w14:paraId="397A1860" w14:textId="77777777" w:rsidR="00962CCD" w:rsidRPr="003E0F1E" w:rsidRDefault="00962CCD" w:rsidP="00962CCD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 обеспечивать, чтобы изменения в национальной нормативно-правовой базе в отношении чрезвычайных ситуаций и связанных с ними мер, включая меры, касающиеся защиты здоровья населения, а также любые ограничения, вносились в строгом соответствии с изложенными в Пакте условиями.</w:t>
      </w:r>
      <w:r>
        <w:t xml:space="preserve"> </w:t>
      </w:r>
      <w:r>
        <w:rPr>
          <w:b/>
          <w:bCs/>
        </w:rPr>
        <w:t>Более того, если материальная сфера любого ограничения закрепленных в Пакте прав выходит за рамки ограничений, допустимых в соответствующих статьях, государству-участнику следует воспользоваться правом отступления и немедленно проинформировать об этом другие государства — участники Пакта при посредничестве Генерального секретаря.</w:t>
      </w:r>
    </w:p>
    <w:p w14:paraId="1C05DF83" w14:textId="77777777" w:rsidR="00962CCD" w:rsidRPr="003E0F1E" w:rsidRDefault="00962CCD" w:rsidP="00962CCD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285C66C1" w14:textId="7E9DFAAC" w:rsidR="00962CCD" w:rsidRPr="003E0F1E" w:rsidRDefault="00962CCD" w:rsidP="00962CCD">
      <w:pPr>
        <w:pStyle w:val="SingleTxtG"/>
        <w:rPr>
          <w:shd w:val="clear" w:color="auto" w:fill="FFFFFF"/>
        </w:rPr>
      </w:pPr>
      <w:r>
        <w:t>41.</w:t>
      </w:r>
      <w:r>
        <w:tab/>
        <w:t>Комитет обеспокоен отсутствием достаточных гарантий против произвольного вмешательства в право на неприкосновенность частной жизни в форме отслеживания и перехвата</w:t>
      </w:r>
      <w:r w:rsidRPr="00861FB4">
        <w:t xml:space="preserve"> </w:t>
      </w:r>
      <w:r>
        <w:t xml:space="preserve">личных данных, получения доступа к ним и их разглашения органами госбезопасности, спецслужбами и частными структурами. Комитет также обеспокоен отсутствием информации о результатах уголовного расследования, проведенного в отношении веб-сайта </w:t>
      </w:r>
      <w:r w:rsidR="001E31D7">
        <w:t>«</w:t>
      </w:r>
      <w:r>
        <w:t>Миротворец</w:t>
      </w:r>
      <w:r w:rsidR="001E31D7">
        <w:t>»</w:t>
      </w:r>
      <w:r>
        <w:t xml:space="preserve"> в связи с предполагаемыми нарушениями права на неприкосновенность частной жизни, включая раскрытие личных данных тысяч украинцев и публикацию личных данных лиц, предположительно связанных с вооруженными группами или названных </w:t>
      </w:r>
      <w:r w:rsidR="001E31D7">
        <w:t>«</w:t>
      </w:r>
      <w:r>
        <w:t>террористами</w:t>
      </w:r>
      <w:r w:rsidR="001E31D7">
        <w:t>»</w:t>
      </w:r>
      <w:r>
        <w:t xml:space="preserve"> (статья 17).</w:t>
      </w:r>
    </w:p>
    <w:p w14:paraId="7BDEBC7F" w14:textId="77777777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>42.</w:t>
      </w:r>
      <w:r>
        <w:tab/>
      </w:r>
      <w:r>
        <w:rPr>
          <w:b/>
          <w:bCs/>
        </w:rPr>
        <w:t>Государству-участнику следует привести свои правила, регулирующие хранение данных и доступ к ним, отслеживание и перехват сообщений в полное соответствие с Пактом, в частности со статьей 17, и обеспечивать строгое соблюдение принципов законности, соразмерности и необходимости.</w:t>
      </w:r>
      <w:r>
        <w:t xml:space="preserve"> </w:t>
      </w:r>
      <w:r>
        <w:rPr>
          <w:b/>
          <w:bCs/>
        </w:rPr>
        <w:t>Ему следует обеспечивать, чтобы для любого вмешательства в право на неприкосновенность частной жизни требовалось предварительное разрешение суда и чтобы действовали эффективные и независимые механизмы надзора, а также чтобы затрагиваемые лица уведомлялись о деятельности по отслеживанию и перехвату сообщений, которой они подвергаются, где это возможно, и имели доступ к эффективным средствам правовой защиты в случаях злоупотребления.</w:t>
      </w:r>
      <w:r>
        <w:t xml:space="preserve"> </w:t>
      </w:r>
      <w:r>
        <w:rPr>
          <w:b/>
          <w:bCs/>
        </w:rPr>
        <w:t>Государству-участнику следует также обеспечивать, чтобы все сообщения о злоупотреблениях тщательно расследовались и чтобы такие расследования, когда это оправдано, приводили к применению соответствующих мер наказания.</w:t>
      </w:r>
    </w:p>
    <w:p w14:paraId="2AF251CB" w14:textId="77777777" w:rsidR="00962CCD" w:rsidRPr="003E0F1E" w:rsidRDefault="00962CCD" w:rsidP="00962CCD">
      <w:pPr>
        <w:pStyle w:val="H23G"/>
      </w:pPr>
      <w:r>
        <w:lastRenderedPageBreak/>
        <w:tab/>
      </w:r>
      <w:r>
        <w:tab/>
      </w:r>
      <w:r>
        <w:rPr>
          <w:bCs/>
        </w:rPr>
        <w:t>Независимость судебной власти и отправление правосудия</w:t>
      </w:r>
    </w:p>
    <w:p w14:paraId="2D38A3C0" w14:textId="1F87FA3A" w:rsidR="00962CCD" w:rsidRPr="003E0F1E" w:rsidRDefault="00962CCD" w:rsidP="00962CCD">
      <w:pPr>
        <w:pStyle w:val="SingleTxtG"/>
        <w:rPr>
          <w:shd w:val="clear" w:color="auto" w:fill="FFFFFF"/>
        </w:rPr>
      </w:pPr>
      <w:r>
        <w:t>43.</w:t>
      </w:r>
      <w:r>
        <w:tab/>
        <w:t>Отмечая усилия, предпринимаемые государством-участником, Комитет по</w:t>
      </w:r>
      <w:r w:rsidR="00DA09BA">
        <w:noBreakHyphen/>
      </w:r>
      <w:r>
        <w:t>прежнему обеспокоен:</w:t>
      </w:r>
    </w:p>
    <w:p w14:paraId="70EECFC5" w14:textId="69285976" w:rsidR="00962CCD" w:rsidRPr="003E0F1E" w:rsidRDefault="00962CCD" w:rsidP="00962CCD">
      <w:pPr>
        <w:pStyle w:val="SingleTxtG"/>
      </w:pPr>
      <w:r>
        <w:tab/>
        <w:t>a)</w:t>
      </w:r>
      <w:r>
        <w:tab/>
        <w:t>отсутствием мер по полному обеспечению независимости судей и прокуроров;</w:t>
      </w:r>
    </w:p>
    <w:p w14:paraId="14A59C4D" w14:textId="4BFCE4D3" w:rsidR="00962CCD" w:rsidRPr="003E0F1E" w:rsidRDefault="00962CCD" w:rsidP="00962CCD">
      <w:pPr>
        <w:pStyle w:val="SingleTxtG"/>
        <w:rPr>
          <w:shd w:val="clear" w:color="auto" w:fill="FFFFFF"/>
        </w:rPr>
      </w:pPr>
      <w:r>
        <w:tab/>
        <w:t>b)</w:t>
      </w:r>
      <w:r>
        <w:tab/>
        <w:t>отсутствием прозрачности в процедуре назначения и увольнения прокуроров;</w:t>
      </w:r>
    </w:p>
    <w:p w14:paraId="3069E075" w14:textId="3FE34E24" w:rsidR="00962CCD" w:rsidRPr="003E0F1E" w:rsidRDefault="00962CCD" w:rsidP="00962CCD">
      <w:pPr>
        <w:pStyle w:val="SingleTxtG"/>
        <w:rPr>
          <w:shd w:val="clear" w:color="auto" w:fill="FFFFFF"/>
        </w:rPr>
      </w:pPr>
      <w:r>
        <w:tab/>
        <w:t>c)</w:t>
      </w:r>
      <w:r>
        <w:tab/>
        <w:t>проблемами, возникающими в процессе служебной аттестации судей, включая отсутствие прозрачной процедуры оценки, обвинения в коррупции в процессе оценки и отставку большого числа судей в процессе служебной аттестации;</w:t>
      </w:r>
    </w:p>
    <w:p w14:paraId="68D4C1F7" w14:textId="0E398C9A" w:rsidR="00962CCD" w:rsidRPr="003E0F1E" w:rsidRDefault="00962CCD" w:rsidP="00962CCD">
      <w:pPr>
        <w:pStyle w:val="SingleTxtG"/>
        <w:rPr>
          <w:shd w:val="clear" w:color="auto" w:fill="FFFFFF"/>
        </w:rPr>
      </w:pPr>
      <w:r>
        <w:tab/>
        <w:t>d)</w:t>
      </w:r>
      <w:r>
        <w:tab/>
        <w:t>недостаточным числом судей в государстве-участнике, что приводит к задержкам и лишению значительного числа граждан, особенно в Донецкой и Луганской областях, доступа к правосудию (статья 14).</w:t>
      </w:r>
    </w:p>
    <w:p w14:paraId="45221C4A" w14:textId="77777777" w:rsidR="00962CCD" w:rsidRPr="003E0F1E" w:rsidRDefault="00962CCD" w:rsidP="00962CCD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воздерживаться от вмешательства в судебную систему и гарантировать в законодательном порядке и на практике полную независимость и беспристрастность судей и независимость и реальную автономию прокуроров путем, в частности, обеспечения того, чтобы процедуры отбора, назначения, продвижения по службе, перевода и смещения судей и прокуроров отвечали положениям Пакта 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преследование.</w:t>
      </w:r>
      <w:r>
        <w:t xml:space="preserve"> </w:t>
      </w:r>
      <w:r>
        <w:rPr>
          <w:b/>
          <w:bCs/>
        </w:rPr>
        <w:t>Ему следует облегчать и поощрять отбор новых судей в соответствии с установленной процедурой, в частности в Донецкой и Луганской областях.</w:t>
      </w:r>
    </w:p>
    <w:p w14:paraId="48A40A84" w14:textId="5E536F80" w:rsidR="00962CCD" w:rsidRPr="003E0F1E" w:rsidRDefault="00962CCD" w:rsidP="00962CCD">
      <w:pPr>
        <w:pStyle w:val="H23G"/>
      </w:pPr>
      <w:r>
        <w:tab/>
      </w:r>
      <w:r>
        <w:tab/>
      </w:r>
      <w:r w:rsidR="00A01FC1">
        <w:rPr>
          <w:bCs/>
        </w:rPr>
        <w:t>Свобода</w:t>
      </w:r>
      <w:r>
        <w:rPr>
          <w:bCs/>
        </w:rPr>
        <w:t xml:space="preserve"> мысли, совести и религии</w:t>
      </w:r>
    </w:p>
    <w:p w14:paraId="5834364E" w14:textId="77777777" w:rsidR="00962CCD" w:rsidRPr="003E0F1E" w:rsidRDefault="00962CCD" w:rsidP="00962CCD">
      <w:pPr>
        <w:pStyle w:val="SingleTxtG"/>
        <w:rPr>
          <w:shd w:val="clear" w:color="auto" w:fill="FFFFFF"/>
        </w:rPr>
      </w:pPr>
      <w:r>
        <w:t>45.</w:t>
      </w:r>
      <w:r>
        <w:tab/>
        <w:t>Комитет обеспокоен сообщениями об актах насилия, запугивания и вандализма в отношении мест отправления культа в связи с процессом перехода церквей и религиозных общин из Украинской православной церкви в недавно созданную Православную церковь Украины. Комитет также обеспокоен сообщениями о бездействии полиции в таких инцидентах и отсутствием информации о расследованиях, проведенных государством-участником (статья 18).</w:t>
      </w:r>
    </w:p>
    <w:p w14:paraId="66142BB2" w14:textId="77777777" w:rsidR="00962CCD" w:rsidRPr="003E0F1E" w:rsidRDefault="00962CCD" w:rsidP="00962CCD">
      <w:pPr>
        <w:pStyle w:val="SingleTxtG"/>
        <w:keepNext/>
        <w:keepLines/>
        <w:rPr>
          <w:b/>
          <w:bCs/>
        </w:rPr>
      </w:pPr>
      <w:r>
        <w:t>46.</w:t>
      </w:r>
      <w:r>
        <w:tab/>
      </w:r>
      <w:r>
        <w:rPr>
          <w:b/>
          <w:bCs/>
        </w:rPr>
        <w:t>Государству-участнику следует:</w:t>
      </w:r>
    </w:p>
    <w:p w14:paraId="2EDD31F1" w14:textId="50D3BB66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гарантировать эффективное осуществление права на свободу религии и убеждений, в том числе путем защиты мест отправления культа от актов насилия, запугивания и вандализма;</w:t>
      </w:r>
    </w:p>
    <w:p w14:paraId="76D1C210" w14:textId="65C90E85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обеспечивать тщательное и оперативное расследование всех случаев насилия и наказание виновных.</w:t>
      </w:r>
    </w:p>
    <w:p w14:paraId="680EE602" w14:textId="77777777" w:rsidR="00962CCD" w:rsidRPr="003E0F1E" w:rsidRDefault="00962CCD" w:rsidP="00962CCD">
      <w:pPr>
        <w:pStyle w:val="H23G"/>
        <w:rPr>
          <w:shd w:val="clear" w:color="auto" w:fill="FFFFFF"/>
        </w:rPr>
      </w:pPr>
      <w:r>
        <w:tab/>
      </w:r>
      <w:r>
        <w:tab/>
      </w:r>
      <w:r>
        <w:rPr>
          <w:bCs/>
        </w:rPr>
        <w:t>Свобода выражения мнений</w:t>
      </w:r>
    </w:p>
    <w:p w14:paraId="1E9AC0DB" w14:textId="77777777" w:rsidR="00962CCD" w:rsidRPr="003E0F1E" w:rsidRDefault="00962CCD" w:rsidP="00962CCD">
      <w:pPr>
        <w:pStyle w:val="SingleTxtG"/>
        <w:rPr>
          <w:shd w:val="clear" w:color="auto" w:fill="FFFFFF"/>
        </w:rPr>
      </w:pPr>
      <w:r>
        <w:t>47.</w:t>
      </w:r>
      <w:r>
        <w:tab/>
        <w:t>Комитет обеспокоен:</w:t>
      </w:r>
    </w:p>
    <w:p w14:paraId="31E55B24" w14:textId="1224C7B7" w:rsidR="00962CCD" w:rsidRPr="003E0F1E" w:rsidRDefault="00962CCD" w:rsidP="00962CCD">
      <w:pPr>
        <w:pStyle w:val="SingleTxtG"/>
      </w:pPr>
      <w:r>
        <w:tab/>
        <w:t>a)</w:t>
      </w:r>
      <w:r>
        <w:tab/>
        <w:t>продолжающими поступать сообщениями о запугивании, преследовании и нападениях, совершаемых, в частности, членами крайне правых группировок в отношении журналистов и правозащитников, особенно активистов, б</w:t>
      </w:r>
      <w:r w:rsidR="00A01FC1">
        <w:t>о</w:t>
      </w:r>
      <w:r>
        <w:t>р</w:t>
      </w:r>
      <w:r w:rsidR="00A01FC1">
        <w:t>ю</w:t>
      </w:r>
      <w:r>
        <w:t>щихся с коррупцией и продвигающих права лесбиянок, геев, бисексуалов, трансгендеров и интерсексов и гендерное равенство;</w:t>
      </w:r>
    </w:p>
    <w:p w14:paraId="46E635CA" w14:textId="4AC6A283" w:rsidR="00962CCD" w:rsidRPr="003E0F1E" w:rsidRDefault="00962CCD" w:rsidP="00962CCD">
      <w:pPr>
        <w:pStyle w:val="SingleTxtG"/>
        <w:rPr>
          <w:shd w:val="clear" w:color="auto" w:fill="FFFFFF"/>
        </w:rPr>
      </w:pPr>
      <w:r>
        <w:tab/>
        <w:t>b)</w:t>
      </w:r>
      <w:r>
        <w:tab/>
        <w:t>системными изъянами в процедуре проведения расследований и задержками с судебными разбирательствами, в частности, в делах Олеся Бузины (2015</w:t>
      </w:r>
      <w:r w:rsidR="00DA09BA">
        <w:rPr>
          <w:lang w:val="fr-CH"/>
        </w:rPr>
        <w:t> </w:t>
      </w:r>
      <w:r>
        <w:t>год), Павла Шеремета (2016 год) и Вадима Комарова (2019 год), чьи убийства не раскрыты до сих пор;</w:t>
      </w:r>
    </w:p>
    <w:p w14:paraId="08AA6BB1" w14:textId="506A63F3" w:rsidR="00962CCD" w:rsidRPr="003E0F1E" w:rsidRDefault="00962CCD" w:rsidP="00962CCD">
      <w:pPr>
        <w:pStyle w:val="SingleTxtG"/>
        <w:rPr>
          <w:shd w:val="clear" w:color="auto" w:fill="FFFFFF"/>
        </w:rPr>
      </w:pPr>
      <w:r>
        <w:tab/>
        <w:t>c)</w:t>
      </w:r>
      <w:r>
        <w:tab/>
        <w:t xml:space="preserve">отсутствием адекватных гарантий, включая судебный надзор, для обеспечения соответствия ограничительных мер в отношении свободы выражения </w:t>
      </w:r>
      <w:r>
        <w:lastRenderedPageBreak/>
        <w:t>мнений по соображениям национальной безопасности согласно статье 19 Пакта и замечанию общего порядка № 34 (2011) Комитета;</w:t>
      </w:r>
    </w:p>
    <w:p w14:paraId="0CF20898" w14:textId="5485A2A8" w:rsidR="00962CCD" w:rsidRPr="003E0F1E" w:rsidRDefault="00962CCD" w:rsidP="00962CCD">
      <w:pPr>
        <w:pStyle w:val="SingleTxtG"/>
      </w:pPr>
      <w:r>
        <w:tab/>
        <w:t>d)</w:t>
      </w:r>
      <w:r>
        <w:tab/>
        <w:t>сообщениями о раскрытии источников информации журналистов, в частности, в громких делах о коррупции, несмотря на внесенные в октябре 2019 года поправки в закон о предупреждении коррупции, определяющие правовой статус, права и гарантии осведомителей (статьи 2, 6</w:t>
      </w:r>
      <w:r w:rsidR="00411508">
        <w:t>–</w:t>
      </w:r>
      <w:r>
        <w:t>7, 14 и 19).</w:t>
      </w:r>
    </w:p>
    <w:p w14:paraId="3C4077E6" w14:textId="77777777" w:rsidR="00962CCD" w:rsidRPr="003E0F1E" w:rsidRDefault="00962CCD" w:rsidP="00962CCD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Государству-участнику следует запретить должностным лицам вмешиваться в законное осуществление права на свободу выражения мнений правозащитников и журналистов, гарантировать правозащитникам и журналистам эффективную защиту от любого рода угроз, давления, запугивания или нападения, а также обеспечивать тщательное расследование незаконных действий и предъявление виновным соответствующих обвинений и привлечение их к ответственности.</w:t>
      </w:r>
      <w:r>
        <w:t xml:space="preserve"> </w:t>
      </w:r>
      <w:r>
        <w:rPr>
          <w:b/>
          <w:bCs/>
        </w:rPr>
        <w:t>Государству-участнику следует обеспечивать, чтобы любые ограничения права на свободу убеждений по соображениям национальной безопасности полностью соответствовали строгим требованиям статьи 19 Пакта и замечанию общего порядка № 34 (2011) Комитета.</w:t>
      </w:r>
      <w:r>
        <w:t xml:space="preserve"> </w:t>
      </w:r>
      <w:r>
        <w:rPr>
          <w:b/>
          <w:bCs/>
        </w:rPr>
        <w:t>Ему также следует обеспечивать в законодательном порядке и на практике защиту конфиденциальности журналистских источников, в том числе с помощью адекватных судебных гарантий, для предотвращения необоснованного вмешательства в право на свободу выражения мнения.</w:t>
      </w:r>
    </w:p>
    <w:p w14:paraId="104493BD" w14:textId="77777777" w:rsidR="00962CCD" w:rsidRPr="003E0F1E" w:rsidRDefault="00962CCD" w:rsidP="00962CCD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свободу мирных собраний</w:t>
      </w:r>
    </w:p>
    <w:p w14:paraId="31E483B1" w14:textId="319F8FA6" w:rsidR="00962CCD" w:rsidRPr="003E0F1E" w:rsidRDefault="00962CCD" w:rsidP="00962CCD">
      <w:pPr>
        <w:pStyle w:val="SingleTxtG"/>
        <w:rPr>
          <w:shd w:val="clear" w:color="auto" w:fill="FFFFFF"/>
        </w:rPr>
      </w:pPr>
      <w:r>
        <w:t>49.</w:t>
      </w:r>
      <w:r>
        <w:tab/>
        <w:t>Комитет высоко оценивает принимаемые государством-участником меры по усилению защиты права на свободу мирных собраний, в том числе включение в национальный план действий в сфере прав человека на 2021</w:t>
      </w:r>
      <w:r w:rsidR="00DA09BA" w:rsidRPr="00DA09BA">
        <w:t>–</w:t>
      </w:r>
      <w:r>
        <w:t>2023 годы инструкций для национальной полиции и национальной гвардии, касающихся пресечения насильственных нападений во время мирных собраний. Несмотря на эти подвижки, Комитет обеспокоен тем, что сотрудники правоохранительных органов по-прежнему применяют во время демонстраций чрезмерную силу. Он также выражает сожаление по поводу сообщений о том, что мирным демонстрантам часто предъявляются обвинения в административных правонарушениях, а сотрудники, ответственные за применение насилия в отношении демонстрантов, редко подвергаются расследованию и преследованию за такие действия. Наконец, Комитет по-прежнему обеспокоен</w:t>
      </w:r>
      <w:r w:rsidRPr="008544FD">
        <w:rPr>
          <w:rStyle w:val="aa"/>
        </w:rPr>
        <w:footnoteReference w:id="8"/>
      </w:r>
      <w:r>
        <w:t xml:space="preserve"> отсутствием внутренней нормативно-правовой базы, регулирующей проведение мирных собраний (статьи 7, 14 и 21).</w:t>
      </w:r>
    </w:p>
    <w:p w14:paraId="269CE276" w14:textId="77777777" w:rsidR="00962CCD" w:rsidRPr="003E0F1E" w:rsidRDefault="00962CCD" w:rsidP="00962CCD">
      <w:pPr>
        <w:pStyle w:val="SingleTxtG"/>
      </w:pPr>
      <w:r>
        <w:t>50.</w:t>
      </w:r>
      <w:r>
        <w:tab/>
      </w:r>
      <w:r>
        <w:rPr>
          <w:b/>
          <w:bCs/>
        </w:rPr>
        <w:t>Государству-участнику следует:</w:t>
      </w:r>
    </w:p>
    <w:p w14:paraId="6BA89571" w14:textId="5651EF38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принять меры для эффективного предотвращения и устранения всех форм чрезмерного применения силы сотрудниками правоохранительных органов, в том числе путем организации обучения по вопросам, касающимся применения силы, Основных принципов применения силы и огнестрельного оружия должностными лицами по поддержанию правопорядка и Руководящих указаний Организации Объединенных Наций по вопросу о менее смертоносном оружии в правоохранительной деятельности;</w:t>
      </w:r>
    </w:p>
    <w:p w14:paraId="3D7A0251" w14:textId="205310A9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обеспечивать, чтобы все утверждения о чрезмерном применении силы представителями государства во время мирных собраний расследовались быстро, тщательно и беспристрастно, чтобы предполагаемые виновные привлекались к ответственности и, в случае признания их виновными, подвергались наказанию, а пострадавшие получали возмещение;</w:t>
      </w:r>
    </w:p>
    <w:p w14:paraId="0CB7B76B" w14:textId="2DB2EAA7" w:rsidR="00962CCD" w:rsidRPr="003E0F1E" w:rsidRDefault="00962CCD" w:rsidP="00962CCD">
      <w:pPr>
        <w:pStyle w:val="SingleTxtG"/>
        <w:rPr>
          <w:b/>
          <w:bCs/>
          <w:shd w:val="clear" w:color="auto" w:fill="FFFFFF"/>
        </w:rPr>
      </w:pPr>
      <w:r>
        <w:tab/>
      </w:r>
      <w:r w:rsidRPr="00962CCD">
        <w:rPr>
          <w:b/>
          <w:bCs/>
        </w:rPr>
        <w:t>c)</w:t>
      </w:r>
      <w:r>
        <w:tab/>
      </w:r>
      <w:r w:rsidRPr="00FA155A">
        <w:rPr>
          <w:b/>
          <w:bCs/>
        </w:rPr>
        <w:t>активизировать</w:t>
      </w:r>
      <w:r>
        <w:rPr>
          <w:b/>
          <w:bCs/>
        </w:rPr>
        <w:t xml:space="preserve"> усилия по принятию закона, регулирующего право на свободу мирных собраний, который соответствовал бы статье 21 Пакта и замечанию общего порядка № 37 (2020)</w:t>
      </w:r>
      <w:r w:rsidRPr="00B95473">
        <w:rPr>
          <w:b/>
          <w:bCs/>
        </w:rPr>
        <w:t xml:space="preserve"> </w:t>
      </w:r>
      <w:r>
        <w:rPr>
          <w:b/>
          <w:bCs/>
        </w:rPr>
        <w:t>Комитета.</w:t>
      </w:r>
    </w:p>
    <w:p w14:paraId="7F043D1D" w14:textId="77777777" w:rsidR="00962CCD" w:rsidRPr="003E0F1E" w:rsidRDefault="00962CCD" w:rsidP="00962CCD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государственных делах</w:t>
      </w:r>
    </w:p>
    <w:p w14:paraId="60A9790B" w14:textId="35D8CB0E" w:rsidR="00962CCD" w:rsidRPr="003E0F1E" w:rsidRDefault="00962CCD" w:rsidP="00962CCD">
      <w:pPr>
        <w:pStyle w:val="SingleTxtG"/>
      </w:pPr>
      <w:r>
        <w:t>51.</w:t>
      </w:r>
      <w:r>
        <w:tab/>
        <w:t xml:space="preserve">Комитет выражает признательность государству-участнику за создание Politdata </w:t>
      </w:r>
      <w:r w:rsidR="00FD1A39">
        <w:t>—</w:t>
      </w:r>
      <w:r>
        <w:t xml:space="preserve"> электронного онлайн-реестра отчетов о расходовании средств политическими партиями. Тем не менее он обеспокоен сообщениями, указывающими на коррупцию, нецелевое использование государственных ресурсов и отсутствие прозрачности в финансировании избирательных кампаний. Он выражает сожаление по поводу недостаточного надзора за финансированием и расходованием средств на избирательные кампании и по поводу того, как это сказывается на справедливом и равноправном представительстве на выборах. Комитет также обеспокоен положениями закона, позволяющими по широкому усмотрению отказывать в регистрации и отменять регистрацию политических партий на основании угрозы национальной безопасности и общественному порядку, включая установленный запрет на коммунистические и национал-социалистические партии. В этой связи Комитет обращает внимание государства-участника на заключения № 823/2015 и</w:t>
      </w:r>
      <w:r w:rsidR="00FD1A39">
        <w:t> </w:t>
      </w:r>
      <w:r>
        <w:t>№</w:t>
      </w:r>
      <w:r w:rsidR="00DA09BA">
        <w:rPr>
          <w:lang w:val="fr-CH"/>
        </w:rPr>
        <w:t> </w:t>
      </w:r>
      <w:r>
        <w:t>1022/2021 Венецианской комиссии. Кроме того, он с интересом отмечает предоставленную государством-участником информацию о том, что законопроект о политических партиях в настоящее время пересматривается с учетом заключения №</w:t>
      </w:r>
      <w:r w:rsidR="00DA09BA">
        <w:rPr>
          <w:lang w:val="fr-CH"/>
        </w:rPr>
        <w:t> </w:t>
      </w:r>
      <w:r>
        <w:t>1022/2021 Венецианской комиссии.</w:t>
      </w:r>
    </w:p>
    <w:p w14:paraId="60959068" w14:textId="77777777" w:rsidR="00962CCD" w:rsidRPr="003E0F1E" w:rsidRDefault="00962CCD" w:rsidP="00962CCD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следует:</w:t>
      </w:r>
    </w:p>
    <w:p w14:paraId="64D1D7D2" w14:textId="43E0D88B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a)</w:t>
      </w:r>
      <w:r>
        <w:tab/>
      </w:r>
      <w:r>
        <w:rPr>
          <w:b/>
          <w:bCs/>
        </w:rPr>
        <w:t>принимать все меры, необходимые для обеспечения прозрачности и эффективного мониторинга финансирования избирательных кампаний, которые должны быть объектом внимания эффективных и независимых надзорных механизмов;</w:t>
      </w:r>
    </w:p>
    <w:p w14:paraId="61517EA9" w14:textId="23E0181A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b)</w:t>
      </w:r>
      <w:r>
        <w:tab/>
      </w:r>
      <w:r>
        <w:rPr>
          <w:b/>
          <w:bCs/>
        </w:rPr>
        <w:t>обеспечивать тщательное расследование утверждений о коррупции и нецелевом использовании финансовых ресурсов, судебное преследование виновных и, в случае осуждения, применение к ним соответствующих мер наказания;</w:t>
      </w:r>
    </w:p>
    <w:p w14:paraId="0E74FE67" w14:textId="67095B7C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c)</w:t>
      </w:r>
      <w:r>
        <w:tab/>
      </w:r>
      <w:r>
        <w:rPr>
          <w:b/>
          <w:bCs/>
        </w:rPr>
        <w:t>способствовать формированию культуры политического плюрализма и пересмотреть ограничения на регистрацию политических партий, к которым следует прибегать в исключительных случаях только в качестве соразмерной и необходимой в демократическом обществе крайней меры;</w:t>
      </w:r>
    </w:p>
    <w:p w14:paraId="39506333" w14:textId="6D078D2B" w:rsidR="00962CCD" w:rsidRPr="003E0F1E" w:rsidRDefault="00962CCD" w:rsidP="00962CCD">
      <w:pPr>
        <w:pStyle w:val="SingleTxtG"/>
        <w:rPr>
          <w:b/>
          <w:bCs/>
        </w:rPr>
      </w:pPr>
      <w:r>
        <w:tab/>
      </w:r>
      <w:r w:rsidRPr="00962CCD">
        <w:rPr>
          <w:b/>
          <w:bCs/>
        </w:rPr>
        <w:t>d)</w:t>
      </w:r>
      <w:r>
        <w:tab/>
      </w:r>
      <w:r>
        <w:rPr>
          <w:b/>
          <w:bCs/>
        </w:rPr>
        <w:t>продолжать предпринимать усилия по пересмотру законопроекта о политических партиях, принимая во внимание заключение № 1022/2021 Венецианской комиссии.</w:t>
      </w:r>
    </w:p>
    <w:p w14:paraId="5BFA74B1" w14:textId="77777777" w:rsidR="00962CCD" w:rsidRPr="003E0F1E" w:rsidRDefault="00962CCD" w:rsidP="00962CCD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325B89FC" w14:textId="77777777" w:rsidR="00962CCD" w:rsidRPr="003E0F1E" w:rsidRDefault="00962CCD" w:rsidP="00962CCD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Государству-участнику следует широко распространить тексты Пакта, своего восьмого периодического доклада и настоящих заключительных замечаний, с тем чтобы повысить уровень информированности представителей судебных, законодательных и административных органов власти, гражданского общества, действующих в стране неправительственных организаций и широкой общественности</w:t>
      </w:r>
      <w:r w:rsidRPr="00FA155A">
        <w:rPr>
          <w:b/>
          <w:bCs/>
        </w:rPr>
        <w:t xml:space="preserve"> </w:t>
      </w:r>
      <w:r>
        <w:rPr>
          <w:b/>
          <w:bCs/>
        </w:rPr>
        <w:t>о закрепленных в Пакте правах.</w:t>
      </w:r>
      <w:r>
        <w:t xml:space="preserve"> </w:t>
      </w:r>
      <w:r>
        <w:rPr>
          <w:b/>
          <w:bCs/>
        </w:rPr>
        <w:t>Государству-участнику следует обеспечить письменный перевод периодического доклада и настоящих заключительных замечаний на официальные языки государства-участника.</w:t>
      </w:r>
    </w:p>
    <w:p w14:paraId="7CC960A9" w14:textId="039E18E9" w:rsidR="00962CCD" w:rsidRPr="003E0F1E" w:rsidRDefault="00962CCD" w:rsidP="00962CCD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5 ноября 2024 года информацию о выполнении рекомендаций, вынесенных Комитетом в пунктах</w:t>
      </w:r>
      <w:r w:rsidR="00DA09BA">
        <w:rPr>
          <w:b/>
          <w:bCs/>
          <w:lang w:val="fr-CH"/>
        </w:rPr>
        <w:t> </w:t>
      </w:r>
      <w:r>
        <w:rPr>
          <w:b/>
          <w:bCs/>
        </w:rPr>
        <w:t>42 (право на неприкосновенность частной жизни), 44 (независимость судебной власти и отправление правосудия) и 48 (свобода выражения мнений) выше.</w:t>
      </w:r>
    </w:p>
    <w:p w14:paraId="548E249C" w14:textId="6F4ABDAB" w:rsidR="00962CCD" w:rsidRPr="003E0F1E" w:rsidRDefault="00962CCD" w:rsidP="00962CCD">
      <w:pPr>
        <w:pStyle w:val="SingleTxtG"/>
        <w:keepNext/>
        <w:keepLines/>
        <w:rPr>
          <w:b/>
          <w:bCs/>
        </w:rPr>
      </w:pPr>
      <w:r>
        <w:lastRenderedPageBreak/>
        <w:t>55.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2027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девятый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FD1A39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2029 году в Женеве.</w:t>
      </w:r>
    </w:p>
    <w:p w14:paraId="7B70F49C" w14:textId="2B7C9FBD" w:rsidR="00381C24" w:rsidRPr="00BC18B2" w:rsidRDefault="00962CCD" w:rsidP="00962CCD">
      <w:pPr>
        <w:spacing w:before="240"/>
        <w:ind w:left="1134" w:right="1134"/>
        <w:jc w:val="center"/>
      </w:pPr>
      <w:r w:rsidRPr="003E0F1E">
        <w:rPr>
          <w:b/>
          <w:bCs/>
          <w:color w:val="000000" w:themeColor="text1"/>
          <w:sz w:val="22"/>
          <w:u w:val="single"/>
        </w:rPr>
        <w:tab/>
      </w:r>
      <w:r w:rsidRPr="003E0F1E">
        <w:rPr>
          <w:u w:val="single"/>
        </w:rPr>
        <w:tab/>
      </w:r>
      <w:r w:rsidRPr="003E0F1E">
        <w:rPr>
          <w:u w:val="single"/>
        </w:rPr>
        <w:tab/>
      </w:r>
      <w:r w:rsidRPr="003E0F1E">
        <w:rPr>
          <w:u w:val="single"/>
        </w:rPr>
        <w:tab/>
      </w:r>
    </w:p>
    <w:sectPr w:rsidR="00381C24" w:rsidRPr="00BC18B2" w:rsidSect="00962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C844" w14:textId="77777777" w:rsidR="00C94202" w:rsidRPr="00A312BC" w:rsidRDefault="00C94202" w:rsidP="00A312BC"/>
  </w:endnote>
  <w:endnote w:type="continuationSeparator" w:id="0">
    <w:p w14:paraId="7179C34A" w14:textId="77777777" w:rsidR="00C94202" w:rsidRPr="00A312BC" w:rsidRDefault="00C942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67DA4" w14:textId="08DDD917" w:rsidR="00962CCD" w:rsidRPr="00962CCD" w:rsidRDefault="00962CCD">
    <w:pPr>
      <w:pStyle w:val="a8"/>
    </w:pPr>
    <w:r w:rsidRPr="00962CCD">
      <w:rPr>
        <w:b/>
        <w:sz w:val="18"/>
      </w:rPr>
      <w:fldChar w:fldCharType="begin"/>
    </w:r>
    <w:r w:rsidRPr="00962CCD">
      <w:rPr>
        <w:b/>
        <w:sz w:val="18"/>
      </w:rPr>
      <w:instrText xml:space="preserve"> PAGE  \* MERGEFORMAT </w:instrText>
    </w:r>
    <w:r w:rsidRPr="00962CCD">
      <w:rPr>
        <w:b/>
        <w:sz w:val="18"/>
      </w:rPr>
      <w:fldChar w:fldCharType="separate"/>
    </w:r>
    <w:r w:rsidRPr="00962CCD">
      <w:rPr>
        <w:b/>
        <w:noProof/>
        <w:sz w:val="18"/>
      </w:rPr>
      <w:t>2</w:t>
    </w:r>
    <w:r w:rsidRPr="00962CCD">
      <w:rPr>
        <w:b/>
        <w:sz w:val="18"/>
      </w:rPr>
      <w:fldChar w:fldCharType="end"/>
    </w:r>
    <w:r>
      <w:rPr>
        <w:b/>
        <w:sz w:val="18"/>
      </w:rPr>
      <w:tab/>
    </w:r>
    <w:r>
      <w:t>GE.22-01765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EFBA4" w14:textId="23F1F395" w:rsidR="00962CCD" w:rsidRPr="00962CCD" w:rsidRDefault="00962CCD" w:rsidP="00962CCD">
    <w:pPr>
      <w:pStyle w:val="a8"/>
      <w:tabs>
        <w:tab w:val="clear" w:pos="9639"/>
        <w:tab w:val="right" w:pos="9638"/>
      </w:tabs>
      <w:rPr>
        <w:b/>
        <w:sz w:val="18"/>
      </w:rPr>
    </w:pPr>
    <w:r>
      <w:t>GE.22-01765</w:t>
    </w:r>
    <w:r>
      <w:tab/>
    </w:r>
    <w:r w:rsidRPr="00962CCD">
      <w:rPr>
        <w:b/>
        <w:sz w:val="18"/>
      </w:rPr>
      <w:fldChar w:fldCharType="begin"/>
    </w:r>
    <w:r w:rsidRPr="00962CCD">
      <w:rPr>
        <w:b/>
        <w:sz w:val="18"/>
      </w:rPr>
      <w:instrText xml:space="preserve"> PAGE  \* MERGEFORMAT </w:instrText>
    </w:r>
    <w:r w:rsidRPr="00962CCD">
      <w:rPr>
        <w:b/>
        <w:sz w:val="18"/>
      </w:rPr>
      <w:fldChar w:fldCharType="separate"/>
    </w:r>
    <w:r w:rsidRPr="00962CCD">
      <w:rPr>
        <w:b/>
        <w:noProof/>
        <w:sz w:val="18"/>
      </w:rPr>
      <w:t>3</w:t>
    </w:r>
    <w:r w:rsidRPr="00962C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22F3" w14:textId="51120F34" w:rsidR="00042B72" w:rsidRPr="00962CCD" w:rsidRDefault="00962CCD" w:rsidP="00962CC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8CB1D4F" wp14:editId="50E6F2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22-01765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3FC54C7" wp14:editId="7C7AF82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170322  210322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5981F" w14:textId="77777777" w:rsidR="00C94202" w:rsidRPr="001075E9" w:rsidRDefault="00C942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EAA81E" w14:textId="77777777" w:rsidR="00C94202" w:rsidRDefault="00C942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BA2ABF" w14:textId="0006CBC5" w:rsidR="00962CCD" w:rsidRPr="003E0F1E" w:rsidRDefault="00962CCD" w:rsidP="00962CCD">
      <w:pPr>
        <w:pStyle w:val="ad"/>
      </w:pPr>
      <w:r>
        <w:tab/>
      </w:r>
      <w:r w:rsidRPr="00962CCD">
        <w:rPr>
          <w:sz w:val="20"/>
        </w:rPr>
        <w:t>*</w:t>
      </w:r>
      <w:r>
        <w:tab/>
        <w:t xml:space="preserve">Приняты Комитетом на его </w:t>
      </w:r>
      <w:r w:rsidR="00FD1A39">
        <w:t>сто тридцать третьей</w:t>
      </w:r>
      <w:r>
        <w:t xml:space="preserve"> сессии (11 октября </w:t>
      </w:r>
      <w:r w:rsidRPr="00962CCD">
        <w:t>—</w:t>
      </w:r>
      <w:r>
        <w:t xml:space="preserve"> 5 ноября 2021 года).</w:t>
      </w:r>
    </w:p>
  </w:footnote>
  <w:footnote w:id="2">
    <w:p w14:paraId="23068714" w14:textId="1E5FC1CF" w:rsidR="00962CCD" w:rsidRPr="003E0F1E" w:rsidRDefault="00962CCD" w:rsidP="00962CCD">
      <w:pPr>
        <w:pStyle w:val="ad"/>
      </w:pPr>
      <w:r>
        <w:tab/>
      </w:r>
      <w:r w:rsidRPr="008544FD"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Pr="001D548F">
          <w:rPr>
            <w:rStyle w:val="af1"/>
          </w:rPr>
          <w:t>CCPR/C/UKR/8</w:t>
        </w:r>
      </w:hyperlink>
      <w:r>
        <w:t>.</w:t>
      </w:r>
    </w:p>
  </w:footnote>
  <w:footnote w:id="3">
    <w:p w14:paraId="4C78CBC1" w14:textId="326118DE" w:rsidR="00962CCD" w:rsidRPr="003E0F1E" w:rsidRDefault="00962CCD" w:rsidP="00962CCD">
      <w:pPr>
        <w:pStyle w:val="ad"/>
      </w:pPr>
      <w:r>
        <w:tab/>
      </w:r>
      <w:r w:rsidRPr="008544FD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Pr="001D548F">
          <w:rPr>
            <w:rStyle w:val="af1"/>
          </w:rPr>
          <w:t>CCPR/C/SR.3820</w:t>
        </w:r>
      </w:hyperlink>
      <w:r>
        <w:t xml:space="preserve"> и </w:t>
      </w:r>
      <w:hyperlink r:id="rId3" w:history="1">
        <w:r w:rsidRPr="001D548F">
          <w:rPr>
            <w:rStyle w:val="af1"/>
          </w:rPr>
          <w:t>CCPR/C/SR.3821</w:t>
        </w:r>
      </w:hyperlink>
      <w:r>
        <w:t>.</w:t>
      </w:r>
    </w:p>
  </w:footnote>
  <w:footnote w:id="4">
    <w:p w14:paraId="512D7B83" w14:textId="1843BD51" w:rsidR="00962CCD" w:rsidRPr="009053B1" w:rsidRDefault="00962CCD" w:rsidP="00962CCD">
      <w:pPr>
        <w:pStyle w:val="ad"/>
      </w:pPr>
      <w:r>
        <w:tab/>
      </w:r>
      <w:r w:rsidRPr="008544FD">
        <w:rPr>
          <w:rStyle w:val="aa"/>
        </w:rPr>
        <w:footnoteRef/>
      </w:r>
      <w:r w:rsidRPr="00962CCD">
        <w:t xml:space="preserve"> </w:t>
      </w:r>
      <w:r w:rsidRPr="00962CCD">
        <w:tab/>
      </w:r>
      <w:hyperlink r:id="rId4" w:history="1">
        <w:r w:rsidRPr="001D548F">
          <w:rPr>
            <w:rStyle w:val="af1"/>
            <w:lang w:val="en-US"/>
          </w:rPr>
          <w:t>CCPR</w:t>
        </w:r>
        <w:r w:rsidRPr="001D548F">
          <w:rPr>
            <w:rStyle w:val="af1"/>
          </w:rPr>
          <w:t>/</w:t>
        </w:r>
        <w:r w:rsidRPr="001D548F">
          <w:rPr>
            <w:rStyle w:val="af1"/>
            <w:lang w:val="en-US"/>
          </w:rPr>
          <w:t>C</w:t>
        </w:r>
        <w:r w:rsidRPr="001D548F">
          <w:rPr>
            <w:rStyle w:val="af1"/>
          </w:rPr>
          <w:t>/</w:t>
        </w:r>
        <w:r w:rsidRPr="001D548F">
          <w:rPr>
            <w:rStyle w:val="af1"/>
            <w:lang w:val="en-US"/>
          </w:rPr>
          <w:t>UKR</w:t>
        </w:r>
        <w:r w:rsidRPr="001D548F">
          <w:rPr>
            <w:rStyle w:val="af1"/>
          </w:rPr>
          <w:t>/</w:t>
        </w:r>
        <w:r w:rsidRPr="001D548F">
          <w:rPr>
            <w:rStyle w:val="af1"/>
            <w:lang w:val="en-US"/>
          </w:rPr>
          <w:t>RQ</w:t>
        </w:r>
        <w:r w:rsidRPr="001D548F">
          <w:rPr>
            <w:rStyle w:val="af1"/>
          </w:rPr>
          <w:t>/8</w:t>
        </w:r>
      </w:hyperlink>
      <w:r w:rsidRPr="00962CCD">
        <w:t>.</w:t>
      </w:r>
    </w:p>
  </w:footnote>
  <w:footnote w:id="5">
    <w:p w14:paraId="58E8269B" w14:textId="05488DE8" w:rsidR="00962CCD" w:rsidRPr="009053B1" w:rsidRDefault="00962CCD" w:rsidP="00962CCD">
      <w:pPr>
        <w:pStyle w:val="ad"/>
      </w:pPr>
      <w:r w:rsidRPr="00962CCD">
        <w:tab/>
      </w:r>
      <w:r w:rsidRPr="008544FD">
        <w:rPr>
          <w:rStyle w:val="aa"/>
        </w:rPr>
        <w:footnoteRef/>
      </w:r>
      <w:r w:rsidRPr="00962CCD">
        <w:t xml:space="preserve"> </w:t>
      </w:r>
      <w:r w:rsidRPr="00962CCD">
        <w:tab/>
      </w:r>
      <w:hyperlink r:id="rId5" w:history="1">
        <w:r w:rsidRPr="001D548F">
          <w:rPr>
            <w:rStyle w:val="af1"/>
            <w:lang w:val="en-US"/>
          </w:rPr>
          <w:t>CCPR</w:t>
        </w:r>
        <w:r w:rsidRPr="001D548F">
          <w:rPr>
            <w:rStyle w:val="af1"/>
          </w:rPr>
          <w:t>/</w:t>
        </w:r>
        <w:r w:rsidRPr="001D548F">
          <w:rPr>
            <w:rStyle w:val="af1"/>
            <w:lang w:val="en-US"/>
          </w:rPr>
          <w:t>C</w:t>
        </w:r>
        <w:r w:rsidRPr="001D548F">
          <w:rPr>
            <w:rStyle w:val="af1"/>
          </w:rPr>
          <w:t>/</w:t>
        </w:r>
        <w:r w:rsidRPr="001D548F">
          <w:rPr>
            <w:rStyle w:val="af1"/>
            <w:lang w:val="en-US"/>
          </w:rPr>
          <w:t>UKR</w:t>
        </w:r>
        <w:r w:rsidRPr="001D548F">
          <w:rPr>
            <w:rStyle w:val="af1"/>
          </w:rPr>
          <w:t>/</w:t>
        </w:r>
        <w:r w:rsidRPr="001D548F">
          <w:rPr>
            <w:rStyle w:val="af1"/>
            <w:lang w:val="en-US"/>
          </w:rPr>
          <w:t>Q</w:t>
        </w:r>
        <w:r w:rsidRPr="001D548F">
          <w:rPr>
            <w:rStyle w:val="af1"/>
          </w:rPr>
          <w:t>/8</w:t>
        </w:r>
      </w:hyperlink>
      <w:r w:rsidRPr="00962CCD">
        <w:t>.</w:t>
      </w:r>
    </w:p>
  </w:footnote>
  <w:footnote w:id="6">
    <w:p w14:paraId="5D1DF63A" w14:textId="54FF6833" w:rsidR="00962CCD" w:rsidRPr="003E0F1E" w:rsidRDefault="00962CCD" w:rsidP="00962CCD">
      <w:pPr>
        <w:pStyle w:val="ad"/>
      </w:pPr>
      <w:r w:rsidRPr="00962CCD">
        <w:tab/>
      </w:r>
      <w:r w:rsidRPr="008544FD">
        <w:rPr>
          <w:rStyle w:val="aa"/>
        </w:rPr>
        <w:footnoteRef/>
      </w:r>
      <w:r>
        <w:t xml:space="preserve"> </w:t>
      </w:r>
      <w:r>
        <w:tab/>
      </w:r>
      <w:hyperlink r:id="rId6" w:history="1">
        <w:r w:rsidRPr="001D548F">
          <w:rPr>
            <w:rStyle w:val="af1"/>
          </w:rPr>
          <w:t>CCPR/C/UKR/CO/7</w:t>
        </w:r>
      </w:hyperlink>
      <w:r>
        <w:t>.</w:t>
      </w:r>
    </w:p>
  </w:footnote>
  <w:footnote w:id="7">
    <w:p w14:paraId="617BFAD1" w14:textId="77777777" w:rsidR="00962CCD" w:rsidRPr="003E0F1E" w:rsidRDefault="00962CCD" w:rsidP="00962CCD">
      <w:pPr>
        <w:pStyle w:val="ad"/>
      </w:pPr>
      <w:r w:rsidRPr="009053B1">
        <w:tab/>
      </w:r>
      <w:r w:rsidRPr="008544FD">
        <w:rPr>
          <w:rStyle w:val="aa"/>
        </w:rPr>
        <w:footnoteRef/>
      </w:r>
      <w:r>
        <w:t xml:space="preserve"> </w:t>
      </w:r>
      <w:r>
        <w:tab/>
        <w:t>Там же, п. 19.</w:t>
      </w:r>
    </w:p>
  </w:footnote>
  <w:footnote w:id="8">
    <w:p w14:paraId="6C520568" w14:textId="77777777" w:rsidR="00962CCD" w:rsidRPr="009053B1" w:rsidRDefault="00962CCD" w:rsidP="00962CCD">
      <w:pPr>
        <w:pStyle w:val="ad"/>
      </w:pPr>
      <w:r>
        <w:tab/>
      </w:r>
      <w:r w:rsidRPr="008544FD">
        <w:rPr>
          <w:rStyle w:val="aa"/>
        </w:rPr>
        <w:footnoteRef/>
      </w:r>
      <w:r>
        <w:t xml:space="preserve"> </w:t>
      </w:r>
      <w:r>
        <w:tab/>
        <w:t>Там же,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09ED8" w14:textId="4256968E" w:rsidR="00962CCD" w:rsidRPr="00962CCD" w:rsidRDefault="00C94202">
    <w:pPr>
      <w:pStyle w:val="a5"/>
    </w:pPr>
    <w:fldSimple w:instr=" TITLE  \* MERGEFORMAT ">
      <w:r w:rsidR="00D96EC8">
        <w:t>CCPR/C/UKR/CO/8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71131" w14:textId="714BAAFC" w:rsidR="00962CCD" w:rsidRPr="00962CCD" w:rsidRDefault="00C94202" w:rsidP="00962CCD">
    <w:pPr>
      <w:pStyle w:val="a5"/>
      <w:jc w:val="right"/>
    </w:pPr>
    <w:fldSimple w:instr=" TITLE  \* MERGEFORMAT ">
      <w:r w:rsidR="00D96EC8">
        <w:t>CCPR/C/UKR/CO/8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0DEB" w14:textId="77777777" w:rsidR="00962CCD" w:rsidRDefault="00962CCD" w:rsidP="00962CC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291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1031"/>
    <w:rsid w:val="00180183"/>
    <w:rsid w:val="0018024D"/>
    <w:rsid w:val="0018649F"/>
    <w:rsid w:val="00196389"/>
    <w:rsid w:val="001B3EF6"/>
    <w:rsid w:val="001C7A89"/>
    <w:rsid w:val="001D548F"/>
    <w:rsid w:val="001E31D7"/>
    <w:rsid w:val="00254812"/>
    <w:rsid w:val="00281E79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1DAC"/>
    <w:rsid w:val="003B00E5"/>
    <w:rsid w:val="003E70C1"/>
    <w:rsid w:val="00407B78"/>
    <w:rsid w:val="0041150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6FCD"/>
    <w:rsid w:val="005F0B42"/>
    <w:rsid w:val="005F1FFE"/>
    <w:rsid w:val="00666B97"/>
    <w:rsid w:val="0067242D"/>
    <w:rsid w:val="00681A10"/>
    <w:rsid w:val="006A1ED8"/>
    <w:rsid w:val="006C2031"/>
    <w:rsid w:val="006D461A"/>
    <w:rsid w:val="006F35EE"/>
    <w:rsid w:val="006F447E"/>
    <w:rsid w:val="007021FF"/>
    <w:rsid w:val="00712895"/>
    <w:rsid w:val="007172D2"/>
    <w:rsid w:val="0073229E"/>
    <w:rsid w:val="0075523D"/>
    <w:rsid w:val="00757357"/>
    <w:rsid w:val="00787D3A"/>
    <w:rsid w:val="00791B9D"/>
    <w:rsid w:val="007A534B"/>
    <w:rsid w:val="007D309F"/>
    <w:rsid w:val="00812291"/>
    <w:rsid w:val="00825F8D"/>
    <w:rsid w:val="00834B71"/>
    <w:rsid w:val="0086445C"/>
    <w:rsid w:val="00894693"/>
    <w:rsid w:val="008A08D7"/>
    <w:rsid w:val="008B6909"/>
    <w:rsid w:val="00906890"/>
    <w:rsid w:val="00911BE4"/>
    <w:rsid w:val="009220F7"/>
    <w:rsid w:val="00931A71"/>
    <w:rsid w:val="00951972"/>
    <w:rsid w:val="009608F3"/>
    <w:rsid w:val="00962CCD"/>
    <w:rsid w:val="009918E2"/>
    <w:rsid w:val="009A24AC"/>
    <w:rsid w:val="009A41B0"/>
    <w:rsid w:val="009D21FD"/>
    <w:rsid w:val="00A01FC1"/>
    <w:rsid w:val="00A14DA8"/>
    <w:rsid w:val="00A312BC"/>
    <w:rsid w:val="00A34D07"/>
    <w:rsid w:val="00A84021"/>
    <w:rsid w:val="00A84D35"/>
    <w:rsid w:val="00A917B3"/>
    <w:rsid w:val="00AB4B51"/>
    <w:rsid w:val="00AC5342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94202"/>
    <w:rsid w:val="00CA1679"/>
    <w:rsid w:val="00CB151C"/>
    <w:rsid w:val="00CE5A1A"/>
    <w:rsid w:val="00CF55F6"/>
    <w:rsid w:val="00D33D63"/>
    <w:rsid w:val="00D90028"/>
    <w:rsid w:val="00D90138"/>
    <w:rsid w:val="00D9090B"/>
    <w:rsid w:val="00D96EC8"/>
    <w:rsid w:val="00DA09BA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1A3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C1FF26"/>
  <w15:docId w15:val="{E8F8AB41-52F7-4417-A7A4-79C6F974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62CCD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D5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3821" TargetMode="External"/><Relationship Id="rId2" Type="http://schemas.openxmlformats.org/officeDocument/2006/relationships/hyperlink" Target="http://undocs.org/en/CCPR/C/SR.3820" TargetMode="External"/><Relationship Id="rId1" Type="http://schemas.openxmlformats.org/officeDocument/2006/relationships/hyperlink" Target="http://undocs.org/en/CCPR/C/UKR/8" TargetMode="External"/><Relationship Id="rId6" Type="http://schemas.openxmlformats.org/officeDocument/2006/relationships/hyperlink" Target="http://undocs.org/ru/CCPR/C/UKR/CO/7" TargetMode="External"/><Relationship Id="rId5" Type="http://schemas.openxmlformats.org/officeDocument/2006/relationships/hyperlink" Target="http://undocs.org/en/CCPR/C/UKR/Q/8" TargetMode="External"/><Relationship Id="rId4" Type="http://schemas.openxmlformats.org/officeDocument/2006/relationships/hyperlink" Target="http://undocs.org/en/CCPR/C/UKR/RQ/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5299</Words>
  <Characters>37305</Characters>
  <Application>Microsoft Office Word</Application>
  <DocSecurity>0</DocSecurity>
  <Lines>310</Lines>
  <Paragraphs>85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CCPR/C/UKR/CO/8</vt:lpstr>
      <vt:lpstr>A/</vt:lpstr>
      <vt:lpstr>A/</vt:lpstr>
    </vt:vector>
  </TitlesOfParts>
  <Company>DCM</Company>
  <LinksUpToDate>false</LinksUpToDate>
  <CharactersWithSpaces>42519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CCPR/C/UKR/CO/8</dc:title>
  <dc:subject/>
  <dc:creator>Olga OVTCHINNIKOVA</dc:creator>
  <cp:keywords/>
  <cp:lastModifiedBy>Olga Ovchinnikova</cp:lastModifiedBy>
  <cp:revision>3</cp:revision>
  <cp:lastPrinted>2022-03-21T09:18:00Z</cp:lastPrinted>
  <dcterms:created xsi:type="dcterms:W3CDTF">2022-03-21T09:18:00Z</dcterms:created>
  <dcterms:modified xsi:type="dcterms:W3CDTF">2022-03-21T09:18:00Z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